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7930B0">
        <w:trPr>
          <w:trHeight w:hRule="exact" w:val="851"/>
        </w:trPr>
        <w:tc>
          <w:tcPr>
            <w:tcW w:w="1276" w:type="dxa"/>
            <w:tcBorders>
              <w:bottom w:val="single" w:sz="4" w:space="0" w:color="auto"/>
            </w:tcBorders>
          </w:tcPr>
          <w:p w:rsidR="002D5AAC" w:rsidRPr="007930B0" w:rsidRDefault="002D5AAC" w:rsidP="00F33585"/>
        </w:tc>
        <w:tc>
          <w:tcPr>
            <w:tcW w:w="2268" w:type="dxa"/>
            <w:tcBorders>
              <w:bottom w:val="single" w:sz="4" w:space="0" w:color="auto"/>
            </w:tcBorders>
            <w:vAlign w:val="bottom"/>
          </w:tcPr>
          <w:p w:rsidR="002D5AAC" w:rsidRPr="007930B0" w:rsidRDefault="00BD33EE" w:rsidP="00F33585">
            <w:pPr>
              <w:spacing w:after="80" w:line="300" w:lineRule="exact"/>
              <w:rPr>
                <w:sz w:val="28"/>
              </w:rPr>
            </w:pPr>
            <w:r w:rsidRPr="007930B0">
              <w:rPr>
                <w:sz w:val="28"/>
              </w:rPr>
              <w:t>Naciones Unidas</w:t>
            </w:r>
          </w:p>
        </w:tc>
        <w:tc>
          <w:tcPr>
            <w:tcW w:w="6073" w:type="dxa"/>
            <w:gridSpan w:val="2"/>
            <w:tcBorders>
              <w:bottom w:val="single" w:sz="4" w:space="0" w:color="auto"/>
            </w:tcBorders>
            <w:vAlign w:val="bottom"/>
          </w:tcPr>
          <w:p w:rsidR="002D5AAC" w:rsidRPr="007930B0" w:rsidRDefault="00F86D21" w:rsidP="00F86D21">
            <w:pPr>
              <w:jc w:val="right"/>
            </w:pPr>
            <w:r w:rsidRPr="007930B0">
              <w:rPr>
                <w:sz w:val="40"/>
              </w:rPr>
              <w:t>E</w:t>
            </w:r>
            <w:r w:rsidRPr="007930B0">
              <w:t>/C.12/MRT/1</w:t>
            </w:r>
          </w:p>
        </w:tc>
      </w:tr>
      <w:tr w:rsidR="002D5AAC" w:rsidRPr="007930B0">
        <w:trPr>
          <w:trHeight w:hRule="exact" w:val="2835"/>
        </w:trPr>
        <w:tc>
          <w:tcPr>
            <w:tcW w:w="1276" w:type="dxa"/>
            <w:tcBorders>
              <w:top w:val="single" w:sz="4" w:space="0" w:color="auto"/>
              <w:bottom w:val="single" w:sz="12" w:space="0" w:color="auto"/>
            </w:tcBorders>
          </w:tcPr>
          <w:p w:rsidR="002D5AAC" w:rsidRPr="007930B0" w:rsidRDefault="00BD33EE" w:rsidP="00F33585">
            <w:pPr>
              <w:spacing w:before="120"/>
              <w:jc w:val="center"/>
            </w:pPr>
            <w:r w:rsidRPr="007930B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30B0" w:rsidRDefault="004B19F2" w:rsidP="00F33585">
            <w:pPr>
              <w:spacing w:before="120" w:line="420" w:lineRule="exact"/>
              <w:rPr>
                <w:b/>
                <w:sz w:val="40"/>
                <w:szCs w:val="40"/>
              </w:rPr>
            </w:pPr>
            <w:r w:rsidRPr="007930B0">
              <w:rPr>
                <w:b/>
                <w:sz w:val="40"/>
                <w:szCs w:val="40"/>
              </w:rPr>
              <w:t>Consejo Económico y Social</w:t>
            </w:r>
          </w:p>
        </w:tc>
        <w:tc>
          <w:tcPr>
            <w:tcW w:w="2813" w:type="dxa"/>
            <w:tcBorders>
              <w:top w:val="single" w:sz="4" w:space="0" w:color="auto"/>
              <w:bottom w:val="single" w:sz="12" w:space="0" w:color="auto"/>
            </w:tcBorders>
          </w:tcPr>
          <w:p w:rsidR="00F86D21" w:rsidRPr="007930B0" w:rsidRDefault="00F86D21" w:rsidP="00F86D21">
            <w:pPr>
              <w:spacing w:before="240" w:line="240" w:lineRule="exact"/>
            </w:pPr>
            <w:r w:rsidRPr="007930B0">
              <w:t>Distr. general</w:t>
            </w:r>
          </w:p>
          <w:p w:rsidR="00F86D21" w:rsidRPr="007930B0" w:rsidRDefault="00F86D21" w:rsidP="00F86D21">
            <w:pPr>
              <w:spacing w:line="240" w:lineRule="exact"/>
            </w:pPr>
            <w:r w:rsidRPr="007930B0">
              <w:t>20 de mayo de 2011</w:t>
            </w:r>
          </w:p>
          <w:p w:rsidR="00F86D21" w:rsidRPr="007930B0" w:rsidRDefault="00F86D21" w:rsidP="00F86D21">
            <w:pPr>
              <w:spacing w:line="240" w:lineRule="exact"/>
            </w:pPr>
            <w:r w:rsidRPr="007930B0">
              <w:t>Español</w:t>
            </w:r>
          </w:p>
          <w:p w:rsidR="002D5AAC" w:rsidRPr="007930B0" w:rsidRDefault="00F86D21" w:rsidP="00F86D21">
            <w:pPr>
              <w:spacing w:line="240" w:lineRule="exact"/>
            </w:pPr>
            <w:r w:rsidRPr="007930B0">
              <w:t>Original: francés</w:t>
            </w:r>
          </w:p>
        </w:tc>
      </w:tr>
    </w:tbl>
    <w:p w:rsidR="00381C24" w:rsidRPr="007930B0" w:rsidRDefault="00F86D21" w:rsidP="00F86D21">
      <w:pPr>
        <w:spacing w:before="120"/>
        <w:rPr>
          <w:b/>
          <w:bCs/>
          <w:sz w:val="24"/>
          <w:szCs w:val="24"/>
        </w:rPr>
      </w:pPr>
      <w:r w:rsidRPr="007930B0">
        <w:rPr>
          <w:b/>
          <w:bCs/>
          <w:sz w:val="24"/>
          <w:szCs w:val="24"/>
        </w:rPr>
        <w:t>Comité de Derechos Económicos, Sociales y Culturales</w:t>
      </w:r>
    </w:p>
    <w:p w:rsidR="00F86D21" w:rsidRPr="007930B0" w:rsidRDefault="00F86D21" w:rsidP="00F86D21">
      <w:pPr>
        <w:pStyle w:val="HMG"/>
        <w:rPr>
          <w:lang w:val="es-ES"/>
        </w:rPr>
      </w:pPr>
      <w:r w:rsidRPr="007930B0">
        <w:rPr>
          <w:lang w:val="es-ES"/>
        </w:rPr>
        <w:tab/>
      </w:r>
      <w:r w:rsidRPr="007930B0">
        <w:rPr>
          <w:lang w:val="es-ES"/>
        </w:rPr>
        <w:tab/>
        <w:t>Aplicación del Pacto Internacional de Derechos Económicos, Sociales y Culturales</w:t>
      </w:r>
    </w:p>
    <w:p w:rsidR="00F86D21" w:rsidRPr="007930B0" w:rsidRDefault="00F86D21" w:rsidP="00F86D21">
      <w:pPr>
        <w:pStyle w:val="HChG"/>
        <w:rPr>
          <w:lang w:val="es-ES"/>
        </w:rPr>
      </w:pPr>
      <w:r w:rsidRPr="007930B0">
        <w:rPr>
          <w:lang w:val="es-ES"/>
        </w:rPr>
        <w:tab/>
      </w:r>
      <w:r w:rsidRPr="007930B0">
        <w:rPr>
          <w:lang w:val="es-ES"/>
        </w:rPr>
        <w:tab/>
      </w:r>
      <w:r w:rsidR="003F1FDA" w:rsidRPr="007930B0">
        <w:rPr>
          <w:lang w:val="es-ES"/>
        </w:rPr>
        <w:t xml:space="preserve">Informe inicial presentado por los Estados partes </w:t>
      </w:r>
      <w:r w:rsidR="007B20B8">
        <w:rPr>
          <w:lang w:val="es-ES"/>
        </w:rPr>
        <w:t>en</w:t>
      </w:r>
      <w:r w:rsidR="003F1FDA" w:rsidRPr="007930B0">
        <w:rPr>
          <w:lang w:val="es-ES"/>
        </w:rPr>
        <w:t xml:space="preserve"> </w:t>
      </w:r>
      <w:r w:rsidR="007B20B8">
        <w:rPr>
          <w:lang w:val="es-ES"/>
        </w:rPr>
        <w:t>virtud de</w:t>
      </w:r>
      <w:r w:rsidR="003F1FDA" w:rsidRPr="007930B0">
        <w:rPr>
          <w:lang w:val="es-ES"/>
        </w:rPr>
        <w:t xml:space="preserve"> los artículos 16 y 17 del Pacto</w:t>
      </w:r>
    </w:p>
    <w:p w:rsidR="003F1FDA" w:rsidRPr="007930B0" w:rsidRDefault="003F1FDA" w:rsidP="003F1FDA">
      <w:pPr>
        <w:pStyle w:val="HMG"/>
        <w:rPr>
          <w:b w:val="0"/>
          <w:bCs/>
          <w:sz w:val="20"/>
          <w:lang w:val="es-ES"/>
        </w:rPr>
      </w:pPr>
      <w:r w:rsidRPr="007930B0">
        <w:rPr>
          <w:lang w:val="es-ES"/>
        </w:rPr>
        <w:tab/>
      </w:r>
      <w:r w:rsidRPr="007930B0">
        <w:rPr>
          <w:lang w:val="es-ES"/>
        </w:rPr>
        <w:tab/>
        <w:t>Mauritania</w:t>
      </w:r>
      <w:r w:rsidRPr="007930B0">
        <w:rPr>
          <w:rStyle w:val="FootnoteReference"/>
          <w:b w:val="0"/>
          <w:bCs/>
          <w:sz w:val="20"/>
          <w:vertAlign w:val="baseline"/>
          <w:lang w:val="es-ES"/>
        </w:rPr>
        <w:footnoteReference w:customMarkFollows="1" w:id="1"/>
        <w:t>*</w:t>
      </w:r>
    </w:p>
    <w:p w:rsidR="003F1FDA" w:rsidRPr="007930B0" w:rsidRDefault="003F1FDA" w:rsidP="003F1FDA">
      <w:pPr>
        <w:pStyle w:val="SingleTxtG"/>
        <w:jc w:val="right"/>
        <w:rPr>
          <w:lang w:val="es-ES"/>
        </w:rPr>
      </w:pPr>
      <w:r w:rsidRPr="007930B0">
        <w:rPr>
          <w:lang w:val="es-ES"/>
        </w:rPr>
        <w:t>[Recibido el 20 de agosto de 2009]</w:t>
      </w:r>
    </w:p>
    <w:p w:rsidR="003F1FDA" w:rsidRPr="007930B0" w:rsidRDefault="003F1FDA" w:rsidP="003F1FDA">
      <w:pPr>
        <w:pStyle w:val="HChG"/>
        <w:rPr>
          <w:lang w:val="es-ES"/>
        </w:rPr>
      </w:pPr>
      <w:r w:rsidRPr="007930B0">
        <w:rPr>
          <w:lang w:val="es-ES"/>
        </w:rPr>
        <w:br w:type="page"/>
        <w:t>Lista de siglas</w:t>
      </w:r>
    </w:p>
    <w:tbl>
      <w:tblPr>
        <w:tblW w:w="7371" w:type="dxa"/>
        <w:tblInd w:w="1134" w:type="dxa"/>
        <w:tblLayout w:type="fixed"/>
        <w:tblLook w:val="01E0" w:firstRow="1" w:lastRow="1" w:firstColumn="1" w:lastColumn="1" w:noHBand="0" w:noVBand="0"/>
      </w:tblPr>
      <w:tblGrid>
        <w:gridCol w:w="1388"/>
        <w:gridCol w:w="5983"/>
      </w:tblGrid>
      <w:tr w:rsidR="006F0205" w:rsidRPr="007930B0">
        <w:tc>
          <w:tcPr>
            <w:tcW w:w="1388" w:type="dxa"/>
          </w:tcPr>
          <w:p w:rsidR="006F0205" w:rsidRPr="007930B0" w:rsidRDefault="006F0205" w:rsidP="001E7BB4">
            <w:pPr>
              <w:pStyle w:val="SingleTxtG"/>
              <w:ind w:left="0" w:right="0"/>
              <w:rPr>
                <w:lang w:val="es-ES"/>
              </w:rPr>
            </w:pPr>
            <w:r w:rsidRPr="007930B0">
              <w:rPr>
                <w:lang w:val="es-ES"/>
              </w:rPr>
              <w:t>CFPE</w:t>
            </w:r>
          </w:p>
        </w:tc>
        <w:tc>
          <w:tcPr>
            <w:tcW w:w="5983" w:type="dxa"/>
          </w:tcPr>
          <w:p w:rsidR="006F0205" w:rsidRPr="007930B0" w:rsidRDefault="006F0205" w:rsidP="001E7BB4">
            <w:pPr>
              <w:pStyle w:val="SingleTxtG"/>
              <w:ind w:left="567" w:right="0" w:hanging="567"/>
              <w:jc w:val="left"/>
              <w:rPr>
                <w:lang w:val="es-ES"/>
              </w:rPr>
            </w:pPr>
            <w:r w:rsidRPr="007930B0">
              <w:rPr>
                <w:lang w:val="es-ES"/>
              </w:rPr>
              <w:t>Centro de Formación para la Primera Infancia</w:t>
            </w:r>
          </w:p>
        </w:tc>
      </w:tr>
      <w:tr w:rsidR="006F0205" w:rsidRPr="007930B0">
        <w:tc>
          <w:tcPr>
            <w:tcW w:w="1388" w:type="dxa"/>
          </w:tcPr>
          <w:p w:rsidR="006F0205" w:rsidRPr="007930B0" w:rsidRDefault="006F0205" w:rsidP="001E7BB4">
            <w:pPr>
              <w:pStyle w:val="SingleTxtG"/>
              <w:ind w:left="0" w:right="0"/>
              <w:rPr>
                <w:bCs/>
                <w:lang w:val="es-ES"/>
              </w:rPr>
            </w:pPr>
            <w:r w:rsidRPr="007930B0">
              <w:rPr>
                <w:bCs/>
                <w:lang w:val="es-ES"/>
              </w:rPr>
              <w:t>EDSM</w:t>
            </w:r>
          </w:p>
        </w:tc>
        <w:tc>
          <w:tcPr>
            <w:tcW w:w="5983" w:type="dxa"/>
          </w:tcPr>
          <w:p w:rsidR="006F0205" w:rsidRPr="007930B0" w:rsidRDefault="006F0205" w:rsidP="001E7BB4">
            <w:pPr>
              <w:pStyle w:val="SingleTxtG"/>
              <w:ind w:left="0" w:right="0"/>
              <w:jc w:val="left"/>
              <w:rPr>
                <w:lang w:val="es-ES"/>
              </w:rPr>
            </w:pPr>
            <w:r w:rsidRPr="007930B0">
              <w:rPr>
                <w:lang w:val="es-ES"/>
              </w:rPr>
              <w:t>Encuesta demográfica y de salud de Mauritania</w:t>
            </w:r>
          </w:p>
        </w:tc>
      </w:tr>
      <w:tr w:rsidR="006F0205" w:rsidRPr="007930B0">
        <w:tc>
          <w:tcPr>
            <w:tcW w:w="1388" w:type="dxa"/>
          </w:tcPr>
          <w:p w:rsidR="006F0205" w:rsidRPr="007930B0" w:rsidRDefault="006F0205" w:rsidP="001E7BB4">
            <w:pPr>
              <w:pStyle w:val="SingleTxtG"/>
              <w:ind w:left="0" w:right="0"/>
              <w:rPr>
                <w:bCs/>
                <w:lang w:val="es-ES"/>
              </w:rPr>
            </w:pPr>
            <w:r w:rsidRPr="007930B0">
              <w:rPr>
                <w:bCs/>
                <w:lang w:val="es-ES"/>
              </w:rPr>
              <w:t>EMIP</w:t>
            </w:r>
          </w:p>
        </w:tc>
        <w:tc>
          <w:tcPr>
            <w:tcW w:w="5983" w:type="dxa"/>
          </w:tcPr>
          <w:p w:rsidR="006F0205" w:rsidRPr="007930B0" w:rsidRDefault="006F0205" w:rsidP="001E7BB4">
            <w:pPr>
              <w:pStyle w:val="SingleTxtG"/>
              <w:ind w:left="0" w:right="0"/>
              <w:jc w:val="left"/>
              <w:rPr>
                <w:lang w:val="es-ES"/>
              </w:rPr>
            </w:pPr>
            <w:r w:rsidRPr="007930B0">
              <w:rPr>
                <w:lang w:val="es-ES"/>
              </w:rPr>
              <w:t>Encuesta sobre la mortalidad infantil y el paludismo</w:t>
            </w:r>
          </w:p>
        </w:tc>
      </w:tr>
      <w:tr w:rsidR="006F0205" w:rsidRPr="007930B0">
        <w:tc>
          <w:tcPr>
            <w:tcW w:w="1388" w:type="dxa"/>
          </w:tcPr>
          <w:p w:rsidR="006F0205" w:rsidRPr="007930B0" w:rsidRDefault="006F0205" w:rsidP="001E7BB4">
            <w:pPr>
              <w:pStyle w:val="SingleTxtG"/>
              <w:ind w:left="0" w:right="0"/>
              <w:rPr>
                <w:lang w:val="es-ES"/>
              </w:rPr>
            </w:pPr>
            <w:r w:rsidRPr="007930B0">
              <w:rPr>
                <w:bCs/>
                <w:lang w:val="es-ES"/>
              </w:rPr>
              <w:t>ENI</w:t>
            </w:r>
          </w:p>
        </w:tc>
        <w:tc>
          <w:tcPr>
            <w:tcW w:w="5983" w:type="dxa"/>
          </w:tcPr>
          <w:p w:rsidR="006F0205" w:rsidRPr="007930B0" w:rsidRDefault="006F0205" w:rsidP="001E7BB4">
            <w:pPr>
              <w:pStyle w:val="SingleTxtG"/>
              <w:ind w:left="0" w:right="0"/>
              <w:jc w:val="left"/>
              <w:rPr>
                <w:lang w:val="es-ES"/>
              </w:rPr>
            </w:pPr>
            <w:r w:rsidRPr="007930B0">
              <w:rPr>
                <w:lang w:val="es-ES"/>
              </w:rPr>
              <w:t>Escuela Normal Nacional</w:t>
            </w:r>
          </w:p>
        </w:tc>
      </w:tr>
      <w:tr w:rsidR="006F0205" w:rsidRPr="007930B0">
        <w:tc>
          <w:tcPr>
            <w:tcW w:w="1388" w:type="dxa"/>
          </w:tcPr>
          <w:p w:rsidR="006F0205" w:rsidRPr="007930B0" w:rsidRDefault="006F0205" w:rsidP="001E7BB4">
            <w:pPr>
              <w:pStyle w:val="SingleTxtG"/>
              <w:ind w:left="0" w:right="0"/>
              <w:rPr>
                <w:lang w:val="es-ES"/>
              </w:rPr>
            </w:pPr>
            <w:r w:rsidRPr="007930B0">
              <w:rPr>
                <w:bCs/>
                <w:lang w:val="es-ES"/>
              </w:rPr>
              <w:t>ENS</w:t>
            </w:r>
          </w:p>
        </w:tc>
        <w:tc>
          <w:tcPr>
            <w:tcW w:w="5983" w:type="dxa"/>
          </w:tcPr>
          <w:p w:rsidR="006F0205" w:rsidRPr="007930B0" w:rsidRDefault="006F0205" w:rsidP="001E7BB4">
            <w:pPr>
              <w:pStyle w:val="SingleTxtG"/>
              <w:ind w:left="0" w:right="0"/>
              <w:jc w:val="left"/>
              <w:rPr>
                <w:lang w:val="es-ES"/>
              </w:rPr>
            </w:pPr>
            <w:r w:rsidRPr="007930B0">
              <w:rPr>
                <w:lang w:val="es-ES"/>
              </w:rPr>
              <w:t>Escuela Normal Superior</w:t>
            </w:r>
          </w:p>
        </w:tc>
      </w:tr>
      <w:tr w:rsidR="006F0205" w:rsidRPr="007930B0">
        <w:tc>
          <w:tcPr>
            <w:tcW w:w="1388" w:type="dxa"/>
          </w:tcPr>
          <w:p w:rsidR="006F0205" w:rsidRPr="007930B0" w:rsidRDefault="006F0205" w:rsidP="001E7BB4">
            <w:pPr>
              <w:pStyle w:val="SingleTxtG"/>
              <w:ind w:left="0" w:right="0"/>
              <w:rPr>
                <w:lang w:val="es-ES"/>
              </w:rPr>
            </w:pPr>
            <w:r w:rsidRPr="007930B0">
              <w:rPr>
                <w:bCs/>
                <w:lang w:val="es-ES"/>
              </w:rPr>
              <w:t>EPCV</w:t>
            </w:r>
          </w:p>
        </w:tc>
        <w:tc>
          <w:tcPr>
            <w:tcW w:w="5983" w:type="dxa"/>
          </w:tcPr>
          <w:p w:rsidR="006F0205" w:rsidRPr="007930B0" w:rsidRDefault="006F0205" w:rsidP="001E7BB4">
            <w:pPr>
              <w:pStyle w:val="SingleTxtG"/>
              <w:ind w:left="0" w:right="0"/>
              <w:jc w:val="left"/>
              <w:rPr>
                <w:lang w:val="es-ES"/>
              </w:rPr>
            </w:pPr>
            <w:r w:rsidRPr="007930B0">
              <w:rPr>
                <w:lang w:val="es-ES"/>
              </w:rPr>
              <w:t>Encuesta permanente sobre las condiciones de vida</w:t>
            </w:r>
          </w:p>
        </w:tc>
      </w:tr>
      <w:tr w:rsidR="006F0205" w:rsidRPr="007930B0">
        <w:tc>
          <w:tcPr>
            <w:tcW w:w="1388" w:type="dxa"/>
          </w:tcPr>
          <w:p w:rsidR="006F0205" w:rsidRPr="007930B0" w:rsidRDefault="006F0205" w:rsidP="001E7BB4">
            <w:pPr>
              <w:pStyle w:val="SingleTxtG"/>
              <w:ind w:left="0" w:right="0"/>
              <w:rPr>
                <w:lang w:val="es-ES"/>
              </w:rPr>
            </w:pPr>
            <w:r w:rsidRPr="007930B0">
              <w:rPr>
                <w:bCs/>
                <w:lang w:val="es-ES"/>
              </w:rPr>
              <w:t>FTP</w:t>
            </w:r>
          </w:p>
        </w:tc>
        <w:tc>
          <w:tcPr>
            <w:tcW w:w="5983" w:type="dxa"/>
          </w:tcPr>
          <w:p w:rsidR="006F0205" w:rsidRPr="007930B0" w:rsidRDefault="006F0205" w:rsidP="001E7BB4">
            <w:pPr>
              <w:pStyle w:val="SingleTxtG"/>
              <w:ind w:left="0" w:right="0"/>
              <w:jc w:val="left"/>
              <w:rPr>
                <w:lang w:val="es-ES"/>
              </w:rPr>
            </w:pPr>
            <w:r w:rsidRPr="007930B0">
              <w:rPr>
                <w:lang w:val="es-ES"/>
              </w:rPr>
              <w:t>Formación técnica y profesional</w:t>
            </w:r>
          </w:p>
        </w:tc>
      </w:tr>
      <w:tr w:rsidR="006F0205" w:rsidRPr="007930B0">
        <w:tc>
          <w:tcPr>
            <w:tcW w:w="1388" w:type="dxa"/>
          </w:tcPr>
          <w:p w:rsidR="006F0205" w:rsidRPr="007930B0" w:rsidRDefault="006F0205" w:rsidP="001E7BB4">
            <w:pPr>
              <w:pStyle w:val="SingleTxtG"/>
              <w:ind w:left="0" w:right="0"/>
              <w:rPr>
                <w:lang w:val="es-ES"/>
              </w:rPr>
            </w:pPr>
            <w:r w:rsidRPr="007930B0">
              <w:rPr>
                <w:bCs/>
                <w:lang w:val="es-ES"/>
              </w:rPr>
              <w:t>OIT</w:t>
            </w:r>
          </w:p>
        </w:tc>
        <w:tc>
          <w:tcPr>
            <w:tcW w:w="5983" w:type="dxa"/>
          </w:tcPr>
          <w:p w:rsidR="006F0205" w:rsidRPr="007930B0" w:rsidRDefault="006F0205" w:rsidP="001E7BB4">
            <w:pPr>
              <w:pStyle w:val="SingleTxtG"/>
              <w:ind w:left="0" w:right="0"/>
              <w:jc w:val="left"/>
              <w:rPr>
                <w:lang w:val="es-ES"/>
              </w:rPr>
            </w:pPr>
            <w:r w:rsidRPr="007930B0">
              <w:rPr>
                <w:lang w:val="es-ES"/>
              </w:rPr>
              <w:t>Organización Internacional del Trabajo</w:t>
            </w:r>
          </w:p>
        </w:tc>
      </w:tr>
      <w:tr w:rsidR="006F0205" w:rsidRPr="007930B0">
        <w:tc>
          <w:tcPr>
            <w:tcW w:w="1388" w:type="dxa"/>
          </w:tcPr>
          <w:p w:rsidR="006F0205" w:rsidRPr="007930B0" w:rsidRDefault="006F0205" w:rsidP="001E7BB4">
            <w:pPr>
              <w:pStyle w:val="SingleTxtG"/>
              <w:ind w:left="0" w:right="0"/>
              <w:rPr>
                <w:lang w:val="es-ES"/>
              </w:rPr>
            </w:pPr>
            <w:r w:rsidRPr="007930B0">
              <w:rPr>
                <w:bCs/>
                <w:lang w:val="es-ES"/>
              </w:rPr>
              <w:t>PDSAS</w:t>
            </w:r>
          </w:p>
        </w:tc>
        <w:tc>
          <w:tcPr>
            <w:tcW w:w="5983" w:type="dxa"/>
          </w:tcPr>
          <w:p w:rsidR="006F0205" w:rsidRPr="007930B0" w:rsidRDefault="006F0205" w:rsidP="001E7BB4">
            <w:pPr>
              <w:pStyle w:val="SingleTxtG"/>
              <w:ind w:left="0" w:right="0"/>
              <w:jc w:val="left"/>
              <w:rPr>
                <w:lang w:val="es-ES"/>
              </w:rPr>
            </w:pPr>
            <w:r w:rsidRPr="007930B0">
              <w:rPr>
                <w:lang w:val="es-ES"/>
              </w:rPr>
              <w:t>Programa de desarrollo de la salud y asuntos sociales</w:t>
            </w:r>
          </w:p>
        </w:tc>
      </w:tr>
      <w:tr w:rsidR="006F0205" w:rsidRPr="007930B0">
        <w:tc>
          <w:tcPr>
            <w:tcW w:w="1388" w:type="dxa"/>
          </w:tcPr>
          <w:p w:rsidR="006F0205" w:rsidRPr="007930B0" w:rsidRDefault="006F0205" w:rsidP="001E7BB4">
            <w:pPr>
              <w:pStyle w:val="SingleTxtG"/>
              <w:ind w:left="0" w:right="0"/>
              <w:rPr>
                <w:bCs/>
                <w:lang w:val="es-ES"/>
              </w:rPr>
            </w:pPr>
            <w:r w:rsidRPr="007930B0">
              <w:rPr>
                <w:bCs/>
                <w:lang w:val="es-ES"/>
              </w:rPr>
              <w:t>PIB</w:t>
            </w:r>
          </w:p>
        </w:tc>
        <w:tc>
          <w:tcPr>
            <w:tcW w:w="5983" w:type="dxa"/>
          </w:tcPr>
          <w:p w:rsidR="006F0205" w:rsidRPr="007930B0" w:rsidRDefault="006F0205" w:rsidP="001E7BB4">
            <w:pPr>
              <w:pStyle w:val="SingleTxtG"/>
              <w:ind w:left="0" w:right="0"/>
              <w:jc w:val="left"/>
              <w:rPr>
                <w:lang w:val="es-ES"/>
              </w:rPr>
            </w:pPr>
            <w:r w:rsidRPr="007930B0">
              <w:rPr>
                <w:lang w:val="es-ES"/>
              </w:rPr>
              <w:t>Producto interno bruto</w:t>
            </w:r>
          </w:p>
        </w:tc>
      </w:tr>
      <w:tr w:rsidR="006F0205" w:rsidRPr="007930B0">
        <w:tc>
          <w:tcPr>
            <w:tcW w:w="1388" w:type="dxa"/>
          </w:tcPr>
          <w:p w:rsidR="006F0205" w:rsidRPr="007930B0" w:rsidRDefault="006F0205" w:rsidP="001E7BB4">
            <w:pPr>
              <w:pStyle w:val="SingleTxtG"/>
              <w:ind w:left="0" w:right="0"/>
              <w:rPr>
                <w:bCs/>
                <w:highlight w:val="yellow"/>
                <w:lang w:val="es-ES"/>
              </w:rPr>
            </w:pPr>
            <w:r w:rsidRPr="007930B0">
              <w:rPr>
                <w:bCs/>
                <w:lang w:val="es-ES"/>
              </w:rPr>
              <w:t>PMA</w:t>
            </w:r>
          </w:p>
        </w:tc>
        <w:tc>
          <w:tcPr>
            <w:tcW w:w="5983" w:type="dxa"/>
          </w:tcPr>
          <w:p w:rsidR="006F0205" w:rsidRPr="007930B0" w:rsidRDefault="006F0205" w:rsidP="001E7BB4">
            <w:pPr>
              <w:pStyle w:val="SingleTxtG"/>
              <w:ind w:left="0" w:right="0"/>
              <w:jc w:val="left"/>
              <w:rPr>
                <w:highlight w:val="yellow"/>
                <w:lang w:val="es-ES"/>
              </w:rPr>
            </w:pPr>
            <w:r w:rsidRPr="007930B0">
              <w:rPr>
                <w:lang w:val="es-ES"/>
              </w:rPr>
              <w:t>Programa Mundial de Alimentos</w:t>
            </w:r>
          </w:p>
        </w:tc>
      </w:tr>
      <w:tr w:rsidR="006F0205" w:rsidRPr="007930B0">
        <w:tc>
          <w:tcPr>
            <w:tcW w:w="1388" w:type="dxa"/>
          </w:tcPr>
          <w:p w:rsidR="006F0205" w:rsidRPr="007930B0" w:rsidRDefault="006F0205" w:rsidP="001E7BB4">
            <w:pPr>
              <w:pStyle w:val="SingleTxtG"/>
              <w:ind w:left="0" w:right="0"/>
              <w:rPr>
                <w:lang w:val="es-ES"/>
              </w:rPr>
            </w:pPr>
            <w:r w:rsidRPr="007930B0">
              <w:rPr>
                <w:bCs/>
                <w:lang w:val="es-ES"/>
              </w:rPr>
              <w:t>PNDSE</w:t>
            </w:r>
          </w:p>
        </w:tc>
        <w:tc>
          <w:tcPr>
            <w:tcW w:w="5983" w:type="dxa"/>
          </w:tcPr>
          <w:p w:rsidR="006F0205" w:rsidRPr="007930B0" w:rsidRDefault="006F0205" w:rsidP="001E7BB4">
            <w:pPr>
              <w:pStyle w:val="SingleTxtG"/>
              <w:ind w:left="0" w:right="0"/>
              <w:jc w:val="left"/>
              <w:rPr>
                <w:lang w:val="es-ES"/>
              </w:rPr>
            </w:pPr>
            <w:r w:rsidRPr="007930B0">
              <w:rPr>
                <w:lang w:val="es-ES"/>
              </w:rPr>
              <w:t>Programa nacional de desarrollo del sector de la enseñanza</w:t>
            </w:r>
          </w:p>
        </w:tc>
      </w:tr>
      <w:tr w:rsidR="006F0205" w:rsidRPr="007930B0">
        <w:tc>
          <w:tcPr>
            <w:tcW w:w="1388" w:type="dxa"/>
          </w:tcPr>
          <w:p w:rsidR="006F0205" w:rsidRPr="007930B0" w:rsidRDefault="006F0205" w:rsidP="001E7BB4">
            <w:pPr>
              <w:pStyle w:val="SingleTxtG"/>
              <w:ind w:left="0" w:right="0"/>
              <w:rPr>
                <w:lang w:val="es-ES"/>
              </w:rPr>
            </w:pPr>
            <w:r w:rsidRPr="007930B0">
              <w:rPr>
                <w:bCs/>
                <w:lang w:val="es-ES"/>
              </w:rPr>
              <w:t>PNUD</w:t>
            </w:r>
          </w:p>
        </w:tc>
        <w:tc>
          <w:tcPr>
            <w:tcW w:w="5983" w:type="dxa"/>
          </w:tcPr>
          <w:p w:rsidR="006F0205" w:rsidRPr="007930B0" w:rsidRDefault="006F0205" w:rsidP="001E7BB4">
            <w:pPr>
              <w:pStyle w:val="SingleTxtG"/>
              <w:ind w:left="0" w:right="0"/>
              <w:jc w:val="left"/>
              <w:rPr>
                <w:lang w:val="es-ES"/>
              </w:rPr>
            </w:pPr>
            <w:r w:rsidRPr="007930B0">
              <w:rPr>
                <w:lang w:val="es-ES"/>
              </w:rPr>
              <w:t>Programa de las Naciones Unidas para el Desarrollo</w:t>
            </w:r>
          </w:p>
        </w:tc>
      </w:tr>
      <w:tr w:rsidR="006F0205" w:rsidRPr="007930B0">
        <w:tc>
          <w:tcPr>
            <w:tcW w:w="1388" w:type="dxa"/>
          </w:tcPr>
          <w:p w:rsidR="006F0205" w:rsidRPr="007930B0" w:rsidRDefault="006F0205" w:rsidP="001E7BB4">
            <w:pPr>
              <w:pStyle w:val="SingleTxtG"/>
              <w:ind w:left="0" w:right="0"/>
              <w:rPr>
                <w:lang w:val="es-ES"/>
              </w:rPr>
            </w:pPr>
            <w:r w:rsidRPr="007930B0">
              <w:rPr>
                <w:bCs/>
                <w:lang w:val="es-ES"/>
              </w:rPr>
              <w:t>UE</w:t>
            </w:r>
          </w:p>
        </w:tc>
        <w:tc>
          <w:tcPr>
            <w:tcW w:w="5983" w:type="dxa"/>
          </w:tcPr>
          <w:p w:rsidR="006F0205" w:rsidRPr="007930B0" w:rsidRDefault="006F0205" w:rsidP="001E7BB4">
            <w:pPr>
              <w:pStyle w:val="SingleTxtG"/>
              <w:ind w:left="0" w:right="0"/>
              <w:jc w:val="left"/>
              <w:rPr>
                <w:lang w:val="es-ES"/>
              </w:rPr>
            </w:pPr>
            <w:r w:rsidRPr="007930B0">
              <w:rPr>
                <w:lang w:val="es-ES"/>
              </w:rPr>
              <w:t xml:space="preserve">Unión Europea </w:t>
            </w:r>
          </w:p>
        </w:tc>
      </w:tr>
      <w:tr w:rsidR="006F0205" w:rsidRPr="007930B0">
        <w:tc>
          <w:tcPr>
            <w:tcW w:w="1388" w:type="dxa"/>
          </w:tcPr>
          <w:p w:rsidR="006F0205" w:rsidRPr="007930B0" w:rsidRDefault="006F0205" w:rsidP="001E7BB4">
            <w:pPr>
              <w:pStyle w:val="SingleTxtG"/>
              <w:ind w:left="0" w:right="0"/>
              <w:rPr>
                <w:lang w:val="es-ES"/>
              </w:rPr>
            </w:pPr>
            <w:r w:rsidRPr="007930B0">
              <w:rPr>
                <w:lang w:val="es-ES"/>
              </w:rPr>
              <w:t>UM</w:t>
            </w:r>
          </w:p>
        </w:tc>
        <w:tc>
          <w:tcPr>
            <w:tcW w:w="5983" w:type="dxa"/>
          </w:tcPr>
          <w:p w:rsidR="006F0205" w:rsidRPr="007930B0" w:rsidRDefault="00B56B34" w:rsidP="001E7BB4">
            <w:pPr>
              <w:pStyle w:val="SingleTxtG"/>
              <w:ind w:left="0" w:right="0"/>
              <w:jc w:val="left"/>
              <w:rPr>
                <w:lang w:val="es-ES"/>
              </w:rPr>
            </w:pPr>
            <w:r w:rsidRPr="007930B0">
              <w:rPr>
                <w:lang w:val="es-ES"/>
              </w:rPr>
              <w:t>O</w:t>
            </w:r>
            <w:r w:rsidR="006F0205" w:rsidRPr="007930B0">
              <w:rPr>
                <w:lang w:val="es-ES"/>
              </w:rPr>
              <w:t>uguiyas de Mauritania</w:t>
            </w:r>
          </w:p>
        </w:tc>
      </w:tr>
    </w:tbl>
    <w:p w:rsidR="006F0205" w:rsidRPr="007930B0" w:rsidRDefault="006F0205" w:rsidP="003F1FDA">
      <w:pPr>
        <w:pStyle w:val="HChG"/>
        <w:rPr>
          <w:lang w:val="es-ES"/>
        </w:rPr>
      </w:pPr>
    </w:p>
    <w:p w:rsidR="003F1FDA" w:rsidRPr="007930B0" w:rsidRDefault="003F1FDA" w:rsidP="003F1FDA">
      <w:pPr>
        <w:pStyle w:val="HChG"/>
        <w:rPr>
          <w:lang w:val="es-ES"/>
        </w:rPr>
      </w:pPr>
      <w:r w:rsidRPr="007930B0">
        <w:rPr>
          <w:lang w:val="es-ES"/>
        </w:rPr>
        <w:br w:type="page"/>
        <w:t>Lista de cuadros</w:t>
      </w:r>
    </w:p>
    <w:p w:rsidR="006F0205" w:rsidRPr="00637894" w:rsidRDefault="00637894" w:rsidP="00637894">
      <w:pPr>
        <w:tabs>
          <w:tab w:val="right" w:pos="8929"/>
          <w:tab w:val="right" w:pos="9638"/>
        </w:tabs>
        <w:spacing w:after="120"/>
        <w:ind w:left="283"/>
        <w:rPr>
          <w:i/>
          <w:sz w:val="18"/>
          <w:szCs w:val="18"/>
        </w:rPr>
      </w:pPr>
      <w:r>
        <w:tab/>
      </w:r>
      <w:r>
        <w:tab/>
      </w:r>
      <w:r w:rsidR="006F0205" w:rsidRPr="00637894">
        <w:rPr>
          <w:i/>
          <w:sz w:val="18"/>
          <w:szCs w:val="18"/>
        </w:rPr>
        <w:t>Página</w:t>
      </w:r>
    </w:p>
    <w:p w:rsidR="006F0205" w:rsidRPr="007930B0" w:rsidRDefault="00637894" w:rsidP="003C3B9E">
      <w:pPr>
        <w:tabs>
          <w:tab w:val="right" w:pos="850"/>
          <w:tab w:val="left" w:pos="1134"/>
          <w:tab w:val="left" w:pos="1559"/>
          <w:tab w:val="left" w:pos="2100"/>
          <w:tab w:val="left" w:leader="dot" w:pos="8929"/>
          <w:tab w:val="right" w:pos="9638"/>
        </w:tabs>
        <w:spacing w:after="120"/>
      </w:pPr>
      <w:r>
        <w:tab/>
      </w:r>
      <w:r>
        <w:tab/>
      </w:r>
      <w:r w:rsidR="006F0205" w:rsidRPr="007930B0">
        <w:t>Cuadro 1</w:t>
      </w:r>
      <w:r w:rsidR="006F0205" w:rsidRPr="007930B0">
        <w:tab/>
        <w:t xml:space="preserve">Evolución de la tasa bruta de escolarización, por </w:t>
      </w:r>
      <w:r w:rsidR="006F0205" w:rsidRPr="003C3B9E">
        <w:rPr>
          <w:i/>
        </w:rPr>
        <w:t>wilaya</w:t>
      </w:r>
      <w:r w:rsidR="006F0205" w:rsidRPr="007930B0">
        <w:t xml:space="preserve"> y por sexo,</w:t>
      </w:r>
      <w:r w:rsidR="006F0205" w:rsidRPr="007930B0">
        <w:br/>
      </w:r>
      <w:r>
        <w:tab/>
      </w:r>
      <w:r>
        <w:tab/>
      </w:r>
      <w:r>
        <w:tab/>
      </w:r>
      <w:r>
        <w:tab/>
      </w:r>
      <w:r w:rsidRPr="007930B0">
        <w:t>entre 2004/05 y 2006/07</w:t>
      </w:r>
      <w:r w:rsidRPr="007930B0">
        <w:tab/>
      </w:r>
      <w:r w:rsidRPr="007930B0">
        <w:tab/>
      </w:r>
      <w:r>
        <w:t>77</w:t>
      </w:r>
    </w:p>
    <w:p w:rsidR="006F0205" w:rsidRPr="007930B0" w:rsidRDefault="00637894" w:rsidP="003C3B9E">
      <w:pPr>
        <w:tabs>
          <w:tab w:val="right" w:pos="850"/>
          <w:tab w:val="left" w:pos="1134"/>
          <w:tab w:val="left" w:pos="1559"/>
          <w:tab w:val="left" w:pos="2100"/>
          <w:tab w:val="left" w:leader="dot" w:pos="8929"/>
          <w:tab w:val="right" w:pos="9638"/>
        </w:tabs>
        <w:spacing w:after="120"/>
      </w:pPr>
      <w:r>
        <w:tab/>
      </w:r>
      <w:r>
        <w:tab/>
      </w:r>
      <w:r w:rsidR="006F0205" w:rsidRPr="007930B0">
        <w:t>Cuadro 2</w:t>
      </w:r>
      <w:r w:rsidR="006F0205" w:rsidRPr="007930B0">
        <w:tab/>
        <w:t xml:space="preserve">Evolución de la tasa de participación de las niñas, por </w:t>
      </w:r>
      <w:r w:rsidR="006F0205" w:rsidRPr="003C3B9E">
        <w:rPr>
          <w:i/>
        </w:rPr>
        <w:t>wilaya</w:t>
      </w:r>
      <w:r w:rsidR="006F0205" w:rsidRPr="007930B0">
        <w:t>,</w:t>
      </w:r>
      <w:r w:rsidR="006F0205" w:rsidRPr="007930B0">
        <w:br/>
      </w:r>
      <w:r>
        <w:tab/>
      </w:r>
      <w:r>
        <w:tab/>
      </w:r>
      <w:r>
        <w:tab/>
      </w:r>
      <w:r>
        <w:tab/>
      </w:r>
      <w:r w:rsidRPr="007930B0">
        <w:t>entre 2004/05 y 2006/07</w:t>
      </w:r>
      <w:r w:rsidRPr="007930B0">
        <w:tab/>
      </w:r>
      <w:r w:rsidRPr="007930B0">
        <w:tab/>
      </w:r>
      <w:r>
        <w:t>78</w:t>
      </w:r>
    </w:p>
    <w:p w:rsidR="006F0205" w:rsidRPr="007930B0" w:rsidRDefault="00637894" w:rsidP="003C3B9E">
      <w:pPr>
        <w:tabs>
          <w:tab w:val="right" w:pos="850"/>
          <w:tab w:val="left" w:pos="1134"/>
          <w:tab w:val="left" w:pos="1559"/>
          <w:tab w:val="left" w:pos="2100"/>
          <w:tab w:val="left" w:leader="dot" w:pos="8929"/>
          <w:tab w:val="right" w:pos="9638"/>
        </w:tabs>
        <w:spacing w:after="120"/>
      </w:pPr>
      <w:r>
        <w:tab/>
      </w:r>
      <w:r>
        <w:tab/>
      </w:r>
      <w:r w:rsidR="006F0205" w:rsidRPr="007930B0">
        <w:t>Cuadro 3</w:t>
      </w:r>
      <w:r w:rsidR="006F0205" w:rsidRPr="007930B0">
        <w:tab/>
        <w:t xml:space="preserve">Evolución de la tasa bruta de admisión, por </w:t>
      </w:r>
      <w:r w:rsidR="006F0205" w:rsidRPr="003C3B9E">
        <w:rPr>
          <w:i/>
        </w:rPr>
        <w:t>wilaya</w:t>
      </w:r>
      <w:r w:rsidR="006F0205" w:rsidRPr="007930B0">
        <w:t xml:space="preserve"> y por sexo, </w:t>
      </w:r>
      <w:r w:rsidR="006F0205" w:rsidRPr="007930B0">
        <w:br/>
      </w:r>
      <w:r>
        <w:tab/>
      </w:r>
      <w:r>
        <w:tab/>
      </w:r>
      <w:r>
        <w:tab/>
      </w:r>
      <w:r>
        <w:tab/>
        <w:t xml:space="preserve">entre </w:t>
      </w:r>
      <w:r w:rsidRPr="007930B0">
        <w:t>2004/05 y 2006/07</w:t>
      </w:r>
      <w:r w:rsidRPr="007930B0">
        <w:tab/>
      </w:r>
      <w:r w:rsidRPr="007930B0">
        <w:tab/>
      </w:r>
      <w:r>
        <w:t>79</w:t>
      </w:r>
    </w:p>
    <w:p w:rsidR="006F0205" w:rsidRPr="007930B0" w:rsidRDefault="00637894" w:rsidP="003C3B9E">
      <w:pPr>
        <w:tabs>
          <w:tab w:val="right" w:pos="850"/>
          <w:tab w:val="left" w:pos="1134"/>
          <w:tab w:val="left" w:pos="1559"/>
          <w:tab w:val="left" w:pos="2100"/>
          <w:tab w:val="left" w:leader="dot" w:pos="8929"/>
          <w:tab w:val="right" w:pos="9638"/>
        </w:tabs>
        <w:spacing w:after="120"/>
      </w:pPr>
      <w:r>
        <w:tab/>
      </w:r>
      <w:r>
        <w:tab/>
      </w:r>
      <w:r w:rsidR="006F0205" w:rsidRPr="007930B0">
        <w:t>Cuadro 4</w:t>
      </w:r>
      <w:r w:rsidR="006F0205" w:rsidRPr="007930B0">
        <w:tab/>
        <w:t xml:space="preserve">Evolución del porcentaje de escuelas completas por </w:t>
      </w:r>
      <w:r w:rsidR="006F0205" w:rsidRPr="003C3B9E">
        <w:rPr>
          <w:i/>
        </w:rPr>
        <w:t>wilaya</w:t>
      </w:r>
      <w:r w:rsidR="006F0205" w:rsidRPr="007930B0">
        <w:t xml:space="preserve">, </w:t>
      </w:r>
      <w:r w:rsidR="006F0205" w:rsidRPr="007930B0">
        <w:br/>
      </w:r>
      <w:r>
        <w:tab/>
      </w:r>
      <w:r>
        <w:tab/>
      </w:r>
      <w:r>
        <w:tab/>
      </w:r>
      <w:r>
        <w:tab/>
      </w:r>
      <w:r w:rsidRPr="007930B0">
        <w:t>entre 2004/05 y 2006/07</w:t>
      </w:r>
      <w:r w:rsidRPr="007930B0">
        <w:tab/>
      </w:r>
      <w:r w:rsidRPr="007930B0">
        <w:tab/>
      </w:r>
      <w:r>
        <w:t>80</w:t>
      </w:r>
    </w:p>
    <w:p w:rsidR="006F0205" w:rsidRPr="00637894" w:rsidRDefault="00637894" w:rsidP="003C3B9E">
      <w:pPr>
        <w:tabs>
          <w:tab w:val="right" w:pos="850"/>
          <w:tab w:val="left" w:pos="1134"/>
          <w:tab w:val="left" w:pos="1559"/>
          <w:tab w:val="left" w:pos="2100"/>
          <w:tab w:val="left" w:leader="dot" w:pos="8929"/>
          <w:tab w:val="right" w:pos="9638"/>
        </w:tabs>
        <w:spacing w:after="120"/>
      </w:pPr>
      <w:r>
        <w:tab/>
      </w:r>
      <w:r>
        <w:tab/>
      </w:r>
      <w:r w:rsidR="006F0205" w:rsidRPr="007930B0">
        <w:t>Cuadro 5</w:t>
      </w:r>
      <w:r w:rsidR="006F0205" w:rsidRPr="007930B0">
        <w:tab/>
      </w:r>
      <w:r w:rsidR="006F0205" w:rsidRPr="00637894">
        <w:t xml:space="preserve">Tasa de retención escolar por </w:t>
      </w:r>
      <w:r w:rsidR="006F0205" w:rsidRPr="003C3B9E">
        <w:rPr>
          <w:i/>
        </w:rPr>
        <w:t>wilaya</w:t>
      </w:r>
      <w:r w:rsidR="006F0205" w:rsidRPr="00637894">
        <w:t xml:space="preserve"> en 2005/06 y en 2006/07</w:t>
      </w:r>
      <w:r w:rsidR="006F0205" w:rsidRPr="00637894">
        <w:tab/>
      </w:r>
      <w:r w:rsidR="006F0205" w:rsidRPr="00637894">
        <w:tab/>
      </w:r>
      <w:r w:rsidR="00656AC0" w:rsidRPr="00637894">
        <w:t>81</w:t>
      </w:r>
    </w:p>
    <w:p w:rsidR="006F0205" w:rsidRPr="007930B0" w:rsidRDefault="00637894" w:rsidP="003C3B9E">
      <w:pPr>
        <w:tabs>
          <w:tab w:val="right" w:pos="850"/>
          <w:tab w:val="left" w:pos="1134"/>
          <w:tab w:val="left" w:pos="1559"/>
          <w:tab w:val="left" w:pos="2100"/>
          <w:tab w:val="left" w:leader="dot" w:pos="8929"/>
          <w:tab w:val="right" w:pos="9638"/>
        </w:tabs>
        <w:spacing w:after="120"/>
      </w:pPr>
      <w:r>
        <w:tab/>
      </w:r>
      <w:r>
        <w:tab/>
      </w:r>
      <w:r w:rsidR="006F0205" w:rsidRPr="007930B0">
        <w:t>Cuadro</w:t>
      </w:r>
      <w:r w:rsidR="006F0205" w:rsidRPr="00637894">
        <w:t xml:space="preserve"> 6</w:t>
      </w:r>
      <w:r w:rsidR="006F0205" w:rsidRPr="00637894">
        <w:tab/>
      </w:r>
      <w:r w:rsidR="006F0205" w:rsidRPr="007930B0">
        <w:t>Evolución del número de alumnos nuevos que ingresan en el primer</w:t>
      </w:r>
      <w:r>
        <w:t xml:space="preserve"> año</w:t>
      </w:r>
      <w:r w:rsidR="006F0205" w:rsidRPr="007930B0">
        <w:br/>
      </w:r>
      <w:r>
        <w:tab/>
      </w:r>
      <w:r>
        <w:tab/>
      </w:r>
      <w:r>
        <w:tab/>
      </w:r>
      <w:r>
        <w:tab/>
      </w:r>
      <w:r w:rsidRPr="007930B0">
        <w:t xml:space="preserve">de enseñanza secundaria por </w:t>
      </w:r>
      <w:r w:rsidRPr="003C3B9E">
        <w:rPr>
          <w:i/>
        </w:rPr>
        <w:t>wilaya</w:t>
      </w:r>
      <w:r w:rsidRPr="007930B0">
        <w:t xml:space="preserve"> entre 2005/06 y 2006/07</w:t>
      </w:r>
      <w:r w:rsidRPr="007930B0">
        <w:tab/>
      </w:r>
      <w:r w:rsidRPr="007930B0">
        <w:tab/>
      </w:r>
      <w:r>
        <w:t>82</w:t>
      </w:r>
    </w:p>
    <w:p w:rsidR="006F0205" w:rsidRPr="00637894" w:rsidRDefault="00637894" w:rsidP="003C3B9E">
      <w:pPr>
        <w:tabs>
          <w:tab w:val="right" w:pos="850"/>
          <w:tab w:val="left" w:pos="1134"/>
          <w:tab w:val="left" w:pos="1559"/>
          <w:tab w:val="left" w:pos="2100"/>
          <w:tab w:val="left" w:leader="dot" w:pos="8929"/>
          <w:tab w:val="right" w:pos="9638"/>
        </w:tabs>
        <w:spacing w:after="120"/>
      </w:pPr>
      <w:r>
        <w:tab/>
      </w:r>
      <w:r>
        <w:tab/>
      </w:r>
      <w:r w:rsidR="006F0205" w:rsidRPr="007930B0">
        <w:t>Cuadro 7</w:t>
      </w:r>
      <w:r w:rsidR="006F0205" w:rsidRPr="007930B0">
        <w:tab/>
        <w:t>Evolución de la tasa de transición efectiva a primer año de enseña</w:t>
      </w:r>
      <w:r>
        <w:t>nza secundaria</w:t>
      </w:r>
      <w:r>
        <w:br/>
      </w:r>
      <w:r>
        <w:tab/>
      </w:r>
      <w:r>
        <w:tab/>
      </w:r>
      <w:r>
        <w:tab/>
      </w:r>
      <w:r>
        <w:tab/>
      </w:r>
      <w:r w:rsidRPr="007930B0">
        <w:t>por</w:t>
      </w:r>
      <w:r w:rsidRPr="00637894">
        <w:t xml:space="preserve"> </w:t>
      </w:r>
      <w:r w:rsidRPr="003C3B9E">
        <w:rPr>
          <w:i/>
        </w:rPr>
        <w:t>wilaya</w:t>
      </w:r>
      <w:r w:rsidRPr="00637894">
        <w:t xml:space="preserve"> entre 2005/06 y 2006/07</w:t>
      </w:r>
      <w:r w:rsidRPr="00637894">
        <w:tab/>
      </w:r>
      <w:r w:rsidRPr="00637894">
        <w:tab/>
        <w:t>83</w:t>
      </w:r>
    </w:p>
    <w:p w:rsidR="006F0205" w:rsidRPr="007930B0" w:rsidRDefault="00637894" w:rsidP="003C3B9E">
      <w:pPr>
        <w:tabs>
          <w:tab w:val="right" w:pos="850"/>
          <w:tab w:val="left" w:pos="1134"/>
          <w:tab w:val="left" w:pos="1559"/>
          <w:tab w:val="left" w:pos="2100"/>
          <w:tab w:val="left" w:leader="dot" w:pos="8929"/>
          <w:tab w:val="right" w:pos="9638"/>
        </w:tabs>
        <w:spacing w:after="120"/>
      </w:pPr>
      <w:r>
        <w:tab/>
      </w:r>
      <w:r>
        <w:tab/>
      </w:r>
      <w:r w:rsidR="006F0205" w:rsidRPr="007930B0">
        <w:t>Cuadro</w:t>
      </w:r>
      <w:r w:rsidR="006F0205" w:rsidRPr="00637894">
        <w:t xml:space="preserve"> 8</w:t>
      </w:r>
      <w:r w:rsidR="006F0205" w:rsidRPr="00637894">
        <w:tab/>
      </w:r>
      <w:r w:rsidR="006F0205" w:rsidRPr="007930B0">
        <w:t>Evolución del porcentaje de niñas en el primer ciclo de enseñanza</w:t>
      </w:r>
      <w:r>
        <w:t xml:space="preserve"> secundaria</w:t>
      </w:r>
      <w:r w:rsidR="006F0205" w:rsidRPr="007930B0">
        <w:br/>
      </w:r>
      <w:r>
        <w:tab/>
      </w:r>
      <w:r>
        <w:tab/>
      </w:r>
      <w:r>
        <w:tab/>
      </w:r>
      <w:r>
        <w:tab/>
      </w:r>
      <w:r w:rsidRPr="007930B0">
        <w:t xml:space="preserve">por </w:t>
      </w:r>
      <w:r w:rsidRPr="003C3B9E">
        <w:rPr>
          <w:i/>
        </w:rPr>
        <w:t>wilaya</w:t>
      </w:r>
      <w:r w:rsidRPr="007930B0">
        <w:t xml:space="preserve"> entre 2005/06 y 2006/07</w:t>
      </w:r>
      <w:r w:rsidRPr="007930B0">
        <w:tab/>
      </w:r>
      <w:r w:rsidRPr="007930B0">
        <w:tab/>
      </w:r>
      <w:r>
        <w:t>84</w:t>
      </w:r>
    </w:p>
    <w:p w:rsidR="006F0205" w:rsidRPr="007930B0" w:rsidRDefault="00637894" w:rsidP="003C3B9E">
      <w:pPr>
        <w:tabs>
          <w:tab w:val="right" w:pos="850"/>
          <w:tab w:val="left" w:pos="1134"/>
          <w:tab w:val="left" w:pos="1559"/>
          <w:tab w:val="left" w:pos="2100"/>
          <w:tab w:val="left" w:leader="dot" w:pos="8929"/>
          <w:tab w:val="right" w:pos="9638"/>
        </w:tabs>
        <w:spacing w:after="120"/>
      </w:pPr>
      <w:r>
        <w:tab/>
      </w:r>
      <w:r>
        <w:tab/>
      </w:r>
      <w:r w:rsidR="006F0205" w:rsidRPr="007930B0">
        <w:t>Cuadro 9</w:t>
      </w:r>
      <w:r w:rsidR="006F0205" w:rsidRPr="007930B0">
        <w:tab/>
        <w:t xml:space="preserve">Tasa de repetición por </w:t>
      </w:r>
      <w:r w:rsidR="006F0205" w:rsidRPr="003C3B9E">
        <w:rPr>
          <w:i/>
        </w:rPr>
        <w:t>wilaya</w:t>
      </w:r>
      <w:r w:rsidR="006F0205" w:rsidRPr="007930B0">
        <w:t xml:space="preserve"> y por sexo entre 2001/2002 y</w:t>
      </w:r>
      <w:r>
        <w:t xml:space="preserve"> 2003/2004</w:t>
      </w:r>
      <w:r w:rsidR="006F0205" w:rsidRPr="007930B0">
        <w:tab/>
      </w:r>
      <w:r w:rsidR="006F0205" w:rsidRPr="007930B0">
        <w:tab/>
      </w:r>
      <w:r w:rsidR="00656AC0">
        <w:t>89</w:t>
      </w:r>
    </w:p>
    <w:p w:rsidR="006F0205" w:rsidRPr="007930B0" w:rsidRDefault="00637894" w:rsidP="003C3B9E">
      <w:pPr>
        <w:tabs>
          <w:tab w:val="right" w:pos="850"/>
          <w:tab w:val="left" w:pos="1134"/>
          <w:tab w:val="left" w:pos="1559"/>
          <w:tab w:val="left" w:pos="2100"/>
          <w:tab w:val="left" w:leader="dot" w:pos="8929"/>
          <w:tab w:val="right" w:pos="9638"/>
        </w:tabs>
        <w:spacing w:after="120"/>
      </w:pPr>
      <w:r>
        <w:tab/>
      </w:r>
      <w:r>
        <w:tab/>
      </w:r>
      <w:r w:rsidR="006F0205" w:rsidRPr="007930B0">
        <w:t>Cuadro 10</w:t>
      </w:r>
      <w:r w:rsidR="006F0205" w:rsidRPr="007930B0">
        <w:tab/>
        <w:t xml:space="preserve">Evolución de la proporción alumnos/maestros por </w:t>
      </w:r>
      <w:r w:rsidR="006F0205" w:rsidRPr="003C3B9E">
        <w:rPr>
          <w:i/>
        </w:rPr>
        <w:t>wilaya</w:t>
      </w:r>
      <w:r w:rsidR="006F0205" w:rsidRPr="007930B0">
        <w:br/>
      </w:r>
      <w:r>
        <w:tab/>
      </w:r>
      <w:r>
        <w:tab/>
      </w:r>
      <w:r>
        <w:tab/>
      </w:r>
      <w:r>
        <w:tab/>
      </w:r>
      <w:r w:rsidRPr="007930B0">
        <w:t>entre 2004/05 y 2006/07</w:t>
      </w:r>
      <w:r w:rsidRPr="007930B0">
        <w:tab/>
      </w:r>
      <w:r w:rsidRPr="007930B0">
        <w:tab/>
      </w:r>
      <w:r>
        <w:t>91</w:t>
      </w:r>
    </w:p>
    <w:p w:rsidR="006F0205" w:rsidRPr="007930B0" w:rsidRDefault="00637894" w:rsidP="003C3B9E">
      <w:pPr>
        <w:tabs>
          <w:tab w:val="right" w:pos="850"/>
          <w:tab w:val="left" w:pos="1134"/>
          <w:tab w:val="left" w:pos="1559"/>
          <w:tab w:val="left" w:pos="2100"/>
          <w:tab w:val="left" w:leader="dot" w:pos="8929"/>
          <w:tab w:val="right" w:pos="9638"/>
        </w:tabs>
        <w:spacing w:after="120"/>
      </w:pPr>
      <w:r>
        <w:tab/>
      </w:r>
      <w:r>
        <w:tab/>
      </w:r>
      <w:r w:rsidR="006F0205" w:rsidRPr="007930B0">
        <w:t>Cuadro 11</w:t>
      </w:r>
      <w:r w:rsidR="006F0205" w:rsidRPr="007930B0">
        <w:tab/>
        <w:t xml:space="preserve">Evolución de la proporción total alumnos/profesores por </w:t>
      </w:r>
      <w:r w:rsidR="006F0205" w:rsidRPr="003C3B9E">
        <w:rPr>
          <w:i/>
        </w:rPr>
        <w:t>wilaya</w:t>
      </w:r>
      <w:r w:rsidR="006F0205" w:rsidRPr="007930B0">
        <w:br/>
      </w:r>
      <w:r>
        <w:tab/>
      </w:r>
      <w:r>
        <w:tab/>
      </w:r>
      <w:r>
        <w:tab/>
      </w:r>
      <w:r>
        <w:tab/>
      </w:r>
      <w:r w:rsidRPr="007930B0">
        <w:t>entre 2003/04 y 2006/07</w:t>
      </w:r>
      <w:r w:rsidRPr="007930B0">
        <w:tab/>
      </w:r>
      <w:r w:rsidRPr="007930B0">
        <w:tab/>
      </w:r>
      <w:r w:rsidR="007D6F39">
        <w:t>92</w:t>
      </w:r>
    </w:p>
    <w:p w:rsidR="006F0205" w:rsidRPr="007930B0" w:rsidRDefault="00637894" w:rsidP="003C3B9E">
      <w:pPr>
        <w:tabs>
          <w:tab w:val="right" w:pos="850"/>
          <w:tab w:val="left" w:pos="1134"/>
          <w:tab w:val="left" w:pos="1559"/>
          <w:tab w:val="left" w:pos="2100"/>
          <w:tab w:val="left" w:leader="dot" w:pos="8929"/>
          <w:tab w:val="right" w:pos="9638"/>
        </w:tabs>
        <w:spacing w:after="120"/>
      </w:pPr>
      <w:r>
        <w:tab/>
      </w:r>
      <w:r>
        <w:tab/>
      </w:r>
      <w:r w:rsidR="006F0205" w:rsidRPr="007930B0">
        <w:t>Cuadro 12</w:t>
      </w:r>
      <w:r w:rsidR="006F0205" w:rsidRPr="007930B0">
        <w:tab/>
        <w:t>Evolución de la tasa de repetición en el primer ciclo de enseñanza</w:t>
      </w:r>
      <w:r>
        <w:t xml:space="preserve"> secundaria</w:t>
      </w:r>
      <w:r w:rsidR="006F0205" w:rsidRPr="007930B0">
        <w:br/>
      </w:r>
      <w:r>
        <w:tab/>
      </w:r>
      <w:r>
        <w:tab/>
      </w:r>
      <w:r>
        <w:tab/>
      </w:r>
      <w:r>
        <w:tab/>
      </w:r>
      <w:r w:rsidRPr="007930B0">
        <w:t xml:space="preserve">por </w:t>
      </w:r>
      <w:r w:rsidRPr="003C3B9E">
        <w:rPr>
          <w:i/>
        </w:rPr>
        <w:t>wilaya</w:t>
      </w:r>
      <w:r w:rsidRPr="007930B0">
        <w:t xml:space="preserve"> entre 2005 y 2007</w:t>
      </w:r>
      <w:r w:rsidRPr="007930B0">
        <w:tab/>
      </w:r>
      <w:r w:rsidRPr="007930B0">
        <w:tab/>
      </w:r>
      <w:r>
        <w:t>92</w:t>
      </w:r>
    </w:p>
    <w:p w:rsidR="00770F28" w:rsidRPr="007930B0" w:rsidRDefault="003F1FDA" w:rsidP="00770F28">
      <w:pPr>
        <w:spacing w:after="120"/>
        <w:rPr>
          <w:sz w:val="28"/>
        </w:rPr>
      </w:pPr>
      <w:r w:rsidRPr="007930B0">
        <w:br w:type="page"/>
      </w:r>
      <w:r w:rsidR="00770F28" w:rsidRPr="007930B0">
        <w:rPr>
          <w:sz w:val="28"/>
        </w:rPr>
        <w:t>Índice</w:t>
      </w:r>
    </w:p>
    <w:p w:rsidR="00770F28" w:rsidRPr="007930B0" w:rsidRDefault="00770F28" w:rsidP="00770F28">
      <w:pPr>
        <w:tabs>
          <w:tab w:val="right" w:pos="8929"/>
          <w:tab w:val="right" w:pos="9638"/>
        </w:tabs>
        <w:spacing w:after="120"/>
        <w:ind w:left="283"/>
      </w:pPr>
      <w:r w:rsidRPr="007930B0">
        <w:rPr>
          <w:i/>
          <w:sz w:val="18"/>
        </w:rPr>
        <w:tab/>
        <w:t>Párrafos</w:t>
      </w:r>
      <w:r w:rsidRPr="007930B0">
        <w:rPr>
          <w:i/>
          <w:sz w:val="18"/>
        </w:rPr>
        <w:tab/>
        <w:t>Página</w:t>
      </w:r>
    </w:p>
    <w:p w:rsidR="00770F28" w:rsidRPr="007930B0" w:rsidRDefault="00770F28" w:rsidP="00770F28">
      <w:pPr>
        <w:tabs>
          <w:tab w:val="right" w:pos="850"/>
          <w:tab w:val="left" w:pos="1134"/>
          <w:tab w:val="left" w:pos="1559"/>
          <w:tab w:val="left" w:pos="1984"/>
          <w:tab w:val="left" w:leader="dot" w:pos="8929"/>
          <w:tab w:val="right" w:pos="9638"/>
        </w:tabs>
        <w:spacing w:after="120"/>
      </w:pPr>
      <w:r w:rsidRPr="007930B0">
        <w:tab/>
      </w:r>
      <w:r w:rsidRPr="007930B0">
        <w:tab/>
        <w:t>Lista de siglas</w:t>
      </w:r>
      <w:r w:rsidRPr="007930B0">
        <w:tab/>
      </w:r>
      <w:r w:rsidRPr="007930B0">
        <w:tab/>
        <w:t>2</w:t>
      </w:r>
    </w:p>
    <w:p w:rsidR="00770F28" w:rsidRPr="007930B0" w:rsidRDefault="00770F28" w:rsidP="00770F28">
      <w:pPr>
        <w:tabs>
          <w:tab w:val="right" w:pos="850"/>
          <w:tab w:val="left" w:pos="1134"/>
          <w:tab w:val="left" w:pos="1559"/>
          <w:tab w:val="left" w:pos="1984"/>
          <w:tab w:val="left" w:leader="dot" w:pos="8929"/>
          <w:tab w:val="right" w:pos="9638"/>
        </w:tabs>
        <w:spacing w:after="120"/>
      </w:pPr>
      <w:r w:rsidRPr="007930B0">
        <w:tab/>
      </w:r>
      <w:r w:rsidRPr="007930B0">
        <w:tab/>
        <w:t>Lista de cuadros</w:t>
      </w:r>
      <w:r w:rsidRPr="007930B0">
        <w:tab/>
      </w:r>
      <w:r w:rsidRPr="007930B0">
        <w:tab/>
        <w:t>3</w:t>
      </w:r>
    </w:p>
    <w:p w:rsidR="00770F28" w:rsidRPr="007930B0" w:rsidRDefault="00770F28" w:rsidP="00770F28">
      <w:pPr>
        <w:tabs>
          <w:tab w:val="right" w:pos="850"/>
          <w:tab w:val="left" w:pos="1134"/>
          <w:tab w:val="left" w:pos="1559"/>
          <w:tab w:val="left" w:pos="1984"/>
          <w:tab w:val="left" w:leader="dot" w:pos="7654"/>
          <w:tab w:val="right" w:pos="8929"/>
          <w:tab w:val="right" w:pos="9638"/>
        </w:tabs>
        <w:spacing w:after="120"/>
      </w:pPr>
      <w:r w:rsidRPr="007930B0">
        <w:tab/>
        <w:t>I.</w:t>
      </w:r>
      <w:r w:rsidRPr="007930B0">
        <w:tab/>
        <w:t>Introducción</w:t>
      </w:r>
      <w:r w:rsidRPr="007930B0">
        <w:tab/>
      </w:r>
      <w:r w:rsidRPr="007930B0">
        <w:tab/>
        <w:t>1–6</w:t>
      </w:r>
      <w:r w:rsidRPr="007930B0">
        <w:tab/>
      </w:r>
      <w:r w:rsidR="00472D5E">
        <w:t>6</w:t>
      </w:r>
    </w:p>
    <w:p w:rsidR="00770F28" w:rsidRPr="007930B0" w:rsidRDefault="00770F28" w:rsidP="00770F28">
      <w:pPr>
        <w:tabs>
          <w:tab w:val="right" w:pos="850"/>
          <w:tab w:val="left" w:pos="1134"/>
          <w:tab w:val="left" w:pos="1559"/>
          <w:tab w:val="left" w:pos="1984"/>
          <w:tab w:val="left" w:leader="dot" w:pos="7654"/>
          <w:tab w:val="right" w:pos="8929"/>
          <w:tab w:val="right" w:pos="9638"/>
        </w:tabs>
        <w:spacing w:after="120"/>
      </w:pPr>
      <w:r w:rsidRPr="007930B0">
        <w:tab/>
        <w:t>II.</w:t>
      </w:r>
      <w:r w:rsidRPr="007930B0">
        <w:tab/>
        <w:t>Presentación general de la República Islámica de Mauritania</w:t>
      </w:r>
      <w:r w:rsidRPr="007930B0">
        <w:tab/>
      </w:r>
      <w:r w:rsidRPr="007930B0">
        <w:tab/>
        <w:t>7–129</w:t>
      </w:r>
      <w:r w:rsidRPr="007930B0">
        <w:tab/>
      </w:r>
      <w:r w:rsidR="00472D5E">
        <w:t>7</w:t>
      </w:r>
    </w:p>
    <w:p w:rsidR="00770F28" w:rsidRPr="007930B0" w:rsidRDefault="00770F28" w:rsidP="00770F28">
      <w:pPr>
        <w:tabs>
          <w:tab w:val="right" w:pos="850"/>
          <w:tab w:val="left" w:pos="1134"/>
          <w:tab w:val="left" w:pos="1559"/>
          <w:tab w:val="left" w:pos="1984"/>
          <w:tab w:val="left" w:leader="dot" w:pos="7654"/>
          <w:tab w:val="right" w:pos="8929"/>
          <w:tab w:val="right" w:pos="9638"/>
        </w:tabs>
        <w:spacing w:after="120"/>
      </w:pPr>
      <w:r w:rsidRPr="007930B0">
        <w:tab/>
      </w:r>
      <w:r w:rsidRPr="007930B0">
        <w:tab/>
        <w:t>A.</w:t>
      </w:r>
      <w:r w:rsidRPr="007930B0">
        <w:tab/>
        <w:t>Información general sobre la República Islámica de Mauritania</w:t>
      </w:r>
      <w:r w:rsidRPr="007930B0">
        <w:tab/>
      </w:r>
      <w:r w:rsidRPr="007930B0">
        <w:tab/>
        <w:t>7–29</w:t>
      </w:r>
      <w:r w:rsidRPr="007930B0">
        <w:tab/>
      </w:r>
      <w:r w:rsidR="00472D5E">
        <w:t>7</w:t>
      </w:r>
    </w:p>
    <w:p w:rsidR="00770F28" w:rsidRPr="007930B0" w:rsidRDefault="00770F28" w:rsidP="00770F28">
      <w:pPr>
        <w:tabs>
          <w:tab w:val="right" w:pos="850"/>
          <w:tab w:val="left" w:pos="1134"/>
          <w:tab w:val="left" w:pos="1559"/>
          <w:tab w:val="left" w:pos="1984"/>
          <w:tab w:val="left" w:leader="dot" w:pos="7654"/>
          <w:tab w:val="right" w:pos="8929"/>
          <w:tab w:val="right" w:pos="9638"/>
        </w:tabs>
        <w:spacing w:after="120"/>
      </w:pPr>
      <w:r w:rsidRPr="007930B0">
        <w:tab/>
      </w:r>
      <w:r w:rsidRPr="007930B0">
        <w:tab/>
      </w:r>
      <w:r w:rsidRPr="007930B0">
        <w:tab/>
        <w:t>1.</w:t>
      </w:r>
      <w:r w:rsidRPr="007930B0">
        <w:tab/>
        <w:t>Territorio</w:t>
      </w:r>
      <w:r w:rsidRPr="007930B0">
        <w:tab/>
      </w:r>
      <w:r w:rsidRPr="007930B0">
        <w:tab/>
        <w:t>7–10</w:t>
      </w:r>
      <w:r w:rsidRPr="007930B0">
        <w:tab/>
      </w:r>
      <w:r w:rsidR="00472D5E">
        <w:t>7</w:t>
      </w:r>
    </w:p>
    <w:p w:rsidR="00770F28" w:rsidRPr="007930B0" w:rsidRDefault="00770F28" w:rsidP="00770F28">
      <w:pPr>
        <w:tabs>
          <w:tab w:val="right" w:pos="850"/>
          <w:tab w:val="left" w:pos="1134"/>
          <w:tab w:val="left" w:pos="1559"/>
          <w:tab w:val="left" w:pos="1984"/>
          <w:tab w:val="left" w:leader="dot" w:pos="7654"/>
          <w:tab w:val="right" w:pos="8929"/>
          <w:tab w:val="right" w:pos="9638"/>
        </w:tabs>
        <w:spacing w:after="120"/>
      </w:pPr>
      <w:r w:rsidRPr="007930B0">
        <w:tab/>
      </w:r>
      <w:r w:rsidRPr="007930B0">
        <w:tab/>
      </w:r>
      <w:r w:rsidRPr="007930B0">
        <w:tab/>
        <w:t>2.</w:t>
      </w:r>
      <w:r w:rsidRPr="007930B0">
        <w:tab/>
        <w:t>Población</w:t>
      </w:r>
      <w:r w:rsidRPr="007930B0">
        <w:tab/>
      </w:r>
      <w:r w:rsidRPr="007930B0">
        <w:tab/>
        <w:t>11–15</w:t>
      </w:r>
      <w:r w:rsidRPr="007930B0">
        <w:tab/>
      </w:r>
      <w:r w:rsidR="00472D5E">
        <w:t>7</w:t>
      </w:r>
    </w:p>
    <w:p w:rsidR="00770F28" w:rsidRPr="007930B0" w:rsidRDefault="00770F28" w:rsidP="00770F28">
      <w:pPr>
        <w:tabs>
          <w:tab w:val="right" w:pos="850"/>
          <w:tab w:val="left" w:pos="1134"/>
          <w:tab w:val="left" w:pos="1559"/>
          <w:tab w:val="left" w:pos="1984"/>
          <w:tab w:val="left" w:leader="dot" w:pos="7654"/>
          <w:tab w:val="right" w:pos="8929"/>
          <w:tab w:val="right" w:pos="9638"/>
        </w:tabs>
        <w:spacing w:after="120"/>
      </w:pPr>
      <w:r w:rsidRPr="007930B0">
        <w:tab/>
      </w:r>
      <w:r w:rsidRPr="007930B0">
        <w:tab/>
      </w:r>
      <w:r w:rsidRPr="007930B0">
        <w:tab/>
        <w:t>3.</w:t>
      </w:r>
      <w:r w:rsidRPr="007930B0">
        <w:tab/>
        <w:t>Datos económicos</w:t>
      </w:r>
      <w:r w:rsidRPr="007930B0">
        <w:tab/>
      </w:r>
      <w:r w:rsidRPr="007930B0">
        <w:tab/>
        <w:t>16</w:t>
      </w:r>
      <w:r w:rsidRPr="007930B0">
        <w:tab/>
      </w:r>
      <w:r w:rsidR="00472D5E">
        <w:t>8</w:t>
      </w:r>
    </w:p>
    <w:p w:rsidR="00770F28" w:rsidRPr="007930B0" w:rsidRDefault="00770F28" w:rsidP="00770F28">
      <w:pPr>
        <w:tabs>
          <w:tab w:val="right" w:pos="850"/>
          <w:tab w:val="left" w:pos="1134"/>
          <w:tab w:val="left" w:pos="1559"/>
          <w:tab w:val="left" w:pos="1984"/>
          <w:tab w:val="left" w:leader="dot" w:pos="7654"/>
          <w:tab w:val="right" w:pos="8929"/>
          <w:tab w:val="right" w:pos="9638"/>
        </w:tabs>
        <w:spacing w:after="120"/>
      </w:pPr>
      <w:r w:rsidRPr="007930B0">
        <w:tab/>
      </w:r>
      <w:r w:rsidRPr="007930B0">
        <w:tab/>
      </w:r>
      <w:r w:rsidRPr="007930B0">
        <w:tab/>
        <w:t>4.</w:t>
      </w:r>
      <w:r w:rsidRPr="007930B0">
        <w:tab/>
        <w:t>Evolución política e institucional</w:t>
      </w:r>
      <w:r w:rsidRPr="007930B0">
        <w:tab/>
      </w:r>
      <w:r w:rsidRPr="007930B0">
        <w:tab/>
        <w:t>17–29</w:t>
      </w:r>
      <w:r w:rsidRPr="007930B0">
        <w:tab/>
      </w:r>
      <w:r w:rsidR="00472D5E">
        <w:t>9</w:t>
      </w:r>
    </w:p>
    <w:p w:rsidR="00770F28" w:rsidRPr="007930B0" w:rsidRDefault="00770F28" w:rsidP="00770F28">
      <w:pPr>
        <w:tabs>
          <w:tab w:val="right" w:pos="850"/>
          <w:tab w:val="left" w:pos="1134"/>
          <w:tab w:val="left" w:pos="1559"/>
          <w:tab w:val="left" w:pos="1984"/>
          <w:tab w:val="left" w:leader="dot" w:pos="7654"/>
          <w:tab w:val="right" w:pos="8929"/>
          <w:tab w:val="right" w:pos="9638"/>
        </w:tabs>
        <w:spacing w:after="120"/>
      </w:pPr>
      <w:r w:rsidRPr="007930B0">
        <w:tab/>
      </w:r>
      <w:r w:rsidRPr="007930B0">
        <w:tab/>
        <w:t>B.</w:t>
      </w:r>
      <w:r w:rsidRPr="007930B0">
        <w:tab/>
        <w:t>Marco jurídico general de protección y promoción de los derechos</w:t>
      </w:r>
      <w:r w:rsidRPr="007930B0">
        <w:br/>
      </w:r>
      <w:r w:rsidRPr="007930B0">
        <w:tab/>
      </w:r>
      <w:r w:rsidRPr="007930B0">
        <w:tab/>
      </w:r>
      <w:r w:rsidRPr="007930B0">
        <w:tab/>
        <w:t>humanos</w:t>
      </w:r>
      <w:r w:rsidRPr="007930B0">
        <w:tab/>
      </w:r>
      <w:r w:rsidRPr="007930B0">
        <w:tab/>
        <w:t>30–43</w:t>
      </w:r>
      <w:r w:rsidRPr="007930B0">
        <w:tab/>
      </w:r>
      <w:r w:rsidR="00472D5E">
        <w:t>10</w:t>
      </w:r>
    </w:p>
    <w:p w:rsidR="00770F28" w:rsidRPr="007930B0" w:rsidRDefault="00770F28" w:rsidP="00770F28">
      <w:pPr>
        <w:tabs>
          <w:tab w:val="right" w:pos="850"/>
          <w:tab w:val="left" w:pos="1134"/>
          <w:tab w:val="left" w:pos="1559"/>
          <w:tab w:val="left" w:pos="1984"/>
          <w:tab w:val="left" w:leader="dot" w:pos="7654"/>
          <w:tab w:val="right" w:pos="8929"/>
          <w:tab w:val="right" w:pos="9638"/>
        </w:tabs>
        <w:spacing w:after="120"/>
        <w:rPr>
          <w:bCs/>
        </w:rPr>
      </w:pPr>
      <w:r w:rsidRPr="007930B0">
        <w:tab/>
      </w:r>
      <w:r w:rsidRPr="007930B0">
        <w:tab/>
      </w:r>
      <w:r w:rsidRPr="007930B0">
        <w:tab/>
        <w:t>1.</w:t>
      </w:r>
      <w:r w:rsidRPr="007930B0">
        <w:tab/>
        <w:t xml:space="preserve">Autoridades administrativas y judiciales competentes </w:t>
      </w:r>
      <w:r w:rsidRPr="007930B0">
        <w:rPr>
          <w:bCs/>
        </w:rPr>
        <w:t>en materia de</w:t>
      </w:r>
      <w:r w:rsidRPr="007930B0">
        <w:rPr>
          <w:bCs/>
        </w:rPr>
        <w:br/>
      </w:r>
      <w:r w:rsidRPr="007930B0">
        <w:rPr>
          <w:bCs/>
        </w:rPr>
        <w:tab/>
      </w:r>
      <w:r w:rsidRPr="007930B0">
        <w:rPr>
          <w:bCs/>
        </w:rPr>
        <w:tab/>
      </w:r>
      <w:r w:rsidRPr="007930B0">
        <w:rPr>
          <w:bCs/>
        </w:rPr>
        <w:tab/>
      </w:r>
      <w:r w:rsidRPr="007930B0">
        <w:rPr>
          <w:bCs/>
        </w:rPr>
        <w:tab/>
        <w:t>derechos humanos</w:t>
      </w:r>
      <w:r w:rsidRPr="007930B0">
        <w:rPr>
          <w:bCs/>
        </w:rPr>
        <w:tab/>
      </w:r>
      <w:r w:rsidRPr="007930B0">
        <w:rPr>
          <w:bCs/>
        </w:rPr>
        <w:tab/>
        <w:t>30–39</w:t>
      </w:r>
      <w:r w:rsidRPr="007930B0">
        <w:rPr>
          <w:bCs/>
        </w:rPr>
        <w:tab/>
      </w:r>
      <w:r w:rsidR="00472D5E">
        <w:rPr>
          <w:bCs/>
        </w:rPr>
        <w:t>10</w:t>
      </w:r>
    </w:p>
    <w:p w:rsidR="00770F28" w:rsidRPr="007930B0" w:rsidRDefault="00770F28" w:rsidP="003C3B9E">
      <w:pPr>
        <w:tabs>
          <w:tab w:val="right" w:pos="850"/>
          <w:tab w:val="left" w:pos="1134"/>
          <w:tab w:val="left" w:pos="1559"/>
          <w:tab w:val="left" w:pos="1984"/>
          <w:tab w:val="left" w:pos="2410"/>
          <w:tab w:val="left" w:leader="dot" w:pos="7654"/>
          <w:tab w:val="right" w:pos="8929"/>
          <w:tab w:val="right" w:pos="9638"/>
        </w:tabs>
        <w:spacing w:after="120"/>
        <w:ind w:left="425" w:hanging="425"/>
      </w:pPr>
      <w:r w:rsidRPr="007930B0">
        <w:rPr>
          <w:bCs/>
        </w:rPr>
        <w:tab/>
      </w:r>
      <w:r w:rsidRPr="007930B0">
        <w:rPr>
          <w:bCs/>
        </w:rPr>
        <w:tab/>
      </w:r>
      <w:r w:rsidRPr="007930B0">
        <w:rPr>
          <w:bCs/>
        </w:rPr>
        <w:tab/>
      </w:r>
      <w:r w:rsidRPr="007930B0">
        <w:rPr>
          <w:bCs/>
        </w:rPr>
        <w:tab/>
      </w:r>
      <w:r w:rsidR="003C3B9E">
        <w:rPr>
          <w:bCs/>
        </w:rPr>
        <w:tab/>
      </w:r>
      <w:r w:rsidRPr="007930B0">
        <w:rPr>
          <w:bCs/>
        </w:rPr>
        <w:t>a)</w:t>
      </w:r>
      <w:r w:rsidRPr="007930B0">
        <w:rPr>
          <w:bCs/>
        </w:rPr>
        <w:tab/>
      </w:r>
      <w:r w:rsidRPr="007930B0">
        <w:t>Oficina del Comisionado de Derechos Humanos, Acción</w:t>
      </w:r>
      <w:r w:rsidRPr="007930B0">
        <w:br/>
      </w:r>
      <w:r w:rsidRPr="007930B0">
        <w:tab/>
      </w:r>
      <w:r w:rsidRPr="007930B0">
        <w:tab/>
      </w:r>
      <w:r w:rsidRPr="007930B0">
        <w:tab/>
      </w:r>
      <w:r w:rsidRPr="007930B0">
        <w:tab/>
      </w:r>
      <w:r w:rsidR="003C3B9E">
        <w:tab/>
      </w:r>
      <w:r w:rsidRPr="007930B0">
        <w:t>Humanitaria y Relaciones con la Sociedad Civil</w:t>
      </w:r>
      <w:r w:rsidRPr="007930B0">
        <w:tab/>
      </w:r>
      <w:r w:rsidRPr="007930B0">
        <w:tab/>
        <w:t>31–34</w:t>
      </w:r>
      <w:r w:rsidRPr="007930B0">
        <w:tab/>
      </w:r>
      <w:r w:rsidR="00472D5E">
        <w:t>10</w:t>
      </w:r>
    </w:p>
    <w:p w:rsidR="00770F28" w:rsidRPr="007930B0" w:rsidRDefault="00770F28" w:rsidP="003C3B9E">
      <w:pPr>
        <w:tabs>
          <w:tab w:val="right" w:pos="850"/>
          <w:tab w:val="left" w:pos="1134"/>
          <w:tab w:val="left" w:pos="1559"/>
          <w:tab w:val="left" w:pos="1984"/>
          <w:tab w:val="left" w:pos="2410"/>
          <w:tab w:val="left" w:leader="dot" w:pos="7654"/>
          <w:tab w:val="right" w:pos="8929"/>
          <w:tab w:val="right" w:pos="9638"/>
        </w:tabs>
        <w:spacing w:after="120"/>
        <w:ind w:left="425" w:hanging="425"/>
      </w:pPr>
      <w:r w:rsidRPr="007930B0">
        <w:tab/>
      </w:r>
      <w:r w:rsidRPr="007930B0">
        <w:tab/>
      </w:r>
      <w:r w:rsidRPr="007930B0">
        <w:tab/>
      </w:r>
      <w:r w:rsidRPr="007930B0">
        <w:tab/>
      </w:r>
      <w:r w:rsidR="003C3B9E">
        <w:tab/>
      </w:r>
      <w:r w:rsidRPr="007930B0">
        <w:t>b)</w:t>
      </w:r>
      <w:r w:rsidRPr="007930B0">
        <w:tab/>
        <w:t>Ministerio de Asuntos Sociales, Infancia y Familia</w:t>
      </w:r>
      <w:r w:rsidRPr="007930B0">
        <w:tab/>
      </w:r>
      <w:r w:rsidRPr="007930B0">
        <w:tab/>
        <w:t>35–39</w:t>
      </w:r>
      <w:r w:rsidRPr="007930B0">
        <w:tab/>
      </w:r>
      <w:r w:rsidR="00472D5E">
        <w:t>11</w:t>
      </w:r>
    </w:p>
    <w:p w:rsidR="00770F28" w:rsidRPr="007930B0" w:rsidRDefault="00770F28" w:rsidP="00770F28">
      <w:pPr>
        <w:tabs>
          <w:tab w:val="right" w:pos="850"/>
          <w:tab w:val="left" w:pos="1134"/>
          <w:tab w:val="left" w:pos="1559"/>
          <w:tab w:val="left" w:pos="1984"/>
          <w:tab w:val="left" w:leader="dot" w:pos="7654"/>
          <w:tab w:val="right" w:pos="8929"/>
          <w:tab w:val="right" w:pos="9638"/>
        </w:tabs>
        <w:spacing w:after="120"/>
      </w:pPr>
      <w:r w:rsidRPr="007930B0">
        <w:tab/>
      </w:r>
      <w:r w:rsidRPr="007930B0">
        <w:tab/>
      </w:r>
      <w:r w:rsidRPr="007930B0">
        <w:tab/>
        <w:t>2.</w:t>
      </w:r>
      <w:r w:rsidRPr="007930B0">
        <w:tab/>
        <w:t>Autoridades judiciales</w:t>
      </w:r>
      <w:r w:rsidRPr="007930B0">
        <w:tab/>
      </w:r>
      <w:r w:rsidRPr="007930B0">
        <w:tab/>
        <w:t>40–43</w:t>
      </w:r>
      <w:r w:rsidRPr="007930B0">
        <w:tab/>
      </w:r>
      <w:r w:rsidR="00472D5E">
        <w:t>13</w:t>
      </w:r>
    </w:p>
    <w:p w:rsidR="00770F28" w:rsidRPr="007930B0" w:rsidRDefault="00770F28" w:rsidP="003C3B9E">
      <w:pPr>
        <w:tabs>
          <w:tab w:val="right" w:pos="850"/>
          <w:tab w:val="left" w:pos="1134"/>
          <w:tab w:val="left" w:pos="1559"/>
          <w:tab w:val="left" w:pos="1984"/>
          <w:tab w:val="left" w:pos="2410"/>
          <w:tab w:val="left" w:leader="dot" w:pos="7654"/>
          <w:tab w:val="right" w:pos="8929"/>
          <w:tab w:val="right" w:pos="9638"/>
        </w:tabs>
        <w:spacing w:after="120"/>
        <w:ind w:left="425" w:hanging="425"/>
      </w:pPr>
      <w:r w:rsidRPr="007930B0">
        <w:tab/>
      </w:r>
      <w:r w:rsidRPr="007930B0">
        <w:tab/>
      </w:r>
      <w:r w:rsidRPr="007930B0">
        <w:tab/>
      </w:r>
      <w:r w:rsidRPr="007930B0">
        <w:tab/>
      </w:r>
      <w:r w:rsidR="003C3B9E">
        <w:tab/>
      </w:r>
      <w:r w:rsidRPr="007930B0">
        <w:t>a)</w:t>
      </w:r>
      <w:r w:rsidRPr="007930B0">
        <w:tab/>
        <w:t>Consejo Constitucional</w:t>
      </w:r>
      <w:r w:rsidRPr="007930B0">
        <w:tab/>
      </w:r>
      <w:r w:rsidRPr="007930B0">
        <w:tab/>
        <w:t>40–42</w:t>
      </w:r>
      <w:r w:rsidRPr="007930B0">
        <w:tab/>
      </w:r>
      <w:r w:rsidR="00472D5E">
        <w:t>13</w:t>
      </w:r>
    </w:p>
    <w:p w:rsidR="00770F28" w:rsidRPr="007930B0" w:rsidRDefault="00770F28" w:rsidP="003C3B9E">
      <w:pPr>
        <w:tabs>
          <w:tab w:val="right" w:pos="850"/>
          <w:tab w:val="left" w:pos="1134"/>
          <w:tab w:val="left" w:pos="1559"/>
          <w:tab w:val="left" w:pos="1984"/>
          <w:tab w:val="left" w:pos="2410"/>
          <w:tab w:val="left" w:leader="dot" w:pos="7654"/>
          <w:tab w:val="right" w:pos="8929"/>
          <w:tab w:val="right" w:pos="9638"/>
        </w:tabs>
        <w:spacing w:after="120"/>
        <w:ind w:left="425" w:hanging="425"/>
        <w:rPr>
          <w:bCs/>
        </w:rPr>
      </w:pPr>
      <w:r w:rsidRPr="007930B0">
        <w:tab/>
      </w:r>
      <w:r w:rsidRPr="007930B0">
        <w:tab/>
      </w:r>
      <w:r w:rsidRPr="007930B0">
        <w:tab/>
      </w:r>
      <w:r w:rsidRPr="007930B0">
        <w:tab/>
      </w:r>
      <w:r w:rsidR="003C3B9E">
        <w:tab/>
      </w:r>
      <w:r w:rsidRPr="007930B0">
        <w:t>b)</w:t>
      </w:r>
      <w:r w:rsidRPr="007930B0">
        <w:tab/>
        <w:t>Tribunales y juzgados</w:t>
      </w:r>
      <w:r w:rsidRPr="007930B0">
        <w:tab/>
      </w:r>
      <w:r w:rsidRPr="007930B0">
        <w:tab/>
        <w:t>43</w:t>
      </w:r>
      <w:r w:rsidRPr="007930B0">
        <w:tab/>
      </w:r>
      <w:r w:rsidR="00472D5E">
        <w:t>13</w:t>
      </w:r>
    </w:p>
    <w:p w:rsidR="00770F28" w:rsidRPr="007930B0" w:rsidRDefault="00770F28" w:rsidP="00770F28">
      <w:pPr>
        <w:tabs>
          <w:tab w:val="right" w:pos="850"/>
          <w:tab w:val="left" w:pos="1134"/>
          <w:tab w:val="left" w:pos="1559"/>
          <w:tab w:val="left" w:pos="1984"/>
          <w:tab w:val="left" w:leader="dot" w:pos="7654"/>
          <w:tab w:val="right" w:pos="8929"/>
          <w:tab w:val="right" w:pos="9638"/>
        </w:tabs>
        <w:spacing w:after="120"/>
        <w:rPr>
          <w:bCs/>
        </w:rPr>
      </w:pPr>
      <w:r w:rsidRPr="007930B0">
        <w:rPr>
          <w:bCs/>
        </w:rPr>
        <w:tab/>
      </w:r>
      <w:r w:rsidRPr="007930B0">
        <w:rPr>
          <w:bCs/>
        </w:rPr>
        <w:tab/>
        <w:t>C.</w:t>
      </w:r>
      <w:r w:rsidRPr="007930B0">
        <w:rPr>
          <w:bCs/>
        </w:rPr>
        <w:tab/>
      </w:r>
      <w:r w:rsidRPr="007930B0">
        <w:t>Resolución</w:t>
      </w:r>
      <w:r w:rsidRPr="007930B0">
        <w:rPr>
          <w:bCs/>
        </w:rPr>
        <w:t xml:space="preserve"> Nº 2007-012, de 8 de febrero de 2007, sobre la organización</w:t>
      </w:r>
      <w:r w:rsidRPr="007930B0">
        <w:rPr>
          <w:bCs/>
        </w:rPr>
        <w:br/>
      </w:r>
      <w:r w:rsidRPr="007930B0">
        <w:rPr>
          <w:bCs/>
        </w:rPr>
        <w:tab/>
      </w:r>
      <w:r w:rsidRPr="007930B0">
        <w:rPr>
          <w:bCs/>
        </w:rPr>
        <w:tab/>
      </w:r>
      <w:r w:rsidRPr="007930B0">
        <w:rPr>
          <w:bCs/>
        </w:rPr>
        <w:tab/>
        <w:t>del poder judicial</w:t>
      </w:r>
      <w:r w:rsidRPr="007930B0">
        <w:rPr>
          <w:bCs/>
        </w:rPr>
        <w:tab/>
      </w:r>
      <w:r w:rsidRPr="007930B0">
        <w:rPr>
          <w:bCs/>
        </w:rPr>
        <w:tab/>
        <w:t>44–106</w:t>
      </w:r>
      <w:r w:rsidRPr="007930B0">
        <w:rPr>
          <w:bCs/>
        </w:rPr>
        <w:tab/>
      </w:r>
      <w:r w:rsidR="00472D5E">
        <w:rPr>
          <w:bCs/>
        </w:rPr>
        <w:t>13</w:t>
      </w:r>
    </w:p>
    <w:p w:rsidR="00770F28" w:rsidRPr="007930B0" w:rsidRDefault="00770F28" w:rsidP="00770F28">
      <w:pPr>
        <w:tabs>
          <w:tab w:val="right" w:pos="850"/>
          <w:tab w:val="left" w:pos="1134"/>
          <w:tab w:val="left" w:pos="1559"/>
          <w:tab w:val="left" w:pos="1984"/>
          <w:tab w:val="left" w:leader="dot" w:pos="7654"/>
          <w:tab w:val="right" w:pos="8929"/>
          <w:tab w:val="right" w:pos="9638"/>
        </w:tabs>
        <w:spacing w:after="120"/>
        <w:rPr>
          <w:bCs/>
        </w:rPr>
      </w:pPr>
      <w:r w:rsidRPr="007930B0">
        <w:rPr>
          <w:bCs/>
        </w:rPr>
        <w:tab/>
      </w:r>
      <w:r w:rsidRPr="007930B0">
        <w:rPr>
          <w:bCs/>
        </w:rPr>
        <w:tab/>
        <w:t>D.</w:t>
      </w:r>
      <w:r w:rsidRPr="007930B0">
        <w:rPr>
          <w:bCs/>
        </w:rPr>
        <w:tab/>
        <w:t>Recursos disponibles</w:t>
      </w:r>
      <w:r w:rsidRPr="007930B0">
        <w:rPr>
          <w:bCs/>
        </w:rPr>
        <w:tab/>
      </w:r>
      <w:r w:rsidRPr="007930B0">
        <w:rPr>
          <w:bCs/>
        </w:rPr>
        <w:tab/>
        <w:t>107–108</w:t>
      </w:r>
      <w:r w:rsidRPr="007930B0">
        <w:rPr>
          <w:bCs/>
        </w:rPr>
        <w:tab/>
      </w:r>
      <w:r w:rsidR="00472D5E">
        <w:rPr>
          <w:bCs/>
        </w:rPr>
        <w:t>22</w:t>
      </w:r>
    </w:p>
    <w:p w:rsidR="00770F28" w:rsidRPr="007930B0" w:rsidRDefault="00770F28" w:rsidP="00770F28">
      <w:pPr>
        <w:tabs>
          <w:tab w:val="right" w:pos="850"/>
          <w:tab w:val="left" w:pos="1134"/>
          <w:tab w:val="left" w:pos="1559"/>
          <w:tab w:val="left" w:pos="1984"/>
          <w:tab w:val="left" w:leader="dot" w:pos="7654"/>
          <w:tab w:val="right" w:pos="8929"/>
          <w:tab w:val="right" w:pos="9638"/>
        </w:tabs>
        <w:spacing w:after="120"/>
      </w:pPr>
      <w:r w:rsidRPr="007930B0">
        <w:rPr>
          <w:bCs/>
        </w:rPr>
        <w:tab/>
      </w:r>
      <w:r w:rsidRPr="007930B0">
        <w:rPr>
          <w:bCs/>
        </w:rPr>
        <w:tab/>
        <w:t>E.</w:t>
      </w:r>
      <w:r w:rsidRPr="007930B0">
        <w:rPr>
          <w:bCs/>
        </w:rPr>
        <w:tab/>
      </w:r>
      <w:r w:rsidRPr="007930B0">
        <w:t>Otras instituciones u organismos competentes en el ámbito de</w:t>
      </w:r>
      <w:r w:rsidRPr="007930B0">
        <w:br/>
      </w:r>
      <w:r w:rsidRPr="007930B0">
        <w:tab/>
      </w:r>
      <w:r w:rsidRPr="007930B0">
        <w:tab/>
      </w:r>
      <w:r w:rsidRPr="007930B0">
        <w:tab/>
        <w:t>los derechos humanos</w:t>
      </w:r>
      <w:r w:rsidRPr="007930B0">
        <w:tab/>
      </w:r>
      <w:r w:rsidRPr="007930B0">
        <w:tab/>
        <w:t>109–129</w:t>
      </w:r>
      <w:r w:rsidRPr="007930B0">
        <w:tab/>
      </w:r>
      <w:r w:rsidR="00472D5E">
        <w:t>22</w:t>
      </w:r>
    </w:p>
    <w:p w:rsidR="00770F28" w:rsidRPr="007930B0" w:rsidRDefault="00770F28" w:rsidP="00770F28">
      <w:pPr>
        <w:tabs>
          <w:tab w:val="right" w:pos="850"/>
          <w:tab w:val="left" w:pos="1134"/>
          <w:tab w:val="left" w:pos="1559"/>
          <w:tab w:val="left" w:pos="1984"/>
          <w:tab w:val="left" w:leader="dot" w:pos="7654"/>
          <w:tab w:val="right" w:pos="8929"/>
          <w:tab w:val="right" w:pos="9638"/>
        </w:tabs>
        <w:spacing w:after="120"/>
      </w:pPr>
      <w:r w:rsidRPr="007930B0">
        <w:tab/>
      </w:r>
      <w:r w:rsidRPr="007930B0">
        <w:tab/>
      </w:r>
      <w:r w:rsidRPr="007930B0">
        <w:tab/>
        <w:t>1.</w:t>
      </w:r>
      <w:r w:rsidRPr="007930B0">
        <w:tab/>
        <w:t>El Mediador de la República</w:t>
      </w:r>
      <w:r w:rsidRPr="007930B0">
        <w:tab/>
      </w:r>
      <w:r w:rsidRPr="007930B0">
        <w:tab/>
        <w:t>109–113</w:t>
      </w:r>
      <w:r w:rsidRPr="007930B0">
        <w:tab/>
      </w:r>
      <w:r w:rsidR="00472D5E">
        <w:t>22</w:t>
      </w:r>
    </w:p>
    <w:p w:rsidR="00770F28" w:rsidRPr="007930B0" w:rsidRDefault="00770F28" w:rsidP="00770F28">
      <w:pPr>
        <w:tabs>
          <w:tab w:val="right" w:pos="850"/>
          <w:tab w:val="left" w:pos="1134"/>
          <w:tab w:val="left" w:pos="1559"/>
          <w:tab w:val="left" w:pos="1984"/>
          <w:tab w:val="left" w:leader="dot" w:pos="7654"/>
          <w:tab w:val="right" w:pos="8929"/>
          <w:tab w:val="right" w:pos="9638"/>
        </w:tabs>
        <w:spacing w:after="120"/>
      </w:pPr>
      <w:r w:rsidRPr="007930B0">
        <w:tab/>
      </w:r>
      <w:r w:rsidRPr="007930B0">
        <w:tab/>
      </w:r>
      <w:r w:rsidRPr="007930B0">
        <w:tab/>
        <w:t>2.</w:t>
      </w:r>
      <w:r w:rsidRPr="007930B0">
        <w:tab/>
        <w:t>La Comisión Nacional de Derechos Humanos</w:t>
      </w:r>
      <w:r w:rsidRPr="007930B0">
        <w:tab/>
      </w:r>
      <w:r w:rsidRPr="007930B0">
        <w:tab/>
        <w:t>114–129</w:t>
      </w:r>
      <w:r w:rsidRPr="007930B0">
        <w:tab/>
      </w:r>
      <w:r w:rsidR="00472D5E">
        <w:t>23</w:t>
      </w:r>
    </w:p>
    <w:p w:rsidR="00770F28" w:rsidRPr="007930B0" w:rsidRDefault="00770F28" w:rsidP="00770F28">
      <w:pPr>
        <w:tabs>
          <w:tab w:val="right" w:pos="850"/>
          <w:tab w:val="left" w:pos="1134"/>
          <w:tab w:val="left" w:pos="1559"/>
          <w:tab w:val="left" w:pos="1984"/>
          <w:tab w:val="left" w:leader="dot" w:pos="7654"/>
          <w:tab w:val="right" w:pos="8929"/>
          <w:tab w:val="right" w:pos="9638"/>
        </w:tabs>
        <w:spacing w:after="120"/>
      </w:pPr>
      <w:r w:rsidRPr="007930B0">
        <w:rPr>
          <w:bCs/>
        </w:rPr>
        <w:tab/>
        <w:t>III.</w:t>
      </w:r>
      <w:r w:rsidRPr="007930B0">
        <w:rPr>
          <w:bCs/>
        </w:rPr>
        <w:tab/>
      </w:r>
      <w:r w:rsidRPr="007930B0">
        <w:t>Aplicación de las disposiciones de fondo del Pacto Internacional de Derechos</w:t>
      </w:r>
      <w:r w:rsidRPr="007930B0">
        <w:br/>
      </w:r>
      <w:r w:rsidRPr="007930B0">
        <w:tab/>
      </w:r>
      <w:r w:rsidRPr="007930B0">
        <w:tab/>
        <w:t>Económicos, Sociales y Culturales (artículos 1, 2 y 9 a 15)</w:t>
      </w:r>
      <w:r w:rsidRPr="007930B0">
        <w:tab/>
      </w:r>
      <w:r w:rsidRPr="007930B0">
        <w:tab/>
        <w:t>130–561</w:t>
      </w:r>
      <w:r w:rsidRPr="007930B0">
        <w:tab/>
      </w:r>
      <w:r w:rsidR="00472D5E">
        <w:t>27</w:t>
      </w:r>
    </w:p>
    <w:p w:rsidR="00770F28" w:rsidRPr="007930B0" w:rsidRDefault="00770F28" w:rsidP="00770F28">
      <w:pPr>
        <w:tabs>
          <w:tab w:val="right" w:pos="850"/>
          <w:tab w:val="left" w:pos="1134"/>
          <w:tab w:val="left" w:pos="1559"/>
          <w:tab w:val="left" w:pos="1984"/>
          <w:tab w:val="left" w:leader="dot" w:pos="7654"/>
          <w:tab w:val="right" w:pos="8929"/>
          <w:tab w:val="right" w:pos="9638"/>
        </w:tabs>
        <w:spacing w:after="120"/>
      </w:pPr>
      <w:r w:rsidRPr="007930B0">
        <w:tab/>
      </w:r>
      <w:r w:rsidRPr="007930B0">
        <w:tab/>
        <w:t>Artículo 1</w:t>
      </w:r>
      <w:r w:rsidRPr="007930B0">
        <w:br/>
      </w:r>
      <w:r w:rsidRPr="007930B0">
        <w:tab/>
      </w:r>
      <w:r w:rsidRPr="007930B0">
        <w:tab/>
        <w:t>Derecho a la libre determinación</w:t>
      </w:r>
      <w:r w:rsidRPr="007930B0">
        <w:tab/>
      </w:r>
      <w:r w:rsidRPr="007930B0">
        <w:tab/>
        <w:t>130–135</w:t>
      </w:r>
      <w:r w:rsidRPr="007930B0">
        <w:tab/>
      </w:r>
      <w:r w:rsidR="00472D5E">
        <w:t>27</w:t>
      </w:r>
    </w:p>
    <w:p w:rsidR="00770F28" w:rsidRPr="007930B0" w:rsidRDefault="00770F28" w:rsidP="00770F28">
      <w:pPr>
        <w:tabs>
          <w:tab w:val="right" w:pos="850"/>
          <w:tab w:val="left" w:pos="1134"/>
          <w:tab w:val="left" w:pos="1559"/>
          <w:tab w:val="left" w:pos="1984"/>
          <w:tab w:val="left" w:leader="dot" w:pos="7654"/>
          <w:tab w:val="right" w:pos="8929"/>
          <w:tab w:val="right" w:pos="9638"/>
        </w:tabs>
        <w:spacing w:after="120"/>
      </w:pPr>
      <w:r w:rsidRPr="007930B0">
        <w:tab/>
      </w:r>
      <w:r w:rsidRPr="007930B0">
        <w:tab/>
        <w:t>Artículo 2</w:t>
      </w:r>
      <w:r w:rsidRPr="007930B0">
        <w:br/>
      </w:r>
      <w:r w:rsidRPr="007930B0">
        <w:tab/>
      </w:r>
      <w:r w:rsidRPr="007930B0">
        <w:tab/>
        <w:t>Derechos de los no ciudadanos, no discriminación y participación en</w:t>
      </w:r>
      <w:r w:rsidRPr="007930B0">
        <w:br/>
      </w:r>
      <w:r w:rsidRPr="007930B0">
        <w:tab/>
      </w:r>
      <w:r w:rsidRPr="007930B0">
        <w:tab/>
        <w:t>la cooperación</w:t>
      </w:r>
      <w:r w:rsidRPr="007930B0">
        <w:tab/>
      </w:r>
      <w:r w:rsidRPr="007930B0">
        <w:tab/>
        <w:t>136–137</w:t>
      </w:r>
      <w:r w:rsidRPr="007930B0">
        <w:tab/>
      </w:r>
      <w:r w:rsidR="00472D5E">
        <w:t>27</w:t>
      </w:r>
    </w:p>
    <w:p w:rsidR="00770F28" w:rsidRPr="007930B0" w:rsidRDefault="00770F28" w:rsidP="00770F28">
      <w:pPr>
        <w:tabs>
          <w:tab w:val="right" w:pos="850"/>
          <w:tab w:val="left" w:pos="1134"/>
          <w:tab w:val="left" w:pos="1559"/>
          <w:tab w:val="left" w:pos="1984"/>
          <w:tab w:val="left" w:leader="dot" w:pos="7654"/>
          <w:tab w:val="right" w:pos="8929"/>
          <w:tab w:val="right" w:pos="9638"/>
        </w:tabs>
        <w:spacing w:after="120"/>
      </w:pPr>
      <w:r w:rsidRPr="007930B0">
        <w:tab/>
      </w:r>
      <w:r w:rsidRPr="007930B0">
        <w:tab/>
        <w:t>Parte del informe relativa a determinados derechos (artículos 6 a 8)</w:t>
      </w:r>
      <w:r w:rsidRPr="007930B0">
        <w:tab/>
      </w:r>
      <w:r w:rsidRPr="007930B0">
        <w:tab/>
        <w:t>138–149</w:t>
      </w:r>
      <w:r w:rsidRPr="007930B0">
        <w:tab/>
      </w:r>
      <w:r w:rsidR="00472D5E">
        <w:t>28</w:t>
      </w:r>
    </w:p>
    <w:p w:rsidR="00770F28" w:rsidRPr="007930B0" w:rsidRDefault="00770F28" w:rsidP="00770F28">
      <w:pPr>
        <w:tabs>
          <w:tab w:val="right" w:pos="850"/>
          <w:tab w:val="left" w:pos="1134"/>
          <w:tab w:val="left" w:pos="1559"/>
          <w:tab w:val="left" w:pos="1984"/>
          <w:tab w:val="left" w:leader="dot" w:pos="7654"/>
          <w:tab w:val="right" w:pos="8929"/>
          <w:tab w:val="right" w:pos="9638"/>
        </w:tabs>
        <w:spacing w:after="120"/>
      </w:pPr>
      <w:r w:rsidRPr="007930B0">
        <w:tab/>
      </w:r>
      <w:r w:rsidRPr="007930B0">
        <w:tab/>
        <w:t>Artículo 9</w:t>
      </w:r>
      <w:r w:rsidRPr="007930B0">
        <w:br/>
      </w:r>
      <w:r w:rsidRPr="007930B0">
        <w:tab/>
      </w:r>
      <w:r w:rsidRPr="007930B0">
        <w:tab/>
        <w:t>La seguridad social</w:t>
      </w:r>
      <w:r w:rsidRPr="007930B0">
        <w:tab/>
      </w:r>
      <w:r w:rsidRPr="007930B0">
        <w:tab/>
        <w:t>150–208</w:t>
      </w:r>
      <w:r w:rsidRPr="007930B0">
        <w:tab/>
      </w:r>
      <w:r w:rsidR="00472D5E">
        <w:t>30</w:t>
      </w:r>
    </w:p>
    <w:p w:rsidR="00770F28" w:rsidRPr="007930B0" w:rsidRDefault="00770F28" w:rsidP="00770F28">
      <w:pPr>
        <w:tabs>
          <w:tab w:val="right" w:pos="850"/>
          <w:tab w:val="left" w:pos="1134"/>
          <w:tab w:val="left" w:pos="1559"/>
          <w:tab w:val="left" w:pos="1984"/>
          <w:tab w:val="left" w:leader="dot" w:pos="7654"/>
          <w:tab w:val="right" w:pos="8929"/>
          <w:tab w:val="right" w:pos="9638"/>
        </w:tabs>
        <w:spacing w:after="120"/>
      </w:pPr>
      <w:r w:rsidRPr="007930B0">
        <w:tab/>
      </w:r>
      <w:r w:rsidRPr="007930B0">
        <w:tab/>
        <w:t>Artículo 10</w:t>
      </w:r>
      <w:r w:rsidRPr="007930B0">
        <w:br/>
      </w:r>
      <w:r w:rsidRPr="007930B0">
        <w:tab/>
      </w:r>
      <w:r w:rsidRPr="007930B0">
        <w:tab/>
        <w:t>Derechos de los niños, las mujeres y la familia</w:t>
      </w:r>
      <w:r w:rsidRPr="007930B0">
        <w:tab/>
      </w:r>
      <w:r w:rsidRPr="007930B0">
        <w:tab/>
        <w:t>209–232</w:t>
      </w:r>
      <w:r w:rsidRPr="007930B0">
        <w:tab/>
      </w:r>
      <w:r w:rsidR="00472D5E">
        <w:t>38</w:t>
      </w:r>
    </w:p>
    <w:p w:rsidR="00770F28" w:rsidRPr="007930B0" w:rsidRDefault="00770F28" w:rsidP="00770F28">
      <w:pPr>
        <w:tabs>
          <w:tab w:val="right" w:pos="850"/>
          <w:tab w:val="left" w:pos="1134"/>
          <w:tab w:val="left" w:pos="1559"/>
          <w:tab w:val="left" w:pos="1984"/>
          <w:tab w:val="left" w:leader="dot" w:pos="7654"/>
          <w:tab w:val="right" w:pos="8929"/>
          <w:tab w:val="right" w:pos="9638"/>
        </w:tabs>
        <w:spacing w:after="120"/>
      </w:pPr>
      <w:r w:rsidRPr="007930B0">
        <w:rPr>
          <w:bCs/>
        </w:rPr>
        <w:tab/>
      </w:r>
      <w:r w:rsidRPr="007930B0">
        <w:rPr>
          <w:bCs/>
        </w:rPr>
        <w:tab/>
        <w:t>Artículo 11</w:t>
      </w:r>
      <w:r w:rsidRPr="007930B0">
        <w:rPr>
          <w:bCs/>
        </w:rPr>
        <w:br/>
      </w:r>
      <w:r w:rsidRPr="007930B0">
        <w:rPr>
          <w:bCs/>
        </w:rPr>
        <w:tab/>
      </w:r>
      <w:r w:rsidRPr="007930B0">
        <w:rPr>
          <w:bCs/>
        </w:rPr>
        <w:tab/>
      </w:r>
      <w:r w:rsidRPr="007930B0">
        <w:t>Nivel de vida de la población, derecho a una alimentación y a</w:t>
      </w:r>
      <w:r w:rsidR="00CC3B6E" w:rsidRPr="007930B0">
        <w:t xml:space="preserve"> </w:t>
      </w:r>
      <w:r w:rsidRPr="007930B0">
        <w:t>una vivienda</w:t>
      </w:r>
      <w:r w:rsidRPr="007930B0">
        <w:br/>
      </w:r>
      <w:r w:rsidRPr="007930B0">
        <w:tab/>
      </w:r>
      <w:r w:rsidRPr="007930B0">
        <w:tab/>
        <w:t>adecuadas</w:t>
      </w:r>
      <w:r w:rsidRPr="007930B0">
        <w:tab/>
      </w:r>
      <w:r w:rsidRPr="007930B0">
        <w:tab/>
      </w:r>
      <w:r w:rsidRPr="007930B0">
        <w:tab/>
        <w:t>233</w:t>
      </w:r>
      <w:r w:rsidRPr="007930B0">
        <w:tab/>
      </w:r>
      <w:r w:rsidR="00472D5E">
        <w:t>40</w:t>
      </w:r>
    </w:p>
    <w:p w:rsidR="00770F28" w:rsidRPr="007930B0" w:rsidRDefault="00770F28" w:rsidP="00770F28">
      <w:pPr>
        <w:tabs>
          <w:tab w:val="right" w:pos="850"/>
          <w:tab w:val="left" w:pos="1134"/>
          <w:tab w:val="left" w:pos="1559"/>
          <w:tab w:val="left" w:pos="1984"/>
          <w:tab w:val="left" w:leader="dot" w:pos="7654"/>
          <w:tab w:val="right" w:pos="8929"/>
          <w:tab w:val="right" w:pos="9638"/>
        </w:tabs>
        <w:spacing w:after="120"/>
      </w:pPr>
      <w:r w:rsidRPr="007930B0">
        <w:tab/>
      </w:r>
      <w:r w:rsidRPr="007930B0">
        <w:tab/>
        <w:t>Artículo 12</w:t>
      </w:r>
      <w:r w:rsidRPr="007930B0">
        <w:br/>
      </w:r>
      <w:r w:rsidRPr="007930B0">
        <w:tab/>
      </w:r>
      <w:r w:rsidRPr="007930B0">
        <w:tab/>
        <w:t>Política nacional en materia de salud</w:t>
      </w:r>
      <w:r w:rsidRPr="007930B0">
        <w:tab/>
      </w:r>
      <w:r w:rsidRPr="007930B0">
        <w:tab/>
        <w:t>234–35</w:t>
      </w:r>
      <w:r w:rsidR="00472D5E">
        <w:t>7</w:t>
      </w:r>
      <w:r w:rsidRPr="007930B0">
        <w:tab/>
      </w:r>
      <w:r w:rsidR="00472D5E">
        <w:t>41</w:t>
      </w:r>
    </w:p>
    <w:p w:rsidR="00770F28" w:rsidRPr="007930B0" w:rsidRDefault="00770F28" w:rsidP="00770F28">
      <w:pPr>
        <w:tabs>
          <w:tab w:val="right" w:pos="850"/>
          <w:tab w:val="left" w:pos="1134"/>
          <w:tab w:val="left" w:pos="1559"/>
          <w:tab w:val="left" w:pos="1984"/>
          <w:tab w:val="left" w:leader="dot" w:pos="7654"/>
          <w:tab w:val="right" w:pos="8929"/>
          <w:tab w:val="right" w:pos="9638"/>
        </w:tabs>
        <w:spacing w:after="120"/>
      </w:pPr>
      <w:r w:rsidRPr="007930B0">
        <w:tab/>
      </w:r>
      <w:r w:rsidRPr="007930B0">
        <w:tab/>
        <w:t xml:space="preserve">Artículos 13 y </w:t>
      </w:r>
      <w:r w:rsidR="00472D5E">
        <w:t>14</w:t>
      </w:r>
      <w:r w:rsidR="00472D5E">
        <w:br/>
      </w:r>
      <w:r w:rsidR="00472D5E">
        <w:tab/>
      </w:r>
      <w:r w:rsidR="00472D5E">
        <w:tab/>
        <w:t>Derecho a la educación</w:t>
      </w:r>
      <w:r w:rsidR="00472D5E">
        <w:tab/>
      </w:r>
      <w:r w:rsidR="00472D5E">
        <w:tab/>
        <w:t>358</w:t>
      </w:r>
      <w:r w:rsidRPr="007930B0">
        <w:t>–532</w:t>
      </w:r>
      <w:r w:rsidRPr="007930B0">
        <w:tab/>
      </w:r>
      <w:r w:rsidR="00472D5E">
        <w:t>69</w:t>
      </w:r>
    </w:p>
    <w:p w:rsidR="00770F28" w:rsidRPr="007930B0" w:rsidRDefault="00770F28" w:rsidP="00770F28">
      <w:pPr>
        <w:tabs>
          <w:tab w:val="right" w:pos="850"/>
          <w:tab w:val="left" w:pos="1134"/>
          <w:tab w:val="left" w:pos="1559"/>
          <w:tab w:val="left" w:pos="1984"/>
          <w:tab w:val="left" w:leader="dot" w:pos="7654"/>
          <w:tab w:val="right" w:pos="8929"/>
          <w:tab w:val="right" w:pos="9638"/>
        </w:tabs>
        <w:spacing w:after="120"/>
      </w:pPr>
      <w:r w:rsidRPr="007930B0">
        <w:tab/>
      </w:r>
      <w:r w:rsidRPr="007930B0">
        <w:tab/>
        <w:t>Artículo 15</w:t>
      </w:r>
      <w:r w:rsidRPr="007930B0">
        <w:br/>
      </w:r>
      <w:r w:rsidRPr="007930B0">
        <w:tab/>
      </w:r>
      <w:r w:rsidRPr="007930B0">
        <w:tab/>
        <w:t>Medidas legislativas y de otra índole adoptadas para asegurar el ejercicio del</w:t>
      </w:r>
      <w:r w:rsidRPr="007930B0">
        <w:br/>
      </w:r>
      <w:r w:rsidRPr="007930B0">
        <w:tab/>
      </w:r>
      <w:r w:rsidRPr="007930B0">
        <w:tab/>
        <w:t>derecho de toda persona a participar en la vida cultural de su elección</w:t>
      </w:r>
      <w:r w:rsidRPr="007930B0">
        <w:tab/>
      </w:r>
      <w:r w:rsidRPr="007930B0">
        <w:tab/>
        <w:t>533–561</w:t>
      </w:r>
      <w:r w:rsidRPr="007930B0">
        <w:tab/>
      </w:r>
      <w:r w:rsidR="007D6F39">
        <w:t>107</w:t>
      </w:r>
    </w:p>
    <w:p w:rsidR="00770F28" w:rsidRPr="007930B0" w:rsidRDefault="00770F28" w:rsidP="00770F28">
      <w:pPr>
        <w:tabs>
          <w:tab w:val="right" w:pos="850"/>
          <w:tab w:val="left" w:pos="1134"/>
          <w:tab w:val="left" w:pos="1559"/>
          <w:tab w:val="left" w:pos="1984"/>
          <w:tab w:val="left" w:leader="dot" w:pos="7654"/>
          <w:tab w:val="right" w:pos="8929"/>
          <w:tab w:val="right" w:pos="9638"/>
        </w:tabs>
        <w:spacing w:after="120"/>
      </w:pPr>
      <w:r w:rsidRPr="007930B0">
        <w:tab/>
        <w:t>IV.</w:t>
      </w:r>
      <w:r w:rsidRPr="007930B0">
        <w:tab/>
        <w:t>Conclusión</w:t>
      </w:r>
      <w:r w:rsidRPr="007930B0">
        <w:tab/>
      </w:r>
      <w:r w:rsidRPr="007930B0">
        <w:tab/>
        <w:t>562–567</w:t>
      </w:r>
      <w:r w:rsidRPr="007930B0">
        <w:tab/>
      </w:r>
      <w:r w:rsidR="00472D5E">
        <w:t>112</w:t>
      </w:r>
    </w:p>
    <w:p w:rsidR="00AA2D26" w:rsidRPr="007930B0" w:rsidRDefault="00AA2D26" w:rsidP="00AA2D26">
      <w:pPr>
        <w:tabs>
          <w:tab w:val="right" w:pos="850"/>
          <w:tab w:val="right" w:leader="dot" w:pos="7654"/>
          <w:tab w:val="right" w:pos="8929"/>
          <w:tab w:val="right" w:pos="9638"/>
        </w:tabs>
        <w:spacing w:after="120"/>
        <w:ind w:left="1134" w:hanging="1134"/>
      </w:pPr>
    </w:p>
    <w:p w:rsidR="001E7BB4" w:rsidRPr="007930B0" w:rsidRDefault="00770F28" w:rsidP="00D63E49">
      <w:pPr>
        <w:pStyle w:val="HChG"/>
        <w:rPr>
          <w:lang w:val="es-ES"/>
        </w:rPr>
      </w:pPr>
      <w:r w:rsidRPr="007930B0">
        <w:rPr>
          <w:lang w:val="es-ES"/>
        </w:rPr>
        <w:br w:type="page"/>
      </w:r>
      <w:r w:rsidR="001E7BB4" w:rsidRPr="007930B0">
        <w:rPr>
          <w:lang w:val="es-ES"/>
        </w:rPr>
        <w:tab/>
        <w:t>I.</w:t>
      </w:r>
      <w:r w:rsidR="001E7BB4" w:rsidRPr="007930B0">
        <w:rPr>
          <w:lang w:val="es-ES"/>
        </w:rPr>
        <w:tab/>
        <w:t>Introducción</w:t>
      </w:r>
    </w:p>
    <w:p w:rsidR="001E7BB4" w:rsidRPr="007930B0" w:rsidRDefault="001E7BB4" w:rsidP="00B56B34">
      <w:pPr>
        <w:pStyle w:val="SingleTxtG"/>
        <w:rPr>
          <w:lang w:val="es-ES"/>
        </w:rPr>
      </w:pPr>
      <w:r w:rsidRPr="007930B0">
        <w:rPr>
          <w:lang w:val="es-ES"/>
        </w:rPr>
        <w:t>1.</w:t>
      </w:r>
      <w:r w:rsidRPr="007930B0">
        <w:rPr>
          <w:lang w:val="es-ES"/>
        </w:rPr>
        <w:tab/>
        <w:t>La República Islámica de Mauritania presenta este informe inicial de conformidad con lo dispuesto en el artículo 17 del Pacto Internacional de Derechos Económicos, Sociales y Culturales (1966).</w:t>
      </w:r>
    </w:p>
    <w:p w:rsidR="001E7BB4" w:rsidRPr="007930B0" w:rsidRDefault="001E7BB4" w:rsidP="00B56B34">
      <w:pPr>
        <w:pStyle w:val="SingleTxtG"/>
        <w:rPr>
          <w:lang w:val="es-ES"/>
        </w:rPr>
      </w:pPr>
      <w:r w:rsidRPr="007930B0">
        <w:rPr>
          <w:lang w:val="es-ES"/>
        </w:rPr>
        <w:t>2.</w:t>
      </w:r>
      <w:r w:rsidRPr="007930B0">
        <w:rPr>
          <w:lang w:val="es-ES"/>
        </w:rPr>
        <w:tab/>
        <w:t>El presente informe se ha preparado con arreglo a las directrices del Comité de Derechos Económicos, Sociales y Culturales relativas a la presentación de informes.</w:t>
      </w:r>
    </w:p>
    <w:p w:rsidR="001E7BB4" w:rsidRPr="007930B0" w:rsidRDefault="001E7BB4" w:rsidP="00B56B34">
      <w:pPr>
        <w:pStyle w:val="SingleTxtG"/>
        <w:rPr>
          <w:lang w:val="es-ES"/>
        </w:rPr>
      </w:pPr>
      <w:r w:rsidRPr="007930B0">
        <w:rPr>
          <w:lang w:val="es-ES"/>
        </w:rPr>
        <w:t>3.</w:t>
      </w:r>
      <w:r w:rsidRPr="007930B0">
        <w:rPr>
          <w:lang w:val="es-ES"/>
        </w:rPr>
        <w:tab/>
        <w:t>El informe consta de dos partes: una primera parte reservada a la presentación general de la República Islámica de Mauritania, y una segunda parte relativa a la aplicación de las disposiciones de fondo del Pacto Internacional de Derechos Económicos, Sociales y Culturales.</w:t>
      </w:r>
    </w:p>
    <w:p w:rsidR="001E7BB4" w:rsidRPr="007930B0" w:rsidRDefault="001E7BB4" w:rsidP="00B56B34">
      <w:pPr>
        <w:pStyle w:val="SingleTxtG"/>
        <w:rPr>
          <w:lang w:val="es-ES"/>
        </w:rPr>
      </w:pPr>
      <w:r w:rsidRPr="007930B0">
        <w:rPr>
          <w:lang w:val="es-ES"/>
        </w:rPr>
        <w:t>4.</w:t>
      </w:r>
      <w:r w:rsidRPr="007930B0">
        <w:rPr>
          <w:lang w:val="es-ES"/>
        </w:rPr>
        <w:tab/>
        <w:t>La demora en la preparación del informe y por ende en su presentación al Comité se debe a los cambios institucionales ocurridos raíz de la transición política (2005-2007), en particular la disolución de la ex Oficina del Comisionado de Derechos Humanos, Lucha contra la Pobreza e Inserción, y el traspaso de la Dirección de Derechos Humanos, encargada de elaborar los informes destinados a los comités creados en virtud de tratados, al Ministerio de Justicia y posteriormente a la nueva Oficina del Comisionado de Derechos Humanos, Acción Humanitaria y Relaciones con la Sociedad Civil.</w:t>
      </w:r>
    </w:p>
    <w:p w:rsidR="001E7BB4" w:rsidRPr="007930B0" w:rsidRDefault="001E7BB4" w:rsidP="00B56B34">
      <w:pPr>
        <w:pStyle w:val="SingleTxtG"/>
        <w:rPr>
          <w:lang w:val="es-ES"/>
        </w:rPr>
      </w:pPr>
      <w:r w:rsidRPr="007930B0">
        <w:rPr>
          <w:lang w:val="es-ES"/>
        </w:rPr>
        <w:t>5.</w:t>
      </w:r>
      <w:r w:rsidRPr="007930B0">
        <w:rPr>
          <w:lang w:val="es-ES"/>
        </w:rPr>
        <w:tab/>
        <w:t>El Gobierno de Mauritania asegura al Comité de Derechos Económicos, Sociales y Culturales su plena disposición a entablar con él un diálogo constructivo y permanente sobre el ejercicio efectivo de los derechos y libertades previstos en el Pacto y a presentar sus futuros informes periódicos en los plazos establecidos.</w:t>
      </w:r>
    </w:p>
    <w:p w:rsidR="001E7BB4" w:rsidRPr="007930B0" w:rsidRDefault="001E7BB4" w:rsidP="00B56B34">
      <w:pPr>
        <w:pStyle w:val="SingleTxtG"/>
        <w:rPr>
          <w:lang w:val="es-ES"/>
        </w:rPr>
      </w:pPr>
      <w:r w:rsidRPr="007930B0">
        <w:rPr>
          <w:lang w:val="es-ES"/>
        </w:rPr>
        <w:t>6.</w:t>
      </w:r>
      <w:r w:rsidRPr="007930B0">
        <w:rPr>
          <w:lang w:val="es-ES"/>
        </w:rPr>
        <w:tab/>
        <w:t>Al mismo tiempo reitera su compromiso de trabajar, a pesar de las dificultades vinculadas a la coyuntura internacional y nacional, en aras del pleno goce de los derechos económicos, sociales y culturales previstos en el Pacto.</w:t>
      </w:r>
    </w:p>
    <w:p w:rsidR="001E7BB4" w:rsidRPr="007930B0" w:rsidRDefault="001E7BB4" w:rsidP="00D63E49">
      <w:pPr>
        <w:pStyle w:val="HChG"/>
        <w:rPr>
          <w:lang w:val="es-ES"/>
        </w:rPr>
      </w:pPr>
      <w:r w:rsidRPr="007930B0">
        <w:rPr>
          <w:lang w:val="es-ES"/>
        </w:rPr>
        <w:br w:type="page"/>
      </w:r>
      <w:r w:rsidR="00D63E49" w:rsidRPr="007930B0">
        <w:rPr>
          <w:lang w:val="es-ES"/>
        </w:rPr>
        <w:tab/>
        <w:t>II.</w:t>
      </w:r>
      <w:r w:rsidR="00D63E49" w:rsidRPr="007930B0">
        <w:rPr>
          <w:lang w:val="es-ES"/>
        </w:rPr>
        <w:tab/>
        <w:t>Presentación general de la República Islámica de Mauritania</w:t>
      </w:r>
    </w:p>
    <w:p w:rsidR="001E7BB4" w:rsidRPr="007930B0" w:rsidRDefault="001E7BB4" w:rsidP="00D63E49">
      <w:pPr>
        <w:pStyle w:val="H1G"/>
        <w:rPr>
          <w:lang w:val="es-ES"/>
        </w:rPr>
      </w:pPr>
      <w:r w:rsidRPr="007930B0">
        <w:rPr>
          <w:lang w:val="es-ES"/>
        </w:rPr>
        <w:tab/>
        <w:t>A.</w:t>
      </w:r>
      <w:r w:rsidRPr="007930B0">
        <w:rPr>
          <w:lang w:val="es-ES"/>
        </w:rPr>
        <w:tab/>
        <w:t>Información general sobre la República Islámica de Mauritania</w:t>
      </w:r>
    </w:p>
    <w:p w:rsidR="001E7BB4" w:rsidRPr="007930B0" w:rsidRDefault="001E7BB4" w:rsidP="00D63E49">
      <w:pPr>
        <w:pStyle w:val="H23G"/>
        <w:rPr>
          <w:lang w:val="es-ES"/>
        </w:rPr>
      </w:pPr>
      <w:r w:rsidRPr="007930B0">
        <w:rPr>
          <w:lang w:val="es-ES"/>
        </w:rPr>
        <w:tab/>
        <w:t>1.</w:t>
      </w:r>
      <w:r w:rsidRPr="007930B0">
        <w:rPr>
          <w:lang w:val="es-ES"/>
        </w:rPr>
        <w:tab/>
        <w:t>Territorio</w:t>
      </w:r>
    </w:p>
    <w:p w:rsidR="001E7BB4" w:rsidRPr="007930B0" w:rsidRDefault="001E7BB4" w:rsidP="00B56B34">
      <w:pPr>
        <w:pStyle w:val="SingleTxtG"/>
        <w:rPr>
          <w:lang w:val="es-ES"/>
        </w:rPr>
      </w:pPr>
      <w:r w:rsidRPr="007930B0">
        <w:rPr>
          <w:lang w:val="es-ES"/>
        </w:rPr>
        <w:t>7.</w:t>
      </w:r>
      <w:r w:rsidRPr="007930B0">
        <w:rPr>
          <w:lang w:val="es-ES"/>
        </w:rPr>
        <w:tab/>
        <w:t>La República Islámica de Mauritania está situada entre los 15º y 27º de latitud norte y entre los 6º y 19º de longitud oeste, y abarca una superficie de 1.030.700 km</w:t>
      </w:r>
      <w:r w:rsidRPr="007930B0">
        <w:rPr>
          <w:vertAlign w:val="superscript"/>
          <w:lang w:val="es-ES"/>
        </w:rPr>
        <w:t>2</w:t>
      </w:r>
      <w:r w:rsidRPr="007930B0">
        <w:rPr>
          <w:lang w:val="es-ES"/>
        </w:rPr>
        <w:t>.</w:t>
      </w:r>
    </w:p>
    <w:p w:rsidR="001E7BB4" w:rsidRPr="007930B0" w:rsidRDefault="001E7BB4" w:rsidP="00B56B34">
      <w:pPr>
        <w:pStyle w:val="SingleTxtG"/>
        <w:rPr>
          <w:lang w:val="es-ES"/>
        </w:rPr>
      </w:pPr>
      <w:r w:rsidRPr="007930B0">
        <w:rPr>
          <w:lang w:val="es-ES"/>
        </w:rPr>
        <w:t>8.</w:t>
      </w:r>
      <w:r w:rsidRPr="007930B0">
        <w:rPr>
          <w:lang w:val="es-ES"/>
        </w:rPr>
        <w:tab/>
        <w:t xml:space="preserve">Limita al oeste con el océano Atlántico, al sur con el Senegal, al sur y este con Malí, al noreste con Argelia y al noroeste con el Sáhara occidental. Esta ubicación geográfica convierte a Mauritania en un punto de unión entre el África septentrional y el África subsahariana. Debido a ello, el país es un crisol de civilizaciones con un rico patrimonio sociocultural. </w:t>
      </w:r>
    </w:p>
    <w:p w:rsidR="001E7BB4" w:rsidRPr="007930B0" w:rsidRDefault="001E7BB4" w:rsidP="00B56B34">
      <w:pPr>
        <w:pStyle w:val="SingleTxtG"/>
        <w:rPr>
          <w:lang w:val="es-ES"/>
        </w:rPr>
      </w:pPr>
      <w:r w:rsidRPr="007930B0">
        <w:rPr>
          <w:lang w:val="es-ES"/>
        </w:rPr>
        <w:t>9.</w:t>
      </w:r>
      <w:r w:rsidRPr="007930B0">
        <w:rPr>
          <w:lang w:val="es-ES"/>
        </w:rPr>
        <w:tab/>
        <w:t>En el centro y en el norte del país, el relieve se compone de los macizos montañosos de Adrar y Tagant, que se elevan hasta los 800 m. Al sur se extiende el valle del río Senegal o Chemama. El resto del país está constituido en gran parte por cordones de dunas.</w:t>
      </w:r>
    </w:p>
    <w:p w:rsidR="001E7BB4" w:rsidRPr="007930B0" w:rsidRDefault="001E7BB4" w:rsidP="00B56B34">
      <w:pPr>
        <w:pStyle w:val="SingleTxtG"/>
        <w:rPr>
          <w:lang w:val="es-ES"/>
        </w:rPr>
      </w:pPr>
      <w:r w:rsidRPr="007930B0">
        <w:rPr>
          <w:lang w:val="es-ES"/>
        </w:rPr>
        <w:t>10.</w:t>
      </w:r>
      <w:r w:rsidRPr="007930B0">
        <w:rPr>
          <w:lang w:val="es-ES"/>
        </w:rPr>
        <w:tab/>
        <w:t>Mauritania está dividida en cuatro zonas climáticas:</w:t>
      </w:r>
    </w:p>
    <w:p w:rsidR="001E7BB4" w:rsidRPr="007930B0" w:rsidRDefault="001E7BB4" w:rsidP="00D63E49">
      <w:pPr>
        <w:pStyle w:val="Bullet1G"/>
        <w:rPr>
          <w:lang w:val="es-ES"/>
        </w:rPr>
      </w:pPr>
      <w:r w:rsidRPr="007930B0">
        <w:rPr>
          <w:lang w:val="es-ES"/>
        </w:rPr>
        <w:t>Una inmensa zona sahariana al norte, donde las precipitaciones, la mayoría de las veces irregulares, son inferiores a 100 mm al año y los puntos de agua son escasos; sin embargo, est</w:t>
      </w:r>
      <w:r w:rsidR="00D63E49" w:rsidRPr="007930B0">
        <w:rPr>
          <w:lang w:val="es-ES"/>
        </w:rPr>
        <w:t>a zona está salpicada de oasis.</w:t>
      </w:r>
    </w:p>
    <w:p w:rsidR="001E7BB4" w:rsidRPr="007930B0" w:rsidRDefault="001E7BB4" w:rsidP="00D63E49">
      <w:pPr>
        <w:pStyle w:val="Bullet1G"/>
        <w:rPr>
          <w:lang w:val="es-ES"/>
        </w:rPr>
      </w:pPr>
      <w:r w:rsidRPr="007930B0">
        <w:rPr>
          <w:lang w:val="es-ES"/>
        </w:rPr>
        <w:t>Una zona saheliana de clima seco, caracterizada por precipitaciones anuale</w:t>
      </w:r>
      <w:r w:rsidR="00D63E49" w:rsidRPr="007930B0">
        <w:rPr>
          <w:lang w:val="es-ES"/>
        </w:rPr>
        <w:t>s que varían entre 100 y 300 mm.</w:t>
      </w:r>
    </w:p>
    <w:p w:rsidR="001E7BB4" w:rsidRPr="007930B0" w:rsidRDefault="001E7BB4" w:rsidP="00D63E49">
      <w:pPr>
        <w:pStyle w:val="Bullet1G"/>
        <w:rPr>
          <w:lang w:val="es-ES"/>
        </w:rPr>
      </w:pPr>
      <w:r w:rsidRPr="007930B0">
        <w:rPr>
          <w:lang w:val="es-ES"/>
        </w:rPr>
        <w:t xml:space="preserve">Una zona presaheliana, o zona del río Senegal, caracterizada por precipitaciones que pueden llegar a 300 o 400 mm y en la que se practican los cultivos de decrecida. Sin embargo, algunas veces se excede este nivel de agua, como sucedió en la estación lluviosa de 2003, que fue excepcional en cuanto a las cantidades de agua registradas en esa zona en particular y en el resto del </w:t>
      </w:r>
      <w:r w:rsidR="00D63E49" w:rsidRPr="007930B0">
        <w:rPr>
          <w:lang w:val="es-ES"/>
        </w:rPr>
        <w:t>territorio nacional en general.</w:t>
      </w:r>
    </w:p>
    <w:p w:rsidR="001E7BB4" w:rsidRPr="007930B0" w:rsidRDefault="001E7BB4" w:rsidP="00D63E49">
      <w:pPr>
        <w:pStyle w:val="Bullet1G"/>
        <w:rPr>
          <w:lang w:val="es-ES"/>
        </w:rPr>
      </w:pPr>
      <w:r w:rsidRPr="007930B0">
        <w:rPr>
          <w:lang w:val="es-ES"/>
        </w:rPr>
        <w:t>Por último, una zona costera influida por el océano Atlántico.</w:t>
      </w:r>
    </w:p>
    <w:p w:rsidR="001E7BB4" w:rsidRPr="007930B0" w:rsidRDefault="001E7BB4" w:rsidP="00D63E49">
      <w:pPr>
        <w:pStyle w:val="H23G"/>
        <w:rPr>
          <w:lang w:val="es-ES"/>
        </w:rPr>
      </w:pPr>
      <w:r w:rsidRPr="007930B0">
        <w:rPr>
          <w:lang w:val="es-ES"/>
        </w:rPr>
        <w:tab/>
        <w:t>2.</w:t>
      </w:r>
      <w:r w:rsidRPr="007930B0">
        <w:rPr>
          <w:lang w:val="es-ES"/>
        </w:rPr>
        <w:tab/>
        <w:t>Población</w:t>
      </w:r>
    </w:p>
    <w:p w:rsidR="001E7BB4" w:rsidRPr="007930B0" w:rsidRDefault="001E7BB4" w:rsidP="00B56B34">
      <w:pPr>
        <w:pStyle w:val="SingleTxtG"/>
        <w:rPr>
          <w:lang w:val="es-ES"/>
        </w:rPr>
      </w:pPr>
      <w:r w:rsidRPr="007930B0">
        <w:rPr>
          <w:lang w:val="es-ES"/>
        </w:rPr>
        <w:t>11.</w:t>
      </w:r>
      <w:r w:rsidRPr="007930B0">
        <w:rPr>
          <w:lang w:val="es-ES"/>
        </w:rPr>
        <w:tab/>
        <w:t>En 2006, la población mauritana se estimaba en cerca de 2.915.860 habitantes. La tasa de crecimiento anual de la población es de 2,92%, y la esperanza de vida al nacer de la población total es de 51,53 años. Para las mujeres es de 53,71 años, mientras que para los hombres se sitúa en 49,42 años. La tasa de fecundidad es de 6,15 hijos por mujer.</w:t>
      </w:r>
    </w:p>
    <w:p w:rsidR="001E7BB4" w:rsidRPr="007930B0" w:rsidRDefault="001E7BB4" w:rsidP="00B56B34">
      <w:pPr>
        <w:pStyle w:val="SingleTxtG"/>
        <w:rPr>
          <w:lang w:val="es-ES"/>
        </w:rPr>
      </w:pPr>
      <w:r w:rsidRPr="007930B0">
        <w:rPr>
          <w:lang w:val="es-ES"/>
        </w:rPr>
        <w:t>12.</w:t>
      </w:r>
      <w:r w:rsidRPr="007930B0">
        <w:rPr>
          <w:lang w:val="es-ES"/>
        </w:rPr>
        <w:tab/>
        <w:t xml:space="preserve">Hay otros elementos singulares que caracterizan a esta población en su conjunto (véanse las estadísticas demográficas que figuran a continuación). </w:t>
      </w:r>
    </w:p>
    <w:p w:rsidR="001E7BB4" w:rsidRPr="007930B0" w:rsidRDefault="001E7BB4" w:rsidP="00D63E49">
      <w:pPr>
        <w:pStyle w:val="H23G"/>
        <w:rPr>
          <w:lang w:val="es-ES"/>
        </w:rPr>
      </w:pPr>
      <w:r w:rsidRPr="007930B0">
        <w:rPr>
          <w:lang w:val="es-ES"/>
        </w:rPr>
        <w:tab/>
      </w:r>
      <w:r w:rsidRPr="007930B0">
        <w:rPr>
          <w:lang w:val="es-ES"/>
        </w:rPr>
        <w:tab/>
        <w:t>Estadísticas demográficas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10"/>
        <w:gridCol w:w="3260"/>
      </w:tblGrid>
      <w:tr w:rsidR="001E7BB4" w:rsidRPr="007930B0">
        <w:trPr>
          <w:tblHeader/>
        </w:trPr>
        <w:tc>
          <w:tcPr>
            <w:tcW w:w="5497" w:type="dxa"/>
            <w:tcBorders>
              <w:top w:val="single" w:sz="4" w:space="0" w:color="auto"/>
              <w:bottom w:val="single" w:sz="12" w:space="0" w:color="auto"/>
            </w:tcBorders>
            <w:shd w:val="clear" w:color="auto" w:fill="auto"/>
            <w:vAlign w:val="bottom"/>
          </w:tcPr>
          <w:p w:rsidR="001E7BB4" w:rsidRPr="007930B0" w:rsidRDefault="001E7BB4" w:rsidP="00D63E49">
            <w:pPr>
              <w:spacing w:before="80" w:after="80" w:line="200" w:lineRule="exact"/>
              <w:ind w:right="113"/>
              <w:rPr>
                <w:i/>
                <w:sz w:val="16"/>
              </w:rPr>
            </w:pPr>
          </w:p>
        </w:tc>
        <w:tc>
          <w:tcPr>
            <w:tcW w:w="4358" w:type="dxa"/>
            <w:tcBorders>
              <w:top w:val="single" w:sz="4" w:space="0" w:color="auto"/>
              <w:bottom w:val="single" w:sz="12" w:space="0" w:color="auto"/>
            </w:tcBorders>
            <w:shd w:val="clear" w:color="auto" w:fill="auto"/>
            <w:vAlign w:val="bottom"/>
          </w:tcPr>
          <w:p w:rsidR="001E7BB4" w:rsidRPr="007930B0" w:rsidRDefault="001E7BB4" w:rsidP="00D63E49">
            <w:pPr>
              <w:spacing w:before="80" w:after="80" w:line="200" w:lineRule="exact"/>
              <w:ind w:right="113"/>
              <w:jc w:val="right"/>
              <w:rPr>
                <w:i/>
                <w:sz w:val="16"/>
              </w:rPr>
            </w:pPr>
            <w:r w:rsidRPr="007930B0">
              <w:rPr>
                <w:i/>
                <w:sz w:val="16"/>
              </w:rPr>
              <w:t>Valor en 2006 (proyecciones)</w:t>
            </w:r>
          </w:p>
        </w:tc>
      </w:tr>
      <w:tr w:rsidR="001E7BB4" w:rsidRPr="007930B0">
        <w:tc>
          <w:tcPr>
            <w:tcW w:w="5497" w:type="dxa"/>
            <w:tcBorders>
              <w:top w:val="single" w:sz="12" w:space="0" w:color="auto"/>
            </w:tcBorders>
            <w:shd w:val="clear" w:color="auto" w:fill="auto"/>
          </w:tcPr>
          <w:p w:rsidR="001E7BB4" w:rsidRPr="007930B0" w:rsidRDefault="001E7BB4" w:rsidP="00D63E49">
            <w:pPr>
              <w:spacing w:before="40" w:after="40" w:line="220" w:lineRule="exact"/>
              <w:ind w:right="113"/>
              <w:rPr>
                <w:sz w:val="18"/>
              </w:rPr>
            </w:pPr>
            <w:r w:rsidRPr="007930B0">
              <w:rPr>
                <w:sz w:val="18"/>
              </w:rPr>
              <w:t>Población</w:t>
            </w:r>
          </w:p>
        </w:tc>
        <w:tc>
          <w:tcPr>
            <w:tcW w:w="4358" w:type="dxa"/>
            <w:tcBorders>
              <w:top w:val="single" w:sz="12" w:space="0" w:color="auto"/>
            </w:tcBorders>
            <w:shd w:val="clear" w:color="auto" w:fill="auto"/>
            <w:vAlign w:val="bottom"/>
          </w:tcPr>
          <w:p w:rsidR="001E7BB4" w:rsidRPr="007930B0" w:rsidRDefault="00D63E49" w:rsidP="00D63E49">
            <w:pPr>
              <w:spacing w:before="40" w:after="40" w:line="220" w:lineRule="exact"/>
              <w:ind w:right="113"/>
              <w:jc w:val="right"/>
              <w:rPr>
                <w:sz w:val="18"/>
              </w:rPr>
            </w:pPr>
            <w:r w:rsidRPr="007930B0">
              <w:rPr>
                <w:sz w:val="18"/>
              </w:rPr>
              <w:t xml:space="preserve">2 </w:t>
            </w:r>
            <w:r w:rsidR="001E7BB4" w:rsidRPr="007930B0">
              <w:rPr>
                <w:sz w:val="18"/>
              </w:rPr>
              <w:t>915 860</w:t>
            </w:r>
          </w:p>
        </w:tc>
      </w:tr>
      <w:tr w:rsidR="001E7BB4" w:rsidRPr="007930B0">
        <w:tc>
          <w:tcPr>
            <w:tcW w:w="5497" w:type="dxa"/>
            <w:shd w:val="clear" w:color="auto" w:fill="auto"/>
          </w:tcPr>
          <w:p w:rsidR="001E7BB4" w:rsidRPr="007930B0" w:rsidRDefault="001E7BB4" w:rsidP="00D63E49">
            <w:pPr>
              <w:spacing w:before="40" w:after="40" w:line="220" w:lineRule="exact"/>
              <w:ind w:right="113"/>
              <w:rPr>
                <w:sz w:val="18"/>
              </w:rPr>
            </w:pPr>
            <w:r w:rsidRPr="007930B0">
              <w:rPr>
                <w:sz w:val="18"/>
              </w:rPr>
              <w:t xml:space="preserve">Tasa de crecimiento natural </w:t>
            </w:r>
          </w:p>
        </w:tc>
        <w:tc>
          <w:tcPr>
            <w:tcW w:w="4358" w:type="dxa"/>
            <w:shd w:val="clear" w:color="auto" w:fill="auto"/>
            <w:vAlign w:val="bottom"/>
          </w:tcPr>
          <w:p w:rsidR="001E7BB4" w:rsidRPr="007930B0" w:rsidRDefault="001E7BB4" w:rsidP="00D63E49">
            <w:pPr>
              <w:spacing w:before="40" w:after="40" w:line="220" w:lineRule="exact"/>
              <w:ind w:right="113"/>
              <w:jc w:val="right"/>
              <w:rPr>
                <w:sz w:val="18"/>
              </w:rPr>
            </w:pPr>
            <w:r w:rsidRPr="007930B0">
              <w:rPr>
                <w:sz w:val="18"/>
              </w:rPr>
              <w:t>2,4%</w:t>
            </w:r>
          </w:p>
        </w:tc>
      </w:tr>
      <w:tr w:rsidR="001E7BB4" w:rsidRPr="007930B0">
        <w:tc>
          <w:tcPr>
            <w:tcW w:w="5497" w:type="dxa"/>
            <w:shd w:val="clear" w:color="auto" w:fill="auto"/>
          </w:tcPr>
          <w:p w:rsidR="001E7BB4" w:rsidRPr="007930B0" w:rsidRDefault="001E7BB4" w:rsidP="00D63E49">
            <w:pPr>
              <w:spacing w:before="40" w:after="40" w:line="220" w:lineRule="exact"/>
              <w:ind w:right="113"/>
              <w:rPr>
                <w:sz w:val="18"/>
              </w:rPr>
            </w:pPr>
            <w:r w:rsidRPr="007930B0">
              <w:rPr>
                <w:sz w:val="18"/>
              </w:rPr>
              <w:t>Densidad (habitantes por km</w:t>
            </w:r>
            <w:r w:rsidRPr="007930B0">
              <w:rPr>
                <w:sz w:val="18"/>
                <w:vertAlign w:val="superscript"/>
              </w:rPr>
              <w:t>2</w:t>
            </w:r>
            <w:r w:rsidRPr="007930B0">
              <w:rPr>
                <w:sz w:val="18"/>
              </w:rPr>
              <w:t>)</w:t>
            </w:r>
          </w:p>
        </w:tc>
        <w:tc>
          <w:tcPr>
            <w:tcW w:w="4358" w:type="dxa"/>
            <w:shd w:val="clear" w:color="auto" w:fill="auto"/>
            <w:vAlign w:val="bottom"/>
          </w:tcPr>
          <w:p w:rsidR="001E7BB4" w:rsidRPr="007930B0" w:rsidRDefault="001E7BB4" w:rsidP="00D63E49">
            <w:pPr>
              <w:spacing w:before="40" w:after="40" w:line="220" w:lineRule="exact"/>
              <w:ind w:right="113"/>
              <w:jc w:val="right"/>
              <w:rPr>
                <w:sz w:val="18"/>
              </w:rPr>
            </w:pPr>
            <w:r w:rsidRPr="007930B0">
              <w:rPr>
                <w:sz w:val="18"/>
              </w:rPr>
              <w:t>2,9</w:t>
            </w:r>
          </w:p>
        </w:tc>
      </w:tr>
      <w:tr w:rsidR="001E7BB4" w:rsidRPr="007930B0">
        <w:tc>
          <w:tcPr>
            <w:tcW w:w="5497" w:type="dxa"/>
            <w:tcBorders>
              <w:bottom w:val="nil"/>
            </w:tcBorders>
            <w:shd w:val="clear" w:color="auto" w:fill="auto"/>
          </w:tcPr>
          <w:p w:rsidR="001E7BB4" w:rsidRPr="007930B0" w:rsidRDefault="001E7BB4" w:rsidP="00D63E49">
            <w:pPr>
              <w:spacing w:before="40" w:after="40" w:line="220" w:lineRule="exact"/>
              <w:ind w:right="113"/>
              <w:rPr>
                <w:sz w:val="18"/>
              </w:rPr>
            </w:pPr>
            <w:r w:rsidRPr="007930B0">
              <w:rPr>
                <w:sz w:val="18"/>
              </w:rPr>
              <w:t>Porcentaje de la población de menos de 15 años</w:t>
            </w:r>
          </w:p>
        </w:tc>
        <w:tc>
          <w:tcPr>
            <w:tcW w:w="4358" w:type="dxa"/>
            <w:tcBorders>
              <w:bottom w:val="nil"/>
            </w:tcBorders>
            <w:shd w:val="clear" w:color="auto" w:fill="auto"/>
            <w:vAlign w:val="bottom"/>
          </w:tcPr>
          <w:p w:rsidR="001E7BB4" w:rsidRPr="007930B0" w:rsidRDefault="001E7BB4" w:rsidP="00D63E49">
            <w:pPr>
              <w:spacing w:before="40" w:after="40" w:line="220" w:lineRule="exact"/>
              <w:ind w:right="113"/>
              <w:jc w:val="right"/>
              <w:rPr>
                <w:sz w:val="18"/>
              </w:rPr>
            </w:pPr>
            <w:r w:rsidRPr="007930B0">
              <w:rPr>
                <w:sz w:val="18"/>
              </w:rPr>
              <w:t>43,5%</w:t>
            </w:r>
          </w:p>
        </w:tc>
      </w:tr>
      <w:tr w:rsidR="001E7BB4" w:rsidRPr="007930B0">
        <w:tc>
          <w:tcPr>
            <w:tcW w:w="5497" w:type="dxa"/>
            <w:tcBorders>
              <w:top w:val="nil"/>
              <w:bottom w:val="nil"/>
            </w:tcBorders>
            <w:shd w:val="clear" w:color="auto" w:fill="auto"/>
          </w:tcPr>
          <w:p w:rsidR="001E7BB4" w:rsidRPr="007930B0" w:rsidRDefault="001E7BB4" w:rsidP="00D63E49">
            <w:pPr>
              <w:spacing w:before="40" w:after="40" w:line="220" w:lineRule="exact"/>
              <w:ind w:right="113"/>
              <w:rPr>
                <w:sz w:val="18"/>
              </w:rPr>
            </w:pPr>
            <w:r w:rsidRPr="007930B0">
              <w:rPr>
                <w:sz w:val="18"/>
              </w:rPr>
              <w:t>Porcentaje de la población de más de 60 años</w:t>
            </w:r>
          </w:p>
        </w:tc>
        <w:tc>
          <w:tcPr>
            <w:tcW w:w="4358" w:type="dxa"/>
            <w:tcBorders>
              <w:top w:val="nil"/>
              <w:bottom w:val="nil"/>
            </w:tcBorders>
            <w:shd w:val="clear" w:color="auto" w:fill="auto"/>
            <w:vAlign w:val="bottom"/>
          </w:tcPr>
          <w:p w:rsidR="001E7BB4" w:rsidRPr="007930B0" w:rsidRDefault="001E7BB4" w:rsidP="00D63E49">
            <w:pPr>
              <w:spacing w:before="40" w:after="40" w:line="220" w:lineRule="exact"/>
              <w:ind w:right="113"/>
              <w:jc w:val="right"/>
              <w:rPr>
                <w:sz w:val="18"/>
              </w:rPr>
            </w:pPr>
            <w:r w:rsidRPr="007930B0">
              <w:rPr>
                <w:sz w:val="18"/>
              </w:rPr>
              <w:t>5%</w:t>
            </w:r>
          </w:p>
        </w:tc>
      </w:tr>
      <w:tr w:rsidR="001E7BB4" w:rsidRPr="007930B0">
        <w:tc>
          <w:tcPr>
            <w:tcW w:w="5497" w:type="dxa"/>
            <w:tcBorders>
              <w:top w:val="nil"/>
            </w:tcBorders>
            <w:shd w:val="clear" w:color="auto" w:fill="auto"/>
          </w:tcPr>
          <w:p w:rsidR="001E7BB4" w:rsidRPr="007930B0" w:rsidRDefault="001E7BB4" w:rsidP="00D63E49">
            <w:pPr>
              <w:spacing w:before="40" w:after="40" w:line="220" w:lineRule="exact"/>
              <w:ind w:right="113"/>
              <w:rPr>
                <w:sz w:val="18"/>
              </w:rPr>
            </w:pPr>
            <w:r w:rsidRPr="007930B0">
              <w:rPr>
                <w:sz w:val="18"/>
              </w:rPr>
              <w:t>Porcentaje de población urbana</w:t>
            </w:r>
          </w:p>
        </w:tc>
        <w:tc>
          <w:tcPr>
            <w:tcW w:w="4358" w:type="dxa"/>
            <w:tcBorders>
              <w:top w:val="nil"/>
            </w:tcBorders>
            <w:shd w:val="clear" w:color="auto" w:fill="auto"/>
            <w:vAlign w:val="bottom"/>
          </w:tcPr>
          <w:p w:rsidR="001E7BB4" w:rsidRPr="007930B0" w:rsidRDefault="001E7BB4" w:rsidP="00D63E49">
            <w:pPr>
              <w:spacing w:before="40" w:after="40" w:line="220" w:lineRule="exact"/>
              <w:ind w:right="113"/>
              <w:jc w:val="right"/>
              <w:rPr>
                <w:sz w:val="18"/>
              </w:rPr>
            </w:pPr>
            <w:r w:rsidRPr="007930B0">
              <w:rPr>
                <w:sz w:val="18"/>
              </w:rPr>
              <w:t>50,1%</w:t>
            </w:r>
          </w:p>
        </w:tc>
      </w:tr>
      <w:tr w:rsidR="001E7BB4" w:rsidRPr="007930B0">
        <w:tc>
          <w:tcPr>
            <w:tcW w:w="5497" w:type="dxa"/>
            <w:shd w:val="clear" w:color="auto" w:fill="auto"/>
          </w:tcPr>
          <w:p w:rsidR="001E7BB4" w:rsidRPr="007930B0" w:rsidRDefault="001E7BB4" w:rsidP="00D63E49">
            <w:pPr>
              <w:spacing w:before="40" w:after="40" w:line="220" w:lineRule="exact"/>
              <w:ind w:right="113"/>
              <w:rPr>
                <w:sz w:val="18"/>
              </w:rPr>
            </w:pPr>
            <w:r w:rsidRPr="007930B0">
              <w:rPr>
                <w:sz w:val="18"/>
              </w:rPr>
              <w:t>Relación hombre/mujer</w:t>
            </w:r>
          </w:p>
        </w:tc>
        <w:tc>
          <w:tcPr>
            <w:tcW w:w="4358" w:type="dxa"/>
            <w:shd w:val="clear" w:color="auto" w:fill="auto"/>
            <w:vAlign w:val="bottom"/>
          </w:tcPr>
          <w:p w:rsidR="001E7BB4" w:rsidRPr="007930B0" w:rsidRDefault="001E7BB4" w:rsidP="00D63E49">
            <w:pPr>
              <w:spacing w:before="40" w:after="40" w:line="220" w:lineRule="exact"/>
              <w:ind w:right="113"/>
              <w:jc w:val="right"/>
              <w:rPr>
                <w:sz w:val="18"/>
              </w:rPr>
            </w:pPr>
            <w:r w:rsidRPr="007930B0">
              <w:rPr>
                <w:sz w:val="18"/>
              </w:rPr>
              <w:t>49,73%</w:t>
            </w:r>
          </w:p>
        </w:tc>
      </w:tr>
    </w:tbl>
    <w:p w:rsidR="001E7BB4" w:rsidRPr="007930B0" w:rsidRDefault="001E7BB4" w:rsidP="00D63E49">
      <w:pPr>
        <w:spacing w:before="120" w:after="240" w:line="220" w:lineRule="exact"/>
        <w:ind w:left="1134" w:right="1134" w:firstLine="170"/>
        <w:rPr>
          <w:sz w:val="18"/>
          <w:szCs w:val="18"/>
        </w:rPr>
      </w:pPr>
      <w:r w:rsidRPr="007930B0">
        <w:rPr>
          <w:i/>
          <w:iCs/>
          <w:sz w:val="18"/>
          <w:szCs w:val="18"/>
        </w:rPr>
        <w:t>Fuente:</w:t>
      </w:r>
      <w:r w:rsidRPr="007930B0">
        <w:rPr>
          <w:sz w:val="18"/>
          <w:szCs w:val="18"/>
        </w:rPr>
        <w:t xml:space="preserve"> Oficina Nacional de Estadística e Informe nacional sobre el desarrollo humano sostenible.</w:t>
      </w:r>
    </w:p>
    <w:p w:rsidR="001E7BB4" w:rsidRPr="007930B0" w:rsidRDefault="001E7BB4" w:rsidP="00B56B34">
      <w:pPr>
        <w:pStyle w:val="SingleTxtG"/>
        <w:rPr>
          <w:lang w:val="es-ES"/>
        </w:rPr>
      </w:pPr>
      <w:r w:rsidRPr="007930B0">
        <w:rPr>
          <w:lang w:val="es-ES"/>
        </w:rPr>
        <w:t>13.</w:t>
      </w:r>
      <w:r w:rsidRPr="007930B0">
        <w:rPr>
          <w:lang w:val="es-ES"/>
        </w:rPr>
        <w:tab/>
        <w:t xml:space="preserve">Encuesta permanente sobre las condiciones de vida (EPCV) 2004: El tamaño medio de los hogares en 2004 era de 5,7 personas. El mayor tamaño se registró en las </w:t>
      </w:r>
      <w:r w:rsidRPr="007930B0">
        <w:rPr>
          <w:i/>
          <w:iCs/>
          <w:lang w:val="es-ES"/>
        </w:rPr>
        <w:t>wilayas</w:t>
      </w:r>
      <w:r w:rsidRPr="007930B0">
        <w:rPr>
          <w:lang w:val="es-ES"/>
        </w:rPr>
        <w:t xml:space="preserve"> de Guidimagha (6,4) y de Gorgol (6,4). En Nuakchot, los hogares constaban, por término medio, de 5,9 personas.</w:t>
      </w:r>
    </w:p>
    <w:p w:rsidR="001E7BB4" w:rsidRPr="007930B0" w:rsidRDefault="001E7BB4" w:rsidP="00315B1E">
      <w:pPr>
        <w:pStyle w:val="SingleTxtG"/>
        <w:rPr>
          <w:lang w:val="es-ES"/>
        </w:rPr>
      </w:pPr>
      <w:r w:rsidRPr="007930B0">
        <w:rPr>
          <w:lang w:val="es-ES"/>
        </w:rPr>
        <w:t>14.</w:t>
      </w:r>
      <w:r w:rsidRPr="007930B0">
        <w:rPr>
          <w:lang w:val="es-ES"/>
        </w:rPr>
        <w:tab/>
        <w:t xml:space="preserve">La estructura demográfica del pueblo mauritano está constituida por una mayoría de habla árabe, así como de pulares, soninkés y wolofes. Estos diversos grupos han vivido durante siglos en armonía, unión y solidaridad, para acabar forjando una nación solidaria y fraterna, unida por y en el </w:t>
      </w:r>
      <w:r w:rsidR="00315B1E">
        <w:rPr>
          <w:lang w:val="es-ES"/>
        </w:rPr>
        <w:t>i</w:t>
      </w:r>
      <w:r w:rsidRPr="007930B0">
        <w:rPr>
          <w:lang w:val="es-ES"/>
        </w:rPr>
        <w:t>slam, que es la religión del pueblo mauritano en su conjunto.</w:t>
      </w:r>
    </w:p>
    <w:p w:rsidR="001E7BB4" w:rsidRPr="007930B0" w:rsidRDefault="001E7BB4" w:rsidP="00B56B34">
      <w:pPr>
        <w:pStyle w:val="SingleTxtG"/>
        <w:rPr>
          <w:lang w:val="es-ES"/>
        </w:rPr>
      </w:pPr>
      <w:r w:rsidRPr="007930B0">
        <w:rPr>
          <w:lang w:val="es-ES"/>
        </w:rPr>
        <w:t>15.</w:t>
      </w:r>
      <w:r w:rsidRPr="007930B0">
        <w:rPr>
          <w:lang w:val="es-ES"/>
        </w:rPr>
        <w:tab/>
        <w:t>El islam que se practica en Mauritania, desde siempre, es un islam sunnita, de rito malekita, que excluye todo carácter dogmático o sectario. En su tolerancia, cultiva la solidaridad, incita a la unidad, repudia la violencia y el odio, y combate la arbitrariedad y la opresión. Ha constituido siempre el verdadero fundamento de la identidad nacional.</w:t>
      </w:r>
    </w:p>
    <w:p w:rsidR="001E7BB4" w:rsidRPr="007930B0" w:rsidRDefault="001E7BB4" w:rsidP="00D63E49">
      <w:pPr>
        <w:pStyle w:val="H23G"/>
        <w:rPr>
          <w:lang w:val="es-ES"/>
        </w:rPr>
      </w:pPr>
      <w:r w:rsidRPr="007930B0">
        <w:rPr>
          <w:lang w:val="es-ES"/>
        </w:rPr>
        <w:tab/>
        <w:t>3.</w:t>
      </w:r>
      <w:r w:rsidRPr="007930B0">
        <w:rPr>
          <w:lang w:val="es-ES"/>
        </w:rPr>
        <w:tab/>
        <w:t>Datos económicos</w:t>
      </w:r>
    </w:p>
    <w:p w:rsidR="001E7BB4" w:rsidRPr="007930B0" w:rsidRDefault="001E7BB4" w:rsidP="00B56B34">
      <w:pPr>
        <w:pStyle w:val="SingleTxtG"/>
        <w:rPr>
          <w:lang w:val="es-ES"/>
        </w:rPr>
      </w:pPr>
      <w:r w:rsidRPr="007930B0">
        <w:rPr>
          <w:lang w:val="es-ES"/>
        </w:rPr>
        <w:t>16.</w:t>
      </w:r>
      <w:r w:rsidRPr="007930B0">
        <w:rPr>
          <w:lang w:val="es-ES"/>
        </w:rPr>
        <w:tab/>
        <w:t>Los indicadores que figuran a continuación dan un panorama de la situación económica general.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95"/>
        <w:gridCol w:w="3175"/>
      </w:tblGrid>
      <w:tr w:rsidR="001E7BB4" w:rsidRPr="007930B0">
        <w:trPr>
          <w:tblHeader/>
        </w:trPr>
        <w:tc>
          <w:tcPr>
            <w:tcW w:w="4195" w:type="dxa"/>
            <w:tcBorders>
              <w:top w:val="single" w:sz="4" w:space="0" w:color="auto"/>
              <w:bottom w:val="single" w:sz="12" w:space="0" w:color="auto"/>
            </w:tcBorders>
            <w:shd w:val="clear" w:color="auto" w:fill="auto"/>
            <w:vAlign w:val="bottom"/>
          </w:tcPr>
          <w:p w:rsidR="001E7BB4" w:rsidRPr="007930B0" w:rsidRDefault="001E7BB4" w:rsidP="00CC4653">
            <w:pPr>
              <w:spacing w:before="80" w:after="80" w:line="200" w:lineRule="exact"/>
              <w:ind w:right="113"/>
              <w:rPr>
                <w:i/>
                <w:sz w:val="16"/>
              </w:rPr>
            </w:pPr>
            <w:r w:rsidRPr="007930B0">
              <w:rPr>
                <w:i/>
                <w:sz w:val="16"/>
              </w:rPr>
              <w:t>Indicador</w:t>
            </w:r>
          </w:p>
        </w:tc>
        <w:tc>
          <w:tcPr>
            <w:tcW w:w="3175" w:type="dxa"/>
            <w:tcBorders>
              <w:top w:val="single" w:sz="4" w:space="0" w:color="auto"/>
              <w:bottom w:val="single" w:sz="12" w:space="0" w:color="auto"/>
            </w:tcBorders>
            <w:shd w:val="clear" w:color="auto" w:fill="auto"/>
            <w:vAlign w:val="bottom"/>
          </w:tcPr>
          <w:p w:rsidR="001E7BB4" w:rsidRPr="007930B0" w:rsidRDefault="001E7BB4" w:rsidP="00CC4653">
            <w:pPr>
              <w:spacing w:before="80" w:after="80" w:line="200" w:lineRule="exact"/>
              <w:ind w:right="113"/>
              <w:jc w:val="right"/>
              <w:rPr>
                <w:i/>
                <w:sz w:val="16"/>
              </w:rPr>
            </w:pPr>
            <w:r w:rsidRPr="007930B0">
              <w:rPr>
                <w:i/>
                <w:sz w:val="16"/>
              </w:rPr>
              <w:t>Valor en 2006</w:t>
            </w:r>
          </w:p>
        </w:tc>
      </w:tr>
      <w:tr w:rsidR="001E7BB4" w:rsidRPr="007930B0">
        <w:tc>
          <w:tcPr>
            <w:tcW w:w="4195" w:type="dxa"/>
            <w:tcBorders>
              <w:top w:val="single" w:sz="12" w:space="0" w:color="auto"/>
            </w:tcBorders>
            <w:shd w:val="clear" w:color="auto" w:fill="auto"/>
          </w:tcPr>
          <w:p w:rsidR="001E7BB4" w:rsidRPr="007930B0" w:rsidRDefault="001E7BB4" w:rsidP="00CC4653">
            <w:pPr>
              <w:spacing w:before="40" w:after="40" w:line="220" w:lineRule="exact"/>
              <w:ind w:right="113"/>
              <w:rPr>
                <w:sz w:val="18"/>
              </w:rPr>
            </w:pPr>
            <w:r w:rsidRPr="007930B0">
              <w:rPr>
                <w:sz w:val="18"/>
              </w:rPr>
              <w:t>PIB a precios corrientes</w:t>
            </w:r>
          </w:p>
        </w:tc>
        <w:tc>
          <w:tcPr>
            <w:tcW w:w="3175" w:type="dxa"/>
            <w:tcBorders>
              <w:top w:val="single" w:sz="12" w:space="0" w:color="auto"/>
            </w:tcBorders>
            <w:shd w:val="clear" w:color="auto" w:fill="auto"/>
            <w:vAlign w:val="bottom"/>
          </w:tcPr>
          <w:p w:rsidR="001E7BB4" w:rsidRPr="007930B0" w:rsidRDefault="001E7BB4" w:rsidP="00CC4653">
            <w:pPr>
              <w:spacing w:before="40" w:after="40" w:line="220" w:lineRule="exact"/>
              <w:ind w:right="113"/>
              <w:jc w:val="right"/>
              <w:rPr>
                <w:sz w:val="18"/>
              </w:rPr>
            </w:pPr>
            <w:r w:rsidRPr="007930B0">
              <w:rPr>
                <w:sz w:val="18"/>
              </w:rPr>
              <w:t>736 265 millones de UM</w:t>
            </w:r>
          </w:p>
        </w:tc>
      </w:tr>
      <w:tr w:rsidR="001E7BB4" w:rsidRPr="007930B0">
        <w:tc>
          <w:tcPr>
            <w:tcW w:w="4195" w:type="dxa"/>
            <w:shd w:val="clear" w:color="auto" w:fill="auto"/>
          </w:tcPr>
          <w:p w:rsidR="001E7BB4" w:rsidRPr="007930B0" w:rsidRDefault="001E7BB4" w:rsidP="00CC4653">
            <w:pPr>
              <w:spacing w:before="40" w:after="40" w:line="220" w:lineRule="exact"/>
              <w:ind w:right="113"/>
              <w:rPr>
                <w:sz w:val="18"/>
              </w:rPr>
            </w:pPr>
            <w:r w:rsidRPr="007930B0">
              <w:rPr>
                <w:sz w:val="18"/>
              </w:rPr>
              <w:t>PIB a precios constantes (base 100 = 1998)</w:t>
            </w:r>
          </w:p>
        </w:tc>
        <w:tc>
          <w:tcPr>
            <w:tcW w:w="3175" w:type="dxa"/>
            <w:shd w:val="clear" w:color="auto" w:fill="auto"/>
            <w:vAlign w:val="bottom"/>
          </w:tcPr>
          <w:p w:rsidR="001E7BB4" w:rsidRPr="007930B0" w:rsidRDefault="001E7BB4" w:rsidP="00CC4653">
            <w:pPr>
              <w:spacing w:before="40" w:after="40" w:line="220" w:lineRule="exact"/>
              <w:ind w:right="113"/>
              <w:jc w:val="right"/>
              <w:rPr>
                <w:sz w:val="18"/>
              </w:rPr>
            </w:pPr>
            <w:r w:rsidRPr="007930B0">
              <w:rPr>
                <w:sz w:val="18"/>
              </w:rPr>
              <w:t>463 780 millones de UM</w:t>
            </w:r>
          </w:p>
        </w:tc>
      </w:tr>
      <w:tr w:rsidR="001E7BB4" w:rsidRPr="007930B0">
        <w:tc>
          <w:tcPr>
            <w:tcW w:w="4195" w:type="dxa"/>
            <w:shd w:val="clear" w:color="auto" w:fill="auto"/>
          </w:tcPr>
          <w:p w:rsidR="001E7BB4" w:rsidRPr="007930B0" w:rsidRDefault="001E7BB4" w:rsidP="00CC4653">
            <w:pPr>
              <w:spacing w:before="40" w:after="40" w:line="220" w:lineRule="exact"/>
              <w:ind w:right="113"/>
              <w:rPr>
                <w:sz w:val="18"/>
              </w:rPr>
            </w:pPr>
            <w:r w:rsidRPr="007930B0">
              <w:rPr>
                <w:sz w:val="18"/>
              </w:rPr>
              <w:t>PIB/habitante</w:t>
            </w:r>
          </w:p>
        </w:tc>
        <w:tc>
          <w:tcPr>
            <w:tcW w:w="3175" w:type="dxa"/>
            <w:shd w:val="clear" w:color="auto" w:fill="auto"/>
            <w:vAlign w:val="bottom"/>
          </w:tcPr>
          <w:p w:rsidR="001E7BB4" w:rsidRPr="007930B0" w:rsidRDefault="001E7BB4" w:rsidP="00CC4653">
            <w:pPr>
              <w:spacing w:before="40" w:after="40" w:line="220" w:lineRule="exact"/>
              <w:ind w:right="113"/>
              <w:jc w:val="right"/>
              <w:rPr>
                <w:sz w:val="18"/>
              </w:rPr>
            </w:pPr>
            <w:r w:rsidRPr="007930B0">
              <w:rPr>
                <w:sz w:val="18"/>
              </w:rPr>
              <w:t>252 504 UM</w:t>
            </w:r>
          </w:p>
        </w:tc>
      </w:tr>
    </w:tbl>
    <w:p w:rsidR="001E7BB4" w:rsidRPr="007930B0" w:rsidRDefault="001E7BB4" w:rsidP="00CC4653">
      <w:pPr>
        <w:spacing w:before="120" w:after="240" w:line="220" w:lineRule="exact"/>
        <w:ind w:left="1134" w:right="1134" w:firstLine="170"/>
        <w:rPr>
          <w:sz w:val="18"/>
          <w:szCs w:val="18"/>
        </w:rPr>
      </w:pPr>
      <w:r w:rsidRPr="007930B0">
        <w:rPr>
          <w:i/>
          <w:iCs/>
          <w:sz w:val="18"/>
          <w:szCs w:val="18"/>
        </w:rPr>
        <w:t>Fuente:</w:t>
      </w:r>
      <w:r w:rsidRPr="007930B0">
        <w:rPr>
          <w:sz w:val="18"/>
          <w:szCs w:val="18"/>
        </w:rPr>
        <w:t xml:space="preserve"> Oficina Nacional de Estadística – anuario estadístico 2006.</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566"/>
        <w:gridCol w:w="934"/>
        <w:gridCol w:w="935"/>
        <w:gridCol w:w="935"/>
      </w:tblGrid>
      <w:tr w:rsidR="001E7BB4" w:rsidRPr="007930B0">
        <w:trPr>
          <w:tblHeader/>
        </w:trPr>
        <w:tc>
          <w:tcPr>
            <w:tcW w:w="4566" w:type="dxa"/>
            <w:tcBorders>
              <w:top w:val="single" w:sz="4" w:space="0" w:color="auto"/>
              <w:bottom w:val="single" w:sz="12" w:space="0" w:color="auto"/>
            </w:tcBorders>
            <w:shd w:val="clear" w:color="auto" w:fill="auto"/>
            <w:vAlign w:val="bottom"/>
          </w:tcPr>
          <w:p w:rsidR="001E7BB4" w:rsidRPr="007930B0" w:rsidRDefault="001E7BB4" w:rsidP="00CC4653">
            <w:pPr>
              <w:spacing w:before="80" w:after="80" w:line="200" w:lineRule="exact"/>
              <w:ind w:right="113"/>
              <w:rPr>
                <w:i/>
                <w:sz w:val="16"/>
              </w:rPr>
            </w:pPr>
            <w:r w:rsidRPr="007930B0">
              <w:rPr>
                <w:i/>
                <w:sz w:val="16"/>
              </w:rPr>
              <w:t>Indicador</w:t>
            </w:r>
          </w:p>
        </w:tc>
        <w:tc>
          <w:tcPr>
            <w:tcW w:w="934" w:type="dxa"/>
            <w:tcBorders>
              <w:top w:val="single" w:sz="4" w:space="0" w:color="auto"/>
              <w:bottom w:val="single" w:sz="12" w:space="0" w:color="auto"/>
            </w:tcBorders>
            <w:shd w:val="clear" w:color="auto" w:fill="auto"/>
            <w:vAlign w:val="bottom"/>
          </w:tcPr>
          <w:p w:rsidR="001E7BB4" w:rsidRPr="007930B0" w:rsidRDefault="001E7BB4" w:rsidP="00CC4653">
            <w:pPr>
              <w:spacing w:before="80" w:after="80" w:line="200" w:lineRule="exact"/>
              <w:ind w:right="113"/>
              <w:jc w:val="right"/>
              <w:rPr>
                <w:i/>
                <w:sz w:val="16"/>
              </w:rPr>
            </w:pPr>
            <w:r w:rsidRPr="007930B0">
              <w:rPr>
                <w:i/>
                <w:sz w:val="16"/>
              </w:rPr>
              <w:t>2005</w:t>
            </w:r>
          </w:p>
        </w:tc>
        <w:tc>
          <w:tcPr>
            <w:tcW w:w="935" w:type="dxa"/>
            <w:tcBorders>
              <w:top w:val="single" w:sz="4" w:space="0" w:color="auto"/>
              <w:bottom w:val="single" w:sz="12" w:space="0" w:color="auto"/>
            </w:tcBorders>
            <w:shd w:val="clear" w:color="auto" w:fill="auto"/>
            <w:vAlign w:val="bottom"/>
          </w:tcPr>
          <w:p w:rsidR="001E7BB4" w:rsidRPr="007930B0" w:rsidRDefault="001E7BB4" w:rsidP="00CC4653">
            <w:pPr>
              <w:spacing w:before="80" w:after="80" w:line="200" w:lineRule="exact"/>
              <w:ind w:right="113"/>
              <w:jc w:val="right"/>
              <w:rPr>
                <w:i/>
                <w:sz w:val="16"/>
              </w:rPr>
            </w:pPr>
            <w:r w:rsidRPr="007930B0">
              <w:rPr>
                <w:i/>
                <w:sz w:val="16"/>
              </w:rPr>
              <w:t>2006</w:t>
            </w:r>
          </w:p>
        </w:tc>
        <w:tc>
          <w:tcPr>
            <w:tcW w:w="935" w:type="dxa"/>
            <w:tcBorders>
              <w:top w:val="single" w:sz="4" w:space="0" w:color="auto"/>
              <w:bottom w:val="single" w:sz="12" w:space="0" w:color="auto"/>
            </w:tcBorders>
            <w:shd w:val="clear" w:color="auto" w:fill="auto"/>
            <w:vAlign w:val="bottom"/>
          </w:tcPr>
          <w:p w:rsidR="001E7BB4" w:rsidRPr="007930B0" w:rsidRDefault="001E7BB4" w:rsidP="00CC4653">
            <w:pPr>
              <w:spacing w:before="80" w:after="80" w:line="200" w:lineRule="exact"/>
              <w:ind w:right="113"/>
              <w:jc w:val="right"/>
              <w:rPr>
                <w:i/>
                <w:sz w:val="16"/>
              </w:rPr>
            </w:pPr>
            <w:r w:rsidRPr="007930B0">
              <w:rPr>
                <w:i/>
                <w:sz w:val="16"/>
              </w:rPr>
              <w:t>2007</w:t>
            </w:r>
          </w:p>
        </w:tc>
      </w:tr>
      <w:tr w:rsidR="001E7BB4" w:rsidRPr="007930B0">
        <w:tc>
          <w:tcPr>
            <w:tcW w:w="4566" w:type="dxa"/>
            <w:tcBorders>
              <w:top w:val="single" w:sz="12" w:space="0" w:color="auto"/>
            </w:tcBorders>
            <w:shd w:val="clear" w:color="auto" w:fill="auto"/>
          </w:tcPr>
          <w:p w:rsidR="001E7BB4" w:rsidRPr="007930B0" w:rsidRDefault="001E7BB4" w:rsidP="00CC4653">
            <w:pPr>
              <w:spacing w:before="40" w:after="40" w:line="220" w:lineRule="exact"/>
              <w:ind w:right="113"/>
              <w:rPr>
                <w:sz w:val="18"/>
              </w:rPr>
            </w:pPr>
            <w:r w:rsidRPr="007930B0">
              <w:rPr>
                <w:sz w:val="18"/>
              </w:rPr>
              <w:t>Tasa de crecimiento económico sin considerar el petróleo</w:t>
            </w:r>
          </w:p>
        </w:tc>
        <w:tc>
          <w:tcPr>
            <w:tcW w:w="934" w:type="dxa"/>
            <w:tcBorders>
              <w:top w:val="single" w:sz="12" w:space="0" w:color="auto"/>
            </w:tcBorders>
            <w:shd w:val="clear" w:color="auto" w:fill="auto"/>
            <w:vAlign w:val="bottom"/>
          </w:tcPr>
          <w:p w:rsidR="001E7BB4" w:rsidRPr="007930B0" w:rsidRDefault="001E7BB4" w:rsidP="00CC4653">
            <w:pPr>
              <w:spacing w:before="40" w:after="40" w:line="220" w:lineRule="exact"/>
              <w:ind w:right="113"/>
              <w:jc w:val="right"/>
              <w:rPr>
                <w:sz w:val="18"/>
              </w:rPr>
            </w:pPr>
            <w:r w:rsidRPr="007930B0">
              <w:rPr>
                <w:sz w:val="18"/>
              </w:rPr>
              <w:t>5,4%</w:t>
            </w:r>
          </w:p>
        </w:tc>
        <w:tc>
          <w:tcPr>
            <w:tcW w:w="935" w:type="dxa"/>
            <w:tcBorders>
              <w:top w:val="single" w:sz="12" w:space="0" w:color="auto"/>
            </w:tcBorders>
            <w:shd w:val="clear" w:color="auto" w:fill="auto"/>
            <w:vAlign w:val="bottom"/>
          </w:tcPr>
          <w:p w:rsidR="001E7BB4" w:rsidRPr="007930B0" w:rsidRDefault="001E7BB4" w:rsidP="00CC4653">
            <w:pPr>
              <w:spacing w:before="40" w:after="40" w:line="220" w:lineRule="exact"/>
              <w:ind w:right="113"/>
              <w:jc w:val="right"/>
              <w:rPr>
                <w:sz w:val="18"/>
              </w:rPr>
            </w:pPr>
            <w:r w:rsidRPr="007930B0">
              <w:rPr>
                <w:sz w:val="18"/>
              </w:rPr>
              <w:t>4,1%</w:t>
            </w:r>
          </w:p>
        </w:tc>
        <w:tc>
          <w:tcPr>
            <w:tcW w:w="935" w:type="dxa"/>
            <w:tcBorders>
              <w:top w:val="single" w:sz="12" w:space="0" w:color="auto"/>
            </w:tcBorders>
            <w:shd w:val="clear" w:color="auto" w:fill="auto"/>
            <w:vAlign w:val="bottom"/>
          </w:tcPr>
          <w:p w:rsidR="001E7BB4" w:rsidRPr="007930B0" w:rsidRDefault="001E7BB4" w:rsidP="00CC4653">
            <w:pPr>
              <w:spacing w:before="40" w:after="40" w:line="220" w:lineRule="exact"/>
              <w:ind w:right="113"/>
              <w:jc w:val="right"/>
              <w:rPr>
                <w:sz w:val="18"/>
              </w:rPr>
            </w:pPr>
            <w:r w:rsidRPr="007930B0">
              <w:rPr>
                <w:sz w:val="18"/>
              </w:rPr>
              <w:t>5,9%</w:t>
            </w:r>
          </w:p>
        </w:tc>
      </w:tr>
      <w:tr w:rsidR="001E7BB4" w:rsidRPr="007930B0">
        <w:tc>
          <w:tcPr>
            <w:tcW w:w="4566" w:type="dxa"/>
            <w:shd w:val="clear" w:color="auto" w:fill="auto"/>
          </w:tcPr>
          <w:p w:rsidR="001E7BB4" w:rsidRPr="007930B0" w:rsidRDefault="001E7BB4" w:rsidP="00CC4653">
            <w:pPr>
              <w:spacing w:before="40" w:after="40" w:line="220" w:lineRule="exact"/>
              <w:ind w:right="113"/>
              <w:rPr>
                <w:sz w:val="18"/>
              </w:rPr>
            </w:pPr>
            <w:r w:rsidRPr="007930B0">
              <w:rPr>
                <w:sz w:val="18"/>
              </w:rPr>
              <w:t>Tasa de crecimiento económico incluido el petróleo</w:t>
            </w:r>
          </w:p>
        </w:tc>
        <w:tc>
          <w:tcPr>
            <w:tcW w:w="934" w:type="dxa"/>
            <w:shd w:val="clear" w:color="auto" w:fill="auto"/>
            <w:vAlign w:val="bottom"/>
          </w:tcPr>
          <w:p w:rsidR="001E7BB4" w:rsidRPr="007930B0" w:rsidRDefault="001E7BB4" w:rsidP="00CC4653">
            <w:pPr>
              <w:spacing w:before="40" w:after="40" w:line="220" w:lineRule="exact"/>
              <w:ind w:right="113"/>
              <w:jc w:val="right"/>
              <w:rPr>
                <w:sz w:val="18"/>
              </w:rPr>
            </w:pPr>
          </w:p>
        </w:tc>
        <w:tc>
          <w:tcPr>
            <w:tcW w:w="935" w:type="dxa"/>
            <w:shd w:val="clear" w:color="auto" w:fill="auto"/>
            <w:vAlign w:val="bottom"/>
          </w:tcPr>
          <w:p w:rsidR="001E7BB4" w:rsidRPr="007930B0" w:rsidRDefault="001E7BB4" w:rsidP="00CC4653">
            <w:pPr>
              <w:spacing w:before="40" w:after="40" w:line="220" w:lineRule="exact"/>
              <w:ind w:right="113"/>
              <w:jc w:val="right"/>
              <w:rPr>
                <w:sz w:val="18"/>
              </w:rPr>
            </w:pPr>
            <w:r w:rsidRPr="007930B0">
              <w:rPr>
                <w:sz w:val="18"/>
              </w:rPr>
              <w:t>11,4%</w:t>
            </w:r>
          </w:p>
        </w:tc>
        <w:tc>
          <w:tcPr>
            <w:tcW w:w="935" w:type="dxa"/>
            <w:shd w:val="clear" w:color="auto" w:fill="auto"/>
            <w:vAlign w:val="bottom"/>
          </w:tcPr>
          <w:p w:rsidR="001E7BB4" w:rsidRPr="007930B0" w:rsidRDefault="001E7BB4" w:rsidP="00CC4653">
            <w:pPr>
              <w:spacing w:before="40" w:after="40" w:line="220" w:lineRule="exact"/>
              <w:ind w:right="113"/>
              <w:jc w:val="right"/>
              <w:rPr>
                <w:sz w:val="18"/>
              </w:rPr>
            </w:pPr>
          </w:p>
        </w:tc>
      </w:tr>
      <w:tr w:rsidR="001E7BB4" w:rsidRPr="007930B0">
        <w:tc>
          <w:tcPr>
            <w:tcW w:w="4566" w:type="dxa"/>
            <w:shd w:val="clear" w:color="auto" w:fill="auto"/>
          </w:tcPr>
          <w:p w:rsidR="001E7BB4" w:rsidRPr="007930B0" w:rsidRDefault="001E7BB4" w:rsidP="00CC4653">
            <w:pPr>
              <w:spacing w:before="40" w:after="40" w:line="220" w:lineRule="exact"/>
              <w:ind w:right="113"/>
              <w:rPr>
                <w:sz w:val="18"/>
              </w:rPr>
            </w:pPr>
            <w:r w:rsidRPr="007930B0">
              <w:rPr>
                <w:sz w:val="18"/>
              </w:rPr>
              <w:t>Inflación</w:t>
            </w:r>
          </w:p>
        </w:tc>
        <w:tc>
          <w:tcPr>
            <w:tcW w:w="934" w:type="dxa"/>
            <w:shd w:val="clear" w:color="auto" w:fill="auto"/>
            <w:vAlign w:val="bottom"/>
          </w:tcPr>
          <w:p w:rsidR="001E7BB4" w:rsidRPr="007930B0" w:rsidRDefault="001E7BB4" w:rsidP="00CC4653">
            <w:pPr>
              <w:spacing w:before="40" w:after="40" w:line="220" w:lineRule="exact"/>
              <w:ind w:right="113"/>
              <w:jc w:val="right"/>
              <w:rPr>
                <w:sz w:val="18"/>
              </w:rPr>
            </w:pPr>
            <w:r w:rsidRPr="007930B0">
              <w:rPr>
                <w:sz w:val="18"/>
              </w:rPr>
              <w:t>12,1%</w:t>
            </w:r>
          </w:p>
        </w:tc>
        <w:tc>
          <w:tcPr>
            <w:tcW w:w="935" w:type="dxa"/>
            <w:shd w:val="clear" w:color="auto" w:fill="auto"/>
            <w:vAlign w:val="bottom"/>
          </w:tcPr>
          <w:p w:rsidR="001E7BB4" w:rsidRPr="007930B0" w:rsidRDefault="001E7BB4" w:rsidP="00CC4653">
            <w:pPr>
              <w:spacing w:before="40" w:after="40" w:line="220" w:lineRule="exact"/>
              <w:ind w:right="113"/>
              <w:jc w:val="right"/>
              <w:rPr>
                <w:sz w:val="18"/>
              </w:rPr>
            </w:pPr>
            <w:r w:rsidRPr="007930B0">
              <w:rPr>
                <w:sz w:val="18"/>
              </w:rPr>
              <w:t>6,2%</w:t>
            </w:r>
          </w:p>
        </w:tc>
        <w:tc>
          <w:tcPr>
            <w:tcW w:w="935" w:type="dxa"/>
            <w:shd w:val="clear" w:color="auto" w:fill="auto"/>
            <w:vAlign w:val="bottom"/>
          </w:tcPr>
          <w:p w:rsidR="001E7BB4" w:rsidRPr="007930B0" w:rsidRDefault="001E7BB4" w:rsidP="00CC4653">
            <w:pPr>
              <w:spacing w:before="40" w:after="40" w:line="220" w:lineRule="exact"/>
              <w:ind w:right="113"/>
              <w:jc w:val="right"/>
              <w:rPr>
                <w:sz w:val="18"/>
              </w:rPr>
            </w:pPr>
            <w:r w:rsidRPr="007930B0">
              <w:rPr>
                <w:sz w:val="18"/>
              </w:rPr>
              <w:t>7,3%</w:t>
            </w:r>
          </w:p>
        </w:tc>
      </w:tr>
      <w:tr w:rsidR="001E7BB4" w:rsidRPr="007930B0">
        <w:tc>
          <w:tcPr>
            <w:tcW w:w="4566" w:type="dxa"/>
            <w:shd w:val="clear" w:color="auto" w:fill="auto"/>
          </w:tcPr>
          <w:p w:rsidR="001E7BB4" w:rsidRPr="007930B0" w:rsidRDefault="001E7BB4" w:rsidP="00CC4653">
            <w:pPr>
              <w:spacing w:before="40" w:after="40" w:line="220" w:lineRule="exact"/>
              <w:ind w:right="113"/>
              <w:rPr>
                <w:sz w:val="18"/>
              </w:rPr>
            </w:pPr>
            <w:r w:rsidRPr="007930B0">
              <w:rPr>
                <w:sz w:val="18"/>
              </w:rPr>
              <w:t>Gasto público como porcentaje del PIB</w:t>
            </w:r>
          </w:p>
        </w:tc>
        <w:tc>
          <w:tcPr>
            <w:tcW w:w="934" w:type="dxa"/>
            <w:shd w:val="clear" w:color="auto" w:fill="auto"/>
            <w:vAlign w:val="bottom"/>
          </w:tcPr>
          <w:p w:rsidR="001E7BB4" w:rsidRPr="007930B0" w:rsidRDefault="001E7BB4" w:rsidP="00CC4653">
            <w:pPr>
              <w:spacing w:before="40" w:after="40" w:line="220" w:lineRule="exact"/>
              <w:ind w:right="113"/>
              <w:jc w:val="right"/>
              <w:rPr>
                <w:sz w:val="18"/>
              </w:rPr>
            </w:pPr>
          </w:p>
        </w:tc>
        <w:tc>
          <w:tcPr>
            <w:tcW w:w="935" w:type="dxa"/>
            <w:shd w:val="clear" w:color="auto" w:fill="auto"/>
            <w:vAlign w:val="bottom"/>
          </w:tcPr>
          <w:p w:rsidR="001E7BB4" w:rsidRPr="007930B0" w:rsidRDefault="001E7BB4" w:rsidP="00CC4653">
            <w:pPr>
              <w:spacing w:before="40" w:after="40" w:line="220" w:lineRule="exact"/>
              <w:ind w:right="113"/>
              <w:jc w:val="right"/>
              <w:rPr>
                <w:sz w:val="18"/>
              </w:rPr>
            </w:pPr>
            <w:r w:rsidRPr="007930B0">
              <w:rPr>
                <w:sz w:val="18"/>
              </w:rPr>
              <w:t>36,5%</w:t>
            </w:r>
          </w:p>
        </w:tc>
        <w:tc>
          <w:tcPr>
            <w:tcW w:w="935" w:type="dxa"/>
            <w:shd w:val="clear" w:color="auto" w:fill="auto"/>
            <w:vAlign w:val="bottom"/>
          </w:tcPr>
          <w:p w:rsidR="001E7BB4" w:rsidRPr="007930B0" w:rsidRDefault="001E7BB4" w:rsidP="00CC4653">
            <w:pPr>
              <w:spacing w:before="40" w:after="40" w:line="220" w:lineRule="exact"/>
              <w:ind w:right="113"/>
              <w:jc w:val="right"/>
              <w:rPr>
                <w:sz w:val="18"/>
              </w:rPr>
            </w:pPr>
            <w:r w:rsidRPr="007930B0">
              <w:rPr>
                <w:sz w:val="18"/>
              </w:rPr>
              <w:t>32,3%</w:t>
            </w:r>
          </w:p>
        </w:tc>
      </w:tr>
      <w:tr w:rsidR="001E7BB4" w:rsidRPr="007930B0">
        <w:tc>
          <w:tcPr>
            <w:tcW w:w="4566" w:type="dxa"/>
            <w:shd w:val="clear" w:color="auto" w:fill="auto"/>
          </w:tcPr>
          <w:p w:rsidR="001E7BB4" w:rsidRPr="007930B0" w:rsidRDefault="001E7BB4" w:rsidP="00CC4653">
            <w:pPr>
              <w:spacing w:before="40" w:after="40" w:line="220" w:lineRule="exact"/>
              <w:ind w:right="113"/>
              <w:rPr>
                <w:sz w:val="18"/>
              </w:rPr>
            </w:pPr>
            <w:r w:rsidRPr="007930B0">
              <w:rPr>
                <w:sz w:val="18"/>
              </w:rPr>
              <w:t>Saldo fiscal global</w:t>
            </w:r>
            <w:r w:rsidRPr="007930B0">
              <w:rPr>
                <w:sz w:val="18"/>
              </w:rPr>
              <w:br/>
              <w:t>(en miles de millones de ouguiyas)</w:t>
            </w:r>
          </w:p>
        </w:tc>
        <w:tc>
          <w:tcPr>
            <w:tcW w:w="934" w:type="dxa"/>
            <w:shd w:val="clear" w:color="auto" w:fill="auto"/>
            <w:vAlign w:val="bottom"/>
          </w:tcPr>
          <w:p w:rsidR="001E7BB4" w:rsidRPr="007930B0" w:rsidRDefault="001E7BB4" w:rsidP="00CC4653">
            <w:pPr>
              <w:spacing w:before="40" w:after="40" w:line="220" w:lineRule="exact"/>
              <w:ind w:right="113"/>
              <w:jc w:val="right"/>
              <w:rPr>
                <w:sz w:val="18"/>
              </w:rPr>
            </w:pPr>
          </w:p>
        </w:tc>
        <w:tc>
          <w:tcPr>
            <w:tcW w:w="935" w:type="dxa"/>
            <w:shd w:val="clear" w:color="auto" w:fill="auto"/>
            <w:vAlign w:val="bottom"/>
          </w:tcPr>
          <w:p w:rsidR="001E7BB4" w:rsidRPr="007930B0" w:rsidRDefault="001E7BB4" w:rsidP="00CC4653">
            <w:pPr>
              <w:spacing w:before="40" w:after="40" w:line="220" w:lineRule="exact"/>
              <w:ind w:right="113"/>
              <w:jc w:val="right"/>
              <w:rPr>
                <w:sz w:val="18"/>
              </w:rPr>
            </w:pPr>
            <w:r w:rsidRPr="007930B0">
              <w:rPr>
                <w:sz w:val="18"/>
              </w:rPr>
              <w:t>260,1</w:t>
            </w:r>
          </w:p>
        </w:tc>
        <w:tc>
          <w:tcPr>
            <w:tcW w:w="935" w:type="dxa"/>
            <w:shd w:val="clear" w:color="auto" w:fill="auto"/>
            <w:vAlign w:val="bottom"/>
          </w:tcPr>
          <w:p w:rsidR="001E7BB4" w:rsidRPr="007930B0" w:rsidRDefault="001E7BB4" w:rsidP="00CC4653">
            <w:pPr>
              <w:spacing w:before="40" w:after="40" w:line="220" w:lineRule="exact"/>
              <w:ind w:right="113"/>
              <w:jc w:val="right"/>
              <w:rPr>
                <w:sz w:val="18"/>
              </w:rPr>
            </w:pPr>
            <w:r w:rsidRPr="007930B0">
              <w:rPr>
                <w:sz w:val="18"/>
              </w:rPr>
              <w:t>-13,6</w:t>
            </w:r>
          </w:p>
        </w:tc>
      </w:tr>
      <w:tr w:rsidR="001E7BB4" w:rsidRPr="007930B0">
        <w:tc>
          <w:tcPr>
            <w:tcW w:w="4566" w:type="dxa"/>
            <w:shd w:val="clear" w:color="auto" w:fill="auto"/>
          </w:tcPr>
          <w:p w:rsidR="001E7BB4" w:rsidRPr="007930B0" w:rsidRDefault="001E7BB4" w:rsidP="00CC4653">
            <w:pPr>
              <w:spacing w:before="40" w:after="40" w:line="220" w:lineRule="exact"/>
              <w:ind w:right="113"/>
              <w:rPr>
                <w:sz w:val="18"/>
              </w:rPr>
            </w:pPr>
            <w:r w:rsidRPr="007930B0">
              <w:rPr>
                <w:sz w:val="18"/>
              </w:rPr>
              <w:t>Saldo fiscal global</w:t>
            </w:r>
            <w:r w:rsidRPr="007930B0">
              <w:rPr>
                <w:sz w:val="18"/>
              </w:rPr>
              <w:br/>
              <w:t>(como porcentaje del PIB)</w:t>
            </w:r>
          </w:p>
        </w:tc>
        <w:tc>
          <w:tcPr>
            <w:tcW w:w="934" w:type="dxa"/>
            <w:shd w:val="clear" w:color="auto" w:fill="auto"/>
            <w:vAlign w:val="bottom"/>
          </w:tcPr>
          <w:p w:rsidR="001E7BB4" w:rsidRPr="007930B0" w:rsidRDefault="001E7BB4" w:rsidP="00CC4653">
            <w:pPr>
              <w:spacing w:before="40" w:after="40" w:line="220" w:lineRule="exact"/>
              <w:ind w:right="113"/>
              <w:jc w:val="right"/>
              <w:rPr>
                <w:sz w:val="18"/>
              </w:rPr>
            </w:pPr>
          </w:p>
        </w:tc>
        <w:tc>
          <w:tcPr>
            <w:tcW w:w="935" w:type="dxa"/>
            <w:shd w:val="clear" w:color="auto" w:fill="auto"/>
            <w:vAlign w:val="bottom"/>
          </w:tcPr>
          <w:p w:rsidR="001E7BB4" w:rsidRPr="007930B0" w:rsidRDefault="001E7BB4" w:rsidP="00CC4653">
            <w:pPr>
              <w:spacing w:before="40" w:after="40" w:line="220" w:lineRule="exact"/>
              <w:ind w:right="113"/>
              <w:jc w:val="right"/>
              <w:rPr>
                <w:sz w:val="18"/>
              </w:rPr>
            </w:pPr>
            <w:r w:rsidRPr="007930B0">
              <w:rPr>
                <w:sz w:val="18"/>
              </w:rPr>
              <w:t>+46%</w:t>
            </w:r>
          </w:p>
        </w:tc>
        <w:tc>
          <w:tcPr>
            <w:tcW w:w="935" w:type="dxa"/>
            <w:shd w:val="clear" w:color="auto" w:fill="auto"/>
            <w:vAlign w:val="bottom"/>
          </w:tcPr>
          <w:p w:rsidR="001E7BB4" w:rsidRPr="007930B0" w:rsidRDefault="001E7BB4" w:rsidP="00CC4653">
            <w:pPr>
              <w:spacing w:before="40" w:after="40" w:line="220" w:lineRule="exact"/>
              <w:ind w:right="113"/>
              <w:jc w:val="right"/>
              <w:rPr>
                <w:sz w:val="18"/>
              </w:rPr>
            </w:pPr>
            <w:r w:rsidRPr="007930B0">
              <w:rPr>
                <w:sz w:val="18"/>
              </w:rPr>
              <w:t>-2%</w:t>
            </w:r>
          </w:p>
        </w:tc>
      </w:tr>
      <w:tr w:rsidR="001E7BB4" w:rsidRPr="007930B0">
        <w:tc>
          <w:tcPr>
            <w:tcW w:w="4566" w:type="dxa"/>
            <w:shd w:val="clear" w:color="auto" w:fill="auto"/>
          </w:tcPr>
          <w:p w:rsidR="001E7BB4" w:rsidRPr="007930B0" w:rsidRDefault="001E7BB4" w:rsidP="00CC4653">
            <w:pPr>
              <w:spacing w:before="40" w:after="40" w:line="220" w:lineRule="exact"/>
              <w:ind w:right="113"/>
              <w:rPr>
                <w:sz w:val="18"/>
              </w:rPr>
            </w:pPr>
            <w:r w:rsidRPr="007930B0">
              <w:rPr>
                <w:sz w:val="18"/>
              </w:rPr>
              <w:t>Saldo de la balanza comercial</w:t>
            </w:r>
            <w:r w:rsidRPr="007930B0">
              <w:rPr>
                <w:sz w:val="18"/>
              </w:rPr>
              <w:br/>
              <w:t>(en miles de millones de ouguiyas)</w:t>
            </w:r>
          </w:p>
        </w:tc>
        <w:tc>
          <w:tcPr>
            <w:tcW w:w="934" w:type="dxa"/>
            <w:shd w:val="clear" w:color="auto" w:fill="auto"/>
            <w:vAlign w:val="bottom"/>
          </w:tcPr>
          <w:p w:rsidR="001E7BB4" w:rsidRPr="007930B0" w:rsidRDefault="001E7BB4" w:rsidP="00CC4653">
            <w:pPr>
              <w:spacing w:before="40" w:after="40" w:line="220" w:lineRule="exact"/>
              <w:ind w:right="113"/>
              <w:jc w:val="right"/>
              <w:rPr>
                <w:sz w:val="18"/>
              </w:rPr>
            </w:pPr>
            <w:r w:rsidRPr="007930B0">
              <w:rPr>
                <w:sz w:val="18"/>
              </w:rPr>
              <w:t>-215,7</w:t>
            </w:r>
          </w:p>
        </w:tc>
        <w:tc>
          <w:tcPr>
            <w:tcW w:w="935" w:type="dxa"/>
            <w:shd w:val="clear" w:color="auto" w:fill="auto"/>
            <w:vAlign w:val="bottom"/>
          </w:tcPr>
          <w:p w:rsidR="001E7BB4" w:rsidRPr="007930B0" w:rsidRDefault="001E7BB4" w:rsidP="00CC4653">
            <w:pPr>
              <w:spacing w:before="40" w:after="40" w:line="220" w:lineRule="exact"/>
              <w:ind w:right="113"/>
              <w:jc w:val="right"/>
              <w:rPr>
                <w:sz w:val="18"/>
              </w:rPr>
            </w:pPr>
            <w:r w:rsidRPr="007930B0">
              <w:rPr>
                <w:sz w:val="18"/>
              </w:rPr>
              <w:t>53,7</w:t>
            </w:r>
          </w:p>
        </w:tc>
        <w:tc>
          <w:tcPr>
            <w:tcW w:w="935" w:type="dxa"/>
            <w:shd w:val="clear" w:color="auto" w:fill="auto"/>
            <w:vAlign w:val="bottom"/>
          </w:tcPr>
          <w:p w:rsidR="001E7BB4" w:rsidRPr="007930B0" w:rsidRDefault="001E7BB4" w:rsidP="00CC4653">
            <w:pPr>
              <w:spacing w:before="40" w:after="40" w:line="220" w:lineRule="exact"/>
              <w:ind w:right="113"/>
              <w:jc w:val="right"/>
              <w:rPr>
                <w:sz w:val="18"/>
              </w:rPr>
            </w:pPr>
            <w:r w:rsidRPr="007930B0">
              <w:rPr>
                <w:sz w:val="18"/>
              </w:rPr>
              <w:t>23,5</w:t>
            </w:r>
          </w:p>
        </w:tc>
      </w:tr>
      <w:tr w:rsidR="001E7BB4" w:rsidRPr="007930B0">
        <w:tc>
          <w:tcPr>
            <w:tcW w:w="4566" w:type="dxa"/>
            <w:shd w:val="clear" w:color="auto" w:fill="auto"/>
          </w:tcPr>
          <w:p w:rsidR="001E7BB4" w:rsidRPr="007930B0" w:rsidRDefault="001E7BB4" w:rsidP="00CC4653">
            <w:pPr>
              <w:spacing w:before="40" w:after="40" w:line="220" w:lineRule="exact"/>
              <w:ind w:right="113"/>
              <w:rPr>
                <w:sz w:val="18"/>
              </w:rPr>
            </w:pPr>
            <w:r w:rsidRPr="007930B0">
              <w:rPr>
                <w:sz w:val="18"/>
              </w:rPr>
              <w:t>Saldo de la balanza de pagos</w:t>
            </w:r>
            <w:r w:rsidRPr="007930B0">
              <w:rPr>
                <w:sz w:val="18"/>
              </w:rPr>
              <w:br/>
              <w:t xml:space="preserve">(en miles de millones de ouguiyas) </w:t>
            </w:r>
          </w:p>
        </w:tc>
        <w:tc>
          <w:tcPr>
            <w:tcW w:w="934" w:type="dxa"/>
            <w:shd w:val="clear" w:color="auto" w:fill="auto"/>
            <w:vAlign w:val="bottom"/>
          </w:tcPr>
          <w:p w:rsidR="001E7BB4" w:rsidRPr="007930B0" w:rsidRDefault="001E7BB4" w:rsidP="00CC4653">
            <w:pPr>
              <w:spacing w:before="40" w:after="40" w:line="220" w:lineRule="exact"/>
              <w:ind w:right="113"/>
              <w:jc w:val="right"/>
              <w:rPr>
                <w:sz w:val="18"/>
              </w:rPr>
            </w:pPr>
            <w:r w:rsidRPr="007930B0">
              <w:rPr>
                <w:sz w:val="18"/>
              </w:rPr>
              <w:t>-19,5</w:t>
            </w:r>
          </w:p>
        </w:tc>
        <w:tc>
          <w:tcPr>
            <w:tcW w:w="935" w:type="dxa"/>
            <w:shd w:val="clear" w:color="auto" w:fill="auto"/>
            <w:vAlign w:val="bottom"/>
          </w:tcPr>
          <w:p w:rsidR="001E7BB4" w:rsidRPr="007930B0" w:rsidRDefault="001E7BB4" w:rsidP="00CC4653">
            <w:pPr>
              <w:spacing w:before="40" w:after="40" w:line="220" w:lineRule="exact"/>
              <w:ind w:right="113"/>
              <w:jc w:val="right"/>
              <w:rPr>
                <w:sz w:val="18"/>
              </w:rPr>
            </w:pPr>
            <w:r w:rsidRPr="007930B0">
              <w:rPr>
                <w:sz w:val="18"/>
              </w:rPr>
              <w:t>76</w:t>
            </w:r>
          </w:p>
        </w:tc>
        <w:tc>
          <w:tcPr>
            <w:tcW w:w="935" w:type="dxa"/>
            <w:shd w:val="clear" w:color="auto" w:fill="auto"/>
            <w:vAlign w:val="bottom"/>
          </w:tcPr>
          <w:p w:rsidR="001E7BB4" w:rsidRPr="007930B0" w:rsidRDefault="001E7BB4" w:rsidP="00CC4653">
            <w:pPr>
              <w:spacing w:before="40" w:after="40" w:line="220" w:lineRule="exact"/>
              <w:ind w:right="113"/>
              <w:jc w:val="right"/>
              <w:rPr>
                <w:sz w:val="18"/>
              </w:rPr>
            </w:pPr>
            <w:r w:rsidRPr="007930B0">
              <w:rPr>
                <w:sz w:val="18"/>
              </w:rPr>
              <w:t>16</w:t>
            </w:r>
          </w:p>
        </w:tc>
      </w:tr>
      <w:tr w:rsidR="001E7BB4" w:rsidRPr="007930B0">
        <w:tc>
          <w:tcPr>
            <w:tcW w:w="4566" w:type="dxa"/>
            <w:shd w:val="clear" w:color="auto" w:fill="auto"/>
          </w:tcPr>
          <w:p w:rsidR="001E7BB4" w:rsidRPr="007930B0" w:rsidRDefault="00CC4653" w:rsidP="00CC4653">
            <w:pPr>
              <w:spacing w:before="40" w:after="40" w:line="220" w:lineRule="exact"/>
              <w:ind w:right="113"/>
              <w:rPr>
                <w:sz w:val="18"/>
              </w:rPr>
            </w:pPr>
            <w:r w:rsidRPr="007930B0">
              <w:rPr>
                <w:sz w:val="18"/>
              </w:rPr>
              <w:t>Saldo de la balanza de pagos</w:t>
            </w:r>
            <w:r w:rsidRPr="007930B0">
              <w:rPr>
                <w:sz w:val="18"/>
              </w:rPr>
              <w:br/>
            </w:r>
            <w:r w:rsidR="001E7BB4" w:rsidRPr="007930B0">
              <w:rPr>
                <w:sz w:val="18"/>
              </w:rPr>
              <w:t>(como porcentaje del PIB)</w:t>
            </w:r>
          </w:p>
        </w:tc>
        <w:tc>
          <w:tcPr>
            <w:tcW w:w="934" w:type="dxa"/>
            <w:shd w:val="clear" w:color="auto" w:fill="auto"/>
            <w:vAlign w:val="bottom"/>
          </w:tcPr>
          <w:p w:rsidR="001E7BB4" w:rsidRPr="007930B0" w:rsidRDefault="001E7BB4" w:rsidP="00CC4653">
            <w:pPr>
              <w:spacing w:before="40" w:after="40" w:line="220" w:lineRule="exact"/>
              <w:ind w:right="113"/>
              <w:jc w:val="right"/>
              <w:rPr>
                <w:sz w:val="18"/>
              </w:rPr>
            </w:pPr>
            <w:r w:rsidRPr="007930B0">
              <w:rPr>
                <w:sz w:val="18"/>
              </w:rPr>
              <w:t>-4%</w:t>
            </w:r>
          </w:p>
        </w:tc>
        <w:tc>
          <w:tcPr>
            <w:tcW w:w="935" w:type="dxa"/>
            <w:shd w:val="clear" w:color="auto" w:fill="auto"/>
            <w:vAlign w:val="bottom"/>
          </w:tcPr>
          <w:p w:rsidR="001E7BB4" w:rsidRPr="007930B0" w:rsidRDefault="001E7BB4" w:rsidP="00CC4653">
            <w:pPr>
              <w:spacing w:before="40" w:after="40" w:line="220" w:lineRule="exact"/>
              <w:ind w:right="113"/>
              <w:jc w:val="right"/>
              <w:rPr>
                <w:sz w:val="18"/>
              </w:rPr>
            </w:pPr>
            <w:r w:rsidRPr="007930B0">
              <w:rPr>
                <w:sz w:val="18"/>
              </w:rPr>
              <w:t>10,5%</w:t>
            </w:r>
          </w:p>
        </w:tc>
        <w:tc>
          <w:tcPr>
            <w:tcW w:w="935" w:type="dxa"/>
            <w:shd w:val="clear" w:color="auto" w:fill="auto"/>
            <w:vAlign w:val="bottom"/>
          </w:tcPr>
          <w:p w:rsidR="001E7BB4" w:rsidRPr="007930B0" w:rsidRDefault="001E7BB4" w:rsidP="00CC4653">
            <w:pPr>
              <w:spacing w:before="40" w:after="40" w:line="220" w:lineRule="exact"/>
              <w:ind w:right="113"/>
              <w:jc w:val="right"/>
              <w:rPr>
                <w:sz w:val="18"/>
              </w:rPr>
            </w:pPr>
            <w:r w:rsidRPr="007930B0">
              <w:rPr>
                <w:sz w:val="18"/>
              </w:rPr>
              <w:t>0,6%</w:t>
            </w:r>
          </w:p>
        </w:tc>
      </w:tr>
    </w:tbl>
    <w:p w:rsidR="001E7BB4" w:rsidRPr="007930B0" w:rsidRDefault="001E7BB4" w:rsidP="00CC4653">
      <w:pPr>
        <w:spacing w:before="120" w:after="240" w:line="220" w:lineRule="exact"/>
        <w:ind w:left="1134" w:right="1134" w:firstLine="170"/>
        <w:rPr>
          <w:sz w:val="18"/>
          <w:szCs w:val="18"/>
        </w:rPr>
      </w:pPr>
      <w:r w:rsidRPr="007930B0">
        <w:rPr>
          <w:i/>
          <w:iCs/>
          <w:sz w:val="18"/>
          <w:szCs w:val="18"/>
        </w:rPr>
        <w:t>Fuente:</w:t>
      </w:r>
      <w:r w:rsidRPr="007930B0">
        <w:rPr>
          <w:sz w:val="18"/>
          <w:szCs w:val="18"/>
        </w:rPr>
        <w:t xml:space="preserve"> Informe sobre la aplicación del marco estratégico de lucha contra la pobreza e Informe nacional sobre el desarrollo humano sostenible.</w:t>
      </w:r>
    </w:p>
    <w:p w:rsidR="001E7BB4" w:rsidRPr="007930B0" w:rsidRDefault="001E7BB4" w:rsidP="00CC4653">
      <w:pPr>
        <w:pStyle w:val="H23G"/>
        <w:rPr>
          <w:lang w:val="es-ES"/>
        </w:rPr>
      </w:pPr>
      <w:r w:rsidRPr="007930B0">
        <w:rPr>
          <w:lang w:val="es-ES"/>
        </w:rPr>
        <w:tab/>
        <w:t>4.</w:t>
      </w:r>
      <w:r w:rsidRPr="007930B0">
        <w:rPr>
          <w:lang w:val="es-ES"/>
        </w:rPr>
        <w:tab/>
        <w:t xml:space="preserve">Evolución política e institucional </w:t>
      </w:r>
    </w:p>
    <w:p w:rsidR="001E7BB4" w:rsidRPr="007930B0" w:rsidRDefault="001E7BB4" w:rsidP="00B56B34">
      <w:pPr>
        <w:pStyle w:val="SingleTxtG"/>
        <w:rPr>
          <w:lang w:val="es-ES"/>
        </w:rPr>
      </w:pPr>
      <w:r w:rsidRPr="007930B0">
        <w:rPr>
          <w:lang w:val="es-ES"/>
        </w:rPr>
        <w:t>17.</w:t>
      </w:r>
      <w:r w:rsidRPr="007930B0">
        <w:rPr>
          <w:lang w:val="es-ES"/>
        </w:rPr>
        <w:tab/>
        <w:t>La colonización de Mauritania fue breve, turbulenta, tardía y superficial. Mauritania fue creada, con sus fronteras actuales, en virtud del Tratado de París de 29 de junio de 1900, pero la anexión del territorio, que generó un fuerte movimiento de resistencia nacional, no finalizó hasta 1935. Tras varias modificaciones en el marco del sistema colonial, el país aprobó su primera Constitución el 22 de marzo de 1959.</w:t>
      </w:r>
    </w:p>
    <w:p w:rsidR="001E7BB4" w:rsidRPr="007930B0" w:rsidRDefault="001E7BB4" w:rsidP="00B56B34">
      <w:pPr>
        <w:pStyle w:val="SingleTxtG"/>
        <w:rPr>
          <w:lang w:val="es-ES"/>
        </w:rPr>
      </w:pPr>
      <w:r w:rsidRPr="007930B0">
        <w:rPr>
          <w:lang w:val="es-ES"/>
        </w:rPr>
        <w:t>18.</w:t>
      </w:r>
      <w:r w:rsidRPr="007930B0">
        <w:rPr>
          <w:lang w:val="es-ES"/>
        </w:rPr>
        <w:tab/>
        <w:t>La Constitución de 1959, que instituyó un régimen parlamentario, fue efímera. El reconocimiento internacional de la soberanía de Mauritania, el 28 d</w:t>
      </w:r>
      <w:r w:rsidR="00CC4653" w:rsidRPr="007930B0">
        <w:rPr>
          <w:lang w:val="es-ES"/>
        </w:rPr>
        <w:t xml:space="preserve">e noviembre de 1960, </w:t>
      </w:r>
      <w:r w:rsidRPr="007930B0">
        <w:rPr>
          <w:lang w:val="es-ES"/>
        </w:rPr>
        <w:t xml:space="preserve">requirió la adopción de </w:t>
      </w:r>
      <w:r w:rsidR="00CC4653" w:rsidRPr="007930B0">
        <w:rPr>
          <w:lang w:val="es-ES"/>
        </w:rPr>
        <w:t>un nuevo texto constitucional.</w:t>
      </w:r>
    </w:p>
    <w:p w:rsidR="001E7BB4" w:rsidRPr="007930B0" w:rsidRDefault="001E7BB4" w:rsidP="00B56B34">
      <w:pPr>
        <w:pStyle w:val="SingleTxtG"/>
        <w:rPr>
          <w:lang w:val="es-ES"/>
        </w:rPr>
      </w:pPr>
      <w:r w:rsidRPr="007930B0">
        <w:rPr>
          <w:lang w:val="es-ES"/>
        </w:rPr>
        <w:t>19.</w:t>
      </w:r>
      <w:r w:rsidRPr="007930B0">
        <w:rPr>
          <w:lang w:val="es-ES"/>
        </w:rPr>
        <w:tab/>
        <w:t>La Constitución de 20 de mayo de 1961 instauró un régimen presidencial que llevaría inexorablemente al sistema de partido único. Este régimen, que sucumbió al desgaste del tiempo y a las graves dificultades que experimentó la economía nacional como consecuencia de los múltiples efectos de la sequía en el Sahel y, sobre todo, de la guerra del Sáhara occidental, en la que participó Mauritania en ese período, llegó a su fin el 10 de julio de 1978.</w:t>
      </w:r>
    </w:p>
    <w:p w:rsidR="001E7BB4" w:rsidRPr="007930B0" w:rsidRDefault="001E7BB4" w:rsidP="00B56B34">
      <w:pPr>
        <w:pStyle w:val="SingleTxtG"/>
        <w:rPr>
          <w:lang w:val="es-ES"/>
        </w:rPr>
      </w:pPr>
      <w:r w:rsidRPr="007930B0">
        <w:rPr>
          <w:lang w:val="es-ES"/>
        </w:rPr>
        <w:t>20.</w:t>
      </w:r>
      <w:r w:rsidRPr="007930B0">
        <w:rPr>
          <w:lang w:val="es-ES"/>
        </w:rPr>
        <w:tab/>
        <w:t>De 1978 a 1984 el país estuvo gobernado por militares, en condiciones de inestabilidad política y de conflictos tanto internos como externos. A pesar de la subsistencia del régimen de excepción, fueron surgiendo señales de estabilidad y apertura que llevaron a la instauración, en 1992, de un régimen constitucional normal, precedido por la organización de elecciones municipales generales en 1986.</w:t>
      </w:r>
    </w:p>
    <w:p w:rsidR="001E7BB4" w:rsidRPr="007930B0" w:rsidRDefault="001E7BB4" w:rsidP="00B56B34">
      <w:pPr>
        <w:pStyle w:val="SingleTxtG"/>
        <w:rPr>
          <w:lang w:val="es-ES"/>
        </w:rPr>
      </w:pPr>
      <w:r w:rsidRPr="007930B0">
        <w:rPr>
          <w:lang w:val="es-ES"/>
        </w:rPr>
        <w:t>21.</w:t>
      </w:r>
      <w:r w:rsidRPr="007930B0">
        <w:rPr>
          <w:lang w:val="es-ES"/>
        </w:rPr>
        <w:tab/>
        <w:t>Gracias a la instauración del sistema democrático y pluralista, en vigor desde la aprobación de la Constitución de 20 de julio de 1991, el país ha celebrado varias elecciones.</w:t>
      </w:r>
    </w:p>
    <w:p w:rsidR="001E7BB4" w:rsidRPr="007930B0" w:rsidRDefault="001E7BB4" w:rsidP="00B56B34">
      <w:pPr>
        <w:pStyle w:val="SingleTxtG"/>
        <w:rPr>
          <w:lang w:val="es-ES"/>
        </w:rPr>
      </w:pPr>
      <w:r w:rsidRPr="007930B0">
        <w:rPr>
          <w:lang w:val="es-ES"/>
        </w:rPr>
        <w:t>22.</w:t>
      </w:r>
      <w:r w:rsidRPr="007930B0">
        <w:rPr>
          <w:lang w:val="es-ES"/>
        </w:rPr>
        <w:tab/>
        <w:t>En 2007 Mauritania concluyó el proceso de puesta en marcha de sus instituciones al finalizar una transición que había durado 19 meses. En 2006 se organizaron elecciones municipales, seguidas de elecciones legislativas y presidenciales en 2007. Este proceso electoral fue considerado por todos los observadores como un proceso libre y transparente.</w:t>
      </w:r>
    </w:p>
    <w:p w:rsidR="001E7BB4" w:rsidRPr="007930B0" w:rsidRDefault="001E7BB4" w:rsidP="00B56B34">
      <w:pPr>
        <w:pStyle w:val="SingleTxtG"/>
        <w:rPr>
          <w:lang w:val="es-ES"/>
        </w:rPr>
      </w:pPr>
      <w:r w:rsidRPr="007930B0">
        <w:rPr>
          <w:lang w:val="es-ES"/>
        </w:rPr>
        <w:t>23.</w:t>
      </w:r>
      <w:r w:rsidRPr="007930B0">
        <w:rPr>
          <w:lang w:val="es-ES"/>
        </w:rPr>
        <w:tab/>
        <w:t xml:space="preserve">A partir de ese momento, el país se internó por el camino de la democracia, la solución de los problemas nacionales relacionados con los derechos humanos (organización del retorno voluntario de los refugiados mauritanos en el Senegal tras los dolorosos acontecimientos de 1989, el pasivo humanitario y la esclavitud) y el fortalecimiento del estado de derecho. En la actualidad se reconocen sesenta y un partidos políticos, de los cuales 13 están representados en el Parlamento. </w:t>
      </w:r>
    </w:p>
    <w:p w:rsidR="001E7BB4" w:rsidRPr="007930B0" w:rsidRDefault="001E7BB4" w:rsidP="00B56B34">
      <w:pPr>
        <w:pStyle w:val="SingleTxtG"/>
        <w:rPr>
          <w:lang w:val="es-ES"/>
        </w:rPr>
      </w:pPr>
      <w:r w:rsidRPr="007930B0">
        <w:rPr>
          <w:lang w:val="es-ES"/>
        </w:rPr>
        <w:t>24.</w:t>
      </w:r>
      <w:r w:rsidRPr="007930B0">
        <w:rPr>
          <w:lang w:val="es-ES"/>
        </w:rPr>
        <w:tab/>
        <w:t>Para favorecer la expresión política, los poderes públicos instituyeron un mecanismo para financiar a todo partido político que haya alcanzado el 1% de los sufragios de los votantes en las elecciones municipales.</w:t>
      </w:r>
    </w:p>
    <w:p w:rsidR="001E7BB4" w:rsidRPr="007930B0" w:rsidRDefault="001E7BB4" w:rsidP="00B56B34">
      <w:pPr>
        <w:pStyle w:val="SingleTxtG"/>
        <w:rPr>
          <w:lang w:val="es-ES"/>
        </w:rPr>
      </w:pPr>
      <w:r w:rsidRPr="007930B0">
        <w:rPr>
          <w:lang w:val="es-ES"/>
        </w:rPr>
        <w:t>25.</w:t>
      </w:r>
      <w:r w:rsidRPr="007930B0">
        <w:rPr>
          <w:lang w:val="es-ES"/>
        </w:rPr>
        <w:tab/>
        <w:t>Lamentablemente, la experiencia de las subvenciones públicas a prorrata del 1% de los sufragios en las elecciones municipales fracasó debido a la negativa del Presidente electo a dar curso a las reivindicaciones de la mayoría parlamentaria (celebración de una sesión extraordinaria de la Asamblea Nacional sobre la presentación de una moción de censura contra el Gobierno).</w:t>
      </w:r>
    </w:p>
    <w:p w:rsidR="001E7BB4" w:rsidRPr="007930B0" w:rsidRDefault="001E7BB4" w:rsidP="00B56B34">
      <w:pPr>
        <w:pStyle w:val="SingleTxtG"/>
        <w:rPr>
          <w:lang w:val="es-ES"/>
        </w:rPr>
      </w:pPr>
      <w:r w:rsidRPr="007930B0">
        <w:rPr>
          <w:lang w:val="es-ES"/>
        </w:rPr>
        <w:t>26.</w:t>
      </w:r>
      <w:r w:rsidRPr="007930B0">
        <w:rPr>
          <w:lang w:val="es-ES"/>
        </w:rPr>
        <w:tab/>
        <w:t>Esto dio lugar al movimiento de rectificación de 6 de agosto de 2008, por el cual la institución de la Presidencia de la República fue reemplazada por un Consejo Superior de Estado y se decidió mantener las demás instituciones democráticas hasta la celebración de elecciones presidenciales, previstas para el mes de junio de 2009 y más tarde aplazadas hasta el 18 de julio de 2009 en virtud del Acuerdo de Dakar, celebrado entre los distintos sectores políticos con el auspicio de la comunidad internacional.</w:t>
      </w:r>
    </w:p>
    <w:p w:rsidR="001E7BB4" w:rsidRPr="007930B0" w:rsidRDefault="001E7BB4" w:rsidP="00FF10B7">
      <w:pPr>
        <w:pStyle w:val="SingleTxtG"/>
        <w:rPr>
          <w:lang w:val="es-ES"/>
        </w:rPr>
      </w:pPr>
      <w:r w:rsidRPr="007930B0">
        <w:rPr>
          <w:lang w:val="es-ES"/>
        </w:rPr>
        <w:t>27.</w:t>
      </w:r>
      <w:r w:rsidRPr="007930B0">
        <w:rPr>
          <w:lang w:val="es-ES"/>
        </w:rPr>
        <w:tab/>
        <w:t xml:space="preserve">Con arreglo a lo dispuesto en la </w:t>
      </w:r>
      <w:r w:rsidR="00FF10B7" w:rsidRPr="007930B0">
        <w:rPr>
          <w:lang w:val="es-ES"/>
        </w:rPr>
        <w:t>Resolución Nº</w:t>
      </w:r>
      <w:r w:rsidRPr="007930B0">
        <w:rPr>
          <w:lang w:val="es-ES"/>
        </w:rPr>
        <w:t xml:space="preserve"> 87-289, de 20 de octubre de 1987, que derogó y sustituyó la </w:t>
      </w:r>
      <w:r w:rsidR="00FF10B7" w:rsidRPr="007930B0">
        <w:rPr>
          <w:lang w:val="es-ES"/>
        </w:rPr>
        <w:t>Resolución Nº</w:t>
      </w:r>
      <w:r w:rsidRPr="007930B0">
        <w:rPr>
          <w:lang w:val="es-ES"/>
        </w:rPr>
        <w:t xml:space="preserve"> 86-134, de 13 de agosto de 1986, el municipio, que es una comunidad territorial de derecho público dotada de personería jurídica y autonomía financiera, es la encargada de la gestión de los intereses municipales.</w:t>
      </w:r>
    </w:p>
    <w:p w:rsidR="001E7BB4" w:rsidRPr="007930B0" w:rsidRDefault="001E7BB4" w:rsidP="00B56B34">
      <w:pPr>
        <w:pStyle w:val="SingleTxtG"/>
        <w:rPr>
          <w:lang w:val="es-ES"/>
        </w:rPr>
      </w:pPr>
      <w:r w:rsidRPr="007930B0">
        <w:rPr>
          <w:lang w:val="es-ES"/>
        </w:rPr>
        <w:t>28.</w:t>
      </w:r>
      <w:r w:rsidRPr="007930B0">
        <w:rPr>
          <w:lang w:val="es-ES"/>
        </w:rPr>
        <w:tab/>
        <w:t>En este marco, las competencias del municipio comprenden, en particular:</w:t>
      </w:r>
    </w:p>
    <w:p w:rsidR="001E7BB4" w:rsidRPr="007930B0" w:rsidRDefault="001E7BB4" w:rsidP="00CC4653">
      <w:pPr>
        <w:pStyle w:val="Bullet1G"/>
        <w:rPr>
          <w:lang w:val="es-ES"/>
        </w:rPr>
      </w:pPr>
      <w:r w:rsidRPr="007930B0">
        <w:rPr>
          <w:lang w:val="es-ES"/>
        </w:rPr>
        <w:t xml:space="preserve">La caminería local, la construcción y el mantenimiento de los edificios escolares, los dispensarios y los centros de protección materna e infantil; </w:t>
      </w:r>
    </w:p>
    <w:p w:rsidR="001E7BB4" w:rsidRPr="007930B0" w:rsidRDefault="001E7BB4" w:rsidP="00CC4653">
      <w:pPr>
        <w:pStyle w:val="Bullet1G"/>
        <w:rPr>
          <w:lang w:val="es-ES"/>
        </w:rPr>
      </w:pPr>
      <w:r w:rsidRPr="007930B0">
        <w:rPr>
          <w:lang w:val="es-ES"/>
        </w:rPr>
        <w:t>El transporte urbano;</w:t>
      </w:r>
    </w:p>
    <w:p w:rsidR="001E7BB4" w:rsidRPr="007930B0" w:rsidRDefault="001E7BB4" w:rsidP="00CC4653">
      <w:pPr>
        <w:pStyle w:val="Bullet1G"/>
        <w:rPr>
          <w:lang w:val="es-ES"/>
        </w:rPr>
      </w:pPr>
      <w:r w:rsidRPr="007930B0">
        <w:rPr>
          <w:lang w:val="es-ES"/>
        </w:rPr>
        <w:t>La higiene;</w:t>
      </w:r>
    </w:p>
    <w:p w:rsidR="001E7BB4" w:rsidRPr="007930B0" w:rsidRDefault="001E7BB4" w:rsidP="00CC4653">
      <w:pPr>
        <w:pStyle w:val="Bullet1G"/>
        <w:rPr>
          <w:lang w:val="es-ES"/>
        </w:rPr>
      </w:pPr>
      <w:r w:rsidRPr="007930B0">
        <w:rPr>
          <w:lang w:val="es-ES"/>
        </w:rPr>
        <w:t>La recolección de los desechos domésticos;</w:t>
      </w:r>
    </w:p>
    <w:p w:rsidR="001E7BB4" w:rsidRPr="007930B0" w:rsidRDefault="001E7BB4" w:rsidP="00CC4653">
      <w:pPr>
        <w:pStyle w:val="Bullet1G"/>
        <w:rPr>
          <w:lang w:val="es-ES"/>
        </w:rPr>
      </w:pPr>
      <w:r w:rsidRPr="007930B0">
        <w:rPr>
          <w:lang w:val="es-ES"/>
        </w:rPr>
        <w:t>Los mercados;</w:t>
      </w:r>
    </w:p>
    <w:p w:rsidR="001E7BB4" w:rsidRPr="007930B0" w:rsidRDefault="001E7BB4" w:rsidP="00CC4653">
      <w:pPr>
        <w:pStyle w:val="Bullet1G"/>
        <w:rPr>
          <w:lang w:val="es-ES"/>
        </w:rPr>
      </w:pPr>
      <w:r w:rsidRPr="007930B0">
        <w:rPr>
          <w:lang w:val="es-ES"/>
        </w:rPr>
        <w:t>Los mataderos;</w:t>
      </w:r>
    </w:p>
    <w:p w:rsidR="001E7BB4" w:rsidRPr="007930B0" w:rsidRDefault="001E7BB4" w:rsidP="00CC4653">
      <w:pPr>
        <w:pStyle w:val="Bullet1G"/>
        <w:rPr>
          <w:lang w:val="es-ES"/>
        </w:rPr>
      </w:pPr>
      <w:r w:rsidRPr="007930B0">
        <w:rPr>
          <w:lang w:val="es-ES"/>
        </w:rPr>
        <w:t>Las instalaciones deportivas y culturales municipales;</w:t>
      </w:r>
    </w:p>
    <w:p w:rsidR="001E7BB4" w:rsidRPr="007930B0" w:rsidRDefault="001E7BB4" w:rsidP="00CC4653">
      <w:pPr>
        <w:pStyle w:val="Bullet1G"/>
        <w:rPr>
          <w:lang w:val="es-ES"/>
        </w:rPr>
      </w:pPr>
      <w:r w:rsidRPr="007930B0">
        <w:rPr>
          <w:lang w:val="es-ES"/>
        </w:rPr>
        <w:t>Los parques y jardines;</w:t>
      </w:r>
    </w:p>
    <w:p w:rsidR="001E7BB4" w:rsidRPr="007930B0" w:rsidRDefault="001E7BB4" w:rsidP="00CC4653">
      <w:pPr>
        <w:pStyle w:val="Bullet1G"/>
        <w:rPr>
          <w:lang w:val="es-ES"/>
        </w:rPr>
      </w:pPr>
      <w:r w:rsidRPr="007930B0">
        <w:rPr>
          <w:lang w:val="es-ES"/>
        </w:rPr>
        <w:t>Los cementerios;</w:t>
      </w:r>
    </w:p>
    <w:p w:rsidR="001E7BB4" w:rsidRPr="007930B0" w:rsidRDefault="001E7BB4" w:rsidP="00CC4653">
      <w:pPr>
        <w:pStyle w:val="Bullet1G"/>
        <w:rPr>
          <w:lang w:val="es-ES"/>
        </w:rPr>
      </w:pPr>
      <w:r w:rsidRPr="007930B0">
        <w:rPr>
          <w:lang w:val="es-ES"/>
        </w:rPr>
        <w:t>La asistencia a los indigentes;</w:t>
      </w:r>
    </w:p>
    <w:p w:rsidR="001E7BB4" w:rsidRPr="007930B0" w:rsidRDefault="001E7BB4" w:rsidP="00CC4653">
      <w:pPr>
        <w:pStyle w:val="Bullet1G"/>
        <w:rPr>
          <w:lang w:val="es-ES"/>
        </w:rPr>
      </w:pPr>
      <w:r w:rsidRPr="007930B0">
        <w:rPr>
          <w:lang w:val="es-ES"/>
        </w:rPr>
        <w:t>El acondicionamiento y la administración de las zonas cedidas por el Estado al municipio.</w:t>
      </w:r>
    </w:p>
    <w:p w:rsidR="001E7BB4" w:rsidRPr="007930B0" w:rsidRDefault="001E7BB4" w:rsidP="00B56B34">
      <w:pPr>
        <w:pStyle w:val="SingleTxtG"/>
        <w:rPr>
          <w:lang w:val="es-ES"/>
        </w:rPr>
      </w:pPr>
      <w:r w:rsidRPr="007930B0">
        <w:rPr>
          <w:lang w:val="es-ES"/>
        </w:rPr>
        <w:t>29.</w:t>
      </w:r>
      <w:r w:rsidRPr="007930B0">
        <w:rPr>
          <w:lang w:val="es-ES"/>
        </w:rPr>
        <w:tab/>
        <w:t xml:space="preserve">Asimismo, conforme a lo dispuesto en el artículo 6 de la resolución mencionada anteriormente, el gobierno de cada municipio está integrado por el consejo municipal, el alcalde y uno o más adjuntos. Actualmente el país tiene 216 municipios urbanos y rurales, 9 de los cuales están agrupados en la comunidad urbana de Nuakchot. Las perspectivas de mejoramiento de las competencias de los municipios son alentadoras en vista de la ejecución de diversos programas de desarrollo ambiciosos en el marco del Programa de desarrollo urbano, de conformidad con el espíritu y los objetivos del Marco estratégico de lucha contra la pobreza y del Programa nacional de buena gobernanza. La finalidad del Programa de desarrollo urbano es la creación de infraestructuras básicas en los distintos municipios ubicados en los centros administrativos de las </w:t>
      </w:r>
      <w:r w:rsidRPr="007930B0">
        <w:rPr>
          <w:i/>
          <w:iCs/>
          <w:lang w:val="es-ES"/>
        </w:rPr>
        <w:t>wilayas</w:t>
      </w:r>
      <w:r w:rsidRPr="007930B0">
        <w:rPr>
          <w:lang w:val="es-ES"/>
        </w:rPr>
        <w:t>.</w:t>
      </w:r>
    </w:p>
    <w:p w:rsidR="001E7BB4" w:rsidRPr="007930B0" w:rsidRDefault="001E7BB4" w:rsidP="00CC4653">
      <w:pPr>
        <w:pStyle w:val="H1G"/>
        <w:rPr>
          <w:lang w:val="es-ES"/>
        </w:rPr>
      </w:pPr>
      <w:r w:rsidRPr="007930B0">
        <w:rPr>
          <w:lang w:val="es-ES"/>
        </w:rPr>
        <w:tab/>
        <w:t>B.</w:t>
      </w:r>
      <w:r w:rsidRPr="007930B0">
        <w:rPr>
          <w:lang w:val="es-ES"/>
        </w:rPr>
        <w:tab/>
        <w:t>Marco jurídico general de protección y promoción</w:t>
      </w:r>
      <w:r w:rsidR="002D42B6">
        <w:rPr>
          <w:lang w:val="es-ES"/>
        </w:rPr>
        <w:t xml:space="preserve"> </w:t>
      </w:r>
      <w:r w:rsidRPr="007930B0">
        <w:rPr>
          <w:lang w:val="es-ES"/>
        </w:rPr>
        <w:t>de los derechos humanos</w:t>
      </w:r>
    </w:p>
    <w:p w:rsidR="001E7BB4" w:rsidRPr="007930B0" w:rsidRDefault="001E7BB4" w:rsidP="00CC4653">
      <w:pPr>
        <w:pStyle w:val="H23G"/>
        <w:rPr>
          <w:lang w:val="es-ES"/>
        </w:rPr>
      </w:pPr>
      <w:r w:rsidRPr="007930B0">
        <w:rPr>
          <w:lang w:val="es-ES"/>
        </w:rPr>
        <w:tab/>
        <w:t>1.</w:t>
      </w:r>
      <w:r w:rsidRPr="007930B0">
        <w:rPr>
          <w:lang w:val="es-ES"/>
        </w:rPr>
        <w:tab/>
        <w:t>Autoridades administrativas y judiciales competentes en materia de derechos humanos</w:t>
      </w:r>
    </w:p>
    <w:p w:rsidR="001E7BB4" w:rsidRPr="007930B0" w:rsidRDefault="001E7BB4" w:rsidP="00B56B34">
      <w:pPr>
        <w:pStyle w:val="SingleTxtG"/>
        <w:rPr>
          <w:lang w:val="es-ES"/>
        </w:rPr>
      </w:pPr>
      <w:r w:rsidRPr="007930B0">
        <w:rPr>
          <w:lang w:val="es-ES"/>
        </w:rPr>
        <w:t>30.</w:t>
      </w:r>
      <w:r w:rsidRPr="007930B0">
        <w:rPr>
          <w:lang w:val="es-ES"/>
        </w:rPr>
        <w:tab/>
        <w:t>A continuación se enumeran las principales autoridades nacionales competentes en lo relativo a la aplicación de las disposiciones del Pacto.</w:t>
      </w:r>
    </w:p>
    <w:p w:rsidR="001E7BB4" w:rsidRPr="007930B0" w:rsidRDefault="001E7BB4" w:rsidP="00CC4653">
      <w:pPr>
        <w:pStyle w:val="H4G"/>
        <w:rPr>
          <w:lang w:val="es-ES"/>
        </w:rPr>
      </w:pPr>
      <w:r w:rsidRPr="007930B0">
        <w:rPr>
          <w:lang w:val="es-ES"/>
        </w:rPr>
        <w:tab/>
        <w:t>a)</w:t>
      </w:r>
      <w:r w:rsidRPr="007930B0">
        <w:rPr>
          <w:lang w:val="es-ES"/>
        </w:rPr>
        <w:tab/>
        <w:t>Oficina del Comisionado de Derechos Humanos, Acción Humanitaria y Relaciones con la Sociedad Civil</w:t>
      </w:r>
    </w:p>
    <w:p w:rsidR="001E7BB4" w:rsidRPr="007930B0" w:rsidRDefault="001E7BB4" w:rsidP="00FF10B7">
      <w:pPr>
        <w:pStyle w:val="SingleTxtG"/>
        <w:rPr>
          <w:lang w:val="es-ES"/>
        </w:rPr>
      </w:pPr>
      <w:r w:rsidRPr="007930B0">
        <w:rPr>
          <w:lang w:val="es-ES"/>
        </w:rPr>
        <w:t>31.</w:t>
      </w:r>
      <w:r w:rsidRPr="007930B0">
        <w:rPr>
          <w:lang w:val="es-ES"/>
        </w:rPr>
        <w:tab/>
        <w:t>Según el Decreto N</w:t>
      </w:r>
      <w:r w:rsidR="00FF10B7" w:rsidRPr="007930B0">
        <w:rPr>
          <w:lang w:val="es-ES"/>
        </w:rPr>
        <w:t>º</w:t>
      </w:r>
      <w:r w:rsidRPr="007930B0">
        <w:rPr>
          <w:lang w:val="es-ES"/>
        </w:rPr>
        <w:t xml:space="preserve"> 247-</w:t>
      </w:r>
      <w:r w:rsidR="00FF10B7" w:rsidRPr="007930B0">
        <w:rPr>
          <w:lang w:val="es-ES"/>
        </w:rPr>
        <w:t>2008</w:t>
      </w:r>
      <w:r w:rsidRPr="007930B0">
        <w:rPr>
          <w:lang w:val="es-ES"/>
        </w:rPr>
        <w:t>/PM, por el cual se creó la Oficina del Comisionado de Derechos Humanos, Acción Humanitaria y Relaciones con la Sociedad Civil, dicha Oficina goza, para su funcionamiento, de autonomía administrativa y financiera. En lo que respecta a esa autonomía, el decreto que instituyó la Oficina del Comisionado define su cometido y sus normas de organización y funcionamiento.</w:t>
      </w:r>
    </w:p>
    <w:p w:rsidR="001E7BB4" w:rsidRPr="007930B0" w:rsidRDefault="00106542" w:rsidP="00106542">
      <w:pPr>
        <w:pStyle w:val="H56G"/>
        <w:rPr>
          <w:lang w:val="es-ES"/>
        </w:rPr>
      </w:pPr>
      <w:r w:rsidRPr="007930B0">
        <w:rPr>
          <w:lang w:val="es-ES"/>
        </w:rPr>
        <w:tab/>
      </w:r>
      <w:r w:rsidRPr="007930B0">
        <w:rPr>
          <w:lang w:val="es-ES"/>
        </w:rPr>
        <w:tab/>
      </w:r>
      <w:r w:rsidR="001E7BB4" w:rsidRPr="007930B0">
        <w:rPr>
          <w:lang w:val="es-ES"/>
        </w:rPr>
        <w:t>Cometidos de la Oficina del Comisionado</w:t>
      </w:r>
    </w:p>
    <w:p w:rsidR="001E7BB4" w:rsidRPr="007930B0" w:rsidRDefault="001E7BB4" w:rsidP="00B56B34">
      <w:pPr>
        <w:pStyle w:val="SingleTxtG"/>
        <w:rPr>
          <w:lang w:val="es-ES"/>
        </w:rPr>
      </w:pPr>
      <w:r w:rsidRPr="007930B0">
        <w:rPr>
          <w:lang w:val="es-ES"/>
        </w:rPr>
        <w:t>32.</w:t>
      </w:r>
      <w:r w:rsidRPr="007930B0">
        <w:rPr>
          <w:lang w:val="es-ES"/>
        </w:rPr>
        <w:tab/>
        <w:t>En concertación con los departamentos competentes, la Oficina del Comisionado de Derechos Humanos, Acción Humanitaria y Relaciones con la Sociedad Civil tiene el cometido general de formular, promover y poner en práctica la política nacional en materia de derechos humanos, acción humanitaria y relaciones con la sociedad civil.</w:t>
      </w:r>
    </w:p>
    <w:p w:rsidR="001E7BB4" w:rsidRPr="007930B0" w:rsidRDefault="001E7BB4" w:rsidP="00B56B34">
      <w:pPr>
        <w:pStyle w:val="SingleTxtG"/>
        <w:rPr>
          <w:lang w:val="es-ES"/>
        </w:rPr>
      </w:pPr>
      <w:r w:rsidRPr="007930B0">
        <w:rPr>
          <w:lang w:val="es-ES"/>
        </w:rPr>
        <w:t>33.</w:t>
      </w:r>
      <w:r w:rsidRPr="007930B0">
        <w:rPr>
          <w:lang w:val="es-ES"/>
        </w:rPr>
        <w:tab/>
      </w:r>
      <w:r w:rsidRPr="00544157">
        <w:rPr>
          <w:b/>
          <w:lang w:val="es-ES"/>
        </w:rPr>
        <w:t>En materia de derechos humanos</w:t>
      </w:r>
      <w:r w:rsidRPr="007930B0">
        <w:rPr>
          <w:lang w:val="es-ES"/>
        </w:rPr>
        <w:t>, la Oficina del Comisionado se encarga de elaborar y poner en práctica la política nacional de promoción, defensa y protección de dichos derechos mediante:</w:t>
      </w:r>
    </w:p>
    <w:p w:rsidR="001E7BB4" w:rsidRPr="007930B0" w:rsidRDefault="001E7BB4" w:rsidP="00106542">
      <w:pPr>
        <w:pStyle w:val="Bullet1G"/>
        <w:rPr>
          <w:lang w:val="es-ES"/>
        </w:rPr>
      </w:pPr>
      <w:r w:rsidRPr="007930B0">
        <w:rPr>
          <w:lang w:val="es-ES"/>
        </w:rPr>
        <w:t>La promoción y la difusión de los derechos humanos;</w:t>
      </w:r>
    </w:p>
    <w:p w:rsidR="001E7BB4" w:rsidRPr="007930B0" w:rsidRDefault="001E7BB4" w:rsidP="00106542">
      <w:pPr>
        <w:pStyle w:val="Bullet1G"/>
        <w:rPr>
          <w:lang w:val="es-ES"/>
        </w:rPr>
      </w:pPr>
      <w:r w:rsidRPr="007930B0">
        <w:rPr>
          <w:lang w:val="es-ES"/>
        </w:rPr>
        <w:t>La protección y la defensa de los derechos humanos.</w:t>
      </w:r>
    </w:p>
    <w:p w:rsidR="001E7BB4" w:rsidRPr="007930B0" w:rsidRDefault="001E7BB4" w:rsidP="00B56B34">
      <w:pPr>
        <w:pStyle w:val="SingleTxtG"/>
        <w:rPr>
          <w:lang w:val="es-ES"/>
        </w:rPr>
      </w:pPr>
      <w:r w:rsidRPr="007930B0">
        <w:rPr>
          <w:lang w:val="es-ES"/>
        </w:rPr>
        <w:t>34.</w:t>
      </w:r>
      <w:r w:rsidRPr="007930B0">
        <w:rPr>
          <w:lang w:val="es-ES"/>
        </w:rPr>
        <w:tab/>
        <w:t>En este marco, y en coordinación con los departamentos, instituciones y organizaciones de la sociedad civil, la Oficina se ocupa de las cuestiones siguientes:</w:t>
      </w:r>
    </w:p>
    <w:p w:rsidR="001E7BB4" w:rsidRPr="007930B0" w:rsidRDefault="001E7BB4" w:rsidP="00106542">
      <w:pPr>
        <w:pStyle w:val="Bullet1G"/>
        <w:rPr>
          <w:lang w:val="es-ES"/>
        </w:rPr>
      </w:pPr>
      <w:r w:rsidRPr="007930B0">
        <w:rPr>
          <w:lang w:val="es-ES"/>
        </w:rPr>
        <w:t>La coordinación de la política nacional de derechos humanos;</w:t>
      </w:r>
    </w:p>
    <w:p w:rsidR="001E7BB4" w:rsidRPr="007930B0" w:rsidRDefault="001E7BB4" w:rsidP="00106542">
      <w:pPr>
        <w:pStyle w:val="Bullet1G"/>
        <w:rPr>
          <w:lang w:val="es-ES"/>
        </w:rPr>
      </w:pPr>
      <w:r w:rsidRPr="007930B0">
        <w:rPr>
          <w:lang w:val="es-ES"/>
        </w:rPr>
        <w:t>La educación y la sensibilización en materia de derechos humanos y derecho humanitario;</w:t>
      </w:r>
    </w:p>
    <w:p w:rsidR="001E7BB4" w:rsidRPr="007930B0" w:rsidRDefault="001E7BB4" w:rsidP="00106542">
      <w:pPr>
        <w:pStyle w:val="Bullet1G"/>
        <w:rPr>
          <w:lang w:val="es-ES"/>
        </w:rPr>
      </w:pPr>
      <w:r w:rsidRPr="007930B0">
        <w:rPr>
          <w:lang w:val="es-ES"/>
        </w:rPr>
        <w:t>La elaboración de informes periódicos sobre la aplicación de los instrumentos internacionales ratificados en materia de derechos humanos y su presentación ante los órganos pertinentes;</w:t>
      </w:r>
    </w:p>
    <w:p w:rsidR="001E7BB4" w:rsidRPr="007930B0" w:rsidRDefault="001E7BB4" w:rsidP="00106542">
      <w:pPr>
        <w:pStyle w:val="Bullet1G"/>
        <w:rPr>
          <w:lang w:val="es-ES"/>
        </w:rPr>
      </w:pPr>
      <w:r w:rsidRPr="007930B0">
        <w:rPr>
          <w:lang w:val="es-ES"/>
        </w:rPr>
        <w:t>La elaboración y ejecución de planes de acción y programas en favor de las categorías sociales vulnerables con miras a mejorar la promoción y protección de sus derechos;</w:t>
      </w:r>
    </w:p>
    <w:p w:rsidR="001E7BB4" w:rsidRPr="007930B0" w:rsidRDefault="001E7BB4" w:rsidP="00106542">
      <w:pPr>
        <w:pStyle w:val="Bullet1G"/>
        <w:rPr>
          <w:lang w:val="es-ES"/>
        </w:rPr>
      </w:pPr>
      <w:r w:rsidRPr="007930B0">
        <w:rPr>
          <w:lang w:val="es-ES"/>
        </w:rPr>
        <w:t>La difusión y puesta en práctica de las disposiciones legislativas relativas a la tipificación de la esclavitud como delito y la represión de las prácticas esclavistas;</w:t>
      </w:r>
    </w:p>
    <w:p w:rsidR="001E7BB4" w:rsidRPr="007930B0" w:rsidRDefault="001E7BB4" w:rsidP="00106542">
      <w:pPr>
        <w:pStyle w:val="Bullet1G"/>
        <w:rPr>
          <w:lang w:val="es-ES"/>
        </w:rPr>
      </w:pPr>
      <w:r w:rsidRPr="007930B0">
        <w:rPr>
          <w:lang w:val="es-ES"/>
        </w:rPr>
        <w:t>La verificación de los casos de violación de los derechos humanos y del derecho humanitario sometidos a su consideración por otras instituciones, en particular la Comisión Nacional de Derechos Humanos, y la búsqueda de soluciones apropiadas de conformidad con la legislación en vigor;</w:t>
      </w:r>
    </w:p>
    <w:p w:rsidR="001E7BB4" w:rsidRPr="007930B0" w:rsidRDefault="001E7BB4" w:rsidP="00106542">
      <w:pPr>
        <w:pStyle w:val="Bullet1G"/>
        <w:rPr>
          <w:lang w:val="es-ES"/>
        </w:rPr>
      </w:pPr>
      <w:r w:rsidRPr="007930B0">
        <w:rPr>
          <w:lang w:val="es-ES"/>
        </w:rPr>
        <w:t>La concertación y el diálogo con las organizaciones nacionales que se ocupan de los derechos humanos;</w:t>
      </w:r>
    </w:p>
    <w:p w:rsidR="001E7BB4" w:rsidRPr="007930B0" w:rsidRDefault="001E7BB4" w:rsidP="00106542">
      <w:pPr>
        <w:pStyle w:val="Bullet1G"/>
        <w:rPr>
          <w:lang w:val="es-ES"/>
        </w:rPr>
      </w:pPr>
      <w:r w:rsidRPr="007930B0">
        <w:rPr>
          <w:lang w:val="es-ES"/>
        </w:rPr>
        <w:t>La preparación de los informes periódicos sobre la situación de los derechos humanos;</w:t>
      </w:r>
    </w:p>
    <w:p w:rsidR="001E7BB4" w:rsidRPr="007930B0" w:rsidRDefault="001E7BB4" w:rsidP="00106542">
      <w:pPr>
        <w:pStyle w:val="Bullet1G"/>
        <w:rPr>
          <w:lang w:val="es-ES"/>
        </w:rPr>
      </w:pPr>
      <w:r w:rsidRPr="007930B0">
        <w:rPr>
          <w:lang w:val="es-ES"/>
        </w:rPr>
        <w:t>La preparación y el seguimiento de los tratados internacionales relativos a los derechos humanos y la armonización de los textos legislativos y reglamentarios con los principios y normas de derechos humanos.</w:t>
      </w:r>
    </w:p>
    <w:p w:rsidR="001E7BB4" w:rsidRPr="007930B0" w:rsidRDefault="001E7BB4" w:rsidP="00106542">
      <w:pPr>
        <w:pStyle w:val="H4G"/>
        <w:rPr>
          <w:lang w:val="es-ES"/>
        </w:rPr>
      </w:pPr>
      <w:r w:rsidRPr="007930B0">
        <w:rPr>
          <w:lang w:val="es-ES"/>
        </w:rPr>
        <w:tab/>
        <w:t>b)</w:t>
      </w:r>
      <w:r w:rsidRPr="007930B0">
        <w:rPr>
          <w:lang w:val="es-ES"/>
        </w:rPr>
        <w:tab/>
        <w:t>Ministerio de Asuntos Sociales, Infancia y Familia</w:t>
      </w:r>
    </w:p>
    <w:p w:rsidR="001E7BB4" w:rsidRPr="007930B0" w:rsidRDefault="001E7BB4" w:rsidP="00B56B34">
      <w:pPr>
        <w:pStyle w:val="SingleTxtG"/>
        <w:rPr>
          <w:lang w:val="es-ES"/>
        </w:rPr>
      </w:pPr>
      <w:r w:rsidRPr="007930B0">
        <w:rPr>
          <w:lang w:val="es-ES"/>
        </w:rPr>
        <w:t>35.</w:t>
      </w:r>
      <w:r w:rsidRPr="007930B0">
        <w:rPr>
          <w:lang w:val="es-ES"/>
        </w:rPr>
        <w:tab/>
        <w:t>La misión del Ministerio de Asuntos Sociales, Infancia y Familia es garantizar la promoción de la mujer mauritana y su plena participación en la economía y la sociedad, de conformidad con los valores islámicos, las realidades sociales y las</w:t>
      </w:r>
      <w:r w:rsidR="00106542" w:rsidRPr="007930B0">
        <w:rPr>
          <w:lang w:val="es-ES"/>
        </w:rPr>
        <w:t xml:space="preserve"> exigencias de la vida moderna.</w:t>
      </w:r>
    </w:p>
    <w:p w:rsidR="001E7BB4" w:rsidRPr="007930B0" w:rsidRDefault="001E7BB4" w:rsidP="00B56B34">
      <w:pPr>
        <w:pStyle w:val="SingleTxtG"/>
        <w:rPr>
          <w:lang w:val="es-ES"/>
        </w:rPr>
      </w:pPr>
      <w:r w:rsidRPr="007930B0">
        <w:rPr>
          <w:lang w:val="es-ES"/>
        </w:rPr>
        <w:t>36.</w:t>
      </w:r>
      <w:r w:rsidRPr="007930B0">
        <w:rPr>
          <w:lang w:val="es-ES"/>
        </w:rPr>
        <w:tab/>
        <w:t>Con ese fin, el Ministerio se ocupa de las siguientes tareas:</w:t>
      </w:r>
    </w:p>
    <w:p w:rsidR="001E7BB4" w:rsidRPr="007930B0" w:rsidRDefault="001E7BB4" w:rsidP="00106542">
      <w:pPr>
        <w:pStyle w:val="Bullet1G"/>
        <w:rPr>
          <w:lang w:val="es-ES"/>
        </w:rPr>
      </w:pPr>
      <w:r w:rsidRPr="007930B0">
        <w:rPr>
          <w:lang w:val="es-ES"/>
        </w:rPr>
        <w:t>Elaborar y proponer una política de promoción de la mujer mauritan</w:t>
      </w:r>
      <w:r w:rsidR="00106542" w:rsidRPr="007930B0">
        <w:rPr>
          <w:lang w:val="es-ES"/>
        </w:rPr>
        <w:t>a y de protección de la familia.</w:t>
      </w:r>
    </w:p>
    <w:p w:rsidR="001E7BB4" w:rsidRPr="007930B0" w:rsidRDefault="001E7BB4" w:rsidP="00106542">
      <w:pPr>
        <w:pStyle w:val="Bullet1G"/>
        <w:rPr>
          <w:lang w:val="es-ES"/>
        </w:rPr>
      </w:pPr>
      <w:r w:rsidRPr="007930B0">
        <w:rPr>
          <w:lang w:val="es-ES"/>
        </w:rPr>
        <w:t>Promover y difundir los derechos y obligaciones de las mujer</w:t>
      </w:r>
      <w:r w:rsidR="00106542" w:rsidRPr="007930B0">
        <w:rPr>
          <w:lang w:val="es-ES"/>
        </w:rPr>
        <w:t>es y los derechos de</w:t>
      </w:r>
      <w:r w:rsidR="00CC3B6E" w:rsidRPr="007930B0">
        <w:rPr>
          <w:lang w:val="es-ES"/>
        </w:rPr>
        <w:t xml:space="preserve"> </w:t>
      </w:r>
      <w:r w:rsidR="00106542" w:rsidRPr="007930B0">
        <w:rPr>
          <w:lang w:val="es-ES"/>
        </w:rPr>
        <w:t>los niños.</w:t>
      </w:r>
    </w:p>
    <w:p w:rsidR="001E7BB4" w:rsidRPr="007930B0" w:rsidRDefault="001E7BB4" w:rsidP="00106542">
      <w:pPr>
        <w:pStyle w:val="Bullet1G"/>
        <w:rPr>
          <w:lang w:val="es-ES"/>
        </w:rPr>
      </w:pPr>
      <w:r w:rsidRPr="007930B0">
        <w:rPr>
          <w:lang w:val="es-ES"/>
        </w:rPr>
        <w:t>Favorecer, en colaboración con los sectores interesados, el desarrollo de actividades económicas y socioeducativas en beneficio de la mujer, particularmente en el medio rural. En tal sentido, todo proyecto relacionado con las mujeres o los niños debe</w:t>
      </w:r>
      <w:r w:rsidR="00CC3B6E" w:rsidRPr="007930B0">
        <w:rPr>
          <w:lang w:val="es-ES"/>
        </w:rPr>
        <w:t xml:space="preserve"> </w:t>
      </w:r>
      <w:r w:rsidRPr="007930B0">
        <w:rPr>
          <w:lang w:val="es-ES"/>
        </w:rPr>
        <w:t>formularse y ejecutarse en estrecha colaboración con el Ministerio.</w:t>
      </w:r>
    </w:p>
    <w:p w:rsidR="001E7BB4" w:rsidRPr="007930B0" w:rsidRDefault="001E7BB4" w:rsidP="00B56B34">
      <w:pPr>
        <w:pStyle w:val="SingleTxtG"/>
        <w:rPr>
          <w:lang w:val="es-ES"/>
        </w:rPr>
      </w:pPr>
      <w:r w:rsidRPr="007930B0">
        <w:rPr>
          <w:lang w:val="es-ES"/>
        </w:rPr>
        <w:t>37.</w:t>
      </w:r>
      <w:r w:rsidRPr="007930B0">
        <w:rPr>
          <w:lang w:val="es-ES"/>
        </w:rPr>
        <w:tab/>
        <w:t>A fin de poner en práctica los diversos programas y políticas, el Ministerio dispone de los medios siguientes:</w:t>
      </w:r>
    </w:p>
    <w:p w:rsidR="001E7BB4" w:rsidRPr="007930B0" w:rsidRDefault="001E7BB4" w:rsidP="00106542">
      <w:pPr>
        <w:pStyle w:val="Bullet1G"/>
        <w:rPr>
          <w:lang w:val="es-ES"/>
        </w:rPr>
      </w:pPr>
      <w:r w:rsidRPr="007930B0">
        <w:rPr>
          <w:lang w:val="es-ES"/>
        </w:rPr>
        <w:t>Estructuras desconcentradas: las divisiones regionales y los centros de formación para la promoción de la mujer;</w:t>
      </w:r>
    </w:p>
    <w:p w:rsidR="001E7BB4" w:rsidRPr="007930B0" w:rsidRDefault="001E7BB4" w:rsidP="00106542">
      <w:pPr>
        <w:pStyle w:val="Bullet1G"/>
        <w:rPr>
          <w:lang w:val="es-ES"/>
        </w:rPr>
      </w:pPr>
      <w:r w:rsidRPr="007930B0">
        <w:rPr>
          <w:lang w:val="es-ES"/>
        </w:rPr>
        <w:t>Equipos móviles de instructores que ofrecen servicios descentralizados de estímulo, alfabetización, sensibili</w:t>
      </w:r>
      <w:r w:rsidR="00106542" w:rsidRPr="007930B0">
        <w:rPr>
          <w:lang w:val="es-ES"/>
        </w:rPr>
        <w:t>z</w:t>
      </w:r>
      <w:r w:rsidRPr="007930B0">
        <w:rPr>
          <w:lang w:val="es-ES"/>
        </w:rPr>
        <w:t>ación y capacitación para la mujer y las asociaciones de mujeres rurales;</w:t>
      </w:r>
    </w:p>
    <w:p w:rsidR="001E7BB4" w:rsidRPr="007930B0" w:rsidRDefault="001E7BB4" w:rsidP="00106542">
      <w:pPr>
        <w:pStyle w:val="Bullet1G"/>
        <w:rPr>
          <w:lang w:val="es-ES"/>
        </w:rPr>
      </w:pPr>
      <w:r w:rsidRPr="007930B0">
        <w:rPr>
          <w:lang w:val="es-ES"/>
        </w:rPr>
        <w:t>Un centro de formación de formadores en materia de educación en la primera infancia, CFPE;</w:t>
      </w:r>
    </w:p>
    <w:p w:rsidR="001E7BB4" w:rsidRPr="007930B0" w:rsidRDefault="001E7BB4" w:rsidP="00106542">
      <w:pPr>
        <w:pStyle w:val="Bullet1G"/>
        <w:rPr>
          <w:lang w:val="es-ES"/>
        </w:rPr>
      </w:pPr>
      <w:r w:rsidRPr="007930B0">
        <w:rPr>
          <w:lang w:val="es-ES"/>
        </w:rPr>
        <w:t>Un centro de información y documentación.</w:t>
      </w:r>
    </w:p>
    <w:p w:rsidR="001E7BB4" w:rsidRPr="007930B0" w:rsidRDefault="001E7BB4" w:rsidP="00B56B34">
      <w:pPr>
        <w:pStyle w:val="SingleTxtG"/>
        <w:rPr>
          <w:lang w:val="es-ES"/>
        </w:rPr>
      </w:pPr>
      <w:r w:rsidRPr="007930B0">
        <w:rPr>
          <w:lang w:val="es-ES"/>
        </w:rPr>
        <w:t>38.</w:t>
      </w:r>
      <w:r w:rsidRPr="007930B0">
        <w:rPr>
          <w:lang w:val="es-ES"/>
        </w:rPr>
        <w:tab/>
        <w:t>El Ministerio recibe también el apoyo de algunas estructuras de concertación, entre ellas:</w:t>
      </w:r>
    </w:p>
    <w:p w:rsidR="001E7BB4" w:rsidRPr="007930B0" w:rsidRDefault="001E7BB4" w:rsidP="00106542">
      <w:pPr>
        <w:pStyle w:val="Bullet1G"/>
        <w:rPr>
          <w:lang w:val="es-ES"/>
        </w:rPr>
      </w:pPr>
      <w:r w:rsidRPr="007930B0">
        <w:rPr>
          <w:lang w:val="es-ES"/>
        </w:rPr>
        <w:t>El Consejo Nacional de la Infancia;</w:t>
      </w:r>
    </w:p>
    <w:p w:rsidR="001E7BB4" w:rsidRPr="007930B0" w:rsidRDefault="001E7BB4" w:rsidP="00106542">
      <w:pPr>
        <w:pStyle w:val="Bullet1G"/>
        <w:rPr>
          <w:lang w:val="es-ES"/>
        </w:rPr>
      </w:pPr>
      <w:r w:rsidRPr="007930B0">
        <w:rPr>
          <w:lang w:val="es-ES"/>
        </w:rPr>
        <w:t>La Comisión de seguimiento de la política nacional en materia de familia;</w:t>
      </w:r>
    </w:p>
    <w:p w:rsidR="001E7BB4" w:rsidRPr="007930B0" w:rsidRDefault="001E7BB4" w:rsidP="00106542">
      <w:pPr>
        <w:pStyle w:val="Bullet1G"/>
        <w:rPr>
          <w:lang w:val="es-ES"/>
        </w:rPr>
      </w:pPr>
      <w:r w:rsidRPr="007930B0">
        <w:rPr>
          <w:lang w:val="es-ES"/>
        </w:rPr>
        <w:t>El Grupo estratégico sobre información, educación y comunicación;</w:t>
      </w:r>
    </w:p>
    <w:p w:rsidR="001E7BB4" w:rsidRPr="007930B0" w:rsidRDefault="001E7BB4" w:rsidP="00106542">
      <w:pPr>
        <w:pStyle w:val="Bullet1G"/>
        <w:rPr>
          <w:lang w:val="es-ES"/>
        </w:rPr>
      </w:pPr>
      <w:r w:rsidRPr="007930B0">
        <w:rPr>
          <w:lang w:val="es-ES"/>
        </w:rPr>
        <w:t xml:space="preserve">El Grupo de seguimiento de las cuestiones de género; </w:t>
      </w:r>
    </w:p>
    <w:p w:rsidR="001E7BB4" w:rsidRPr="007930B0" w:rsidRDefault="001E7BB4" w:rsidP="00106542">
      <w:pPr>
        <w:pStyle w:val="Bullet1G"/>
        <w:rPr>
          <w:lang w:val="es-ES"/>
        </w:rPr>
      </w:pPr>
      <w:r w:rsidRPr="007930B0">
        <w:rPr>
          <w:lang w:val="es-ES"/>
        </w:rPr>
        <w:t>El Comité de lucha contra las prácticas tradicionales perjudiciales.</w:t>
      </w:r>
    </w:p>
    <w:p w:rsidR="001E7BB4" w:rsidRPr="007930B0" w:rsidRDefault="001E7BB4" w:rsidP="00B56B34">
      <w:pPr>
        <w:pStyle w:val="SingleTxtG"/>
        <w:rPr>
          <w:lang w:val="es-ES"/>
        </w:rPr>
      </w:pPr>
      <w:r w:rsidRPr="007930B0">
        <w:rPr>
          <w:lang w:val="es-ES"/>
        </w:rPr>
        <w:t>39.</w:t>
      </w:r>
      <w:r w:rsidRPr="007930B0">
        <w:rPr>
          <w:lang w:val="es-ES"/>
        </w:rPr>
        <w:tab/>
        <w:t>Para llevar a cabo su misión, el Ministerio ha establecido, en coordinación con los diferentes departamentos ministeriales, un marco de concertación, que se compone de varias comisiones y comités de coordinación y concertación, de los cuales los más importantes son:</w:t>
      </w:r>
    </w:p>
    <w:p w:rsidR="001E7BB4" w:rsidRPr="007930B0" w:rsidRDefault="001E7BB4" w:rsidP="00106542">
      <w:pPr>
        <w:pStyle w:val="Bullet1G"/>
        <w:rPr>
          <w:lang w:val="es-ES"/>
        </w:rPr>
      </w:pPr>
      <w:r w:rsidRPr="007930B0">
        <w:rPr>
          <w:lang w:val="es-ES"/>
        </w:rPr>
        <w:t>La comisión interministerial de seguimiento de la aplicación de la política relativa a la primera infancia;</w:t>
      </w:r>
    </w:p>
    <w:p w:rsidR="001E7BB4" w:rsidRPr="007930B0" w:rsidRDefault="001E7BB4" w:rsidP="00106542">
      <w:pPr>
        <w:pStyle w:val="Bullet1G"/>
        <w:rPr>
          <w:lang w:val="es-ES"/>
        </w:rPr>
      </w:pPr>
      <w:r w:rsidRPr="007930B0">
        <w:rPr>
          <w:lang w:val="es-ES"/>
        </w:rPr>
        <w:t>Una comisión de seguimiento de la primera infancia;</w:t>
      </w:r>
    </w:p>
    <w:p w:rsidR="001E7BB4" w:rsidRPr="007930B0" w:rsidRDefault="001E7BB4" w:rsidP="00106542">
      <w:pPr>
        <w:pStyle w:val="Bullet1G"/>
        <w:rPr>
          <w:lang w:val="es-ES"/>
        </w:rPr>
      </w:pPr>
      <w:r w:rsidRPr="007930B0">
        <w:rPr>
          <w:lang w:val="es-ES"/>
        </w:rPr>
        <w:t>Un comité técnico interministerial sobre la mujer y el desarrollo;</w:t>
      </w:r>
    </w:p>
    <w:p w:rsidR="001E7BB4" w:rsidRPr="007930B0" w:rsidRDefault="001E7BB4" w:rsidP="00106542">
      <w:pPr>
        <w:pStyle w:val="Bullet1G"/>
        <w:rPr>
          <w:lang w:val="es-ES"/>
        </w:rPr>
      </w:pPr>
      <w:r w:rsidRPr="007930B0">
        <w:rPr>
          <w:lang w:val="es-ES"/>
        </w:rPr>
        <w:t>Un comité de lucha contra las prácticas tradicionales perjudiciales;</w:t>
      </w:r>
    </w:p>
    <w:p w:rsidR="001E7BB4" w:rsidRPr="007930B0" w:rsidRDefault="001E7BB4" w:rsidP="00106542">
      <w:pPr>
        <w:pStyle w:val="Bullet1G"/>
        <w:rPr>
          <w:lang w:val="es-ES"/>
        </w:rPr>
      </w:pPr>
      <w:r w:rsidRPr="007930B0">
        <w:rPr>
          <w:lang w:val="es-ES"/>
        </w:rPr>
        <w:t>Un comité encargado de elaborar la política relativa a la familia;</w:t>
      </w:r>
    </w:p>
    <w:p w:rsidR="001E7BB4" w:rsidRPr="007930B0" w:rsidRDefault="001E7BB4" w:rsidP="00106542">
      <w:pPr>
        <w:pStyle w:val="Bullet1G"/>
        <w:rPr>
          <w:lang w:val="es-ES"/>
        </w:rPr>
      </w:pPr>
      <w:r w:rsidRPr="007930B0">
        <w:rPr>
          <w:lang w:val="es-ES"/>
        </w:rPr>
        <w:t>Un comité encargado d</w:t>
      </w:r>
      <w:r w:rsidR="00106542" w:rsidRPr="007930B0">
        <w:rPr>
          <w:lang w:val="es-ES"/>
        </w:rPr>
        <w:t>e elaborar una estrategia de co</w:t>
      </w:r>
      <w:r w:rsidRPr="007930B0">
        <w:rPr>
          <w:lang w:val="es-ES"/>
        </w:rPr>
        <w:t>municación;</w:t>
      </w:r>
    </w:p>
    <w:p w:rsidR="001E7BB4" w:rsidRPr="007930B0" w:rsidRDefault="001E7BB4" w:rsidP="00106542">
      <w:pPr>
        <w:pStyle w:val="Bullet1G"/>
        <w:rPr>
          <w:lang w:val="es-ES"/>
        </w:rPr>
      </w:pPr>
      <w:r w:rsidRPr="007930B0">
        <w:rPr>
          <w:lang w:val="es-ES"/>
        </w:rPr>
        <w:t>Un grupo de seguimiento de las cuestiones de género;</w:t>
      </w:r>
    </w:p>
    <w:p w:rsidR="001E7BB4" w:rsidRPr="007930B0" w:rsidRDefault="001E7BB4" w:rsidP="00106542">
      <w:pPr>
        <w:pStyle w:val="Bullet1G"/>
        <w:rPr>
          <w:lang w:val="es-ES"/>
        </w:rPr>
      </w:pPr>
      <w:r w:rsidRPr="007930B0">
        <w:rPr>
          <w:lang w:val="es-ES"/>
        </w:rPr>
        <w:t>Una comisión de seguimiento y aplicación del estudio del Secretario General de las Naciones Unidas sobre la violencia contra los niños y de las recomendaciones del Comité para la Eliminación de la Discriminación contra la Mujer.</w:t>
      </w:r>
    </w:p>
    <w:p w:rsidR="001E7BB4" w:rsidRPr="007930B0" w:rsidRDefault="001E7BB4" w:rsidP="00106542">
      <w:pPr>
        <w:pStyle w:val="H23G"/>
        <w:rPr>
          <w:lang w:val="es-ES"/>
        </w:rPr>
      </w:pPr>
      <w:r w:rsidRPr="007930B0">
        <w:rPr>
          <w:lang w:val="es-ES"/>
        </w:rPr>
        <w:tab/>
        <w:t>2.</w:t>
      </w:r>
      <w:r w:rsidRPr="007930B0">
        <w:rPr>
          <w:lang w:val="es-ES"/>
        </w:rPr>
        <w:tab/>
        <w:t>Autoridades judiciales</w:t>
      </w:r>
    </w:p>
    <w:p w:rsidR="001E7BB4" w:rsidRPr="007930B0" w:rsidRDefault="001E7BB4" w:rsidP="00106542">
      <w:pPr>
        <w:pStyle w:val="H4G"/>
        <w:rPr>
          <w:lang w:val="es-ES"/>
        </w:rPr>
      </w:pPr>
      <w:r w:rsidRPr="007930B0">
        <w:rPr>
          <w:lang w:val="es-ES"/>
        </w:rPr>
        <w:tab/>
        <w:t>a)</w:t>
      </w:r>
      <w:r w:rsidRPr="007930B0">
        <w:rPr>
          <w:lang w:val="es-ES"/>
        </w:rPr>
        <w:tab/>
        <w:t>Consejo Constitucional</w:t>
      </w:r>
    </w:p>
    <w:p w:rsidR="001E7BB4" w:rsidRPr="007930B0" w:rsidRDefault="001E7BB4" w:rsidP="00B56B34">
      <w:pPr>
        <w:pStyle w:val="SingleTxtG"/>
        <w:rPr>
          <w:lang w:val="es-ES"/>
        </w:rPr>
      </w:pPr>
      <w:r w:rsidRPr="007930B0">
        <w:rPr>
          <w:lang w:val="es-ES"/>
        </w:rPr>
        <w:t>40.</w:t>
      </w:r>
      <w:r w:rsidRPr="007930B0">
        <w:rPr>
          <w:lang w:val="es-ES"/>
        </w:rPr>
        <w:tab/>
        <w:t>El Consejo Constitucional es un órgano jurisdiccional autónomo creado por la Constitución de 20 de julio de 1991 en lugar de la antigua sala constitucional del Tribunal Supremo. La introducción del Consejo Constitucional en la administración de justicia de Mauritania constituye un progreso en lo que respecta a la ga</w:t>
      </w:r>
      <w:r w:rsidR="00106542" w:rsidRPr="007930B0">
        <w:rPr>
          <w:lang w:val="es-ES"/>
        </w:rPr>
        <w:t>rantía de los derechos humanos.</w:t>
      </w:r>
    </w:p>
    <w:p w:rsidR="001E7BB4" w:rsidRPr="007930B0" w:rsidRDefault="001E7BB4" w:rsidP="00B56B34">
      <w:pPr>
        <w:pStyle w:val="SingleTxtG"/>
        <w:rPr>
          <w:lang w:val="es-ES"/>
        </w:rPr>
      </w:pPr>
      <w:r w:rsidRPr="007930B0">
        <w:rPr>
          <w:lang w:val="es-ES"/>
        </w:rPr>
        <w:t>41.</w:t>
      </w:r>
      <w:r w:rsidRPr="007930B0">
        <w:rPr>
          <w:lang w:val="es-ES"/>
        </w:rPr>
        <w:tab/>
        <w:t>El Consejo Constitucional se compone de seis miembros designados por: el Presidente de la República (tres miembros, incluido el Presidente del Consejo Constitucional), el Presidente de la Asamblea Nacional (dos miembros) y el Presidente del Senado (un miembro). Los miembros del Consejo Constitucional son nombrados por un período de nueve años, no renovable. Gozan de la inamovibilidad y las inmunidades reconocidas a los parlamentarios. El Consejo Constitucional se encarga principalmente de verificar la conformidad de las leyes, los tratados internacionales y los reglamentos de las Asambleas parlamentarias con la Constitución. A esos efectos, puede declarar la inconstitucionalidad de disposiciones legislativas que n</w:t>
      </w:r>
      <w:r w:rsidR="00106542" w:rsidRPr="007930B0">
        <w:rPr>
          <w:lang w:val="es-ES"/>
        </w:rPr>
        <w:t>o se ajusten a la Constitución.</w:t>
      </w:r>
    </w:p>
    <w:p w:rsidR="001E7BB4" w:rsidRPr="007930B0" w:rsidRDefault="001E7BB4" w:rsidP="00384889">
      <w:pPr>
        <w:pStyle w:val="SingleTxtG"/>
        <w:rPr>
          <w:lang w:val="es-ES"/>
        </w:rPr>
      </w:pPr>
      <w:r w:rsidRPr="007930B0">
        <w:rPr>
          <w:lang w:val="es-ES"/>
        </w:rPr>
        <w:t>42.</w:t>
      </w:r>
      <w:r w:rsidRPr="007930B0">
        <w:rPr>
          <w:lang w:val="es-ES"/>
        </w:rPr>
        <w:tab/>
        <w:t xml:space="preserve">De conformidad con el artículo 87 de la Constitución, </w:t>
      </w:r>
      <w:r w:rsidR="00CC3B6E" w:rsidRPr="007930B0">
        <w:rPr>
          <w:lang w:val="es-ES"/>
        </w:rPr>
        <w:t>"</w:t>
      </w:r>
      <w:r w:rsidRPr="007930B0">
        <w:rPr>
          <w:lang w:val="es-ES"/>
        </w:rPr>
        <w:t>las decisiones del Consejo Constitucional tienen autoridad de cosa juzgada (...). No son susceptibles de recurso alguno (y) son de cumplimiento obligatorio para los poderes públicos y todas las autoridades administrativas y jurisdiccionales</w:t>
      </w:r>
      <w:r w:rsidR="00CC3B6E" w:rsidRPr="007930B0">
        <w:rPr>
          <w:lang w:val="es-ES"/>
        </w:rPr>
        <w:t>"</w:t>
      </w:r>
      <w:r w:rsidRPr="007930B0">
        <w:rPr>
          <w:lang w:val="es-ES"/>
        </w:rPr>
        <w:t xml:space="preserve">. Cabe destacar aquí la especial función que desempeña el Consejo Constitucional en la protección de los derechos y libertades: este órgano ya ha declarado la inconstitucionalidad de varios textos y, en particular, del Reglamento de la Asamblea Nacional, el Reglamento del Senado, la </w:t>
      </w:r>
      <w:r w:rsidR="00384889" w:rsidRPr="007930B0">
        <w:rPr>
          <w:lang w:val="es-ES"/>
        </w:rPr>
        <w:t>Ley O</w:t>
      </w:r>
      <w:r w:rsidRPr="007930B0">
        <w:rPr>
          <w:lang w:val="es-ES"/>
        </w:rPr>
        <w:t>rgánica del es</w:t>
      </w:r>
      <w:r w:rsidR="00384889" w:rsidRPr="007930B0">
        <w:rPr>
          <w:lang w:val="es-ES"/>
        </w:rPr>
        <w:t>tatuto de la magistratura y la Ley O</w:t>
      </w:r>
      <w:r w:rsidRPr="007930B0">
        <w:rPr>
          <w:lang w:val="es-ES"/>
        </w:rPr>
        <w:t>rgánica relativa a la elección de los senadores que representan a los mauritanos radicados en el extranjero.</w:t>
      </w:r>
    </w:p>
    <w:p w:rsidR="001E7BB4" w:rsidRPr="007930B0" w:rsidRDefault="001E7BB4" w:rsidP="00106542">
      <w:pPr>
        <w:pStyle w:val="H4G"/>
        <w:rPr>
          <w:lang w:val="es-ES"/>
        </w:rPr>
      </w:pPr>
      <w:r w:rsidRPr="007930B0">
        <w:rPr>
          <w:lang w:val="es-ES"/>
        </w:rPr>
        <w:tab/>
        <w:t>b)</w:t>
      </w:r>
      <w:r w:rsidRPr="007930B0">
        <w:rPr>
          <w:lang w:val="es-ES"/>
        </w:rPr>
        <w:tab/>
        <w:t>Tribunales y juzgados</w:t>
      </w:r>
    </w:p>
    <w:p w:rsidR="001E7BB4" w:rsidRPr="007930B0" w:rsidRDefault="001E7BB4" w:rsidP="00B56B34">
      <w:pPr>
        <w:pStyle w:val="SingleTxtG"/>
        <w:rPr>
          <w:lang w:val="es-ES"/>
        </w:rPr>
      </w:pPr>
      <w:r w:rsidRPr="007930B0">
        <w:rPr>
          <w:lang w:val="es-ES"/>
        </w:rPr>
        <w:t>43.</w:t>
      </w:r>
      <w:r w:rsidRPr="007930B0">
        <w:rPr>
          <w:lang w:val="es-ES"/>
        </w:rPr>
        <w:tab/>
        <w:t xml:space="preserve">La administración de justicia en la República Islámica de Mauritania está organizada de conformidad con las disposiciones de la </w:t>
      </w:r>
      <w:r w:rsidR="00FF10B7" w:rsidRPr="007930B0">
        <w:rPr>
          <w:lang w:val="es-ES"/>
        </w:rPr>
        <w:t>Resolución Nº</w:t>
      </w:r>
      <w:r w:rsidRPr="007930B0">
        <w:rPr>
          <w:lang w:val="es-ES"/>
        </w:rPr>
        <w:t xml:space="preserve"> 2007-012, de 8 de febrero de 2007, sobre la organización del poder judicial.</w:t>
      </w:r>
    </w:p>
    <w:p w:rsidR="001E7BB4" w:rsidRPr="007930B0" w:rsidRDefault="00106542" w:rsidP="00106542">
      <w:pPr>
        <w:pStyle w:val="H1G"/>
        <w:rPr>
          <w:lang w:val="es-ES"/>
        </w:rPr>
      </w:pPr>
      <w:r w:rsidRPr="007930B0">
        <w:rPr>
          <w:lang w:val="es-ES"/>
        </w:rPr>
        <w:tab/>
        <w:t>C.</w:t>
      </w:r>
      <w:r w:rsidRPr="007930B0">
        <w:rPr>
          <w:lang w:val="es-ES"/>
        </w:rPr>
        <w:tab/>
        <w:t>Resolución Nº</w:t>
      </w:r>
      <w:r w:rsidR="001E7BB4" w:rsidRPr="007930B0">
        <w:rPr>
          <w:lang w:val="es-ES"/>
        </w:rPr>
        <w:t xml:space="preserve"> 2007-012, de 8 de febrero de 2007, sobre la organización del poder judicial</w:t>
      </w:r>
    </w:p>
    <w:p w:rsidR="001E7BB4" w:rsidRPr="007930B0" w:rsidRDefault="001E7BB4" w:rsidP="00106542">
      <w:pPr>
        <w:pStyle w:val="H23G"/>
        <w:rPr>
          <w:lang w:val="es-ES"/>
        </w:rPr>
      </w:pPr>
      <w:r w:rsidRPr="007930B0">
        <w:rPr>
          <w:lang w:val="es-ES"/>
        </w:rPr>
        <w:tab/>
      </w:r>
      <w:r w:rsidRPr="007930B0">
        <w:rPr>
          <w:lang w:val="es-ES"/>
        </w:rPr>
        <w:tab/>
        <w:t>Título I</w:t>
      </w:r>
      <w:r w:rsidRPr="007930B0">
        <w:rPr>
          <w:lang w:val="es-ES"/>
        </w:rPr>
        <w:br/>
        <w:t>Disposiciones generales</w:t>
      </w:r>
    </w:p>
    <w:p w:rsidR="001E7BB4" w:rsidRPr="007930B0" w:rsidRDefault="001E7BB4" w:rsidP="00B56B34">
      <w:pPr>
        <w:pStyle w:val="SingleTxtG"/>
        <w:rPr>
          <w:lang w:val="es-ES"/>
        </w:rPr>
      </w:pPr>
      <w:r w:rsidRPr="007930B0">
        <w:rPr>
          <w:lang w:val="es-ES"/>
        </w:rPr>
        <w:t>44.</w:t>
      </w:r>
      <w:r w:rsidRPr="007930B0">
        <w:rPr>
          <w:lang w:val="es-ES"/>
        </w:rPr>
        <w:tab/>
      </w:r>
      <w:r w:rsidRPr="007930B0">
        <w:rPr>
          <w:b/>
          <w:bCs/>
          <w:lang w:val="es-ES"/>
        </w:rPr>
        <w:t>Artículo 1</w:t>
      </w:r>
      <w:r w:rsidRPr="007930B0">
        <w:rPr>
          <w:lang w:val="es-ES"/>
        </w:rPr>
        <w:t xml:space="preserve">: En el territorio de la República Islámica de Mauritania, la justicia es administrada, conforme a lo dispuesto en la presente resolución, por el Tribunal Supremo, los tribunales de apelaciones, los juzgados de </w:t>
      </w:r>
      <w:r w:rsidR="00CD15B7" w:rsidRPr="007930B0">
        <w:rPr>
          <w:i/>
          <w:lang w:val="es-ES"/>
        </w:rPr>
        <w:t>wilaya</w:t>
      </w:r>
      <w:r w:rsidRPr="007930B0">
        <w:rPr>
          <w:lang w:val="es-ES"/>
        </w:rPr>
        <w:t xml:space="preserve">, los tribunales penales, los juzgados de comercio, los juzgados del trabajo, los juzgados de </w:t>
      </w:r>
      <w:r w:rsidRPr="007930B0">
        <w:rPr>
          <w:i/>
          <w:iCs/>
          <w:lang w:val="es-ES"/>
        </w:rPr>
        <w:t>moughataa</w:t>
      </w:r>
      <w:r w:rsidRPr="007930B0">
        <w:rPr>
          <w:lang w:val="es-ES"/>
        </w:rPr>
        <w:t xml:space="preserve"> y todo otro órgano jurisdiccional creado por la ley. Estos órganos jurisdiccionales entienden en todos los asuntos civiles, comerciales, administrativos, penales y laborales. Dictan sus decisiones de conformidad con las leyes y reglamentos en vigor.</w:t>
      </w:r>
    </w:p>
    <w:p w:rsidR="001E7BB4" w:rsidRPr="007930B0" w:rsidRDefault="001E7BB4" w:rsidP="00B56B34">
      <w:pPr>
        <w:pStyle w:val="SingleTxtG"/>
        <w:rPr>
          <w:lang w:val="es-ES"/>
        </w:rPr>
      </w:pPr>
      <w:r w:rsidRPr="007930B0">
        <w:rPr>
          <w:lang w:val="es-ES"/>
        </w:rPr>
        <w:t>45.</w:t>
      </w:r>
      <w:r w:rsidRPr="007930B0">
        <w:rPr>
          <w:lang w:val="es-ES"/>
        </w:rPr>
        <w:tab/>
      </w:r>
      <w:r w:rsidRPr="007930B0">
        <w:rPr>
          <w:b/>
          <w:bCs/>
          <w:lang w:val="es-ES"/>
        </w:rPr>
        <w:t>Artículo 2</w:t>
      </w:r>
      <w:r w:rsidRPr="007930B0">
        <w:rPr>
          <w:lang w:val="es-ES"/>
        </w:rPr>
        <w:t>: La sede y la competencia de los órganos jurisdiccionales son fijadas mediante un decreto aprobado en Consejo de Ministros sobre la base de un informe del Ministro de Justicia, con excepción del Tribunal Supremo, cuya sede está establecida en Nuakchot y cuya competencia se extiende a todo el territorio nacional.</w:t>
      </w:r>
    </w:p>
    <w:p w:rsidR="001E7BB4" w:rsidRPr="007930B0" w:rsidRDefault="001E7BB4" w:rsidP="00B56B34">
      <w:pPr>
        <w:pStyle w:val="SingleTxtG"/>
        <w:rPr>
          <w:lang w:val="es-ES"/>
        </w:rPr>
      </w:pPr>
      <w:r w:rsidRPr="007930B0">
        <w:rPr>
          <w:lang w:val="es-ES"/>
        </w:rPr>
        <w:t>46.</w:t>
      </w:r>
      <w:r w:rsidRPr="007930B0">
        <w:rPr>
          <w:lang w:val="es-ES"/>
        </w:rPr>
        <w:tab/>
      </w:r>
      <w:r w:rsidRPr="007930B0">
        <w:rPr>
          <w:b/>
          <w:bCs/>
          <w:lang w:val="es-ES"/>
        </w:rPr>
        <w:t>Artículo 3</w:t>
      </w:r>
      <w:r w:rsidRPr="007930B0">
        <w:rPr>
          <w:lang w:val="es-ES"/>
        </w:rPr>
        <w:t xml:space="preserve">: El año judicial comienza el </w:t>
      </w:r>
      <w:r w:rsidR="00384889" w:rsidRPr="007930B0">
        <w:rPr>
          <w:lang w:val="es-ES"/>
        </w:rPr>
        <w:t>1º de enero</w:t>
      </w:r>
      <w:r w:rsidRPr="007930B0">
        <w:rPr>
          <w:lang w:val="es-ES"/>
        </w:rPr>
        <w:t xml:space="preserve"> y termina el 31 de diciembre. Comprende un período de receso judicial de tres meses que comienza el 16 de julio y finaliza el 15 de octubre. Los días, horarios y lugares de audiencia de los tribunales y juzgados son fijados mediante una resolución del presidente de cada órgano jurisdiccional, al comienzo de cada año judicial. Dichas resoluciones se publican en anuncios colocados en la sede del órgano jurisdiccional respectivo y en el Diario Oficial.</w:t>
      </w:r>
    </w:p>
    <w:p w:rsidR="001E7BB4" w:rsidRPr="007930B0" w:rsidRDefault="001E7BB4" w:rsidP="00B56B34">
      <w:pPr>
        <w:pStyle w:val="SingleTxtG"/>
        <w:rPr>
          <w:lang w:val="es-ES"/>
        </w:rPr>
      </w:pPr>
      <w:r w:rsidRPr="007930B0">
        <w:rPr>
          <w:lang w:val="es-ES"/>
        </w:rPr>
        <w:t>47.</w:t>
      </w:r>
      <w:r w:rsidRPr="007930B0">
        <w:rPr>
          <w:lang w:val="es-ES"/>
        </w:rPr>
        <w:tab/>
      </w:r>
      <w:r w:rsidRPr="007930B0">
        <w:rPr>
          <w:b/>
          <w:bCs/>
          <w:lang w:val="es-ES"/>
        </w:rPr>
        <w:t>Artículo 4</w:t>
      </w:r>
      <w:r w:rsidRPr="007930B0">
        <w:rPr>
          <w:lang w:val="es-ES"/>
        </w:rPr>
        <w:t xml:space="preserve">: Los tribunales y juzgados pueden celebrar audiencias fuera de la sede en asuntos de su competencia. </w:t>
      </w:r>
    </w:p>
    <w:p w:rsidR="001E7BB4" w:rsidRPr="007930B0" w:rsidRDefault="001E7BB4" w:rsidP="00B56B34">
      <w:pPr>
        <w:pStyle w:val="SingleTxtG"/>
        <w:rPr>
          <w:lang w:val="es-ES"/>
        </w:rPr>
      </w:pPr>
      <w:r w:rsidRPr="007930B0">
        <w:rPr>
          <w:lang w:val="es-ES"/>
        </w:rPr>
        <w:t>48.</w:t>
      </w:r>
      <w:r w:rsidRPr="007930B0">
        <w:rPr>
          <w:lang w:val="es-ES"/>
        </w:rPr>
        <w:tab/>
      </w:r>
      <w:r w:rsidRPr="007930B0">
        <w:rPr>
          <w:b/>
          <w:bCs/>
          <w:lang w:val="es-ES"/>
        </w:rPr>
        <w:t>Artículo 5</w:t>
      </w:r>
      <w:r w:rsidRPr="007930B0">
        <w:rPr>
          <w:lang w:val="es-ES"/>
        </w:rPr>
        <w:t xml:space="preserve">: Las audiencias de los órganos jurisdiccionales son públicas, a menos que esa publicidad sea peligrosa para el orden público o las buenas costumbres o esté prohibida por la ley. En ese caso, el presidente del órgano jurisdiccional ordena celebrar la audiencia a puertas cerradas. En todos los casos, los fallos o sentencias son pronunciados públicamente y deben, so pena de nulidad, estar fundados. </w:t>
      </w:r>
    </w:p>
    <w:p w:rsidR="001E7BB4" w:rsidRPr="007930B0" w:rsidRDefault="001E7BB4" w:rsidP="00B56B34">
      <w:pPr>
        <w:pStyle w:val="SingleTxtG"/>
        <w:rPr>
          <w:lang w:val="es-ES"/>
        </w:rPr>
      </w:pPr>
      <w:r w:rsidRPr="007930B0">
        <w:rPr>
          <w:lang w:val="es-ES"/>
        </w:rPr>
        <w:t>49.</w:t>
      </w:r>
      <w:r w:rsidRPr="007930B0">
        <w:rPr>
          <w:lang w:val="es-ES"/>
        </w:rPr>
        <w:tab/>
      </w:r>
      <w:r w:rsidRPr="007930B0">
        <w:rPr>
          <w:b/>
          <w:bCs/>
          <w:lang w:val="es-ES"/>
        </w:rPr>
        <w:t>Artículo 6</w:t>
      </w:r>
      <w:r w:rsidRPr="007930B0">
        <w:rPr>
          <w:lang w:val="es-ES"/>
        </w:rPr>
        <w:t xml:space="preserve">: La justicia es gratuita, sin perjuicio de los derechos de timbre y de registro, de los emolumentos de los auxiliares de justicia y de los gastos en que se incurra para la instrucción de las causas o la ejecución de las decisiones judiciales. Los montos de los gastos judiciales se fijan por decreto. Se puede proporcionar asistencia letrada a las partes que justifiquen su indigencia, en las condiciones previstas en la ley. </w:t>
      </w:r>
    </w:p>
    <w:p w:rsidR="001E7BB4" w:rsidRPr="007930B0" w:rsidRDefault="001E7BB4" w:rsidP="00B56B34">
      <w:pPr>
        <w:pStyle w:val="SingleTxtG"/>
        <w:rPr>
          <w:lang w:val="es-ES"/>
        </w:rPr>
      </w:pPr>
      <w:r w:rsidRPr="007930B0">
        <w:rPr>
          <w:lang w:val="es-ES"/>
        </w:rPr>
        <w:t>50.</w:t>
      </w:r>
      <w:r w:rsidRPr="007930B0">
        <w:rPr>
          <w:lang w:val="es-ES"/>
        </w:rPr>
        <w:tab/>
      </w:r>
      <w:r w:rsidRPr="007930B0">
        <w:rPr>
          <w:b/>
          <w:bCs/>
          <w:lang w:val="es-ES"/>
        </w:rPr>
        <w:t>Artículo 7</w:t>
      </w:r>
      <w:r w:rsidRPr="007930B0">
        <w:rPr>
          <w:lang w:val="es-ES"/>
        </w:rPr>
        <w:t>: Nadie puede ser juzgado si no se encuentra en condiciones de presentar sus medios de defensa. La defensa y la elección del defensor son libres. Los abogados ejercen libremente su ministerio ante todos los órganos jurisdiccionales. Nadie puede ser sustraído a sus jueces naturales. Solamente los</w:t>
      </w:r>
      <w:r w:rsidR="00CC3B6E" w:rsidRPr="007930B0">
        <w:rPr>
          <w:lang w:val="es-ES"/>
        </w:rPr>
        <w:t xml:space="preserve"> </w:t>
      </w:r>
      <w:r w:rsidRPr="007930B0">
        <w:rPr>
          <w:lang w:val="es-ES"/>
        </w:rPr>
        <w:t>órganos jurisdiccionales previstos en la ley pueden pronunciar sentencias de condena.</w:t>
      </w:r>
    </w:p>
    <w:p w:rsidR="001E7BB4" w:rsidRPr="007930B0" w:rsidRDefault="001E7BB4" w:rsidP="00B56B34">
      <w:pPr>
        <w:pStyle w:val="SingleTxtG"/>
        <w:rPr>
          <w:lang w:val="es-ES"/>
        </w:rPr>
      </w:pPr>
      <w:r w:rsidRPr="007930B0">
        <w:rPr>
          <w:lang w:val="es-ES"/>
        </w:rPr>
        <w:t>51.</w:t>
      </w:r>
      <w:r w:rsidRPr="007930B0">
        <w:rPr>
          <w:lang w:val="es-ES"/>
        </w:rPr>
        <w:tab/>
      </w:r>
      <w:r w:rsidRPr="007930B0">
        <w:rPr>
          <w:b/>
          <w:bCs/>
          <w:lang w:val="es-ES"/>
        </w:rPr>
        <w:t>Artículo 8</w:t>
      </w:r>
      <w:r w:rsidRPr="007930B0">
        <w:rPr>
          <w:lang w:val="es-ES"/>
        </w:rPr>
        <w:t>: La justicia se imparte en Nombre de Alá el Altísimo, el Todopoderoso. La ejecución forzada de las decisiones judiciales y de los primeros testimonios de los fallos, sentencias, resoluciones, contratos notariales u otros actos susceptibles de ejecución forzada se lleva a cabo en las condiciones establecidas en el Código del Proceso Civil, Comercial y Administrativo y en el Código del Proceso Penal.</w:t>
      </w:r>
    </w:p>
    <w:p w:rsidR="001E7BB4" w:rsidRPr="007930B0" w:rsidRDefault="001E7BB4" w:rsidP="00B56B34">
      <w:pPr>
        <w:pStyle w:val="SingleTxtG"/>
        <w:rPr>
          <w:lang w:val="es-ES"/>
        </w:rPr>
      </w:pPr>
      <w:r w:rsidRPr="007930B0">
        <w:rPr>
          <w:lang w:val="es-ES"/>
        </w:rPr>
        <w:t>52.</w:t>
      </w:r>
      <w:r w:rsidRPr="007930B0">
        <w:rPr>
          <w:lang w:val="es-ES"/>
        </w:rPr>
        <w:tab/>
      </w:r>
      <w:r w:rsidRPr="007930B0">
        <w:rPr>
          <w:b/>
          <w:bCs/>
          <w:lang w:val="es-ES"/>
        </w:rPr>
        <w:t>Artículo 9</w:t>
      </w:r>
      <w:r w:rsidRPr="007930B0">
        <w:rPr>
          <w:lang w:val="es-ES"/>
        </w:rPr>
        <w:t xml:space="preserve">: Con miras a asegurar el buen funcionamiento de los órganos jurisdiccionales, se establece, a nivel de los tribunales y juzgados, un órgano no contencioso denominado </w:t>
      </w:r>
      <w:r w:rsidR="00CC3B6E" w:rsidRPr="007930B0">
        <w:rPr>
          <w:lang w:val="es-ES"/>
        </w:rPr>
        <w:t>"</w:t>
      </w:r>
      <w:r w:rsidRPr="007930B0">
        <w:rPr>
          <w:lang w:val="es-ES"/>
        </w:rPr>
        <w:t>Asamblea general</w:t>
      </w:r>
      <w:r w:rsidR="00CC3B6E" w:rsidRPr="007930B0">
        <w:rPr>
          <w:lang w:val="es-ES"/>
        </w:rPr>
        <w:t>"</w:t>
      </w:r>
      <w:r w:rsidRPr="007930B0">
        <w:rPr>
          <w:lang w:val="es-ES"/>
        </w:rPr>
        <w:t xml:space="preserve">. La Asamblea general reúne, bajo la presidencia del presidente del órgano jurisdiccional, al conjunto de los miembros de dicho órgano. La Asamblea general reglamenta las cuestiones relativas a la organización y el funcionamiento del órgano jurisdiccional. Recibe consultas sobre el calendario de las audiencias. En las deliberaciones de la Asamblea general se decide por mayoría simple de votos. En caso de igualdad de votos, prima el voto del presidente. </w:t>
      </w:r>
    </w:p>
    <w:p w:rsidR="001E7BB4" w:rsidRPr="007930B0" w:rsidRDefault="001E7BB4" w:rsidP="00B56B34">
      <w:pPr>
        <w:pStyle w:val="SingleTxtG"/>
        <w:rPr>
          <w:lang w:val="es-ES"/>
        </w:rPr>
      </w:pPr>
      <w:r w:rsidRPr="007930B0">
        <w:rPr>
          <w:lang w:val="es-ES"/>
        </w:rPr>
        <w:t>53.</w:t>
      </w:r>
      <w:r w:rsidRPr="007930B0">
        <w:rPr>
          <w:lang w:val="es-ES"/>
        </w:rPr>
        <w:tab/>
      </w:r>
      <w:r w:rsidRPr="007930B0">
        <w:rPr>
          <w:b/>
          <w:bCs/>
          <w:lang w:val="es-ES"/>
        </w:rPr>
        <w:t>Artículo 10</w:t>
      </w:r>
      <w:r w:rsidRPr="007930B0">
        <w:rPr>
          <w:lang w:val="es-ES"/>
        </w:rPr>
        <w:t>: La inspección general de la Administración Judicial y Penitenciaria, subordinada directamente a la autoridad del Ministro de Justicia, ejerce una función permanente y general de inspección de los tribunales y juzgados, con excepción del Tribunal Supremo, así como del conjunto de servicios y organismos dependientes del Ministerio de Justicia. La organización, el funcionamiento y las atribuciones de la inspección general de la Administración Judicial y Penitenciaria son fijados por decreto.</w:t>
      </w:r>
    </w:p>
    <w:p w:rsidR="001E7BB4" w:rsidRPr="007930B0" w:rsidRDefault="001E7BB4" w:rsidP="00106542">
      <w:pPr>
        <w:pStyle w:val="H23G"/>
        <w:rPr>
          <w:lang w:val="es-ES"/>
        </w:rPr>
      </w:pPr>
      <w:r w:rsidRPr="007930B0">
        <w:rPr>
          <w:lang w:val="es-ES"/>
        </w:rPr>
        <w:tab/>
      </w:r>
      <w:r w:rsidRPr="007930B0">
        <w:rPr>
          <w:lang w:val="es-ES"/>
        </w:rPr>
        <w:tab/>
        <w:t>Título II</w:t>
      </w:r>
      <w:r w:rsidRPr="007930B0">
        <w:rPr>
          <w:lang w:val="es-ES"/>
        </w:rPr>
        <w:br/>
        <w:t>De los Órganos Jurisdiccionales</w:t>
      </w:r>
    </w:p>
    <w:p w:rsidR="001E7BB4" w:rsidRPr="007930B0" w:rsidRDefault="001E7BB4" w:rsidP="00106542">
      <w:pPr>
        <w:pStyle w:val="H4G"/>
        <w:rPr>
          <w:lang w:val="es-ES"/>
        </w:rPr>
      </w:pPr>
      <w:r w:rsidRPr="007930B0">
        <w:rPr>
          <w:lang w:val="es-ES"/>
        </w:rPr>
        <w:tab/>
      </w:r>
      <w:r w:rsidRPr="007930B0">
        <w:rPr>
          <w:lang w:val="es-ES"/>
        </w:rPr>
        <w:tab/>
        <w:t>Capítulo I</w:t>
      </w:r>
      <w:r w:rsidRPr="007930B0">
        <w:rPr>
          <w:lang w:val="es-ES"/>
        </w:rPr>
        <w:br/>
        <w:t>Del Tribunal Supremo</w:t>
      </w:r>
    </w:p>
    <w:p w:rsidR="001E7BB4" w:rsidRPr="007930B0" w:rsidRDefault="001E7BB4" w:rsidP="00106542">
      <w:pPr>
        <w:pStyle w:val="H56G"/>
        <w:rPr>
          <w:lang w:val="es-ES"/>
        </w:rPr>
      </w:pPr>
      <w:r w:rsidRPr="007930B0">
        <w:rPr>
          <w:lang w:val="es-ES"/>
        </w:rPr>
        <w:tab/>
      </w:r>
      <w:r w:rsidRPr="007930B0">
        <w:rPr>
          <w:lang w:val="es-ES"/>
        </w:rPr>
        <w:tab/>
        <w:t>Sección I</w:t>
      </w:r>
      <w:r w:rsidRPr="007930B0">
        <w:rPr>
          <w:lang w:val="es-ES"/>
        </w:rPr>
        <w:br/>
        <w:t>Competencias y Procedimientos</w:t>
      </w:r>
    </w:p>
    <w:p w:rsidR="001E7BB4" w:rsidRPr="007930B0" w:rsidRDefault="001E7BB4" w:rsidP="00B56B34">
      <w:pPr>
        <w:pStyle w:val="SingleTxtG"/>
        <w:rPr>
          <w:lang w:val="es-ES"/>
        </w:rPr>
      </w:pPr>
      <w:r w:rsidRPr="007930B0">
        <w:rPr>
          <w:lang w:val="es-ES"/>
        </w:rPr>
        <w:t>54.</w:t>
      </w:r>
      <w:r w:rsidRPr="007930B0">
        <w:rPr>
          <w:lang w:val="es-ES"/>
        </w:rPr>
        <w:tab/>
      </w:r>
      <w:r w:rsidRPr="007930B0">
        <w:rPr>
          <w:b/>
          <w:bCs/>
          <w:lang w:val="es-ES"/>
        </w:rPr>
        <w:t>Artículo 11</w:t>
      </w:r>
      <w:r w:rsidRPr="007930B0">
        <w:rPr>
          <w:lang w:val="es-ES"/>
        </w:rPr>
        <w:t>: El Tribunal Supremo es la instancia judicial más alta del país. En tal sentido, entiende en los recursos de casación interpuestos contra las sentencias y fallos dictados en última instancia por los demás órganos jurisdiccionales. En materia administrativa, conoce en primera y última instancia de los asuntos que le asigna la ley. A menos que se disponga otra cosa en la legislación, el Tribunal Supremo juzga los aspectos de derecho; no se pronuncia sobre los hechos. El procedimiento que se sigue ante el Tribunal Supremo es el previsto en el Código del Proceso Civil, Comercial y Administrativo y en el Código del Proceso Penal o en cualquier otra disposición legislativa aplicable.</w:t>
      </w:r>
    </w:p>
    <w:p w:rsidR="001E7BB4" w:rsidRPr="007930B0" w:rsidRDefault="001E7BB4" w:rsidP="00B56B34">
      <w:pPr>
        <w:pStyle w:val="SingleTxtG"/>
        <w:rPr>
          <w:lang w:val="es-ES"/>
        </w:rPr>
      </w:pPr>
      <w:r w:rsidRPr="007930B0">
        <w:rPr>
          <w:lang w:val="es-ES"/>
        </w:rPr>
        <w:t>55.</w:t>
      </w:r>
      <w:r w:rsidRPr="007930B0">
        <w:rPr>
          <w:lang w:val="es-ES"/>
        </w:rPr>
        <w:tab/>
      </w:r>
      <w:r w:rsidRPr="007930B0">
        <w:rPr>
          <w:b/>
          <w:bCs/>
          <w:lang w:val="es-ES"/>
        </w:rPr>
        <w:t>Artículo 12</w:t>
      </w:r>
      <w:r w:rsidRPr="007930B0">
        <w:rPr>
          <w:lang w:val="es-ES"/>
        </w:rPr>
        <w:t xml:space="preserve">: El Tribunal Supremo puede ser invitado por el Gobierno a emitir su opinión sobre los proyectos de textos legislativos o reglamentarios y sobre todas las cuestiones respecto de las cuales se prevea su intervención en una disposición legislativa o reglamentaria expresa. También puede ser consultado por los ministros sobre las dificultades de carácter jurídico planteadas en el funcionamiento de los servicios públicos. </w:t>
      </w:r>
    </w:p>
    <w:p w:rsidR="001E7BB4" w:rsidRPr="007930B0" w:rsidRDefault="001E7BB4" w:rsidP="00106542">
      <w:pPr>
        <w:pStyle w:val="H56G"/>
        <w:rPr>
          <w:lang w:val="es-ES"/>
        </w:rPr>
      </w:pPr>
      <w:r w:rsidRPr="007930B0">
        <w:rPr>
          <w:lang w:val="es-ES"/>
        </w:rPr>
        <w:tab/>
      </w:r>
      <w:r w:rsidRPr="007930B0">
        <w:rPr>
          <w:lang w:val="es-ES"/>
        </w:rPr>
        <w:tab/>
        <w:t>Sección II</w:t>
      </w:r>
      <w:r w:rsidRPr="007930B0">
        <w:rPr>
          <w:lang w:val="es-ES"/>
        </w:rPr>
        <w:br/>
        <w:t>Composición</w:t>
      </w:r>
    </w:p>
    <w:p w:rsidR="001E7BB4" w:rsidRPr="007930B0" w:rsidRDefault="001E7BB4" w:rsidP="00B56B34">
      <w:pPr>
        <w:pStyle w:val="SingleTxtG"/>
        <w:rPr>
          <w:lang w:val="es-ES"/>
        </w:rPr>
      </w:pPr>
      <w:r w:rsidRPr="007930B0">
        <w:rPr>
          <w:lang w:val="es-ES"/>
        </w:rPr>
        <w:t>56.</w:t>
      </w:r>
      <w:r w:rsidRPr="007930B0">
        <w:rPr>
          <w:lang w:val="es-ES"/>
        </w:rPr>
        <w:tab/>
      </w:r>
      <w:r w:rsidRPr="007930B0">
        <w:rPr>
          <w:b/>
          <w:bCs/>
          <w:lang w:val="es-ES"/>
        </w:rPr>
        <w:t>Artículo 13</w:t>
      </w:r>
      <w:r w:rsidRPr="007930B0">
        <w:rPr>
          <w:lang w:val="es-ES"/>
        </w:rPr>
        <w:t>: El Tribunal Supremo está compuesto por un presidente, presidentes de sala, de los cuales uno es el vicepresidente del Tribunal Supremo, y consejeros. Comprende los órganos de decisión siguientes:</w:t>
      </w:r>
    </w:p>
    <w:p w:rsidR="001E7BB4" w:rsidRPr="007930B0" w:rsidRDefault="001E7BB4" w:rsidP="00106542">
      <w:pPr>
        <w:pStyle w:val="Bullet1G"/>
        <w:rPr>
          <w:lang w:val="es-ES"/>
        </w:rPr>
      </w:pPr>
      <w:r w:rsidRPr="007930B0">
        <w:rPr>
          <w:lang w:val="es-ES"/>
        </w:rPr>
        <w:t>Las salas;</w:t>
      </w:r>
    </w:p>
    <w:p w:rsidR="001E7BB4" w:rsidRPr="007930B0" w:rsidRDefault="001E7BB4" w:rsidP="00106542">
      <w:pPr>
        <w:pStyle w:val="Bullet1G"/>
        <w:rPr>
          <w:lang w:val="es-ES"/>
        </w:rPr>
      </w:pPr>
      <w:r w:rsidRPr="007930B0">
        <w:rPr>
          <w:lang w:val="es-ES"/>
        </w:rPr>
        <w:t>La sala del Consejo;</w:t>
      </w:r>
    </w:p>
    <w:p w:rsidR="001E7BB4" w:rsidRPr="007930B0" w:rsidRDefault="001E7BB4" w:rsidP="00106542">
      <w:pPr>
        <w:pStyle w:val="Bullet1G"/>
        <w:rPr>
          <w:lang w:val="es-ES"/>
        </w:rPr>
      </w:pPr>
      <w:r w:rsidRPr="007930B0">
        <w:rPr>
          <w:lang w:val="es-ES"/>
        </w:rPr>
        <w:t>Las salas reunidas.</w:t>
      </w:r>
    </w:p>
    <w:p w:rsidR="001E7BB4" w:rsidRPr="007930B0" w:rsidRDefault="001E7BB4" w:rsidP="004153AB">
      <w:pPr>
        <w:pStyle w:val="H56G"/>
        <w:rPr>
          <w:lang w:val="es-ES"/>
        </w:rPr>
      </w:pPr>
      <w:r w:rsidRPr="007930B0">
        <w:rPr>
          <w:lang w:val="es-ES"/>
        </w:rPr>
        <w:tab/>
      </w:r>
      <w:r w:rsidRPr="007930B0">
        <w:rPr>
          <w:lang w:val="es-ES"/>
        </w:rPr>
        <w:tab/>
        <w:t>Subsección primera</w:t>
      </w:r>
      <w:r w:rsidRPr="007930B0">
        <w:rPr>
          <w:lang w:val="es-ES"/>
        </w:rPr>
        <w:br/>
        <w:t>Del Presidente del Tribunal Supremo</w:t>
      </w:r>
    </w:p>
    <w:p w:rsidR="001E7BB4" w:rsidRPr="007930B0" w:rsidRDefault="001E7BB4" w:rsidP="00B56B34">
      <w:pPr>
        <w:pStyle w:val="SingleTxtG"/>
        <w:rPr>
          <w:lang w:val="es-ES"/>
        </w:rPr>
      </w:pPr>
      <w:r w:rsidRPr="007930B0">
        <w:rPr>
          <w:lang w:val="es-ES"/>
        </w:rPr>
        <w:t>57.</w:t>
      </w:r>
      <w:r w:rsidRPr="007930B0">
        <w:rPr>
          <w:lang w:val="es-ES"/>
        </w:rPr>
        <w:tab/>
      </w:r>
      <w:r w:rsidRPr="007930B0">
        <w:rPr>
          <w:b/>
          <w:bCs/>
          <w:lang w:val="es-ES"/>
        </w:rPr>
        <w:t>Artículo 14</w:t>
      </w:r>
      <w:r w:rsidRPr="007930B0">
        <w:rPr>
          <w:lang w:val="es-ES"/>
        </w:rPr>
        <w:t>: El Presidente del Tribunal Supremo es designado por decreto del Presidente de la República por un período de cinco años, renovable. Es elegido entre los magistrados de categoría superior o los juristas que gocen de gran prestigio moral y que sean reconocidos por su idoneidad, integridad y experiencia. Antes de entrar en funciones, el Presidente del Tribunal Supremo presta juramento ante el Presidente de la República en los siguientes términos:</w:t>
      </w:r>
    </w:p>
    <w:p w:rsidR="001E7BB4" w:rsidRPr="007930B0" w:rsidRDefault="00CC3B6E" w:rsidP="004153AB">
      <w:pPr>
        <w:pStyle w:val="SingleTxtG"/>
        <w:ind w:left="1701" w:firstLine="567"/>
        <w:rPr>
          <w:i/>
          <w:iCs/>
          <w:lang w:val="es-ES"/>
        </w:rPr>
      </w:pPr>
      <w:r w:rsidRPr="007930B0">
        <w:rPr>
          <w:lang w:val="es-ES"/>
        </w:rPr>
        <w:t>"</w:t>
      </w:r>
      <w:r w:rsidR="001E7BB4" w:rsidRPr="007930B0">
        <w:rPr>
          <w:i/>
          <w:iCs/>
          <w:lang w:val="es-ES"/>
        </w:rPr>
        <w:t xml:space="preserve">Juro por Alá El Único cumplir bien y fielmente mi función, ejercerla con la máximo probidad e imparcialidad, respetando la sharia islámica, la Constitución y las leyes, guardar el secreto de las deliberaciones, no tomar posición públicamente ni evacuar consultas en forma privada sobre cuestiones relacionadas con la competencia de los tribunales y los juzgados, y comportarme, en todos los aspectos, </w:t>
      </w:r>
      <w:r w:rsidR="004153AB" w:rsidRPr="007930B0">
        <w:rPr>
          <w:i/>
          <w:iCs/>
          <w:lang w:val="es-ES"/>
        </w:rPr>
        <w:t>como un magistrado digno y leal</w:t>
      </w:r>
      <w:r w:rsidR="001E7BB4" w:rsidRPr="007930B0">
        <w:rPr>
          <w:i/>
          <w:iCs/>
          <w:lang w:val="es-ES"/>
        </w:rPr>
        <w:t>.</w:t>
      </w:r>
      <w:r w:rsidRPr="007930B0">
        <w:rPr>
          <w:lang w:val="es-ES"/>
        </w:rPr>
        <w:t>"</w:t>
      </w:r>
    </w:p>
    <w:p w:rsidR="001E7BB4" w:rsidRPr="007930B0" w:rsidRDefault="001E7BB4" w:rsidP="00B56B34">
      <w:pPr>
        <w:pStyle w:val="SingleTxtG"/>
        <w:rPr>
          <w:lang w:val="es-ES"/>
        </w:rPr>
      </w:pPr>
      <w:r w:rsidRPr="007930B0">
        <w:rPr>
          <w:lang w:val="es-ES"/>
        </w:rPr>
        <w:t>El secretario principal del Tribunal Supremo levanta acta de la prestación del juramento.</w:t>
      </w:r>
      <w:r w:rsidR="00CC3B6E" w:rsidRPr="007930B0">
        <w:rPr>
          <w:lang w:val="es-ES"/>
        </w:rPr>
        <w:t xml:space="preserve"> </w:t>
      </w:r>
      <w:r w:rsidRPr="007930B0">
        <w:rPr>
          <w:lang w:val="es-ES"/>
        </w:rPr>
        <w:t>El rango, el tratamiento y las prestaciones en especie otorgados al Presidente del Tribunal Supremo son fijados por decreto.</w:t>
      </w:r>
    </w:p>
    <w:p w:rsidR="001E7BB4" w:rsidRPr="007930B0" w:rsidRDefault="001E7BB4" w:rsidP="00B56B34">
      <w:pPr>
        <w:pStyle w:val="SingleTxtG"/>
        <w:rPr>
          <w:lang w:val="es-ES"/>
        </w:rPr>
      </w:pPr>
      <w:r w:rsidRPr="007930B0">
        <w:rPr>
          <w:lang w:val="es-ES"/>
        </w:rPr>
        <w:t>58.</w:t>
      </w:r>
      <w:r w:rsidRPr="007930B0">
        <w:rPr>
          <w:lang w:val="es-ES"/>
        </w:rPr>
        <w:tab/>
      </w:r>
      <w:r w:rsidRPr="007930B0">
        <w:rPr>
          <w:b/>
          <w:bCs/>
          <w:lang w:val="es-ES"/>
        </w:rPr>
        <w:t>Artículo 15</w:t>
      </w:r>
      <w:r w:rsidRPr="007930B0">
        <w:rPr>
          <w:lang w:val="es-ES"/>
        </w:rPr>
        <w:t>: Las disposiciones del estatuto de la magistratura relativas a la inamovilidad, la independencia y la libertad de decisión, las incompatibilidades y el uso del traje de magistrado en las audiencias, así como las relativas a las obligaciones que incumben a los magistrados, son aplicables de pleno derecho al Presidente del Tribunal Supremo, durante todo el período de ejercicio de sus funciones.</w:t>
      </w:r>
    </w:p>
    <w:p w:rsidR="001E7BB4" w:rsidRPr="007930B0" w:rsidRDefault="001E7BB4" w:rsidP="00B56B34">
      <w:pPr>
        <w:pStyle w:val="SingleTxtG"/>
        <w:rPr>
          <w:lang w:val="es-ES"/>
        </w:rPr>
      </w:pPr>
      <w:r w:rsidRPr="007930B0">
        <w:rPr>
          <w:lang w:val="es-ES"/>
        </w:rPr>
        <w:t>59.</w:t>
      </w:r>
      <w:r w:rsidRPr="007930B0">
        <w:rPr>
          <w:lang w:val="es-ES"/>
        </w:rPr>
        <w:tab/>
      </w:r>
      <w:r w:rsidRPr="007930B0">
        <w:rPr>
          <w:b/>
          <w:bCs/>
          <w:lang w:val="es-ES"/>
        </w:rPr>
        <w:t>Artículo 16</w:t>
      </w:r>
      <w:r w:rsidRPr="007930B0">
        <w:rPr>
          <w:lang w:val="es-ES"/>
        </w:rPr>
        <w:t>: El Presidente del Tribunal Supremo preside las audiencias solemnes del Tribunal, las salas reunidas, la sala del Consejo y la Asamblea general. Si lo estima necesario, puede presidir una de las salas del Tribunal Supremo. Administra los servicios del Tribunal y ejerce toda otra función de administración judicial que le asignen las leyes y reglamentos. En caso de ausencia o impedimento temporal, el Presidente del Tribunal Supremo es sustituido de pleno derecho en sus funciones por el vicepresidente del Tribunal Supremo. En caso de impedimento definitivo debidamente comprobado, el Presidente del Tribunal Supremo es sustituido en la forma prevista para su designación, en un plazo máximo de un mes.</w:t>
      </w:r>
    </w:p>
    <w:p w:rsidR="001E7BB4" w:rsidRPr="007930B0" w:rsidRDefault="001E7BB4" w:rsidP="00B56B34">
      <w:pPr>
        <w:pStyle w:val="SingleTxtG"/>
        <w:rPr>
          <w:lang w:val="es-ES"/>
        </w:rPr>
      </w:pPr>
      <w:r w:rsidRPr="007930B0">
        <w:rPr>
          <w:lang w:val="es-ES"/>
        </w:rPr>
        <w:t>60.</w:t>
      </w:r>
      <w:r w:rsidRPr="007930B0">
        <w:rPr>
          <w:lang w:val="es-ES"/>
        </w:rPr>
        <w:tab/>
      </w:r>
      <w:r w:rsidRPr="007930B0">
        <w:rPr>
          <w:b/>
          <w:bCs/>
          <w:lang w:val="es-ES"/>
        </w:rPr>
        <w:t>Artículo 17</w:t>
      </w:r>
      <w:r w:rsidRPr="007930B0">
        <w:rPr>
          <w:lang w:val="es-ES"/>
        </w:rPr>
        <w:t>: El cargo de vicepresidente del Tribunal Supremo se confiere al presidente de sala más antiguo dentro de la categoría más alta y, en caso de igualdad de categoría y antigüedad, al de más edad y, en caso de igualdad de edad, al más antiguo dentro del Tribunal Supremo. En caso de ausencia o impedimento temporal, el vicepresidente del Tribunal Supremo es sustituido de pleno derecho en sus funciones por el presidente de sala más antiguo de la categoría más alta y, en caso de igualdad de categoría y de antigüedad, al de más edad y, en caso de igualdad de edad, al más antiguo dentro del Tribunal Supremo.</w:t>
      </w:r>
    </w:p>
    <w:p w:rsidR="001E7BB4" w:rsidRPr="007930B0" w:rsidRDefault="001E7BB4" w:rsidP="00B56B34">
      <w:pPr>
        <w:pStyle w:val="SingleTxtG"/>
        <w:rPr>
          <w:lang w:val="es-ES"/>
        </w:rPr>
      </w:pPr>
      <w:r w:rsidRPr="007930B0">
        <w:rPr>
          <w:lang w:val="es-ES"/>
        </w:rPr>
        <w:t>61.</w:t>
      </w:r>
      <w:r w:rsidRPr="007930B0">
        <w:rPr>
          <w:lang w:val="es-ES"/>
        </w:rPr>
        <w:tab/>
      </w:r>
      <w:r w:rsidRPr="007930B0">
        <w:rPr>
          <w:b/>
          <w:bCs/>
          <w:lang w:val="es-ES"/>
        </w:rPr>
        <w:t>Artículo 18</w:t>
      </w:r>
      <w:r w:rsidRPr="007930B0">
        <w:rPr>
          <w:lang w:val="es-ES"/>
        </w:rPr>
        <w:t>: El Presidente del Tribunal Supremo solo puede ser suspendido o autorizado a cesar en sus funciones antes de la fecha normal de finalización de su mandato en las formas previstas para su designación y si él mismo lo solicita, o por causa de incapacidad física, por pérdida de sus derechos civiles y políticos o por haber actuado en desmedro del decoro, el honor y la dignidad de su función. Salvo en el caso de crímenes o delitos flagrantes, el Presidente del Tribunal Supremo no podrá ser sometido a juicio penal sin la autorización previa del Consejo Superior de la Magistratura.</w:t>
      </w:r>
    </w:p>
    <w:p w:rsidR="001E7BB4" w:rsidRPr="007930B0" w:rsidRDefault="001E7BB4" w:rsidP="00EA35D6">
      <w:pPr>
        <w:pStyle w:val="H56G"/>
        <w:rPr>
          <w:lang w:val="es-ES"/>
        </w:rPr>
      </w:pPr>
      <w:r w:rsidRPr="007930B0">
        <w:rPr>
          <w:lang w:val="es-ES"/>
        </w:rPr>
        <w:tab/>
      </w:r>
      <w:r w:rsidRPr="007930B0">
        <w:rPr>
          <w:lang w:val="es-ES"/>
        </w:rPr>
        <w:tab/>
        <w:t>Subsección II</w:t>
      </w:r>
      <w:r w:rsidRPr="007930B0">
        <w:rPr>
          <w:lang w:val="es-ES"/>
        </w:rPr>
        <w:br/>
        <w:t>De las salas del Tribunal Supremo</w:t>
      </w:r>
    </w:p>
    <w:p w:rsidR="001E7BB4" w:rsidRPr="007930B0" w:rsidRDefault="001E7BB4" w:rsidP="00B56B34">
      <w:pPr>
        <w:pStyle w:val="SingleTxtG"/>
        <w:rPr>
          <w:lang w:val="es-ES"/>
        </w:rPr>
      </w:pPr>
      <w:r w:rsidRPr="007930B0">
        <w:rPr>
          <w:lang w:val="es-ES"/>
        </w:rPr>
        <w:t>62.</w:t>
      </w:r>
      <w:r w:rsidRPr="007930B0">
        <w:rPr>
          <w:lang w:val="es-ES"/>
        </w:rPr>
        <w:tab/>
        <w:t>Artículo 19: El Tribunal Supremo comprende:</w:t>
      </w:r>
    </w:p>
    <w:p w:rsidR="001E7BB4" w:rsidRPr="007930B0" w:rsidRDefault="001E7BB4" w:rsidP="00EA35D6">
      <w:pPr>
        <w:pStyle w:val="Bullet1G"/>
        <w:rPr>
          <w:lang w:val="es-ES"/>
        </w:rPr>
      </w:pPr>
      <w:r w:rsidRPr="007930B0">
        <w:rPr>
          <w:lang w:val="es-ES"/>
        </w:rPr>
        <w:t>Dos salas de lo civil y lo social;</w:t>
      </w:r>
    </w:p>
    <w:p w:rsidR="001E7BB4" w:rsidRPr="007930B0" w:rsidRDefault="001E7BB4" w:rsidP="00EA35D6">
      <w:pPr>
        <w:pStyle w:val="Bullet1G"/>
        <w:rPr>
          <w:lang w:val="es-ES"/>
        </w:rPr>
      </w:pPr>
      <w:r w:rsidRPr="007930B0">
        <w:rPr>
          <w:lang w:val="es-ES"/>
        </w:rPr>
        <w:t>Una sala de lo comercial;</w:t>
      </w:r>
    </w:p>
    <w:p w:rsidR="001E7BB4" w:rsidRPr="007930B0" w:rsidRDefault="001E7BB4" w:rsidP="00EA35D6">
      <w:pPr>
        <w:pStyle w:val="Bullet1G"/>
        <w:rPr>
          <w:lang w:val="es-ES"/>
        </w:rPr>
      </w:pPr>
      <w:r w:rsidRPr="007930B0">
        <w:rPr>
          <w:lang w:val="es-ES"/>
        </w:rPr>
        <w:t>Una sala de lo administrativo;</w:t>
      </w:r>
    </w:p>
    <w:p w:rsidR="001E7BB4" w:rsidRPr="007930B0" w:rsidRDefault="001E7BB4" w:rsidP="00EA35D6">
      <w:pPr>
        <w:pStyle w:val="Bullet1G"/>
        <w:rPr>
          <w:lang w:val="es-ES"/>
        </w:rPr>
      </w:pPr>
      <w:r w:rsidRPr="007930B0">
        <w:rPr>
          <w:lang w:val="es-ES"/>
        </w:rPr>
        <w:t>Una sala de lo penal.</w:t>
      </w:r>
    </w:p>
    <w:p w:rsidR="001E7BB4" w:rsidRPr="007930B0" w:rsidRDefault="001E7BB4" w:rsidP="00B56B34">
      <w:pPr>
        <w:pStyle w:val="SingleTxtG"/>
        <w:rPr>
          <w:lang w:val="es-ES"/>
        </w:rPr>
      </w:pPr>
      <w:r w:rsidRPr="007930B0">
        <w:rPr>
          <w:lang w:val="es-ES"/>
        </w:rPr>
        <w:t>63.</w:t>
      </w:r>
      <w:r w:rsidRPr="007930B0">
        <w:rPr>
          <w:lang w:val="es-ES"/>
        </w:rPr>
        <w:tab/>
      </w:r>
      <w:r w:rsidRPr="007930B0">
        <w:rPr>
          <w:b/>
          <w:bCs/>
          <w:lang w:val="es-ES"/>
        </w:rPr>
        <w:t>Artículo 20</w:t>
      </w:r>
      <w:r w:rsidRPr="007930B0">
        <w:rPr>
          <w:lang w:val="es-ES"/>
        </w:rPr>
        <w:t xml:space="preserve">: Las salas del Tribunal Supremo se componen de un presidente de sala y cuatro consejeros con voz y voto. El presidente de sala se nombra en función de su categoría y de su especialización. Preside las audiencias de su sala. En caso de ausencia o impedimento, es sustituido, por resolución del Presidente del Tribunal Supremo, por uno de los presidentes de las salas. Los consejeros del Tribunal Supremo se distribuyen entre las salas por resolución del Presidente del Tribunal Supremo, tras consultar a los presidentes de sala. En caso de ausencia o impedimento de un consejero, es sustituido por un consejero designado por resolución del Presidente del Tribunal Supremo, entre los consejeros. Salvo en el caso previsto en el artículo 22 </w:t>
      </w:r>
      <w:r w:rsidRPr="0095166A">
        <w:rPr>
          <w:i/>
          <w:iCs/>
          <w:lang w:val="es-ES"/>
        </w:rPr>
        <w:t>infra</w:t>
      </w:r>
      <w:r w:rsidRPr="007930B0">
        <w:rPr>
          <w:lang w:val="es-ES"/>
        </w:rPr>
        <w:t>, las salas del Tribunal Supremo sesionan en la sala del Consejo, según su especialización, en los casos en que la ley prevé que estas salas o el Tribunal Supremo se pronuncien en la sala del Consejo.</w:t>
      </w:r>
    </w:p>
    <w:p w:rsidR="001E7BB4" w:rsidRPr="007930B0" w:rsidRDefault="001E7BB4" w:rsidP="00EA35D6">
      <w:pPr>
        <w:pStyle w:val="H56G"/>
        <w:rPr>
          <w:lang w:val="es-ES"/>
        </w:rPr>
      </w:pPr>
      <w:r w:rsidRPr="007930B0">
        <w:rPr>
          <w:lang w:val="es-ES"/>
        </w:rPr>
        <w:tab/>
      </w:r>
      <w:r w:rsidRPr="007930B0">
        <w:rPr>
          <w:lang w:val="es-ES"/>
        </w:rPr>
        <w:tab/>
        <w:t>Subsección III</w:t>
      </w:r>
      <w:r w:rsidRPr="007930B0">
        <w:rPr>
          <w:lang w:val="es-ES"/>
        </w:rPr>
        <w:br/>
        <w:t>De las salas reunidas</w:t>
      </w:r>
    </w:p>
    <w:p w:rsidR="001E7BB4" w:rsidRPr="007930B0" w:rsidRDefault="001E7BB4" w:rsidP="00B56B34">
      <w:pPr>
        <w:pStyle w:val="SingleTxtG"/>
        <w:rPr>
          <w:lang w:val="es-ES"/>
        </w:rPr>
      </w:pPr>
      <w:r w:rsidRPr="007930B0">
        <w:rPr>
          <w:lang w:val="es-ES"/>
        </w:rPr>
        <w:t>64.</w:t>
      </w:r>
      <w:r w:rsidRPr="007930B0">
        <w:rPr>
          <w:lang w:val="es-ES"/>
        </w:rPr>
        <w:tab/>
      </w:r>
      <w:r w:rsidRPr="007930B0">
        <w:rPr>
          <w:b/>
          <w:bCs/>
          <w:lang w:val="es-ES"/>
        </w:rPr>
        <w:t>Artículo 21</w:t>
      </w:r>
      <w:r w:rsidRPr="007930B0">
        <w:rPr>
          <w:lang w:val="es-ES"/>
        </w:rPr>
        <w:t>: El Tribunal Supremo sesionando en salas reunidas está integrado por su presidente, los presidentes de sala y los consejeros. Puede deliberar válidamente cuando están presentes, además del Presidente del Tribunal Supremo, un presidente de sala y dos consejeros de cada sala.</w:t>
      </w:r>
    </w:p>
    <w:p w:rsidR="001E7BB4" w:rsidRPr="007930B0" w:rsidRDefault="001E7BB4" w:rsidP="00B56B34">
      <w:pPr>
        <w:pStyle w:val="SingleTxtG"/>
        <w:rPr>
          <w:lang w:val="es-ES"/>
        </w:rPr>
      </w:pPr>
      <w:r w:rsidRPr="007930B0">
        <w:rPr>
          <w:lang w:val="es-ES"/>
        </w:rPr>
        <w:t>65.</w:t>
      </w:r>
      <w:r w:rsidRPr="007930B0">
        <w:rPr>
          <w:lang w:val="es-ES"/>
        </w:rPr>
        <w:tab/>
      </w:r>
      <w:r w:rsidRPr="007930B0">
        <w:rPr>
          <w:b/>
          <w:bCs/>
          <w:lang w:val="es-ES"/>
        </w:rPr>
        <w:t>Artículo 22</w:t>
      </w:r>
      <w:r w:rsidRPr="007930B0">
        <w:rPr>
          <w:lang w:val="es-ES"/>
        </w:rPr>
        <w:t>: El Tribunal Supremo entiende, en salas reunidas, en las cuestiones siguientes:</w:t>
      </w:r>
    </w:p>
    <w:p w:rsidR="001E7BB4" w:rsidRPr="007930B0" w:rsidRDefault="001E7BB4" w:rsidP="00EA35D6">
      <w:pPr>
        <w:pStyle w:val="SingleTxtG"/>
        <w:ind w:left="2268" w:hanging="567"/>
        <w:rPr>
          <w:lang w:val="es-ES"/>
        </w:rPr>
      </w:pPr>
      <w:r w:rsidRPr="007930B0">
        <w:rPr>
          <w:lang w:val="es-ES"/>
        </w:rPr>
        <w:t>1.</w:t>
      </w:r>
      <w:r w:rsidRPr="007930B0">
        <w:rPr>
          <w:lang w:val="es-ES"/>
        </w:rPr>
        <w:tab/>
        <w:t>Los litigios relativos a sentencias o fallos contrarios dictados en última instancia entre las mismas partes y por los mismos medios por uno o más órganos jurisdiccionales;</w:t>
      </w:r>
    </w:p>
    <w:p w:rsidR="001E7BB4" w:rsidRPr="007930B0" w:rsidRDefault="001E7BB4" w:rsidP="00EA35D6">
      <w:pPr>
        <w:pStyle w:val="SingleTxtG"/>
        <w:ind w:left="2268" w:hanging="567"/>
        <w:rPr>
          <w:lang w:val="es-ES"/>
        </w:rPr>
      </w:pPr>
      <w:r w:rsidRPr="007930B0">
        <w:rPr>
          <w:lang w:val="es-ES"/>
        </w:rPr>
        <w:t>2.</w:t>
      </w:r>
      <w:r w:rsidRPr="007930B0">
        <w:rPr>
          <w:lang w:val="es-ES"/>
        </w:rPr>
        <w:tab/>
        <w:t>Los recursos interpuestos, en interés de la ley, por el Procurador General ante el Tribunal Supremo cuando ninguna de las partes recurrió dentro de los plazos establecidos;</w:t>
      </w:r>
    </w:p>
    <w:p w:rsidR="001E7BB4" w:rsidRPr="007930B0" w:rsidRDefault="001E7BB4" w:rsidP="00EA35D6">
      <w:pPr>
        <w:pStyle w:val="SingleTxtG"/>
        <w:ind w:left="2268" w:hanging="567"/>
        <w:rPr>
          <w:lang w:val="es-ES"/>
        </w:rPr>
      </w:pPr>
      <w:r w:rsidRPr="007930B0">
        <w:rPr>
          <w:lang w:val="es-ES"/>
        </w:rPr>
        <w:t>3.</w:t>
      </w:r>
      <w:r w:rsidRPr="007930B0">
        <w:rPr>
          <w:lang w:val="es-ES"/>
        </w:rPr>
        <w:tab/>
        <w:t>Los recursos de revisión de las sentencias de condena que imponen la pena de muerte;</w:t>
      </w:r>
    </w:p>
    <w:p w:rsidR="001E7BB4" w:rsidRPr="007930B0" w:rsidRDefault="001E7BB4" w:rsidP="00EA35D6">
      <w:pPr>
        <w:pStyle w:val="SingleTxtG"/>
        <w:ind w:left="2268" w:hanging="567"/>
        <w:rPr>
          <w:lang w:val="es-ES"/>
        </w:rPr>
      </w:pPr>
      <w:r w:rsidRPr="007930B0">
        <w:rPr>
          <w:lang w:val="es-ES"/>
        </w:rPr>
        <w:t>4.</w:t>
      </w:r>
      <w:r w:rsidRPr="007930B0">
        <w:rPr>
          <w:lang w:val="es-ES"/>
        </w:rPr>
        <w:tab/>
        <w:t>Los fallos y sentencias que se elevan al Tribunal Supremo para que entienda en segunda instancia.</w:t>
      </w:r>
    </w:p>
    <w:p w:rsidR="001E7BB4" w:rsidRPr="007930B0" w:rsidRDefault="001E7BB4" w:rsidP="00B56B34">
      <w:pPr>
        <w:pStyle w:val="SingleTxtG"/>
        <w:rPr>
          <w:lang w:val="es-ES"/>
        </w:rPr>
      </w:pPr>
      <w:r w:rsidRPr="007930B0">
        <w:rPr>
          <w:lang w:val="es-ES"/>
        </w:rPr>
        <w:t xml:space="preserve">Las opiniones formuladas en aplicación del artículo 12 </w:t>
      </w:r>
      <w:r w:rsidR="0095166A" w:rsidRPr="00034975">
        <w:rPr>
          <w:i/>
          <w:iCs/>
          <w:lang w:val="es-ES"/>
        </w:rPr>
        <w:t>supra</w:t>
      </w:r>
      <w:r w:rsidRPr="007930B0">
        <w:rPr>
          <w:lang w:val="es-ES"/>
        </w:rPr>
        <w:t xml:space="preserve"> son emitidas por el Tribunal Supremo sesionando, con la misma formación que las salas reunidas, en Asamblea consultiva plenaria.</w:t>
      </w:r>
    </w:p>
    <w:p w:rsidR="001E7BB4" w:rsidRPr="007930B0" w:rsidRDefault="001E7BB4" w:rsidP="00EA35D6">
      <w:pPr>
        <w:pStyle w:val="H56G"/>
        <w:rPr>
          <w:lang w:val="es-ES"/>
        </w:rPr>
      </w:pPr>
      <w:r w:rsidRPr="007930B0">
        <w:rPr>
          <w:lang w:val="es-ES"/>
        </w:rPr>
        <w:tab/>
      </w:r>
      <w:r w:rsidRPr="007930B0">
        <w:rPr>
          <w:lang w:val="es-ES"/>
        </w:rPr>
        <w:tab/>
        <w:t>Subsección IV</w:t>
      </w:r>
      <w:r w:rsidRPr="007930B0">
        <w:rPr>
          <w:lang w:val="es-ES"/>
        </w:rPr>
        <w:br/>
        <w:t>De la sala del Consejo del Tribunal Supremo</w:t>
      </w:r>
    </w:p>
    <w:p w:rsidR="001E7BB4" w:rsidRPr="007930B0" w:rsidRDefault="001E7BB4" w:rsidP="00B56B34">
      <w:pPr>
        <w:pStyle w:val="SingleTxtG"/>
        <w:rPr>
          <w:lang w:val="es-ES"/>
        </w:rPr>
      </w:pPr>
      <w:r w:rsidRPr="007930B0">
        <w:rPr>
          <w:lang w:val="es-ES"/>
        </w:rPr>
        <w:t>66.</w:t>
      </w:r>
      <w:r w:rsidRPr="007930B0">
        <w:rPr>
          <w:lang w:val="es-ES"/>
        </w:rPr>
        <w:tab/>
      </w:r>
      <w:r w:rsidRPr="007930B0">
        <w:rPr>
          <w:b/>
          <w:bCs/>
          <w:lang w:val="es-ES"/>
        </w:rPr>
        <w:t>Artículo 23</w:t>
      </w:r>
      <w:r w:rsidRPr="007930B0">
        <w:rPr>
          <w:lang w:val="es-ES"/>
        </w:rPr>
        <w:t>: La sala del Consejo del Tribunal Supremo se compone del Presidente del Tribunal Supremo y de los presidentes de sala.</w:t>
      </w:r>
    </w:p>
    <w:p w:rsidR="001E7BB4" w:rsidRPr="007930B0" w:rsidRDefault="001E7BB4" w:rsidP="00B56B34">
      <w:pPr>
        <w:pStyle w:val="SingleTxtG"/>
        <w:rPr>
          <w:lang w:val="es-ES"/>
        </w:rPr>
      </w:pPr>
      <w:r w:rsidRPr="007930B0">
        <w:rPr>
          <w:lang w:val="es-ES"/>
        </w:rPr>
        <w:t>67.</w:t>
      </w:r>
      <w:r w:rsidRPr="007930B0">
        <w:rPr>
          <w:lang w:val="es-ES"/>
        </w:rPr>
        <w:tab/>
      </w:r>
      <w:r w:rsidRPr="007930B0">
        <w:rPr>
          <w:b/>
          <w:bCs/>
          <w:lang w:val="es-ES"/>
        </w:rPr>
        <w:t>Artículo 24</w:t>
      </w:r>
      <w:r w:rsidRPr="007930B0">
        <w:rPr>
          <w:lang w:val="es-ES"/>
        </w:rPr>
        <w:t>: La sala del Consejo del Tribunal Supremo entiende en las cuestiones siguientes:</w:t>
      </w:r>
    </w:p>
    <w:p w:rsidR="001E7BB4" w:rsidRPr="007930B0" w:rsidRDefault="001E7BB4" w:rsidP="00D21153">
      <w:pPr>
        <w:pStyle w:val="Bullet1G"/>
        <w:rPr>
          <w:lang w:val="es-ES"/>
        </w:rPr>
      </w:pPr>
      <w:r w:rsidRPr="007930B0">
        <w:rPr>
          <w:lang w:val="es-ES"/>
        </w:rPr>
        <w:t>Los conflictos de competencia entre dos o más órganos jurisdiccionales;</w:t>
      </w:r>
    </w:p>
    <w:p w:rsidR="001E7BB4" w:rsidRPr="007930B0" w:rsidRDefault="001E7BB4" w:rsidP="00D21153">
      <w:pPr>
        <w:pStyle w:val="Bullet1G"/>
        <w:rPr>
          <w:lang w:val="es-ES"/>
        </w:rPr>
      </w:pPr>
      <w:r w:rsidRPr="007930B0">
        <w:rPr>
          <w:lang w:val="es-ES"/>
        </w:rPr>
        <w:t>Las demandas de responsabilidad entabladas contra los magistrados;</w:t>
      </w:r>
    </w:p>
    <w:p w:rsidR="001E7BB4" w:rsidRPr="007930B0" w:rsidRDefault="001E7BB4" w:rsidP="00D21153">
      <w:pPr>
        <w:pStyle w:val="Bullet1G"/>
        <w:rPr>
          <w:lang w:val="es-ES"/>
        </w:rPr>
      </w:pPr>
      <w:r w:rsidRPr="007930B0">
        <w:rPr>
          <w:lang w:val="es-ES"/>
        </w:rPr>
        <w:t>Los juicios incoados contra los magistrados o determinados funcionarios en los casos previstos en el Código del Proceso Penal;</w:t>
      </w:r>
    </w:p>
    <w:p w:rsidR="001E7BB4" w:rsidRPr="007930B0" w:rsidRDefault="001E7BB4" w:rsidP="00D21153">
      <w:pPr>
        <w:pStyle w:val="Bullet1G"/>
        <w:rPr>
          <w:lang w:val="es-ES"/>
        </w:rPr>
      </w:pPr>
      <w:r w:rsidRPr="007930B0">
        <w:rPr>
          <w:lang w:val="es-ES"/>
        </w:rPr>
        <w:t>Las recusaciones, abstenciones y remisiones de autos.</w:t>
      </w:r>
    </w:p>
    <w:p w:rsidR="001E7BB4" w:rsidRPr="007930B0" w:rsidRDefault="001E7BB4" w:rsidP="00D21153">
      <w:pPr>
        <w:pStyle w:val="H56G"/>
        <w:rPr>
          <w:lang w:val="es-ES"/>
        </w:rPr>
      </w:pPr>
      <w:r w:rsidRPr="007930B0">
        <w:rPr>
          <w:lang w:val="es-ES"/>
        </w:rPr>
        <w:tab/>
      </w:r>
      <w:r w:rsidRPr="007930B0">
        <w:rPr>
          <w:lang w:val="es-ES"/>
        </w:rPr>
        <w:tab/>
        <w:t>Subsección V</w:t>
      </w:r>
      <w:r w:rsidRPr="007930B0">
        <w:rPr>
          <w:lang w:val="es-ES"/>
        </w:rPr>
        <w:br/>
        <w:t>De la secretaría del Tribunal Supremo</w:t>
      </w:r>
    </w:p>
    <w:p w:rsidR="001E7BB4" w:rsidRPr="007930B0" w:rsidRDefault="001E7BB4" w:rsidP="00B56B34">
      <w:pPr>
        <w:pStyle w:val="SingleTxtG"/>
        <w:rPr>
          <w:lang w:val="es-ES"/>
        </w:rPr>
      </w:pPr>
      <w:r w:rsidRPr="007930B0">
        <w:rPr>
          <w:lang w:val="es-ES"/>
        </w:rPr>
        <w:t>68.</w:t>
      </w:r>
      <w:r w:rsidRPr="007930B0">
        <w:rPr>
          <w:lang w:val="es-ES"/>
        </w:rPr>
        <w:tab/>
      </w:r>
      <w:r w:rsidRPr="007930B0">
        <w:rPr>
          <w:b/>
          <w:bCs/>
          <w:lang w:val="es-ES"/>
        </w:rPr>
        <w:t>Artículo 25</w:t>
      </w:r>
      <w:r w:rsidRPr="007930B0">
        <w:rPr>
          <w:lang w:val="es-ES"/>
        </w:rPr>
        <w:t>: Los servicios de secretaría del Tribunal Supremo son prestados por un secretario principal central, asistido por secretarios principales, secretarios, secretarios adjuntos y fiscales asignados a las distintas salas del Tribunal Supremo.</w:t>
      </w:r>
    </w:p>
    <w:p w:rsidR="001E7BB4" w:rsidRPr="007930B0" w:rsidRDefault="001E7BB4" w:rsidP="00D21153">
      <w:pPr>
        <w:pStyle w:val="H56G"/>
        <w:rPr>
          <w:lang w:val="es-ES"/>
        </w:rPr>
      </w:pPr>
      <w:r w:rsidRPr="007930B0">
        <w:rPr>
          <w:lang w:val="es-ES"/>
        </w:rPr>
        <w:tab/>
      </w:r>
      <w:r w:rsidRPr="007930B0">
        <w:rPr>
          <w:lang w:val="es-ES"/>
        </w:rPr>
        <w:tab/>
        <w:t>Subsección VI</w:t>
      </w:r>
      <w:r w:rsidRPr="007930B0">
        <w:rPr>
          <w:lang w:val="es-ES"/>
        </w:rPr>
        <w:br/>
        <w:t>De los representantes del ministerio público ante el Tribunal Supremo</w:t>
      </w:r>
    </w:p>
    <w:p w:rsidR="001E7BB4" w:rsidRPr="007930B0" w:rsidRDefault="001E7BB4" w:rsidP="00B56B34">
      <w:pPr>
        <w:pStyle w:val="SingleTxtG"/>
        <w:rPr>
          <w:lang w:val="es-ES"/>
        </w:rPr>
      </w:pPr>
      <w:r w:rsidRPr="007930B0">
        <w:rPr>
          <w:lang w:val="es-ES"/>
        </w:rPr>
        <w:t>69.</w:t>
      </w:r>
      <w:r w:rsidRPr="007930B0">
        <w:rPr>
          <w:lang w:val="es-ES"/>
        </w:rPr>
        <w:tab/>
      </w:r>
      <w:r w:rsidRPr="007930B0">
        <w:rPr>
          <w:b/>
          <w:bCs/>
          <w:lang w:val="es-ES"/>
        </w:rPr>
        <w:t>Artículo 26</w:t>
      </w:r>
      <w:r w:rsidRPr="007930B0">
        <w:rPr>
          <w:lang w:val="es-ES"/>
        </w:rPr>
        <w:t>: Las funciones del ministerio público ante el Tribunal Supremo y sus diversos órganos son desempeñadas por el Procurador General asignado a dicho Tribunal o por sus sustitutos. El Procurador General ante el Tribunal Supremo es designado por decreto aprobado en Consejo de Ministros, a propuesta del Ministro de Justicia. Los servicios de secretaría del fiscal asignado al Tribunal Supremo son prestados por un secretario principal asistido por secretarios, secretarios adjuntos y fiscales. El rango, el tratamiento y las prestaciones en especie otorgados al Procurador General asignado al Tribunal Supremo son fijados por decreto.</w:t>
      </w:r>
    </w:p>
    <w:p w:rsidR="001E7BB4" w:rsidRPr="007930B0" w:rsidRDefault="00D21153" w:rsidP="00D21153">
      <w:pPr>
        <w:pStyle w:val="H56G"/>
        <w:rPr>
          <w:lang w:val="es-ES"/>
        </w:rPr>
      </w:pPr>
      <w:r w:rsidRPr="007930B0">
        <w:rPr>
          <w:lang w:val="es-ES"/>
        </w:rPr>
        <w:tab/>
      </w:r>
      <w:r w:rsidRPr="007930B0">
        <w:rPr>
          <w:lang w:val="es-ES"/>
        </w:rPr>
        <w:tab/>
        <w:t>Subsección VII</w:t>
      </w:r>
      <w:r w:rsidRPr="007930B0">
        <w:rPr>
          <w:lang w:val="es-ES"/>
        </w:rPr>
        <w:br/>
      </w:r>
      <w:r w:rsidR="001E7BB4" w:rsidRPr="007930B0">
        <w:rPr>
          <w:lang w:val="es-ES"/>
        </w:rPr>
        <w:t>Del Secretario General del Tribunal Supremo</w:t>
      </w:r>
    </w:p>
    <w:p w:rsidR="001E7BB4" w:rsidRPr="007930B0" w:rsidRDefault="001E7BB4" w:rsidP="00B56B34">
      <w:pPr>
        <w:pStyle w:val="SingleTxtG"/>
        <w:rPr>
          <w:lang w:val="es-ES"/>
        </w:rPr>
      </w:pPr>
      <w:r w:rsidRPr="007930B0">
        <w:rPr>
          <w:lang w:val="es-ES"/>
        </w:rPr>
        <w:t>70.</w:t>
      </w:r>
      <w:r w:rsidRPr="007930B0">
        <w:rPr>
          <w:lang w:val="es-ES"/>
        </w:rPr>
        <w:tab/>
      </w:r>
      <w:r w:rsidRPr="007930B0">
        <w:rPr>
          <w:b/>
          <w:bCs/>
          <w:lang w:val="es-ES"/>
        </w:rPr>
        <w:t>Artículo 27</w:t>
      </w:r>
      <w:r w:rsidRPr="007930B0">
        <w:rPr>
          <w:lang w:val="es-ES"/>
        </w:rPr>
        <w:t>: La administración y la gestión de los recursos del Tribunal Supremo son realizadas, bajo la autoridad del presidente, por un Secretario General designado por decreto aprobado en Consejo de Ministros a propuesta del Ministro de Justicia. El rango, las atribuciones, el tratamiento y las prestaciones en especie otorgados al Secretario General del Tribunal Supremo son fijados por decreto.</w:t>
      </w:r>
    </w:p>
    <w:p w:rsidR="001E7BB4" w:rsidRPr="007930B0" w:rsidRDefault="00D21153" w:rsidP="00D21153">
      <w:pPr>
        <w:pStyle w:val="H56G"/>
        <w:rPr>
          <w:lang w:val="es-ES"/>
        </w:rPr>
      </w:pPr>
      <w:r w:rsidRPr="007930B0">
        <w:rPr>
          <w:lang w:val="es-ES"/>
        </w:rPr>
        <w:tab/>
      </w:r>
      <w:r w:rsidRPr="007930B0">
        <w:rPr>
          <w:lang w:val="es-ES"/>
        </w:rPr>
        <w:tab/>
        <w:t>Sección III</w:t>
      </w:r>
      <w:r w:rsidRPr="007930B0">
        <w:rPr>
          <w:lang w:val="es-ES"/>
        </w:rPr>
        <w:br/>
      </w:r>
      <w:r w:rsidR="001E7BB4" w:rsidRPr="007930B0">
        <w:rPr>
          <w:lang w:val="es-ES"/>
        </w:rPr>
        <w:t>De la publicación de los fallos del Tribunal Supremo</w:t>
      </w:r>
    </w:p>
    <w:p w:rsidR="001E7BB4" w:rsidRPr="007930B0" w:rsidRDefault="001E7BB4" w:rsidP="00B56B34">
      <w:pPr>
        <w:pStyle w:val="SingleTxtG"/>
        <w:rPr>
          <w:lang w:val="es-ES"/>
        </w:rPr>
      </w:pPr>
      <w:r w:rsidRPr="007930B0">
        <w:rPr>
          <w:lang w:val="es-ES"/>
        </w:rPr>
        <w:t>71.</w:t>
      </w:r>
      <w:r w:rsidRPr="007930B0">
        <w:rPr>
          <w:lang w:val="es-ES"/>
        </w:rPr>
        <w:tab/>
      </w:r>
      <w:r w:rsidRPr="007930B0">
        <w:rPr>
          <w:b/>
          <w:bCs/>
          <w:lang w:val="es-ES"/>
        </w:rPr>
        <w:t>Artículo 28</w:t>
      </w:r>
      <w:r w:rsidRPr="007930B0">
        <w:rPr>
          <w:lang w:val="es-ES"/>
        </w:rPr>
        <w:t>: Sin perjuicio de las resoluciones especiales que exigen la publicación de determinados fallos del Tribunal Supremo en el Diario Oficial, los fallos del Tribunal Supremo se publican en un boletín periódico.</w:t>
      </w:r>
    </w:p>
    <w:p w:rsidR="001E7BB4" w:rsidRPr="007930B0" w:rsidRDefault="001E7BB4" w:rsidP="00D21153">
      <w:pPr>
        <w:pStyle w:val="H4G"/>
        <w:rPr>
          <w:lang w:val="es-ES"/>
        </w:rPr>
      </w:pPr>
      <w:r w:rsidRPr="007930B0">
        <w:rPr>
          <w:lang w:val="es-ES"/>
        </w:rPr>
        <w:tab/>
      </w:r>
      <w:r w:rsidRPr="007930B0">
        <w:rPr>
          <w:lang w:val="es-ES"/>
        </w:rPr>
        <w:tab/>
        <w:t>Capítulo II</w:t>
      </w:r>
      <w:r w:rsidRPr="007930B0">
        <w:rPr>
          <w:lang w:val="es-ES"/>
        </w:rPr>
        <w:br/>
        <w:t>De los Órganos Jurisdiccionales de Segunda Instancia</w:t>
      </w:r>
    </w:p>
    <w:p w:rsidR="001E7BB4" w:rsidRPr="007930B0" w:rsidRDefault="00D21153" w:rsidP="00D21153">
      <w:pPr>
        <w:pStyle w:val="H56G"/>
        <w:rPr>
          <w:lang w:val="es-ES"/>
        </w:rPr>
      </w:pPr>
      <w:r w:rsidRPr="007930B0">
        <w:rPr>
          <w:lang w:val="es-ES"/>
        </w:rPr>
        <w:tab/>
      </w:r>
      <w:r w:rsidRPr="007930B0">
        <w:rPr>
          <w:lang w:val="es-ES"/>
        </w:rPr>
        <w:tab/>
        <w:t>Sección I</w:t>
      </w:r>
      <w:r w:rsidRPr="007930B0">
        <w:rPr>
          <w:lang w:val="es-ES"/>
        </w:rPr>
        <w:br/>
      </w:r>
      <w:r w:rsidR="001E7BB4" w:rsidRPr="007930B0">
        <w:rPr>
          <w:lang w:val="es-ES"/>
        </w:rPr>
        <w:t>De los Tribunales de Apelaciones</w:t>
      </w:r>
    </w:p>
    <w:p w:rsidR="001E7BB4" w:rsidRPr="007930B0" w:rsidRDefault="001E7BB4" w:rsidP="00B56B34">
      <w:pPr>
        <w:pStyle w:val="SingleTxtG"/>
        <w:rPr>
          <w:lang w:val="es-ES"/>
        </w:rPr>
      </w:pPr>
      <w:r w:rsidRPr="007930B0">
        <w:rPr>
          <w:lang w:val="es-ES"/>
        </w:rPr>
        <w:t>72.</w:t>
      </w:r>
      <w:r w:rsidRPr="007930B0">
        <w:rPr>
          <w:lang w:val="es-ES"/>
        </w:rPr>
        <w:tab/>
      </w:r>
      <w:r w:rsidRPr="007930B0">
        <w:rPr>
          <w:b/>
          <w:bCs/>
          <w:lang w:val="es-ES"/>
        </w:rPr>
        <w:t>Artículo 29</w:t>
      </w:r>
      <w:r w:rsidRPr="007930B0">
        <w:rPr>
          <w:lang w:val="es-ES"/>
        </w:rPr>
        <w:t xml:space="preserve">: Se crea como mínimo un tribunal de apelaciones en el territorio nacional y, además, un tribunal de apelaciones en el centro administrativo de cada </w:t>
      </w:r>
      <w:r w:rsidR="00CD15B7" w:rsidRPr="007930B0">
        <w:rPr>
          <w:i/>
          <w:lang w:val="es-ES"/>
        </w:rPr>
        <w:t>wilaya</w:t>
      </w:r>
      <w:r w:rsidRPr="007930B0">
        <w:rPr>
          <w:lang w:val="es-ES"/>
        </w:rPr>
        <w:t>.</w:t>
      </w:r>
    </w:p>
    <w:p w:rsidR="001E7BB4" w:rsidRPr="007930B0" w:rsidRDefault="001E7BB4" w:rsidP="00B56B34">
      <w:pPr>
        <w:pStyle w:val="SingleTxtG"/>
        <w:rPr>
          <w:lang w:val="es-ES"/>
        </w:rPr>
      </w:pPr>
      <w:r w:rsidRPr="007930B0">
        <w:rPr>
          <w:lang w:val="es-ES"/>
        </w:rPr>
        <w:t>73.</w:t>
      </w:r>
      <w:r w:rsidRPr="007930B0">
        <w:rPr>
          <w:lang w:val="es-ES"/>
        </w:rPr>
        <w:tab/>
      </w:r>
      <w:r w:rsidRPr="007930B0">
        <w:rPr>
          <w:b/>
          <w:bCs/>
          <w:lang w:val="es-ES"/>
        </w:rPr>
        <w:t>Artículo 30</w:t>
      </w:r>
      <w:r w:rsidRPr="007930B0">
        <w:rPr>
          <w:lang w:val="es-ES"/>
        </w:rPr>
        <w:t>: Los tribunales de apelaciones comprenden los órganos de decisión siguientes:</w:t>
      </w:r>
    </w:p>
    <w:p w:rsidR="001E7BB4" w:rsidRPr="007930B0" w:rsidRDefault="001E7BB4" w:rsidP="00D21153">
      <w:pPr>
        <w:pStyle w:val="Bullet1G"/>
        <w:rPr>
          <w:lang w:val="es-ES"/>
        </w:rPr>
      </w:pPr>
      <w:r w:rsidRPr="007930B0">
        <w:rPr>
          <w:lang w:val="es-ES"/>
        </w:rPr>
        <w:t>Una o más salas de lo civil y lo social;</w:t>
      </w:r>
    </w:p>
    <w:p w:rsidR="001E7BB4" w:rsidRPr="007930B0" w:rsidRDefault="001E7BB4" w:rsidP="00D21153">
      <w:pPr>
        <w:pStyle w:val="Bullet1G"/>
        <w:rPr>
          <w:lang w:val="es-ES"/>
        </w:rPr>
      </w:pPr>
      <w:r w:rsidRPr="007930B0">
        <w:rPr>
          <w:lang w:val="es-ES"/>
        </w:rPr>
        <w:t>Una o más salas de lo comercial;</w:t>
      </w:r>
    </w:p>
    <w:p w:rsidR="001E7BB4" w:rsidRPr="007930B0" w:rsidRDefault="001E7BB4" w:rsidP="00D21153">
      <w:pPr>
        <w:pStyle w:val="Bullet1G"/>
        <w:rPr>
          <w:lang w:val="es-ES"/>
        </w:rPr>
      </w:pPr>
      <w:r w:rsidRPr="007930B0">
        <w:rPr>
          <w:lang w:val="es-ES"/>
        </w:rPr>
        <w:t>Una sala de lo administrativo;</w:t>
      </w:r>
    </w:p>
    <w:p w:rsidR="001E7BB4" w:rsidRPr="007930B0" w:rsidRDefault="001E7BB4" w:rsidP="00D21153">
      <w:pPr>
        <w:pStyle w:val="Bullet1G"/>
        <w:rPr>
          <w:lang w:val="es-ES"/>
        </w:rPr>
      </w:pPr>
      <w:r w:rsidRPr="007930B0">
        <w:rPr>
          <w:lang w:val="es-ES"/>
        </w:rPr>
        <w:t>Varias salas de lo penal, incluidas una sala de acusación y una sala de menores.</w:t>
      </w:r>
    </w:p>
    <w:p w:rsidR="001E7BB4" w:rsidRPr="007930B0" w:rsidRDefault="001E7BB4" w:rsidP="00B56B34">
      <w:pPr>
        <w:pStyle w:val="SingleTxtG"/>
        <w:rPr>
          <w:lang w:val="es-ES"/>
        </w:rPr>
      </w:pPr>
      <w:r w:rsidRPr="007930B0">
        <w:rPr>
          <w:lang w:val="es-ES"/>
        </w:rPr>
        <w:t>74.</w:t>
      </w:r>
      <w:r w:rsidRPr="007930B0">
        <w:rPr>
          <w:lang w:val="es-ES"/>
        </w:rPr>
        <w:tab/>
      </w:r>
      <w:r w:rsidRPr="007930B0">
        <w:rPr>
          <w:b/>
          <w:bCs/>
          <w:lang w:val="es-ES"/>
        </w:rPr>
        <w:t>Artículo 31</w:t>
      </w:r>
      <w:r w:rsidRPr="007930B0">
        <w:rPr>
          <w:lang w:val="es-ES"/>
        </w:rPr>
        <w:t>: Las salas del tribunal de apelaciones conocen, en segunda y última instancia, en función de su competencia, de las sentencias y resoluciones dictadas en primera instancia por los órganos jurisdiccionales de primera instancia.</w:t>
      </w:r>
    </w:p>
    <w:p w:rsidR="001E7BB4" w:rsidRPr="007930B0" w:rsidRDefault="001E7BB4" w:rsidP="00B56B34">
      <w:pPr>
        <w:pStyle w:val="SingleTxtG"/>
        <w:rPr>
          <w:lang w:val="es-ES"/>
        </w:rPr>
      </w:pPr>
      <w:r w:rsidRPr="007930B0">
        <w:rPr>
          <w:lang w:val="es-ES"/>
        </w:rPr>
        <w:t>75.</w:t>
      </w:r>
      <w:r w:rsidRPr="007930B0">
        <w:rPr>
          <w:lang w:val="es-ES"/>
        </w:rPr>
        <w:tab/>
      </w:r>
      <w:r w:rsidRPr="007930B0">
        <w:rPr>
          <w:b/>
          <w:bCs/>
          <w:lang w:val="es-ES"/>
        </w:rPr>
        <w:t>Artículo 32</w:t>
      </w:r>
      <w:r w:rsidRPr="007930B0">
        <w:rPr>
          <w:lang w:val="es-ES"/>
        </w:rPr>
        <w:t>: Las salas del tribunal de apelaciones se componen de tres magistrados, incluidos el presidente de sala y dos consejeros con voz y voto. Sin embargo, la sala de lo penal del tribunal de apelaciones que entiende en las apelaciones interpuestas contra las sentencias del tribunal penal se compone de cinco magistrados, de los cuales uno es el presidente y los otros cuatro son consejeros.</w:t>
      </w:r>
    </w:p>
    <w:p w:rsidR="001E7BB4" w:rsidRPr="007930B0" w:rsidRDefault="001E7BB4" w:rsidP="00D21153">
      <w:pPr>
        <w:pStyle w:val="H56G"/>
        <w:rPr>
          <w:lang w:val="es-ES"/>
        </w:rPr>
      </w:pPr>
      <w:r w:rsidRPr="007930B0">
        <w:rPr>
          <w:lang w:val="es-ES"/>
        </w:rPr>
        <w:tab/>
      </w:r>
      <w:r w:rsidRPr="007930B0">
        <w:rPr>
          <w:lang w:val="es-ES"/>
        </w:rPr>
        <w:tab/>
        <w:t>Sección II</w:t>
      </w:r>
      <w:r w:rsidRPr="007930B0">
        <w:rPr>
          <w:lang w:val="es-ES"/>
        </w:rPr>
        <w:br/>
        <w:t>Del Presidente del Tribunal de Apelaciones</w:t>
      </w:r>
    </w:p>
    <w:p w:rsidR="001E7BB4" w:rsidRPr="007930B0" w:rsidRDefault="001E7BB4" w:rsidP="00B56B34">
      <w:pPr>
        <w:pStyle w:val="SingleTxtG"/>
        <w:rPr>
          <w:lang w:val="es-ES"/>
        </w:rPr>
      </w:pPr>
      <w:r w:rsidRPr="007930B0">
        <w:rPr>
          <w:lang w:val="es-ES"/>
        </w:rPr>
        <w:t>76.</w:t>
      </w:r>
      <w:r w:rsidRPr="007930B0">
        <w:rPr>
          <w:lang w:val="es-ES"/>
        </w:rPr>
        <w:tab/>
      </w:r>
      <w:r w:rsidRPr="007930B0">
        <w:rPr>
          <w:b/>
          <w:bCs/>
          <w:lang w:val="es-ES"/>
        </w:rPr>
        <w:t>Artículo 33</w:t>
      </w:r>
      <w:r w:rsidRPr="007930B0">
        <w:rPr>
          <w:lang w:val="es-ES"/>
        </w:rPr>
        <w:t>: El cargo de presidente del tribunal de apelaciones es conferido al presidente de sala más antiguo de la categoría más alta, y, en caso de igualdad de categoría y de antigüedad, al presidente de más edad y, en caso de igualdad de edad, al presidente más antiguo del tribunal de apelaciones. El rango protocolar, el tratamiento y las prestaciones en especie otorgados al presidente del tribunal de apelaciones son fijados por decreto. En caso de ausencia o impedimento del presidente del tribunal de apelaciones, es sustituido, mediante una resolución del Presidente del Tribunal Supremo, por un presidente de sala del mismo órgano jurisdiccional.</w:t>
      </w:r>
    </w:p>
    <w:p w:rsidR="001E7BB4" w:rsidRPr="007930B0" w:rsidRDefault="001E7BB4" w:rsidP="00B56B34">
      <w:pPr>
        <w:pStyle w:val="SingleTxtG"/>
        <w:rPr>
          <w:lang w:val="es-ES"/>
        </w:rPr>
      </w:pPr>
      <w:r w:rsidRPr="007930B0">
        <w:rPr>
          <w:lang w:val="es-ES"/>
        </w:rPr>
        <w:t>77.</w:t>
      </w:r>
      <w:r w:rsidRPr="007930B0">
        <w:rPr>
          <w:lang w:val="es-ES"/>
        </w:rPr>
        <w:tab/>
      </w:r>
      <w:r w:rsidRPr="007930B0">
        <w:rPr>
          <w:b/>
          <w:bCs/>
          <w:lang w:val="es-ES"/>
        </w:rPr>
        <w:t>Artículo 34</w:t>
      </w:r>
      <w:r w:rsidRPr="007930B0">
        <w:rPr>
          <w:lang w:val="es-ES"/>
        </w:rPr>
        <w:t>: En caso de ausencia o impedimento de un presidente de sala del tribunal de apelaciones, este es sustituido, mediante una resolución del presidente del tribunal de apelaciones, por un presidente de sala del mismo órgano jurisdiccional. En caso de ausencia o impedimento de uno de los consejeros de alguna de las salas del tribunal de apelaciones, es sustituido por otro consejero por resolución del presidente del tribunal de apelaciones.</w:t>
      </w:r>
    </w:p>
    <w:p w:rsidR="001E7BB4" w:rsidRPr="007930B0" w:rsidRDefault="001E7BB4" w:rsidP="00B56B34">
      <w:pPr>
        <w:pStyle w:val="SingleTxtG"/>
        <w:rPr>
          <w:lang w:val="es-ES"/>
        </w:rPr>
      </w:pPr>
      <w:r w:rsidRPr="007930B0">
        <w:rPr>
          <w:lang w:val="es-ES"/>
        </w:rPr>
        <w:t>78.</w:t>
      </w:r>
      <w:r w:rsidRPr="007930B0">
        <w:rPr>
          <w:lang w:val="es-ES"/>
        </w:rPr>
        <w:tab/>
      </w:r>
      <w:r w:rsidRPr="007930B0">
        <w:rPr>
          <w:b/>
          <w:bCs/>
          <w:lang w:val="es-ES"/>
        </w:rPr>
        <w:t>Artículo 35</w:t>
      </w:r>
      <w:r w:rsidRPr="007930B0">
        <w:rPr>
          <w:lang w:val="es-ES"/>
        </w:rPr>
        <w:t>: Los servicios de secretaría del tribunal de apelaciones son prestados por un secretario principal central asistido por secretarios principales, secretarios, secretarios adjuntos y fiscales asignados a las distintas salas del tribunal de apelaciones.</w:t>
      </w:r>
    </w:p>
    <w:p w:rsidR="001E7BB4" w:rsidRPr="007930B0" w:rsidRDefault="001E7BB4" w:rsidP="00B56B34">
      <w:pPr>
        <w:pStyle w:val="SingleTxtG"/>
        <w:rPr>
          <w:lang w:val="es-ES"/>
        </w:rPr>
      </w:pPr>
      <w:r w:rsidRPr="007930B0">
        <w:rPr>
          <w:lang w:val="es-ES"/>
        </w:rPr>
        <w:t>79.</w:t>
      </w:r>
      <w:r w:rsidRPr="007930B0">
        <w:rPr>
          <w:lang w:val="es-ES"/>
        </w:rPr>
        <w:tab/>
      </w:r>
      <w:r w:rsidRPr="007930B0">
        <w:rPr>
          <w:b/>
          <w:bCs/>
          <w:lang w:val="es-ES"/>
        </w:rPr>
        <w:t>Artículo 36</w:t>
      </w:r>
      <w:r w:rsidRPr="007930B0">
        <w:rPr>
          <w:lang w:val="es-ES"/>
        </w:rPr>
        <w:t>: El ministerio público está representado ante el tribunal de apelaciones por un Procurador General asignado a dicho tribunal de apelaciones o por sus sustitutos. Los servicios de secretaría del ministerio público asignado al tribunal de apelaciones son prestados por un secretario principal o un secretario asistido por uno o más secretarios adjuntos y fiscales.</w:t>
      </w:r>
    </w:p>
    <w:p w:rsidR="001E7BB4" w:rsidRPr="007930B0" w:rsidRDefault="001E7BB4" w:rsidP="00B56B34">
      <w:pPr>
        <w:pStyle w:val="SingleTxtG"/>
        <w:rPr>
          <w:lang w:val="es-ES"/>
        </w:rPr>
      </w:pPr>
      <w:r w:rsidRPr="007930B0">
        <w:rPr>
          <w:lang w:val="es-ES"/>
        </w:rPr>
        <w:t>80.</w:t>
      </w:r>
      <w:r w:rsidRPr="007930B0">
        <w:rPr>
          <w:lang w:val="es-ES"/>
        </w:rPr>
        <w:tab/>
      </w:r>
      <w:r w:rsidRPr="007930B0">
        <w:rPr>
          <w:b/>
          <w:bCs/>
          <w:lang w:val="es-ES"/>
        </w:rPr>
        <w:t>Artículo 37</w:t>
      </w:r>
      <w:r w:rsidRPr="007930B0">
        <w:rPr>
          <w:lang w:val="es-ES"/>
        </w:rPr>
        <w:t>: La administración y la gestión de los recursos del tribunal de apelaciones están a cargo de un secretario general nombrado por decreto aprobado en Consejo de Ministros. El rango, las atribuciones, el tratamiento y las prestaciones en especie otorgados al Secretario General del tribunal de apelaciones son fijados por decreto.</w:t>
      </w:r>
    </w:p>
    <w:p w:rsidR="001E7BB4" w:rsidRPr="007930B0" w:rsidRDefault="001E7BB4" w:rsidP="00D21153">
      <w:pPr>
        <w:pStyle w:val="H4G"/>
        <w:rPr>
          <w:lang w:val="es-ES"/>
        </w:rPr>
      </w:pPr>
      <w:r w:rsidRPr="007930B0">
        <w:rPr>
          <w:lang w:val="es-ES"/>
        </w:rPr>
        <w:tab/>
      </w:r>
      <w:r w:rsidRPr="007930B0">
        <w:rPr>
          <w:lang w:val="es-ES"/>
        </w:rPr>
        <w:tab/>
        <w:t>Capítulo III</w:t>
      </w:r>
      <w:r w:rsidRPr="007930B0">
        <w:rPr>
          <w:lang w:val="es-ES"/>
        </w:rPr>
        <w:br/>
        <w:t>De los Órganos Jurisdiccionales de Primera instancia</w:t>
      </w:r>
    </w:p>
    <w:p w:rsidR="001E7BB4" w:rsidRPr="007930B0" w:rsidRDefault="001E7BB4" w:rsidP="00CD15B7">
      <w:pPr>
        <w:pStyle w:val="H56G"/>
        <w:rPr>
          <w:lang w:val="es-ES"/>
        </w:rPr>
      </w:pPr>
      <w:r w:rsidRPr="007930B0">
        <w:rPr>
          <w:lang w:val="es-ES"/>
        </w:rPr>
        <w:tab/>
      </w:r>
      <w:r w:rsidRPr="007930B0">
        <w:rPr>
          <w:lang w:val="es-ES"/>
        </w:rPr>
        <w:tab/>
        <w:t>Sección I</w:t>
      </w:r>
      <w:r w:rsidRPr="007930B0">
        <w:rPr>
          <w:lang w:val="es-ES"/>
        </w:rPr>
        <w:br/>
        <w:t xml:space="preserve">De los Juzgados de </w:t>
      </w:r>
      <w:r w:rsidR="00CD15B7" w:rsidRPr="007930B0">
        <w:rPr>
          <w:i/>
          <w:iCs/>
          <w:lang w:val="es-ES"/>
        </w:rPr>
        <w:t>w</w:t>
      </w:r>
      <w:r w:rsidRPr="007930B0">
        <w:rPr>
          <w:i/>
          <w:iCs/>
          <w:lang w:val="es-ES"/>
        </w:rPr>
        <w:t>ilaya</w:t>
      </w:r>
    </w:p>
    <w:p w:rsidR="001E7BB4" w:rsidRPr="007930B0" w:rsidRDefault="001E7BB4" w:rsidP="00B56B34">
      <w:pPr>
        <w:pStyle w:val="SingleTxtG"/>
        <w:rPr>
          <w:lang w:val="es-ES"/>
        </w:rPr>
      </w:pPr>
      <w:r w:rsidRPr="007930B0">
        <w:rPr>
          <w:lang w:val="es-ES"/>
        </w:rPr>
        <w:t>81.</w:t>
      </w:r>
      <w:r w:rsidRPr="007930B0">
        <w:rPr>
          <w:lang w:val="es-ES"/>
        </w:rPr>
        <w:tab/>
      </w:r>
      <w:r w:rsidRPr="007930B0">
        <w:rPr>
          <w:b/>
          <w:bCs/>
          <w:lang w:val="es-ES"/>
        </w:rPr>
        <w:t>Artículo 38</w:t>
      </w:r>
      <w:r w:rsidRPr="007930B0">
        <w:rPr>
          <w:lang w:val="es-ES"/>
        </w:rPr>
        <w:t xml:space="preserve">: Establécese en el centro administrativo de cada </w:t>
      </w:r>
      <w:r w:rsidR="00CD15B7" w:rsidRPr="007930B0">
        <w:rPr>
          <w:i/>
          <w:lang w:val="es-ES"/>
        </w:rPr>
        <w:t>wilaya</w:t>
      </w:r>
      <w:r w:rsidRPr="007930B0">
        <w:rPr>
          <w:lang w:val="es-ES"/>
        </w:rPr>
        <w:t xml:space="preserve"> un tribunal denominado juzgado de la </w:t>
      </w:r>
      <w:r w:rsidR="00CD15B7" w:rsidRPr="007930B0">
        <w:rPr>
          <w:i/>
          <w:lang w:val="es-ES"/>
        </w:rPr>
        <w:t>wilaya</w:t>
      </w:r>
      <w:r w:rsidRPr="007930B0">
        <w:rPr>
          <w:lang w:val="es-ES"/>
        </w:rPr>
        <w:t>.</w:t>
      </w:r>
    </w:p>
    <w:p w:rsidR="001E7BB4" w:rsidRPr="007930B0" w:rsidRDefault="001E7BB4" w:rsidP="00B56B34">
      <w:pPr>
        <w:pStyle w:val="SingleTxtG"/>
        <w:rPr>
          <w:lang w:val="es-ES"/>
        </w:rPr>
      </w:pPr>
      <w:r w:rsidRPr="007930B0">
        <w:rPr>
          <w:lang w:val="es-ES"/>
        </w:rPr>
        <w:t xml:space="preserve">El juzgado de la </w:t>
      </w:r>
      <w:r w:rsidR="00CD15B7" w:rsidRPr="007930B0">
        <w:rPr>
          <w:i/>
          <w:lang w:val="es-ES"/>
        </w:rPr>
        <w:t>wilaya</w:t>
      </w:r>
      <w:r w:rsidRPr="007930B0">
        <w:rPr>
          <w:lang w:val="es-ES"/>
        </w:rPr>
        <w:t xml:space="preserve"> comprende los órganos de decisión siguientes:</w:t>
      </w:r>
    </w:p>
    <w:p w:rsidR="001E7BB4" w:rsidRPr="007930B0" w:rsidRDefault="001E7BB4" w:rsidP="00D21153">
      <w:pPr>
        <w:pStyle w:val="Bullet1G"/>
        <w:rPr>
          <w:lang w:val="es-ES"/>
        </w:rPr>
      </w:pPr>
      <w:r w:rsidRPr="007930B0">
        <w:rPr>
          <w:lang w:val="es-ES"/>
        </w:rPr>
        <w:t>Una o más salas de lo civil;</w:t>
      </w:r>
    </w:p>
    <w:p w:rsidR="001E7BB4" w:rsidRPr="007930B0" w:rsidRDefault="001E7BB4" w:rsidP="00D21153">
      <w:pPr>
        <w:pStyle w:val="Bullet1G"/>
        <w:rPr>
          <w:lang w:val="es-ES"/>
        </w:rPr>
      </w:pPr>
      <w:r w:rsidRPr="007930B0">
        <w:rPr>
          <w:lang w:val="es-ES"/>
        </w:rPr>
        <w:t xml:space="preserve">Una sala de lo comercial, con sujeción a lo dispuesto en el artículo 46 </w:t>
      </w:r>
      <w:r w:rsidR="0095166A" w:rsidRPr="00034975">
        <w:rPr>
          <w:i/>
          <w:iCs/>
          <w:lang w:val="es-ES"/>
        </w:rPr>
        <w:t>infra</w:t>
      </w:r>
      <w:r w:rsidRPr="007930B0">
        <w:rPr>
          <w:lang w:val="es-ES"/>
        </w:rPr>
        <w:t>;</w:t>
      </w:r>
    </w:p>
    <w:p w:rsidR="001E7BB4" w:rsidRPr="007930B0" w:rsidRDefault="001E7BB4" w:rsidP="00D21153">
      <w:pPr>
        <w:pStyle w:val="Bullet1G"/>
        <w:rPr>
          <w:lang w:val="es-ES"/>
        </w:rPr>
      </w:pPr>
      <w:r w:rsidRPr="007930B0">
        <w:rPr>
          <w:lang w:val="es-ES"/>
        </w:rPr>
        <w:t>Una sala de lo administrativo;</w:t>
      </w:r>
    </w:p>
    <w:p w:rsidR="001E7BB4" w:rsidRPr="007930B0" w:rsidRDefault="001E7BB4" w:rsidP="00D21153">
      <w:pPr>
        <w:pStyle w:val="Bullet1G"/>
        <w:rPr>
          <w:lang w:val="es-ES"/>
        </w:rPr>
      </w:pPr>
      <w:r w:rsidRPr="007930B0">
        <w:rPr>
          <w:lang w:val="es-ES"/>
        </w:rPr>
        <w:t>Varias salas de lo penal, incluida una para menores.</w:t>
      </w:r>
    </w:p>
    <w:p w:rsidR="001E7BB4" w:rsidRPr="007930B0" w:rsidRDefault="001E7BB4" w:rsidP="00B56B34">
      <w:pPr>
        <w:pStyle w:val="SingleTxtG"/>
        <w:rPr>
          <w:lang w:val="es-ES"/>
        </w:rPr>
      </w:pPr>
      <w:r w:rsidRPr="007930B0">
        <w:rPr>
          <w:lang w:val="es-ES"/>
        </w:rPr>
        <w:t>82.</w:t>
      </w:r>
      <w:r w:rsidRPr="007930B0">
        <w:rPr>
          <w:lang w:val="es-ES"/>
        </w:rPr>
        <w:tab/>
      </w:r>
      <w:r w:rsidRPr="007930B0">
        <w:rPr>
          <w:b/>
          <w:bCs/>
          <w:lang w:val="es-ES"/>
        </w:rPr>
        <w:t>Artículo 39</w:t>
      </w:r>
      <w:r w:rsidRPr="007930B0">
        <w:rPr>
          <w:lang w:val="es-ES"/>
        </w:rPr>
        <w:t xml:space="preserve">: Las salas del juzgado de la </w:t>
      </w:r>
      <w:r w:rsidR="00CD15B7" w:rsidRPr="007930B0">
        <w:rPr>
          <w:i/>
          <w:lang w:val="es-ES"/>
        </w:rPr>
        <w:t>wilaya</w:t>
      </w:r>
      <w:r w:rsidRPr="007930B0">
        <w:rPr>
          <w:lang w:val="es-ES"/>
        </w:rPr>
        <w:t xml:space="preserve"> se componen de un solo juez, que lleva el título de presidente de sala del juzgado de la </w:t>
      </w:r>
      <w:r w:rsidR="00CD15B7" w:rsidRPr="007930B0">
        <w:rPr>
          <w:i/>
          <w:lang w:val="es-ES"/>
        </w:rPr>
        <w:t>wilaya</w:t>
      </w:r>
      <w:r w:rsidRPr="007930B0">
        <w:rPr>
          <w:lang w:val="es-ES"/>
        </w:rPr>
        <w:t xml:space="preserve">. En caso de ausencia o impedimento de un presidente de sala del juzgado de la </w:t>
      </w:r>
      <w:r w:rsidR="00CD15B7" w:rsidRPr="007930B0">
        <w:rPr>
          <w:i/>
          <w:lang w:val="es-ES"/>
        </w:rPr>
        <w:t>wilaya</w:t>
      </w:r>
      <w:r w:rsidRPr="007930B0">
        <w:rPr>
          <w:lang w:val="es-ES"/>
        </w:rPr>
        <w:t xml:space="preserve">, es sustituido por un presidente de sala del mismo juzgado por resolución del presidente del juzgado de la </w:t>
      </w:r>
      <w:r w:rsidR="00CD15B7" w:rsidRPr="007930B0">
        <w:rPr>
          <w:i/>
          <w:lang w:val="es-ES"/>
        </w:rPr>
        <w:t>wilaya</w:t>
      </w:r>
      <w:r w:rsidRPr="007930B0">
        <w:rPr>
          <w:lang w:val="es-ES"/>
        </w:rPr>
        <w:t xml:space="preserve"> o del juzgado de la </w:t>
      </w:r>
      <w:r w:rsidR="00CD15B7" w:rsidRPr="007930B0">
        <w:rPr>
          <w:i/>
          <w:lang w:val="es-ES"/>
        </w:rPr>
        <w:t>wilaya</w:t>
      </w:r>
      <w:r w:rsidRPr="007930B0">
        <w:rPr>
          <w:lang w:val="es-ES"/>
        </w:rPr>
        <w:t xml:space="preserve"> vecina, designado por resolución del presidente del tribunal de apelaciones correspondiente. En caso de ausencia o impedimento de un presidente de sala de un juzgado de </w:t>
      </w:r>
      <w:r w:rsidR="00CD15B7" w:rsidRPr="007930B0">
        <w:rPr>
          <w:i/>
          <w:lang w:val="es-ES"/>
        </w:rPr>
        <w:t>wilaya</w:t>
      </w:r>
      <w:r w:rsidRPr="007930B0">
        <w:rPr>
          <w:lang w:val="es-ES"/>
        </w:rPr>
        <w:t xml:space="preserve"> que tenga únicamente dos presidentes de sala, es sustituido por el presidente del juzgado de la </w:t>
      </w:r>
      <w:r w:rsidR="00CD15B7" w:rsidRPr="007930B0">
        <w:rPr>
          <w:i/>
          <w:lang w:val="es-ES"/>
        </w:rPr>
        <w:t>wilaya</w:t>
      </w:r>
      <w:r w:rsidRPr="007930B0">
        <w:rPr>
          <w:lang w:val="es-ES"/>
        </w:rPr>
        <w:t>.</w:t>
      </w:r>
    </w:p>
    <w:p w:rsidR="001E7BB4" w:rsidRPr="007930B0" w:rsidRDefault="001E7BB4" w:rsidP="00B56B34">
      <w:pPr>
        <w:pStyle w:val="SingleTxtG"/>
        <w:rPr>
          <w:lang w:val="es-ES"/>
        </w:rPr>
      </w:pPr>
      <w:r w:rsidRPr="007930B0">
        <w:rPr>
          <w:lang w:val="es-ES"/>
        </w:rPr>
        <w:t>83.</w:t>
      </w:r>
      <w:r w:rsidRPr="007930B0">
        <w:rPr>
          <w:lang w:val="es-ES"/>
        </w:rPr>
        <w:tab/>
      </w:r>
      <w:r w:rsidRPr="007930B0">
        <w:rPr>
          <w:b/>
          <w:bCs/>
          <w:lang w:val="es-ES"/>
        </w:rPr>
        <w:t>Artículo 40</w:t>
      </w:r>
      <w:r w:rsidRPr="007930B0">
        <w:rPr>
          <w:lang w:val="es-ES"/>
        </w:rPr>
        <w:t xml:space="preserve">: El cargo de presidente del juzgado de la </w:t>
      </w:r>
      <w:r w:rsidR="00CD15B7" w:rsidRPr="007930B0">
        <w:rPr>
          <w:i/>
          <w:lang w:val="es-ES"/>
        </w:rPr>
        <w:t>wilaya</w:t>
      </w:r>
      <w:r w:rsidRPr="007930B0">
        <w:rPr>
          <w:lang w:val="es-ES"/>
        </w:rPr>
        <w:t xml:space="preserve"> se confiere al presidente de sala más antiguo de la categoría más alta y, en caso de igualdad de categoría y antigüedad, al presidente de más edad y, en caso de igualdad de edad, al presidente más antiguo del juzgado de la </w:t>
      </w:r>
      <w:r w:rsidR="00CD15B7" w:rsidRPr="007930B0">
        <w:rPr>
          <w:i/>
          <w:lang w:val="es-ES"/>
        </w:rPr>
        <w:t>wilaya</w:t>
      </w:r>
      <w:r w:rsidRPr="007930B0">
        <w:rPr>
          <w:lang w:val="es-ES"/>
        </w:rPr>
        <w:t xml:space="preserve">. El rango, el tratamiento y las prestaciones en especie otorgados al presidente del juzgado de la </w:t>
      </w:r>
      <w:r w:rsidR="00CD15B7" w:rsidRPr="007930B0">
        <w:rPr>
          <w:i/>
          <w:lang w:val="es-ES"/>
        </w:rPr>
        <w:t>wilaya</w:t>
      </w:r>
      <w:r w:rsidRPr="007930B0">
        <w:rPr>
          <w:lang w:val="es-ES"/>
        </w:rPr>
        <w:t xml:space="preserve"> son fijados por decreto.</w:t>
      </w:r>
    </w:p>
    <w:p w:rsidR="001E7BB4" w:rsidRPr="007930B0" w:rsidRDefault="001E7BB4" w:rsidP="00B56B34">
      <w:pPr>
        <w:pStyle w:val="SingleTxtG"/>
        <w:rPr>
          <w:lang w:val="es-ES"/>
        </w:rPr>
      </w:pPr>
      <w:r w:rsidRPr="007930B0">
        <w:rPr>
          <w:lang w:val="es-ES"/>
        </w:rPr>
        <w:t>84.</w:t>
      </w:r>
      <w:r w:rsidRPr="007930B0">
        <w:rPr>
          <w:lang w:val="es-ES"/>
        </w:rPr>
        <w:tab/>
      </w:r>
      <w:r w:rsidRPr="007930B0">
        <w:rPr>
          <w:b/>
          <w:bCs/>
          <w:lang w:val="es-ES"/>
        </w:rPr>
        <w:t>Artículo 41</w:t>
      </w:r>
      <w:r w:rsidRPr="007930B0">
        <w:rPr>
          <w:lang w:val="es-ES"/>
        </w:rPr>
        <w:t xml:space="preserve">: El juzgado de la </w:t>
      </w:r>
      <w:r w:rsidR="00CD15B7" w:rsidRPr="007930B0">
        <w:rPr>
          <w:i/>
          <w:lang w:val="es-ES"/>
        </w:rPr>
        <w:t>wilaya</w:t>
      </w:r>
      <w:r w:rsidRPr="007930B0">
        <w:rPr>
          <w:lang w:val="es-ES"/>
        </w:rPr>
        <w:t xml:space="preserve"> entiende en todas las materias, con excepción de las competencias que la ley reconoce a otros órganos jurisdiccionales, en relación con los asuntos previstos en el Código del Proceso Civil, Comercial y Administrativo y en el Código del Proceso Penal.</w:t>
      </w:r>
    </w:p>
    <w:p w:rsidR="001E7BB4" w:rsidRPr="007930B0" w:rsidRDefault="001E7BB4" w:rsidP="00B56B34">
      <w:pPr>
        <w:pStyle w:val="SingleTxtG"/>
        <w:rPr>
          <w:lang w:val="es-ES"/>
        </w:rPr>
      </w:pPr>
      <w:r w:rsidRPr="007930B0">
        <w:rPr>
          <w:lang w:val="es-ES"/>
        </w:rPr>
        <w:t>85.</w:t>
      </w:r>
      <w:r w:rsidRPr="007930B0">
        <w:rPr>
          <w:lang w:val="es-ES"/>
        </w:rPr>
        <w:tab/>
      </w:r>
      <w:r w:rsidRPr="007930B0">
        <w:rPr>
          <w:b/>
          <w:bCs/>
          <w:lang w:val="es-ES"/>
        </w:rPr>
        <w:t>Artículo 42</w:t>
      </w:r>
      <w:r w:rsidRPr="007930B0">
        <w:rPr>
          <w:lang w:val="es-ES"/>
        </w:rPr>
        <w:t xml:space="preserve">: Los servicios de secretaría del juzgado de la </w:t>
      </w:r>
      <w:r w:rsidR="00CD15B7" w:rsidRPr="007930B0">
        <w:rPr>
          <w:i/>
          <w:lang w:val="es-ES"/>
        </w:rPr>
        <w:t>wilaya</w:t>
      </w:r>
      <w:r w:rsidRPr="007930B0">
        <w:rPr>
          <w:lang w:val="es-ES"/>
        </w:rPr>
        <w:t xml:space="preserve"> son prestados por un secretario principal central, asistido por secretarios principales, secretarios, secretarios adjuntos y fiscales asignados a las distintas salas de dicho juzgado. </w:t>
      </w:r>
    </w:p>
    <w:p w:rsidR="001E7BB4" w:rsidRPr="007930B0" w:rsidRDefault="001E7BB4" w:rsidP="00B56B34">
      <w:pPr>
        <w:pStyle w:val="SingleTxtG"/>
        <w:rPr>
          <w:lang w:val="es-ES"/>
        </w:rPr>
      </w:pPr>
      <w:r w:rsidRPr="007930B0">
        <w:rPr>
          <w:lang w:val="es-ES"/>
        </w:rPr>
        <w:t>86.</w:t>
      </w:r>
      <w:r w:rsidRPr="007930B0">
        <w:rPr>
          <w:lang w:val="es-ES"/>
        </w:rPr>
        <w:tab/>
      </w:r>
      <w:r w:rsidRPr="007930B0">
        <w:rPr>
          <w:b/>
          <w:bCs/>
          <w:lang w:val="es-ES"/>
        </w:rPr>
        <w:t>Artículo 43</w:t>
      </w:r>
      <w:r w:rsidRPr="007930B0">
        <w:rPr>
          <w:lang w:val="es-ES"/>
        </w:rPr>
        <w:t xml:space="preserve">: Dentro del juzgado de la </w:t>
      </w:r>
      <w:r w:rsidR="00CD15B7" w:rsidRPr="007930B0">
        <w:rPr>
          <w:i/>
          <w:lang w:val="es-ES"/>
        </w:rPr>
        <w:t>wilaya</w:t>
      </w:r>
      <w:r w:rsidRPr="007930B0">
        <w:rPr>
          <w:lang w:val="es-ES"/>
        </w:rPr>
        <w:t>, las funciones de juez de instrucción son desempeñadas por uno o más magistrados, conforme a las disposiciones del Código del Proceso Penal. La secretaría del gabinete de instrucción está a cargo de un secretario principal o de un secretario asistido por secretarios adjuntos y fiscales.</w:t>
      </w:r>
    </w:p>
    <w:p w:rsidR="001E7BB4" w:rsidRPr="007930B0" w:rsidRDefault="001E7BB4" w:rsidP="00B56B34">
      <w:pPr>
        <w:pStyle w:val="SingleTxtG"/>
        <w:rPr>
          <w:lang w:val="es-ES"/>
        </w:rPr>
      </w:pPr>
      <w:r w:rsidRPr="007930B0">
        <w:rPr>
          <w:lang w:val="es-ES"/>
        </w:rPr>
        <w:t>87.</w:t>
      </w:r>
      <w:r w:rsidRPr="007930B0">
        <w:rPr>
          <w:lang w:val="es-ES"/>
        </w:rPr>
        <w:tab/>
      </w:r>
      <w:r w:rsidRPr="007930B0">
        <w:rPr>
          <w:b/>
          <w:bCs/>
          <w:lang w:val="es-ES"/>
        </w:rPr>
        <w:t>Artículo 44</w:t>
      </w:r>
      <w:r w:rsidRPr="007930B0">
        <w:rPr>
          <w:lang w:val="es-ES"/>
        </w:rPr>
        <w:t xml:space="preserve">: Las funciones del ministerio público ante el juzgado de la </w:t>
      </w:r>
      <w:r w:rsidR="00CD15B7" w:rsidRPr="007930B0">
        <w:rPr>
          <w:i/>
          <w:lang w:val="es-ES"/>
        </w:rPr>
        <w:t>wilaya</w:t>
      </w:r>
      <w:r w:rsidRPr="007930B0">
        <w:rPr>
          <w:lang w:val="es-ES"/>
        </w:rPr>
        <w:t xml:space="preserve"> son desempeñadas por el Procurador de la República de dicho tribunal o por sus sustitutos. La secretaría del ministerio público está a cargo de un secretario principal o de un secretario asistido por uno o más secretarios adjuntos y fiscales.</w:t>
      </w:r>
    </w:p>
    <w:p w:rsidR="001E7BB4" w:rsidRPr="007930B0" w:rsidRDefault="001E7BB4" w:rsidP="00B56B34">
      <w:pPr>
        <w:pStyle w:val="SingleTxtG"/>
        <w:rPr>
          <w:lang w:val="es-ES"/>
        </w:rPr>
      </w:pPr>
      <w:r w:rsidRPr="007930B0">
        <w:rPr>
          <w:lang w:val="es-ES"/>
        </w:rPr>
        <w:t>88.</w:t>
      </w:r>
      <w:r w:rsidRPr="007930B0">
        <w:rPr>
          <w:lang w:val="es-ES"/>
        </w:rPr>
        <w:tab/>
      </w:r>
      <w:r w:rsidRPr="007930B0">
        <w:rPr>
          <w:b/>
          <w:bCs/>
          <w:lang w:val="es-ES"/>
        </w:rPr>
        <w:t>Artículo 45</w:t>
      </w:r>
      <w:r w:rsidRPr="007930B0">
        <w:rPr>
          <w:lang w:val="es-ES"/>
        </w:rPr>
        <w:t xml:space="preserve">: Dentro del juzgado de la </w:t>
      </w:r>
      <w:r w:rsidR="00CD15B7" w:rsidRPr="007930B0">
        <w:rPr>
          <w:i/>
          <w:lang w:val="es-ES"/>
        </w:rPr>
        <w:t>wilaya</w:t>
      </w:r>
      <w:r w:rsidRPr="007930B0">
        <w:rPr>
          <w:lang w:val="es-ES"/>
        </w:rPr>
        <w:t xml:space="preserve"> se puede nombrar un juez de instrucción y un juez encargado de la aplicación de las penas, cuyas competencias son determinadas por la ley.</w:t>
      </w:r>
    </w:p>
    <w:p w:rsidR="001E7BB4" w:rsidRPr="007930B0" w:rsidRDefault="001E7BB4" w:rsidP="007A69A5">
      <w:pPr>
        <w:pStyle w:val="H56G"/>
        <w:rPr>
          <w:lang w:val="es-ES"/>
        </w:rPr>
      </w:pPr>
      <w:r w:rsidRPr="007930B0">
        <w:rPr>
          <w:lang w:val="es-ES"/>
        </w:rPr>
        <w:tab/>
      </w:r>
      <w:r w:rsidRPr="007930B0">
        <w:rPr>
          <w:lang w:val="es-ES"/>
        </w:rPr>
        <w:tab/>
        <w:t>Sección II</w:t>
      </w:r>
      <w:r w:rsidRPr="007930B0">
        <w:rPr>
          <w:lang w:val="es-ES"/>
        </w:rPr>
        <w:br/>
        <w:t>De los Juzgados de Comercio</w:t>
      </w:r>
    </w:p>
    <w:p w:rsidR="001E7BB4" w:rsidRPr="007930B0" w:rsidRDefault="001E7BB4" w:rsidP="00B56B34">
      <w:pPr>
        <w:pStyle w:val="SingleTxtG"/>
        <w:rPr>
          <w:lang w:val="es-ES"/>
        </w:rPr>
      </w:pPr>
      <w:r w:rsidRPr="007930B0">
        <w:rPr>
          <w:lang w:val="es-ES"/>
        </w:rPr>
        <w:t>89.</w:t>
      </w:r>
      <w:r w:rsidRPr="007930B0">
        <w:rPr>
          <w:lang w:val="es-ES"/>
        </w:rPr>
        <w:tab/>
      </w:r>
      <w:r w:rsidRPr="007930B0">
        <w:rPr>
          <w:b/>
          <w:bCs/>
          <w:lang w:val="es-ES"/>
        </w:rPr>
        <w:t>Artículo 46</w:t>
      </w:r>
      <w:r w:rsidRPr="007930B0">
        <w:rPr>
          <w:lang w:val="es-ES"/>
        </w:rPr>
        <w:t xml:space="preserve">: Se podrá establecer un juzgado de comercio en el centro administrativo de cada </w:t>
      </w:r>
      <w:r w:rsidR="00CD15B7" w:rsidRPr="007930B0">
        <w:rPr>
          <w:i/>
          <w:lang w:val="es-ES"/>
        </w:rPr>
        <w:t>wilaya</w:t>
      </w:r>
      <w:r w:rsidRPr="007930B0">
        <w:rPr>
          <w:lang w:val="es-ES"/>
        </w:rPr>
        <w:t xml:space="preserve">. En las </w:t>
      </w:r>
      <w:r w:rsidRPr="007930B0">
        <w:rPr>
          <w:i/>
          <w:iCs/>
          <w:lang w:val="es-ES"/>
        </w:rPr>
        <w:t>wilayas</w:t>
      </w:r>
      <w:r w:rsidRPr="007930B0">
        <w:rPr>
          <w:lang w:val="es-ES"/>
        </w:rPr>
        <w:t xml:space="preserve"> en las que no existan juzgados de comercio, las competencias de estos últimos serán ejercidas por las salas de lo comercial de los juzgados de las </w:t>
      </w:r>
      <w:r w:rsidRPr="007930B0">
        <w:rPr>
          <w:i/>
          <w:iCs/>
          <w:lang w:val="es-ES"/>
        </w:rPr>
        <w:t>wilayas</w:t>
      </w:r>
      <w:r w:rsidRPr="007930B0">
        <w:rPr>
          <w:lang w:val="es-ES"/>
        </w:rPr>
        <w:t>.</w:t>
      </w:r>
    </w:p>
    <w:p w:rsidR="001E7BB4" w:rsidRPr="007930B0" w:rsidRDefault="001E7BB4" w:rsidP="00B56B34">
      <w:pPr>
        <w:pStyle w:val="SingleTxtG"/>
        <w:rPr>
          <w:lang w:val="es-ES"/>
        </w:rPr>
      </w:pPr>
      <w:r w:rsidRPr="007930B0">
        <w:rPr>
          <w:lang w:val="es-ES"/>
        </w:rPr>
        <w:t>90.</w:t>
      </w:r>
      <w:r w:rsidRPr="007930B0">
        <w:rPr>
          <w:lang w:val="es-ES"/>
        </w:rPr>
        <w:tab/>
      </w:r>
      <w:r w:rsidRPr="007930B0">
        <w:rPr>
          <w:b/>
          <w:bCs/>
          <w:lang w:val="es-ES"/>
        </w:rPr>
        <w:t>Artículo 47</w:t>
      </w:r>
      <w:r w:rsidRPr="007930B0">
        <w:rPr>
          <w:lang w:val="es-ES"/>
        </w:rPr>
        <w:t xml:space="preserve">: El juzgado de comercio se compone de un magistrado presidente y de dos magistrados asesores que tienen voz y voto. El juzgado de comercio funciona en forma colegiada, a menos que la ley disponga lo contrario. En caso de ausencia o impedimento del presidente del juzgado de comercio, es sustituido por el presidente del juzgado de la </w:t>
      </w:r>
      <w:r w:rsidR="00CD15B7" w:rsidRPr="007930B0">
        <w:rPr>
          <w:i/>
          <w:lang w:val="es-ES"/>
        </w:rPr>
        <w:t>wilaya</w:t>
      </w:r>
      <w:r w:rsidRPr="007930B0">
        <w:rPr>
          <w:lang w:val="es-ES"/>
        </w:rPr>
        <w:t xml:space="preserve"> por resolución del presidente del tribunal de apelaciones correspondiente. En caso de ausencia o impedimento de uno de los asesores, es sustituido por resolución del presidente del tribunal de apelaciones correspondiente. La secretaría del juzgado de comercio está a cargo de un secretario principal o de un secretario asistido por secretarios adjuntos y fiscales.</w:t>
      </w:r>
    </w:p>
    <w:p w:rsidR="001E7BB4" w:rsidRPr="007930B0" w:rsidRDefault="001E7BB4" w:rsidP="00B56B34">
      <w:pPr>
        <w:pStyle w:val="SingleTxtG"/>
        <w:rPr>
          <w:lang w:val="es-ES"/>
        </w:rPr>
      </w:pPr>
      <w:r w:rsidRPr="007930B0">
        <w:rPr>
          <w:lang w:val="es-ES"/>
        </w:rPr>
        <w:t>91.</w:t>
      </w:r>
      <w:r w:rsidRPr="007930B0">
        <w:rPr>
          <w:lang w:val="es-ES"/>
        </w:rPr>
        <w:tab/>
      </w:r>
      <w:r w:rsidRPr="007930B0">
        <w:rPr>
          <w:b/>
          <w:bCs/>
          <w:lang w:val="es-ES"/>
        </w:rPr>
        <w:t>Artículo 48</w:t>
      </w:r>
      <w:r w:rsidRPr="007930B0">
        <w:rPr>
          <w:lang w:val="es-ES"/>
        </w:rPr>
        <w:t xml:space="preserve">: Las funciones del ministerio público ante el juzgado de comercio son desempeñadas por el Procurador de la República ante el juzgado de la </w:t>
      </w:r>
      <w:r w:rsidR="00CD15B7" w:rsidRPr="007930B0">
        <w:rPr>
          <w:i/>
          <w:lang w:val="es-ES"/>
        </w:rPr>
        <w:t>wilaya</w:t>
      </w:r>
      <w:r w:rsidRPr="007930B0">
        <w:rPr>
          <w:lang w:val="es-ES"/>
        </w:rPr>
        <w:t xml:space="preserve"> o por sus sustitutos. </w:t>
      </w:r>
    </w:p>
    <w:p w:rsidR="001E7BB4" w:rsidRPr="007930B0" w:rsidRDefault="001E7BB4" w:rsidP="007A69A5">
      <w:pPr>
        <w:pStyle w:val="H56G"/>
        <w:rPr>
          <w:lang w:val="es-ES"/>
        </w:rPr>
      </w:pPr>
      <w:r w:rsidRPr="007930B0">
        <w:rPr>
          <w:lang w:val="es-ES"/>
        </w:rPr>
        <w:tab/>
      </w:r>
      <w:r w:rsidRPr="007930B0">
        <w:rPr>
          <w:lang w:val="es-ES"/>
        </w:rPr>
        <w:tab/>
        <w:t>Sección III</w:t>
      </w:r>
      <w:r w:rsidRPr="007930B0">
        <w:rPr>
          <w:lang w:val="es-ES"/>
        </w:rPr>
        <w:br/>
        <w:t>De los Juzgados del Trabajo</w:t>
      </w:r>
    </w:p>
    <w:p w:rsidR="001E7BB4" w:rsidRPr="007930B0" w:rsidRDefault="001E7BB4" w:rsidP="00B56B34">
      <w:pPr>
        <w:pStyle w:val="SingleTxtG"/>
        <w:rPr>
          <w:lang w:val="es-ES"/>
        </w:rPr>
      </w:pPr>
      <w:r w:rsidRPr="007930B0">
        <w:rPr>
          <w:lang w:val="es-ES"/>
        </w:rPr>
        <w:t>92.</w:t>
      </w:r>
      <w:r w:rsidRPr="007930B0">
        <w:rPr>
          <w:lang w:val="es-ES"/>
        </w:rPr>
        <w:tab/>
      </w:r>
      <w:r w:rsidRPr="007930B0">
        <w:rPr>
          <w:b/>
          <w:bCs/>
          <w:lang w:val="es-ES"/>
        </w:rPr>
        <w:t>Artículo 49</w:t>
      </w:r>
      <w:r w:rsidRPr="007930B0">
        <w:rPr>
          <w:lang w:val="es-ES"/>
        </w:rPr>
        <w:t xml:space="preserve">: Establécese un juzgado del trabajo en el centro administrativo de cada </w:t>
      </w:r>
      <w:r w:rsidR="00CD15B7" w:rsidRPr="007930B0">
        <w:rPr>
          <w:i/>
          <w:lang w:val="es-ES"/>
        </w:rPr>
        <w:t>wilaya</w:t>
      </w:r>
      <w:r w:rsidRPr="007930B0">
        <w:rPr>
          <w:lang w:val="es-ES"/>
        </w:rPr>
        <w:t>.</w:t>
      </w:r>
    </w:p>
    <w:p w:rsidR="001E7BB4" w:rsidRPr="007930B0" w:rsidRDefault="001E7BB4" w:rsidP="00B56B34">
      <w:pPr>
        <w:pStyle w:val="SingleTxtG"/>
        <w:rPr>
          <w:lang w:val="es-ES"/>
        </w:rPr>
      </w:pPr>
      <w:r w:rsidRPr="007930B0">
        <w:rPr>
          <w:lang w:val="es-ES"/>
        </w:rPr>
        <w:t xml:space="preserve">El juzgado del trabajo se compone de un magistrado, que es el presidente, asistido por asesores designados de conformidad con las disposiciones del Código del Trabajo. En caso de ausencia o impedimento, el presidente del juzgado del trabajo es sustituido por el presidente del juzgado de la </w:t>
      </w:r>
      <w:r w:rsidR="00CD15B7" w:rsidRPr="007930B0">
        <w:rPr>
          <w:i/>
          <w:lang w:val="es-ES"/>
        </w:rPr>
        <w:t>wilaya</w:t>
      </w:r>
      <w:r w:rsidRPr="007930B0">
        <w:rPr>
          <w:lang w:val="es-ES"/>
        </w:rPr>
        <w:t>. La secretaría del juzgado del trabajo está a cargo de un secretario principal o de un secretario asistido por secretarios adjuntos y fiscales.</w:t>
      </w:r>
    </w:p>
    <w:p w:rsidR="001E7BB4" w:rsidRPr="007930B0" w:rsidRDefault="001E7BB4" w:rsidP="007A69A5">
      <w:pPr>
        <w:pStyle w:val="H56G"/>
        <w:rPr>
          <w:lang w:val="es-ES"/>
        </w:rPr>
      </w:pPr>
      <w:r w:rsidRPr="007930B0">
        <w:rPr>
          <w:lang w:val="es-ES"/>
        </w:rPr>
        <w:tab/>
      </w:r>
      <w:r w:rsidRPr="007930B0">
        <w:rPr>
          <w:lang w:val="es-ES"/>
        </w:rPr>
        <w:tab/>
        <w:t>Sección IV</w:t>
      </w:r>
      <w:r w:rsidRPr="007930B0">
        <w:rPr>
          <w:lang w:val="es-ES"/>
        </w:rPr>
        <w:br/>
        <w:t>De los Tribunales Penales</w:t>
      </w:r>
    </w:p>
    <w:p w:rsidR="001E7BB4" w:rsidRPr="007930B0" w:rsidRDefault="001E7BB4" w:rsidP="00B56B34">
      <w:pPr>
        <w:pStyle w:val="SingleTxtG"/>
        <w:rPr>
          <w:lang w:val="es-ES"/>
        </w:rPr>
      </w:pPr>
      <w:r w:rsidRPr="007930B0">
        <w:rPr>
          <w:lang w:val="es-ES"/>
        </w:rPr>
        <w:t>93.</w:t>
      </w:r>
      <w:r w:rsidRPr="007930B0">
        <w:rPr>
          <w:lang w:val="es-ES"/>
        </w:rPr>
        <w:tab/>
      </w:r>
      <w:r w:rsidRPr="007930B0">
        <w:rPr>
          <w:b/>
          <w:bCs/>
          <w:lang w:val="es-ES"/>
        </w:rPr>
        <w:t>Artículo 50</w:t>
      </w:r>
      <w:r w:rsidRPr="007930B0">
        <w:rPr>
          <w:lang w:val="es-ES"/>
        </w:rPr>
        <w:t xml:space="preserve">: Establécese, en el centro administrativo de cada </w:t>
      </w:r>
      <w:r w:rsidR="00CD15B7" w:rsidRPr="007930B0">
        <w:rPr>
          <w:i/>
          <w:lang w:val="es-ES"/>
        </w:rPr>
        <w:t>wilaya</w:t>
      </w:r>
      <w:r w:rsidRPr="007930B0">
        <w:rPr>
          <w:lang w:val="es-ES"/>
        </w:rPr>
        <w:t xml:space="preserve">, un tribunal penal que entiende, en primera instancia, en los asuntos que le asigna la ley. El tribunal penal está compuesto de un presidente, dos magistrados asesores y dos jurados elegidos de conformidad con las disposiciones del Código del Proceso Penal. Abarca una estructura para juzgar a los menores en las condiciones definidas en la legislación relativa a la protección penal del niño. El tribunal penal es presidido por el presidente del juzgado de la </w:t>
      </w:r>
      <w:r w:rsidR="00CD15B7" w:rsidRPr="007930B0">
        <w:rPr>
          <w:i/>
          <w:lang w:val="es-ES"/>
        </w:rPr>
        <w:t>wilaya</w:t>
      </w:r>
      <w:r w:rsidRPr="007930B0">
        <w:rPr>
          <w:lang w:val="es-ES"/>
        </w:rPr>
        <w:t xml:space="preserve"> o, si el volumen de causas lo exige, por un magistrado designado a esos efectos.</w:t>
      </w:r>
    </w:p>
    <w:p w:rsidR="001E7BB4" w:rsidRPr="007930B0" w:rsidRDefault="001E7BB4" w:rsidP="00B56B34">
      <w:pPr>
        <w:pStyle w:val="SingleTxtG"/>
        <w:rPr>
          <w:lang w:val="es-ES"/>
        </w:rPr>
      </w:pPr>
      <w:r w:rsidRPr="007930B0">
        <w:rPr>
          <w:lang w:val="es-ES"/>
        </w:rPr>
        <w:t>94.</w:t>
      </w:r>
      <w:r w:rsidRPr="007930B0">
        <w:rPr>
          <w:lang w:val="es-ES"/>
        </w:rPr>
        <w:tab/>
      </w:r>
      <w:r w:rsidRPr="007930B0">
        <w:rPr>
          <w:b/>
          <w:bCs/>
          <w:lang w:val="es-ES"/>
        </w:rPr>
        <w:t>Artículo 51</w:t>
      </w:r>
      <w:r w:rsidRPr="007930B0">
        <w:rPr>
          <w:lang w:val="es-ES"/>
        </w:rPr>
        <w:t xml:space="preserve">: El servicio de secretaría del tribunal penal es prestado por un secretario principal o un secretario asistido por uno o más secretarios adjuntos y fiscales. </w:t>
      </w:r>
    </w:p>
    <w:p w:rsidR="001E7BB4" w:rsidRPr="007930B0" w:rsidRDefault="001E7BB4" w:rsidP="00B56B34">
      <w:pPr>
        <w:pStyle w:val="SingleTxtG"/>
        <w:rPr>
          <w:lang w:val="es-ES"/>
        </w:rPr>
      </w:pPr>
      <w:r w:rsidRPr="007930B0">
        <w:rPr>
          <w:lang w:val="es-ES"/>
        </w:rPr>
        <w:t>95.</w:t>
      </w:r>
      <w:r w:rsidRPr="007930B0">
        <w:rPr>
          <w:lang w:val="es-ES"/>
        </w:rPr>
        <w:tab/>
      </w:r>
      <w:r w:rsidRPr="007930B0">
        <w:rPr>
          <w:b/>
          <w:bCs/>
          <w:lang w:val="es-ES"/>
        </w:rPr>
        <w:t>Artículo 52</w:t>
      </w:r>
      <w:r w:rsidRPr="007930B0">
        <w:rPr>
          <w:lang w:val="es-ES"/>
        </w:rPr>
        <w:t>: El ministerio público está representado ante el tribunal penal por el</w:t>
      </w:r>
      <w:r w:rsidR="00CC3B6E" w:rsidRPr="007930B0">
        <w:rPr>
          <w:lang w:val="es-ES"/>
        </w:rPr>
        <w:t xml:space="preserve"> </w:t>
      </w:r>
      <w:r w:rsidRPr="007930B0">
        <w:rPr>
          <w:lang w:val="es-ES"/>
        </w:rPr>
        <w:t xml:space="preserve">procurador de la República ante el juzgado de la </w:t>
      </w:r>
      <w:r w:rsidR="00CD15B7" w:rsidRPr="007930B0">
        <w:rPr>
          <w:i/>
          <w:lang w:val="es-ES"/>
        </w:rPr>
        <w:t>wilaya</w:t>
      </w:r>
      <w:r w:rsidRPr="007930B0">
        <w:rPr>
          <w:lang w:val="es-ES"/>
        </w:rPr>
        <w:t xml:space="preserve"> o por sus sustitutos.</w:t>
      </w:r>
    </w:p>
    <w:p w:rsidR="001E7BB4" w:rsidRPr="007930B0" w:rsidRDefault="001E7BB4" w:rsidP="00B56B34">
      <w:pPr>
        <w:pStyle w:val="SingleTxtG"/>
        <w:rPr>
          <w:lang w:val="es-ES"/>
        </w:rPr>
      </w:pPr>
      <w:r w:rsidRPr="007930B0">
        <w:rPr>
          <w:lang w:val="es-ES"/>
        </w:rPr>
        <w:t>96.</w:t>
      </w:r>
      <w:r w:rsidRPr="007930B0">
        <w:rPr>
          <w:lang w:val="es-ES"/>
        </w:rPr>
        <w:tab/>
      </w:r>
      <w:r w:rsidRPr="007930B0">
        <w:rPr>
          <w:b/>
          <w:bCs/>
          <w:lang w:val="es-ES"/>
        </w:rPr>
        <w:t>Artículo 53</w:t>
      </w:r>
      <w:r w:rsidRPr="007930B0">
        <w:rPr>
          <w:lang w:val="es-ES"/>
        </w:rPr>
        <w:t>: La competencia y el funcionamiento de los tribunales penales están determinados por el Código del Proceso Penal y por la legislación relativa a la protección penal de los menores.</w:t>
      </w:r>
    </w:p>
    <w:p w:rsidR="001E7BB4" w:rsidRPr="007930B0" w:rsidRDefault="001E7BB4" w:rsidP="00F71072">
      <w:pPr>
        <w:pStyle w:val="H56G"/>
        <w:rPr>
          <w:lang w:val="es-ES"/>
        </w:rPr>
      </w:pPr>
      <w:r w:rsidRPr="007930B0">
        <w:rPr>
          <w:lang w:val="es-ES"/>
        </w:rPr>
        <w:tab/>
      </w:r>
      <w:r w:rsidRPr="007930B0">
        <w:rPr>
          <w:lang w:val="es-ES"/>
        </w:rPr>
        <w:tab/>
        <w:t>Sección V</w:t>
      </w:r>
      <w:r w:rsidRPr="007930B0">
        <w:rPr>
          <w:lang w:val="es-ES"/>
        </w:rPr>
        <w:br/>
        <w:t xml:space="preserve">De los Juzgados de </w:t>
      </w:r>
      <w:r w:rsidR="00F71072" w:rsidRPr="007930B0">
        <w:rPr>
          <w:i/>
          <w:lang w:val="es-ES"/>
        </w:rPr>
        <w:t>moughataa</w:t>
      </w:r>
    </w:p>
    <w:p w:rsidR="001E7BB4" w:rsidRPr="007930B0" w:rsidRDefault="001E7BB4" w:rsidP="00B56B34">
      <w:pPr>
        <w:pStyle w:val="SingleTxtG"/>
        <w:rPr>
          <w:lang w:val="es-ES"/>
        </w:rPr>
      </w:pPr>
      <w:r w:rsidRPr="007930B0">
        <w:rPr>
          <w:lang w:val="es-ES"/>
        </w:rPr>
        <w:t>97.</w:t>
      </w:r>
      <w:r w:rsidRPr="007930B0">
        <w:rPr>
          <w:lang w:val="es-ES"/>
        </w:rPr>
        <w:tab/>
      </w:r>
      <w:r w:rsidRPr="007930B0">
        <w:rPr>
          <w:b/>
          <w:bCs/>
          <w:lang w:val="es-ES"/>
        </w:rPr>
        <w:t>Artículo 54</w:t>
      </w:r>
      <w:r w:rsidRPr="007930B0">
        <w:rPr>
          <w:lang w:val="es-ES"/>
        </w:rPr>
        <w:t xml:space="preserve">: Establécese un juzgado denominado juzgado de </w:t>
      </w:r>
      <w:r w:rsidR="00F71072" w:rsidRPr="007930B0">
        <w:rPr>
          <w:i/>
          <w:lang w:val="es-ES"/>
        </w:rPr>
        <w:t>moughataa</w:t>
      </w:r>
      <w:r w:rsidRPr="007930B0">
        <w:rPr>
          <w:lang w:val="es-ES"/>
        </w:rPr>
        <w:t xml:space="preserve"> en el centro administrativo de cada </w:t>
      </w:r>
      <w:r w:rsidR="00F71072" w:rsidRPr="007930B0">
        <w:rPr>
          <w:i/>
          <w:lang w:val="es-ES"/>
        </w:rPr>
        <w:t>moughataa</w:t>
      </w:r>
      <w:r w:rsidRPr="007930B0">
        <w:rPr>
          <w:lang w:val="es-ES"/>
        </w:rPr>
        <w:t xml:space="preserve">, con excepción de los </w:t>
      </w:r>
      <w:r w:rsidRPr="007930B0">
        <w:rPr>
          <w:i/>
          <w:iCs/>
          <w:lang w:val="es-ES"/>
        </w:rPr>
        <w:t>moughataas</w:t>
      </w:r>
      <w:r w:rsidRPr="007930B0">
        <w:rPr>
          <w:lang w:val="es-ES"/>
        </w:rPr>
        <w:t xml:space="preserve"> centrales de las </w:t>
      </w:r>
      <w:r w:rsidR="00CD15B7" w:rsidRPr="007930B0">
        <w:rPr>
          <w:i/>
          <w:lang w:val="es-ES"/>
        </w:rPr>
        <w:t>wilaya</w:t>
      </w:r>
      <w:r w:rsidRPr="007930B0">
        <w:rPr>
          <w:lang w:val="es-ES"/>
        </w:rPr>
        <w:t xml:space="preserve">s. Sin perjuicio de las disposiciones precedentes se establece un juzgado de </w:t>
      </w:r>
      <w:r w:rsidR="00F71072" w:rsidRPr="007930B0">
        <w:rPr>
          <w:i/>
          <w:lang w:val="es-ES"/>
        </w:rPr>
        <w:t>moughataa</w:t>
      </w:r>
      <w:r w:rsidRPr="007930B0">
        <w:rPr>
          <w:lang w:val="es-ES"/>
        </w:rPr>
        <w:t xml:space="preserve"> en cada </w:t>
      </w:r>
      <w:r w:rsidR="00F71072" w:rsidRPr="007930B0">
        <w:rPr>
          <w:i/>
          <w:lang w:val="es-ES"/>
        </w:rPr>
        <w:t>moughataa</w:t>
      </w:r>
      <w:r w:rsidRPr="007930B0">
        <w:rPr>
          <w:lang w:val="es-ES"/>
        </w:rPr>
        <w:t xml:space="preserve"> de Nuakchot. El juzgado de </w:t>
      </w:r>
      <w:r w:rsidR="00F71072" w:rsidRPr="007930B0">
        <w:rPr>
          <w:i/>
          <w:lang w:val="es-ES"/>
        </w:rPr>
        <w:t>moughataa</w:t>
      </w:r>
      <w:r w:rsidRPr="007930B0">
        <w:rPr>
          <w:lang w:val="es-ES"/>
        </w:rPr>
        <w:t xml:space="preserve"> entiende en los asuntos civiles y comerciales que no son de competencia del juzgado de la </w:t>
      </w:r>
      <w:r w:rsidR="00CD15B7" w:rsidRPr="007930B0">
        <w:rPr>
          <w:i/>
          <w:lang w:val="es-ES"/>
        </w:rPr>
        <w:t>wilaya</w:t>
      </w:r>
      <w:r w:rsidRPr="007930B0">
        <w:rPr>
          <w:lang w:val="es-ES"/>
        </w:rPr>
        <w:t xml:space="preserve">. En materia penal, los juzgados de </w:t>
      </w:r>
      <w:r w:rsidR="00F71072" w:rsidRPr="007930B0">
        <w:rPr>
          <w:i/>
          <w:lang w:val="es-ES"/>
        </w:rPr>
        <w:t>moughataa</w:t>
      </w:r>
      <w:r w:rsidRPr="007930B0">
        <w:rPr>
          <w:lang w:val="es-ES"/>
        </w:rPr>
        <w:t xml:space="preserve"> entienden en las infracciones policiales simples.</w:t>
      </w:r>
    </w:p>
    <w:p w:rsidR="001E7BB4" w:rsidRPr="007930B0" w:rsidRDefault="001E7BB4" w:rsidP="00B56B34">
      <w:pPr>
        <w:pStyle w:val="SingleTxtG"/>
        <w:rPr>
          <w:lang w:val="es-ES"/>
        </w:rPr>
      </w:pPr>
      <w:r w:rsidRPr="007930B0">
        <w:rPr>
          <w:lang w:val="es-ES"/>
        </w:rPr>
        <w:t>98.</w:t>
      </w:r>
      <w:r w:rsidRPr="007930B0">
        <w:rPr>
          <w:lang w:val="es-ES"/>
        </w:rPr>
        <w:tab/>
      </w:r>
      <w:r w:rsidRPr="007930B0">
        <w:rPr>
          <w:b/>
          <w:bCs/>
          <w:lang w:val="es-ES"/>
        </w:rPr>
        <w:t>Artículo 55</w:t>
      </w:r>
      <w:r w:rsidRPr="007930B0">
        <w:rPr>
          <w:lang w:val="es-ES"/>
        </w:rPr>
        <w:t xml:space="preserve">: El juzgado de </w:t>
      </w:r>
      <w:r w:rsidR="00F71072" w:rsidRPr="007930B0">
        <w:rPr>
          <w:i/>
          <w:lang w:val="es-ES"/>
        </w:rPr>
        <w:t>moughataa</w:t>
      </w:r>
      <w:r w:rsidRPr="007930B0">
        <w:rPr>
          <w:lang w:val="es-ES"/>
        </w:rPr>
        <w:t xml:space="preserve"> se compone de un único juez, que lleva el título de presidente del juzgado del </w:t>
      </w:r>
      <w:r w:rsidR="00F71072" w:rsidRPr="007930B0">
        <w:rPr>
          <w:i/>
          <w:lang w:val="es-ES"/>
        </w:rPr>
        <w:t>moughataa</w:t>
      </w:r>
      <w:r w:rsidRPr="007930B0">
        <w:rPr>
          <w:lang w:val="es-ES"/>
        </w:rPr>
        <w:t xml:space="preserve">. El ministerio público está representado ante el juzgado de </w:t>
      </w:r>
      <w:r w:rsidR="00F71072" w:rsidRPr="007930B0">
        <w:rPr>
          <w:i/>
          <w:lang w:val="es-ES"/>
        </w:rPr>
        <w:t>moughataa</w:t>
      </w:r>
      <w:r w:rsidRPr="007930B0">
        <w:rPr>
          <w:lang w:val="es-ES"/>
        </w:rPr>
        <w:t xml:space="preserve"> por el Procurador de la República o por uno de sus sustitutos o por un oficial de la policía judicial designado a esos efectos. La presencia del representante del ministerio público en las audiencias sobre infracciones policiales simples no es obligatoria.</w:t>
      </w:r>
    </w:p>
    <w:p w:rsidR="001E7BB4" w:rsidRPr="007930B0" w:rsidRDefault="001E7BB4" w:rsidP="00B56B34">
      <w:pPr>
        <w:pStyle w:val="SingleTxtG"/>
        <w:rPr>
          <w:lang w:val="es-ES"/>
        </w:rPr>
      </w:pPr>
      <w:r w:rsidRPr="007930B0">
        <w:rPr>
          <w:lang w:val="es-ES"/>
        </w:rPr>
        <w:t>99.</w:t>
      </w:r>
      <w:r w:rsidRPr="007930B0">
        <w:rPr>
          <w:lang w:val="es-ES"/>
        </w:rPr>
        <w:tab/>
      </w:r>
      <w:r w:rsidRPr="007930B0">
        <w:rPr>
          <w:b/>
          <w:bCs/>
          <w:lang w:val="es-ES"/>
        </w:rPr>
        <w:t>Artículo 56</w:t>
      </w:r>
      <w:r w:rsidRPr="007930B0">
        <w:rPr>
          <w:lang w:val="es-ES"/>
        </w:rPr>
        <w:t xml:space="preserve">: En caso de ausencia o impedimento temporal, el presidente es sustituido por el presidente del juzgado de uno de los </w:t>
      </w:r>
      <w:r w:rsidRPr="007930B0">
        <w:rPr>
          <w:i/>
          <w:iCs/>
          <w:lang w:val="es-ES"/>
        </w:rPr>
        <w:t>moughataas</w:t>
      </w:r>
      <w:r w:rsidRPr="007930B0">
        <w:rPr>
          <w:lang w:val="es-ES"/>
        </w:rPr>
        <w:t xml:space="preserve"> comprendidos dentro del ámbito de competencia del mismo tribunal de apelaciones, o por un magistrado del juzgado de la </w:t>
      </w:r>
      <w:r w:rsidR="00CD15B7" w:rsidRPr="007930B0">
        <w:rPr>
          <w:i/>
          <w:lang w:val="es-ES"/>
        </w:rPr>
        <w:t>wilaya</w:t>
      </w:r>
      <w:r w:rsidRPr="007930B0">
        <w:rPr>
          <w:lang w:val="es-ES"/>
        </w:rPr>
        <w:t xml:space="preserve"> designado por resolución del presidente de dicho tribunal de apelaciones.</w:t>
      </w:r>
    </w:p>
    <w:p w:rsidR="001E7BB4" w:rsidRPr="007930B0" w:rsidRDefault="001E7BB4" w:rsidP="00B56B34">
      <w:pPr>
        <w:pStyle w:val="SingleTxtG"/>
        <w:rPr>
          <w:lang w:val="es-ES"/>
        </w:rPr>
      </w:pPr>
      <w:r w:rsidRPr="007930B0">
        <w:rPr>
          <w:lang w:val="es-ES"/>
        </w:rPr>
        <w:t>100.</w:t>
      </w:r>
      <w:r w:rsidRPr="007930B0">
        <w:rPr>
          <w:lang w:val="es-ES"/>
        </w:rPr>
        <w:tab/>
      </w:r>
      <w:r w:rsidRPr="007930B0">
        <w:rPr>
          <w:b/>
          <w:bCs/>
          <w:lang w:val="es-ES"/>
        </w:rPr>
        <w:t>Artículo 57</w:t>
      </w:r>
      <w:r w:rsidRPr="007930B0">
        <w:rPr>
          <w:lang w:val="es-ES"/>
        </w:rPr>
        <w:t xml:space="preserve">: La secretaría de los juzgados de </w:t>
      </w:r>
      <w:r w:rsidR="00F71072" w:rsidRPr="007930B0">
        <w:rPr>
          <w:i/>
          <w:lang w:val="es-ES"/>
        </w:rPr>
        <w:t>moughataa</w:t>
      </w:r>
      <w:r w:rsidRPr="007930B0">
        <w:rPr>
          <w:lang w:val="es-ES"/>
        </w:rPr>
        <w:t xml:space="preserve"> está a cargo de un secretario principal o de un secretario, asistido por secretarios adjuntos y fiscales.</w:t>
      </w:r>
    </w:p>
    <w:p w:rsidR="001E7BB4" w:rsidRPr="007930B0" w:rsidRDefault="001E7BB4" w:rsidP="00B56B34">
      <w:pPr>
        <w:pStyle w:val="SingleTxtG"/>
        <w:rPr>
          <w:lang w:val="es-ES"/>
        </w:rPr>
      </w:pPr>
      <w:r w:rsidRPr="007930B0">
        <w:rPr>
          <w:lang w:val="es-ES"/>
        </w:rPr>
        <w:t>101.</w:t>
      </w:r>
      <w:r w:rsidRPr="007930B0">
        <w:rPr>
          <w:lang w:val="es-ES"/>
        </w:rPr>
        <w:tab/>
      </w:r>
      <w:r w:rsidRPr="007930B0">
        <w:rPr>
          <w:b/>
          <w:bCs/>
          <w:lang w:val="es-ES"/>
        </w:rPr>
        <w:t>Artículo 58</w:t>
      </w:r>
      <w:r w:rsidRPr="007930B0">
        <w:rPr>
          <w:lang w:val="es-ES"/>
        </w:rPr>
        <w:t xml:space="preserve">: En el marco de sus potestades de conciliación, el presidente del juzgado de </w:t>
      </w:r>
      <w:r w:rsidR="00F71072" w:rsidRPr="007930B0">
        <w:rPr>
          <w:i/>
          <w:lang w:val="es-ES"/>
        </w:rPr>
        <w:t>moughataa</w:t>
      </w:r>
      <w:r w:rsidRPr="007930B0">
        <w:rPr>
          <w:lang w:val="es-ES"/>
        </w:rPr>
        <w:t xml:space="preserve"> puede convalidar la solución amistosa de litigios que sean de competencia del juzgado, alcanzada por los </w:t>
      </w:r>
      <w:r w:rsidR="0095166A" w:rsidRPr="00034975">
        <w:rPr>
          <w:i/>
          <w:iCs/>
          <w:lang w:val="es-ES"/>
        </w:rPr>
        <w:t>mouslihs</w:t>
      </w:r>
      <w:r w:rsidRPr="007930B0">
        <w:rPr>
          <w:lang w:val="es-ES"/>
        </w:rPr>
        <w:t xml:space="preserve"> en el ámbito extrajudicial. El estatuto y las competencias de esos </w:t>
      </w:r>
      <w:r w:rsidR="0095166A" w:rsidRPr="00034975">
        <w:rPr>
          <w:i/>
          <w:iCs/>
          <w:lang w:val="es-ES"/>
        </w:rPr>
        <w:t>mouslihs</w:t>
      </w:r>
      <w:r w:rsidRPr="007930B0">
        <w:rPr>
          <w:lang w:val="es-ES"/>
        </w:rPr>
        <w:t xml:space="preserve"> se determinan por decreto.</w:t>
      </w:r>
    </w:p>
    <w:p w:rsidR="001E7BB4" w:rsidRPr="007930B0" w:rsidRDefault="001E7BB4" w:rsidP="007A69A5">
      <w:pPr>
        <w:pStyle w:val="H23G"/>
        <w:rPr>
          <w:lang w:val="es-ES"/>
        </w:rPr>
      </w:pPr>
      <w:r w:rsidRPr="007930B0">
        <w:rPr>
          <w:lang w:val="es-ES"/>
        </w:rPr>
        <w:tab/>
      </w:r>
      <w:r w:rsidRPr="007930B0">
        <w:rPr>
          <w:lang w:val="es-ES"/>
        </w:rPr>
        <w:tab/>
        <w:t>Título III</w:t>
      </w:r>
      <w:r w:rsidRPr="007930B0">
        <w:rPr>
          <w:lang w:val="es-ES"/>
        </w:rPr>
        <w:br/>
        <w:t>Disposiciones Transitorias y Finales</w:t>
      </w:r>
    </w:p>
    <w:p w:rsidR="001E7BB4" w:rsidRPr="007930B0" w:rsidRDefault="001E7BB4" w:rsidP="00B56B34">
      <w:pPr>
        <w:pStyle w:val="SingleTxtG"/>
        <w:rPr>
          <w:lang w:val="es-ES"/>
        </w:rPr>
      </w:pPr>
      <w:r w:rsidRPr="007930B0">
        <w:rPr>
          <w:lang w:val="es-ES"/>
        </w:rPr>
        <w:t>102.</w:t>
      </w:r>
      <w:r w:rsidRPr="007930B0">
        <w:rPr>
          <w:lang w:val="es-ES"/>
        </w:rPr>
        <w:tab/>
      </w:r>
      <w:r w:rsidRPr="007930B0">
        <w:rPr>
          <w:b/>
          <w:bCs/>
          <w:lang w:val="es-ES"/>
        </w:rPr>
        <w:t>Artículo 59</w:t>
      </w:r>
      <w:r w:rsidRPr="007930B0">
        <w:rPr>
          <w:lang w:val="es-ES"/>
        </w:rPr>
        <w:t>: Sin perjuicio de lo dispuesto en la presente resolución y en caso de</w:t>
      </w:r>
      <w:r w:rsidR="00CC3B6E" w:rsidRPr="007930B0">
        <w:rPr>
          <w:lang w:val="es-ES"/>
        </w:rPr>
        <w:t xml:space="preserve"> </w:t>
      </w:r>
      <w:r w:rsidRPr="007930B0">
        <w:rPr>
          <w:lang w:val="es-ES"/>
        </w:rPr>
        <w:t xml:space="preserve">insuficiencia, ya sea del número de magistrados, o del volumen de asuntos, la competencia de los tribunales y juzgados podrá extenderse, durante un período al que se pondrá fin por decreto, a uno o más </w:t>
      </w:r>
      <w:r w:rsidRPr="007930B0">
        <w:rPr>
          <w:i/>
          <w:iCs/>
          <w:lang w:val="es-ES"/>
        </w:rPr>
        <w:t>wilayas</w:t>
      </w:r>
      <w:r w:rsidRPr="007930B0">
        <w:rPr>
          <w:lang w:val="es-ES"/>
        </w:rPr>
        <w:t xml:space="preserve"> o </w:t>
      </w:r>
      <w:r w:rsidRPr="007930B0">
        <w:rPr>
          <w:i/>
          <w:iCs/>
          <w:lang w:val="es-ES"/>
        </w:rPr>
        <w:t>moughataas</w:t>
      </w:r>
      <w:r w:rsidRPr="007930B0">
        <w:rPr>
          <w:lang w:val="es-ES"/>
        </w:rPr>
        <w:t xml:space="preserve">. Sin perjuicio de lo dispuesto en los artículos 20 y 32 </w:t>
      </w:r>
      <w:r w:rsidRPr="007930B0">
        <w:rPr>
          <w:i/>
          <w:iCs/>
          <w:lang w:val="es-ES"/>
        </w:rPr>
        <w:t>infra</w:t>
      </w:r>
      <w:r w:rsidRPr="007930B0">
        <w:rPr>
          <w:lang w:val="es-ES"/>
        </w:rPr>
        <w:t>, los consejeros asignados a las salas de lo administrativo de los tribunales de apelaciones y a la sala de lo administrativo del Tribunal Supremo son elegidos entre los administradores adscritos conforme a lo previsto en el artículo 54 del estatuto de la magistratura o, en caso de insuficiencia de los administradores adscritos, entre los administradores o los funcionarios superiores que puedan justificar una competencia comprobada en materia de derecho y de contencioso administrativo. En este último caso, los consejeros, así como sus suplentes, son designados por un período de cuatro años por decreto del Presidente de la República, a propuesta conjunta del Ministro de Justicia y del ministerio encargado de la administración pública. Deben cumplir la formalidad del juramento en las mismas condiciones que los magistrados. En lo que respecta a sus funciones, gozan de la inmunidad de jurisdicción otorgada a los magistrados y, según el caso, tienen derecho al pago de los gastos de traslado relacionados con sus misiones.</w:t>
      </w:r>
    </w:p>
    <w:p w:rsidR="001E7BB4" w:rsidRPr="007930B0" w:rsidRDefault="001E7BB4" w:rsidP="00B56B34">
      <w:pPr>
        <w:pStyle w:val="SingleTxtG"/>
        <w:rPr>
          <w:lang w:val="es-ES"/>
        </w:rPr>
      </w:pPr>
      <w:r w:rsidRPr="007930B0">
        <w:rPr>
          <w:lang w:val="es-ES"/>
        </w:rPr>
        <w:t>103.</w:t>
      </w:r>
      <w:r w:rsidRPr="007930B0">
        <w:rPr>
          <w:lang w:val="es-ES"/>
        </w:rPr>
        <w:tab/>
      </w:r>
      <w:r w:rsidRPr="007930B0">
        <w:rPr>
          <w:b/>
          <w:bCs/>
          <w:lang w:val="es-ES"/>
        </w:rPr>
        <w:t>Artículo 60</w:t>
      </w:r>
      <w:r w:rsidRPr="007930B0">
        <w:rPr>
          <w:lang w:val="es-ES"/>
        </w:rPr>
        <w:t xml:space="preserve">: Las causas pendientes ante los órganos jurisdiccionales que no hayan sido juzgadas en forma definitiva, serán distribuidas, según el caso, por el presidente del juzgado de la </w:t>
      </w:r>
      <w:r w:rsidR="00CD15B7" w:rsidRPr="007930B0">
        <w:rPr>
          <w:i/>
          <w:lang w:val="es-ES"/>
        </w:rPr>
        <w:t>wilaya</w:t>
      </w:r>
      <w:r w:rsidRPr="007930B0">
        <w:rPr>
          <w:lang w:val="es-ES"/>
        </w:rPr>
        <w:t xml:space="preserve"> o por el presidente del tribunal de apelaciones, entre los nuevos órganos jurisdiccionales.</w:t>
      </w:r>
    </w:p>
    <w:p w:rsidR="001E7BB4" w:rsidRPr="007930B0" w:rsidRDefault="001E7BB4" w:rsidP="00B56B34">
      <w:pPr>
        <w:pStyle w:val="SingleTxtG"/>
        <w:rPr>
          <w:lang w:val="es-ES"/>
        </w:rPr>
      </w:pPr>
      <w:r w:rsidRPr="007930B0">
        <w:rPr>
          <w:lang w:val="es-ES"/>
        </w:rPr>
        <w:t>104.</w:t>
      </w:r>
      <w:r w:rsidRPr="007930B0">
        <w:rPr>
          <w:lang w:val="es-ES"/>
        </w:rPr>
        <w:tab/>
      </w:r>
      <w:r w:rsidRPr="007930B0">
        <w:rPr>
          <w:b/>
          <w:bCs/>
          <w:lang w:val="es-ES"/>
        </w:rPr>
        <w:t>Artículo 61</w:t>
      </w:r>
      <w:r w:rsidRPr="007930B0">
        <w:rPr>
          <w:lang w:val="es-ES"/>
        </w:rPr>
        <w:t xml:space="preserve">: Las actas, expedientes, interrogatorios, archivos, elementos de prueba y demás documentos relacionados con los procedimientos concluidos con una decisión definitiva de los órganos jurisdiccionales al amparo de la </w:t>
      </w:r>
      <w:r w:rsidR="00FF10B7" w:rsidRPr="007930B0">
        <w:rPr>
          <w:lang w:val="es-ES"/>
        </w:rPr>
        <w:t>Ley Nº</w:t>
      </w:r>
      <w:r w:rsidRPr="007930B0">
        <w:rPr>
          <w:lang w:val="es-ES"/>
        </w:rPr>
        <w:t xml:space="preserve"> 99.039, de organización del Poder Judicial, de 24 de junio de 1999, seguirán estando reservados, según el caso, al secretario, el fiscal y la secretaría de esos órganos jurisdiccionales, incluso en lo que respecta a los asuntos que no sean de su competencia.</w:t>
      </w:r>
    </w:p>
    <w:p w:rsidR="001E7BB4" w:rsidRPr="007930B0" w:rsidRDefault="001E7BB4" w:rsidP="00B56B34">
      <w:pPr>
        <w:pStyle w:val="SingleTxtG"/>
        <w:rPr>
          <w:lang w:val="es-ES"/>
        </w:rPr>
      </w:pPr>
      <w:r w:rsidRPr="007930B0">
        <w:rPr>
          <w:lang w:val="es-ES"/>
        </w:rPr>
        <w:t>105.</w:t>
      </w:r>
      <w:r w:rsidRPr="007930B0">
        <w:rPr>
          <w:lang w:val="es-ES"/>
        </w:rPr>
        <w:tab/>
      </w:r>
      <w:r w:rsidRPr="007930B0">
        <w:rPr>
          <w:b/>
          <w:bCs/>
          <w:lang w:val="es-ES"/>
        </w:rPr>
        <w:t>Artículo 62</w:t>
      </w:r>
      <w:r w:rsidRPr="007930B0">
        <w:rPr>
          <w:lang w:val="es-ES"/>
        </w:rPr>
        <w:t xml:space="preserve">: La presente resolución deroga y sustituye la </w:t>
      </w:r>
      <w:r w:rsidR="00FF10B7" w:rsidRPr="007930B0">
        <w:rPr>
          <w:lang w:val="es-ES"/>
        </w:rPr>
        <w:t>Ley Nº</w:t>
      </w:r>
      <w:r w:rsidRPr="007930B0">
        <w:rPr>
          <w:lang w:val="es-ES"/>
        </w:rPr>
        <w:t xml:space="preserve"> 99.039, de 24 junio de 1999, relativa a la organización del Poder Judicial.</w:t>
      </w:r>
    </w:p>
    <w:p w:rsidR="001E7BB4" w:rsidRPr="007930B0" w:rsidRDefault="001E7BB4" w:rsidP="00B56B34">
      <w:pPr>
        <w:pStyle w:val="SingleTxtG"/>
        <w:rPr>
          <w:lang w:val="es-ES"/>
        </w:rPr>
      </w:pPr>
      <w:r w:rsidRPr="007930B0">
        <w:rPr>
          <w:lang w:val="es-ES"/>
        </w:rPr>
        <w:t>106.</w:t>
      </w:r>
      <w:r w:rsidRPr="007930B0">
        <w:rPr>
          <w:lang w:val="es-ES"/>
        </w:rPr>
        <w:tab/>
      </w:r>
      <w:r w:rsidRPr="007930B0">
        <w:rPr>
          <w:b/>
          <w:bCs/>
          <w:lang w:val="es-ES"/>
        </w:rPr>
        <w:t>Artículo 63</w:t>
      </w:r>
      <w:r w:rsidRPr="007930B0">
        <w:rPr>
          <w:lang w:val="es-ES"/>
        </w:rPr>
        <w:t>: La presente resolución se publicará con arreglo al procedimiento de urgencia y en el Diario Oficial y se cumplirá como ley del Estado.</w:t>
      </w:r>
    </w:p>
    <w:p w:rsidR="001E7BB4" w:rsidRPr="007930B0" w:rsidRDefault="001E7BB4" w:rsidP="007A69A5">
      <w:pPr>
        <w:pStyle w:val="H1G"/>
        <w:rPr>
          <w:lang w:val="es-ES"/>
        </w:rPr>
      </w:pPr>
      <w:r w:rsidRPr="007930B0">
        <w:rPr>
          <w:lang w:val="es-ES"/>
        </w:rPr>
        <w:tab/>
        <w:t>D.</w:t>
      </w:r>
      <w:r w:rsidRPr="007930B0">
        <w:rPr>
          <w:lang w:val="es-ES"/>
        </w:rPr>
        <w:tab/>
        <w:t>Recursos disponibles</w:t>
      </w:r>
    </w:p>
    <w:p w:rsidR="001E7BB4" w:rsidRPr="007930B0" w:rsidRDefault="001E7BB4" w:rsidP="00B56B34">
      <w:pPr>
        <w:pStyle w:val="SingleTxtG"/>
        <w:rPr>
          <w:lang w:val="es-ES"/>
        </w:rPr>
      </w:pPr>
      <w:r w:rsidRPr="007930B0">
        <w:rPr>
          <w:lang w:val="es-ES"/>
        </w:rPr>
        <w:t>107.</w:t>
      </w:r>
      <w:r w:rsidRPr="007930B0">
        <w:rPr>
          <w:lang w:val="es-ES"/>
        </w:rPr>
        <w:tab/>
        <w:t>La ley garantiza el agotamiento de todos los recursos ordinarios posibles (sentencia de primera instancia, apelación, recurso en interés de la ley). Asimismo, una vez agotadas las vías de recurso internas, las partes podrán interponer los recursos disponibles en el plano regional (Comisión Africana de Derechos Humanos y de los Pueblos) o internacional (Procedimientos confidenciales).</w:t>
      </w:r>
    </w:p>
    <w:p w:rsidR="001E7BB4" w:rsidRPr="007930B0" w:rsidRDefault="001E7BB4" w:rsidP="00B56B34">
      <w:pPr>
        <w:pStyle w:val="SingleTxtG"/>
        <w:rPr>
          <w:lang w:val="es-ES"/>
        </w:rPr>
      </w:pPr>
      <w:r w:rsidRPr="007930B0">
        <w:rPr>
          <w:lang w:val="es-ES"/>
        </w:rPr>
        <w:t>108.</w:t>
      </w:r>
      <w:r w:rsidRPr="007930B0">
        <w:rPr>
          <w:lang w:val="es-ES"/>
        </w:rPr>
        <w:tab/>
        <w:t>Las disposiciones de los instrumentos jurídicos internacionales ratificados pueden ser invocadas ante los órganos jurisdiccionales nacionales y, en la escala jerárquica de las normas, son superiores a las leyes nacionales de conformidad con el régimen constitucional de tipo monista establecido en el artículo 80 de la Constitución.</w:t>
      </w:r>
    </w:p>
    <w:p w:rsidR="001E7BB4" w:rsidRPr="007930B0" w:rsidRDefault="001E7BB4" w:rsidP="007A69A5">
      <w:pPr>
        <w:pStyle w:val="H1G"/>
        <w:rPr>
          <w:lang w:val="es-ES"/>
        </w:rPr>
      </w:pPr>
      <w:r w:rsidRPr="007930B0">
        <w:rPr>
          <w:lang w:val="es-ES"/>
        </w:rPr>
        <w:tab/>
        <w:t>E.</w:t>
      </w:r>
      <w:r w:rsidRPr="007930B0">
        <w:rPr>
          <w:lang w:val="es-ES"/>
        </w:rPr>
        <w:tab/>
        <w:t>Otras instituciones u organismos competentes en el ámbito de los derechos humanos</w:t>
      </w:r>
    </w:p>
    <w:p w:rsidR="001E7BB4" w:rsidRPr="007930B0" w:rsidRDefault="001E7BB4" w:rsidP="007A69A5">
      <w:pPr>
        <w:pStyle w:val="H23G"/>
        <w:rPr>
          <w:lang w:val="es-ES"/>
        </w:rPr>
      </w:pPr>
      <w:r w:rsidRPr="007930B0">
        <w:rPr>
          <w:lang w:val="es-ES"/>
        </w:rPr>
        <w:tab/>
        <w:t>1.</w:t>
      </w:r>
      <w:r w:rsidRPr="007930B0">
        <w:rPr>
          <w:lang w:val="es-ES"/>
        </w:rPr>
        <w:tab/>
        <w:t>El Mediador de la República</w:t>
      </w:r>
    </w:p>
    <w:p w:rsidR="001E7BB4" w:rsidRPr="007930B0" w:rsidRDefault="001E7BB4" w:rsidP="00B56B34">
      <w:pPr>
        <w:pStyle w:val="SingleTxtG"/>
        <w:rPr>
          <w:lang w:val="es-ES"/>
        </w:rPr>
      </w:pPr>
      <w:r w:rsidRPr="007930B0">
        <w:rPr>
          <w:lang w:val="es-ES"/>
        </w:rPr>
        <w:t>109.</w:t>
      </w:r>
      <w:r w:rsidRPr="007930B0">
        <w:rPr>
          <w:lang w:val="es-ES"/>
        </w:rPr>
        <w:tab/>
        <w:t xml:space="preserve">El Mediador de la República, establecido conforme a las disposiciones de la </w:t>
      </w:r>
      <w:r w:rsidR="00384889" w:rsidRPr="007930B0">
        <w:rPr>
          <w:lang w:val="es-ES"/>
        </w:rPr>
        <w:t>Ley</w:t>
      </w:r>
      <w:r w:rsidRPr="007930B0">
        <w:rPr>
          <w:lang w:val="es-ES"/>
        </w:rPr>
        <w:t xml:space="preserve"> </w:t>
      </w:r>
      <w:r w:rsidR="003C3B9E">
        <w:rPr>
          <w:lang w:val="es-ES"/>
        </w:rPr>
        <w:t xml:space="preserve">Nº </w:t>
      </w:r>
      <w:r w:rsidRPr="007930B0">
        <w:rPr>
          <w:lang w:val="es-ES"/>
        </w:rPr>
        <w:t>93.027, de 7 de julio de 1993, es una autoridad independiente designada por decreto del Presidente de la República. El Mediador de la República recibe las reclamaciones de los ciudadanos relativas a diferencias no resueltas en el marco de sus relaciones con las autoridades del Estado, las comunidades públicas territoriales, las instituciones públicas y cualquier otro organismo de servicio público. A esos efectos, se acude al Mediador de la República por conducto de los parlamentarios y de los alcaldes. También puede recurrir al Mediador el Presidente de la República, para que lo asesore con respecto a litigios entre los ciudadanos y la Administración.</w:t>
      </w:r>
    </w:p>
    <w:p w:rsidR="001E7BB4" w:rsidRPr="007930B0" w:rsidRDefault="001E7BB4" w:rsidP="00B56B34">
      <w:pPr>
        <w:pStyle w:val="SingleTxtG"/>
        <w:rPr>
          <w:lang w:val="es-ES"/>
        </w:rPr>
      </w:pPr>
      <w:r w:rsidRPr="007930B0">
        <w:rPr>
          <w:lang w:val="es-ES"/>
        </w:rPr>
        <w:t>110.</w:t>
      </w:r>
      <w:r w:rsidRPr="007930B0">
        <w:rPr>
          <w:lang w:val="es-ES"/>
        </w:rPr>
        <w:tab/>
        <w:t xml:space="preserve">El Mediador de la República estudia la reclamación que se le plantea; si le parece justificada presenta un escrito con las recomendaciones susceptibles de resolver las diferencias y, según el caso, sugiere formas de mejorar el funcionamiento del organismo en cuestión. </w:t>
      </w:r>
    </w:p>
    <w:p w:rsidR="001E7BB4" w:rsidRPr="007930B0" w:rsidRDefault="001E7BB4" w:rsidP="00B56B34">
      <w:pPr>
        <w:pStyle w:val="SingleTxtG"/>
        <w:rPr>
          <w:lang w:val="es-ES"/>
        </w:rPr>
      </w:pPr>
      <w:r w:rsidRPr="007930B0">
        <w:rPr>
          <w:lang w:val="es-ES"/>
        </w:rPr>
        <w:t>111.</w:t>
      </w:r>
      <w:r w:rsidRPr="007930B0">
        <w:rPr>
          <w:lang w:val="es-ES"/>
        </w:rPr>
        <w:tab/>
        <w:t>Si le parece que la diferencia se debe únicamente a la iniquidad manifiesta de algunas disposiciones legislativas o reglamentarias en vigor, puede proponer a la autoridad competente todas las medidas que permitan corregir esa iniquidad y sugerir las modificaciones necesarias. Si la autoridad competente no toma medidas disciplinarias contra sus agentes cuando éstos cometen faltas graves en perjuicio de los administrados, el Mediador de la República prepara un informe circunstanciado sobre la cuestión, dirigido al Presidente de la República.</w:t>
      </w:r>
    </w:p>
    <w:p w:rsidR="001E7BB4" w:rsidRPr="007930B0" w:rsidRDefault="001E7BB4" w:rsidP="00B56B34">
      <w:pPr>
        <w:pStyle w:val="SingleTxtG"/>
        <w:rPr>
          <w:lang w:val="es-ES"/>
        </w:rPr>
      </w:pPr>
      <w:r w:rsidRPr="007930B0">
        <w:rPr>
          <w:lang w:val="es-ES"/>
        </w:rPr>
        <w:t>112.</w:t>
      </w:r>
      <w:r w:rsidRPr="007930B0">
        <w:rPr>
          <w:lang w:val="es-ES"/>
        </w:rPr>
        <w:tab/>
        <w:t>El Mediador de la República no puede intervenir en un litigio que esté a conocimiento de un tribunal, ni cuestionar los fundamentos de una decisión jurisdiccional, pero puede hacer recomendaciones al organismo contra el cual se reclama.</w:t>
      </w:r>
    </w:p>
    <w:p w:rsidR="001E7BB4" w:rsidRPr="007930B0" w:rsidRDefault="001E7BB4" w:rsidP="00B56B34">
      <w:pPr>
        <w:pStyle w:val="SingleTxtG"/>
        <w:rPr>
          <w:lang w:val="es-ES"/>
        </w:rPr>
      </w:pPr>
      <w:r w:rsidRPr="007930B0">
        <w:rPr>
          <w:lang w:val="es-ES"/>
        </w:rPr>
        <w:t>113.</w:t>
      </w:r>
      <w:r w:rsidRPr="007930B0">
        <w:rPr>
          <w:lang w:val="es-ES"/>
        </w:rPr>
        <w:tab/>
        <w:t>El Mediador de la República puede, en caso de falta de cumplimiento de una decisión judicial pasada en autoridad de cosa juzgada, ordenar al organismo en cuestión que la cumpla dentro de un plazo fijado por él. Si el organismo no acata la orden, el incumplimiento de la decisión judicial es comunicado al Presidente de la República. La independencia y la notoriedad de la institución aumentan su capacidad de desempeñar una función de regulación y mediación en la sociedad.</w:t>
      </w:r>
    </w:p>
    <w:p w:rsidR="001E7BB4" w:rsidRPr="007930B0" w:rsidRDefault="001E7BB4" w:rsidP="007A69A5">
      <w:pPr>
        <w:pStyle w:val="H23G"/>
        <w:rPr>
          <w:lang w:val="es-ES"/>
        </w:rPr>
      </w:pPr>
      <w:r w:rsidRPr="007930B0">
        <w:rPr>
          <w:lang w:val="es-ES"/>
        </w:rPr>
        <w:tab/>
        <w:t>2.</w:t>
      </w:r>
      <w:r w:rsidRPr="007930B0">
        <w:rPr>
          <w:lang w:val="es-ES"/>
        </w:rPr>
        <w:tab/>
        <w:t>La Comisión Nacional de Derechos Humanos</w:t>
      </w:r>
    </w:p>
    <w:p w:rsidR="001E7BB4" w:rsidRPr="007930B0" w:rsidRDefault="001E7BB4" w:rsidP="00B56B34">
      <w:pPr>
        <w:pStyle w:val="SingleTxtG"/>
        <w:rPr>
          <w:lang w:val="es-ES"/>
        </w:rPr>
      </w:pPr>
      <w:r w:rsidRPr="007930B0">
        <w:rPr>
          <w:lang w:val="es-ES"/>
        </w:rPr>
        <w:t>114.</w:t>
      </w:r>
      <w:r w:rsidRPr="007930B0">
        <w:rPr>
          <w:lang w:val="es-ES"/>
        </w:rPr>
        <w:tab/>
        <w:t>Se trata de una institución nacional consultiva de promoción y protección de los derechos humanos creada de conformidad con los Principios de París y dotada de autonomía administrativa y financiera. La Comisión es un marco nacional de concertación entre las autoridades interesadas en las cuestiones relativas a los derechos humanos y las organizaciones nacionales no gubernamentales de promoción y protección de los derechos humanos.</w:t>
      </w:r>
    </w:p>
    <w:p w:rsidR="001E7BB4" w:rsidRPr="007930B0" w:rsidRDefault="007A69A5" w:rsidP="007A69A5">
      <w:pPr>
        <w:pStyle w:val="H4G"/>
        <w:rPr>
          <w:lang w:val="es-ES"/>
        </w:rPr>
      </w:pPr>
      <w:r w:rsidRPr="007930B0">
        <w:rPr>
          <w:lang w:val="es-ES"/>
        </w:rPr>
        <w:tab/>
      </w:r>
      <w:r w:rsidRPr="007930B0">
        <w:rPr>
          <w:lang w:val="es-ES"/>
        </w:rPr>
        <w:tab/>
        <w:t xml:space="preserve">Mandato y cometidos </w:t>
      </w:r>
      <w:r w:rsidR="001E7BB4" w:rsidRPr="007930B0">
        <w:rPr>
          <w:lang w:val="es-ES"/>
        </w:rPr>
        <w:t>de la Comisión</w:t>
      </w:r>
    </w:p>
    <w:p w:rsidR="001E7BB4" w:rsidRPr="007930B0" w:rsidRDefault="001E7BB4" w:rsidP="00B56B34">
      <w:pPr>
        <w:pStyle w:val="SingleTxtG"/>
        <w:rPr>
          <w:lang w:val="es-ES"/>
        </w:rPr>
      </w:pPr>
      <w:r w:rsidRPr="007930B0">
        <w:rPr>
          <w:lang w:val="es-ES"/>
        </w:rPr>
        <w:t>115.</w:t>
      </w:r>
      <w:r w:rsidRPr="007930B0">
        <w:rPr>
          <w:lang w:val="es-ES"/>
        </w:rPr>
        <w:tab/>
        <w:t>La Comisión es un órgano de asesoramiento, observación, alerta, mediación y evaluación en el ámbito del respeto de los derechos humanos y el derecho humanitario. En este contexto, la Comisión tiene principalmente los siguientes cometidos:</w:t>
      </w:r>
    </w:p>
    <w:p w:rsidR="001E7BB4" w:rsidRPr="007930B0" w:rsidRDefault="001E7BB4" w:rsidP="007A69A5">
      <w:pPr>
        <w:pStyle w:val="Bullet1G"/>
        <w:rPr>
          <w:lang w:val="es-ES"/>
        </w:rPr>
      </w:pPr>
      <w:r w:rsidRPr="007930B0">
        <w:rPr>
          <w:lang w:val="es-ES"/>
        </w:rPr>
        <w:t>Emitir, a solicitud del Gobierno, o por su propia iniciativa, una opinión consultiva sobre las cuestiones de carácter general o específico que atañen a la promoción y la protección de los derechos humanos y al respeto de las libertades individuales y colectivas;</w:t>
      </w:r>
    </w:p>
    <w:p w:rsidR="001E7BB4" w:rsidRPr="007930B0" w:rsidRDefault="001E7BB4" w:rsidP="007A69A5">
      <w:pPr>
        <w:pStyle w:val="Bullet1G"/>
        <w:rPr>
          <w:lang w:val="es-ES"/>
        </w:rPr>
      </w:pPr>
      <w:r w:rsidRPr="007930B0">
        <w:rPr>
          <w:lang w:val="es-ES"/>
        </w:rPr>
        <w:t>Examinar y formular opiniones consultivas sobre la legislación nacional en materia de derechos humanos y sobre los proyectos de texto en ese ámbito;</w:t>
      </w:r>
    </w:p>
    <w:p w:rsidR="001E7BB4" w:rsidRPr="007930B0" w:rsidRDefault="001E7BB4" w:rsidP="007A69A5">
      <w:pPr>
        <w:pStyle w:val="Bullet1G"/>
        <w:rPr>
          <w:lang w:val="es-ES"/>
        </w:rPr>
      </w:pPr>
      <w:r w:rsidRPr="007930B0">
        <w:rPr>
          <w:lang w:val="es-ES"/>
        </w:rPr>
        <w:t>Contribuir, por todos los medios que corresponda, a la difusión y la consolidación de la cultura de los derechos humanos;</w:t>
      </w:r>
    </w:p>
    <w:p w:rsidR="001E7BB4" w:rsidRPr="007930B0" w:rsidRDefault="001E7BB4" w:rsidP="007A69A5">
      <w:pPr>
        <w:pStyle w:val="Bullet1G"/>
        <w:rPr>
          <w:lang w:val="es-ES"/>
        </w:rPr>
      </w:pPr>
      <w:r w:rsidRPr="007930B0">
        <w:rPr>
          <w:lang w:val="es-ES"/>
        </w:rPr>
        <w:t>Promover la investigación, la educación y la enseñanza en la esfera de los derechos humanos en todos los ciclos de capacitación y en los medios socioprofesionales;</w:t>
      </w:r>
    </w:p>
    <w:p w:rsidR="001E7BB4" w:rsidRPr="007930B0" w:rsidRDefault="001E7BB4" w:rsidP="007A69A5">
      <w:pPr>
        <w:pStyle w:val="Bullet1G"/>
        <w:rPr>
          <w:lang w:val="es-ES"/>
        </w:rPr>
      </w:pPr>
      <w:r w:rsidRPr="007930B0">
        <w:rPr>
          <w:lang w:val="es-ES"/>
        </w:rPr>
        <w:t>Hacer conocer los derechos humanos y la lucha contra todas las formas de discriminación y afrenta a la dignidad humana, en particular la discriminación racial, las prácticas esclavistas y la discriminación contra la mujer, sensibilizando a la opinión pública mediante la información, la comunicación y la enseñanza y haciendo un llamamiento a todos los órganos de prensa;</w:t>
      </w:r>
    </w:p>
    <w:p w:rsidR="001E7BB4" w:rsidRPr="007930B0" w:rsidRDefault="001E7BB4" w:rsidP="007A69A5">
      <w:pPr>
        <w:pStyle w:val="Bullet1G"/>
        <w:rPr>
          <w:lang w:val="es-ES"/>
        </w:rPr>
      </w:pPr>
      <w:r w:rsidRPr="007930B0">
        <w:rPr>
          <w:lang w:val="es-ES"/>
        </w:rPr>
        <w:t>Promover y velar por la armonización de la legislación nacional con los</w:t>
      </w:r>
      <w:r w:rsidR="00CC3B6E" w:rsidRPr="007930B0">
        <w:rPr>
          <w:lang w:val="es-ES"/>
        </w:rPr>
        <w:t xml:space="preserve"> </w:t>
      </w:r>
      <w:r w:rsidRPr="007930B0">
        <w:rPr>
          <w:lang w:val="es-ES"/>
        </w:rPr>
        <w:t xml:space="preserve">instrumentos jurídicos de derechos humanos ratificados, y combatir las prácticas contrarias a ellos; </w:t>
      </w:r>
    </w:p>
    <w:p w:rsidR="001E7BB4" w:rsidRPr="007930B0" w:rsidRDefault="001E7BB4" w:rsidP="007A69A5">
      <w:pPr>
        <w:pStyle w:val="Bullet1G"/>
        <w:rPr>
          <w:lang w:val="es-ES"/>
        </w:rPr>
      </w:pPr>
      <w:r w:rsidRPr="007930B0">
        <w:rPr>
          <w:lang w:val="es-ES"/>
        </w:rPr>
        <w:t>Fomentar la ratificación de los instrumentos jurídicos relativos a los derechos humanos;</w:t>
      </w:r>
    </w:p>
    <w:p w:rsidR="001E7BB4" w:rsidRPr="007930B0" w:rsidRDefault="001E7BB4" w:rsidP="007A69A5">
      <w:pPr>
        <w:pStyle w:val="Bullet1G"/>
        <w:rPr>
          <w:lang w:val="es-ES"/>
        </w:rPr>
      </w:pPr>
      <w:r w:rsidRPr="007930B0">
        <w:rPr>
          <w:lang w:val="es-ES"/>
        </w:rPr>
        <w:t>Contribuir, en la medida en que sea necesario, a la preparación de los informes que el Estado debe presentar a los órganos y comités, tanto de las Naciones Unidas como</w:t>
      </w:r>
      <w:r w:rsidR="00CC3B6E" w:rsidRPr="007930B0">
        <w:rPr>
          <w:lang w:val="es-ES"/>
        </w:rPr>
        <w:t xml:space="preserve"> </w:t>
      </w:r>
      <w:r w:rsidRPr="007930B0">
        <w:rPr>
          <w:lang w:val="es-ES"/>
        </w:rPr>
        <w:t>de las instituciones regionales, conforme a las obligaciones que le incumben en virtud de los tratados;</w:t>
      </w:r>
    </w:p>
    <w:p w:rsidR="001E7BB4" w:rsidRPr="007930B0" w:rsidRDefault="001E7BB4" w:rsidP="007A69A5">
      <w:pPr>
        <w:pStyle w:val="Bullet1G"/>
        <w:rPr>
          <w:lang w:val="es-ES"/>
        </w:rPr>
      </w:pPr>
      <w:r w:rsidRPr="007930B0">
        <w:rPr>
          <w:lang w:val="es-ES"/>
        </w:rPr>
        <w:t xml:space="preserve">Promover la cooperación en el ámbito de los derechos humanos con los órganos de las Naciones Unidas, las instituciones regionales, las instituciones nacionales de otros países, así como con las organizaciones no gubernamentales </w:t>
      </w:r>
      <w:r w:rsidR="003C3B9E">
        <w:rPr>
          <w:lang w:val="es-ES"/>
        </w:rPr>
        <w:t xml:space="preserve">(ONG) </w:t>
      </w:r>
      <w:r w:rsidRPr="007930B0">
        <w:rPr>
          <w:lang w:val="es-ES"/>
        </w:rPr>
        <w:t>nacionales e internacionales;</w:t>
      </w:r>
    </w:p>
    <w:p w:rsidR="001E7BB4" w:rsidRPr="007930B0" w:rsidRDefault="001E7BB4" w:rsidP="007A69A5">
      <w:pPr>
        <w:pStyle w:val="Bullet1G"/>
        <w:rPr>
          <w:lang w:val="es-ES"/>
        </w:rPr>
      </w:pPr>
      <w:r w:rsidRPr="007930B0">
        <w:rPr>
          <w:lang w:val="es-ES"/>
        </w:rPr>
        <w:t>Otorgar, en las condiciones que se establezcan por decreto, un premio de los derechos humanos de la República Islámica de Mauritania para distinguir a aquellas medidas sobre el terreno, estudios y proyectos relacionados con la protección y la promoción efectiva de los derechos humanos con el espíritu de la Declaración Universal de Derechos Humanos;</w:t>
      </w:r>
    </w:p>
    <w:p w:rsidR="001E7BB4" w:rsidRPr="007930B0" w:rsidRDefault="001E7BB4" w:rsidP="007A69A5">
      <w:pPr>
        <w:pStyle w:val="Bullet1G"/>
        <w:rPr>
          <w:lang w:val="es-ES"/>
        </w:rPr>
      </w:pPr>
      <w:r w:rsidRPr="007930B0">
        <w:rPr>
          <w:lang w:val="es-ES"/>
        </w:rPr>
        <w:t>Vigilar las condiciones de detención de las personas privadas de libertad.</w:t>
      </w:r>
    </w:p>
    <w:p w:rsidR="001E7BB4" w:rsidRPr="007930B0" w:rsidRDefault="001E7BB4" w:rsidP="00B56B34">
      <w:pPr>
        <w:pStyle w:val="SingleTxtG"/>
        <w:rPr>
          <w:lang w:val="es-ES"/>
        </w:rPr>
      </w:pPr>
      <w:r w:rsidRPr="007930B0">
        <w:rPr>
          <w:lang w:val="es-ES"/>
        </w:rPr>
        <w:t>116.</w:t>
      </w:r>
      <w:r w:rsidRPr="007930B0">
        <w:rPr>
          <w:lang w:val="es-ES"/>
        </w:rPr>
        <w:tab/>
        <w:t>Sin perjuicio de las atribuciones conferidas a las autoridades administrativas y judiciales, la Comisión tiene a su cargo examinar todas las situaciones de vulneración de los derechos humanos que observe o que sean puestas en su conocimiento, y tomar todas las medidas apropiadas en la materia, en concertación y en coordinación con las autoridades competentes. Las situaciones de vulneración de los derechos humanos antes mencionadas son aquellas que se hayan producido después de la entrada en vigor de la resolución.</w:t>
      </w:r>
    </w:p>
    <w:p w:rsidR="001E7BB4" w:rsidRPr="007930B0" w:rsidRDefault="001E7BB4" w:rsidP="00B56B34">
      <w:pPr>
        <w:pStyle w:val="SingleTxtG"/>
        <w:rPr>
          <w:lang w:val="es-ES"/>
        </w:rPr>
      </w:pPr>
      <w:r w:rsidRPr="007930B0">
        <w:rPr>
          <w:lang w:val="es-ES"/>
        </w:rPr>
        <w:t>117.</w:t>
      </w:r>
      <w:r w:rsidRPr="007930B0">
        <w:rPr>
          <w:lang w:val="es-ES"/>
        </w:rPr>
        <w:tab/>
        <w:t>La Comisión envía anualmente al Jefe de Estado un informe sobre la situación nacional en materia de derechos humanos. Dicho informe se hace público.</w:t>
      </w:r>
    </w:p>
    <w:p w:rsidR="001E7BB4" w:rsidRPr="007930B0" w:rsidRDefault="001E7BB4" w:rsidP="00B56B34">
      <w:pPr>
        <w:pStyle w:val="SingleTxtG"/>
        <w:rPr>
          <w:lang w:val="es-ES"/>
        </w:rPr>
      </w:pPr>
      <w:r w:rsidRPr="007930B0">
        <w:rPr>
          <w:lang w:val="es-ES"/>
        </w:rPr>
        <w:t>118.</w:t>
      </w:r>
      <w:r w:rsidRPr="007930B0">
        <w:rPr>
          <w:lang w:val="es-ES"/>
        </w:rPr>
        <w:tab/>
        <w:t>La Comisión puede, en caso de ser necesario y en las mismas condiciones, preparar informes sobre cuestiones concretas. En el ejercicio de sus funciones, la Comisión puede escuchar a cualquier persona, u obtener toda la información y todos los documentos necesarios para evaluar las situaciones comprendidas en su ámbito de competencia, con sujeción a los límites establecidos en la ley.</w:t>
      </w:r>
    </w:p>
    <w:p w:rsidR="001E7BB4" w:rsidRPr="007930B0" w:rsidRDefault="001E7BB4" w:rsidP="00B56B34">
      <w:pPr>
        <w:pStyle w:val="SingleTxtG"/>
        <w:rPr>
          <w:lang w:val="es-ES"/>
        </w:rPr>
      </w:pPr>
      <w:r w:rsidRPr="007930B0">
        <w:rPr>
          <w:lang w:val="es-ES"/>
        </w:rPr>
        <w:t>119.</w:t>
      </w:r>
      <w:r w:rsidRPr="007930B0">
        <w:rPr>
          <w:lang w:val="es-ES"/>
        </w:rPr>
        <w:tab/>
        <w:t>Puede dirigirse a la opinión pública a través de la prensa con el fin de dar publicidad a sus opiniones y recomendaciones. La Comisión puede requerir la ayuda o la asistencia de cualquier órgano público o privado en el cumplimiento de sus cometidos. En ese caso, las autoridades públicas y las instituciones públicas y privadas deben facilitar la labor de la Comisión. En todo caso, el Presidente de la Comisión puede exigirle a cualquier departamento interesado que le comunique cualquier dato o información que esté relacionado con una cuestión sometida al examen de la Comisión.</w:t>
      </w:r>
    </w:p>
    <w:p w:rsidR="001E7BB4" w:rsidRPr="007930B0" w:rsidRDefault="001E7BB4" w:rsidP="00B56B34">
      <w:pPr>
        <w:pStyle w:val="SingleTxtG"/>
        <w:rPr>
          <w:lang w:val="es-ES"/>
        </w:rPr>
      </w:pPr>
      <w:r w:rsidRPr="007930B0">
        <w:rPr>
          <w:lang w:val="es-ES"/>
        </w:rPr>
        <w:t>120.</w:t>
      </w:r>
      <w:r w:rsidRPr="007930B0">
        <w:rPr>
          <w:lang w:val="es-ES"/>
        </w:rPr>
        <w:tab/>
        <w:t>La Comisión establece, de acuerdo con las autoridades pertinentes, mecanismos de concertación, cooperación y coordinación con los servicios siguientes:</w:t>
      </w:r>
    </w:p>
    <w:p w:rsidR="001E7BB4" w:rsidRPr="007930B0" w:rsidRDefault="001E7BB4" w:rsidP="00962949">
      <w:pPr>
        <w:pStyle w:val="Bullet1G"/>
        <w:rPr>
          <w:lang w:val="es-ES"/>
        </w:rPr>
      </w:pPr>
      <w:r w:rsidRPr="007930B0">
        <w:rPr>
          <w:lang w:val="es-ES"/>
        </w:rPr>
        <w:t>Servicios encargados de la promoción y la protección de los derechos humanos;</w:t>
      </w:r>
    </w:p>
    <w:p w:rsidR="001E7BB4" w:rsidRPr="007930B0" w:rsidRDefault="001E7BB4" w:rsidP="00962949">
      <w:pPr>
        <w:pStyle w:val="Bullet1G"/>
        <w:rPr>
          <w:lang w:val="es-ES"/>
        </w:rPr>
      </w:pPr>
      <w:r w:rsidRPr="007930B0">
        <w:rPr>
          <w:lang w:val="es-ES"/>
        </w:rPr>
        <w:t>Servicios dependientes de la Administración Judicial y Penitenciaria;</w:t>
      </w:r>
    </w:p>
    <w:p w:rsidR="001E7BB4" w:rsidRPr="007930B0" w:rsidRDefault="001E7BB4" w:rsidP="00962949">
      <w:pPr>
        <w:pStyle w:val="Bullet1G"/>
        <w:rPr>
          <w:lang w:val="es-ES"/>
        </w:rPr>
      </w:pPr>
      <w:r w:rsidRPr="007930B0">
        <w:rPr>
          <w:lang w:val="es-ES"/>
        </w:rPr>
        <w:t>Servicios encargados del mantenimiento del orden y la seguridad públicos.</w:t>
      </w:r>
    </w:p>
    <w:p w:rsidR="001E7BB4" w:rsidRPr="007930B0" w:rsidRDefault="001E7BB4" w:rsidP="00962949">
      <w:pPr>
        <w:pStyle w:val="H4G"/>
        <w:rPr>
          <w:lang w:val="es-ES"/>
        </w:rPr>
      </w:pPr>
      <w:r w:rsidRPr="007930B0">
        <w:rPr>
          <w:lang w:val="es-ES"/>
        </w:rPr>
        <w:tab/>
      </w:r>
      <w:r w:rsidRPr="007930B0">
        <w:rPr>
          <w:lang w:val="es-ES"/>
        </w:rPr>
        <w:tab/>
        <w:t>Composición de la Comisión</w:t>
      </w:r>
    </w:p>
    <w:p w:rsidR="001E7BB4" w:rsidRPr="007930B0" w:rsidRDefault="001E7BB4" w:rsidP="00B56B34">
      <w:pPr>
        <w:pStyle w:val="SingleTxtG"/>
        <w:rPr>
          <w:lang w:val="es-ES"/>
        </w:rPr>
      </w:pPr>
      <w:r w:rsidRPr="007930B0">
        <w:rPr>
          <w:lang w:val="es-ES"/>
        </w:rPr>
        <w:t>121.</w:t>
      </w:r>
      <w:r w:rsidRPr="007930B0">
        <w:rPr>
          <w:lang w:val="es-ES"/>
        </w:rPr>
        <w:tab/>
        <w:t>La Comisión está compuesta por un Presidente y los miembros que se indican a continuación:</w:t>
      </w:r>
    </w:p>
    <w:p w:rsidR="001E7BB4" w:rsidRPr="007930B0" w:rsidRDefault="001E7BB4" w:rsidP="00962949">
      <w:pPr>
        <w:pStyle w:val="SingleTxtG"/>
        <w:ind w:firstLine="567"/>
        <w:rPr>
          <w:lang w:val="es-ES"/>
        </w:rPr>
      </w:pPr>
      <w:r w:rsidRPr="007930B0">
        <w:rPr>
          <w:lang w:val="es-ES"/>
        </w:rPr>
        <w:t>a)</w:t>
      </w:r>
      <w:r w:rsidRPr="007930B0">
        <w:rPr>
          <w:lang w:val="es-ES"/>
        </w:rPr>
        <w:tab/>
        <w:t>En representación de las instituciones, las organizaciones profesionales y la sociedad civil, con voz y voto:</w:t>
      </w:r>
    </w:p>
    <w:p w:rsidR="001E7BB4" w:rsidRPr="007930B0" w:rsidRDefault="001E7BB4" w:rsidP="003C3B9E">
      <w:pPr>
        <w:pStyle w:val="Bullet2G"/>
      </w:pPr>
      <w:r w:rsidRPr="007930B0">
        <w:t>Un diputado;</w:t>
      </w:r>
    </w:p>
    <w:p w:rsidR="001E7BB4" w:rsidRPr="007930B0" w:rsidRDefault="001E7BB4" w:rsidP="003C3B9E">
      <w:pPr>
        <w:pStyle w:val="Bullet2G"/>
      </w:pPr>
      <w:r w:rsidRPr="007930B0">
        <w:t>Un senador;</w:t>
      </w:r>
    </w:p>
    <w:p w:rsidR="001E7BB4" w:rsidRPr="007930B0" w:rsidRDefault="001E7BB4" w:rsidP="003C3B9E">
      <w:pPr>
        <w:pStyle w:val="Bullet2G"/>
      </w:pPr>
      <w:r w:rsidRPr="007930B0">
        <w:t>Un magistrado de la sede;</w:t>
      </w:r>
    </w:p>
    <w:p w:rsidR="001E7BB4" w:rsidRPr="007930B0" w:rsidRDefault="001E7BB4" w:rsidP="003C3B9E">
      <w:pPr>
        <w:pStyle w:val="Bullet2G"/>
      </w:pPr>
      <w:r w:rsidRPr="007930B0">
        <w:t xml:space="preserve">Seis representantes de </w:t>
      </w:r>
      <w:r w:rsidR="003C3B9E">
        <w:t>ONG</w:t>
      </w:r>
      <w:r w:rsidRPr="007930B0">
        <w:t xml:space="preserve"> de derechos humanos, entre ellos un representante de las organizaciones de defensa de los</w:t>
      </w:r>
      <w:r w:rsidR="00CC3B6E" w:rsidRPr="007930B0">
        <w:t xml:space="preserve"> </w:t>
      </w:r>
      <w:r w:rsidRPr="007930B0">
        <w:t>derechos del niño, un representante de las organizaciones de promoción y defensa de los derechos de la mujer, y un representante de las ONG de defensa de los derechos de las personas con discapacidad;</w:t>
      </w:r>
    </w:p>
    <w:p w:rsidR="001E7BB4" w:rsidRPr="007930B0" w:rsidRDefault="001E7BB4" w:rsidP="003C3B9E">
      <w:pPr>
        <w:pStyle w:val="Bullet2G"/>
      </w:pPr>
      <w:r w:rsidRPr="007930B0">
        <w:t>Un representante de la Asociación de los Oulémas;</w:t>
      </w:r>
    </w:p>
    <w:p w:rsidR="001E7BB4" w:rsidRPr="007930B0" w:rsidRDefault="001E7BB4" w:rsidP="003C3B9E">
      <w:pPr>
        <w:pStyle w:val="Bullet2G"/>
      </w:pPr>
      <w:r w:rsidRPr="007930B0">
        <w:t>Dos representantes de las centrales sindicales;</w:t>
      </w:r>
    </w:p>
    <w:p w:rsidR="001E7BB4" w:rsidRPr="007930B0" w:rsidRDefault="001E7BB4" w:rsidP="003C3B9E">
      <w:pPr>
        <w:pStyle w:val="Bullet2G"/>
      </w:pPr>
      <w:r w:rsidRPr="007930B0">
        <w:t>Un representante de la Orden Nacional de Abogados;</w:t>
      </w:r>
    </w:p>
    <w:p w:rsidR="001E7BB4" w:rsidRPr="007930B0" w:rsidRDefault="001E7BB4" w:rsidP="003C3B9E">
      <w:pPr>
        <w:pStyle w:val="Bullet2G"/>
      </w:pPr>
      <w:r w:rsidRPr="007930B0">
        <w:t>Un representante de las Asociaciones de Periodistas;</w:t>
      </w:r>
    </w:p>
    <w:p w:rsidR="001E7BB4" w:rsidRPr="007930B0" w:rsidRDefault="001E7BB4" w:rsidP="003C3B9E">
      <w:pPr>
        <w:pStyle w:val="Bullet2G"/>
      </w:pPr>
      <w:r w:rsidRPr="007930B0">
        <w:t>Un representante de la Universidad, que sea profesor de derecho;</w:t>
      </w:r>
    </w:p>
    <w:p w:rsidR="001E7BB4" w:rsidRPr="007930B0" w:rsidRDefault="001E7BB4" w:rsidP="003C3B9E">
      <w:pPr>
        <w:pStyle w:val="Bullet2G"/>
      </w:pPr>
      <w:r w:rsidRPr="007930B0">
        <w:t>Cuatro personalidades elegidas en razón de su competencia en materia de derechos humanos.</w:t>
      </w:r>
    </w:p>
    <w:p w:rsidR="001E7BB4" w:rsidRPr="007930B0" w:rsidRDefault="001E7BB4" w:rsidP="00962949">
      <w:pPr>
        <w:pStyle w:val="SingleTxtG"/>
        <w:ind w:firstLine="567"/>
        <w:rPr>
          <w:lang w:val="es-ES"/>
        </w:rPr>
      </w:pPr>
      <w:r w:rsidRPr="007930B0">
        <w:rPr>
          <w:lang w:val="es-ES"/>
        </w:rPr>
        <w:t>b)</w:t>
      </w:r>
      <w:r w:rsidRPr="007930B0">
        <w:rPr>
          <w:lang w:val="es-ES"/>
        </w:rPr>
        <w:tab/>
        <w:t>En representación de la Administración, con voz pero sin voto:</w:t>
      </w:r>
    </w:p>
    <w:p w:rsidR="001E7BB4" w:rsidRPr="007930B0" w:rsidRDefault="001E7BB4" w:rsidP="00F4158E">
      <w:pPr>
        <w:pStyle w:val="Bullet2G"/>
      </w:pPr>
      <w:r w:rsidRPr="007930B0">
        <w:t>Un consejero de la oficina del Presidente;</w:t>
      </w:r>
    </w:p>
    <w:p w:rsidR="001E7BB4" w:rsidRPr="007930B0" w:rsidRDefault="001E7BB4" w:rsidP="00F4158E">
      <w:pPr>
        <w:pStyle w:val="Bullet2G"/>
      </w:pPr>
      <w:r w:rsidRPr="007930B0">
        <w:t>Un consejero de la oficina del Primer ministro;</w:t>
      </w:r>
    </w:p>
    <w:p w:rsidR="001E7BB4" w:rsidRPr="007930B0" w:rsidRDefault="001E7BB4" w:rsidP="00F4158E">
      <w:pPr>
        <w:pStyle w:val="Bullet2G"/>
      </w:pPr>
      <w:r w:rsidRPr="007930B0">
        <w:t>Un representante del Ministerio de Relaciones Exteriores y Cooperación;</w:t>
      </w:r>
    </w:p>
    <w:p w:rsidR="001E7BB4" w:rsidRPr="007930B0" w:rsidRDefault="00962949" w:rsidP="00F4158E">
      <w:pPr>
        <w:pStyle w:val="Bullet2G"/>
      </w:pPr>
      <w:r w:rsidRPr="007930B0">
        <w:t>Un rep</w:t>
      </w:r>
      <w:r w:rsidR="001E7BB4" w:rsidRPr="007930B0">
        <w:t xml:space="preserve">resentante </w:t>
      </w:r>
      <w:smartTag w:uri="urn:schemas-microsoft-com:office:smarttags" w:element="State">
        <w:smartTag w:uri="urn:schemas-microsoft-com:office:smarttags" w:element="place">
          <w:r w:rsidR="001E7BB4" w:rsidRPr="007930B0">
            <w:t>del</w:t>
          </w:r>
        </w:smartTag>
      </w:smartTag>
      <w:r w:rsidR="001E7BB4" w:rsidRPr="007930B0">
        <w:t xml:space="preserve"> Ministerio de Justicia;</w:t>
      </w:r>
    </w:p>
    <w:p w:rsidR="001E7BB4" w:rsidRPr="007930B0" w:rsidRDefault="001E7BB4" w:rsidP="00F4158E">
      <w:pPr>
        <w:pStyle w:val="Bullet2G"/>
      </w:pPr>
      <w:r w:rsidRPr="007930B0">
        <w:t xml:space="preserve">Un representante </w:t>
      </w:r>
      <w:smartTag w:uri="urn:schemas-microsoft-com:office:smarttags" w:element="State">
        <w:smartTag w:uri="urn:schemas-microsoft-com:office:smarttags" w:element="place">
          <w:r w:rsidRPr="007930B0">
            <w:t>del</w:t>
          </w:r>
        </w:smartTag>
      </w:smartTag>
      <w:r w:rsidRPr="007930B0">
        <w:t xml:space="preserve"> Ministerio del Interior, Correos y Telecomunicaciones;</w:t>
      </w:r>
    </w:p>
    <w:p w:rsidR="001E7BB4" w:rsidRPr="007930B0" w:rsidRDefault="001E7BB4" w:rsidP="00F4158E">
      <w:pPr>
        <w:pStyle w:val="Bullet2G"/>
      </w:pPr>
      <w:r w:rsidRPr="007930B0">
        <w:t>Un representante de la Secretaría de Estado sobre la condición de la mujer;</w:t>
      </w:r>
    </w:p>
    <w:p w:rsidR="001E7BB4" w:rsidRPr="007930B0" w:rsidRDefault="001E7BB4" w:rsidP="00F4158E">
      <w:pPr>
        <w:pStyle w:val="Bullet2G"/>
      </w:pPr>
      <w:r w:rsidRPr="007930B0">
        <w:t xml:space="preserve">Un representante </w:t>
      </w:r>
      <w:smartTag w:uri="urn:schemas-microsoft-com:office:smarttags" w:element="State">
        <w:smartTag w:uri="urn:schemas-microsoft-com:office:smarttags" w:element="place">
          <w:r w:rsidRPr="007930B0">
            <w:t>del</w:t>
          </w:r>
        </w:smartTag>
      </w:smartTag>
      <w:r w:rsidRPr="007930B0">
        <w:t xml:space="preserve"> departamento encargado de los derechos humanos.</w:t>
      </w:r>
    </w:p>
    <w:p w:rsidR="001E7BB4" w:rsidRPr="007930B0" w:rsidRDefault="001E7BB4" w:rsidP="00B56B34">
      <w:pPr>
        <w:pStyle w:val="SingleTxtG"/>
        <w:rPr>
          <w:lang w:val="es-ES"/>
        </w:rPr>
      </w:pPr>
      <w:r w:rsidRPr="007930B0">
        <w:rPr>
          <w:lang w:val="es-ES"/>
        </w:rPr>
        <w:t>122.</w:t>
      </w:r>
      <w:r w:rsidRPr="007930B0">
        <w:rPr>
          <w:lang w:val="es-ES"/>
        </w:rPr>
        <w:tab/>
        <w:t xml:space="preserve">El Presidente y los miembros de la Comisión son designados por decreto del Jefe de Estado a propuesta de las autoridades públicas, las instituciones, las organizaciones profesionales y las entidades de la sociedad civil interesadas, por un período de tres años renovable por única vez. </w:t>
      </w:r>
    </w:p>
    <w:p w:rsidR="001E7BB4" w:rsidRPr="007930B0" w:rsidRDefault="001E7BB4" w:rsidP="00962949">
      <w:pPr>
        <w:pStyle w:val="H4G"/>
        <w:rPr>
          <w:lang w:val="es-ES"/>
        </w:rPr>
      </w:pPr>
      <w:r w:rsidRPr="007930B0">
        <w:rPr>
          <w:lang w:val="es-ES"/>
        </w:rPr>
        <w:tab/>
      </w:r>
      <w:r w:rsidRPr="007930B0">
        <w:rPr>
          <w:lang w:val="es-ES"/>
        </w:rPr>
        <w:tab/>
        <w:t>Los órganos de gestión de la Comisión</w:t>
      </w:r>
    </w:p>
    <w:p w:rsidR="001E7BB4" w:rsidRPr="007930B0" w:rsidRDefault="001E7BB4" w:rsidP="00962949">
      <w:pPr>
        <w:pStyle w:val="H56G"/>
        <w:rPr>
          <w:lang w:val="es-ES"/>
        </w:rPr>
      </w:pPr>
      <w:r w:rsidRPr="007930B0">
        <w:rPr>
          <w:lang w:val="es-ES"/>
        </w:rPr>
        <w:tab/>
      </w:r>
      <w:r w:rsidRPr="007930B0">
        <w:rPr>
          <w:lang w:val="es-ES"/>
        </w:rPr>
        <w:tab/>
        <w:t>La Asamblea plenaria</w:t>
      </w:r>
    </w:p>
    <w:p w:rsidR="001E7BB4" w:rsidRPr="007930B0" w:rsidRDefault="001E7BB4" w:rsidP="00B56B34">
      <w:pPr>
        <w:pStyle w:val="SingleTxtG"/>
        <w:rPr>
          <w:lang w:val="es-ES"/>
        </w:rPr>
      </w:pPr>
      <w:r w:rsidRPr="007930B0">
        <w:rPr>
          <w:lang w:val="es-ES"/>
        </w:rPr>
        <w:t>123.</w:t>
      </w:r>
      <w:r w:rsidRPr="007930B0">
        <w:rPr>
          <w:lang w:val="es-ES"/>
        </w:rPr>
        <w:tab/>
        <w:t xml:space="preserve">La Asamblea plenaria es el órgano de concepción y orientación de la Comisión. Comprende al Presidente y los miembros de la institución. Se reúne en sesión ordinaria dos veces al año. La Asamblea plenaria se reúne en sesión extraordinaria cuando es convocada por el Presidente o a solicitud de dos tercios de los miembros con voz y voto. Las opiniones y decisiones son adoptadas por voto mayoritario, en las condiciones establecidas en el Reglamento de la Asamblea. </w:t>
      </w:r>
    </w:p>
    <w:p w:rsidR="001E7BB4" w:rsidRPr="007930B0" w:rsidRDefault="001E7BB4" w:rsidP="00962949">
      <w:pPr>
        <w:pStyle w:val="H56G"/>
        <w:rPr>
          <w:lang w:val="es-ES"/>
        </w:rPr>
      </w:pPr>
      <w:r w:rsidRPr="007930B0">
        <w:rPr>
          <w:lang w:val="es-ES"/>
        </w:rPr>
        <w:tab/>
      </w:r>
      <w:r w:rsidRPr="007930B0">
        <w:rPr>
          <w:lang w:val="es-ES"/>
        </w:rPr>
        <w:tab/>
        <w:t>La Mesa permanente</w:t>
      </w:r>
    </w:p>
    <w:p w:rsidR="001E7BB4" w:rsidRPr="007930B0" w:rsidRDefault="001E7BB4" w:rsidP="00B56B34">
      <w:pPr>
        <w:pStyle w:val="SingleTxtG"/>
        <w:rPr>
          <w:lang w:val="es-ES"/>
        </w:rPr>
      </w:pPr>
      <w:r w:rsidRPr="007930B0">
        <w:rPr>
          <w:lang w:val="es-ES"/>
        </w:rPr>
        <w:t>124.</w:t>
      </w:r>
      <w:r w:rsidRPr="007930B0">
        <w:rPr>
          <w:lang w:val="es-ES"/>
        </w:rPr>
        <w:tab/>
        <w:t>La Comisión elige, entre sus miembros, una Mesa permanente y subcomisiones.</w:t>
      </w:r>
      <w:r w:rsidR="00CC3B6E" w:rsidRPr="007930B0">
        <w:rPr>
          <w:lang w:val="es-ES"/>
        </w:rPr>
        <w:t xml:space="preserve"> </w:t>
      </w:r>
      <w:r w:rsidRPr="007930B0">
        <w:rPr>
          <w:lang w:val="es-ES"/>
        </w:rPr>
        <w:t>La Mesa de la Comisión, integrada por cinco miembros, incluido el Presidente de la Comisión, se reúne en sesión ordinaria por lo menos una vez por trimestre, y siempre que sea necesario por convocación de su Presidente. La Mesa se encarga especialmente:</w:t>
      </w:r>
    </w:p>
    <w:p w:rsidR="001E7BB4" w:rsidRPr="007930B0" w:rsidRDefault="001E7BB4" w:rsidP="00962949">
      <w:pPr>
        <w:pStyle w:val="Bullet1G"/>
        <w:rPr>
          <w:lang w:val="es-ES"/>
        </w:rPr>
      </w:pPr>
      <w:r w:rsidRPr="007930B0">
        <w:rPr>
          <w:lang w:val="es-ES"/>
        </w:rPr>
        <w:t>De la elaboración de los programas y la coordinación de las actividades de la Comisión, así como de la preparación del orden del día de las reuniones de la Comisión;</w:t>
      </w:r>
    </w:p>
    <w:p w:rsidR="001E7BB4" w:rsidRPr="007930B0" w:rsidRDefault="001E7BB4" w:rsidP="00962949">
      <w:pPr>
        <w:pStyle w:val="Bullet1G"/>
        <w:rPr>
          <w:lang w:val="es-ES"/>
        </w:rPr>
      </w:pPr>
      <w:r w:rsidRPr="007930B0">
        <w:rPr>
          <w:lang w:val="es-ES"/>
        </w:rPr>
        <w:t>De la asistencia técnica a la labor de la Comisión, las subcomisiones y los grupos de trabajo, principalmente mediante la elaboración, el seguimiento y la evaluación de los planes de acción de promoción y protección de los derechos humanos;</w:t>
      </w:r>
    </w:p>
    <w:p w:rsidR="001E7BB4" w:rsidRPr="007930B0" w:rsidRDefault="001E7BB4" w:rsidP="00962949">
      <w:pPr>
        <w:pStyle w:val="Bullet1G"/>
        <w:rPr>
          <w:lang w:val="es-ES"/>
        </w:rPr>
      </w:pPr>
      <w:r w:rsidRPr="007930B0">
        <w:rPr>
          <w:lang w:val="es-ES"/>
        </w:rPr>
        <w:t>De las actividades de estudio e investigación en materia de derechos humanos, especialmente mediante la preparación de los informes anuales o específicos que elabora la Comisión.</w:t>
      </w:r>
    </w:p>
    <w:p w:rsidR="001E7BB4" w:rsidRPr="007930B0" w:rsidRDefault="001E7BB4" w:rsidP="00962949">
      <w:pPr>
        <w:pStyle w:val="H56G"/>
        <w:rPr>
          <w:lang w:val="es-ES"/>
        </w:rPr>
      </w:pPr>
      <w:r w:rsidRPr="007930B0">
        <w:rPr>
          <w:lang w:val="es-ES"/>
        </w:rPr>
        <w:tab/>
      </w:r>
      <w:r w:rsidRPr="007930B0">
        <w:rPr>
          <w:lang w:val="es-ES"/>
        </w:rPr>
        <w:tab/>
        <w:t>Las subcomisiones</w:t>
      </w:r>
    </w:p>
    <w:p w:rsidR="001E7BB4" w:rsidRPr="007930B0" w:rsidRDefault="001E7BB4" w:rsidP="00B56B34">
      <w:pPr>
        <w:pStyle w:val="SingleTxtG"/>
        <w:rPr>
          <w:lang w:val="es-ES"/>
        </w:rPr>
      </w:pPr>
      <w:r w:rsidRPr="007930B0">
        <w:rPr>
          <w:lang w:val="es-ES"/>
        </w:rPr>
        <w:t>125.</w:t>
      </w:r>
      <w:r w:rsidRPr="007930B0">
        <w:rPr>
          <w:lang w:val="es-ES"/>
        </w:rPr>
        <w:tab/>
        <w:t xml:space="preserve">Las subcomisiones se ocupan de estudiar cuestiones concretas, elaborar informes sobre las cuestiones sometidas a su examen, o proponer cualquier recomendación útil. </w:t>
      </w:r>
    </w:p>
    <w:p w:rsidR="001E7BB4" w:rsidRPr="007930B0" w:rsidRDefault="001E7BB4" w:rsidP="00B56B34">
      <w:pPr>
        <w:pStyle w:val="SingleTxtG"/>
        <w:rPr>
          <w:lang w:val="es-ES"/>
        </w:rPr>
      </w:pPr>
      <w:r w:rsidRPr="007930B0">
        <w:rPr>
          <w:lang w:val="es-ES"/>
        </w:rPr>
        <w:t>126.</w:t>
      </w:r>
      <w:r w:rsidRPr="007930B0">
        <w:rPr>
          <w:lang w:val="es-ES"/>
        </w:rPr>
        <w:tab/>
        <w:t>La Comisión puede nombrar, dentro de su órbita, un relator especial encargado de presentarle un informe o recomendaciones sobre situaciones de violaciones graves de los derechos humanos. La Comisión puede recurrir, de manera puntual y en caso de necesidad, a los servicios de expertos.</w:t>
      </w:r>
    </w:p>
    <w:p w:rsidR="001E7BB4" w:rsidRPr="007930B0" w:rsidRDefault="001E7BB4" w:rsidP="00962949">
      <w:pPr>
        <w:pStyle w:val="H56G"/>
        <w:rPr>
          <w:lang w:val="es-ES"/>
        </w:rPr>
      </w:pPr>
      <w:r w:rsidRPr="007930B0">
        <w:rPr>
          <w:lang w:val="es-ES"/>
        </w:rPr>
        <w:tab/>
      </w:r>
      <w:r w:rsidRPr="007930B0">
        <w:rPr>
          <w:lang w:val="es-ES"/>
        </w:rPr>
        <w:tab/>
        <w:t>El Secretario General</w:t>
      </w:r>
    </w:p>
    <w:p w:rsidR="001E7BB4" w:rsidRPr="007930B0" w:rsidRDefault="001E7BB4" w:rsidP="00B56B34">
      <w:pPr>
        <w:pStyle w:val="SingleTxtG"/>
        <w:rPr>
          <w:lang w:val="es-ES"/>
        </w:rPr>
      </w:pPr>
      <w:r w:rsidRPr="007930B0">
        <w:rPr>
          <w:lang w:val="es-ES"/>
        </w:rPr>
        <w:t>127.</w:t>
      </w:r>
      <w:r w:rsidRPr="007930B0">
        <w:rPr>
          <w:lang w:val="es-ES"/>
        </w:rPr>
        <w:tab/>
        <w:t>El Presidente de la Comisión recibe la asistencia de un secretario general designado por decreto aprobado en Consejo de Ministros entre los funcionarios de alto nivel reconocidos por su idoneidad, honestidad y buena moral. El Presidente puede delegar en el Secretario general la potestad de firmar ciertos actos de carácter administrativo. El Secretario general garantiza el funcionamiento de la Secretaría de la Comisión.</w:t>
      </w:r>
    </w:p>
    <w:p w:rsidR="001E7BB4" w:rsidRPr="007930B0" w:rsidRDefault="001E7BB4" w:rsidP="00962949">
      <w:pPr>
        <w:pStyle w:val="H56G"/>
        <w:rPr>
          <w:lang w:val="es-ES"/>
        </w:rPr>
      </w:pPr>
      <w:r w:rsidRPr="007930B0">
        <w:rPr>
          <w:lang w:val="es-ES"/>
        </w:rPr>
        <w:tab/>
      </w:r>
      <w:r w:rsidRPr="007930B0">
        <w:rPr>
          <w:lang w:val="es-ES"/>
        </w:rPr>
        <w:tab/>
        <w:t>El presupuesto de la Comisión</w:t>
      </w:r>
    </w:p>
    <w:p w:rsidR="001E7BB4" w:rsidRPr="007930B0" w:rsidRDefault="001E7BB4" w:rsidP="00B56B34">
      <w:pPr>
        <w:pStyle w:val="SingleTxtG"/>
        <w:rPr>
          <w:lang w:val="es-ES"/>
        </w:rPr>
      </w:pPr>
      <w:r w:rsidRPr="007930B0">
        <w:rPr>
          <w:lang w:val="es-ES"/>
        </w:rPr>
        <w:t>128.</w:t>
      </w:r>
      <w:r w:rsidRPr="007930B0">
        <w:rPr>
          <w:lang w:val="es-ES"/>
        </w:rPr>
        <w:tab/>
        <w:t xml:space="preserve">La Comisión elabora su presupuesto en consulta con los servicios técnicos competentes del Estado y lo ejecuta conforme a las normas de contabilidad pública. </w:t>
      </w:r>
    </w:p>
    <w:p w:rsidR="00962949" w:rsidRPr="007930B0" w:rsidRDefault="001E7BB4" w:rsidP="00B56B34">
      <w:pPr>
        <w:pStyle w:val="SingleTxtG"/>
        <w:rPr>
          <w:lang w:val="es-ES"/>
        </w:rPr>
      </w:pPr>
      <w:r w:rsidRPr="007930B0">
        <w:rPr>
          <w:lang w:val="es-ES"/>
        </w:rPr>
        <w:t>129.</w:t>
      </w:r>
      <w:r w:rsidRPr="007930B0">
        <w:rPr>
          <w:lang w:val="es-ES"/>
        </w:rPr>
        <w:tab/>
        <w:t xml:space="preserve">Los créditos necesarios para el funcionamiento y el cumplimiento de los cometidos de la Comisión son objeto de una consignación autónoma dentro del presupuesto general. Son autorizados en el marco de la </w:t>
      </w:r>
      <w:r w:rsidR="00384889" w:rsidRPr="007930B0">
        <w:rPr>
          <w:lang w:val="es-ES"/>
        </w:rPr>
        <w:t>Ley</w:t>
      </w:r>
      <w:r w:rsidRPr="007930B0">
        <w:rPr>
          <w:lang w:val="es-ES"/>
        </w:rPr>
        <w:t xml:space="preserve"> de finanzas. La Comisión puede recibir recursos provenientes de otras fuentes, en particular donaciones, legados y subvenciones. La contabilidad de la Comisión es llevada por un contador público designado por el</w:t>
      </w:r>
      <w:r w:rsidR="00CC3B6E" w:rsidRPr="007930B0">
        <w:rPr>
          <w:lang w:val="es-ES"/>
        </w:rPr>
        <w:t xml:space="preserve"> </w:t>
      </w:r>
      <w:r w:rsidRPr="007930B0">
        <w:rPr>
          <w:lang w:val="es-ES"/>
        </w:rPr>
        <w:t>Ministerio de Finanzas.</w:t>
      </w:r>
    </w:p>
    <w:p w:rsidR="001E7BB4" w:rsidRPr="007930B0" w:rsidRDefault="00962949" w:rsidP="00962949">
      <w:pPr>
        <w:pStyle w:val="HChG"/>
        <w:rPr>
          <w:lang w:val="es-ES"/>
        </w:rPr>
      </w:pPr>
      <w:r w:rsidRPr="007930B0">
        <w:rPr>
          <w:lang w:val="es-ES"/>
        </w:rPr>
        <w:br w:type="page"/>
      </w:r>
      <w:r w:rsidR="001E7BB4" w:rsidRPr="007930B0">
        <w:rPr>
          <w:lang w:val="es-ES"/>
        </w:rPr>
        <w:tab/>
        <w:t>III.</w:t>
      </w:r>
      <w:r w:rsidR="001E7BB4" w:rsidRPr="007930B0">
        <w:rPr>
          <w:lang w:val="es-ES"/>
        </w:rPr>
        <w:tab/>
        <w:t>Aplicación de las disposiciones de fondo del Pacto Internacional de Derechos Económic</w:t>
      </w:r>
      <w:r w:rsidRPr="007930B0">
        <w:rPr>
          <w:lang w:val="es-ES"/>
        </w:rPr>
        <w:t>os, Sociales y Culturales (artículos</w:t>
      </w:r>
      <w:r w:rsidR="001E7BB4" w:rsidRPr="007930B0">
        <w:rPr>
          <w:lang w:val="es-ES"/>
        </w:rPr>
        <w:t xml:space="preserve"> 1, 2 y 9 a 15)</w:t>
      </w:r>
    </w:p>
    <w:p w:rsidR="001E7BB4" w:rsidRPr="007930B0" w:rsidRDefault="001E7BB4" w:rsidP="00962949">
      <w:pPr>
        <w:pStyle w:val="H1G"/>
        <w:rPr>
          <w:lang w:val="es-ES"/>
        </w:rPr>
      </w:pPr>
      <w:r w:rsidRPr="007930B0">
        <w:rPr>
          <w:lang w:val="es-ES"/>
        </w:rPr>
        <w:tab/>
      </w:r>
      <w:r w:rsidRPr="007930B0">
        <w:rPr>
          <w:lang w:val="es-ES"/>
        </w:rPr>
        <w:tab/>
        <w:t>Artículo 1</w:t>
      </w:r>
      <w:r w:rsidRPr="007930B0">
        <w:rPr>
          <w:lang w:val="es-ES"/>
        </w:rPr>
        <w:br/>
        <w:t>Derecho a la libre determinación</w:t>
      </w:r>
    </w:p>
    <w:p w:rsidR="001E7BB4" w:rsidRPr="007930B0" w:rsidRDefault="001E7BB4" w:rsidP="00B56B34">
      <w:pPr>
        <w:pStyle w:val="SingleTxtG"/>
        <w:rPr>
          <w:lang w:val="es-ES"/>
        </w:rPr>
      </w:pPr>
      <w:r w:rsidRPr="007930B0">
        <w:rPr>
          <w:lang w:val="es-ES"/>
        </w:rPr>
        <w:t>130.</w:t>
      </w:r>
      <w:r w:rsidRPr="007930B0">
        <w:rPr>
          <w:lang w:val="es-ES"/>
        </w:rPr>
        <w:tab/>
        <w:t xml:space="preserve">Nuestro país, cuya Constitución consagra la adhesión del pueblo mauritano a los principios enunciados en la Declaración Universal de Derechos Humanos y en la Carta Africana de Derechos Humanos y de los Pueblos, ha apoyado, desde su independencia en 1960, todas las causas justas, en particular el derecho de los pueblos a decidir su propio destino. </w:t>
      </w:r>
    </w:p>
    <w:p w:rsidR="001E7BB4" w:rsidRPr="007930B0" w:rsidRDefault="001E7BB4" w:rsidP="00B56B34">
      <w:pPr>
        <w:pStyle w:val="SingleTxtG"/>
        <w:rPr>
          <w:lang w:val="es-ES"/>
        </w:rPr>
      </w:pPr>
      <w:r w:rsidRPr="007930B0">
        <w:rPr>
          <w:lang w:val="es-ES"/>
        </w:rPr>
        <w:t>131.</w:t>
      </w:r>
      <w:r w:rsidRPr="007930B0">
        <w:rPr>
          <w:lang w:val="es-ES"/>
        </w:rPr>
        <w:tab/>
        <w:t xml:space="preserve">En su calidad de Estado Parte en el Pacto Internacional de Derechos Económicos, Sociales y Culturales (1966), la República Islámica de Mauritania se ha dedicado siempre a apoyar a los pueblos en su lucha por recuperar su libertad y garantizar libremente su desarrollo económico, social y cultural. </w:t>
      </w:r>
    </w:p>
    <w:p w:rsidR="001E7BB4" w:rsidRPr="007930B0" w:rsidRDefault="001E7BB4" w:rsidP="00B56B34">
      <w:pPr>
        <w:pStyle w:val="SingleTxtG"/>
        <w:rPr>
          <w:lang w:val="es-ES"/>
        </w:rPr>
      </w:pPr>
      <w:r w:rsidRPr="007930B0">
        <w:rPr>
          <w:lang w:val="es-ES"/>
        </w:rPr>
        <w:t>132.</w:t>
      </w:r>
      <w:r w:rsidRPr="007930B0">
        <w:rPr>
          <w:lang w:val="es-ES"/>
        </w:rPr>
        <w:tab/>
        <w:t>Nuestro país ha aportado así contribuciones bien conocidas a los movimientos de liberación en Palestina, África occidental (Guinea</w:t>
      </w:r>
      <w:r w:rsidRPr="007930B0">
        <w:rPr>
          <w:lang w:val="es-ES"/>
        </w:rPr>
        <w:noBreakHyphen/>
        <w:t>Bissau, Cabo Verde), África</w:t>
      </w:r>
      <w:r w:rsidR="00CC3B6E" w:rsidRPr="007930B0">
        <w:rPr>
          <w:lang w:val="es-ES"/>
        </w:rPr>
        <w:t xml:space="preserve"> </w:t>
      </w:r>
      <w:r w:rsidRPr="007930B0">
        <w:rPr>
          <w:lang w:val="es-ES"/>
        </w:rPr>
        <w:t>meridional (Angola, Mozambique, Namibia, Zimbabwe, Sudáfrica), y en muchas otras regiones.</w:t>
      </w:r>
    </w:p>
    <w:p w:rsidR="001E7BB4" w:rsidRPr="007930B0" w:rsidRDefault="001E7BB4" w:rsidP="00B56B34">
      <w:pPr>
        <w:pStyle w:val="SingleTxtG"/>
        <w:rPr>
          <w:lang w:val="es-ES"/>
        </w:rPr>
      </w:pPr>
      <w:r w:rsidRPr="007930B0">
        <w:rPr>
          <w:lang w:val="es-ES"/>
        </w:rPr>
        <w:t>133.</w:t>
      </w:r>
      <w:r w:rsidRPr="007930B0">
        <w:rPr>
          <w:lang w:val="es-ES"/>
        </w:rPr>
        <w:tab/>
        <w:t xml:space="preserve">La delegación de nuestro país, en el sexagésimo período de sesiones de la Asamblea General (2005), contribuyó a la aprobación de la resolución por la cual se creó el nuevo Consejo de Derechos Humanos. De manera similar, en su calidad de miembro del Consejo Económico y Social, nuestro país contribuye, dentro de la esfera de competencia de ese órgano, al examen de las cuestiones económicas y sociales internacionales y a la elaboración de recomendaciones sobre esas cuestiones. </w:t>
      </w:r>
    </w:p>
    <w:p w:rsidR="001E7BB4" w:rsidRPr="007930B0" w:rsidRDefault="001E7BB4" w:rsidP="00B56B34">
      <w:pPr>
        <w:pStyle w:val="SingleTxtG"/>
        <w:rPr>
          <w:lang w:val="es-ES"/>
        </w:rPr>
      </w:pPr>
      <w:r w:rsidRPr="007930B0">
        <w:rPr>
          <w:lang w:val="es-ES"/>
        </w:rPr>
        <w:t>134.</w:t>
      </w:r>
      <w:r w:rsidRPr="007930B0">
        <w:rPr>
          <w:lang w:val="es-ES"/>
        </w:rPr>
        <w:tab/>
        <w:t>Nuestros representantes permanentes en Ginebra y en Nueva York, que siguen de cerca esta cuestión, decidieron intervenir en las dos instancias, cada vez que fue necesario, para lograr que se aprobaran resoluciones relacionadas con los temas principales objeto del Pacto.</w:t>
      </w:r>
    </w:p>
    <w:p w:rsidR="001E7BB4" w:rsidRPr="007930B0" w:rsidRDefault="001E7BB4" w:rsidP="00B56B34">
      <w:pPr>
        <w:pStyle w:val="SingleTxtG"/>
        <w:rPr>
          <w:lang w:val="es-ES"/>
        </w:rPr>
      </w:pPr>
      <w:r w:rsidRPr="007930B0">
        <w:rPr>
          <w:lang w:val="es-ES"/>
        </w:rPr>
        <w:t>135.</w:t>
      </w:r>
      <w:r w:rsidRPr="007930B0">
        <w:rPr>
          <w:lang w:val="es-ES"/>
        </w:rPr>
        <w:tab/>
        <w:t>A nivel nacional, la Constitución fija el marco general dentro del cual se produce la participación de los ciudadanos en la gestión de los asuntos públicos, y que se articula en torno a los ejes principales siguientes:</w:t>
      </w:r>
    </w:p>
    <w:p w:rsidR="001E7BB4" w:rsidRPr="007930B0" w:rsidRDefault="001E7BB4" w:rsidP="00CD6BF2">
      <w:pPr>
        <w:pStyle w:val="Bullet1G"/>
        <w:rPr>
          <w:lang w:val="es-ES"/>
        </w:rPr>
      </w:pPr>
      <w:r w:rsidRPr="007930B0">
        <w:rPr>
          <w:lang w:val="es-ES"/>
        </w:rPr>
        <w:t>La garantía y el respeto de los derechos y libertades individuales y colectivos;</w:t>
      </w:r>
    </w:p>
    <w:p w:rsidR="001E7BB4" w:rsidRPr="007930B0" w:rsidRDefault="001E7BB4" w:rsidP="00CD6BF2">
      <w:pPr>
        <w:pStyle w:val="Bullet1G"/>
        <w:rPr>
          <w:lang w:val="es-ES"/>
        </w:rPr>
      </w:pPr>
      <w:r w:rsidRPr="007930B0">
        <w:rPr>
          <w:lang w:val="es-ES"/>
        </w:rPr>
        <w:t>La consagración oficial de los derechos y principios conforme a las normas internacionales y regionales a las que nuestro país se ha suscrito, en particular los</w:t>
      </w:r>
      <w:r w:rsidR="00CC3B6E" w:rsidRPr="007930B0">
        <w:rPr>
          <w:lang w:val="es-ES"/>
        </w:rPr>
        <w:t xml:space="preserve"> </w:t>
      </w:r>
      <w:r w:rsidRPr="007930B0">
        <w:rPr>
          <w:lang w:val="es-ES"/>
        </w:rPr>
        <w:t>derechos económicos, sociales y culturales, el derecho a la igualdad, el derecho a la propiedad, la garantía de las libertades políticas y sindicales, el derecho de asilo y también la adquisición de bienes de propiedad privada por los no ciudadanos.</w:t>
      </w:r>
    </w:p>
    <w:p w:rsidR="001E7BB4" w:rsidRPr="007930B0" w:rsidRDefault="001E7BB4" w:rsidP="00CD6BF2">
      <w:pPr>
        <w:pStyle w:val="H1G"/>
        <w:rPr>
          <w:lang w:val="es-ES"/>
        </w:rPr>
      </w:pPr>
      <w:r w:rsidRPr="007930B0">
        <w:rPr>
          <w:lang w:val="es-ES"/>
        </w:rPr>
        <w:tab/>
      </w:r>
      <w:r w:rsidRPr="007930B0">
        <w:rPr>
          <w:lang w:val="es-ES"/>
        </w:rPr>
        <w:tab/>
        <w:t>Artículo 2</w:t>
      </w:r>
      <w:r w:rsidRPr="007930B0">
        <w:rPr>
          <w:lang w:val="es-ES"/>
        </w:rPr>
        <w:br/>
        <w:t>Derechos de los no ciudadanos, no discriminación y participación en la cooperación</w:t>
      </w:r>
    </w:p>
    <w:p w:rsidR="001E7BB4" w:rsidRPr="007930B0" w:rsidRDefault="001E7BB4" w:rsidP="00B56B34">
      <w:pPr>
        <w:pStyle w:val="SingleTxtG"/>
        <w:rPr>
          <w:lang w:val="es-ES"/>
        </w:rPr>
      </w:pPr>
      <w:r w:rsidRPr="007930B0">
        <w:rPr>
          <w:lang w:val="es-ES"/>
        </w:rPr>
        <w:t>136.</w:t>
      </w:r>
      <w:r w:rsidRPr="007930B0">
        <w:rPr>
          <w:lang w:val="es-ES"/>
        </w:rPr>
        <w:tab/>
        <w:t xml:space="preserve">La ley garantiza a los no ciudadanos la seguridad de su persona y de sus bienes, así como el pleno goce de sus derechos económicos, sociales y culturales y de sus derechos civiles y políticos. </w:t>
      </w:r>
    </w:p>
    <w:p w:rsidR="001E7BB4" w:rsidRPr="007930B0" w:rsidRDefault="001E7BB4" w:rsidP="00B56B34">
      <w:pPr>
        <w:pStyle w:val="SingleTxtG"/>
        <w:rPr>
          <w:lang w:val="es-ES"/>
        </w:rPr>
      </w:pPr>
      <w:r w:rsidRPr="007930B0">
        <w:rPr>
          <w:lang w:val="es-ES"/>
        </w:rPr>
        <w:t>137.</w:t>
      </w:r>
      <w:r w:rsidRPr="007930B0">
        <w:rPr>
          <w:lang w:val="es-ES"/>
        </w:rPr>
        <w:tab/>
        <w:t xml:space="preserve">La discriminación, la intolerancia y la xenofobia conexa contra los no ciudadanos están prohibidas, y los no musulmanes practican su culto con total libertad. Asimismo, nuestro país fomenta la cooperación internacional en todas sus formas. </w:t>
      </w:r>
    </w:p>
    <w:p w:rsidR="001E7BB4" w:rsidRPr="007930B0" w:rsidRDefault="001E7BB4" w:rsidP="00CD6BF2">
      <w:pPr>
        <w:pStyle w:val="H1G"/>
        <w:rPr>
          <w:lang w:val="es-ES"/>
        </w:rPr>
      </w:pPr>
      <w:r w:rsidRPr="007930B0">
        <w:rPr>
          <w:lang w:val="es-ES"/>
        </w:rPr>
        <w:tab/>
      </w:r>
      <w:r w:rsidRPr="007930B0">
        <w:rPr>
          <w:lang w:val="es-ES"/>
        </w:rPr>
        <w:tab/>
        <w:t>Parte del informe relativ</w:t>
      </w:r>
      <w:r w:rsidR="00CD6BF2" w:rsidRPr="007930B0">
        <w:rPr>
          <w:lang w:val="es-ES"/>
        </w:rPr>
        <w:t>a a determinados derechos (artículos</w:t>
      </w:r>
      <w:r w:rsidRPr="007930B0">
        <w:rPr>
          <w:lang w:val="es-ES"/>
        </w:rPr>
        <w:t xml:space="preserve"> 6 a 8)</w:t>
      </w:r>
    </w:p>
    <w:p w:rsidR="001E7BB4" w:rsidRPr="007930B0" w:rsidRDefault="001E7BB4" w:rsidP="00B56B34">
      <w:pPr>
        <w:pStyle w:val="SingleTxtG"/>
        <w:rPr>
          <w:lang w:val="es-ES"/>
        </w:rPr>
      </w:pPr>
      <w:r w:rsidRPr="007930B0">
        <w:rPr>
          <w:lang w:val="es-ES"/>
        </w:rPr>
        <w:t>138.</w:t>
      </w:r>
      <w:r w:rsidRPr="007930B0">
        <w:rPr>
          <w:lang w:val="es-ES"/>
        </w:rPr>
        <w:tab/>
      </w:r>
      <w:r w:rsidRPr="00544157">
        <w:rPr>
          <w:b/>
          <w:lang w:val="es-ES"/>
        </w:rPr>
        <w:t>Articulo 6</w:t>
      </w:r>
      <w:r w:rsidRPr="007930B0">
        <w:rPr>
          <w:lang w:val="es-ES"/>
        </w:rPr>
        <w:t>: Mauritania es parte en diferentes convenios de la OIT, incluidos los números 122 de 1964 y 111 de 1958, relativos a la política del empleo y a la discriminación en materia de empleo y ocupación, respectivamente, la Convención Internacional sobre la Eliminación de todas las Formas de Discriminación Racial (1965) y la Convención sobre la eliminación de todas las formas de discriminación contra la mujer (1979). Se envían informes periódicos a la Oficina Internacional del Trabajo.</w:t>
      </w:r>
    </w:p>
    <w:p w:rsidR="001E7BB4" w:rsidRPr="007930B0" w:rsidRDefault="001E7BB4" w:rsidP="00CD6BF2">
      <w:pPr>
        <w:pStyle w:val="H23G"/>
        <w:rPr>
          <w:lang w:val="es-ES"/>
        </w:rPr>
      </w:pPr>
      <w:r w:rsidRPr="007930B0">
        <w:rPr>
          <w:lang w:val="es-ES"/>
        </w:rPr>
        <w:tab/>
      </w:r>
      <w:r w:rsidRPr="007930B0">
        <w:rPr>
          <w:lang w:val="es-ES"/>
        </w:rPr>
        <w:tab/>
        <w:t>Información sobre la situación y el nivel del empleo, el desempleo y el subempleo</w:t>
      </w:r>
    </w:p>
    <w:p w:rsidR="001E7BB4" w:rsidRPr="007930B0" w:rsidRDefault="001E7BB4" w:rsidP="00B56B34">
      <w:pPr>
        <w:pStyle w:val="SingleTxtG"/>
        <w:rPr>
          <w:lang w:val="es-ES"/>
        </w:rPr>
      </w:pPr>
      <w:r w:rsidRPr="007930B0">
        <w:rPr>
          <w:lang w:val="es-ES"/>
        </w:rPr>
        <w:t>139.</w:t>
      </w:r>
      <w:r w:rsidRPr="007930B0">
        <w:rPr>
          <w:lang w:val="es-ES"/>
        </w:rPr>
        <w:tab/>
        <w:t>Según los datos del censo realizado en e</w:t>
      </w:r>
      <w:r w:rsidR="00CD6BF2" w:rsidRPr="007930B0">
        <w:rPr>
          <w:lang w:val="es-ES"/>
        </w:rPr>
        <w:t>l año 2000, la población es: a) </w:t>
      </w:r>
      <w:r w:rsidRPr="007930B0">
        <w:rPr>
          <w:lang w:val="es-ES"/>
        </w:rPr>
        <w:t xml:space="preserve">mayoritariamente rural (el 62% de la población era rural en 2000), con una fuerte concentración de la población urbana en la </w:t>
      </w:r>
      <w:r w:rsidR="00CD15B7" w:rsidRPr="007930B0">
        <w:rPr>
          <w:i/>
          <w:lang w:val="es-ES"/>
        </w:rPr>
        <w:t>wilaya</w:t>
      </w:r>
      <w:r w:rsidRPr="007930B0">
        <w:rPr>
          <w:lang w:val="es-ES"/>
        </w:rPr>
        <w:t xml:space="preserve"> de Nuakchot (58,5% de la población urbana y 22,25% de la población total); y b) joven, ya que los menores de 14 años representan el 43,5% de la población total (45,6% en el medio rural). En 2004, según los resultados de la EPCV 2004, la población en edad activa (entre 15 y 65 años) era de 1.476.524 personas, de las que 770.500 eran mujeres y 705.000 eran hombres.</w:t>
      </w:r>
    </w:p>
    <w:p w:rsidR="001E7BB4" w:rsidRPr="007930B0" w:rsidRDefault="001E7BB4" w:rsidP="00B56B34">
      <w:pPr>
        <w:pStyle w:val="SingleTxtG"/>
        <w:rPr>
          <w:lang w:val="es-ES"/>
        </w:rPr>
      </w:pPr>
      <w:r w:rsidRPr="007930B0">
        <w:rPr>
          <w:lang w:val="es-ES"/>
        </w:rPr>
        <w:t>140.</w:t>
      </w:r>
      <w:r w:rsidRPr="007930B0">
        <w:rPr>
          <w:lang w:val="es-ES"/>
        </w:rPr>
        <w:tab/>
        <w:t>La estrategia, que abarca el período 2008-2012, tiene siete ejes que distinguen las medidas tendientes a responder a las necesidades apremiantes del sector privado (en su acepción más amplia) en materia de desarrollo de las actividades económicas y de promoción del empleo, de aquellas tendientes a crear un entorno favorable para las intervenciones del Ministerio de Empleo, Inserción y Formación Profesional:</w:t>
      </w:r>
    </w:p>
    <w:p w:rsidR="001E7BB4" w:rsidRPr="007930B0" w:rsidRDefault="001E7BB4" w:rsidP="00CD6BF2">
      <w:pPr>
        <w:pStyle w:val="Bullet1G"/>
        <w:rPr>
          <w:lang w:val="es-ES"/>
        </w:rPr>
      </w:pPr>
      <w:r w:rsidRPr="007930B0">
        <w:rPr>
          <w:b/>
          <w:bCs/>
          <w:i/>
          <w:iCs/>
          <w:lang w:val="es-ES"/>
        </w:rPr>
        <w:t>El primer eje</w:t>
      </w:r>
      <w:r w:rsidRPr="007930B0">
        <w:rPr>
          <w:lang w:val="es-ES"/>
        </w:rPr>
        <w:t xml:space="preserve"> se refiere al desarrollo de la formación técnica y profesional y su adecuación al sistema educativo, por una parte, y a las necesidades del mercado de trabajo, por la otra; </w:t>
      </w:r>
    </w:p>
    <w:p w:rsidR="001E7BB4" w:rsidRPr="007930B0" w:rsidRDefault="001E7BB4" w:rsidP="00CD6BF2">
      <w:pPr>
        <w:pStyle w:val="Bullet1G"/>
        <w:rPr>
          <w:lang w:val="es-ES"/>
        </w:rPr>
      </w:pPr>
      <w:r w:rsidRPr="007930B0">
        <w:rPr>
          <w:b/>
          <w:bCs/>
          <w:i/>
          <w:iCs/>
          <w:lang w:val="es-ES"/>
        </w:rPr>
        <w:t>El segundo eje</w:t>
      </w:r>
      <w:r w:rsidRPr="007930B0">
        <w:rPr>
          <w:lang w:val="es-ES"/>
        </w:rPr>
        <w:t xml:space="preserve"> tiene que ver con el fortalecimiento de la capacidad de las personas que buscan un empleo remunerado con vistas a mejorar su empleabilidad;</w:t>
      </w:r>
    </w:p>
    <w:p w:rsidR="001E7BB4" w:rsidRPr="007930B0" w:rsidRDefault="001E7BB4" w:rsidP="00CD6BF2">
      <w:pPr>
        <w:pStyle w:val="Bullet1G"/>
        <w:rPr>
          <w:lang w:val="es-ES"/>
        </w:rPr>
      </w:pPr>
      <w:r w:rsidRPr="007930B0">
        <w:rPr>
          <w:b/>
          <w:bCs/>
          <w:i/>
          <w:iCs/>
          <w:lang w:val="es-ES"/>
        </w:rPr>
        <w:t>El tercer eje</w:t>
      </w:r>
      <w:r w:rsidRPr="007930B0">
        <w:rPr>
          <w:lang w:val="es-ES"/>
        </w:rPr>
        <w:t xml:space="preserve"> apunta a promover el empleo de las categorías desfavorecidas mediante enfoques innovadores e iniciativas de inserción;</w:t>
      </w:r>
    </w:p>
    <w:p w:rsidR="001E7BB4" w:rsidRPr="007930B0" w:rsidRDefault="001E7BB4" w:rsidP="00CD6BF2">
      <w:pPr>
        <w:pStyle w:val="Bullet1G"/>
        <w:rPr>
          <w:lang w:val="es-ES"/>
        </w:rPr>
      </w:pPr>
      <w:r w:rsidRPr="007930B0">
        <w:rPr>
          <w:b/>
          <w:bCs/>
          <w:i/>
          <w:iCs/>
          <w:lang w:val="es-ES"/>
        </w:rPr>
        <w:t>El cuarto eje</w:t>
      </w:r>
      <w:r w:rsidRPr="007930B0">
        <w:rPr>
          <w:lang w:val="es-ES"/>
        </w:rPr>
        <w:t xml:space="preserve"> está relacionado con el establecimiento de un Fondo para financiar un mecanismo nacional de creación de empleo;</w:t>
      </w:r>
    </w:p>
    <w:p w:rsidR="001E7BB4" w:rsidRPr="007930B0" w:rsidRDefault="001E7BB4" w:rsidP="00CD6BF2">
      <w:pPr>
        <w:pStyle w:val="Bullet1G"/>
        <w:rPr>
          <w:lang w:val="es-ES"/>
        </w:rPr>
      </w:pPr>
      <w:r w:rsidRPr="007930B0">
        <w:rPr>
          <w:b/>
          <w:bCs/>
          <w:i/>
          <w:iCs/>
          <w:lang w:val="es-ES"/>
        </w:rPr>
        <w:t>El quinto eje</w:t>
      </w:r>
      <w:r w:rsidRPr="007930B0">
        <w:rPr>
          <w:lang w:val="es-ES"/>
        </w:rPr>
        <w:t xml:space="preserve"> estratégico corresponde a la previsión social y sus tres componentes, que son el trabajo, la seguridad social y la medicina del trabajo;</w:t>
      </w:r>
    </w:p>
    <w:p w:rsidR="001E7BB4" w:rsidRPr="007930B0" w:rsidRDefault="001E7BB4" w:rsidP="00CD6BF2">
      <w:pPr>
        <w:pStyle w:val="Bullet1G"/>
        <w:rPr>
          <w:lang w:val="es-ES"/>
        </w:rPr>
      </w:pPr>
      <w:r w:rsidRPr="007930B0">
        <w:rPr>
          <w:b/>
          <w:bCs/>
          <w:i/>
          <w:iCs/>
          <w:lang w:val="es-ES"/>
        </w:rPr>
        <w:t>El sexto eje</w:t>
      </w:r>
      <w:r w:rsidRPr="007930B0">
        <w:rPr>
          <w:lang w:val="es-ES"/>
        </w:rPr>
        <w:t xml:space="preserve"> estratégico se refiere a la creación de un sistema nacional de información sobre el mercado de trabajo y sobre el mecanismo de formación técnica y profesional; </w:t>
      </w:r>
    </w:p>
    <w:p w:rsidR="001E7BB4" w:rsidRPr="007930B0" w:rsidRDefault="001E7BB4" w:rsidP="00CD6BF2">
      <w:pPr>
        <w:pStyle w:val="Bullet1G"/>
        <w:rPr>
          <w:lang w:val="es-ES"/>
        </w:rPr>
      </w:pPr>
      <w:r w:rsidRPr="007930B0">
        <w:rPr>
          <w:b/>
          <w:bCs/>
          <w:i/>
          <w:iCs/>
          <w:lang w:val="es-ES"/>
        </w:rPr>
        <w:t>El séptimo eje</w:t>
      </w:r>
      <w:r w:rsidRPr="007930B0">
        <w:rPr>
          <w:lang w:val="es-ES"/>
        </w:rPr>
        <w:t xml:space="preserve"> estratégico consiste en fortalecer las capacidades de</w:t>
      </w:r>
      <w:r w:rsidR="00CC3B6E" w:rsidRPr="007930B0">
        <w:rPr>
          <w:lang w:val="es-ES"/>
        </w:rPr>
        <w:t xml:space="preserve"> </w:t>
      </w:r>
      <w:r w:rsidRPr="007930B0">
        <w:rPr>
          <w:lang w:val="es-ES"/>
        </w:rPr>
        <w:t>conducción, coordinación, planificación y seguimiento/evaluación.</w:t>
      </w:r>
    </w:p>
    <w:p w:rsidR="001E7BB4" w:rsidRPr="007930B0" w:rsidRDefault="001E7BB4" w:rsidP="00B56B34">
      <w:pPr>
        <w:pStyle w:val="SingleTxtG"/>
        <w:rPr>
          <w:lang w:val="es-ES"/>
        </w:rPr>
      </w:pPr>
      <w:r w:rsidRPr="007930B0">
        <w:rPr>
          <w:lang w:val="es-ES"/>
        </w:rPr>
        <w:t>141.</w:t>
      </w:r>
      <w:r w:rsidRPr="007930B0">
        <w:rPr>
          <w:lang w:val="es-ES"/>
        </w:rPr>
        <w:tab/>
        <w:t>Las políticas en materia de formación profesional no se establecen en función de la raza, el color, el sexo, la religión o la nacionalidad.</w:t>
      </w:r>
    </w:p>
    <w:p w:rsidR="001E7BB4" w:rsidRPr="007930B0" w:rsidRDefault="001E7BB4" w:rsidP="00B56B34">
      <w:pPr>
        <w:pStyle w:val="SingleTxtG"/>
        <w:rPr>
          <w:lang w:val="es-ES"/>
        </w:rPr>
      </w:pPr>
      <w:r w:rsidRPr="007930B0">
        <w:rPr>
          <w:lang w:val="es-ES"/>
        </w:rPr>
        <w:t>142.</w:t>
      </w:r>
      <w:r w:rsidRPr="007930B0">
        <w:rPr>
          <w:lang w:val="es-ES"/>
        </w:rPr>
        <w:tab/>
        <w:t xml:space="preserve">El fenómeno del doble empleo es muy marginal y no existen estadísticas al respecto. </w:t>
      </w:r>
    </w:p>
    <w:p w:rsidR="001E7BB4" w:rsidRPr="007930B0" w:rsidRDefault="001E7BB4" w:rsidP="00CD6BF2">
      <w:pPr>
        <w:pStyle w:val="H23G"/>
        <w:rPr>
          <w:lang w:val="es-ES"/>
        </w:rPr>
      </w:pPr>
      <w:r w:rsidRPr="007930B0">
        <w:rPr>
          <w:lang w:val="es-ES"/>
        </w:rPr>
        <w:tab/>
      </w:r>
      <w:r w:rsidRPr="007930B0">
        <w:rPr>
          <w:lang w:val="es-ES"/>
        </w:rPr>
        <w:tab/>
        <w:t>El papel de la asistencia internacional</w:t>
      </w:r>
    </w:p>
    <w:p w:rsidR="001E7BB4" w:rsidRPr="007930B0" w:rsidRDefault="001E7BB4" w:rsidP="00B56B34">
      <w:pPr>
        <w:pStyle w:val="SingleTxtG"/>
        <w:rPr>
          <w:lang w:val="es-ES"/>
        </w:rPr>
      </w:pPr>
      <w:r w:rsidRPr="007930B0">
        <w:rPr>
          <w:lang w:val="es-ES"/>
        </w:rPr>
        <w:t>143.</w:t>
      </w:r>
      <w:r w:rsidRPr="007930B0">
        <w:rPr>
          <w:lang w:val="es-ES"/>
        </w:rPr>
        <w:tab/>
        <w:t>El papel de la asistencia internacional es primordial y de vital importancia.</w:t>
      </w:r>
    </w:p>
    <w:p w:rsidR="001E7BB4" w:rsidRPr="007930B0" w:rsidRDefault="001E7BB4" w:rsidP="00B56B34">
      <w:pPr>
        <w:pStyle w:val="SingleTxtG"/>
        <w:rPr>
          <w:lang w:val="es-ES"/>
        </w:rPr>
      </w:pPr>
      <w:r w:rsidRPr="007930B0">
        <w:rPr>
          <w:lang w:val="es-ES"/>
        </w:rPr>
        <w:t>144.</w:t>
      </w:r>
      <w:r w:rsidRPr="007930B0">
        <w:rPr>
          <w:lang w:val="es-ES"/>
        </w:rPr>
        <w:tab/>
      </w:r>
      <w:r w:rsidRPr="007930B0">
        <w:rPr>
          <w:b/>
          <w:bCs/>
          <w:lang w:val="es-ES"/>
        </w:rPr>
        <w:t>Artículo 7</w:t>
      </w:r>
      <w:r w:rsidRPr="007930B0">
        <w:rPr>
          <w:lang w:val="es-ES"/>
        </w:rPr>
        <w:t>: Mauritania es parte en los siguientes convenios de la OIT: el Convenio (</w:t>
      </w:r>
      <w:r w:rsidR="005322D8" w:rsidRPr="007930B0">
        <w:rPr>
          <w:lang w:val="es-ES"/>
        </w:rPr>
        <w:t>Nº</w:t>
      </w:r>
      <w:r w:rsidRPr="007930B0">
        <w:rPr>
          <w:lang w:val="es-ES"/>
        </w:rPr>
        <w:t xml:space="preserve"> 131) relativo a la fijación de los salarios mínimos, de 1970; el Convenio (</w:t>
      </w:r>
      <w:r w:rsidR="005322D8" w:rsidRPr="007930B0">
        <w:rPr>
          <w:lang w:val="es-ES"/>
        </w:rPr>
        <w:t>Nº</w:t>
      </w:r>
      <w:r w:rsidRPr="007930B0">
        <w:rPr>
          <w:lang w:val="es-ES"/>
        </w:rPr>
        <w:t xml:space="preserve"> 100) sobre igualdad de remuneración, de 1951; el Convenio (</w:t>
      </w:r>
      <w:r w:rsidR="005322D8" w:rsidRPr="007930B0">
        <w:rPr>
          <w:lang w:val="es-ES"/>
        </w:rPr>
        <w:t>Nº</w:t>
      </w:r>
      <w:r w:rsidRPr="007930B0">
        <w:rPr>
          <w:lang w:val="es-ES"/>
        </w:rPr>
        <w:t xml:space="preserve"> 14) relativo al descanso semanal (industria), de 1921, y el Convenio (</w:t>
      </w:r>
      <w:r w:rsidR="005322D8" w:rsidRPr="007930B0">
        <w:rPr>
          <w:lang w:val="es-ES"/>
        </w:rPr>
        <w:t>Nº</w:t>
      </w:r>
      <w:r w:rsidRPr="007930B0">
        <w:rPr>
          <w:lang w:val="es-ES"/>
        </w:rPr>
        <w:t xml:space="preserve"> 81) sobre la inspección del trabajo, de 1947. Se envían informes periódicos a la Oficina Internacional del Trabajo. </w:t>
      </w:r>
    </w:p>
    <w:p w:rsidR="001E7BB4" w:rsidRPr="007930B0" w:rsidRDefault="001E7BB4" w:rsidP="00B56B34">
      <w:pPr>
        <w:pStyle w:val="SingleTxtG"/>
        <w:rPr>
          <w:lang w:val="es-ES"/>
        </w:rPr>
      </w:pPr>
      <w:r w:rsidRPr="007930B0">
        <w:rPr>
          <w:lang w:val="es-ES"/>
        </w:rPr>
        <w:t>145.</w:t>
      </w:r>
      <w:r w:rsidRPr="007930B0">
        <w:rPr>
          <w:lang w:val="es-ES"/>
        </w:rPr>
        <w:tab/>
        <w:t xml:space="preserve">A continuación figuran algunos datos sobre los principales métodos utilizados para fijar los salarios: </w:t>
      </w:r>
    </w:p>
    <w:p w:rsidR="001E7BB4" w:rsidRPr="007930B0" w:rsidRDefault="001E7BB4" w:rsidP="00CD6BF2">
      <w:pPr>
        <w:pStyle w:val="Bullet1G"/>
        <w:rPr>
          <w:lang w:val="es-ES"/>
        </w:rPr>
      </w:pPr>
      <w:r w:rsidRPr="007930B0">
        <w:rPr>
          <w:lang w:val="es-ES"/>
        </w:rPr>
        <w:t>El salario mínimo se aplica a todos los asalariados en el territorio nacional, independientemente de su categoría;</w:t>
      </w:r>
    </w:p>
    <w:p w:rsidR="001E7BB4" w:rsidRPr="007930B0" w:rsidRDefault="001E7BB4" w:rsidP="00CD6BF2">
      <w:pPr>
        <w:pStyle w:val="Bullet1G"/>
        <w:rPr>
          <w:lang w:val="es-ES"/>
        </w:rPr>
      </w:pPr>
      <w:r w:rsidRPr="007930B0">
        <w:rPr>
          <w:lang w:val="es-ES"/>
        </w:rPr>
        <w:t>El salario mínimo es obligatorio y su cumplimiento está asegurado por los inspectores de trabajo;</w:t>
      </w:r>
    </w:p>
    <w:p w:rsidR="001E7BB4" w:rsidRPr="007930B0" w:rsidRDefault="001E7BB4" w:rsidP="00CD6BF2">
      <w:pPr>
        <w:pStyle w:val="Bullet1G"/>
        <w:rPr>
          <w:lang w:val="es-ES"/>
        </w:rPr>
      </w:pPr>
      <w:r w:rsidRPr="007930B0">
        <w:rPr>
          <w:lang w:val="es-ES"/>
        </w:rPr>
        <w:t>Los salarios mínimos han evolucionado considerablemente y el salario mínimo interprofesional garantido ha aumentado de 4.312 a 21.000 UM.</w:t>
      </w:r>
    </w:p>
    <w:p w:rsidR="001E7BB4" w:rsidRPr="007930B0" w:rsidRDefault="001E7BB4" w:rsidP="00B56B34">
      <w:pPr>
        <w:pStyle w:val="SingleTxtG"/>
        <w:rPr>
          <w:lang w:val="es-ES"/>
        </w:rPr>
      </w:pPr>
      <w:r w:rsidRPr="007930B0">
        <w:rPr>
          <w:lang w:val="es-ES"/>
        </w:rPr>
        <w:t>146.</w:t>
      </w:r>
      <w:r w:rsidRPr="007930B0">
        <w:rPr>
          <w:lang w:val="es-ES"/>
        </w:rPr>
        <w:tab/>
        <w:t>Se ejerce un control sobre la aplicación del régimen del salario mínimo:</w:t>
      </w:r>
    </w:p>
    <w:p w:rsidR="001E7BB4" w:rsidRPr="007930B0" w:rsidRDefault="001E7BB4" w:rsidP="00CD6BF2">
      <w:pPr>
        <w:pStyle w:val="Bullet1G"/>
        <w:rPr>
          <w:lang w:val="es-ES"/>
        </w:rPr>
      </w:pPr>
      <w:r w:rsidRPr="007930B0">
        <w:rPr>
          <w:lang w:val="es-ES"/>
        </w:rPr>
        <w:t xml:space="preserve">No existe desigualdad de remuneración por un trabajo de igual valor y el principio de </w:t>
      </w:r>
      <w:r w:rsidR="00CC3B6E" w:rsidRPr="007930B0">
        <w:rPr>
          <w:lang w:val="es-ES"/>
        </w:rPr>
        <w:t>"</w:t>
      </w:r>
      <w:r w:rsidRPr="007930B0">
        <w:rPr>
          <w:lang w:val="es-ES"/>
        </w:rPr>
        <w:t>igual salario por trabajo igual</w:t>
      </w:r>
      <w:r w:rsidR="00CC3B6E" w:rsidRPr="007930B0">
        <w:rPr>
          <w:lang w:val="es-ES"/>
        </w:rPr>
        <w:t>"</w:t>
      </w:r>
      <w:r w:rsidRPr="007930B0">
        <w:rPr>
          <w:lang w:val="es-ES"/>
        </w:rPr>
        <w:t xml:space="preserve"> se aplica a todos, de conformidad con las disposiciones del Código del Trabajo de 2004;</w:t>
      </w:r>
    </w:p>
    <w:p w:rsidR="001E7BB4" w:rsidRPr="007930B0" w:rsidRDefault="001E7BB4" w:rsidP="00CD6BF2">
      <w:pPr>
        <w:pStyle w:val="Bullet1G"/>
        <w:rPr>
          <w:lang w:val="es-ES"/>
        </w:rPr>
      </w:pPr>
      <w:r w:rsidRPr="007930B0">
        <w:rPr>
          <w:lang w:val="es-ES"/>
        </w:rPr>
        <w:t>Tampoco existe discriminación alguna contra la mujer en este ámbito.</w:t>
      </w:r>
    </w:p>
    <w:p w:rsidR="001E7BB4" w:rsidRPr="007930B0" w:rsidRDefault="001E7BB4" w:rsidP="00CD6BF2">
      <w:pPr>
        <w:pStyle w:val="H23G"/>
        <w:rPr>
          <w:lang w:val="es-ES"/>
        </w:rPr>
      </w:pPr>
      <w:r w:rsidRPr="007930B0">
        <w:rPr>
          <w:lang w:val="es-ES"/>
        </w:rPr>
        <w:tab/>
      </w:r>
      <w:r w:rsidRPr="007930B0">
        <w:rPr>
          <w:lang w:val="es-ES"/>
        </w:rPr>
        <w:tab/>
        <w:t>Métodos adoptados para favorecer la evaluación objetiva de los empleos en función del trabajo a realizar</w:t>
      </w:r>
    </w:p>
    <w:p w:rsidR="001E7BB4" w:rsidRPr="007930B0" w:rsidRDefault="001E7BB4" w:rsidP="00B56B34">
      <w:pPr>
        <w:pStyle w:val="SingleTxtG"/>
        <w:rPr>
          <w:lang w:val="es-ES"/>
        </w:rPr>
      </w:pPr>
      <w:r w:rsidRPr="007930B0">
        <w:rPr>
          <w:lang w:val="es-ES"/>
        </w:rPr>
        <w:t>147.</w:t>
      </w:r>
      <w:r w:rsidRPr="007930B0">
        <w:rPr>
          <w:lang w:val="es-ES"/>
        </w:rPr>
        <w:tab/>
        <w:t>Las garantías relativas a las licencias están consagradas en el Código del Trabajo y prevén dos días laborales por mes (art. 180). El trabajo en días feriados se remunera con un incremento del 50% si se trabaja durante el día</w:t>
      </w:r>
      <w:r w:rsidR="00CC3B6E" w:rsidRPr="007930B0">
        <w:rPr>
          <w:lang w:val="es-ES"/>
        </w:rPr>
        <w:t xml:space="preserve"> </w:t>
      </w:r>
      <w:r w:rsidRPr="007930B0">
        <w:rPr>
          <w:lang w:val="es-ES"/>
        </w:rPr>
        <w:t xml:space="preserve">y de 100% en caso de trabajo nocturno. El papel de la asistencia internacional en el ejercicio efectivo del artículo 7 del Pacto es esencial. </w:t>
      </w:r>
    </w:p>
    <w:p w:rsidR="001E7BB4" w:rsidRPr="007930B0" w:rsidRDefault="001E7BB4" w:rsidP="00B56B34">
      <w:pPr>
        <w:pStyle w:val="SingleTxtG"/>
        <w:rPr>
          <w:lang w:val="es-ES"/>
        </w:rPr>
      </w:pPr>
      <w:r w:rsidRPr="007930B0">
        <w:rPr>
          <w:lang w:val="es-ES"/>
        </w:rPr>
        <w:t>148.</w:t>
      </w:r>
      <w:r w:rsidRPr="007930B0">
        <w:rPr>
          <w:lang w:val="es-ES"/>
        </w:rPr>
        <w:tab/>
      </w:r>
      <w:r w:rsidRPr="007930B0">
        <w:rPr>
          <w:b/>
          <w:bCs/>
          <w:lang w:val="es-ES"/>
        </w:rPr>
        <w:t>Artículo 8</w:t>
      </w:r>
      <w:r w:rsidRPr="007930B0">
        <w:rPr>
          <w:lang w:val="es-ES"/>
        </w:rPr>
        <w:t>: Mauritania se adhirió al Pacto Internacional de Derechos Civiles y Políticos (1966), así como a los convenios pertinentes de la OIT, en particular el Convenio (</w:t>
      </w:r>
      <w:r w:rsidR="005322D8" w:rsidRPr="007930B0">
        <w:rPr>
          <w:lang w:val="es-ES"/>
        </w:rPr>
        <w:t>Nº</w:t>
      </w:r>
      <w:r w:rsidRPr="007930B0">
        <w:rPr>
          <w:lang w:val="es-ES"/>
        </w:rPr>
        <w:t xml:space="preserve"> 87) sobre la libertad sindical y la protección del derecho de sindicación, de 1948, y el Convenio (</w:t>
      </w:r>
      <w:r w:rsidR="005322D8" w:rsidRPr="007930B0">
        <w:rPr>
          <w:lang w:val="es-ES"/>
        </w:rPr>
        <w:t>Nº</w:t>
      </w:r>
      <w:r w:rsidRPr="007930B0">
        <w:rPr>
          <w:lang w:val="es-ES"/>
        </w:rPr>
        <w:t xml:space="preserve"> 98) sobre el derecho de sindicación y de negociación colectiva, de 1949. Periódicamente se envían a la Oficina Internacional del Trabajo informes relativos a estos convenios. No se exigen formalidades especiales para formar un sindicato. Mauritania tiene un régimen declarativo en materia de formación de sindicatos. Los requisitos de forma son los siguientes:</w:t>
      </w:r>
    </w:p>
    <w:p w:rsidR="001E7BB4" w:rsidRPr="007930B0" w:rsidRDefault="001E7BB4" w:rsidP="00CD6BF2">
      <w:pPr>
        <w:pStyle w:val="Bullet1G"/>
        <w:rPr>
          <w:lang w:val="es-ES"/>
        </w:rPr>
      </w:pPr>
      <w:r w:rsidRPr="007930B0">
        <w:rPr>
          <w:lang w:val="es-ES"/>
        </w:rPr>
        <w:t xml:space="preserve">Celebrar una asamblea general de al menos 20 personas para aprobar los estatutos de la organización; </w:t>
      </w:r>
    </w:p>
    <w:p w:rsidR="001E7BB4" w:rsidRPr="007930B0" w:rsidRDefault="001E7BB4" w:rsidP="00CD6BF2">
      <w:pPr>
        <w:pStyle w:val="Bullet1G"/>
        <w:rPr>
          <w:lang w:val="es-ES"/>
        </w:rPr>
      </w:pPr>
      <w:r w:rsidRPr="007930B0">
        <w:rPr>
          <w:lang w:val="es-ES"/>
        </w:rPr>
        <w:t>Depositar dichos estatutos en la oficina del Procurador de la República, en la Inspección del trabajo y en el Wali (autoridad local);</w:t>
      </w:r>
    </w:p>
    <w:p w:rsidR="001E7BB4" w:rsidRPr="007930B0" w:rsidRDefault="001E7BB4" w:rsidP="00CD6BF2">
      <w:pPr>
        <w:pStyle w:val="Bullet1G"/>
        <w:rPr>
          <w:lang w:val="es-ES"/>
        </w:rPr>
      </w:pPr>
      <w:r w:rsidRPr="007930B0">
        <w:rPr>
          <w:lang w:val="es-ES"/>
        </w:rPr>
        <w:t>El Procurador, después de examinar los estatutos y comprobar su conformidad con la legislación en vigor, emite recibo de los mismos, lo que significa que en adelante la organización tiene existencia legal.</w:t>
      </w:r>
    </w:p>
    <w:p w:rsidR="001E7BB4" w:rsidRPr="007930B0" w:rsidRDefault="001E7BB4" w:rsidP="00B56B34">
      <w:pPr>
        <w:pStyle w:val="SingleTxtG"/>
        <w:rPr>
          <w:lang w:val="es-ES"/>
        </w:rPr>
      </w:pPr>
      <w:r w:rsidRPr="007930B0">
        <w:rPr>
          <w:lang w:val="es-ES"/>
        </w:rPr>
        <w:t>149.</w:t>
      </w:r>
      <w:r w:rsidRPr="007930B0">
        <w:rPr>
          <w:lang w:val="es-ES"/>
        </w:rPr>
        <w:tab/>
        <w:t>El Código del Trabajo garantiza el derecho a la huelga. La única condición exigida es que se dé aviso con antelación.</w:t>
      </w:r>
    </w:p>
    <w:p w:rsidR="001E7BB4" w:rsidRPr="007930B0" w:rsidRDefault="001E7BB4" w:rsidP="00CD6BF2">
      <w:pPr>
        <w:pStyle w:val="H1G"/>
        <w:rPr>
          <w:lang w:val="es-ES"/>
        </w:rPr>
      </w:pPr>
      <w:r w:rsidRPr="007930B0">
        <w:rPr>
          <w:lang w:val="es-ES"/>
        </w:rPr>
        <w:tab/>
      </w:r>
      <w:r w:rsidRPr="007930B0">
        <w:rPr>
          <w:lang w:val="es-ES"/>
        </w:rPr>
        <w:tab/>
        <w:t>Artículo 9</w:t>
      </w:r>
      <w:r w:rsidRPr="007930B0">
        <w:rPr>
          <w:lang w:val="es-ES"/>
        </w:rPr>
        <w:br/>
        <w:t>La seguridad social</w:t>
      </w:r>
    </w:p>
    <w:p w:rsidR="001E7BB4" w:rsidRPr="007930B0" w:rsidRDefault="001E7BB4" w:rsidP="00B56B34">
      <w:pPr>
        <w:pStyle w:val="SingleTxtG"/>
        <w:rPr>
          <w:lang w:val="es-ES"/>
        </w:rPr>
      </w:pPr>
      <w:r w:rsidRPr="007930B0">
        <w:rPr>
          <w:lang w:val="es-ES"/>
        </w:rPr>
        <w:t>150.</w:t>
      </w:r>
      <w:r w:rsidRPr="007930B0">
        <w:rPr>
          <w:lang w:val="es-ES"/>
        </w:rPr>
        <w:tab/>
        <w:t xml:space="preserve">Mauritania es parte en el Convenio de la OIT </w:t>
      </w:r>
      <w:r w:rsidR="005322D8" w:rsidRPr="007930B0">
        <w:rPr>
          <w:lang w:val="es-ES"/>
        </w:rPr>
        <w:t>Nº</w:t>
      </w:r>
      <w:r w:rsidRPr="007930B0">
        <w:rPr>
          <w:lang w:val="es-ES"/>
        </w:rPr>
        <w:t xml:space="preserve"> 102 de 1952, sobre la seguridad social. En lo que respecta a la seguridad social,</w:t>
      </w:r>
      <w:r w:rsidR="00CC3B6E" w:rsidRPr="007930B0">
        <w:rPr>
          <w:lang w:val="es-ES"/>
        </w:rPr>
        <w:t xml:space="preserve"> </w:t>
      </w:r>
      <w:r w:rsidRPr="007930B0">
        <w:rPr>
          <w:lang w:val="es-ES"/>
        </w:rPr>
        <w:t xml:space="preserve">Mauritania dispone de tres (3) regímenes: el administrado por el Fondo Nacional de Seguridad Social para los trabajadores asalariados que se rigen por el Código del Trabajo y el Código de la marina mercante; el de los funcionarios públicos, administrado por el Fondo de Pensiones del Estado, y el de los seguros de enfermedad, administrado por el Fondo Nacional del Seguro de Enfermedad, a cuyos beneficios tienen derecho los funcionarios públicos, los militares y los parlamentarios y que fue creado en virtud de la </w:t>
      </w:r>
      <w:r w:rsidR="00FF10B7" w:rsidRPr="007930B0">
        <w:rPr>
          <w:lang w:val="es-ES"/>
        </w:rPr>
        <w:t>Resolución Nº</w:t>
      </w:r>
      <w:r w:rsidRPr="007930B0">
        <w:rPr>
          <w:lang w:val="es-ES"/>
        </w:rPr>
        <w:t xml:space="preserve"> 2005-006, que estableció el régimen de seguros de enfermedad.</w:t>
      </w:r>
    </w:p>
    <w:p w:rsidR="001E7BB4" w:rsidRPr="007930B0" w:rsidRDefault="001E7BB4" w:rsidP="00CD6BF2">
      <w:pPr>
        <w:pStyle w:val="H23G"/>
        <w:rPr>
          <w:lang w:val="es-ES"/>
        </w:rPr>
      </w:pPr>
      <w:r w:rsidRPr="007930B0">
        <w:rPr>
          <w:lang w:val="es-ES"/>
        </w:rPr>
        <w:tab/>
      </w:r>
      <w:r w:rsidRPr="007930B0">
        <w:rPr>
          <w:lang w:val="es-ES"/>
        </w:rPr>
        <w:tab/>
        <w:t>Fondo Nacional de Seguridad Social</w:t>
      </w:r>
    </w:p>
    <w:p w:rsidR="001E7BB4" w:rsidRPr="007930B0" w:rsidRDefault="001E7BB4" w:rsidP="00CD6BF2">
      <w:pPr>
        <w:pStyle w:val="H4G"/>
        <w:rPr>
          <w:lang w:val="es-ES"/>
        </w:rPr>
      </w:pPr>
      <w:r w:rsidRPr="007930B0">
        <w:rPr>
          <w:lang w:val="es-ES"/>
        </w:rPr>
        <w:tab/>
      </w:r>
      <w:r w:rsidRPr="007930B0">
        <w:rPr>
          <w:lang w:val="es-ES"/>
        </w:rPr>
        <w:tab/>
        <w:t>Estructura</w:t>
      </w:r>
    </w:p>
    <w:p w:rsidR="001E7BB4" w:rsidRPr="007930B0" w:rsidRDefault="001E7BB4" w:rsidP="00B56B34">
      <w:pPr>
        <w:pStyle w:val="SingleTxtG"/>
        <w:rPr>
          <w:lang w:val="es-ES"/>
        </w:rPr>
      </w:pPr>
      <w:r w:rsidRPr="007930B0">
        <w:rPr>
          <w:lang w:val="es-ES"/>
        </w:rPr>
        <w:t>151.</w:t>
      </w:r>
      <w:r w:rsidRPr="007930B0">
        <w:rPr>
          <w:lang w:val="es-ES"/>
        </w:rPr>
        <w:tab/>
        <w:t>El régimen mauritano asegura los riesgos de vejez, invalidez, fallecimiento (familiares supérstites), accidentes del trabajo y enfermedades profesionales, y paga prestaciones familiares. En el marco del derecho laboral, el empleador está obligado a garantizar la atención médica a sus empleados y a los miembros de sus familias. El empleador asume asimismo el pago de viáticos en caso de enfermedad. En cambio, los viáticos de maternidad se pagan en el marco de las prestaciones familiares. Por último, el régimen no proporciona cobertura contra el riesgo de desempleo.</w:t>
      </w:r>
    </w:p>
    <w:p w:rsidR="001E7BB4" w:rsidRPr="007930B0" w:rsidRDefault="001E7BB4" w:rsidP="003121D9">
      <w:pPr>
        <w:pStyle w:val="H4G"/>
        <w:rPr>
          <w:lang w:val="es-ES"/>
        </w:rPr>
      </w:pPr>
      <w:r w:rsidRPr="007930B0">
        <w:rPr>
          <w:lang w:val="es-ES"/>
        </w:rPr>
        <w:tab/>
      </w:r>
      <w:r w:rsidRPr="007930B0">
        <w:rPr>
          <w:lang w:val="es-ES"/>
        </w:rPr>
        <w:tab/>
        <w:t>Financiación</w:t>
      </w:r>
    </w:p>
    <w:p w:rsidR="001E7BB4" w:rsidRPr="007930B0" w:rsidRDefault="00F4158E" w:rsidP="00B56B34">
      <w:pPr>
        <w:pStyle w:val="SingleTxtG"/>
        <w:rPr>
          <w:lang w:val="es-ES"/>
        </w:rPr>
      </w:pPr>
      <w:r>
        <w:rPr>
          <w:lang w:val="es-ES"/>
        </w:rPr>
        <w:t>152.</w:t>
      </w:r>
      <w:r>
        <w:rPr>
          <w:lang w:val="es-ES"/>
        </w:rPr>
        <w:tab/>
        <w:t>El Fondo n</w:t>
      </w:r>
      <w:r w:rsidR="001E7BB4" w:rsidRPr="007930B0">
        <w:rPr>
          <w:lang w:val="es-ES"/>
        </w:rPr>
        <w:t>acional de Seguridad Social tiene garantizada su fina</w:t>
      </w:r>
      <w:r w:rsidR="0083775A">
        <w:rPr>
          <w:lang w:val="es-ES"/>
        </w:rPr>
        <w:t>nciación de la siguiente manera.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57"/>
        <w:gridCol w:w="2808"/>
        <w:gridCol w:w="1605"/>
      </w:tblGrid>
      <w:tr w:rsidR="001E7BB4" w:rsidRPr="007930B0">
        <w:trPr>
          <w:tblHeader/>
        </w:trPr>
        <w:tc>
          <w:tcPr>
            <w:tcW w:w="2654" w:type="dxa"/>
            <w:tcBorders>
              <w:top w:val="single" w:sz="4" w:space="0" w:color="auto"/>
              <w:bottom w:val="single" w:sz="12" w:space="0" w:color="auto"/>
            </w:tcBorders>
            <w:shd w:val="clear" w:color="auto" w:fill="auto"/>
            <w:vAlign w:val="bottom"/>
          </w:tcPr>
          <w:p w:rsidR="001E7BB4" w:rsidRPr="007930B0" w:rsidRDefault="001E7BB4" w:rsidP="003121D9">
            <w:pPr>
              <w:spacing w:before="80" w:after="80" w:line="200" w:lineRule="exact"/>
              <w:ind w:right="113"/>
              <w:rPr>
                <w:i/>
                <w:sz w:val="16"/>
              </w:rPr>
            </w:pPr>
            <w:r w:rsidRPr="007930B0">
              <w:rPr>
                <w:i/>
                <w:sz w:val="16"/>
              </w:rPr>
              <w:t>Rama</w:t>
            </w:r>
          </w:p>
        </w:tc>
        <w:tc>
          <w:tcPr>
            <w:tcW w:w="2520" w:type="dxa"/>
            <w:tcBorders>
              <w:top w:val="single" w:sz="4" w:space="0" w:color="auto"/>
              <w:bottom w:val="single" w:sz="12" w:space="0" w:color="auto"/>
            </w:tcBorders>
            <w:shd w:val="clear" w:color="auto" w:fill="auto"/>
            <w:vAlign w:val="bottom"/>
          </w:tcPr>
          <w:p w:rsidR="001E7BB4" w:rsidRPr="007930B0" w:rsidRDefault="001E7BB4" w:rsidP="003121D9">
            <w:pPr>
              <w:spacing w:before="80" w:after="80" w:line="200" w:lineRule="exact"/>
              <w:ind w:right="113"/>
              <w:jc w:val="right"/>
              <w:rPr>
                <w:i/>
                <w:sz w:val="16"/>
              </w:rPr>
            </w:pPr>
            <w:r w:rsidRPr="007930B0">
              <w:rPr>
                <w:i/>
                <w:sz w:val="16"/>
              </w:rPr>
              <w:t>Parte patronal</w:t>
            </w:r>
          </w:p>
        </w:tc>
        <w:tc>
          <w:tcPr>
            <w:tcW w:w="1440" w:type="dxa"/>
            <w:tcBorders>
              <w:top w:val="single" w:sz="4" w:space="0" w:color="auto"/>
              <w:bottom w:val="single" w:sz="12" w:space="0" w:color="auto"/>
            </w:tcBorders>
            <w:shd w:val="clear" w:color="auto" w:fill="auto"/>
            <w:vAlign w:val="bottom"/>
          </w:tcPr>
          <w:p w:rsidR="001E7BB4" w:rsidRPr="007930B0" w:rsidRDefault="001E7BB4" w:rsidP="003121D9">
            <w:pPr>
              <w:spacing w:before="80" w:after="80" w:line="200" w:lineRule="exact"/>
              <w:ind w:right="113"/>
              <w:jc w:val="right"/>
              <w:rPr>
                <w:i/>
                <w:sz w:val="16"/>
              </w:rPr>
            </w:pPr>
            <w:r w:rsidRPr="007930B0">
              <w:rPr>
                <w:i/>
                <w:sz w:val="16"/>
              </w:rPr>
              <w:t>Parte salarial</w:t>
            </w:r>
          </w:p>
        </w:tc>
      </w:tr>
      <w:tr w:rsidR="001E7BB4" w:rsidRPr="007930B0">
        <w:tc>
          <w:tcPr>
            <w:tcW w:w="2654" w:type="dxa"/>
            <w:tcBorders>
              <w:top w:val="single" w:sz="12" w:space="0" w:color="auto"/>
            </w:tcBorders>
            <w:shd w:val="clear" w:color="auto" w:fill="auto"/>
          </w:tcPr>
          <w:p w:rsidR="001E7BB4" w:rsidRPr="007930B0" w:rsidRDefault="001E7BB4" w:rsidP="003121D9">
            <w:pPr>
              <w:spacing w:before="40" w:after="40" w:line="220" w:lineRule="exact"/>
              <w:ind w:right="113"/>
              <w:rPr>
                <w:sz w:val="18"/>
              </w:rPr>
            </w:pPr>
            <w:r w:rsidRPr="007930B0">
              <w:rPr>
                <w:sz w:val="18"/>
              </w:rPr>
              <w:t>Medicina del trabajo</w:t>
            </w:r>
          </w:p>
        </w:tc>
        <w:tc>
          <w:tcPr>
            <w:tcW w:w="2520" w:type="dxa"/>
            <w:tcBorders>
              <w:top w:val="single" w:sz="12" w:space="0" w:color="auto"/>
            </w:tcBorders>
            <w:shd w:val="clear" w:color="auto" w:fill="auto"/>
            <w:vAlign w:val="bottom"/>
          </w:tcPr>
          <w:p w:rsidR="001E7BB4" w:rsidRPr="007930B0" w:rsidRDefault="001E7BB4" w:rsidP="003121D9">
            <w:pPr>
              <w:spacing w:before="40" w:after="40" w:line="220" w:lineRule="exact"/>
              <w:ind w:right="113"/>
              <w:jc w:val="right"/>
              <w:rPr>
                <w:sz w:val="18"/>
              </w:rPr>
            </w:pPr>
            <w:r w:rsidRPr="007930B0">
              <w:rPr>
                <w:sz w:val="18"/>
              </w:rPr>
              <w:t>2%</w:t>
            </w:r>
          </w:p>
        </w:tc>
        <w:tc>
          <w:tcPr>
            <w:tcW w:w="1440" w:type="dxa"/>
            <w:tcBorders>
              <w:top w:val="single" w:sz="12" w:space="0" w:color="auto"/>
            </w:tcBorders>
            <w:shd w:val="clear" w:color="auto" w:fill="auto"/>
            <w:vAlign w:val="bottom"/>
          </w:tcPr>
          <w:p w:rsidR="001E7BB4" w:rsidRPr="007930B0" w:rsidRDefault="001E7BB4" w:rsidP="003121D9">
            <w:pPr>
              <w:spacing w:before="40" w:after="40" w:line="220" w:lineRule="exact"/>
              <w:ind w:right="113"/>
              <w:jc w:val="right"/>
              <w:rPr>
                <w:sz w:val="18"/>
              </w:rPr>
            </w:pPr>
            <w:r w:rsidRPr="007930B0">
              <w:rPr>
                <w:sz w:val="18"/>
              </w:rPr>
              <w:t>-</w:t>
            </w:r>
          </w:p>
        </w:tc>
      </w:tr>
      <w:tr w:rsidR="001E7BB4" w:rsidRPr="007930B0">
        <w:tc>
          <w:tcPr>
            <w:tcW w:w="2654" w:type="dxa"/>
            <w:shd w:val="clear" w:color="auto" w:fill="auto"/>
          </w:tcPr>
          <w:p w:rsidR="001E7BB4" w:rsidRPr="007930B0" w:rsidRDefault="001E7BB4" w:rsidP="003121D9">
            <w:pPr>
              <w:spacing w:before="40" w:after="40" w:line="220" w:lineRule="exact"/>
              <w:ind w:right="113"/>
              <w:rPr>
                <w:sz w:val="18"/>
              </w:rPr>
            </w:pPr>
            <w:r w:rsidRPr="007930B0">
              <w:rPr>
                <w:sz w:val="18"/>
              </w:rPr>
              <w:t>Vej</w:t>
            </w:r>
            <w:r w:rsidR="003121D9" w:rsidRPr="007930B0">
              <w:rPr>
                <w:sz w:val="18"/>
              </w:rPr>
              <w:t xml:space="preserve">ez </w:t>
            </w:r>
            <w:r w:rsidR="00F4158E">
              <w:rPr>
                <w:sz w:val="18"/>
              </w:rPr>
              <w:t>–</w:t>
            </w:r>
            <w:r w:rsidR="003121D9" w:rsidRPr="007930B0">
              <w:rPr>
                <w:sz w:val="18"/>
              </w:rPr>
              <w:t xml:space="preserve"> invalidez </w:t>
            </w:r>
            <w:r w:rsidR="00F4158E">
              <w:rPr>
                <w:sz w:val="18"/>
              </w:rPr>
              <w:t>–</w:t>
            </w:r>
            <w:r w:rsidR="003121D9" w:rsidRPr="007930B0">
              <w:rPr>
                <w:sz w:val="18"/>
              </w:rPr>
              <w:t xml:space="preserve"> fallecimiento </w:t>
            </w:r>
            <w:r w:rsidRPr="007930B0">
              <w:rPr>
                <w:sz w:val="18"/>
              </w:rPr>
              <w:t>(familiares supérstites)</w:t>
            </w:r>
          </w:p>
        </w:tc>
        <w:tc>
          <w:tcPr>
            <w:tcW w:w="2520" w:type="dxa"/>
            <w:shd w:val="clear" w:color="auto" w:fill="auto"/>
            <w:vAlign w:val="bottom"/>
          </w:tcPr>
          <w:p w:rsidR="001E7BB4" w:rsidRPr="007930B0" w:rsidRDefault="001E7BB4" w:rsidP="003121D9">
            <w:pPr>
              <w:spacing w:before="40" w:after="40" w:line="220" w:lineRule="exact"/>
              <w:ind w:right="113"/>
              <w:jc w:val="right"/>
              <w:rPr>
                <w:sz w:val="18"/>
              </w:rPr>
            </w:pPr>
            <w:r w:rsidRPr="007930B0">
              <w:rPr>
                <w:sz w:val="18"/>
              </w:rPr>
              <w:t>2%</w:t>
            </w:r>
          </w:p>
        </w:tc>
        <w:tc>
          <w:tcPr>
            <w:tcW w:w="1440" w:type="dxa"/>
            <w:shd w:val="clear" w:color="auto" w:fill="auto"/>
            <w:vAlign w:val="bottom"/>
          </w:tcPr>
          <w:p w:rsidR="001E7BB4" w:rsidRPr="007930B0" w:rsidRDefault="001E7BB4" w:rsidP="003121D9">
            <w:pPr>
              <w:spacing w:before="40" w:after="40" w:line="220" w:lineRule="exact"/>
              <w:ind w:right="113"/>
              <w:jc w:val="right"/>
              <w:rPr>
                <w:sz w:val="18"/>
              </w:rPr>
            </w:pPr>
            <w:r w:rsidRPr="007930B0">
              <w:rPr>
                <w:sz w:val="18"/>
              </w:rPr>
              <w:t>1%</w:t>
            </w:r>
          </w:p>
        </w:tc>
      </w:tr>
      <w:tr w:rsidR="001E7BB4" w:rsidRPr="007930B0">
        <w:tc>
          <w:tcPr>
            <w:tcW w:w="2654" w:type="dxa"/>
            <w:shd w:val="clear" w:color="auto" w:fill="auto"/>
          </w:tcPr>
          <w:p w:rsidR="001E7BB4" w:rsidRPr="007930B0" w:rsidRDefault="001E7BB4" w:rsidP="003121D9">
            <w:pPr>
              <w:spacing w:before="40" w:after="40" w:line="220" w:lineRule="exact"/>
              <w:ind w:right="113"/>
              <w:rPr>
                <w:sz w:val="18"/>
              </w:rPr>
            </w:pPr>
            <w:r w:rsidRPr="007930B0">
              <w:rPr>
                <w:sz w:val="18"/>
              </w:rPr>
              <w:t>Accidentes del trabajo</w:t>
            </w:r>
            <w:r w:rsidRPr="007930B0">
              <w:rPr>
                <w:sz w:val="18"/>
              </w:rPr>
              <w:br/>
              <w:t>Enfermedades profesionales</w:t>
            </w:r>
          </w:p>
        </w:tc>
        <w:tc>
          <w:tcPr>
            <w:tcW w:w="2520" w:type="dxa"/>
            <w:shd w:val="clear" w:color="auto" w:fill="auto"/>
            <w:vAlign w:val="bottom"/>
          </w:tcPr>
          <w:p w:rsidR="001E7BB4" w:rsidRPr="007930B0" w:rsidRDefault="001E7BB4" w:rsidP="003121D9">
            <w:pPr>
              <w:spacing w:before="40" w:after="40" w:line="220" w:lineRule="exact"/>
              <w:ind w:right="113"/>
              <w:jc w:val="right"/>
              <w:rPr>
                <w:sz w:val="18"/>
              </w:rPr>
            </w:pPr>
            <w:r w:rsidRPr="007930B0">
              <w:rPr>
                <w:sz w:val="18"/>
              </w:rPr>
              <w:t xml:space="preserve">3% </w:t>
            </w:r>
            <w:r w:rsidRPr="007930B0">
              <w:rPr>
                <w:sz w:val="18"/>
              </w:rPr>
              <w:br/>
              <w:t>(2,5% si el e</w:t>
            </w:r>
            <w:r w:rsidR="00F4158E">
              <w:rPr>
                <w:sz w:val="18"/>
              </w:rPr>
              <w:t>mpleador proporciona</w:t>
            </w:r>
            <w:r w:rsidR="00F4158E">
              <w:rPr>
                <w:sz w:val="18"/>
              </w:rPr>
              <w:br/>
            </w:r>
            <w:r w:rsidRPr="007930B0">
              <w:rPr>
                <w:sz w:val="18"/>
              </w:rPr>
              <w:t xml:space="preserve">la atención médica y </w:t>
            </w:r>
            <w:r w:rsidRPr="007930B0">
              <w:rPr>
                <w:sz w:val="18"/>
              </w:rPr>
              <w:br/>
              <w:t>las prestaciones de invalidez temporal en especie)</w:t>
            </w:r>
          </w:p>
        </w:tc>
        <w:tc>
          <w:tcPr>
            <w:tcW w:w="1440" w:type="dxa"/>
            <w:shd w:val="clear" w:color="auto" w:fill="auto"/>
            <w:vAlign w:val="bottom"/>
          </w:tcPr>
          <w:p w:rsidR="001E7BB4" w:rsidRPr="007930B0" w:rsidRDefault="001E7BB4" w:rsidP="003121D9">
            <w:pPr>
              <w:spacing w:before="40" w:after="40" w:line="220" w:lineRule="exact"/>
              <w:ind w:right="113"/>
              <w:jc w:val="right"/>
              <w:rPr>
                <w:sz w:val="18"/>
              </w:rPr>
            </w:pPr>
            <w:r w:rsidRPr="007930B0">
              <w:rPr>
                <w:sz w:val="18"/>
              </w:rPr>
              <w:t>-</w:t>
            </w:r>
          </w:p>
        </w:tc>
      </w:tr>
      <w:tr w:rsidR="001E7BB4" w:rsidRPr="007930B0">
        <w:tc>
          <w:tcPr>
            <w:tcW w:w="2654" w:type="dxa"/>
            <w:shd w:val="clear" w:color="auto" w:fill="auto"/>
          </w:tcPr>
          <w:p w:rsidR="001E7BB4" w:rsidRPr="007930B0" w:rsidRDefault="001E7BB4" w:rsidP="003121D9">
            <w:pPr>
              <w:spacing w:before="40" w:after="40" w:line="220" w:lineRule="exact"/>
              <w:ind w:right="113"/>
              <w:rPr>
                <w:sz w:val="18"/>
              </w:rPr>
            </w:pPr>
            <w:r w:rsidRPr="007930B0">
              <w:rPr>
                <w:sz w:val="18"/>
              </w:rPr>
              <w:t>Prestaciones familiares, incluidas las prestaciones de maternidad en especie</w:t>
            </w:r>
          </w:p>
        </w:tc>
        <w:tc>
          <w:tcPr>
            <w:tcW w:w="2520" w:type="dxa"/>
            <w:shd w:val="clear" w:color="auto" w:fill="auto"/>
            <w:vAlign w:val="bottom"/>
          </w:tcPr>
          <w:p w:rsidR="001E7BB4" w:rsidRPr="007930B0" w:rsidRDefault="001E7BB4" w:rsidP="003121D9">
            <w:pPr>
              <w:spacing w:before="40" w:after="40" w:line="220" w:lineRule="exact"/>
              <w:ind w:right="113"/>
              <w:jc w:val="right"/>
              <w:rPr>
                <w:sz w:val="18"/>
              </w:rPr>
            </w:pPr>
            <w:r w:rsidRPr="007930B0">
              <w:rPr>
                <w:sz w:val="18"/>
              </w:rPr>
              <w:t>8%</w:t>
            </w:r>
          </w:p>
        </w:tc>
        <w:tc>
          <w:tcPr>
            <w:tcW w:w="1440" w:type="dxa"/>
            <w:shd w:val="clear" w:color="auto" w:fill="auto"/>
            <w:vAlign w:val="bottom"/>
          </w:tcPr>
          <w:p w:rsidR="001E7BB4" w:rsidRPr="007930B0" w:rsidRDefault="001E7BB4" w:rsidP="003121D9">
            <w:pPr>
              <w:spacing w:before="40" w:after="40" w:line="220" w:lineRule="exact"/>
              <w:ind w:right="113"/>
              <w:jc w:val="right"/>
              <w:rPr>
                <w:sz w:val="18"/>
              </w:rPr>
            </w:pPr>
            <w:r w:rsidRPr="007930B0">
              <w:rPr>
                <w:sz w:val="18"/>
              </w:rPr>
              <w:t>-</w:t>
            </w:r>
          </w:p>
        </w:tc>
      </w:tr>
    </w:tbl>
    <w:p w:rsidR="001E7BB4" w:rsidRPr="007930B0" w:rsidRDefault="001E7BB4" w:rsidP="003121D9">
      <w:pPr>
        <w:pStyle w:val="SingleTxtG"/>
        <w:spacing w:before="240"/>
        <w:rPr>
          <w:lang w:val="es-ES"/>
        </w:rPr>
      </w:pPr>
      <w:r w:rsidRPr="007930B0">
        <w:rPr>
          <w:lang w:val="es-ES"/>
        </w:rPr>
        <w:t>153.</w:t>
      </w:r>
      <w:r w:rsidRPr="007930B0">
        <w:rPr>
          <w:lang w:val="es-ES"/>
        </w:rPr>
        <w:tab/>
        <w:t>Las cotizaciones y las prestaciones se calculan sobre la base de un tope máximo mensual de 70.000 ouguiyas. El salario mínimo interprofesional garantido más alto del país asciende a 20.000 ouguiyas.</w:t>
      </w:r>
    </w:p>
    <w:p w:rsidR="001E7BB4" w:rsidRPr="007930B0" w:rsidRDefault="001E7BB4" w:rsidP="003121D9">
      <w:pPr>
        <w:pStyle w:val="H23G"/>
        <w:rPr>
          <w:lang w:val="es-ES"/>
        </w:rPr>
      </w:pPr>
      <w:bookmarkStart w:id="0" w:name="b"/>
      <w:bookmarkEnd w:id="0"/>
      <w:r w:rsidRPr="007930B0">
        <w:rPr>
          <w:lang w:val="es-ES"/>
        </w:rPr>
        <w:tab/>
      </w:r>
      <w:r w:rsidRPr="007930B0">
        <w:rPr>
          <w:lang w:val="es-ES"/>
        </w:rPr>
        <w:tab/>
        <w:t>Medicina del trabajo</w:t>
      </w:r>
    </w:p>
    <w:p w:rsidR="001E7BB4" w:rsidRPr="007930B0" w:rsidRDefault="001E7BB4" w:rsidP="00B56B34">
      <w:pPr>
        <w:pStyle w:val="SingleTxtG"/>
        <w:rPr>
          <w:lang w:val="es-ES"/>
        </w:rPr>
      </w:pPr>
      <w:r w:rsidRPr="007930B0">
        <w:rPr>
          <w:lang w:val="es-ES"/>
        </w:rPr>
        <w:t>154.</w:t>
      </w:r>
      <w:r w:rsidRPr="007930B0">
        <w:rPr>
          <w:lang w:val="es-ES"/>
        </w:rPr>
        <w:tab/>
        <w:t xml:space="preserve">La medicina del trabajo está a cargo de la Oficina Nacional de Medicina del Trabajo. Los gastos de funcionamiento de la Oficina se sufragan con una cotización patronal del 2% que se vierte al Fondo Nacional de Seguridad Social. Todas las empresas tienen la obligación de afiliarse a la Oficina Nacional de Medicina del Trabajo y de declarar a sus empleados. </w:t>
      </w:r>
    </w:p>
    <w:p w:rsidR="001E7BB4" w:rsidRPr="007930B0" w:rsidRDefault="001E7BB4" w:rsidP="00B56B34">
      <w:pPr>
        <w:pStyle w:val="SingleTxtG"/>
        <w:rPr>
          <w:lang w:val="es-ES"/>
        </w:rPr>
      </w:pPr>
      <w:r w:rsidRPr="007930B0">
        <w:rPr>
          <w:lang w:val="es-ES"/>
        </w:rPr>
        <w:t>155.</w:t>
      </w:r>
      <w:r w:rsidRPr="007930B0">
        <w:rPr>
          <w:lang w:val="es-ES"/>
        </w:rPr>
        <w:tab/>
        <w:t>La Oficina Nacional de Medicina del Trabajo se ocupa de:</w:t>
      </w:r>
    </w:p>
    <w:p w:rsidR="001E7BB4" w:rsidRPr="007930B0" w:rsidRDefault="001E7BB4" w:rsidP="003121D9">
      <w:pPr>
        <w:pStyle w:val="Bullet1G"/>
        <w:rPr>
          <w:lang w:val="es-ES"/>
        </w:rPr>
      </w:pPr>
      <w:r w:rsidRPr="007930B0">
        <w:rPr>
          <w:lang w:val="es-ES"/>
        </w:rPr>
        <w:t>Administrar y hacer funcionar los servicios médicos de empresas individuales o de conjuntos de empresas, en los locales y con el equipo del que dispone toda empresa o conjunto de empresas que tenga al menos 750 trabajadores;</w:t>
      </w:r>
    </w:p>
    <w:p w:rsidR="001E7BB4" w:rsidRPr="007930B0" w:rsidRDefault="001E7BB4" w:rsidP="003121D9">
      <w:pPr>
        <w:pStyle w:val="Bullet1G"/>
        <w:rPr>
          <w:lang w:val="es-ES"/>
        </w:rPr>
      </w:pPr>
      <w:r w:rsidRPr="007930B0">
        <w:rPr>
          <w:lang w:val="es-ES"/>
        </w:rPr>
        <w:t>Velar por el cumplimiento de los contratos celebrados entre la Oficina y los organismos públicos encargados de brindar atención médica en los lugares en los que las condiciones no permitan establecer servicios propios de una empresa o conjunto de empresas.</w:t>
      </w:r>
    </w:p>
    <w:p w:rsidR="001E7BB4" w:rsidRPr="007930B0" w:rsidRDefault="001E7BB4" w:rsidP="00B56B34">
      <w:pPr>
        <w:pStyle w:val="SingleTxtG"/>
        <w:rPr>
          <w:lang w:val="es-ES"/>
        </w:rPr>
      </w:pPr>
      <w:r w:rsidRPr="007930B0">
        <w:rPr>
          <w:lang w:val="es-ES"/>
        </w:rPr>
        <w:t>156.</w:t>
      </w:r>
      <w:r w:rsidRPr="007930B0">
        <w:rPr>
          <w:lang w:val="es-ES"/>
        </w:rPr>
        <w:tab/>
        <w:t>El Fondo Nacional de Seguridad Social informa al empleador sobre el servicio interempresarial al que está afiliada de oficio su empresa, para cada uno de sus establecimientos. En el ámbito del derecho laboral, el empleador está obligado a garantizar un servicio de atención médica a sus empleados y a los miembros de sus familias, así como a pagar viáticos en caso de enfermedad. Las prestaciones médicas relacionadas con el embarazo y el parto, así como las prestaciones en especie, están comprendidas en el marco de las prestaciones familiares.</w:t>
      </w:r>
    </w:p>
    <w:p w:rsidR="001E7BB4" w:rsidRPr="007930B0" w:rsidRDefault="001E7BB4" w:rsidP="003121D9">
      <w:pPr>
        <w:pStyle w:val="H4G"/>
        <w:rPr>
          <w:lang w:val="es-ES"/>
        </w:rPr>
      </w:pPr>
      <w:r w:rsidRPr="007930B0">
        <w:rPr>
          <w:lang w:val="es-ES"/>
        </w:rPr>
        <w:tab/>
      </w:r>
      <w:r w:rsidRPr="007930B0">
        <w:rPr>
          <w:lang w:val="es-ES"/>
        </w:rPr>
        <w:tab/>
        <w:t>Atención médica</w:t>
      </w:r>
    </w:p>
    <w:p w:rsidR="001E7BB4" w:rsidRPr="007930B0" w:rsidRDefault="001E7BB4" w:rsidP="00B56B34">
      <w:pPr>
        <w:pStyle w:val="SingleTxtG"/>
        <w:rPr>
          <w:lang w:val="es-ES"/>
        </w:rPr>
      </w:pPr>
      <w:r w:rsidRPr="007930B0">
        <w:rPr>
          <w:lang w:val="es-ES"/>
        </w:rPr>
        <w:t>157.</w:t>
      </w:r>
      <w:r w:rsidRPr="007930B0">
        <w:rPr>
          <w:lang w:val="es-ES"/>
        </w:rPr>
        <w:tab/>
        <w:t xml:space="preserve">Los empleadores deben proporcionar atención médica al trabajador y a los miembros de su familia en el marco del servicio médico empresarial o interempresarial. </w:t>
      </w:r>
    </w:p>
    <w:p w:rsidR="001E7BB4" w:rsidRPr="007930B0" w:rsidRDefault="001E7BB4" w:rsidP="003121D9">
      <w:pPr>
        <w:pStyle w:val="H4G"/>
        <w:rPr>
          <w:lang w:val="es-ES"/>
        </w:rPr>
      </w:pPr>
      <w:r w:rsidRPr="007930B0">
        <w:rPr>
          <w:lang w:val="es-ES"/>
        </w:rPr>
        <w:tab/>
      </w:r>
      <w:r w:rsidRPr="007930B0">
        <w:rPr>
          <w:lang w:val="es-ES"/>
        </w:rPr>
        <w:tab/>
        <w:t>Viáticos en caso de enfermedad</w:t>
      </w:r>
    </w:p>
    <w:p w:rsidR="001E7BB4" w:rsidRPr="007930B0" w:rsidRDefault="001E7BB4" w:rsidP="00B56B34">
      <w:pPr>
        <w:pStyle w:val="SingleTxtG"/>
        <w:rPr>
          <w:lang w:val="es-ES"/>
        </w:rPr>
      </w:pPr>
      <w:r w:rsidRPr="007930B0">
        <w:rPr>
          <w:lang w:val="es-ES"/>
        </w:rPr>
        <w:t>158.</w:t>
      </w:r>
      <w:r w:rsidRPr="007930B0">
        <w:rPr>
          <w:lang w:val="es-ES"/>
        </w:rPr>
        <w:tab/>
        <w:t xml:space="preserve">Conforme a lo dispuesto en el Código del Trabajo, en caso de enfermedad del trabajador, el empleador debe pagarle viáticos durante el número de días fijado en el convenio colectivo pertinente </w:t>
      </w:r>
    </w:p>
    <w:p w:rsidR="001E7BB4" w:rsidRPr="007930B0" w:rsidRDefault="001E7BB4" w:rsidP="003121D9">
      <w:pPr>
        <w:pStyle w:val="H23G"/>
        <w:rPr>
          <w:lang w:val="es-ES"/>
        </w:rPr>
      </w:pPr>
      <w:bookmarkStart w:id="1" w:name="c"/>
      <w:bookmarkEnd w:id="1"/>
      <w:r w:rsidRPr="007930B0">
        <w:rPr>
          <w:lang w:val="es-ES"/>
        </w:rPr>
        <w:tab/>
      </w:r>
      <w:r w:rsidRPr="007930B0">
        <w:rPr>
          <w:lang w:val="es-ES"/>
        </w:rPr>
        <w:tab/>
        <w:t>Vejez, invalidez, fallecimiento (familiares supérstites)</w:t>
      </w:r>
    </w:p>
    <w:p w:rsidR="001E7BB4" w:rsidRPr="007930B0" w:rsidRDefault="001E7BB4" w:rsidP="00B56B34">
      <w:pPr>
        <w:pStyle w:val="SingleTxtG"/>
        <w:rPr>
          <w:lang w:val="es-ES"/>
        </w:rPr>
      </w:pPr>
      <w:r w:rsidRPr="007930B0">
        <w:rPr>
          <w:lang w:val="es-ES"/>
        </w:rPr>
        <w:t>159.</w:t>
      </w:r>
      <w:r w:rsidRPr="007930B0">
        <w:rPr>
          <w:lang w:val="es-ES"/>
        </w:rPr>
        <w:tab/>
        <w:t xml:space="preserve">Están comprendidos todos los trabajadores asalariados, incluidos los trabajadores temporales y ocasionales. </w:t>
      </w:r>
    </w:p>
    <w:p w:rsidR="001E7BB4" w:rsidRPr="007930B0" w:rsidRDefault="001E7BB4" w:rsidP="003121D9">
      <w:pPr>
        <w:pStyle w:val="H4G"/>
        <w:rPr>
          <w:lang w:val="es-ES"/>
        </w:rPr>
      </w:pPr>
      <w:r w:rsidRPr="007930B0">
        <w:rPr>
          <w:lang w:val="es-ES"/>
        </w:rPr>
        <w:tab/>
      </w:r>
      <w:r w:rsidRPr="007930B0">
        <w:rPr>
          <w:lang w:val="es-ES"/>
        </w:rPr>
        <w:tab/>
        <w:t>Pensión de vejez</w:t>
      </w:r>
    </w:p>
    <w:p w:rsidR="001E7BB4" w:rsidRPr="007930B0" w:rsidRDefault="001E7BB4" w:rsidP="00B56B34">
      <w:pPr>
        <w:pStyle w:val="SingleTxtG"/>
        <w:rPr>
          <w:lang w:val="es-ES"/>
        </w:rPr>
      </w:pPr>
      <w:r w:rsidRPr="007930B0">
        <w:rPr>
          <w:lang w:val="es-ES"/>
        </w:rPr>
        <w:t>160.</w:t>
      </w:r>
      <w:r w:rsidRPr="007930B0">
        <w:rPr>
          <w:lang w:val="es-ES"/>
        </w:rPr>
        <w:tab/>
        <w:t>El derecho a una pensión de vejez se adquiere a partir de los 60 años</w:t>
      </w:r>
      <w:r w:rsidR="00CC3B6E" w:rsidRPr="007930B0">
        <w:rPr>
          <w:lang w:val="es-ES"/>
        </w:rPr>
        <w:t xml:space="preserve"> </w:t>
      </w:r>
      <w:r w:rsidRPr="007930B0">
        <w:rPr>
          <w:lang w:val="es-ES"/>
        </w:rPr>
        <w:t>de edad en el hombre y de los 55 en la mujer. Para poder acceder a una pensión de vejez, se deben reunir las condiciones siguientes:</w:t>
      </w:r>
    </w:p>
    <w:p w:rsidR="001E7BB4" w:rsidRPr="007930B0" w:rsidRDefault="001E7BB4" w:rsidP="003121D9">
      <w:pPr>
        <w:pStyle w:val="Bullet1G"/>
        <w:rPr>
          <w:lang w:val="es-ES"/>
        </w:rPr>
      </w:pPr>
      <w:r w:rsidRPr="007930B0">
        <w:rPr>
          <w:lang w:val="es-ES"/>
        </w:rPr>
        <w:t xml:space="preserve">Haber estado inscripto(a) durante un mínimo de 20 años; </w:t>
      </w:r>
    </w:p>
    <w:p w:rsidR="001E7BB4" w:rsidRPr="007930B0" w:rsidRDefault="001E7BB4" w:rsidP="003121D9">
      <w:pPr>
        <w:pStyle w:val="Bullet1G"/>
        <w:rPr>
          <w:lang w:val="es-ES"/>
        </w:rPr>
      </w:pPr>
      <w:r w:rsidRPr="007930B0">
        <w:rPr>
          <w:lang w:val="es-ES"/>
        </w:rPr>
        <w:t xml:space="preserve">Haber contribuido al Fondo durante un mínimo de 60 meses en los últimos 10 años; </w:t>
      </w:r>
    </w:p>
    <w:p w:rsidR="001E7BB4" w:rsidRPr="007930B0" w:rsidRDefault="001E7BB4" w:rsidP="003121D9">
      <w:pPr>
        <w:pStyle w:val="Bullet1G"/>
        <w:rPr>
          <w:lang w:val="es-ES"/>
        </w:rPr>
      </w:pPr>
      <w:r w:rsidRPr="007930B0">
        <w:rPr>
          <w:lang w:val="es-ES"/>
        </w:rPr>
        <w:t>Cesar toda actividad asalariada.</w:t>
      </w:r>
    </w:p>
    <w:p w:rsidR="001E7BB4" w:rsidRPr="007930B0" w:rsidRDefault="001E7BB4" w:rsidP="00B56B34">
      <w:pPr>
        <w:pStyle w:val="SingleTxtG"/>
        <w:rPr>
          <w:lang w:val="es-ES"/>
        </w:rPr>
      </w:pPr>
      <w:r w:rsidRPr="007930B0">
        <w:rPr>
          <w:lang w:val="es-ES"/>
        </w:rPr>
        <w:t>161.</w:t>
      </w:r>
      <w:r w:rsidRPr="007930B0">
        <w:rPr>
          <w:lang w:val="es-ES"/>
        </w:rPr>
        <w:tab/>
        <w:t>El asegurado que reúna las condiciones necesarias para tener derecho a una pensión puede solicitarla anticipadamente en caso de deterioro prematuro de su organismo (a partir de los 55 años en el hombre y de los 50 en la mujer).</w:t>
      </w:r>
    </w:p>
    <w:p w:rsidR="001E7BB4" w:rsidRPr="007930B0" w:rsidRDefault="001E7BB4" w:rsidP="00B56B34">
      <w:pPr>
        <w:pStyle w:val="SingleTxtG"/>
        <w:rPr>
          <w:lang w:val="es-ES"/>
        </w:rPr>
      </w:pPr>
      <w:r w:rsidRPr="007930B0">
        <w:rPr>
          <w:lang w:val="es-ES"/>
        </w:rPr>
        <w:t>162.</w:t>
      </w:r>
      <w:r w:rsidRPr="007930B0">
        <w:rPr>
          <w:lang w:val="es-ES"/>
        </w:rPr>
        <w:tab/>
        <w:t>La pensión de vejez equivale al 20% del salario medio percibido en los últimos tres o cinco años, optándose por la solución que resulte más favorable para el asegurado. La pensión aumenta un 1,33% por cada período de 12 meses de cotización que se haya completado más allá de los 180 meses. La pensión no puede ser inferior al 60% del salario mínimo más alto ni superar el 80% de la remuneración media del asegurado. Si el pensionista debe ser asistido por un tercero, la pensión se incrementa un 50%.</w:t>
      </w:r>
    </w:p>
    <w:p w:rsidR="001E7BB4" w:rsidRPr="007930B0" w:rsidRDefault="001E7BB4" w:rsidP="00B56B34">
      <w:pPr>
        <w:pStyle w:val="SingleTxtG"/>
        <w:rPr>
          <w:lang w:val="es-ES"/>
        </w:rPr>
      </w:pPr>
      <w:r w:rsidRPr="007930B0">
        <w:rPr>
          <w:lang w:val="es-ES"/>
        </w:rPr>
        <w:t>163.</w:t>
      </w:r>
      <w:r w:rsidRPr="007930B0">
        <w:rPr>
          <w:lang w:val="es-ES"/>
        </w:rPr>
        <w:tab/>
        <w:t xml:space="preserve">El asegurado que llegue a la edad de adquisición del derecho a la pensión de vejez, que haya contribuido al Fondo durante un mínimo de 12 meses y que no reúna las condiciones para recibir dicha pensión, tendrá derecho a una prestación de vejez pagadera por única vez, equivalente a un mes de sueldo por cada año de cotización. </w:t>
      </w:r>
    </w:p>
    <w:p w:rsidR="001E7BB4" w:rsidRPr="007930B0" w:rsidRDefault="001E7BB4" w:rsidP="003121D9">
      <w:pPr>
        <w:pStyle w:val="H4G"/>
        <w:rPr>
          <w:lang w:val="es-ES"/>
        </w:rPr>
      </w:pPr>
      <w:r w:rsidRPr="007930B0">
        <w:rPr>
          <w:lang w:val="es-ES"/>
        </w:rPr>
        <w:tab/>
      </w:r>
      <w:r w:rsidRPr="007930B0">
        <w:rPr>
          <w:lang w:val="es-ES"/>
        </w:rPr>
        <w:tab/>
        <w:t>Invalidez</w:t>
      </w:r>
    </w:p>
    <w:p w:rsidR="001E7BB4" w:rsidRPr="007930B0" w:rsidRDefault="001E7BB4" w:rsidP="00B56B34">
      <w:pPr>
        <w:pStyle w:val="SingleTxtG"/>
        <w:rPr>
          <w:lang w:val="es-ES"/>
        </w:rPr>
      </w:pPr>
      <w:r w:rsidRPr="007930B0">
        <w:rPr>
          <w:lang w:val="es-ES"/>
        </w:rPr>
        <w:t>164.</w:t>
      </w:r>
      <w:r w:rsidRPr="007930B0">
        <w:rPr>
          <w:lang w:val="es-ES"/>
        </w:rPr>
        <w:tab/>
        <w:t>Para que una persona se considere inválida, debe haber perdido las dos terceras partes de su capacidad de obtener ingresos. El asegurado que quede inválido antes de llegar a la edad de jubilación tiene derecho a una pensión de invalidez si reúne las siguientes condiciones:</w:t>
      </w:r>
    </w:p>
    <w:p w:rsidR="001E7BB4" w:rsidRPr="007930B0" w:rsidRDefault="001E7BB4" w:rsidP="003121D9">
      <w:pPr>
        <w:pStyle w:val="Bullet1G"/>
        <w:rPr>
          <w:lang w:val="es-ES"/>
        </w:rPr>
      </w:pPr>
      <w:r w:rsidRPr="007930B0">
        <w:rPr>
          <w:lang w:val="es-ES"/>
        </w:rPr>
        <w:t>Haber estado inscripto en el Fondo durante los últimos cinco años como mínimo;</w:t>
      </w:r>
    </w:p>
    <w:p w:rsidR="001E7BB4" w:rsidRPr="007930B0" w:rsidRDefault="001E7BB4" w:rsidP="003121D9">
      <w:pPr>
        <w:pStyle w:val="Bullet1G"/>
        <w:rPr>
          <w:lang w:val="es-ES"/>
        </w:rPr>
      </w:pPr>
      <w:r w:rsidRPr="007930B0">
        <w:rPr>
          <w:lang w:val="es-ES"/>
        </w:rPr>
        <w:t xml:space="preserve">Haber cotizado durante 6 meses en los 12 meses civiles anteriores al comienzo de la invalidez. </w:t>
      </w:r>
    </w:p>
    <w:p w:rsidR="001E7BB4" w:rsidRPr="007930B0" w:rsidRDefault="001E7BB4" w:rsidP="00B56B34">
      <w:pPr>
        <w:pStyle w:val="SingleTxtG"/>
        <w:rPr>
          <w:lang w:val="es-ES"/>
        </w:rPr>
      </w:pPr>
      <w:r w:rsidRPr="007930B0">
        <w:rPr>
          <w:lang w:val="es-ES"/>
        </w:rPr>
        <w:t>165.</w:t>
      </w:r>
      <w:r w:rsidRPr="007930B0">
        <w:rPr>
          <w:lang w:val="es-ES"/>
        </w:rPr>
        <w:tab/>
        <w:t>Si la invalidez se debe a un accidente, basta con que el interesado haya estado afiliado al Fondo Nacional de Seguridad Social en el momento del accidente.</w:t>
      </w:r>
    </w:p>
    <w:p w:rsidR="001E7BB4" w:rsidRPr="007930B0" w:rsidRDefault="001E7BB4" w:rsidP="00B56B34">
      <w:pPr>
        <w:pStyle w:val="SingleTxtG"/>
        <w:rPr>
          <w:lang w:val="es-ES"/>
        </w:rPr>
      </w:pPr>
      <w:r w:rsidRPr="007930B0">
        <w:rPr>
          <w:lang w:val="es-ES"/>
        </w:rPr>
        <w:t>166.</w:t>
      </w:r>
      <w:r w:rsidRPr="007930B0">
        <w:rPr>
          <w:lang w:val="es-ES"/>
        </w:rPr>
        <w:tab/>
        <w:t>La pensión de invalidez equivale al 20% del salario medio percibido en los últimos tres o cinco años, optándose por la solución que resulte más favorable para el asegurado. La pensión aumenta un 1,33% por cada período de doce meses de cotización que se haya completado más allá de los 180 meses. La pensión no puede ser inferior al 60% del salario mínimo más alto ni superar el 80% de la remuneración media del asegurado. Si el pensionista debe ser asistido por un tercero, la pensión se incrementa un 50%.</w:t>
      </w:r>
    </w:p>
    <w:p w:rsidR="001E7BB4" w:rsidRPr="007930B0" w:rsidRDefault="001E7BB4" w:rsidP="003121D9">
      <w:pPr>
        <w:pStyle w:val="H4G"/>
        <w:rPr>
          <w:lang w:val="es-ES"/>
        </w:rPr>
      </w:pPr>
      <w:r w:rsidRPr="007930B0">
        <w:rPr>
          <w:lang w:val="es-ES"/>
        </w:rPr>
        <w:tab/>
      </w:r>
      <w:r w:rsidRPr="007930B0">
        <w:rPr>
          <w:lang w:val="es-ES"/>
        </w:rPr>
        <w:tab/>
        <w:t>Fallecimiento (familiares supérstites)</w:t>
      </w:r>
    </w:p>
    <w:p w:rsidR="001E7BB4" w:rsidRPr="007930B0" w:rsidRDefault="001E7BB4" w:rsidP="00B56B34">
      <w:pPr>
        <w:pStyle w:val="SingleTxtG"/>
        <w:rPr>
          <w:lang w:val="es-ES"/>
        </w:rPr>
      </w:pPr>
      <w:r w:rsidRPr="007930B0">
        <w:rPr>
          <w:lang w:val="es-ES"/>
        </w:rPr>
        <w:t>167.</w:t>
      </w:r>
      <w:r w:rsidRPr="007930B0">
        <w:rPr>
          <w:lang w:val="es-ES"/>
        </w:rPr>
        <w:tab/>
        <w:t xml:space="preserve">Es el caso de las personas fallecidas que eran pensionistas, o que habrían podido serlo, o que podrían demostrar haber contribuido al Fondo durante 180 meses. </w:t>
      </w:r>
    </w:p>
    <w:p w:rsidR="001E7BB4" w:rsidRPr="007930B0" w:rsidRDefault="001E7BB4" w:rsidP="00B56B34">
      <w:pPr>
        <w:pStyle w:val="SingleTxtG"/>
        <w:rPr>
          <w:lang w:val="es-ES"/>
        </w:rPr>
      </w:pPr>
      <w:r w:rsidRPr="007930B0">
        <w:rPr>
          <w:lang w:val="es-ES"/>
        </w:rPr>
        <w:t>168.</w:t>
      </w:r>
      <w:r w:rsidRPr="007930B0">
        <w:rPr>
          <w:lang w:val="es-ES"/>
        </w:rPr>
        <w:tab/>
        <w:t>La cónyuge de al menos 50 años de edad, la cónyuge inválida que haya contraído matrimonio con el fallecido por lo menos un año antes del fallecimiento o que estuviera embarazada al momento del fallecimiento, los hijos a cargo de hasta 14 años de edad (y los de hasta 21 años si están capacitándose o cursando estudios o si son inválidos) tienen derecho a una pensión como familiares supérstites.</w:t>
      </w:r>
    </w:p>
    <w:p w:rsidR="001E7BB4" w:rsidRPr="007930B0" w:rsidRDefault="001E7BB4" w:rsidP="00B56B34">
      <w:pPr>
        <w:pStyle w:val="SingleTxtG"/>
        <w:rPr>
          <w:lang w:val="es-ES"/>
        </w:rPr>
      </w:pPr>
      <w:r w:rsidRPr="007930B0">
        <w:rPr>
          <w:lang w:val="es-ES"/>
        </w:rPr>
        <w:t>169.</w:t>
      </w:r>
      <w:r w:rsidRPr="007930B0">
        <w:rPr>
          <w:lang w:val="es-ES"/>
        </w:rPr>
        <w:tab/>
        <w:t>Las pensiones de los familiares supérstites se calculan como un porcentaje de la pensión de vejez o de invalidez o de la pensión anticipada a la que el asegurado tenía o hubiera tenido derecho a la fecha de su fallecimiento, a razón de:</w:t>
      </w:r>
    </w:p>
    <w:p w:rsidR="001E7BB4" w:rsidRPr="007930B0" w:rsidRDefault="001E7BB4" w:rsidP="003121D9">
      <w:pPr>
        <w:pStyle w:val="Bullet1G"/>
        <w:rPr>
          <w:lang w:val="es-ES"/>
        </w:rPr>
      </w:pPr>
      <w:r w:rsidRPr="007930B0">
        <w:rPr>
          <w:lang w:val="es-ES"/>
        </w:rPr>
        <w:t>50% para la viuda o el viudo;</w:t>
      </w:r>
    </w:p>
    <w:p w:rsidR="001E7BB4" w:rsidRPr="007930B0" w:rsidRDefault="001E7BB4" w:rsidP="003121D9">
      <w:pPr>
        <w:pStyle w:val="Bullet1G"/>
        <w:rPr>
          <w:lang w:val="es-ES"/>
        </w:rPr>
      </w:pPr>
      <w:r w:rsidRPr="007930B0">
        <w:rPr>
          <w:lang w:val="es-ES"/>
        </w:rPr>
        <w:t xml:space="preserve">25% para cada huérfano de padre o madre; </w:t>
      </w:r>
    </w:p>
    <w:p w:rsidR="001E7BB4" w:rsidRPr="007930B0" w:rsidRDefault="001E7BB4" w:rsidP="003121D9">
      <w:pPr>
        <w:pStyle w:val="Bullet1G"/>
        <w:rPr>
          <w:lang w:val="es-ES"/>
        </w:rPr>
      </w:pPr>
      <w:r w:rsidRPr="007930B0">
        <w:rPr>
          <w:lang w:val="es-ES"/>
        </w:rPr>
        <w:t>40% para cada huérfano de padre y madre.</w:t>
      </w:r>
      <w:r w:rsidR="00CC3B6E" w:rsidRPr="007930B0">
        <w:rPr>
          <w:lang w:val="es-ES"/>
        </w:rPr>
        <w:t xml:space="preserve"> </w:t>
      </w:r>
    </w:p>
    <w:p w:rsidR="001E7BB4" w:rsidRPr="007930B0" w:rsidRDefault="001E7BB4" w:rsidP="003121D9">
      <w:pPr>
        <w:pStyle w:val="H4G"/>
        <w:rPr>
          <w:lang w:val="es-ES"/>
        </w:rPr>
      </w:pPr>
      <w:r w:rsidRPr="007930B0">
        <w:rPr>
          <w:lang w:val="es-ES"/>
        </w:rPr>
        <w:tab/>
      </w:r>
      <w:r w:rsidRPr="007930B0">
        <w:rPr>
          <w:lang w:val="es-ES"/>
        </w:rPr>
        <w:tab/>
        <w:t>Prestaciones de familiares supérstites</w:t>
      </w:r>
    </w:p>
    <w:p w:rsidR="001E7BB4" w:rsidRPr="007930B0" w:rsidRDefault="001E7BB4" w:rsidP="00B56B34">
      <w:pPr>
        <w:pStyle w:val="SingleTxtG"/>
        <w:rPr>
          <w:lang w:val="es-ES"/>
        </w:rPr>
      </w:pPr>
      <w:r w:rsidRPr="007930B0">
        <w:rPr>
          <w:lang w:val="es-ES"/>
        </w:rPr>
        <w:t>170.</w:t>
      </w:r>
      <w:r w:rsidRPr="007930B0">
        <w:rPr>
          <w:lang w:val="es-ES"/>
        </w:rPr>
        <w:tab/>
        <w:t>Si el asegurado fallecido no podía reclamar una pensión de invalidez o de vejez, y a la fecha de su fallecimiento había cotizado durante menos de 180 meses, su cónyuge supérstite tiene derecho a una prestación de familiar supérstite, pagadera por única vez, equivalente a una mensualidad de la pensión que se habría pagado al asegurado por un período de seis meses de cotización.</w:t>
      </w:r>
    </w:p>
    <w:p w:rsidR="001E7BB4" w:rsidRPr="007930B0" w:rsidRDefault="001E7BB4" w:rsidP="003121D9">
      <w:pPr>
        <w:pStyle w:val="H23G"/>
        <w:rPr>
          <w:lang w:val="es-ES"/>
        </w:rPr>
      </w:pPr>
      <w:r w:rsidRPr="007930B0">
        <w:rPr>
          <w:lang w:val="es-ES"/>
        </w:rPr>
        <w:tab/>
      </w:r>
      <w:r w:rsidRPr="007930B0">
        <w:rPr>
          <w:lang w:val="es-ES"/>
        </w:rPr>
        <w:tab/>
        <w:t>Accidentes del trabajo, enfermedades profesionales</w:t>
      </w:r>
    </w:p>
    <w:p w:rsidR="001E7BB4" w:rsidRPr="007930B0" w:rsidRDefault="001E7BB4" w:rsidP="00B56B34">
      <w:pPr>
        <w:pStyle w:val="SingleTxtG"/>
        <w:rPr>
          <w:lang w:val="es-ES"/>
        </w:rPr>
      </w:pPr>
      <w:r w:rsidRPr="007930B0">
        <w:rPr>
          <w:lang w:val="es-ES"/>
        </w:rPr>
        <w:t>171.</w:t>
      </w:r>
      <w:r w:rsidRPr="007930B0">
        <w:rPr>
          <w:lang w:val="es-ES"/>
        </w:rPr>
        <w:tab/>
        <w:t xml:space="preserve">No se exigen condiciones previas de antigüedad para el pago de prestaciones por accidentes del trabajo o enfermedades profesionales. El empleador debe declarar el accidente o la enfermedad dentro de las 48 horas. Las prestaciones incluyen: </w:t>
      </w:r>
    </w:p>
    <w:p w:rsidR="001E7BB4" w:rsidRPr="007930B0" w:rsidRDefault="001E7BB4" w:rsidP="003121D9">
      <w:pPr>
        <w:pStyle w:val="Bullet1G"/>
        <w:rPr>
          <w:lang w:val="es-ES"/>
        </w:rPr>
      </w:pPr>
      <w:r w:rsidRPr="007930B0">
        <w:rPr>
          <w:lang w:val="es-ES"/>
        </w:rPr>
        <w:t>La atención médica necesaria para la lesión resultante del accidente;</w:t>
      </w:r>
    </w:p>
    <w:p w:rsidR="001E7BB4" w:rsidRPr="007930B0" w:rsidRDefault="001E7BB4" w:rsidP="003121D9">
      <w:pPr>
        <w:pStyle w:val="Bullet1G"/>
        <w:rPr>
          <w:lang w:val="es-ES"/>
        </w:rPr>
      </w:pPr>
      <w:r w:rsidRPr="007930B0">
        <w:rPr>
          <w:lang w:val="es-ES"/>
        </w:rPr>
        <w:t xml:space="preserve">En caso de invalidez temporal que le impida trabajar, el viático; </w:t>
      </w:r>
    </w:p>
    <w:p w:rsidR="001E7BB4" w:rsidRPr="007930B0" w:rsidRDefault="001E7BB4" w:rsidP="003121D9">
      <w:pPr>
        <w:pStyle w:val="Bullet1G"/>
        <w:rPr>
          <w:lang w:val="es-ES"/>
        </w:rPr>
      </w:pPr>
      <w:r w:rsidRPr="007930B0">
        <w:rPr>
          <w:lang w:val="es-ES"/>
        </w:rPr>
        <w:t>En caso de invalidez permanente, ya sea total o parcial, la</w:t>
      </w:r>
      <w:r w:rsidR="00CC3B6E" w:rsidRPr="007930B0">
        <w:rPr>
          <w:lang w:val="es-ES"/>
        </w:rPr>
        <w:t xml:space="preserve"> </w:t>
      </w:r>
      <w:r w:rsidRPr="007930B0">
        <w:rPr>
          <w:lang w:val="es-ES"/>
        </w:rPr>
        <w:t>renta o</w:t>
      </w:r>
      <w:r w:rsidR="00CC3B6E" w:rsidRPr="007930B0">
        <w:rPr>
          <w:lang w:val="es-ES"/>
        </w:rPr>
        <w:t xml:space="preserve"> </w:t>
      </w:r>
      <w:r w:rsidRPr="007930B0">
        <w:rPr>
          <w:lang w:val="es-ES"/>
        </w:rPr>
        <w:t xml:space="preserve">prestación; </w:t>
      </w:r>
    </w:p>
    <w:p w:rsidR="001E7BB4" w:rsidRPr="007930B0" w:rsidRDefault="001E7BB4" w:rsidP="003121D9">
      <w:pPr>
        <w:pStyle w:val="Bullet1G"/>
        <w:rPr>
          <w:lang w:val="es-ES"/>
        </w:rPr>
      </w:pPr>
      <w:r w:rsidRPr="007930B0">
        <w:rPr>
          <w:lang w:val="es-ES"/>
        </w:rPr>
        <w:t>La invalidez;</w:t>
      </w:r>
    </w:p>
    <w:p w:rsidR="001E7BB4" w:rsidRPr="007930B0" w:rsidRDefault="001E7BB4" w:rsidP="003121D9">
      <w:pPr>
        <w:pStyle w:val="Bullet1G"/>
        <w:rPr>
          <w:lang w:val="es-ES"/>
        </w:rPr>
      </w:pPr>
      <w:r w:rsidRPr="007930B0">
        <w:rPr>
          <w:lang w:val="es-ES"/>
        </w:rPr>
        <w:t>En caso de fallecimiento, las rentas del cónyuge supérstite y el pago de los gastos funerarios.</w:t>
      </w:r>
      <w:r w:rsidR="00CC3B6E" w:rsidRPr="007930B0">
        <w:rPr>
          <w:lang w:val="es-ES"/>
        </w:rPr>
        <w:t xml:space="preserve"> </w:t>
      </w:r>
    </w:p>
    <w:p w:rsidR="001E7BB4" w:rsidRPr="007930B0" w:rsidRDefault="001E7BB4" w:rsidP="003121D9">
      <w:pPr>
        <w:pStyle w:val="H4G"/>
        <w:rPr>
          <w:lang w:val="es-ES"/>
        </w:rPr>
      </w:pPr>
      <w:r w:rsidRPr="007930B0">
        <w:rPr>
          <w:lang w:val="es-ES"/>
        </w:rPr>
        <w:tab/>
      </w:r>
      <w:r w:rsidRPr="007930B0">
        <w:rPr>
          <w:lang w:val="es-ES"/>
        </w:rPr>
        <w:tab/>
        <w:t>Atención médica</w:t>
      </w:r>
    </w:p>
    <w:p w:rsidR="001E7BB4" w:rsidRPr="007930B0" w:rsidRDefault="001E7BB4" w:rsidP="00B56B34">
      <w:pPr>
        <w:pStyle w:val="SingleTxtG"/>
        <w:rPr>
          <w:lang w:val="es-ES"/>
        </w:rPr>
      </w:pPr>
      <w:r w:rsidRPr="007930B0">
        <w:rPr>
          <w:lang w:val="es-ES"/>
        </w:rPr>
        <w:t>172.</w:t>
      </w:r>
      <w:r w:rsidRPr="007930B0">
        <w:rPr>
          <w:lang w:val="es-ES"/>
        </w:rPr>
        <w:tab/>
        <w:t>Con excepción de los primeros auxilios, que son de cargo del empleador, la atención médica es proporcionada por el Fondo o por los establecimientos elegidos entre las instituciones oficiales y privadas aprobadas por las autoridades médicas. En el segundo caso, el costo de los servicios prestados es reembolsado sobre la base de una tarifa fija establecida mediante acuerdo entre esos establecimientos y el Fondo.</w:t>
      </w:r>
    </w:p>
    <w:p w:rsidR="001E7BB4" w:rsidRPr="007930B0" w:rsidRDefault="001E7BB4" w:rsidP="003121D9">
      <w:pPr>
        <w:pStyle w:val="H4G"/>
        <w:rPr>
          <w:lang w:val="es-ES"/>
        </w:rPr>
      </w:pPr>
      <w:r w:rsidRPr="007930B0">
        <w:rPr>
          <w:lang w:val="es-ES"/>
        </w:rPr>
        <w:tab/>
      </w:r>
      <w:r w:rsidRPr="007930B0">
        <w:rPr>
          <w:lang w:val="es-ES"/>
        </w:rPr>
        <w:tab/>
        <w:t>Invalidez temporal</w:t>
      </w:r>
    </w:p>
    <w:p w:rsidR="001E7BB4" w:rsidRPr="007930B0" w:rsidRDefault="001E7BB4" w:rsidP="00B56B34">
      <w:pPr>
        <w:pStyle w:val="SingleTxtG"/>
        <w:rPr>
          <w:lang w:val="es-ES"/>
        </w:rPr>
      </w:pPr>
      <w:r w:rsidRPr="007930B0">
        <w:rPr>
          <w:lang w:val="es-ES"/>
        </w:rPr>
        <w:t>173.</w:t>
      </w:r>
      <w:r w:rsidRPr="007930B0">
        <w:rPr>
          <w:lang w:val="es-ES"/>
        </w:rPr>
        <w:tab/>
        <w:t xml:space="preserve">La remuneración de la jornada laboral completa durante la cual el trabajador deja de trabajar está íntegramente a cargo del empleador. El viático se paga desde el día siguiente al accidente, y equivale a dos tercios de la remuneración diaria media de la víctima hasta su completa recuperación. </w:t>
      </w:r>
    </w:p>
    <w:p w:rsidR="001E7BB4" w:rsidRPr="007930B0" w:rsidRDefault="001E7BB4" w:rsidP="003121D9">
      <w:pPr>
        <w:pStyle w:val="H4G"/>
        <w:rPr>
          <w:lang w:val="es-ES"/>
        </w:rPr>
      </w:pPr>
      <w:r w:rsidRPr="007930B0">
        <w:rPr>
          <w:lang w:val="es-ES"/>
        </w:rPr>
        <w:tab/>
      </w:r>
      <w:r w:rsidRPr="007930B0">
        <w:rPr>
          <w:lang w:val="es-ES"/>
        </w:rPr>
        <w:tab/>
        <w:t>Invalidez permanente</w:t>
      </w:r>
    </w:p>
    <w:p w:rsidR="001E7BB4" w:rsidRPr="007930B0" w:rsidRDefault="001E7BB4" w:rsidP="00B56B34">
      <w:pPr>
        <w:pStyle w:val="SingleTxtG"/>
        <w:rPr>
          <w:lang w:val="es-ES"/>
        </w:rPr>
      </w:pPr>
      <w:r w:rsidRPr="007930B0">
        <w:rPr>
          <w:lang w:val="es-ES"/>
        </w:rPr>
        <w:t>174.</w:t>
      </w:r>
      <w:r w:rsidRPr="007930B0">
        <w:rPr>
          <w:lang w:val="es-ES"/>
        </w:rPr>
        <w:tab/>
        <w:t>En caso de invalidez permanente total debidamente comprobada, la víctima tiene derecho a una renta de invalidez total equivalente al 85% de la remuneración media mensual. La renta se incrementa un 50% si el interesado necesita la asistencia de un tercero. La víctima de un accidente del trabajo afectada por una invalidez permanente parcial tiene derecho a una renta si su grado de invalidez es de 15% como mínimo. El monto de la renta de invalidez permanente parcial es, según el grado de invalidez, proporcional al monto de la renta a la que habría tenido derecho la víctima en caso de invalidez permanente total.</w:t>
      </w:r>
    </w:p>
    <w:p w:rsidR="001E7BB4" w:rsidRPr="007930B0" w:rsidRDefault="001E7BB4" w:rsidP="00B56B34">
      <w:pPr>
        <w:pStyle w:val="SingleTxtG"/>
        <w:rPr>
          <w:lang w:val="es-ES"/>
        </w:rPr>
      </w:pPr>
      <w:r w:rsidRPr="007930B0">
        <w:rPr>
          <w:lang w:val="es-ES"/>
        </w:rPr>
        <w:t>175.</w:t>
      </w:r>
      <w:r w:rsidRPr="007930B0">
        <w:rPr>
          <w:lang w:val="es-ES"/>
        </w:rPr>
        <w:tab/>
        <w:t xml:space="preserve">La prestación de invalidez se paga por única vez cuando el grado de invalidez no llega al 15%. El monto de la prestación de invalidez se calcula triplicando el monto anual de la renta correspondiente al grado de invalidez de la víctima. </w:t>
      </w:r>
    </w:p>
    <w:p w:rsidR="001E7BB4" w:rsidRPr="007930B0" w:rsidRDefault="001E7BB4" w:rsidP="003121D9">
      <w:pPr>
        <w:pStyle w:val="H4G"/>
        <w:rPr>
          <w:lang w:val="es-ES"/>
        </w:rPr>
      </w:pPr>
      <w:r w:rsidRPr="007930B0">
        <w:rPr>
          <w:lang w:val="es-ES"/>
        </w:rPr>
        <w:tab/>
      </w:r>
      <w:r w:rsidRPr="007930B0">
        <w:rPr>
          <w:lang w:val="es-ES"/>
        </w:rPr>
        <w:tab/>
        <w:t>Fallecimiento (familiares supérstites)</w:t>
      </w:r>
    </w:p>
    <w:p w:rsidR="001E7BB4" w:rsidRPr="007930B0" w:rsidRDefault="001E7BB4" w:rsidP="00B56B34">
      <w:pPr>
        <w:pStyle w:val="SingleTxtG"/>
        <w:rPr>
          <w:lang w:val="es-ES"/>
        </w:rPr>
      </w:pPr>
      <w:r w:rsidRPr="007930B0">
        <w:rPr>
          <w:lang w:val="es-ES"/>
        </w:rPr>
        <w:t>176.</w:t>
      </w:r>
      <w:r w:rsidRPr="007930B0">
        <w:rPr>
          <w:lang w:val="es-ES"/>
        </w:rPr>
        <w:tab/>
        <w:t>Cuando un accidente del trabajo tiene como consecuencia el fallecimiento de la víctima, los familiares supérstites tienen derecho a una renta de familiar supérstite y a una prestación para gastos funerarios.</w:t>
      </w:r>
    </w:p>
    <w:p w:rsidR="001E7BB4" w:rsidRPr="007930B0" w:rsidRDefault="001E7BB4" w:rsidP="00B56B34">
      <w:pPr>
        <w:pStyle w:val="SingleTxtG"/>
        <w:rPr>
          <w:lang w:val="es-ES"/>
        </w:rPr>
      </w:pPr>
      <w:r w:rsidRPr="007930B0">
        <w:rPr>
          <w:lang w:val="es-ES"/>
        </w:rPr>
        <w:t>177.</w:t>
      </w:r>
      <w:r w:rsidRPr="007930B0">
        <w:rPr>
          <w:lang w:val="es-ES"/>
        </w:rPr>
        <w:tab/>
        <w:t>La renta del familiar supérstite se fija a razón de:</w:t>
      </w:r>
    </w:p>
    <w:p w:rsidR="001E7BB4" w:rsidRPr="007930B0" w:rsidRDefault="001E7BB4" w:rsidP="003121D9">
      <w:pPr>
        <w:pStyle w:val="Bullet1G"/>
        <w:rPr>
          <w:lang w:val="es-ES"/>
        </w:rPr>
      </w:pPr>
      <w:r w:rsidRPr="007930B0">
        <w:rPr>
          <w:lang w:val="es-ES"/>
        </w:rPr>
        <w:t xml:space="preserve">20% para la viuda o el viudo; </w:t>
      </w:r>
    </w:p>
    <w:p w:rsidR="001E7BB4" w:rsidRPr="007930B0" w:rsidRDefault="001E7BB4" w:rsidP="003121D9">
      <w:pPr>
        <w:pStyle w:val="Bullet1G"/>
        <w:rPr>
          <w:lang w:val="es-ES"/>
        </w:rPr>
      </w:pPr>
      <w:r w:rsidRPr="007930B0">
        <w:rPr>
          <w:lang w:val="es-ES"/>
        </w:rPr>
        <w:t xml:space="preserve">10% para cada huérfano de padre o madre; </w:t>
      </w:r>
    </w:p>
    <w:p w:rsidR="001E7BB4" w:rsidRPr="007930B0" w:rsidRDefault="001E7BB4" w:rsidP="003121D9">
      <w:pPr>
        <w:pStyle w:val="Bullet1G"/>
        <w:rPr>
          <w:lang w:val="es-ES"/>
        </w:rPr>
      </w:pPr>
      <w:r w:rsidRPr="007930B0">
        <w:rPr>
          <w:lang w:val="es-ES"/>
        </w:rPr>
        <w:t>15% para cada huérfano de padre y madre;</w:t>
      </w:r>
    </w:p>
    <w:p w:rsidR="001E7BB4" w:rsidRPr="007930B0" w:rsidRDefault="001E7BB4" w:rsidP="003121D9">
      <w:pPr>
        <w:pStyle w:val="Bullet1G"/>
        <w:rPr>
          <w:lang w:val="es-ES"/>
        </w:rPr>
      </w:pPr>
      <w:r w:rsidRPr="007930B0">
        <w:rPr>
          <w:lang w:val="es-ES"/>
        </w:rPr>
        <w:t>10% para cada ascendiente a cargo.</w:t>
      </w:r>
    </w:p>
    <w:p w:rsidR="001E7BB4" w:rsidRPr="007930B0" w:rsidRDefault="001E7BB4" w:rsidP="00B56B34">
      <w:pPr>
        <w:pStyle w:val="SingleTxtG"/>
        <w:rPr>
          <w:lang w:val="es-ES"/>
        </w:rPr>
      </w:pPr>
      <w:r w:rsidRPr="007930B0">
        <w:rPr>
          <w:lang w:val="es-ES"/>
        </w:rPr>
        <w:t>178.</w:t>
      </w:r>
      <w:r w:rsidRPr="007930B0">
        <w:rPr>
          <w:lang w:val="es-ES"/>
        </w:rPr>
        <w:tab/>
        <w:t xml:space="preserve">La prestación para gastos funerarios es igual a 30 veces la remuneración diaria media. </w:t>
      </w:r>
    </w:p>
    <w:p w:rsidR="001E7BB4" w:rsidRPr="007930B0" w:rsidRDefault="001E7BB4" w:rsidP="003121D9">
      <w:pPr>
        <w:pStyle w:val="H23G"/>
        <w:rPr>
          <w:lang w:val="es-ES"/>
        </w:rPr>
      </w:pPr>
      <w:r w:rsidRPr="007930B0">
        <w:rPr>
          <w:lang w:val="es-ES"/>
        </w:rPr>
        <w:tab/>
      </w:r>
      <w:r w:rsidRPr="007930B0">
        <w:rPr>
          <w:lang w:val="es-ES"/>
        </w:rPr>
        <w:tab/>
        <w:t>Prestaciones familiares</w:t>
      </w:r>
    </w:p>
    <w:p w:rsidR="001E7BB4" w:rsidRPr="007930B0" w:rsidRDefault="001E7BB4" w:rsidP="00B56B34">
      <w:pPr>
        <w:pStyle w:val="SingleTxtG"/>
        <w:rPr>
          <w:lang w:val="es-ES"/>
        </w:rPr>
      </w:pPr>
      <w:r w:rsidRPr="007930B0">
        <w:rPr>
          <w:lang w:val="es-ES"/>
        </w:rPr>
        <w:t>179.</w:t>
      </w:r>
      <w:r w:rsidRPr="007930B0">
        <w:rPr>
          <w:lang w:val="es-ES"/>
        </w:rPr>
        <w:tab/>
        <w:t>Las prestaciones familiares comprenden el viático de maternidad, las prestaciones prenatales, la prima por nacimiento y las asignaciones familiares, así como la asistencia a la madre y a los lactantes en forma de prestaciones en especie. Se aplica a los trabajadores asalariados que tienen por lo menos un hijo.</w:t>
      </w:r>
    </w:p>
    <w:p w:rsidR="001E7BB4" w:rsidRPr="007930B0" w:rsidRDefault="001E7BB4" w:rsidP="003121D9">
      <w:pPr>
        <w:pStyle w:val="H4G"/>
        <w:rPr>
          <w:lang w:val="es-ES"/>
        </w:rPr>
      </w:pPr>
      <w:r w:rsidRPr="007930B0">
        <w:rPr>
          <w:lang w:val="es-ES"/>
        </w:rPr>
        <w:tab/>
      </w:r>
      <w:r w:rsidRPr="007930B0">
        <w:rPr>
          <w:lang w:val="es-ES"/>
        </w:rPr>
        <w:tab/>
        <w:t>Prestaciones de maternidad</w:t>
      </w:r>
    </w:p>
    <w:p w:rsidR="001E7BB4" w:rsidRPr="007930B0" w:rsidRDefault="001E7BB4" w:rsidP="00B56B34">
      <w:pPr>
        <w:pStyle w:val="SingleTxtG"/>
        <w:rPr>
          <w:lang w:val="es-ES"/>
        </w:rPr>
      </w:pPr>
      <w:r w:rsidRPr="007930B0">
        <w:rPr>
          <w:lang w:val="es-ES"/>
        </w:rPr>
        <w:t>180.</w:t>
      </w:r>
      <w:r w:rsidRPr="007930B0">
        <w:rPr>
          <w:lang w:val="es-ES"/>
        </w:rPr>
        <w:tab/>
        <w:t xml:space="preserve">Las prestaciones médicas y los viáticos de maternidad se pagan a condición de que la interesada demuestre haber estado inscripta durante 12 meses y haber trabajado 54 días o 360 horas en los últimos 3 meses civiles. </w:t>
      </w:r>
    </w:p>
    <w:p w:rsidR="001E7BB4" w:rsidRPr="007930B0" w:rsidRDefault="001E7BB4" w:rsidP="00B56B34">
      <w:pPr>
        <w:pStyle w:val="SingleTxtG"/>
        <w:rPr>
          <w:lang w:val="es-ES"/>
        </w:rPr>
      </w:pPr>
      <w:r w:rsidRPr="007930B0">
        <w:rPr>
          <w:lang w:val="es-ES"/>
        </w:rPr>
        <w:t>181.</w:t>
      </w:r>
      <w:r w:rsidRPr="007930B0">
        <w:rPr>
          <w:lang w:val="es-ES"/>
        </w:rPr>
        <w:tab/>
        <w:t>Los viáticos representan el 100% del salario diario medio de los 3 meses anteriores al cese de la actividad, y se otorgan a la mujer que por razón de la maternidad cese toda actividad remunerada durante 14 semanas, 6 antes y 8 después del parto.</w:t>
      </w:r>
    </w:p>
    <w:p w:rsidR="001E7BB4" w:rsidRPr="007930B0" w:rsidRDefault="001E7BB4" w:rsidP="003121D9">
      <w:pPr>
        <w:pStyle w:val="H4G"/>
        <w:rPr>
          <w:lang w:val="es-ES"/>
        </w:rPr>
      </w:pPr>
      <w:r w:rsidRPr="007930B0">
        <w:rPr>
          <w:lang w:val="es-ES"/>
        </w:rPr>
        <w:tab/>
      </w:r>
      <w:r w:rsidRPr="007930B0">
        <w:rPr>
          <w:lang w:val="es-ES"/>
        </w:rPr>
        <w:tab/>
        <w:t>Prestaciones familiares</w:t>
      </w:r>
    </w:p>
    <w:p w:rsidR="001E7BB4" w:rsidRPr="007930B0" w:rsidRDefault="001E7BB4" w:rsidP="00B56B34">
      <w:pPr>
        <w:pStyle w:val="SingleTxtG"/>
        <w:rPr>
          <w:lang w:val="es-ES"/>
        </w:rPr>
      </w:pPr>
      <w:r w:rsidRPr="007930B0">
        <w:rPr>
          <w:lang w:val="es-ES"/>
        </w:rPr>
        <w:t>182.</w:t>
      </w:r>
      <w:r w:rsidRPr="007930B0">
        <w:rPr>
          <w:lang w:val="es-ES"/>
        </w:rPr>
        <w:tab/>
        <w:t>Los trabajadores afiliados que tienen uno o más hijos a cargo tienen derecho a recibir prestaciones familiares por los meses durante los cuales hayan trabajado un mínimo de 18 días o 120 horas y hayan percibido un salario igual al salario mínimo interprofesional garantido. Las prestaciones familiares comprenden las prestaciones prenatales, la prima por nacimiento y las asignaciones familiares, así como la asistencia a la madre y a los lactantes en forma de prestaciones en especie</w:t>
      </w:r>
    </w:p>
    <w:p w:rsidR="001E7BB4" w:rsidRPr="007930B0" w:rsidRDefault="001E7BB4" w:rsidP="003121D9">
      <w:pPr>
        <w:pStyle w:val="H23G"/>
        <w:rPr>
          <w:lang w:val="es-ES"/>
        </w:rPr>
      </w:pPr>
      <w:r w:rsidRPr="007930B0">
        <w:rPr>
          <w:lang w:val="es-ES"/>
        </w:rPr>
        <w:tab/>
      </w:r>
      <w:r w:rsidRPr="007930B0">
        <w:rPr>
          <w:lang w:val="es-ES"/>
        </w:rPr>
        <w:tab/>
        <w:t>Prestaciones prenatales</w:t>
      </w:r>
    </w:p>
    <w:p w:rsidR="001E7BB4" w:rsidRPr="007930B0" w:rsidRDefault="001E7BB4" w:rsidP="00B56B34">
      <w:pPr>
        <w:pStyle w:val="SingleTxtG"/>
        <w:rPr>
          <w:lang w:val="es-ES"/>
        </w:rPr>
      </w:pPr>
      <w:r w:rsidRPr="007930B0">
        <w:rPr>
          <w:lang w:val="es-ES"/>
        </w:rPr>
        <w:t>183.</w:t>
      </w:r>
      <w:r w:rsidRPr="007930B0">
        <w:rPr>
          <w:lang w:val="es-ES"/>
        </w:rPr>
        <w:tab/>
        <w:t>Toda mujer asalariada o cónyuge de un trabajador asalariado tiene derecho a recibir prestaciones prenatales durante los nueve meses anteriores al nacimiento, siempre y cuando declare el embarazo durante los tres primeros meses, y a partir del día de la declaración si ésta se formula después de transcurrido ese período. El otorgamiento de las prestaciones prenatales está supeditado a que la madre se someta a los exámenes médicos exigidos. Estas prestaciones son de 2.160 ouguiyas y se pagan en tres</w:t>
      </w:r>
      <w:r w:rsidR="00CC3B6E" w:rsidRPr="007930B0">
        <w:rPr>
          <w:lang w:val="es-ES"/>
        </w:rPr>
        <w:t xml:space="preserve"> </w:t>
      </w:r>
      <w:r w:rsidRPr="007930B0">
        <w:rPr>
          <w:lang w:val="es-ES"/>
        </w:rPr>
        <w:t xml:space="preserve">cuotas. </w:t>
      </w:r>
    </w:p>
    <w:p w:rsidR="001E7BB4" w:rsidRPr="007930B0" w:rsidRDefault="001E7BB4" w:rsidP="003121D9">
      <w:pPr>
        <w:pStyle w:val="H23G"/>
        <w:rPr>
          <w:lang w:val="es-ES"/>
        </w:rPr>
      </w:pPr>
      <w:r w:rsidRPr="007930B0">
        <w:rPr>
          <w:lang w:val="es-ES"/>
        </w:rPr>
        <w:tab/>
      </w:r>
      <w:r w:rsidRPr="007930B0">
        <w:rPr>
          <w:lang w:val="es-ES"/>
        </w:rPr>
        <w:tab/>
        <w:t>Prima por nacimiento</w:t>
      </w:r>
    </w:p>
    <w:p w:rsidR="001E7BB4" w:rsidRPr="007930B0" w:rsidRDefault="001E7BB4" w:rsidP="00B56B34">
      <w:pPr>
        <w:pStyle w:val="SingleTxtG"/>
        <w:rPr>
          <w:lang w:val="es-ES"/>
        </w:rPr>
      </w:pPr>
      <w:r w:rsidRPr="007930B0">
        <w:rPr>
          <w:lang w:val="es-ES"/>
        </w:rPr>
        <w:t>184.</w:t>
      </w:r>
      <w:r w:rsidRPr="007930B0">
        <w:rPr>
          <w:lang w:val="es-ES"/>
        </w:rPr>
        <w:tab/>
        <w:t>El pago de esta prima está sujeto a la condición de que la madre y el niño se sometan a los exámenes médicos reglamentarios. Sólo tienen derecho a la prima por nacimiento los tres primeros hijos (2.880 ouguiyas por cada uno de ellos).</w:t>
      </w:r>
    </w:p>
    <w:p w:rsidR="001E7BB4" w:rsidRPr="007930B0" w:rsidRDefault="001E7BB4" w:rsidP="003121D9">
      <w:pPr>
        <w:pStyle w:val="H23G"/>
        <w:rPr>
          <w:lang w:val="es-ES"/>
        </w:rPr>
      </w:pPr>
      <w:r w:rsidRPr="007930B0">
        <w:rPr>
          <w:lang w:val="es-ES"/>
        </w:rPr>
        <w:tab/>
      </w:r>
      <w:r w:rsidRPr="007930B0">
        <w:rPr>
          <w:lang w:val="es-ES"/>
        </w:rPr>
        <w:tab/>
        <w:t>Asignaciones familiares</w:t>
      </w:r>
    </w:p>
    <w:p w:rsidR="001E7BB4" w:rsidRPr="007930B0" w:rsidRDefault="001E7BB4" w:rsidP="00B56B34">
      <w:pPr>
        <w:pStyle w:val="SingleTxtG"/>
        <w:rPr>
          <w:lang w:val="es-ES"/>
        </w:rPr>
      </w:pPr>
      <w:r w:rsidRPr="007930B0">
        <w:rPr>
          <w:lang w:val="es-ES"/>
        </w:rPr>
        <w:t>185.</w:t>
      </w:r>
      <w:r w:rsidRPr="007930B0">
        <w:rPr>
          <w:lang w:val="es-ES"/>
        </w:rPr>
        <w:tab/>
        <w:t xml:space="preserve">Para el reconocimiento del derecho a percibir asignaciones familiares se consideran hijos a cargo los que no tengan más de 14 años, y los de hasta 21 años si están capacitándose o cursando estudios o son </w:t>
      </w:r>
      <w:r w:rsidR="0095166A" w:rsidRPr="007930B0">
        <w:rPr>
          <w:lang w:val="es-ES"/>
        </w:rPr>
        <w:t>inválidos</w:t>
      </w:r>
      <w:r w:rsidRPr="007930B0">
        <w:rPr>
          <w:lang w:val="es-ES"/>
        </w:rPr>
        <w:t xml:space="preserve">. La asignación familiar asciende a 300 ouguiyas por hijo y por mes. El Fondo puede delegar en los empleadores el pago de las asignaciones familiares, que en todos los casos se pagan a la madre. </w:t>
      </w:r>
    </w:p>
    <w:p w:rsidR="001E7BB4" w:rsidRPr="007930B0" w:rsidRDefault="001E7BB4" w:rsidP="003121D9">
      <w:pPr>
        <w:pStyle w:val="H23G"/>
        <w:rPr>
          <w:lang w:val="es-ES"/>
        </w:rPr>
      </w:pPr>
      <w:r w:rsidRPr="007930B0">
        <w:rPr>
          <w:lang w:val="es-ES"/>
        </w:rPr>
        <w:tab/>
      </w:r>
      <w:r w:rsidRPr="007930B0">
        <w:rPr>
          <w:lang w:val="es-ES"/>
        </w:rPr>
        <w:tab/>
        <w:t>Fondo Nacional del Seguro de Enfermedad</w:t>
      </w:r>
    </w:p>
    <w:p w:rsidR="001E7BB4" w:rsidRPr="007930B0" w:rsidRDefault="001E7BB4" w:rsidP="00B56B34">
      <w:pPr>
        <w:pStyle w:val="SingleTxtG"/>
        <w:rPr>
          <w:lang w:val="es-ES"/>
        </w:rPr>
      </w:pPr>
      <w:r w:rsidRPr="007930B0">
        <w:rPr>
          <w:lang w:val="es-ES"/>
        </w:rPr>
        <w:t>186.</w:t>
      </w:r>
      <w:r w:rsidRPr="007930B0">
        <w:rPr>
          <w:lang w:val="es-ES"/>
        </w:rPr>
        <w:tab/>
        <w:t>De conformidad con la resolución N</w:t>
      </w:r>
      <w:r w:rsidRPr="007930B0">
        <w:rPr>
          <w:rFonts w:eastAsia="MS Mincho"/>
          <w:lang w:val="es-ES"/>
        </w:rPr>
        <w:t>o</w:t>
      </w:r>
      <w:r w:rsidRPr="007930B0">
        <w:rPr>
          <w:lang w:val="es-ES"/>
        </w:rPr>
        <w:t xml:space="preserve"> 2005-006, relativa a la creación del régimen del seguro de enfermedad, se estableció un régimen de seguro de enfermedad obligatorio, fundado en el principio contributivo y en el de la mutualidad de los riesgos, en beneficio de las personas que se indican a continuación y sus derechohabientes.</w:t>
      </w:r>
    </w:p>
    <w:p w:rsidR="001E7BB4" w:rsidRPr="007930B0" w:rsidRDefault="001E7BB4" w:rsidP="003121D9">
      <w:pPr>
        <w:pStyle w:val="Bullet1G"/>
        <w:rPr>
          <w:lang w:val="es-ES"/>
        </w:rPr>
      </w:pPr>
      <w:r w:rsidRPr="007930B0">
        <w:rPr>
          <w:lang w:val="es-ES"/>
        </w:rPr>
        <w:t xml:space="preserve">Los parlamentarios, funcionarios públicos y agentes del Estado </w:t>
      </w:r>
      <w:r w:rsidRPr="007930B0">
        <w:rPr>
          <w:b/>
          <w:bCs/>
          <w:lang w:val="es-ES"/>
        </w:rPr>
        <w:t>(Grupo I)</w:t>
      </w:r>
      <w:r w:rsidRPr="007930B0">
        <w:rPr>
          <w:lang w:val="es-ES"/>
        </w:rPr>
        <w:t>;</w:t>
      </w:r>
    </w:p>
    <w:p w:rsidR="001E7BB4" w:rsidRPr="007930B0" w:rsidRDefault="001E7BB4" w:rsidP="003121D9">
      <w:pPr>
        <w:pStyle w:val="Bullet1G"/>
        <w:rPr>
          <w:lang w:val="es-ES"/>
        </w:rPr>
      </w:pPr>
      <w:r w:rsidRPr="007930B0">
        <w:rPr>
          <w:lang w:val="es-ES"/>
        </w:rPr>
        <w:t xml:space="preserve">El personal en actividad de las Fuerzas Armadas </w:t>
      </w:r>
      <w:r w:rsidRPr="007930B0">
        <w:rPr>
          <w:b/>
          <w:bCs/>
          <w:lang w:val="es-ES"/>
        </w:rPr>
        <w:t>(Grupo II)</w:t>
      </w:r>
      <w:r w:rsidRPr="007930B0">
        <w:rPr>
          <w:lang w:val="es-ES"/>
        </w:rPr>
        <w:t>;</w:t>
      </w:r>
    </w:p>
    <w:p w:rsidR="001E7BB4" w:rsidRPr="007930B0" w:rsidRDefault="001E7BB4" w:rsidP="003121D9">
      <w:pPr>
        <w:pStyle w:val="Bullet1G"/>
        <w:rPr>
          <w:lang w:val="es-ES"/>
        </w:rPr>
      </w:pPr>
      <w:r w:rsidRPr="007930B0">
        <w:rPr>
          <w:lang w:val="es-ES"/>
        </w:rPr>
        <w:t xml:space="preserve">Los titulares de jubilaciones de parlamentarios y los titulares de jubilaciones civiles o militares provenientes de los grupos I y II </w:t>
      </w:r>
      <w:r w:rsidRPr="007930B0">
        <w:rPr>
          <w:b/>
          <w:bCs/>
          <w:lang w:val="es-ES"/>
        </w:rPr>
        <w:t>(Grupo III)</w:t>
      </w:r>
      <w:r w:rsidRPr="007930B0">
        <w:rPr>
          <w:lang w:val="es-ES"/>
        </w:rPr>
        <w:t>.</w:t>
      </w:r>
    </w:p>
    <w:p w:rsidR="001E7BB4" w:rsidRPr="007930B0" w:rsidRDefault="001E7BB4" w:rsidP="00B56B34">
      <w:pPr>
        <w:pStyle w:val="SingleTxtG"/>
        <w:rPr>
          <w:lang w:val="es-ES"/>
        </w:rPr>
      </w:pPr>
      <w:r w:rsidRPr="007930B0">
        <w:rPr>
          <w:lang w:val="es-ES"/>
        </w:rPr>
        <w:t>187.</w:t>
      </w:r>
      <w:r w:rsidRPr="007930B0">
        <w:rPr>
          <w:lang w:val="es-ES"/>
        </w:rPr>
        <w:tab/>
        <w:t>Son beneficiarios del régimen del seguro de enfermedad:</w:t>
      </w:r>
    </w:p>
    <w:p w:rsidR="001E7BB4" w:rsidRPr="007930B0" w:rsidRDefault="001E7BB4" w:rsidP="003121D9">
      <w:pPr>
        <w:pStyle w:val="Bullet1G"/>
        <w:rPr>
          <w:lang w:val="es-ES"/>
        </w:rPr>
      </w:pPr>
      <w:r w:rsidRPr="007930B0">
        <w:rPr>
          <w:lang w:val="es-ES"/>
        </w:rPr>
        <w:t>Los afiliados al seguro social;</w:t>
      </w:r>
    </w:p>
    <w:p w:rsidR="001E7BB4" w:rsidRPr="007930B0" w:rsidRDefault="001E7BB4" w:rsidP="003121D9">
      <w:pPr>
        <w:pStyle w:val="Bullet1G"/>
        <w:rPr>
          <w:lang w:val="es-ES"/>
        </w:rPr>
      </w:pPr>
      <w:r w:rsidRPr="007930B0">
        <w:rPr>
          <w:lang w:val="es-ES"/>
        </w:rPr>
        <w:t>El cónyuge del asegurado;</w:t>
      </w:r>
    </w:p>
    <w:p w:rsidR="001E7BB4" w:rsidRPr="007930B0" w:rsidRDefault="001E7BB4" w:rsidP="003121D9">
      <w:pPr>
        <w:pStyle w:val="Bullet1G"/>
        <w:rPr>
          <w:lang w:val="es-ES"/>
        </w:rPr>
      </w:pPr>
      <w:r w:rsidRPr="007930B0">
        <w:rPr>
          <w:lang w:val="es-ES"/>
        </w:rPr>
        <w:t>Los hijos de hasta 21 años del asegurado;</w:t>
      </w:r>
    </w:p>
    <w:p w:rsidR="001E7BB4" w:rsidRPr="007930B0" w:rsidRDefault="001E7BB4" w:rsidP="003121D9">
      <w:pPr>
        <w:pStyle w:val="Bullet1G"/>
        <w:rPr>
          <w:lang w:val="es-ES"/>
        </w:rPr>
      </w:pPr>
      <w:r w:rsidRPr="007930B0">
        <w:rPr>
          <w:lang w:val="es-ES"/>
        </w:rPr>
        <w:t xml:space="preserve">Los hijos del asegurado, sin límite de edad, que tengan una discapacidad física que les impida ejercer una actividad remunerada. </w:t>
      </w:r>
    </w:p>
    <w:p w:rsidR="001E7BB4" w:rsidRPr="007930B0" w:rsidRDefault="001E7BB4" w:rsidP="003121D9">
      <w:pPr>
        <w:pStyle w:val="H23G"/>
        <w:rPr>
          <w:lang w:val="es-ES"/>
        </w:rPr>
      </w:pPr>
      <w:r w:rsidRPr="007930B0">
        <w:rPr>
          <w:lang w:val="es-ES"/>
        </w:rPr>
        <w:tab/>
      </w:r>
      <w:r w:rsidRPr="007930B0">
        <w:rPr>
          <w:lang w:val="es-ES"/>
        </w:rPr>
        <w:tab/>
        <w:t>Prestaciones garantizadas</w:t>
      </w:r>
    </w:p>
    <w:p w:rsidR="001E7BB4" w:rsidRPr="007930B0" w:rsidRDefault="001E7BB4" w:rsidP="00B56B34">
      <w:pPr>
        <w:pStyle w:val="SingleTxtG"/>
        <w:rPr>
          <w:lang w:val="es-ES"/>
        </w:rPr>
      </w:pPr>
      <w:r w:rsidRPr="007930B0">
        <w:rPr>
          <w:lang w:val="es-ES"/>
        </w:rPr>
        <w:t>188.</w:t>
      </w:r>
      <w:r w:rsidRPr="007930B0">
        <w:rPr>
          <w:lang w:val="es-ES"/>
        </w:rPr>
        <w:tab/>
        <w:t xml:space="preserve">El régimen del seguro de enfermedad básico garantiza a las personas mencionadas </w:t>
      </w:r>
      <w:r w:rsidR="0095166A" w:rsidRPr="00034975">
        <w:rPr>
          <w:i/>
          <w:iCs/>
          <w:lang w:val="es-ES"/>
        </w:rPr>
        <w:t>supra</w:t>
      </w:r>
      <w:r w:rsidRPr="007930B0">
        <w:rPr>
          <w:lang w:val="es-ES"/>
        </w:rPr>
        <w:t xml:space="preserve"> la cobertura de los riesgos y los gastos de la atención médica inherente a la enfermedad o el accidente, a la maternidad y a la rehabilitación física y funcional. Los riesgos vinculados a los accidentes del trabajo y a las enfermedades profesionales siguen rigiéndose por la legislación y</w:t>
      </w:r>
      <w:r w:rsidR="00CC3B6E" w:rsidRPr="007930B0">
        <w:rPr>
          <w:lang w:val="es-ES"/>
        </w:rPr>
        <w:t xml:space="preserve"> </w:t>
      </w:r>
      <w:r w:rsidRPr="007930B0">
        <w:rPr>
          <w:lang w:val="es-ES"/>
        </w:rPr>
        <w:t>la reglamentación pertinentes.</w:t>
      </w:r>
      <w:r w:rsidR="00CC3B6E" w:rsidRPr="007930B0">
        <w:rPr>
          <w:lang w:val="es-ES"/>
        </w:rPr>
        <w:t xml:space="preserve"> </w:t>
      </w:r>
    </w:p>
    <w:p w:rsidR="001E7BB4" w:rsidRPr="007930B0" w:rsidRDefault="001E7BB4" w:rsidP="00B56B34">
      <w:pPr>
        <w:pStyle w:val="SingleTxtG"/>
        <w:rPr>
          <w:lang w:val="es-ES"/>
        </w:rPr>
      </w:pPr>
      <w:r w:rsidRPr="007930B0">
        <w:rPr>
          <w:lang w:val="es-ES"/>
        </w:rPr>
        <w:t>189.</w:t>
      </w:r>
      <w:r w:rsidRPr="007930B0">
        <w:rPr>
          <w:lang w:val="es-ES"/>
        </w:rPr>
        <w:tab/>
        <w:t>El seguro de enfermedad obligatorio da derecho al reembolso o al pago directo de los gastos de la atención médica preventiva y curativa así como de los gastos de rehabilitación que se requieran desde el punto de vista médico por el estado de salud del beneficiario, y abarca las siguientes prestaciones:</w:t>
      </w:r>
    </w:p>
    <w:p w:rsidR="001E7BB4" w:rsidRPr="007930B0" w:rsidRDefault="001E7BB4" w:rsidP="00C03DBF">
      <w:pPr>
        <w:pStyle w:val="Bullet1G"/>
        <w:rPr>
          <w:lang w:val="es-ES"/>
        </w:rPr>
      </w:pPr>
      <w:r w:rsidRPr="007930B0">
        <w:rPr>
          <w:lang w:val="es-ES"/>
        </w:rPr>
        <w:t xml:space="preserve">Atención ambulatoria: prevención, consulta, tratamientos y servicios auxiliares; </w:t>
      </w:r>
    </w:p>
    <w:p w:rsidR="001E7BB4" w:rsidRPr="007930B0" w:rsidRDefault="001E7BB4" w:rsidP="00C03DBF">
      <w:pPr>
        <w:pStyle w:val="Bullet1G"/>
        <w:rPr>
          <w:lang w:val="es-ES"/>
        </w:rPr>
      </w:pPr>
      <w:r w:rsidRPr="007930B0">
        <w:rPr>
          <w:lang w:val="es-ES"/>
        </w:rPr>
        <w:t>Atención hospitalaria: consulta, cirugía, tratamientos no quirúrgicos y medicamentos durante la estadía en el hospital;</w:t>
      </w:r>
    </w:p>
    <w:p w:rsidR="001E7BB4" w:rsidRPr="007930B0" w:rsidRDefault="001E7BB4" w:rsidP="00C03DBF">
      <w:pPr>
        <w:pStyle w:val="Bullet1G"/>
        <w:rPr>
          <w:lang w:val="es-ES"/>
        </w:rPr>
      </w:pPr>
      <w:r w:rsidRPr="007930B0">
        <w:rPr>
          <w:lang w:val="es-ES"/>
        </w:rPr>
        <w:t>Los medicamentos comprendidos en una lista;</w:t>
      </w:r>
    </w:p>
    <w:p w:rsidR="001E7BB4" w:rsidRPr="007930B0" w:rsidRDefault="001E7BB4" w:rsidP="00C03DBF">
      <w:pPr>
        <w:pStyle w:val="Bullet1G"/>
        <w:rPr>
          <w:lang w:val="es-ES"/>
        </w:rPr>
      </w:pPr>
      <w:r w:rsidRPr="007930B0">
        <w:rPr>
          <w:lang w:val="es-ES"/>
        </w:rPr>
        <w:t xml:space="preserve">La evacuación del paciente para proporcionarle la atención necesaria, cuando esa atención está incluida en los servicios comprendidos. </w:t>
      </w:r>
    </w:p>
    <w:p w:rsidR="001E7BB4" w:rsidRPr="007930B0" w:rsidRDefault="001E7BB4" w:rsidP="00B56B34">
      <w:pPr>
        <w:pStyle w:val="SingleTxtG"/>
        <w:rPr>
          <w:lang w:val="es-ES"/>
        </w:rPr>
      </w:pPr>
      <w:r w:rsidRPr="007930B0">
        <w:rPr>
          <w:lang w:val="es-ES"/>
        </w:rPr>
        <w:t>190.</w:t>
      </w:r>
      <w:r w:rsidRPr="007930B0">
        <w:rPr>
          <w:lang w:val="es-ES"/>
        </w:rPr>
        <w:tab/>
        <w:t xml:space="preserve">Están excluidas del conjunto de prestaciones garantizadas por el régimen del seguro de enfermedad básico las intervenciones de cirugía estética, los tratamientos curativos termales, la acupuntura y, en general, la atención prestada en el marco de la medicina llamada </w:t>
      </w:r>
      <w:r w:rsidR="00CC3B6E" w:rsidRPr="007930B0">
        <w:rPr>
          <w:lang w:val="es-ES"/>
        </w:rPr>
        <w:t>"</w:t>
      </w:r>
      <w:r w:rsidRPr="007930B0">
        <w:rPr>
          <w:lang w:val="es-ES"/>
        </w:rPr>
        <w:t>suave</w:t>
      </w:r>
      <w:r w:rsidR="00CC3B6E" w:rsidRPr="007930B0">
        <w:rPr>
          <w:lang w:val="es-ES"/>
        </w:rPr>
        <w:t>"</w:t>
      </w:r>
      <w:r w:rsidRPr="007930B0">
        <w:rPr>
          <w:lang w:val="es-ES"/>
        </w:rPr>
        <w:t xml:space="preserve"> o tradicional.</w:t>
      </w:r>
      <w:r w:rsidR="00CC3B6E" w:rsidRPr="007930B0">
        <w:rPr>
          <w:lang w:val="es-ES"/>
        </w:rPr>
        <w:t xml:space="preserve"> </w:t>
      </w:r>
    </w:p>
    <w:p w:rsidR="001E7BB4" w:rsidRPr="007930B0" w:rsidRDefault="001E7BB4" w:rsidP="00C03DBF">
      <w:pPr>
        <w:pStyle w:val="H23G"/>
        <w:rPr>
          <w:lang w:val="es-ES"/>
        </w:rPr>
      </w:pPr>
      <w:r w:rsidRPr="007930B0">
        <w:rPr>
          <w:lang w:val="es-ES"/>
        </w:rPr>
        <w:tab/>
      </w:r>
      <w:r w:rsidRPr="007930B0">
        <w:rPr>
          <w:lang w:val="es-ES"/>
        </w:rPr>
        <w:tab/>
        <w:t>Condiciones y modalidades de reembolso o de pago directo</w:t>
      </w:r>
    </w:p>
    <w:p w:rsidR="001E7BB4" w:rsidRPr="007930B0" w:rsidRDefault="001E7BB4" w:rsidP="00B56B34">
      <w:pPr>
        <w:pStyle w:val="SingleTxtG"/>
        <w:rPr>
          <w:lang w:val="es-ES"/>
        </w:rPr>
      </w:pPr>
      <w:r w:rsidRPr="007930B0">
        <w:rPr>
          <w:lang w:val="es-ES"/>
        </w:rPr>
        <w:t>191.</w:t>
      </w:r>
      <w:r w:rsidRPr="007930B0">
        <w:rPr>
          <w:lang w:val="es-ES"/>
        </w:rPr>
        <w:tab/>
        <w:t>El régimen del seguro de enfermedad previsto en esta resolución garantiza el reembolso o el pago directo de la totalidad o parte de los gastos de atención médica por el organismo administrador, siendo la parte restante a cargo del asegurado. Este conserva el derecho de afiliarse a un régimen complementario de seguro médico, para cubrir los gastos restantes que corren de su cuenta.</w:t>
      </w:r>
    </w:p>
    <w:p w:rsidR="001E7BB4" w:rsidRPr="007930B0" w:rsidRDefault="001E7BB4" w:rsidP="00B56B34">
      <w:pPr>
        <w:pStyle w:val="SingleTxtG"/>
        <w:rPr>
          <w:lang w:val="es-ES"/>
        </w:rPr>
      </w:pPr>
      <w:r w:rsidRPr="007930B0">
        <w:rPr>
          <w:lang w:val="es-ES"/>
        </w:rPr>
        <w:t>192.</w:t>
      </w:r>
      <w:r w:rsidRPr="007930B0">
        <w:rPr>
          <w:lang w:val="es-ES"/>
        </w:rPr>
        <w:tab/>
        <w:t>Sin embargo, en caso de enfermedad grave o discapacitante que requiera atención a largo plazo, o en caso de tratamientos particularmente onerosos, la parte de gastos a cargo del asegurado es objeto de una exoneración total o parcial.</w:t>
      </w:r>
    </w:p>
    <w:p w:rsidR="001E7BB4" w:rsidRPr="007930B0" w:rsidRDefault="001E7BB4" w:rsidP="00B56B34">
      <w:pPr>
        <w:pStyle w:val="SingleTxtG"/>
        <w:rPr>
          <w:lang w:val="es-ES"/>
        </w:rPr>
      </w:pPr>
      <w:r w:rsidRPr="007930B0">
        <w:rPr>
          <w:lang w:val="es-ES"/>
        </w:rPr>
        <w:t>193.</w:t>
      </w:r>
      <w:r w:rsidRPr="007930B0">
        <w:rPr>
          <w:lang w:val="es-ES"/>
        </w:rPr>
        <w:tab/>
        <w:t>La lista de enfermedades que dan derecho a exoneración y las condiciones en las que se concede esa exoneración se fijan en una resolución conjunta de los ministros encargados de las finanzas, la salud, la administración pública y la defensa nacional.</w:t>
      </w:r>
    </w:p>
    <w:p w:rsidR="001E7BB4" w:rsidRPr="007930B0" w:rsidRDefault="001E7BB4" w:rsidP="00B56B34">
      <w:pPr>
        <w:pStyle w:val="SingleTxtG"/>
        <w:rPr>
          <w:lang w:val="es-ES"/>
        </w:rPr>
      </w:pPr>
      <w:r w:rsidRPr="007930B0">
        <w:rPr>
          <w:lang w:val="es-ES"/>
        </w:rPr>
        <w:t>194.</w:t>
      </w:r>
      <w:r w:rsidRPr="007930B0">
        <w:rPr>
          <w:lang w:val="es-ES"/>
        </w:rPr>
        <w:tab/>
        <w:t xml:space="preserve">El reembolso o el pago directo de los gastos en que incurren los beneficiarios del organismo administrador se efectúan: </w:t>
      </w:r>
    </w:p>
    <w:p w:rsidR="001E7BB4" w:rsidRPr="007930B0" w:rsidRDefault="001E7BB4" w:rsidP="00C03DBF">
      <w:pPr>
        <w:pStyle w:val="Bullet1G"/>
        <w:rPr>
          <w:lang w:val="es-ES"/>
        </w:rPr>
      </w:pPr>
      <w:r w:rsidRPr="007930B0">
        <w:rPr>
          <w:lang w:val="es-ES"/>
        </w:rPr>
        <w:t xml:space="preserve">En el acto, sobre la base de las nomenclaturas de los actos profesionales establecidas en una resolución del ministro a cargo de la salud; </w:t>
      </w:r>
    </w:p>
    <w:p w:rsidR="001E7BB4" w:rsidRPr="007930B0" w:rsidRDefault="001E7BB4" w:rsidP="00C03DBF">
      <w:pPr>
        <w:pStyle w:val="Bullet1G"/>
        <w:rPr>
          <w:lang w:val="es-ES"/>
        </w:rPr>
      </w:pPr>
      <w:r w:rsidRPr="007930B0">
        <w:rPr>
          <w:lang w:val="es-ES"/>
        </w:rPr>
        <w:t>Sobre la base de una tasa fija por enfermedad o por grupo homogéneo de enfermedades;</w:t>
      </w:r>
    </w:p>
    <w:p w:rsidR="001E7BB4" w:rsidRPr="007930B0" w:rsidRDefault="001E7BB4" w:rsidP="00C03DBF">
      <w:pPr>
        <w:pStyle w:val="Bullet1G"/>
        <w:rPr>
          <w:lang w:val="es-ES"/>
        </w:rPr>
      </w:pPr>
      <w:r w:rsidRPr="007930B0">
        <w:rPr>
          <w:lang w:val="es-ES"/>
        </w:rPr>
        <w:t xml:space="preserve">En forma de asignación global o prepago; </w:t>
      </w:r>
    </w:p>
    <w:p w:rsidR="001E7BB4" w:rsidRPr="007930B0" w:rsidRDefault="001E7BB4" w:rsidP="00C03DBF">
      <w:pPr>
        <w:pStyle w:val="Bullet1G"/>
        <w:rPr>
          <w:lang w:val="es-ES"/>
        </w:rPr>
      </w:pPr>
      <w:r w:rsidRPr="007930B0">
        <w:rPr>
          <w:lang w:val="es-ES"/>
        </w:rPr>
        <w:t>Sobre la base de un honorario fijo por persona.</w:t>
      </w:r>
    </w:p>
    <w:p w:rsidR="001E7BB4" w:rsidRPr="007930B0" w:rsidRDefault="001E7BB4" w:rsidP="00B56B34">
      <w:pPr>
        <w:pStyle w:val="SingleTxtG"/>
        <w:rPr>
          <w:lang w:val="es-ES"/>
        </w:rPr>
      </w:pPr>
      <w:r w:rsidRPr="007930B0">
        <w:rPr>
          <w:lang w:val="es-ES"/>
        </w:rPr>
        <w:t>195.</w:t>
      </w:r>
      <w:r w:rsidRPr="007930B0">
        <w:rPr>
          <w:lang w:val="es-ES"/>
        </w:rPr>
        <w:tab/>
        <w:t>En todos los casos, la facturación de las prestaciones de salud debe</w:t>
      </w:r>
      <w:r w:rsidR="00CC3B6E" w:rsidRPr="007930B0">
        <w:rPr>
          <w:lang w:val="es-ES"/>
        </w:rPr>
        <w:t xml:space="preserve"> </w:t>
      </w:r>
      <w:r w:rsidRPr="007930B0">
        <w:rPr>
          <w:lang w:val="es-ES"/>
        </w:rPr>
        <w:t>hacerse con arreglo a las normas establecidas mediante un decreto de los ministros de finanzas y de salud, a propuesta del órgano deliberante del organismo administrador.</w:t>
      </w:r>
    </w:p>
    <w:p w:rsidR="001E7BB4" w:rsidRPr="007930B0" w:rsidRDefault="001E7BB4" w:rsidP="00B56B34">
      <w:pPr>
        <w:pStyle w:val="SingleTxtG"/>
        <w:rPr>
          <w:lang w:val="es-ES"/>
        </w:rPr>
      </w:pPr>
      <w:r w:rsidRPr="007930B0">
        <w:rPr>
          <w:lang w:val="es-ES"/>
        </w:rPr>
        <w:t>196.</w:t>
      </w:r>
      <w:r w:rsidRPr="007930B0">
        <w:rPr>
          <w:lang w:val="es-ES"/>
        </w:rPr>
        <w:tab/>
        <w:t>El arancel nacional de referencia para el reembolso o el pago directo</w:t>
      </w:r>
      <w:r w:rsidR="00CC3B6E" w:rsidRPr="007930B0">
        <w:rPr>
          <w:lang w:val="es-ES"/>
        </w:rPr>
        <w:t xml:space="preserve"> </w:t>
      </w:r>
      <w:r w:rsidRPr="007930B0">
        <w:rPr>
          <w:lang w:val="es-ES"/>
        </w:rPr>
        <w:t>de las prestaciones de salud garantizadas y para los medicamentos se fija:</w:t>
      </w:r>
    </w:p>
    <w:p w:rsidR="001E7BB4" w:rsidRPr="007930B0" w:rsidRDefault="001E7BB4" w:rsidP="00C03DBF">
      <w:pPr>
        <w:pStyle w:val="Bullet1G"/>
        <w:rPr>
          <w:lang w:val="es-ES"/>
        </w:rPr>
      </w:pPr>
      <w:r w:rsidRPr="007930B0">
        <w:rPr>
          <w:lang w:val="es-ES"/>
        </w:rPr>
        <w:t>Por decreto conjunto de los ministros de finanzas y de salud, según el caso;</w:t>
      </w:r>
    </w:p>
    <w:p w:rsidR="001E7BB4" w:rsidRPr="007930B0" w:rsidRDefault="001E7BB4" w:rsidP="00C03DBF">
      <w:pPr>
        <w:pStyle w:val="Bullet1G"/>
        <w:rPr>
          <w:lang w:val="es-ES"/>
        </w:rPr>
      </w:pPr>
      <w:r w:rsidRPr="007930B0">
        <w:rPr>
          <w:lang w:val="es-ES"/>
        </w:rPr>
        <w:t>Mediante un convenio negociado.</w:t>
      </w:r>
    </w:p>
    <w:p w:rsidR="001E7BB4" w:rsidRPr="007930B0" w:rsidRDefault="001E7BB4" w:rsidP="00B56B34">
      <w:pPr>
        <w:pStyle w:val="SingleTxtG"/>
        <w:rPr>
          <w:lang w:val="es-ES"/>
        </w:rPr>
      </w:pPr>
      <w:r w:rsidRPr="007930B0">
        <w:rPr>
          <w:lang w:val="es-ES"/>
        </w:rPr>
        <w:t>197.</w:t>
      </w:r>
      <w:r w:rsidRPr="007930B0">
        <w:rPr>
          <w:lang w:val="es-ES"/>
        </w:rPr>
        <w:tab/>
        <w:t xml:space="preserve">El arancel nacional de referencia en lo que respecta a los equipos y dispositivos médicos es aprobado por los ministros de finanzas y de salud, sobre la base de una propuesta del organismo administrador. </w:t>
      </w:r>
    </w:p>
    <w:p w:rsidR="001E7BB4" w:rsidRPr="007930B0" w:rsidRDefault="001E7BB4" w:rsidP="00B56B34">
      <w:pPr>
        <w:pStyle w:val="SingleTxtG"/>
        <w:rPr>
          <w:lang w:val="es-ES"/>
        </w:rPr>
      </w:pPr>
      <w:r w:rsidRPr="007930B0">
        <w:rPr>
          <w:lang w:val="es-ES"/>
        </w:rPr>
        <w:t>198.</w:t>
      </w:r>
      <w:r w:rsidRPr="007930B0">
        <w:rPr>
          <w:lang w:val="es-ES"/>
        </w:rPr>
        <w:tab/>
        <w:t>El reembolso o el pago directo de los gastos correspondientes a las prestaciones garantizadas por el régimen del seguro de enfermedad básico sólo procede cuando la atención médica se ha prescrito o brindado en el territorio nacional.</w:t>
      </w:r>
      <w:r w:rsidR="00CC3B6E" w:rsidRPr="007930B0">
        <w:rPr>
          <w:lang w:val="es-ES"/>
        </w:rPr>
        <w:t xml:space="preserve"> </w:t>
      </w:r>
    </w:p>
    <w:p w:rsidR="001E7BB4" w:rsidRPr="007930B0" w:rsidRDefault="001E7BB4" w:rsidP="00B56B34">
      <w:pPr>
        <w:pStyle w:val="SingleTxtG"/>
        <w:rPr>
          <w:lang w:val="es-ES"/>
        </w:rPr>
      </w:pPr>
      <w:r w:rsidRPr="007930B0">
        <w:rPr>
          <w:lang w:val="es-ES"/>
        </w:rPr>
        <w:t>199.</w:t>
      </w:r>
      <w:r w:rsidRPr="007930B0">
        <w:rPr>
          <w:lang w:val="es-ES"/>
        </w:rPr>
        <w:tab/>
        <w:t>No obstante, puede admitirse el reembolso o pago directo de las prestaciones recibidas fuera del territorio nacional por beneficiarios del organismo administrador, si el beneficiario cae enfermo de improviso durante una estadía en el extranjero.</w:t>
      </w:r>
    </w:p>
    <w:p w:rsidR="001E7BB4" w:rsidRPr="007930B0" w:rsidRDefault="001E7BB4" w:rsidP="00B56B34">
      <w:pPr>
        <w:pStyle w:val="SingleTxtG"/>
        <w:rPr>
          <w:lang w:val="es-ES"/>
        </w:rPr>
      </w:pPr>
      <w:r w:rsidRPr="007930B0">
        <w:rPr>
          <w:lang w:val="es-ES"/>
        </w:rPr>
        <w:t>200.</w:t>
      </w:r>
      <w:r w:rsidRPr="007930B0">
        <w:rPr>
          <w:lang w:val="es-ES"/>
        </w:rPr>
        <w:tab/>
        <w:t xml:space="preserve">También pueden aceptarse las prestaciones dispensadas fuera del territorio nacional por beneficiarios del organismo administrador, si el beneficiario es objeto de una evacuación sanitaria hacia el extranjero por no poder recibir en Mauritania la atención que requiere su estado. </w:t>
      </w:r>
    </w:p>
    <w:p w:rsidR="001E7BB4" w:rsidRPr="007930B0" w:rsidRDefault="001E7BB4" w:rsidP="00B56B34">
      <w:pPr>
        <w:pStyle w:val="SingleTxtG"/>
        <w:rPr>
          <w:lang w:val="es-ES"/>
        </w:rPr>
      </w:pPr>
      <w:r w:rsidRPr="007930B0">
        <w:rPr>
          <w:lang w:val="es-ES"/>
        </w:rPr>
        <w:t>201.</w:t>
      </w:r>
      <w:r w:rsidRPr="007930B0">
        <w:rPr>
          <w:lang w:val="es-ES"/>
        </w:rPr>
        <w:tab/>
        <w:t xml:space="preserve">En este último caso, el reembolso o el pago directo están sujetos a la autorización previa del organismo asegurador. El asegurado conserva el derecho de elegir libremente al médico, al centro de salud, al farmacéutico y, según el caso, al paramédico y al proveedor de los equipos y dispositivos médicos que se le prescriban, con sujeción a las normas reglamentarias establecidas en los textos relativos al seguro de enfermedad. </w:t>
      </w:r>
    </w:p>
    <w:p w:rsidR="001E7BB4" w:rsidRPr="007930B0" w:rsidRDefault="001E7BB4" w:rsidP="00C03DBF">
      <w:pPr>
        <w:pStyle w:val="H23G"/>
        <w:rPr>
          <w:lang w:val="es-ES"/>
        </w:rPr>
      </w:pPr>
      <w:r w:rsidRPr="007930B0">
        <w:rPr>
          <w:lang w:val="es-ES"/>
        </w:rPr>
        <w:tab/>
      </w:r>
      <w:r w:rsidRPr="007930B0">
        <w:rPr>
          <w:lang w:val="es-ES"/>
        </w:rPr>
        <w:tab/>
        <w:t>Recursos financieros del seguro de enfermedad</w:t>
      </w:r>
    </w:p>
    <w:p w:rsidR="001E7BB4" w:rsidRPr="007930B0" w:rsidRDefault="001E7BB4" w:rsidP="00B56B34">
      <w:pPr>
        <w:pStyle w:val="SingleTxtG"/>
        <w:rPr>
          <w:lang w:val="es-ES"/>
        </w:rPr>
      </w:pPr>
      <w:r w:rsidRPr="007930B0">
        <w:rPr>
          <w:lang w:val="es-ES"/>
        </w:rPr>
        <w:t>202.</w:t>
      </w:r>
      <w:r w:rsidRPr="007930B0">
        <w:rPr>
          <w:lang w:val="es-ES"/>
        </w:rPr>
        <w:tab/>
        <w:t>Los recursos del régimen del seguro de enfermedad están constituidos por:</w:t>
      </w:r>
    </w:p>
    <w:p w:rsidR="001E7BB4" w:rsidRPr="007930B0" w:rsidRDefault="001E7BB4" w:rsidP="00C03DBF">
      <w:pPr>
        <w:pStyle w:val="Bullet1G"/>
        <w:rPr>
          <w:lang w:val="es-ES"/>
        </w:rPr>
      </w:pPr>
      <w:r w:rsidRPr="007930B0">
        <w:rPr>
          <w:lang w:val="es-ES"/>
        </w:rPr>
        <w:t xml:space="preserve">Las cotizaciones previstas en la </w:t>
      </w:r>
      <w:r w:rsidR="00FF10B7" w:rsidRPr="007930B0">
        <w:rPr>
          <w:lang w:val="es-ES"/>
        </w:rPr>
        <w:t>Resolución Nº</w:t>
      </w:r>
      <w:r w:rsidRPr="007930B0">
        <w:rPr>
          <w:lang w:val="es-ES"/>
        </w:rPr>
        <w:t xml:space="preserve"> 2005-006, de creación del régimen del seguro de enfermedad, y los aumentos, multas y penalidades por retraso que se apliquen eventualmente; </w:t>
      </w:r>
    </w:p>
    <w:p w:rsidR="001E7BB4" w:rsidRPr="007930B0" w:rsidRDefault="001E7BB4" w:rsidP="00C03DBF">
      <w:pPr>
        <w:pStyle w:val="Bullet1G"/>
        <w:rPr>
          <w:lang w:val="es-ES"/>
        </w:rPr>
      </w:pPr>
      <w:r w:rsidRPr="007930B0">
        <w:rPr>
          <w:lang w:val="es-ES"/>
        </w:rPr>
        <w:t>Los productos financieros;</w:t>
      </w:r>
    </w:p>
    <w:p w:rsidR="001E7BB4" w:rsidRPr="007930B0" w:rsidRDefault="001E7BB4" w:rsidP="00C03DBF">
      <w:pPr>
        <w:pStyle w:val="Bullet1G"/>
        <w:rPr>
          <w:lang w:val="es-ES"/>
        </w:rPr>
      </w:pPr>
      <w:r w:rsidRPr="007930B0">
        <w:rPr>
          <w:lang w:val="es-ES"/>
        </w:rPr>
        <w:t>Los ingresos derivados de las colocaciones y la valorización de los fondos;</w:t>
      </w:r>
    </w:p>
    <w:p w:rsidR="001E7BB4" w:rsidRPr="007930B0" w:rsidRDefault="001E7BB4" w:rsidP="00C03DBF">
      <w:pPr>
        <w:pStyle w:val="Bullet1G"/>
        <w:rPr>
          <w:lang w:val="es-ES"/>
        </w:rPr>
      </w:pPr>
      <w:r w:rsidRPr="007930B0">
        <w:rPr>
          <w:lang w:val="es-ES"/>
        </w:rPr>
        <w:t xml:space="preserve">Todos los demás recursos asignados al régimen del seguro de enfermedad básico en virtud de la legislación o la reglamentación específica; </w:t>
      </w:r>
    </w:p>
    <w:p w:rsidR="001E7BB4" w:rsidRPr="007930B0" w:rsidRDefault="001E7BB4" w:rsidP="00C03DBF">
      <w:pPr>
        <w:pStyle w:val="Bullet1G"/>
        <w:rPr>
          <w:lang w:val="es-ES"/>
        </w:rPr>
      </w:pPr>
      <w:r w:rsidRPr="007930B0">
        <w:rPr>
          <w:lang w:val="es-ES"/>
        </w:rPr>
        <w:t xml:space="preserve">Las subvenciones, donaciones y legados. </w:t>
      </w:r>
    </w:p>
    <w:p w:rsidR="001E7BB4" w:rsidRPr="007930B0" w:rsidRDefault="001E7BB4" w:rsidP="00B56B34">
      <w:pPr>
        <w:pStyle w:val="SingleTxtG"/>
        <w:rPr>
          <w:lang w:val="es-ES"/>
        </w:rPr>
      </w:pPr>
      <w:r w:rsidRPr="007930B0">
        <w:rPr>
          <w:lang w:val="es-ES"/>
        </w:rPr>
        <w:t>203.</w:t>
      </w:r>
      <w:r w:rsidRPr="007930B0">
        <w:rPr>
          <w:lang w:val="es-ES"/>
        </w:rPr>
        <w:tab/>
        <w:t xml:space="preserve">La base de las cotizaciones de los asegurados se define de acuerdo con el nivel de remuneración de las personas afiliadas. </w:t>
      </w:r>
    </w:p>
    <w:p w:rsidR="001E7BB4" w:rsidRPr="007930B0" w:rsidRDefault="001E7BB4" w:rsidP="00B56B34">
      <w:pPr>
        <w:pStyle w:val="SingleTxtG"/>
        <w:rPr>
          <w:lang w:val="es-ES"/>
        </w:rPr>
      </w:pPr>
      <w:r w:rsidRPr="007930B0">
        <w:rPr>
          <w:lang w:val="es-ES"/>
        </w:rPr>
        <w:t>204.</w:t>
      </w:r>
      <w:r w:rsidRPr="007930B0">
        <w:rPr>
          <w:lang w:val="es-ES"/>
        </w:rPr>
        <w:tab/>
        <w:t xml:space="preserve">Para los Grupos I y II, la cotización se calcula sobre el conjunto de las remuneraciones percibidas por los asalariados, incluidos los viáticos y las primas. </w:t>
      </w:r>
    </w:p>
    <w:p w:rsidR="001E7BB4" w:rsidRPr="007930B0" w:rsidRDefault="001E7BB4" w:rsidP="00B56B34">
      <w:pPr>
        <w:pStyle w:val="SingleTxtG"/>
        <w:rPr>
          <w:lang w:val="es-ES"/>
        </w:rPr>
      </w:pPr>
      <w:r w:rsidRPr="007930B0">
        <w:rPr>
          <w:lang w:val="es-ES"/>
        </w:rPr>
        <w:t>205.</w:t>
      </w:r>
      <w:r w:rsidRPr="007930B0">
        <w:rPr>
          <w:lang w:val="es-ES"/>
        </w:rPr>
        <w:tab/>
        <w:t xml:space="preserve">Para el Grupo III, la cotización se calcula sobre el monto global del conjunto de las jubilaciones, las pensiones de vejez, invalidez o familiares supérstites pagadas por los regímenes jubilatorios del asegurado, con excepción de la jubilación complementaria, si existiera. </w:t>
      </w:r>
    </w:p>
    <w:p w:rsidR="001E7BB4" w:rsidRPr="007930B0" w:rsidRDefault="001E7BB4" w:rsidP="00B56B34">
      <w:pPr>
        <w:pStyle w:val="SingleTxtG"/>
        <w:rPr>
          <w:lang w:val="es-ES"/>
        </w:rPr>
      </w:pPr>
      <w:r w:rsidRPr="007930B0">
        <w:rPr>
          <w:lang w:val="es-ES"/>
        </w:rPr>
        <w:t>206.</w:t>
      </w:r>
      <w:r w:rsidRPr="007930B0">
        <w:rPr>
          <w:lang w:val="es-ES"/>
        </w:rPr>
        <w:tab/>
        <w:t xml:space="preserve">La tasa de cotización se establece por decreto. </w:t>
      </w:r>
      <w:r w:rsidR="0095166A" w:rsidRPr="007930B0">
        <w:rPr>
          <w:lang w:val="es-ES"/>
        </w:rPr>
        <w:t xml:space="preserve">Debe calcularse de manera de asegurar el equilibrio financiero de las operaciones relativas a cada uno de los tres grupos de asegurados, teniendo en cuenta las sumas sujetas a cotización, el costo de las prestaciones, los gastos de gestión administrativa y las deducciones para cada uno de los tres grupos de asegurados, así como para alimentar las reservas que se indican </w:t>
      </w:r>
      <w:r w:rsidR="0095166A" w:rsidRPr="00034975">
        <w:rPr>
          <w:i/>
          <w:iCs/>
          <w:lang w:val="es-ES"/>
        </w:rPr>
        <w:t>infra</w:t>
      </w:r>
      <w:r w:rsidR="0095166A" w:rsidRPr="007930B0">
        <w:rPr>
          <w:lang w:val="es-ES"/>
        </w:rPr>
        <w:t xml:space="preserve">. </w:t>
      </w:r>
      <w:r w:rsidRPr="007930B0">
        <w:rPr>
          <w:lang w:val="es-ES"/>
        </w:rPr>
        <w:t xml:space="preserve">Cuando el equilibrio financiero del régimen de base así lo exija, la cotización podrá reajustarse entre los grupos de asegurados y repartirse entre dichos grupos y el Estado. En caso de desequilibrio, el reajuste de las tasas de cotización se efectúa por decreto. </w:t>
      </w:r>
    </w:p>
    <w:p w:rsidR="001E7BB4" w:rsidRPr="007930B0" w:rsidRDefault="001E7BB4" w:rsidP="00B56B34">
      <w:pPr>
        <w:pStyle w:val="SingleTxtG"/>
        <w:rPr>
          <w:lang w:val="es-ES"/>
        </w:rPr>
      </w:pPr>
      <w:r w:rsidRPr="007930B0">
        <w:rPr>
          <w:lang w:val="es-ES"/>
        </w:rPr>
        <w:t>207.</w:t>
      </w:r>
      <w:r w:rsidRPr="007930B0">
        <w:rPr>
          <w:lang w:val="es-ES"/>
        </w:rPr>
        <w:tab/>
        <w:t xml:space="preserve">El organismo administrador debe aplicar un plan contable concreto, de conformidad con la legislación y la reglamentación en vigor. Se lleva una contabilidad separada para las operaciones relativas a cada grupo de asegurados. </w:t>
      </w:r>
    </w:p>
    <w:p w:rsidR="001E7BB4" w:rsidRPr="007930B0" w:rsidRDefault="001E7BB4" w:rsidP="00B56B34">
      <w:pPr>
        <w:pStyle w:val="SingleTxtG"/>
        <w:rPr>
          <w:lang w:val="es-ES"/>
        </w:rPr>
      </w:pPr>
      <w:r w:rsidRPr="007930B0">
        <w:rPr>
          <w:lang w:val="es-ES"/>
        </w:rPr>
        <w:t>208.</w:t>
      </w:r>
      <w:r w:rsidRPr="007930B0">
        <w:rPr>
          <w:lang w:val="es-ES"/>
        </w:rPr>
        <w:tab/>
        <w:t>En el cuadro que figura a continuación se da un panorama de la situación del seguro de enfermedad en 2007.</w:t>
      </w:r>
    </w:p>
    <w:p w:rsidR="001E7BB4" w:rsidRPr="007930B0" w:rsidRDefault="001E7BB4" w:rsidP="00C03DBF">
      <w:pPr>
        <w:pStyle w:val="H23G"/>
        <w:rPr>
          <w:lang w:val="es-ES"/>
        </w:rPr>
      </w:pPr>
      <w:r w:rsidRPr="007930B0">
        <w:rPr>
          <w:lang w:val="es-ES"/>
        </w:rPr>
        <w:tab/>
      </w:r>
      <w:r w:rsidRPr="007930B0">
        <w:rPr>
          <w:lang w:val="es-ES"/>
        </w:rPr>
        <w:tab/>
        <w:t>Año 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573"/>
        <w:gridCol w:w="1797"/>
      </w:tblGrid>
      <w:tr w:rsidR="001E7BB4" w:rsidRPr="007930B0">
        <w:tc>
          <w:tcPr>
            <w:tcW w:w="5274" w:type="dxa"/>
            <w:tcBorders>
              <w:top w:val="single" w:sz="12" w:space="0" w:color="auto"/>
              <w:bottom w:val="nil"/>
            </w:tcBorders>
            <w:shd w:val="clear" w:color="auto" w:fill="auto"/>
            <w:vAlign w:val="bottom"/>
          </w:tcPr>
          <w:p w:rsidR="001E7BB4" w:rsidRPr="007930B0" w:rsidRDefault="001E7BB4" w:rsidP="00C03DBF">
            <w:pPr>
              <w:spacing w:before="80" w:after="80" w:line="200" w:lineRule="exact"/>
              <w:ind w:right="113"/>
              <w:rPr>
                <w:iCs/>
                <w:sz w:val="18"/>
                <w:szCs w:val="18"/>
              </w:rPr>
            </w:pPr>
            <w:r w:rsidRPr="007930B0">
              <w:rPr>
                <w:iCs/>
                <w:sz w:val="18"/>
                <w:szCs w:val="18"/>
              </w:rPr>
              <w:t>Población asegurada</w:t>
            </w:r>
          </w:p>
        </w:tc>
        <w:tc>
          <w:tcPr>
            <w:tcW w:w="1700" w:type="dxa"/>
            <w:tcBorders>
              <w:top w:val="single" w:sz="12" w:space="0" w:color="auto"/>
              <w:bottom w:val="nil"/>
            </w:tcBorders>
            <w:shd w:val="clear" w:color="auto" w:fill="auto"/>
            <w:vAlign w:val="bottom"/>
          </w:tcPr>
          <w:p w:rsidR="001E7BB4" w:rsidRPr="007930B0" w:rsidRDefault="001E7BB4" w:rsidP="00C03DBF">
            <w:pPr>
              <w:spacing w:before="80" w:after="80" w:line="200" w:lineRule="exact"/>
              <w:ind w:right="113"/>
              <w:jc w:val="right"/>
              <w:rPr>
                <w:iCs/>
                <w:sz w:val="18"/>
                <w:szCs w:val="18"/>
              </w:rPr>
            </w:pPr>
            <w:r w:rsidRPr="007930B0">
              <w:rPr>
                <w:iCs/>
                <w:sz w:val="18"/>
                <w:szCs w:val="18"/>
              </w:rPr>
              <w:t>109 215</w:t>
            </w:r>
          </w:p>
        </w:tc>
      </w:tr>
      <w:tr w:rsidR="001E7BB4" w:rsidRPr="007930B0">
        <w:tc>
          <w:tcPr>
            <w:tcW w:w="5274" w:type="dxa"/>
            <w:tcBorders>
              <w:top w:val="nil"/>
            </w:tcBorders>
            <w:shd w:val="clear" w:color="auto" w:fill="auto"/>
          </w:tcPr>
          <w:p w:rsidR="001E7BB4" w:rsidRPr="007930B0" w:rsidRDefault="001E7BB4" w:rsidP="001E21D7">
            <w:pPr>
              <w:pStyle w:val="Bullet1G"/>
              <w:tabs>
                <w:tab w:val="clear" w:pos="1701"/>
              </w:tabs>
              <w:spacing w:before="40" w:after="40" w:line="220" w:lineRule="exact"/>
              <w:ind w:left="567" w:right="0"/>
              <w:jc w:val="left"/>
              <w:rPr>
                <w:sz w:val="18"/>
                <w:szCs w:val="18"/>
                <w:lang w:val="es-ES"/>
              </w:rPr>
            </w:pPr>
            <w:r w:rsidRPr="007930B0">
              <w:rPr>
                <w:sz w:val="18"/>
                <w:szCs w:val="18"/>
                <w:lang w:val="es-ES"/>
              </w:rPr>
              <w:t>Funcionarios públicos y derechohabientes</w:t>
            </w:r>
          </w:p>
        </w:tc>
        <w:tc>
          <w:tcPr>
            <w:tcW w:w="1700" w:type="dxa"/>
            <w:tcBorders>
              <w:top w:val="nil"/>
            </w:tcBorders>
            <w:shd w:val="clear" w:color="auto" w:fill="auto"/>
            <w:vAlign w:val="bottom"/>
          </w:tcPr>
          <w:p w:rsidR="001E7BB4" w:rsidRPr="007930B0" w:rsidRDefault="001E7BB4" w:rsidP="00C03DBF">
            <w:pPr>
              <w:spacing w:before="40" w:after="40" w:line="220" w:lineRule="exact"/>
              <w:ind w:right="113"/>
              <w:jc w:val="right"/>
              <w:rPr>
                <w:sz w:val="18"/>
                <w:szCs w:val="18"/>
              </w:rPr>
            </w:pPr>
            <w:r w:rsidRPr="007930B0">
              <w:rPr>
                <w:sz w:val="18"/>
                <w:szCs w:val="18"/>
              </w:rPr>
              <w:t>60 536</w:t>
            </w:r>
          </w:p>
        </w:tc>
      </w:tr>
      <w:tr w:rsidR="001E7BB4" w:rsidRPr="007930B0">
        <w:tc>
          <w:tcPr>
            <w:tcW w:w="5274" w:type="dxa"/>
            <w:shd w:val="clear" w:color="auto" w:fill="auto"/>
          </w:tcPr>
          <w:p w:rsidR="001E7BB4" w:rsidRPr="007930B0" w:rsidRDefault="001E7BB4" w:rsidP="001E21D7">
            <w:pPr>
              <w:pStyle w:val="Bullet1G"/>
              <w:tabs>
                <w:tab w:val="clear" w:pos="1701"/>
              </w:tabs>
              <w:spacing w:before="40" w:after="40" w:line="220" w:lineRule="exact"/>
              <w:ind w:left="567" w:right="0"/>
              <w:jc w:val="left"/>
              <w:rPr>
                <w:sz w:val="18"/>
                <w:szCs w:val="18"/>
                <w:lang w:val="es-ES"/>
              </w:rPr>
            </w:pPr>
            <w:r w:rsidRPr="007930B0">
              <w:rPr>
                <w:sz w:val="18"/>
                <w:szCs w:val="18"/>
                <w:lang w:val="es-ES"/>
              </w:rPr>
              <w:t>Jubilados y derechohabientes</w:t>
            </w:r>
          </w:p>
        </w:tc>
        <w:tc>
          <w:tcPr>
            <w:tcW w:w="1700" w:type="dxa"/>
            <w:shd w:val="clear" w:color="auto" w:fill="auto"/>
            <w:vAlign w:val="bottom"/>
          </w:tcPr>
          <w:p w:rsidR="001E7BB4" w:rsidRPr="007930B0" w:rsidRDefault="001E7BB4" w:rsidP="00C03DBF">
            <w:pPr>
              <w:spacing w:before="40" w:after="40" w:line="220" w:lineRule="exact"/>
              <w:ind w:right="113"/>
              <w:jc w:val="right"/>
              <w:rPr>
                <w:sz w:val="18"/>
                <w:szCs w:val="18"/>
              </w:rPr>
            </w:pPr>
            <w:r w:rsidRPr="007930B0">
              <w:rPr>
                <w:sz w:val="18"/>
                <w:szCs w:val="18"/>
              </w:rPr>
              <w:t>8 273</w:t>
            </w:r>
          </w:p>
        </w:tc>
      </w:tr>
      <w:tr w:rsidR="001E7BB4" w:rsidRPr="007930B0">
        <w:tc>
          <w:tcPr>
            <w:tcW w:w="5274" w:type="dxa"/>
            <w:shd w:val="clear" w:color="auto" w:fill="auto"/>
          </w:tcPr>
          <w:p w:rsidR="001E7BB4" w:rsidRPr="007930B0" w:rsidRDefault="001E7BB4" w:rsidP="001E21D7">
            <w:pPr>
              <w:pStyle w:val="Bullet1G"/>
              <w:tabs>
                <w:tab w:val="clear" w:pos="1701"/>
              </w:tabs>
              <w:spacing w:before="40" w:after="40" w:line="220" w:lineRule="exact"/>
              <w:ind w:left="567" w:right="0"/>
              <w:jc w:val="left"/>
              <w:rPr>
                <w:sz w:val="18"/>
                <w:szCs w:val="18"/>
                <w:lang w:val="es-ES"/>
              </w:rPr>
            </w:pPr>
            <w:r w:rsidRPr="007930B0">
              <w:rPr>
                <w:sz w:val="18"/>
                <w:szCs w:val="18"/>
                <w:lang w:val="es-ES"/>
              </w:rPr>
              <w:t>Parlamentarios y derechohabientes</w:t>
            </w:r>
          </w:p>
        </w:tc>
        <w:tc>
          <w:tcPr>
            <w:tcW w:w="1700" w:type="dxa"/>
            <w:shd w:val="clear" w:color="auto" w:fill="auto"/>
            <w:vAlign w:val="bottom"/>
          </w:tcPr>
          <w:p w:rsidR="001E7BB4" w:rsidRPr="007930B0" w:rsidRDefault="001E7BB4" w:rsidP="00C03DBF">
            <w:pPr>
              <w:spacing w:before="40" w:after="40" w:line="220" w:lineRule="exact"/>
              <w:ind w:right="113"/>
              <w:jc w:val="right"/>
              <w:rPr>
                <w:sz w:val="18"/>
                <w:szCs w:val="18"/>
              </w:rPr>
            </w:pPr>
            <w:r w:rsidRPr="007930B0">
              <w:rPr>
                <w:sz w:val="18"/>
                <w:szCs w:val="18"/>
              </w:rPr>
              <w:t>450</w:t>
            </w:r>
          </w:p>
        </w:tc>
      </w:tr>
      <w:tr w:rsidR="001E7BB4" w:rsidRPr="007930B0">
        <w:tc>
          <w:tcPr>
            <w:tcW w:w="5274" w:type="dxa"/>
            <w:shd w:val="clear" w:color="auto" w:fill="auto"/>
          </w:tcPr>
          <w:p w:rsidR="001E7BB4" w:rsidRPr="007930B0" w:rsidRDefault="001E7BB4" w:rsidP="001E21D7">
            <w:pPr>
              <w:pStyle w:val="Bullet1G"/>
              <w:tabs>
                <w:tab w:val="clear" w:pos="1701"/>
              </w:tabs>
              <w:spacing w:before="40" w:after="40" w:line="220" w:lineRule="exact"/>
              <w:ind w:left="567" w:right="0"/>
              <w:jc w:val="left"/>
              <w:rPr>
                <w:sz w:val="18"/>
                <w:szCs w:val="18"/>
                <w:lang w:val="es-ES"/>
              </w:rPr>
            </w:pPr>
            <w:r w:rsidRPr="007930B0">
              <w:rPr>
                <w:sz w:val="18"/>
                <w:szCs w:val="18"/>
                <w:lang w:val="es-ES"/>
              </w:rPr>
              <w:t>Militares y derechohabientes</w:t>
            </w:r>
          </w:p>
        </w:tc>
        <w:tc>
          <w:tcPr>
            <w:tcW w:w="1700" w:type="dxa"/>
            <w:shd w:val="clear" w:color="auto" w:fill="auto"/>
            <w:vAlign w:val="bottom"/>
          </w:tcPr>
          <w:p w:rsidR="001E7BB4" w:rsidRPr="007930B0" w:rsidRDefault="001E7BB4" w:rsidP="00C03DBF">
            <w:pPr>
              <w:spacing w:before="40" w:after="40" w:line="220" w:lineRule="exact"/>
              <w:ind w:right="113"/>
              <w:jc w:val="right"/>
              <w:rPr>
                <w:sz w:val="18"/>
                <w:szCs w:val="18"/>
              </w:rPr>
            </w:pPr>
            <w:r w:rsidRPr="007930B0">
              <w:rPr>
                <w:sz w:val="18"/>
                <w:szCs w:val="18"/>
              </w:rPr>
              <w:t>40 146</w:t>
            </w:r>
          </w:p>
        </w:tc>
      </w:tr>
      <w:tr w:rsidR="001E7BB4" w:rsidRPr="007930B0">
        <w:tc>
          <w:tcPr>
            <w:tcW w:w="5274" w:type="dxa"/>
            <w:shd w:val="clear" w:color="auto" w:fill="auto"/>
          </w:tcPr>
          <w:p w:rsidR="001E7BB4" w:rsidRPr="007930B0" w:rsidRDefault="001E7BB4" w:rsidP="00C03DBF">
            <w:pPr>
              <w:spacing w:before="40" w:after="40" w:line="220" w:lineRule="exact"/>
              <w:ind w:right="113"/>
              <w:rPr>
                <w:sz w:val="18"/>
                <w:szCs w:val="18"/>
              </w:rPr>
            </w:pPr>
            <w:r w:rsidRPr="007930B0">
              <w:rPr>
                <w:sz w:val="18"/>
                <w:szCs w:val="18"/>
              </w:rPr>
              <w:t>Tasa de cobertura</w:t>
            </w:r>
          </w:p>
        </w:tc>
        <w:tc>
          <w:tcPr>
            <w:tcW w:w="1700" w:type="dxa"/>
            <w:shd w:val="clear" w:color="auto" w:fill="auto"/>
            <w:vAlign w:val="bottom"/>
          </w:tcPr>
          <w:p w:rsidR="001E7BB4" w:rsidRPr="007930B0" w:rsidRDefault="001E7BB4" w:rsidP="00C03DBF">
            <w:pPr>
              <w:spacing w:before="40" w:after="40" w:line="220" w:lineRule="exact"/>
              <w:ind w:right="113"/>
              <w:jc w:val="right"/>
              <w:rPr>
                <w:sz w:val="18"/>
                <w:szCs w:val="18"/>
              </w:rPr>
            </w:pPr>
          </w:p>
        </w:tc>
      </w:tr>
      <w:tr w:rsidR="001E7BB4" w:rsidRPr="007930B0">
        <w:tc>
          <w:tcPr>
            <w:tcW w:w="5274" w:type="dxa"/>
            <w:shd w:val="clear" w:color="auto" w:fill="auto"/>
          </w:tcPr>
          <w:p w:rsidR="001E7BB4" w:rsidRPr="007930B0" w:rsidRDefault="001E7BB4" w:rsidP="001E21D7">
            <w:pPr>
              <w:pStyle w:val="Bullet1G"/>
              <w:tabs>
                <w:tab w:val="clear" w:pos="1701"/>
              </w:tabs>
              <w:spacing w:before="40" w:after="40" w:line="220" w:lineRule="exact"/>
              <w:ind w:left="567" w:right="0"/>
              <w:jc w:val="left"/>
              <w:rPr>
                <w:sz w:val="18"/>
                <w:szCs w:val="18"/>
                <w:lang w:val="es-ES"/>
              </w:rPr>
            </w:pPr>
            <w:r w:rsidRPr="007930B0">
              <w:rPr>
                <w:sz w:val="18"/>
                <w:szCs w:val="18"/>
                <w:lang w:val="es-ES"/>
              </w:rPr>
              <w:t>Hospitalización</w:t>
            </w:r>
          </w:p>
        </w:tc>
        <w:tc>
          <w:tcPr>
            <w:tcW w:w="1700" w:type="dxa"/>
            <w:shd w:val="clear" w:color="auto" w:fill="auto"/>
            <w:vAlign w:val="bottom"/>
          </w:tcPr>
          <w:p w:rsidR="001E7BB4" w:rsidRPr="007930B0" w:rsidRDefault="001E7BB4" w:rsidP="00C03DBF">
            <w:pPr>
              <w:spacing w:before="40" w:after="40" w:line="220" w:lineRule="exact"/>
              <w:ind w:right="113"/>
              <w:jc w:val="right"/>
              <w:rPr>
                <w:sz w:val="18"/>
                <w:szCs w:val="18"/>
              </w:rPr>
            </w:pPr>
            <w:r w:rsidRPr="007930B0">
              <w:rPr>
                <w:sz w:val="18"/>
                <w:szCs w:val="18"/>
              </w:rPr>
              <w:t>90%</w:t>
            </w:r>
          </w:p>
        </w:tc>
      </w:tr>
      <w:tr w:rsidR="001E7BB4" w:rsidRPr="007930B0">
        <w:tc>
          <w:tcPr>
            <w:tcW w:w="5274" w:type="dxa"/>
            <w:shd w:val="clear" w:color="auto" w:fill="auto"/>
          </w:tcPr>
          <w:p w:rsidR="001E7BB4" w:rsidRPr="007930B0" w:rsidRDefault="001E7BB4" w:rsidP="001E21D7">
            <w:pPr>
              <w:pStyle w:val="Bullet1G"/>
              <w:tabs>
                <w:tab w:val="clear" w:pos="1701"/>
              </w:tabs>
              <w:spacing w:before="40" w:after="40" w:line="220" w:lineRule="exact"/>
              <w:ind w:left="567" w:right="0"/>
              <w:jc w:val="left"/>
              <w:rPr>
                <w:sz w:val="18"/>
                <w:szCs w:val="18"/>
                <w:lang w:val="es-ES"/>
              </w:rPr>
            </w:pPr>
            <w:r w:rsidRPr="007930B0">
              <w:rPr>
                <w:sz w:val="18"/>
                <w:szCs w:val="18"/>
                <w:lang w:val="es-ES"/>
              </w:rPr>
              <w:t>Consultas</w:t>
            </w:r>
          </w:p>
        </w:tc>
        <w:tc>
          <w:tcPr>
            <w:tcW w:w="1700" w:type="dxa"/>
            <w:shd w:val="clear" w:color="auto" w:fill="auto"/>
            <w:vAlign w:val="bottom"/>
          </w:tcPr>
          <w:p w:rsidR="001E7BB4" w:rsidRPr="007930B0" w:rsidRDefault="001E7BB4" w:rsidP="00C03DBF">
            <w:pPr>
              <w:spacing w:before="40" w:after="40" w:line="220" w:lineRule="exact"/>
              <w:ind w:right="113"/>
              <w:jc w:val="right"/>
              <w:rPr>
                <w:sz w:val="18"/>
                <w:szCs w:val="18"/>
              </w:rPr>
            </w:pPr>
            <w:r w:rsidRPr="007930B0">
              <w:rPr>
                <w:sz w:val="18"/>
                <w:szCs w:val="18"/>
              </w:rPr>
              <w:t>80%</w:t>
            </w:r>
          </w:p>
        </w:tc>
      </w:tr>
      <w:tr w:rsidR="001E7BB4" w:rsidRPr="007930B0">
        <w:tc>
          <w:tcPr>
            <w:tcW w:w="5274" w:type="dxa"/>
            <w:shd w:val="clear" w:color="auto" w:fill="auto"/>
          </w:tcPr>
          <w:p w:rsidR="001E7BB4" w:rsidRPr="007930B0" w:rsidRDefault="001E7BB4" w:rsidP="001E21D7">
            <w:pPr>
              <w:pStyle w:val="Bullet1G"/>
              <w:tabs>
                <w:tab w:val="clear" w:pos="1701"/>
              </w:tabs>
              <w:spacing w:before="40" w:after="40" w:line="220" w:lineRule="exact"/>
              <w:ind w:left="567" w:right="0"/>
              <w:jc w:val="left"/>
              <w:rPr>
                <w:sz w:val="18"/>
                <w:szCs w:val="18"/>
                <w:lang w:val="es-ES"/>
              </w:rPr>
            </w:pPr>
            <w:r w:rsidRPr="007930B0">
              <w:rPr>
                <w:sz w:val="18"/>
                <w:szCs w:val="18"/>
                <w:lang w:val="es-ES"/>
              </w:rPr>
              <w:t>Medicamentos</w:t>
            </w:r>
          </w:p>
        </w:tc>
        <w:tc>
          <w:tcPr>
            <w:tcW w:w="1700" w:type="dxa"/>
            <w:shd w:val="clear" w:color="auto" w:fill="auto"/>
            <w:vAlign w:val="bottom"/>
          </w:tcPr>
          <w:p w:rsidR="001E7BB4" w:rsidRPr="007930B0" w:rsidRDefault="001E7BB4" w:rsidP="00C03DBF">
            <w:pPr>
              <w:spacing w:before="40" w:after="40" w:line="220" w:lineRule="exact"/>
              <w:ind w:right="113"/>
              <w:jc w:val="right"/>
              <w:rPr>
                <w:sz w:val="18"/>
                <w:szCs w:val="18"/>
              </w:rPr>
            </w:pPr>
            <w:r w:rsidRPr="007930B0">
              <w:rPr>
                <w:sz w:val="18"/>
                <w:szCs w:val="18"/>
              </w:rPr>
              <w:t>67%</w:t>
            </w:r>
          </w:p>
        </w:tc>
      </w:tr>
      <w:tr w:rsidR="001E7BB4" w:rsidRPr="007930B0">
        <w:tc>
          <w:tcPr>
            <w:tcW w:w="5274" w:type="dxa"/>
            <w:shd w:val="clear" w:color="auto" w:fill="auto"/>
          </w:tcPr>
          <w:p w:rsidR="001E7BB4" w:rsidRPr="007930B0" w:rsidRDefault="001E7BB4" w:rsidP="001E21D7">
            <w:pPr>
              <w:pStyle w:val="Bullet1G"/>
              <w:tabs>
                <w:tab w:val="clear" w:pos="1701"/>
              </w:tabs>
              <w:spacing w:before="40" w:after="40" w:line="220" w:lineRule="exact"/>
              <w:ind w:left="567" w:right="0"/>
              <w:jc w:val="left"/>
              <w:rPr>
                <w:sz w:val="18"/>
                <w:szCs w:val="18"/>
                <w:lang w:val="es-ES"/>
              </w:rPr>
            </w:pPr>
            <w:r w:rsidRPr="007930B0">
              <w:rPr>
                <w:sz w:val="18"/>
                <w:szCs w:val="18"/>
                <w:lang w:val="es-ES"/>
              </w:rPr>
              <w:t>Exámenes complementarios</w:t>
            </w:r>
          </w:p>
        </w:tc>
        <w:tc>
          <w:tcPr>
            <w:tcW w:w="1700" w:type="dxa"/>
            <w:shd w:val="clear" w:color="auto" w:fill="auto"/>
            <w:vAlign w:val="bottom"/>
          </w:tcPr>
          <w:p w:rsidR="001E7BB4" w:rsidRPr="007930B0" w:rsidRDefault="001E7BB4" w:rsidP="00C03DBF">
            <w:pPr>
              <w:spacing w:before="40" w:after="40" w:line="220" w:lineRule="exact"/>
              <w:ind w:right="113"/>
              <w:jc w:val="right"/>
              <w:rPr>
                <w:sz w:val="18"/>
                <w:szCs w:val="18"/>
              </w:rPr>
            </w:pPr>
            <w:r w:rsidRPr="007930B0">
              <w:rPr>
                <w:sz w:val="18"/>
                <w:szCs w:val="18"/>
              </w:rPr>
              <w:t>80%</w:t>
            </w:r>
          </w:p>
        </w:tc>
      </w:tr>
      <w:tr w:rsidR="001E7BB4" w:rsidRPr="007930B0">
        <w:tc>
          <w:tcPr>
            <w:tcW w:w="5274" w:type="dxa"/>
            <w:shd w:val="clear" w:color="auto" w:fill="auto"/>
          </w:tcPr>
          <w:p w:rsidR="001E7BB4" w:rsidRPr="007930B0" w:rsidRDefault="001E7BB4" w:rsidP="001E21D7">
            <w:pPr>
              <w:pStyle w:val="Bullet1G"/>
              <w:tabs>
                <w:tab w:val="clear" w:pos="1701"/>
              </w:tabs>
              <w:spacing w:before="40" w:after="40" w:line="220" w:lineRule="exact"/>
              <w:ind w:left="567" w:right="0"/>
              <w:jc w:val="left"/>
              <w:rPr>
                <w:sz w:val="18"/>
                <w:szCs w:val="18"/>
                <w:lang w:val="es-ES"/>
              </w:rPr>
            </w:pPr>
            <w:r w:rsidRPr="007930B0">
              <w:rPr>
                <w:sz w:val="18"/>
                <w:szCs w:val="18"/>
                <w:lang w:val="es-ES"/>
              </w:rPr>
              <w:t>Reeducación funcional</w:t>
            </w:r>
          </w:p>
        </w:tc>
        <w:tc>
          <w:tcPr>
            <w:tcW w:w="1700" w:type="dxa"/>
            <w:shd w:val="clear" w:color="auto" w:fill="auto"/>
            <w:vAlign w:val="bottom"/>
          </w:tcPr>
          <w:p w:rsidR="001E7BB4" w:rsidRPr="007930B0" w:rsidRDefault="001E7BB4" w:rsidP="00C03DBF">
            <w:pPr>
              <w:spacing w:before="40" w:after="40" w:line="220" w:lineRule="exact"/>
              <w:ind w:right="113"/>
              <w:jc w:val="right"/>
              <w:rPr>
                <w:sz w:val="18"/>
                <w:szCs w:val="18"/>
              </w:rPr>
            </w:pPr>
            <w:r w:rsidRPr="007930B0">
              <w:rPr>
                <w:sz w:val="18"/>
                <w:szCs w:val="18"/>
              </w:rPr>
              <w:t>90%</w:t>
            </w:r>
          </w:p>
        </w:tc>
      </w:tr>
      <w:tr w:rsidR="001E7BB4" w:rsidRPr="007930B0">
        <w:tc>
          <w:tcPr>
            <w:tcW w:w="5274" w:type="dxa"/>
            <w:shd w:val="clear" w:color="auto" w:fill="auto"/>
          </w:tcPr>
          <w:p w:rsidR="001E7BB4" w:rsidRPr="007930B0" w:rsidRDefault="001E7BB4" w:rsidP="00C03DBF">
            <w:pPr>
              <w:spacing w:before="40" w:after="40" w:line="220" w:lineRule="exact"/>
              <w:ind w:right="113"/>
              <w:rPr>
                <w:sz w:val="18"/>
                <w:szCs w:val="18"/>
              </w:rPr>
            </w:pPr>
            <w:r w:rsidRPr="007930B0">
              <w:rPr>
                <w:sz w:val="18"/>
                <w:szCs w:val="18"/>
              </w:rPr>
              <w:t>Evacuaciones</w:t>
            </w:r>
          </w:p>
        </w:tc>
        <w:tc>
          <w:tcPr>
            <w:tcW w:w="1700" w:type="dxa"/>
            <w:shd w:val="clear" w:color="auto" w:fill="auto"/>
            <w:vAlign w:val="bottom"/>
          </w:tcPr>
          <w:p w:rsidR="001E7BB4" w:rsidRPr="007930B0" w:rsidRDefault="001E7BB4" w:rsidP="00C03DBF">
            <w:pPr>
              <w:spacing w:before="40" w:after="40" w:line="220" w:lineRule="exact"/>
              <w:ind w:right="113"/>
              <w:jc w:val="right"/>
              <w:rPr>
                <w:sz w:val="18"/>
                <w:szCs w:val="18"/>
              </w:rPr>
            </w:pPr>
            <w:r w:rsidRPr="007930B0">
              <w:rPr>
                <w:sz w:val="18"/>
                <w:szCs w:val="18"/>
              </w:rPr>
              <w:t>100%</w:t>
            </w:r>
          </w:p>
        </w:tc>
      </w:tr>
      <w:tr w:rsidR="001E7BB4" w:rsidRPr="007930B0">
        <w:tc>
          <w:tcPr>
            <w:tcW w:w="5274" w:type="dxa"/>
            <w:shd w:val="clear" w:color="auto" w:fill="auto"/>
          </w:tcPr>
          <w:p w:rsidR="001E7BB4" w:rsidRPr="007930B0" w:rsidRDefault="001E7BB4" w:rsidP="00C03DBF">
            <w:pPr>
              <w:spacing w:before="40" w:after="40" w:line="220" w:lineRule="exact"/>
              <w:ind w:right="113"/>
              <w:rPr>
                <w:sz w:val="18"/>
                <w:szCs w:val="18"/>
              </w:rPr>
            </w:pPr>
            <w:r w:rsidRPr="007930B0">
              <w:rPr>
                <w:sz w:val="18"/>
                <w:szCs w:val="18"/>
              </w:rPr>
              <w:t>Cantidad de asegurados cubiertos</w:t>
            </w:r>
          </w:p>
        </w:tc>
        <w:tc>
          <w:tcPr>
            <w:tcW w:w="1700" w:type="dxa"/>
            <w:shd w:val="clear" w:color="auto" w:fill="auto"/>
            <w:vAlign w:val="bottom"/>
          </w:tcPr>
          <w:p w:rsidR="001E7BB4" w:rsidRPr="007930B0" w:rsidRDefault="001E7BB4" w:rsidP="00C03DBF">
            <w:pPr>
              <w:spacing w:before="40" w:after="40" w:line="220" w:lineRule="exact"/>
              <w:ind w:right="113"/>
              <w:jc w:val="right"/>
              <w:rPr>
                <w:sz w:val="18"/>
                <w:szCs w:val="18"/>
              </w:rPr>
            </w:pPr>
          </w:p>
        </w:tc>
      </w:tr>
      <w:tr w:rsidR="001E7BB4" w:rsidRPr="007930B0">
        <w:tc>
          <w:tcPr>
            <w:tcW w:w="5274" w:type="dxa"/>
            <w:shd w:val="clear" w:color="auto" w:fill="auto"/>
          </w:tcPr>
          <w:p w:rsidR="001E7BB4" w:rsidRPr="007930B0" w:rsidRDefault="001E7BB4" w:rsidP="001E21D7">
            <w:pPr>
              <w:pStyle w:val="Bullet1G"/>
              <w:tabs>
                <w:tab w:val="clear" w:pos="1701"/>
              </w:tabs>
              <w:spacing w:before="40" w:after="40" w:line="220" w:lineRule="exact"/>
              <w:ind w:left="567" w:right="0"/>
              <w:jc w:val="left"/>
              <w:rPr>
                <w:sz w:val="18"/>
                <w:szCs w:val="18"/>
                <w:lang w:val="es-ES"/>
              </w:rPr>
            </w:pPr>
            <w:r w:rsidRPr="007930B0">
              <w:rPr>
                <w:sz w:val="18"/>
                <w:szCs w:val="18"/>
                <w:lang w:val="es-ES"/>
              </w:rPr>
              <w:t>En las estructuras de salud del país</w:t>
            </w:r>
          </w:p>
        </w:tc>
        <w:tc>
          <w:tcPr>
            <w:tcW w:w="1700" w:type="dxa"/>
            <w:shd w:val="clear" w:color="auto" w:fill="auto"/>
            <w:vAlign w:val="bottom"/>
          </w:tcPr>
          <w:p w:rsidR="001E7BB4" w:rsidRPr="007930B0" w:rsidRDefault="001E7BB4" w:rsidP="00C03DBF">
            <w:pPr>
              <w:spacing w:before="40" w:after="40" w:line="220" w:lineRule="exact"/>
              <w:ind w:right="113"/>
              <w:jc w:val="right"/>
              <w:rPr>
                <w:sz w:val="18"/>
                <w:szCs w:val="18"/>
              </w:rPr>
            </w:pPr>
            <w:r w:rsidRPr="007930B0">
              <w:rPr>
                <w:sz w:val="18"/>
                <w:szCs w:val="18"/>
              </w:rPr>
              <w:t>8 857</w:t>
            </w:r>
          </w:p>
        </w:tc>
      </w:tr>
      <w:tr w:rsidR="001E7BB4" w:rsidRPr="007930B0">
        <w:tc>
          <w:tcPr>
            <w:tcW w:w="5274" w:type="dxa"/>
            <w:shd w:val="clear" w:color="auto" w:fill="auto"/>
          </w:tcPr>
          <w:p w:rsidR="001E7BB4" w:rsidRPr="007930B0" w:rsidRDefault="001E7BB4" w:rsidP="001E21D7">
            <w:pPr>
              <w:pStyle w:val="Bullet1G"/>
              <w:tabs>
                <w:tab w:val="clear" w:pos="1701"/>
              </w:tabs>
              <w:spacing w:before="40" w:after="40" w:line="220" w:lineRule="exact"/>
              <w:ind w:left="567" w:right="0"/>
              <w:jc w:val="left"/>
              <w:rPr>
                <w:sz w:val="18"/>
                <w:szCs w:val="18"/>
                <w:lang w:val="es-ES"/>
              </w:rPr>
            </w:pPr>
            <w:r w:rsidRPr="007930B0">
              <w:rPr>
                <w:sz w:val="18"/>
                <w:szCs w:val="18"/>
                <w:lang w:val="es-ES"/>
              </w:rPr>
              <w:t>En el extranjero (evacuaciones)</w:t>
            </w:r>
          </w:p>
        </w:tc>
        <w:tc>
          <w:tcPr>
            <w:tcW w:w="1700" w:type="dxa"/>
            <w:shd w:val="clear" w:color="auto" w:fill="auto"/>
            <w:vAlign w:val="bottom"/>
          </w:tcPr>
          <w:p w:rsidR="001E7BB4" w:rsidRPr="007930B0" w:rsidRDefault="001E7BB4" w:rsidP="00C03DBF">
            <w:pPr>
              <w:spacing w:before="40" w:after="40" w:line="220" w:lineRule="exact"/>
              <w:ind w:right="113"/>
              <w:jc w:val="right"/>
              <w:rPr>
                <w:sz w:val="18"/>
                <w:szCs w:val="18"/>
              </w:rPr>
            </w:pPr>
            <w:r w:rsidRPr="007930B0">
              <w:rPr>
                <w:sz w:val="18"/>
                <w:szCs w:val="18"/>
              </w:rPr>
              <w:t>460</w:t>
            </w:r>
          </w:p>
        </w:tc>
      </w:tr>
      <w:tr w:rsidR="001E7BB4" w:rsidRPr="007930B0">
        <w:tc>
          <w:tcPr>
            <w:tcW w:w="5274" w:type="dxa"/>
            <w:shd w:val="clear" w:color="auto" w:fill="auto"/>
          </w:tcPr>
          <w:p w:rsidR="001E7BB4" w:rsidRPr="007930B0" w:rsidRDefault="001E7BB4" w:rsidP="00C03DBF">
            <w:pPr>
              <w:spacing w:before="40" w:after="40" w:line="220" w:lineRule="exact"/>
              <w:ind w:right="113"/>
              <w:rPr>
                <w:sz w:val="18"/>
                <w:szCs w:val="18"/>
              </w:rPr>
            </w:pPr>
            <w:r w:rsidRPr="007930B0">
              <w:rPr>
                <w:sz w:val="18"/>
                <w:szCs w:val="18"/>
              </w:rPr>
              <w:t>Sumas gastadas</w:t>
            </w:r>
          </w:p>
        </w:tc>
        <w:tc>
          <w:tcPr>
            <w:tcW w:w="1700" w:type="dxa"/>
            <w:shd w:val="clear" w:color="auto" w:fill="auto"/>
            <w:vAlign w:val="bottom"/>
          </w:tcPr>
          <w:p w:rsidR="001E7BB4" w:rsidRPr="007930B0" w:rsidRDefault="001E7BB4" w:rsidP="00C03DBF">
            <w:pPr>
              <w:spacing w:before="40" w:after="40" w:line="220" w:lineRule="exact"/>
              <w:ind w:right="113"/>
              <w:jc w:val="right"/>
              <w:rPr>
                <w:sz w:val="18"/>
                <w:szCs w:val="18"/>
              </w:rPr>
            </w:pPr>
          </w:p>
        </w:tc>
      </w:tr>
      <w:tr w:rsidR="001E7BB4" w:rsidRPr="007930B0">
        <w:tc>
          <w:tcPr>
            <w:tcW w:w="5274" w:type="dxa"/>
            <w:shd w:val="clear" w:color="auto" w:fill="auto"/>
          </w:tcPr>
          <w:p w:rsidR="001E7BB4" w:rsidRPr="007930B0" w:rsidRDefault="001E7BB4" w:rsidP="001E21D7">
            <w:pPr>
              <w:pStyle w:val="Bullet1G"/>
              <w:tabs>
                <w:tab w:val="clear" w:pos="1701"/>
              </w:tabs>
              <w:spacing w:before="40" w:after="40" w:line="220" w:lineRule="exact"/>
              <w:ind w:left="567" w:right="0"/>
              <w:jc w:val="left"/>
              <w:rPr>
                <w:sz w:val="18"/>
                <w:szCs w:val="18"/>
                <w:lang w:val="es-ES"/>
              </w:rPr>
            </w:pPr>
            <w:r w:rsidRPr="007930B0">
              <w:rPr>
                <w:sz w:val="18"/>
                <w:szCs w:val="18"/>
                <w:lang w:val="es-ES"/>
              </w:rPr>
              <w:t>A nivel de las estructuras de salud nacionales</w:t>
            </w:r>
          </w:p>
        </w:tc>
        <w:tc>
          <w:tcPr>
            <w:tcW w:w="1700" w:type="dxa"/>
            <w:shd w:val="clear" w:color="auto" w:fill="auto"/>
            <w:vAlign w:val="bottom"/>
          </w:tcPr>
          <w:p w:rsidR="001E7BB4" w:rsidRPr="007930B0" w:rsidRDefault="001E7BB4" w:rsidP="00C03DBF">
            <w:pPr>
              <w:spacing w:before="40" w:after="40" w:line="220" w:lineRule="exact"/>
              <w:ind w:right="113"/>
              <w:jc w:val="right"/>
              <w:rPr>
                <w:sz w:val="18"/>
                <w:szCs w:val="18"/>
              </w:rPr>
            </w:pPr>
            <w:r w:rsidRPr="007930B0">
              <w:rPr>
                <w:sz w:val="18"/>
                <w:szCs w:val="18"/>
              </w:rPr>
              <w:t>187 146 732 UM</w:t>
            </w:r>
          </w:p>
        </w:tc>
      </w:tr>
      <w:tr w:rsidR="001E7BB4" w:rsidRPr="007930B0">
        <w:tc>
          <w:tcPr>
            <w:tcW w:w="5274" w:type="dxa"/>
            <w:shd w:val="clear" w:color="auto" w:fill="auto"/>
          </w:tcPr>
          <w:p w:rsidR="001E7BB4" w:rsidRPr="007930B0" w:rsidRDefault="001E7BB4" w:rsidP="001E21D7">
            <w:pPr>
              <w:pStyle w:val="Bullet1G"/>
              <w:tabs>
                <w:tab w:val="clear" w:pos="1701"/>
              </w:tabs>
              <w:spacing w:before="40" w:after="40" w:line="220" w:lineRule="exact"/>
              <w:ind w:left="567" w:right="0"/>
              <w:jc w:val="left"/>
              <w:rPr>
                <w:sz w:val="18"/>
                <w:szCs w:val="18"/>
                <w:lang w:val="es-ES"/>
              </w:rPr>
            </w:pPr>
            <w:r w:rsidRPr="007930B0">
              <w:rPr>
                <w:sz w:val="18"/>
                <w:szCs w:val="18"/>
                <w:lang w:val="es-ES"/>
              </w:rPr>
              <w:t>En el extranjero (evacuaciones)</w:t>
            </w:r>
          </w:p>
        </w:tc>
        <w:tc>
          <w:tcPr>
            <w:tcW w:w="1700" w:type="dxa"/>
            <w:shd w:val="clear" w:color="auto" w:fill="auto"/>
            <w:vAlign w:val="bottom"/>
          </w:tcPr>
          <w:p w:rsidR="001E7BB4" w:rsidRPr="007930B0" w:rsidRDefault="001E7BB4" w:rsidP="00C03DBF">
            <w:pPr>
              <w:spacing w:before="40" w:after="40" w:line="220" w:lineRule="exact"/>
              <w:ind w:right="113"/>
              <w:jc w:val="right"/>
              <w:rPr>
                <w:sz w:val="18"/>
                <w:szCs w:val="18"/>
              </w:rPr>
            </w:pPr>
            <w:r w:rsidRPr="007930B0">
              <w:rPr>
                <w:sz w:val="18"/>
                <w:szCs w:val="18"/>
              </w:rPr>
              <w:t>465 670 909 UM</w:t>
            </w:r>
          </w:p>
        </w:tc>
      </w:tr>
      <w:tr w:rsidR="001E7BB4" w:rsidRPr="007930B0">
        <w:tc>
          <w:tcPr>
            <w:tcW w:w="5274" w:type="dxa"/>
            <w:shd w:val="clear" w:color="auto" w:fill="auto"/>
          </w:tcPr>
          <w:p w:rsidR="001E7BB4" w:rsidRPr="007930B0" w:rsidRDefault="001E7BB4" w:rsidP="00C03DBF">
            <w:pPr>
              <w:spacing w:before="40" w:after="40" w:line="220" w:lineRule="exact"/>
              <w:ind w:right="113"/>
              <w:rPr>
                <w:sz w:val="18"/>
                <w:szCs w:val="18"/>
              </w:rPr>
            </w:pPr>
            <w:r w:rsidRPr="007930B0">
              <w:rPr>
                <w:sz w:val="18"/>
                <w:szCs w:val="18"/>
              </w:rPr>
              <w:t>Cotizaciones</w:t>
            </w:r>
          </w:p>
        </w:tc>
        <w:tc>
          <w:tcPr>
            <w:tcW w:w="1700" w:type="dxa"/>
            <w:shd w:val="clear" w:color="auto" w:fill="auto"/>
            <w:vAlign w:val="bottom"/>
          </w:tcPr>
          <w:p w:rsidR="001E7BB4" w:rsidRPr="007930B0" w:rsidRDefault="001E7BB4" w:rsidP="00C03DBF">
            <w:pPr>
              <w:spacing w:before="40" w:after="40" w:line="220" w:lineRule="exact"/>
              <w:ind w:right="113"/>
              <w:jc w:val="right"/>
              <w:rPr>
                <w:sz w:val="18"/>
                <w:szCs w:val="18"/>
              </w:rPr>
            </w:pPr>
          </w:p>
        </w:tc>
      </w:tr>
      <w:tr w:rsidR="001E7BB4" w:rsidRPr="007930B0">
        <w:tc>
          <w:tcPr>
            <w:tcW w:w="5274" w:type="dxa"/>
            <w:shd w:val="clear" w:color="auto" w:fill="auto"/>
          </w:tcPr>
          <w:p w:rsidR="001E7BB4" w:rsidRPr="007930B0" w:rsidRDefault="001E7BB4" w:rsidP="00C03DBF">
            <w:pPr>
              <w:spacing w:before="40" w:after="40" w:line="220" w:lineRule="exact"/>
              <w:ind w:right="113"/>
              <w:rPr>
                <w:sz w:val="18"/>
                <w:szCs w:val="18"/>
              </w:rPr>
            </w:pPr>
            <w:r w:rsidRPr="007930B0">
              <w:rPr>
                <w:sz w:val="18"/>
                <w:szCs w:val="18"/>
              </w:rPr>
              <w:tab/>
              <w:t>Previstas</w:t>
            </w:r>
          </w:p>
        </w:tc>
        <w:tc>
          <w:tcPr>
            <w:tcW w:w="1700" w:type="dxa"/>
            <w:shd w:val="clear" w:color="auto" w:fill="auto"/>
            <w:vAlign w:val="bottom"/>
          </w:tcPr>
          <w:p w:rsidR="001E7BB4" w:rsidRPr="007930B0" w:rsidRDefault="001E7BB4" w:rsidP="00C03DBF">
            <w:pPr>
              <w:spacing w:before="40" w:after="40" w:line="220" w:lineRule="exact"/>
              <w:ind w:right="113"/>
              <w:jc w:val="right"/>
              <w:rPr>
                <w:sz w:val="18"/>
                <w:szCs w:val="18"/>
              </w:rPr>
            </w:pPr>
          </w:p>
        </w:tc>
      </w:tr>
      <w:tr w:rsidR="001E7BB4" w:rsidRPr="007930B0">
        <w:tc>
          <w:tcPr>
            <w:tcW w:w="5274" w:type="dxa"/>
            <w:shd w:val="clear" w:color="auto" w:fill="auto"/>
          </w:tcPr>
          <w:p w:rsidR="001E7BB4" w:rsidRPr="007930B0" w:rsidRDefault="001E7BB4" w:rsidP="001E21D7">
            <w:pPr>
              <w:pStyle w:val="Bullet1G"/>
              <w:tabs>
                <w:tab w:val="clear" w:pos="1701"/>
              </w:tabs>
              <w:spacing w:before="40" w:after="40" w:line="220" w:lineRule="exact"/>
              <w:ind w:left="567" w:right="0"/>
              <w:jc w:val="left"/>
              <w:rPr>
                <w:sz w:val="18"/>
                <w:szCs w:val="18"/>
                <w:lang w:val="es-ES"/>
              </w:rPr>
            </w:pPr>
            <w:r w:rsidRPr="007930B0">
              <w:rPr>
                <w:sz w:val="18"/>
                <w:szCs w:val="18"/>
                <w:lang w:val="es-ES"/>
              </w:rPr>
              <w:t>Estado</w:t>
            </w:r>
          </w:p>
        </w:tc>
        <w:tc>
          <w:tcPr>
            <w:tcW w:w="1700" w:type="dxa"/>
            <w:shd w:val="clear" w:color="auto" w:fill="auto"/>
            <w:vAlign w:val="bottom"/>
          </w:tcPr>
          <w:p w:rsidR="001E7BB4" w:rsidRPr="007930B0" w:rsidRDefault="001E7BB4" w:rsidP="00C03DBF">
            <w:pPr>
              <w:spacing w:before="40" w:after="40" w:line="220" w:lineRule="exact"/>
              <w:ind w:right="113"/>
              <w:jc w:val="right"/>
              <w:rPr>
                <w:sz w:val="18"/>
                <w:szCs w:val="18"/>
              </w:rPr>
            </w:pPr>
            <w:r w:rsidRPr="007930B0">
              <w:rPr>
                <w:sz w:val="18"/>
                <w:szCs w:val="18"/>
              </w:rPr>
              <w:t>2 026 860 000 UM</w:t>
            </w:r>
          </w:p>
        </w:tc>
      </w:tr>
      <w:tr w:rsidR="001E7BB4" w:rsidRPr="007930B0">
        <w:tc>
          <w:tcPr>
            <w:tcW w:w="5274" w:type="dxa"/>
            <w:tcBorders>
              <w:bottom w:val="single" w:sz="4" w:space="0" w:color="auto"/>
            </w:tcBorders>
            <w:shd w:val="clear" w:color="auto" w:fill="auto"/>
          </w:tcPr>
          <w:p w:rsidR="001E7BB4" w:rsidRPr="007930B0" w:rsidRDefault="001E7BB4" w:rsidP="00F16097">
            <w:pPr>
              <w:pStyle w:val="Bullet1G"/>
              <w:tabs>
                <w:tab w:val="clear" w:pos="1701"/>
              </w:tabs>
              <w:spacing w:before="40" w:after="40" w:line="220" w:lineRule="exact"/>
              <w:ind w:left="567" w:right="0"/>
              <w:jc w:val="left"/>
              <w:rPr>
                <w:sz w:val="18"/>
                <w:szCs w:val="18"/>
                <w:lang w:val="es-ES"/>
              </w:rPr>
            </w:pPr>
            <w:r w:rsidRPr="007930B0">
              <w:rPr>
                <w:sz w:val="18"/>
                <w:szCs w:val="18"/>
                <w:lang w:val="es-ES"/>
              </w:rPr>
              <w:t>Asociados</w:t>
            </w:r>
          </w:p>
        </w:tc>
        <w:tc>
          <w:tcPr>
            <w:tcW w:w="1700" w:type="dxa"/>
            <w:tcBorders>
              <w:bottom w:val="single" w:sz="4" w:space="0" w:color="auto"/>
            </w:tcBorders>
            <w:shd w:val="clear" w:color="auto" w:fill="auto"/>
            <w:vAlign w:val="bottom"/>
          </w:tcPr>
          <w:p w:rsidR="001E7BB4" w:rsidRPr="007930B0" w:rsidRDefault="001E7BB4" w:rsidP="00C03DBF">
            <w:pPr>
              <w:spacing w:before="40" w:after="40" w:line="220" w:lineRule="exact"/>
              <w:ind w:right="113"/>
              <w:jc w:val="right"/>
              <w:rPr>
                <w:sz w:val="18"/>
                <w:szCs w:val="18"/>
              </w:rPr>
            </w:pPr>
            <w:r w:rsidRPr="007930B0">
              <w:rPr>
                <w:sz w:val="18"/>
                <w:szCs w:val="18"/>
              </w:rPr>
              <w:t>1 590 048 000 UM</w:t>
            </w:r>
          </w:p>
        </w:tc>
      </w:tr>
      <w:tr w:rsidR="001E7BB4" w:rsidRPr="007930B0">
        <w:tc>
          <w:tcPr>
            <w:tcW w:w="5274" w:type="dxa"/>
            <w:tcBorders>
              <w:top w:val="single" w:sz="4" w:space="0" w:color="auto"/>
              <w:bottom w:val="single" w:sz="4" w:space="0" w:color="auto"/>
            </w:tcBorders>
            <w:shd w:val="clear" w:color="auto" w:fill="auto"/>
          </w:tcPr>
          <w:p w:rsidR="001E7BB4" w:rsidRPr="007930B0" w:rsidRDefault="001E7BB4" w:rsidP="00F16097">
            <w:pPr>
              <w:spacing w:before="80" w:after="80" w:line="220" w:lineRule="exact"/>
              <w:ind w:left="284" w:right="113"/>
              <w:rPr>
                <w:b/>
                <w:bCs/>
                <w:sz w:val="18"/>
                <w:szCs w:val="18"/>
              </w:rPr>
            </w:pPr>
            <w:r w:rsidRPr="007930B0">
              <w:rPr>
                <w:b/>
                <w:bCs/>
                <w:sz w:val="18"/>
                <w:szCs w:val="18"/>
              </w:rPr>
              <w:t>Total</w:t>
            </w:r>
          </w:p>
        </w:tc>
        <w:tc>
          <w:tcPr>
            <w:tcW w:w="1700" w:type="dxa"/>
            <w:tcBorders>
              <w:top w:val="single" w:sz="4" w:space="0" w:color="auto"/>
              <w:bottom w:val="single" w:sz="4" w:space="0" w:color="auto"/>
            </w:tcBorders>
            <w:shd w:val="clear" w:color="auto" w:fill="auto"/>
            <w:vAlign w:val="bottom"/>
          </w:tcPr>
          <w:p w:rsidR="001E7BB4" w:rsidRPr="007930B0" w:rsidRDefault="001E7BB4" w:rsidP="00F16097">
            <w:pPr>
              <w:spacing w:before="80" w:after="80" w:line="220" w:lineRule="exact"/>
              <w:ind w:right="113"/>
              <w:jc w:val="right"/>
              <w:rPr>
                <w:b/>
                <w:bCs/>
                <w:sz w:val="18"/>
                <w:szCs w:val="18"/>
              </w:rPr>
            </w:pPr>
            <w:r w:rsidRPr="007930B0">
              <w:rPr>
                <w:b/>
                <w:bCs/>
                <w:sz w:val="18"/>
                <w:szCs w:val="18"/>
              </w:rPr>
              <w:t>3 616 908 000 UM</w:t>
            </w:r>
          </w:p>
        </w:tc>
      </w:tr>
      <w:tr w:rsidR="001E7BB4" w:rsidRPr="007930B0">
        <w:tc>
          <w:tcPr>
            <w:tcW w:w="5274" w:type="dxa"/>
            <w:tcBorders>
              <w:top w:val="single" w:sz="4" w:space="0" w:color="auto"/>
              <w:bottom w:val="nil"/>
            </w:tcBorders>
            <w:shd w:val="clear" w:color="auto" w:fill="auto"/>
          </w:tcPr>
          <w:p w:rsidR="001E7BB4" w:rsidRPr="007930B0" w:rsidRDefault="001E7BB4" w:rsidP="001E21D7">
            <w:pPr>
              <w:pStyle w:val="Bullet1G"/>
              <w:tabs>
                <w:tab w:val="clear" w:pos="1701"/>
              </w:tabs>
              <w:spacing w:before="40" w:after="40" w:line="220" w:lineRule="exact"/>
              <w:ind w:left="567" w:right="0"/>
              <w:jc w:val="left"/>
              <w:rPr>
                <w:sz w:val="18"/>
                <w:szCs w:val="18"/>
                <w:lang w:val="es-ES"/>
              </w:rPr>
            </w:pPr>
            <w:r w:rsidRPr="007930B0">
              <w:rPr>
                <w:sz w:val="18"/>
                <w:szCs w:val="18"/>
                <w:lang w:val="es-ES"/>
              </w:rPr>
              <w:t>Estado</w:t>
            </w:r>
          </w:p>
        </w:tc>
        <w:tc>
          <w:tcPr>
            <w:tcW w:w="1700" w:type="dxa"/>
            <w:tcBorders>
              <w:top w:val="single" w:sz="4" w:space="0" w:color="auto"/>
              <w:bottom w:val="nil"/>
            </w:tcBorders>
            <w:shd w:val="clear" w:color="auto" w:fill="auto"/>
            <w:vAlign w:val="bottom"/>
          </w:tcPr>
          <w:p w:rsidR="001E7BB4" w:rsidRPr="007930B0" w:rsidRDefault="001E7BB4" w:rsidP="00C03DBF">
            <w:pPr>
              <w:spacing w:before="40" w:after="40" w:line="220" w:lineRule="exact"/>
              <w:ind w:right="113"/>
              <w:jc w:val="right"/>
              <w:rPr>
                <w:sz w:val="18"/>
                <w:szCs w:val="18"/>
              </w:rPr>
            </w:pPr>
            <w:r w:rsidRPr="007930B0">
              <w:rPr>
                <w:sz w:val="18"/>
                <w:szCs w:val="18"/>
              </w:rPr>
              <w:t>1 074 473 311 UM</w:t>
            </w:r>
          </w:p>
        </w:tc>
      </w:tr>
      <w:tr w:rsidR="001E7BB4" w:rsidRPr="007930B0">
        <w:tc>
          <w:tcPr>
            <w:tcW w:w="5274" w:type="dxa"/>
            <w:tcBorders>
              <w:top w:val="nil"/>
              <w:bottom w:val="single" w:sz="4" w:space="0" w:color="auto"/>
            </w:tcBorders>
            <w:shd w:val="clear" w:color="auto" w:fill="auto"/>
          </w:tcPr>
          <w:p w:rsidR="001E7BB4" w:rsidRPr="007930B0" w:rsidRDefault="001E7BB4" w:rsidP="001E21D7">
            <w:pPr>
              <w:pStyle w:val="Bullet1G"/>
              <w:tabs>
                <w:tab w:val="clear" w:pos="1701"/>
              </w:tabs>
              <w:spacing w:before="40" w:after="40" w:line="220" w:lineRule="exact"/>
              <w:ind w:left="567" w:right="0"/>
              <w:jc w:val="left"/>
              <w:rPr>
                <w:sz w:val="18"/>
                <w:szCs w:val="18"/>
                <w:lang w:val="es-ES"/>
              </w:rPr>
            </w:pPr>
            <w:r w:rsidRPr="007930B0">
              <w:rPr>
                <w:sz w:val="18"/>
                <w:szCs w:val="18"/>
                <w:lang w:val="es-ES"/>
              </w:rPr>
              <w:t>Asociados</w:t>
            </w:r>
          </w:p>
        </w:tc>
        <w:tc>
          <w:tcPr>
            <w:tcW w:w="1700" w:type="dxa"/>
            <w:tcBorders>
              <w:top w:val="nil"/>
              <w:bottom w:val="single" w:sz="4" w:space="0" w:color="auto"/>
            </w:tcBorders>
            <w:shd w:val="clear" w:color="auto" w:fill="auto"/>
            <w:vAlign w:val="bottom"/>
          </w:tcPr>
          <w:p w:rsidR="001E7BB4" w:rsidRPr="007930B0" w:rsidRDefault="001E7BB4" w:rsidP="00C03DBF">
            <w:pPr>
              <w:spacing w:before="40" w:after="40" w:line="220" w:lineRule="exact"/>
              <w:ind w:right="113"/>
              <w:jc w:val="right"/>
              <w:rPr>
                <w:sz w:val="18"/>
                <w:szCs w:val="18"/>
              </w:rPr>
            </w:pPr>
            <w:r w:rsidRPr="007930B0">
              <w:rPr>
                <w:sz w:val="18"/>
                <w:szCs w:val="18"/>
              </w:rPr>
              <w:t>1 163 177 288 UM</w:t>
            </w:r>
          </w:p>
        </w:tc>
      </w:tr>
      <w:tr w:rsidR="001E7BB4" w:rsidRPr="007930B0">
        <w:tc>
          <w:tcPr>
            <w:tcW w:w="5274" w:type="dxa"/>
            <w:tcBorders>
              <w:top w:val="single" w:sz="4" w:space="0" w:color="auto"/>
              <w:bottom w:val="single" w:sz="12" w:space="0" w:color="auto"/>
            </w:tcBorders>
            <w:shd w:val="clear" w:color="auto" w:fill="auto"/>
          </w:tcPr>
          <w:p w:rsidR="001E7BB4" w:rsidRPr="007930B0" w:rsidRDefault="001E7BB4" w:rsidP="00F16097">
            <w:pPr>
              <w:spacing w:before="80" w:after="80" w:line="220" w:lineRule="exact"/>
              <w:ind w:left="284" w:right="113"/>
              <w:rPr>
                <w:b/>
                <w:bCs/>
                <w:sz w:val="18"/>
                <w:szCs w:val="18"/>
              </w:rPr>
            </w:pPr>
            <w:r w:rsidRPr="007930B0">
              <w:rPr>
                <w:b/>
                <w:bCs/>
                <w:sz w:val="18"/>
                <w:szCs w:val="18"/>
              </w:rPr>
              <w:t>Total</w:t>
            </w:r>
          </w:p>
        </w:tc>
        <w:tc>
          <w:tcPr>
            <w:tcW w:w="1700" w:type="dxa"/>
            <w:tcBorders>
              <w:top w:val="single" w:sz="4" w:space="0" w:color="auto"/>
              <w:bottom w:val="single" w:sz="12" w:space="0" w:color="auto"/>
            </w:tcBorders>
            <w:shd w:val="clear" w:color="auto" w:fill="auto"/>
            <w:vAlign w:val="bottom"/>
          </w:tcPr>
          <w:p w:rsidR="001E7BB4" w:rsidRPr="007930B0" w:rsidRDefault="001E7BB4" w:rsidP="00F16097">
            <w:pPr>
              <w:spacing w:before="80" w:after="80" w:line="220" w:lineRule="exact"/>
              <w:ind w:right="113"/>
              <w:jc w:val="right"/>
              <w:rPr>
                <w:b/>
                <w:bCs/>
                <w:sz w:val="18"/>
                <w:szCs w:val="18"/>
              </w:rPr>
            </w:pPr>
            <w:r w:rsidRPr="007930B0">
              <w:rPr>
                <w:b/>
                <w:bCs/>
                <w:sz w:val="18"/>
                <w:szCs w:val="18"/>
              </w:rPr>
              <w:t>2 237 650 599 UM</w:t>
            </w:r>
          </w:p>
        </w:tc>
      </w:tr>
    </w:tbl>
    <w:p w:rsidR="001E7BB4" w:rsidRPr="007930B0" w:rsidRDefault="001E7BB4" w:rsidP="001E21D7">
      <w:pPr>
        <w:pStyle w:val="H1G"/>
        <w:rPr>
          <w:lang w:val="es-ES"/>
        </w:rPr>
      </w:pPr>
      <w:r w:rsidRPr="007930B0">
        <w:rPr>
          <w:lang w:val="es-ES"/>
        </w:rPr>
        <w:tab/>
      </w:r>
      <w:r w:rsidRPr="007930B0">
        <w:rPr>
          <w:lang w:val="es-ES"/>
        </w:rPr>
        <w:tab/>
        <w:t>Artículo 10</w:t>
      </w:r>
      <w:r w:rsidRPr="007930B0">
        <w:rPr>
          <w:lang w:val="es-ES"/>
        </w:rPr>
        <w:br/>
        <w:t>Derechos de los niños, las mujeres y la familia</w:t>
      </w:r>
    </w:p>
    <w:p w:rsidR="001E7BB4" w:rsidRPr="007930B0" w:rsidRDefault="001E7BB4" w:rsidP="00B56B34">
      <w:pPr>
        <w:pStyle w:val="SingleTxtG"/>
        <w:rPr>
          <w:lang w:val="es-ES"/>
        </w:rPr>
      </w:pPr>
      <w:r w:rsidRPr="007930B0">
        <w:rPr>
          <w:lang w:val="es-ES"/>
        </w:rPr>
        <w:t>209.</w:t>
      </w:r>
      <w:r w:rsidRPr="007930B0">
        <w:rPr>
          <w:lang w:val="es-ES"/>
        </w:rPr>
        <w:tab/>
        <w:t>Mauritania es parte en el Pacto Internacional de Derechos Civiles y Políticos, la Convención sobre los Derechos del Niño, la Convención Internacional sobre la Eliminación de todas las Formas de Discriminación Racial y la Convención sobre la eliminación de todas las formas de discriminación contra la mujer, y es parte en los convenios de la Organización Internacional del Trabajo (</w:t>
      </w:r>
      <w:r w:rsidR="005322D8" w:rsidRPr="007930B0">
        <w:rPr>
          <w:lang w:val="es-ES"/>
        </w:rPr>
        <w:t>Nº</w:t>
      </w:r>
      <w:r w:rsidRPr="007930B0">
        <w:rPr>
          <w:lang w:val="es-ES"/>
        </w:rPr>
        <w:t xml:space="preserve"> 103) sobre la protección de la maternidad (revisado) y (</w:t>
      </w:r>
      <w:r w:rsidR="005322D8" w:rsidRPr="007930B0">
        <w:rPr>
          <w:lang w:val="es-ES"/>
        </w:rPr>
        <w:t>Nº</w:t>
      </w:r>
      <w:r w:rsidRPr="007930B0">
        <w:rPr>
          <w:lang w:val="es-ES"/>
        </w:rPr>
        <w:t xml:space="preserve"> 138) sobre la edad mínima.</w:t>
      </w:r>
      <w:r w:rsidR="00CC3B6E" w:rsidRPr="007930B0">
        <w:rPr>
          <w:lang w:val="es-ES"/>
        </w:rPr>
        <w:t xml:space="preserve"> </w:t>
      </w:r>
    </w:p>
    <w:p w:rsidR="001E7BB4" w:rsidRPr="007930B0" w:rsidRDefault="001E7BB4" w:rsidP="00B56B34">
      <w:pPr>
        <w:pStyle w:val="SingleTxtG"/>
        <w:rPr>
          <w:lang w:val="es-ES"/>
        </w:rPr>
      </w:pPr>
      <w:r w:rsidRPr="007930B0">
        <w:rPr>
          <w:lang w:val="es-ES"/>
        </w:rPr>
        <w:t>210.</w:t>
      </w:r>
      <w:r w:rsidRPr="007930B0">
        <w:rPr>
          <w:lang w:val="es-ES"/>
        </w:rPr>
        <w:tab/>
        <w:t xml:space="preserve">La familia constituye la célula básica de nuestra sociedad islámica, árabe y africana. </w:t>
      </w:r>
    </w:p>
    <w:p w:rsidR="001E7BB4" w:rsidRPr="007930B0" w:rsidRDefault="001E7BB4" w:rsidP="00B56B34">
      <w:pPr>
        <w:pStyle w:val="SingleTxtG"/>
        <w:rPr>
          <w:lang w:val="es-ES"/>
        </w:rPr>
      </w:pPr>
      <w:r w:rsidRPr="007930B0">
        <w:rPr>
          <w:lang w:val="es-ES"/>
        </w:rPr>
        <w:t>211.</w:t>
      </w:r>
      <w:r w:rsidRPr="007930B0">
        <w:rPr>
          <w:lang w:val="es-ES"/>
        </w:rPr>
        <w:tab/>
        <w:t>En nuestro país la mayoría de edad se alcanza a los 18 años, de conformidad con la legislación, en particular el Código del estatuto personal aprobado en 2001.</w:t>
      </w:r>
    </w:p>
    <w:p w:rsidR="001E7BB4" w:rsidRPr="007930B0" w:rsidRDefault="001E7BB4" w:rsidP="00B56B34">
      <w:pPr>
        <w:pStyle w:val="SingleTxtG"/>
        <w:rPr>
          <w:lang w:val="es-ES"/>
        </w:rPr>
      </w:pPr>
      <w:r w:rsidRPr="007930B0">
        <w:rPr>
          <w:lang w:val="es-ES"/>
        </w:rPr>
        <w:t>212.</w:t>
      </w:r>
      <w:r w:rsidRPr="007930B0">
        <w:rPr>
          <w:lang w:val="es-ES"/>
        </w:rPr>
        <w:tab/>
        <w:t>Existen diversos medios oficiales y oficiosos destinados a prestar asistencia y protección a la mujer. La Dirección de la Familia, que forma parte del Ministerio de Asuntos Sociales, Infancia y Familia, es la responsable de aplicar la política nacional en materia de asistencia y protección a la familia. Dentro de esa Dirección existe un servicio encargado de resolver los litigios familiares, conforme a las disposiciones del Código del estatuto personal de 2001. Asimismo, los tribunales nacionales resuelven todos los conflictos que pueden atentar contra la unidad de la familia.</w:t>
      </w:r>
    </w:p>
    <w:p w:rsidR="001E7BB4" w:rsidRPr="007930B0" w:rsidRDefault="001E7BB4" w:rsidP="00087230">
      <w:pPr>
        <w:pStyle w:val="H23G"/>
        <w:rPr>
          <w:lang w:val="es-ES"/>
        </w:rPr>
      </w:pPr>
      <w:r w:rsidRPr="007930B0">
        <w:rPr>
          <w:lang w:val="es-ES"/>
        </w:rPr>
        <w:tab/>
      </w:r>
      <w:r w:rsidRPr="007930B0">
        <w:rPr>
          <w:lang w:val="es-ES"/>
        </w:rPr>
        <w:tab/>
        <w:t>El Código del estatuto personal de 2001 rige el derecho de hombres y mujeres a contraer libremente m</w:t>
      </w:r>
      <w:r w:rsidR="00087230" w:rsidRPr="007930B0">
        <w:rPr>
          <w:lang w:val="es-ES"/>
        </w:rPr>
        <w:t>atrimonio y fundar una familia</w:t>
      </w:r>
    </w:p>
    <w:p w:rsidR="001E7BB4" w:rsidRPr="007930B0" w:rsidRDefault="001E7BB4" w:rsidP="00B56B34">
      <w:pPr>
        <w:pStyle w:val="SingleTxtG"/>
        <w:rPr>
          <w:lang w:val="es-ES"/>
        </w:rPr>
      </w:pPr>
      <w:r w:rsidRPr="007930B0">
        <w:rPr>
          <w:lang w:val="es-ES"/>
        </w:rPr>
        <w:t>213.</w:t>
      </w:r>
      <w:r w:rsidRPr="007930B0">
        <w:rPr>
          <w:lang w:val="es-ES"/>
        </w:rPr>
        <w:tab/>
        <w:t xml:space="preserve">El contrato de matrimonio se rige por determinadas disposiciones del Código del estatuto personal, en particular. </w:t>
      </w:r>
    </w:p>
    <w:p w:rsidR="001E7BB4" w:rsidRPr="007930B0" w:rsidRDefault="001E7BB4" w:rsidP="00B56B34">
      <w:pPr>
        <w:pStyle w:val="SingleTxtG"/>
        <w:rPr>
          <w:lang w:val="es-ES"/>
        </w:rPr>
      </w:pPr>
      <w:r w:rsidRPr="007930B0">
        <w:rPr>
          <w:lang w:val="es-ES"/>
        </w:rPr>
        <w:t>214.</w:t>
      </w:r>
      <w:r w:rsidRPr="007930B0">
        <w:rPr>
          <w:lang w:val="es-ES"/>
        </w:rPr>
        <w:tab/>
      </w:r>
      <w:r w:rsidRPr="007930B0">
        <w:rPr>
          <w:b/>
          <w:lang w:val="es-ES"/>
        </w:rPr>
        <w:t>Artículo 1</w:t>
      </w:r>
      <w:r w:rsidRPr="007930B0">
        <w:rPr>
          <w:lang w:val="es-ES"/>
        </w:rPr>
        <w:t>: El matrimonio es un contrato legal en virtud de del cual un hombre y una mujer se unen con miras a iniciar una vida conyugal duradera. Su fin es la fidelidad y la procreación, mediante la fundación, sobre bases sólidas y bajo la dirección del marido, de un hogar que permita a los cónyuges hacer frente a sus obligaciones recíprocas en el afecto y el respeto mutuos.</w:t>
      </w:r>
    </w:p>
    <w:p w:rsidR="001E7BB4" w:rsidRPr="007930B0" w:rsidRDefault="001E7BB4" w:rsidP="00B56B34">
      <w:pPr>
        <w:pStyle w:val="SingleTxtG"/>
        <w:rPr>
          <w:lang w:val="es-ES"/>
        </w:rPr>
      </w:pPr>
      <w:r w:rsidRPr="007930B0">
        <w:rPr>
          <w:lang w:val="es-ES"/>
        </w:rPr>
        <w:t>215.</w:t>
      </w:r>
      <w:r w:rsidRPr="007930B0">
        <w:rPr>
          <w:lang w:val="es-ES"/>
        </w:rPr>
        <w:tab/>
      </w:r>
      <w:r w:rsidRPr="007930B0">
        <w:rPr>
          <w:b/>
          <w:lang w:val="es-ES"/>
        </w:rPr>
        <w:t>Artículo 5</w:t>
      </w:r>
      <w:r w:rsidRPr="007930B0">
        <w:rPr>
          <w:lang w:val="es-ES"/>
        </w:rPr>
        <w:t>: Los elementos constitutivos del matrimonio son: los dos cónyuges, el tutor Weli, la dote y el consentimiento.</w:t>
      </w:r>
    </w:p>
    <w:p w:rsidR="001E7BB4" w:rsidRPr="007930B0" w:rsidRDefault="001E7BB4" w:rsidP="00087230">
      <w:pPr>
        <w:pStyle w:val="H23G"/>
        <w:rPr>
          <w:lang w:val="es-ES"/>
        </w:rPr>
      </w:pPr>
      <w:r w:rsidRPr="007930B0">
        <w:rPr>
          <w:lang w:val="es-ES"/>
        </w:rPr>
        <w:tab/>
      </w:r>
      <w:r w:rsidRPr="007930B0">
        <w:rPr>
          <w:lang w:val="es-ES"/>
        </w:rPr>
        <w:tab/>
        <w:t>Sección 1</w:t>
      </w:r>
      <w:r w:rsidRPr="007930B0">
        <w:rPr>
          <w:lang w:val="es-ES"/>
        </w:rPr>
        <w:br/>
        <w:t>Los cónyuges</w:t>
      </w:r>
    </w:p>
    <w:p w:rsidR="001E7BB4" w:rsidRPr="007930B0" w:rsidRDefault="001E7BB4" w:rsidP="00B56B34">
      <w:pPr>
        <w:pStyle w:val="SingleTxtG"/>
        <w:rPr>
          <w:lang w:val="es-ES"/>
        </w:rPr>
      </w:pPr>
      <w:r w:rsidRPr="007930B0">
        <w:rPr>
          <w:lang w:val="es-ES"/>
        </w:rPr>
        <w:t>216.</w:t>
      </w:r>
      <w:r w:rsidRPr="007930B0">
        <w:rPr>
          <w:lang w:val="es-ES"/>
        </w:rPr>
        <w:tab/>
      </w:r>
      <w:r w:rsidRPr="007930B0">
        <w:rPr>
          <w:b/>
          <w:lang w:val="es-ES"/>
        </w:rPr>
        <w:t>Artículo 6</w:t>
      </w:r>
      <w:r w:rsidRPr="007930B0">
        <w:rPr>
          <w:lang w:val="es-ES"/>
        </w:rPr>
        <w:t>: Tiene capacidad para contraer matrimonio toda persona dotada de razón y de 18 años cumplidos. El tutor Weli puede casar al incapaz que se encuentre bajo su tutela si considera que existe en ello un interés evidente.</w:t>
      </w:r>
    </w:p>
    <w:p w:rsidR="001E7BB4" w:rsidRPr="007930B0" w:rsidRDefault="001E7BB4" w:rsidP="00B56B34">
      <w:pPr>
        <w:pStyle w:val="SingleTxtG"/>
        <w:rPr>
          <w:lang w:val="es-ES"/>
        </w:rPr>
      </w:pPr>
      <w:r w:rsidRPr="007930B0">
        <w:rPr>
          <w:lang w:val="es-ES"/>
        </w:rPr>
        <w:t>217.</w:t>
      </w:r>
      <w:r w:rsidRPr="007930B0">
        <w:rPr>
          <w:lang w:val="es-ES"/>
        </w:rPr>
        <w:tab/>
      </w:r>
      <w:r w:rsidRPr="007930B0">
        <w:rPr>
          <w:b/>
          <w:lang w:val="es-ES"/>
        </w:rPr>
        <w:t>Artículo 7</w:t>
      </w:r>
      <w:r w:rsidRPr="007930B0">
        <w:rPr>
          <w:lang w:val="es-ES"/>
        </w:rPr>
        <w:t>: Si el tutor de un incapaz lo ha casado sin tener en cuenta lo dispuesto en el artículo anterior, el matrimonio será válido pero el tutor será pasible de las penas previstas en el Código Penal si actuó exclusivamente en su propio interés.</w:t>
      </w:r>
    </w:p>
    <w:p w:rsidR="001E7BB4" w:rsidRPr="007930B0" w:rsidRDefault="001E7BB4" w:rsidP="00B56B34">
      <w:pPr>
        <w:pStyle w:val="SingleTxtG"/>
        <w:rPr>
          <w:lang w:val="es-ES"/>
        </w:rPr>
      </w:pPr>
      <w:r w:rsidRPr="007930B0">
        <w:rPr>
          <w:lang w:val="es-ES"/>
        </w:rPr>
        <w:t>218.</w:t>
      </w:r>
      <w:r w:rsidRPr="007930B0">
        <w:rPr>
          <w:lang w:val="es-ES"/>
        </w:rPr>
        <w:tab/>
      </w:r>
      <w:r w:rsidRPr="007930B0">
        <w:rPr>
          <w:b/>
          <w:lang w:val="es-ES"/>
        </w:rPr>
        <w:t>Artículo 8</w:t>
      </w:r>
      <w:r w:rsidRPr="007930B0">
        <w:rPr>
          <w:lang w:val="es-ES"/>
        </w:rPr>
        <w:t xml:space="preserve">: El matrimonio contraído por un incapaz, sin la autorización de su tutor, no es válido a menos que éste o un juez, según el caso, lo aprueben. </w:t>
      </w:r>
    </w:p>
    <w:p w:rsidR="001E7BB4" w:rsidRPr="007930B0" w:rsidRDefault="001E7BB4" w:rsidP="00CD15B7">
      <w:pPr>
        <w:pStyle w:val="H23G"/>
        <w:rPr>
          <w:lang w:val="es-ES"/>
        </w:rPr>
      </w:pPr>
      <w:r w:rsidRPr="007930B0">
        <w:rPr>
          <w:lang w:val="es-ES"/>
        </w:rPr>
        <w:tab/>
      </w:r>
      <w:r w:rsidRPr="007930B0">
        <w:rPr>
          <w:lang w:val="es-ES"/>
        </w:rPr>
        <w:tab/>
        <w:t>Sección 2</w:t>
      </w:r>
      <w:r w:rsidRPr="007930B0">
        <w:rPr>
          <w:lang w:val="es-ES"/>
        </w:rPr>
        <w:br/>
        <w:t xml:space="preserve">Tutela de matrimonio </w:t>
      </w:r>
      <w:r w:rsidR="00CC3B6E" w:rsidRPr="007930B0">
        <w:rPr>
          <w:lang w:val="es-ES"/>
        </w:rPr>
        <w:t>"</w:t>
      </w:r>
      <w:r w:rsidR="00CD15B7" w:rsidRPr="007930B0">
        <w:rPr>
          <w:i/>
          <w:iCs/>
          <w:lang w:val="es-ES"/>
        </w:rPr>
        <w:t>w</w:t>
      </w:r>
      <w:r w:rsidRPr="007930B0">
        <w:rPr>
          <w:i/>
          <w:iCs/>
          <w:lang w:val="es-ES"/>
        </w:rPr>
        <w:t>ilaya</w:t>
      </w:r>
      <w:r w:rsidR="00CC3B6E" w:rsidRPr="007930B0">
        <w:rPr>
          <w:lang w:val="es-ES"/>
        </w:rPr>
        <w:t>"</w:t>
      </w:r>
    </w:p>
    <w:p w:rsidR="001E7BB4" w:rsidRPr="007930B0" w:rsidRDefault="001E7BB4" w:rsidP="00B56B34">
      <w:pPr>
        <w:pStyle w:val="SingleTxtG"/>
        <w:rPr>
          <w:lang w:val="es-ES"/>
        </w:rPr>
      </w:pPr>
      <w:r w:rsidRPr="007930B0">
        <w:rPr>
          <w:lang w:val="es-ES"/>
        </w:rPr>
        <w:t>219.</w:t>
      </w:r>
      <w:r w:rsidRPr="007930B0">
        <w:rPr>
          <w:lang w:val="es-ES"/>
        </w:rPr>
        <w:tab/>
      </w:r>
      <w:r w:rsidRPr="007930B0">
        <w:rPr>
          <w:b/>
          <w:lang w:val="es-ES"/>
        </w:rPr>
        <w:t>Artículo 9</w:t>
      </w:r>
      <w:r w:rsidRPr="007930B0">
        <w:rPr>
          <w:lang w:val="es-ES"/>
        </w:rPr>
        <w:t>: La tutela (</w:t>
      </w:r>
      <w:r w:rsidR="00CD15B7" w:rsidRPr="007930B0">
        <w:rPr>
          <w:i/>
          <w:lang w:val="es-ES"/>
        </w:rPr>
        <w:t>wilaya</w:t>
      </w:r>
      <w:r w:rsidRPr="007930B0">
        <w:rPr>
          <w:lang w:val="es-ES"/>
        </w:rPr>
        <w:t xml:space="preserve">) se ejerce en interés de la mujer. La mujer mayor de edad no puede contraer matrimonio sin su propio consentimiento y la presencia de su tutor Weli. El silencio de la joven vale como consentimiento. </w:t>
      </w:r>
    </w:p>
    <w:p w:rsidR="001E7BB4" w:rsidRPr="007930B0" w:rsidRDefault="001E7BB4" w:rsidP="00B56B34">
      <w:pPr>
        <w:pStyle w:val="SingleTxtG"/>
        <w:rPr>
          <w:lang w:val="es-ES"/>
        </w:rPr>
      </w:pPr>
      <w:r w:rsidRPr="007930B0">
        <w:rPr>
          <w:lang w:val="es-ES"/>
        </w:rPr>
        <w:t>220.</w:t>
      </w:r>
      <w:r w:rsidRPr="007930B0">
        <w:rPr>
          <w:lang w:val="es-ES"/>
        </w:rPr>
        <w:tab/>
      </w:r>
      <w:r w:rsidRPr="007930B0">
        <w:rPr>
          <w:b/>
          <w:lang w:val="es-ES"/>
        </w:rPr>
        <w:t>Artículo 10</w:t>
      </w:r>
      <w:r w:rsidRPr="007930B0">
        <w:rPr>
          <w:lang w:val="es-ES"/>
        </w:rPr>
        <w:t xml:space="preserve">: El tutor </w:t>
      </w:r>
      <w:r w:rsidR="00CC3B6E" w:rsidRPr="007930B0">
        <w:rPr>
          <w:lang w:val="es-ES"/>
        </w:rPr>
        <w:t>"</w:t>
      </w:r>
      <w:r w:rsidRPr="007930B0">
        <w:rPr>
          <w:lang w:val="es-ES"/>
        </w:rPr>
        <w:t>Weli</w:t>
      </w:r>
      <w:r w:rsidR="00CC3B6E" w:rsidRPr="007930B0">
        <w:rPr>
          <w:lang w:val="es-ES"/>
        </w:rPr>
        <w:t>"</w:t>
      </w:r>
      <w:r w:rsidRPr="007930B0">
        <w:rPr>
          <w:lang w:val="es-ES"/>
        </w:rPr>
        <w:t xml:space="preserve"> debe ser de sexo masculino, dotado de razón, mayor de edad y de confesión musulmana si la mujer es musulmana. </w:t>
      </w:r>
    </w:p>
    <w:p w:rsidR="001E7BB4" w:rsidRPr="007930B0" w:rsidRDefault="001E7BB4" w:rsidP="00B56B34">
      <w:pPr>
        <w:pStyle w:val="SingleTxtG"/>
        <w:rPr>
          <w:lang w:val="es-ES"/>
        </w:rPr>
      </w:pPr>
      <w:r w:rsidRPr="007930B0">
        <w:rPr>
          <w:lang w:val="es-ES"/>
        </w:rPr>
        <w:t>221.</w:t>
      </w:r>
      <w:r w:rsidRPr="007930B0">
        <w:rPr>
          <w:lang w:val="es-ES"/>
        </w:rPr>
        <w:tab/>
      </w:r>
      <w:r w:rsidRPr="007930B0">
        <w:rPr>
          <w:b/>
          <w:lang w:val="es-ES"/>
        </w:rPr>
        <w:t>Artículo 11</w:t>
      </w:r>
      <w:r w:rsidRPr="007930B0">
        <w:rPr>
          <w:lang w:val="es-ES"/>
        </w:rPr>
        <w:t xml:space="preserve">: La tutela </w:t>
      </w:r>
      <w:r w:rsidR="00CC3B6E" w:rsidRPr="007930B0">
        <w:rPr>
          <w:lang w:val="es-ES"/>
        </w:rPr>
        <w:t>"</w:t>
      </w:r>
      <w:r w:rsidR="00CD15B7" w:rsidRPr="007930B0">
        <w:rPr>
          <w:i/>
          <w:lang w:val="es-ES"/>
        </w:rPr>
        <w:t>wilaya</w:t>
      </w:r>
      <w:r w:rsidR="00CC3B6E" w:rsidRPr="007930B0">
        <w:rPr>
          <w:lang w:val="es-ES"/>
        </w:rPr>
        <w:t>"</w:t>
      </w:r>
      <w:r w:rsidRPr="007930B0">
        <w:rPr>
          <w:lang w:val="es-ES"/>
        </w:rPr>
        <w:t xml:space="preserve"> se ejerce, en el orden que sigue, por: </w:t>
      </w:r>
    </w:p>
    <w:p w:rsidR="001E7BB4" w:rsidRPr="007930B0" w:rsidRDefault="001E7BB4" w:rsidP="00087230">
      <w:pPr>
        <w:pStyle w:val="Bullet1G"/>
        <w:rPr>
          <w:lang w:val="es-ES"/>
        </w:rPr>
      </w:pPr>
      <w:r w:rsidRPr="007930B0">
        <w:rPr>
          <w:lang w:val="es-ES"/>
        </w:rPr>
        <w:t>El hijo o su hijo;</w:t>
      </w:r>
    </w:p>
    <w:p w:rsidR="001E7BB4" w:rsidRPr="007930B0" w:rsidRDefault="001E7BB4" w:rsidP="00087230">
      <w:pPr>
        <w:pStyle w:val="Bullet1G"/>
        <w:rPr>
          <w:lang w:val="es-ES"/>
        </w:rPr>
      </w:pPr>
      <w:r w:rsidRPr="007930B0">
        <w:rPr>
          <w:lang w:val="es-ES"/>
        </w:rPr>
        <w:t>El padre o el tutor testamentario;</w:t>
      </w:r>
    </w:p>
    <w:p w:rsidR="001E7BB4" w:rsidRPr="007930B0" w:rsidRDefault="001E7BB4" w:rsidP="00087230">
      <w:pPr>
        <w:pStyle w:val="Bullet1G"/>
        <w:rPr>
          <w:lang w:val="es-ES"/>
        </w:rPr>
      </w:pPr>
      <w:r w:rsidRPr="007930B0">
        <w:rPr>
          <w:lang w:val="es-ES"/>
        </w:rPr>
        <w:t>El hermano;</w:t>
      </w:r>
    </w:p>
    <w:p w:rsidR="001E7BB4" w:rsidRPr="007930B0" w:rsidRDefault="001E7BB4" w:rsidP="00087230">
      <w:pPr>
        <w:pStyle w:val="Bullet1G"/>
        <w:rPr>
          <w:lang w:val="es-ES"/>
        </w:rPr>
      </w:pPr>
      <w:r w:rsidRPr="007930B0">
        <w:rPr>
          <w:lang w:val="es-ES"/>
        </w:rPr>
        <w:t>El hijo del hermano;</w:t>
      </w:r>
    </w:p>
    <w:p w:rsidR="001E7BB4" w:rsidRPr="007930B0" w:rsidRDefault="001E7BB4" w:rsidP="00087230">
      <w:pPr>
        <w:pStyle w:val="Bullet1G"/>
        <w:rPr>
          <w:lang w:val="es-ES"/>
        </w:rPr>
      </w:pPr>
      <w:r w:rsidRPr="007930B0">
        <w:rPr>
          <w:lang w:val="es-ES"/>
        </w:rPr>
        <w:t>El abuelo paterno;</w:t>
      </w:r>
    </w:p>
    <w:p w:rsidR="001E7BB4" w:rsidRPr="007930B0" w:rsidRDefault="001E7BB4" w:rsidP="00087230">
      <w:pPr>
        <w:pStyle w:val="Bullet1G"/>
        <w:rPr>
          <w:lang w:val="es-ES"/>
        </w:rPr>
      </w:pPr>
      <w:r w:rsidRPr="007930B0">
        <w:rPr>
          <w:lang w:val="es-ES"/>
        </w:rPr>
        <w:t>El tío paterno;</w:t>
      </w:r>
    </w:p>
    <w:p w:rsidR="001E7BB4" w:rsidRPr="007930B0" w:rsidRDefault="001E7BB4" w:rsidP="00087230">
      <w:pPr>
        <w:pStyle w:val="Bullet1G"/>
        <w:rPr>
          <w:lang w:val="es-ES"/>
        </w:rPr>
      </w:pPr>
      <w:r w:rsidRPr="007930B0">
        <w:rPr>
          <w:lang w:val="es-ES"/>
        </w:rPr>
        <w:t>Los hijos del tío paterno siguiendo el grado de parentesco, prefiriéndose los primos hermanos a los demás;</w:t>
      </w:r>
    </w:p>
    <w:p w:rsidR="001E7BB4" w:rsidRPr="007930B0" w:rsidRDefault="001E7BB4" w:rsidP="00087230">
      <w:pPr>
        <w:pStyle w:val="Bullet1G"/>
        <w:rPr>
          <w:lang w:val="es-ES"/>
        </w:rPr>
      </w:pPr>
      <w:r w:rsidRPr="007930B0">
        <w:rPr>
          <w:lang w:val="es-ES"/>
        </w:rPr>
        <w:t xml:space="preserve">El padre de crianza </w:t>
      </w:r>
      <w:r w:rsidR="00CC3B6E" w:rsidRPr="007930B0">
        <w:rPr>
          <w:lang w:val="es-ES"/>
        </w:rPr>
        <w:t>"</w:t>
      </w:r>
      <w:r w:rsidRPr="007930B0">
        <w:rPr>
          <w:lang w:val="es-ES"/>
        </w:rPr>
        <w:t>Kafil</w:t>
      </w:r>
      <w:r w:rsidR="00CC3B6E" w:rsidRPr="007930B0">
        <w:rPr>
          <w:lang w:val="es-ES"/>
        </w:rPr>
        <w:t>"</w:t>
      </w:r>
      <w:r w:rsidRPr="007930B0">
        <w:rPr>
          <w:lang w:val="es-ES"/>
        </w:rPr>
        <w:t>;</w:t>
      </w:r>
    </w:p>
    <w:p w:rsidR="001E7BB4" w:rsidRPr="007930B0" w:rsidRDefault="001E7BB4" w:rsidP="00087230">
      <w:pPr>
        <w:pStyle w:val="Bullet1G"/>
        <w:rPr>
          <w:lang w:val="es-ES"/>
        </w:rPr>
      </w:pPr>
      <w:r w:rsidRPr="007930B0">
        <w:rPr>
          <w:lang w:val="es-ES"/>
        </w:rPr>
        <w:t>El juez;</w:t>
      </w:r>
    </w:p>
    <w:p w:rsidR="001E7BB4" w:rsidRPr="007930B0" w:rsidRDefault="001E7BB4" w:rsidP="00087230">
      <w:pPr>
        <w:pStyle w:val="Bullet1G"/>
        <w:rPr>
          <w:lang w:val="es-ES"/>
        </w:rPr>
      </w:pPr>
      <w:r w:rsidRPr="007930B0">
        <w:rPr>
          <w:lang w:val="es-ES"/>
        </w:rPr>
        <w:t>Cualquier musulmán.</w:t>
      </w:r>
    </w:p>
    <w:p w:rsidR="001E7BB4" w:rsidRPr="007930B0" w:rsidRDefault="001E7BB4" w:rsidP="00B56B34">
      <w:pPr>
        <w:pStyle w:val="SingleTxtG"/>
        <w:rPr>
          <w:lang w:val="es-ES"/>
        </w:rPr>
      </w:pPr>
      <w:r w:rsidRPr="007930B0">
        <w:rPr>
          <w:lang w:val="es-ES"/>
        </w:rPr>
        <w:t>222.</w:t>
      </w:r>
      <w:r w:rsidRPr="007930B0">
        <w:rPr>
          <w:lang w:val="es-ES"/>
        </w:rPr>
        <w:tab/>
      </w:r>
      <w:r w:rsidRPr="007930B0">
        <w:rPr>
          <w:b/>
          <w:lang w:val="es-ES"/>
        </w:rPr>
        <w:t>Artículo 12</w:t>
      </w:r>
      <w:r w:rsidRPr="007930B0">
        <w:rPr>
          <w:lang w:val="es-ES"/>
        </w:rPr>
        <w:t xml:space="preserve">: El tutor </w:t>
      </w:r>
      <w:r w:rsidR="00CC3B6E" w:rsidRPr="007930B0">
        <w:rPr>
          <w:lang w:val="es-ES"/>
        </w:rPr>
        <w:t>"</w:t>
      </w:r>
      <w:r w:rsidRPr="007930B0">
        <w:rPr>
          <w:lang w:val="es-ES"/>
        </w:rPr>
        <w:t>Weli</w:t>
      </w:r>
      <w:r w:rsidR="00CC3B6E" w:rsidRPr="007930B0">
        <w:rPr>
          <w:lang w:val="es-ES"/>
        </w:rPr>
        <w:t>"</w:t>
      </w:r>
      <w:r w:rsidRPr="007930B0">
        <w:rPr>
          <w:lang w:val="es-ES"/>
        </w:rPr>
        <w:t xml:space="preserve"> puede designar a una persona para que celebre el matrimonio en su lugar. La mujer que sea tutora testamentaria o que tenga la calidad de nodriza </w:t>
      </w:r>
      <w:r w:rsidR="00CC3B6E" w:rsidRPr="007930B0">
        <w:rPr>
          <w:lang w:val="es-ES"/>
        </w:rPr>
        <w:t>"</w:t>
      </w:r>
      <w:r w:rsidRPr="007930B0">
        <w:rPr>
          <w:lang w:val="es-ES"/>
        </w:rPr>
        <w:t>Kafil</w:t>
      </w:r>
      <w:r w:rsidR="00CC3B6E" w:rsidRPr="007930B0">
        <w:rPr>
          <w:lang w:val="es-ES"/>
        </w:rPr>
        <w:t>"</w:t>
      </w:r>
      <w:r w:rsidRPr="007930B0">
        <w:rPr>
          <w:lang w:val="es-ES"/>
        </w:rPr>
        <w:t xml:space="preserve"> debe otorgar un poder a un hombre para que cumpla ese cometido en su lugar. En ambos casos, el mandatario debe reunir las condiciones establecidas en el artículo 10 </w:t>
      </w:r>
      <w:r w:rsidR="0095166A" w:rsidRPr="00034975">
        <w:rPr>
          <w:i/>
          <w:iCs/>
          <w:lang w:val="es-ES"/>
        </w:rPr>
        <w:t>supra</w:t>
      </w:r>
      <w:r w:rsidRPr="007930B0">
        <w:rPr>
          <w:lang w:val="es-ES"/>
        </w:rPr>
        <w:t>.</w:t>
      </w:r>
    </w:p>
    <w:p w:rsidR="001E7BB4" w:rsidRPr="007930B0" w:rsidRDefault="001E7BB4" w:rsidP="00B56B34">
      <w:pPr>
        <w:pStyle w:val="SingleTxtG"/>
        <w:rPr>
          <w:lang w:val="es-ES"/>
        </w:rPr>
      </w:pPr>
      <w:r w:rsidRPr="007930B0">
        <w:rPr>
          <w:lang w:val="es-ES"/>
        </w:rPr>
        <w:t>223.</w:t>
      </w:r>
      <w:r w:rsidRPr="007930B0">
        <w:rPr>
          <w:lang w:val="es-ES"/>
        </w:rPr>
        <w:tab/>
      </w:r>
      <w:r w:rsidRPr="007930B0">
        <w:rPr>
          <w:b/>
          <w:lang w:val="es-ES"/>
        </w:rPr>
        <w:t>Artículo 13</w:t>
      </w:r>
      <w:r w:rsidRPr="007930B0">
        <w:rPr>
          <w:lang w:val="es-ES"/>
        </w:rPr>
        <w:t xml:space="preserve">: En caso de negativa infundada del tutor </w:t>
      </w:r>
      <w:r w:rsidR="00CC3B6E" w:rsidRPr="007930B0">
        <w:rPr>
          <w:lang w:val="es-ES"/>
        </w:rPr>
        <w:t>"</w:t>
      </w:r>
      <w:r w:rsidRPr="007930B0">
        <w:rPr>
          <w:lang w:val="es-ES"/>
        </w:rPr>
        <w:t>Weli</w:t>
      </w:r>
      <w:r w:rsidR="00CC3B6E" w:rsidRPr="007930B0">
        <w:rPr>
          <w:lang w:val="es-ES"/>
        </w:rPr>
        <w:t>"</w:t>
      </w:r>
      <w:r w:rsidRPr="007930B0">
        <w:rPr>
          <w:lang w:val="es-ES"/>
        </w:rPr>
        <w:t xml:space="preserve"> a autorizar el matrimonio de la mujer o de la joven bajo su tutela </w:t>
      </w:r>
      <w:r w:rsidR="00CC3B6E" w:rsidRPr="007930B0">
        <w:rPr>
          <w:lang w:val="es-ES"/>
        </w:rPr>
        <w:t>"</w:t>
      </w:r>
      <w:r w:rsidR="00CD15B7" w:rsidRPr="007930B0">
        <w:rPr>
          <w:i/>
          <w:lang w:val="es-ES"/>
        </w:rPr>
        <w:t>wilaya</w:t>
      </w:r>
      <w:r w:rsidR="00CC3B6E" w:rsidRPr="007930B0">
        <w:rPr>
          <w:lang w:val="es-ES"/>
        </w:rPr>
        <w:t>"</w:t>
      </w:r>
      <w:r w:rsidRPr="007930B0">
        <w:rPr>
          <w:lang w:val="es-ES"/>
        </w:rPr>
        <w:t xml:space="preserve">, el juez le ordenará casarla; si persiste en su negativa, el juez celebrará él mismo el matrimonio. </w:t>
      </w:r>
    </w:p>
    <w:p w:rsidR="001E7BB4" w:rsidRPr="007930B0" w:rsidRDefault="001E7BB4" w:rsidP="00087230">
      <w:pPr>
        <w:pStyle w:val="H23G"/>
        <w:rPr>
          <w:lang w:val="es-ES"/>
        </w:rPr>
      </w:pPr>
      <w:r w:rsidRPr="007930B0">
        <w:rPr>
          <w:lang w:val="es-ES"/>
        </w:rPr>
        <w:tab/>
      </w:r>
      <w:r w:rsidRPr="007930B0">
        <w:rPr>
          <w:lang w:val="es-ES"/>
        </w:rPr>
        <w:tab/>
        <w:t>Defensa, consolidación y protección de la familia en lo que respecta a la responsabilidad relativa a la manutención y educación de los hijos a cargo</w:t>
      </w:r>
    </w:p>
    <w:p w:rsidR="001E7BB4" w:rsidRPr="007930B0" w:rsidRDefault="001E7BB4" w:rsidP="00B56B34">
      <w:pPr>
        <w:pStyle w:val="SingleTxtG"/>
        <w:rPr>
          <w:lang w:val="es-ES"/>
        </w:rPr>
      </w:pPr>
      <w:r w:rsidRPr="007930B0">
        <w:rPr>
          <w:lang w:val="es-ES"/>
        </w:rPr>
        <w:t>224.</w:t>
      </w:r>
      <w:r w:rsidRPr="007930B0">
        <w:rPr>
          <w:lang w:val="es-ES"/>
        </w:rPr>
        <w:tab/>
        <w:t>La familia, célula básica de la sociedad, goza del máximo interés de los poderes públicos en su estabilidad y desarrollo. No existe ninguna familia que no se beneficie de la protección o asistencia o que esté en clara desventaja en cuanto a las prestaciones provistas por el Estado.</w:t>
      </w:r>
    </w:p>
    <w:p w:rsidR="001E7BB4" w:rsidRPr="007930B0" w:rsidRDefault="001E7BB4" w:rsidP="00087230">
      <w:pPr>
        <w:pStyle w:val="H4G"/>
        <w:rPr>
          <w:lang w:val="es-ES"/>
        </w:rPr>
      </w:pPr>
      <w:r w:rsidRPr="007930B0">
        <w:rPr>
          <w:lang w:val="es-ES"/>
        </w:rPr>
        <w:tab/>
      </w:r>
      <w:r w:rsidRPr="007930B0">
        <w:rPr>
          <w:lang w:val="es-ES"/>
        </w:rPr>
        <w:tab/>
        <w:t>Protección de la maternidad</w:t>
      </w:r>
    </w:p>
    <w:p w:rsidR="001E7BB4" w:rsidRPr="007930B0" w:rsidRDefault="001E7BB4" w:rsidP="00B56B34">
      <w:pPr>
        <w:pStyle w:val="SingleTxtG"/>
        <w:rPr>
          <w:lang w:val="es-ES"/>
        </w:rPr>
      </w:pPr>
      <w:r w:rsidRPr="007930B0">
        <w:rPr>
          <w:lang w:val="es-ES"/>
        </w:rPr>
        <w:t>225.</w:t>
      </w:r>
      <w:r w:rsidRPr="007930B0">
        <w:rPr>
          <w:lang w:val="es-ES"/>
        </w:rPr>
        <w:tab/>
        <w:t>Todas las medidas relativas al alcance o al sistema de los derechos de la mujer, en particular la duración total de las licencias de maternidad y las prestaciones sociales, se describen en mayor detalle en la parte de este informe que se refiere a la seguridad social.</w:t>
      </w:r>
    </w:p>
    <w:p w:rsidR="001E7BB4" w:rsidRPr="007930B0" w:rsidRDefault="001E7BB4" w:rsidP="00087230">
      <w:pPr>
        <w:pStyle w:val="H4G"/>
        <w:rPr>
          <w:lang w:val="es-ES"/>
        </w:rPr>
      </w:pPr>
      <w:r w:rsidRPr="007930B0">
        <w:rPr>
          <w:lang w:val="es-ES"/>
        </w:rPr>
        <w:tab/>
      </w:r>
      <w:r w:rsidRPr="007930B0">
        <w:rPr>
          <w:lang w:val="es-ES"/>
        </w:rPr>
        <w:tab/>
        <w:t>Medidas especiales de protección y asistencia en favor de la infancia</w:t>
      </w:r>
    </w:p>
    <w:p w:rsidR="001E7BB4" w:rsidRPr="007930B0" w:rsidRDefault="001E7BB4" w:rsidP="00B56B34">
      <w:pPr>
        <w:pStyle w:val="SingleTxtG"/>
        <w:rPr>
          <w:lang w:val="es-ES"/>
        </w:rPr>
      </w:pPr>
      <w:r w:rsidRPr="007930B0">
        <w:rPr>
          <w:lang w:val="es-ES"/>
        </w:rPr>
        <w:t>226.</w:t>
      </w:r>
      <w:r w:rsidRPr="007930B0">
        <w:rPr>
          <w:lang w:val="es-ES"/>
        </w:rPr>
        <w:tab/>
        <w:t>La edad límite por debajo de la cual el trabajo remunerado de los</w:t>
      </w:r>
      <w:r w:rsidR="00CC3B6E" w:rsidRPr="007930B0">
        <w:rPr>
          <w:lang w:val="es-ES"/>
        </w:rPr>
        <w:t xml:space="preserve"> </w:t>
      </w:r>
      <w:r w:rsidRPr="007930B0">
        <w:rPr>
          <w:lang w:val="es-ES"/>
        </w:rPr>
        <w:t xml:space="preserve">niños está prohibido es de 14 años. </w:t>
      </w:r>
    </w:p>
    <w:p w:rsidR="001E7BB4" w:rsidRPr="007930B0" w:rsidRDefault="001E7BB4" w:rsidP="00B56B34">
      <w:pPr>
        <w:pStyle w:val="SingleTxtG"/>
        <w:rPr>
          <w:lang w:val="es-ES"/>
        </w:rPr>
      </w:pPr>
      <w:r w:rsidRPr="007930B0">
        <w:rPr>
          <w:lang w:val="es-ES"/>
        </w:rPr>
        <w:t>227.</w:t>
      </w:r>
      <w:r w:rsidRPr="007930B0">
        <w:rPr>
          <w:lang w:val="es-ES"/>
        </w:rPr>
        <w:tab/>
        <w:t>La defensa, la consolidación y la protección de la familia, en particular cuando ésta tiene la responsabilidad de mantener y educar niños, constituyen una prioridad de la acción gubernamental, ya que la familia es el núcleo primario de la sociedad.</w:t>
      </w:r>
    </w:p>
    <w:p w:rsidR="001E7BB4" w:rsidRPr="007930B0" w:rsidRDefault="001E7BB4" w:rsidP="00B56B34">
      <w:pPr>
        <w:pStyle w:val="SingleTxtG"/>
        <w:rPr>
          <w:lang w:val="es-ES"/>
        </w:rPr>
      </w:pPr>
      <w:r w:rsidRPr="007930B0">
        <w:rPr>
          <w:lang w:val="es-ES"/>
        </w:rPr>
        <w:t>228.</w:t>
      </w:r>
      <w:r w:rsidRPr="007930B0">
        <w:rPr>
          <w:lang w:val="es-ES"/>
        </w:rPr>
        <w:tab/>
        <w:t>La cantidad de niños empleados por sus propias familias como trabajadores domésticos, en las explotaciones agrícolas o en las empresas no es importante; sin embargo, el trabajo doméstico de los niños existe y se llevan a cabo actividades de sensibilización, especialmente por organizaciones de la sociedad civil, con el fin de hacer tomar conciencia a la población del peligro que representa la explotación del trabajo de las niñas o los niños empleados como trabajadores domésticos en los términos definidos por la legislación, en particular el artículo 5 del Código del Trabajo de 2004, que prohíbe el trabajo forzoso y expone a sus autores a las sanciones previstas en la ley.</w:t>
      </w:r>
    </w:p>
    <w:p w:rsidR="001E7BB4" w:rsidRPr="007930B0" w:rsidRDefault="001E7BB4" w:rsidP="00B56B34">
      <w:pPr>
        <w:pStyle w:val="SingleTxtG"/>
        <w:rPr>
          <w:lang w:val="es-ES"/>
        </w:rPr>
      </w:pPr>
      <w:r w:rsidRPr="007930B0">
        <w:rPr>
          <w:lang w:val="es-ES"/>
        </w:rPr>
        <w:t>229.</w:t>
      </w:r>
      <w:r w:rsidRPr="007930B0">
        <w:rPr>
          <w:lang w:val="es-ES"/>
        </w:rPr>
        <w:tab/>
        <w:t xml:space="preserve">La mayoría de los niños, en particular los </w:t>
      </w:r>
      <w:r w:rsidR="007B20B8">
        <w:rPr>
          <w:lang w:val="es-ES"/>
        </w:rPr>
        <w:t>llamados</w:t>
      </w:r>
      <w:r w:rsidRPr="007930B0">
        <w:rPr>
          <w:lang w:val="es-ES"/>
        </w:rPr>
        <w:t xml:space="preserve"> </w:t>
      </w:r>
      <w:r w:rsidR="00CC3B6E" w:rsidRPr="007930B0">
        <w:rPr>
          <w:lang w:val="es-ES"/>
        </w:rPr>
        <w:t>"</w:t>
      </w:r>
      <w:r w:rsidRPr="007930B0">
        <w:rPr>
          <w:b/>
          <w:lang w:val="es-ES"/>
        </w:rPr>
        <w:t>niños de la calle</w:t>
      </w:r>
      <w:r w:rsidR="00CC3B6E" w:rsidRPr="007930B0">
        <w:rPr>
          <w:lang w:val="es-ES"/>
        </w:rPr>
        <w:t>"</w:t>
      </w:r>
      <w:r w:rsidRPr="007930B0">
        <w:rPr>
          <w:lang w:val="es-ES"/>
        </w:rPr>
        <w:t xml:space="preserve"> o </w:t>
      </w:r>
      <w:r w:rsidR="00CC3B6E" w:rsidRPr="007930B0">
        <w:rPr>
          <w:lang w:val="es-ES"/>
        </w:rPr>
        <w:t>"</w:t>
      </w:r>
      <w:r w:rsidRPr="007930B0">
        <w:rPr>
          <w:b/>
          <w:lang w:val="es-ES"/>
        </w:rPr>
        <w:t>Almoudo</w:t>
      </w:r>
      <w:r w:rsidR="00CC3B6E" w:rsidRPr="007930B0">
        <w:rPr>
          <w:lang w:val="es-ES"/>
        </w:rPr>
        <w:t>"</w:t>
      </w:r>
      <w:r w:rsidRPr="007930B0">
        <w:rPr>
          <w:lang w:val="es-ES"/>
        </w:rPr>
        <w:t xml:space="preserve">, son objeto, desde hace algunos años, de una especial atención de los poderes públicos con el apoyo de los asociados para el desarrollo. </w:t>
      </w:r>
    </w:p>
    <w:p w:rsidR="001E7BB4" w:rsidRPr="007930B0" w:rsidRDefault="001E7BB4" w:rsidP="00B56B34">
      <w:pPr>
        <w:pStyle w:val="SingleTxtG"/>
        <w:rPr>
          <w:lang w:val="es-ES"/>
        </w:rPr>
      </w:pPr>
      <w:r w:rsidRPr="007930B0">
        <w:rPr>
          <w:lang w:val="es-ES"/>
        </w:rPr>
        <w:t>230.</w:t>
      </w:r>
      <w:r w:rsidRPr="007930B0">
        <w:rPr>
          <w:lang w:val="es-ES"/>
        </w:rPr>
        <w:tab/>
        <w:t>Esta atención se tradujo especialmente en la creación de un Centro nacional de acogida para niños desfavorecidos, que acoge a las categorías más vulnerables (huérfanos, niños abandonados, privados de sus familias o incluso niños con discapacidad física o mental).</w:t>
      </w:r>
    </w:p>
    <w:p w:rsidR="001E7BB4" w:rsidRPr="007930B0" w:rsidRDefault="001E7BB4" w:rsidP="00B56B34">
      <w:pPr>
        <w:pStyle w:val="SingleTxtG"/>
        <w:rPr>
          <w:lang w:val="es-ES"/>
        </w:rPr>
      </w:pPr>
      <w:r w:rsidRPr="007930B0">
        <w:rPr>
          <w:lang w:val="es-ES"/>
        </w:rPr>
        <w:t>231.</w:t>
      </w:r>
      <w:r w:rsidRPr="007930B0">
        <w:rPr>
          <w:lang w:val="es-ES"/>
        </w:rPr>
        <w:tab/>
        <w:t xml:space="preserve">Asimismo, diversas organizaciones de la sociedad civil </w:t>
      </w:r>
      <w:r w:rsidR="007B20B8">
        <w:rPr>
          <w:lang w:val="es-ES"/>
        </w:rPr>
        <w:t>velan por que</w:t>
      </w:r>
      <w:r w:rsidRPr="007930B0">
        <w:rPr>
          <w:lang w:val="es-ES"/>
        </w:rPr>
        <w:t xml:space="preserve"> esas distintas categorías de niños </w:t>
      </w:r>
      <w:r w:rsidR="007B20B8">
        <w:rPr>
          <w:lang w:val="es-ES"/>
        </w:rPr>
        <w:t xml:space="preserve">tengan </w:t>
      </w:r>
      <w:r w:rsidRPr="007930B0">
        <w:rPr>
          <w:lang w:val="es-ES"/>
        </w:rPr>
        <w:t xml:space="preserve">una vida decente mediante la apertura de guarderías y la distribución de alimentos nutritivos, en cooperación con el proyecto Nutricom del Ministerio de Asuntos Sociales, Infancia y Familia. </w:t>
      </w:r>
    </w:p>
    <w:p w:rsidR="001E7BB4" w:rsidRPr="007930B0" w:rsidRDefault="001E7BB4" w:rsidP="00B56B34">
      <w:pPr>
        <w:pStyle w:val="SingleTxtG"/>
        <w:rPr>
          <w:lang w:val="es-ES"/>
        </w:rPr>
      </w:pPr>
      <w:r w:rsidRPr="007930B0">
        <w:rPr>
          <w:lang w:val="es-ES"/>
        </w:rPr>
        <w:t>232.</w:t>
      </w:r>
      <w:r w:rsidRPr="007930B0">
        <w:rPr>
          <w:lang w:val="es-ES"/>
        </w:rPr>
        <w:tab/>
        <w:t xml:space="preserve">En el ámbito de la asistencia internacional, se destaca el valioso apoyo de los asociados y los organismos de las Naciones Unidas (UNICEF, FNUAP, PMA, PNUD), así como de la UE, el Banco Mundial y otros asociados en el marco de la cooperación bilateral. </w:t>
      </w:r>
    </w:p>
    <w:p w:rsidR="001E7BB4" w:rsidRPr="007930B0" w:rsidRDefault="001E7BB4" w:rsidP="00087230">
      <w:pPr>
        <w:pStyle w:val="H1G"/>
        <w:rPr>
          <w:lang w:val="es-ES"/>
        </w:rPr>
      </w:pPr>
      <w:r w:rsidRPr="007930B0">
        <w:rPr>
          <w:lang w:val="es-ES"/>
        </w:rPr>
        <w:tab/>
      </w:r>
      <w:r w:rsidRPr="007930B0">
        <w:rPr>
          <w:lang w:val="es-ES"/>
        </w:rPr>
        <w:tab/>
        <w:t>Artículo 11</w:t>
      </w:r>
      <w:r w:rsidRPr="007930B0">
        <w:rPr>
          <w:lang w:val="es-ES"/>
        </w:rPr>
        <w:br/>
        <w:t>Nivel de vida de la población, derecho a una alimentación y a una vivienda adecuadas</w:t>
      </w:r>
    </w:p>
    <w:p w:rsidR="001E7BB4" w:rsidRPr="007930B0" w:rsidRDefault="001E7BB4" w:rsidP="00B56B34">
      <w:pPr>
        <w:pStyle w:val="SingleTxtG"/>
        <w:rPr>
          <w:lang w:val="es-ES"/>
        </w:rPr>
      </w:pPr>
      <w:r w:rsidRPr="007930B0">
        <w:rPr>
          <w:lang w:val="es-ES"/>
        </w:rPr>
        <w:t>233.</w:t>
      </w:r>
      <w:r w:rsidRPr="007930B0">
        <w:rPr>
          <w:lang w:val="es-ES"/>
        </w:rPr>
        <w:tab/>
        <w:t>A continuación figuran algunos datos relativos a las condiciones de vivienda de la población en 2004.</w:t>
      </w:r>
    </w:p>
    <w:p w:rsidR="001E7BB4" w:rsidRPr="007930B0" w:rsidRDefault="001E7BB4" w:rsidP="00087230">
      <w:pPr>
        <w:pStyle w:val="H23G"/>
        <w:rPr>
          <w:lang w:val="es-ES"/>
        </w:rPr>
      </w:pPr>
      <w:r w:rsidRPr="007930B0">
        <w:rPr>
          <w:lang w:val="es-ES"/>
        </w:rPr>
        <w:tab/>
      </w:r>
      <w:r w:rsidRPr="007930B0">
        <w:rPr>
          <w:lang w:val="es-ES"/>
        </w:rPr>
        <w:tab/>
        <w:t>Estadísticas relativas a la vivienda (EPCV 2004)</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207"/>
        <w:gridCol w:w="1164"/>
      </w:tblGrid>
      <w:tr w:rsidR="001E7BB4" w:rsidRPr="007930B0">
        <w:trPr>
          <w:tblHeader/>
        </w:trPr>
        <w:tc>
          <w:tcPr>
            <w:tcW w:w="6425" w:type="dxa"/>
            <w:tcBorders>
              <w:top w:val="single" w:sz="4" w:space="0" w:color="auto"/>
              <w:bottom w:val="single" w:sz="12" w:space="0" w:color="auto"/>
            </w:tcBorders>
            <w:shd w:val="clear" w:color="auto" w:fill="auto"/>
            <w:vAlign w:val="bottom"/>
          </w:tcPr>
          <w:p w:rsidR="001E7BB4" w:rsidRPr="007930B0" w:rsidRDefault="001E7BB4" w:rsidP="00087230">
            <w:pPr>
              <w:spacing w:before="80" w:after="80" w:line="200" w:lineRule="exact"/>
              <w:ind w:right="113"/>
              <w:rPr>
                <w:i/>
                <w:sz w:val="16"/>
              </w:rPr>
            </w:pPr>
            <w:r w:rsidRPr="007930B0">
              <w:rPr>
                <w:i/>
                <w:sz w:val="16"/>
              </w:rPr>
              <w:t>Indicador</w:t>
            </w:r>
          </w:p>
        </w:tc>
        <w:tc>
          <w:tcPr>
            <w:tcW w:w="1204" w:type="dxa"/>
            <w:tcBorders>
              <w:top w:val="single" w:sz="4" w:space="0" w:color="auto"/>
              <w:bottom w:val="single" w:sz="12" w:space="0" w:color="auto"/>
            </w:tcBorders>
            <w:shd w:val="clear" w:color="auto" w:fill="auto"/>
            <w:vAlign w:val="bottom"/>
          </w:tcPr>
          <w:p w:rsidR="001E7BB4" w:rsidRPr="007930B0" w:rsidRDefault="001E7BB4" w:rsidP="00087230">
            <w:pPr>
              <w:spacing w:before="80" w:after="80" w:line="200" w:lineRule="exact"/>
              <w:ind w:right="113"/>
              <w:jc w:val="right"/>
              <w:rPr>
                <w:i/>
                <w:sz w:val="16"/>
              </w:rPr>
            </w:pPr>
            <w:r w:rsidRPr="007930B0">
              <w:rPr>
                <w:i/>
                <w:sz w:val="16"/>
              </w:rPr>
              <w:t>Índice en 2004</w:t>
            </w:r>
          </w:p>
        </w:tc>
      </w:tr>
      <w:tr w:rsidR="001E7BB4" w:rsidRPr="007930B0">
        <w:tc>
          <w:tcPr>
            <w:tcW w:w="6425" w:type="dxa"/>
            <w:tcBorders>
              <w:top w:val="single" w:sz="12" w:space="0" w:color="auto"/>
            </w:tcBorders>
            <w:shd w:val="clear" w:color="auto" w:fill="auto"/>
          </w:tcPr>
          <w:p w:rsidR="001E7BB4" w:rsidRPr="007930B0" w:rsidRDefault="001E7BB4" w:rsidP="00087230">
            <w:pPr>
              <w:spacing w:before="40" w:after="40" w:line="220" w:lineRule="exact"/>
              <w:ind w:right="113"/>
              <w:rPr>
                <w:sz w:val="18"/>
              </w:rPr>
            </w:pPr>
            <w:r w:rsidRPr="007930B0">
              <w:rPr>
                <w:sz w:val="18"/>
              </w:rPr>
              <w:t xml:space="preserve">Porcentaje de viviendas precarias </w:t>
            </w:r>
            <w:r w:rsidR="007B20B8">
              <w:rPr>
                <w:sz w:val="18"/>
              </w:rPr>
              <w:t>en</w:t>
            </w:r>
            <w:r w:rsidRPr="007930B0">
              <w:rPr>
                <w:sz w:val="18"/>
              </w:rPr>
              <w:t xml:space="preserve"> general</w:t>
            </w:r>
          </w:p>
        </w:tc>
        <w:tc>
          <w:tcPr>
            <w:tcW w:w="1204" w:type="dxa"/>
            <w:tcBorders>
              <w:top w:val="single" w:sz="12" w:space="0" w:color="auto"/>
            </w:tcBorders>
            <w:shd w:val="clear" w:color="auto" w:fill="auto"/>
            <w:vAlign w:val="bottom"/>
          </w:tcPr>
          <w:p w:rsidR="001E7BB4" w:rsidRPr="007930B0" w:rsidRDefault="001E7BB4" w:rsidP="00087230">
            <w:pPr>
              <w:spacing w:before="40" w:after="40" w:line="220" w:lineRule="exact"/>
              <w:ind w:right="113"/>
              <w:jc w:val="right"/>
              <w:rPr>
                <w:sz w:val="18"/>
              </w:rPr>
            </w:pPr>
            <w:r w:rsidRPr="007930B0">
              <w:rPr>
                <w:sz w:val="18"/>
              </w:rPr>
              <w:t>33%</w:t>
            </w:r>
          </w:p>
        </w:tc>
      </w:tr>
      <w:tr w:rsidR="001E7BB4" w:rsidRPr="007930B0">
        <w:tc>
          <w:tcPr>
            <w:tcW w:w="6425" w:type="dxa"/>
            <w:shd w:val="clear" w:color="auto" w:fill="auto"/>
          </w:tcPr>
          <w:p w:rsidR="001E7BB4" w:rsidRPr="007930B0" w:rsidRDefault="001E7BB4" w:rsidP="00087230">
            <w:pPr>
              <w:spacing w:before="40" w:after="40" w:line="220" w:lineRule="exact"/>
              <w:ind w:right="113"/>
              <w:rPr>
                <w:sz w:val="18"/>
              </w:rPr>
            </w:pPr>
            <w:r w:rsidRPr="007930B0">
              <w:rPr>
                <w:sz w:val="18"/>
              </w:rPr>
              <w:t>Porcentaje de viviendas precarias en el medio urbano</w:t>
            </w:r>
          </w:p>
        </w:tc>
        <w:tc>
          <w:tcPr>
            <w:tcW w:w="1204" w:type="dxa"/>
            <w:shd w:val="clear" w:color="auto" w:fill="auto"/>
            <w:vAlign w:val="bottom"/>
          </w:tcPr>
          <w:p w:rsidR="001E7BB4" w:rsidRPr="007930B0" w:rsidRDefault="001E7BB4" w:rsidP="00087230">
            <w:pPr>
              <w:spacing w:before="40" w:after="40" w:line="220" w:lineRule="exact"/>
              <w:ind w:right="113"/>
              <w:jc w:val="right"/>
              <w:rPr>
                <w:sz w:val="18"/>
              </w:rPr>
            </w:pPr>
            <w:r w:rsidRPr="007930B0">
              <w:rPr>
                <w:sz w:val="18"/>
              </w:rPr>
              <w:t>12,5%</w:t>
            </w:r>
          </w:p>
        </w:tc>
      </w:tr>
      <w:tr w:rsidR="001E7BB4" w:rsidRPr="007930B0">
        <w:tc>
          <w:tcPr>
            <w:tcW w:w="6425" w:type="dxa"/>
            <w:shd w:val="clear" w:color="auto" w:fill="auto"/>
          </w:tcPr>
          <w:p w:rsidR="001E7BB4" w:rsidRPr="007930B0" w:rsidRDefault="001E7BB4" w:rsidP="00087230">
            <w:pPr>
              <w:spacing w:before="40" w:after="40" w:line="220" w:lineRule="exact"/>
              <w:ind w:right="113"/>
              <w:rPr>
                <w:sz w:val="18"/>
              </w:rPr>
            </w:pPr>
            <w:r w:rsidRPr="007930B0">
              <w:rPr>
                <w:sz w:val="18"/>
              </w:rPr>
              <w:t>Porcentaje de viviendas precarias en Nuakchot</w:t>
            </w:r>
          </w:p>
        </w:tc>
        <w:tc>
          <w:tcPr>
            <w:tcW w:w="1204" w:type="dxa"/>
            <w:shd w:val="clear" w:color="auto" w:fill="auto"/>
            <w:vAlign w:val="bottom"/>
          </w:tcPr>
          <w:p w:rsidR="001E7BB4" w:rsidRPr="007930B0" w:rsidRDefault="001E7BB4" w:rsidP="00087230">
            <w:pPr>
              <w:spacing w:before="40" w:after="40" w:line="220" w:lineRule="exact"/>
              <w:ind w:right="113"/>
              <w:jc w:val="right"/>
              <w:rPr>
                <w:sz w:val="18"/>
              </w:rPr>
            </w:pPr>
            <w:r w:rsidRPr="007930B0">
              <w:rPr>
                <w:sz w:val="18"/>
              </w:rPr>
              <w:t>11,6%</w:t>
            </w:r>
          </w:p>
        </w:tc>
      </w:tr>
      <w:tr w:rsidR="001E7BB4" w:rsidRPr="007930B0">
        <w:tc>
          <w:tcPr>
            <w:tcW w:w="6425" w:type="dxa"/>
            <w:shd w:val="clear" w:color="auto" w:fill="auto"/>
          </w:tcPr>
          <w:p w:rsidR="001E7BB4" w:rsidRPr="007930B0" w:rsidRDefault="001E7BB4" w:rsidP="00087230">
            <w:pPr>
              <w:spacing w:before="40" w:after="40" w:line="220" w:lineRule="exact"/>
              <w:ind w:right="113"/>
              <w:rPr>
                <w:sz w:val="18"/>
              </w:rPr>
            </w:pPr>
            <w:r w:rsidRPr="007930B0">
              <w:rPr>
                <w:sz w:val="18"/>
              </w:rPr>
              <w:t>Porcentaje de viviendas precarias en Nuadhibu</w:t>
            </w:r>
          </w:p>
        </w:tc>
        <w:tc>
          <w:tcPr>
            <w:tcW w:w="1204" w:type="dxa"/>
            <w:shd w:val="clear" w:color="auto" w:fill="auto"/>
            <w:vAlign w:val="bottom"/>
          </w:tcPr>
          <w:p w:rsidR="001E7BB4" w:rsidRPr="007930B0" w:rsidRDefault="001E7BB4" w:rsidP="00087230">
            <w:pPr>
              <w:spacing w:before="40" w:after="40" w:line="220" w:lineRule="exact"/>
              <w:ind w:right="113"/>
              <w:jc w:val="right"/>
              <w:rPr>
                <w:sz w:val="18"/>
              </w:rPr>
            </w:pPr>
            <w:r w:rsidRPr="007930B0">
              <w:rPr>
                <w:sz w:val="18"/>
              </w:rPr>
              <w:t>26,7%</w:t>
            </w:r>
          </w:p>
        </w:tc>
      </w:tr>
      <w:tr w:rsidR="001E7BB4" w:rsidRPr="007930B0">
        <w:tc>
          <w:tcPr>
            <w:tcW w:w="6425" w:type="dxa"/>
            <w:shd w:val="clear" w:color="auto" w:fill="auto"/>
          </w:tcPr>
          <w:p w:rsidR="001E7BB4" w:rsidRPr="007930B0" w:rsidRDefault="001E7BB4" w:rsidP="00087230">
            <w:pPr>
              <w:spacing w:before="40" w:after="40" w:line="220" w:lineRule="exact"/>
              <w:ind w:right="113"/>
              <w:rPr>
                <w:sz w:val="18"/>
              </w:rPr>
            </w:pPr>
            <w:r w:rsidRPr="007930B0">
              <w:rPr>
                <w:sz w:val="18"/>
              </w:rPr>
              <w:t>Porcentaje de viviendas precarias en el medio rural</w:t>
            </w:r>
          </w:p>
        </w:tc>
        <w:tc>
          <w:tcPr>
            <w:tcW w:w="1204" w:type="dxa"/>
            <w:shd w:val="clear" w:color="auto" w:fill="auto"/>
            <w:vAlign w:val="bottom"/>
          </w:tcPr>
          <w:p w:rsidR="001E7BB4" w:rsidRPr="007930B0" w:rsidRDefault="001E7BB4" w:rsidP="00087230">
            <w:pPr>
              <w:spacing w:before="40" w:after="40" w:line="220" w:lineRule="exact"/>
              <w:ind w:right="113"/>
              <w:jc w:val="right"/>
              <w:rPr>
                <w:sz w:val="18"/>
              </w:rPr>
            </w:pPr>
            <w:r w:rsidRPr="007930B0">
              <w:rPr>
                <w:sz w:val="18"/>
              </w:rPr>
              <w:t>46,8%</w:t>
            </w:r>
          </w:p>
        </w:tc>
      </w:tr>
      <w:tr w:rsidR="001E7BB4" w:rsidRPr="007930B0">
        <w:tc>
          <w:tcPr>
            <w:tcW w:w="6425" w:type="dxa"/>
            <w:shd w:val="clear" w:color="auto" w:fill="auto"/>
          </w:tcPr>
          <w:p w:rsidR="001E7BB4" w:rsidRPr="007930B0" w:rsidRDefault="001E7BB4" w:rsidP="00087230">
            <w:pPr>
              <w:spacing w:before="40" w:after="40" w:line="220" w:lineRule="exact"/>
              <w:ind w:right="113"/>
              <w:rPr>
                <w:sz w:val="18"/>
              </w:rPr>
            </w:pPr>
            <w:r w:rsidRPr="007930B0">
              <w:rPr>
                <w:sz w:val="18"/>
              </w:rPr>
              <w:t>Proporción de estos últimos que viven en M’bars</w:t>
            </w:r>
          </w:p>
        </w:tc>
        <w:tc>
          <w:tcPr>
            <w:tcW w:w="1204" w:type="dxa"/>
            <w:shd w:val="clear" w:color="auto" w:fill="auto"/>
            <w:vAlign w:val="bottom"/>
          </w:tcPr>
          <w:p w:rsidR="001E7BB4" w:rsidRPr="007930B0" w:rsidRDefault="001E7BB4" w:rsidP="00087230">
            <w:pPr>
              <w:spacing w:before="40" w:after="40" w:line="220" w:lineRule="exact"/>
              <w:ind w:right="113"/>
              <w:jc w:val="right"/>
              <w:rPr>
                <w:sz w:val="18"/>
              </w:rPr>
            </w:pPr>
            <w:r w:rsidRPr="007930B0">
              <w:rPr>
                <w:sz w:val="18"/>
              </w:rPr>
              <w:t>21%</w:t>
            </w:r>
          </w:p>
        </w:tc>
      </w:tr>
      <w:tr w:rsidR="001E7BB4" w:rsidRPr="007930B0">
        <w:tc>
          <w:tcPr>
            <w:tcW w:w="6425" w:type="dxa"/>
            <w:shd w:val="clear" w:color="auto" w:fill="auto"/>
          </w:tcPr>
          <w:p w:rsidR="001E7BB4" w:rsidRPr="007930B0" w:rsidRDefault="001E7BB4" w:rsidP="00087230">
            <w:pPr>
              <w:spacing w:before="40" w:after="40" w:line="220" w:lineRule="exact"/>
              <w:ind w:right="113"/>
              <w:rPr>
                <w:sz w:val="18"/>
              </w:rPr>
            </w:pPr>
            <w:r w:rsidRPr="007930B0">
              <w:rPr>
                <w:sz w:val="18"/>
              </w:rPr>
              <w:t>Porcentaje de habitantes que viven en casas</w:t>
            </w:r>
          </w:p>
        </w:tc>
        <w:tc>
          <w:tcPr>
            <w:tcW w:w="1204" w:type="dxa"/>
            <w:shd w:val="clear" w:color="auto" w:fill="auto"/>
            <w:vAlign w:val="bottom"/>
          </w:tcPr>
          <w:p w:rsidR="001E7BB4" w:rsidRPr="007930B0" w:rsidRDefault="001E7BB4" w:rsidP="00087230">
            <w:pPr>
              <w:spacing w:before="40" w:after="40" w:line="220" w:lineRule="exact"/>
              <w:ind w:right="113"/>
              <w:jc w:val="right"/>
              <w:rPr>
                <w:sz w:val="18"/>
              </w:rPr>
            </w:pPr>
            <w:r w:rsidRPr="007930B0">
              <w:rPr>
                <w:sz w:val="18"/>
              </w:rPr>
              <w:t>67%</w:t>
            </w:r>
          </w:p>
        </w:tc>
      </w:tr>
      <w:tr w:rsidR="001E7BB4" w:rsidRPr="007930B0">
        <w:tc>
          <w:tcPr>
            <w:tcW w:w="6425" w:type="dxa"/>
            <w:shd w:val="clear" w:color="auto" w:fill="auto"/>
          </w:tcPr>
          <w:p w:rsidR="001E7BB4" w:rsidRPr="007930B0" w:rsidRDefault="001E7BB4" w:rsidP="00087230">
            <w:pPr>
              <w:spacing w:before="40" w:after="40" w:line="220" w:lineRule="exact"/>
              <w:ind w:right="113"/>
              <w:rPr>
                <w:sz w:val="18"/>
              </w:rPr>
            </w:pPr>
            <w:r w:rsidRPr="007930B0">
              <w:rPr>
                <w:sz w:val="18"/>
              </w:rPr>
              <w:t>Porcentaje de habitantes propietarios de sus viviendas a nivel general</w:t>
            </w:r>
          </w:p>
        </w:tc>
        <w:tc>
          <w:tcPr>
            <w:tcW w:w="1204" w:type="dxa"/>
            <w:shd w:val="clear" w:color="auto" w:fill="auto"/>
            <w:vAlign w:val="bottom"/>
          </w:tcPr>
          <w:p w:rsidR="001E7BB4" w:rsidRPr="007930B0" w:rsidRDefault="001E7BB4" w:rsidP="00087230">
            <w:pPr>
              <w:spacing w:before="40" w:after="40" w:line="220" w:lineRule="exact"/>
              <w:ind w:right="113"/>
              <w:jc w:val="right"/>
              <w:rPr>
                <w:sz w:val="18"/>
              </w:rPr>
            </w:pPr>
            <w:r w:rsidRPr="007930B0">
              <w:rPr>
                <w:sz w:val="18"/>
              </w:rPr>
              <w:t>77,2%</w:t>
            </w:r>
          </w:p>
        </w:tc>
      </w:tr>
      <w:tr w:rsidR="001E7BB4" w:rsidRPr="007930B0">
        <w:tc>
          <w:tcPr>
            <w:tcW w:w="6425" w:type="dxa"/>
            <w:shd w:val="clear" w:color="auto" w:fill="auto"/>
          </w:tcPr>
          <w:p w:rsidR="001E7BB4" w:rsidRPr="007930B0" w:rsidRDefault="001E7BB4" w:rsidP="00087230">
            <w:pPr>
              <w:spacing w:before="40" w:after="40" w:line="220" w:lineRule="exact"/>
              <w:ind w:right="113"/>
              <w:rPr>
                <w:sz w:val="18"/>
              </w:rPr>
            </w:pPr>
            <w:r w:rsidRPr="007930B0">
              <w:rPr>
                <w:sz w:val="18"/>
              </w:rPr>
              <w:t>Porcentaje de habitantes propietarios de sus viviendas en el medio urbano</w:t>
            </w:r>
          </w:p>
        </w:tc>
        <w:tc>
          <w:tcPr>
            <w:tcW w:w="1204" w:type="dxa"/>
            <w:shd w:val="clear" w:color="auto" w:fill="auto"/>
            <w:vAlign w:val="bottom"/>
          </w:tcPr>
          <w:p w:rsidR="001E7BB4" w:rsidRPr="007930B0" w:rsidRDefault="001E7BB4" w:rsidP="00087230">
            <w:pPr>
              <w:spacing w:before="40" w:after="40" w:line="220" w:lineRule="exact"/>
              <w:ind w:right="113"/>
              <w:jc w:val="right"/>
              <w:rPr>
                <w:sz w:val="18"/>
              </w:rPr>
            </w:pPr>
            <w:r w:rsidRPr="007930B0">
              <w:rPr>
                <w:sz w:val="18"/>
              </w:rPr>
              <w:t>53,8%</w:t>
            </w:r>
          </w:p>
        </w:tc>
      </w:tr>
      <w:tr w:rsidR="001E7BB4" w:rsidRPr="007930B0">
        <w:tc>
          <w:tcPr>
            <w:tcW w:w="6425" w:type="dxa"/>
            <w:tcBorders>
              <w:bottom w:val="nil"/>
            </w:tcBorders>
            <w:shd w:val="clear" w:color="auto" w:fill="auto"/>
          </w:tcPr>
          <w:p w:rsidR="001E7BB4" w:rsidRPr="007930B0" w:rsidRDefault="001E7BB4" w:rsidP="00087230">
            <w:pPr>
              <w:spacing w:before="40" w:after="40" w:line="220" w:lineRule="exact"/>
              <w:ind w:right="113"/>
              <w:rPr>
                <w:sz w:val="18"/>
              </w:rPr>
            </w:pPr>
            <w:r w:rsidRPr="007930B0">
              <w:rPr>
                <w:sz w:val="18"/>
              </w:rPr>
              <w:t>Porcentaje de habitantes propietarios de sus viviendas en el medio rural</w:t>
            </w:r>
          </w:p>
        </w:tc>
        <w:tc>
          <w:tcPr>
            <w:tcW w:w="1204" w:type="dxa"/>
            <w:tcBorders>
              <w:bottom w:val="nil"/>
            </w:tcBorders>
            <w:shd w:val="clear" w:color="auto" w:fill="auto"/>
            <w:vAlign w:val="bottom"/>
          </w:tcPr>
          <w:p w:rsidR="001E7BB4" w:rsidRPr="007930B0" w:rsidRDefault="001E7BB4" w:rsidP="00087230">
            <w:pPr>
              <w:spacing w:before="40" w:after="40" w:line="220" w:lineRule="exact"/>
              <w:ind w:right="113"/>
              <w:jc w:val="right"/>
              <w:rPr>
                <w:sz w:val="18"/>
              </w:rPr>
            </w:pPr>
            <w:r w:rsidRPr="007930B0">
              <w:rPr>
                <w:sz w:val="18"/>
              </w:rPr>
              <w:t>93%</w:t>
            </w:r>
          </w:p>
        </w:tc>
      </w:tr>
      <w:tr w:rsidR="001E7BB4" w:rsidRPr="007930B0">
        <w:tc>
          <w:tcPr>
            <w:tcW w:w="6425" w:type="dxa"/>
            <w:tcBorders>
              <w:top w:val="nil"/>
              <w:bottom w:val="nil"/>
            </w:tcBorders>
            <w:shd w:val="clear" w:color="auto" w:fill="auto"/>
          </w:tcPr>
          <w:p w:rsidR="001E7BB4" w:rsidRPr="007930B0" w:rsidRDefault="001E7BB4" w:rsidP="00087230">
            <w:pPr>
              <w:spacing w:before="40" w:after="40" w:line="220" w:lineRule="exact"/>
              <w:ind w:right="113"/>
              <w:rPr>
                <w:sz w:val="18"/>
              </w:rPr>
            </w:pPr>
            <w:r w:rsidRPr="007930B0">
              <w:rPr>
                <w:sz w:val="18"/>
              </w:rPr>
              <w:t>Porcentaje de habitantes arrendatarios de sus viviendas</w:t>
            </w:r>
          </w:p>
        </w:tc>
        <w:tc>
          <w:tcPr>
            <w:tcW w:w="1204" w:type="dxa"/>
            <w:tcBorders>
              <w:top w:val="nil"/>
              <w:bottom w:val="nil"/>
            </w:tcBorders>
            <w:shd w:val="clear" w:color="auto" w:fill="auto"/>
            <w:vAlign w:val="bottom"/>
          </w:tcPr>
          <w:p w:rsidR="001E7BB4" w:rsidRPr="007930B0" w:rsidRDefault="001E7BB4" w:rsidP="00087230">
            <w:pPr>
              <w:spacing w:before="40" w:after="40" w:line="220" w:lineRule="exact"/>
              <w:ind w:right="113"/>
              <w:jc w:val="right"/>
              <w:rPr>
                <w:sz w:val="18"/>
              </w:rPr>
            </w:pPr>
            <w:r w:rsidRPr="007930B0">
              <w:rPr>
                <w:sz w:val="18"/>
              </w:rPr>
              <w:t>11,2%</w:t>
            </w:r>
          </w:p>
        </w:tc>
      </w:tr>
      <w:tr w:rsidR="001E7BB4" w:rsidRPr="007930B0">
        <w:tc>
          <w:tcPr>
            <w:tcW w:w="6425" w:type="dxa"/>
            <w:tcBorders>
              <w:top w:val="nil"/>
            </w:tcBorders>
            <w:shd w:val="clear" w:color="auto" w:fill="auto"/>
          </w:tcPr>
          <w:p w:rsidR="001E7BB4" w:rsidRPr="007930B0" w:rsidRDefault="001E7BB4" w:rsidP="00087230">
            <w:pPr>
              <w:spacing w:before="40" w:after="40" w:line="220" w:lineRule="exact"/>
              <w:ind w:right="113"/>
              <w:rPr>
                <w:sz w:val="18"/>
              </w:rPr>
            </w:pPr>
            <w:r w:rsidRPr="007930B0">
              <w:rPr>
                <w:sz w:val="18"/>
              </w:rPr>
              <w:t>Porcentaje de abastecimiento de agua potable de pozo</w:t>
            </w:r>
          </w:p>
        </w:tc>
        <w:tc>
          <w:tcPr>
            <w:tcW w:w="1204" w:type="dxa"/>
            <w:tcBorders>
              <w:top w:val="nil"/>
            </w:tcBorders>
            <w:shd w:val="clear" w:color="auto" w:fill="auto"/>
            <w:vAlign w:val="bottom"/>
          </w:tcPr>
          <w:p w:rsidR="001E7BB4" w:rsidRPr="007930B0" w:rsidRDefault="001E7BB4" w:rsidP="00087230">
            <w:pPr>
              <w:spacing w:before="40" w:after="40" w:line="220" w:lineRule="exact"/>
              <w:ind w:right="113"/>
              <w:jc w:val="right"/>
              <w:rPr>
                <w:sz w:val="18"/>
              </w:rPr>
            </w:pPr>
            <w:r w:rsidRPr="007930B0">
              <w:rPr>
                <w:sz w:val="18"/>
              </w:rPr>
              <w:t>39,4%</w:t>
            </w:r>
          </w:p>
        </w:tc>
      </w:tr>
      <w:tr w:rsidR="001E7BB4" w:rsidRPr="007930B0">
        <w:tc>
          <w:tcPr>
            <w:tcW w:w="6425" w:type="dxa"/>
            <w:shd w:val="clear" w:color="auto" w:fill="auto"/>
          </w:tcPr>
          <w:p w:rsidR="001E7BB4" w:rsidRPr="007930B0" w:rsidRDefault="001E7BB4" w:rsidP="00087230">
            <w:pPr>
              <w:spacing w:before="40" w:after="40" w:line="220" w:lineRule="exact"/>
              <w:ind w:right="113"/>
              <w:rPr>
                <w:sz w:val="18"/>
              </w:rPr>
            </w:pPr>
            <w:r w:rsidRPr="007930B0">
              <w:rPr>
                <w:sz w:val="18"/>
              </w:rPr>
              <w:t>Porcentaje de abastecimiento de agua potable por reventa de agua</w:t>
            </w:r>
          </w:p>
        </w:tc>
        <w:tc>
          <w:tcPr>
            <w:tcW w:w="1204" w:type="dxa"/>
            <w:shd w:val="clear" w:color="auto" w:fill="auto"/>
            <w:vAlign w:val="bottom"/>
          </w:tcPr>
          <w:p w:rsidR="001E7BB4" w:rsidRPr="007930B0" w:rsidRDefault="001E7BB4" w:rsidP="00087230">
            <w:pPr>
              <w:spacing w:before="40" w:after="40" w:line="220" w:lineRule="exact"/>
              <w:ind w:right="113"/>
              <w:jc w:val="right"/>
              <w:rPr>
                <w:sz w:val="18"/>
              </w:rPr>
            </w:pPr>
            <w:r w:rsidRPr="007930B0">
              <w:rPr>
                <w:sz w:val="18"/>
              </w:rPr>
              <w:t>20%</w:t>
            </w:r>
          </w:p>
        </w:tc>
      </w:tr>
      <w:tr w:rsidR="001E7BB4" w:rsidRPr="007930B0">
        <w:tc>
          <w:tcPr>
            <w:tcW w:w="6425" w:type="dxa"/>
            <w:shd w:val="clear" w:color="auto" w:fill="auto"/>
          </w:tcPr>
          <w:p w:rsidR="001E7BB4" w:rsidRPr="007930B0" w:rsidRDefault="001E7BB4" w:rsidP="00087230">
            <w:pPr>
              <w:spacing w:before="40" w:after="40" w:line="220" w:lineRule="exact"/>
              <w:ind w:right="113"/>
              <w:rPr>
                <w:sz w:val="18"/>
              </w:rPr>
            </w:pPr>
            <w:r w:rsidRPr="007930B0">
              <w:rPr>
                <w:sz w:val="18"/>
              </w:rPr>
              <w:t>Porcentaje de abastecimiento de agua potable por grifo interior</w:t>
            </w:r>
          </w:p>
        </w:tc>
        <w:tc>
          <w:tcPr>
            <w:tcW w:w="1204" w:type="dxa"/>
            <w:shd w:val="clear" w:color="auto" w:fill="auto"/>
            <w:vAlign w:val="bottom"/>
          </w:tcPr>
          <w:p w:rsidR="001E7BB4" w:rsidRPr="007930B0" w:rsidRDefault="001E7BB4" w:rsidP="00087230">
            <w:pPr>
              <w:spacing w:before="40" w:after="40" w:line="220" w:lineRule="exact"/>
              <w:ind w:right="113"/>
              <w:jc w:val="right"/>
              <w:rPr>
                <w:sz w:val="18"/>
              </w:rPr>
            </w:pPr>
            <w:r w:rsidRPr="007930B0">
              <w:rPr>
                <w:sz w:val="18"/>
              </w:rPr>
              <w:t>18,9%</w:t>
            </w:r>
          </w:p>
        </w:tc>
      </w:tr>
      <w:tr w:rsidR="001E7BB4" w:rsidRPr="007930B0">
        <w:tc>
          <w:tcPr>
            <w:tcW w:w="6425" w:type="dxa"/>
            <w:shd w:val="clear" w:color="auto" w:fill="auto"/>
          </w:tcPr>
          <w:p w:rsidR="001E7BB4" w:rsidRPr="007930B0" w:rsidRDefault="001E7BB4" w:rsidP="00087230">
            <w:pPr>
              <w:spacing w:before="40" w:after="40" w:line="220" w:lineRule="exact"/>
              <w:ind w:right="113"/>
              <w:rPr>
                <w:sz w:val="18"/>
              </w:rPr>
            </w:pPr>
            <w:r w:rsidRPr="007930B0">
              <w:rPr>
                <w:sz w:val="18"/>
              </w:rPr>
              <w:t>Porcentaje de abastecimiento de agua potable de otras fuentes</w:t>
            </w:r>
          </w:p>
        </w:tc>
        <w:tc>
          <w:tcPr>
            <w:tcW w:w="1204" w:type="dxa"/>
            <w:shd w:val="clear" w:color="auto" w:fill="auto"/>
            <w:vAlign w:val="bottom"/>
          </w:tcPr>
          <w:p w:rsidR="001E7BB4" w:rsidRPr="007930B0" w:rsidRDefault="001E7BB4" w:rsidP="00087230">
            <w:pPr>
              <w:spacing w:before="40" w:after="40" w:line="220" w:lineRule="exact"/>
              <w:ind w:right="113"/>
              <w:jc w:val="right"/>
              <w:rPr>
                <w:sz w:val="18"/>
              </w:rPr>
            </w:pPr>
            <w:r w:rsidRPr="007930B0">
              <w:rPr>
                <w:sz w:val="18"/>
              </w:rPr>
              <w:t>22%</w:t>
            </w:r>
          </w:p>
        </w:tc>
      </w:tr>
      <w:tr w:rsidR="001E7BB4" w:rsidRPr="007930B0">
        <w:tc>
          <w:tcPr>
            <w:tcW w:w="6425" w:type="dxa"/>
            <w:shd w:val="clear" w:color="auto" w:fill="auto"/>
          </w:tcPr>
          <w:p w:rsidR="001E7BB4" w:rsidRPr="007930B0" w:rsidRDefault="001E7BB4" w:rsidP="00087230">
            <w:pPr>
              <w:spacing w:before="40" w:after="40" w:line="220" w:lineRule="exact"/>
              <w:ind w:right="113"/>
              <w:rPr>
                <w:sz w:val="18"/>
              </w:rPr>
            </w:pPr>
            <w:r w:rsidRPr="007930B0">
              <w:rPr>
                <w:sz w:val="18"/>
              </w:rPr>
              <w:t>Porcentaje de iluminación con linternas</w:t>
            </w:r>
          </w:p>
        </w:tc>
        <w:tc>
          <w:tcPr>
            <w:tcW w:w="1204" w:type="dxa"/>
            <w:shd w:val="clear" w:color="auto" w:fill="auto"/>
            <w:vAlign w:val="bottom"/>
          </w:tcPr>
          <w:p w:rsidR="001E7BB4" w:rsidRPr="007930B0" w:rsidRDefault="001E7BB4" w:rsidP="00087230">
            <w:pPr>
              <w:spacing w:before="40" w:after="40" w:line="220" w:lineRule="exact"/>
              <w:ind w:right="113"/>
              <w:jc w:val="right"/>
              <w:rPr>
                <w:sz w:val="18"/>
              </w:rPr>
            </w:pPr>
            <w:r w:rsidRPr="007930B0">
              <w:rPr>
                <w:sz w:val="18"/>
              </w:rPr>
              <w:t>51,2%</w:t>
            </w:r>
          </w:p>
        </w:tc>
      </w:tr>
      <w:tr w:rsidR="001E7BB4" w:rsidRPr="007930B0">
        <w:tc>
          <w:tcPr>
            <w:tcW w:w="6425" w:type="dxa"/>
            <w:shd w:val="clear" w:color="auto" w:fill="auto"/>
          </w:tcPr>
          <w:p w:rsidR="001E7BB4" w:rsidRPr="007930B0" w:rsidRDefault="001E7BB4" w:rsidP="00087230">
            <w:pPr>
              <w:spacing w:before="40" w:after="40" w:line="220" w:lineRule="exact"/>
              <w:ind w:right="113"/>
              <w:rPr>
                <w:sz w:val="18"/>
              </w:rPr>
            </w:pPr>
            <w:r w:rsidRPr="007930B0">
              <w:rPr>
                <w:sz w:val="18"/>
              </w:rPr>
              <w:t>Porcentaje de iluminación por electricidad a nivel general</w:t>
            </w:r>
          </w:p>
        </w:tc>
        <w:tc>
          <w:tcPr>
            <w:tcW w:w="1204" w:type="dxa"/>
            <w:shd w:val="clear" w:color="auto" w:fill="auto"/>
            <w:vAlign w:val="bottom"/>
          </w:tcPr>
          <w:p w:rsidR="001E7BB4" w:rsidRPr="007930B0" w:rsidRDefault="001E7BB4" w:rsidP="00087230">
            <w:pPr>
              <w:spacing w:before="40" w:after="40" w:line="220" w:lineRule="exact"/>
              <w:ind w:right="113"/>
              <w:jc w:val="right"/>
              <w:rPr>
                <w:sz w:val="18"/>
              </w:rPr>
            </w:pPr>
            <w:r w:rsidRPr="007930B0">
              <w:rPr>
                <w:sz w:val="18"/>
              </w:rPr>
              <w:t>24%</w:t>
            </w:r>
          </w:p>
        </w:tc>
      </w:tr>
      <w:tr w:rsidR="001E7BB4" w:rsidRPr="007930B0">
        <w:tc>
          <w:tcPr>
            <w:tcW w:w="6425" w:type="dxa"/>
            <w:shd w:val="clear" w:color="auto" w:fill="auto"/>
          </w:tcPr>
          <w:p w:rsidR="001E7BB4" w:rsidRPr="007930B0" w:rsidRDefault="001E7BB4" w:rsidP="00087230">
            <w:pPr>
              <w:spacing w:before="40" w:after="40" w:line="220" w:lineRule="exact"/>
              <w:ind w:right="113"/>
              <w:rPr>
                <w:sz w:val="18"/>
              </w:rPr>
            </w:pPr>
            <w:r w:rsidRPr="007930B0">
              <w:rPr>
                <w:sz w:val="18"/>
              </w:rPr>
              <w:t>Porcentaje de iluminación por electricidad en el medio urbano</w:t>
            </w:r>
          </w:p>
        </w:tc>
        <w:tc>
          <w:tcPr>
            <w:tcW w:w="1204" w:type="dxa"/>
            <w:shd w:val="clear" w:color="auto" w:fill="auto"/>
            <w:vAlign w:val="bottom"/>
          </w:tcPr>
          <w:p w:rsidR="001E7BB4" w:rsidRPr="007930B0" w:rsidRDefault="001E7BB4" w:rsidP="00087230">
            <w:pPr>
              <w:spacing w:before="40" w:after="40" w:line="220" w:lineRule="exact"/>
              <w:ind w:right="113"/>
              <w:jc w:val="right"/>
              <w:rPr>
                <w:sz w:val="18"/>
              </w:rPr>
            </w:pPr>
            <w:r w:rsidRPr="007930B0">
              <w:rPr>
                <w:sz w:val="18"/>
              </w:rPr>
              <w:t>57,6%</w:t>
            </w:r>
          </w:p>
        </w:tc>
      </w:tr>
      <w:tr w:rsidR="001E7BB4" w:rsidRPr="007930B0">
        <w:tc>
          <w:tcPr>
            <w:tcW w:w="6425" w:type="dxa"/>
            <w:shd w:val="clear" w:color="auto" w:fill="auto"/>
          </w:tcPr>
          <w:p w:rsidR="001E7BB4" w:rsidRPr="007930B0" w:rsidRDefault="001E7BB4" w:rsidP="00087230">
            <w:pPr>
              <w:spacing w:before="40" w:after="40" w:line="220" w:lineRule="exact"/>
              <w:ind w:right="113"/>
              <w:rPr>
                <w:sz w:val="18"/>
              </w:rPr>
            </w:pPr>
            <w:r w:rsidRPr="007930B0">
              <w:rPr>
                <w:sz w:val="18"/>
              </w:rPr>
              <w:t>Porcentaje de iluminación con velas</w:t>
            </w:r>
          </w:p>
        </w:tc>
        <w:tc>
          <w:tcPr>
            <w:tcW w:w="1204" w:type="dxa"/>
            <w:shd w:val="clear" w:color="auto" w:fill="auto"/>
            <w:vAlign w:val="bottom"/>
          </w:tcPr>
          <w:p w:rsidR="001E7BB4" w:rsidRPr="007930B0" w:rsidRDefault="001E7BB4" w:rsidP="00087230">
            <w:pPr>
              <w:spacing w:before="40" w:after="40" w:line="220" w:lineRule="exact"/>
              <w:ind w:right="113"/>
              <w:jc w:val="right"/>
              <w:rPr>
                <w:sz w:val="18"/>
              </w:rPr>
            </w:pPr>
            <w:r w:rsidRPr="007930B0">
              <w:rPr>
                <w:sz w:val="18"/>
              </w:rPr>
              <w:t>15,4%</w:t>
            </w:r>
          </w:p>
        </w:tc>
      </w:tr>
      <w:tr w:rsidR="001E7BB4" w:rsidRPr="007930B0">
        <w:tc>
          <w:tcPr>
            <w:tcW w:w="6425" w:type="dxa"/>
            <w:shd w:val="clear" w:color="auto" w:fill="auto"/>
          </w:tcPr>
          <w:p w:rsidR="001E7BB4" w:rsidRPr="007930B0" w:rsidRDefault="001E7BB4" w:rsidP="00087230">
            <w:pPr>
              <w:spacing w:before="40" w:after="40" w:line="220" w:lineRule="exact"/>
              <w:ind w:right="113"/>
              <w:rPr>
                <w:sz w:val="18"/>
              </w:rPr>
            </w:pPr>
            <w:r w:rsidRPr="007930B0">
              <w:rPr>
                <w:sz w:val="18"/>
              </w:rPr>
              <w:t xml:space="preserve">Porcentaje de hogares que utilizan baños con cisterna </w:t>
            </w:r>
          </w:p>
        </w:tc>
        <w:tc>
          <w:tcPr>
            <w:tcW w:w="1204" w:type="dxa"/>
            <w:shd w:val="clear" w:color="auto" w:fill="auto"/>
            <w:vAlign w:val="bottom"/>
          </w:tcPr>
          <w:p w:rsidR="001E7BB4" w:rsidRPr="007930B0" w:rsidRDefault="001E7BB4" w:rsidP="00087230">
            <w:pPr>
              <w:spacing w:before="40" w:after="40" w:line="220" w:lineRule="exact"/>
              <w:ind w:right="113"/>
              <w:jc w:val="right"/>
              <w:rPr>
                <w:sz w:val="18"/>
              </w:rPr>
            </w:pPr>
            <w:r w:rsidRPr="007930B0">
              <w:rPr>
                <w:sz w:val="18"/>
              </w:rPr>
              <w:t>7,3%</w:t>
            </w:r>
          </w:p>
        </w:tc>
      </w:tr>
      <w:tr w:rsidR="001E7BB4" w:rsidRPr="007930B0">
        <w:tc>
          <w:tcPr>
            <w:tcW w:w="6425" w:type="dxa"/>
            <w:shd w:val="clear" w:color="auto" w:fill="auto"/>
          </w:tcPr>
          <w:p w:rsidR="001E7BB4" w:rsidRPr="007930B0" w:rsidRDefault="001E7BB4" w:rsidP="00087230">
            <w:pPr>
              <w:spacing w:before="40" w:after="40" w:line="220" w:lineRule="exact"/>
              <w:ind w:right="113"/>
              <w:rPr>
                <w:sz w:val="18"/>
              </w:rPr>
            </w:pPr>
            <w:r w:rsidRPr="007930B0">
              <w:rPr>
                <w:sz w:val="18"/>
              </w:rPr>
              <w:t>Porcentaje de hogares sin baño a nivel general</w:t>
            </w:r>
          </w:p>
        </w:tc>
        <w:tc>
          <w:tcPr>
            <w:tcW w:w="1204" w:type="dxa"/>
            <w:shd w:val="clear" w:color="auto" w:fill="auto"/>
            <w:vAlign w:val="bottom"/>
          </w:tcPr>
          <w:p w:rsidR="001E7BB4" w:rsidRPr="007930B0" w:rsidRDefault="001E7BB4" w:rsidP="00087230">
            <w:pPr>
              <w:spacing w:before="40" w:after="40" w:line="220" w:lineRule="exact"/>
              <w:ind w:right="113"/>
              <w:jc w:val="right"/>
              <w:rPr>
                <w:sz w:val="18"/>
              </w:rPr>
            </w:pPr>
            <w:r w:rsidRPr="007930B0">
              <w:rPr>
                <w:sz w:val="18"/>
              </w:rPr>
              <w:t>47,9%</w:t>
            </w:r>
          </w:p>
        </w:tc>
      </w:tr>
      <w:tr w:rsidR="001E7BB4" w:rsidRPr="007930B0">
        <w:tc>
          <w:tcPr>
            <w:tcW w:w="6425" w:type="dxa"/>
            <w:shd w:val="clear" w:color="auto" w:fill="auto"/>
          </w:tcPr>
          <w:p w:rsidR="001E7BB4" w:rsidRPr="007930B0" w:rsidRDefault="001E7BB4" w:rsidP="00087230">
            <w:pPr>
              <w:spacing w:before="40" w:after="40" w:line="220" w:lineRule="exact"/>
              <w:ind w:right="113"/>
              <w:rPr>
                <w:sz w:val="18"/>
              </w:rPr>
            </w:pPr>
            <w:r w:rsidRPr="007930B0">
              <w:rPr>
                <w:sz w:val="18"/>
              </w:rPr>
              <w:t>Porcentaje de hogares sin baño en el medio urbano</w:t>
            </w:r>
          </w:p>
        </w:tc>
        <w:tc>
          <w:tcPr>
            <w:tcW w:w="1204" w:type="dxa"/>
            <w:shd w:val="clear" w:color="auto" w:fill="auto"/>
            <w:vAlign w:val="bottom"/>
          </w:tcPr>
          <w:p w:rsidR="001E7BB4" w:rsidRPr="007930B0" w:rsidRDefault="001E7BB4" w:rsidP="00087230">
            <w:pPr>
              <w:spacing w:before="40" w:after="40" w:line="220" w:lineRule="exact"/>
              <w:ind w:right="113"/>
              <w:jc w:val="right"/>
              <w:rPr>
                <w:sz w:val="18"/>
              </w:rPr>
            </w:pPr>
            <w:r w:rsidRPr="007930B0">
              <w:rPr>
                <w:sz w:val="18"/>
              </w:rPr>
              <w:t>15,1%</w:t>
            </w:r>
          </w:p>
        </w:tc>
      </w:tr>
      <w:tr w:rsidR="001E7BB4" w:rsidRPr="007930B0">
        <w:tc>
          <w:tcPr>
            <w:tcW w:w="6425" w:type="dxa"/>
            <w:shd w:val="clear" w:color="auto" w:fill="auto"/>
          </w:tcPr>
          <w:p w:rsidR="001E7BB4" w:rsidRPr="007930B0" w:rsidRDefault="001E7BB4" w:rsidP="00087230">
            <w:pPr>
              <w:spacing w:before="40" w:after="40" w:line="220" w:lineRule="exact"/>
              <w:ind w:right="113"/>
              <w:rPr>
                <w:sz w:val="18"/>
              </w:rPr>
            </w:pPr>
            <w:r w:rsidRPr="007930B0">
              <w:rPr>
                <w:sz w:val="18"/>
              </w:rPr>
              <w:t>Porcentaje de hogares sin baño en el medio rural</w:t>
            </w:r>
          </w:p>
        </w:tc>
        <w:tc>
          <w:tcPr>
            <w:tcW w:w="1204" w:type="dxa"/>
            <w:shd w:val="clear" w:color="auto" w:fill="auto"/>
            <w:vAlign w:val="bottom"/>
          </w:tcPr>
          <w:p w:rsidR="001E7BB4" w:rsidRPr="007930B0" w:rsidRDefault="001E7BB4" w:rsidP="00087230">
            <w:pPr>
              <w:spacing w:before="40" w:after="40" w:line="220" w:lineRule="exact"/>
              <w:ind w:right="113"/>
              <w:jc w:val="right"/>
              <w:rPr>
                <w:sz w:val="18"/>
              </w:rPr>
            </w:pPr>
            <w:r w:rsidRPr="007930B0">
              <w:rPr>
                <w:sz w:val="18"/>
              </w:rPr>
              <w:t>70,1%</w:t>
            </w:r>
          </w:p>
        </w:tc>
      </w:tr>
      <w:tr w:rsidR="001E7BB4" w:rsidRPr="007930B0">
        <w:tc>
          <w:tcPr>
            <w:tcW w:w="6425" w:type="dxa"/>
            <w:shd w:val="clear" w:color="auto" w:fill="auto"/>
          </w:tcPr>
          <w:p w:rsidR="001E7BB4" w:rsidRPr="007930B0" w:rsidRDefault="001E7BB4" w:rsidP="00087230">
            <w:pPr>
              <w:spacing w:before="40" w:after="40" w:line="220" w:lineRule="exact"/>
              <w:ind w:right="113"/>
              <w:rPr>
                <w:sz w:val="18"/>
              </w:rPr>
            </w:pPr>
            <w:r w:rsidRPr="007930B0">
              <w:rPr>
                <w:sz w:val="18"/>
              </w:rPr>
              <w:t xml:space="preserve">Porcentaje de hogares que utilizan letrinas </w:t>
            </w:r>
          </w:p>
        </w:tc>
        <w:tc>
          <w:tcPr>
            <w:tcW w:w="1204" w:type="dxa"/>
            <w:shd w:val="clear" w:color="auto" w:fill="auto"/>
            <w:vAlign w:val="bottom"/>
          </w:tcPr>
          <w:p w:rsidR="001E7BB4" w:rsidRPr="007930B0" w:rsidRDefault="001E7BB4" w:rsidP="00087230">
            <w:pPr>
              <w:spacing w:before="40" w:after="40" w:line="220" w:lineRule="exact"/>
              <w:ind w:right="113"/>
              <w:jc w:val="right"/>
              <w:rPr>
                <w:sz w:val="18"/>
              </w:rPr>
            </w:pPr>
            <w:r w:rsidRPr="007930B0">
              <w:rPr>
                <w:sz w:val="18"/>
              </w:rPr>
              <w:t>29,9%</w:t>
            </w:r>
          </w:p>
        </w:tc>
      </w:tr>
      <w:tr w:rsidR="001E7BB4" w:rsidRPr="007930B0">
        <w:tc>
          <w:tcPr>
            <w:tcW w:w="6425" w:type="dxa"/>
            <w:shd w:val="clear" w:color="auto" w:fill="auto"/>
          </w:tcPr>
          <w:p w:rsidR="001E7BB4" w:rsidRPr="007930B0" w:rsidRDefault="001E7BB4" w:rsidP="00087230">
            <w:pPr>
              <w:spacing w:before="40" w:after="40" w:line="220" w:lineRule="exact"/>
              <w:ind w:right="113"/>
              <w:rPr>
                <w:sz w:val="18"/>
              </w:rPr>
            </w:pPr>
            <w:r w:rsidRPr="007930B0">
              <w:rPr>
                <w:sz w:val="18"/>
              </w:rPr>
              <w:t>Porcentaje de hogares que utilizan letrinas en el medio urbano</w:t>
            </w:r>
          </w:p>
        </w:tc>
        <w:tc>
          <w:tcPr>
            <w:tcW w:w="1204" w:type="dxa"/>
            <w:shd w:val="clear" w:color="auto" w:fill="auto"/>
            <w:vAlign w:val="bottom"/>
          </w:tcPr>
          <w:p w:rsidR="001E7BB4" w:rsidRPr="007930B0" w:rsidRDefault="001E7BB4" w:rsidP="00087230">
            <w:pPr>
              <w:spacing w:before="40" w:after="40" w:line="220" w:lineRule="exact"/>
              <w:ind w:right="113"/>
              <w:jc w:val="right"/>
              <w:rPr>
                <w:sz w:val="18"/>
              </w:rPr>
            </w:pPr>
            <w:r w:rsidRPr="007930B0">
              <w:rPr>
                <w:sz w:val="18"/>
              </w:rPr>
              <w:t>51,5%</w:t>
            </w:r>
          </w:p>
        </w:tc>
      </w:tr>
      <w:tr w:rsidR="001E7BB4" w:rsidRPr="007930B0">
        <w:tc>
          <w:tcPr>
            <w:tcW w:w="6425" w:type="dxa"/>
            <w:shd w:val="clear" w:color="auto" w:fill="auto"/>
          </w:tcPr>
          <w:p w:rsidR="001E7BB4" w:rsidRPr="007930B0" w:rsidRDefault="001E7BB4" w:rsidP="00087230">
            <w:pPr>
              <w:spacing w:before="40" w:after="40" w:line="220" w:lineRule="exact"/>
              <w:ind w:right="113"/>
              <w:rPr>
                <w:sz w:val="18"/>
              </w:rPr>
            </w:pPr>
            <w:r w:rsidRPr="007930B0">
              <w:rPr>
                <w:sz w:val="18"/>
              </w:rPr>
              <w:t>Porcentaje de hogares que utilizan letrinas en Nuakchot</w:t>
            </w:r>
          </w:p>
        </w:tc>
        <w:tc>
          <w:tcPr>
            <w:tcW w:w="1204" w:type="dxa"/>
            <w:shd w:val="clear" w:color="auto" w:fill="auto"/>
            <w:vAlign w:val="bottom"/>
          </w:tcPr>
          <w:p w:rsidR="001E7BB4" w:rsidRPr="007930B0" w:rsidRDefault="001E7BB4" w:rsidP="00087230">
            <w:pPr>
              <w:spacing w:before="40" w:after="40" w:line="220" w:lineRule="exact"/>
              <w:ind w:right="113"/>
              <w:jc w:val="right"/>
              <w:rPr>
                <w:sz w:val="18"/>
              </w:rPr>
            </w:pPr>
            <w:r w:rsidRPr="007930B0">
              <w:rPr>
                <w:sz w:val="18"/>
              </w:rPr>
              <w:t>60%</w:t>
            </w:r>
          </w:p>
        </w:tc>
      </w:tr>
      <w:tr w:rsidR="001E7BB4" w:rsidRPr="007930B0">
        <w:tc>
          <w:tcPr>
            <w:tcW w:w="6425" w:type="dxa"/>
            <w:shd w:val="clear" w:color="auto" w:fill="auto"/>
          </w:tcPr>
          <w:p w:rsidR="001E7BB4" w:rsidRPr="007930B0" w:rsidRDefault="001E7BB4" w:rsidP="00087230">
            <w:pPr>
              <w:spacing w:before="40" w:after="40" w:line="220" w:lineRule="exact"/>
              <w:ind w:right="113"/>
              <w:rPr>
                <w:sz w:val="18"/>
              </w:rPr>
            </w:pPr>
            <w:r w:rsidRPr="007930B0">
              <w:rPr>
                <w:sz w:val="18"/>
              </w:rPr>
              <w:t>Porcentaje de hogares que utilizan letrinas en el medio rural</w:t>
            </w:r>
          </w:p>
        </w:tc>
        <w:tc>
          <w:tcPr>
            <w:tcW w:w="1204" w:type="dxa"/>
            <w:shd w:val="clear" w:color="auto" w:fill="auto"/>
            <w:vAlign w:val="bottom"/>
          </w:tcPr>
          <w:p w:rsidR="001E7BB4" w:rsidRPr="007930B0" w:rsidRDefault="001E7BB4" w:rsidP="00087230">
            <w:pPr>
              <w:spacing w:before="40" w:after="40" w:line="220" w:lineRule="exact"/>
              <w:ind w:right="113"/>
              <w:jc w:val="right"/>
              <w:rPr>
                <w:sz w:val="18"/>
              </w:rPr>
            </w:pPr>
            <w:r w:rsidRPr="007930B0">
              <w:rPr>
                <w:sz w:val="18"/>
              </w:rPr>
              <w:t>15,2%</w:t>
            </w:r>
          </w:p>
        </w:tc>
      </w:tr>
      <w:tr w:rsidR="001E7BB4" w:rsidRPr="007930B0">
        <w:tc>
          <w:tcPr>
            <w:tcW w:w="6425" w:type="dxa"/>
            <w:shd w:val="clear" w:color="auto" w:fill="auto"/>
          </w:tcPr>
          <w:p w:rsidR="001E7BB4" w:rsidRPr="007930B0" w:rsidRDefault="001E7BB4" w:rsidP="00087230">
            <w:pPr>
              <w:spacing w:before="40" w:after="40" w:line="220" w:lineRule="exact"/>
              <w:ind w:right="113"/>
              <w:rPr>
                <w:sz w:val="18"/>
              </w:rPr>
            </w:pPr>
            <w:r w:rsidRPr="007930B0">
              <w:rPr>
                <w:sz w:val="18"/>
              </w:rPr>
              <w:t>Porcentaje de hogares que utilizan leña como fuente de energía para cocinar</w:t>
            </w:r>
          </w:p>
        </w:tc>
        <w:tc>
          <w:tcPr>
            <w:tcW w:w="1204" w:type="dxa"/>
            <w:shd w:val="clear" w:color="auto" w:fill="auto"/>
            <w:vAlign w:val="bottom"/>
          </w:tcPr>
          <w:p w:rsidR="001E7BB4" w:rsidRPr="007930B0" w:rsidRDefault="001E7BB4" w:rsidP="00087230">
            <w:pPr>
              <w:spacing w:before="40" w:after="40" w:line="220" w:lineRule="exact"/>
              <w:ind w:right="113"/>
              <w:jc w:val="right"/>
              <w:rPr>
                <w:sz w:val="18"/>
              </w:rPr>
            </w:pPr>
            <w:r w:rsidRPr="007930B0">
              <w:rPr>
                <w:sz w:val="18"/>
              </w:rPr>
              <w:t>44,6%</w:t>
            </w:r>
          </w:p>
        </w:tc>
      </w:tr>
      <w:tr w:rsidR="001E7BB4" w:rsidRPr="007930B0">
        <w:tc>
          <w:tcPr>
            <w:tcW w:w="6425" w:type="dxa"/>
            <w:shd w:val="clear" w:color="auto" w:fill="auto"/>
          </w:tcPr>
          <w:p w:rsidR="001E7BB4" w:rsidRPr="007930B0" w:rsidRDefault="001E7BB4" w:rsidP="00087230">
            <w:pPr>
              <w:spacing w:before="40" w:after="40" w:line="220" w:lineRule="exact"/>
              <w:ind w:right="113"/>
              <w:rPr>
                <w:sz w:val="18"/>
              </w:rPr>
            </w:pPr>
            <w:r w:rsidRPr="007930B0">
              <w:rPr>
                <w:sz w:val="18"/>
              </w:rPr>
              <w:t>Porcentaje de hogares que utilizan gas como fuente de energía para cocinar</w:t>
            </w:r>
          </w:p>
        </w:tc>
        <w:tc>
          <w:tcPr>
            <w:tcW w:w="1204" w:type="dxa"/>
            <w:shd w:val="clear" w:color="auto" w:fill="auto"/>
            <w:vAlign w:val="bottom"/>
          </w:tcPr>
          <w:p w:rsidR="001E7BB4" w:rsidRPr="007930B0" w:rsidRDefault="001E7BB4" w:rsidP="00087230">
            <w:pPr>
              <w:spacing w:before="40" w:after="40" w:line="220" w:lineRule="exact"/>
              <w:ind w:right="113"/>
              <w:jc w:val="right"/>
              <w:rPr>
                <w:sz w:val="18"/>
              </w:rPr>
            </w:pPr>
            <w:r w:rsidRPr="007930B0">
              <w:rPr>
                <w:sz w:val="18"/>
              </w:rPr>
              <w:t>35%</w:t>
            </w:r>
          </w:p>
        </w:tc>
      </w:tr>
      <w:tr w:rsidR="001E7BB4" w:rsidRPr="007930B0">
        <w:tc>
          <w:tcPr>
            <w:tcW w:w="6425" w:type="dxa"/>
            <w:shd w:val="clear" w:color="auto" w:fill="auto"/>
          </w:tcPr>
          <w:p w:rsidR="001E7BB4" w:rsidRPr="007930B0" w:rsidRDefault="001E7BB4" w:rsidP="00087230">
            <w:pPr>
              <w:spacing w:before="40" w:after="40" w:line="220" w:lineRule="exact"/>
              <w:ind w:right="113"/>
              <w:rPr>
                <w:sz w:val="18"/>
              </w:rPr>
            </w:pPr>
            <w:r w:rsidRPr="007930B0">
              <w:rPr>
                <w:sz w:val="18"/>
              </w:rPr>
              <w:t>Porcentaje de hogares que utilizan carbón de leña como fuente de energía para cocinar</w:t>
            </w:r>
          </w:p>
        </w:tc>
        <w:tc>
          <w:tcPr>
            <w:tcW w:w="1204" w:type="dxa"/>
            <w:shd w:val="clear" w:color="auto" w:fill="auto"/>
            <w:vAlign w:val="bottom"/>
          </w:tcPr>
          <w:p w:rsidR="001E7BB4" w:rsidRPr="007930B0" w:rsidRDefault="001E7BB4" w:rsidP="00087230">
            <w:pPr>
              <w:spacing w:before="40" w:after="40" w:line="220" w:lineRule="exact"/>
              <w:ind w:right="113"/>
              <w:jc w:val="right"/>
              <w:rPr>
                <w:sz w:val="18"/>
              </w:rPr>
            </w:pPr>
            <w:r w:rsidRPr="007930B0">
              <w:rPr>
                <w:sz w:val="18"/>
              </w:rPr>
              <w:t>19,1%</w:t>
            </w:r>
          </w:p>
        </w:tc>
      </w:tr>
    </w:tbl>
    <w:p w:rsidR="001E7BB4" w:rsidRPr="007930B0" w:rsidRDefault="001E7BB4" w:rsidP="00451FD8">
      <w:pPr>
        <w:pStyle w:val="H1G"/>
        <w:rPr>
          <w:lang w:val="es-ES"/>
        </w:rPr>
      </w:pPr>
      <w:bookmarkStart w:id="2" w:name="voiraussi"/>
      <w:bookmarkEnd w:id="2"/>
      <w:r w:rsidRPr="007930B0">
        <w:rPr>
          <w:lang w:val="es-ES"/>
        </w:rPr>
        <w:tab/>
      </w:r>
      <w:r w:rsidRPr="007930B0">
        <w:rPr>
          <w:lang w:val="es-ES"/>
        </w:rPr>
        <w:tab/>
        <w:t>Artículo 12</w:t>
      </w:r>
      <w:r w:rsidR="00087230" w:rsidRPr="007930B0">
        <w:rPr>
          <w:lang w:val="es-ES"/>
        </w:rPr>
        <w:br/>
      </w:r>
      <w:r w:rsidRPr="007930B0">
        <w:rPr>
          <w:lang w:val="es-ES"/>
        </w:rPr>
        <w:t>Política nacional en materia de salud</w:t>
      </w:r>
    </w:p>
    <w:p w:rsidR="001E7BB4" w:rsidRPr="007930B0" w:rsidRDefault="001E7BB4" w:rsidP="00B56B34">
      <w:pPr>
        <w:pStyle w:val="SingleTxtG"/>
        <w:rPr>
          <w:lang w:val="es-ES"/>
        </w:rPr>
      </w:pPr>
      <w:r w:rsidRPr="007930B0">
        <w:rPr>
          <w:lang w:val="es-ES"/>
        </w:rPr>
        <w:t>234.</w:t>
      </w:r>
      <w:r w:rsidRPr="007930B0">
        <w:rPr>
          <w:lang w:val="es-ES"/>
        </w:rPr>
        <w:tab/>
        <w:t>El Estado de la República Islámica de Mauritania garantiza a todos sus ciudadanos el derecho a la salud. Los principales documentos de políticas y estrategias elaborados en los últimos años (tanto a nivel del Gobierno como en el sector de la salud) consideran la salud una prioridad nacional y le asignan un papel central en el desarrollo del país. Se apunta así a asegurar que el desarrollo económico y social permita mejorar la salud de la población y que ello, a su vez, contribuya de manera eficaz a la reducción de la pobreza y al desarrollo global del país. Mauritania definió su Marco estratégico de lucha contra la pobreza, adoptado en 2001, y se beneficia de los recursos de la Iniciativa en favor de los países pobres muy endeudados. El Ministerio de Salud y Asuntos Sociales decidió adoptar una política nacional de salud con el fin de orientar principalmente las medidas sanitarias y aprovechar los recursos movilizados a través de esos mecanismos, para mejorar el estado de salud de la población.</w:t>
      </w:r>
    </w:p>
    <w:p w:rsidR="001E7BB4" w:rsidRPr="007930B0" w:rsidRDefault="001E7BB4" w:rsidP="00B56B34">
      <w:pPr>
        <w:pStyle w:val="SingleTxtG"/>
        <w:rPr>
          <w:lang w:val="es-ES"/>
        </w:rPr>
      </w:pPr>
      <w:r w:rsidRPr="007930B0">
        <w:rPr>
          <w:lang w:val="es-ES"/>
        </w:rPr>
        <w:t>235.</w:t>
      </w:r>
      <w:r w:rsidRPr="007930B0">
        <w:rPr>
          <w:lang w:val="es-ES"/>
        </w:rPr>
        <w:tab/>
        <w:t xml:space="preserve">Así, en la </w:t>
      </w:r>
      <w:r w:rsidR="00FF10B7" w:rsidRPr="007930B0">
        <w:rPr>
          <w:lang w:val="es-ES"/>
        </w:rPr>
        <w:t>Ley Nº</w:t>
      </w:r>
      <w:r w:rsidRPr="007930B0">
        <w:rPr>
          <w:lang w:val="es-ES"/>
        </w:rPr>
        <w:t xml:space="preserve"> 50-2001, de 18 de julio de 2001, el Gobierno de Mauritania definió la erradicación de la pobreza como la estrategia de base de todas las políticas públicas hasta el año 2015. A esos efectos adoptó, en 2001, el Marco estratégico de lucha contra la pobreza</w:t>
      </w:r>
      <w:r w:rsidRPr="007930B0">
        <w:rPr>
          <w:rStyle w:val="FootnoteReference"/>
          <w:lang w:val="es-ES"/>
        </w:rPr>
        <w:footnoteReference w:id="2"/>
      </w:r>
      <w:r w:rsidRPr="007930B0">
        <w:rPr>
          <w:lang w:val="es-ES"/>
        </w:rPr>
        <w:t>. Esta orientación política del Gobierno de Mauritania está en perfecta consonancia con los Objetivos de Desarrollo del Milenio, aprobados por el concierto de las naciones el 13 de septiembre de 2000, que apuntan, entre otras cosas, a reducir la mortalidad materna e infantil y a combatir las principales enfermedades, que son el VIH/SIDA, el paludismo y la tuberculosis.</w:t>
      </w:r>
    </w:p>
    <w:p w:rsidR="001E7BB4" w:rsidRPr="007930B0" w:rsidRDefault="001E7BB4" w:rsidP="00B56B34">
      <w:pPr>
        <w:pStyle w:val="SingleTxtG"/>
        <w:rPr>
          <w:lang w:val="es-ES"/>
        </w:rPr>
      </w:pPr>
      <w:r w:rsidRPr="007930B0">
        <w:rPr>
          <w:lang w:val="es-ES"/>
        </w:rPr>
        <w:t>236.</w:t>
      </w:r>
      <w:r w:rsidRPr="007930B0">
        <w:rPr>
          <w:lang w:val="es-ES"/>
        </w:rPr>
        <w:tab/>
        <w:t xml:space="preserve">El Marco comprende cuatro ejes estratégicos, de los cuales el tercero apunta a </w:t>
      </w:r>
      <w:r w:rsidR="00CC3B6E" w:rsidRPr="007930B0">
        <w:rPr>
          <w:lang w:val="es-ES"/>
        </w:rPr>
        <w:t>"</w:t>
      </w:r>
      <w:r w:rsidRPr="007930B0">
        <w:rPr>
          <w:lang w:val="es-ES"/>
        </w:rPr>
        <w:t>desarrollar los recursos humanos y el acceso a la infraestructura esencial</w:t>
      </w:r>
      <w:r w:rsidR="00CC3B6E" w:rsidRPr="007930B0">
        <w:rPr>
          <w:lang w:val="es-ES"/>
        </w:rPr>
        <w:t>"</w:t>
      </w:r>
      <w:r w:rsidRPr="007930B0">
        <w:rPr>
          <w:lang w:val="es-ES"/>
        </w:rPr>
        <w:t>. En este eje, el sector sociosanitario ocupa un lugar destacado. El Marco fija para este sector los tres objetivos de impacto</w:t>
      </w:r>
      <w:r w:rsidRPr="007930B0">
        <w:rPr>
          <w:rStyle w:val="FootnoteReference"/>
          <w:lang w:val="es-ES"/>
        </w:rPr>
        <w:footnoteReference w:id="3"/>
      </w:r>
      <w:r w:rsidRPr="007930B0">
        <w:rPr>
          <w:lang w:val="es-ES"/>
        </w:rPr>
        <w:t xml:space="preserve"> siguientes:</w:t>
      </w:r>
    </w:p>
    <w:p w:rsidR="001E7BB4" w:rsidRPr="00F4158E" w:rsidRDefault="00F4158E" w:rsidP="00F4158E">
      <w:pPr>
        <w:pStyle w:val="SingleTxtG"/>
        <w:ind w:firstLine="567"/>
        <w:rPr>
          <w:lang w:val="es-ES"/>
        </w:rPr>
      </w:pPr>
      <w:r>
        <w:rPr>
          <w:lang w:val="es-ES"/>
        </w:rPr>
        <w:t>a)</w:t>
      </w:r>
      <w:r>
        <w:rPr>
          <w:lang w:val="es-ES"/>
        </w:rPr>
        <w:tab/>
      </w:r>
      <w:r w:rsidR="001E7BB4" w:rsidRPr="00F4158E">
        <w:rPr>
          <w:lang w:val="es-ES"/>
        </w:rPr>
        <w:t>Mejorar los indicadores de mortalidad y morbilidad, en particular entre los más pobres;</w:t>
      </w:r>
    </w:p>
    <w:p w:rsidR="001E7BB4" w:rsidRPr="00F4158E" w:rsidRDefault="00F4158E" w:rsidP="00F4158E">
      <w:pPr>
        <w:pStyle w:val="SingleTxtG"/>
        <w:ind w:firstLine="567"/>
        <w:rPr>
          <w:lang w:val="es-ES"/>
        </w:rPr>
      </w:pPr>
      <w:r>
        <w:rPr>
          <w:lang w:val="es-ES"/>
        </w:rPr>
        <w:t>b)</w:t>
      </w:r>
      <w:r>
        <w:rPr>
          <w:lang w:val="es-ES"/>
        </w:rPr>
        <w:tab/>
      </w:r>
      <w:r w:rsidR="001E7BB4" w:rsidRPr="00F4158E">
        <w:rPr>
          <w:lang w:val="es-ES"/>
        </w:rPr>
        <w:t>Atenuar el impacto de los gastos de salud en los hogares más pobres;</w:t>
      </w:r>
    </w:p>
    <w:p w:rsidR="001E7BB4" w:rsidRPr="00F4158E" w:rsidRDefault="00F4158E" w:rsidP="00F4158E">
      <w:pPr>
        <w:pStyle w:val="SingleTxtG"/>
        <w:ind w:firstLine="567"/>
        <w:rPr>
          <w:lang w:val="es-ES"/>
        </w:rPr>
      </w:pPr>
      <w:r>
        <w:rPr>
          <w:lang w:val="es-ES"/>
        </w:rPr>
        <w:t>c)</w:t>
      </w:r>
      <w:r>
        <w:rPr>
          <w:lang w:val="es-ES"/>
        </w:rPr>
        <w:tab/>
      </w:r>
      <w:r w:rsidR="001E7BB4" w:rsidRPr="00F4158E">
        <w:rPr>
          <w:lang w:val="es-ES"/>
        </w:rPr>
        <w:t>Aumentar la participación de la población en la gestión de su salud.</w:t>
      </w:r>
    </w:p>
    <w:p w:rsidR="001E7BB4" w:rsidRPr="007930B0" w:rsidRDefault="001E7BB4" w:rsidP="00B56B34">
      <w:pPr>
        <w:pStyle w:val="SingleTxtG"/>
        <w:rPr>
          <w:lang w:val="es-ES"/>
        </w:rPr>
      </w:pPr>
      <w:r w:rsidRPr="007930B0">
        <w:rPr>
          <w:lang w:val="es-ES"/>
        </w:rPr>
        <w:t>237.</w:t>
      </w:r>
      <w:r w:rsidRPr="007930B0">
        <w:rPr>
          <w:lang w:val="es-ES"/>
        </w:rPr>
        <w:tab/>
        <w:t>Estos tres ejes forman la base de las orientaciones formuladas en la política sociosanitaria, la cual fija los principios, objetivos y estrategias de la acción sanitaria y social en la República Islámica de Mauritania hasta el año 2015.</w:t>
      </w:r>
    </w:p>
    <w:p w:rsidR="001E7BB4" w:rsidRPr="007930B0" w:rsidRDefault="001E7BB4" w:rsidP="00B56B34">
      <w:pPr>
        <w:pStyle w:val="SingleTxtG"/>
        <w:rPr>
          <w:lang w:val="es-ES"/>
        </w:rPr>
      </w:pPr>
      <w:r w:rsidRPr="007930B0">
        <w:rPr>
          <w:lang w:val="es-ES"/>
        </w:rPr>
        <w:t>238.</w:t>
      </w:r>
      <w:r w:rsidRPr="007930B0">
        <w:rPr>
          <w:lang w:val="es-ES"/>
        </w:rPr>
        <w:tab/>
        <w:t xml:space="preserve">En los dos últimos decenios, el Ministerio de Salud y Asuntos Sociales aplicó cuatro planes estratégicos sucesivos para el desarrollo del sector, el último de ellos titulado </w:t>
      </w:r>
      <w:r w:rsidR="00CC3B6E" w:rsidRPr="007930B0">
        <w:rPr>
          <w:lang w:val="es-ES"/>
        </w:rPr>
        <w:t>"</w:t>
      </w:r>
      <w:r w:rsidRPr="007930B0">
        <w:rPr>
          <w:lang w:val="es-ES"/>
        </w:rPr>
        <w:t>Plan rector de salud y asuntos sociales para el período 1998-2002</w:t>
      </w:r>
      <w:r w:rsidR="00CC3B6E" w:rsidRPr="007930B0">
        <w:rPr>
          <w:lang w:val="es-ES"/>
        </w:rPr>
        <w:t>"</w:t>
      </w:r>
      <w:r w:rsidRPr="007930B0">
        <w:rPr>
          <w:lang w:val="es-ES"/>
        </w:rPr>
        <w:t>. El mejoramiento del entorno socioeconómico y la aplicación de estos planes han permitido mejorar el estado de salud de la población mauritana. Como resultado de ello, los indicadores de mortalidad y morbilidad han disminuido sensiblemente, la accesibilidad y el uso de los servicios esenciales de salud han aumentado, teniendo en cuenta cada vez más las particularidades de los grupos pobres y de otras franjas vulnerables de la población.</w:t>
      </w:r>
    </w:p>
    <w:p w:rsidR="001E7BB4" w:rsidRPr="007930B0" w:rsidRDefault="001E7BB4" w:rsidP="00B56B34">
      <w:pPr>
        <w:pStyle w:val="SingleTxtG"/>
        <w:rPr>
          <w:lang w:val="es-ES"/>
        </w:rPr>
      </w:pPr>
      <w:r w:rsidRPr="007930B0">
        <w:rPr>
          <w:lang w:val="es-ES"/>
        </w:rPr>
        <w:t>239.</w:t>
      </w:r>
      <w:r w:rsidRPr="007930B0">
        <w:rPr>
          <w:lang w:val="es-ES"/>
        </w:rPr>
        <w:tab/>
        <w:t>El Marco estratégico de lucha contra la pobreza, documento de política gubernamental, apunta a reducir la pobreza mediante una acción multisectorial integrada y coloca a la salud entre los sectores prioritarios. Esta acción cuenta con el apoyo del conjunto de asociados para el desarrollo, que ven en ella una integración efectiva de la acción gubernamental a favor de una lucha eficaz contra la pobreza.</w:t>
      </w:r>
    </w:p>
    <w:p w:rsidR="001E7BB4" w:rsidRPr="007930B0" w:rsidRDefault="001E7BB4" w:rsidP="00B56B34">
      <w:pPr>
        <w:pStyle w:val="SingleTxtG"/>
        <w:rPr>
          <w:lang w:val="es-ES"/>
        </w:rPr>
      </w:pPr>
      <w:r w:rsidRPr="007930B0">
        <w:rPr>
          <w:lang w:val="es-ES"/>
        </w:rPr>
        <w:t>240.</w:t>
      </w:r>
      <w:r w:rsidRPr="007930B0">
        <w:rPr>
          <w:lang w:val="es-ES"/>
        </w:rPr>
        <w:tab/>
        <w:t>El Ministerio de Salud y Asuntos Sociales fue el primer sector favorecido con importantes recursos financieros en el contexto de la aplicación del Marco estratégico de lucha contra la pobreza. Estos fondos adicionales permitieron acelerar la puesta en marcha de los planes anuales sucesivos a partir de 2002. Además, permitieron emprender reformas ambiciosas destinadas a acelerar el ritmo de la evolución de determinados indicadores básicos fundamentales, como el acceso a los servicios esenciales de salud.</w:t>
      </w:r>
    </w:p>
    <w:p w:rsidR="001E7BB4" w:rsidRPr="007930B0" w:rsidRDefault="001E7BB4" w:rsidP="00B56B34">
      <w:pPr>
        <w:pStyle w:val="SingleTxtG"/>
        <w:rPr>
          <w:lang w:val="es-ES"/>
        </w:rPr>
      </w:pPr>
      <w:r w:rsidRPr="007930B0">
        <w:rPr>
          <w:lang w:val="es-ES"/>
        </w:rPr>
        <w:t>241.</w:t>
      </w:r>
      <w:r w:rsidRPr="007930B0">
        <w:rPr>
          <w:lang w:val="es-ES"/>
        </w:rPr>
        <w:tab/>
        <w:t>En el mismo contexto, y habida cuenta de la evolución registrada en el proceso de programación y gestión del sector, el Gobierno y algunos de sus asociados han convenido en adoptar gradualmente el apoyo presupuestario como modalidad de financiación. Ello dotará de mayor flexibilidad a los mecanismos de disponibilidad financiera y permitirá mejorar el proceso de seguimiento del programa sanitario y social. La presente política constituye una de las medidas fundamentales de preparación.</w:t>
      </w:r>
    </w:p>
    <w:p w:rsidR="001E7BB4" w:rsidRPr="007930B0" w:rsidRDefault="001E7BB4" w:rsidP="00B56B34">
      <w:pPr>
        <w:pStyle w:val="SingleTxtG"/>
        <w:rPr>
          <w:lang w:val="es-ES"/>
        </w:rPr>
      </w:pPr>
      <w:r w:rsidRPr="007930B0">
        <w:rPr>
          <w:lang w:val="es-ES"/>
        </w:rPr>
        <w:t>242.</w:t>
      </w:r>
      <w:r w:rsidRPr="007930B0">
        <w:rPr>
          <w:lang w:val="es-ES"/>
        </w:rPr>
        <w:tab/>
        <w:t>Esta política nacional servirá de orientación de base para todas las medidas adoptadas en el sector durante el período 2005-2015. Dicha política se funda en un análisis de la situación del sector y aplica las recomendaciones dimanadas de los exámenes periódicos y de las sucesivas evaluaciones realizadas con el conjunto de los asociados del sector bajo la dirección del Ministerio de Salud y Asuntos Sociales.</w:t>
      </w:r>
    </w:p>
    <w:p w:rsidR="001E7BB4" w:rsidRPr="007930B0" w:rsidRDefault="001E7BB4" w:rsidP="00B56B34">
      <w:pPr>
        <w:pStyle w:val="SingleTxtG"/>
        <w:rPr>
          <w:lang w:val="es-ES"/>
        </w:rPr>
      </w:pPr>
      <w:r w:rsidRPr="007930B0">
        <w:rPr>
          <w:lang w:val="es-ES"/>
        </w:rPr>
        <w:t>243.</w:t>
      </w:r>
      <w:r w:rsidRPr="007930B0">
        <w:rPr>
          <w:lang w:val="es-ES"/>
        </w:rPr>
        <w:tab/>
        <w:t xml:space="preserve">Así, después de la primera parte, en la que se hace un </w:t>
      </w:r>
      <w:r w:rsidR="00CC3B6E" w:rsidRPr="007930B0">
        <w:rPr>
          <w:lang w:val="es-ES"/>
        </w:rPr>
        <w:t>"</w:t>
      </w:r>
      <w:r w:rsidRPr="007930B0">
        <w:rPr>
          <w:lang w:val="es-ES"/>
        </w:rPr>
        <w:t>diagnóstico sectorial</w:t>
      </w:r>
      <w:r w:rsidR="00CC3B6E" w:rsidRPr="007930B0">
        <w:rPr>
          <w:lang w:val="es-ES"/>
        </w:rPr>
        <w:t>"</w:t>
      </w:r>
      <w:r w:rsidRPr="007930B0">
        <w:rPr>
          <w:lang w:val="es-ES"/>
        </w:rPr>
        <w:t>, el documento de orientación nacional define los objetivos sectoriales y pasa revista a las estrategias consideradas prioritarias en la aplicación de los futuros programas sociosanitarios.</w:t>
      </w:r>
    </w:p>
    <w:p w:rsidR="001E7BB4" w:rsidRPr="007930B0" w:rsidRDefault="001E7BB4" w:rsidP="00B56B34">
      <w:pPr>
        <w:pStyle w:val="SingleTxtG"/>
        <w:rPr>
          <w:lang w:val="es-ES"/>
        </w:rPr>
      </w:pPr>
      <w:r w:rsidRPr="007930B0">
        <w:rPr>
          <w:lang w:val="es-ES"/>
        </w:rPr>
        <w:t>244.</w:t>
      </w:r>
      <w:r w:rsidRPr="007930B0">
        <w:rPr>
          <w:lang w:val="es-ES"/>
        </w:rPr>
        <w:tab/>
        <w:t>Se ha puesto en marcha un proceso participativo de adopción de esta política, que abarca al conjunto de los agentes del sector, ya sean el Ministerio de Salud u otros órganos ministeriales, la sociedad civil, las comunidades y los asociados para el desarrollo.</w:t>
      </w:r>
    </w:p>
    <w:p w:rsidR="001E7BB4" w:rsidRPr="007930B0" w:rsidRDefault="001E7BB4" w:rsidP="00B56B34">
      <w:pPr>
        <w:pStyle w:val="SingleTxtG"/>
        <w:rPr>
          <w:lang w:val="es-ES"/>
        </w:rPr>
      </w:pPr>
      <w:r w:rsidRPr="007930B0">
        <w:rPr>
          <w:lang w:val="es-ES"/>
        </w:rPr>
        <w:t>245.</w:t>
      </w:r>
      <w:r w:rsidRPr="007930B0">
        <w:rPr>
          <w:lang w:val="es-ES"/>
        </w:rPr>
        <w:tab/>
        <w:t xml:space="preserve">A esta política se anexará un conjunto de documentos de orientación específicos formulados en el sector, referidos principalmente a la política hospitalaria y, en particular, a la </w:t>
      </w:r>
      <w:r w:rsidR="00384889" w:rsidRPr="007930B0">
        <w:rPr>
          <w:lang w:val="es-ES"/>
        </w:rPr>
        <w:t>Ley</w:t>
      </w:r>
      <w:r w:rsidRPr="007930B0">
        <w:rPr>
          <w:lang w:val="es-ES"/>
        </w:rPr>
        <w:t xml:space="preserve"> farmacéutica, un plan rector de acción social, un plan de desarrollo de los recursos humanos, un plan de desarrollo de la infraestructura de salud y los planes estratégicos de lucha contra las enfermedades. En el cuadro que figura a continuación pueden verse algunas estadísticas del sector de la salud.</w:t>
      </w:r>
    </w:p>
    <w:p w:rsidR="001E7BB4" w:rsidRPr="007930B0" w:rsidRDefault="00451FD8" w:rsidP="00451FD8">
      <w:pPr>
        <w:pStyle w:val="H23G"/>
        <w:rPr>
          <w:lang w:val="es-ES"/>
        </w:rPr>
      </w:pPr>
      <w:r w:rsidRPr="007930B0">
        <w:rPr>
          <w:lang w:val="es-ES"/>
        </w:rPr>
        <w:tab/>
      </w:r>
      <w:r w:rsidRPr="007930B0">
        <w:rPr>
          <w:lang w:val="es-ES"/>
        </w:rPr>
        <w:tab/>
      </w:r>
      <w:r w:rsidR="001E7BB4" w:rsidRPr="007930B0">
        <w:rPr>
          <w:lang w:val="es-ES"/>
        </w:rPr>
        <w:t>Estadísticas de salud</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105"/>
        <w:gridCol w:w="2265"/>
      </w:tblGrid>
      <w:tr w:rsidR="001E7BB4" w:rsidRPr="007930B0">
        <w:trPr>
          <w:tblHeader/>
        </w:trPr>
        <w:tc>
          <w:tcPr>
            <w:tcW w:w="6935" w:type="dxa"/>
            <w:tcBorders>
              <w:top w:val="single" w:sz="4" w:space="0" w:color="auto"/>
              <w:bottom w:val="single" w:sz="12" w:space="0" w:color="auto"/>
            </w:tcBorders>
            <w:shd w:val="clear" w:color="auto" w:fill="auto"/>
            <w:vAlign w:val="bottom"/>
          </w:tcPr>
          <w:p w:rsidR="001E7BB4" w:rsidRPr="007930B0" w:rsidRDefault="001E7BB4" w:rsidP="008D14BD">
            <w:pPr>
              <w:spacing w:before="80" w:after="80" w:line="200" w:lineRule="exact"/>
              <w:ind w:right="113"/>
              <w:rPr>
                <w:i/>
                <w:sz w:val="16"/>
              </w:rPr>
            </w:pPr>
            <w:r w:rsidRPr="007930B0">
              <w:rPr>
                <w:i/>
                <w:sz w:val="16"/>
              </w:rPr>
              <w:t>Indicador</w:t>
            </w:r>
          </w:p>
        </w:tc>
        <w:tc>
          <w:tcPr>
            <w:tcW w:w="3073" w:type="dxa"/>
            <w:tcBorders>
              <w:top w:val="single" w:sz="4" w:space="0" w:color="auto"/>
              <w:bottom w:val="single" w:sz="12" w:space="0" w:color="auto"/>
            </w:tcBorders>
            <w:shd w:val="clear" w:color="auto" w:fill="auto"/>
            <w:vAlign w:val="bottom"/>
          </w:tcPr>
          <w:p w:rsidR="001E7BB4" w:rsidRPr="007930B0" w:rsidRDefault="001E7BB4" w:rsidP="008D14BD">
            <w:pPr>
              <w:spacing w:before="80" w:after="80" w:line="200" w:lineRule="exact"/>
              <w:ind w:right="113"/>
              <w:jc w:val="right"/>
              <w:rPr>
                <w:i/>
                <w:sz w:val="16"/>
              </w:rPr>
            </w:pPr>
            <w:r w:rsidRPr="007930B0">
              <w:rPr>
                <w:i/>
                <w:sz w:val="16"/>
              </w:rPr>
              <w:t>Valor en 2007</w:t>
            </w:r>
          </w:p>
        </w:tc>
      </w:tr>
      <w:tr w:rsidR="001E7BB4" w:rsidRPr="007930B0">
        <w:tc>
          <w:tcPr>
            <w:tcW w:w="6935" w:type="dxa"/>
            <w:tcBorders>
              <w:top w:val="single" w:sz="12" w:space="0" w:color="auto"/>
            </w:tcBorders>
            <w:shd w:val="clear" w:color="auto" w:fill="auto"/>
            <w:vAlign w:val="bottom"/>
          </w:tcPr>
          <w:p w:rsidR="001E7BB4" w:rsidRPr="007930B0" w:rsidRDefault="001E7BB4" w:rsidP="008D14BD">
            <w:pPr>
              <w:spacing w:before="40" w:after="40" w:line="220" w:lineRule="exact"/>
              <w:ind w:right="113"/>
              <w:rPr>
                <w:sz w:val="18"/>
              </w:rPr>
            </w:pPr>
            <w:r w:rsidRPr="007930B0">
              <w:rPr>
                <w:sz w:val="18"/>
              </w:rPr>
              <w:t xml:space="preserve">Tasa de mortalidad materna </w:t>
            </w:r>
          </w:p>
        </w:tc>
        <w:tc>
          <w:tcPr>
            <w:tcW w:w="3073" w:type="dxa"/>
            <w:tcBorders>
              <w:top w:val="single" w:sz="12" w:space="0" w:color="auto"/>
            </w:tcBorders>
            <w:shd w:val="clear" w:color="auto" w:fill="auto"/>
            <w:vAlign w:val="bottom"/>
          </w:tcPr>
          <w:p w:rsidR="001E7BB4" w:rsidRPr="007930B0" w:rsidRDefault="001E7BB4" w:rsidP="008D14BD">
            <w:pPr>
              <w:spacing w:before="40" w:after="40" w:line="220" w:lineRule="exact"/>
              <w:ind w:right="113"/>
              <w:jc w:val="right"/>
              <w:rPr>
                <w:sz w:val="18"/>
              </w:rPr>
            </w:pPr>
            <w:r w:rsidRPr="007930B0">
              <w:rPr>
                <w:sz w:val="18"/>
              </w:rPr>
              <w:t>686 muertes cada 100.000 nacidos vivos</w:t>
            </w:r>
          </w:p>
        </w:tc>
      </w:tr>
      <w:tr w:rsidR="001E7BB4" w:rsidRPr="007930B0">
        <w:tc>
          <w:tcPr>
            <w:tcW w:w="6935" w:type="dxa"/>
            <w:shd w:val="clear" w:color="auto" w:fill="auto"/>
          </w:tcPr>
          <w:p w:rsidR="001E7BB4" w:rsidRPr="007930B0" w:rsidRDefault="001E7BB4" w:rsidP="008D14BD">
            <w:pPr>
              <w:spacing w:before="40" w:after="40" w:line="220" w:lineRule="exact"/>
              <w:ind w:right="113"/>
              <w:rPr>
                <w:sz w:val="18"/>
              </w:rPr>
            </w:pPr>
            <w:r w:rsidRPr="007930B0">
              <w:rPr>
                <w:sz w:val="18"/>
              </w:rPr>
              <w:t xml:space="preserve">Tasa de mortalidad infantil </w:t>
            </w:r>
          </w:p>
        </w:tc>
        <w:tc>
          <w:tcPr>
            <w:tcW w:w="3073" w:type="dxa"/>
            <w:shd w:val="clear" w:color="auto" w:fill="auto"/>
            <w:vAlign w:val="bottom"/>
          </w:tcPr>
          <w:p w:rsidR="001E7BB4" w:rsidRPr="007930B0" w:rsidRDefault="008D14BD" w:rsidP="008D14BD">
            <w:pPr>
              <w:spacing w:before="40" w:after="40" w:line="220" w:lineRule="exact"/>
              <w:ind w:right="113"/>
              <w:jc w:val="right"/>
              <w:rPr>
                <w:sz w:val="18"/>
              </w:rPr>
            </w:pPr>
            <w:r w:rsidRPr="007930B0">
              <w:rPr>
                <w:sz w:val="18"/>
              </w:rPr>
              <w:t>77</w:t>
            </w:r>
            <w:r w:rsidR="001E7BB4" w:rsidRPr="007930B0">
              <w:rPr>
                <w:sz w:val="18"/>
              </w:rPr>
              <w:t>‰</w:t>
            </w:r>
          </w:p>
        </w:tc>
      </w:tr>
      <w:tr w:rsidR="001E7BB4" w:rsidRPr="007930B0">
        <w:tc>
          <w:tcPr>
            <w:tcW w:w="6935" w:type="dxa"/>
            <w:shd w:val="clear" w:color="auto" w:fill="auto"/>
          </w:tcPr>
          <w:p w:rsidR="001E7BB4" w:rsidRPr="007930B0" w:rsidRDefault="001E7BB4" w:rsidP="008D14BD">
            <w:pPr>
              <w:spacing w:before="40" w:after="40" w:line="220" w:lineRule="exact"/>
              <w:ind w:right="113"/>
              <w:rPr>
                <w:sz w:val="18"/>
              </w:rPr>
            </w:pPr>
            <w:r w:rsidRPr="007930B0">
              <w:rPr>
                <w:sz w:val="18"/>
              </w:rPr>
              <w:t xml:space="preserve">Tasa de mortalidad de niños menores de 5 años </w:t>
            </w:r>
          </w:p>
        </w:tc>
        <w:tc>
          <w:tcPr>
            <w:tcW w:w="3073" w:type="dxa"/>
            <w:shd w:val="clear" w:color="auto" w:fill="auto"/>
            <w:vAlign w:val="bottom"/>
          </w:tcPr>
          <w:p w:rsidR="001E7BB4" w:rsidRPr="007930B0" w:rsidRDefault="008D14BD" w:rsidP="008D14BD">
            <w:pPr>
              <w:spacing w:before="40" w:after="40" w:line="220" w:lineRule="exact"/>
              <w:ind w:right="113"/>
              <w:jc w:val="right"/>
              <w:rPr>
                <w:sz w:val="18"/>
              </w:rPr>
            </w:pPr>
            <w:r w:rsidRPr="007930B0">
              <w:rPr>
                <w:sz w:val="18"/>
              </w:rPr>
              <w:t>122</w:t>
            </w:r>
            <w:r w:rsidR="001E7BB4" w:rsidRPr="007930B0">
              <w:rPr>
                <w:sz w:val="18"/>
              </w:rPr>
              <w:t>‰</w:t>
            </w:r>
          </w:p>
        </w:tc>
      </w:tr>
      <w:tr w:rsidR="001E7BB4" w:rsidRPr="007930B0">
        <w:tc>
          <w:tcPr>
            <w:tcW w:w="6935" w:type="dxa"/>
            <w:shd w:val="clear" w:color="auto" w:fill="auto"/>
          </w:tcPr>
          <w:p w:rsidR="001E7BB4" w:rsidRPr="007930B0" w:rsidRDefault="001E7BB4" w:rsidP="008D14BD">
            <w:pPr>
              <w:spacing w:before="40" w:after="40" w:line="220" w:lineRule="exact"/>
              <w:ind w:right="113"/>
              <w:rPr>
                <w:sz w:val="18"/>
              </w:rPr>
            </w:pPr>
            <w:r w:rsidRPr="007930B0">
              <w:rPr>
                <w:sz w:val="18"/>
              </w:rPr>
              <w:t>Cobertura sanitaria en un radio de 5 km</w:t>
            </w:r>
          </w:p>
        </w:tc>
        <w:tc>
          <w:tcPr>
            <w:tcW w:w="3073" w:type="dxa"/>
            <w:shd w:val="clear" w:color="auto" w:fill="auto"/>
            <w:vAlign w:val="bottom"/>
          </w:tcPr>
          <w:p w:rsidR="001E7BB4" w:rsidRPr="007930B0" w:rsidRDefault="001E7BB4" w:rsidP="008D14BD">
            <w:pPr>
              <w:spacing w:before="40" w:after="40" w:line="220" w:lineRule="exact"/>
              <w:ind w:right="113"/>
              <w:jc w:val="right"/>
              <w:rPr>
                <w:sz w:val="18"/>
              </w:rPr>
            </w:pPr>
            <w:r w:rsidRPr="007930B0">
              <w:rPr>
                <w:sz w:val="18"/>
              </w:rPr>
              <w:t>67%</w:t>
            </w:r>
          </w:p>
        </w:tc>
      </w:tr>
      <w:tr w:rsidR="001E7BB4" w:rsidRPr="007930B0">
        <w:tc>
          <w:tcPr>
            <w:tcW w:w="6935" w:type="dxa"/>
            <w:shd w:val="clear" w:color="auto" w:fill="auto"/>
          </w:tcPr>
          <w:p w:rsidR="001E7BB4" w:rsidRPr="007930B0" w:rsidRDefault="001E7BB4" w:rsidP="008D14BD">
            <w:pPr>
              <w:spacing w:before="40" w:after="40" w:line="220" w:lineRule="exact"/>
              <w:ind w:right="113"/>
              <w:rPr>
                <w:sz w:val="18"/>
              </w:rPr>
            </w:pPr>
            <w:r w:rsidRPr="007930B0">
              <w:rPr>
                <w:sz w:val="18"/>
              </w:rPr>
              <w:t xml:space="preserve">Prevalencia del VIH/SIDA </w:t>
            </w:r>
          </w:p>
        </w:tc>
        <w:tc>
          <w:tcPr>
            <w:tcW w:w="3073" w:type="dxa"/>
            <w:shd w:val="clear" w:color="auto" w:fill="auto"/>
            <w:vAlign w:val="bottom"/>
          </w:tcPr>
          <w:p w:rsidR="001E7BB4" w:rsidRPr="007930B0" w:rsidRDefault="001E7BB4" w:rsidP="008D14BD">
            <w:pPr>
              <w:spacing w:before="40" w:after="40" w:line="220" w:lineRule="exact"/>
              <w:ind w:right="113"/>
              <w:jc w:val="right"/>
              <w:rPr>
                <w:sz w:val="18"/>
              </w:rPr>
            </w:pPr>
            <w:r w:rsidRPr="007930B0">
              <w:rPr>
                <w:sz w:val="18"/>
              </w:rPr>
              <w:t>0,61%</w:t>
            </w:r>
          </w:p>
        </w:tc>
      </w:tr>
      <w:tr w:rsidR="001E7BB4" w:rsidRPr="007930B0">
        <w:tc>
          <w:tcPr>
            <w:tcW w:w="6935" w:type="dxa"/>
            <w:shd w:val="clear" w:color="auto" w:fill="auto"/>
          </w:tcPr>
          <w:p w:rsidR="001E7BB4" w:rsidRPr="007930B0" w:rsidRDefault="001E7BB4" w:rsidP="008D14BD">
            <w:pPr>
              <w:spacing w:before="40" w:after="40" w:line="220" w:lineRule="exact"/>
              <w:ind w:right="113"/>
              <w:rPr>
                <w:sz w:val="18"/>
              </w:rPr>
            </w:pPr>
            <w:r w:rsidRPr="007930B0">
              <w:rPr>
                <w:sz w:val="18"/>
              </w:rPr>
              <w:t>Proporción de niños de entre 12 y 23 meses con todas las vacunas</w:t>
            </w:r>
          </w:p>
        </w:tc>
        <w:tc>
          <w:tcPr>
            <w:tcW w:w="3073" w:type="dxa"/>
            <w:shd w:val="clear" w:color="auto" w:fill="auto"/>
            <w:vAlign w:val="bottom"/>
          </w:tcPr>
          <w:p w:rsidR="001E7BB4" w:rsidRPr="007930B0" w:rsidRDefault="001E7BB4" w:rsidP="008D14BD">
            <w:pPr>
              <w:spacing w:before="40" w:after="40" w:line="220" w:lineRule="exact"/>
              <w:ind w:right="113"/>
              <w:jc w:val="right"/>
              <w:rPr>
                <w:sz w:val="18"/>
              </w:rPr>
            </w:pPr>
            <w:r w:rsidRPr="007930B0">
              <w:rPr>
                <w:sz w:val="18"/>
              </w:rPr>
              <w:t>79%</w:t>
            </w:r>
          </w:p>
        </w:tc>
      </w:tr>
      <w:tr w:rsidR="001E7BB4" w:rsidRPr="007930B0">
        <w:tc>
          <w:tcPr>
            <w:tcW w:w="6935" w:type="dxa"/>
            <w:shd w:val="clear" w:color="auto" w:fill="auto"/>
          </w:tcPr>
          <w:p w:rsidR="001E7BB4" w:rsidRPr="007930B0" w:rsidRDefault="001E7BB4" w:rsidP="008D14BD">
            <w:pPr>
              <w:spacing w:before="40" w:after="40" w:line="220" w:lineRule="exact"/>
              <w:ind w:right="113"/>
              <w:rPr>
                <w:sz w:val="18"/>
              </w:rPr>
            </w:pPr>
            <w:r w:rsidRPr="007930B0">
              <w:rPr>
                <w:sz w:val="18"/>
              </w:rPr>
              <w:t xml:space="preserve">Proporción de mujeres que dieron a luz en el último año y que recibieron atención prenatal </w:t>
            </w:r>
          </w:p>
        </w:tc>
        <w:tc>
          <w:tcPr>
            <w:tcW w:w="3073" w:type="dxa"/>
            <w:shd w:val="clear" w:color="auto" w:fill="auto"/>
            <w:vAlign w:val="bottom"/>
          </w:tcPr>
          <w:p w:rsidR="001E7BB4" w:rsidRPr="007930B0" w:rsidRDefault="001E7BB4" w:rsidP="008D14BD">
            <w:pPr>
              <w:spacing w:before="40" w:after="40" w:line="220" w:lineRule="exact"/>
              <w:ind w:right="113"/>
              <w:jc w:val="right"/>
              <w:rPr>
                <w:sz w:val="18"/>
              </w:rPr>
            </w:pPr>
            <w:r w:rsidRPr="007930B0">
              <w:rPr>
                <w:sz w:val="18"/>
              </w:rPr>
              <w:t>80,5%</w:t>
            </w:r>
          </w:p>
        </w:tc>
      </w:tr>
    </w:tbl>
    <w:p w:rsidR="001E7BB4" w:rsidRPr="007930B0" w:rsidRDefault="001E7BB4" w:rsidP="008D14BD">
      <w:pPr>
        <w:spacing w:before="120" w:after="240" w:line="220" w:lineRule="exact"/>
        <w:ind w:left="1134" w:right="1134" w:firstLine="170"/>
        <w:rPr>
          <w:sz w:val="18"/>
          <w:szCs w:val="18"/>
        </w:rPr>
      </w:pPr>
      <w:r w:rsidRPr="007930B0">
        <w:rPr>
          <w:i/>
          <w:sz w:val="18"/>
          <w:szCs w:val="18"/>
        </w:rPr>
        <w:t>Fuente:</w:t>
      </w:r>
      <w:r w:rsidRPr="007930B0">
        <w:rPr>
          <w:sz w:val="18"/>
          <w:szCs w:val="18"/>
        </w:rPr>
        <w:t xml:space="preserve"> Oficina Nacional de Estadística e Informe nacional sobre el desarrollo humano sostenible.</w:t>
      </w:r>
    </w:p>
    <w:p w:rsidR="001E7BB4" w:rsidRPr="007930B0" w:rsidRDefault="008D14BD" w:rsidP="008D14BD">
      <w:pPr>
        <w:pStyle w:val="H23G"/>
        <w:rPr>
          <w:lang w:val="es-ES"/>
        </w:rPr>
      </w:pPr>
      <w:r w:rsidRPr="007930B0">
        <w:rPr>
          <w:lang w:val="es-ES"/>
        </w:rPr>
        <w:tab/>
      </w:r>
      <w:r w:rsidRPr="007930B0">
        <w:rPr>
          <w:lang w:val="es-ES"/>
        </w:rPr>
        <w:tab/>
      </w:r>
      <w:r w:rsidR="001E7BB4" w:rsidRPr="007930B0">
        <w:rPr>
          <w:lang w:val="es-ES"/>
        </w:rPr>
        <w:t>Análisis de la situación del sector social y de la salud</w:t>
      </w:r>
    </w:p>
    <w:p w:rsidR="001E7BB4" w:rsidRPr="007930B0" w:rsidRDefault="008D14BD" w:rsidP="008D14BD">
      <w:pPr>
        <w:pStyle w:val="H23G"/>
        <w:rPr>
          <w:lang w:val="es-ES"/>
        </w:rPr>
      </w:pPr>
      <w:r w:rsidRPr="007930B0">
        <w:rPr>
          <w:lang w:val="es-ES"/>
        </w:rPr>
        <w:tab/>
      </w:r>
      <w:r w:rsidRPr="007930B0">
        <w:rPr>
          <w:lang w:val="es-ES"/>
        </w:rPr>
        <w:tab/>
      </w:r>
      <w:r w:rsidR="001E7BB4" w:rsidRPr="007930B0">
        <w:rPr>
          <w:lang w:val="es-ES"/>
        </w:rPr>
        <w:t>Evolución</w:t>
      </w:r>
    </w:p>
    <w:p w:rsidR="001E7BB4" w:rsidRPr="007930B0" w:rsidRDefault="001E7BB4" w:rsidP="00B56B34">
      <w:pPr>
        <w:pStyle w:val="SingleTxtG"/>
        <w:rPr>
          <w:lang w:val="es-ES"/>
        </w:rPr>
      </w:pPr>
      <w:r w:rsidRPr="007930B0">
        <w:rPr>
          <w:lang w:val="es-ES"/>
        </w:rPr>
        <w:t>246.</w:t>
      </w:r>
      <w:r w:rsidRPr="007930B0">
        <w:rPr>
          <w:lang w:val="es-ES"/>
        </w:rPr>
        <w:tab/>
        <w:t>Desde su independencia, Mauritania ha incluido siempre medidas sanitarias en el marco de su política gubernamental. Pero fue necesario esperar hasta los años ochenta para que la política de salud se orientara a satisfacer las necesidades del mayor número de personas dentro de la población, en el marco de la atención primaria de la salud. Desde el cuarto plan de salud (</w:t>
      </w:r>
      <w:r w:rsidRPr="007930B0">
        <w:rPr>
          <w:b/>
          <w:lang w:val="es-ES"/>
        </w:rPr>
        <w:t>1981-1985</w:t>
      </w:r>
      <w:r w:rsidRPr="007930B0">
        <w:rPr>
          <w:lang w:val="es-ES"/>
        </w:rPr>
        <w:t>) hasta el plan rector (</w:t>
      </w:r>
      <w:r w:rsidRPr="007930B0">
        <w:rPr>
          <w:b/>
          <w:lang w:val="es-ES"/>
        </w:rPr>
        <w:t>1998-2002</w:t>
      </w:r>
      <w:r w:rsidRPr="007930B0">
        <w:rPr>
          <w:lang w:val="es-ES"/>
        </w:rPr>
        <w:t>), la evolución se ha caracterizado por la importancia asignada a la atención primaria de la salud y al mejoramiento de la cobertura sanitaria. A partir de 1998 se introdujeron nuevos temas relacionados con la calidad, el desempeño y la eficiencia del sistema de salud.</w:t>
      </w:r>
    </w:p>
    <w:p w:rsidR="001E7BB4" w:rsidRPr="007930B0" w:rsidRDefault="008D14BD" w:rsidP="008D14BD">
      <w:pPr>
        <w:pStyle w:val="H23G"/>
        <w:rPr>
          <w:lang w:val="es-ES"/>
        </w:rPr>
      </w:pPr>
      <w:r w:rsidRPr="007930B0">
        <w:rPr>
          <w:lang w:val="es-ES"/>
        </w:rPr>
        <w:tab/>
      </w:r>
      <w:r w:rsidRPr="007930B0">
        <w:rPr>
          <w:lang w:val="es-ES"/>
        </w:rPr>
        <w:tab/>
      </w:r>
      <w:r w:rsidR="001E7BB4" w:rsidRPr="007930B0">
        <w:rPr>
          <w:lang w:val="es-ES"/>
        </w:rPr>
        <w:t>Síntesis de la evaluación del plan rector</w:t>
      </w:r>
      <w:r w:rsidR="001E7BB4" w:rsidRPr="007930B0">
        <w:rPr>
          <w:rStyle w:val="FootnoteReference"/>
          <w:b w:val="0"/>
          <w:lang w:val="es-ES"/>
        </w:rPr>
        <w:footnoteReference w:id="4"/>
      </w:r>
    </w:p>
    <w:p w:rsidR="001E7BB4" w:rsidRPr="007930B0" w:rsidRDefault="001E7BB4" w:rsidP="00B56B34">
      <w:pPr>
        <w:pStyle w:val="SingleTxtG"/>
        <w:rPr>
          <w:lang w:val="es-ES"/>
        </w:rPr>
      </w:pPr>
      <w:r w:rsidRPr="007930B0">
        <w:rPr>
          <w:lang w:val="es-ES"/>
        </w:rPr>
        <w:t>247.</w:t>
      </w:r>
      <w:r w:rsidRPr="007930B0">
        <w:rPr>
          <w:lang w:val="es-ES"/>
        </w:rPr>
        <w:tab/>
        <w:t>La evaluación del plan rector de salud y asuntos sociales ha permitido detectar una serie de logros y deficiencias, y proponer recomendaciones con el fin de mejorar la acción del sector. En particular:</w:t>
      </w:r>
    </w:p>
    <w:p w:rsidR="001E7BB4" w:rsidRPr="007930B0" w:rsidRDefault="001E7BB4" w:rsidP="008D14BD">
      <w:pPr>
        <w:pStyle w:val="Bullet1G"/>
        <w:rPr>
          <w:lang w:val="es-ES"/>
        </w:rPr>
      </w:pPr>
      <w:r w:rsidRPr="007930B0">
        <w:rPr>
          <w:b/>
          <w:lang w:val="es-ES"/>
        </w:rPr>
        <w:t>La</w:t>
      </w:r>
      <w:r w:rsidRPr="007930B0">
        <w:rPr>
          <w:lang w:val="es-ES"/>
        </w:rPr>
        <w:t xml:space="preserve"> </w:t>
      </w:r>
      <w:r w:rsidRPr="007930B0">
        <w:rPr>
          <w:b/>
          <w:lang w:val="es-ES"/>
        </w:rPr>
        <w:t>ampliación de la cobertura sanitaria y el aumento de la calidad y la utilización de los servicios</w:t>
      </w:r>
      <w:r w:rsidRPr="007930B0">
        <w:rPr>
          <w:lang w:val="es-ES"/>
        </w:rPr>
        <w:t xml:space="preserve"> de salud han favorecido principalmente: a) la puesta en marcha del programa de construcción de infraestructura; b) el fortalecimiento de las instituciones de capacitación (Instituto Nacional de Especialidades Médicas, Escuela Nacional de Salud Pública); c) la redistribución del personal hacia las zonas periféricas; d) la creación de un centro de compra de medicamentos y otros suministros; y e) la elaboración de un conjunto </w:t>
      </w:r>
      <w:r w:rsidR="008D14BD" w:rsidRPr="007930B0">
        <w:rPr>
          <w:lang w:val="es-ES"/>
        </w:rPr>
        <w:t>mínimo de actividades por nivel.</w:t>
      </w:r>
    </w:p>
    <w:p w:rsidR="001E7BB4" w:rsidRPr="007930B0" w:rsidRDefault="001E7BB4" w:rsidP="008D14BD">
      <w:pPr>
        <w:pStyle w:val="Bullet1G"/>
        <w:rPr>
          <w:lang w:val="es-ES"/>
        </w:rPr>
      </w:pPr>
      <w:r w:rsidRPr="007930B0">
        <w:rPr>
          <w:lang w:val="es-ES"/>
        </w:rPr>
        <w:t xml:space="preserve">Con respecto a la segunda prioridad, </w:t>
      </w:r>
      <w:r w:rsidR="00CC3B6E" w:rsidRPr="007930B0">
        <w:rPr>
          <w:lang w:val="es-ES"/>
        </w:rPr>
        <w:t>"</w:t>
      </w:r>
      <w:r w:rsidRPr="007930B0">
        <w:rPr>
          <w:lang w:val="es-ES"/>
        </w:rPr>
        <w:t>mejorar el desempeño del sistema de salud</w:t>
      </w:r>
      <w:r w:rsidR="00CC3B6E" w:rsidRPr="007930B0">
        <w:rPr>
          <w:lang w:val="es-ES"/>
        </w:rPr>
        <w:t>"</w:t>
      </w:r>
      <w:r w:rsidRPr="007930B0">
        <w:rPr>
          <w:lang w:val="es-ES"/>
        </w:rPr>
        <w:t>, cabe destacar: a) la introducción del POAS (Plan operacional anual del sector de la salud) como herramienta de planificación; b) la adopción parcial del enfoque sectorial; y c) el mejoramiento del Sistema Nacional de Información Sanitaria. Sin embargo, la falta de seguimiento y el bajo grado de desconcentración han constituido verdaderos obstác</w:t>
      </w:r>
      <w:r w:rsidR="008D14BD" w:rsidRPr="007930B0">
        <w:rPr>
          <w:lang w:val="es-ES"/>
        </w:rPr>
        <w:t>ulos para mejorar ese desempeño.</w:t>
      </w:r>
    </w:p>
    <w:p w:rsidR="001E7BB4" w:rsidRPr="007930B0" w:rsidRDefault="001E7BB4" w:rsidP="008D14BD">
      <w:pPr>
        <w:pStyle w:val="Bullet1G"/>
        <w:rPr>
          <w:lang w:val="es-ES"/>
        </w:rPr>
      </w:pPr>
      <w:r w:rsidRPr="007930B0">
        <w:rPr>
          <w:lang w:val="es-ES"/>
        </w:rPr>
        <w:t xml:space="preserve">En cuanto a la </w:t>
      </w:r>
      <w:r w:rsidR="00CC3B6E" w:rsidRPr="007930B0">
        <w:rPr>
          <w:lang w:val="es-ES"/>
        </w:rPr>
        <w:t>"</w:t>
      </w:r>
      <w:r w:rsidRPr="007930B0">
        <w:rPr>
          <w:lang w:val="es-ES"/>
        </w:rPr>
        <w:t xml:space="preserve">reducción de la morbilidad y la mortalidad vinculadas a las principales </w:t>
      </w:r>
      <w:r w:rsidRPr="007930B0">
        <w:rPr>
          <w:b/>
          <w:lang w:val="es-ES"/>
        </w:rPr>
        <w:t>enfermedades</w:t>
      </w:r>
      <w:r w:rsidR="00CC3B6E" w:rsidRPr="007930B0">
        <w:rPr>
          <w:lang w:val="es-ES"/>
        </w:rPr>
        <w:t>"</w:t>
      </w:r>
      <w:r w:rsidRPr="007930B0">
        <w:rPr>
          <w:lang w:val="es-ES"/>
        </w:rPr>
        <w:t>, el Programa de desarrollo de la salud y asuntos sociales (PDSAS) ha permitido: a) disponer de planes estratégicos nacionales para enfrentar los graves problemas de salud; b) movilizar más recursos humanos y materiales en favor de estos programas. Sin embargo, esta tercera prioridad se ha visto limitada por la falta de jerarquización de estos objetivos y el escaso segui</w:t>
      </w:r>
      <w:r w:rsidR="008D14BD" w:rsidRPr="007930B0">
        <w:rPr>
          <w:lang w:val="es-ES"/>
        </w:rPr>
        <w:t>miento de las medidas adoptadas.</w:t>
      </w:r>
    </w:p>
    <w:p w:rsidR="001E7BB4" w:rsidRPr="007930B0" w:rsidRDefault="001E7BB4" w:rsidP="008D14BD">
      <w:pPr>
        <w:pStyle w:val="Bullet1G"/>
        <w:rPr>
          <w:lang w:val="es-ES"/>
        </w:rPr>
      </w:pPr>
      <w:r w:rsidRPr="007930B0">
        <w:rPr>
          <w:lang w:val="es-ES"/>
        </w:rPr>
        <w:t xml:space="preserve">Los resultados obtenidos en relación con el </w:t>
      </w:r>
      <w:r w:rsidR="00CC3B6E" w:rsidRPr="007930B0">
        <w:rPr>
          <w:lang w:val="es-ES"/>
        </w:rPr>
        <w:t>"</w:t>
      </w:r>
      <w:r w:rsidRPr="007930B0">
        <w:rPr>
          <w:b/>
          <w:lang w:val="es-ES"/>
        </w:rPr>
        <w:t>fortalecimiento de la acción social</w:t>
      </w:r>
      <w:r w:rsidR="00CC3B6E" w:rsidRPr="007930B0">
        <w:rPr>
          <w:lang w:val="es-ES"/>
        </w:rPr>
        <w:t>"</w:t>
      </w:r>
      <w:r w:rsidRPr="007930B0">
        <w:rPr>
          <w:lang w:val="es-ES"/>
        </w:rPr>
        <w:t xml:space="preserve"> son pobres. Solamente en lo que respecta a la financiación de los indigentes se han logrado avances significativos. Estos resultados insatisfactorios podrían deberse a la problemática general del lugar que ocupa la acción social en el sector, y a la superposición de atribuciones con las de otras instituciones cuyas competencias están más claramente definidas y que cue</w:t>
      </w:r>
      <w:r w:rsidR="008D14BD" w:rsidRPr="007930B0">
        <w:rPr>
          <w:lang w:val="es-ES"/>
        </w:rPr>
        <w:t>ntan con una mejor financiación.</w:t>
      </w:r>
    </w:p>
    <w:p w:rsidR="001E7BB4" w:rsidRPr="007930B0" w:rsidRDefault="001E7BB4" w:rsidP="008D14BD">
      <w:pPr>
        <w:pStyle w:val="Bullet1G"/>
        <w:rPr>
          <w:lang w:val="es-ES"/>
        </w:rPr>
      </w:pPr>
      <w:r w:rsidRPr="007930B0">
        <w:rPr>
          <w:lang w:val="es-ES"/>
        </w:rPr>
        <w:t xml:space="preserve">La movilización de importantes recursos adicionales y la desconcentración de la gestión no han ido acompañadas de un mejoramiento de la eficacia y la equidad. Es necesario prestar especial atención a estos aspectos para lograr </w:t>
      </w:r>
      <w:r w:rsidR="00CC3B6E" w:rsidRPr="007930B0">
        <w:rPr>
          <w:lang w:val="es-ES"/>
        </w:rPr>
        <w:t>"</w:t>
      </w:r>
      <w:r w:rsidRPr="007930B0">
        <w:rPr>
          <w:b/>
          <w:lang w:val="es-ES"/>
        </w:rPr>
        <w:t xml:space="preserve">una financiación adecuada </w:t>
      </w:r>
      <w:r w:rsidR="008D14BD" w:rsidRPr="007930B0">
        <w:rPr>
          <w:b/>
          <w:lang w:val="es-ES"/>
        </w:rPr>
        <w:t>del sistema sanitario y social</w:t>
      </w:r>
      <w:r w:rsidR="00CC3B6E" w:rsidRPr="007930B0">
        <w:rPr>
          <w:lang w:val="es-ES"/>
        </w:rPr>
        <w:t>"</w:t>
      </w:r>
      <w:r w:rsidR="008D14BD" w:rsidRPr="007930B0">
        <w:rPr>
          <w:lang w:val="es-ES"/>
        </w:rPr>
        <w:t>.</w:t>
      </w:r>
    </w:p>
    <w:p w:rsidR="001E7BB4" w:rsidRPr="007930B0" w:rsidRDefault="001E7BB4" w:rsidP="008D14BD">
      <w:pPr>
        <w:pStyle w:val="Bullet1G"/>
        <w:rPr>
          <w:lang w:val="es-ES"/>
        </w:rPr>
      </w:pPr>
      <w:r w:rsidRPr="007930B0">
        <w:rPr>
          <w:lang w:val="es-ES"/>
        </w:rPr>
        <w:t xml:space="preserve">Los magros resultados alcanzados en relación con la sexta prioridad, </w:t>
      </w:r>
      <w:r w:rsidR="00CC3B6E" w:rsidRPr="007930B0">
        <w:rPr>
          <w:lang w:val="es-ES"/>
        </w:rPr>
        <w:t>"</w:t>
      </w:r>
      <w:r w:rsidRPr="007930B0">
        <w:rPr>
          <w:b/>
          <w:lang w:val="es-ES"/>
        </w:rPr>
        <w:t>creación de un entorno favorable para la salud</w:t>
      </w:r>
      <w:r w:rsidR="00CC3B6E" w:rsidRPr="007930B0">
        <w:rPr>
          <w:lang w:val="es-ES"/>
        </w:rPr>
        <w:t>"</w:t>
      </w:r>
      <w:r w:rsidRPr="007930B0">
        <w:rPr>
          <w:lang w:val="es-ES"/>
        </w:rPr>
        <w:t>, se explican por la multitud de acciones programadas, que rebasaron ampliamente el ámbito de competencia del Ministerio de Salud. Entre las numerosas instituciones participantes involucradas, el Ministerio de Salud no ha definido aún con claridad sus atribuciones y responsabilidades.</w:t>
      </w:r>
    </w:p>
    <w:p w:rsidR="001E7BB4" w:rsidRPr="007930B0" w:rsidRDefault="00231133" w:rsidP="00231133">
      <w:pPr>
        <w:pStyle w:val="H23G"/>
        <w:rPr>
          <w:lang w:val="es-ES"/>
        </w:rPr>
      </w:pPr>
      <w:r w:rsidRPr="007930B0">
        <w:rPr>
          <w:lang w:val="es-ES"/>
        </w:rPr>
        <w:tab/>
      </w:r>
      <w:r w:rsidRPr="007930B0">
        <w:rPr>
          <w:lang w:val="es-ES"/>
        </w:rPr>
        <w:tab/>
      </w:r>
      <w:r w:rsidR="001E7BB4" w:rsidRPr="007930B0">
        <w:rPr>
          <w:lang w:val="es-ES"/>
        </w:rPr>
        <w:t>Relación entre salud y pobreza</w:t>
      </w:r>
      <w:r w:rsidR="001E7BB4" w:rsidRPr="007930B0">
        <w:rPr>
          <w:rStyle w:val="FootnoteReference"/>
          <w:b w:val="0"/>
          <w:lang w:val="es-ES"/>
        </w:rPr>
        <w:footnoteReference w:id="5"/>
      </w:r>
    </w:p>
    <w:p w:rsidR="001E7BB4" w:rsidRPr="007930B0" w:rsidRDefault="001E7BB4" w:rsidP="00B56B34">
      <w:pPr>
        <w:pStyle w:val="SingleTxtG"/>
        <w:rPr>
          <w:lang w:val="es-ES"/>
        </w:rPr>
      </w:pPr>
      <w:r w:rsidRPr="007930B0">
        <w:rPr>
          <w:lang w:val="es-ES"/>
        </w:rPr>
        <w:t>248.</w:t>
      </w:r>
      <w:r w:rsidRPr="007930B0">
        <w:rPr>
          <w:lang w:val="es-ES"/>
        </w:rPr>
        <w:tab/>
        <w:t>El mejoramiento de la situación sanitaria nacional no permite ver las disparidades entre los grupos socioeconómicos; en efecto, los indicadores de salud siguen siendo particularmente inquietantes en el medio rural, en los grupos más pobres y en los de bajo nivel de educación. El análisis de los indicadores de salud por grupos socioeconómicos permite aparentemente distinguir tres grupos:</w:t>
      </w:r>
    </w:p>
    <w:p w:rsidR="001E7BB4" w:rsidRPr="007930B0" w:rsidRDefault="001E7BB4" w:rsidP="00231133">
      <w:pPr>
        <w:pStyle w:val="Bullet1G"/>
        <w:rPr>
          <w:lang w:val="es-ES"/>
        </w:rPr>
      </w:pPr>
      <w:r w:rsidRPr="007930B0">
        <w:rPr>
          <w:lang w:val="es-ES"/>
        </w:rPr>
        <w:t>En el quintil del 20% más rico, los indicadores de salud tienen signo positivo y la dinámica para el logro de los Objetivos del Milenio parece estar bien encaminada;</w:t>
      </w:r>
    </w:p>
    <w:p w:rsidR="001E7BB4" w:rsidRPr="007930B0" w:rsidRDefault="001E7BB4" w:rsidP="00231133">
      <w:pPr>
        <w:pStyle w:val="Bullet1G"/>
        <w:rPr>
          <w:lang w:val="es-ES"/>
        </w:rPr>
      </w:pPr>
      <w:r w:rsidRPr="007930B0">
        <w:rPr>
          <w:lang w:val="es-ES"/>
        </w:rPr>
        <w:t>En el grupo del 40% de medianos ingresos, los indicadores siguen siendo mediocres, pero claramente mejores que los del grupo más pobre; se observa también en este grupo una dinámica positiva, pero que debería reforzarse;</w:t>
      </w:r>
    </w:p>
    <w:p w:rsidR="001E7BB4" w:rsidRPr="007930B0" w:rsidRDefault="001E7BB4" w:rsidP="00231133">
      <w:pPr>
        <w:pStyle w:val="Bullet1G"/>
        <w:rPr>
          <w:lang w:val="es-ES"/>
        </w:rPr>
      </w:pPr>
      <w:r w:rsidRPr="007930B0">
        <w:rPr>
          <w:lang w:val="es-ES"/>
        </w:rPr>
        <w:t>Por último, en la franja del 40% más pobre, los indicadores están en un nivel extremadamente bajo. La problemática que plantea este grupo es su inclusión en la dinámica de los dos primeros grupos, para lo cual se requerirá, indudablemente, la adopción de medidas más concretas y con objetivos más claros.</w:t>
      </w:r>
    </w:p>
    <w:p w:rsidR="001E7BB4" w:rsidRPr="007930B0" w:rsidRDefault="001E7BB4" w:rsidP="00CC3B6E">
      <w:pPr>
        <w:pStyle w:val="SingleTxtG"/>
        <w:rPr>
          <w:lang w:val="es-ES"/>
        </w:rPr>
      </w:pPr>
      <w:r w:rsidRPr="007930B0">
        <w:rPr>
          <w:lang w:val="es-ES"/>
        </w:rPr>
        <w:t>249.</w:t>
      </w:r>
      <w:r w:rsidRPr="007930B0">
        <w:rPr>
          <w:lang w:val="es-ES"/>
        </w:rPr>
        <w:tab/>
        <w:t>También existen diferencias regionales: algunas regiones, como la de Fleuve (Trarza, Brakna, Gorgol y Guidimakha) y la región sureste (los dos Hodhs y el Assaba), enfrentan especiales desafíos, ya</w:t>
      </w:r>
      <w:r w:rsidR="00CC3B6E" w:rsidRPr="007930B0">
        <w:rPr>
          <w:lang w:val="es-ES"/>
        </w:rPr>
        <w:t xml:space="preserve"> que los indicadores de salud —</w:t>
      </w:r>
      <w:r w:rsidRPr="007930B0">
        <w:rPr>
          <w:lang w:val="es-ES"/>
        </w:rPr>
        <w:t>mortal</w:t>
      </w:r>
      <w:r w:rsidR="00CC3B6E" w:rsidRPr="007930B0">
        <w:rPr>
          <w:lang w:val="es-ES"/>
        </w:rPr>
        <w:t>idad, malnutrición y fecundidad—</w:t>
      </w:r>
      <w:r w:rsidRPr="007930B0">
        <w:rPr>
          <w:lang w:val="es-ES"/>
        </w:rPr>
        <w:t xml:space="preserve"> son allí muy inferiores al promedio nacional. Las diferencias en términos de ingresos de los hogares y de educación de las madres explican en gran medida estas disparidades. No obstante, el acceso a los servicios, en particular a los servicios de atención y seguimiento de los niños y a los de asistencia durante el parto, desempeña también un papel importante.</w:t>
      </w:r>
    </w:p>
    <w:p w:rsidR="001E7BB4" w:rsidRPr="007930B0" w:rsidRDefault="00231133" w:rsidP="00231133">
      <w:pPr>
        <w:pStyle w:val="H23G"/>
        <w:rPr>
          <w:lang w:val="es-ES"/>
        </w:rPr>
      </w:pPr>
      <w:r w:rsidRPr="007930B0">
        <w:rPr>
          <w:lang w:val="es-ES"/>
        </w:rPr>
        <w:tab/>
      </w:r>
      <w:r w:rsidRPr="007930B0">
        <w:rPr>
          <w:lang w:val="es-ES"/>
        </w:rPr>
        <w:tab/>
      </w:r>
      <w:r w:rsidR="001E7BB4" w:rsidRPr="007930B0">
        <w:rPr>
          <w:lang w:val="es-ES"/>
        </w:rPr>
        <w:t>Situación sanitaria y social</w:t>
      </w:r>
    </w:p>
    <w:p w:rsidR="001E7BB4" w:rsidRPr="007930B0" w:rsidRDefault="001E7BB4" w:rsidP="00B56B34">
      <w:pPr>
        <w:pStyle w:val="SingleTxtG"/>
        <w:rPr>
          <w:lang w:val="es-ES"/>
        </w:rPr>
      </w:pPr>
      <w:r w:rsidRPr="007930B0">
        <w:rPr>
          <w:lang w:val="es-ES"/>
        </w:rPr>
        <w:t>250.</w:t>
      </w:r>
      <w:r w:rsidRPr="007930B0">
        <w:rPr>
          <w:lang w:val="es-ES"/>
        </w:rPr>
        <w:tab/>
        <w:t>El departamento de salud y asuntos sociales efectuó un análisis de la situación del sector, que reveló la existencia de algunos problemas considerados prioritarios, a saber:</w:t>
      </w:r>
    </w:p>
    <w:p w:rsidR="001E7BB4" w:rsidRPr="007930B0" w:rsidRDefault="001E7BB4" w:rsidP="00231133">
      <w:pPr>
        <w:pStyle w:val="Bullet1G"/>
        <w:rPr>
          <w:lang w:val="es-ES"/>
        </w:rPr>
      </w:pPr>
      <w:r w:rsidRPr="007930B0">
        <w:rPr>
          <w:lang w:val="es-ES"/>
        </w:rPr>
        <w:t>Problemas sociosanitarios en la población mauritana;</w:t>
      </w:r>
    </w:p>
    <w:p w:rsidR="001E7BB4" w:rsidRPr="007930B0" w:rsidRDefault="001E7BB4" w:rsidP="00231133">
      <w:pPr>
        <w:pStyle w:val="Bullet1G"/>
        <w:rPr>
          <w:lang w:val="es-ES"/>
        </w:rPr>
      </w:pPr>
      <w:r w:rsidRPr="007930B0">
        <w:rPr>
          <w:lang w:val="es-ES"/>
        </w:rPr>
        <w:t>Insuficiencia de la respuesta dada por el sector hasta el presente;</w:t>
      </w:r>
    </w:p>
    <w:p w:rsidR="001E7BB4" w:rsidRPr="007930B0" w:rsidRDefault="001E7BB4" w:rsidP="00231133">
      <w:pPr>
        <w:pStyle w:val="Bullet1G"/>
        <w:rPr>
          <w:lang w:val="es-ES"/>
        </w:rPr>
      </w:pPr>
      <w:r w:rsidRPr="007930B0">
        <w:rPr>
          <w:lang w:val="es-ES"/>
        </w:rPr>
        <w:t>Aspectos vinculados al entorno en el cual evoluciona el sector.</w:t>
      </w:r>
    </w:p>
    <w:p w:rsidR="001E7BB4" w:rsidRPr="007930B0" w:rsidRDefault="00231133" w:rsidP="00231133">
      <w:pPr>
        <w:pStyle w:val="H56G"/>
        <w:rPr>
          <w:lang w:val="es-ES"/>
        </w:rPr>
      </w:pPr>
      <w:r w:rsidRPr="007930B0">
        <w:rPr>
          <w:lang w:val="es-ES"/>
        </w:rPr>
        <w:tab/>
      </w:r>
      <w:r w:rsidRPr="007930B0">
        <w:rPr>
          <w:lang w:val="es-ES"/>
        </w:rPr>
        <w:tab/>
      </w:r>
      <w:r w:rsidR="001E7BB4" w:rsidRPr="007930B0">
        <w:rPr>
          <w:lang w:val="es-ES"/>
        </w:rPr>
        <w:t>Problemas sociosanitarios prioritarios</w:t>
      </w:r>
    </w:p>
    <w:p w:rsidR="001E7BB4" w:rsidRPr="007930B0" w:rsidRDefault="001E7BB4" w:rsidP="00B56B34">
      <w:pPr>
        <w:pStyle w:val="SingleTxtG"/>
        <w:rPr>
          <w:lang w:val="es-ES"/>
        </w:rPr>
      </w:pPr>
      <w:r w:rsidRPr="007930B0">
        <w:rPr>
          <w:lang w:val="es-ES"/>
        </w:rPr>
        <w:t>251.</w:t>
      </w:r>
      <w:r w:rsidRPr="007930B0">
        <w:rPr>
          <w:lang w:val="es-ES"/>
        </w:rPr>
        <w:tab/>
        <w:t>Las encuestas sociosanitarias nacionales</w:t>
      </w:r>
      <w:r w:rsidRPr="007930B0">
        <w:rPr>
          <w:rStyle w:val="FootnoteReference"/>
          <w:lang w:val="es-ES"/>
        </w:rPr>
        <w:footnoteReference w:id="6"/>
      </w:r>
      <w:r w:rsidRPr="007930B0">
        <w:rPr>
          <w:lang w:val="es-ES"/>
        </w:rPr>
        <w:t xml:space="preserve"> han permitido definir mejor el perfil sanitario y determinar cuáles son los principales problemas de salud. Cabe señalar que ese perfil se caracteriza principalmente por: </w:t>
      </w:r>
    </w:p>
    <w:p w:rsidR="001E7BB4" w:rsidRPr="007930B0" w:rsidRDefault="001E7BB4" w:rsidP="00231133">
      <w:pPr>
        <w:pStyle w:val="Bullet1G"/>
        <w:rPr>
          <w:lang w:val="es-ES"/>
        </w:rPr>
      </w:pPr>
      <w:r w:rsidRPr="007930B0">
        <w:rPr>
          <w:lang w:val="es-ES"/>
        </w:rPr>
        <w:t xml:space="preserve">Las </w:t>
      </w:r>
      <w:r w:rsidRPr="007930B0">
        <w:rPr>
          <w:b/>
          <w:lang w:val="es-ES"/>
        </w:rPr>
        <w:t>enfermedades infecciosas</w:t>
      </w:r>
      <w:r w:rsidRPr="007930B0">
        <w:rPr>
          <w:lang w:val="es-ES"/>
        </w:rPr>
        <w:t>, entre las que se destacan el paludismo, la tuberculosis, las enfermedades de transmisión sexual (EST) y el VIH/SIDA, las parasitosis intestinales y urinarias, las infecciones broncopulmonares, orofaríngeas y oculares y las dermatosis infecciosas; en los niños predominan ampliamente las enfermedades diarreicas, las infecciones agudas de las vías respiratorias y el paludismo;</w:t>
      </w:r>
    </w:p>
    <w:p w:rsidR="001E7BB4" w:rsidRPr="007930B0" w:rsidRDefault="001E7BB4" w:rsidP="00231133">
      <w:pPr>
        <w:pStyle w:val="Bullet1G"/>
        <w:rPr>
          <w:lang w:val="es-ES"/>
        </w:rPr>
      </w:pPr>
      <w:r w:rsidRPr="007930B0">
        <w:rPr>
          <w:lang w:val="es-ES"/>
        </w:rPr>
        <w:t xml:space="preserve">Los </w:t>
      </w:r>
      <w:r w:rsidRPr="007930B0">
        <w:rPr>
          <w:b/>
          <w:lang w:val="es-ES"/>
        </w:rPr>
        <w:t>desequilibrios nutricionales</w:t>
      </w:r>
      <w:r w:rsidRPr="007930B0">
        <w:rPr>
          <w:lang w:val="es-ES"/>
        </w:rPr>
        <w:t>, en particular en el binomio madre-hijo, con preponderancia de la desnutrición proteico-calórica, las carencias de micronutrientes (hierro, vitamina A, yodo, etc.) y el sobrepeso;</w:t>
      </w:r>
    </w:p>
    <w:p w:rsidR="001E7BB4" w:rsidRPr="007930B0" w:rsidRDefault="001E7BB4" w:rsidP="00231133">
      <w:pPr>
        <w:pStyle w:val="Bullet1G"/>
        <w:rPr>
          <w:lang w:val="es-ES"/>
        </w:rPr>
      </w:pPr>
      <w:r w:rsidRPr="007930B0">
        <w:rPr>
          <w:lang w:val="es-ES"/>
        </w:rPr>
        <w:t>Las patologías perinatales, con sus consecuencias para la salud de la madre y del niño;</w:t>
      </w:r>
    </w:p>
    <w:p w:rsidR="001E7BB4" w:rsidRPr="007930B0" w:rsidRDefault="001E7BB4" w:rsidP="00231133">
      <w:pPr>
        <w:pStyle w:val="Bullet1G"/>
        <w:rPr>
          <w:lang w:val="es-ES"/>
        </w:rPr>
      </w:pPr>
      <w:r w:rsidRPr="007930B0">
        <w:rPr>
          <w:lang w:val="es-ES"/>
        </w:rPr>
        <w:t xml:space="preserve">Las </w:t>
      </w:r>
      <w:r w:rsidRPr="007930B0">
        <w:rPr>
          <w:b/>
          <w:lang w:val="es-ES"/>
        </w:rPr>
        <w:t>nuevas enfermedades que están apareciendo</w:t>
      </w:r>
      <w:r w:rsidRPr="007930B0">
        <w:rPr>
          <w:lang w:val="es-ES"/>
        </w:rPr>
        <w:t>, relacionadas con factores ambientales y/o con cambios en el comportamiento de las personas y las comunidades; en este grupo predominan en particular: a) las enfermedades cardiovasculares; b) el cáncer; c) las enfermedades mentales; d) la diabetes; y e) los efectos del consumo de tabaco y sustancias psicoactivas en la salud, así como el recrudecimiento de las enfermedades broncopulmonares vinculadas a la contaminación atmosférica y las enfermedades profesionales.</w:t>
      </w:r>
    </w:p>
    <w:p w:rsidR="00231133" w:rsidRPr="007930B0" w:rsidRDefault="00231133" w:rsidP="00F4158E">
      <w:pPr>
        <w:pStyle w:val="H56G"/>
      </w:pPr>
      <w:r w:rsidRPr="007930B0">
        <w:tab/>
        <w:t>a)</w:t>
      </w:r>
      <w:r w:rsidRPr="007930B0">
        <w:tab/>
        <w:t>Mortalidad materna</w:t>
      </w:r>
    </w:p>
    <w:p w:rsidR="001E7BB4" w:rsidRPr="007930B0" w:rsidRDefault="001E7BB4" w:rsidP="00CC3B6E">
      <w:pPr>
        <w:pStyle w:val="SingleTxtG"/>
        <w:rPr>
          <w:lang w:val="es-ES"/>
        </w:rPr>
      </w:pPr>
      <w:r w:rsidRPr="007930B0">
        <w:rPr>
          <w:lang w:val="es-ES"/>
        </w:rPr>
        <w:t>252.</w:t>
      </w:r>
      <w:r w:rsidRPr="007930B0">
        <w:rPr>
          <w:lang w:val="es-ES"/>
        </w:rPr>
        <w:tab/>
        <w:t>La mortalidad materna se estima en 747 cada 100.000 nacidos vivos</w:t>
      </w:r>
      <w:r w:rsidRPr="007930B0">
        <w:rPr>
          <w:rStyle w:val="FootnoteReference"/>
          <w:lang w:val="es-ES"/>
        </w:rPr>
        <w:footnoteReference w:id="7"/>
      </w:r>
      <w:r w:rsidRPr="007930B0">
        <w:rPr>
          <w:lang w:val="es-ES"/>
        </w:rPr>
        <w:t>. Esta tasa preocupante se debe principalmente a la alta proporción de embarazos de riesgo (embarazos precoces y muy seguidos), a un grado insuficiente de detección y seguimiento de los embarazos y al bajo nivel de acceso a una atención obstétrica de urgencia de calidad, en particular a la cesárea. Las hemorragias del puerperio inmediato, la distocia, las complicaciones de la hipertensión arterial (en particular la</w:t>
      </w:r>
      <w:r w:rsidR="00CC3B6E" w:rsidRPr="007930B0">
        <w:rPr>
          <w:lang w:val="es-ES"/>
        </w:rPr>
        <w:t xml:space="preserve"> eclampsia) y la anemia son las </w:t>
      </w:r>
      <w:r w:rsidRPr="007930B0">
        <w:rPr>
          <w:lang w:val="es-ES"/>
        </w:rPr>
        <w:t xml:space="preserve">principales causas inmediatas de muerte perinatal. La distribución desigual del personal </w:t>
      </w:r>
      <w:r w:rsidR="00CC3B6E" w:rsidRPr="007930B0">
        <w:rPr>
          <w:lang w:val="es-ES"/>
        </w:rPr>
        <w:t>—en particular de las parteras—</w:t>
      </w:r>
      <w:r w:rsidRPr="007930B0">
        <w:rPr>
          <w:lang w:val="es-ES"/>
        </w:rPr>
        <w:t xml:space="preserve"> constituye uno de los principales obstáculos para el desarrollo de la atención obstétrica de urgencia en los niveles periférico y secundario de la pirámide sanitaria, situación que se agrava debido a factores socioculturales y a la escasez de bancos de sangre.</w:t>
      </w:r>
    </w:p>
    <w:p w:rsidR="001E7BB4" w:rsidRPr="007930B0" w:rsidRDefault="005425EA" w:rsidP="00F4158E">
      <w:pPr>
        <w:pStyle w:val="H56G"/>
      </w:pPr>
      <w:r w:rsidRPr="007930B0">
        <w:tab/>
        <w:t>b)</w:t>
      </w:r>
      <w:r w:rsidRPr="007930B0">
        <w:tab/>
        <w:t>Mortalidad de niños menores de 5 años</w:t>
      </w:r>
    </w:p>
    <w:p w:rsidR="001E7BB4" w:rsidRPr="007930B0" w:rsidRDefault="001E7BB4" w:rsidP="00B56B34">
      <w:pPr>
        <w:pStyle w:val="SingleTxtG"/>
        <w:rPr>
          <w:lang w:val="es-ES"/>
        </w:rPr>
      </w:pPr>
      <w:r w:rsidRPr="007930B0">
        <w:rPr>
          <w:lang w:val="es-ES"/>
        </w:rPr>
        <w:t>253.</w:t>
      </w:r>
      <w:r w:rsidRPr="007930B0">
        <w:rPr>
          <w:lang w:val="es-ES"/>
        </w:rPr>
        <w:tab/>
        <w:t>En lo que se refiere a la mortalidad de niños menores de 5 años, su indicador sigue siendo alto, con 116 muertes cada 1.000 niños menores de 5 años, de las cuales 74 ocurren durante el primer año de vida y 53 en el transcurso del primer mes</w:t>
      </w:r>
      <w:r w:rsidRPr="007930B0">
        <w:rPr>
          <w:rStyle w:val="FootnoteReference"/>
          <w:lang w:val="es-ES"/>
        </w:rPr>
        <w:footnoteReference w:id="8"/>
      </w:r>
      <w:r w:rsidRPr="007930B0">
        <w:rPr>
          <w:lang w:val="es-ES"/>
        </w:rPr>
        <w:t>. Las principales causas de mortalidad de niños menores de 5 años son las infecciones agudas de las vías respiratorias, las enfermedades diarreicas, el paludismo, la desnutrición y las epidemias de sarampión.</w:t>
      </w:r>
    </w:p>
    <w:p w:rsidR="001E7BB4" w:rsidRPr="007930B0" w:rsidRDefault="005425EA" w:rsidP="00F4158E">
      <w:pPr>
        <w:pStyle w:val="H56G"/>
      </w:pPr>
      <w:r w:rsidRPr="007930B0">
        <w:tab/>
        <w:t>c)</w:t>
      </w:r>
      <w:r w:rsidRPr="007930B0">
        <w:tab/>
        <w:t>Morbilidad de las principales enfermedades</w:t>
      </w:r>
    </w:p>
    <w:p w:rsidR="001E7BB4" w:rsidRPr="007930B0" w:rsidRDefault="001E7BB4" w:rsidP="00B56B34">
      <w:pPr>
        <w:pStyle w:val="SingleTxtG"/>
        <w:rPr>
          <w:lang w:val="es-ES"/>
        </w:rPr>
      </w:pPr>
      <w:r w:rsidRPr="007930B0">
        <w:rPr>
          <w:lang w:val="es-ES"/>
        </w:rPr>
        <w:t>254.</w:t>
      </w:r>
      <w:r w:rsidRPr="007930B0">
        <w:rPr>
          <w:lang w:val="es-ES"/>
        </w:rPr>
        <w:tab/>
        <w:t>Además del impacto de la mortalidad, hay que señalar las repercusiones económicas, sociales y culturales de una serie de enfermedades que dominan el perfil epidemiológico del país. Ellas son principalmente las enfermedades que se indican a continuación.</w:t>
      </w:r>
    </w:p>
    <w:p w:rsidR="001E7BB4" w:rsidRPr="007930B0" w:rsidRDefault="005425EA" w:rsidP="005425EA">
      <w:pPr>
        <w:pStyle w:val="H23G"/>
        <w:rPr>
          <w:lang w:val="es-ES"/>
        </w:rPr>
      </w:pPr>
      <w:r w:rsidRPr="007930B0">
        <w:rPr>
          <w:lang w:val="es-ES"/>
        </w:rPr>
        <w:tab/>
      </w:r>
      <w:r w:rsidRPr="007930B0">
        <w:rPr>
          <w:lang w:val="es-ES"/>
        </w:rPr>
        <w:tab/>
      </w:r>
      <w:r w:rsidR="001E7BB4" w:rsidRPr="007930B0">
        <w:rPr>
          <w:lang w:val="es-ES"/>
        </w:rPr>
        <w:t>Paludismo</w:t>
      </w:r>
    </w:p>
    <w:p w:rsidR="001E7BB4" w:rsidRPr="007930B0" w:rsidRDefault="001E7BB4" w:rsidP="00B56B34">
      <w:pPr>
        <w:pStyle w:val="SingleTxtG"/>
        <w:rPr>
          <w:lang w:val="es-ES"/>
        </w:rPr>
      </w:pPr>
      <w:r w:rsidRPr="007930B0">
        <w:rPr>
          <w:lang w:val="es-ES"/>
        </w:rPr>
        <w:t>255.</w:t>
      </w:r>
      <w:r w:rsidRPr="007930B0">
        <w:rPr>
          <w:lang w:val="es-ES"/>
        </w:rPr>
        <w:tab/>
        <w:t xml:space="preserve">El paludismo constituye un verdadero problema de salud, con más de 250.000 presuntos casos al año. Representa la primera causa de muerte en las siete </w:t>
      </w:r>
      <w:r w:rsidRPr="007930B0">
        <w:rPr>
          <w:i/>
          <w:iCs/>
          <w:lang w:val="es-ES"/>
        </w:rPr>
        <w:t>wilayas</w:t>
      </w:r>
      <w:r w:rsidRPr="007930B0">
        <w:rPr>
          <w:lang w:val="es-ES"/>
        </w:rPr>
        <w:t xml:space="preserve"> endémicas, en las que esta enfermedad es responsable del 60% de los casos de hospitalización</w:t>
      </w:r>
      <w:r w:rsidRPr="007930B0">
        <w:rPr>
          <w:rStyle w:val="FootnoteReference"/>
          <w:lang w:val="es-ES"/>
        </w:rPr>
        <w:footnoteReference w:id="9"/>
      </w:r>
      <w:r w:rsidRPr="007930B0">
        <w:rPr>
          <w:lang w:val="es-ES"/>
        </w:rPr>
        <w:t xml:space="preserve">. En efecto, el paludismo es endémico en el sur y el este del país, casi inexistente en el norte, con excepción de los casos importados, y variable entre las dos zonas. Los cambios climáticos y ambientales, por una parte, y la insuficiencia de las medidas de lucha específicas, por la otra, determinan que hoy en día más del 80% de la población esté expuesta al paludismo, con riesgos de epidemia en las zonas de transmisión variable. El </w:t>
      </w:r>
      <w:r w:rsidRPr="007930B0">
        <w:rPr>
          <w:i/>
          <w:lang w:val="es-ES"/>
        </w:rPr>
        <w:t>plasmodium falciparum</w:t>
      </w:r>
      <w:r w:rsidRPr="007930B0">
        <w:rPr>
          <w:lang w:val="es-ES"/>
        </w:rPr>
        <w:t xml:space="preserve"> se encuentra en el 90% de los casos y, entre los anofeles, la especie predominante es el </w:t>
      </w:r>
      <w:r w:rsidRPr="007930B0">
        <w:rPr>
          <w:i/>
          <w:lang w:val="es-ES"/>
        </w:rPr>
        <w:t>Anopheles Gambiae</w:t>
      </w:r>
      <w:r w:rsidRPr="007930B0">
        <w:rPr>
          <w:lang w:val="es-ES"/>
        </w:rPr>
        <w:t>.</w:t>
      </w:r>
    </w:p>
    <w:p w:rsidR="001E7BB4" w:rsidRPr="007930B0" w:rsidRDefault="005425EA" w:rsidP="005425EA">
      <w:pPr>
        <w:pStyle w:val="H23G"/>
        <w:rPr>
          <w:lang w:val="es-ES"/>
        </w:rPr>
      </w:pPr>
      <w:r w:rsidRPr="007930B0">
        <w:rPr>
          <w:lang w:val="es-ES"/>
        </w:rPr>
        <w:tab/>
      </w:r>
      <w:r w:rsidRPr="007930B0">
        <w:rPr>
          <w:lang w:val="es-ES"/>
        </w:rPr>
        <w:tab/>
      </w:r>
      <w:r w:rsidR="001E7BB4" w:rsidRPr="007930B0">
        <w:rPr>
          <w:lang w:val="es-ES"/>
        </w:rPr>
        <w:t>Tuberculosis</w:t>
      </w:r>
    </w:p>
    <w:p w:rsidR="001E7BB4" w:rsidRPr="007930B0" w:rsidRDefault="001E7BB4" w:rsidP="00B56B34">
      <w:pPr>
        <w:pStyle w:val="SingleTxtG"/>
        <w:rPr>
          <w:lang w:val="es-ES"/>
        </w:rPr>
      </w:pPr>
      <w:r w:rsidRPr="007930B0">
        <w:rPr>
          <w:lang w:val="es-ES"/>
        </w:rPr>
        <w:t>256.</w:t>
      </w:r>
      <w:r w:rsidRPr="007930B0">
        <w:rPr>
          <w:lang w:val="es-ES"/>
        </w:rPr>
        <w:tab/>
        <w:t>La tuberculosis sigue siendo uno de los problemas de salud prioritarios en Mauritania. Se ha observado una mayor incidencia en las personas que presentan condiciones propicias para su desarrollo, como las infectadas por el VIH/SIDA. Su prevalencia se estima en más de 130 casos cada 100.000 habitantes, su detección es baja (&lt;58%) y la proporción de fracasos terapéuticos y de enfermos que no se someten a tratamiento es muy alta (&gt;38%).</w:t>
      </w:r>
    </w:p>
    <w:p w:rsidR="001E7BB4" w:rsidRPr="007930B0" w:rsidRDefault="005425EA" w:rsidP="005425EA">
      <w:pPr>
        <w:pStyle w:val="H23G"/>
        <w:rPr>
          <w:lang w:val="es-ES"/>
        </w:rPr>
      </w:pPr>
      <w:r w:rsidRPr="007930B0">
        <w:rPr>
          <w:lang w:val="es-ES"/>
        </w:rPr>
        <w:tab/>
      </w:r>
      <w:r w:rsidRPr="007930B0">
        <w:rPr>
          <w:lang w:val="es-ES"/>
        </w:rPr>
        <w:tab/>
      </w:r>
      <w:r w:rsidR="001E7BB4" w:rsidRPr="007930B0">
        <w:rPr>
          <w:lang w:val="es-ES"/>
        </w:rPr>
        <w:t>Hepatitis</w:t>
      </w:r>
    </w:p>
    <w:p w:rsidR="001E7BB4" w:rsidRPr="007930B0" w:rsidRDefault="001E7BB4" w:rsidP="00B56B34">
      <w:pPr>
        <w:pStyle w:val="SingleTxtG"/>
        <w:rPr>
          <w:lang w:val="es-ES"/>
        </w:rPr>
      </w:pPr>
      <w:r w:rsidRPr="007930B0">
        <w:rPr>
          <w:lang w:val="es-ES"/>
        </w:rPr>
        <w:t>257.</w:t>
      </w:r>
      <w:r w:rsidRPr="007930B0">
        <w:rPr>
          <w:lang w:val="es-ES"/>
        </w:rPr>
        <w:tab/>
        <w:t>La hepatitis en general, y la hepatitis viral en particular, constituye una preocupación nacional. En efecto, según estudios realizados con respecto a distintos grupos, se estima que la prevalencia de la hepatitis B</w:t>
      </w:r>
      <w:r w:rsidRPr="007930B0">
        <w:rPr>
          <w:rStyle w:val="FootnoteReference"/>
          <w:lang w:val="es-ES"/>
        </w:rPr>
        <w:footnoteReference w:id="10"/>
      </w:r>
      <w:r w:rsidRPr="007930B0">
        <w:rPr>
          <w:lang w:val="es-ES"/>
        </w:rPr>
        <w:t xml:space="preserve"> oscila entre 10% y 24%; la cirrosis hepática es una causa importante de hospitalización y de muerte en los servicios hospitalarios nacionales y regionales. Por otra parte, la vacuna contra la hepatitis no está incluida en el grupo de antígenos comprendidos en el programa ampliado de vacunación.</w:t>
      </w:r>
    </w:p>
    <w:p w:rsidR="001E7BB4" w:rsidRPr="007930B0" w:rsidRDefault="005425EA" w:rsidP="005425EA">
      <w:pPr>
        <w:pStyle w:val="H23G"/>
        <w:rPr>
          <w:lang w:val="es-ES"/>
        </w:rPr>
      </w:pPr>
      <w:r w:rsidRPr="007930B0">
        <w:rPr>
          <w:lang w:val="es-ES"/>
        </w:rPr>
        <w:tab/>
      </w:r>
      <w:r w:rsidRPr="007930B0">
        <w:rPr>
          <w:lang w:val="es-ES"/>
        </w:rPr>
        <w:tab/>
      </w:r>
      <w:r w:rsidR="001E7BB4" w:rsidRPr="007930B0">
        <w:rPr>
          <w:lang w:val="es-ES"/>
        </w:rPr>
        <w:t>VIH/SIDA</w:t>
      </w:r>
    </w:p>
    <w:p w:rsidR="001E7BB4" w:rsidRPr="007930B0" w:rsidRDefault="001E7BB4" w:rsidP="00B56B34">
      <w:pPr>
        <w:pStyle w:val="SingleTxtG"/>
        <w:rPr>
          <w:lang w:val="es-ES"/>
        </w:rPr>
      </w:pPr>
      <w:r w:rsidRPr="007930B0">
        <w:rPr>
          <w:lang w:val="es-ES"/>
        </w:rPr>
        <w:t>258.</w:t>
      </w:r>
      <w:r w:rsidRPr="007930B0">
        <w:rPr>
          <w:lang w:val="es-ES"/>
        </w:rPr>
        <w:tab/>
        <w:t>Una encuesta sobre seroprevalencia realizada en 2001 reveló una tasa media de prevalencia de 0,57%</w:t>
      </w:r>
      <w:r w:rsidRPr="007930B0">
        <w:rPr>
          <w:rStyle w:val="FootnoteReference"/>
          <w:lang w:val="es-ES"/>
        </w:rPr>
        <w:footnoteReference w:id="11"/>
      </w:r>
      <w:r w:rsidRPr="007930B0">
        <w:rPr>
          <w:lang w:val="es-ES"/>
        </w:rPr>
        <w:t xml:space="preserve"> en las mujeres embarazadas; y la serovigilancia del VIH en los tuberculosos en Nuakchot mostró un aumento de la prevalencia, que pasó de 0,53% en 1986 a 5,2% en 2003.</w:t>
      </w:r>
    </w:p>
    <w:p w:rsidR="001E7BB4" w:rsidRPr="007930B0" w:rsidRDefault="005425EA" w:rsidP="005425EA">
      <w:pPr>
        <w:pStyle w:val="H23G"/>
        <w:rPr>
          <w:lang w:val="es-ES"/>
        </w:rPr>
      </w:pPr>
      <w:r w:rsidRPr="007930B0">
        <w:rPr>
          <w:lang w:val="es-ES"/>
        </w:rPr>
        <w:tab/>
      </w:r>
      <w:r w:rsidRPr="007930B0">
        <w:rPr>
          <w:lang w:val="es-ES"/>
        </w:rPr>
        <w:tab/>
        <w:t>M</w:t>
      </w:r>
      <w:r w:rsidR="001E7BB4" w:rsidRPr="007930B0">
        <w:rPr>
          <w:lang w:val="es-ES"/>
        </w:rPr>
        <w:t>alnutrición</w:t>
      </w:r>
    </w:p>
    <w:p w:rsidR="001E7BB4" w:rsidRPr="007930B0" w:rsidRDefault="001E7BB4" w:rsidP="00B56B34">
      <w:pPr>
        <w:pStyle w:val="SingleTxtG"/>
        <w:rPr>
          <w:lang w:val="es-ES"/>
        </w:rPr>
      </w:pPr>
      <w:r w:rsidRPr="007930B0">
        <w:rPr>
          <w:lang w:val="es-ES"/>
        </w:rPr>
        <w:t>259.</w:t>
      </w:r>
      <w:r w:rsidRPr="007930B0">
        <w:rPr>
          <w:lang w:val="es-ES"/>
        </w:rPr>
        <w:tab/>
        <w:t>Mauritania se caracteriza por una situación nutricional preocupante, agravada por un medio ambiente hostil que genera un aumento de la prevalencia de trastornos nutricionales que favorecen la aparición de enfermedades infecciosas y parasitarias, particularmente en los niños menores de 5 años. En efecto, el 38% de los niños menores de 5 años sufren de desnutrición global</w:t>
      </w:r>
      <w:r w:rsidRPr="007930B0">
        <w:rPr>
          <w:rStyle w:val="FootnoteReference"/>
          <w:lang w:val="es-ES"/>
        </w:rPr>
        <w:footnoteReference w:id="12"/>
      </w:r>
      <w:r w:rsidRPr="007930B0">
        <w:rPr>
          <w:lang w:val="es-ES"/>
        </w:rPr>
        <w:t>, entre el 40% y el 67% de las mujeres embarazadas padecen anemia</w:t>
      </w:r>
      <w:r w:rsidRPr="007930B0">
        <w:rPr>
          <w:rStyle w:val="FootnoteReference"/>
          <w:lang w:val="es-ES"/>
        </w:rPr>
        <w:footnoteReference w:id="13"/>
      </w:r>
      <w:r w:rsidRPr="007930B0">
        <w:rPr>
          <w:lang w:val="es-ES"/>
        </w:rPr>
        <w:t>, y el 30,9% de la población tiene problemas causados por la carencia de yodo. Menos del 9% de las mujeres practican la lactancia exclusiva hasta los seis meses15 y se estima que la proporción de niños con peso bajo al nacer es de entre 5% y 12%.</w:t>
      </w:r>
    </w:p>
    <w:p w:rsidR="001E7BB4" w:rsidRPr="007930B0" w:rsidRDefault="005425EA" w:rsidP="005425EA">
      <w:pPr>
        <w:pStyle w:val="H23G"/>
        <w:rPr>
          <w:lang w:val="es-ES"/>
        </w:rPr>
      </w:pPr>
      <w:r w:rsidRPr="007930B0">
        <w:rPr>
          <w:lang w:val="es-ES"/>
        </w:rPr>
        <w:tab/>
      </w:r>
      <w:r w:rsidRPr="007930B0">
        <w:rPr>
          <w:lang w:val="es-ES"/>
        </w:rPr>
        <w:tab/>
      </w:r>
      <w:r w:rsidR="001E7BB4" w:rsidRPr="007930B0">
        <w:rPr>
          <w:lang w:val="es-ES"/>
        </w:rPr>
        <w:t>Enfermedades prevenibles mediante vacunación</w:t>
      </w:r>
    </w:p>
    <w:p w:rsidR="001E7BB4" w:rsidRPr="007930B0" w:rsidRDefault="001E7BB4" w:rsidP="00B56B34">
      <w:pPr>
        <w:pStyle w:val="SingleTxtG"/>
        <w:rPr>
          <w:lang w:val="es-ES"/>
        </w:rPr>
      </w:pPr>
      <w:r w:rsidRPr="007930B0">
        <w:rPr>
          <w:lang w:val="es-ES"/>
        </w:rPr>
        <w:t>260.</w:t>
      </w:r>
      <w:r w:rsidRPr="007930B0">
        <w:rPr>
          <w:lang w:val="es-ES"/>
        </w:rPr>
        <w:tab/>
        <w:t>La mejoría observada en lo que respecta a las enfermedades prevenibles mediante vacunación es aún muy irregular ya que depende directamente de la cobertura de la vacunación. Estas enfermedades pueden resurgir si se descuidan los esfuerzos en materia de vacunación. El perfil del sarampión cambió con la aparición de esta enfermedad en personas de más de 10 años de edad (entre 10 y 15 años).</w:t>
      </w:r>
    </w:p>
    <w:p w:rsidR="001E7BB4" w:rsidRPr="007930B0" w:rsidRDefault="005425EA" w:rsidP="005425EA">
      <w:pPr>
        <w:pStyle w:val="H23G"/>
        <w:rPr>
          <w:lang w:val="es-ES"/>
        </w:rPr>
      </w:pPr>
      <w:r w:rsidRPr="007930B0">
        <w:rPr>
          <w:lang w:val="es-ES"/>
        </w:rPr>
        <w:tab/>
      </w:r>
      <w:r w:rsidRPr="007930B0">
        <w:rPr>
          <w:lang w:val="es-ES"/>
        </w:rPr>
        <w:tab/>
      </w:r>
      <w:r w:rsidR="001E7BB4" w:rsidRPr="007930B0">
        <w:rPr>
          <w:lang w:val="es-ES"/>
        </w:rPr>
        <w:t>Parasitosis y enfermedades diarreicas en la infancia</w:t>
      </w:r>
    </w:p>
    <w:p w:rsidR="001E7BB4" w:rsidRPr="007930B0" w:rsidRDefault="001E7BB4" w:rsidP="00B56B34">
      <w:pPr>
        <w:pStyle w:val="SingleTxtG"/>
        <w:rPr>
          <w:lang w:val="es-ES"/>
        </w:rPr>
      </w:pPr>
      <w:r w:rsidRPr="007930B0">
        <w:rPr>
          <w:lang w:val="es-ES"/>
        </w:rPr>
        <w:t>261.</w:t>
      </w:r>
      <w:r w:rsidRPr="007930B0">
        <w:rPr>
          <w:lang w:val="es-ES"/>
        </w:rPr>
        <w:tab/>
        <w:t>La diarrea infantil es una de las principales causas de mortalidad de niños menores de 5 años. Su prevalencia</w:t>
      </w:r>
      <w:r w:rsidRPr="007930B0">
        <w:rPr>
          <w:rStyle w:val="FootnoteReference"/>
          <w:lang w:val="es-ES"/>
        </w:rPr>
        <w:footnoteReference w:id="14"/>
      </w:r>
      <w:r w:rsidRPr="007930B0">
        <w:rPr>
          <w:lang w:val="es-ES"/>
        </w:rPr>
        <w:t xml:space="preserve"> es alta en los niños menores de 5 años (18%), en particular en la franja de los 6 a los 23 meses de edad (29%); y menos del 40% de los niños afectados por enfermedades diarreicas son sometidos a terapia de rehidratación. Las parasitosis en general, y las parasitosis intestinales en particular, son un verdadero problema de salud, sobre todo en las zonas del sur y el sureste del país. Representan hasta el 10% de los motivos de consulta en los niños menores de 5 años</w:t>
      </w:r>
      <w:r w:rsidRPr="007930B0">
        <w:rPr>
          <w:rStyle w:val="FootnoteReference"/>
          <w:lang w:val="es-ES"/>
        </w:rPr>
        <w:footnoteReference w:id="15"/>
      </w:r>
      <w:r w:rsidRPr="007930B0">
        <w:rPr>
          <w:lang w:val="es-ES"/>
        </w:rPr>
        <w:t xml:space="preserve">. Las esquistosomiasis, en particular la esquistosomiasis intestinal, han recrudecido de manera inquietante como consecuencia del desarrollo de la cuenca del río Senegal. Los estudios realizados en la </w:t>
      </w:r>
      <w:r w:rsidR="00CD15B7" w:rsidRPr="007930B0">
        <w:rPr>
          <w:i/>
          <w:lang w:val="es-ES"/>
        </w:rPr>
        <w:t>wilaya</w:t>
      </w:r>
      <w:r w:rsidRPr="007930B0">
        <w:rPr>
          <w:lang w:val="es-ES"/>
        </w:rPr>
        <w:t xml:space="preserve"> de Trarza muestran tasas de hasta más del 90% de infestación por el </w:t>
      </w:r>
      <w:r w:rsidRPr="0095166A">
        <w:rPr>
          <w:i/>
          <w:iCs/>
          <w:lang w:val="es-ES"/>
        </w:rPr>
        <w:t>S. mansoni</w:t>
      </w:r>
      <w:r w:rsidRPr="007930B0">
        <w:rPr>
          <w:lang w:val="es-ES"/>
        </w:rPr>
        <w:t xml:space="preserve"> en los niños menores de 9 años.</w:t>
      </w:r>
    </w:p>
    <w:p w:rsidR="001E7BB4" w:rsidRPr="007930B0" w:rsidRDefault="005425EA" w:rsidP="005425EA">
      <w:pPr>
        <w:pStyle w:val="H23G"/>
        <w:rPr>
          <w:lang w:val="es-ES"/>
        </w:rPr>
      </w:pPr>
      <w:r w:rsidRPr="007930B0">
        <w:rPr>
          <w:lang w:val="es-ES"/>
        </w:rPr>
        <w:tab/>
      </w:r>
      <w:r w:rsidRPr="007930B0">
        <w:rPr>
          <w:lang w:val="es-ES"/>
        </w:rPr>
        <w:tab/>
      </w:r>
      <w:r w:rsidR="001E7BB4" w:rsidRPr="007930B0">
        <w:rPr>
          <w:lang w:val="es-ES"/>
        </w:rPr>
        <w:t>Infecciones agudas de las vías respiratorias</w:t>
      </w:r>
    </w:p>
    <w:p w:rsidR="001E7BB4" w:rsidRPr="007930B0" w:rsidRDefault="001E7BB4" w:rsidP="00CC3B6E">
      <w:pPr>
        <w:pStyle w:val="SingleTxtG"/>
        <w:rPr>
          <w:lang w:val="es-ES"/>
        </w:rPr>
      </w:pPr>
      <w:r w:rsidRPr="007930B0">
        <w:rPr>
          <w:lang w:val="es-ES"/>
        </w:rPr>
        <w:t>262.</w:t>
      </w:r>
      <w:r w:rsidRPr="007930B0">
        <w:rPr>
          <w:lang w:val="es-ES"/>
        </w:rPr>
        <w:tab/>
        <w:t xml:space="preserve">Las infecciones agudas de las vías respiratorias </w:t>
      </w:r>
      <w:r w:rsidR="00CC3B6E" w:rsidRPr="007930B0">
        <w:rPr>
          <w:lang w:val="es-ES"/>
        </w:rPr>
        <w:t>—</w:t>
      </w:r>
      <w:r w:rsidRPr="007930B0">
        <w:rPr>
          <w:lang w:val="es-ES"/>
        </w:rPr>
        <w:t>o bronconeumopatías agudas</w:t>
      </w:r>
      <w:r w:rsidR="00CC3B6E" w:rsidRPr="007930B0">
        <w:rPr>
          <w:lang w:val="es-ES"/>
        </w:rPr>
        <w:t>—</w:t>
      </w:r>
      <w:r w:rsidRPr="007930B0">
        <w:rPr>
          <w:lang w:val="es-ES"/>
        </w:rPr>
        <w:t xml:space="preserve"> siguen siendo una causa importante de mortalidad infantil. Su prevalencia es de 17% en los niños de 6 a 11 meses de edad</w:t>
      </w:r>
      <w:r w:rsidRPr="007930B0">
        <w:rPr>
          <w:rStyle w:val="FootnoteReference"/>
          <w:lang w:val="es-ES"/>
        </w:rPr>
        <w:footnoteReference w:id="16"/>
      </w:r>
      <w:r w:rsidRPr="007930B0">
        <w:rPr>
          <w:lang w:val="es-ES"/>
        </w:rPr>
        <w:t>. A pesar de ello, solo el 39% de los niños menores de 5 años que padecen estas infecciones han consultado a personal sanitario calificado y han recibido un tratamiento18.</w:t>
      </w:r>
    </w:p>
    <w:p w:rsidR="001E7BB4" w:rsidRPr="007930B0" w:rsidRDefault="005425EA" w:rsidP="005425EA">
      <w:pPr>
        <w:pStyle w:val="H23G"/>
        <w:rPr>
          <w:lang w:val="es-ES"/>
        </w:rPr>
      </w:pPr>
      <w:r w:rsidRPr="007930B0">
        <w:rPr>
          <w:lang w:val="es-ES"/>
        </w:rPr>
        <w:tab/>
      </w:r>
      <w:r w:rsidRPr="007930B0">
        <w:rPr>
          <w:lang w:val="es-ES"/>
        </w:rPr>
        <w:tab/>
      </w:r>
      <w:r w:rsidR="001E7BB4" w:rsidRPr="007930B0">
        <w:rPr>
          <w:lang w:val="es-ES"/>
        </w:rPr>
        <w:t>Cegueras evitables</w:t>
      </w:r>
    </w:p>
    <w:p w:rsidR="001E7BB4" w:rsidRPr="007930B0" w:rsidRDefault="001E7BB4" w:rsidP="00B56B34">
      <w:pPr>
        <w:pStyle w:val="SingleTxtG"/>
        <w:rPr>
          <w:lang w:val="es-ES"/>
        </w:rPr>
      </w:pPr>
      <w:r w:rsidRPr="007930B0">
        <w:rPr>
          <w:lang w:val="es-ES"/>
        </w:rPr>
        <w:t>263.</w:t>
      </w:r>
      <w:r w:rsidRPr="007930B0">
        <w:rPr>
          <w:lang w:val="es-ES"/>
        </w:rPr>
        <w:tab/>
        <w:t>La ceguera sigue siendo una de las discapacidades más extendidas, particularmente entre los grupos desfavorecidos de la población; en efecto, un estudio realizado en 2003 mostró una prevalencia del 1,4% en la población general</w:t>
      </w:r>
      <w:r w:rsidRPr="007930B0">
        <w:rPr>
          <w:rStyle w:val="FootnoteReference"/>
          <w:lang w:val="es-ES"/>
        </w:rPr>
        <w:footnoteReference w:id="17"/>
      </w:r>
      <w:r w:rsidRPr="007930B0">
        <w:rPr>
          <w:lang w:val="es-ES"/>
        </w:rPr>
        <w:t xml:space="preserve">. Las dos causas principales de ceguera son la catarata y el tracoma. La mitad de </w:t>
      </w:r>
      <w:r w:rsidR="007B20B8">
        <w:rPr>
          <w:lang w:val="es-ES"/>
        </w:rPr>
        <w:t>los pacientes con cataratas son sometido</w:t>
      </w:r>
      <w:r w:rsidRPr="007930B0">
        <w:rPr>
          <w:lang w:val="es-ES"/>
        </w:rPr>
        <w:t>s al tratamiento tradicional. El tracoma causa estragos en forma de focos hiperendémicos, particularmente en las zonas del centro y norte del país.</w:t>
      </w:r>
    </w:p>
    <w:p w:rsidR="001E7BB4" w:rsidRPr="007930B0" w:rsidRDefault="005425EA" w:rsidP="005425EA">
      <w:pPr>
        <w:pStyle w:val="H23G"/>
        <w:rPr>
          <w:lang w:val="es-ES"/>
        </w:rPr>
      </w:pPr>
      <w:r w:rsidRPr="007930B0">
        <w:rPr>
          <w:lang w:val="es-ES"/>
        </w:rPr>
        <w:tab/>
      </w:r>
      <w:r w:rsidRPr="007930B0">
        <w:rPr>
          <w:lang w:val="es-ES"/>
        </w:rPr>
        <w:tab/>
      </w:r>
      <w:r w:rsidR="001E7BB4" w:rsidRPr="007930B0">
        <w:rPr>
          <w:lang w:val="es-ES"/>
        </w:rPr>
        <w:t>Epidemias</w:t>
      </w:r>
    </w:p>
    <w:p w:rsidR="001E7BB4" w:rsidRPr="007930B0" w:rsidRDefault="001E7BB4" w:rsidP="00B56B34">
      <w:pPr>
        <w:pStyle w:val="SingleTxtG"/>
        <w:rPr>
          <w:lang w:val="es-ES"/>
        </w:rPr>
      </w:pPr>
      <w:r w:rsidRPr="007930B0">
        <w:rPr>
          <w:lang w:val="es-ES"/>
        </w:rPr>
        <w:t>264.</w:t>
      </w:r>
      <w:r w:rsidRPr="007930B0">
        <w:rPr>
          <w:lang w:val="es-ES"/>
        </w:rPr>
        <w:tab/>
        <w:t>Hay ocho enfermedades potencialmente endémicas que son objeto de vigilancia periódica, a saber: la meningitis, el paludismo, el cólera, las fiebres hemorrágicas, el sarampión, la poliomielitis aguda, la diarrea con sangre y el tétano. En 2002, el sistema de vigilancia reveló la presencia de 66 casos de meningitis, que dejaron un saldo de 5 fallecidos; 833 casos de sarampión con 11 fallecidos, y 19 casos de fiebre hemorrágica</w:t>
      </w:r>
      <w:r w:rsidRPr="007930B0">
        <w:rPr>
          <w:rStyle w:val="FootnoteReference"/>
          <w:lang w:val="es-ES"/>
        </w:rPr>
        <w:footnoteReference w:id="18"/>
      </w:r>
      <w:r w:rsidRPr="007930B0">
        <w:rPr>
          <w:lang w:val="es-ES"/>
        </w:rPr>
        <w:t xml:space="preserve"> con 6 fallecidos. Cabe resaltar aquí el carácter casi endémico de la rabia y la falta de una estrategia eficaz para combatirla.</w:t>
      </w:r>
    </w:p>
    <w:p w:rsidR="001E7BB4" w:rsidRPr="007930B0" w:rsidRDefault="005425EA" w:rsidP="005425EA">
      <w:pPr>
        <w:pStyle w:val="H23G"/>
        <w:rPr>
          <w:lang w:val="es-ES"/>
        </w:rPr>
      </w:pPr>
      <w:r w:rsidRPr="007930B0">
        <w:rPr>
          <w:lang w:val="es-ES"/>
        </w:rPr>
        <w:tab/>
      </w:r>
      <w:r w:rsidRPr="007930B0">
        <w:rPr>
          <w:lang w:val="es-ES"/>
        </w:rPr>
        <w:tab/>
      </w:r>
      <w:r w:rsidR="001E7BB4" w:rsidRPr="007930B0">
        <w:rPr>
          <w:lang w:val="es-ES"/>
        </w:rPr>
        <w:t>Enfermedades no transmisibles y nuevos problemas de salud</w:t>
      </w:r>
    </w:p>
    <w:p w:rsidR="001E7BB4" w:rsidRPr="007930B0" w:rsidRDefault="001E7BB4" w:rsidP="00CC3B6E">
      <w:pPr>
        <w:pStyle w:val="SingleTxtG"/>
        <w:rPr>
          <w:lang w:val="es-ES"/>
        </w:rPr>
      </w:pPr>
      <w:r w:rsidRPr="007930B0">
        <w:rPr>
          <w:lang w:val="es-ES"/>
        </w:rPr>
        <w:t>265.</w:t>
      </w:r>
      <w:r w:rsidRPr="007930B0">
        <w:rPr>
          <w:lang w:val="es-ES"/>
        </w:rPr>
        <w:tab/>
        <w:t xml:space="preserve">Existe una serie de enfermedades que cobran cada vez más importancia debido al éxodo rural, el desarrollo de las ciudades, la sedentarización, los cambios culinarios y el consumo creciente de tabaco y sustancias psicoactivas. La falta de evaluación de estas enfermedades en la población en general </w:t>
      </w:r>
      <w:r w:rsidR="00CC3B6E" w:rsidRPr="007930B0">
        <w:rPr>
          <w:lang w:val="es-ES"/>
        </w:rPr>
        <w:t>—</w:t>
      </w:r>
      <w:r w:rsidRPr="007930B0">
        <w:rPr>
          <w:lang w:val="es-ES"/>
        </w:rPr>
        <w:t>con excepció</w:t>
      </w:r>
      <w:r w:rsidR="00CC3B6E" w:rsidRPr="007930B0">
        <w:rPr>
          <w:lang w:val="es-ES"/>
        </w:rPr>
        <w:t>n de las enfermedades mentales—</w:t>
      </w:r>
      <w:r w:rsidRPr="007930B0">
        <w:rPr>
          <w:lang w:val="es-ES"/>
        </w:rPr>
        <w:t xml:space="preserve"> no permite determinar su importancia con precisión.</w:t>
      </w:r>
    </w:p>
    <w:p w:rsidR="001E7BB4" w:rsidRPr="007930B0" w:rsidRDefault="005425EA" w:rsidP="005425EA">
      <w:pPr>
        <w:pStyle w:val="H4G"/>
        <w:rPr>
          <w:lang w:val="es-ES"/>
        </w:rPr>
      </w:pPr>
      <w:r w:rsidRPr="007930B0">
        <w:rPr>
          <w:lang w:val="es-ES"/>
        </w:rPr>
        <w:tab/>
      </w:r>
      <w:r w:rsidRPr="007930B0">
        <w:rPr>
          <w:lang w:val="es-ES"/>
        </w:rPr>
        <w:tab/>
      </w:r>
      <w:r w:rsidR="001E7BB4" w:rsidRPr="007930B0">
        <w:rPr>
          <w:lang w:val="es-ES"/>
        </w:rPr>
        <w:t>Enfermedades cardiovasculares</w:t>
      </w:r>
    </w:p>
    <w:p w:rsidR="001E7BB4" w:rsidRPr="007930B0" w:rsidRDefault="001E7BB4" w:rsidP="00B56B34">
      <w:pPr>
        <w:pStyle w:val="SingleTxtG"/>
        <w:rPr>
          <w:lang w:val="es-ES"/>
        </w:rPr>
      </w:pPr>
      <w:r w:rsidRPr="007930B0">
        <w:rPr>
          <w:lang w:val="es-ES"/>
        </w:rPr>
        <w:t>266.</w:t>
      </w:r>
      <w:r w:rsidRPr="007930B0">
        <w:rPr>
          <w:lang w:val="es-ES"/>
        </w:rPr>
        <w:tab/>
        <w:t>La hipertensión arterial es uno de los principales motivos de consulta de los adultos mayores, en particular las mujeres. Por otra parte, las demás enfermedades cardiovasculares constituyen una de las principales causas de evacuación médica al exterior (20%), lo que representa una pesada carga para el presupuesto nacional.</w:t>
      </w:r>
    </w:p>
    <w:p w:rsidR="001E7BB4" w:rsidRPr="007930B0" w:rsidRDefault="005425EA" w:rsidP="005425EA">
      <w:pPr>
        <w:pStyle w:val="H4G"/>
        <w:rPr>
          <w:lang w:val="es-ES"/>
        </w:rPr>
      </w:pPr>
      <w:r w:rsidRPr="007930B0">
        <w:rPr>
          <w:lang w:val="es-ES"/>
        </w:rPr>
        <w:tab/>
      </w:r>
      <w:r w:rsidRPr="007930B0">
        <w:rPr>
          <w:lang w:val="es-ES"/>
        </w:rPr>
        <w:tab/>
      </w:r>
      <w:r w:rsidR="001E7BB4" w:rsidRPr="007930B0">
        <w:rPr>
          <w:lang w:val="es-ES"/>
        </w:rPr>
        <w:t>Cáncer</w:t>
      </w:r>
    </w:p>
    <w:p w:rsidR="001E7BB4" w:rsidRPr="007930B0" w:rsidRDefault="001E7BB4" w:rsidP="00CC3B6E">
      <w:pPr>
        <w:pStyle w:val="SingleTxtG"/>
        <w:rPr>
          <w:lang w:val="es-ES"/>
        </w:rPr>
      </w:pPr>
      <w:r w:rsidRPr="007930B0">
        <w:rPr>
          <w:lang w:val="es-ES"/>
        </w:rPr>
        <w:t>267.</w:t>
      </w:r>
      <w:r w:rsidRPr="007930B0">
        <w:rPr>
          <w:lang w:val="es-ES"/>
        </w:rPr>
        <w:tab/>
        <w:t xml:space="preserve">Los diversos tipos de cáncer </w:t>
      </w:r>
      <w:r w:rsidR="00CC3B6E" w:rsidRPr="007930B0">
        <w:rPr>
          <w:lang w:val="es-ES"/>
        </w:rPr>
        <w:t>—</w:t>
      </w:r>
      <w:r w:rsidRPr="007930B0">
        <w:rPr>
          <w:lang w:val="es-ES"/>
        </w:rPr>
        <w:t>en particular los ginecológicos, mamarios, digestivos, pulmonares, dermatoló</w:t>
      </w:r>
      <w:r w:rsidR="00CC3B6E" w:rsidRPr="007930B0">
        <w:rPr>
          <w:lang w:val="es-ES"/>
        </w:rPr>
        <w:t>gicos y otorrinolaringológicos—</w:t>
      </w:r>
      <w:r w:rsidRPr="007930B0">
        <w:rPr>
          <w:lang w:val="es-ES"/>
        </w:rPr>
        <w:t xml:space="preserve"> figuran cada vez más en las estadísticas sanitarias como causa no menor de mortalidad, y constituyen el motivo principal de traslado al exterior del país (28%). En un estudio retrospectivo</w:t>
      </w:r>
      <w:r w:rsidRPr="007930B0">
        <w:rPr>
          <w:rStyle w:val="FootnoteReference"/>
          <w:lang w:val="es-ES"/>
        </w:rPr>
        <w:footnoteReference w:id="19"/>
      </w:r>
      <w:r w:rsidRPr="007930B0">
        <w:rPr>
          <w:lang w:val="es-ES"/>
        </w:rPr>
        <w:t xml:space="preserve"> que abarcó un período de 4 años, se registraron 923 casos de cáncer por confirmación anatomopatológica, con una edad media precoz de 49 años y una relación hombres/mujeres de 0,56.</w:t>
      </w:r>
    </w:p>
    <w:p w:rsidR="001E7BB4" w:rsidRPr="007930B0" w:rsidRDefault="005425EA" w:rsidP="005425EA">
      <w:pPr>
        <w:pStyle w:val="H4G"/>
        <w:rPr>
          <w:lang w:val="es-ES"/>
        </w:rPr>
      </w:pPr>
      <w:r w:rsidRPr="007930B0">
        <w:rPr>
          <w:lang w:val="es-ES"/>
        </w:rPr>
        <w:tab/>
      </w:r>
      <w:r w:rsidRPr="007930B0">
        <w:rPr>
          <w:lang w:val="es-ES"/>
        </w:rPr>
        <w:tab/>
      </w:r>
      <w:r w:rsidR="001E7BB4" w:rsidRPr="007930B0">
        <w:rPr>
          <w:lang w:val="es-ES"/>
        </w:rPr>
        <w:t>Accidentes de tránsito</w:t>
      </w:r>
    </w:p>
    <w:p w:rsidR="001E7BB4" w:rsidRPr="007930B0" w:rsidRDefault="001E7BB4" w:rsidP="00B56B34">
      <w:pPr>
        <w:pStyle w:val="SingleTxtG"/>
        <w:rPr>
          <w:lang w:val="es-ES"/>
        </w:rPr>
      </w:pPr>
      <w:r w:rsidRPr="007930B0">
        <w:rPr>
          <w:lang w:val="es-ES"/>
        </w:rPr>
        <w:t>268.</w:t>
      </w:r>
      <w:r w:rsidRPr="007930B0">
        <w:rPr>
          <w:lang w:val="es-ES"/>
        </w:rPr>
        <w:tab/>
        <w:t>En los dos últimos decenios se ha registrado un crecimiento importante del parque automotriz y de la red viaria, lo que ha tenido como corolario la multiplicación de los accidentes de tránsito y un aumento de la contaminación. En las salas de urgencias del Centro Hospitalario Nacional se atiende diariamente a un promedio de 20 víctimas de accidentes de tránsito. Por otra parte, un estudio retrospectivo (2001-2003) realizado en Trarza</w:t>
      </w:r>
      <w:r w:rsidRPr="007930B0">
        <w:rPr>
          <w:rStyle w:val="FootnoteReference"/>
          <w:lang w:val="es-ES"/>
        </w:rPr>
        <w:footnoteReference w:id="20"/>
      </w:r>
      <w:r w:rsidRPr="007930B0">
        <w:rPr>
          <w:lang w:val="es-ES"/>
        </w:rPr>
        <w:t xml:space="preserve"> muestra una progresión en el número de accidentes, de 252, 301 y 356 accidentes de tránsito anuales respectivamente; una estabilidad en el número de heridos por accidente, que es de aproximadamente 1,8% como promedio, y una disminución del número de muertos por accidente de 0,18 a 0,14 como promedio. A falta de medidas concretas para reducir estos efectos, los accidentes de tránsito serían responsables de una mortalidad importante y de secuelas frecuentes a nivel nacional.</w:t>
      </w:r>
    </w:p>
    <w:p w:rsidR="001E7BB4" w:rsidRPr="007930B0" w:rsidRDefault="00BA3D9C" w:rsidP="00BA3D9C">
      <w:pPr>
        <w:pStyle w:val="H4G"/>
        <w:rPr>
          <w:lang w:val="es-ES"/>
        </w:rPr>
      </w:pPr>
      <w:r w:rsidRPr="007930B0">
        <w:rPr>
          <w:lang w:val="es-ES"/>
        </w:rPr>
        <w:tab/>
      </w:r>
      <w:r w:rsidRPr="007930B0">
        <w:rPr>
          <w:lang w:val="es-ES"/>
        </w:rPr>
        <w:tab/>
      </w:r>
      <w:r w:rsidR="001E7BB4" w:rsidRPr="007930B0">
        <w:rPr>
          <w:lang w:val="es-ES"/>
        </w:rPr>
        <w:t>Enfermedades mentales</w:t>
      </w:r>
    </w:p>
    <w:p w:rsidR="001E7BB4" w:rsidRPr="007930B0" w:rsidRDefault="001E7BB4" w:rsidP="00B56B34">
      <w:pPr>
        <w:pStyle w:val="SingleTxtG"/>
        <w:rPr>
          <w:lang w:val="es-ES"/>
        </w:rPr>
      </w:pPr>
      <w:r w:rsidRPr="007930B0">
        <w:rPr>
          <w:lang w:val="es-ES"/>
        </w:rPr>
        <w:t>269.</w:t>
      </w:r>
      <w:r w:rsidRPr="007930B0">
        <w:rPr>
          <w:lang w:val="es-ES"/>
        </w:rPr>
        <w:tab/>
        <w:t>Según investigaciones recientes, las enfermedades mentales revisten una importancia particular, con un 20% de prevalencia de los estados de ansiedad, un 16% de síndromes depresivos y un 2% de estados psicóticos</w:t>
      </w:r>
      <w:r w:rsidRPr="007930B0">
        <w:rPr>
          <w:rStyle w:val="FootnoteReference"/>
          <w:lang w:val="es-ES"/>
        </w:rPr>
        <w:footnoteReference w:id="21"/>
      </w:r>
      <w:r w:rsidRPr="007930B0">
        <w:rPr>
          <w:lang w:val="es-ES"/>
        </w:rPr>
        <w:t>. Este recrudecimiento podría deberse a los cambios culturales y socioeconómicos. A la luz de estas cifras, las enfermedades mentales constituyen un problema real de salud pública y siguen siendo poco conocidas, consideradas tabú y estigmatizadas.</w:t>
      </w:r>
    </w:p>
    <w:p w:rsidR="001E7BB4" w:rsidRPr="007930B0" w:rsidRDefault="00BA3D9C" w:rsidP="00BA3D9C">
      <w:pPr>
        <w:pStyle w:val="H4G"/>
        <w:rPr>
          <w:lang w:val="es-ES"/>
        </w:rPr>
      </w:pPr>
      <w:r w:rsidRPr="007930B0">
        <w:rPr>
          <w:lang w:val="es-ES"/>
        </w:rPr>
        <w:tab/>
      </w:r>
      <w:r w:rsidRPr="007930B0">
        <w:rPr>
          <w:lang w:val="es-ES"/>
        </w:rPr>
        <w:tab/>
      </w:r>
      <w:r w:rsidR="001E7BB4" w:rsidRPr="007930B0">
        <w:rPr>
          <w:lang w:val="es-ES"/>
        </w:rPr>
        <w:t>Diabetes</w:t>
      </w:r>
    </w:p>
    <w:p w:rsidR="001E7BB4" w:rsidRPr="007930B0" w:rsidRDefault="00BA3D9C" w:rsidP="00B56B34">
      <w:pPr>
        <w:pStyle w:val="SingleTxtG"/>
        <w:rPr>
          <w:lang w:val="es-ES"/>
        </w:rPr>
      </w:pPr>
      <w:r w:rsidRPr="007930B0">
        <w:rPr>
          <w:lang w:val="es-ES"/>
        </w:rPr>
        <w:t>270.</w:t>
      </w:r>
      <w:r w:rsidRPr="007930B0">
        <w:rPr>
          <w:lang w:val="es-ES"/>
        </w:rPr>
        <w:tab/>
        <w:t>Las enfermedades endo</w:t>
      </w:r>
      <w:r w:rsidR="001E7BB4" w:rsidRPr="007930B0">
        <w:rPr>
          <w:lang w:val="es-ES"/>
        </w:rPr>
        <w:t>crinas, en particular la diabetes, son responsables de una morbilidad y una mortalidad no insignificantes. Las prácticas</w:t>
      </w:r>
      <w:r w:rsidRPr="007930B0">
        <w:rPr>
          <w:lang w:val="es-ES"/>
        </w:rPr>
        <w:t xml:space="preserve"> tradicionales nefastas (por ejemplo</w:t>
      </w:r>
      <w:r w:rsidR="001E7BB4" w:rsidRPr="007930B0">
        <w:rPr>
          <w:lang w:val="es-ES"/>
        </w:rPr>
        <w:t>, la alimentación forzada) y la sedentarización acelerada son los principales factores que favorecen este tipo de enfermedades.</w:t>
      </w:r>
    </w:p>
    <w:p w:rsidR="001E7BB4" w:rsidRPr="007930B0" w:rsidRDefault="00BA3D9C" w:rsidP="00BA3D9C">
      <w:pPr>
        <w:pStyle w:val="H4G"/>
        <w:rPr>
          <w:lang w:val="es-ES"/>
        </w:rPr>
      </w:pPr>
      <w:r w:rsidRPr="007930B0">
        <w:rPr>
          <w:lang w:val="es-ES"/>
        </w:rPr>
        <w:tab/>
      </w:r>
      <w:r w:rsidRPr="007930B0">
        <w:rPr>
          <w:lang w:val="es-ES"/>
        </w:rPr>
        <w:tab/>
      </w:r>
      <w:r w:rsidR="001E7BB4" w:rsidRPr="007930B0">
        <w:rPr>
          <w:lang w:val="es-ES"/>
        </w:rPr>
        <w:t>Afecciones bucodentarias</w:t>
      </w:r>
    </w:p>
    <w:p w:rsidR="001E7BB4" w:rsidRPr="007930B0" w:rsidRDefault="001E7BB4" w:rsidP="00B56B34">
      <w:pPr>
        <w:pStyle w:val="SingleTxtG"/>
        <w:rPr>
          <w:lang w:val="es-ES"/>
        </w:rPr>
      </w:pPr>
      <w:r w:rsidRPr="007930B0">
        <w:rPr>
          <w:lang w:val="es-ES"/>
        </w:rPr>
        <w:t>271.</w:t>
      </w:r>
      <w:r w:rsidRPr="007930B0">
        <w:rPr>
          <w:lang w:val="es-ES"/>
        </w:rPr>
        <w:tab/>
        <w:t>Según encuestas realizadas recientemente, los niños escolarizados muestran una alta prevalencia de la caries dentaria (71%)</w:t>
      </w:r>
      <w:r w:rsidRPr="007930B0">
        <w:rPr>
          <w:rStyle w:val="FootnoteReference"/>
          <w:lang w:val="es-ES"/>
        </w:rPr>
        <w:footnoteReference w:id="22"/>
      </w:r>
      <w:r w:rsidRPr="007930B0">
        <w:rPr>
          <w:lang w:val="es-ES"/>
        </w:rPr>
        <w:t>. Además de las enfermedades bucodentarias causadas en general por una mala higiene, cabe señalar el aumento de los traumatismos maxilofaciales provocados por accidentes de tránsito y riñas, y por el cáncer oral relacionado, entre otras cosas, con el consumo de tabaco.</w:t>
      </w:r>
    </w:p>
    <w:p w:rsidR="001E7BB4" w:rsidRPr="007930B0" w:rsidRDefault="00BA3D9C" w:rsidP="00BA3D9C">
      <w:pPr>
        <w:pStyle w:val="H4G"/>
        <w:rPr>
          <w:lang w:val="es-ES"/>
        </w:rPr>
      </w:pPr>
      <w:r w:rsidRPr="007930B0">
        <w:rPr>
          <w:lang w:val="es-ES"/>
        </w:rPr>
        <w:tab/>
      </w:r>
      <w:r w:rsidRPr="007930B0">
        <w:rPr>
          <w:lang w:val="es-ES"/>
        </w:rPr>
        <w:tab/>
      </w:r>
      <w:r w:rsidR="001E7BB4" w:rsidRPr="007930B0">
        <w:rPr>
          <w:lang w:val="es-ES"/>
        </w:rPr>
        <w:t>Enfermedades profesionales y accidentes del trabajo</w:t>
      </w:r>
    </w:p>
    <w:p w:rsidR="001E7BB4" w:rsidRPr="007930B0" w:rsidRDefault="001E7BB4" w:rsidP="00B56B34">
      <w:pPr>
        <w:pStyle w:val="SingleTxtG"/>
        <w:rPr>
          <w:lang w:val="es-ES"/>
        </w:rPr>
      </w:pPr>
      <w:r w:rsidRPr="007930B0">
        <w:rPr>
          <w:lang w:val="es-ES"/>
        </w:rPr>
        <w:t>272.</w:t>
      </w:r>
      <w:r w:rsidRPr="007930B0">
        <w:rPr>
          <w:lang w:val="es-ES"/>
        </w:rPr>
        <w:tab/>
        <w:t>Las enfermedades profesionales constituyen una de las prioridades internacionales en la esfera de la salud; en efecto, cada año se registran en el mundo más de un millón de muertes causadas por accidentes del trabajo o enfermedades vinculadas a actividades profesionales, y el riesgo es 20 veces mayor en los países en desarrollo. En Mauritania, la explotación minera en el norte y el desarrollo de los sectores de la industria, la construcción, la pesca y la agricultura han aumentado el riesgo de aparición de estas enfermedades; las tareas de manipulación de carga representan una preocupación particular, con más del 10% de operarios afectados cada año por traumatismos sufridos en el trabajo</w:t>
      </w:r>
      <w:r w:rsidRPr="007930B0">
        <w:rPr>
          <w:rStyle w:val="FootnoteReference"/>
          <w:lang w:val="es-ES"/>
        </w:rPr>
        <w:footnoteReference w:id="23"/>
      </w:r>
      <w:r w:rsidRPr="007930B0">
        <w:rPr>
          <w:lang w:val="es-ES"/>
        </w:rPr>
        <w:t>. En este contexto cabe recordar también la importancia de las afecciones nosocomiales; ejemplo de ello es la infección por el VIH, que constituye una de las infecciones secundarias que pueden producirse por una extracción de sangre o un tratamiento inyectable.</w:t>
      </w:r>
    </w:p>
    <w:p w:rsidR="001E7BB4" w:rsidRPr="007930B0" w:rsidRDefault="00BA3D9C" w:rsidP="00BA3D9C">
      <w:pPr>
        <w:pStyle w:val="H23G"/>
        <w:rPr>
          <w:lang w:val="es-ES"/>
        </w:rPr>
      </w:pPr>
      <w:r w:rsidRPr="007930B0">
        <w:rPr>
          <w:lang w:val="es-ES"/>
        </w:rPr>
        <w:tab/>
      </w:r>
      <w:r w:rsidRPr="007930B0">
        <w:rPr>
          <w:lang w:val="es-ES"/>
        </w:rPr>
        <w:tab/>
      </w:r>
      <w:r w:rsidR="001E7BB4" w:rsidRPr="007930B0">
        <w:rPr>
          <w:lang w:val="es-ES"/>
        </w:rPr>
        <w:t>Situación de vulnerabilidad social</w:t>
      </w:r>
    </w:p>
    <w:p w:rsidR="001E7BB4" w:rsidRPr="007930B0" w:rsidRDefault="001E7BB4" w:rsidP="00B56B34">
      <w:pPr>
        <w:pStyle w:val="SingleTxtG"/>
        <w:rPr>
          <w:lang w:val="es-ES"/>
        </w:rPr>
      </w:pPr>
      <w:r w:rsidRPr="007930B0">
        <w:rPr>
          <w:lang w:val="es-ES"/>
        </w:rPr>
        <w:t>273.</w:t>
      </w:r>
      <w:r w:rsidRPr="007930B0">
        <w:rPr>
          <w:lang w:val="es-ES"/>
        </w:rPr>
        <w:tab/>
        <w:t>La capacidad de cada persona, familia o comunidad para hacer frente al riesgo varía. Una persona o una familia tendrá un coeficiente de vulnerabilidad más alto si, frente a los mismos riesgos, su capacidad de reacción es insuficiente para permitirle realizar los ajustes necesarios destinados a proteger su bienestar. En los tres últimos decenios, los factores vinculados a la sequía, la coyuntura económica y el ajuste estructural han tenido fuertes repercusiones en el plano social.</w:t>
      </w:r>
    </w:p>
    <w:p w:rsidR="001E7BB4" w:rsidRPr="007930B0" w:rsidRDefault="001E7BB4" w:rsidP="00B56B34">
      <w:pPr>
        <w:pStyle w:val="SingleTxtG"/>
        <w:rPr>
          <w:lang w:val="es-ES"/>
        </w:rPr>
      </w:pPr>
      <w:r w:rsidRPr="007930B0">
        <w:rPr>
          <w:lang w:val="es-ES"/>
        </w:rPr>
        <w:t>274.</w:t>
      </w:r>
      <w:r w:rsidRPr="007930B0">
        <w:rPr>
          <w:lang w:val="es-ES"/>
        </w:rPr>
        <w:tab/>
        <w:t>En Mauritania, la distribución de la vulnerabilidad y de los grupos vulnerables coincide con la de la pobreza. El medio rural y las zonas periféricas de las grandes ciudades albergan a la gran mayoría de estos grupos, cuya situación no se conoce con exactitud. Los principales grupos vulnerables son los pobres en general y, en particular:</w:t>
      </w:r>
    </w:p>
    <w:p w:rsidR="001E7BB4" w:rsidRPr="007930B0" w:rsidRDefault="001E7BB4" w:rsidP="00BA3D9C">
      <w:pPr>
        <w:pStyle w:val="Bullet1G"/>
        <w:rPr>
          <w:lang w:val="es-ES"/>
        </w:rPr>
      </w:pPr>
      <w:r w:rsidRPr="007930B0">
        <w:rPr>
          <w:lang w:val="es-ES"/>
        </w:rPr>
        <w:t>Las personas en situación de extrema pobreza y los indigentes;</w:t>
      </w:r>
    </w:p>
    <w:p w:rsidR="001E7BB4" w:rsidRPr="007930B0" w:rsidRDefault="001E7BB4" w:rsidP="00BA3D9C">
      <w:pPr>
        <w:pStyle w:val="Bullet1G"/>
        <w:rPr>
          <w:lang w:val="es-ES"/>
        </w:rPr>
      </w:pPr>
      <w:r w:rsidRPr="007930B0">
        <w:rPr>
          <w:lang w:val="es-ES"/>
        </w:rPr>
        <w:t>Los desocupados y los jubilados;</w:t>
      </w:r>
    </w:p>
    <w:p w:rsidR="001E7BB4" w:rsidRPr="007930B0" w:rsidRDefault="001E7BB4" w:rsidP="00BA3D9C">
      <w:pPr>
        <w:pStyle w:val="Bullet1G"/>
        <w:rPr>
          <w:lang w:val="es-ES"/>
        </w:rPr>
      </w:pPr>
      <w:r w:rsidRPr="007930B0">
        <w:rPr>
          <w:lang w:val="es-ES"/>
        </w:rPr>
        <w:t>Los pequeños empresarios (agricultores, criadores, pescadores, comerciantes, etc.);</w:t>
      </w:r>
    </w:p>
    <w:p w:rsidR="001E7BB4" w:rsidRPr="007930B0" w:rsidRDefault="001E7BB4" w:rsidP="00BA3D9C">
      <w:pPr>
        <w:pStyle w:val="Bullet1G"/>
        <w:rPr>
          <w:lang w:val="es-ES"/>
        </w:rPr>
      </w:pPr>
      <w:r w:rsidRPr="007930B0">
        <w:rPr>
          <w:lang w:val="es-ES"/>
        </w:rPr>
        <w:t>Las mujeres en general y, en particular, las que son cabeza de familia;</w:t>
      </w:r>
    </w:p>
    <w:p w:rsidR="001E7BB4" w:rsidRPr="007930B0" w:rsidRDefault="001E7BB4" w:rsidP="00BA3D9C">
      <w:pPr>
        <w:pStyle w:val="Bullet1G"/>
        <w:rPr>
          <w:lang w:val="es-ES"/>
        </w:rPr>
      </w:pPr>
      <w:r w:rsidRPr="007930B0">
        <w:rPr>
          <w:lang w:val="es-ES"/>
        </w:rPr>
        <w:t>Los jóvenes y los niños en general y, en particular, los que se encuentran en circunstancias difíciles;</w:t>
      </w:r>
    </w:p>
    <w:p w:rsidR="001E7BB4" w:rsidRPr="007930B0" w:rsidRDefault="001E7BB4" w:rsidP="00BA3D9C">
      <w:pPr>
        <w:pStyle w:val="Bullet1G"/>
        <w:rPr>
          <w:lang w:val="es-ES"/>
        </w:rPr>
      </w:pPr>
      <w:r w:rsidRPr="007930B0">
        <w:rPr>
          <w:lang w:val="es-ES"/>
        </w:rPr>
        <w:t>Las personas con discapacidad, que representan alrededor del 5% de la población, con una tasa de escolarización del 5%;</w:t>
      </w:r>
    </w:p>
    <w:p w:rsidR="001E7BB4" w:rsidRPr="007930B0" w:rsidRDefault="001E7BB4" w:rsidP="00BA3D9C">
      <w:pPr>
        <w:pStyle w:val="Bullet1G"/>
        <w:rPr>
          <w:lang w:val="es-ES"/>
        </w:rPr>
      </w:pPr>
      <w:r w:rsidRPr="007930B0">
        <w:rPr>
          <w:lang w:val="es-ES"/>
        </w:rPr>
        <w:t>Los damnificados y las víctimas de desastres;</w:t>
      </w:r>
    </w:p>
    <w:p w:rsidR="001E7BB4" w:rsidRPr="007930B0" w:rsidRDefault="001E7BB4" w:rsidP="00BA3D9C">
      <w:pPr>
        <w:pStyle w:val="Bullet1G"/>
        <w:rPr>
          <w:lang w:val="es-ES"/>
        </w:rPr>
      </w:pPr>
      <w:r w:rsidRPr="007930B0">
        <w:rPr>
          <w:lang w:val="es-ES"/>
        </w:rPr>
        <w:t>La población carcelaria en general y, en particular, las mujeres y los niños;</w:t>
      </w:r>
    </w:p>
    <w:p w:rsidR="001E7BB4" w:rsidRPr="007930B0" w:rsidRDefault="001E7BB4" w:rsidP="00BA3D9C">
      <w:pPr>
        <w:pStyle w:val="Bullet1G"/>
        <w:rPr>
          <w:lang w:val="es-ES"/>
        </w:rPr>
      </w:pPr>
      <w:r w:rsidRPr="007930B0">
        <w:rPr>
          <w:lang w:val="es-ES"/>
        </w:rPr>
        <w:t>Los marginados y los excluidos (mendigos, personas de la tercera edad que viven solas, enfermos mentales, etc.).</w:t>
      </w:r>
    </w:p>
    <w:p w:rsidR="001E7BB4" w:rsidRPr="007930B0" w:rsidRDefault="00BA3D9C" w:rsidP="00BA3D9C">
      <w:pPr>
        <w:pStyle w:val="H23G"/>
        <w:rPr>
          <w:lang w:val="es-ES"/>
        </w:rPr>
      </w:pPr>
      <w:r w:rsidRPr="007930B0">
        <w:rPr>
          <w:lang w:val="es-ES"/>
        </w:rPr>
        <w:tab/>
      </w:r>
      <w:r w:rsidRPr="007930B0">
        <w:rPr>
          <w:lang w:val="es-ES"/>
        </w:rPr>
        <w:tab/>
      </w:r>
      <w:r w:rsidR="001E7BB4" w:rsidRPr="007930B0">
        <w:rPr>
          <w:lang w:val="es-ES"/>
        </w:rPr>
        <w:t>Análisis del funcionamiento y el desempeño del sistema de salud</w:t>
      </w:r>
    </w:p>
    <w:p w:rsidR="001E7BB4" w:rsidRPr="007930B0" w:rsidRDefault="00BA3D9C" w:rsidP="00BA3D9C">
      <w:pPr>
        <w:pStyle w:val="H4G"/>
        <w:rPr>
          <w:lang w:val="es-ES"/>
        </w:rPr>
      </w:pPr>
      <w:r w:rsidRPr="007930B0">
        <w:rPr>
          <w:lang w:val="es-ES"/>
        </w:rPr>
        <w:tab/>
      </w:r>
      <w:r w:rsidRPr="007930B0">
        <w:rPr>
          <w:lang w:val="es-ES"/>
        </w:rPr>
        <w:tab/>
      </w:r>
      <w:r w:rsidR="001E7BB4" w:rsidRPr="007930B0">
        <w:rPr>
          <w:lang w:val="es-ES"/>
        </w:rPr>
        <w:t>Cobertura sanitaria</w:t>
      </w:r>
    </w:p>
    <w:p w:rsidR="001E7BB4" w:rsidRPr="007930B0" w:rsidRDefault="001E7BB4" w:rsidP="00B56B34">
      <w:pPr>
        <w:pStyle w:val="SingleTxtG"/>
        <w:rPr>
          <w:lang w:val="es-ES"/>
        </w:rPr>
      </w:pPr>
      <w:r w:rsidRPr="007930B0">
        <w:rPr>
          <w:lang w:val="es-ES"/>
        </w:rPr>
        <w:t>275.</w:t>
      </w:r>
      <w:r w:rsidRPr="007930B0">
        <w:rPr>
          <w:lang w:val="es-ES"/>
        </w:rPr>
        <w:tab/>
        <w:t>El sistema de salud está constituido por tres niveles en lo que respecta a la prestación de servicios, a saber:</w:t>
      </w:r>
    </w:p>
    <w:p w:rsidR="001E7BB4" w:rsidRPr="007930B0" w:rsidRDefault="001E7BB4" w:rsidP="00BA3D9C">
      <w:pPr>
        <w:pStyle w:val="Bullet1G"/>
        <w:rPr>
          <w:lang w:val="es-ES"/>
        </w:rPr>
      </w:pPr>
      <w:r w:rsidRPr="007930B0">
        <w:rPr>
          <w:lang w:val="es-ES"/>
        </w:rPr>
        <w:t>El nivel periférico (</w:t>
      </w:r>
      <w:r w:rsidR="00F71072" w:rsidRPr="007930B0">
        <w:rPr>
          <w:i/>
          <w:lang w:val="es-ES"/>
        </w:rPr>
        <w:t>moughataa</w:t>
      </w:r>
      <w:r w:rsidRPr="007930B0">
        <w:rPr>
          <w:lang w:val="es-ES"/>
        </w:rPr>
        <w:t>), donde existen dos tipos de estructuras: los puestos de salud y los centros de salud. Para prestar apoyo a este nivel se han instalado unidades de salud básica en algunas aldeas alejadas de los puestos y centros de salud; desde mediados de la década de 1990, estas unidades han dis</w:t>
      </w:r>
      <w:r w:rsidR="00BA3D9C" w:rsidRPr="007930B0">
        <w:rPr>
          <w:lang w:val="es-ES"/>
        </w:rPr>
        <w:t>minuido en número e importancia.</w:t>
      </w:r>
    </w:p>
    <w:p w:rsidR="001E7BB4" w:rsidRPr="007930B0" w:rsidRDefault="001E7BB4" w:rsidP="00BA3D9C">
      <w:pPr>
        <w:pStyle w:val="Bullet1G"/>
        <w:rPr>
          <w:lang w:val="es-ES"/>
        </w:rPr>
      </w:pPr>
      <w:r w:rsidRPr="007930B0">
        <w:rPr>
          <w:lang w:val="es-ES"/>
        </w:rPr>
        <w:t>El nivel intermedio, en el que se encuentran los 10 hospitales regionales (en Nema, Aïoun, Kiffa, Kaédi, Aleg, Rosso, Atar, Nuadhibu, Tidjika y Sélibaby); dos de ellos (Nuadhibu y Kiffa) se han convertido en establecimientos públ</w:t>
      </w:r>
      <w:r w:rsidR="00BA3D9C" w:rsidRPr="007930B0">
        <w:rPr>
          <w:lang w:val="es-ES"/>
        </w:rPr>
        <w:t>icos de carácter administrativo.</w:t>
      </w:r>
    </w:p>
    <w:p w:rsidR="001E7BB4" w:rsidRPr="007930B0" w:rsidRDefault="001E7BB4" w:rsidP="00BA3D9C">
      <w:pPr>
        <w:pStyle w:val="Bullet1G"/>
        <w:rPr>
          <w:lang w:val="es-ES"/>
        </w:rPr>
      </w:pPr>
      <w:r w:rsidRPr="007930B0">
        <w:rPr>
          <w:lang w:val="es-ES"/>
        </w:rPr>
        <w:t>El nivel terciario comprende los establecimientos públicos de referencia: el Centro Hospitalario Nacional, el Centro Neurosiquiátrico (CNP), el Centro Nacional de Higiene, el Centro Nacional de Ortopedia y Readaptación Funcional, el Hospital Cheikh Zayed de Nuakchot, el Centro Nacional de Transfusión de Sangre y el Hospital Militar de Nuakchot. A ellos se suman dos establecimientos centrales que se encargan de la capacitación y actualización del personal de la salud, a saber: la Escuela Nacional de Salud Pública y el Instituto Nac</w:t>
      </w:r>
      <w:r w:rsidR="00BA3D9C" w:rsidRPr="007930B0">
        <w:rPr>
          <w:lang w:val="es-ES"/>
        </w:rPr>
        <w:t>ional de Especialidades Médicas.</w:t>
      </w:r>
    </w:p>
    <w:p w:rsidR="001E7BB4" w:rsidRPr="007930B0" w:rsidRDefault="001E7BB4" w:rsidP="00BA3D9C">
      <w:pPr>
        <w:pStyle w:val="Bullet1G"/>
        <w:rPr>
          <w:lang w:val="es-ES"/>
        </w:rPr>
      </w:pPr>
      <w:r w:rsidRPr="007930B0">
        <w:rPr>
          <w:lang w:val="es-ES"/>
        </w:rPr>
        <w:t>Además, cabe recordar la existencia y el desarrollo del sector privado de salud, ubicado principalmente en determinados centros urbanos (Nuakchot, Nuadhibu), que complementa al sector público en el marco de la cobertura de los servicios ese</w:t>
      </w:r>
      <w:r w:rsidR="00BA3D9C" w:rsidRPr="007930B0">
        <w:rPr>
          <w:lang w:val="es-ES"/>
        </w:rPr>
        <w:t>nciales de atención de la salud.</w:t>
      </w:r>
    </w:p>
    <w:p w:rsidR="001E7BB4" w:rsidRPr="007930B0" w:rsidRDefault="001E7BB4" w:rsidP="00BA3D9C">
      <w:pPr>
        <w:pStyle w:val="Bullet1G"/>
        <w:rPr>
          <w:lang w:val="es-ES"/>
        </w:rPr>
      </w:pPr>
      <w:r w:rsidRPr="007930B0">
        <w:rPr>
          <w:lang w:val="es-ES"/>
        </w:rPr>
        <w:t xml:space="preserve">Este sistema de salud es respaldado y coordinado por una estructura administrativa organizada en tres niveles: central, regional y de </w:t>
      </w:r>
      <w:r w:rsidRPr="007930B0">
        <w:rPr>
          <w:i/>
          <w:iCs/>
          <w:lang w:val="es-ES"/>
        </w:rPr>
        <w:t>moughataas</w:t>
      </w:r>
      <w:r w:rsidRPr="007930B0">
        <w:rPr>
          <w:lang w:val="es-ES"/>
        </w:rPr>
        <w:t>.</w:t>
      </w:r>
    </w:p>
    <w:p w:rsidR="001E7BB4" w:rsidRPr="007930B0" w:rsidRDefault="001E7BB4" w:rsidP="00B56B34">
      <w:pPr>
        <w:pStyle w:val="SingleTxtG"/>
        <w:rPr>
          <w:lang w:val="es-ES"/>
        </w:rPr>
      </w:pPr>
      <w:r w:rsidRPr="007930B0">
        <w:rPr>
          <w:lang w:val="es-ES"/>
        </w:rPr>
        <w:t>276.</w:t>
      </w:r>
      <w:r w:rsidRPr="007930B0">
        <w:rPr>
          <w:lang w:val="es-ES"/>
        </w:rPr>
        <w:tab/>
        <w:t>Tras un período en el que se prestó especial atención al nivel primario, actualmente se asigna prioridad al sistema hospitalario, reforzando al mismo tiempo el primer nivel en el marco de la complementariedad e integración del sistema. Sin embargo, la cobertura sanitaria sigue siendo insuficiente, ya que el 33% de la población vive a más de 5 km de un puesto o un centro de salud</w:t>
      </w:r>
      <w:r w:rsidRPr="007930B0">
        <w:rPr>
          <w:rStyle w:val="FootnoteReference"/>
          <w:lang w:val="es-ES"/>
        </w:rPr>
        <w:footnoteReference w:id="24"/>
      </w:r>
      <w:r w:rsidRPr="007930B0">
        <w:rPr>
          <w:lang w:val="es-ES"/>
        </w:rPr>
        <w:t>. La cobertura es desigual, y varía entre un 52% en Hodh El Gharbi y un 98% en Nuakchot. Esta situación, que se debe a la aplicación insuficiente de criterios de localización, influye enormemente en el uso de los servicios básicos de salud y frena, por la misma razón, el mejoramiento de los indicadores del sector. Por otra parte, esta cobertura teórica no permite poner de manifiesto los problemas de funcionamiento de una parte de los puestos de salud por falta de personal calificado. Es necesario señalar especialmente el mantenimiento insuficiente de los equipos en general, y de los equipos biomédicos en particular; en efecto, la existencia de un sistema privado de mantenimiento de los equipos móviles permite asegurar parcialmente cierto grado de mantenimiento de esa clase de equipos (vehículos, motos), mientras que el mantenimiento del material biomédico resulta afectado por la diversidad de métodos de adquisición y por la inexistencia de un sistema público o un servicio privado competente en todos los niveles de la pirámide.</w:t>
      </w:r>
    </w:p>
    <w:p w:rsidR="001E7BB4" w:rsidRPr="007930B0" w:rsidRDefault="00BA3D9C" w:rsidP="00BA3D9C">
      <w:pPr>
        <w:pStyle w:val="H4G"/>
        <w:rPr>
          <w:lang w:val="es-ES"/>
        </w:rPr>
      </w:pPr>
      <w:r w:rsidRPr="007930B0">
        <w:rPr>
          <w:lang w:val="es-ES"/>
        </w:rPr>
        <w:tab/>
      </w:r>
      <w:r w:rsidRPr="007930B0">
        <w:rPr>
          <w:lang w:val="es-ES"/>
        </w:rPr>
        <w:tab/>
      </w:r>
      <w:r w:rsidR="001E7BB4" w:rsidRPr="007930B0">
        <w:rPr>
          <w:lang w:val="es-ES"/>
        </w:rPr>
        <w:t>Recursos humanos</w:t>
      </w:r>
    </w:p>
    <w:p w:rsidR="001E7BB4" w:rsidRPr="007930B0" w:rsidRDefault="001E7BB4" w:rsidP="00B56B34">
      <w:pPr>
        <w:pStyle w:val="SingleTxtG"/>
        <w:rPr>
          <w:lang w:val="es-ES"/>
        </w:rPr>
      </w:pPr>
      <w:r w:rsidRPr="007930B0">
        <w:rPr>
          <w:lang w:val="es-ES"/>
        </w:rPr>
        <w:t>277.</w:t>
      </w:r>
      <w:r w:rsidRPr="007930B0">
        <w:rPr>
          <w:lang w:val="es-ES"/>
        </w:rPr>
        <w:tab/>
        <w:t>El análisis de la situación de los recursos humanos ha puesto en evidencia los principales obstáculos, que son, en particular:</w:t>
      </w:r>
    </w:p>
    <w:p w:rsidR="001E7BB4" w:rsidRPr="007930B0" w:rsidRDefault="001E7BB4" w:rsidP="00BA3D9C">
      <w:pPr>
        <w:pStyle w:val="Bullet1G"/>
        <w:rPr>
          <w:lang w:val="es-ES"/>
        </w:rPr>
      </w:pPr>
      <w:r w:rsidRPr="007930B0">
        <w:rPr>
          <w:lang w:val="es-ES"/>
        </w:rPr>
        <w:t>La falta de un plan de gestión preventiva de los recursos humanos en el ámbito de la salud, que origina una inadecuación entre las necesidades y la disponibilidad de capacitación;</w:t>
      </w:r>
    </w:p>
    <w:p w:rsidR="001E7BB4" w:rsidRPr="007930B0" w:rsidRDefault="001E7BB4" w:rsidP="00BA3D9C">
      <w:pPr>
        <w:pStyle w:val="Bullet1G"/>
        <w:rPr>
          <w:lang w:val="es-ES"/>
        </w:rPr>
      </w:pPr>
      <w:r w:rsidRPr="007930B0">
        <w:rPr>
          <w:lang w:val="es-ES"/>
        </w:rPr>
        <w:t>La insuficiencia cuantitativa de todas las categorías (enfermeros, parteras, asistentes sociales, médicos, etc.);</w:t>
      </w:r>
    </w:p>
    <w:p w:rsidR="001E7BB4" w:rsidRPr="007930B0" w:rsidRDefault="001E7BB4" w:rsidP="00BA3D9C">
      <w:pPr>
        <w:pStyle w:val="Bullet1G"/>
        <w:rPr>
          <w:lang w:val="es-ES"/>
        </w:rPr>
      </w:pPr>
      <w:r w:rsidRPr="007930B0">
        <w:rPr>
          <w:lang w:val="es-ES"/>
        </w:rPr>
        <w:t>La insuficiencia cuantitativa y cualitativa de la capacitación básica;</w:t>
      </w:r>
    </w:p>
    <w:p w:rsidR="001E7BB4" w:rsidRPr="007930B0" w:rsidRDefault="001E7BB4" w:rsidP="00BA3D9C">
      <w:pPr>
        <w:pStyle w:val="Bullet1G"/>
        <w:rPr>
          <w:lang w:val="es-ES"/>
        </w:rPr>
      </w:pPr>
      <w:r w:rsidRPr="007930B0">
        <w:rPr>
          <w:lang w:val="es-ES"/>
        </w:rPr>
        <w:t>La inexistencia de un plan coherente de capacitación permanente y de un plan de desarrollo de las perspectivas de carrera;</w:t>
      </w:r>
    </w:p>
    <w:p w:rsidR="001E7BB4" w:rsidRPr="007930B0" w:rsidRDefault="001E7BB4" w:rsidP="00BA3D9C">
      <w:pPr>
        <w:pStyle w:val="Bullet1G"/>
        <w:rPr>
          <w:lang w:val="es-ES"/>
        </w:rPr>
      </w:pPr>
      <w:r w:rsidRPr="007930B0">
        <w:rPr>
          <w:lang w:val="es-ES"/>
        </w:rPr>
        <w:t>La gestión no equitativa del personal del sector (en lo que respecta a los nombramientos, los ascensos, la participación en actividades de capacitación a nivel nacional o internacional, la participación en congresos o coloquios, el seguimiento, las sanciones, los premios, etc.);</w:t>
      </w:r>
    </w:p>
    <w:p w:rsidR="001E7BB4" w:rsidRPr="007930B0" w:rsidRDefault="001E7BB4" w:rsidP="00CC3B6E">
      <w:pPr>
        <w:pStyle w:val="Bullet1G"/>
        <w:rPr>
          <w:lang w:val="es-ES"/>
        </w:rPr>
      </w:pPr>
      <w:r w:rsidRPr="007930B0">
        <w:rPr>
          <w:lang w:val="es-ES"/>
        </w:rPr>
        <w:t xml:space="preserve">La insuficiencia del sistema de motivación </w:t>
      </w:r>
      <w:r w:rsidR="00CC3B6E" w:rsidRPr="007930B0">
        <w:rPr>
          <w:lang w:val="es-ES"/>
        </w:rPr>
        <w:t>—</w:t>
      </w:r>
      <w:r w:rsidRPr="007930B0">
        <w:rPr>
          <w:lang w:val="es-ES"/>
        </w:rPr>
        <w:t>que no toma en cuenta los criterios de desempeño de la persona además de su presencia</w:t>
      </w:r>
      <w:r w:rsidR="00CC3B6E" w:rsidRPr="007930B0">
        <w:rPr>
          <w:lang w:val="es-ES"/>
        </w:rPr>
        <w:t>—</w:t>
      </w:r>
      <w:r w:rsidRPr="007930B0">
        <w:rPr>
          <w:lang w:val="es-ES"/>
        </w:rPr>
        <w:t xml:space="preserve"> y la ausencia de medidas de apoyo para la i</w:t>
      </w:r>
      <w:r w:rsidR="0095166A">
        <w:rPr>
          <w:lang w:val="es-ES"/>
        </w:rPr>
        <w:t>nstalación del personal (por ejemplo,</w:t>
      </w:r>
      <w:r w:rsidRPr="007930B0">
        <w:rPr>
          <w:lang w:val="es-ES"/>
        </w:rPr>
        <w:t xml:space="preserve"> el alojamiento);</w:t>
      </w:r>
    </w:p>
    <w:p w:rsidR="001E7BB4" w:rsidRPr="007930B0" w:rsidRDefault="001E7BB4" w:rsidP="00BA3D9C">
      <w:pPr>
        <w:pStyle w:val="Bullet1G"/>
        <w:rPr>
          <w:lang w:val="es-ES"/>
        </w:rPr>
      </w:pPr>
      <w:r w:rsidRPr="007930B0">
        <w:rPr>
          <w:lang w:val="es-ES"/>
        </w:rPr>
        <w:t xml:space="preserve">La insuficiencia, en los diferentes niveles, de la capacidad de </w:t>
      </w:r>
      <w:r w:rsidR="00CC3B6E" w:rsidRPr="007930B0">
        <w:rPr>
          <w:lang w:val="es-ES"/>
        </w:rPr>
        <w:t>"</w:t>
      </w:r>
      <w:r w:rsidR="0095166A" w:rsidRPr="00034975">
        <w:rPr>
          <w:i/>
          <w:iCs/>
          <w:lang w:val="es-ES"/>
        </w:rPr>
        <w:t>management</w:t>
      </w:r>
      <w:r w:rsidR="00CC3B6E" w:rsidRPr="007930B0">
        <w:rPr>
          <w:lang w:val="es-ES"/>
        </w:rPr>
        <w:t>"</w:t>
      </w:r>
      <w:r w:rsidRPr="007930B0">
        <w:rPr>
          <w:lang w:val="es-ES"/>
        </w:rPr>
        <w:t xml:space="preserve"> o gestión del personal.</w:t>
      </w:r>
    </w:p>
    <w:p w:rsidR="001E7BB4" w:rsidRPr="007930B0" w:rsidRDefault="00BA3D9C" w:rsidP="00BA3D9C">
      <w:pPr>
        <w:pStyle w:val="H4G"/>
        <w:rPr>
          <w:lang w:val="es-ES"/>
        </w:rPr>
      </w:pPr>
      <w:r w:rsidRPr="007930B0">
        <w:rPr>
          <w:lang w:val="es-ES"/>
        </w:rPr>
        <w:tab/>
      </w:r>
      <w:r w:rsidRPr="007930B0">
        <w:rPr>
          <w:lang w:val="es-ES"/>
        </w:rPr>
        <w:tab/>
      </w:r>
      <w:r w:rsidR="001E7BB4" w:rsidRPr="007930B0">
        <w:rPr>
          <w:lang w:val="es-ES"/>
        </w:rPr>
        <w:t>Medicamentos, vacunas y suministros esenciales</w:t>
      </w:r>
    </w:p>
    <w:p w:rsidR="001E7BB4" w:rsidRPr="007930B0" w:rsidRDefault="001E7BB4" w:rsidP="00B56B34">
      <w:pPr>
        <w:pStyle w:val="SingleTxtG"/>
        <w:rPr>
          <w:lang w:val="es-ES"/>
        </w:rPr>
      </w:pPr>
      <w:r w:rsidRPr="007930B0">
        <w:rPr>
          <w:lang w:val="es-ES"/>
        </w:rPr>
        <w:t>278.</w:t>
      </w:r>
      <w:r w:rsidRPr="007930B0">
        <w:rPr>
          <w:lang w:val="es-ES"/>
        </w:rPr>
        <w:tab/>
        <w:t>A pesar de los loables esfuerzos realizados y del claro aumento de la disponibilidad de medicamentos y suministros, el sistema de salud no garantiza ni la disponibilidad permanente de medicamentos, vacunas y suministros esenciales en todos los niveles, ni precios accesibles. Cabe señalar que en el nivel periférico siguen faltando medicamentos, a lo que se suma la existencia de medicamentos vencidos; que hay aumentos relativos del costo de algunos medicamentos en las estructuras periféricas de salud; que la calidad de los medicamentos adquiridos no está sometida a un control independiente; y que las vacunas y los suministros de vacunación, así como los medios utilizados para promover la lucha contra las enfermedades, no son adquiridos a través de las estructuras nacionales habilitadas. Cabe señalar que la capacidad de gestión en los niveles desconcentrados (sobre todo en términos de previsión de las necesidades) deja mucho que desear.</w:t>
      </w:r>
    </w:p>
    <w:p w:rsidR="001E7BB4" w:rsidRPr="007930B0" w:rsidRDefault="001E7BB4" w:rsidP="00B56B34">
      <w:pPr>
        <w:pStyle w:val="SingleTxtG"/>
        <w:rPr>
          <w:lang w:val="es-ES"/>
        </w:rPr>
      </w:pPr>
      <w:r w:rsidRPr="007930B0">
        <w:rPr>
          <w:lang w:val="es-ES"/>
        </w:rPr>
        <w:t>279.</w:t>
      </w:r>
      <w:r w:rsidRPr="007930B0">
        <w:rPr>
          <w:lang w:val="es-ES"/>
        </w:rPr>
        <w:tab/>
        <w:t xml:space="preserve">Por otra parte, el subsector farmacéutico privado se encuentra en una situación de anarquía, y los medicamentos </w:t>
      </w:r>
      <w:r w:rsidR="00CC3B6E" w:rsidRPr="007930B0">
        <w:rPr>
          <w:lang w:val="es-ES"/>
        </w:rPr>
        <w:t>"</w:t>
      </w:r>
      <w:r w:rsidRPr="007930B0">
        <w:rPr>
          <w:lang w:val="es-ES"/>
        </w:rPr>
        <w:t>privados</w:t>
      </w:r>
      <w:r w:rsidR="00CC3B6E" w:rsidRPr="007930B0">
        <w:rPr>
          <w:lang w:val="es-ES"/>
        </w:rPr>
        <w:t>"</w:t>
      </w:r>
      <w:r w:rsidRPr="007930B0">
        <w:rPr>
          <w:lang w:val="es-ES"/>
        </w:rPr>
        <w:t xml:space="preserve"> no están sometidos a ningún tipo de control de calidad ni a un sistema pertinente y coherente de fijación de precios que tenga en cuenta el carácter social de los medicamentos y garantice su calidad y la uniformidad de los precios. En efecto, los precios de los medicamentos que se venden en las farmacias y almacenes farmacéuticos privados no guardan ninguna congruencia, y un mismo producto puede costar hasta tres veces más según la estructura y la procedencia.</w:t>
      </w:r>
    </w:p>
    <w:p w:rsidR="001E7BB4" w:rsidRPr="007930B0" w:rsidRDefault="001E7BB4" w:rsidP="00B56B34">
      <w:pPr>
        <w:pStyle w:val="SingleTxtG"/>
        <w:rPr>
          <w:lang w:val="es-ES"/>
        </w:rPr>
      </w:pPr>
      <w:r w:rsidRPr="007930B0">
        <w:rPr>
          <w:lang w:val="es-ES"/>
        </w:rPr>
        <w:t>280.</w:t>
      </w:r>
      <w:r w:rsidRPr="007930B0">
        <w:rPr>
          <w:lang w:val="es-ES"/>
        </w:rPr>
        <w:tab/>
        <w:t xml:space="preserve">En respuesta a esta situación, se aprobó una </w:t>
      </w:r>
      <w:r w:rsidR="00384889" w:rsidRPr="007930B0">
        <w:rPr>
          <w:lang w:val="es-ES"/>
        </w:rPr>
        <w:t>Ley</w:t>
      </w:r>
      <w:r w:rsidRPr="007930B0">
        <w:rPr>
          <w:lang w:val="es-ES"/>
        </w:rPr>
        <w:t xml:space="preserve"> farmacéutica que obliga a todos los fabricantes que deseen comercializar un producto en Mauritania, a solicitar y obtener para ese producto, en sus diversas formas, una autorización para colocarlo en el mercado. Por otra parte, la fijación de los precios de los medicamentos esenciales que se venden en las estructuras públicas fue objeto de una resolución de aplicación del decreto que modificó el sistema de recuperación de costos; dicha resolución tuvo en cuenta las dificultades de acceso a los medicamentos por parte de la población, en particular por los más pobres, y la necesidad de abastecer en forma continua a las estructuras de salud de los medicamentos y suministros esenciales. En los hospitales terciarios, los precios son fijados por el consejo de administración de cada hospital, lo que determina la ausencia de armonía entre estructuras de un mismo nivel; la falta de integración de estas estructuras en el sistema público de abastecimiento no permite obtener economías de escala en relación con el costo de fabricación de los medicamentos, y aumenta las dificultades para acceder a estas estructuras.</w:t>
      </w:r>
    </w:p>
    <w:p w:rsidR="001E7BB4" w:rsidRPr="007930B0" w:rsidRDefault="00BA3D9C" w:rsidP="00BA3D9C">
      <w:pPr>
        <w:pStyle w:val="H4G"/>
        <w:rPr>
          <w:lang w:val="es-ES"/>
        </w:rPr>
      </w:pPr>
      <w:r w:rsidRPr="007930B0">
        <w:rPr>
          <w:lang w:val="es-ES"/>
        </w:rPr>
        <w:tab/>
      </w:r>
      <w:r w:rsidRPr="007930B0">
        <w:rPr>
          <w:lang w:val="es-ES"/>
        </w:rPr>
        <w:tab/>
      </w:r>
      <w:r w:rsidR="001E7BB4" w:rsidRPr="007930B0">
        <w:rPr>
          <w:lang w:val="es-ES"/>
        </w:rPr>
        <w:t>Calidad de los servicios de salud</w:t>
      </w:r>
    </w:p>
    <w:p w:rsidR="001E7BB4" w:rsidRPr="007930B0" w:rsidRDefault="001E7BB4" w:rsidP="00B56B34">
      <w:pPr>
        <w:pStyle w:val="SingleTxtG"/>
        <w:rPr>
          <w:lang w:val="es-ES"/>
        </w:rPr>
      </w:pPr>
      <w:r w:rsidRPr="007930B0">
        <w:rPr>
          <w:lang w:val="es-ES"/>
        </w:rPr>
        <w:t>281.</w:t>
      </w:r>
      <w:r w:rsidRPr="007930B0">
        <w:rPr>
          <w:lang w:val="es-ES"/>
        </w:rPr>
        <w:tab/>
        <w:t>La calidad de los servicios es insuficiente en la casi totalidad de las estructuras de salud, ya sean públicas o privadas</w:t>
      </w:r>
      <w:r w:rsidRPr="007930B0">
        <w:rPr>
          <w:rStyle w:val="FootnoteReference"/>
          <w:lang w:val="es-ES"/>
        </w:rPr>
        <w:footnoteReference w:id="25"/>
      </w:r>
      <w:r w:rsidRPr="007930B0">
        <w:rPr>
          <w:lang w:val="es-ES"/>
        </w:rPr>
        <w:t>. Esta situación depende en gran medida del estado de las estructuras de salud, de la calidad de los medicamentos y suministros, de la calidad de la capacitación básica y la capacitación permanente, de la falta de motivación del personal y de la ausencia de control y seguimiento de los servicios prestados. Por otra parte, la deficiente higiene hospitalaria ha favorecido la aparición de afecciones nosocomiales, que son cada vez más frecuentes en las estadísticas hospitalarias. Como consecuencia del deterioro de la calidad de los servicios públicos y privados, ha disminuido la confianza de la población en el sistema de salud, y esto ha generado un aumento importante del número de personas que se atienden en el exterior del país, lo que a su vez ha traído aparejada una pérdida de divisas y una disminución de la financiación del sistema. Por otra parte, cabe señalar las deficiencias del sistema de remisión de pacientes entre los diferentes niveles de la pirámide sanitaria, en particular en lo que respecta a las urgencias obstétricas, quirúrgicas y traumatológicas, cuya atención inicial y traslado no responden a las condiciones requeridas. La baja densidad de la población y las grandes distancias que ésta debe recorrer agravan la situación, en un entorno caracterizado por una gran escasez de recursos humanos, materiales y financieros.</w:t>
      </w:r>
    </w:p>
    <w:p w:rsidR="001E7BB4" w:rsidRPr="007930B0" w:rsidRDefault="00BA3D9C" w:rsidP="00BA3D9C">
      <w:pPr>
        <w:pStyle w:val="H4G"/>
        <w:rPr>
          <w:lang w:val="es-ES"/>
        </w:rPr>
      </w:pPr>
      <w:r w:rsidRPr="007930B0">
        <w:rPr>
          <w:lang w:val="es-ES"/>
        </w:rPr>
        <w:tab/>
      </w:r>
      <w:r w:rsidRPr="007930B0">
        <w:rPr>
          <w:lang w:val="es-ES"/>
        </w:rPr>
        <w:tab/>
      </w:r>
      <w:r w:rsidR="001E7BB4" w:rsidRPr="007930B0">
        <w:rPr>
          <w:lang w:val="es-ES"/>
        </w:rPr>
        <w:t>Promoción de la salud y actividades de información, educación y comunicación</w:t>
      </w:r>
    </w:p>
    <w:p w:rsidR="001E7BB4" w:rsidRPr="007930B0" w:rsidRDefault="001E7BB4" w:rsidP="00B56B34">
      <w:pPr>
        <w:pStyle w:val="SingleTxtG"/>
        <w:rPr>
          <w:lang w:val="es-ES"/>
        </w:rPr>
      </w:pPr>
      <w:r w:rsidRPr="007930B0">
        <w:rPr>
          <w:lang w:val="es-ES"/>
        </w:rPr>
        <w:t>282.</w:t>
      </w:r>
      <w:r w:rsidRPr="007930B0">
        <w:rPr>
          <w:lang w:val="es-ES"/>
        </w:rPr>
        <w:tab/>
        <w:t>La importancia de las enfermedades que pueden prevenirse mediante cambios en el comportamiento pone de relieve la insuficiencia de las medidas de promoción de la salud. En efecto, el perfil sanitario se caracteriza por el predominio de las enfermedades infecciosas, los desequilibrios nutricionales, las nuevas enfermedades y, en particular, las enfermedades relacionadas con la higiene de las personas y las comunidades. Sin embargo, no puede pasarse por alto la inexistencia de programas específicos, pertinentes y coherentes de información, educación y comunicación que apunten a lograr un cambio real en los comportamientos nocivos para la salud.</w:t>
      </w:r>
    </w:p>
    <w:p w:rsidR="001E7BB4" w:rsidRPr="007930B0" w:rsidRDefault="00BA3D9C" w:rsidP="00BA3D9C">
      <w:pPr>
        <w:pStyle w:val="H4G"/>
        <w:rPr>
          <w:lang w:val="es-ES"/>
        </w:rPr>
      </w:pPr>
      <w:r w:rsidRPr="007930B0">
        <w:rPr>
          <w:lang w:val="es-ES"/>
        </w:rPr>
        <w:tab/>
      </w:r>
      <w:r w:rsidRPr="007930B0">
        <w:rPr>
          <w:lang w:val="es-ES"/>
        </w:rPr>
        <w:tab/>
      </w:r>
      <w:r w:rsidR="001E7BB4" w:rsidRPr="007930B0">
        <w:rPr>
          <w:lang w:val="es-ES"/>
        </w:rPr>
        <w:t>Situación de la medicina tradicional</w:t>
      </w:r>
    </w:p>
    <w:p w:rsidR="001E7BB4" w:rsidRPr="007930B0" w:rsidRDefault="001E7BB4" w:rsidP="00B56B34">
      <w:pPr>
        <w:pStyle w:val="SingleTxtG"/>
        <w:rPr>
          <w:lang w:val="es-ES"/>
        </w:rPr>
      </w:pPr>
      <w:r w:rsidRPr="007930B0">
        <w:rPr>
          <w:lang w:val="es-ES"/>
        </w:rPr>
        <w:t>283.</w:t>
      </w:r>
      <w:r w:rsidRPr="007930B0">
        <w:rPr>
          <w:lang w:val="es-ES"/>
        </w:rPr>
        <w:tab/>
        <w:t>Como medicina de proximidad, la medicina tradicional ocupa el segundo lugar en las formas de asistencia a las que recurre la población; está presente en todo el territorio nacional y utiliza diversos métodos y plantas nacionales o importadas de otras regiones. Los curanderos están organizados en una asociación creada en 2003. La medicina tradicional, que no es reconocida plenamente como entidad componente del sistema de salud, carece de organización y de estructura y no recibe ningún apoyo adicional. Por otra parte, cabe destacar la frecuencia con que se practican actos invasivos en medios no asépticos y la existencia de terapeutas tradicionales que se dedican a la medicina moderna sin estar calificados para ello.</w:t>
      </w:r>
    </w:p>
    <w:p w:rsidR="001E7BB4" w:rsidRPr="007930B0" w:rsidRDefault="00BA3D9C" w:rsidP="00BA3D9C">
      <w:pPr>
        <w:pStyle w:val="H4G"/>
        <w:rPr>
          <w:lang w:val="es-ES"/>
        </w:rPr>
      </w:pPr>
      <w:r w:rsidRPr="007930B0">
        <w:rPr>
          <w:lang w:val="es-ES"/>
        </w:rPr>
        <w:tab/>
      </w:r>
      <w:r w:rsidRPr="007930B0">
        <w:rPr>
          <w:lang w:val="es-ES"/>
        </w:rPr>
        <w:tab/>
      </w:r>
      <w:r w:rsidR="001E7BB4" w:rsidRPr="007930B0">
        <w:rPr>
          <w:lang w:val="es-ES"/>
        </w:rPr>
        <w:t>Higiene y saneamiento</w:t>
      </w:r>
    </w:p>
    <w:p w:rsidR="001E7BB4" w:rsidRPr="007930B0" w:rsidRDefault="001E7BB4" w:rsidP="00B56B34">
      <w:pPr>
        <w:pStyle w:val="SingleTxtG"/>
        <w:rPr>
          <w:lang w:val="es-ES"/>
        </w:rPr>
      </w:pPr>
      <w:r w:rsidRPr="007930B0">
        <w:rPr>
          <w:lang w:val="es-ES"/>
        </w:rPr>
        <w:t>284.</w:t>
      </w:r>
      <w:r w:rsidRPr="007930B0">
        <w:rPr>
          <w:lang w:val="es-ES"/>
        </w:rPr>
        <w:tab/>
        <w:t>El marco institucional y jurídico es deficiente en lo que respecta a la higiene y el saneamiento ambiental. El código nacional de higiene se ha aplicado muy poco. Cabe señalar que la ausencia de una estrategia nacional en relación con los residuos domésticos, la higiene hospitalaria, los desechos biomédicos o los desechos especiales, así como la falta de un mecanismo de control de la calidad de los alimentos, plantea graves problemas de salud pública. Un estudio de los desechos biomédicos permitió determinar los principales ejes de intervención en este ámbito.</w:t>
      </w:r>
    </w:p>
    <w:p w:rsidR="001E7BB4" w:rsidRPr="007930B0" w:rsidRDefault="001E7BB4" w:rsidP="00B56B34">
      <w:pPr>
        <w:pStyle w:val="SingleTxtG"/>
        <w:rPr>
          <w:lang w:val="es-ES"/>
        </w:rPr>
      </w:pPr>
      <w:r w:rsidRPr="007930B0">
        <w:rPr>
          <w:lang w:val="es-ES"/>
        </w:rPr>
        <w:t>285.</w:t>
      </w:r>
      <w:r w:rsidRPr="007930B0">
        <w:rPr>
          <w:lang w:val="es-ES"/>
        </w:rPr>
        <w:tab/>
        <w:t>Conviene señalar además:</w:t>
      </w:r>
    </w:p>
    <w:p w:rsidR="001E7BB4" w:rsidRPr="007930B0" w:rsidRDefault="001E7BB4" w:rsidP="00BA3D9C">
      <w:pPr>
        <w:pStyle w:val="Bullet1G"/>
        <w:rPr>
          <w:lang w:val="es-ES"/>
        </w:rPr>
      </w:pPr>
      <w:r w:rsidRPr="007930B0">
        <w:rPr>
          <w:lang w:val="es-ES"/>
        </w:rPr>
        <w:t>La falta de estudios suficientes sobre los riesgos sanitarios relacionados con las sustancias químicas y las emisiones de gas;</w:t>
      </w:r>
    </w:p>
    <w:p w:rsidR="001E7BB4" w:rsidRPr="007930B0" w:rsidRDefault="001E7BB4" w:rsidP="00BA3D9C">
      <w:pPr>
        <w:pStyle w:val="Bullet1G"/>
        <w:rPr>
          <w:lang w:val="es-ES"/>
        </w:rPr>
      </w:pPr>
      <w:r w:rsidRPr="007930B0">
        <w:rPr>
          <w:lang w:val="es-ES"/>
        </w:rPr>
        <w:t>La insuficiencia de la información proporcionada a la población sobre los efectos de los factores ambientales en la salud;</w:t>
      </w:r>
    </w:p>
    <w:p w:rsidR="001E7BB4" w:rsidRPr="007930B0" w:rsidRDefault="001E7BB4" w:rsidP="00BA3D9C">
      <w:pPr>
        <w:pStyle w:val="Bullet1G"/>
        <w:rPr>
          <w:lang w:val="es-ES"/>
        </w:rPr>
      </w:pPr>
      <w:r w:rsidRPr="007930B0">
        <w:rPr>
          <w:lang w:val="es-ES"/>
        </w:rPr>
        <w:t>La insuficiencia de los recursos humanos y financieros invertidos en el mejoramiento de la higiene, el saneamiento ambiental y la seguridad química.</w:t>
      </w:r>
    </w:p>
    <w:p w:rsidR="001E7BB4" w:rsidRPr="007930B0" w:rsidRDefault="00BA3D9C" w:rsidP="00BA3D9C">
      <w:pPr>
        <w:pStyle w:val="H4G"/>
        <w:rPr>
          <w:lang w:val="es-ES"/>
        </w:rPr>
      </w:pPr>
      <w:r w:rsidRPr="007930B0">
        <w:rPr>
          <w:lang w:val="es-ES"/>
        </w:rPr>
        <w:tab/>
      </w:r>
      <w:r w:rsidRPr="007930B0">
        <w:rPr>
          <w:lang w:val="es-ES"/>
        </w:rPr>
        <w:tab/>
      </w:r>
      <w:r w:rsidR="001E7BB4" w:rsidRPr="007930B0">
        <w:rPr>
          <w:lang w:val="es-ES"/>
        </w:rPr>
        <w:t>Acceso financiero de los pobres a los servicios de atención de la salud</w:t>
      </w:r>
    </w:p>
    <w:p w:rsidR="001E7BB4" w:rsidRPr="007930B0" w:rsidRDefault="001E7BB4" w:rsidP="00CC3B6E">
      <w:pPr>
        <w:pStyle w:val="SingleTxtG"/>
        <w:rPr>
          <w:lang w:val="es-ES"/>
        </w:rPr>
      </w:pPr>
      <w:r w:rsidRPr="007930B0">
        <w:rPr>
          <w:lang w:val="es-ES"/>
        </w:rPr>
        <w:t>286.</w:t>
      </w:r>
      <w:r w:rsidRPr="007930B0">
        <w:rPr>
          <w:lang w:val="es-ES"/>
        </w:rPr>
        <w:tab/>
        <w:t xml:space="preserve">La información disponible muestra una subutilización del sistema de salud </w:t>
      </w:r>
      <w:r w:rsidR="00CC3B6E" w:rsidRPr="007930B0">
        <w:rPr>
          <w:lang w:val="es-ES"/>
        </w:rPr>
        <w:t>—</w:t>
      </w:r>
      <w:r w:rsidRPr="007930B0">
        <w:rPr>
          <w:lang w:val="es-ES"/>
        </w:rPr>
        <w:t>de manera desigual entre los niveles del sistema</w:t>
      </w:r>
      <w:r w:rsidR="00CC3B6E" w:rsidRPr="007930B0">
        <w:rPr>
          <w:lang w:val="es-ES"/>
        </w:rPr>
        <w:t>—</w:t>
      </w:r>
      <w:r w:rsidRPr="007930B0">
        <w:rPr>
          <w:lang w:val="es-ES"/>
        </w:rPr>
        <w:t>, en particular por los grupos más pobres. A la cabeza de las causas del no uso de los servicios de salud figura el alto costo de los servicios y los medicamentos</w:t>
      </w:r>
      <w:r w:rsidRPr="007930B0">
        <w:rPr>
          <w:rStyle w:val="FootnoteReference"/>
          <w:lang w:val="es-ES"/>
        </w:rPr>
        <w:footnoteReference w:id="26"/>
      </w:r>
      <w:r w:rsidRPr="007930B0">
        <w:rPr>
          <w:lang w:val="es-ES"/>
        </w:rPr>
        <w:t>. Cabe señalar que los hogares comprendidos en el quintil más pobre gastan, relativamente, dos veces más en su salud (8,9% del ingreso) que los del quintil más rico (4,6%); esta situación, asociada al costo considerado elevado de los servicios y medicamentos, exige la aplicación de una política específica destinada a garantizar la igualdad de acceso financiero para todos a los servicios esenciales de atención de la salud.</w:t>
      </w:r>
    </w:p>
    <w:p w:rsidR="001E7BB4" w:rsidRPr="007930B0" w:rsidRDefault="00BA3D9C" w:rsidP="00BA3D9C">
      <w:pPr>
        <w:pStyle w:val="H4G"/>
        <w:rPr>
          <w:lang w:val="es-ES"/>
        </w:rPr>
      </w:pPr>
      <w:r w:rsidRPr="007930B0">
        <w:rPr>
          <w:lang w:val="es-ES"/>
        </w:rPr>
        <w:tab/>
      </w:r>
      <w:r w:rsidRPr="007930B0">
        <w:rPr>
          <w:lang w:val="es-ES"/>
        </w:rPr>
        <w:tab/>
      </w:r>
      <w:r w:rsidR="001E7BB4" w:rsidRPr="007930B0">
        <w:rPr>
          <w:lang w:val="es-ES"/>
        </w:rPr>
        <w:t>Acción social</w:t>
      </w:r>
    </w:p>
    <w:p w:rsidR="001E7BB4" w:rsidRPr="007930B0" w:rsidRDefault="001E7BB4" w:rsidP="00B56B34">
      <w:pPr>
        <w:pStyle w:val="SingleTxtG"/>
        <w:rPr>
          <w:lang w:val="es-ES"/>
        </w:rPr>
      </w:pPr>
      <w:r w:rsidRPr="007930B0">
        <w:rPr>
          <w:lang w:val="es-ES"/>
        </w:rPr>
        <w:t>287.</w:t>
      </w:r>
      <w:r w:rsidRPr="007930B0">
        <w:rPr>
          <w:lang w:val="es-ES"/>
        </w:rPr>
        <w:tab/>
        <w:t>En la esfera de la acción social existe un completo desfase entre los enfoques, los medios y los problemas a resolver. A ello se suma la falta de coordinación suficiente entre los diferentes departamentos encargados de la protección social, la escasez de recursos humanos especializados, que no permite disponer de los conocimientos y competencias necesarios para concebir, elaborar, ejecutar y supervisar los programas y políticas sociales, y el conocimiento insuficiente de los grupos beneficiarios de la acción social, que constituye un verdadero obstáculo para la aplicación de programas adaptados.</w:t>
      </w:r>
    </w:p>
    <w:p w:rsidR="001E7BB4" w:rsidRPr="007930B0" w:rsidRDefault="00BA3D9C" w:rsidP="00BA3D9C">
      <w:pPr>
        <w:pStyle w:val="H4G"/>
        <w:rPr>
          <w:lang w:val="es-ES"/>
        </w:rPr>
      </w:pPr>
      <w:r w:rsidRPr="007930B0">
        <w:rPr>
          <w:lang w:val="es-ES"/>
        </w:rPr>
        <w:tab/>
      </w:r>
      <w:r w:rsidRPr="007930B0">
        <w:rPr>
          <w:lang w:val="es-ES"/>
        </w:rPr>
        <w:tab/>
      </w:r>
      <w:r w:rsidR="001E7BB4" w:rsidRPr="007930B0">
        <w:rPr>
          <w:lang w:val="es-ES"/>
        </w:rPr>
        <w:t>Financiación del sector</w:t>
      </w:r>
    </w:p>
    <w:p w:rsidR="001E7BB4" w:rsidRPr="007930B0" w:rsidRDefault="001E7BB4" w:rsidP="00B56B34">
      <w:pPr>
        <w:pStyle w:val="SingleTxtG"/>
        <w:rPr>
          <w:lang w:val="es-ES"/>
        </w:rPr>
      </w:pPr>
      <w:r w:rsidRPr="007930B0">
        <w:rPr>
          <w:lang w:val="es-ES"/>
        </w:rPr>
        <w:t>288.</w:t>
      </w:r>
      <w:r w:rsidRPr="007930B0">
        <w:rPr>
          <w:lang w:val="es-ES"/>
        </w:rPr>
        <w:tab/>
        <w:t>Hay que distinguir dos períodos</w:t>
      </w:r>
      <w:r w:rsidRPr="007930B0">
        <w:rPr>
          <w:rStyle w:val="FootnoteReference"/>
          <w:lang w:val="es-ES"/>
        </w:rPr>
        <w:footnoteReference w:id="27"/>
      </w:r>
      <w:r w:rsidRPr="007930B0">
        <w:rPr>
          <w:lang w:val="es-ES"/>
        </w:rPr>
        <w:t>, que se detallan a continuación.</w:t>
      </w:r>
    </w:p>
    <w:p w:rsidR="001E7BB4" w:rsidRPr="007930B0" w:rsidRDefault="001E7BB4" w:rsidP="00B56B34">
      <w:pPr>
        <w:pStyle w:val="SingleTxtG"/>
        <w:rPr>
          <w:lang w:val="es-ES"/>
        </w:rPr>
      </w:pPr>
      <w:r w:rsidRPr="007930B0">
        <w:rPr>
          <w:lang w:val="es-ES"/>
        </w:rPr>
        <w:t>289.</w:t>
      </w:r>
      <w:r w:rsidRPr="007930B0">
        <w:rPr>
          <w:lang w:val="es-ES"/>
        </w:rPr>
        <w:tab/>
        <w:t>El primero (1993 a 2000) se caracteriza por:</w:t>
      </w:r>
    </w:p>
    <w:p w:rsidR="001E7BB4" w:rsidRPr="007930B0" w:rsidRDefault="001E7BB4" w:rsidP="00220D7F">
      <w:pPr>
        <w:pStyle w:val="Bullet1G"/>
        <w:rPr>
          <w:lang w:val="es-ES"/>
        </w:rPr>
      </w:pPr>
      <w:r w:rsidRPr="007930B0">
        <w:rPr>
          <w:lang w:val="es-ES"/>
        </w:rPr>
        <w:t>Una base fiscal reducida (23% del PIB) y un crecimiento rápido de la deuda;</w:t>
      </w:r>
    </w:p>
    <w:p w:rsidR="001E7BB4" w:rsidRPr="007930B0" w:rsidRDefault="001E7BB4" w:rsidP="00CC3B6E">
      <w:pPr>
        <w:pStyle w:val="Bullet1G"/>
        <w:rPr>
          <w:lang w:val="es-ES"/>
        </w:rPr>
      </w:pPr>
      <w:r w:rsidRPr="007930B0">
        <w:rPr>
          <w:lang w:val="es-ES"/>
        </w:rPr>
        <w:t xml:space="preserve">Un aumento más lento de los gastos de salud (8% del gasto público </w:t>
      </w:r>
      <w:r w:rsidR="00CC3B6E" w:rsidRPr="007930B0">
        <w:rPr>
          <w:lang w:val="es-ES"/>
        </w:rPr>
        <w:t>—excluida la deuda—</w:t>
      </w:r>
      <w:r w:rsidRPr="007930B0">
        <w:rPr>
          <w:lang w:val="es-ES"/>
        </w:rPr>
        <w:t xml:space="preserve"> en lugar del 15% recomendado) que los de otros sectores (educación);</w:t>
      </w:r>
    </w:p>
    <w:p w:rsidR="001E7BB4" w:rsidRPr="007930B0" w:rsidRDefault="001E7BB4" w:rsidP="00220D7F">
      <w:pPr>
        <w:pStyle w:val="Bullet1G"/>
        <w:rPr>
          <w:lang w:val="es-ES"/>
        </w:rPr>
      </w:pPr>
      <w:r w:rsidRPr="007930B0">
        <w:rPr>
          <w:lang w:val="es-ES"/>
        </w:rPr>
        <w:t>Un nivel bajo de gastos, de menos de 10 dólares de los Estados Unidos por habitante y por año (en lugar de los 20 a 40 recomendados), insuficiente para responder a las necesidades del sector;</w:t>
      </w:r>
    </w:p>
    <w:p w:rsidR="001E7BB4" w:rsidRPr="007930B0" w:rsidRDefault="001E7BB4" w:rsidP="00220D7F">
      <w:pPr>
        <w:pStyle w:val="Bullet1G"/>
        <w:rPr>
          <w:lang w:val="es-ES"/>
        </w:rPr>
      </w:pPr>
      <w:r w:rsidRPr="007930B0">
        <w:rPr>
          <w:lang w:val="es-ES"/>
        </w:rPr>
        <w:t>Una relación inversión/funcionamiento aún muy alta (1,2 en lugar del 0,6 recomendado) debida al escaso aumento de los gastos de salud del Estado de Mauritania (sobre todo de los gastos de funcionamiento) y a la participación creciente de numerosos donantes en los gastos de inversión;</w:t>
      </w:r>
    </w:p>
    <w:p w:rsidR="001E7BB4" w:rsidRPr="007930B0" w:rsidRDefault="001E7BB4" w:rsidP="00220D7F">
      <w:pPr>
        <w:pStyle w:val="Bullet1G"/>
        <w:rPr>
          <w:lang w:val="es-ES"/>
        </w:rPr>
      </w:pPr>
      <w:r w:rsidRPr="007930B0">
        <w:rPr>
          <w:lang w:val="es-ES"/>
        </w:rPr>
        <w:t>Una progresión del nivel de financiación de los recursos humanos (80% entre1993 y 2000) mucho más moderada que la de la inversión (300% en el mismo período) y un nivel de remuneración del personal de la salud que parece relativamente bajo a la luz de la experiencia nacional, subregional e internacional;</w:t>
      </w:r>
    </w:p>
    <w:p w:rsidR="001E7BB4" w:rsidRPr="007930B0" w:rsidRDefault="001E7BB4" w:rsidP="00220D7F">
      <w:pPr>
        <w:pStyle w:val="Bullet1G"/>
        <w:rPr>
          <w:lang w:val="es-ES"/>
        </w:rPr>
      </w:pPr>
      <w:r w:rsidRPr="007930B0">
        <w:rPr>
          <w:lang w:val="es-ES"/>
        </w:rPr>
        <w:t>Un aumento menos importante de los niveles operacionales (primario: +46% y secundario: +74%) en relación con el nivel terciario (+300%) y administrativo (+100%);</w:t>
      </w:r>
    </w:p>
    <w:p w:rsidR="001E7BB4" w:rsidRPr="007930B0" w:rsidRDefault="001E7BB4" w:rsidP="00220D7F">
      <w:pPr>
        <w:pStyle w:val="Bullet1G"/>
        <w:rPr>
          <w:lang w:val="es-ES"/>
        </w:rPr>
      </w:pPr>
      <w:r w:rsidRPr="007930B0">
        <w:rPr>
          <w:lang w:val="es-ES"/>
        </w:rPr>
        <w:t>Una subvención pública que ha beneficiado en mayor medida a los grupos más ricos (el 40% más rico ha usado más del 82% de la subvención) y en menor grado al grupo de los menos pudientes (el 20% más pobre ha recibido apenas el 2% de esa subvención).</w:t>
      </w:r>
    </w:p>
    <w:p w:rsidR="001E7BB4" w:rsidRPr="007930B0" w:rsidRDefault="001E7BB4" w:rsidP="00B56B34">
      <w:pPr>
        <w:pStyle w:val="SingleTxtG"/>
        <w:rPr>
          <w:lang w:val="es-ES"/>
        </w:rPr>
      </w:pPr>
      <w:r w:rsidRPr="007930B0">
        <w:rPr>
          <w:lang w:val="es-ES"/>
        </w:rPr>
        <w:t>290.</w:t>
      </w:r>
      <w:r w:rsidRPr="007930B0">
        <w:rPr>
          <w:lang w:val="es-ES"/>
        </w:rPr>
        <w:tab/>
        <w:t>En el segundo período (2001-2004) se registró un mejoramiento de las asignaciones, acompañado de una ejecución financiera insuficiente. En tal sentido se observa:</w:t>
      </w:r>
    </w:p>
    <w:p w:rsidR="001E7BB4" w:rsidRPr="007930B0" w:rsidRDefault="001E7BB4" w:rsidP="00CC3B6E">
      <w:pPr>
        <w:pStyle w:val="Bullet1G"/>
        <w:rPr>
          <w:lang w:val="es-ES"/>
        </w:rPr>
      </w:pPr>
      <w:r w:rsidRPr="007930B0">
        <w:rPr>
          <w:lang w:val="es-ES"/>
        </w:rPr>
        <w:t xml:space="preserve">Una progresión en los gastos de salud, que llegan al 11% del gasto público </w:t>
      </w:r>
      <w:r w:rsidR="00CC3B6E" w:rsidRPr="007930B0">
        <w:rPr>
          <w:lang w:val="es-ES"/>
        </w:rPr>
        <w:t>—</w:t>
      </w:r>
      <w:r w:rsidRPr="007930B0">
        <w:rPr>
          <w:lang w:val="es-ES"/>
        </w:rPr>
        <w:t>excluida la deuda;</w:t>
      </w:r>
    </w:p>
    <w:p w:rsidR="001E7BB4" w:rsidRPr="007930B0" w:rsidRDefault="001E7BB4" w:rsidP="00220D7F">
      <w:pPr>
        <w:pStyle w:val="Bullet1G"/>
        <w:rPr>
          <w:lang w:val="es-ES"/>
        </w:rPr>
      </w:pPr>
      <w:r w:rsidRPr="007930B0">
        <w:rPr>
          <w:lang w:val="es-ES"/>
        </w:rPr>
        <w:t>Un aumento favorable de este gasto de salud, que asciende en promedio a 14 dólares de los Estados Unidos por habitante y por año;</w:t>
      </w:r>
    </w:p>
    <w:p w:rsidR="001E7BB4" w:rsidRPr="007930B0" w:rsidRDefault="001E7BB4" w:rsidP="00220D7F">
      <w:pPr>
        <w:pStyle w:val="Bullet1G"/>
        <w:rPr>
          <w:lang w:val="es-ES"/>
        </w:rPr>
      </w:pPr>
      <w:r w:rsidRPr="007930B0">
        <w:rPr>
          <w:lang w:val="es-ES"/>
        </w:rPr>
        <w:t>Una relación inversión/funcionamiento inferior a 0,8;</w:t>
      </w:r>
    </w:p>
    <w:p w:rsidR="001E7BB4" w:rsidRPr="007930B0" w:rsidRDefault="001E7BB4" w:rsidP="00220D7F">
      <w:pPr>
        <w:pStyle w:val="Bullet1G"/>
        <w:rPr>
          <w:lang w:val="es-ES"/>
        </w:rPr>
      </w:pPr>
      <w:r w:rsidRPr="007930B0">
        <w:rPr>
          <w:lang w:val="es-ES"/>
        </w:rPr>
        <w:t>Una progresión de los gastos en el ámbito de los recursos humanos de alrededor del 65%, en favor del pago de primas por zona y por conocimientos técnicos;</w:t>
      </w:r>
    </w:p>
    <w:p w:rsidR="001E7BB4" w:rsidRPr="007930B0" w:rsidRDefault="001E7BB4" w:rsidP="00220D7F">
      <w:pPr>
        <w:pStyle w:val="Bullet1G"/>
        <w:rPr>
          <w:lang w:val="es-ES"/>
        </w:rPr>
      </w:pPr>
      <w:r w:rsidRPr="007930B0">
        <w:rPr>
          <w:lang w:val="es-ES"/>
        </w:rPr>
        <w:t>La adopción de medidas para comenzar a reequilibrar el gasto por nivel a favor de los niveles operacionales, gracias a aumentos importantes en los presupuestos regionales (de 200% a 400%) y al programa de revitalización de los hospitales regionales; y</w:t>
      </w:r>
    </w:p>
    <w:p w:rsidR="001E7BB4" w:rsidRPr="007930B0" w:rsidRDefault="001E7BB4" w:rsidP="00220D7F">
      <w:pPr>
        <w:pStyle w:val="Bullet1G"/>
        <w:rPr>
          <w:lang w:val="es-ES"/>
        </w:rPr>
      </w:pPr>
      <w:r w:rsidRPr="007930B0">
        <w:rPr>
          <w:lang w:val="es-ES"/>
        </w:rPr>
        <w:t>Una distribución más equitativa del gasto, mediante un aumento de los gastos de las regiones más pobres dos o tres veces superior al de las regiones más ricas.</w:t>
      </w:r>
    </w:p>
    <w:p w:rsidR="001E7BB4" w:rsidRPr="007930B0" w:rsidRDefault="001E7BB4" w:rsidP="00B56B34">
      <w:pPr>
        <w:pStyle w:val="SingleTxtG"/>
        <w:rPr>
          <w:lang w:val="es-ES"/>
        </w:rPr>
      </w:pPr>
      <w:r w:rsidRPr="007930B0">
        <w:rPr>
          <w:lang w:val="es-ES"/>
        </w:rPr>
        <w:t>291.</w:t>
      </w:r>
      <w:r w:rsidRPr="007930B0">
        <w:rPr>
          <w:lang w:val="es-ES"/>
        </w:rPr>
        <w:tab/>
        <w:t xml:space="preserve">Además, entre los recursos del sector figuran los fondos generados por el sistema en el marco de la recuperación de los costos de los servicios y medicamentos en todos los niveles de la pirámide. Los montos así generados ascendieron, en 2000, a alrededor de 458 millones de ouguiyas, que representan 167 ouguiyas o 0,7 dólares de los Estados Unidos por habitante y por año. Este sistema de recuperación de costos está avanzando, con un aumento de más de 224% entre 1993 y 2000, derivado principalmente de la generalización del sistema en todos los niveles y su extensión a todas las </w:t>
      </w:r>
      <w:r w:rsidRPr="007930B0">
        <w:rPr>
          <w:i/>
          <w:iCs/>
          <w:lang w:val="es-ES"/>
        </w:rPr>
        <w:t>wilayas</w:t>
      </w:r>
      <w:r w:rsidRPr="007930B0">
        <w:rPr>
          <w:rStyle w:val="FootnoteReference"/>
          <w:lang w:val="es-ES"/>
        </w:rPr>
        <w:footnoteReference w:id="28"/>
      </w:r>
      <w:r w:rsidRPr="007930B0">
        <w:rPr>
          <w:lang w:val="es-ES"/>
        </w:rPr>
        <w:t xml:space="preserve">. A pesar de dicho aumento, esta modalidad de financiación representa solo una modesta parte de la financiación de la salud, a saber, alrededor del 9% del total de gastos del sistema público de salud. Además, la fijación de los precios de los servicios responde a dos grandes objetivos: 1) garantizar la disponibilidad continua y regular de liquidez a nivel local y 2) permitir, a cambio del pago de un </w:t>
      </w:r>
      <w:r w:rsidR="00CC3B6E" w:rsidRPr="007930B0">
        <w:rPr>
          <w:lang w:val="es-ES"/>
        </w:rPr>
        <w:t>"</w:t>
      </w:r>
      <w:r w:rsidRPr="007930B0">
        <w:rPr>
          <w:lang w:val="es-ES"/>
        </w:rPr>
        <w:t>boleto de entrada</w:t>
      </w:r>
      <w:r w:rsidR="00CC3B6E" w:rsidRPr="007930B0">
        <w:rPr>
          <w:lang w:val="es-ES"/>
        </w:rPr>
        <w:t>"</w:t>
      </w:r>
      <w:r w:rsidRPr="007930B0">
        <w:rPr>
          <w:lang w:val="es-ES"/>
        </w:rPr>
        <w:t xml:space="preserve"> al sistema de salud, de bajo costo, el acceso de todos, en particular los pobres, a los servicios esenciales de atención de la salud; para brindar una mejor protección a los más pobres, probablemente será necesario poner más énfasis en mecanismos específicos </w:t>
      </w:r>
      <w:r w:rsidR="00220D7F" w:rsidRPr="007930B0">
        <w:rPr>
          <w:lang w:val="es-ES"/>
        </w:rPr>
        <w:t>de pago por terceros.</w:t>
      </w:r>
    </w:p>
    <w:p w:rsidR="001E7BB4" w:rsidRPr="007930B0" w:rsidRDefault="001E7BB4" w:rsidP="00B56B34">
      <w:pPr>
        <w:pStyle w:val="SingleTxtG"/>
        <w:rPr>
          <w:lang w:val="es-ES"/>
        </w:rPr>
      </w:pPr>
      <w:r w:rsidRPr="007930B0">
        <w:rPr>
          <w:lang w:val="es-ES"/>
        </w:rPr>
        <w:t>292.</w:t>
      </w:r>
      <w:r w:rsidRPr="007930B0">
        <w:rPr>
          <w:lang w:val="es-ES"/>
        </w:rPr>
        <w:tab/>
        <w:t>Por último, los cuantiosos fondos que se han puesto a disposición del sector en estos últimos años no han podido ser absorbidos en su totalidad a causa de la complejidad de los procedimientos de desembolso y los retrasos importantes en la aprobación de los presupuestos, la centralización de la gestión de los fondos y la fragilidad institucional de las estructuras desconcentradas del Ministerio de Salud. A todo ello se suma la escasa capacidad del sector privado, en particular en los ámbitos de la construcción, el suministro de equipos biomédicos y el mantenimiento.</w:t>
      </w:r>
    </w:p>
    <w:p w:rsidR="001E7BB4" w:rsidRPr="007930B0" w:rsidRDefault="00220D7F" w:rsidP="00220D7F">
      <w:pPr>
        <w:pStyle w:val="H4G"/>
        <w:rPr>
          <w:lang w:val="es-ES"/>
        </w:rPr>
      </w:pPr>
      <w:r w:rsidRPr="007930B0">
        <w:rPr>
          <w:lang w:val="es-ES"/>
        </w:rPr>
        <w:tab/>
      </w:r>
      <w:r w:rsidRPr="007930B0">
        <w:rPr>
          <w:lang w:val="es-ES"/>
        </w:rPr>
        <w:tab/>
      </w:r>
      <w:r w:rsidR="001E7BB4" w:rsidRPr="007930B0">
        <w:rPr>
          <w:lang w:val="es-ES"/>
        </w:rPr>
        <w:t>Situación de los sectores privado y paraestatal</w:t>
      </w:r>
    </w:p>
    <w:p w:rsidR="001E7BB4" w:rsidRPr="007930B0" w:rsidRDefault="001E7BB4" w:rsidP="00B56B34">
      <w:pPr>
        <w:pStyle w:val="SingleTxtG"/>
        <w:rPr>
          <w:lang w:val="es-ES"/>
        </w:rPr>
      </w:pPr>
      <w:r w:rsidRPr="007930B0">
        <w:rPr>
          <w:lang w:val="es-ES"/>
        </w:rPr>
        <w:t>293.</w:t>
      </w:r>
      <w:r w:rsidRPr="007930B0">
        <w:rPr>
          <w:lang w:val="es-ES"/>
        </w:rPr>
        <w:tab/>
        <w:t>El sector privado plantea enormes dificultades en lo que respecta a la normalización y la calidad de los servicios. La falta de un respeto estricto de los textos en vigor y la expansión no reglamentada del sector influyen negativamente en la calidad del servicio público, que emplea al mismo personal en el marco de un ejercicio mixto tolerado por la ley. El sector privado abarca tres grupos de estructuras:</w:t>
      </w:r>
    </w:p>
    <w:p w:rsidR="001E7BB4" w:rsidRPr="007930B0" w:rsidRDefault="001E7BB4" w:rsidP="00B56B34">
      <w:pPr>
        <w:pStyle w:val="SingleTxtG"/>
        <w:rPr>
          <w:lang w:val="es-ES"/>
        </w:rPr>
      </w:pPr>
      <w:r w:rsidRPr="007930B0">
        <w:rPr>
          <w:lang w:val="es-ES"/>
        </w:rPr>
        <w:t>294.</w:t>
      </w:r>
      <w:r w:rsidRPr="007930B0">
        <w:rPr>
          <w:lang w:val="es-ES"/>
        </w:rPr>
        <w:tab/>
        <w:t>Las estructuras privadas de atención de la salud comprenden los siguientes establecimientos:</w:t>
      </w:r>
    </w:p>
    <w:p w:rsidR="001E7BB4" w:rsidRPr="007930B0" w:rsidRDefault="001E7BB4" w:rsidP="00220D7F">
      <w:pPr>
        <w:pStyle w:val="Bullet1G"/>
        <w:rPr>
          <w:lang w:val="es-ES"/>
        </w:rPr>
      </w:pPr>
      <w:r w:rsidRPr="007930B0">
        <w:rPr>
          <w:lang w:val="es-ES"/>
        </w:rPr>
        <w:t>Las clínicas médicas (existen 24) están concentradas en Nuakchot y Nuadhibu; tienen en promedio una capacidad de hospitalización de 10 camas y ofrecen asistencia en una o varias especialidades médicas;</w:t>
      </w:r>
    </w:p>
    <w:p w:rsidR="001E7BB4" w:rsidRPr="007930B0" w:rsidRDefault="001E7BB4" w:rsidP="00220D7F">
      <w:pPr>
        <w:pStyle w:val="Bullet1G"/>
        <w:rPr>
          <w:lang w:val="es-ES"/>
        </w:rPr>
      </w:pPr>
      <w:r w:rsidRPr="007930B0">
        <w:rPr>
          <w:lang w:val="es-ES"/>
        </w:rPr>
        <w:t>Los consultorios médicos (28) son atendidos por médicos especializados o no, y ofrecen consultas y atención médica de urgencia;</w:t>
      </w:r>
    </w:p>
    <w:p w:rsidR="001E7BB4" w:rsidRPr="007930B0" w:rsidRDefault="001E7BB4" w:rsidP="00220D7F">
      <w:pPr>
        <w:pStyle w:val="Bullet1G"/>
        <w:rPr>
          <w:lang w:val="es-ES"/>
        </w:rPr>
      </w:pPr>
      <w:r w:rsidRPr="007930B0">
        <w:rPr>
          <w:lang w:val="es-ES"/>
        </w:rPr>
        <w:t>Los consultorios dentales (34) son atendidos por cirujanos dentistas y ofrecen atención odontoestomatológica;</w:t>
      </w:r>
    </w:p>
    <w:p w:rsidR="001E7BB4" w:rsidRPr="007930B0" w:rsidRDefault="001E7BB4" w:rsidP="00220D7F">
      <w:pPr>
        <w:pStyle w:val="Bullet1G"/>
        <w:rPr>
          <w:lang w:val="es-ES"/>
        </w:rPr>
      </w:pPr>
      <w:r w:rsidRPr="007930B0">
        <w:rPr>
          <w:lang w:val="es-ES"/>
        </w:rPr>
        <w:t>Las salas de enfermería (32) son atendidas, en su mayor parte, por enfermeros jubilados.</w:t>
      </w:r>
    </w:p>
    <w:p w:rsidR="001E7BB4" w:rsidRPr="007930B0" w:rsidRDefault="001E7BB4" w:rsidP="00B56B34">
      <w:pPr>
        <w:pStyle w:val="SingleTxtG"/>
        <w:rPr>
          <w:lang w:val="es-ES"/>
        </w:rPr>
      </w:pPr>
      <w:r w:rsidRPr="007930B0">
        <w:rPr>
          <w:lang w:val="es-ES"/>
        </w:rPr>
        <w:t>295.</w:t>
      </w:r>
      <w:r w:rsidRPr="007930B0">
        <w:rPr>
          <w:lang w:val="es-ES"/>
        </w:rPr>
        <w:tab/>
        <w:t>Las estructuras farmacéuticas privadas (existen 387) cuentan con 12 mayoristas, 108 farmacias y 267 almacenes. Cabe señalar que no se aplican los textos en vigor, en particular los relativos a las instalaciones, la capacitación de las personas que trabajan en ellas, la calidad de los productos vendidos y las condiciones de conservación.</w:t>
      </w:r>
    </w:p>
    <w:p w:rsidR="001E7BB4" w:rsidRPr="007930B0" w:rsidRDefault="001E7BB4" w:rsidP="00B56B34">
      <w:pPr>
        <w:pStyle w:val="SingleTxtG"/>
        <w:rPr>
          <w:lang w:val="es-ES"/>
        </w:rPr>
      </w:pPr>
      <w:r w:rsidRPr="007930B0">
        <w:rPr>
          <w:lang w:val="es-ES"/>
        </w:rPr>
        <w:t>296.</w:t>
      </w:r>
      <w:r w:rsidRPr="007930B0">
        <w:rPr>
          <w:lang w:val="es-ES"/>
        </w:rPr>
        <w:tab/>
        <w:t>Los laboratorios privados de análisis biomédicos autorizados (8) son poco numerosos y solo existen en Nuakchot, Nuadhibu y Kiffa.</w:t>
      </w:r>
    </w:p>
    <w:p w:rsidR="001E7BB4" w:rsidRPr="007930B0" w:rsidRDefault="001E7BB4" w:rsidP="00B56B34">
      <w:pPr>
        <w:pStyle w:val="SingleTxtG"/>
        <w:rPr>
          <w:lang w:val="es-ES"/>
        </w:rPr>
      </w:pPr>
      <w:r w:rsidRPr="007930B0">
        <w:rPr>
          <w:lang w:val="es-ES"/>
        </w:rPr>
        <w:t>297.</w:t>
      </w:r>
      <w:r w:rsidRPr="007930B0">
        <w:rPr>
          <w:lang w:val="es-ES"/>
        </w:rPr>
        <w:tab/>
        <w:t>El sector paraestatal está constituido fundamentalmente por las estructuras de medicina del trabajo, los servicios de salud del ejército y el servicio médico de la Sociedad Nacional Industrial y Minera. La participación de este sector en la cobertura no es muy conocida a pesar de su importancia; sus actividades no están coordinadas con las del sistema público.</w:t>
      </w:r>
    </w:p>
    <w:p w:rsidR="001E7BB4" w:rsidRPr="007930B0" w:rsidRDefault="00220D7F" w:rsidP="00220D7F">
      <w:pPr>
        <w:pStyle w:val="H4G"/>
        <w:rPr>
          <w:lang w:val="es-ES"/>
        </w:rPr>
      </w:pPr>
      <w:r w:rsidRPr="007930B0">
        <w:rPr>
          <w:lang w:val="es-ES"/>
        </w:rPr>
        <w:tab/>
      </w:r>
      <w:r w:rsidRPr="007930B0">
        <w:rPr>
          <w:lang w:val="es-ES"/>
        </w:rPr>
        <w:tab/>
      </w:r>
      <w:r w:rsidR="001E7BB4" w:rsidRPr="007930B0">
        <w:rPr>
          <w:lang w:val="es-ES"/>
        </w:rPr>
        <w:t>Sistema Nacional de Información Sanitaria</w:t>
      </w:r>
    </w:p>
    <w:p w:rsidR="001E7BB4" w:rsidRPr="007930B0" w:rsidRDefault="001E7BB4" w:rsidP="00B56B34">
      <w:pPr>
        <w:pStyle w:val="SingleTxtG"/>
        <w:rPr>
          <w:lang w:val="es-ES"/>
        </w:rPr>
      </w:pPr>
      <w:r w:rsidRPr="007930B0">
        <w:rPr>
          <w:lang w:val="es-ES"/>
        </w:rPr>
        <w:t xml:space="preserve">298. </w:t>
      </w:r>
      <w:r w:rsidRPr="007930B0">
        <w:rPr>
          <w:lang w:val="es-ES"/>
        </w:rPr>
        <w:tab/>
        <w:t>El Sistema Nacional de Información Sanitaria, creado a nivel de las estructuras periféricas del sistema público de salud (puestos y centros de salud), ha mejorado enormemente en materia de reunión, transferencia y análisis de datos. Sin embargo, no abarca los niveles secundario y terciario, ni las estructuras privadas. Los datos recogidos son poco fiables.</w:t>
      </w:r>
    </w:p>
    <w:p w:rsidR="001E7BB4" w:rsidRPr="007930B0" w:rsidRDefault="00220D7F" w:rsidP="00220D7F">
      <w:pPr>
        <w:pStyle w:val="H23G"/>
        <w:rPr>
          <w:lang w:val="es-ES"/>
        </w:rPr>
      </w:pPr>
      <w:r w:rsidRPr="007930B0">
        <w:rPr>
          <w:lang w:val="es-ES"/>
        </w:rPr>
        <w:tab/>
      </w:r>
      <w:r w:rsidRPr="007930B0">
        <w:rPr>
          <w:lang w:val="es-ES"/>
        </w:rPr>
        <w:tab/>
      </w:r>
      <w:r w:rsidR="001E7BB4" w:rsidRPr="007930B0">
        <w:rPr>
          <w:lang w:val="es-ES"/>
        </w:rPr>
        <w:t>Entorno sectorial</w:t>
      </w:r>
    </w:p>
    <w:p w:rsidR="001E7BB4" w:rsidRPr="007930B0" w:rsidRDefault="001E7BB4" w:rsidP="00B56B34">
      <w:pPr>
        <w:pStyle w:val="SingleTxtG"/>
        <w:rPr>
          <w:lang w:val="es-ES"/>
        </w:rPr>
      </w:pPr>
      <w:r w:rsidRPr="007930B0">
        <w:rPr>
          <w:lang w:val="es-ES"/>
        </w:rPr>
        <w:t>299.</w:t>
      </w:r>
      <w:r w:rsidRPr="007930B0">
        <w:rPr>
          <w:lang w:val="es-ES"/>
        </w:rPr>
        <w:tab/>
        <w:t xml:space="preserve">La salud, como </w:t>
      </w:r>
      <w:r w:rsidR="00CC3B6E" w:rsidRPr="007930B0">
        <w:rPr>
          <w:lang w:val="es-ES"/>
        </w:rPr>
        <w:t>"</w:t>
      </w:r>
      <w:r w:rsidRPr="007930B0">
        <w:rPr>
          <w:lang w:val="es-ES"/>
        </w:rPr>
        <w:t>un estado de completo bienestar físico, mental y social</w:t>
      </w:r>
      <w:r w:rsidR="00CC3B6E" w:rsidRPr="007930B0">
        <w:rPr>
          <w:lang w:val="es-ES"/>
        </w:rPr>
        <w:t>"</w:t>
      </w:r>
      <w:r w:rsidRPr="007930B0">
        <w:rPr>
          <w:lang w:val="es-ES"/>
        </w:rPr>
        <w:t>, requiere el desarrollo de un entorno favorable desde el punto de vista político, económico y social, y su eficacia dependerá de la importancia y la complementariedad de las relaciones de colaboración que deberán establecerse:</w:t>
      </w:r>
    </w:p>
    <w:p w:rsidR="001E7BB4" w:rsidRPr="007930B0" w:rsidRDefault="00220D7F" w:rsidP="00220D7F">
      <w:pPr>
        <w:pStyle w:val="H4G"/>
        <w:rPr>
          <w:lang w:val="es-ES"/>
        </w:rPr>
      </w:pPr>
      <w:r w:rsidRPr="007930B0">
        <w:rPr>
          <w:lang w:val="es-ES"/>
        </w:rPr>
        <w:tab/>
      </w:r>
      <w:r w:rsidRPr="007930B0">
        <w:rPr>
          <w:lang w:val="es-ES"/>
        </w:rPr>
        <w:tab/>
      </w:r>
      <w:r w:rsidR="001E7BB4" w:rsidRPr="007930B0">
        <w:rPr>
          <w:lang w:val="es-ES"/>
        </w:rPr>
        <w:t>Entorno político</w:t>
      </w:r>
    </w:p>
    <w:p w:rsidR="001E7BB4" w:rsidRPr="007930B0" w:rsidRDefault="001E7BB4" w:rsidP="00B56B34">
      <w:pPr>
        <w:pStyle w:val="SingleTxtG"/>
        <w:rPr>
          <w:lang w:val="es-ES"/>
        </w:rPr>
      </w:pPr>
      <w:r w:rsidRPr="007930B0">
        <w:rPr>
          <w:lang w:val="es-ES"/>
        </w:rPr>
        <w:t>300.</w:t>
      </w:r>
      <w:r w:rsidRPr="007930B0">
        <w:rPr>
          <w:lang w:val="es-ES"/>
        </w:rPr>
        <w:tab/>
        <w:t>La coyuntura política es actualmente favorable para un desarrollo real del sistema de salud y un mejoramiento notorio de la salud de la población; el marco de democratización y la orientación estratégica de la lucha contra la pobreza constituyen sus dos pilares principales. En efecto, el éxito de las últimas experiencias electorales, ya se trate de las elecciones locales, parlamentarias o presidenciales, ha sido reconocido en forma unánime, lo que ha permitido, entre otros resultados, generar un debate de alto nivel con el fin de mejorar en forma continua la acción gubernamental.</w:t>
      </w:r>
    </w:p>
    <w:p w:rsidR="001E7BB4" w:rsidRPr="007930B0" w:rsidRDefault="001E7BB4" w:rsidP="00B56B34">
      <w:pPr>
        <w:pStyle w:val="SingleTxtG"/>
        <w:rPr>
          <w:lang w:val="es-ES"/>
        </w:rPr>
      </w:pPr>
      <w:r w:rsidRPr="007930B0">
        <w:rPr>
          <w:lang w:val="es-ES"/>
        </w:rPr>
        <w:t>301.</w:t>
      </w:r>
      <w:r w:rsidRPr="007930B0">
        <w:rPr>
          <w:lang w:val="es-ES"/>
        </w:rPr>
        <w:tab/>
        <w:t>Por otra parte, el Marco estratégico de lucha contra la pobreza ha permitido adoptar una orientación gubernamental única e integrada, destinada a mejorar el nivel socioeconómico del conjunto de la población; para ello se han definido cuatro ejes estratégicos que permitirán aumentar y mantener el crecimiento económico, concentrarlo a nivel de los pobres, desarrollar los recursos humanos, garantizar el acceso a los servicios básicos, mejorar la gobernanza y fortalecer las capacidades. Esta estructura de la estrategia nacional otorga mayor visibilidad a la acción gubernamental y garantiza la integración y la complementariedad de las medidas sectoriales. Este es por ende un terreno plenamente propicio para una visión multisectorial de la acción sociosanitaria e indispensable para su eficiencia y durabilidad.</w:t>
      </w:r>
    </w:p>
    <w:p w:rsidR="001E7BB4" w:rsidRPr="007930B0" w:rsidRDefault="009A0B49" w:rsidP="009A0B49">
      <w:pPr>
        <w:pStyle w:val="H4G"/>
        <w:rPr>
          <w:lang w:val="es-ES"/>
        </w:rPr>
      </w:pPr>
      <w:r w:rsidRPr="007930B0">
        <w:rPr>
          <w:lang w:val="es-ES"/>
        </w:rPr>
        <w:tab/>
      </w:r>
      <w:r w:rsidRPr="007930B0">
        <w:rPr>
          <w:lang w:val="es-ES"/>
        </w:rPr>
        <w:tab/>
      </w:r>
      <w:r w:rsidR="001E7BB4" w:rsidRPr="007930B0">
        <w:rPr>
          <w:lang w:val="es-ES"/>
        </w:rPr>
        <w:t>Entorno económico</w:t>
      </w:r>
    </w:p>
    <w:p w:rsidR="001E7BB4" w:rsidRPr="007930B0" w:rsidRDefault="001E7BB4" w:rsidP="00B56B34">
      <w:pPr>
        <w:pStyle w:val="SingleTxtG"/>
        <w:rPr>
          <w:lang w:val="es-ES"/>
        </w:rPr>
      </w:pPr>
      <w:r w:rsidRPr="007930B0">
        <w:rPr>
          <w:lang w:val="es-ES"/>
        </w:rPr>
        <w:t>302.</w:t>
      </w:r>
      <w:r w:rsidRPr="007930B0">
        <w:rPr>
          <w:lang w:val="es-ES"/>
        </w:rPr>
        <w:tab/>
        <w:t>El crecimiento económico y el mejoramiento continuo de los ingresos constituyen factores que favorecen el aumento de los recursos financieros del sector, dentro del marco de la orientación estratégica de lucha contra la pobreza. Esta orientación estratégica convierte al sector en una de las prioridades del Gobierno a corto y mediano plazo. Por otra parte, la adhesión del país a la Iniciativa en favor de los países pobres muy endeudados ha permitido movilizar un volumen importante de recursos adicionales como consecuencia de la condonación de una parte considerable de la deuda. La generación de recursos petroleros ofrece mejores perspectivas en lo que respecta a la disponibilidad de financiación a nivel nacional, lo que garantiza la durabilidad y la eficacia de las inversiones realizadas para mejorar cualitativa y cuantitativamente la cobertura sanitaria del país.</w:t>
      </w:r>
    </w:p>
    <w:p w:rsidR="001E7BB4" w:rsidRPr="007930B0" w:rsidRDefault="009A0B49" w:rsidP="009A0B49">
      <w:pPr>
        <w:pStyle w:val="H4G"/>
        <w:rPr>
          <w:lang w:val="es-ES"/>
        </w:rPr>
      </w:pPr>
      <w:r w:rsidRPr="007930B0">
        <w:rPr>
          <w:lang w:val="es-ES"/>
        </w:rPr>
        <w:tab/>
      </w:r>
      <w:r w:rsidRPr="007930B0">
        <w:rPr>
          <w:lang w:val="es-ES"/>
        </w:rPr>
        <w:tab/>
      </w:r>
      <w:r w:rsidR="001E7BB4" w:rsidRPr="007930B0">
        <w:rPr>
          <w:lang w:val="es-ES"/>
        </w:rPr>
        <w:t>Relaciones de colaboración</w:t>
      </w:r>
    </w:p>
    <w:p w:rsidR="001E7BB4" w:rsidRPr="007930B0" w:rsidRDefault="001E7BB4" w:rsidP="00CC3B6E">
      <w:pPr>
        <w:pStyle w:val="SingleTxtG"/>
        <w:rPr>
          <w:lang w:val="es-ES"/>
        </w:rPr>
      </w:pPr>
      <w:r w:rsidRPr="007930B0">
        <w:rPr>
          <w:lang w:val="es-ES"/>
        </w:rPr>
        <w:t>303.</w:t>
      </w:r>
      <w:r w:rsidRPr="007930B0">
        <w:rPr>
          <w:lang w:val="es-ES"/>
        </w:rPr>
        <w:tab/>
        <w:t xml:space="preserve">En forma paralela al crecimiento de la disponibilidad de recursos financieros del Estado, los colaboradores del sector movilizan importantes recursos adicionales. En efecto, los asociados para el desarrollo </w:t>
      </w:r>
      <w:r w:rsidR="00CC3B6E" w:rsidRPr="007930B0">
        <w:rPr>
          <w:lang w:val="es-ES"/>
        </w:rPr>
        <w:t>—</w:t>
      </w:r>
      <w:r w:rsidRPr="007930B0">
        <w:rPr>
          <w:lang w:val="es-ES"/>
        </w:rPr>
        <w:t>ya sean bilaterales o multilaterales</w:t>
      </w:r>
      <w:r w:rsidR="00CC3B6E" w:rsidRPr="007930B0">
        <w:rPr>
          <w:lang w:val="es-ES"/>
        </w:rPr>
        <w:t>—</w:t>
      </w:r>
      <w:r w:rsidRPr="007930B0">
        <w:rPr>
          <w:lang w:val="es-ES"/>
        </w:rPr>
        <w:t xml:space="preserve"> garantizan una parte considerable de la financiación del sector, entre un 30% y un 40% del total de los ingresos</w:t>
      </w:r>
      <w:r w:rsidRPr="007930B0">
        <w:rPr>
          <w:rStyle w:val="FootnoteReference"/>
          <w:lang w:val="es-ES"/>
        </w:rPr>
        <w:footnoteReference w:id="29"/>
      </w:r>
      <w:r w:rsidRPr="007930B0">
        <w:rPr>
          <w:lang w:val="es-ES"/>
        </w:rPr>
        <w:t>. A pesar del mejoramiento del proceso de planificación y de movilización de recursos, la multiplicación de los procedimientos de gestión y la diversidad de prioridades y mandatos disminuyen la eficiencia de estos recursos y el grado de ejecución de estas modalidades de financiación.</w:t>
      </w:r>
    </w:p>
    <w:p w:rsidR="001E7BB4" w:rsidRPr="007930B0" w:rsidRDefault="001E7BB4" w:rsidP="00B56B34">
      <w:pPr>
        <w:pStyle w:val="SingleTxtG"/>
        <w:rPr>
          <w:lang w:val="es-ES"/>
        </w:rPr>
      </w:pPr>
      <w:r w:rsidRPr="007930B0">
        <w:rPr>
          <w:lang w:val="es-ES"/>
        </w:rPr>
        <w:t>304.</w:t>
      </w:r>
      <w:r w:rsidRPr="007930B0">
        <w:rPr>
          <w:lang w:val="es-ES"/>
        </w:rPr>
        <w:tab/>
        <w:t>Además, la colaboración con el sector se lleva a cabo en tres niveles:</w:t>
      </w:r>
    </w:p>
    <w:p w:rsidR="001E7BB4" w:rsidRPr="007930B0" w:rsidRDefault="001E7BB4" w:rsidP="009A0B49">
      <w:pPr>
        <w:pStyle w:val="Bullet1G"/>
        <w:rPr>
          <w:lang w:val="es-ES"/>
        </w:rPr>
      </w:pPr>
      <w:r w:rsidRPr="007930B0">
        <w:rPr>
          <w:lang w:val="es-ES"/>
        </w:rPr>
        <w:t>A nivel local, la participación de las comunidades y de la sociedad civil sigue siendo reducida. Los comités de salud, creados en 1990 y confirmados en 2003, son poco eficaces;</w:t>
      </w:r>
    </w:p>
    <w:p w:rsidR="001E7BB4" w:rsidRPr="007930B0" w:rsidRDefault="001E7BB4" w:rsidP="009A0B49">
      <w:pPr>
        <w:pStyle w:val="Bullet1G"/>
        <w:rPr>
          <w:lang w:val="es-ES"/>
        </w:rPr>
      </w:pPr>
      <w:r w:rsidRPr="007930B0">
        <w:rPr>
          <w:lang w:val="es-ES"/>
        </w:rPr>
        <w:t xml:space="preserve">A nivel intermedio, los consejos y comités de salud no funcionan muy bien debido a la escasa participación de los demás sectores gubernamentales y de los agentes regionales; </w:t>
      </w:r>
    </w:p>
    <w:p w:rsidR="001E7BB4" w:rsidRPr="007930B0" w:rsidRDefault="001E7BB4" w:rsidP="009A0B49">
      <w:pPr>
        <w:pStyle w:val="Bullet1G"/>
        <w:rPr>
          <w:lang w:val="es-ES"/>
        </w:rPr>
      </w:pPr>
      <w:r w:rsidRPr="007930B0">
        <w:rPr>
          <w:lang w:val="es-ES"/>
        </w:rPr>
        <w:t>A nivel nacional, desde 1998 el Ministerio de Salud y sus asociados han adoptado un enfoque sectorial, basado en la formulación de un programa único que integra a todos los proyectos y acciones. Este enfoque no se ha aplicado de conformidad con el proceso adoptado inicialmente, y el mantenimiento de cuentas separadas dotadas de procedimientos específicos para cada donante, sumado a una capacidad de absorción insuficiente, han constituido verdaderos obstáculos para el desembolso y la ejecución financiera de los planes operacionales anuales del departamento. Los exámenes sectoriales organizados cada año han permitido entablar un debate franco entre los diferentes agentes del sector, a saber, el Ministerio de Salud en todos sus niveles, el sector privado de salud, los demás sectores gubernamentales, los asociados para el desarrollo y la sociedad civil.</w:t>
      </w:r>
    </w:p>
    <w:p w:rsidR="001E7BB4" w:rsidRPr="007930B0" w:rsidRDefault="009A0B49" w:rsidP="009A0B49">
      <w:pPr>
        <w:pStyle w:val="H4G"/>
        <w:rPr>
          <w:lang w:val="es-ES"/>
        </w:rPr>
      </w:pPr>
      <w:r w:rsidRPr="007930B0">
        <w:rPr>
          <w:lang w:val="es-ES"/>
        </w:rPr>
        <w:tab/>
      </w:r>
      <w:r w:rsidRPr="007930B0">
        <w:rPr>
          <w:lang w:val="es-ES"/>
        </w:rPr>
        <w:tab/>
      </w:r>
      <w:r w:rsidR="001E7BB4" w:rsidRPr="007930B0">
        <w:rPr>
          <w:lang w:val="es-ES"/>
        </w:rPr>
        <w:t>Investigación</w:t>
      </w:r>
    </w:p>
    <w:p w:rsidR="001E7BB4" w:rsidRPr="007930B0" w:rsidRDefault="001E7BB4" w:rsidP="00B56B34">
      <w:pPr>
        <w:pStyle w:val="SingleTxtG"/>
        <w:rPr>
          <w:lang w:val="es-ES"/>
        </w:rPr>
      </w:pPr>
      <w:r w:rsidRPr="007930B0">
        <w:rPr>
          <w:lang w:val="es-ES"/>
        </w:rPr>
        <w:t>305.</w:t>
      </w:r>
      <w:r w:rsidRPr="007930B0">
        <w:rPr>
          <w:lang w:val="es-ES"/>
        </w:rPr>
        <w:tab/>
        <w:t>La escasa estructuración, la calidad insuficiente y la ausencia de un marco ético para la investigación en materia de salud pública no han permitido el surgimiento de una investigación fiable, orientada a las necesidades del sector. Las iniciativas que apuntan a crear un Instituto de Investigación en Salud Pública y a promover la colaboración científica demuestran que los poderes públicos desean favorecer el desarrollo de la investigación. No obstante, aún son varios los obstáculos que se yerguen en ese camino: la poca capacidad de investigación de las instituciones, la insuficiencia de recursos humanos calificados y de recursos financieros, la escasa difusión de los resultados de las actividades de investigación y el desarrollo limitado de la colaboración científica, tanto entre las instituciones nacionales como con las instituciones extranjeras. Por otra parte, se llevan a cabo misiones de investigación a nivel de varias direcciones centrales, establecimientos públicos y programas de salud.</w:t>
      </w:r>
    </w:p>
    <w:p w:rsidR="001E7BB4" w:rsidRPr="007930B0" w:rsidRDefault="009A0B49" w:rsidP="009A0B49">
      <w:pPr>
        <w:pStyle w:val="H23G"/>
        <w:rPr>
          <w:lang w:val="es-ES"/>
        </w:rPr>
      </w:pPr>
      <w:r w:rsidRPr="007930B0">
        <w:rPr>
          <w:lang w:val="es-ES"/>
        </w:rPr>
        <w:tab/>
      </w:r>
      <w:r w:rsidRPr="007930B0">
        <w:rPr>
          <w:lang w:val="es-ES"/>
        </w:rPr>
        <w:tab/>
      </w:r>
      <w:r w:rsidR="001E7BB4" w:rsidRPr="007930B0">
        <w:rPr>
          <w:lang w:val="es-ES"/>
        </w:rPr>
        <w:t>Visión, valores y principios de la política sanitaria y social nacional</w:t>
      </w:r>
    </w:p>
    <w:p w:rsidR="001E7BB4" w:rsidRPr="007930B0" w:rsidRDefault="001E7BB4" w:rsidP="00B56B34">
      <w:pPr>
        <w:pStyle w:val="SingleTxtG"/>
        <w:rPr>
          <w:lang w:val="es-ES"/>
        </w:rPr>
      </w:pPr>
      <w:r w:rsidRPr="007930B0">
        <w:rPr>
          <w:lang w:val="es-ES"/>
        </w:rPr>
        <w:t>306.</w:t>
      </w:r>
      <w:r w:rsidRPr="007930B0">
        <w:rPr>
          <w:lang w:val="es-ES"/>
        </w:rPr>
        <w:tab/>
        <w:t>El derecho a la salud es un derecho humano fundamental de todo ciudadano mauritano. La política sanitaria y social nacional apunta a mejorar de manera sostenible la salud de la población y a atenuar el impacto de la pobreza en los grupos más vulnerables. La lucha contra las enfermedades constituye uno de los ejes fundamentales de la campaña de mitigación de la pobreza, y debe inscribirse dentro de una visión global de la sociedad y el individuo.</w:t>
      </w:r>
    </w:p>
    <w:p w:rsidR="001E7BB4" w:rsidRPr="007930B0" w:rsidRDefault="001E7BB4" w:rsidP="00B56B34">
      <w:pPr>
        <w:pStyle w:val="SingleTxtG"/>
        <w:rPr>
          <w:lang w:val="es-ES"/>
        </w:rPr>
      </w:pPr>
      <w:r w:rsidRPr="007930B0">
        <w:rPr>
          <w:lang w:val="es-ES"/>
        </w:rPr>
        <w:t>307.</w:t>
      </w:r>
      <w:r w:rsidRPr="007930B0">
        <w:rPr>
          <w:lang w:val="es-ES"/>
        </w:rPr>
        <w:tab/>
        <w:t>Todas las personas y todos los grupos sociales deben encontrar en el sistema sanitario y social una respuesta a sus necesidades tanto individuales como colectivas. El Estado, las comunidades y los ciudadanos son todos responsables de la lucha contra las enfermedades y la exclusión, así como del desarrollo sanitario y social.</w:t>
      </w:r>
    </w:p>
    <w:p w:rsidR="001E7BB4" w:rsidRPr="007930B0" w:rsidRDefault="001E7BB4" w:rsidP="00B56B34">
      <w:pPr>
        <w:pStyle w:val="SingleTxtG"/>
        <w:rPr>
          <w:lang w:val="es-ES"/>
        </w:rPr>
      </w:pPr>
      <w:r w:rsidRPr="007930B0">
        <w:rPr>
          <w:lang w:val="es-ES"/>
        </w:rPr>
        <w:t>308.</w:t>
      </w:r>
      <w:r w:rsidRPr="007930B0">
        <w:rPr>
          <w:lang w:val="es-ES"/>
        </w:rPr>
        <w:tab/>
        <w:t>El valor de la ética y los principios de equidad, justicia y solidaridad social guiarán las opciones estratégicas de la presente política sanitaria y social y serán los garantes de un mejoramiento sostenible de la salud de la población.</w:t>
      </w:r>
    </w:p>
    <w:p w:rsidR="001E7BB4" w:rsidRPr="007930B0" w:rsidRDefault="001E7BB4" w:rsidP="00B56B34">
      <w:pPr>
        <w:pStyle w:val="SingleTxtG"/>
        <w:rPr>
          <w:lang w:val="es-ES"/>
        </w:rPr>
      </w:pPr>
      <w:r w:rsidRPr="007930B0">
        <w:rPr>
          <w:lang w:val="es-ES"/>
        </w:rPr>
        <w:t>309.</w:t>
      </w:r>
      <w:r w:rsidRPr="007930B0">
        <w:rPr>
          <w:lang w:val="es-ES"/>
        </w:rPr>
        <w:tab/>
        <w:t>La participación efectiva de todos los involucrados, la participación de la comunidad y la eficacia de la coordinación serán los elementos impulsores del éxito de la política sanitaria y social. La movilización efectiva de todos los recursos necesarios deberá conducir a la adopción de medidas concretas dirigidas a responder a las aspiraciones legítimas de la población.</w:t>
      </w:r>
    </w:p>
    <w:p w:rsidR="001E7BB4" w:rsidRPr="007930B0" w:rsidRDefault="001E7BB4" w:rsidP="00B56B34">
      <w:pPr>
        <w:pStyle w:val="SingleTxtG"/>
        <w:rPr>
          <w:lang w:val="es-ES"/>
        </w:rPr>
      </w:pPr>
      <w:r w:rsidRPr="007930B0">
        <w:rPr>
          <w:lang w:val="es-ES"/>
        </w:rPr>
        <w:t>310.</w:t>
      </w:r>
      <w:r w:rsidRPr="007930B0">
        <w:rPr>
          <w:lang w:val="es-ES"/>
        </w:rPr>
        <w:tab/>
        <w:t xml:space="preserve">Para el año 2015, la política de salud habrá propiciado la implantación de un sistema de salud moderno, dinámico, eficiente y accesible para toda la población del país, con independencia del lugar de residencia, el nivel de educación, la edad, el sexo, el origen, la situación económica, etc. Este sistema de salud habrá contribuido de manera significativa a mejorar la esperanza y la calidad de vida. La política de salud permitirá, en relación con los demás sectores, combatir la pobreza y vencer de esa manera las enfermedades relacionadas con la pobreza y la ignorancia. Con ese fin, se pondrá el acento en la responsabilización de la población, la participación de la comunidad y la colaboración intersectorial en el marco de un desarrollo sanitario y social armonioso. </w:t>
      </w:r>
    </w:p>
    <w:p w:rsidR="001E7BB4" w:rsidRPr="007930B0" w:rsidRDefault="009A0B49" w:rsidP="009A0B49">
      <w:pPr>
        <w:pStyle w:val="H23G"/>
        <w:rPr>
          <w:lang w:val="es-ES"/>
        </w:rPr>
      </w:pPr>
      <w:r w:rsidRPr="007930B0">
        <w:rPr>
          <w:lang w:val="es-ES"/>
        </w:rPr>
        <w:tab/>
      </w:r>
      <w:r w:rsidRPr="007930B0">
        <w:rPr>
          <w:lang w:val="es-ES"/>
        </w:rPr>
        <w:tab/>
      </w:r>
      <w:r w:rsidR="001E7BB4" w:rsidRPr="007930B0">
        <w:rPr>
          <w:lang w:val="es-ES"/>
        </w:rPr>
        <w:t>Meta y objetivos</w:t>
      </w:r>
    </w:p>
    <w:p w:rsidR="001E7BB4" w:rsidRPr="007930B0" w:rsidRDefault="009A0B49" w:rsidP="009A0B49">
      <w:pPr>
        <w:pStyle w:val="H56G"/>
        <w:rPr>
          <w:lang w:val="es-ES"/>
        </w:rPr>
      </w:pPr>
      <w:r w:rsidRPr="007930B0">
        <w:rPr>
          <w:lang w:val="es-ES"/>
        </w:rPr>
        <w:tab/>
      </w:r>
      <w:r w:rsidRPr="007930B0">
        <w:rPr>
          <w:lang w:val="es-ES"/>
        </w:rPr>
        <w:tab/>
      </w:r>
      <w:r w:rsidR="001E7BB4" w:rsidRPr="007930B0">
        <w:rPr>
          <w:lang w:val="es-ES"/>
        </w:rPr>
        <w:t>Meta</w:t>
      </w:r>
    </w:p>
    <w:p w:rsidR="001E7BB4" w:rsidRPr="007930B0" w:rsidRDefault="001E7BB4" w:rsidP="00B56B34">
      <w:pPr>
        <w:pStyle w:val="SingleTxtG"/>
        <w:rPr>
          <w:lang w:val="es-ES"/>
        </w:rPr>
      </w:pPr>
      <w:r w:rsidRPr="007930B0">
        <w:rPr>
          <w:lang w:val="es-ES"/>
        </w:rPr>
        <w:t>311.</w:t>
      </w:r>
      <w:r w:rsidRPr="007930B0">
        <w:rPr>
          <w:lang w:val="es-ES"/>
        </w:rPr>
        <w:tab/>
        <w:t>La meta es mejorar el estado de salud y la protección social de la población mediante el acceso a una atención sanitaria y social de calidad. Esta meta implica la existencia de un sistema de salud integrado en el cual participen de manera efectiva y responsable todos los agentes, en particular los usuarios y las comunidades.</w:t>
      </w:r>
    </w:p>
    <w:p w:rsidR="001E7BB4" w:rsidRPr="007930B0" w:rsidRDefault="009A0B49" w:rsidP="009A0B49">
      <w:pPr>
        <w:pStyle w:val="H56G"/>
        <w:rPr>
          <w:lang w:val="es-ES"/>
        </w:rPr>
      </w:pPr>
      <w:r w:rsidRPr="007930B0">
        <w:rPr>
          <w:lang w:val="es-ES"/>
        </w:rPr>
        <w:tab/>
      </w:r>
      <w:r w:rsidRPr="007930B0">
        <w:rPr>
          <w:lang w:val="es-ES"/>
        </w:rPr>
        <w:tab/>
      </w:r>
      <w:r w:rsidR="001E7BB4" w:rsidRPr="007930B0">
        <w:rPr>
          <w:lang w:val="es-ES"/>
        </w:rPr>
        <w:t>Objetivos</w:t>
      </w:r>
    </w:p>
    <w:p w:rsidR="001E7BB4" w:rsidRPr="007930B0" w:rsidRDefault="001E7BB4" w:rsidP="00B56B34">
      <w:pPr>
        <w:pStyle w:val="SingleTxtG"/>
        <w:rPr>
          <w:lang w:val="es-ES"/>
        </w:rPr>
      </w:pPr>
      <w:r w:rsidRPr="007930B0">
        <w:rPr>
          <w:lang w:val="es-ES"/>
        </w:rPr>
        <w:t>312.</w:t>
      </w:r>
      <w:r w:rsidRPr="007930B0">
        <w:rPr>
          <w:lang w:val="es-ES"/>
        </w:rPr>
        <w:tab/>
        <w:t>La presente política pone la mira, de manera prioritaria, en la salud maternoinfantil y en la lucha contra las grandes endemias y las nuevas enfermedades que están apareciendo.</w:t>
      </w:r>
    </w:p>
    <w:p w:rsidR="001E7BB4" w:rsidRPr="007930B0" w:rsidRDefault="001E7BB4" w:rsidP="00B56B34">
      <w:pPr>
        <w:pStyle w:val="SingleTxtG"/>
        <w:rPr>
          <w:lang w:val="es-ES"/>
        </w:rPr>
      </w:pPr>
      <w:r w:rsidRPr="007930B0">
        <w:rPr>
          <w:lang w:val="es-ES"/>
        </w:rPr>
        <w:t>313.</w:t>
      </w:r>
      <w:r w:rsidRPr="007930B0">
        <w:rPr>
          <w:lang w:val="es-ES"/>
        </w:rPr>
        <w:tab/>
        <w:t>En lo relativo a la salud maternoinfantil, conviene seguir adelante con las medidas prioritarias adoptadas desde hace varios años con miras a reducir, para el año 2015, la mortalidad materna en tres cuartas partes y la mortalidad infantil en dos tercios.</w:t>
      </w:r>
    </w:p>
    <w:p w:rsidR="001E7BB4" w:rsidRPr="007930B0" w:rsidRDefault="001E7BB4" w:rsidP="00B56B34">
      <w:pPr>
        <w:pStyle w:val="SingleTxtG"/>
        <w:rPr>
          <w:lang w:val="es-ES"/>
        </w:rPr>
      </w:pPr>
      <w:r w:rsidRPr="007930B0">
        <w:rPr>
          <w:lang w:val="es-ES"/>
        </w:rPr>
        <w:t>314.</w:t>
      </w:r>
      <w:r w:rsidRPr="007930B0">
        <w:rPr>
          <w:lang w:val="es-ES"/>
        </w:rPr>
        <w:tab/>
        <w:t>Es conveniente también mejorar el estado nutricional para contribuir a la reducción de la mortalidad y la morbilidad imputables a la malnutrición, en particular a las carencias de micronutrientes en los niños menores de 5 años y en las mujeres embarazadas (carencias de vitamina A, anemia, trastornos causados por la carencia de yodo).</w:t>
      </w:r>
    </w:p>
    <w:p w:rsidR="001E7BB4" w:rsidRPr="007930B0" w:rsidRDefault="001E7BB4" w:rsidP="00B56B34">
      <w:pPr>
        <w:pStyle w:val="SingleTxtG"/>
        <w:rPr>
          <w:lang w:val="es-ES"/>
        </w:rPr>
      </w:pPr>
      <w:r w:rsidRPr="007930B0">
        <w:rPr>
          <w:lang w:val="es-ES"/>
        </w:rPr>
        <w:t>315.</w:t>
      </w:r>
      <w:r w:rsidRPr="007930B0">
        <w:rPr>
          <w:lang w:val="es-ES"/>
        </w:rPr>
        <w:tab/>
        <w:t>En lo que respecta a las grandes endemias y a las nuevas enfermedades que están apareciendo, los esfuerzos deberán apuntar, para el año 2015, a:</w:t>
      </w:r>
    </w:p>
    <w:p w:rsidR="001E7BB4" w:rsidRPr="007930B0" w:rsidRDefault="001E7BB4" w:rsidP="009A0B49">
      <w:pPr>
        <w:pStyle w:val="Bullet1G"/>
        <w:rPr>
          <w:lang w:val="es-ES"/>
        </w:rPr>
      </w:pPr>
      <w:r w:rsidRPr="007930B0">
        <w:rPr>
          <w:lang w:val="es-ES"/>
        </w:rPr>
        <w:t>Estabilizar en menos del 1% la prevalencia del VIH/SIDA en la población general y atender todos los casos nuevos declarados;</w:t>
      </w:r>
    </w:p>
    <w:p w:rsidR="001E7BB4" w:rsidRPr="007930B0" w:rsidRDefault="001E7BB4" w:rsidP="009A0B49">
      <w:pPr>
        <w:pStyle w:val="Bullet1G"/>
        <w:rPr>
          <w:lang w:val="es-ES"/>
        </w:rPr>
      </w:pPr>
      <w:r w:rsidRPr="007930B0">
        <w:rPr>
          <w:lang w:val="es-ES"/>
        </w:rPr>
        <w:t>Disminuir la prevalencia del paludismo, la hepatitis B y la tuberculosis;</w:t>
      </w:r>
    </w:p>
    <w:p w:rsidR="001E7BB4" w:rsidRPr="007930B0" w:rsidRDefault="001E7BB4" w:rsidP="009A0B49">
      <w:pPr>
        <w:pStyle w:val="Bullet1G"/>
        <w:rPr>
          <w:lang w:val="es-ES"/>
        </w:rPr>
      </w:pPr>
      <w:r w:rsidRPr="007930B0">
        <w:rPr>
          <w:lang w:val="es-ES"/>
        </w:rPr>
        <w:t>Intensificar las medidas de prevención, detección y control de las enfermedades nuevas no transmisibles.</w:t>
      </w:r>
    </w:p>
    <w:p w:rsidR="001E7BB4" w:rsidRPr="007930B0" w:rsidRDefault="001E7BB4" w:rsidP="00B56B34">
      <w:pPr>
        <w:pStyle w:val="SingleTxtG"/>
        <w:rPr>
          <w:lang w:val="es-ES"/>
        </w:rPr>
      </w:pPr>
      <w:r w:rsidRPr="007930B0">
        <w:rPr>
          <w:lang w:val="es-ES"/>
        </w:rPr>
        <w:t>316.</w:t>
      </w:r>
      <w:r w:rsidRPr="007930B0">
        <w:rPr>
          <w:lang w:val="es-ES"/>
        </w:rPr>
        <w:tab/>
        <w:t>En el ámbito de la protección social, la actual política deberá garantizar la prestación de servicios de atención de la salud a las personas en situación de pobreza extrema y exclusión social. De este modo, en la esfera de la acción social, la política deberá mejorar la identificación, la orientación y la inserción de los niños que estén en circunstancias difíciles, y la atención y la inserción de las personas con discapacidad.</w:t>
      </w:r>
    </w:p>
    <w:p w:rsidR="001E7BB4" w:rsidRPr="007930B0" w:rsidRDefault="009A0B49" w:rsidP="009A0B49">
      <w:pPr>
        <w:pStyle w:val="H23G"/>
        <w:rPr>
          <w:lang w:val="es-ES"/>
        </w:rPr>
      </w:pPr>
      <w:r w:rsidRPr="007930B0">
        <w:rPr>
          <w:lang w:val="es-ES"/>
        </w:rPr>
        <w:tab/>
      </w:r>
      <w:r w:rsidRPr="007930B0">
        <w:rPr>
          <w:lang w:val="es-ES"/>
        </w:rPr>
        <w:tab/>
      </w:r>
      <w:r w:rsidR="001E7BB4" w:rsidRPr="007930B0">
        <w:rPr>
          <w:lang w:val="es-ES"/>
        </w:rPr>
        <w:t>Orientaciones estratégicas</w:t>
      </w:r>
    </w:p>
    <w:p w:rsidR="001E7BB4" w:rsidRPr="007930B0" w:rsidRDefault="001E7BB4" w:rsidP="00B56B34">
      <w:pPr>
        <w:pStyle w:val="SingleTxtG"/>
        <w:rPr>
          <w:lang w:val="es-ES"/>
        </w:rPr>
      </w:pPr>
      <w:r w:rsidRPr="007930B0">
        <w:rPr>
          <w:lang w:val="es-ES"/>
        </w:rPr>
        <w:t>317.</w:t>
      </w:r>
      <w:r w:rsidRPr="007930B0">
        <w:rPr>
          <w:lang w:val="es-ES"/>
        </w:rPr>
        <w:tab/>
        <w:t>La acción sectorial se articulará en torno a las estrategias principales que se describen a continuación:</w:t>
      </w:r>
    </w:p>
    <w:p w:rsidR="001E7BB4" w:rsidRPr="007930B0" w:rsidRDefault="009A0B49" w:rsidP="009A0B49">
      <w:pPr>
        <w:pStyle w:val="H4G"/>
        <w:rPr>
          <w:lang w:val="es-ES"/>
        </w:rPr>
      </w:pPr>
      <w:r w:rsidRPr="007930B0">
        <w:rPr>
          <w:lang w:val="es-ES"/>
        </w:rPr>
        <w:tab/>
      </w:r>
      <w:r w:rsidRPr="007930B0">
        <w:rPr>
          <w:lang w:val="es-ES"/>
        </w:rPr>
        <w:tab/>
      </w:r>
      <w:r w:rsidR="001E7BB4" w:rsidRPr="007930B0">
        <w:rPr>
          <w:lang w:val="es-ES"/>
        </w:rPr>
        <w:t>Ampliación del acceso a servicios de salud de calidad</w:t>
      </w:r>
    </w:p>
    <w:p w:rsidR="001E7BB4" w:rsidRPr="007930B0" w:rsidRDefault="001E7BB4" w:rsidP="00B56B34">
      <w:pPr>
        <w:pStyle w:val="SingleTxtG"/>
        <w:rPr>
          <w:lang w:val="es-ES"/>
        </w:rPr>
      </w:pPr>
      <w:r w:rsidRPr="007930B0">
        <w:rPr>
          <w:lang w:val="es-ES"/>
        </w:rPr>
        <w:t>318.</w:t>
      </w:r>
      <w:r w:rsidRPr="007930B0">
        <w:rPr>
          <w:lang w:val="es-ES"/>
        </w:rPr>
        <w:tab/>
      </w:r>
      <w:r w:rsidRPr="007930B0">
        <w:rPr>
          <w:b/>
          <w:lang w:val="es-ES"/>
        </w:rPr>
        <w:t>La construcción, la rehabilitación y el equipamiento de las estructuras sanitarias</w:t>
      </w:r>
      <w:r w:rsidRPr="007930B0">
        <w:rPr>
          <w:lang w:val="es-ES"/>
        </w:rPr>
        <w:t xml:space="preserve"> públicas y privadas irán de la mano del </w:t>
      </w:r>
      <w:r w:rsidRPr="007930B0">
        <w:rPr>
          <w:b/>
          <w:lang w:val="es-ES"/>
        </w:rPr>
        <w:t>desarrollo del mantenimiento</w:t>
      </w:r>
      <w:r w:rsidRPr="007930B0">
        <w:rPr>
          <w:lang w:val="es-ES"/>
        </w:rPr>
        <w:t xml:space="preserve"> en todos los niveles.</w:t>
      </w:r>
    </w:p>
    <w:p w:rsidR="001E7BB4" w:rsidRPr="007930B0" w:rsidRDefault="001E7BB4" w:rsidP="00B56B34">
      <w:pPr>
        <w:pStyle w:val="SingleTxtG"/>
        <w:rPr>
          <w:lang w:val="es-ES"/>
        </w:rPr>
      </w:pPr>
      <w:r w:rsidRPr="007930B0">
        <w:rPr>
          <w:lang w:val="es-ES"/>
        </w:rPr>
        <w:t>319.</w:t>
      </w:r>
      <w:r w:rsidRPr="007930B0">
        <w:rPr>
          <w:lang w:val="es-ES"/>
        </w:rPr>
        <w:tab/>
        <w:t xml:space="preserve">Se adoptará un programa de construcción y equipamiento que se actualizará en forma periódica. Dicho programa permitirá garantizar el logro del objetivo de cobertura sanitaria de manera congruente con la disponibilidad de recursos humanos esenciales. Paralelamente, se pondrá en práctica: </w:t>
      </w:r>
    </w:p>
    <w:p w:rsidR="001E7BB4" w:rsidRPr="007930B0" w:rsidRDefault="001E7BB4" w:rsidP="009A0B49">
      <w:pPr>
        <w:pStyle w:val="Bullet1G"/>
        <w:rPr>
          <w:lang w:val="es-ES"/>
        </w:rPr>
      </w:pPr>
      <w:r w:rsidRPr="007930B0">
        <w:rPr>
          <w:lang w:val="es-ES"/>
        </w:rPr>
        <w:t>Un mapa sanitario que abarque todo el país y que se actualizará cada tres años;</w:t>
      </w:r>
    </w:p>
    <w:p w:rsidR="001E7BB4" w:rsidRPr="007930B0" w:rsidRDefault="001E7BB4" w:rsidP="009A0B49">
      <w:pPr>
        <w:pStyle w:val="Bullet1G"/>
        <w:rPr>
          <w:lang w:val="es-ES"/>
        </w:rPr>
      </w:pPr>
      <w:r w:rsidRPr="007930B0">
        <w:rPr>
          <w:lang w:val="es-ES"/>
        </w:rPr>
        <w:t>Un sistema de revisión y adaptación de las normas y planes tipo relacionados con las estructuras sanitarias, que tome en cuenta la dinámica social y la evolución de la disponibilidad de recursos humanos;</w:t>
      </w:r>
    </w:p>
    <w:p w:rsidR="001E7BB4" w:rsidRPr="007930B0" w:rsidRDefault="001E7BB4" w:rsidP="009A0B49">
      <w:pPr>
        <w:pStyle w:val="Bullet1G"/>
        <w:rPr>
          <w:lang w:val="es-ES"/>
        </w:rPr>
      </w:pPr>
      <w:r w:rsidRPr="007930B0">
        <w:rPr>
          <w:lang w:val="es-ES"/>
        </w:rPr>
        <w:t>Un plan de rehabilitación periódica que garantice el mantenimiento de las estructuras en buenas condiciones de funcionamiento y que admita las ampliaciones consideradas necesarias en función de las evaluaciones del sistema;</w:t>
      </w:r>
    </w:p>
    <w:p w:rsidR="001E7BB4" w:rsidRPr="007930B0" w:rsidRDefault="001E7BB4" w:rsidP="009A0B49">
      <w:pPr>
        <w:pStyle w:val="Bullet1G"/>
        <w:rPr>
          <w:lang w:val="es-ES"/>
        </w:rPr>
      </w:pPr>
      <w:r w:rsidRPr="007930B0">
        <w:rPr>
          <w:lang w:val="es-ES"/>
        </w:rPr>
        <w:t>Un sistema eficaz de mantenimiento basado en la complementariedad entre los servicios público y privado, que garantice un mantenimiento periódico preventivo y curativo eficaz de todo el equipo técnico y logístico del departamento, de acuerdo con la estrategia nacional de mantenimiento.</w:t>
      </w:r>
    </w:p>
    <w:p w:rsidR="001E7BB4" w:rsidRPr="007930B0" w:rsidRDefault="001E7BB4" w:rsidP="00B56B34">
      <w:pPr>
        <w:pStyle w:val="SingleTxtG"/>
        <w:rPr>
          <w:lang w:val="es-ES"/>
        </w:rPr>
      </w:pPr>
      <w:r w:rsidRPr="007930B0">
        <w:rPr>
          <w:lang w:val="es-ES"/>
        </w:rPr>
        <w:t>320.</w:t>
      </w:r>
      <w:r w:rsidRPr="007930B0">
        <w:rPr>
          <w:lang w:val="es-ES"/>
        </w:rPr>
        <w:tab/>
      </w:r>
      <w:r w:rsidRPr="007930B0">
        <w:rPr>
          <w:b/>
          <w:lang w:val="es-ES"/>
        </w:rPr>
        <w:t>El desarrollo de los recursos humanos</w:t>
      </w:r>
      <w:r w:rsidRPr="007930B0">
        <w:rPr>
          <w:lang w:val="es-ES"/>
        </w:rPr>
        <w:t xml:space="preserve"> apuntará a garantizar la disponibilidad permanente de personal calificado en todos los niveles de la pirámide sanitaria, de conformidad con las normas nacionales.</w:t>
      </w:r>
    </w:p>
    <w:p w:rsidR="001E7BB4" w:rsidRPr="007930B0" w:rsidRDefault="001E7BB4" w:rsidP="00B56B34">
      <w:pPr>
        <w:pStyle w:val="SingleTxtG"/>
        <w:rPr>
          <w:lang w:val="es-ES"/>
        </w:rPr>
      </w:pPr>
      <w:r w:rsidRPr="007930B0">
        <w:rPr>
          <w:lang w:val="es-ES"/>
        </w:rPr>
        <w:t>321.</w:t>
      </w:r>
      <w:r w:rsidRPr="007930B0">
        <w:rPr>
          <w:lang w:val="es-ES"/>
        </w:rPr>
        <w:tab/>
        <w:t>La estrategia de desarrollo de los recursos humanos deberá permitir:</w:t>
      </w:r>
    </w:p>
    <w:p w:rsidR="001E7BB4" w:rsidRPr="007930B0" w:rsidRDefault="001E7BB4" w:rsidP="009A0B49">
      <w:pPr>
        <w:pStyle w:val="Bullet1G"/>
        <w:rPr>
          <w:lang w:val="es-ES"/>
        </w:rPr>
      </w:pPr>
      <w:r w:rsidRPr="007930B0">
        <w:rPr>
          <w:lang w:val="es-ES"/>
        </w:rPr>
        <w:t>Crear un sistema de planificación de los recursos humanos coherente con el conjunto de subprogramas, en particular con el programa de ampliación de la cobertura sanitaria. Las normas relativas al personal serán revisadas y mejoradas periódicamente, a fin de tener en cuenta las</w:t>
      </w:r>
      <w:r w:rsidR="009A0B49" w:rsidRPr="007930B0">
        <w:rPr>
          <w:lang w:val="es-ES"/>
        </w:rPr>
        <w:t xml:space="preserve"> realidades nacionales del país.</w:t>
      </w:r>
    </w:p>
    <w:p w:rsidR="001E7BB4" w:rsidRPr="007930B0" w:rsidRDefault="001E7BB4" w:rsidP="009A0B49">
      <w:pPr>
        <w:pStyle w:val="Bullet1G"/>
        <w:rPr>
          <w:lang w:val="es-ES"/>
        </w:rPr>
      </w:pPr>
      <w:r w:rsidRPr="007930B0">
        <w:rPr>
          <w:lang w:val="es-ES"/>
        </w:rPr>
        <w:t>Asegurar una capacitación suficiente, en cantidad y calidad, del personal de las diferentes categorías.</w:t>
      </w:r>
    </w:p>
    <w:p w:rsidR="001E7BB4" w:rsidRPr="007930B0" w:rsidRDefault="001E7BB4" w:rsidP="00B56B34">
      <w:pPr>
        <w:pStyle w:val="SingleTxtG"/>
        <w:rPr>
          <w:lang w:val="es-ES"/>
        </w:rPr>
      </w:pPr>
      <w:r w:rsidRPr="007930B0">
        <w:rPr>
          <w:lang w:val="es-ES"/>
        </w:rPr>
        <w:t xml:space="preserve">322. </w:t>
      </w:r>
      <w:r w:rsidRPr="007930B0">
        <w:rPr>
          <w:lang w:val="es-ES"/>
        </w:rPr>
        <w:tab/>
        <w:t>Para alcanzar estos objetivos, convendrá adoptar las medidas siguientes:</w:t>
      </w:r>
    </w:p>
    <w:p w:rsidR="001E7BB4" w:rsidRPr="007930B0" w:rsidRDefault="001E7BB4" w:rsidP="009A0B49">
      <w:pPr>
        <w:pStyle w:val="Bullet1G"/>
        <w:rPr>
          <w:lang w:val="es-ES"/>
        </w:rPr>
      </w:pPr>
      <w:r w:rsidRPr="007930B0">
        <w:rPr>
          <w:lang w:val="es-ES"/>
        </w:rPr>
        <w:t>Reforzar la capacidad de formación básica de las instituciones existentes y abrir nuevas escuelas de formación y una facultad de medicina,</w:t>
      </w:r>
      <w:r w:rsidR="009A0B49" w:rsidRPr="007930B0">
        <w:rPr>
          <w:lang w:val="es-ES"/>
        </w:rPr>
        <w:t xml:space="preserve"> farmacia y odontoestomatología.</w:t>
      </w:r>
    </w:p>
    <w:p w:rsidR="001E7BB4" w:rsidRPr="007930B0" w:rsidRDefault="001E7BB4" w:rsidP="009A0B49">
      <w:pPr>
        <w:pStyle w:val="Bullet1G"/>
        <w:rPr>
          <w:lang w:val="es-ES"/>
        </w:rPr>
      </w:pPr>
      <w:r w:rsidRPr="007930B0">
        <w:rPr>
          <w:lang w:val="es-ES"/>
        </w:rPr>
        <w:t>Ejecutar el plan rector de formación continua, poniendo énfasis especialmente en la calidad de los servicios, de conformidad con los conjuntos m</w:t>
      </w:r>
      <w:r w:rsidR="009A0B49" w:rsidRPr="007930B0">
        <w:rPr>
          <w:lang w:val="es-ES"/>
        </w:rPr>
        <w:t>ínimos de actividades por nivel.</w:t>
      </w:r>
    </w:p>
    <w:p w:rsidR="001E7BB4" w:rsidRPr="007930B0" w:rsidRDefault="001E7BB4" w:rsidP="009A0B49">
      <w:pPr>
        <w:pStyle w:val="Bullet1G"/>
        <w:rPr>
          <w:lang w:val="es-ES"/>
        </w:rPr>
      </w:pPr>
      <w:r w:rsidRPr="007930B0">
        <w:rPr>
          <w:lang w:val="es-ES"/>
        </w:rPr>
        <w:t>Legalizar la apertura de escuelas privadas de formación de paramédicos para responder eficazmente a las necesidades del s</w:t>
      </w:r>
      <w:r w:rsidR="009A0B49" w:rsidRPr="007930B0">
        <w:rPr>
          <w:lang w:val="es-ES"/>
        </w:rPr>
        <w:t>ector.</w:t>
      </w:r>
    </w:p>
    <w:p w:rsidR="001E7BB4" w:rsidRPr="007930B0" w:rsidRDefault="001E7BB4" w:rsidP="009A0B49">
      <w:pPr>
        <w:pStyle w:val="Bullet1G"/>
        <w:rPr>
          <w:lang w:val="es-ES"/>
        </w:rPr>
      </w:pPr>
      <w:r w:rsidRPr="007930B0">
        <w:rPr>
          <w:lang w:val="es-ES"/>
        </w:rPr>
        <w:t>Descentralizar la contratación de personal médico y paramédico con el fin de garantizar la plena satisfacción de las necesidades de recursos humanos calificados en todos los niveles de la pirámide sanitari</w:t>
      </w:r>
      <w:r w:rsidR="009A0B49" w:rsidRPr="007930B0">
        <w:rPr>
          <w:lang w:val="es-ES"/>
        </w:rPr>
        <w:t>a y en todas las zonas del país.</w:t>
      </w:r>
    </w:p>
    <w:p w:rsidR="001E7BB4" w:rsidRPr="007930B0" w:rsidRDefault="001E7BB4" w:rsidP="009A0B49">
      <w:pPr>
        <w:pStyle w:val="Bullet1G"/>
        <w:rPr>
          <w:lang w:val="es-ES"/>
        </w:rPr>
      </w:pPr>
      <w:r w:rsidRPr="007930B0">
        <w:rPr>
          <w:lang w:val="es-ES"/>
        </w:rPr>
        <w:t>Garantizar una equidad y una justicia reales y sostenibles en la gestión, la motivación y la supervisión del personal de la salud en todos los niveles de la pirámide sanitaria. Con ese fin se adoptarán y aplicarán un marco orgánico de empleo, un plan de desarrollo de las perspectivas de carrera y un estatuto particular del personal de la salud, y se diseñarán instrumentos nacionales de gestión que tendrán en cuenta los conocimientos y experienci</w:t>
      </w:r>
      <w:r w:rsidR="009A0B49" w:rsidRPr="007930B0">
        <w:rPr>
          <w:lang w:val="es-ES"/>
        </w:rPr>
        <w:t>as nacionales e internacionales.</w:t>
      </w:r>
    </w:p>
    <w:p w:rsidR="001E7BB4" w:rsidRPr="007930B0" w:rsidRDefault="001E7BB4" w:rsidP="009A0B49">
      <w:pPr>
        <w:pStyle w:val="Bullet1G"/>
        <w:rPr>
          <w:lang w:val="es-ES"/>
        </w:rPr>
      </w:pPr>
      <w:r w:rsidRPr="007930B0">
        <w:rPr>
          <w:lang w:val="es-ES"/>
        </w:rPr>
        <w:t xml:space="preserve">Ampliar el sistema de incentivos para el personal, incorporando en él primas por desempeño y rendimiento con miras a premiar el esfuerzo del personal en materia de calidad. Al mismo tiempo, se volverá a implantar el sistema de sanciones para asegurar el equilibrio y garantizar la generalización y durabilidad de los resultados obtenidos. En este marco se pondrá en marcha también un programa de construcción de viviendas para el personal sanitario empleado en los puestos y centros de salud </w:t>
      </w:r>
      <w:r w:rsidR="009A0B49" w:rsidRPr="007930B0">
        <w:rPr>
          <w:lang w:val="es-ES"/>
        </w:rPr>
        <w:t>y en los hospitales intermedios.</w:t>
      </w:r>
    </w:p>
    <w:p w:rsidR="001E7BB4" w:rsidRPr="007930B0" w:rsidRDefault="001E7BB4" w:rsidP="009A0B49">
      <w:pPr>
        <w:pStyle w:val="Bullet1G"/>
        <w:rPr>
          <w:lang w:val="es-ES"/>
        </w:rPr>
      </w:pPr>
      <w:r w:rsidRPr="007930B0">
        <w:rPr>
          <w:lang w:val="es-ES"/>
        </w:rPr>
        <w:t>Promover y reforzar la ética profesional en forma paralela a un desarrollo coherente y motivador de las perspectivas de carrera que permita mejorar la planificación de los recursos h</w:t>
      </w:r>
      <w:r w:rsidR="009A0B49" w:rsidRPr="007930B0">
        <w:rPr>
          <w:lang w:val="es-ES"/>
        </w:rPr>
        <w:t>umanos en el ámbito de la salud.</w:t>
      </w:r>
    </w:p>
    <w:p w:rsidR="001E7BB4" w:rsidRPr="007930B0" w:rsidRDefault="001E7BB4" w:rsidP="009A0B49">
      <w:pPr>
        <w:pStyle w:val="Bullet1G"/>
        <w:rPr>
          <w:lang w:val="es-ES"/>
        </w:rPr>
      </w:pPr>
      <w:r w:rsidRPr="007930B0">
        <w:rPr>
          <w:lang w:val="es-ES"/>
        </w:rPr>
        <w:t xml:space="preserve">Reforzar el seguimiento y la supervisión formativa en todos los niveles, en el marco de un plan nacional coherente que apunte en particular a mejorar la calidad de los servicios. De esta manera, la supervisión adquirirá la máxima importancia, y será el instrumento básico de la formación continua, la motivación del personal y la evaluación periódica del sistema. </w:t>
      </w:r>
    </w:p>
    <w:p w:rsidR="001E7BB4" w:rsidRPr="007930B0" w:rsidRDefault="001E7BB4" w:rsidP="00B56B34">
      <w:pPr>
        <w:pStyle w:val="SingleTxtG"/>
        <w:rPr>
          <w:lang w:val="es-ES"/>
        </w:rPr>
      </w:pPr>
      <w:r w:rsidRPr="007930B0">
        <w:rPr>
          <w:lang w:val="es-ES"/>
        </w:rPr>
        <w:t>323.</w:t>
      </w:r>
      <w:r w:rsidRPr="007930B0">
        <w:rPr>
          <w:lang w:val="es-ES"/>
        </w:rPr>
        <w:tab/>
        <w:t>Esta estrategia se aplicará en los planes sucesivos de desarrollo de los recursos humanos que integrarán el conjunto de estas dimensiones.</w:t>
      </w:r>
    </w:p>
    <w:p w:rsidR="001E7BB4" w:rsidRPr="007930B0" w:rsidRDefault="001E7BB4" w:rsidP="00B56B34">
      <w:pPr>
        <w:pStyle w:val="SingleTxtG"/>
        <w:rPr>
          <w:lang w:val="es-ES"/>
        </w:rPr>
      </w:pPr>
      <w:r w:rsidRPr="007930B0">
        <w:rPr>
          <w:lang w:val="es-ES"/>
        </w:rPr>
        <w:t>324.</w:t>
      </w:r>
      <w:r w:rsidRPr="007930B0">
        <w:rPr>
          <w:lang w:val="es-ES"/>
        </w:rPr>
        <w:tab/>
        <w:t>A nivel de las estructuras públicas y privadas, se garantizará</w:t>
      </w:r>
      <w:r w:rsidRPr="007930B0">
        <w:rPr>
          <w:b/>
          <w:lang w:val="es-ES"/>
        </w:rPr>
        <w:t xml:space="preserve"> la disponibilidad de medicamentos y suministros de calidad</w:t>
      </w:r>
      <w:r w:rsidRPr="007930B0">
        <w:rPr>
          <w:lang w:val="es-ES"/>
        </w:rPr>
        <w:t xml:space="preserve"> y la posibilidad de acceder a ellos. </w:t>
      </w:r>
    </w:p>
    <w:p w:rsidR="001E7BB4" w:rsidRPr="007930B0" w:rsidRDefault="001E7BB4" w:rsidP="00B56B34">
      <w:pPr>
        <w:pStyle w:val="SingleTxtG"/>
        <w:rPr>
          <w:lang w:val="es-ES"/>
        </w:rPr>
      </w:pPr>
      <w:r w:rsidRPr="007930B0">
        <w:rPr>
          <w:lang w:val="es-ES"/>
        </w:rPr>
        <w:t>325.</w:t>
      </w:r>
      <w:r w:rsidRPr="007930B0">
        <w:rPr>
          <w:lang w:val="es-ES"/>
        </w:rPr>
        <w:tab/>
        <w:t>Con este fin, la estrategia consistirá en:</w:t>
      </w:r>
    </w:p>
    <w:p w:rsidR="001E7BB4" w:rsidRPr="007930B0" w:rsidRDefault="001E7BB4" w:rsidP="009A0B49">
      <w:pPr>
        <w:pStyle w:val="Bullet1G"/>
        <w:rPr>
          <w:lang w:val="es-ES"/>
        </w:rPr>
      </w:pPr>
      <w:r w:rsidRPr="007930B0">
        <w:rPr>
          <w:lang w:val="es-ES"/>
        </w:rPr>
        <w:t xml:space="preserve">Fortalecer el sistema público de abastecimiento y distribución de medicamentos y suministros. En este contexto se reforzarán las instituciones nacionales, regionales y periféricas con el fin de garantizar la disponibilidad permanente y en todos los niveles de la pirámide sanitaria, de los medicamentos, vacunas y suministros esenciales. Además, se dará prioridad a los medicamentos genéricos, para facilitar el acceso económico de una franja lo más amplia posible de la población a estos recursos esenciales del sistema sanitario. Por último, se promoverá la aparición de unidades de fabricación con el fin de mejorar la disponibilidad de ciertos productos muy utilizados y el acceso a ellos (por ejemplo, soluciones, </w:t>
      </w:r>
      <w:r w:rsidR="009A0B49" w:rsidRPr="007930B0">
        <w:rPr>
          <w:lang w:val="es-ES"/>
        </w:rPr>
        <w:t>matraces, jeringas y compresas).</w:t>
      </w:r>
    </w:p>
    <w:p w:rsidR="001E7BB4" w:rsidRPr="007930B0" w:rsidRDefault="001E7BB4" w:rsidP="009A0B49">
      <w:pPr>
        <w:pStyle w:val="Bullet1G"/>
        <w:rPr>
          <w:lang w:val="es-ES"/>
        </w:rPr>
      </w:pPr>
      <w:r w:rsidRPr="007930B0">
        <w:rPr>
          <w:lang w:val="es-ES"/>
        </w:rPr>
        <w:t>Aplicar un sistema de control estricto de la calidad de todos los productos farmacéuticos adquiridos en el territorio nacional, que sea independiente de las estructuras de abastecimiento y distribución. Este sistema de control se aplicará tanto a los medicamentos del sistema público como a los adquiridos en el subsector farmacéutico privado. Para ello, los órganos de control dispondrán de textos reglamentarios y de los medios necesarios para d</w:t>
      </w:r>
      <w:r w:rsidR="009A0B49" w:rsidRPr="007930B0">
        <w:rPr>
          <w:lang w:val="es-ES"/>
        </w:rPr>
        <w:t>esempeñar plenamente su función.</w:t>
      </w:r>
    </w:p>
    <w:p w:rsidR="001E7BB4" w:rsidRPr="007930B0" w:rsidRDefault="001E7BB4" w:rsidP="009A0B49">
      <w:pPr>
        <w:pStyle w:val="Bullet1G"/>
        <w:rPr>
          <w:lang w:val="es-ES"/>
        </w:rPr>
      </w:pPr>
      <w:r w:rsidRPr="007930B0">
        <w:rPr>
          <w:lang w:val="es-ES"/>
        </w:rPr>
        <w:t xml:space="preserve">Reorganizar al subsector privado para garantizar la calidad de los productos y velar por que los precios sean accesibles y uniformes. Se reverán los artículos de la </w:t>
      </w:r>
      <w:r w:rsidR="00384889" w:rsidRPr="007930B0">
        <w:rPr>
          <w:lang w:val="es-ES"/>
        </w:rPr>
        <w:t>Ley</w:t>
      </w:r>
      <w:r w:rsidRPr="007930B0">
        <w:rPr>
          <w:lang w:val="es-ES"/>
        </w:rPr>
        <w:t xml:space="preserve"> farmacéutica que permiten a otras profesiones no médicas o farmacéuticas disponer de puestos de venta de medicamentos, y los textos serán muy estrictos en ese aspecto. Las personas que sean legalmente los propietarios de las farmacias se organizarán y participarán en la aplicación de esta política sociosanitaria, en particular en lo que respecta a la disponibilidad de medicamentos. La función consultiva de la Orden de Médicos, Farmacéuticos y Cirujanos Dentistas tendrá mayor peso en el otorgamiento del permiso de apertura y e</w:t>
      </w:r>
      <w:r w:rsidR="009A0B49" w:rsidRPr="007930B0">
        <w:rPr>
          <w:lang w:val="es-ES"/>
        </w:rPr>
        <w:t>n el control del sector privado.</w:t>
      </w:r>
    </w:p>
    <w:p w:rsidR="001E7BB4" w:rsidRPr="007930B0" w:rsidRDefault="001E7BB4" w:rsidP="009A0B49">
      <w:pPr>
        <w:pStyle w:val="Bullet1G"/>
        <w:rPr>
          <w:lang w:val="es-ES"/>
        </w:rPr>
      </w:pPr>
      <w:r w:rsidRPr="007930B0">
        <w:rPr>
          <w:lang w:val="es-ES"/>
        </w:rPr>
        <w:t xml:space="preserve">Asegurar una inspección permanente del conjunto de las estructuras públicas o privadas en todos los niveles con el fin de garantizar la aplicación de las medidas mencionadas a continuación. En este contexto, se dotará a la inspección general de la salud de las herramientas jurídicas y los recursos humanos y materiales necesarios para la ejecución de esta importante tarea. </w:t>
      </w:r>
    </w:p>
    <w:p w:rsidR="001E7BB4" w:rsidRPr="007930B0" w:rsidRDefault="001E7BB4" w:rsidP="00B56B34">
      <w:pPr>
        <w:pStyle w:val="SingleTxtG"/>
        <w:rPr>
          <w:lang w:val="es-ES"/>
        </w:rPr>
      </w:pPr>
      <w:r w:rsidRPr="007930B0">
        <w:rPr>
          <w:lang w:val="es-ES"/>
        </w:rPr>
        <w:t xml:space="preserve">326. </w:t>
      </w:r>
      <w:r w:rsidRPr="007930B0">
        <w:rPr>
          <w:lang w:val="es-ES"/>
        </w:rPr>
        <w:tab/>
      </w:r>
      <w:r w:rsidRPr="007930B0">
        <w:rPr>
          <w:b/>
          <w:lang w:val="es-ES"/>
        </w:rPr>
        <w:t>La prestación de servicios de salud de calidad dependerá</w:t>
      </w:r>
      <w:r w:rsidRPr="007930B0">
        <w:rPr>
          <w:lang w:val="es-ES"/>
        </w:rPr>
        <w:t xml:space="preserve"> del nivel y el tipo de estructura.</w:t>
      </w:r>
    </w:p>
    <w:p w:rsidR="001E7BB4" w:rsidRPr="007930B0" w:rsidRDefault="001E7BB4" w:rsidP="00B56B34">
      <w:pPr>
        <w:pStyle w:val="SingleTxtG"/>
        <w:rPr>
          <w:lang w:val="es-ES"/>
        </w:rPr>
      </w:pPr>
      <w:r w:rsidRPr="007930B0">
        <w:rPr>
          <w:lang w:val="es-ES"/>
        </w:rPr>
        <w:t>327.</w:t>
      </w:r>
      <w:r w:rsidRPr="007930B0">
        <w:rPr>
          <w:lang w:val="es-ES"/>
        </w:rPr>
        <w:tab/>
        <w:t>Esta estrategia se valdrá, en particular, de las siguientes medidas:</w:t>
      </w:r>
    </w:p>
    <w:p w:rsidR="001E7BB4" w:rsidRPr="007930B0" w:rsidRDefault="001E7BB4" w:rsidP="009A0B49">
      <w:pPr>
        <w:pStyle w:val="Bullet1G"/>
        <w:rPr>
          <w:lang w:val="es-ES"/>
        </w:rPr>
      </w:pPr>
      <w:r w:rsidRPr="007930B0">
        <w:rPr>
          <w:lang w:val="es-ES"/>
        </w:rPr>
        <w:t>La adopción de un conjunto mínimo de actividades por tipo de estructura, que deberá llevarse a cabo en todos los niveles y abarcar a las estructuras privadas, y que se revisará cada cinco años;</w:t>
      </w:r>
    </w:p>
    <w:p w:rsidR="001E7BB4" w:rsidRPr="007930B0" w:rsidRDefault="001E7BB4" w:rsidP="009A0B49">
      <w:pPr>
        <w:pStyle w:val="Bullet1G"/>
        <w:rPr>
          <w:lang w:val="es-ES"/>
        </w:rPr>
      </w:pPr>
      <w:r w:rsidRPr="007930B0">
        <w:rPr>
          <w:lang w:val="es-ES"/>
        </w:rPr>
        <w:t>La revisión consiguiente de los currículos de capacitación básica con el fin de garantizar la disponibilidad de personal suficientemente calificado;</w:t>
      </w:r>
    </w:p>
    <w:p w:rsidR="001E7BB4" w:rsidRPr="007930B0" w:rsidRDefault="001E7BB4" w:rsidP="009A0B49">
      <w:pPr>
        <w:pStyle w:val="Bullet1G"/>
        <w:rPr>
          <w:lang w:val="es-ES"/>
        </w:rPr>
      </w:pPr>
      <w:r w:rsidRPr="007930B0">
        <w:rPr>
          <w:lang w:val="es-ES"/>
        </w:rPr>
        <w:t>La puesta en marcha de un plan adaptado de capacitación permanente que apunte a lograr, como prioridad, el mejoramiento continuo y la calidad de los servicios prestados;</w:t>
      </w:r>
    </w:p>
    <w:p w:rsidR="001E7BB4" w:rsidRPr="007930B0" w:rsidRDefault="001E7BB4" w:rsidP="009A0B49">
      <w:pPr>
        <w:pStyle w:val="Bullet1G"/>
        <w:rPr>
          <w:lang w:val="es-ES"/>
        </w:rPr>
      </w:pPr>
      <w:r w:rsidRPr="007930B0">
        <w:rPr>
          <w:lang w:val="es-ES"/>
        </w:rPr>
        <w:t>Un sistema de garantía de la calidad que complemente el actual sistema de incentivos y permita contar con criterios objetivos para medir el desempeño; en este sistema, la atención eficaz de las urgencias médicas ocupará un lugar destacado, con la aprobación de textos relativos a la gestión de las urgencias;</w:t>
      </w:r>
    </w:p>
    <w:p w:rsidR="001E7BB4" w:rsidRPr="007930B0" w:rsidRDefault="001E7BB4" w:rsidP="009A0B49">
      <w:pPr>
        <w:pStyle w:val="Bullet1G"/>
        <w:rPr>
          <w:lang w:val="es-ES"/>
        </w:rPr>
      </w:pPr>
      <w:r w:rsidRPr="007930B0">
        <w:rPr>
          <w:lang w:val="es-ES"/>
        </w:rPr>
        <w:t>La adopción y aplicación de un sistema nacional de orientación eficaz y sostenible, de uso generalizado en todos los niveles;</w:t>
      </w:r>
    </w:p>
    <w:p w:rsidR="001E7BB4" w:rsidRPr="007930B0" w:rsidRDefault="001E7BB4" w:rsidP="009A0B49">
      <w:pPr>
        <w:pStyle w:val="Bullet1G"/>
        <w:rPr>
          <w:lang w:val="es-ES"/>
        </w:rPr>
      </w:pPr>
      <w:r w:rsidRPr="007930B0">
        <w:rPr>
          <w:lang w:val="es-ES"/>
        </w:rPr>
        <w:t>La aplicación de un programa continuo de supervisión con fines formativos, que involucre a todos los niveles del sistema así como a las estructuras privadas de atención de la salud;</w:t>
      </w:r>
    </w:p>
    <w:p w:rsidR="001E7BB4" w:rsidRPr="007930B0" w:rsidRDefault="001E7BB4" w:rsidP="009A0B49">
      <w:pPr>
        <w:pStyle w:val="Bullet1G"/>
        <w:rPr>
          <w:lang w:val="es-ES"/>
        </w:rPr>
      </w:pPr>
      <w:r w:rsidRPr="007930B0">
        <w:rPr>
          <w:lang w:val="es-ES"/>
        </w:rPr>
        <w:t>El fortalecimiento del papel de la Orden Nacional de Médicos, Farmacéuticos y Cirujanos Dentistas, para que sea operativo y decisivo;</w:t>
      </w:r>
    </w:p>
    <w:p w:rsidR="001E7BB4" w:rsidRPr="007930B0" w:rsidRDefault="001E7BB4" w:rsidP="00CC3B6E">
      <w:pPr>
        <w:pStyle w:val="Bullet1G"/>
        <w:rPr>
          <w:lang w:val="es-ES"/>
        </w:rPr>
      </w:pPr>
      <w:r w:rsidRPr="007930B0">
        <w:rPr>
          <w:lang w:val="es-ES"/>
        </w:rPr>
        <w:t xml:space="preserve">La puesta en marcha de un programa de investigación en materia de calidad y la organización de actividades periódicas de concertación técnica </w:t>
      </w:r>
      <w:r w:rsidR="00CC3B6E" w:rsidRPr="007930B0">
        <w:rPr>
          <w:lang w:val="es-ES"/>
        </w:rPr>
        <w:t>—</w:t>
      </w:r>
      <w:r w:rsidRPr="007930B0">
        <w:rPr>
          <w:lang w:val="es-ES"/>
        </w:rPr>
        <w:t>como congresos, coloquios o jornadas de concertación</w:t>
      </w:r>
      <w:r w:rsidR="00CC3B6E" w:rsidRPr="007930B0">
        <w:rPr>
          <w:lang w:val="es-ES"/>
        </w:rPr>
        <w:t>—</w:t>
      </w:r>
      <w:r w:rsidRPr="007930B0">
        <w:rPr>
          <w:lang w:val="es-ES"/>
        </w:rPr>
        <w:t>, que incluyan a las diferentes categorías de personal. El principal objetivo de esta política sociosanitaria será fortalecer la investigación en el ámbito de la salud, en particular sus componentes de investigación operacional e investigación-acción.</w:t>
      </w:r>
    </w:p>
    <w:p w:rsidR="001E7BB4" w:rsidRPr="007930B0" w:rsidRDefault="001E7BB4" w:rsidP="00B56B34">
      <w:pPr>
        <w:pStyle w:val="SingleTxtG"/>
        <w:rPr>
          <w:lang w:val="es-ES"/>
        </w:rPr>
      </w:pPr>
      <w:r w:rsidRPr="007930B0">
        <w:rPr>
          <w:lang w:val="es-ES"/>
        </w:rPr>
        <w:t>328.</w:t>
      </w:r>
      <w:r w:rsidRPr="007930B0">
        <w:rPr>
          <w:lang w:val="es-ES"/>
        </w:rPr>
        <w:tab/>
      </w:r>
      <w:r w:rsidRPr="007930B0">
        <w:rPr>
          <w:b/>
          <w:lang w:val="es-ES"/>
        </w:rPr>
        <w:t>La dinamización del enfoque comunitario es una</w:t>
      </w:r>
      <w:r w:rsidRPr="007930B0">
        <w:rPr>
          <w:lang w:val="es-ES"/>
        </w:rPr>
        <w:t xml:space="preserve"> estrategia que apunta a:</w:t>
      </w:r>
    </w:p>
    <w:p w:rsidR="001E7BB4" w:rsidRPr="007930B0" w:rsidRDefault="001E7BB4" w:rsidP="000949F2">
      <w:pPr>
        <w:pStyle w:val="Bullet1G"/>
        <w:rPr>
          <w:lang w:val="es-ES"/>
        </w:rPr>
      </w:pPr>
      <w:r w:rsidRPr="007930B0">
        <w:rPr>
          <w:lang w:val="es-ES"/>
        </w:rPr>
        <w:t>Asegurar el acceso del conjunto de la población a los servicios básicos de atención de la salud;</w:t>
      </w:r>
    </w:p>
    <w:p w:rsidR="001E7BB4" w:rsidRPr="007930B0" w:rsidRDefault="001E7BB4" w:rsidP="000949F2">
      <w:pPr>
        <w:pStyle w:val="Bullet1G"/>
        <w:rPr>
          <w:lang w:val="es-ES"/>
        </w:rPr>
      </w:pPr>
      <w:r w:rsidRPr="007930B0">
        <w:rPr>
          <w:lang w:val="es-ES"/>
        </w:rPr>
        <w:t>Fortalecer la prevención primaria de las enfermedades;</w:t>
      </w:r>
    </w:p>
    <w:p w:rsidR="001E7BB4" w:rsidRPr="007930B0" w:rsidRDefault="001E7BB4" w:rsidP="000949F2">
      <w:pPr>
        <w:pStyle w:val="Bullet1G"/>
        <w:rPr>
          <w:lang w:val="es-ES"/>
        </w:rPr>
      </w:pPr>
      <w:r w:rsidRPr="007930B0">
        <w:rPr>
          <w:lang w:val="es-ES"/>
        </w:rPr>
        <w:t>Instaurar una cultura de participación de los beneficiarios en la gestión de su salud.</w:t>
      </w:r>
    </w:p>
    <w:p w:rsidR="001E7BB4" w:rsidRPr="007930B0" w:rsidRDefault="001E7BB4" w:rsidP="00B56B34">
      <w:pPr>
        <w:pStyle w:val="SingleTxtG"/>
        <w:rPr>
          <w:lang w:val="es-ES"/>
        </w:rPr>
      </w:pPr>
      <w:r w:rsidRPr="007930B0">
        <w:rPr>
          <w:lang w:val="es-ES"/>
        </w:rPr>
        <w:t>329.</w:t>
      </w:r>
      <w:r w:rsidRPr="007930B0">
        <w:rPr>
          <w:lang w:val="es-ES"/>
        </w:rPr>
        <w:tab/>
        <w:t>En el marco de dicha estrategia se ha previsto que:</w:t>
      </w:r>
    </w:p>
    <w:p w:rsidR="001E7BB4" w:rsidRPr="007930B0" w:rsidRDefault="001E7BB4" w:rsidP="000949F2">
      <w:pPr>
        <w:pStyle w:val="Bullet1G"/>
        <w:rPr>
          <w:lang w:val="es-ES"/>
        </w:rPr>
      </w:pPr>
      <w:r w:rsidRPr="007930B0">
        <w:rPr>
          <w:lang w:val="es-ES"/>
        </w:rPr>
        <w:t xml:space="preserve">Se crearán, o volverán a crearse, unidades de salud básica en las aldeas situadas a más de 10 km de un puesto o de un centro de salud; en los lugares ubicados a una distancia de entre 5 y 10 km, la estructura de salud proporcionará atención médica en el marco de las actividades de extensión. Estas unidades serán atendidas por un agente de salud comunitario y/o una partera auxiliar que hayan sido suficientemente capacitados para responder a las necesidades básicas de las comunidades comprendidas en su radio de acción, y deberán convertirse gradualmente en puestos de salud, respetando las normas relativas al personal y los equipos, en función de un plan de desarrollo equitativo </w:t>
      </w:r>
      <w:r w:rsidR="000949F2" w:rsidRPr="007930B0">
        <w:rPr>
          <w:lang w:val="es-ES"/>
        </w:rPr>
        <w:t>de la infraestructura sanitaria.</w:t>
      </w:r>
    </w:p>
    <w:p w:rsidR="001E7BB4" w:rsidRPr="007930B0" w:rsidRDefault="001E7BB4" w:rsidP="000949F2">
      <w:pPr>
        <w:pStyle w:val="Bullet1G"/>
        <w:rPr>
          <w:lang w:val="es-ES"/>
        </w:rPr>
      </w:pPr>
      <w:r w:rsidRPr="007930B0">
        <w:rPr>
          <w:lang w:val="es-ES"/>
        </w:rPr>
        <w:t>Se crearán comités de salud en todas las aldeas que dispongan de un centro, un puesto o una unidad de salud básica. Su función consistirá en sensibilizar a la población, vigilar su salud y administrar las estructuras de salud situadas dentro de su jurisdicción. Para ello dispondrán de la capacitación, el apoyo y el seguimiento necesarios. En el mismo marco, se recurrirá a la sociedad civil para reforzar los programas de información y de sen</w:t>
      </w:r>
      <w:r w:rsidR="000949F2" w:rsidRPr="007930B0">
        <w:rPr>
          <w:lang w:val="es-ES"/>
        </w:rPr>
        <w:t>sibilización de las comunidades.</w:t>
      </w:r>
    </w:p>
    <w:p w:rsidR="001E7BB4" w:rsidRPr="007930B0" w:rsidRDefault="001E7BB4" w:rsidP="000949F2">
      <w:pPr>
        <w:pStyle w:val="Bullet1G"/>
        <w:rPr>
          <w:lang w:val="es-ES"/>
        </w:rPr>
      </w:pPr>
      <w:r w:rsidRPr="007930B0">
        <w:rPr>
          <w:lang w:val="es-ES"/>
        </w:rPr>
        <w:t>Los comités de salud nombrarán agentes de enlace en los pueblos que no necesiten una estructura de salud o una unidad de salud básica; estos agentes comunitarios ejercerán una función de enlace entre la estructura de salud o unidad de salud básica y la aldea de que se trate; por lo tanto, tendrán a su cargo la sensibilización respecto de las conductas recomendadas y la movilización de las comunidades con miras a mejorar la utilización de los servicios.</w:t>
      </w:r>
    </w:p>
    <w:p w:rsidR="001E7BB4" w:rsidRPr="007930B0" w:rsidRDefault="001E7BB4" w:rsidP="00B56B34">
      <w:pPr>
        <w:pStyle w:val="SingleTxtG"/>
        <w:rPr>
          <w:lang w:val="es-ES"/>
        </w:rPr>
      </w:pPr>
      <w:r w:rsidRPr="007930B0">
        <w:rPr>
          <w:lang w:val="es-ES"/>
        </w:rPr>
        <w:t>330.</w:t>
      </w:r>
      <w:r w:rsidRPr="007930B0">
        <w:rPr>
          <w:lang w:val="es-ES"/>
        </w:rPr>
        <w:tab/>
        <w:t xml:space="preserve">En lo que respecta a </w:t>
      </w:r>
      <w:r w:rsidRPr="007930B0">
        <w:rPr>
          <w:b/>
          <w:lang w:val="es-ES"/>
        </w:rPr>
        <w:t>la organización e integración de la medicina tradicional</w:t>
      </w:r>
      <w:r w:rsidRPr="007930B0">
        <w:rPr>
          <w:lang w:val="es-ES"/>
        </w:rPr>
        <w:t>, cabe señalar que, en vista de la situación actual de esa medicina y de las recomendaciones internacionales</w:t>
      </w:r>
      <w:r w:rsidRPr="007930B0">
        <w:rPr>
          <w:rStyle w:val="FootnoteReference"/>
          <w:lang w:val="es-ES"/>
        </w:rPr>
        <w:footnoteReference w:id="30"/>
      </w:r>
      <w:r w:rsidRPr="007930B0">
        <w:rPr>
          <w:lang w:val="es-ES"/>
        </w:rPr>
        <w:t>, se pueden distinguir tres ejes fundamentales:</w:t>
      </w:r>
    </w:p>
    <w:p w:rsidR="001E7BB4" w:rsidRPr="007930B0" w:rsidRDefault="001E7BB4" w:rsidP="000949F2">
      <w:pPr>
        <w:pStyle w:val="Bullet1G"/>
        <w:rPr>
          <w:lang w:val="es-ES"/>
        </w:rPr>
      </w:pPr>
      <w:r w:rsidRPr="007930B0">
        <w:rPr>
          <w:lang w:val="es-ES"/>
        </w:rPr>
        <w:t>Institucionalización de la medicina tradicional en un marco jurídico nacional que permita una integración eficaz de la medicina tradicional en el sistema público de salud;</w:t>
      </w:r>
    </w:p>
    <w:p w:rsidR="001E7BB4" w:rsidRPr="007930B0" w:rsidRDefault="001E7BB4" w:rsidP="000949F2">
      <w:pPr>
        <w:pStyle w:val="Bullet1G"/>
        <w:rPr>
          <w:lang w:val="es-ES"/>
        </w:rPr>
      </w:pPr>
      <w:r w:rsidRPr="007930B0">
        <w:rPr>
          <w:lang w:val="es-ES"/>
        </w:rPr>
        <w:t>Participación de los terapeutas tradicionales como agentes de salud en el marco de los programas sociosanitarios, particularmente en los aspectos de información, educación y comunicación para ampliar la lucha contra las enfermedades;</w:t>
      </w:r>
    </w:p>
    <w:p w:rsidR="001E7BB4" w:rsidRPr="007930B0" w:rsidRDefault="001E7BB4" w:rsidP="000949F2">
      <w:pPr>
        <w:pStyle w:val="Bullet1G"/>
        <w:rPr>
          <w:lang w:val="es-ES"/>
        </w:rPr>
      </w:pPr>
      <w:r w:rsidRPr="007930B0">
        <w:rPr>
          <w:lang w:val="es-ES"/>
        </w:rPr>
        <w:t xml:space="preserve">Apoyo a la investigación científica sobre la medicina tradicional con el fin de promover el uso de plantas medicinales y evaluar la eficacia de esa forma de medicina. </w:t>
      </w:r>
    </w:p>
    <w:p w:rsidR="001E7BB4" w:rsidRPr="007930B0" w:rsidRDefault="000949F2" w:rsidP="000949F2">
      <w:pPr>
        <w:pStyle w:val="H4G"/>
        <w:rPr>
          <w:lang w:val="es-ES"/>
        </w:rPr>
      </w:pPr>
      <w:r w:rsidRPr="007930B0">
        <w:rPr>
          <w:lang w:val="es-ES"/>
        </w:rPr>
        <w:tab/>
      </w:r>
      <w:r w:rsidRPr="007930B0">
        <w:rPr>
          <w:lang w:val="es-ES"/>
        </w:rPr>
        <w:tab/>
      </w:r>
      <w:r w:rsidR="001E7BB4" w:rsidRPr="007930B0">
        <w:rPr>
          <w:lang w:val="es-ES"/>
        </w:rPr>
        <w:t>Lucha contra las enfermedades</w:t>
      </w:r>
    </w:p>
    <w:p w:rsidR="001E7BB4" w:rsidRPr="007930B0" w:rsidRDefault="001E7BB4" w:rsidP="00B56B34">
      <w:pPr>
        <w:pStyle w:val="SingleTxtG"/>
        <w:rPr>
          <w:lang w:val="es-ES"/>
        </w:rPr>
      </w:pPr>
      <w:r w:rsidRPr="007930B0">
        <w:rPr>
          <w:lang w:val="es-ES"/>
        </w:rPr>
        <w:t>331.</w:t>
      </w:r>
      <w:r w:rsidRPr="007930B0">
        <w:rPr>
          <w:lang w:val="es-ES"/>
        </w:rPr>
        <w:tab/>
        <w:t>En el marco del control de las endemoepidemias (paludismo, VIH/SIDA, tuberculosis, hepatitis, malnutrición, enfermedades prevenibles mediante vacunación, parasitosis y diarrea infantil, esquistosomiasis, infecciones agudas de las vías respiratorias, ceguera, enfermedades con potencial epidémico, enfermedades cardiovasculares, cáncer, accidentes de tránsito, enfermedades mentales, diabetes, afecciones bucodentarias, etc.), será necesario:</w:t>
      </w:r>
    </w:p>
    <w:p w:rsidR="001E7BB4" w:rsidRPr="007930B0" w:rsidRDefault="001E7BB4" w:rsidP="000949F2">
      <w:pPr>
        <w:pStyle w:val="Bullet1G"/>
        <w:rPr>
          <w:lang w:val="es-ES"/>
        </w:rPr>
      </w:pPr>
      <w:r w:rsidRPr="007930B0">
        <w:rPr>
          <w:lang w:val="es-ES"/>
        </w:rPr>
        <w:t xml:space="preserve">Definir más claramente los objetivos y mejorar el contenido de los </w:t>
      </w:r>
      <w:r w:rsidRPr="007930B0">
        <w:rPr>
          <w:b/>
          <w:lang w:val="es-ES"/>
        </w:rPr>
        <w:t>programas de promoción de la salud</w:t>
      </w:r>
      <w:r w:rsidRPr="007930B0">
        <w:rPr>
          <w:lang w:val="es-ES"/>
        </w:rPr>
        <w:t xml:space="preserve"> diseñados hasta el presente; intensificarlos, diversificarlos y coordinarlos mejor. Estos programas se orientarán a producir un cambio en los comportamientos y a hacer tomar conciencia a la población de los factores ambientales que influyen en su salud, el uso correcto de los servicios de salud y su participación responsable en la gestión de su salud. Estos programas se aplicarán en el marco de una estructura institucional que comprenderá al Ministerio de Salud y Asuntos Sociales, un centro especializado en la comunicación en materia de salud, los demás sectores gubernamentales, las instituciones audiovisuales nacional</w:t>
      </w:r>
      <w:r w:rsidR="000949F2" w:rsidRPr="007930B0">
        <w:rPr>
          <w:lang w:val="es-ES"/>
        </w:rPr>
        <w:t>es y la sociedad civil nacional.</w:t>
      </w:r>
    </w:p>
    <w:p w:rsidR="001E7BB4" w:rsidRPr="007930B0" w:rsidRDefault="001E7BB4" w:rsidP="000949F2">
      <w:pPr>
        <w:pStyle w:val="Bullet1G"/>
        <w:rPr>
          <w:lang w:val="es-ES"/>
        </w:rPr>
      </w:pPr>
      <w:r w:rsidRPr="007930B0">
        <w:rPr>
          <w:lang w:val="es-ES"/>
        </w:rPr>
        <w:t xml:space="preserve">Hacer más eficaz la lucha contra las principales enfermedades con medidas de prevención, detección y asistencia basadas en estrategias nacionales e internacionales; en ese contexto, las medidas se aplicarán en todo el sistema de salud mediante una verdadera integración en las </w:t>
      </w:r>
      <w:r w:rsidR="000949F2" w:rsidRPr="007930B0">
        <w:rPr>
          <w:lang w:val="es-ES"/>
        </w:rPr>
        <w:t>actividades regulares de salud.</w:t>
      </w:r>
    </w:p>
    <w:p w:rsidR="001E7BB4" w:rsidRPr="007930B0" w:rsidRDefault="001E7BB4" w:rsidP="000949F2">
      <w:pPr>
        <w:pStyle w:val="Bullet1G"/>
        <w:rPr>
          <w:lang w:val="es-ES"/>
        </w:rPr>
      </w:pPr>
      <w:r w:rsidRPr="007930B0">
        <w:rPr>
          <w:lang w:val="es-ES"/>
        </w:rPr>
        <w:t>Dotar de la capacidad técnica necesaria a los niveles primario, secundario y terciario con el fin de asegurar la atención casi total de los casos remitidos (traumatología y cirugía plástica, cirugía cardíaca y neurológica, oncología, radioterapia y quimioterapia, etc.). De este modo se formularán estrategias preventivas y curativas adaptadas, que permitirán: 1) disminuir su prevalencia mediante un cambio positivo en el comportamiento, 2) reducir su mortalidad específica, y 3) atenuar sus efectos sanitarios, sociales y económicos (secuelas y repercusiones en los gastos del h</w:t>
      </w:r>
      <w:r w:rsidR="000949F2" w:rsidRPr="007930B0">
        <w:rPr>
          <w:lang w:val="es-ES"/>
        </w:rPr>
        <w:t>ogar, la comunidad y el Estado).</w:t>
      </w:r>
    </w:p>
    <w:p w:rsidR="001E7BB4" w:rsidRPr="007930B0" w:rsidRDefault="001E7BB4" w:rsidP="000949F2">
      <w:pPr>
        <w:pStyle w:val="Bullet1G"/>
        <w:rPr>
          <w:lang w:val="es-ES"/>
        </w:rPr>
      </w:pPr>
      <w:r w:rsidRPr="007930B0">
        <w:rPr>
          <w:lang w:val="es-ES"/>
        </w:rPr>
        <w:t xml:space="preserve">Fortalecer la capacidad técnica en los niveles periférico (puestos y centros de salud) y secundario (hospitales regionales) con el fin de mejorar la prevención primaria, la detección y la atención de los casos, incluida la remisión de éstos. En este contexto, el programa de capacitación permanente se adaptará a las necesidades de prevención y tratamiento de estas enfermedades, y se diseñará un sistema de orientación a los recursos que permitirá fortalecer el </w:t>
      </w:r>
      <w:r w:rsidR="000949F2" w:rsidRPr="007930B0">
        <w:rPr>
          <w:lang w:val="es-ES"/>
        </w:rPr>
        <w:t>acceso a estructuras de calidad.</w:t>
      </w:r>
    </w:p>
    <w:p w:rsidR="001E7BB4" w:rsidRPr="007930B0" w:rsidRDefault="001E7BB4" w:rsidP="000949F2">
      <w:pPr>
        <w:pStyle w:val="Bullet1G"/>
        <w:rPr>
          <w:lang w:val="es-ES"/>
        </w:rPr>
      </w:pPr>
      <w:r w:rsidRPr="007930B0">
        <w:rPr>
          <w:lang w:val="es-ES"/>
        </w:rPr>
        <w:t>Crear un sistema coherente de gestión de las epidemias y desastres en todos los niveles de la pirámide sanitaria, que permita dar una respuesta rápida, adaptada y eficaz a los efectos de cualquier desastre nacion</w:t>
      </w:r>
      <w:r w:rsidR="000949F2" w:rsidRPr="007930B0">
        <w:rPr>
          <w:lang w:val="es-ES"/>
        </w:rPr>
        <w:t>al, en particular las epidemias.</w:t>
      </w:r>
    </w:p>
    <w:p w:rsidR="001E7BB4" w:rsidRPr="007930B0" w:rsidRDefault="001E7BB4" w:rsidP="000949F2">
      <w:pPr>
        <w:pStyle w:val="Bullet1G"/>
        <w:rPr>
          <w:lang w:val="es-ES"/>
        </w:rPr>
      </w:pPr>
      <w:r w:rsidRPr="007930B0">
        <w:rPr>
          <w:lang w:val="es-ES"/>
        </w:rPr>
        <w:t xml:space="preserve">Aplicar una estrategia específica eficaz de gestión de los desechos hospitalarios en el marco de la política hospitalaria y de la política nacional de saneamiento ambiental que involucre </w:t>
      </w:r>
      <w:r w:rsidR="000949F2" w:rsidRPr="007930B0">
        <w:rPr>
          <w:lang w:val="es-ES"/>
        </w:rPr>
        <w:t>a todos los agentes interesados.</w:t>
      </w:r>
    </w:p>
    <w:p w:rsidR="001E7BB4" w:rsidRPr="007930B0" w:rsidRDefault="001E7BB4" w:rsidP="000949F2">
      <w:pPr>
        <w:pStyle w:val="Bullet1G"/>
        <w:rPr>
          <w:lang w:val="es-ES"/>
        </w:rPr>
      </w:pPr>
      <w:r w:rsidRPr="007930B0">
        <w:rPr>
          <w:lang w:val="es-ES"/>
        </w:rPr>
        <w:t>Adoptar, en el marco de la aplicación de la política nacional de nutrición, medidas de atención y seguimiento de los niños y las mujeres embarazadas con malnutrición, y brindar el apoyo técnico necesario a los demás departamentos en el ámbito de la seguridad alimentaria, la nutrición comunitaria y escolar y el cont</w:t>
      </w:r>
      <w:r w:rsidR="000949F2" w:rsidRPr="007930B0">
        <w:rPr>
          <w:lang w:val="es-ES"/>
        </w:rPr>
        <w:t>rol de calidad de los alimentos.</w:t>
      </w:r>
    </w:p>
    <w:p w:rsidR="001E7BB4" w:rsidRPr="007930B0" w:rsidRDefault="001E7BB4" w:rsidP="000949F2">
      <w:pPr>
        <w:pStyle w:val="Bullet1G"/>
        <w:rPr>
          <w:lang w:val="es-ES"/>
        </w:rPr>
      </w:pPr>
      <w:r w:rsidRPr="007930B0">
        <w:rPr>
          <w:lang w:val="es-ES"/>
        </w:rPr>
        <w:t>Crear el marco jurídico adecuado y los instrumentos necesarios para mejorar la higiene y el saneamiento ambiental. En este ámbito se reverán los textos legislativos y reglamentarios en vigor con el fin de adaptarlos a las realidades nacionales y garantizar una dimensión realmente multisectorial en la gestión de esta problemática, haciendo participar aún más a las organizaciones comunitarias y a las comunidades locales, y definiendo más claramente las funciones y prerrogativas de cada uno de los agentes.</w:t>
      </w:r>
    </w:p>
    <w:p w:rsidR="001E7BB4" w:rsidRPr="007930B0" w:rsidRDefault="000949F2" w:rsidP="000949F2">
      <w:pPr>
        <w:pStyle w:val="H4G"/>
        <w:rPr>
          <w:lang w:val="es-ES"/>
        </w:rPr>
      </w:pPr>
      <w:r w:rsidRPr="007930B0">
        <w:rPr>
          <w:lang w:val="es-ES"/>
        </w:rPr>
        <w:tab/>
      </w:r>
      <w:r w:rsidRPr="007930B0">
        <w:rPr>
          <w:lang w:val="es-ES"/>
        </w:rPr>
        <w:tab/>
      </w:r>
      <w:r w:rsidR="001E7BB4" w:rsidRPr="007930B0">
        <w:rPr>
          <w:lang w:val="es-ES"/>
        </w:rPr>
        <w:t>Financiación adecuada y equitativa del sistema de salud</w:t>
      </w:r>
    </w:p>
    <w:p w:rsidR="001E7BB4" w:rsidRPr="007930B0" w:rsidRDefault="001E7BB4" w:rsidP="00B56B34">
      <w:pPr>
        <w:pStyle w:val="SingleTxtG"/>
        <w:rPr>
          <w:lang w:val="es-ES"/>
        </w:rPr>
      </w:pPr>
      <w:r w:rsidRPr="007930B0">
        <w:rPr>
          <w:lang w:val="es-ES"/>
        </w:rPr>
        <w:t>332.</w:t>
      </w:r>
      <w:r w:rsidRPr="007930B0">
        <w:rPr>
          <w:lang w:val="es-ES"/>
        </w:rPr>
        <w:tab/>
        <w:t>El sistema público de salud se financiará con cuatro métodos principales:</w:t>
      </w:r>
    </w:p>
    <w:p w:rsidR="001E7BB4" w:rsidRPr="007930B0" w:rsidRDefault="001E7BB4" w:rsidP="000949F2">
      <w:pPr>
        <w:pStyle w:val="Bullet1G"/>
        <w:rPr>
          <w:lang w:val="es-ES"/>
        </w:rPr>
      </w:pPr>
      <w:r w:rsidRPr="007930B0">
        <w:rPr>
          <w:lang w:val="es-ES"/>
        </w:rPr>
        <w:t>La financiación por el Estado, principalmente mediante subvenciones presupuestarias públicas volcadas a instituciones autónomas en fideicomiso o en forma de créditos concedidos a las estructuras por nivel y cuya gestión se vaya desconcentrando progresivamente; el Estado seguirá siendo el principal donante del sector en el marco de una política de financiación claramente orientada al acceso universal a los servicios esenciales de atención de la salud;</w:t>
      </w:r>
    </w:p>
    <w:p w:rsidR="001E7BB4" w:rsidRPr="007930B0" w:rsidRDefault="001E7BB4" w:rsidP="000949F2">
      <w:pPr>
        <w:pStyle w:val="Bullet1G"/>
        <w:rPr>
          <w:lang w:val="es-ES"/>
        </w:rPr>
      </w:pPr>
      <w:r w:rsidRPr="007930B0">
        <w:rPr>
          <w:lang w:val="es-ES"/>
        </w:rPr>
        <w:t xml:space="preserve">La financiación por la comunidad, mediante el pago directo por los usuarios cuando participan comunidades locales, </w:t>
      </w:r>
      <w:r w:rsidR="003C3B9E">
        <w:rPr>
          <w:lang w:val="es-ES"/>
        </w:rPr>
        <w:t>ONG</w:t>
      </w:r>
      <w:r w:rsidRPr="007930B0">
        <w:rPr>
          <w:lang w:val="es-ES"/>
        </w:rPr>
        <w:t xml:space="preserve"> y organizaciones de base comunitaria; el mejoramiento de la fluidez y la gestión del sistema de recuperación de costos fortalecerá la parte de este tipo de financiación que tendrá un crecimiento constante, a la vez de controlar sus efectos sobre el acceso de los grupos pobres a los servicios esenciales de atención de la salud;</w:t>
      </w:r>
    </w:p>
    <w:p w:rsidR="001E7BB4" w:rsidRPr="007930B0" w:rsidRDefault="001E7BB4" w:rsidP="000949F2">
      <w:pPr>
        <w:pStyle w:val="Bullet1G"/>
        <w:rPr>
          <w:lang w:val="es-ES"/>
        </w:rPr>
      </w:pPr>
      <w:r w:rsidRPr="007930B0">
        <w:rPr>
          <w:lang w:val="es-ES"/>
        </w:rPr>
        <w:t>La creación de mecanismos de distribución del riesgo (mutualidades, seguros, subvenciones) y el desarrollo del sistema solidario (asistencia a los indigentes) constituirán uno de los ejes prioritarios de financiación del sector;</w:t>
      </w:r>
    </w:p>
    <w:p w:rsidR="001E7BB4" w:rsidRPr="007930B0" w:rsidRDefault="001E7BB4" w:rsidP="000949F2">
      <w:pPr>
        <w:pStyle w:val="Bullet1G"/>
        <w:rPr>
          <w:lang w:val="es-ES"/>
        </w:rPr>
      </w:pPr>
      <w:r w:rsidRPr="007930B0">
        <w:rPr>
          <w:lang w:val="es-ES"/>
        </w:rPr>
        <w:t>Los fondos externos (nacionales e internacionales) complementarán estos diferentes tipos de financiación y permitirán, en particular, sufragar operaciones de inversión en los diferentes ámbitos de la acción sociosanitaria.</w:t>
      </w:r>
    </w:p>
    <w:p w:rsidR="001E7BB4" w:rsidRPr="007930B0" w:rsidRDefault="001E7BB4" w:rsidP="00B56B34">
      <w:pPr>
        <w:pStyle w:val="SingleTxtG"/>
        <w:rPr>
          <w:lang w:val="es-ES"/>
        </w:rPr>
      </w:pPr>
      <w:r w:rsidRPr="007930B0">
        <w:rPr>
          <w:lang w:val="es-ES"/>
        </w:rPr>
        <w:t>333.</w:t>
      </w:r>
      <w:r w:rsidRPr="007930B0">
        <w:rPr>
          <w:lang w:val="es-ES"/>
        </w:rPr>
        <w:tab/>
        <w:t>Durante este período, la política de financiación apuntará a lograr una mayor eficiencia:</w:t>
      </w:r>
    </w:p>
    <w:p w:rsidR="001E7BB4" w:rsidRPr="007930B0" w:rsidRDefault="001E7BB4" w:rsidP="000949F2">
      <w:pPr>
        <w:pStyle w:val="Bullet1G"/>
        <w:rPr>
          <w:lang w:val="es-ES"/>
        </w:rPr>
      </w:pPr>
      <w:r w:rsidRPr="007930B0">
        <w:rPr>
          <w:lang w:val="es-ES"/>
        </w:rPr>
        <w:t>Aumentando la subvención del Estado a más del 15% del presupuesto nacional, descontado el servicio de la deuda;</w:t>
      </w:r>
    </w:p>
    <w:p w:rsidR="001E7BB4" w:rsidRPr="007930B0" w:rsidRDefault="001E7BB4" w:rsidP="000949F2">
      <w:pPr>
        <w:pStyle w:val="Bullet1G"/>
        <w:rPr>
          <w:lang w:val="es-ES"/>
        </w:rPr>
      </w:pPr>
      <w:r w:rsidRPr="007930B0">
        <w:rPr>
          <w:lang w:val="es-ES"/>
        </w:rPr>
        <w:t>Asegurando un nivel global de financiación superior a 5.200 UM por habitante y por año, equivalente a 20 dólares de los Estados Unidos;</w:t>
      </w:r>
    </w:p>
    <w:p w:rsidR="001E7BB4" w:rsidRPr="007930B0" w:rsidRDefault="001E7BB4" w:rsidP="000949F2">
      <w:pPr>
        <w:pStyle w:val="Bullet1G"/>
        <w:rPr>
          <w:lang w:val="es-ES"/>
        </w:rPr>
      </w:pPr>
      <w:r w:rsidRPr="007930B0">
        <w:rPr>
          <w:lang w:val="es-ES"/>
        </w:rPr>
        <w:t>Haciendo que la proporción entre inversión y funcionamiento favorezca una absorción eficaz de los recursos, con un nivel inferior a 0,6;</w:t>
      </w:r>
    </w:p>
    <w:p w:rsidR="001E7BB4" w:rsidRPr="007930B0" w:rsidRDefault="001E7BB4" w:rsidP="000949F2">
      <w:pPr>
        <w:pStyle w:val="Bullet1G"/>
        <w:rPr>
          <w:lang w:val="es-ES"/>
        </w:rPr>
      </w:pPr>
      <w:r w:rsidRPr="007930B0">
        <w:rPr>
          <w:lang w:val="es-ES"/>
        </w:rPr>
        <w:t>Garantizando una distribución eficaz de los recursos entre los niveles de la pirámide sanitaria, con una proporción entre financiación primaria y secundaria y financiación terciaria y central superior a 1,8;</w:t>
      </w:r>
    </w:p>
    <w:p w:rsidR="001E7BB4" w:rsidRPr="007930B0" w:rsidRDefault="001E7BB4" w:rsidP="000949F2">
      <w:pPr>
        <w:pStyle w:val="Bullet1G"/>
        <w:rPr>
          <w:lang w:val="es-ES"/>
        </w:rPr>
      </w:pPr>
      <w:r w:rsidRPr="007930B0">
        <w:rPr>
          <w:lang w:val="es-ES"/>
        </w:rPr>
        <w:t>Elevando a más del 15% la parte correspondiente al sistema de recuperación de costos en la financiación global.</w:t>
      </w:r>
    </w:p>
    <w:p w:rsidR="001E7BB4" w:rsidRPr="007930B0" w:rsidRDefault="001E7BB4" w:rsidP="00B56B34">
      <w:pPr>
        <w:pStyle w:val="SingleTxtG"/>
        <w:rPr>
          <w:lang w:val="es-ES"/>
        </w:rPr>
      </w:pPr>
      <w:r w:rsidRPr="007930B0">
        <w:rPr>
          <w:lang w:val="es-ES"/>
        </w:rPr>
        <w:t>334.</w:t>
      </w:r>
      <w:r w:rsidRPr="007930B0">
        <w:rPr>
          <w:lang w:val="es-ES"/>
        </w:rPr>
        <w:tab/>
        <w:t>Esta política de financiación deberá sobre todo garantizar el acceso financiero de todos los mauritanos, en particular de los más pobres, a los servicios esenciales de atención de la salud, gracias a la creación de:</w:t>
      </w:r>
    </w:p>
    <w:p w:rsidR="001E7BB4" w:rsidRPr="007930B0" w:rsidRDefault="001E7BB4" w:rsidP="000949F2">
      <w:pPr>
        <w:pStyle w:val="Bullet1G"/>
        <w:rPr>
          <w:lang w:val="es-ES"/>
        </w:rPr>
      </w:pPr>
      <w:r w:rsidRPr="007930B0">
        <w:rPr>
          <w:lang w:val="es-ES"/>
        </w:rPr>
        <w:t>Métodos de distribución del riesgo para la gran mayoría de la población (mutualidades, subvenciones, seguros, etc.). De este modo, se analizará, evaluará y tendrá en cuenta la experiencia adquirida en materia de mutualidades y subvenciones para favorecer su generalización en el marco de un programa coherente y progresivo cuyo objetivo será extender la cobertura a la to</w:t>
      </w:r>
      <w:r w:rsidR="000949F2" w:rsidRPr="007930B0">
        <w:rPr>
          <w:lang w:val="es-ES"/>
        </w:rPr>
        <w:t>talidad del territorio nacional.</w:t>
      </w:r>
    </w:p>
    <w:p w:rsidR="001E7BB4" w:rsidRPr="007930B0" w:rsidRDefault="001E7BB4" w:rsidP="000949F2">
      <w:pPr>
        <w:pStyle w:val="Bullet1G"/>
        <w:rPr>
          <w:lang w:val="es-ES"/>
        </w:rPr>
      </w:pPr>
      <w:r w:rsidRPr="007930B0">
        <w:rPr>
          <w:lang w:val="es-ES"/>
        </w:rPr>
        <w:t>Fondos para indigentes y fondos de equidad, cuya forma de financiación y funcionamiento podrá variar en función del entorno y de las circunstancias. La participación del Estado cobrará cada vez más importancia a medida que el paciente suba por la pirámide sanitaria y su atención médica se torne más compleja y costosa.</w:t>
      </w:r>
    </w:p>
    <w:p w:rsidR="001E7BB4" w:rsidRPr="007930B0" w:rsidRDefault="001E7BB4" w:rsidP="00B56B34">
      <w:pPr>
        <w:pStyle w:val="SingleTxtG"/>
        <w:rPr>
          <w:lang w:val="es-ES"/>
        </w:rPr>
      </w:pPr>
      <w:r w:rsidRPr="007930B0">
        <w:rPr>
          <w:lang w:val="es-ES"/>
        </w:rPr>
        <w:t>335.</w:t>
      </w:r>
      <w:r w:rsidRPr="007930B0">
        <w:rPr>
          <w:lang w:val="es-ES"/>
        </w:rPr>
        <w:tab/>
        <w:t>En lo que respecta al sector privado médico y paramédico, se mantendrán los mecanismos de financiación actuales, garantizando al mismo tiempo una uniformidad y una armonía de los costos que permita proteger los intereses del paciente y del prestatario.</w:t>
      </w:r>
    </w:p>
    <w:p w:rsidR="001E7BB4" w:rsidRPr="007930B0" w:rsidRDefault="001E7BB4" w:rsidP="00B56B34">
      <w:pPr>
        <w:pStyle w:val="SingleTxtG"/>
        <w:rPr>
          <w:lang w:val="es-ES"/>
        </w:rPr>
      </w:pPr>
      <w:r w:rsidRPr="007930B0">
        <w:rPr>
          <w:lang w:val="es-ES"/>
        </w:rPr>
        <w:t>336.</w:t>
      </w:r>
      <w:r w:rsidRPr="007930B0">
        <w:rPr>
          <w:lang w:val="es-ES"/>
        </w:rPr>
        <w:tab/>
        <w:t>Además, el sector paraestatal de salud se incorporará a una estrategia nacional de cobertura del riesgo de enfermedad para el conjunto de los trabajadores, garantizando un sistema eficaz de seguro de salud.</w:t>
      </w:r>
    </w:p>
    <w:p w:rsidR="001E7BB4" w:rsidRPr="007930B0" w:rsidRDefault="000949F2" w:rsidP="000949F2">
      <w:pPr>
        <w:pStyle w:val="H4G"/>
        <w:rPr>
          <w:lang w:val="es-ES"/>
        </w:rPr>
      </w:pPr>
      <w:r w:rsidRPr="007930B0">
        <w:rPr>
          <w:lang w:val="es-ES"/>
        </w:rPr>
        <w:tab/>
      </w:r>
      <w:r w:rsidRPr="007930B0">
        <w:rPr>
          <w:lang w:val="es-ES"/>
        </w:rPr>
        <w:tab/>
      </w:r>
      <w:r w:rsidR="001E7BB4" w:rsidRPr="007930B0">
        <w:rPr>
          <w:lang w:val="es-ES"/>
        </w:rPr>
        <w:t>Puesta en práctica de una acción social orientada a determinados beneficiarios</w:t>
      </w:r>
    </w:p>
    <w:p w:rsidR="001E7BB4" w:rsidRPr="007930B0" w:rsidRDefault="001E7BB4" w:rsidP="00B56B34">
      <w:pPr>
        <w:pStyle w:val="SingleTxtG"/>
        <w:rPr>
          <w:lang w:val="es-ES"/>
        </w:rPr>
      </w:pPr>
      <w:r w:rsidRPr="007930B0">
        <w:rPr>
          <w:lang w:val="es-ES"/>
        </w:rPr>
        <w:t>337.</w:t>
      </w:r>
      <w:r w:rsidRPr="007930B0">
        <w:rPr>
          <w:lang w:val="es-ES"/>
        </w:rPr>
        <w:tab/>
        <w:t xml:space="preserve">La aplicación de estrategias específicas para cada grupo de beneficiarios de la acción social se hará en el marco de una acción nacional de protección social. De este modo, en el marco de una visión nacional clara, coherente y multisectorial de la protección social, el departamento diseñará estrategias específicas destinadas a mejorar las condiciones de vida de los grupos sociales vulnerables. Además, se pondrá particular énfasis en el acceso de esos grupos a los servicios esenciales básicos (por </w:t>
      </w:r>
      <w:r w:rsidR="0095166A">
        <w:rPr>
          <w:lang w:val="es-ES"/>
        </w:rPr>
        <w:t>ejemplo</w:t>
      </w:r>
      <w:r w:rsidRPr="007930B0">
        <w:rPr>
          <w:lang w:val="es-ES"/>
        </w:rPr>
        <w:t>: salud, educación, etc.).</w:t>
      </w:r>
    </w:p>
    <w:p w:rsidR="001E7BB4" w:rsidRPr="007930B0" w:rsidRDefault="001E7BB4" w:rsidP="00B56B34">
      <w:pPr>
        <w:pStyle w:val="SingleTxtG"/>
        <w:rPr>
          <w:lang w:val="es-ES"/>
        </w:rPr>
      </w:pPr>
      <w:r w:rsidRPr="007930B0">
        <w:rPr>
          <w:lang w:val="es-ES"/>
        </w:rPr>
        <w:t>338.</w:t>
      </w:r>
      <w:r w:rsidRPr="007930B0">
        <w:rPr>
          <w:lang w:val="es-ES"/>
        </w:rPr>
        <w:tab/>
        <w:t>Para ello se adoptarán cinco medidas principales:</w:t>
      </w:r>
    </w:p>
    <w:p w:rsidR="001E7BB4" w:rsidRPr="007930B0" w:rsidRDefault="001E7BB4" w:rsidP="000949F2">
      <w:pPr>
        <w:pStyle w:val="Bullet1G"/>
        <w:rPr>
          <w:lang w:val="es-ES"/>
        </w:rPr>
      </w:pPr>
      <w:r w:rsidRPr="007930B0">
        <w:rPr>
          <w:lang w:val="es-ES"/>
        </w:rPr>
        <w:t>El mejoramiento del marco institucional de la acción social mediante la aclaración de las funciones y atribuciones y una mejor definición de las responsabilidades en el marco de una distribución coherente de las funciones entre los distintos departamentos; dicha acción se basará en la elaboración de una estrategia nacional de protección social, que permitirá determinar los diferentes elementos de la protección social y la mejor manera de distribuirlos, evitando su superposición. En caso de que se mantenga la opción de separación de funciones, es necesario prever la creación de mecanismos oficiales y eficientes de concertación y coordinación de la</w:t>
      </w:r>
      <w:r w:rsidR="000949F2" w:rsidRPr="007930B0">
        <w:rPr>
          <w:lang w:val="es-ES"/>
        </w:rPr>
        <w:t xml:space="preserve">s acciones y políticas </w:t>
      </w:r>
      <w:r w:rsidR="0095166A" w:rsidRPr="007930B0">
        <w:rPr>
          <w:lang w:val="es-ES"/>
        </w:rPr>
        <w:t>sociales</w:t>
      </w:r>
      <w:r w:rsidR="000949F2" w:rsidRPr="007930B0">
        <w:rPr>
          <w:lang w:val="es-ES"/>
        </w:rPr>
        <w:t>.</w:t>
      </w:r>
    </w:p>
    <w:p w:rsidR="001E7BB4" w:rsidRPr="007930B0" w:rsidRDefault="001E7BB4" w:rsidP="000949F2">
      <w:pPr>
        <w:pStyle w:val="Bullet1G"/>
        <w:rPr>
          <w:lang w:val="es-ES"/>
        </w:rPr>
      </w:pPr>
      <w:r w:rsidRPr="007930B0">
        <w:rPr>
          <w:lang w:val="es-ES"/>
        </w:rPr>
        <w:t>La creación de bases de datos a partir de los análisis de la situación de los diferentes grupos de beneficiarios, para asegurar la calidad del seguimiento y las comparaciones futuras, y la adopción de metodologías de determinación de los beneficiarios, seguimiento y evalu</w:t>
      </w:r>
      <w:r w:rsidR="000949F2" w:rsidRPr="007930B0">
        <w:rPr>
          <w:lang w:val="es-ES"/>
        </w:rPr>
        <w:t xml:space="preserve">ación de las políticas </w:t>
      </w:r>
      <w:r w:rsidR="0095166A" w:rsidRPr="007930B0">
        <w:rPr>
          <w:lang w:val="es-ES"/>
        </w:rPr>
        <w:t>sociales</w:t>
      </w:r>
      <w:r w:rsidR="000949F2" w:rsidRPr="007930B0">
        <w:rPr>
          <w:lang w:val="es-ES"/>
        </w:rPr>
        <w:t>.</w:t>
      </w:r>
    </w:p>
    <w:p w:rsidR="001E7BB4" w:rsidRPr="007930B0" w:rsidRDefault="001E7BB4" w:rsidP="000949F2">
      <w:pPr>
        <w:pStyle w:val="Bullet1G"/>
        <w:rPr>
          <w:lang w:val="es-ES"/>
        </w:rPr>
      </w:pPr>
      <w:r w:rsidRPr="007930B0">
        <w:rPr>
          <w:lang w:val="es-ES"/>
        </w:rPr>
        <w:t>El desarrollo de los recursos humanos a nivel de los servicios técnicos encargados de la acción social, que permita mejorar la concepción, formulación, ejecución y seguimiento/evaluación de</w:t>
      </w:r>
      <w:r w:rsidR="000949F2" w:rsidRPr="007930B0">
        <w:rPr>
          <w:lang w:val="es-ES"/>
        </w:rPr>
        <w:t xml:space="preserve"> los programas de acción social.</w:t>
      </w:r>
    </w:p>
    <w:p w:rsidR="001E7BB4" w:rsidRPr="007930B0" w:rsidRDefault="001E7BB4" w:rsidP="000949F2">
      <w:pPr>
        <w:pStyle w:val="Bullet1G"/>
        <w:rPr>
          <w:lang w:val="es-ES"/>
        </w:rPr>
      </w:pPr>
      <w:r w:rsidRPr="007930B0">
        <w:rPr>
          <w:lang w:val="es-ES"/>
        </w:rPr>
        <w:t>La elaboración de una estrategia aplicable a las modalidades de financiación de la acción social; la reflexión deberá orientarse a la búsqueda de nuevas modalidades de financiación, con énfasis en la movilización de recursos, y mec</w:t>
      </w:r>
      <w:r w:rsidR="000949F2" w:rsidRPr="007930B0">
        <w:rPr>
          <w:lang w:val="es-ES"/>
        </w:rPr>
        <w:t>anismos de solidaridad nacional.</w:t>
      </w:r>
    </w:p>
    <w:p w:rsidR="001E7BB4" w:rsidRPr="007930B0" w:rsidRDefault="001E7BB4" w:rsidP="000949F2">
      <w:pPr>
        <w:pStyle w:val="Bullet1G"/>
        <w:rPr>
          <w:lang w:val="es-ES"/>
        </w:rPr>
      </w:pPr>
      <w:r w:rsidRPr="007930B0">
        <w:rPr>
          <w:lang w:val="es-ES"/>
        </w:rPr>
        <w:t>El fortalecimiento de la capacidad institucional y técnica de los agentes que intervienen en la acción social para que puedan identificar, conocer y analizar mejor a esos grupos, a partir de una formulación, ejecución y evaluación más eficientes y pertinentes de las acciones y programas específicos, en provecho de las poblaciones más pobres.</w:t>
      </w:r>
    </w:p>
    <w:p w:rsidR="001E7BB4" w:rsidRPr="007930B0" w:rsidRDefault="008C7B4E" w:rsidP="008C7B4E">
      <w:pPr>
        <w:pStyle w:val="H4G"/>
        <w:rPr>
          <w:lang w:val="es-ES"/>
        </w:rPr>
      </w:pPr>
      <w:r w:rsidRPr="007930B0">
        <w:rPr>
          <w:lang w:val="es-ES"/>
        </w:rPr>
        <w:tab/>
      </w:r>
      <w:r w:rsidRPr="007930B0">
        <w:rPr>
          <w:lang w:val="es-ES"/>
        </w:rPr>
        <w:tab/>
      </w:r>
      <w:r w:rsidR="001E7BB4" w:rsidRPr="007930B0">
        <w:rPr>
          <w:lang w:val="es-ES"/>
        </w:rPr>
        <w:t>Evaluación del desempeño del sistema de salud</w:t>
      </w:r>
    </w:p>
    <w:p w:rsidR="001E7BB4" w:rsidRPr="007930B0" w:rsidRDefault="008C7B4E" w:rsidP="008C7B4E">
      <w:pPr>
        <w:pStyle w:val="H56G"/>
        <w:rPr>
          <w:lang w:val="es-ES"/>
        </w:rPr>
      </w:pPr>
      <w:r w:rsidRPr="007930B0">
        <w:rPr>
          <w:lang w:val="es-ES"/>
        </w:rPr>
        <w:tab/>
        <w:t>a)</w:t>
      </w:r>
      <w:r w:rsidRPr="007930B0">
        <w:rPr>
          <w:lang w:val="es-ES"/>
        </w:rPr>
        <w:tab/>
      </w:r>
      <w:r w:rsidR="001E7BB4" w:rsidRPr="007930B0">
        <w:rPr>
          <w:lang w:val="es-ES"/>
        </w:rPr>
        <w:t>Supervisión, control y evaluación del conjunto de las acciones del sector</w:t>
      </w:r>
    </w:p>
    <w:p w:rsidR="001E7BB4" w:rsidRPr="007930B0" w:rsidRDefault="001E7BB4" w:rsidP="00B56B34">
      <w:pPr>
        <w:pStyle w:val="SingleTxtG"/>
        <w:rPr>
          <w:lang w:val="es-ES"/>
        </w:rPr>
      </w:pPr>
      <w:r w:rsidRPr="007930B0">
        <w:rPr>
          <w:lang w:val="es-ES"/>
        </w:rPr>
        <w:t>339.</w:t>
      </w:r>
      <w:r w:rsidRPr="007930B0">
        <w:rPr>
          <w:lang w:val="es-ES"/>
        </w:rPr>
        <w:tab/>
        <w:t>Como ya se señaló, la supervisión ocupará un lugar destacado en la presente política, como instrumento transversal de apoyo a todas las demás estrategias y como primera estrategia de motivación del personal y mejoramiento de la calidad de los servicios. Para ello se adoptará una política específica de supervisión, en la que se definirán los objetivos, las estrategias, las modalidades de aplicación y los recursos necesarios para una supervisión periódica y eficaz del sistema. Luego, estos medios de supervisión serán fortalecidos en todos los niveles y se diseñarán instrumentos de análisis de los resultados de la supervisión en función de la capacidad y las responsabilidades de cada nivel.</w:t>
      </w:r>
    </w:p>
    <w:p w:rsidR="001E7BB4" w:rsidRPr="007930B0" w:rsidRDefault="001E7BB4" w:rsidP="00B56B34">
      <w:pPr>
        <w:pStyle w:val="SingleTxtG"/>
        <w:rPr>
          <w:lang w:val="es-ES"/>
        </w:rPr>
      </w:pPr>
      <w:r w:rsidRPr="007930B0">
        <w:rPr>
          <w:lang w:val="es-ES"/>
        </w:rPr>
        <w:t>340.</w:t>
      </w:r>
      <w:r w:rsidRPr="007930B0">
        <w:rPr>
          <w:lang w:val="es-ES"/>
        </w:rPr>
        <w:tab/>
        <w:t>Por otra parte, se asegurará el control periódico de las estructuras sanitarias públicas y privadas con el fin de garantizar el respeto estricto de las leyes y reglamentos en vigor, todo ello en el marco de una firme inspección general de la salud y en colaboración con las direcciones e instituciones pertinentes, en particular la Orden Nacional de Médicos, Farmacéuticos y Cirujanos Dentistas de Mauritania. En este contexto, los principios de deontología médica constituirán una de las bases fundamentales de este control, que deberá garantizar los derechos del paciente y del prestatario en el marco de la legalidad nacional.</w:t>
      </w:r>
    </w:p>
    <w:p w:rsidR="001E7BB4" w:rsidRPr="007930B0" w:rsidRDefault="00F4158E" w:rsidP="00F4158E">
      <w:pPr>
        <w:pStyle w:val="H56G"/>
        <w:rPr>
          <w:lang w:val="es-ES"/>
        </w:rPr>
      </w:pPr>
      <w:r>
        <w:rPr>
          <w:lang w:val="es-ES"/>
        </w:rPr>
        <w:tab/>
      </w:r>
      <w:r w:rsidR="008C7B4E" w:rsidRPr="007930B0">
        <w:rPr>
          <w:lang w:val="es-ES"/>
        </w:rPr>
        <w:t>b)</w:t>
      </w:r>
      <w:r w:rsidR="008C7B4E" w:rsidRPr="007930B0">
        <w:rPr>
          <w:lang w:val="es-ES"/>
        </w:rPr>
        <w:tab/>
      </w:r>
      <w:r w:rsidR="001E7BB4" w:rsidRPr="007930B0">
        <w:rPr>
          <w:lang w:val="es-ES"/>
        </w:rPr>
        <w:t>Implementación y fortalecimiento de la información sanitaria y la investigación médica con el fin de mejorar en forma constante la acción del sector</w:t>
      </w:r>
    </w:p>
    <w:p w:rsidR="001E7BB4" w:rsidRPr="007930B0" w:rsidRDefault="001E7BB4" w:rsidP="00B56B34">
      <w:pPr>
        <w:pStyle w:val="SingleTxtG"/>
        <w:rPr>
          <w:lang w:val="es-ES"/>
        </w:rPr>
      </w:pPr>
      <w:r w:rsidRPr="007930B0">
        <w:rPr>
          <w:lang w:val="es-ES"/>
        </w:rPr>
        <w:t>341.</w:t>
      </w:r>
      <w:r w:rsidRPr="007930B0">
        <w:rPr>
          <w:lang w:val="es-ES"/>
        </w:rPr>
        <w:tab/>
        <w:t>A efectos de lograr un mejoramiento constante de la acción sectorial, se reforzarán las actividades de investigación en general, y las de investigación operacional e investigación-acción en particular, en el marco de una política destinada a desarrollar competencias y movilizar los recursos necesarios; la evaluación de los programas y medidas del sector ocupará un lugar destacado en el programa de investigación. Se crearán mecanismos de intercambio con instituciones extranjeras, en particular de la subregión, en el marco de un programa de mejoramiento de las competencias en materia de investigación y de coordinación de las respuestas entre los países. Esta investigación se someterá en forma sistemática a un control ético en el marco de una reglamentación clara en la materia.</w:t>
      </w:r>
    </w:p>
    <w:p w:rsidR="001E7BB4" w:rsidRPr="007930B0" w:rsidRDefault="001E7BB4" w:rsidP="00B56B34">
      <w:pPr>
        <w:pStyle w:val="SingleTxtG"/>
        <w:rPr>
          <w:lang w:val="es-ES"/>
        </w:rPr>
      </w:pPr>
      <w:r w:rsidRPr="007930B0">
        <w:rPr>
          <w:lang w:val="es-ES"/>
        </w:rPr>
        <w:t>342.</w:t>
      </w:r>
      <w:r w:rsidRPr="007930B0">
        <w:rPr>
          <w:lang w:val="es-ES"/>
        </w:rPr>
        <w:tab/>
        <w:t>Paralelamente se reforzará y ampliará el sistema nacional de información sanitaria en todos los niveles de la pirámide sanitaria. El sistema tomará en cuenta los datos del sector privado; su análisis se hará en forma descentralizada con el fin de hacer participar a las comunidades en la adopción de decisiones.</w:t>
      </w:r>
    </w:p>
    <w:p w:rsidR="001E7BB4" w:rsidRPr="007930B0" w:rsidRDefault="008C7B4E" w:rsidP="008C7B4E">
      <w:pPr>
        <w:pStyle w:val="H4G"/>
        <w:rPr>
          <w:lang w:val="es-ES"/>
        </w:rPr>
      </w:pPr>
      <w:r w:rsidRPr="007930B0">
        <w:rPr>
          <w:lang w:val="es-ES"/>
        </w:rPr>
        <w:tab/>
      </w:r>
      <w:r w:rsidRPr="007930B0">
        <w:rPr>
          <w:lang w:val="es-ES"/>
        </w:rPr>
        <w:tab/>
      </w:r>
      <w:r w:rsidR="001E7BB4" w:rsidRPr="007930B0">
        <w:rPr>
          <w:lang w:val="es-ES"/>
        </w:rPr>
        <w:t>Fortalecimiento del desempeño del sector</w:t>
      </w:r>
    </w:p>
    <w:p w:rsidR="001E7BB4" w:rsidRPr="007930B0" w:rsidRDefault="008C7B4E" w:rsidP="008C7B4E">
      <w:pPr>
        <w:pStyle w:val="H56G"/>
        <w:rPr>
          <w:lang w:val="es-ES"/>
        </w:rPr>
      </w:pPr>
      <w:r w:rsidRPr="007930B0">
        <w:rPr>
          <w:lang w:val="es-ES"/>
        </w:rPr>
        <w:tab/>
        <w:t>a)</w:t>
      </w:r>
      <w:r w:rsidRPr="007930B0">
        <w:rPr>
          <w:lang w:val="es-ES"/>
        </w:rPr>
        <w:tab/>
      </w:r>
      <w:r w:rsidR="001E7BB4" w:rsidRPr="007930B0">
        <w:rPr>
          <w:lang w:val="es-ES"/>
        </w:rPr>
        <w:t>Fortalecimiento del marco institucional del Ministerio de Salud</w:t>
      </w:r>
    </w:p>
    <w:p w:rsidR="001E7BB4" w:rsidRPr="007930B0" w:rsidRDefault="001E7BB4" w:rsidP="00B56B34">
      <w:pPr>
        <w:pStyle w:val="SingleTxtG"/>
        <w:rPr>
          <w:lang w:val="es-ES"/>
        </w:rPr>
      </w:pPr>
      <w:r w:rsidRPr="007930B0">
        <w:rPr>
          <w:lang w:val="es-ES"/>
        </w:rPr>
        <w:t>343.</w:t>
      </w:r>
      <w:r w:rsidRPr="007930B0">
        <w:rPr>
          <w:lang w:val="es-ES"/>
        </w:rPr>
        <w:tab/>
        <w:t xml:space="preserve">El desempeño del sector dependerá necesariamente de que se desconcentre la responsabilidad y la adopción de decisiones al nivel más periférico posible. En tal sentido, se instaurarán programas regionales a medio plazo y planes operacionales anuales a nivel de </w:t>
      </w:r>
      <w:r w:rsidRPr="007930B0">
        <w:rPr>
          <w:i/>
          <w:iCs/>
          <w:lang w:val="es-ES"/>
        </w:rPr>
        <w:t>moughataas</w:t>
      </w:r>
      <w:r w:rsidRPr="007930B0">
        <w:rPr>
          <w:lang w:val="es-ES"/>
        </w:rPr>
        <w:t xml:space="preserve">; en el mismo orden de ideas, se reforzarán las prerrogativas de los responsables sanitarios de las </w:t>
      </w:r>
      <w:r w:rsidRPr="007930B0">
        <w:rPr>
          <w:i/>
          <w:iCs/>
          <w:lang w:val="es-ES"/>
        </w:rPr>
        <w:t>wilayas</w:t>
      </w:r>
      <w:r w:rsidRPr="007930B0">
        <w:rPr>
          <w:lang w:val="es-ES"/>
        </w:rPr>
        <w:t xml:space="preserve"> y los </w:t>
      </w:r>
      <w:r w:rsidRPr="007930B0">
        <w:rPr>
          <w:i/>
          <w:iCs/>
          <w:lang w:val="es-ES"/>
        </w:rPr>
        <w:t>moughataas</w:t>
      </w:r>
      <w:r w:rsidRPr="007930B0">
        <w:rPr>
          <w:lang w:val="es-ES"/>
        </w:rPr>
        <w:t xml:space="preserve"> en cuanto a la gestión de los recursos humanos, materiales y financieros directamente puestos a su disposición.</w:t>
      </w:r>
    </w:p>
    <w:p w:rsidR="001E7BB4" w:rsidRPr="007930B0" w:rsidRDefault="001E7BB4" w:rsidP="00B56B34">
      <w:pPr>
        <w:pStyle w:val="SingleTxtG"/>
        <w:rPr>
          <w:lang w:val="es-ES"/>
        </w:rPr>
      </w:pPr>
      <w:r w:rsidRPr="007930B0">
        <w:rPr>
          <w:lang w:val="es-ES"/>
        </w:rPr>
        <w:t>344.</w:t>
      </w:r>
      <w:r w:rsidRPr="007930B0">
        <w:rPr>
          <w:lang w:val="es-ES"/>
        </w:rPr>
        <w:tab/>
        <w:t xml:space="preserve">Al mismo tiempo, esos programas serán evaluados en función de los resultados obtenidos en relación con los objetivos fijados en las programaciones regionales y las planificaciones de los </w:t>
      </w:r>
      <w:r w:rsidRPr="007930B0">
        <w:rPr>
          <w:i/>
          <w:iCs/>
          <w:lang w:val="es-ES"/>
        </w:rPr>
        <w:t>moughataas</w:t>
      </w:r>
      <w:r w:rsidRPr="007930B0">
        <w:rPr>
          <w:lang w:val="es-ES"/>
        </w:rPr>
        <w:t>.</w:t>
      </w:r>
    </w:p>
    <w:p w:rsidR="001E7BB4" w:rsidRPr="007930B0" w:rsidRDefault="001E7BB4" w:rsidP="00B56B34">
      <w:pPr>
        <w:pStyle w:val="SingleTxtG"/>
        <w:rPr>
          <w:lang w:val="es-ES"/>
        </w:rPr>
      </w:pPr>
      <w:r w:rsidRPr="007930B0">
        <w:rPr>
          <w:lang w:val="es-ES"/>
        </w:rPr>
        <w:t>345.</w:t>
      </w:r>
      <w:r w:rsidRPr="007930B0">
        <w:rPr>
          <w:lang w:val="es-ES"/>
        </w:rPr>
        <w:tab/>
        <w:t>A nivel terciario, esta desconcentración se reflejará en el fortalecimiento de las responsabilidades de los consejos de administración y gestión y de las direcciones de los establecimientos, en el marco de una reforma destinada a especificar la índole de los establecimientos públicos de salud conforme a las normas de la política hospitalaria nacional. La desconcentración se aplicará también dentro de cada establecimiento, a fin de asignar más responsabilidades a los niveles técnico y operacional.</w:t>
      </w:r>
    </w:p>
    <w:p w:rsidR="001E7BB4" w:rsidRPr="007930B0" w:rsidRDefault="001E7BB4" w:rsidP="00B56B34">
      <w:pPr>
        <w:pStyle w:val="SingleTxtG"/>
        <w:rPr>
          <w:lang w:val="es-ES"/>
        </w:rPr>
      </w:pPr>
      <w:r w:rsidRPr="007930B0">
        <w:rPr>
          <w:lang w:val="es-ES"/>
        </w:rPr>
        <w:t>346.</w:t>
      </w:r>
      <w:r w:rsidRPr="007930B0">
        <w:rPr>
          <w:lang w:val="es-ES"/>
        </w:rPr>
        <w:tab/>
        <w:t>Por último, el nivel central dispondrá de los medios humanos y materiales necesarios para el desempeño de sus tareas de formulación, coordinación, normalización, reglamentación y seguimiento.</w:t>
      </w:r>
    </w:p>
    <w:p w:rsidR="001E7BB4" w:rsidRPr="007930B0" w:rsidRDefault="00F4158E" w:rsidP="00F4158E">
      <w:pPr>
        <w:pStyle w:val="H56G"/>
        <w:rPr>
          <w:lang w:val="es-ES"/>
        </w:rPr>
      </w:pPr>
      <w:r>
        <w:rPr>
          <w:lang w:val="es-ES"/>
        </w:rPr>
        <w:tab/>
      </w:r>
      <w:r w:rsidR="008C7B4E" w:rsidRPr="007930B0">
        <w:rPr>
          <w:lang w:val="es-ES"/>
        </w:rPr>
        <w:t>b)</w:t>
      </w:r>
      <w:r w:rsidR="008C7B4E" w:rsidRPr="007930B0">
        <w:rPr>
          <w:lang w:val="es-ES"/>
        </w:rPr>
        <w:tab/>
      </w:r>
      <w:r w:rsidR="001E7BB4" w:rsidRPr="007930B0">
        <w:rPr>
          <w:lang w:val="es-ES"/>
        </w:rPr>
        <w:t>Revitalización de la participación comunitaria en el marco de una descentralización efectiva de los servicios periféricos esenciales</w:t>
      </w:r>
    </w:p>
    <w:p w:rsidR="001E7BB4" w:rsidRPr="007930B0" w:rsidRDefault="001E7BB4" w:rsidP="00B56B34">
      <w:pPr>
        <w:pStyle w:val="SingleTxtG"/>
        <w:rPr>
          <w:lang w:val="es-ES"/>
        </w:rPr>
      </w:pPr>
      <w:r w:rsidRPr="007930B0">
        <w:rPr>
          <w:lang w:val="es-ES"/>
        </w:rPr>
        <w:t>347.</w:t>
      </w:r>
      <w:r w:rsidRPr="007930B0">
        <w:rPr>
          <w:lang w:val="es-ES"/>
        </w:rPr>
        <w:tab/>
        <w:t>La revisión reciente de los textos relativos al sistema de recuperación de gastos ha permitido tomar en cuenta algunas de las principales recomendaciones destinadas a mejorar la participación de la comunidad en la planificación y la gestión del sistema de salud. El paso siguiente será aplicar esas recomendaciones y poner en práctica un programa de capacitación, fomento y seguimiento de los comités de salud en todos los niveles. Paralelamente se procederá a fortalecer las potestades de gestión de los comités de salud, que serán enteramente responsables de las decisiones relativas al reparto de la subvención del Estado y de los fondos generados por el sistema de recuperación de costos.</w:t>
      </w:r>
    </w:p>
    <w:p w:rsidR="001E7BB4" w:rsidRPr="007930B0" w:rsidRDefault="001E7BB4" w:rsidP="00B56B34">
      <w:pPr>
        <w:pStyle w:val="SingleTxtG"/>
        <w:rPr>
          <w:lang w:val="es-ES"/>
        </w:rPr>
      </w:pPr>
      <w:r w:rsidRPr="007930B0">
        <w:rPr>
          <w:lang w:val="es-ES"/>
        </w:rPr>
        <w:t>348.</w:t>
      </w:r>
      <w:r w:rsidRPr="007930B0">
        <w:rPr>
          <w:lang w:val="es-ES"/>
        </w:rPr>
        <w:tab/>
        <w:t>La dinamización de estos comités se llevará a cabo en tres etapas: 1) instauración o reinstauración de los comités, conforme al espíritu de los nuevos textos; 2) puesta en marcha de un programa de capacitación sobre la política sociosanitaria, el papel de los comités de salud en el sistema de salud y sus deberes y derechos; y 3) creación de mecanismos eficaces de seguimiento en todos los niveles con el fin de asegurar su constante perfeccionamiento y garantizar que sus opiniones sean tenidas en cuenta en los procesos de adopción de decisiones dentro del sistema.</w:t>
      </w:r>
    </w:p>
    <w:p w:rsidR="001E7BB4" w:rsidRPr="007930B0" w:rsidRDefault="008C7B4E" w:rsidP="008C7B4E">
      <w:pPr>
        <w:pStyle w:val="H23G"/>
        <w:rPr>
          <w:lang w:val="es-ES"/>
        </w:rPr>
      </w:pPr>
      <w:r w:rsidRPr="007930B0">
        <w:rPr>
          <w:lang w:val="es-ES"/>
        </w:rPr>
        <w:tab/>
      </w:r>
      <w:r w:rsidRPr="007930B0">
        <w:rPr>
          <w:lang w:val="es-ES"/>
        </w:rPr>
        <w:tab/>
      </w:r>
      <w:r w:rsidR="001E7BB4" w:rsidRPr="007930B0">
        <w:rPr>
          <w:lang w:val="es-ES"/>
        </w:rPr>
        <w:t>Reglamentación y apoyo del sector privado</w:t>
      </w:r>
    </w:p>
    <w:p w:rsidR="001E7BB4" w:rsidRPr="007930B0" w:rsidRDefault="001E7BB4" w:rsidP="00B56B34">
      <w:pPr>
        <w:pStyle w:val="SingleTxtG"/>
        <w:rPr>
          <w:lang w:val="es-ES"/>
        </w:rPr>
      </w:pPr>
      <w:r w:rsidRPr="007930B0">
        <w:rPr>
          <w:lang w:val="es-ES"/>
        </w:rPr>
        <w:t>349.</w:t>
      </w:r>
      <w:r w:rsidRPr="007930B0">
        <w:rPr>
          <w:lang w:val="es-ES"/>
        </w:rPr>
        <w:tab/>
        <w:t xml:space="preserve">De conformidad con las orientaciones nacionales que se formularán en el marco de la política hospitalaria, se deberá fortalecer el lugar que ocupa el sector sanitario privado en el sistema de salud, para que se pueda integrar efectivamente en el sistema nacional de salud como elemento esencial de la aplicación de la política sociosanitaria. Para ello será necesario mejorar su reglamentación por conducto de las estructuras habilitadas del Ministerio de Salud, a efectos de garantizar una aplicación estricta de los exámenes reglamentarios en vigor. A continuación se pondrá en marcha un programa de apoyo y fortalecimiento en el marco de una estrategia global de integración que habrá definido el lugar y la función de cada tipo de estructura sanitaria privada. </w:t>
      </w:r>
    </w:p>
    <w:p w:rsidR="001E7BB4" w:rsidRPr="007930B0" w:rsidRDefault="008C7B4E" w:rsidP="008C7B4E">
      <w:pPr>
        <w:pStyle w:val="H23G"/>
        <w:rPr>
          <w:lang w:val="es-ES"/>
        </w:rPr>
      </w:pPr>
      <w:r w:rsidRPr="007930B0">
        <w:rPr>
          <w:lang w:val="es-ES"/>
        </w:rPr>
        <w:tab/>
      </w:r>
      <w:r w:rsidRPr="007930B0">
        <w:rPr>
          <w:lang w:val="es-ES"/>
        </w:rPr>
        <w:tab/>
      </w:r>
      <w:r w:rsidR="001E7BB4" w:rsidRPr="007930B0">
        <w:rPr>
          <w:lang w:val="es-ES"/>
        </w:rPr>
        <w:t>Fortalecimiento de la colaboración y las relaciones contractuales</w:t>
      </w:r>
    </w:p>
    <w:p w:rsidR="001E7BB4" w:rsidRPr="007930B0" w:rsidRDefault="001E7BB4" w:rsidP="00CC3B6E">
      <w:pPr>
        <w:pStyle w:val="SingleTxtG"/>
        <w:rPr>
          <w:lang w:val="es-ES"/>
        </w:rPr>
      </w:pPr>
      <w:r w:rsidRPr="007930B0">
        <w:rPr>
          <w:lang w:val="es-ES"/>
        </w:rPr>
        <w:t>350.</w:t>
      </w:r>
      <w:r w:rsidRPr="007930B0">
        <w:rPr>
          <w:lang w:val="es-ES"/>
        </w:rPr>
        <w:tab/>
        <w:t xml:space="preserve">Para reforzar aún más las relaciones de colaboración dentro del sector, se debería adoptar una política contractual que apunte a multiplicar y diversificar las posibilidades y los métodos de aplicación de las medidas en el marco de contratos, ya sean internos </w:t>
      </w:r>
      <w:r w:rsidR="00CC3B6E" w:rsidRPr="007930B0">
        <w:rPr>
          <w:lang w:val="es-ES"/>
        </w:rPr>
        <w:t>—</w:t>
      </w:r>
      <w:r w:rsidRPr="007930B0">
        <w:rPr>
          <w:lang w:val="es-ES"/>
        </w:rPr>
        <w:t>entre funcionarios o niveles del sistema</w:t>
      </w:r>
      <w:r w:rsidR="00CC3B6E" w:rsidRPr="007930B0">
        <w:rPr>
          <w:lang w:val="es-ES"/>
        </w:rPr>
        <w:t>—</w:t>
      </w:r>
      <w:r w:rsidRPr="007930B0">
        <w:rPr>
          <w:lang w:val="es-ES"/>
        </w:rPr>
        <w:t xml:space="preserve"> o externos, con agentes (comunidades) privados o de la sociedad civil. Este enfoque contractual se hace cada vez más indispensable a medida que aumentan y se diversifican las medidas. La guía sobre relaciones contractuales con las ONG deberá servir de base para la elaboración de documentos similares para los agentes y la aplicación de medidas comunes entre el Ministerio de la Salud y los miembros de la sociedad civil que trabajan en el sector. Esta relación de colaboración se fortalecerá con el fin de garantizar una participación real de estos agentes en la acción sectorial.</w:t>
      </w:r>
    </w:p>
    <w:p w:rsidR="001E7BB4" w:rsidRPr="007930B0" w:rsidRDefault="008C7B4E" w:rsidP="008C7B4E">
      <w:pPr>
        <w:pStyle w:val="H23G"/>
        <w:rPr>
          <w:lang w:val="es-ES"/>
        </w:rPr>
      </w:pPr>
      <w:r w:rsidRPr="007930B0">
        <w:rPr>
          <w:lang w:val="es-ES"/>
        </w:rPr>
        <w:tab/>
      </w:r>
      <w:r w:rsidRPr="007930B0">
        <w:rPr>
          <w:lang w:val="es-ES"/>
        </w:rPr>
        <w:tab/>
      </w:r>
      <w:r w:rsidR="001E7BB4" w:rsidRPr="007930B0">
        <w:rPr>
          <w:lang w:val="es-ES"/>
        </w:rPr>
        <w:t>Desarrollo de la acción multisectorial</w:t>
      </w:r>
    </w:p>
    <w:p w:rsidR="001E7BB4" w:rsidRPr="007930B0" w:rsidRDefault="001E7BB4" w:rsidP="00B56B34">
      <w:pPr>
        <w:pStyle w:val="SingleTxtG"/>
        <w:rPr>
          <w:lang w:val="es-ES"/>
        </w:rPr>
      </w:pPr>
      <w:r w:rsidRPr="007930B0">
        <w:rPr>
          <w:lang w:val="es-ES"/>
        </w:rPr>
        <w:t>351.</w:t>
      </w:r>
      <w:r w:rsidRPr="007930B0">
        <w:rPr>
          <w:lang w:val="es-ES"/>
        </w:rPr>
        <w:tab/>
        <w:t>La aplicación del Marco estratégico de lucha contra la pobreza facilita la ejecución multisectorial de la acción sociosanitaria. Será necesario crear los instrumentos oficiales de colaboración entre el Ministerio de Salud y el conjunto de los demás sectores. Esta colaboración apuntará a hacer más eficiente la acción del Ministerio de Salud gracias al apoyo y la disponibilidad de los demás sectores, y también a atenuar los efectos negativos de las medidas de los demás sectores en el agravamiento o la aparición de problemas sociosanitarios.</w:t>
      </w:r>
    </w:p>
    <w:p w:rsidR="001E7BB4" w:rsidRPr="007930B0" w:rsidRDefault="008C7B4E" w:rsidP="008C7B4E">
      <w:pPr>
        <w:pStyle w:val="H23G"/>
        <w:rPr>
          <w:lang w:val="es-ES"/>
        </w:rPr>
      </w:pPr>
      <w:r w:rsidRPr="007930B0">
        <w:rPr>
          <w:lang w:val="es-ES"/>
        </w:rPr>
        <w:tab/>
      </w:r>
      <w:r w:rsidRPr="007930B0">
        <w:rPr>
          <w:lang w:val="es-ES"/>
        </w:rPr>
        <w:tab/>
      </w:r>
      <w:r w:rsidR="001E7BB4" w:rsidRPr="007930B0">
        <w:rPr>
          <w:lang w:val="es-ES"/>
        </w:rPr>
        <w:t>Fortalecimiento del entorno jurídico e institucional del sector</w:t>
      </w:r>
    </w:p>
    <w:p w:rsidR="001E7BB4" w:rsidRPr="007930B0" w:rsidRDefault="001E7BB4" w:rsidP="00B56B34">
      <w:pPr>
        <w:pStyle w:val="SingleTxtG"/>
        <w:rPr>
          <w:lang w:val="es-ES"/>
        </w:rPr>
      </w:pPr>
      <w:r w:rsidRPr="007930B0">
        <w:rPr>
          <w:lang w:val="es-ES"/>
        </w:rPr>
        <w:t>352.</w:t>
      </w:r>
      <w:r w:rsidRPr="007930B0">
        <w:rPr>
          <w:lang w:val="es-ES"/>
        </w:rPr>
        <w:tab/>
        <w:t xml:space="preserve">La acción sociosanitaria se llevará a cabo en un marco jurídico, institucional y de buena gobernanza fortalecido. A esos efectos, se adoptará un conjunto de políticas y documentos de orientación que permitirán institucionalizar mejor las orientaciones expuestas en los párrafos precedentes. Ese conjunto de políticas y documentos comprenderá, en particular, la política hospitalaria, la </w:t>
      </w:r>
      <w:r w:rsidR="00384889" w:rsidRPr="007930B0">
        <w:rPr>
          <w:lang w:val="es-ES"/>
        </w:rPr>
        <w:t>Ley</w:t>
      </w:r>
      <w:r w:rsidRPr="007930B0">
        <w:rPr>
          <w:lang w:val="es-ES"/>
        </w:rPr>
        <w:t xml:space="preserve"> farmacéutica, el código de salud pública y textos que preparen al país para tomar en cuenta las cuestiones emergentes, como los errores médicos, la donación y el trasplante de órganos o la clonación humana. Por otra parte, las instituciones abocadas al mejoramiento de la gobernanza del sector verán fortalecidas sus atribuciones y dispondrán de medios humanos y materiales más eficaces que les permitirán desempeñar mejor sus funciones de control y seguimiento. Al mismo tiempo, las sanciones y los premios tendrán una importancia cada vez mayor en la gestión de los recursos humanos.</w:t>
      </w:r>
    </w:p>
    <w:p w:rsidR="001E7BB4" w:rsidRPr="007930B0" w:rsidRDefault="008C7B4E" w:rsidP="008C7B4E">
      <w:pPr>
        <w:pStyle w:val="H23G"/>
        <w:rPr>
          <w:lang w:val="es-ES"/>
        </w:rPr>
      </w:pPr>
      <w:r w:rsidRPr="007930B0">
        <w:rPr>
          <w:lang w:val="es-ES"/>
        </w:rPr>
        <w:tab/>
      </w:r>
      <w:r w:rsidRPr="007930B0">
        <w:rPr>
          <w:lang w:val="es-ES"/>
        </w:rPr>
        <w:tab/>
      </w:r>
      <w:r w:rsidR="001E7BB4" w:rsidRPr="007930B0">
        <w:rPr>
          <w:lang w:val="es-ES"/>
        </w:rPr>
        <w:t>Fortalecimiento del enfoque sectorial</w:t>
      </w:r>
    </w:p>
    <w:p w:rsidR="001E7BB4" w:rsidRPr="007930B0" w:rsidRDefault="001E7BB4" w:rsidP="00B56B34">
      <w:pPr>
        <w:pStyle w:val="SingleTxtG"/>
        <w:rPr>
          <w:lang w:val="es-ES"/>
        </w:rPr>
      </w:pPr>
      <w:r w:rsidRPr="007930B0">
        <w:rPr>
          <w:lang w:val="es-ES"/>
        </w:rPr>
        <w:t>353.</w:t>
      </w:r>
      <w:r w:rsidRPr="007930B0">
        <w:rPr>
          <w:lang w:val="es-ES"/>
        </w:rPr>
        <w:tab/>
        <w:t xml:space="preserve">El enfoque sectorial fue adoptado oficialmente en 1998 por el Ministerio de Salud y sus asociados para el desarrollo. Dicho enfoque ha permitido canalizar de manera más coherente las iniciativas de apoyo hacia las estrategias y los objetivos del PDSAS. Sin embargo, se ha visto seriamente coartado por las dificultades de conducción de algunos asociados en el marco de una </w:t>
      </w:r>
      <w:r w:rsidR="00CC3B6E" w:rsidRPr="007930B0">
        <w:rPr>
          <w:lang w:val="es-ES"/>
        </w:rPr>
        <w:t>"</w:t>
      </w:r>
      <w:r w:rsidRPr="007930B0">
        <w:rPr>
          <w:lang w:val="es-ES"/>
        </w:rPr>
        <w:t>caja común</w:t>
      </w:r>
      <w:r w:rsidR="00CC3B6E" w:rsidRPr="007930B0">
        <w:rPr>
          <w:lang w:val="es-ES"/>
        </w:rPr>
        <w:t>"</w:t>
      </w:r>
      <w:r w:rsidRPr="007930B0">
        <w:rPr>
          <w:lang w:val="es-ES"/>
        </w:rPr>
        <w:t>, probablemente por falta de un consenso en torno al sistema de gestión. Será necesario reforzarlo, adoptando procedimientos únicos de gestión de los fondos asignados al sector, e instaurar mecanismos de evaluación y seguimiento que garanticen una confianza total en el sistema. Se formalizará y fortalecerá el Grupo Temático bajo la conducción del Ministro de Salud y Asuntos Sociales, y se extenderá a los demás agentes del sector (agentes privados, sociedad civil, comunidades). Este grupo tendrá un papel preponderante en la planificación, el seguimiento y la evaluación del programa sociosanitario. Paralelamente, se adoptarán textos reglamentarios con el fin de garantizar la existencia de una caja única a nivel del Ministerio de Salud y Asuntos Sociales y formalizar los mecanismos de seguimiento de los recursos del sector.</w:t>
      </w:r>
    </w:p>
    <w:p w:rsidR="001E7BB4" w:rsidRPr="007930B0" w:rsidRDefault="008C7B4E" w:rsidP="008C7B4E">
      <w:pPr>
        <w:pStyle w:val="H23G"/>
        <w:rPr>
          <w:lang w:val="es-ES"/>
        </w:rPr>
      </w:pPr>
      <w:r w:rsidRPr="007930B0">
        <w:rPr>
          <w:lang w:val="es-ES"/>
        </w:rPr>
        <w:tab/>
      </w:r>
      <w:r w:rsidRPr="007930B0">
        <w:rPr>
          <w:lang w:val="es-ES"/>
        </w:rPr>
        <w:tab/>
      </w:r>
      <w:r w:rsidR="001E7BB4" w:rsidRPr="007930B0">
        <w:rPr>
          <w:lang w:val="es-ES"/>
        </w:rPr>
        <w:t>Condiciones necesarias para garantizar el éxito de la aplicación de la política</w:t>
      </w:r>
    </w:p>
    <w:p w:rsidR="001E7BB4" w:rsidRPr="007930B0" w:rsidRDefault="001E7BB4" w:rsidP="00B56B34">
      <w:pPr>
        <w:pStyle w:val="SingleTxtG"/>
        <w:rPr>
          <w:lang w:val="es-ES"/>
        </w:rPr>
      </w:pPr>
      <w:r w:rsidRPr="007930B0">
        <w:rPr>
          <w:lang w:val="es-ES"/>
        </w:rPr>
        <w:t>354.</w:t>
      </w:r>
      <w:r w:rsidRPr="007930B0">
        <w:rPr>
          <w:lang w:val="es-ES"/>
        </w:rPr>
        <w:tab/>
        <w:t>El éxito de la aplicación de esta política dependerá en gran parte de la existencia de una serie de condiciones favorables. Ellas son, fundamentalmente:</w:t>
      </w:r>
    </w:p>
    <w:p w:rsidR="001E7BB4" w:rsidRPr="007930B0" w:rsidRDefault="001E7BB4" w:rsidP="008C7B4E">
      <w:pPr>
        <w:pStyle w:val="Bullet1G"/>
        <w:rPr>
          <w:lang w:val="es-ES"/>
        </w:rPr>
      </w:pPr>
      <w:r w:rsidRPr="007930B0">
        <w:rPr>
          <w:lang w:val="es-ES"/>
        </w:rPr>
        <w:t>La continuidad del entorno político y económico actual, favorable a un desarrollo sociosanitario real;</w:t>
      </w:r>
    </w:p>
    <w:p w:rsidR="001E7BB4" w:rsidRPr="007930B0" w:rsidRDefault="001E7BB4" w:rsidP="008C7B4E">
      <w:pPr>
        <w:pStyle w:val="Bullet1G"/>
        <w:rPr>
          <w:lang w:val="es-ES"/>
        </w:rPr>
      </w:pPr>
      <w:r w:rsidRPr="007930B0">
        <w:rPr>
          <w:lang w:val="es-ES"/>
        </w:rPr>
        <w:t>El compromiso y la movilización en torno a esta política del conjunto de los profesionales de la salud en todos los niveles;</w:t>
      </w:r>
    </w:p>
    <w:p w:rsidR="001E7BB4" w:rsidRPr="007930B0" w:rsidRDefault="001E7BB4" w:rsidP="008C7B4E">
      <w:pPr>
        <w:pStyle w:val="Bullet1G"/>
        <w:rPr>
          <w:lang w:val="es-ES"/>
        </w:rPr>
      </w:pPr>
      <w:r w:rsidRPr="007930B0">
        <w:rPr>
          <w:lang w:val="es-ES"/>
        </w:rPr>
        <w:t>La financiación adecuada y estable que requieren las medidas esenciales consideradas prioritarias;</w:t>
      </w:r>
    </w:p>
    <w:p w:rsidR="001E7BB4" w:rsidRPr="007930B0" w:rsidRDefault="001E7BB4" w:rsidP="008C7B4E">
      <w:pPr>
        <w:pStyle w:val="Bullet1G"/>
        <w:rPr>
          <w:lang w:val="es-ES"/>
        </w:rPr>
      </w:pPr>
      <w:r w:rsidRPr="007930B0">
        <w:rPr>
          <w:lang w:val="es-ES"/>
        </w:rPr>
        <w:t>La coordinación intrasectorial y la colaboración intersectorial como requisitos indispensables para una mayor eficiencia de las medidas adoptadas.</w:t>
      </w:r>
    </w:p>
    <w:p w:rsidR="001E7BB4" w:rsidRPr="007930B0" w:rsidRDefault="008C7B4E" w:rsidP="008C7B4E">
      <w:pPr>
        <w:pStyle w:val="H23G"/>
        <w:rPr>
          <w:lang w:val="es-ES"/>
        </w:rPr>
      </w:pPr>
      <w:r w:rsidRPr="007930B0">
        <w:rPr>
          <w:lang w:val="es-ES"/>
        </w:rPr>
        <w:tab/>
      </w:r>
      <w:r w:rsidRPr="007930B0">
        <w:rPr>
          <w:lang w:val="es-ES"/>
        </w:rPr>
        <w:tab/>
      </w:r>
      <w:r w:rsidR="001E7BB4" w:rsidRPr="007930B0">
        <w:rPr>
          <w:lang w:val="es-ES"/>
        </w:rPr>
        <w:t>Conclusión</w:t>
      </w:r>
    </w:p>
    <w:p w:rsidR="001E7BB4" w:rsidRPr="007930B0" w:rsidRDefault="001E7BB4" w:rsidP="00B56B34">
      <w:pPr>
        <w:pStyle w:val="SingleTxtG"/>
        <w:rPr>
          <w:lang w:val="es-ES"/>
        </w:rPr>
      </w:pPr>
      <w:r w:rsidRPr="007930B0">
        <w:rPr>
          <w:lang w:val="es-ES"/>
        </w:rPr>
        <w:t>355.</w:t>
      </w:r>
      <w:r w:rsidRPr="007930B0">
        <w:rPr>
          <w:lang w:val="es-ES"/>
        </w:rPr>
        <w:tab/>
        <w:t>La situación sociosanitaria en la República Islámica de Mauritania ha mejorado claramente en los dos últimos decenios. No obstante, queda mucho por hacer para que el país pueda cumplir sus compromisos en lo que respecta al logro de los Objetivos de Desarrollo del Milenio. Con vistas a ello, la presente política de salud y acción social definió las bases de la estrategia sectorial a partir de un análisis detallado de la situación actual, teniendo en cuenta también el marco político, sociocultural, económico y ambiental del país, así como las orientaciones internacionales en términos de salud, acción social y lucha contra la pobreza. Además, se hizo particular hincapié en las relaciones de colaboración y en el carácter multisectorial de esta acción, habida cuenta de las especiales características del sector, sus problemas y las soluciones que se propondrán.</w:t>
      </w:r>
    </w:p>
    <w:p w:rsidR="001E7BB4" w:rsidRPr="007930B0" w:rsidRDefault="001E7BB4" w:rsidP="00B56B34">
      <w:pPr>
        <w:pStyle w:val="SingleTxtG"/>
        <w:rPr>
          <w:lang w:val="es-ES"/>
        </w:rPr>
      </w:pPr>
      <w:r w:rsidRPr="007930B0">
        <w:rPr>
          <w:lang w:val="es-ES"/>
        </w:rPr>
        <w:t>356.</w:t>
      </w:r>
      <w:r w:rsidRPr="007930B0">
        <w:rPr>
          <w:lang w:val="es-ES"/>
        </w:rPr>
        <w:tab/>
        <w:t>El Estado de Mauritania desea reafirmar su determinación de poner en práctica esta política. Creará las condiciones que garanticen su éxito y se ocupará de la dirección y movilización de los recursos necesarios para su aplicación. Los servicios administrativos y técnicos de salud de todos los niveles de la pirámide sanitaria se encargarán de su aplicación, cada uno en lo que le competa. Se crearán mecanismos de seguimiento y evaluación para garantizar el logro efectivo de los objetivos fijados. Al mismo tiempo, el Estado hará participar a los distintos agentes, en particular las comunidades y los asociados para el desarrollo, quienes desempeñarán un papel cada vez más importante en la acción sociosanitaria del país.</w:t>
      </w:r>
    </w:p>
    <w:p w:rsidR="001E7BB4" w:rsidRPr="007930B0" w:rsidRDefault="001E7BB4" w:rsidP="00B56B34">
      <w:pPr>
        <w:pStyle w:val="SingleTxtG"/>
        <w:rPr>
          <w:lang w:val="es-ES"/>
        </w:rPr>
      </w:pPr>
      <w:r w:rsidRPr="007930B0">
        <w:rPr>
          <w:lang w:val="es-ES"/>
        </w:rPr>
        <w:t>357.</w:t>
      </w:r>
      <w:r w:rsidRPr="007930B0">
        <w:rPr>
          <w:lang w:val="es-ES"/>
        </w:rPr>
        <w:tab/>
        <w:t>Esta política será el documento nacional de referencia de toda acción sociosanitaria, ya sea pública, privada o comunitaria. Se pondrá en práctica a través de los planes rectores (3 a 5 años), los planes de acción (2 a 3 años) y los planes operacionales anuales sucesivos. Se crearán, a nivel central y regional, comités multidisciplinarios encargados del seguimiento y la aplicación de la política.</w:t>
      </w:r>
    </w:p>
    <w:p w:rsidR="001E7BB4" w:rsidRPr="007930B0" w:rsidRDefault="001E7BB4" w:rsidP="00BA3E16">
      <w:pPr>
        <w:pStyle w:val="H1G"/>
        <w:rPr>
          <w:lang w:val="es-ES"/>
        </w:rPr>
      </w:pPr>
      <w:r w:rsidRPr="007930B0">
        <w:rPr>
          <w:lang w:val="es-ES"/>
        </w:rPr>
        <w:tab/>
      </w:r>
      <w:r w:rsidRPr="007930B0">
        <w:rPr>
          <w:lang w:val="es-ES"/>
        </w:rPr>
        <w:tab/>
        <w:t>Artículos 13 y 14</w:t>
      </w:r>
      <w:r w:rsidRPr="007930B0">
        <w:rPr>
          <w:lang w:val="es-ES"/>
        </w:rPr>
        <w:br/>
        <w:t>Derecho a la educación</w:t>
      </w:r>
    </w:p>
    <w:p w:rsidR="001E7BB4" w:rsidRPr="007930B0" w:rsidRDefault="001E7BB4" w:rsidP="00BA3E16">
      <w:pPr>
        <w:pStyle w:val="H23G"/>
        <w:rPr>
          <w:lang w:val="es-ES"/>
        </w:rPr>
      </w:pPr>
      <w:r w:rsidRPr="007930B0">
        <w:rPr>
          <w:lang w:val="es-ES"/>
        </w:rPr>
        <w:tab/>
      </w:r>
      <w:r w:rsidRPr="007930B0">
        <w:rPr>
          <w:lang w:val="es-ES"/>
        </w:rPr>
        <w:tab/>
        <w:t>Medidas adoptadas para lograr el pleno ejercicio del derecho de acceso a la educación para todos</w:t>
      </w:r>
    </w:p>
    <w:p w:rsidR="001E7BB4" w:rsidRPr="007930B0" w:rsidRDefault="001E7BB4" w:rsidP="00B56B34">
      <w:pPr>
        <w:pStyle w:val="SingleTxtG"/>
        <w:rPr>
          <w:lang w:val="es-ES"/>
        </w:rPr>
      </w:pPr>
      <w:r w:rsidRPr="007930B0">
        <w:rPr>
          <w:lang w:val="es-ES"/>
        </w:rPr>
        <w:t>358.</w:t>
      </w:r>
      <w:r w:rsidRPr="007930B0">
        <w:rPr>
          <w:lang w:val="es-ES"/>
        </w:rPr>
        <w:tab/>
        <w:t>La enseñanza primaria es obligatoria y accesible para todos.</w:t>
      </w:r>
    </w:p>
    <w:p w:rsidR="001E7BB4" w:rsidRPr="007930B0" w:rsidRDefault="00BA3E16" w:rsidP="00BA3E16">
      <w:pPr>
        <w:pStyle w:val="H23G"/>
        <w:rPr>
          <w:lang w:val="es-ES"/>
        </w:rPr>
      </w:pPr>
      <w:r w:rsidRPr="007930B0">
        <w:rPr>
          <w:lang w:val="es-ES"/>
        </w:rPr>
        <w:tab/>
      </w:r>
      <w:r w:rsidRPr="007930B0">
        <w:rPr>
          <w:lang w:val="es-ES"/>
        </w:rPr>
        <w:tab/>
      </w:r>
      <w:r w:rsidR="001E7BB4" w:rsidRPr="007930B0">
        <w:rPr>
          <w:lang w:val="es-ES"/>
        </w:rPr>
        <w:t>Marco legal y reglamentario</w:t>
      </w:r>
    </w:p>
    <w:p w:rsidR="001E7BB4" w:rsidRPr="007930B0" w:rsidRDefault="001E7BB4" w:rsidP="00B56B34">
      <w:pPr>
        <w:pStyle w:val="SingleTxtG"/>
        <w:rPr>
          <w:lang w:val="es-ES"/>
        </w:rPr>
      </w:pPr>
      <w:r w:rsidRPr="007930B0">
        <w:rPr>
          <w:lang w:val="es-ES"/>
        </w:rPr>
        <w:t>359.</w:t>
      </w:r>
      <w:r w:rsidRPr="007930B0">
        <w:rPr>
          <w:lang w:val="es-ES"/>
        </w:rPr>
        <w:tab/>
        <w:t>El acceso a la enseñanza primaria gratuita es un derecho fundamental de todos los niños mauritanos.</w:t>
      </w:r>
    </w:p>
    <w:p w:rsidR="001E7BB4" w:rsidRPr="007930B0" w:rsidRDefault="001E7BB4" w:rsidP="00B56B34">
      <w:pPr>
        <w:pStyle w:val="SingleTxtG"/>
        <w:rPr>
          <w:lang w:val="es-ES"/>
        </w:rPr>
      </w:pPr>
      <w:r w:rsidRPr="007930B0">
        <w:rPr>
          <w:lang w:val="es-ES"/>
        </w:rPr>
        <w:t>360.</w:t>
      </w:r>
      <w:r w:rsidRPr="007930B0">
        <w:rPr>
          <w:lang w:val="es-ES"/>
        </w:rPr>
        <w:tab/>
        <w:t xml:space="preserve">Sin embargo, el servicio público de educación, que incumbe al Estado, mostró muy rápidamente las limitaciones de una educación facultativa: pocos candidatos y, por consiguiente, demasiados alumnos para satisfacer las necesidades futuras de recursos humanos. </w:t>
      </w:r>
    </w:p>
    <w:p w:rsidR="001E7BB4" w:rsidRPr="007930B0" w:rsidRDefault="001E7BB4" w:rsidP="00B56B34">
      <w:pPr>
        <w:pStyle w:val="SingleTxtG"/>
        <w:rPr>
          <w:lang w:val="es-ES"/>
        </w:rPr>
      </w:pPr>
      <w:r w:rsidRPr="007930B0">
        <w:rPr>
          <w:lang w:val="es-ES"/>
        </w:rPr>
        <w:t>361.</w:t>
      </w:r>
      <w:r w:rsidRPr="007930B0">
        <w:rPr>
          <w:lang w:val="es-ES"/>
        </w:rPr>
        <w:tab/>
        <w:t xml:space="preserve">Por ese motivo, en 1975 el parlamento mauritano aprobó la </w:t>
      </w:r>
      <w:r w:rsidR="00384889" w:rsidRPr="007930B0">
        <w:rPr>
          <w:lang w:val="es-ES"/>
        </w:rPr>
        <w:t>Ley</w:t>
      </w:r>
      <w:r w:rsidRPr="007930B0">
        <w:rPr>
          <w:lang w:val="es-ES"/>
        </w:rPr>
        <w:t xml:space="preserve"> </w:t>
      </w:r>
      <w:r w:rsidR="00F4158E">
        <w:rPr>
          <w:lang w:val="es-ES"/>
        </w:rPr>
        <w:t xml:space="preserve">Nº </w:t>
      </w:r>
      <w:r w:rsidRPr="007930B0">
        <w:rPr>
          <w:lang w:val="es-ES"/>
        </w:rPr>
        <w:t>75-023, que hizo obligatoria la enseñanza primaria pública.</w:t>
      </w:r>
    </w:p>
    <w:p w:rsidR="001E7BB4" w:rsidRPr="007930B0" w:rsidRDefault="001E7BB4" w:rsidP="00B56B34">
      <w:pPr>
        <w:pStyle w:val="SingleTxtG"/>
        <w:rPr>
          <w:lang w:val="es-ES"/>
        </w:rPr>
      </w:pPr>
      <w:r w:rsidRPr="007930B0">
        <w:rPr>
          <w:lang w:val="es-ES"/>
        </w:rPr>
        <w:t>362.</w:t>
      </w:r>
      <w:r w:rsidRPr="007930B0">
        <w:rPr>
          <w:lang w:val="es-ES"/>
        </w:rPr>
        <w:tab/>
        <w:t>La parte dispositiva de esta ley estaba articulada en torno a un objetivo de universalidad (</w:t>
      </w:r>
      <w:r w:rsidR="00BA3E16" w:rsidRPr="007930B0">
        <w:rPr>
          <w:b/>
          <w:lang w:val="es-ES"/>
        </w:rPr>
        <w:t>art</w:t>
      </w:r>
      <w:r w:rsidR="00F4158E">
        <w:rPr>
          <w:b/>
          <w:lang w:val="es-ES"/>
        </w:rPr>
        <w:t>. 1</w:t>
      </w:r>
      <w:r w:rsidRPr="007930B0">
        <w:rPr>
          <w:lang w:val="es-ES"/>
        </w:rPr>
        <w:t>) que debía alcanzarse mediante el cumplimiento de la obligación escolar, condicionada al número de plazas disponibles (</w:t>
      </w:r>
      <w:r w:rsidR="00F4158E">
        <w:rPr>
          <w:b/>
          <w:lang w:val="es-ES"/>
        </w:rPr>
        <w:t>art.</w:t>
      </w:r>
      <w:r w:rsidRPr="007930B0">
        <w:rPr>
          <w:b/>
          <w:lang w:val="es-ES"/>
        </w:rPr>
        <w:t xml:space="preserve"> 3</w:t>
      </w:r>
      <w:r w:rsidRPr="007930B0">
        <w:rPr>
          <w:lang w:val="es-ES"/>
        </w:rPr>
        <w:t>):</w:t>
      </w:r>
    </w:p>
    <w:p w:rsidR="001E7BB4" w:rsidRPr="007930B0" w:rsidRDefault="001E7BB4" w:rsidP="00BA3E16">
      <w:pPr>
        <w:pStyle w:val="Bullet1G"/>
        <w:rPr>
          <w:i/>
          <w:lang w:val="es-ES"/>
        </w:rPr>
      </w:pPr>
      <w:r w:rsidRPr="007930B0">
        <w:rPr>
          <w:b/>
          <w:i/>
          <w:lang w:val="es-ES"/>
        </w:rPr>
        <w:t>Artículo 1</w:t>
      </w:r>
      <w:r w:rsidRPr="007930B0">
        <w:rPr>
          <w:i/>
          <w:lang w:val="es-ES"/>
        </w:rPr>
        <w:t xml:space="preserve">: </w:t>
      </w:r>
      <w:r w:rsidR="00CC3B6E" w:rsidRPr="007930B0">
        <w:rPr>
          <w:i/>
          <w:lang w:val="es-ES"/>
        </w:rPr>
        <w:t>"</w:t>
      </w:r>
      <w:r w:rsidRPr="007930B0">
        <w:rPr>
          <w:b/>
          <w:i/>
          <w:lang w:val="es-ES"/>
        </w:rPr>
        <w:t>La enseñanza primaria apunta</w:t>
      </w:r>
      <w:r w:rsidRPr="007930B0">
        <w:rPr>
          <w:i/>
          <w:lang w:val="es-ES"/>
        </w:rPr>
        <w:t xml:space="preserve"> a ofrecer a la totalidad de la población en edad escolar una educación elemental (enseñanza e introducción a la educación cívica y moral) inspirada en los valores espirituales del </w:t>
      </w:r>
      <w:r w:rsidR="00315B1E">
        <w:rPr>
          <w:i/>
          <w:lang w:val="es-ES"/>
        </w:rPr>
        <w:t>islam</w:t>
      </w:r>
      <w:r w:rsidRPr="007930B0">
        <w:rPr>
          <w:i/>
          <w:lang w:val="es-ES"/>
        </w:rPr>
        <w:t xml:space="preserve"> ortodoxo, adaptada al medio físico y humano mauritano y susceptible, mediante la formación de buenos ciudadanos, con acceso a la promoción</w:t>
      </w:r>
      <w:r w:rsidR="00CC3B6E" w:rsidRPr="007930B0">
        <w:rPr>
          <w:i/>
          <w:lang w:val="es-ES"/>
        </w:rPr>
        <w:t>"</w:t>
      </w:r>
      <w:r w:rsidRPr="007930B0">
        <w:rPr>
          <w:i/>
          <w:lang w:val="es-ES"/>
        </w:rPr>
        <w:t>;</w:t>
      </w:r>
    </w:p>
    <w:p w:rsidR="001E7BB4" w:rsidRPr="007930B0" w:rsidRDefault="001E7BB4" w:rsidP="00BA3E16">
      <w:pPr>
        <w:pStyle w:val="Bullet1G"/>
        <w:rPr>
          <w:i/>
          <w:lang w:val="es-ES"/>
        </w:rPr>
      </w:pPr>
      <w:r w:rsidRPr="007930B0">
        <w:rPr>
          <w:b/>
          <w:i/>
          <w:lang w:val="es-ES"/>
        </w:rPr>
        <w:t>Artículo 3</w:t>
      </w:r>
      <w:r w:rsidRPr="007930B0">
        <w:rPr>
          <w:i/>
          <w:lang w:val="es-ES"/>
        </w:rPr>
        <w:t xml:space="preserve">: </w:t>
      </w:r>
      <w:r w:rsidR="00CC3B6E" w:rsidRPr="007930B0">
        <w:rPr>
          <w:i/>
          <w:lang w:val="es-ES"/>
        </w:rPr>
        <w:t>"</w:t>
      </w:r>
      <w:r w:rsidRPr="007930B0">
        <w:rPr>
          <w:i/>
          <w:lang w:val="es-ES"/>
        </w:rPr>
        <w:t xml:space="preserve"> La enseñanza primaria pública es obligatoria dentro de los límites de su capacidad de acogida</w:t>
      </w:r>
      <w:r w:rsidR="00CC3B6E" w:rsidRPr="007930B0">
        <w:rPr>
          <w:i/>
          <w:lang w:val="es-ES"/>
        </w:rPr>
        <w:t>"</w:t>
      </w:r>
      <w:r w:rsidRPr="007930B0">
        <w:rPr>
          <w:i/>
          <w:lang w:val="es-ES"/>
        </w:rPr>
        <w:t>;</w:t>
      </w:r>
    </w:p>
    <w:p w:rsidR="001E7BB4" w:rsidRPr="007930B0" w:rsidRDefault="001E7BB4" w:rsidP="00BA3E16">
      <w:pPr>
        <w:pStyle w:val="Bullet1G"/>
        <w:rPr>
          <w:i/>
          <w:lang w:val="es-ES"/>
        </w:rPr>
      </w:pPr>
      <w:r w:rsidRPr="007930B0">
        <w:rPr>
          <w:b/>
          <w:i/>
          <w:lang w:val="es-ES"/>
        </w:rPr>
        <w:t>Artículo 4</w:t>
      </w:r>
      <w:r w:rsidRPr="007930B0">
        <w:rPr>
          <w:i/>
          <w:lang w:val="es-ES"/>
        </w:rPr>
        <w:t xml:space="preserve">: </w:t>
      </w:r>
      <w:r w:rsidR="00CC3B6E" w:rsidRPr="007930B0">
        <w:rPr>
          <w:i/>
          <w:lang w:val="es-ES"/>
        </w:rPr>
        <w:t>"</w:t>
      </w:r>
      <w:r w:rsidRPr="007930B0">
        <w:rPr>
          <w:i/>
          <w:lang w:val="es-ES"/>
        </w:rPr>
        <w:t>La remuneración del personal, así como la construcción, el equipamiento y el mantenimiento de los edificios escolares y las viviendas del personal, corren por cuenta del Estado y las comunidades regionales. Los útiles y libros de texto escolares son responsabilidad del Estado y de los padres de los alumnos, en las condiciones que se determinarán por decreto</w:t>
      </w:r>
      <w:r w:rsidR="00CC3B6E" w:rsidRPr="007930B0">
        <w:rPr>
          <w:i/>
          <w:lang w:val="es-ES"/>
        </w:rPr>
        <w:t>"</w:t>
      </w:r>
      <w:r w:rsidR="00BA3E16" w:rsidRPr="007930B0">
        <w:rPr>
          <w:i/>
          <w:lang w:val="es-ES"/>
        </w:rPr>
        <w:t>.</w:t>
      </w:r>
    </w:p>
    <w:p w:rsidR="001E7BB4" w:rsidRPr="007930B0" w:rsidRDefault="001E7BB4" w:rsidP="00B56B34">
      <w:pPr>
        <w:pStyle w:val="SingleTxtG"/>
        <w:rPr>
          <w:lang w:val="es-ES"/>
        </w:rPr>
      </w:pPr>
      <w:r w:rsidRPr="007930B0">
        <w:rPr>
          <w:lang w:val="es-ES"/>
        </w:rPr>
        <w:t>363.</w:t>
      </w:r>
      <w:r w:rsidRPr="007930B0">
        <w:rPr>
          <w:lang w:val="es-ES"/>
        </w:rPr>
        <w:tab/>
        <w:t xml:space="preserve">Esta ley era muy ambiciosa, pero sin un mecanismo que estableciera obligaciones y sanciones, estaba destinada al fracaso. </w:t>
      </w:r>
    </w:p>
    <w:p w:rsidR="001E7BB4" w:rsidRPr="007930B0" w:rsidRDefault="001E7BB4" w:rsidP="00B56B34">
      <w:pPr>
        <w:pStyle w:val="SingleTxtG"/>
        <w:rPr>
          <w:lang w:val="es-ES"/>
        </w:rPr>
      </w:pPr>
      <w:r w:rsidRPr="007930B0">
        <w:rPr>
          <w:lang w:val="es-ES"/>
        </w:rPr>
        <w:t>364.</w:t>
      </w:r>
      <w:r w:rsidRPr="007930B0">
        <w:rPr>
          <w:lang w:val="es-ES"/>
        </w:rPr>
        <w:tab/>
        <w:t xml:space="preserve">En el contexto de la implementación de su Programa nacional de desarrollo del sector de la enseñanza (PNDSE) para la década 2001-2010, el Estado mauritano creó un nuevo conjunto de medidas más completas al promulgar la </w:t>
      </w:r>
      <w:r w:rsidR="00FF10B7" w:rsidRPr="007930B0">
        <w:rPr>
          <w:lang w:val="es-ES"/>
        </w:rPr>
        <w:t>Ley Nº</w:t>
      </w:r>
      <w:r w:rsidRPr="007930B0">
        <w:rPr>
          <w:lang w:val="es-ES"/>
        </w:rPr>
        <w:t xml:space="preserve"> 2001-054, sobre la obligatoriedad de la enseñanza primaria.</w:t>
      </w:r>
    </w:p>
    <w:p w:rsidR="001E7BB4" w:rsidRPr="007930B0" w:rsidRDefault="001E7BB4" w:rsidP="00B56B34">
      <w:pPr>
        <w:pStyle w:val="SingleTxtG"/>
        <w:rPr>
          <w:lang w:val="es-ES"/>
        </w:rPr>
      </w:pPr>
      <w:r w:rsidRPr="007930B0">
        <w:rPr>
          <w:lang w:val="es-ES"/>
        </w:rPr>
        <w:t>365.</w:t>
      </w:r>
      <w:r w:rsidRPr="007930B0">
        <w:rPr>
          <w:lang w:val="es-ES"/>
        </w:rPr>
        <w:tab/>
        <w:t>En esta ley, la obligación escolar va acompañada de sanciones para el caso de incumplimiento (</w:t>
      </w:r>
      <w:r w:rsidR="00F4158E">
        <w:rPr>
          <w:b/>
          <w:lang w:val="es-ES"/>
        </w:rPr>
        <w:t>art</w:t>
      </w:r>
      <w:r w:rsidRPr="007930B0">
        <w:rPr>
          <w:b/>
          <w:lang w:val="es-ES"/>
        </w:rPr>
        <w:t>s</w:t>
      </w:r>
      <w:r w:rsidR="00F4158E">
        <w:rPr>
          <w:b/>
          <w:lang w:val="es-ES"/>
        </w:rPr>
        <w:t>.</w:t>
      </w:r>
      <w:r w:rsidRPr="007930B0">
        <w:rPr>
          <w:b/>
          <w:lang w:val="es-ES"/>
        </w:rPr>
        <w:t xml:space="preserve"> 10</w:t>
      </w:r>
      <w:r w:rsidRPr="007930B0">
        <w:rPr>
          <w:lang w:val="es-ES"/>
        </w:rPr>
        <w:t xml:space="preserve"> y </w:t>
      </w:r>
      <w:r w:rsidRPr="007930B0">
        <w:rPr>
          <w:b/>
          <w:lang w:val="es-ES"/>
        </w:rPr>
        <w:t>11</w:t>
      </w:r>
      <w:r w:rsidRPr="007930B0">
        <w:rPr>
          <w:lang w:val="es-ES"/>
        </w:rPr>
        <w:t>); se define a las personas responsables de la guarda del niño (</w:t>
      </w:r>
      <w:r w:rsidR="00F4158E">
        <w:rPr>
          <w:b/>
          <w:lang w:val="es-ES"/>
        </w:rPr>
        <w:t xml:space="preserve">art. </w:t>
      </w:r>
      <w:r w:rsidRPr="007930B0">
        <w:rPr>
          <w:b/>
          <w:lang w:val="es-ES"/>
        </w:rPr>
        <w:t>2</w:t>
      </w:r>
      <w:r w:rsidRPr="007930B0">
        <w:rPr>
          <w:lang w:val="es-ES"/>
        </w:rPr>
        <w:t>) y se impone a las autoridades administrativas, locales y escolares la obligación de velar por la inscripción, en las escuelas más cercanas, de todos los niños que viven en zonas carentes de inf</w:t>
      </w:r>
      <w:r w:rsidR="00F4158E">
        <w:rPr>
          <w:lang w:val="es-ES"/>
        </w:rPr>
        <w:t>raestructura educativa (art.</w:t>
      </w:r>
      <w:r w:rsidRPr="007930B0">
        <w:rPr>
          <w:lang w:val="es-ES"/>
        </w:rPr>
        <w:t xml:space="preserve"> 3):</w:t>
      </w:r>
    </w:p>
    <w:p w:rsidR="001E7BB4" w:rsidRPr="007930B0" w:rsidRDefault="001E7BB4" w:rsidP="00BA3E16">
      <w:pPr>
        <w:pStyle w:val="Bullet1G"/>
        <w:rPr>
          <w:i/>
          <w:lang w:val="es-ES"/>
        </w:rPr>
      </w:pPr>
      <w:r w:rsidRPr="007930B0">
        <w:rPr>
          <w:b/>
          <w:i/>
          <w:lang w:val="es-ES"/>
        </w:rPr>
        <w:t>Artículo 2</w:t>
      </w:r>
      <w:r w:rsidRPr="007930B0">
        <w:rPr>
          <w:i/>
          <w:lang w:val="es-ES"/>
        </w:rPr>
        <w:t>: De acuerdo con la presente ley, se consideran responsables del niño, el padre o la madre o el tutor legal o toda persona física o jurídica que tenga legalment</w:t>
      </w:r>
      <w:r w:rsidR="00BA3E16" w:rsidRPr="007930B0">
        <w:rPr>
          <w:i/>
          <w:lang w:val="es-ES"/>
        </w:rPr>
        <w:t>e a su cargo la guarda del niño;</w:t>
      </w:r>
      <w:r w:rsidRPr="007930B0">
        <w:rPr>
          <w:i/>
          <w:lang w:val="es-ES"/>
        </w:rPr>
        <w:t xml:space="preserve"> </w:t>
      </w:r>
    </w:p>
    <w:p w:rsidR="001E7BB4" w:rsidRPr="007930B0" w:rsidRDefault="001E7BB4" w:rsidP="00BA3E16">
      <w:pPr>
        <w:pStyle w:val="Bullet1G"/>
        <w:rPr>
          <w:i/>
          <w:lang w:val="es-ES"/>
        </w:rPr>
      </w:pPr>
      <w:r w:rsidRPr="007930B0">
        <w:rPr>
          <w:b/>
          <w:i/>
          <w:lang w:val="es-ES"/>
        </w:rPr>
        <w:t>Artículo 3</w:t>
      </w:r>
      <w:r w:rsidRPr="007930B0">
        <w:rPr>
          <w:i/>
          <w:lang w:val="es-ES"/>
        </w:rPr>
        <w:t>: Los niños que viven en localidades que no cuentan con estructuras educativas se inscribirán, a instancia de las autoridades administrativas, municipales y escolares competente</w:t>
      </w:r>
      <w:r w:rsidR="00BA3E16" w:rsidRPr="007930B0">
        <w:rPr>
          <w:i/>
          <w:lang w:val="es-ES"/>
        </w:rPr>
        <w:t>s, en las escuelas más cercanas;</w:t>
      </w:r>
    </w:p>
    <w:p w:rsidR="001E7BB4" w:rsidRPr="007930B0" w:rsidRDefault="001E7BB4" w:rsidP="00BA3E16">
      <w:pPr>
        <w:pStyle w:val="Bullet1G"/>
        <w:rPr>
          <w:lang w:val="es-ES"/>
        </w:rPr>
      </w:pPr>
      <w:r w:rsidRPr="007930B0">
        <w:rPr>
          <w:b/>
          <w:i/>
          <w:lang w:val="es-ES"/>
        </w:rPr>
        <w:t>Artículo 10</w:t>
      </w:r>
      <w:r w:rsidRPr="007930B0">
        <w:rPr>
          <w:i/>
          <w:lang w:val="es-ES"/>
        </w:rPr>
        <w:t>: Se castigará con una multa de 10.000 (diez mil) a 30.000 (treinta mil) ouguiyas a toda persona responsable de un niño que:</w:t>
      </w:r>
    </w:p>
    <w:p w:rsidR="001E7BB4" w:rsidRPr="007930B0" w:rsidRDefault="001E7BB4" w:rsidP="00BA3E16">
      <w:pPr>
        <w:pStyle w:val="Bullet2G"/>
        <w:rPr>
          <w:lang w:val="es-ES"/>
        </w:rPr>
      </w:pPr>
      <w:r w:rsidRPr="007930B0">
        <w:rPr>
          <w:lang w:val="es-ES"/>
        </w:rPr>
        <w:t>Sin motivo válido se niegue a inscribir al niño que tiene a su cargo;</w:t>
      </w:r>
    </w:p>
    <w:p w:rsidR="001E7BB4" w:rsidRPr="007930B0" w:rsidRDefault="001E7BB4" w:rsidP="00BA3E16">
      <w:pPr>
        <w:pStyle w:val="Bullet2G"/>
        <w:rPr>
          <w:lang w:val="es-ES"/>
        </w:rPr>
      </w:pPr>
      <w:r w:rsidRPr="007930B0">
        <w:rPr>
          <w:lang w:val="es-ES"/>
        </w:rPr>
        <w:t>Sin motivo válido sustraiga al niño de la escuela durante más de 15 días en el transcurso de un trimestre;</w:t>
      </w:r>
    </w:p>
    <w:p w:rsidR="001E7BB4" w:rsidRPr="007930B0" w:rsidRDefault="001E7BB4" w:rsidP="00BA3E16">
      <w:pPr>
        <w:pStyle w:val="Bullet2G"/>
        <w:rPr>
          <w:lang w:val="es-ES"/>
        </w:rPr>
      </w:pPr>
      <w:r w:rsidRPr="007930B0">
        <w:rPr>
          <w:lang w:val="es-ES"/>
        </w:rPr>
        <w:t>Por su influencia o por sus actos, haga que un niño interrumpa su escolaridad en forma temporal o definitiva;</w:t>
      </w:r>
    </w:p>
    <w:p w:rsidR="001E7BB4" w:rsidRPr="007930B0" w:rsidRDefault="001E7BB4" w:rsidP="00BA3E16">
      <w:pPr>
        <w:pStyle w:val="Bullet2G"/>
        <w:rPr>
          <w:lang w:val="es-ES"/>
        </w:rPr>
      </w:pPr>
      <w:r w:rsidRPr="007930B0">
        <w:rPr>
          <w:lang w:val="es-ES"/>
        </w:rPr>
        <w:t>En caso de reincidencia, la persona será castigada con una multa de 50.000 (cincuenta mil</w:t>
      </w:r>
      <w:r w:rsidR="00BA3E16" w:rsidRPr="007930B0">
        <w:rPr>
          <w:lang w:val="es-ES"/>
        </w:rPr>
        <w:t>) a 100.000 (cien mil) ouguiyas;</w:t>
      </w:r>
    </w:p>
    <w:p w:rsidR="001E7BB4" w:rsidRPr="007930B0" w:rsidRDefault="001E7BB4" w:rsidP="00BA3E16">
      <w:pPr>
        <w:pStyle w:val="Bullet1G"/>
        <w:rPr>
          <w:i/>
          <w:lang w:val="es-ES"/>
        </w:rPr>
      </w:pPr>
      <w:r w:rsidRPr="007930B0">
        <w:rPr>
          <w:b/>
          <w:i/>
          <w:lang w:val="es-ES"/>
        </w:rPr>
        <w:t>Artículo 11</w:t>
      </w:r>
      <w:r w:rsidRPr="007930B0">
        <w:rPr>
          <w:i/>
          <w:lang w:val="es-ES"/>
        </w:rPr>
        <w:t>: Cuando la persona condenada sea beneficiaria de asignaciones familiares, estas serán suspendidas. La suspensión se levantará únicamente contra la presentación de un certificado de inscripción expedido por el Director (o Directora) o el responsable de la institución.</w:t>
      </w:r>
    </w:p>
    <w:p w:rsidR="001E7BB4" w:rsidRPr="007930B0" w:rsidRDefault="00BA3E16" w:rsidP="00BA3E16">
      <w:pPr>
        <w:pStyle w:val="H23G"/>
        <w:rPr>
          <w:lang w:val="es-ES"/>
        </w:rPr>
      </w:pPr>
      <w:r w:rsidRPr="007930B0">
        <w:rPr>
          <w:lang w:val="es-ES"/>
        </w:rPr>
        <w:tab/>
      </w:r>
      <w:r w:rsidRPr="007930B0">
        <w:rPr>
          <w:lang w:val="es-ES"/>
        </w:rPr>
        <w:tab/>
      </w:r>
      <w:r w:rsidR="001E7BB4" w:rsidRPr="007930B0">
        <w:rPr>
          <w:lang w:val="es-ES"/>
        </w:rPr>
        <w:t>Dificultades</w:t>
      </w:r>
    </w:p>
    <w:p w:rsidR="001E7BB4" w:rsidRPr="007930B0" w:rsidRDefault="001E7BB4" w:rsidP="00B56B34">
      <w:pPr>
        <w:pStyle w:val="SingleTxtG"/>
        <w:rPr>
          <w:lang w:val="es-ES"/>
        </w:rPr>
      </w:pPr>
      <w:r w:rsidRPr="007930B0">
        <w:rPr>
          <w:lang w:val="es-ES"/>
        </w:rPr>
        <w:t>366.</w:t>
      </w:r>
      <w:r w:rsidRPr="007930B0">
        <w:rPr>
          <w:lang w:val="es-ES"/>
        </w:rPr>
        <w:tab/>
        <w:t>Las dificultades se deben a la falta de textos que reglamenten el cumplimiento de la obligación escolar, así como a ciertas carencias en términos de oferta escolar y de continuidad pedagógica. En ausencia de una medida reglamentaria que establezca el marco de las inasistencias con</w:t>
      </w:r>
      <w:r w:rsidR="00F4158E">
        <w:rPr>
          <w:lang w:val="es-ES"/>
        </w:rPr>
        <w:t>sideradas justificadas (art.</w:t>
      </w:r>
      <w:r w:rsidRPr="007930B0">
        <w:rPr>
          <w:lang w:val="es-ES"/>
        </w:rPr>
        <w:t xml:space="preserve"> 5 </w:t>
      </w:r>
      <w:r w:rsidRPr="007930B0">
        <w:rPr>
          <w:i/>
          <w:lang w:val="es-ES"/>
        </w:rPr>
        <w:t>in fine</w:t>
      </w:r>
      <w:r w:rsidRPr="007930B0">
        <w:rPr>
          <w:lang w:val="es-ES"/>
        </w:rPr>
        <w:t>) y que organice el régimen de control de la obligación esc</w:t>
      </w:r>
      <w:r w:rsidR="00F4158E">
        <w:rPr>
          <w:lang w:val="es-ES"/>
        </w:rPr>
        <w:t>olar (art.</w:t>
      </w:r>
      <w:r w:rsidRPr="007930B0">
        <w:rPr>
          <w:lang w:val="es-ES"/>
        </w:rPr>
        <w:t xml:space="preserve"> 9), es difícil aplicar correctamente la </w:t>
      </w:r>
      <w:r w:rsidR="00384889" w:rsidRPr="007930B0">
        <w:rPr>
          <w:lang w:val="es-ES"/>
        </w:rPr>
        <w:t>Ley</w:t>
      </w:r>
      <w:r w:rsidRPr="007930B0">
        <w:rPr>
          <w:lang w:val="es-ES"/>
        </w:rPr>
        <w:t xml:space="preserve"> </w:t>
      </w:r>
      <w:r w:rsidR="00F4158E">
        <w:rPr>
          <w:lang w:val="es-ES"/>
        </w:rPr>
        <w:t xml:space="preserve">Nº </w:t>
      </w:r>
      <w:r w:rsidR="007D43BE">
        <w:rPr>
          <w:b/>
          <w:lang w:val="es-ES"/>
        </w:rPr>
        <w:t>2001</w:t>
      </w:r>
      <w:r w:rsidR="007D43BE">
        <w:rPr>
          <w:b/>
          <w:lang w:val="es-ES"/>
        </w:rPr>
        <w:noBreakHyphen/>
      </w:r>
      <w:r w:rsidRPr="007930B0">
        <w:rPr>
          <w:b/>
          <w:lang w:val="es-ES"/>
        </w:rPr>
        <w:t>054</w:t>
      </w:r>
      <w:r w:rsidRPr="007930B0">
        <w:rPr>
          <w:lang w:val="es-ES"/>
        </w:rPr>
        <w:t xml:space="preserve">; por tal motivo, </w:t>
      </w:r>
      <w:r w:rsidR="00CC3B6E" w:rsidRPr="007930B0">
        <w:rPr>
          <w:lang w:val="es-ES"/>
        </w:rPr>
        <w:t>"</w:t>
      </w:r>
      <w:r w:rsidRPr="007930B0">
        <w:rPr>
          <w:lang w:val="es-ES"/>
        </w:rPr>
        <w:t>aun en los medios donde existe oferta, la mayoría de la población en edad escolar no se inscribe en la escuela. Por ejemplo, para el año escolar 2004/05, más de 122.000 niños en edad de asistir a la escuela quedaron fuera de las aulas</w:t>
      </w:r>
      <w:r w:rsidR="00CC3B6E" w:rsidRPr="007930B0">
        <w:rPr>
          <w:lang w:val="es-ES"/>
        </w:rPr>
        <w:t>"</w:t>
      </w:r>
      <w:r w:rsidRPr="007930B0">
        <w:rPr>
          <w:rStyle w:val="FootnoteReference"/>
          <w:lang w:val="es-ES"/>
        </w:rPr>
        <w:footnoteReference w:id="31"/>
      </w:r>
      <w:r w:rsidRPr="007930B0">
        <w:rPr>
          <w:lang w:val="es-ES"/>
        </w:rPr>
        <w:t xml:space="preserve">. Las medidas de movilización de recursos humanos, materiales y financieros permitieron mejorar sensiblemente el nivel de inscripción y asistencia en las escuelas primarias. </w:t>
      </w:r>
    </w:p>
    <w:p w:rsidR="001E7BB4" w:rsidRPr="007930B0" w:rsidRDefault="001E7BB4" w:rsidP="00B56B34">
      <w:pPr>
        <w:pStyle w:val="SingleTxtG"/>
        <w:rPr>
          <w:lang w:val="es-ES"/>
        </w:rPr>
      </w:pPr>
      <w:r w:rsidRPr="007930B0">
        <w:rPr>
          <w:lang w:val="es-ES"/>
        </w:rPr>
        <w:t>367.</w:t>
      </w:r>
      <w:r w:rsidRPr="007930B0">
        <w:rPr>
          <w:lang w:val="es-ES"/>
        </w:rPr>
        <w:tab/>
        <w:t>Otro problema es la baja tasa de terminación del ciclo escolar. En efecto, a pesar de la introducción de un mecanismo de pasaje automático de los alumnos inscriptos entre los años primero y cuarto de enseñanza primaria y la limitación a dos del número de cursos que se pueden repetir, dicha tasa sigue siendo inferior a la normal: es así que uno de cada dos niños no termina el ciclo escolar.</w:t>
      </w:r>
    </w:p>
    <w:p w:rsidR="001E7BB4" w:rsidRPr="007930B0" w:rsidRDefault="001E7BB4" w:rsidP="00B56B34">
      <w:pPr>
        <w:pStyle w:val="SingleTxtG"/>
        <w:rPr>
          <w:lang w:val="es-ES"/>
        </w:rPr>
      </w:pPr>
      <w:r w:rsidRPr="007930B0">
        <w:rPr>
          <w:lang w:val="es-ES"/>
        </w:rPr>
        <w:t>368.</w:t>
      </w:r>
      <w:r w:rsidRPr="007930B0">
        <w:rPr>
          <w:lang w:val="es-ES"/>
        </w:rPr>
        <w:tab/>
      </w:r>
      <w:r w:rsidRPr="007930B0">
        <w:rPr>
          <w:b/>
          <w:lang w:val="es-ES"/>
        </w:rPr>
        <w:t>En general</w:t>
      </w:r>
      <w:r w:rsidRPr="007930B0">
        <w:rPr>
          <w:lang w:val="es-ES"/>
        </w:rPr>
        <w:t>, el número de alumnos inscriptos en la enseñanza primaria aumentó un 3,8% entre 2005/06 y 2006/07, pasando de 465.970 alumnos en 2005/06 a 483.815 alumnos en 2006/07, de los cuales 45.010 asistían a escuelas privadas (en 2005/06, la enseñanza privada recibió 34.547 alumnos, es decir, un aumento del 30%). El número de escuelas pasó de 3.737 en 2005/06 a 3.752 en 2006/07, de las cuales 231 eran escuelas privadas (frente a 180 en 2005/06). El cuerpo docente estaba compuesto en 2006/07 por 11.378 maestros, de los cuales 2.073 enseñaban en escuelas privadas. El número de docentes en 2005/06 era de 11.252, de los cuales 1.514 ejercían en escuelas privadas. Los cursos se dictaban en 11.320 aulas en 2006/07, frente a 10.713 en 2005/06. El número de divisiones pedagógicas ascendía a 12.862 en 2006/07, frente a 12.595 en 2005/06.</w:t>
      </w:r>
    </w:p>
    <w:p w:rsidR="001E7BB4" w:rsidRPr="007930B0" w:rsidRDefault="001E7BB4" w:rsidP="00B56B34">
      <w:pPr>
        <w:pStyle w:val="SingleTxtG"/>
        <w:rPr>
          <w:lang w:val="es-ES"/>
        </w:rPr>
      </w:pPr>
      <w:r w:rsidRPr="007930B0">
        <w:rPr>
          <w:lang w:val="es-ES"/>
        </w:rPr>
        <w:t>369.</w:t>
      </w:r>
      <w:r w:rsidRPr="007930B0">
        <w:rPr>
          <w:lang w:val="es-ES"/>
        </w:rPr>
        <w:tab/>
        <w:t>Para el año 2010, las perspectivas en primaria se orientan hacia una tasa bruta de escolarización de 100% y un nivel de retención escolar del 70% de los alumnos escolarizados.</w:t>
      </w:r>
    </w:p>
    <w:p w:rsidR="001E7BB4" w:rsidRPr="007930B0" w:rsidRDefault="001E7BB4" w:rsidP="00BA3E16">
      <w:pPr>
        <w:pStyle w:val="H23G"/>
        <w:rPr>
          <w:lang w:val="es-ES"/>
        </w:rPr>
      </w:pPr>
      <w:r w:rsidRPr="007930B0">
        <w:rPr>
          <w:lang w:val="es-ES"/>
        </w:rPr>
        <w:tab/>
      </w:r>
      <w:r w:rsidRPr="007930B0">
        <w:rPr>
          <w:lang w:val="es-ES"/>
        </w:rPr>
        <w:tab/>
        <w:t>Situación de la enseñanza secundaria</w:t>
      </w:r>
    </w:p>
    <w:p w:rsidR="001E7BB4" w:rsidRPr="007930B0" w:rsidRDefault="00BA3E16" w:rsidP="00BA3E16">
      <w:pPr>
        <w:pStyle w:val="H23G"/>
        <w:rPr>
          <w:lang w:val="es-ES"/>
        </w:rPr>
      </w:pPr>
      <w:r w:rsidRPr="007930B0">
        <w:rPr>
          <w:lang w:val="es-ES"/>
        </w:rPr>
        <w:tab/>
      </w:r>
      <w:r w:rsidRPr="007930B0">
        <w:rPr>
          <w:lang w:val="es-ES"/>
        </w:rPr>
        <w:tab/>
      </w:r>
      <w:r w:rsidR="001E7BB4" w:rsidRPr="007930B0">
        <w:rPr>
          <w:lang w:val="es-ES"/>
        </w:rPr>
        <w:t>Enseñanza general</w:t>
      </w:r>
    </w:p>
    <w:p w:rsidR="001E7BB4" w:rsidRPr="007930B0" w:rsidRDefault="001E7BB4" w:rsidP="00B56B34">
      <w:pPr>
        <w:pStyle w:val="SingleTxtG"/>
        <w:rPr>
          <w:lang w:val="es-ES"/>
        </w:rPr>
      </w:pPr>
      <w:r w:rsidRPr="007930B0">
        <w:rPr>
          <w:lang w:val="es-ES"/>
        </w:rPr>
        <w:t>370.</w:t>
      </w:r>
      <w:r w:rsidRPr="007930B0">
        <w:rPr>
          <w:lang w:val="es-ES"/>
        </w:rPr>
        <w:tab/>
        <w:t xml:space="preserve">El acceso a la enseñanza secundaria es gratuito, previa admisión y aprobación del examen de ingreso al primer ciclo de enseñanza secundaria, tras lo que se expide el Certificado de Estudios Primarios (resolución 492 del Ministerio de Educación Nacional, de </w:t>
      </w:r>
      <w:r w:rsidR="00CC7CB3">
        <w:rPr>
          <w:lang w:val="es-ES"/>
        </w:rPr>
        <w:t xml:space="preserve">5 de mayo de </w:t>
      </w:r>
      <w:r w:rsidRPr="007930B0">
        <w:rPr>
          <w:lang w:val="es-ES"/>
        </w:rPr>
        <w:t>2004). La gratuidad está estableci</w:t>
      </w:r>
      <w:r w:rsidR="00BA3E16" w:rsidRPr="007930B0">
        <w:rPr>
          <w:lang w:val="es-ES"/>
        </w:rPr>
        <w:t xml:space="preserve">da en el artículo 3 de la </w:t>
      </w:r>
      <w:r w:rsidR="00FF10B7" w:rsidRPr="007930B0">
        <w:rPr>
          <w:lang w:val="es-ES"/>
        </w:rPr>
        <w:t>Ley Nº</w:t>
      </w:r>
      <w:r w:rsidRPr="007930B0">
        <w:rPr>
          <w:b/>
          <w:lang w:val="es-ES"/>
        </w:rPr>
        <w:t xml:space="preserve"> 69-269</w:t>
      </w:r>
      <w:r w:rsidRPr="007930B0">
        <w:rPr>
          <w:lang w:val="es-ES"/>
        </w:rPr>
        <w:t xml:space="preserve">, de </w:t>
      </w:r>
      <w:r w:rsidR="00384889" w:rsidRPr="007930B0">
        <w:rPr>
          <w:lang w:val="es-ES"/>
        </w:rPr>
        <w:t>1º de agosto</w:t>
      </w:r>
      <w:r w:rsidRPr="007930B0">
        <w:rPr>
          <w:lang w:val="es-ES"/>
        </w:rPr>
        <w:t xml:space="preserve"> de 1969, relativa a la reorganización de la enseñanza de segundo grado:</w:t>
      </w:r>
    </w:p>
    <w:p w:rsidR="001E7BB4" w:rsidRPr="007930B0" w:rsidRDefault="001E7BB4" w:rsidP="00E022EA">
      <w:pPr>
        <w:pStyle w:val="SingleTxtG"/>
        <w:ind w:left="1701"/>
        <w:rPr>
          <w:i/>
          <w:lang w:val="es-ES"/>
        </w:rPr>
      </w:pPr>
      <w:r w:rsidRPr="007930B0">
        <w:rPr>
          <w:b/>
          <w:i/>
          <w:lang w:val="es-ES"/>
        </w:rPr>
        <w:t>Artículo 3</w:t>
      </w:r>
      <w:r w:rsidRPr="007930B0">
        <w:rPr>
          <w:i/>
          <w:lang w:val="es-ES"/>
        </w:rPr>
        <w:t xml:space="preserve">: </w:t>
      </w:r>
      <w:r w:rsidR="00CC3B6E" w:rsidRPr="007930B0">
        <w:rPr>
          <w:i/>
          <w:lang w:val="es-ES"/>
        </w:rPr>
        <w:t>"</w:t>
      </w:r>
      <w:r w:rsidRPr="007930B0">
        <w:rPr>
          <w:i/>
          <w:lang w:val="es-ES"/>
        </w:rPr>
        <w:t>La enseñanza secundaria es gratuita. Los libros de texto y los útiles escolares individuales son responsabilidad de los padres, en las condiciones que se fijarán por decreto. No obstante, se entregarán en forma gratuita a los alumnos becados</w:t>
      </w:r>
      <w:r w:rsidR="00CC3B6E" w:rsidRPr="007930B0">
        <w:rPr>
          <w:i/>
          <w:lang w:val="es-ES"/>
        </w:rPr>
        <w:t>"</w:t>
      </w:r>
      <w:r w:rsidRPr="007930B0">
        <w:rPr>
          <w:i/>
          <w:lang w:val="es-ES"/>
        </w:rPr>
        <w:t>.</w:t>
      </w:r>
    </w:p>
    <w:p w:rsidR="001E7BB4" w:rsidRPr="007930B0" w:rsidRDefault="001E7BB4" w:rsidP="00B56B34">
      <w:pPr>
        <w:pStyle w:val="SingleTxtG"/>
        <w:rPr>
          <w:lang w:val="es-ES"/>
        </w:rPr>
      </w:pPr>
      <w:r w:rsidRPr="007930B0">
        <w:rPr>
          <w:lang w:val="es-ES"/>
        </w:rPr>
        <w:t>371.</w:t>
      </w:r>
      <w:r w:rsidRPr="007930B0">
        <w:rPr>
          <w:lang w:val="es-ES"/>
        </w:rPr>
        <w:tab/>
        <w:t>La aplicación de esta medida a lo largo de los años permite observar una progresión constante en el número de alumnos de enseñanza secundaria. Así, el número de alumnos aumentó un 5,3% entre 2005/06 y 2006/07, pasando de 94.317 a 102.284 alumnos, de los cuales 20.136 correspondían a la enseñanza privada (en 2005/06 la enseñanza privada recibió 16.506 alumnos). En 2006/07, el primer ciclo de enseñanza secundaria pública contaba con 46.061 alumnos y el segundo ciclo con 36.087 alumnos. La perspectiva para 2010 es alcanzar una tasa bruta de escolarización de 40% en la enseñanza secundaria.</w:t>
      </w:r>
    </w:p>
    <w:p w:rsidR="001E7BB4" w:rsidRPr="007930B0" w:rsidRDefault="001E7BB4" w:rsidP="00B56B34">
      <w:pPr>
        <w:pStyle w:val="SingleTxtG"/>
        <w:rPr>
          <w:lang w:val="es-ES"/>
        </w:rPr>
      </w:pPr>
      <w:r w:rsidRPr="007930B0">
        <w:rPr>
          <w:lang w:val="es-ES"/>
        </w:rPr>
        <w:t>372.</w:t>
      </w:r>
      <w:r w:rsidRPr="007930B0">
        <w:rPr>
          <w:lang w:val="es-ES"/>
        </w:rPr>
        <w:tab/>
        <w:t>El número de instituciones de enseñanza secundaria pasó de 239 en 2005/06 a 276 en 2006/07; de esas 276, 181 eran instituciones públicas y 95 eran instituciones privadas (en 2005/06, la enseñanza privada contaba con 82 instituciones). El cuerpo docente de las instituciones de enseñanza secundaria pasó de 3.589 profesores en 2005/06 (de los cuales, 3.105 trabajaban en la enseñanza pública y 484 en la privada) a 4.064 profesores, de los cuales 2.932 trabajaban en la enseñanza pública (es decir, un descenso de 173 profesores con respecto a 2005/06) y 1.132 en la enseñanza privada.</w:t>
      </w:r>
    </w:p>
    <w:p w:rsidR="001E7BB4" w:rsidRPr="007930B0" w:rsidRDefault="00E022EA" w:rsidP="00E022EA">
      <w:pPr>
        <w:pStyle w:val="H23G"/>
        <w:rPr>
          <w:lang w:val="es-ES"/>
        </w:rPr>
      </w:pPr>
      <w:r w:rsidRPr="007930B0">
        <w:rPr>
          <w:lang w:val="es-ES"/>
        </w:rPr>
        <w:tab/>
      </w:r>
      <w:r w:rsidRPr="007930B0">
        <w:rPr>
          <w:lang w:val="es-ES"/>
        </w:rPr>
        <w:tab/>
      </w:r>
      <w:r w:rsidR="001E7BB4" w:rsidRPr="007930B0">
        <w:rPr>
          <w:lang w:val="es-ES"/>
        </w:rPr>
        <w:t>Enseñanza técnica y profesional</w:t>
      </w:r>
    </w:p>
    <w:p w:rsidR="001E7BB4" w:rsidRPr="007930B0" w:rsidRDefault="001E7BB4" w:rsidP="00B56B34">
      <w:pPr>
        <w:pStyle w:val="SingleTxtG"/>
        <w:rPr>
          <w:lang w:val="es-ES"/>
        </w:rPr>
      </w:pPr>
      <w:r w:rsidRPr="007930B0">
        <w:rPr>
          <w:lang w:val="es-ES"/>
        </w:rPr>
        <w:t>373.</w:t>
      </w:r>
      <w:r w:rsidRPr="007930B0">
        <w:rPr>
          <w:lang w:val="es-ES"/>
        </w:rPr>
        <w:tab/>
        <w:t xml:space="preserve">De acuerdo con el </w:t>
      </w:r>
      <w:r w:rsidRPr="007930B0">
        <w:rPr>
          <w:b/>
          <w:lang w:val="es-ES"/>
        </w:rPr>
        <w:t>artículo 4</w:t>
      </w:r>
      <w:r w:rsidRPr="007930B0">
        <w:rPr>
          <w:lang w:val="es-ES"/>
        </w:rPr>
        <w:t xml:space="preserve"> de la </w:t>
      </w:r>
      <w:r w:rsidR="00FF10B7" w:rsidRPr="007930B0">
        <w:rPr>
          <w:lang w:val="es-ES"/>
        </w:rPr>
        <w:t>Ley Nº</w:t>
      </w:r>
      <w:r w:rsidRPr="007930B0">
        <w:rPr>
          <w:lang w:val="es-ES"/>
        </w:rPr>
        <w:t xml:space="preserve"> </w:t>
      </w:r>
      <w:r w:rsidRPr="007930B0">
        <w:rPr>
          <w:b/>
          <w:lang w:val="es-ES"/>
        </w:rPr>
        <w:t>98-007</w:t>
      </w:r>
      <w:r w:rsidRPr="007930B0">
        <w:rPr>
          <w:lang w:val="es-ES"/>
        </w:rPr>
        <w:t xml:space="preserve">, de </w:t>
      </w:r>
      <w:r w:rsidR="00CC7CB3">
        <w:rPr>
          <w:lang w:val="es-ES"/>
        </w:rPr>
        <w:t>20 de enero de 19</w:t>
      </w:r>
      <w:r w:rsidRPr="007930B0">
        <w:rPr>
          <w:lang w:val="es-ES"/>
        </w:rPr>
        <w:t xml:space="preserve">98, sobre formación técnica y profesional: </w:t>
      </w:r>
      <w:r w:rsidR="00CC3B6E" w:rsidRPr="007930B0">
        <w:rPr>
          <w:lang w:val="es-ES"/>
        </w:rPr>
        <w:t>"</w:t>
      </w:r>
      <w:r w:rsidRPr="007930B0">
        <w:rPr>
          <w:lang w:val="es-ES"/>
        </w:rPr>
        <w:t xml:space="preserve">La formación técnica y profesional es responsabilidad del Estado. </w:t>
      </w:r>
      <w:r w:rsidRPr="007930B0">
        <w:rPr>
          <w:b/>
          <w:lang w:val="es-ES"/>
        </w:rPr>
        <w:t>El Estado garantiza la igualdad de acceso</w:t>
      </w:r>
      <w:r w:rsidRPr="007930B0">
        <w:rPr>
          <w:lang w:val="es-ES"/>
        </w:rPr>
        <w:t xml:space="preserve"> para todos a la formación técnica y profesional. Se adoptarán medidas especiales en favor de las personas discapacitadas</w:t>
      </w:r>
      <w:r w:rsidR="00CC3B6E" w:rsidRPr="007930B0">
        <w:rPr>
          <w:lang w:val="es-ES"/>
        </w:rPr>
        <w:t>"</w:t>
      </w:r>
      <w:r w:rsidRPr="007930B0">
        <w:rPr>
          <w:lang w:val="es-ES"/>
        </w:rPr>
        <w:t>.</w:t>
      </w:r>
    </w:p>
    <w:p w:rsidR="001E7BB4" w:rsidRPr="007930B0" w:rsidRDefault="001E7BB4" w:rsidP="00B56B34">
      <w:pPr>
        <w:pStyle w:val="SingleTxtG"/>
        <w:rPr>
          <w:lang w:val="es-ES"/>
        </w:rPr>
      </w:pPr>
      <w:r w:rsidRPr="007930B0">
        <w:rPr>
          <w:lang w:val="es-ES"/>
        </w:rPr>
        <w:t>374.</w:t>
      </w:r>
      <w:r w:rsidRPr="007930B0">
        <w:rPr>
          <w:lang w:val="es-ES"/>
        </w:rPr>
        <w:tab/>
        <w:t>El acceso propiamente dicho a la formación técnica y profesional se logra mediante concurso.</w:t>
      </w:r>
    </w:p>
    <w:p w:rsidR="001E7BB4" w:rsidRPr="007930B0" w:rsidRDefault="001E7BB4" w:rsidP="00B56B34">
      <w:pPr>
        <w:pStyle w:val="SingleTxtG"/>
        <w:rPr>
          <w:lang w:val="es-ES"/>
        </w:rPr>
      </w:pPr>
      <w:r w:rsidRPr="007930B0">
        <w:rPr>
          <w:lang w:val="es-ES"/>
        </w:rPr>
        <w:t>37</w:t>
      </w:r>
      <w:r w:rsidR="00FF10B7" w:rsidRPr="007930B0">
        <w:rPr>
          <w:lang w:val="es-ES"/>
        </w:rPr>
        <w:t>5.</w:t>
      </w:r>
      <w:r w:rsidR="00FF10B7" w:rsidRPr="007930B0">
        <w:rPr>
          <w:lang w:val="es-ES"/>
        </w:rPr>
        <w:tab/>
        <w:t>Según el artículo 18 del D</w:t>
      </w:r>
      <w:r w:rsidRPr="007930B0">
        <w:rPr>
          <w:lang w:val="es-ES"/>
        </w:rPr>
        <w:t xml:space="preserve">ecreto Nº 89-097, de 14 de marzo de 1989, sobre reorganización de la enseñanza técnica: </w:t>
      </w:r>
      <w:r w:rsidR="00CC3B6E" w:rsidRPr="007930B0">
        <w:rPr>
          <w:lang w:val="es-ES"/>
        </w:rPr>
        <w:t>"</w:t>
      </w:r>
      <w:r w:rsidRPr="007930B0">
        <w:rPr>
          <w:lang w:val="es-ES"/>
        </w:rPr>
        <w:t>El ingreso a las instituciones de enseñanza técnica se realiza mediante concursos, pruebas de selección o por orientación con arreglo a las condiciones definidas por decreto (…)</w:t>
      </w:r>
      <w:r w:rsidR="00CC3B6E" w:rsidRPr="007930B0">
        <w:rPr>
          <w:lang w:val="es-ES"/>
        </w:rPr>
        <w:t>"</w:t>
      </w:r>
      <w:r w:rsidRPr="007930B0">
        <w:rPr>
          <w:lang w:val="es-ES"/>
        </w:rPr>
        <w:t>.</w:t>
      </w:r>
    </w:p>
    <w:p w:rsidR="001E7BB4" w:rsidRPr="007930B0" w:rsidRDefault="001E7BB4" w:rsidP="00B56B34">
      <w:pPr>
        <w:pStyle w:val="SingleTxtG"/>
        <w:rPr>
          <w:lang w:val="es-ES"/>
        </w:rPr>
      </w:pPr>
      <w:r w:rsidRPr="007930B0">
        <w:rPr>
          <w:lang w:val="es-ES"/>
        </w:rPr>
        <w:t>376.</w:t>
      </w:r>
      <w:r w:rsidRPr="007930B0">
        <w:rPr>
          <w:lang w:val="es-ES"/>
        </w:rPr>
        <w:tab/>
        <w:t>De manera similar a la enseñanza general, la formación técnica y profesional (FTP) tiene una red pública y otra privada.</w:t>
      </w:r>
    </w:p>
    <w:p w:rsidR="001E7BB4" w:rsidRPr="007930B0" w:rsidRDefault="001E7BB4" w:rsidP="00B56B34">
      <w:pPr>
        <w:pStyle w:val="SingleTxtG"/>
        <w:rPr>
          <w:lang w:val="es-ES"/>
        </w:rPr>
      </w:pPr>
      <w:r w:rsidRPr="007930B0">
        <w:rPr>
          <w:lang w:val="es-ES"/>
        </w:rPr>
        <w:t>377.</w:t>
      </w:r>
      <w:r w:rsidRPr="007930B0">
        <w:rPr>
          <w:lang w:val="es-ES"/>
        </w:rPr>
        <w:tab/>
      </w:r>
      <w:r w:rsidRPr="007930B0">
        <w:rPr>
          <w:b/>
          <w:lang w:val="es-ES"/>
        </w:rPr>
        <w:t>Actualmente</w:t>
      </w:r>
      <w:r w:rsidRPr="007930B0">
        <w:rPr>
          <w:lang w:val="es-ES"/>
        </w:rPr>
        <w:t>, la red pública de FTP está compuesta por 17 instituciones, de las cuales 4 son Institutos de Formación Técnica y Profesional (LFTP), 10 son Centros de Formación y Perfeccionamiento Profesional (CFPP) y 3 son Centros de Formación Profesional de Mahadras (CFPM). El número de alumnos de la FTP, en 2006/07, ascendía a 3.160, de los cuales 2.165 asistían a LFTP, 713 a CFPP y 282 a CFPM. El número de personas que en 2007 obtuvieron los distintos títulos de FTP (BTS (Diploma de Técnico Superior), BAC/TMGM (Bachillerato/Tecnología, Matemática e Ingeniería Mecánica), BT (Diploma de Técnico), BEP (Diploma de Enseñanza Superior), CAP (Certificado de Aptitud Pedagógica)) fue 1.146, de las cuales 635 provenían de los LFTP y 511 de los CFPP.</w:t>
      </w:r>
    </w:p>
    <w:p w:rsidR="001E7BB4" w:rsidRPr="007930B0" w:rsidRDefault="001E7BB4" w:rsidP="00E022EA">
      <w:pPr>
        <w:pStyle w:val="H23G"/>
        <w:rPr>
          <w:lang w:val="es-ES"/>
        </w:rPr>
      </w:pPr>
      <w:r w:rsidRPr="007930B0">
        <w:rPr>
          <w:lang w:val="es-ES"/>
        </w:rPr>
        <w:tab/>
      </w:r>
      <w:r w:rsidRPr="007930B0">
        <w:rPr>
          <w:lang w:val="es-ES"/>
        </w:rPr>
        <w:tab/>
        <w:t>Situación de la enseñanza superior</w:t>
      </w:r>
    </w:p>
    <w:p w:rsidR="001E7BB4" w:rsidRPr="007930B0" w:rsidRDefault="001E7BB4" w:rsidP="00B56B34">
      <w:pPr>
        <w:pStyle w:val="SingleTxtG"/>
        <w:rPr>
          <w:lang w:val="es-ES"/>
        </w:rPr>
      </w:pPr>
      <w:r w:rsidRPr="007930B0">
        <w:rPr>
          <w:lang w:val="es-ES"/>
        </w:rPr>
        <w:t>378.</w:t>
      </w:r>
      <w:r w:rsidRPr="007930B0">
        <w:rPr>
          <w:lang w:val="es-ES"/>
        </w:rPr>
        <w:tab/>
        <w:t xml:space="preserve">De acuerdo con </w:t>
      </w:r>
      <w:r w:rsidR="00CC7CB3">
        <w:rPr>
          <w:b/>
          <w:lang w:val="es-ES"/>
        </w:rPr>
        <w:t>el artículo 1</w:t>
      </w:r>
      <w:r w:rsidRPr="007930B0">
        <w:rPr>
          <w:b/>
          <w:lang w:val="es-ES"/>
        </w:rPr>
        <w:t xml:space="preserve"> de la </w:t>
      </w:r>
      <w:r w:rsidR="00FF10B7" w:rsidRPr="007930B0">
        <w:rPr>
          <w:b/>
          <w:lang w:val="es-ES"/>
        </w:rPr>
        <w:t>Ley Nº</w:t>
      </w:r>
      <w:r w:rsidRPr="007930B0">
        <w:rPr>
          <w:b/>
          <w:lang w:val="es-ES"/>
        </w:rPr>
        <w:t xml:space="preserve"> 70-243</w:t>
      </w:r>
      <w:r w:rsidRPr="007930B0">
        <w:rPr>
          <w:lang w:val="es-ES"/>
        </w:rPr>
        <w:t>, de 25</w:t>
      </w:r>
      <w:r w:rsidR="00CC7CB3">
        <w:rPr>
          <w:lang w:val="es-ES"/>
        </w:rPr>
        <w:t xml:space="preserve"> de julio de 19</w:t>
      </w:r>
      <w:r w:rsidRPr="007930B0">
        <w:rPr>
          <w:lang w:val="es-ES"/>
        </w:rPr>
        <w:t xml:space="preserve">70, relativa a la enseñanza superior: </w:t>
      </w:r>
    </w:p>
    <w:p w:rsidR="001E7BB4" w:rsidRPr="007930B0" w:rsidRDefault="00CC3B6E" w:rsidP="00E022EA">
      <w:pPr>
        <w:pStyle w:val="SingleTxtG"/>
        <w:ind w:left="1701"/>
        <w:rPr>
          <w:lang w:val="es-ES"/>
        </w:rPr>
      </w:pPr>
      <w:r w:rsidRPr="007930B0">
        <w:rPr>
          <w:lang w:val="es-ES"/>
        </w:rPr>
        <w:t>"</w:t>
      </w:r>
      <w:r w:rsidR="001E7BB4" w:rsidRPr="007930B0">
        <w:rPr>
          <w:lang w:val="es-ES"/>
        </w:rPr>
        <w:t>La misión de la enseñanza superior es:</w:t>
      </w:r>
    </w:p>
    <w:p w:rsidR="001E7BB4" w:rsidRPr="007930B0" w:rsidRDefault="001E7BB4" w:rsidP="00CC7CB3">
      <w:pPr>
        <w:pStyle w:val="Bullet2G"/>
      </w:pPr>
      <w:r w:rsidRPr="007930B0">
        <w:t>Mantener, desarrollar y difundir la cultura mauritana inspirada e</w:t>
      </w:r>
      <w:r w:rsidR="007D43BE">
        <w:t xml:space="preserve">n los valores espirituales </w:t>
      </w:r>
      <w:smartTag w:uri="urn:schemas-microsoft-com:office:smarttags" w:element="State">
        <w:smartTag w:uri="urn:schemas-microsoft-com:office:smarttags" w:element="place">
          <w:r w:rsidR="007D43BE">
            <w:t>del</w:t>
          </w:r>
        </w:smartTag>
      </w:smartTag>
      <w:r w:rsidR="007D43BE">
        <w:t xml:space="preserve"> i</w:t>
      </w:r>
      <w:r w:rsidRPr="007930B0">
        <w:t>slam;</w:t>
      </w:r>
    </w:p>
    <w:p w:rsidR="001E7BB4" w:rsidRPr="007930B0" w:rsidRDefault="001E7BB4" w:rsidP="00CC7CB3">
      <w:pPr>
        <w:pStyle w:val="Bullet2G"/>
      </w:pPr>
      <w:r w:rsidRPr="007930B0">
        <w:t xml:space="preserve">Capacitar a </w:t>
      </w:r>
      <w:smartTag w:uri="urn:schemas-microsoft-com:office:smarttags" w:element="City">
        <w:smartTag w:uri="urn:schemas-microsoft-com:office:smarttags" w:element="place">
          <w:r w:rsidRPr="007930B0">
            <w:t>los altos</w:t>
          </w:r>
        </w:smartTag>
      </w:smartTag>
      <w:r w:rsidRPr="007930B0">
        <w:t xml:space="preserve"> funcionarios de la nación y garantizar su continuo perfeccionamiento mediante la adaptación permanente de la enseñanza a los progresos científicos y técnicos y a las transformaciones de la vida social;</w:t>
      </w:r>
    </w:p>
    <w:p w:rsidR="001E7BB4" w:rsidRPr="007930B0" w:rsidRDefault="001E7BB4" w:rsidP="00CC7CB3">
      <w:pPr>
        <w:pStyle w:val="Bullet2G"/>
      </w:pPr>
      <w:r w:rsidRPr="007930B0">
        <w:t>Fomentar el desarrollo de la investigación científica.</w:t>
      </w:r>
      <w:r w:rsidR="00CC3B6E" w:rsidRPr="007930B0">
        <w:t>"</w:t>
      </w:r>
    </w:p>
    <w:p w:rsidR="001E7BB4" w:rsidRPr="007930B0" w:rsidRDefault="001E7BB4" w:rsidP="00B56B34">
      <w:pPr>
        <w:pStyle w:val="SingleTxtG"/>
        <w:rPr>
          <w:lang w:val="es-ES"/>
        </w:rPr>
      </w:pPr>
      <w:r w:rsidRPr="007930B0">
        <w:rPr>
          <w:lang w:val="es-ES"/>
        </w:rPr>
        <w:t>379.</w:t>
      </w:r>
      <w:r w:rsidRPr="007930B0">
        <w:rPr>
          <w:lang w:val="es-ES"/>
        </w:rPr>
        <w:tab/>
        <w:t>El acceso a la enseñanza superior, una vez obtenido el título de bachiller o un diploma equivalente, está supeditado al pago de los derechos de matrícula.</w:t>
      </w:r>
    </w:p>
    <w:p w:rsidR="001E7BB4" w:rsidRPr="007930B0" w:rsidRDefault="001E7BB4" w:rsidP="00B56B34">
      <w:pPr>
        <w:pStyle w:val="SingleTxtG"/>
        <w:rPr>
          <w:lang w:val="es-ES"/>
        </w:rPr>
      </w:pPr>
      <w:r w:rsidRPr="007930B0">
        <w:rPr>
          <w:lang w:val="es-ES"/>
        </w:rPr>
        <w:t>380.</w:t>
      </w:r>
      <w:r w:rsidRPr="007930B0">
        <w:rPr>
          <w:lang w:val="es-ES"/>
        </w:rPr>
        <w:tab/>
        <w:t xml:space="preserve">Un estudio de casos revela que </w:t>
      </w:r>
      <w:r w:rsidR="00CC3B6E" w:rsidRPr="007930B0">
        <w:rPr>
          <w:lang w:val="es-ES"/>
        </w:rPr>
        <w:t>"</w:t>
      </w:r>
      <w:r w:rsidRPr="007930B0">
        <w:rPr>
          <w:lang w:val="es-ES"/>
        </w:rPr>
        <w:t>Entre los años 1990 y 2001 la evolución del alumnado en la enseñanza superior registró un aumento incontrolado de la matrícula. En efecto, el número de estudiantes en ese período pasó de menos de 5.000 a más de 10.000, mientras que la capacidad de acogida no evolucionó en ese lapso (capacidad para acoger a 5.000 estudiantes). A pesar de ello, en los últimos 15 años la enseñanza superior ha acogido a más del 70% de los bachilleres y ha formado a más de 12.000 graduados</w:t>
      </w:r>
      <w:r w:rsidR="00CC3B6E" w:rsidRPr="007930B0">
        <w:rPr>
          <w:lang w:val="es-ES"/>
        </w:rPr>
        <w:t>"</w:t>
      </w:r>
      <w:r w:rsidRPr="007930B0">
        <w:rPr>
          <w:rStyle w:val="FootnoteReference"/>
          <w:lang w:val="es-ES"/>
        </w:rPr>
        <w:footnoteReference w:id="32"/>
      </w:r>
      <w:r w:rsidRPr="007930B0">
        <w:rPr>
          <w:lang w:val="es-ES"/>
        </w:rPr>
        <w:t>.</w:t>
      </w:r>
    </w:p>
    <w:p w:rsidR="001E7BB4" w:rsidRPr="007930B0" w:rsidRDefault="001E7BB4" w:rsidP="00B56B34">
      <w:pPr>
        <w:pStyle w:val="SingleTxtG"/>
        <w:rPr>
          <w:lang w:val="es-ES"/>
        </w:rPr>
      </w:pPr>
      <w:r w:rsidRPr="007930B0">
        <w:rPr>
          <w:lang w:val="es-ES"/>
        </w:rPr>
        <w:t>381.</w:t>
      </w:r>
      <w:r w:rsidRPr="007930B0">
        <w:rPr>
          <w:lang w:val="es-ES"/>
        </w:rPr>
        <w:tab/>
        <w:t>En 2006/07 había 16.311 estudiantes, de los cuales 13.309 estaban inscriptos en las instituciones nacionales (Universidad de Nuakchot: 11.717 estudiantes, e Instituto Superior de Estudios e Investigaciones Islámicas: 1.705), y 2.889 estaban becados en el exterior, distribuidos en 24 países. En 2007 se graduaron de la Universidad 1.144 estudiantes, de los cuales solo 183 egresaron de la FST (Facultad de Ciencias Técnicas).</w:t>
      </w:r>
    </w:p>
    <w:p w:rsidR="001E7BB4" w:rsidRPr="007930B0" w:rsidRDefault="001E7BB4" w:rsidP="00B56B34">
      <w:pPr>
        <w:pStyle w:val="SingleTxtG"/>
        <w:rPr>
          <w:lang w:val="es-ES"/>
        </w:rPr>
      </w:pPr>
      <w:r w:rsidRPr="007930B0">
        <w:rPr>
          <w:lang w:val="es-ES"/>
        </w:rPr>
        <w:t>382.</w:t>
      </w:r>
      <w:r w:rsidRPr="007930B0">
        <w:rPr>
          <w:lang w:val="es-ES"/>
        </w:rPr>
        <w:tab/>
        <w:t xml:space="preserve">Según el estudio mencionado, </w:t>
      </w:r>
      <w:r w:rsidR="00CC3B6E" w:rsidRPr="007930B0">
        <w:rPr>
          <w:lang w:val="es-ES"/>
        </w:rPr>
        <w:t>"</w:t>
      </w:r>
      <w:r w:rsidRPr="007930B0">
        <w:rPr>
          <w:lang w:val="es-ES"/>
        </w:rPr>
        <w:t>La oferta de las instituciones nacionales de enseñanza superior abarca actualmente 22 especialidades diferentes. Estas especialidades están disponibles para los bachilleres (egresados del segundo ciclo de enseñanza secundaria) procedentes de tres opciones o ramas principales: letras, ciencias y matemática.</w:t>
      </w:r>
      <w:r w:rsidR="00CC3B6E" w:rsidRPr="007930B0">
        <w:rPr>
          <w:lang w:val="es-ES"/>
        </w:rPr>
        <w:t>"</w:t>
      </w:r>
    </w:p>
    <w:p w:rsidR="001E7BB4" w:rsidRPr="007930B0" w:rsidRDefault="001E7BB4" w:rsidP="00B56B34">
      <w:pPr>
        <w:pStyle w:val="SingleTxtG"/>
        <w:rPr>
          <w:lang w:val="es-ES"/>
        </w:rPr>
      </w:pPr>
      <w:r w:rsidRPr="007930B0">
        <w:rPr>
          <w:lang w:val="es-ES"/>
        </w:rPr>
        <w:t>383.</w:t>
      </w:r>
      <w:r w:rsidRPr="007930B0">
        <w:rPr>
          <w:lang w:val="es-ES"/>
        </w:rPr>
        <w:tab/>
        <w:t xml:space="preserve">En dicho estudio se explica que </w:t>
      </w:r>
      <w:r w:rsidR="00CC3B6E" w:rsidRPr="007930B0">
        <w:rPr>
          <w:lang w:val="es-ES"/>
        </w:rPr>
        <w:t>"</w:t>
      </w:r>
      <w:r w:rsidRPr="007930B0">
        <w:rPr>
          <w:lang w:val="es-ES"/>
        </w:rPr>
        <w:t>El primer problema que se presenta en este nivel está relacionado con el hecho de que las opciones son muy limitadas en el segundo ciclo de enseñanza secundaria (3 ramas) para alimentar a más de 22 especialidades diferentes e incluso más, ya que la enseñanza superior no cubre todas las necesidades del mercado</w:t>
      </w:r>
      <w:r w:rsidR="00CC3B6E" w:rsidRPr="007930B0">
        <w:rPr>
          <w:lang w:val="es-ES"/>
        </w:rPr>
        <w:t>"</w:t>
      </w:r>
      <w:r w:rsidRPr="007930B0">
        <w:rPr>
          <w:lang w:val="es-ES"/>
        </w:rPr>
        <w:t>.</w:t>
      </w:r>
    </w:p>
    <w:p w:rsidR="001E7BB4" w:rsidRPr="007930B0" w:rsidRDefault="001E7BB4" w:rsidP="00B56B34">
      <w:pPr>
        <w:pStyle w:val="SingleTxtG"/>
        <w:rPr>
          <w:lang w:val="es-ES"/>
        </w:rPr>
      </w:pPr>
      <w:r w:rsidRPr="007930B0">
        <w:rPr>
          <w:lang w:val="es-ES"/>
        </w:rPr>
        <w:t>384.</w:t>
      </w:r>
      <w:r w:rsidRPr="007930B0">
        <w:rPr>
          <w:lang w:val="es-ES"/>
        </w:rPr>
        <w:tab/>
        <w:t xml:space="preserve">Pero existe un segundo problema: </w:t>
      </w:r>
      <w:r w:rsidR="00CC3B6E" w:rsidRPr="007930B0">
        <w:rPr>
          <w:lang w:val="es-ES"/>
        </w:rPr>
        <w:t>"</w:t>
      </w:r>
      <w:r w:rsidRPr="007930B0">
        <w:rPr>
          <w:lang w:val="es-ES"/>
        </w:rPr>
        <w:t>El segundo problema tiene que ver con la lógica utilizada para distribuir a los bachilleres entre las diferentes especialidades de la enseñanza superior. En la elección de la especialidad dentro de la enseñanza superior, el perfil inicial del candidato (rama de la enseñanza secundaria) no siempre es determinante. El método utilizado actualmente en la Universidad de Nuakchot consiste en seleccionar a los nuevos alumnos que ingresan a la Facultad de Ciencias Técnicas sobre la base de criterios precisos y de asignar a los demás candidatos a otras especialidades, en general sin tener en cuenta su perfil</w:t>
      </w:r>
      <w:r w:rsidR="00CC3B6E" w:rsidRPr="007930B0">
        <w:rPr>
          <w:lang w:val="es-ES"/>
        </w:rPr>
        <w:t>"</w:t>
      </w:r>
      <w:r w:rsidRPr="007930B0">
        <w:rPr>
          <w:rStyle w:val="FootnoteReference"/>
          <w:lang w:val="es-ES"/>
        </w:rPr>
        <w:footnoteReference w:id="33"/>
      </w:r>
      <w:r w:rsidRPr="007930B0">
        <w:rPr>
          <w:lang w:val="es-ES"/>
        </w:rPr>
        <w:t>.</w:t>
      </w:r>
    </w:p>
    <w:p w:rsidR="001E7BB4" w:rsidRPr="007930B0" w:rsidRDefault="001E7BB4" w:rsidP="00E022EA">
      <w:pPr>
        <w:pStyle w:val="H23G"/>
        <w:rPr>
          <w:lang w:val="es-ES"/>
        </w:rPr>
      </w:pPr>
      <w:r w:rsidRPr="007930B0">
        <w:rPr>
          <w:lang w:val="es-ES"/>
        </w:rPr>
        <w:tab/>
      </w:r>
      <w:r w:rsidRPr="007930B0">
        <w:rPr>
          <w:lang w:val="es-ES"/>
        </w:rPr>
        <w:tab/>
        <w:t>La situación de la alfabetización</w:t>
      </w:r>
    </w:p>
    <w:p w:rsidR="001E7BB4" w:rsidRPr="007930B0" w:rsidRDefault="001E7BB4" w:rsidP="00B56B34">
      <w:pPr>
        <w:pStyle w:val="SingleTxtG"/>
        <w:rPr>
          <w:lang w:val="es-ES"/>
        </w:rPr>
      </w:pPr>
      <w:r w:rsidRPr="007930B0">
        <w:rPr>
          <w:lang w:val="es-ES"/>
        </w:rPr>
        <w:t>385.</w:t>
      </w:r>
      <w:r w:rsidRPr="007930B0">
        <w:rPr>
          <w:lang w:val="es-ES"/>
        </w:rPr>
        <w:tab/>
        <w:t>La alfabetización dependía, hasta hace ocho meses, del Ministerio encargado de la lucha contra el analfabetismo, de la orientación islámica y de la enseñanza original.</w:t>
      </w:r>
    </w:p>
    <w:p w:rsidR="001E7BB4" w:rsidRPr="007930B0" w:rsidRDefault="001E7BB4" w:rsidP="00B56B34">
      <w:pPr>
        <w:pStyle w:val="SingleTxtG"/>
        <w:rPr>
          <w:lang w:val="es-ES"/>
        </w:rPr>
      </w:pPr>
      <w:r w:rsidRPr="007930B0">
        <w:rPr>
          <w:lang w:val="es-ES"/>
        </w:rPr>
        <w:t>386.</w:t>
      </w:r>
      <w:r w:rsidRPr="007930B0">
        <w:rPr>
          <w:lang w:val="es-ES"/>
        </w:rPr>
        <w:tab/>
        <w:t>A partir de ese momento quedó a cargo de una dirección central del Ministerio de Educación Nacional.</w:t>
      </w:r>
    </w:p>
    <w:p w:rsidR="001E7BB4" w:rsidRPr="007930B0" w:rsidRDefault="00E022EA" w:rsidP="00B56B34">
      <w:pPr>
        <w:pStyle w:val="SingleTxtG"/>
        <w:rPr>
          <w:lang w:val="es-ES"/>
        </w:rPr>
      </w:pPr>
      <w:r w:rsidRPr="007930B0">
        <w:rPr>
          <w:lang w:val="es-ES"/>
        </w:rPr>
        <w:t>387.</w:t>
      </w:r>
      <w:r w:rsidRPr="007930B0">
        <w:rPr>
          <w:lang w:val="es-ES"/>
        </w:rPr>
        <w:tab/>
      </w:r>
      <w:r w:rsidR="001E7BB4" w:rsidRPr="007930B0">
        <w:rPr>
          <w:lang w:val="es-ES"/>
        </w:rPr>
        <w:t>La Dirección de Alfabetización y de Educación No Formal se ocupa desde entonces de todos los temas relacionados con la alfabetización y, en particular, del diseño y la aplicación de programas de educación no formal en beneficio de los niños no escolarizados o que han abandonado la escuela.</w:t>
      </w:r>
    </w:p>
    <w:p w:rsidR="001E7BB4" w:rsidRPr="007930B0" w:rsidRDefault="001E7BB4" w:rsidP="00B56B34">
      <w:pPr>
        <w:pStyle w:val="SingleTxtG"/>
        <w:rPr>
          <w:lang w:val="es-ES"/>
        </w:rPr>
      </w:pPr>
      <w:r w:rsidRPr="007930B0">
        <w:rPr>
          <w:lang w:val="es-ES"/>
        </w:rPr>
        <w:t>388.</w:t>
      </w:r>
      <w:r w:rsidRPr="007930B0">
        <w:rPr>
          <w:lang w:val="es-ES"/>
        </w:rPr>
        <w:tab/>
        <w:t>Con el objeto de luchar eficazmente contra el analfabetismo en todos los ámbitos, el Estado mauritano ha adoptado en los últimos años una serie de medidas orientadas a:</w:t>
      </w:r>
    </w:p>
    <w:p w:rsidR="001E7BB4" w:rsidRPr="007930B0" w:rsidRDefault="001E7BB4" w:rsidP="00E022EA">
      <w:pPr>
        <w:pStyle w:val="Bullet1G"/>
        <w:rPr>
          <w:lang w:val="es-ES"/>
        </w:rPr>
      </w:pPr>
      <w:r w:rsidRPr="007930B0">
        <w:rPr>
          <w:lang w:val="es-ES"/>
        </w:rPr>
        <w:t>La movilización social y la sensibilización sobre los perjuicios que acarrea el analfabetismo;</w:t>
      </w:r>
    </w:p>
    <w:p w:rsidR="001E7BB4" w:rsidRPr="007930B0" w:rsidRDefault="001E7BB4" w:rsidP="00E022EA">
      <w:pPr>
        <w:pStyle w:val="Bullet1G"/>
        <w:rPr>
          <w:lang w:val="es-ES"/>
        </w:rPr>
      </w:pPr>
      <w:r w:rsidRPr="007930B0">
        <w:rPr>
          <w:lang w:val="es-ES"/>
        </w:rPr>
        <w:t>La diversificación y la continuidad de las campañas de alfabetización;</w:t>
      </w:r>
    </w:p>
    <w:p w:rsidR="001E7BB4" w:rsidRPr="007930B0" w:rsidRDefault="001E7BB4" w:rsidP="00E022EA">
      <w:pPr>
        <w:pStyle w:val="Bullet1G"/>
        <w:rPr>
          <w:lang w:val="es-ES"/>
        </w:rPr>
      </w:pPr>
      <w:r w:rsidRPr="007930B0">
        <w:rPr>
          <w:lang w:val="es-ES"/>
        </w:rPr>
        <w:t>La producción de material didáctico;</w:t>
      </w:r>
    </w:p>
    <w:p w:rsidR="001E7BB4" w:rsidRPr="007930B0" w:rsidRDefault="001E7BB4" w:rsidP="00E022EA">
      <w:pPr>
        <w:pStyle w:val="Bullet1G"/>
        <w:rPr>
          <w:lang w:val="es-ES"/>
        </w:rPr>
      </w:pPr>
      <w:r w:rsidRPr="007930B0">
        <w:rPr>
          <w:lang w:val="es-ES"/>
        </w:rPr>
        <w:t xml:space="preserve">La formación de personal </w:t>
      </w:r>
      <w:r w:rsidR="00CC3B6E" w:rsidRPr="007930B0">
        <w:rPr>
          <w:lang w:val="es-ES"/>
        </w:rPr>
        <w:t>"</w:t>
      </w:r>
      <w:r w:rsidRPr="007930B0">
        <w:rPr>
          <w:lang w:val="es-ES"/>
        </w:rPr>
        <w:t>alfabetizador</w:t>
      </w:r>
      <w:r w:rsidR="00CC3B6E" w:rsidRPr="007930B0">
        <w:rPr>
          <w:lang w:val="es-ES"/>
        </w:rPr>
        <w:t>"</w:t>
      </w:r>
      <w:r w:rsidRPr="007930B0">
        <w:rPr>
          <w:lang w:val="es-ES"/>
        </w:rPr>
        <w:t>;</w:t>
      </w:r>
    </w:p>
    <w:p w:rsidR="001E7BB4" w:rsidRPr="007930B0" w:rsidRDefault="001E7BB4" w:rsidP="00E022EA">
      <w:pPr>
        <w:pStyle w:val="Bullet1G"/>
        <w:rPr>
          <w:lang w:val="es-ES"/>
        </w:rPr>
      </w:pPr>
      <w:r w:rsidRPr="007930B0">
        <w:rPr>
          <w:lang w:val="es-ES"/>
        </w:rPr>
        <w:t>La apertura de centros de alfabetización permanentes;</w:t>
      </w:r>
    </w:p>
    <w:p w:rsidR="001E7BB4" w:rsidRPr="007930B0" w:rsidRDefault="001E7BB4" w:rsidP="00E022EA">
      <w:pPr>
        <w:pStyle w:val="Bullet1G"/>
        <w:rPr>
          <w:lang w:val="es-ES"/>
        </w:rPr>
      </w:pPr>
      <w:r w:rsidRPr="007930B0">
        <w:rPr>
          <w:lang w:val="es-ES"/>
        </w:rPr>
        <w:t>La creación de centros de alfabetización funcional.</w:t>
      </w:r>
    </w:p>
    <w:p w:rsidR="001E7BB4" w:rsidRPr="007930B0" w:rsidRDefault="001E7BB4" w:rsidP="00B56B34">
      <w:pPr>
        <w:pStyle w:val="SingleTxtG"/>
        <w:rPr>
          <w:lang w:val="es-ES"/>
        </w:rPr>
      </w:pPr>
      <w:r w:rsidRPr="007930B0">
        <w:rPr>
          <w:lang w:val="es-ES"/>
        </w:rPr>
        <w:t>389.</w:t>
      </w:r>
      <w:r w:rsidRPr="007930B0">
        <w:rPr>
          <w:lang w:val="es-ES"/>
        </w:rPr>
        <w:tab/>
        <w:t>También se adoptaron otras medidas que contribuyen a aplicar la política de alfabetización:</w:t>
      </w:r>
    </w:p>
    <w:p w:rsidR="001E7BB4" w:rsidRPr="007930B0" w:rsidRDefault="001E7BB4" w:rsidP="00E022EA">
      <w:pPr>
        <w:pStyle w:val="Bullet1G"/>
        <w:rPr>
          <w:lang w:val="es-ES"/>
        </w:rPr>
      </w:pPr>
      <w:r w:rsidRPr="007930B0">
        <w:rPr>
          <w:lang w:val="es-ES"/>
        </w:rPr>
        <w:t xml:space="preserve">La producción y difusión de programas de radio y televisión en las horas de mayor audiencia; </w:t>
      </w:r>
    </w:p>
    <w:p w:rsidR="001E7BB4" w:rsidRPr="007930B0" w:rsidRDefault="001E7BB4" w:rsidP="00E022EA">
      <w:pPr>
        <w:pStyle w:val="Bullet1G"/>
        <w:rPr>
          <w:lang w:val="es-ES"/>
        </w:rPr>
      </w:pPr>
      <w:r w:rsidRPr="007930B0">
        <w:rPr>
          <w:lang w:val="es-ES"/>
        </w:rPr>
        <w:t>La organización de campañas con afiches publicitarios y autoadhesivos;</w:t>
      </w:r>
    </w:p>
    <w:p w:rsidR="001E7BB4" w:rsidRPr="007930B0" w:rsidRDefault="001E7BB4" w:rsidP="00E022EA">
      <w:pPr>
        <w:pStyle w:val="Bullet1G"/>
        <w:rPr>
          <w:lang w:val="es-ES"/>
        </w:rPr>
      </w:pPr>
      <w:r w:rsidRPr="007930B0">
        <w:rPr>
          <w:lang w:val="es-ES"/>
        </w:rPr>
        <w:t>La confección e instalación de carteles publicitarios en los principales centros del país;</w:t>
      </w:r>
    </w:p>
    <w:p w:rsidR="001E7BB4" w:rsidRPr="007930B0" w:rsidRDefault="001E7BB4" w:rsidP="00E022EA">
      <w:pPr>
        <w:pStyle w:val="Bullet1G"/>
        <w:rPr>
          <w:lang w:val="es-ES"/>
        </w:rPr>
      </w:pPr>
      <w:r w:rsidRPr="007930B0">
        <w:rPr>
          <w:lang w:val="es-ES"/>
        </w:rPr>
        <w:t>La organización de reuniones de información y sensibilización sobre la utilidad y la importancia de la instrucción.</w:t>
      </w:r>
    </w:p>
    <w:p w:rsidR="001E7BB4" w:rsidRPr="007930B0" w:rsidRDefault="001E7BB4" w:rsidP="00B56B34">
      <w:pPr>
        <w:pStyle w:val="SingleTxtG"/>
        <w:rPr>
          <w:lang w:val="es-ES"/>
        </w:rPr>
      </w:pPr>
      <w:r w:rsidRPr="007930B0">
        <w:rPr>
          <w:lang w:val="es-ES"/>
        </w:rPr>
        <w:t>390.</w:t>
      </w:r>
      <w:r w:rsidRPr="007930B0">
        <w:rPr>
          <w:lang w:val="es-ES"/>
        </w:rPr>
        <w:tab/>
        <w:t>En el marco de la Estrategia Nacional de Erradicación del Analfabetismo (febrero de 2006), el Estado mauritano se fijó los siguientes objetivos:</w:t>
      </w:r>
    </w:p>
    <w:p w:rsidR="001E7BB4" w:rsidRPr="007930B0" w:rsidRDefault="001E7BB4" w:rsidP="00E022EA">
      <w:pPr>
        <w:pStyle w:val="Bullet1G"/>
        <w:rPr>
          <w:lang w:val="es-ES"/>
        </w:rPr>
      </w:pPr>
      <w:r w:rsidRPr="007930B0">
        <w:rPr>
          <w:lang w:val="es-ES"/>
        </w:rPr>
        <w:t>Lograr que la población analfabeta no menor de 14 años domine la lectura, la escritura y el cálculo;</w:t>
      </w:r>
    </w:p>
    <w:p w:rsidR="001E7BB4" w:rsidRPr="007930B0" w:rsidRDefault="001E7BB4" w:rsidP="00E022EA">
      <w:pPr>
        <w:pStyle w:val="Bullet1G"/>
        <w:rPr>
          <w:lang w:val="es-ES"/>
        </w:rPr>
      </w:pPr>
      <w:r w:rsidRPr="007930B0">
        <w:rPr>
          <w:lang w:val="es-ES"/>
        </w:rPr>
        <w:t>Implementar políticas educativas capaces de mejorar la tasa de retención en la enseñanza primaria, su capacidad de acogida y su calidad, para evitar que los niños de 6 a 14 años vuelvan a caer en el analfabetismo, aumentando así la cantidad potencial de analfabetos;</w:t>
      </w:r>
    </w:p>
    <w:p w:rsidR="001E7BB4" w:rsidRPr="007930B0" w:rsidRDefault="001E7BB4" w:rsidP="00E022EA">
      <w:pPr>
        <w:pStyle w:val="Bullet1G"/>
        <w:rPr>
          <w:lang w:val="es-ES"/>
        </w:rPr>
      </w:pPr>
      <w:r w:rsidRPr="007930B0">
        <w:rPr>
          <w:lang w:val="es-ES"/>
        </w:rPr>
        <w:t>Consolidar esta alfabetización inicial con una alfabetización posterior de nueve meses de duración y una formación profesional básica orientada a las actividades generadoras de ingresos.</w:t>
      </w:r>
    </w:p>
    <w:p w:rsidR="001E7BB4" w:rsidRPr="007930B0" w:rsidRDefault="001E7BB4" w:rsidP="00B56B34">
      <w:pPr>
        <w:pStyle w:val="SingleTxtG"/>
        <w:rPr>
          <w:lang w:val="es-ES"/>
        </w:rPr>
      </w:pPr>
      <w:r w:rsidRPr="007930B0">
        <w:rPr>
          <w:lang w:val="es-ES"/>
        </w:rPr>
        <w:t>391.</w:t>
      </w:r>
      <w:r w:rsidRPr="007930B0">
        <w:rPr>
          <w:lang w:val="es-ES"/>
        </w:rPr>
        <w:tab/>
        <w:t>Esta alfabetización básica tiene tres objetivos:</w:t>
      </w:r>
    </w:p>
    <w:p w:rsidR="001E7BB4" w:rsidRPr="007930B0" w:rsidRDefault="001E7BB4" w:rsidP="00E022EA">
      <w:pPr>
        <w:pStyle w:val="Bullet1G"/>
        <w:rPr>
          <w:lang w:val="es-ES"/>
        </w:rPr>
      </w:pPr>
      <w:r w:rsidRPr="007930B0">
        <w:rPr>
          <w:lang w:val="es-ES"/>
        </w:rPr>
        <w:t>Despertar el interés de los analfabetos para lograr su adhesión a los programas de alfabetización y su asistencia asidua a los cursos;</w:t>
      </w:r>
    </w:p>
    <w:p w:rsidR="001E7BB4" w:rsidRPr="007930B0" w:rsidRDefault="001E7BB4" w:rsidP="00E022EA">
      <w:pPr>
        <w:pStyle w:val="Bullet1G"/>
        <w:rPr>
          <w:lang w:val="es-ES"/>
        </w:rPr>
      </w:pPr>
      <w:r w:rsidRPr="007930B0">
        <w:rPr>
          <w:lang w:val="es-ES"/>
        </w:rPr>
        <w:t>Consolidar los conocimientos adquiridos en la alfabetización inicial mediante la creación de programas posteriores a la alfabetización;</w:t>
      </w:r>
    </w:p>
    <w:p w:rsidR="001E7BB4" w:rsidRPr="007930B0" w:rsidRDefault="001E7BB4" w:rsidP="00E022EA">
      <w:pPr>
        <w:pStyle w:val="Bullet1G"/>
        <w:rPr>
          <w:lang w:val="es-ES"/>
        </w:rPr>
      </w:pPr>
      <w:r w:rsidRPr="007930B0">
        <w:rPr>
          <w:lang w:val="es-ES"/>
        </w:rPr>
        <w:t>Romper el círculo vicioso de la pobreza mediante la práctica de actividades generadoras de ingresos y la reinversión de los conocimientos adquiridos en los programas de alfabetización.</w:t>
      </w:r>
    </w:p>
    <w:p w:rsidR="001E7BB4" w:rsidRPr="007930B0" w:rsidRDefault="001E7BB4" w:rsidP="00B56B34">
      <w:pPr>
        <w:pStyle w:val="SingleTxtG"/>
        <w:rPr>
          <w:lang w:val="es-ES"/>
        </w:rPr>
      </w:pPr>
      <w:r w:rsidRPr="007930B0">
        <w:rPr>
          <w:lang w:val="es-ES"/>
        </w:rPr>
        <w:t>392.</w:t>
      </w:r>
      <w:r w:rsidRPr="007930B0">
        <w:rPr>
          <w:lang w:val="es-ES"/>
        </w:rPr>
        <w:tab/>
        <w:t>Por otra parte, la alfabetización apunta también a desarrollar el uso de la escritura para la autoformación, la comunicación y la mejora de la capacidad de producción y las condiciones de vida, con vistas a la instauración de una sociedad de personas instruidas que dominen los conocimientos y las tecnologías; la mejora real y duradera de las condiciones de vida de la población del país en general depende necesariamente de un aumento de su nivel intelectual.</w:t>
      </w:r>
    </w:p>
    <w:p w:rsidR="001E7BB4" w:rsidRPr="007930B0" w:rsidRDefault="001E7BB4" w:rsidP="00E022EA">
      <w:pPr>
        <w:pStyle w:val="H23G"/>
        <w:rPr>
          <w:lang w:val="es-ES"/>
        </w:rPr>
      </w:pPr>
      <w:r w:rsidRPr="007930B0">
        <w:rPr>
          <w:lang w:val="es-ES"/>
        </w:rPr>
        <w:tab/>
      </w:r>
      <w:r w:rsidRPr="007930B0">
        <w:rPr>
          <w:lang w:val="es-ES"/>
        </w:rPr>
        <w:tab/>
        <w:t>Ejercicio efectivo del derecho a la educación para todos</w:t>
      </w:r>
    </w:p>
    <w:p w:rsidR="001E7BB4" w:rsidRPr="007930B0" w:rsidRDefault="001E7BB4" w:rsidP="00B56B34">
      <w:pPr>
        <w:pStyle w:val="SingleTxtG"/>
        <w:rPr>
          <w:lang w:val="es-ES"/>
        </w:rPr>
      </w:pPr>
      <w:r w:rsidRPr="007930B0">
        <w:rPr>
          <w:lang w:val="es-ES"/>
        </w:rPr>
        <w:t>393.</w:t>
      </w:r>
      <w:r w:rsidRPr="007930B0">
        <w:rPr>
          <w:lang w:val="es-ES"/>
        </w:rPr>
        <w:tab/>
        <w:t>Se han realizado progresos importantes en relación con el derecho de acceso a la educación y el número de niños escolarizados y adultos alfabetizados (cf. estadísticas).</w:t>
      </w:r>
    </w:p>
    <w:p w:rsidR="001E7BB4" w:rsidRPr="007930B0" w:rsidRDefault="001E7BB4" w:rsidP="00B56B34">
      <w:pPr>
        <w:pStyle w:val="SingleTxtG"/>
        <w:rPr>
          <w:lang w:val="es-ES"/>
        </w:rPr>
      </w:pPr>
      <w:r w:rsidRPr="007930B0">
        <w:rPr>
          <w:lang w:val="es-ES"/>
        </w:rPr>
        <w:t>394.</w:t>
      </w:r>
      <w:r w:rsidRPr="007930B0">
        <w:rPr>
          <w:lang w:val="es-ES"/>
        </w:rPr>
        <w:tab/>
        <w:t>El principal problema de la escuela mauritana radica en su poca capacidad para retener a los alumnos y el bajo nivel de conocimientos adquiridos.</w:t>
      </w:r>
    </w:p>
    <w:p w:rsidR="001E7BB4" w:rsidRPr="007930B0" w:rsidRDefault="001E7BB4" w:rsidP="00B56B34">
      <w:pPr>
        <w:pStyle w:val="SingleTxtG"/>
        <w:rPr>
          <w:lang w:val="es-ES"/>
        </w:rPr>
      </w:pPr>
      <w:r w:rsidRPr="007930B0">
        <w:rPr>
          <w:lang w:val="es-ES"/>
        </w:rPr>
        <w:t xml:space="preserve">395. </w:t>
      </w:r>
      <w:r w:rsidRPr="007930B0">
        <w:rPr>
          <w:lang w:val="es-ES"/>
        </w:rPr>
        <w:tab/>
        <w:t>La retención escolar, especialmente en la enseñanza primaria, sigue siendo escasa (incluso con tendencia a empeorar), ya que en promedio solo el 50% de los alumnos que ingresan en el primer año de enseñanza primaria termi</w:t>
      </w:r>
      <w:r w:rsidR="00E022EA" w:rsidRPr="007930B0">
        <w:rPr>
          <w:lang w:val="es-ES"/>
        </w:rPr>
        <w:t>nan la escuela primaria (65% en </w:t>
      </w:r>
      <w:r w:rsidRPr="007930B0">
        <w:rPr>
          <w:lang w:val="es-ES"/>
        </w:rPr>
        <w:t>1990).</w:t>
      </w:r>
    </w:p>
    <w:p w:rsidR="001E7BB4" w:rsidRPr="007930B0" w:rsidRDefault="001E7BB4" w:rsidP="00B56B34">
      <w:pPr>
        <w:pStyle w:val="SingleTxtG"/>
        <w:rPr>
          <w:lang w:val="es-ES"/>
        </w:rPr>
      </w:pPr>
      <w:r w:rsidRPr="007930B0">
        <w:rPr>
          <w:lang w:val="es-ES"/>
        </w:rPr>
        <w:t>396.</w:t>
      </w:r>
      <w:r w:rsidRPr="007930B0">
        <w:rPr>
          <w:lang w:val="es-ES"/>
        </w:rPr>
        <w:tab/>
        <w:t>La retención de los alumnos dentro del sistema escolar hasta el final del ciclo primario será un importante desafío para el sistema en los próximos años, ya que se sabe que los niños que abandonan prematuramente sus estudios antes del final del ciclo pueden llegar a ser adultos analfabetos. Los resultados de la EPCV 2004 indican que menos del 50% de las personas que abandonan la escuela antes de terminar el tercer año de enseñanza primaria son analfabetos en la edad adulta. Esta proporción se eleva a 87% en el sexto año de enseñanza primaria y a 99% al final del primer ciclo de enseñanza secundaria. La gran mayoría de los adultos que tuvieron una escolaridad primaria completa adquieren una capacidad de lectura duradera, pero sería necesario completar el primer ciclo de enseñanza secundaria para que la alfabetización duradera fuese adquirida por todos y todas.</w:t>
      </w:r>
    </w:p>
    <w:p w:rsidR="001E7BB4" w:rsidRPr="007930B0" w:rsidRDefault="001E7BB4" w:rsidP="00B56B34">
      <w:pPr>
        <w:pStyle w:val="SingleTxtG"/>
        <w:rPr>
          <w:lang w:val="es-ES"/>
        </w:rPr>
      </w:pPr>
      <w:r w:rsidRPr="007930B0">
        <w:rPr>
          <w:lang w:val="es-ES"/>
        </w:rPr>
        <w:t>397.</w:t>
      </w:r>
      <w:r w:rsidRPr="007930B0">
        <w:rPr>
          <w:lang w:val="es-ES"/>
        </w:rPr>
        <w:tab/>
        <w:t xml:space="preserve">Ante este problema surgió una explicación más bien positiva, ya que se estableció que las causas de la escasa retención dentro del sistema educativo están más relacionadas con la oferta escolar que con la demanda. </w:t>
      </w:r>
    </w:p>
    <w:p w:rsidR="001E7BB4" w:rsidRPr="007930B0" w:rsidRDefault="001E7BB4" w:rsidP="00B56B34">
      <w:pPr>
        <w:pStyle w:val="SingleTxtG"/>
        <w:rPr>
          <w:lang w:val="es-ES"/>
        </w:rPr>
      </w:pPr>
      <w:r w:rsidRPr="007930B0">
        <w:rPr>
          <w:lang w:val="es-ES"/>
        </w:rPr>
        <w:t>398.</w:t>
      </w:r>
      <w:r w:rsidRPr="007930B0">
        <w:rPr>
          <w:lang w:val="es-ES"/>
        </w:rPr>
        <w:tab/>
        <w:t>El análisis de los datos disponibles revela que el 18,3% de los alumnos de primer año de enseñanza primaria fueron escolarizados en 2003 en una escuela que no les ofrecía la posibilidad de continuar sus estudios a nivel local. Los resultados de la EPCV 2004 ponen de relieve la fuerte influencia que ejerce la proximidad de la escuela en la retención. La probabilidad de culminar la enseñanza primaria para los niños que viven a menos de 45 minutos de la escuela es de 66,3%. Desciende a 51,1% para los niños que viven a más de 45 minutos. Esta encuesta mostró también que los principales motivos de deserción para el 37,5% de los niños que abandonan la escuela antes de terminar el ciclo primario están relacionados con la oferta escolar: 17% están vinculados a la ausencia de oferta y 20,5% a una oferta inadecuada. En lo que respecta a la demanda, la EPCV revela que las características socioeconómicas del niño repercuten considerablemente en sus posibilidades de terminar la escuela primaria. Si la familia del niño pertenece al 40% más pobre, sus probabilidades de finalizar el ciclo primario son, en promedio, 49,3%. Esta tasa sube a 76,1% cuando la familia del niño pertenece al 20% más rico.</w:t>
      </w:r>
    </w:p>
    <w:p w:rsidR="001E7BB4" w:rsidRPr="007930B0" w:rsidRDefault="001E7BB4" w:rsidP="00B56B34">
      <w:pPr>
        <w:pStyle w:val="SingleTxtG"/>
        <w:rPr>
          <w:lang w:val="es-ES"/>
        </w:rPr>
      </w:pPr>
      <w:r w:rsidRPr="007930B0">
        <w:rPr>
          <w:lang w:val="es-ES"/>
        </w:rPr>
        <w:t>399.</w:t>
      </w:r>
      <w:r w:rsidRPr="007930B0">
        <w:rPr>
          <w:lang w:val="es-ES"/>
        </w:rPr>
        <w:tab/>
        <w:t xml:space="preserve">Las últimas evaluaciones realizadas muestran que el nivel de aprendizaje de los alumnos mauritanos, tanto en la enseñanza primaria como en la secundaria, es muy pobre. Las tasas medias de aprendizaje de los programas se sitúan entre 33% y 50% en la enseñanza primaria y son del orden del 40% en ciencias y matemática en la enseñanza secundaria. </w:t>
      </w:r>
    </w:p>
    <w:p w:rsidR="001E7BB4" w:rsidRPr="007930B0" w:rsidRDefault="001E7BB4" w:rsidP="00B56B34">
      <w:pPr>
        <w:pStyle w:val="SingleTxtG"/>
        <w:rPr>
          <w:lang w:val="es-ES"/>
        </w:rPr>
      </w:pPr>
      <w:r w:rsidRPr="007930B0">
        <w:rPr>
          <w:lang w:val="es-ES"/>
        </w:rPr>
        <w:t>400.</w:t>
      </w:r>
      <w:r w:rsidRPr="007930B0">
        <w:rPr>
          <w:lang w:val="es-ES"/>
        </w:rPr>
        <w:tab/>
        <w:t xml:space="preserve">Los resultados de los estudios relativos a la reforma dejan entrever una dinámica preocupante. En efecto, en 2003 menos de un tercio del contenido de los programas fue aprendido efectivamente por los alumnos de quinto año de enseñanza primaria. Los resultados son especialmente alarmantes en lo que respecta a las materias enseñadas en francés. Cabe señalar que los resultados en matemática, que ya en 1999 mostraban puntuaciones medias de aprobación muy bajas en las pruebas (del orden del 26%), en 2003 registraron una puntuación media de tan solo 11%. </w:t>
      </w:r>
    </w:p>
    <w:p w:rsidR="001E7BB4" w:rsidRPr="007930B0" w:rsidRDefault="001E7BB4" w:rsidP="00B56B34">
      <w:pPr>
        <w:pStyle w:val="SingleTxtG"/>
        <w:rPr>
          <w:lang w:val="es-ES"/>
        </w:rPr>
      </w:pPr>
      <w:r w:rsidRPr="007930B0">
        <w:rPr>
          <w:lang w:val="es-ES"/>
        </w:rPr>
        <w:t>401.</w:t>
      </w:r>
      <w:r w:rsidRPr="007930B0">
        <w:rPr>
          <w:lang w:val="es-ES"/>
        </w:rPr>
        <w:tab/>
        <w:t>Los análisis realizados muestran también que, si en 1999 se constataba en la enseñanza primaria la existencia de una gran variabilidad de los resultados en torno al promedio nacional, en 2003 las variaciones según la escuela a la que asistieran los alumnos eran pocas, lo que refleja una apariencia de homogeneidad dentro de una tendencia global a un bajo nivel de cobertura.</w:t>
      </w:r>
    </w:p>
    <w:p w:rsidR="001E7BB4" w:rsidRPr="007930B0" w:rsidRDefault="001E7BB4" w:rsidP="00B56B34">
      <w:pPr>
        <w:pStyle w:val="SingleTxtG"/>
        <w:rPr>
          <w:lang w:val="es-ES"/>
        </w:rPr>
      </w:pPr>
      <w:r w:rsidRPr="007930B0">
        <w:rPr>
          <w:lang w:val="es-ES"/>
        </w:rPr>
        <w:t>402.</w:t>
      </w:r>
      <w:r w:rsidRPr="007930B0">
        <w:rPr>
          <w:lang w:val="es-ES"/>
        </w:rPr>
        <w:tab/>
        <w:t>Las comparaciones internacionales confirman los escasos conocimientos adquiridos por los alumnos. Mauritania obtiene los resultados más pobres en matemática y francés en 2º y 5º año de la enseñanza primaria de todos los países estudiados hasta ahora por el PASEC (Programa de Análisis de los Sistemas Educativos). En el caso de los alumnos de segundo año se observa una distancia considerable de los demás países, ya que hay una diferencia de 9 puntos con el promedio del país que precede a Mauritania, que es el Chad.</w:t>
      </w:r>
    </w:p>
    <w:p w:rsidR="001E7BB4" w:rsidRPr="007930B0" w:rsidRDefault="001E7BB4" w:rsidP="00B56B34">
      <w:pPr>
        <w:pStyle w:val="SingleTxtG"/>
        <w:rPr>
          <w:lang w:val="es-ES"/>
        </w:rPr>
      </w:pPr>
      <w:r w:rsidRPr="007930B0">
        <w:rPr>
          <w:lang w:val="es-ES"/>
        </w:rPr>
        <w:t>403.</w:t>
      </w:r>
      <w:r w:rsidRPr="007930B0">
        <w:rPr>
          <w:lang w:val="es-ES"/>
        </w:rPr>
        <w:tab/>
        <w:t>Al analizar los principales factores determinantes de la calidad se advierte que la reducción de la tasa de repetición tiene un impacto favorable en el aprendizaje de los alumnos. La organización de las clases en aulas multigrado no va en desmedro de la calidad de la enseñanza. Por último, se debe tener en cuenta que el bachillerato parece ser el título más apropiado para la contratación de maestros. Además de ser los más eficaces pedagógicamente, parecen ser los que tienen el menor número de inasistencias</w:t>
      </w:r>
      <w:r w:rsidR="00CC3B6E" w:rsidRPr="007930B0">
        <w:rPr>
          <w:lang w:val="es-ES"/>
        </w:rPr>
        <w:t>"</w:t>
      </w:r>
      <w:r w:rsidRPr="007930B0">
        <w:rPr>
          <w:rStyle w:val="FootnoteReference"/>
          <w:lang w:val="es-ES"/>
        </w:rPr>
        <w:footnoteReference w:id="34"/>
      </w:r>
      <w:r w:rsidRPr="007930B0">
        <w:rPr>
          <w:lang w:val="es-ES"/>
        </w:rPr>
        <w:t>.</w:t>
      </w:r>
    </w:p>
    <w:p w:rsidR="001E7BB4" w:rsidRPr="007930B0" w:rsidRDefault="001E7BB4" w:rsidP="00E022EA">
      <w:pPr>
        <w:pStyle w:val="H23G"/>
        <w:rPr>
          <w:lang w:val="es-ES"/>
        </w:rPr>
      </w:pPr>
      <w:r w:rsidRPr="007930B0">
        <w:rPr>
          <w:lang w:val="es-ES"/>
        </w:rPr>
        <w:tab/>
      </w:r>
      <w:r w:rsidRPr="007930B0">
        <w:rPr>
          <w:lang w:val="es-ES"/>
        </w:rPr>
        <w:tab/>
        <w:t>Datos estadísticos</w:t>
      </w:r>
      <w:r w:rsidRPr="007930B0">
        <w:rPr>
          <w:rStyle w:val="FootnoteReference"/>
          <w:b w:val="0"/>
          <w:lang w:val="es-ES"/>
        </w:rPr>
        <w:footnoteReference w:id="35"/>
      </w:r>
    </w:p>
    <w:p w:rsidR="001E7BB4" w:rsidRPr="007930B0" w:rsidRDefault="001E7BB4" w:rsidP="00E022EA">
      <w:pPr>
        <w:pStyle w:val="H4G"/>
        <w:rPr>
          <w:lang w:val="es-ES"/>
        </w:rPr>
      </w:pPr>
      <w:bookmarkStart w:id="3" w:name="_Toc151950049"/>
      <w:bookmarkStart w:id="4" w:name="_Toc180163037"/>
      <w:r w:rsidRPr="007930B0">
        <w:rPr>
          <w:lang w:val="es-ES"/>
        </w:rPr>
        <w:tab/>
      </w:r>
      <w:r w:rsidRPr="007930B0">
        <w:rPr>
          <w:lang w:val="es-ES"/>
        </w:rPr>
        <w:tab/>
        <w:t>Indicadores de acceso</w:t>
      </w:r>
      <w:bookmarkEnd w:id="3"/>
      <w:bookmarkEnd w:id="4"/>
    </w:p>
    <w:p w:rsidR="001E7BB4" w:rsidRPr="007930B0" w:rsidRDefault="00E022EA" w:rsidP="00E022EA">
      <w:pPr>
        <w:pStyle w:val="H23G"/>
        <w:rPr>
          <w:lang w:val="es-ES"/>
        </w:rPr>
      </w:pPr>
      <w:r w:rsidRPr="007930B0">
        <w:rPr>
          <w:lang w:val="es-ES"/>
        </w:rPr>
        <w:tab/>
      </w:r>
      <w:r w:rsidRPr="007930B0">
        <w:rPr>
          <w:lang w:val="es-ES"/>
        </w:rPr>
        <w:tab/>
      </w:r>
      <w:r w:rsidR="001E7BB4" w:rsidRPr="007930B0">
        <w:rPr>
          <w:lang w:val="es-ES"/>
        </w:rPr>
        <w:t>Enseñanza primaria</w:t>
      </w:r>
    </w:p>
    <w:p w:rsidR="001E7BB4" w:rsidRPr="007930B0" w:rsidRDefault="001E7BB4" w:rsidP="00B56B34">
      <w:pPr>
        <w:pStyle w:val="SingleTxtG"/>
        <w:rPr>
          <w:lang w:val="es-ES"/>
        </w:rPr>
      </w:pPr>
      <w:r w:rsidRPr="007930B0">
        <w:rPr>
          <w:lang w:val="es-ES"/>
        </w:rPr>
        <w:t>404.</w:t>
      </w:r>
      <w:r w:rsidRPr="007930B0">
        <w:rPr>
          <w:lang w:val="es-ES"/>
        </w:rPr>
        <w:tab/>
        <w:t xml:space="preserve">Los principales indicadores seleccionados para seguir la evolución de los resultados en materia de acceso a la enseñanza primaria son: 1) la tasa bruta de escolarización; 2) la tasa bruta de admisión; 3) el porcentaje de niñas en la enseñanza primaria; 4) la tasa de retención escolar; y 5) el porcentaje de escuelas completas. </w:t>
      </w:r>
    </w:p>
    <w:p w:rsidR="001E7BB4" w:rsidRPr="007930B0" w:rsidRDefault="008043F0" w:rsidP="008043F0">
      <w:pPr>
        <w:pStyle w:val="H4G"/>
        <w:rPr>
          <w:lang w:val="es-ES"/>
        </w:rPr>
      </w:pPr>
      <w:r w:rsidRPr="007930B0">
        <w:rPr>
          <w:lang w:val="es-ES"/>
        </w:rPr>
        <w:tab/>
      </w:r>
      <w:r w:rsidRPr="007930B0">
        <w:rPr>
          <w:lang w:val="es-ES"/>
        </w:rPr>
        <w:tab/>
      </w:r>
      <w:r w:rsidR="001E7BB4" w:rsidRPr="007930B0">
        <w:rPr>
          <w:lang w:val="es-ES"/>
        </w:rPr>
        <w:t>Tasa bruta de escolarización</w:t>
      </w:r>
    </w:p>
    <w:p w:rsidR="001E7BB4" w:rsidRPr="007930B0" w:rsidRDefault="001E7BB4" w:rsidP="00B56B34">
      <w:pPr>
        <w:pStyle w:val="SingleTxtG"/>
        <w:rPr>
          <w:lang w:val="es-ES"/>
        </w:rPr>
      </w:pPr>
      <w:r w:rsidRPr="007930B0">
        <w:rPr>
          <w:lang w:val="es-ES"/>
        </w:rPr>
        <w:t>405.</w:t>
      </w:r>
      <w:r w:rsidRPr="007930B0">
        <w:rPr>
          <w:lang w:val="es-ES"/>
        </w:rPr>
        <w:tab/>
        <w:t xml:space="preserve">Tras caer levemente entre 2003/04 y 2004/05 (de 96% a 95,1%), la tasa bruta de escolarización a nivel nacional aumentó por segundo año consecutivo, llegando a 97,9% en 2006/07, superando así el valor meta del PNDSE para 2010, que era de 95%. </w:t>
      </w:r>
    </w:p>
    <w:p w:rsidR="001E7BB4" w:rsidRPr="007930B0" w:rsidRDefault="001E7BB4" w:rsidP="00B56B34">
      <w:pPr>
        <w:pStyle w:val="SingleTxtG"/>
        <w:rPr>
          <w:lang w:val="es-ES"/>
        </w:rPr>
      </w:pPr>
      <w:r w:rsidRPr="007930B0">
        <w:rPr>
          <w:lang w:val="es-ES"/>
        </w:rPr>
        <w:t>406.</w:t>
      </w:r>
      <w:r w:rsidRPr="007930B0">
        <w:rPr>
          <w:lang w:val="es-ES"/>
        </w:rPr>
        <w:tab/>
        <w:t xml:space="preserve">El análisis de esta tasa por </w:t>
      </w:r>
      <w:r w:rsidR="00CD15B7" w:rsidRPr="007930B0">
        <w:rPr>
          <w:i/>
          <w:lang w:val="es-ES"/>
        </w:rPr>
        <w:t>wilaya</w:t>
      </w:r>
      <w:r w:rsidRPr="007930B0">
        <w:rPr>
          <w:lang w:val="es-ES"/>
        </w:rPr>
        <w:t xml:space="preserve"> muestra disparidades relativamente considerables. La desviación estándar de la estructura de la tasa bruta de escolarización por </w:t>
      </w:r>
      <w:r w:rsidR="00CD15B7" w:rsidRPr="007930B0">
        <w:rPr>
          <w:i/>
          <w:lang w:val="es-ES"/>
        </w:rPr>
        <w:t>wilaya</w:t>
      </w:r>
      <w:r w:rsidRPr="007930B0">
        <w:rPr>
          <w:lang w:val="es-ES"/>
        </w:rPr>
        <w:t xml:space="preserve"> fue de 11,07% en 2006/07, lo que representa un descenso de 1,8 puntos con respecto a su valor de 2005/06. La tasa bruta de escolarización más alta se registró en Tagant (126,1%), mientras que la más baja se registró en Hodh Charghi (80,1%). Nueve de las 13 </w:t>
      </w:r>
      <w:r w:rsidRPr="007930B0">
        <w:rPr>
          <w:i/>
          <w:iCs/>
          <w:lang w:val="es-ES"/>
        </w:rPr>
        <w:t>wilayas</w:t>
      </w:r>
      <w:r w:rsidRPr="007930B0">
        <w:rPr>
          <w:lang w:val="es-ES"/>
        </w:rPr>
        <w:t xml:space="preserve"> que forman el país registraron en 2006/07 tasas brutas de escolarización superiores a la meta del PNDSE para 2010 (95%). Las </w:t>
      </w:r>
      <w:r w:rsidRPr="007930B0">
        <w:rPr>
          <w:i/>
          <w:iCs/>
          <w:lang w:val="es-ES"/>
        </w:rPr>
        <w:t>wilayas</w:t>
      </w:r>
      <w:r w:rsidRPr="007930B0">
        <w:rPr>
          <w:lang w:val="es-ES"/>
        </w:rPr>
        <w:t xml:space="preserve"> rezagadas con respecto a esta meta son Hodh Charghi, Assaba, Gorgol y Guidimagha.</w:t>
      </w:r>
    </w:p>
    <w:p w:rsidR="001E7BB4" w:rsidRPr="007930B0" w:rsidRDefault="008043F0" w:rsidP="008043F0">
      <w:pPr>
        <w:ind w:left="1134"/>
      </w:pPr>
      <w:r w:rsidRPr="007930B0">
        <w:rPr>
          <w:noProof/>
          <w:lang w:eastAsia="ca-ES"/>
        </w:rPr>
        <w:pict>
          <v:rect id="_x0000_s1099" style="position:absolute;left:0;text-align:left;margin-left:216.6pt;margin-top:186.2pt;width:73.4pt;height:24pt;z-index:6;mso-wrap-style:none" filled="f" stroked="f">
            <v:textbox style="mso-fit-shape-to-text:t" inset="0,0,0,0">
              <w:txbxContent>
                <w:p w:rsidR="00704D1B" w:rsidRDefault="00704D1B">
                  <w:r>
                    <w:rPr>
                      <w:rFonts w:ascii="Arial" w:hAnsi="Arial" w:cs="Arial"/>
                      <w:b/>
                      <w:bCs/>
                      <w:color w:val="000000"/>
                      <w:sz w:val="8"/>
                      <w:szCs w:val="8"/>
                      <w:lang w:val="en-US"/>
                    </w:rPr>
                    <w:t>Tasa bruta de escolarización femenina</w:t>
                  </w:r>
                </w:p>
              </w:txbxContent>
            </v:textbox>
          </v:rect>
        </w:pict>
      </w:r>
      <w:r w:rsidRPr="007930B0">
        <w:rPr>
          <w:noProof/>
          <w:lang w:eastAsia="ca-ES"/>
        </w:rPr>
      </w:r>
      <w:r w:rsidRPr="007930B0">
        <w:pict>
          <v:group id="_x0000_s1035" editas="canvas" style="width:368.3pt;height:202.9pt;mso-position-horizontal-relative:char;mso-position-vertical-relative:line" coordsize="7366,4058">
            <o:lock v:ext="edit" aspectratio="t"/>
            <v:shape id="_x0000_s1034" type="#_x0000_t75" style="position:absolute;width:7366;height:4058" o:preferrelative="f">
              <v:fill o:detectmouseclick="t"/>
              <v:path o:extrusionok="t" o:connecttype="none"/>
              <o:lock v:ext="edit" text="t"/>
            </v:shape>
            <v:rect id="_x0000_s1036" style="position:absolute;left:780;top:517;width:6204;height:2986" stroked="f"/>
            <v:line id="_x0000_s1037" style="position:absolute" from="780,3005" to="6984,3006" strokeweight="0"/>
            <v:line id="_x0000_s1038" style="position:absolute" from="780,2507" to="6984,2508" strokeweight="0"/>
            <v:line id="_x0000_s1039" style="position:absolute" from="780,2011" to="6984,2012" strokeweight="0"/>
            <v:line id="_x0000_s1040" style="position:absolute" from="780,1513" to="6984,1514" strokeweight="0"/>
            <v:line id="_x0000_s1041" style="position:absolute" from="780,1015" to="6984,1016" strokeweight="0"/>
            <v:line id="_x0000_s1042" style="position:absolute" from="780,517" to="6984,518" strokeweight="0"/>
            <v:line id="_x0000_s1043" style="position:absolute" from="1667,517" to="1668,3503" strokeweight="0"/>
            <v:line id="_x0000_s1044" style="position:absolute" from="2552,517" to="2553,3503" strokeweight="0"/>
            <v:line id="_x0000_s1045" style="position:absolute" from="3439,517" to="3440,3503" strokeweight="0"/>
            <v:line id="_x0000_s1046" style="position:absolute" from="4325,517" to="4326,3503" strokeweight="0"/>
            <v:line id="_x0000_s1047" style="position:absolute" from="5212,517" to="5213,3503" strokeweight="0"/>
            <v:line id="_x0000_s1048" style="position:absolute" from="6098,517" to="6099,3503" strokeweight="0"/>
            <v:line id="_x0000_s1049" style="position:absolute" from="6984,517" to="6985,3503" strokeweight="0"/>
            <v:rect id="_x0000_s1050" style="position:absolute;left:780;top:517;width:6204;height:2986" filled="f" strokecolor="gray" strokeweight=".5pt"/>
            <v:line id="_x0000_s1051" style="position:absolute" from="780,517" to="781,3503" strokeweight="0"/>
            <v:line id="_x0000_s1052" style="position:absolute" from="750,3503" to="780,3504" strokeweight="0"/>
            <v:line id="_x0000_s1053" style="position:absolute" from="750,3005" to="780,3006" strokeweight="0"/>
            <v:line id="_x0000_s1054" style="position:absolute" from="750,2507" to="780,2508" strokeweight="0"/>
            <v:line id="_x0000_s1055" style="position:absolute" from="750,2011" to="780,2012" strokeweight="0"/>
            <v:line id="_x0000_s1056" style="position:absolute" from="750,1513" to="780,1514" strokeweight="0"/>
            <v:line id="_x0000_s1057" style="position:absolute" from="750,1015" to="780,1016" strokeweight="0"/>
            <v:line id="_x0000_s1058" style="position:absolute" from="750,517" to="780,518" strokeweight="0"/>
            <v:line id="_x0000_s1059" style="position:absolute" from="780,3503" to="6984,3504" strokeweight="0"/>
            <v:line id="_x0000_s1060" style="position:absolute;flip:y" from="780,3503" to="781,3530" strokeweight="0"/>
            <v:line id="_x0000_s1061" style="position:absolute;flip:y" from="1667,3503" to="1668,3530" strokeweight="0"/>
            <v:line id="_x0000_s1062" style="position:absolute;flip:y" from="2552,3503" to="2553,3530" strokeweight="0"/>
            <v:line id="_x0000_s1063" style="position:absolute;flip:y" from="3439,3503" to="3440,3530" strokeweight="0"/>
            <v:line id="_x0000_s1064" style="position:absolute;flip:y" from="4325,3503" to="4326,3530" strokeweight="0"/>
            <v:line id="_x0000_s1065" style="position:absolute;flip:y" from="5212,3503" to="5213,3530" strokeweight="0"/>
            <v:line id="_x0000_s1066" style="position:absolute;flip:y" from="6098,3503" to="6099,3530" strokeweight="0"/>
            <v:line id="_x0000_s1067" style="position:absolute;flip:y" from="6984,3503" to="6985,3530" strokeweight="0"/>
            <v:shape id="_x0000_s1068" style="position:absolute;left:1844;top:3083;width:51;height:44" coordsize="51,44" path="m26,l51,22,26,44,,22,26,xe" fillcolor="navy" strokecolor="navy" strokeweight=".5pt">
              <v:path arrowok="t"/>
            </v:shape>
            <v:shape id="_x0000_s1069" style="position:absolute;left:4850;top:2087;width:51;height:44" coordsize="51,44" path="m25,l51,22,25,44,,22,25,xe" fillcolor="navy" strokecolor="navy" strokeweight=".5pt">
              <v:path arrowok="t"/>
            </v:shape>
            <v:shape id="_x0000_s1070" style="position:absolute;left:2979;top:2342;width:51;height:44" coordsize="51,44" path="m25,l51,22,25,44,,22,25,xe" fillcolor="navy" strokecolor="navy" strokeweight=".5pt">
              <v:path arrowok="t"/>
            </v:shape>
            <v:shape id="_x0000_s1071" style="position:absolute;left:2686;top:2396;width:51;height:44" coordsize="51,44" path="m26,l51,22,26,44,,22,26,xe" fillcolor="navy" strokecolor="navy" strokeweight=".5pt">
              <v:path arrowok="t"/>
            </v:shape>
            <v:shape id="_x0000_s1072" style="position:absolute;left:3253;top:2342;width:52;height:44" coordsize="52,44" path="m26,l52,22,26,44,,22,26,xe" fillcolor="navy" strokecolor="navy" strokeweight=".5pt">
              <v:path arrowok="t"/>
            </v:shape>
            <v:shape id="_x0000_s1073" style="position:absolute;left:3555;top:2007;width:51;height:44" coordsize="51,44" path="m25,l51,22,25,44,,22,25,xe" fillcolor="navy" strokecolor="navy" strokeweight=".5pt">
              <v:path arrowok="t"/>
            </v:shape>
            <v:shape id="_x0000_s1074" style="position:absolute;left:3643;top:1813;width:51;height:45" coordsize="51,45" path="m26,l51,23,26,45,,23,26,xe" fillcolor="navy" strokecolor="navy" strokeweight=".5pt">
              <v:path arrowok="t"/>
            </v:shape>
            <v:shape id="_x0000_s1075" style="position:absolute;left:4549;top:1654;width:51;height:44" coordsize="51,44" path="m25,l51,22,25,44,,22,25,xe" fillcolor="navy" strokecolor="navy" strokeweight=".5pt">
              <v:path arrowok="t"/>
            </v:shape>
            <v:shape id="_x0000_s1076" style="position:absolute;left:5913;top:794;width:51;height:44" coordsize="51,44" path="m25,l51,22,25,44,,22,25,xe" fillcolor="navy" strokecolor="navy" strokeweight=".5pt">
              <v:path arrowok="t"/>
            </v:shape>
            <v:shape id="_x0000_s1077" style="position:absolute;left:2572;top:2331;width:51;height:44" coordsize="51,44" path="m25,l51,22,25,44,,22,25,xe" fillcolor="navy" strokecolor="navy" strokeweight=".5pt">
              <v:path arrowok="t"/>
            </v:shape>
            <v:shape id="_x0000_s1078" style="position:absolute;left:3511;top:1714;width:51;height:44" coordsize="51,44" path="m26,l51,22,26,44,,22,26,xe" fillcolor="navy" strokecolor="navy" strokeweight=".5pt">
              <v:path arrowok="t"/>
            </v:shape>
            <v:shape id="_x0000_s1079" style="position:absolute;left:2624;top:2018;width:51;height:44" coordsize="51,44" path="m26,l51,22,26,44,,22,26,xe" fillcolor="navy" strokecolor="navy" strokeweight=".5pt">
              <v:path arrowok="t"/>
            </v:shape>
            <v:shape id="_x0000_s1080" style="position:absolute;left:4283;top:2007;width:51;height:44" coordsize="51,44" path="m25,l51,22,25,44,,22,25,xe" fillcolor="navy" strokecolor="navy" strokeweight=".5pt">
              <v:path arrowok="t"/>
            </v:shape>
            <v:shape id="_x0000_s1081" style="position:absolute;left:3458;top:2217;width:51;height:44" coordsize="51,44" path="m25,l51,22,25,44,,22,25,xe" fillcolor="navy" strokecolor="navy" strokeweight=".5pt">
              <v:path arrowok="t"/>
            </v:shape>
            <v:rect id="_x0000_s1082" style="position:absolute;left:2200;top:138;width:2913;height:480;mso-wrap-style:none" filled="f" stroked="f">
              <v:textbox style="mso-fit-shape-to-text:t" inset="0,0,0,0">
                <w:txbxContent>
                  <w:p w:rsidR="00704D1B" w:rsidRPr="008043F0" w:rsidRDefault="00704D1B">
                    <w:r w:rsidRPr="008043F0">
                      <w:rPr>
                        <w:rFonts w:ascii="Arial" w:hAnsi="Arial" w:cs="Arial"/>
                        <w:b/>
                        <w:bCs/>
                        <w:color w:val="000000"/>
                        <w:sz w:val="10"/>
                        <w:szCs w:val="10"/>
                      </w:rPr>
                      <w:t xml:space="preserve">Tasas brutas de escolarización por sexo y por </w:t>
                    </w:r>
                    <w:r w:rsidRPr="008043F0">
                      <w:rPr>
                        <w:rFonts w:ascii="Arial" w:hAnsi="Arial" w:cs="Arial"/>
                        <w:b/>
                        <w:bCs/>
                        <w:i/>
                        <w:color w:val="000000"/>
                        <w:sz w:val="10"/>
                        <w:szCs w:val="10"/>
                      </w:rPr>
                      <w:t>wilaya</w:t>
                    </w:r>
                    <w:r w:rsidRPr="008043F0">
                      <w:rPr>
                        <w:rFonts w:ascii="Arial" w:hAnsi="Arial" w:cs="Arial"/>
                        <w:b/>
                        <w:bCs/>
                        <w:color w:val="000000"/>
                        <w:sz w:val="10"/>
                        <w:szCs w:val="10"/>
                      </w:rPr>
                      <w:t xml:space="preserve"> 2006/07</w:t>
                    </w:r>
                  </w:p>
                </w:txbxContent>
              </v:textbox>
            </v:rect>
            <v:rect id="_x0000_s1083" style="position:absolute;left:2500;top:269;width:2300;height:240" filled="f" stroked="f">
              <v:textbox style="mso-fit-shape-to-text:t" inset="0,0,0,0">
                <w:txbxContent>
                  <w:p w:rsidR="00704D1B" w:rsidRPr="008043F0" w:rsidRDefault="00704D1B">
                    <w:r w:rsidRPr="008043F0">
                      <w:rPr>
                        <w:rFonts w:ascii="Arial" w:hAnsi="Arial" w:cs="Arial"/>
                        <w:i/>
                        <w:iCs/>
                        <w:color w:val="000000"/>
                        <w:sz w:val="8"/>
                        <w:szCs w:val="8"/>
                      </w:rPr>
                      <w:t>Fuentes: Dirección de Estrategias, Estadística y Planificaci</w:t>
                    </w:r>
                    <w:r>
                      <w:rPr>
                        <w:rFonts w:ascii="Arial" w:hAnsi="Arial" w:cs="Arial"/>
                        <w:i/>
                        <w:iCs/>
                        <w:color w:val="000000"/>
                        <w:sz w:val="8"/>
                        <w:szCs w:val="8"/>
                      </w:rPr>
                      <w:t>ón</w:t>
                    </w:r>
                  </w:p>
                </w:txbxContent>
              </v:textbox>
            </v:rect>
            <v:rect id="_x0000_s1084" style="position:absolute;left:363;top:3453;width:272;height:480;mso-wrap-style:none" filled="f" stroked="f">
              <v:textbox style="mso-fit-shape-to-text:t" inset="0,0,0,0">
                <w:txbxContent>
                  <w:p w:rsidR="00704D1B" w:rsidRDefault="00704D1B">
                    <w:r>
                      <w:rPr>
                        <w:rFonts w:ascii="Arial" w:hAnsi="Arial" w:cs="Arial"/>
                        <w:color w:val="000000"/>
                        <w:sz w:val="8"/>
                        <w:szCs w:val="8"/>
                        <w:lang w:val="en-US"/>
                      </w:rPr>
                      <w:t>70,00%</w:t>
                    </w:r>
                  </w:p>
                </w:txbxContent>
              </v:textbox>
            </v:rect>
            <v:rect id="_x0000_s1085" style="position:absolute;left:363;top:2955;width:272;height:480;mso-wrap-style:none" filled="f" stroked="f">
              <v:textbox style="mso-fit-shape-to-text:t" inset="0,0,0,0">
                <w:txbxContent>
                  <w:p w:rsidR="00704D1B" w:rsidRDefault="00704D1B">
                    <w:r>
                      <w:rPr>
                        <w:rFonts w:ascii="Arial" w:hAnsi="Arial" w:cs="Arial"/>
                        <w:color w:val="000000"/>
                        <w:sz w:val="8"/>
                        <w:szCs w:val="8"/>
                        <w:lang w:val="en-US"/>
                      </w:rPr>
                      <w:t>80,00%</w:t>
                    </w:r>
                  </w:p>
                </w:txbxContent>
              </v:textbox>
            </v:rect>
            <v:rect id="_x0000_s1086" style="position:absolute;left:363;top:2457;width:272;height:480;mso-wrap-style:none" filled="f" stroked="f">
              <v:textbox style="mso-fit-shape-to-text:t" inset="0,0,0,0">
                <w:txbxContent>
                  <w:p w:rsidR="00704D1B" w:rsidRDefault="00704D1B">
                    <w:r>
                      <w:rPr>
                        <w:rFonts w:ascii="Arial" w:hAnsi="Arial" w:cs="Arial"/>
                        <w:color w:val="000000"/>
                        <w:sz w:val="8"/>
                        <w:szCs w:val="8"/>
                        <w:lang w:val="en-US"/>
                      </w:rPr>
                      <w:t>90,00%</w:t>
                    </w:r>
                  </w:p>
                </w:txbxContent>
              </v:textbox>
            </v:rect>
            <v:rect id="_x0000_s1087" style="position:absolute;left:307;top:1960;width:316;height:480;mso-wrap-style:none" filled="f" stroked="f">
              <v:textbox style="mso-fit-shape-to-text:t" inset="0,0,0,0">
                <w:txbxContent>
                  <w:p w:rsidR="00704D1B" w:rsidRDefault="00704D1B">
                    <w:r>
                      <w:rPr>
                        <w:rFonts w:ascii="Arial" w:hAnsi="Arial" w:cs="Arial"/>
                        <w:color w:val="000000"/>
                        <w:sz w:val="8"/>
                        <w:szCs w:val="8"/>
                        <w:lang w:val="en-US"/>
                      </w:rPr>
                      <w:t>100,00%</w:t>
                    </w:r>
                  </w:p>
                </w:txbxContent>
              </v:textbox>
            </v:rect>
            <v:rect id="_x0000_s1088" style="position:absolute;left:307;top:1462;width:316;height:480;mso-wrap-style:none" filled="f" stroked="f">
              <v:textbox style="mso-fit-shape-to-text:t" inset="0,0,0,0">
                <w:txbxContent>
                  <w:p w:rsidR="00704D1B" w:rsidRDefault="00704D1B">
                    <w:r>
                      <w:rPr>
                        <w:rFonts w:ascii="Arial" w:hAnsi="Arial" w:cs="Arial"/>
                        <w:color w:val="000000"/>
                        <w:sz w:val="8"/>
                        <w:szCs w:val="8"/>
                        <w:lang w:val="en-US"/>
                      </w:rPr>
                      <w:t>110,00%</w:t>
                    </w:r>
                  </w:p>
                </w:txbxContent>
              </v:textbox>
            </v:rect>
            <v:rect id="_x0000_s1089" style="position:absolute;left:307;top:964;width:316;height:480;mso-wrap-style:none" filled="f" stroked="f">
              <v:textbox style="mso-fit-shape-to-text:t" inset="0,0,0,0">
                <w:txbxContent>
                  <w:p w:rsidR="00704D1B" w:rsidRDefault="00704D1B">
                    <w:r>
                      <w:rPr>
                        <w:rFonts w:ascii="Arial" w:hAnsi="Arial" w:cs="Arial"/>
                        <w:color w:val="000000"/>
                        <w:sz w:val="8"/>
                        <w:szCs w:val="8"/>
                        <w:lang w:val="en-US"/>
                      </w:rPr>
                      <w:t>120,00%</w:t>
                    </w:r>
                  </w:p>
                </w:txbxContent>
              </v:textbox>
            </v:rect>
            <v:rect id="_x0000_s1090" style="position:absolute;left:307;top:466;width:316;height:480;mso-wrap-style:none" filled="f" stroked="f">
              <v:textbox style="mso-fit-shape-to-text:t" inset="0,0,0,0">
                <w:txbxContent>
                  <w:p w:rsidR="00704D1B" w:rsidRDefault="00704D1B">
                    <w:r>
                      <w:rPr>
                        <w:rFonts w:ascii="Arial" w:hAnsi="Arial" w:cs="Arial"/>
                        <w:color w:val="000000"/>
                        <w:sz w:val="8"/>
                        <w:szCs w:val="8"/>
                        <w:lang w:val="en-US"/>
                      </w:rPr>
                      <w:t>130,00%</w:t>
                    </w:r>
                  </w:p>
                </w:txbxContent>
              </v:textbox>
            </v:rect>
            <v:rect id="_x0000_s1091" style="position:absolute;left:638;top:3578;width:227;height:480;mso-wrap-style:none" filled="f" stroked="f">
              <v:textbox style="mso-fit-shape-to-text:t" inset="0,0,0,0">
                <w:txbxContent>
                  <w:p w:rsidR="00704D1B" w:rsidRDefault="00704D1B">
                    <w:r>
                      <w:rPr>
                        <w:rFonts w:ascii="Arial" w:hAnsi="Arial" w:cs="Arial"/>
                        <w:color w:val="000000"/>
                        <w:sz w:val="8"/>
                        <w:szCs w:val="8"/>
                        <w:lang w:val="en-US"/>
                      </w:rPr>
                      <w:t>70,0%</w:t>
                    </w:r>
                  </w:p>
                </w:txbxContent>
              </v:textbox>
            </v:rect>
            <v:rect id="_x0000_s1092" style="position:absolute;left:1525;top:3578;width:227;height:480;mso-wrap-style:none" filled="f" stroked="f">
              <v:textbox style="mso-fit-shape-to-text:t" inset="0,0,0,0">
                <w:txbxContent>
                  <w:p w:rsidR="00704D1B" w:rsidRDefault="00704D1B">
                    <w:r>
                      <w:rPr>
                        <w:rFonts w:ascii="Arial" w:hAnsi="Arial" w:cs="Arial"/>
                        <w:color w:val="000000"/>
                        <w:sz w:val="8"/>
                        <w:szCs w:val="8"/>
                        <w:lang w:val="en-US"/>
                      </w:rPr>
                      <w:t>80,0%</w:t>
                    </w:r>
                  </w:p>
                </w:txbxContent>
              </v:textbox>
            </v:rect>
            <v:rect id="_x0000_s1093" style="position:absolute;left:2410;top:3578;width:227;height:480;mso-wrap-style:none" filled="f" stroked="f">
              <v:textbox style="mso-fit-shape-to-text:t" inset="0,0,0,0">
                <w:txbxContent>
                  <w:p w:rsidR="00704D1B" w:rsidRDefault="00704D1B">
                    <w:r>
                      <w:rPr>
                        <w:rFonts w:ascii="Arial" w:hAnsi="Arial" w:cs="Arial"/>
                        <w:color w:val="000000"/>
                        <w:sz w:val="8"/>
                        <w:szCs w:val="8"/>
                        <w:lang w:val="en-US"/>
                      </w:rPr>
                      <w:t>90,0%</w:t>
                    </w:r>
                  </w:p>
                </w:txbxContent>
              </v:textbox>
            </v:rect>
            <v:rect id="_x0000_s1094" style="position:absolute;left:3269;top:3578;width:272;height:480;mso-wrap-style:none" filled="f" stroked="f">
              <v:textbox style="mso-fit-shape-to-text:t" inset="0,0,0,0">
                <w:txbxContent>
                  <w:p w:rsidR="00704D1B" w:rsidRDefault="00704D1B">
                    <w:r>
                      <w:rPr>
                        <w:rFonts w:ascii="Arial" w:hAnsi="Arial" w:cs="Arial"/>
                        <w:color w:val="000000"/>
                        <w:sz w:val="8"/>
                        <w:szCs w:val="8"/>
                        <w:lang w:val="en-US"/>
                      </w:rPr>
                      <w:t>100,0%</w:t>
                    </w:r>
                  </w:p>
                </w:txbxContent>
              </v:textbox>
            </v:rect>
            <v:rect id="_x0000_s1095" style="position:absolute;left:4155;top:3578;width:272;height:480;mso-wrap-style:none" filled="f" stroked="f">
              <v:textbox style="mso-fit-shape-to-text:t" inset="0,0,0,0">
                <w:txbxContent>
                  <w:p w:rsidR="00704D1B" w:rsidRDefault="00704D1B">
                    <w:r>
                      <w:rPr>
                        <w:rFonts w:ascii="Arial" w:hAnsi="Arial" w:cs="Arial"/>
                        <w:color w:val="000000"/>
                        <w:sz w:val="8"/>
                        <w:szCs w:val="8"/>
                        <w:lang w:val="en-US"/>
                      </w:rPr>
                      <w:t>110,0%</w:t>
                    </w:r>
                  </w:p>
                </w:txbxContent>
              </v:textbox>
            </v:rect>
            <v:rect id="_x0000_s1096" style="position:absolute;left:5042;top:3578;width:272;height:480;mso-wrap-style:none" filled="f" stroked="f">
              <v:textbox style="mso-fit-shape-to-text:t" inset="0,0,0,0">
                <w:txbxContent>
                  <w:p w:rsidR="00704D1B" w:rsidRDefault="00704D1B">
                    <w:r>
                      <w:rPr>
                        <w:rFonts w:ascii="Arial" w:hAnsi="Arial" w:cs="Arial"/>
                        <w:color w:val="000000"/>
                        <w:sz w:val="8"/>
                        <w:szCs w:val="8"/>
                        <w:lang w:val="en-US"/>
                      </w:rPr>
                      <w:t>120,0%</w:t>
                    </w:r>
                  </w:p>
                </w:txbxContent>
              </v:textbox>
            </v:rect>
            <v:rect id="_x0000_s1097" style="position:absolute;left:5927;top:3578;width:272;height:480;mso-wrap-style:none" filled="f" stroked="f">
              <v:textbox style="mso-fit-shape-to-text:t" inset="0,0,0,0">
                <w:txbxContent>
                  <w:p w:rsidR="00704D1B" w:rsidRDefault="00704D1B">
                    <w:r>
                      <w:rPr>
                        <w:rFonts w:ascii="Arial" w:hAnsi="Arial" w:cs="Arial"/>
                        <w:color w:val="000000"/>
                        <w:sz w:val="8"/>
                        <w:szCs w:val="8"/>
                        <w:lang w:val="en-US"/>
                      </w:rPr>
                      <w:t>130,0%</w:t>
                    </w:r>
                  </w:p>
                </w:txbxContent>
              </v:textbox>
            </v:rect>
            <v:rect id="_x0000_s1098" style="position:absolute;left:6814;top:3578;width:272;height:480;mso-wrap-style:none" filled="f" stroked="f">
              <v:textbox style="mso-fit-shape-to-text:t" inset="0,0,0,0">
                <w:txbxContent>
                  <w:p w:rsidR="00704D1B" w:rsidRDefault="00704D1B">
                    <w:r>
                      <w:rPr>
                        <w:rFonts w:ascii="Arial" w:hAnsi="Arial" w:cs="Arial"/>
                        <w:color w:val="000000"/>
                        <w:sz w:val="8"/>
                        <w:szCs w:val="8"/>
                        <w:lang w:val="en-US"/>
                      </w:rPr>
                      <w:t>140,0%</w:t>
                    </w:r>
                  </w:p>
                </w:txbxContent>
              </v:textbox>
            </v:rect>
            <v:rect id="_x0000_s1100" style="position:absolute;left:-678;top:1758;width:1797;height:442;rotation:270" filled="f" stroked="f">
              <v:textbox style="layout-flow:vertical;mso-layout-flow-alt:bottom-to-top" inset="0,0,0,0">
                <w:txbxContent>
                  <w:p w:rsidR="00704D1B" w:rsidRDefault="00704D1B">
                    <w:r>
                      <w:rPr>
                        <w:rFonts w:ascii="Arial" w:hAnsi="Arial" w:cs="Arial"/>
                        <w:b/>
                        <w:bCs/>
                        <w:color w:val="000000"/>
                        <w:sz w:val="8"/>
                        <w:szCs w:val="8"/>
                        <w:lang w:val="en-US"/>
                      </w:rPr>
                      <w:t>Tasa bruta de escolarización masculina</w:t>
                    </w:r>
                  </w:p>
                </w:txbxContent>
              </v:textbox>
            </v:rect>
            <v:line id="_x0000_s1101" style="position:absolute;flip:y" from="783,526" to="6107,3503" strokeweight=".4pt">
              <v:stroke endcap="round"/>
            </v:line>
            <v:rect id="_x0000_s1102" style="position:absolute;left:4953;top:2067;width:321;height:480;mso-wrap-style:none" filled="f" stroked="f">
              <v:textbox style="mso-fit-shape-to-text:t" inset="0,0,0,0">
                <w:txbxContent>
                  <w:p w:rsidR="00704D1B" w:rsidRDefault="00704D1B">
                    <w:r>
                      <w:rPr>
                        <w:rFonts w:ascii="Arial" w:hAnsi="Arial" w:cs="Arial"/>
                        <w:color w:val="000000"/>
                        <w:sz w:val="8"/>
                        <w:szCs w:val="8"/>
                        <w:lang w:val="en-US"/>
                      </w:rPr>
                      <w:t>H.Gharbi</w:t>
                    </w:r>
                  </w:p>
                </w:txbxContent>
              </v:textbox>
            </v:rect>
            <v:rect id="_x0000_s1103" style="position:absolute;left:3300;top:1637;width:343;height:480;mso-wrap-style:none" filled="f" stroked="f">
              <v:textbox style="mso-fit-shape-to-text:t" inset="0,0,0,0">
                <w:txbxContent>
                  <w:p w:rsidR="00704D1B" w:rsidRDefault="00704D1B">
                    <w:r>
                      <w:rPr>
                        <w:rFonts w:ascii="Arial" w:hAnsi="Arial" w:cs="Arial"/>
                        <w:color w:val="000000"/>
                        <w:sz w:val="8"/>
                        <w:szCs w:val="8"/>
                        <w:lang w:val="en-US"/>
                      </w:rPr>
                      <w:t>T.Zemmo</w:t>
                    </w:r>
                  </w:p>
                </w:txbxContent>
              </v:textbox>
            </v:rect>
            <v:rect id="_x0000_s1104" style="position:absolute;left:3300;top:1745;width:72;height:480;mso-wrap-style:none" filled="f" stroked="f">
              <v:textbox style="mso-fit-shape-to-text:t" inset="0,0,0,0">
                <w:txbxContent>
                  <w:p w:rsidR="00704D1B" w:rsidRDefault="00704D1B">
                    <w:smartTag w:uri="urn:schemas-microsoft-com:office:smarttags" w:element="City">
                      <w:smartTag w:uri="urn:schemas-microsoft-com:office:smarttags" w:element="place">
                        <w:r>
                          <w:rPr>
                            <w:rFonts w:ascii="Arial" w:hAnsi="Arial" w:cs="Arial"/>
                            <w:color w:val="000000"/>
                            <w:sz w:val="8"/>
                            <w:szCs w:val="8"/>
                            <w:lang w:val="en-US"/>
                          </w:rPr>
                          <w:t>ur</w:t>
                        </w:r>
                      </w:smartTag>
                    </w:smartTag>
                  </w:p>
                </w:txbxContent>
              </v:textbox>
            </v:rect>
            <v:rect id="_x0000_s1105" style="position:absolute;left:2296;top:1984;width:214;height:480;mso-wrap-style:none" filled="f" stroked="f">
              <v:textbox style="mso-fit-shape-to-text:t" inset="0,0,0,0">
                <w:txbxContent>
                  <w:p w:rsidR="00704D1B" w:rsidRDefault="00704D1B">
                    <w:r>
                      <w:rPr>
                        <w:rFonts w:ascii="Arial" w:hAnsi="Arial" w:cs="Arial"/>
                        <w:color w:val="000000"/>
                        <w:sz w:val="8"/>
                        <w:szCs w:val="8"/>
                        <w:lang w:val="en-US"/>
                      </w:rPr>
                      <w:t>Inchiri</w:t>
                    </w:r>
                  </w:p>
                </w:txbxContent>
              </v:textbox>
            </v:rect>
            <v:rect id="_x0000_s1106" style="position:absolute;left:4359;top:1910;width:405;height:480;mso-wrap-style:none" filled="f" stroked="f">
              <v:textbox style="mso-fit-shape-to-text:t" inset="0,0,0,0">
                <w:txbxContent>
                  <w:p w:rsidR="00704D1B" w:rsidRDefault="00704D1B">
                    <w:smartTag w:uri="urn:schemas-microsoft-com:office:smarttags" w:element="City">
                      <w:smartTag w:uri="urn:schemas-microsoft-com:office:smarttags" w:element="place">
                        <w:r>
                          <w:rPr>
                            <w:rFonts w:ascii="Arial" w:hAnsi="Arial" w:cs="Arial"/>
                            <w:color w:val="000000"/>
                            <w:sz w:val="8"/>
                            <w:szCs w:val="8"/>
                            <w:lang w:val="en-US"/>
                          </w:rPr>
                          <w:t>Nouakchott</w:t>
                        </w:r>
                      </w:smartTag>
                    </w:smartTag>
                  </w:p>
                </w:txbxContent>
              </v:textbox>
            </v:rect>
            <v:rect id="_x0000_s1107" style="position:absolute;left:2651;top:2435;width:241;height:480;mso-wrap-style:none" filled="f" stroked="f">
              <v:textbox style="mso-fit-shape-to-text:t" inset="0,0,0,0">
                <w:txbxContent>
                  <w:p w:rsidR="00704D1B" w:rsidRDefault="00704D1B">
                    <w:r>
                      <w:rPr>
                        <w:rFonts w:ascii="Arial" w:hAnsi="Arial" w:cs="Arial"/>
                        <w:color w:val="000000"/>
                        <w:sz w:val="8"/>
                        <w:szCs w:val="8"/>
                        <w:lang w:val="en-US"/>
                      </w:rPr>
                      <w:t>Gorgol</w:t>
                    </w:r>
                  </w:p>
                </w:txbxContent>
              </v:textbox>
            </v:rect>
            <v:rect id="_x0000_s1108" style="position:absolute;left:2009;top:2306;width:427;height:480;mso-wrap-style:none" filled="f" stroked="f">
              <v:textbox style="mso-fit-shape-to-text:t" inset="0,0,0,0">
                <w:txbxContent>
                  <w:p w:rsidR="00704D1B" w:rsidRDefault="00704D1B">
                    <w:r>
                      <w:rPr>
                        <w:rFonts w:ascii="Arial" w:hAnsi="Arial" w:cs="Arial"/>
                        <w:color w:val="000000"/>
                        <w:sz w:val="8"/>
                        <w:szCs w:val="8"/>
                        <w:lang w:val="en-US"/>
                      </w:rPr>
                      <w:t>Guidimakha</w:t>
                    </w:r>
                  </w:p>
                </w:txbxContent>
              </v:textbox>
            </v:rect>
            <v:rect id="_x0000_s1109" style="position:absolute;left:3245;top:2333;width:254;height:480;mso-wrap-style:none" filled="f" stroked="f">
              <v:textbox style="mso-fit-shape-to-text:t" inset="0,0,0,0">
                <w:txbxContent>
                  <w:p w:rsidR="00704D1B" w:rsidRDefault="00704D1B">
                    <w:r>
                      <w:rPr>
                        <w:rFonts w:ascii="Arial" w:hAnsi="Arial" w:cs="Arial"/>
                        <w:color w:val="000000"/>
                        <w:sz w:val="8"/>
                        <w:szCs w:val="8"/>
                        <w:lang w:val="en-US"/>
                      </w:rPr>
                      <w:t>Brakna</w:t>
                    </w:r>
                  </w:p>
                </w:txbxContent>
              </v:textbox>
            </v:rect>
            <v:rect id="_x0000_s1110" style="position:absolute;left:1813;top:3078;width:361;height:480;mso-wrap-style:none" filled="f" stroked="f">
              <v:textbox style="mso-fit-shape-to-text:t" inset="0,0,0,0">
                <w:txbxContent>
                  <w:p w:rsidR="00704D1B" w:rsidRDefault="00704D1B">
                    <w:r>
                      <w:rPr>
                        <w:rFonts w:ascii="Arial" w:hAnsi="Arial" w:cs="Arial"/>
                        <w:color w:val="000000"/>
                        <w:sz w:val="8"/>
                        <w:szCs w:val="8"/>
                        <w:lang w:val="en-US"/>
                      </w:rPr>
                      <w:t>H.Chargui</w:t>
                    </w:r>
                  </w:p>
                </w:txbxContent>
              </v:textbox>
            </v:rect>
            <v:rect id="_x0000_s1111" style="position:absolute;left:3545;top:2210;width:112;height:480;mso-wrap-style:none" filled="f" stroked="f">
              <v:textbox style="mso-fit-shape-to-text:t" inset="0,0,0,0">
                <w:txbxContent>
                  <w:p w:rsidR="00704D1B" w:rsidRDefault="00704D1B">
                    <w:r>
                      <w:rPr>
                        <w:rFonts w:ascii="Arial" w:hAnsi="Arial" w:cs="Arial"/>
                        <w:b/>
                        <w:bCs/>
                        <w:color w:val="000000"/>
                        <w:sz w:val="8"/>
                        <w:szCs w:val="8"/>
                        <w:lang w:val="en-US"/>
                      </w:rPr>
                      <w:t>Ma</w:t>
                    </w:r>
                  </w:p>
                </w:txbxContent>
              </v:textbox>
            </v:rect>
            <v:rect id="_x0000_s1112" style="position:absolute;left:2833;top:2333;width:223;height:480;mso-wrap-style:none" filled="f" stroked="f">
              <v:textbox style="mso-fit-shape-to-text:t" inset="0,0,0,0">
                <w:txbxContent>
                  <w:p w:rsidR="00704D1B" w:rsidRDefault="00704D1B">
                    <w:r>
                      <w:rPr>
                        <w:rFonts w:ascii="Arial" w:hAnsi="Arial" w:cs="Arial"/>
                        <w:color w:val="000000"/>
                        <w:sz w:val="8"/>
                        <w:szCs w:val="8"/>
                        <w:lang w:val="en-US"/>
                      </w:rPr>
                      <w:t>Assab</w:t>
                    </w:r>
                  </w:p>
                </w:txbxContent>
              </v:textbox>
            </v:rect>
            <v:rect id="_x0000_s1113" style="position:absolute;left:2833;top:2441;width:45;height:240;mso-wrap-style:none" filled="f" stroked="f">
              <v:textbox style="mso-fit-shape-to-text:t" inset="0,0,0,0">
                <w:txbxContent>
                  <w:p w:rsidR="00704D1B" w:rsidRDefault="00704D1B">
                    <w:r>
                      <w:rPr>
                        <w:rFonts w:ascii="Arial" w:hAnsi="Arial" w:cs="Arial"/>
                        <w:color w:val="000000"/>
                        <w:sz w:val="8"/>
                        <w:szCs w:val="8"/>
                        <w:lang w:val="en-US"/>
                      </w:rPr>
                      <w:t>a</w:t>
                    </w:r>
                  </w:p>
                </w:txbxContent>
              </v:textbox>
            </v:rect>
            <v:rect id="_x0000_s1114" style="position:absolute;left:3633;top:2020;width:232;height:480;mso-wrap-style:none" filled="f" stroked="f">
              <v:textbox style="mso-fit-shape-to-text:t" inset="0,0,0,0">
                <w:txbxContent>
                  <w:p w:rsidR="00704D1B" w:rsidRDefault="00704D1B">
                    <w:r>
                      <w:rPr>
                        <w:rFonts w:ascii="Arial" w:hAnsi="Arial" w:cs="Arial"/>
                        <w:color w:val="000000"/>
                        <w:sz w:val="8"/>
                        <w:szCs w:val="8"/>
                        <w:lang w:val="en-US"/>
                      </w:rPr>
                      <w:t>Trarza</w:t>
                    </w:r>
                  </w:p>
                </w:txbxContent>
              </v:textbox>
            </v:rect>
            <v:rect id="_x0000_s1115" style="position:absolute;left:4606;top:1637;width:196;height:480;mso-wrap-style:none" filled="f" stroked="f">
              <v:textbox style="mso-fit-shape-to-text:t" inset="0,0,0,0">
                <w:txbxContent>
                  <w:p w:rsidR="00704D1B" w:rsidRDefault="00704D1B">
                    <w:r>
                      <w:rPr>
                        <w:rFonts w:ascii="Arial" w:hAnsi="Arial" w:cs="Arial"/>
                        <w:color w:val="000000"/>
                        <w:sz w:val="8"/>
                        <w:szCs w:val="8"/>
                        <w:lang w:val="en-US"/>
                      </w:rPr>
                      <w:t>D.ND</w:t>
                    </w:r>
                  </w:p>
                </w:txbxContent>
              </v:textbox>
            </v:rect>
            <v:rect id="_x0000_s1116" style="position:absolute;left:5982;top:742;width:250;height:480;mso-wrap-style:none" filled="f" stroked="f">
              <v:textbox style="mso-fit-shape-to-text:t" inset="0,0,0,0">
                <w:txbxContent>
                  <w:p w:rsidR="00704D1B" w:rsidRDefault="00704D1B">
                    <w:r>
                      <w:rPr>
                        <w:rFonts w:ascii="Arial" w:hAnsi="Arial" w:cs="Arial"/>
                        <w:color w:val="000000"/>
                        <w:sz w:val="8"/>
                        <w:szCs w:val="8"/>
                        <w:lang w:val="en-US"/>
                      </w:rPr>
                      <w:t>Tagant</w:t>
                    </w:r>
                  </w:p>
                </w:txbxContent>
              </v:textbox>
            </v:rect>
            <v:rect id="_x0000_s1117" style="position:absolute;left:3727;top:1774;width:196;height:480;mso-wrap-style:none" filled="f" stroked="f">
              <v:textbox style="mso-fit-shape-to-text:t" inset="0,0,0,0">
                <w:txbxContent>
                  <w:p w:rsidR="00704D1B" w:rsidRDefault="00704D1B">
                    <w:r>
                      <w:rPr>
                        <w:rFonts w:ascii="Arial" w:hAnsi="Arial" w:cs="Arial"/>
                        <w:color w:val="000000"/>
                        <w:sz w:val="8"/>
                        <w:szCs w:val="8"/>
                        <w:lang w:val="en-US"/>
                      </w:rPr>
                      <w:t>Adrar</w:t>
                    </w:r>
                  </w:p>
                </w:txbxContent>
              </v:textbox>
            </v:rect>
            <w10:anchorlock/>
          </v:group>
        </w:pict>
      </w:r>
    </w:p>
    <w:p w:rsidR="001E7BB4" w:rsidRPr="007930B0" w:rsidRDefault="001E7BB4" w:rsidP="001E7BB4"/>
    <w:p w:rsidR="001E7BB4" w:rsidRPr="007930B0" w:rsidRDefault="001E7BB4" w:rsidP="00B56B34">
      <w:pPr>
        <w:pStyle w:val="SingleTxtG"/>
        <w:rPr>
          <w:lang w:val="es-ES"/>
        </w:rPr>
      </w:pPr>
      <w:r w:rsidRPr="007930B0">
        <w:rPr>
          <w:lang w:val="es-ES"/>
        </w:rPr>
        <w:t>407.</w:t>
      </w:r>
      <w:r w:rsidRPr="007930B0">
        <w:rPr>
          <w:lang w:val="es-ES"/>
        </w:rPr>
        <w:tab/>
        <w:t xml:space="preserve">El análisis por género muestra que la tasa bruta de escolarización femenina en 2006/07 fue superior a la tasa bruta de escolarización masculina (95,4% para los varones frente a 100,5% para las niñas). Esta diferencia positiva a favor de las niñas se registró en la mayoría de las </w:t>
      </w:r>
      <w:r w:rsidRPr="007930B0">
        <w:rPr>
          <w:i/>
          <w:iCs/>
          <w:lang w:val="es-ES"/>
        </w:rPr>
        <w:t>wilayas</w:t>
      </w:r>
      <w:r w:rsidRPr="007930B0">
        <w:rPr>
          <w:lang w:val="es-ES"/>
        </w:rPr>
        <w:t xml:space="preserve">. Las </w:t>
      </w:r>
      <w:r w:rsidRPr="007930B0">
        <w:rPr>
          <w:i/>
          <w:iCs/>
          <w:lang w:val="es-ES"/>
        </w:rPr>
        <w:t>wilayas</w:t>
      </w:r>
      <w:r w:rsidRPr="007930B0">
        <w:rPr>
          <w:lang w:val="es-ES"/>
        </w:rPr>
        <w:t xml:space="preserve"> en las que las niñas continúan rezagadas en relación con los varones son Inchiri, Tiris Zemmour, Adrar y Guidimagha.</w:t>
      </w:r>
    </w:p>
    <w:p w:rsidR="007D53FA" w:rsidRPr="007930B0" w:rsidRDefault="001E7BB4" w:rsidP="007D53FA">
      <w:pPr>
        <w:pStyle w:val="Heading1"/>
        <w:rPr>
          <w:lang w:val="es-ES"/>
        </w:rPr>
      </w:pPr>
      <w:r w:rsidRPr="007930B0">
        <w:rPr>
          <w:lang w:val="es-ES"/>
        </w:rPr>
        <w:t>Cuadro</w:t>
      </w:r>
      <w:r w:rsidR="007D53FA" w:rsidRPr="007930B0">
        <w:rPr>
          <w:lang w:val="es-ES"/>
        </w:rPr>
        <w:t xml:space="preserve"> 1</w:t>
      </w:r>
    </w:p>
    <w:p w:rsidR="001E7BB4" w:rsidRPr="007930B0" w:rsidRDefault="001E7BB4" w:rsidP="007D53FA">
      <w:pPr>
        <w:pStyle w:val="SingleTxtG"/>
        <w:jc w:val="left"/>
        <w:rPr>
          <w:b/>
          <w:lang w:val="es-ES"/>
        </w:rPr>
      </w:pPr>
      <w:r w:rsidRPr="007930B0">
        <w:rPr>
          <w:b/>
          <w:lang w:val="es-ES"/>
        </w:rPr>
        <w:t xml:space="preserve">Evolución de la tasa bruta de escolarización, por </w:t>
      </w:r>
      <w:r w:rsidRPr="007930B0">
        <w:rPr>
          <w:b/>
          <w:i/>
          <w:iCs/>
          <w:lang w:val="es-ES"/>
        </w:rPr>
        <w:t>wilaya</w:t>
      </w:r>
      <w:r w:rsidRPr="007930B0">
        <w:rPr>
          <w:b/>
          <w:lang w:val="es-ES"/>
        </w:rPr>
        <w:t xml:space="preserve"> y por sexo, entre 2004/05 y 2006/07</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1574"/>
        <w:gridCol w:w="644"/>
        <w:gridCol w:w="644"/>
        <w:gridCol w:w="644"/>
        <w:gridCol w:w="644"/>
        <w:gridCol w:w="644"/>
        <w:gridCol w:w="644"/>
        <w:gridCol w:w="644"/>
        <w:gridCol w:w="644"/>
        <w:gridCol w:w="644"/>
      </w:tblGrid>
      <w:tr w:rsidR="007D53FA" w:rsidRPr="007930B0">
        <w:trPr>
          <w:cantSplit/>
          <w:trHeight w:val="255"/>
          <w:tblHeader/>
        </w:trPr>
        <w:tc>
          <w:tcPr>
            <w:tcW w:w="1574" w:type="dxa"/>
            <w:vMerge w:val="restart"/>
            <w:tcBorders>
              <w:top w:val="single" w:sz="4" w:space="0" w:color="auto"/>
              <w:bottom w:val="single" w:sz="12" w:space="0" w:color="auto"/>
            </w:tcBorders>
            <w:shd w:val="clear" w:color="000000" w:fill="auto"/>
            <w:noWrap/>
            <w:vAlign w:val="bottom"/>
          </w:tcPr>
          <w:p w:rsidR="007D53FA" w:rsidRPr="007930B0" w:rsidRDefault="007D53FA" w:rsidP="007D53FA">
            <w:pPr>
              <w:spacing w:before="80" w:after="80" w:line="200" w:lineRule="exact"/>
              <w:ind w:right="113"/>
              <w:rPr>
                <w:i/>
                <w:sz w:val="16"/>
              </w:rPr>
            </w:pPr>
            <w:r w:rsidRPr="007930B0">
              <w:rPr>
                <w:i/>
                <w:sz w:val="16"/>
              </w:rPr>
              <w:t>Wilaya/Año/Sexo</w:t>
            </w:r>
          </w:p>
        </w:tc>
        <w:tc>
          <w:tcPr>
            <w:tcW w:w="1932" w:type="dxa"/>
            <w:gridSpan w:val="3"/>
            <w:tcBorders>
              <w:top w:val="single" w:sz="4" w:space="0" w:color="auto"/>
              <w:bottom w:val="single" w:sz="4" w:space="0" w:color="auto"/>
              <w:right w:val="single" w:sz="24" w:space="0" w:color="FFFFFF"/>
            </w:tcBorders>
            <w:shd w:val="clear" w:color="000000" w:fill="auto"/>
            <w:noWrap/>
            <w:vAlign w:val="bottom"/>
          </w:tcPr>
          <w:p w:rsidR="007D53FA" w:rsidRPr="007930B0" w:rsidRDefault="007D53FA" w:rsidP="007D53FA">
            <w:pPr>
              <w:spacing w:before="80" w:after="80" w:line="200" w:lineRule="exact"/>
              <w:ind w:right="113"/>
              <w:jc w:val="center"/>
              <w:rPr>
                <w:i/>
                <w:sz w:val="16"/>
              </w:rPr>
            </w:pPr>
            <w:r w:rsidRPr="007930B0">
              <w:rPr>
                <w:i/>
                <w:sz w:val="16"/>
              </w:rPr>
              <w:t>2004/05</w:t>
            </w:r>
          </w:p>
        </w:tc>
        <w:tc>
          <w:tcPr>
            <w:tcW w:w="1932"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7D53FA" w:rsidRPr="007930B0" w:rsidRDefault="007D53FA" w:rsidP="007D53FA">
            <w:pPr>
              <w:spacing w:before="80" w:after="80" w:line="200" w:lineRule="exact"/>
              <w:ind w:right="113"/>
              <w:jc w:val="center"/>
              <w:rPr>
                <w:i/>
                <w:sz w:val="16"/>
              </w:rPr>
            </w:pPr>
            <w:r w:rsidRPr="007930B0">
              <w:rPr>
                <w:i/>
                <w:sz w:val="16"/>
              </w:rPr>
              <w:t>2005/06</w:t>
            </w:r>
          </w:p>
        </w:tc>
        <w:tc>
          <w:tcPr>
            <w:tcW w:w="1932" w:type="dxa"/>
            <w:gridSpan w:val="3"/>
            <w:tcBorders>
              <w:top w:val="single" w:sz="4" w:space="0" w:color="auto"/>
              <w:left w:val="single" w:sz="24" w:space="0" w:color="FFFFFF"/>
              <w:bottom w:val="single" w:sz="4" w:space="0" w:color="auto"/>
            </w:tcBorders>
            <w:shd w:val="clear" w:color="000000" w:fill="auto"/>
            <w:vAlign w:val="bottom"/>
          </w:tcPr>
          <w:p w:rsidR="007D53FA" w:rsidRPr="007930B0" w:rsidRDefault="007D53FA" w:rsidP="007D53FA">
            <w:pPr>
              <w:spacing w:before="80" w:after="80" w:line="200" w:lineRule="exact"/>
              <w:ind w:right="113"/>
              <w:jc w:val="center"/>
              <w:rPr>
                <w:i/>
                <w:sz w:val="16"/>
              </w:rPr>
            </w:pPr>
            <w:r w:rsidRPr="007930B0">
              <w:rPr>
                <w:i/>
                <w:sz w:val="16"/>
              </w:rPr>
              <w:t>2006/07</w:t>
            </w:r>
          </w:p>
        </w:tc>
      </w:tr>
      <w:tr w:rsidR="007D53FA" w:rsidRPr="007930B0">
        <w:trPr>
          <w:cantSplit/>
          <w:trHeight w:val="255"/>
          <w:tblHeader/>
        </w:trPr>
        <w:tc>
          <w:tcPr>
            <w:tcW w:w="1574" w:type="dxa"/>
            <w:vMerge/>
            <w:tcBorders>
              <w:top w:val="single" w:sz="12" w:space="0" w:color="auto"/>
              <w:bottom w:val="single" w:sz="12" w:space="0" w:color="auto"/>
            </w:tcBorders>
            <w:shd w:val="clear" w:color="000000" w:fill="auto"/>
            <w:vAlign w:val="bottom"/>
          </w:tcPr>
          <w:p w:rsidR="001E7BB4" w:rsidRPr="007930B0" w:rsidRDefault="001E7BB4" w:rsidP="007D53FA">
            <w:pPr>
              <w:spacing w:before="40" w:after="40" w:line="220" w:lineRule="exact"/>
              <w:ind w:right="113"/>
              <w:rPr>
                <w:sz w:val="18"/>
              </w:rPr>
            </w:pPr>
          </w:p>
        </w:tc>
        <w:tc>
          <w:tcPr>
            <w:tcW w:w="644" w:type="dxa"/>
            <w:tcBorders>
              <w:top w:val="single" w:sz="4" w:space="0" w:color="auto"/>
              <w:bottom w:val="single" w:sz="12" w:space="0" w:color="auto"/>
            </w:tcBorders>
            <w:shd w:val="clear" w:color="000000" w:fill="auto"/>
            <w:noWrap/>
            <w:vAlign w:val="bottom"/>
          </w:tcPr>
          <w:p w:rsidR="001E7BB4" w:rsidRPr="007930B0" w:rsidRDefault="001E7BB4" w:rsidP="007D53FA">
            <w:pPr>
              <w:spacing w:before="80" w:after="80" w:line="200" w:lineRule="exact"/>
              <w:ind w:right="113"/>
              <w:jc w:val="right"/>
              <w:rPr>
                <w:i/>
                <w:sz w:val="16"/>
                <w:szCs w:val="16"/>
              </w:rPr>
            </w:pPr>
            <w:r w:rsidRPr="007930B0">
              <w:rPr>
                <w:i/>
                <w:sz w:val="16"/>
                <w:szCs w:val="16"/>
              </w:rPr>
              <w:t>Masc.</w:t>
            </w:r>
          </w:p>
        </w:tc>
        <w:tc>
          <w:tcPr>
            <w:tcW w:w="644" w:type="dxa"/>
            <w:tcBorders>
              <w:top w:val="single" w:sz="4" w:space="0" w:color="auto"/>
              <w:bottom w:val="single" w:sz="12" w:space="0" w:color="auto"/>
            </w:tcBorders>
            <w:shd w:val="clear" w:color="000000" w:fill="auto"/>
            <w:noWrap/>
            <w:vAlign w:val="bottom"/>
          </w:tcPr>
          <w:p w:rsidR="001E7BB4" w:rsidRPr="007930B0" w:rsidRDefault="001E7BB4" w:rsidP="007D53FA">
            <w:pPr>
              <w:spacing w:before="80" w:after="80" w:line="200" w:lineRule="exact"/>
              <w:ind w:right="113"/>
              <w:jc w:val="right"/>
              <w:rPr>
                <w:i/>
                <w:sz w:val="16"/>
                <w:szCs w:val="16"/>
              </w:rPr>
            </w:pPr>
            <w:r w:rsidRPr="007930B0">
              <w:rPr>
                <w:i/>
                <w:sz w:val="16"/>
                <w:szCs w:val="16"/>
              </w:rPr>
              <w:t>Fem.</w:t>
            </w:r>
          </w:p>
        </w:tc>
        <w:tc>
          <w:tcPr>
            <w:tcW w:w="644" w:type="dxa"/>
            <w:tcBorders>
              <w:top w:val="single" w:sz="4" w:space="0" w:color="auto"/>
              <w:bottom w:val="single" w:sz="12" w:space="0" w:color="auto"/>
              <w:right w:val="single" w:sz="24" w:space="0" w:color="FFFFFF"/>
            </w:tcBorders>
            <w:shd w:val="clear" w:color="000000" w:fill="auto"/>
            <w:noWrap/>
            <w:vAlign w:val="bottom"/>
          </w:tcPr>
          <w:p w:rsidR="001E7BB4" w:rsidRPr="007930B0" w:rsidRDefault="001E7BB4" w:rsidP="007D53FA">
            <w:pPr>
              <w:spacing w:before="80" w:after="80" w:line="200" w:lineRule="exact"/>
              <w:ind w:right="113"/>
              <w:jc w:val="right"/>
              <w:rPr>
                <w:b/>
                <w:i/>
                <w:sz w:val="16"/>
                <w:szCs w:val="16"/>
              </w:rPr>
            </w:pPr>
            <w:r w:rsidRPr="007930B0">
              <w:rPr>
                <w:b/>
                <w:i/>
                <w:sz w:val="16"/>
                <w:szCs w:val="16"/>
              </w:rPr>
              <w:t>Total</w:t>
            </w:r>
          </w:p>
        </w:tc>
        <w:tc>
          <w:tcPr>
            <w:tcW w:w="644" w:type="dxa"/>
            <w:tcBorders>
              <w:top w:val="single" w:sz="4" w:space="0" w:color="auto"/>
              <w:left w:val="single" w:sz="24" w:space="0" w:color="FFFFFF"/>
              <w:bottom w:val="single" w:sz="12" w:space="0" w:color="auto"/>
            </w:tcBorders>
            <w:shd w:val="clear" w:color="000000" w:fill="auto"/>
            <w:noWrap/>
            <w:vAlign w:val="bottom"/>
          </w:tcPr>
          <w:p w:rsidR="001E7BB4" w:rsidRPr="007930B0" w:rsidRDefault="001E7BB4" w:rsidP="007D53FA">
            <w:pPr>
              <w:spacing w:before="80" w:after="80" w:line="200" w:lineRule="exact"/>
              <w:ind w:right="113"/>
              <w:jc w:val="right"/>
              <w:rPr>
                <w:i/>
                <w:sz w:val="16"/>
                <w:szCs w:val="16"/>
              </w:rPr>
            </w:pPr>
            <w:r w:rsidRPr="007930B0">
              <w:rPr>
                <w:i/>
                <w:sz w:val="16"/>
                <w:szCs w:val="16"/>
              </w:rPr>
              <w:t>Masc.</w:t>
            </w:r>
          </w:p>
        </w:tc>
        <w:tc>
          <w:tcPr>
            <w:tcW w:w="644" w:type="dxa"/>
            <w:tcBorders>
              <w:top w:val="single" w:sz="4" w:space="0" w:color="auto"/>
              <w:bottom w:val="single" w:sz="12" w:space="0" w:color="auto"/>
            </w:tcBorders>
            <w:shd w:val="clear" w:color="000000" w:fill="auto"/>
            <w:noWrap/>
            <w:vAlign w:val="bottom"/>
          </w:tcPr>
          <w:p w:rsidR="001E7BB4" w:rsidRPr="007930B0" w:rsidRDefault="001E7BB4" w:rsidP="007D53FA">
            <w:pPr>
              <w:spacing w:before="80" w:after="80" w:line="200" w:lineRule="exact"/>
              <w:ind w:right="113"/>
              <w:jc w:val="right"/>
              <w:rPr>
                <w:i/>
                <w:sz w:val="16"/>
                <w:szCs w:val="16"/>
              </w:rPr>
            </w:pPr>
            <w:r w:rsidRPr="007930B0">
              <w:rPr>
                <w:i/>
                <w:sz w:val="16"/>
                <w:szCs w:val="16"/>
              </w:rPr>
              <w:t>Fem.</w:t>
            </w:r>
          </w:p>
        </w:tc>
        <w:tc>
          <w:tcPr>
            <w:tcW w:w="644" w:type="dxa"/>
            <w:tcBorders>
              <w:top w:val="single" w:sz="4" w:space="0" w:color="auto"/>
              <w:bottom w:val="single" w:sz="12" w:space="0" w:color="auto"/>
              <w:right w:val="single" w:sz="24" w:space="0" w:color="FFFFFF"/>
            </w:tcBorders>
            <w:shd w:val="clear" w:color="000000" w:fill="auto"/>
            <w:noWrap/>
            <w:vAlign w:val="bottom"/>
          </w:tcPr>
          <w:p w:rsidR="001E7BB4" w:rsidRPr="007930B0" w:rsidRDefault="001E7BB4" w:rsidP="007D53FA">
            <w:pPr>
              <w:spacing w:before="80" w:after="80" w:line="200" w:lineRule="exact"/>
              <w:ind w:right="113"/>
              <w:jc w:val="right"/>
              <w:rPr>
                <w:b/>
                <w:i/>
                <w:sz w:val="16"/>
                <w:szCs w:val="16"/>
              </w:rPr>
            </w:pPr>
            <w:r w:rsidRPr="007930B0">
              <w:rPr>
                <w:b/>
                <w:i/>
                <w:sz w:val="16"/>
                <w:szCs w:val="16"/>
              </w:rPr>
              <w:t>Total</w:t>
            </w:r>
          </w:p>
        </w:tc>
        <w:tc>
          <w:tcPr>
            <w:tcW w:w="644" w:type="dxa"/>
            <w:tcBorders>
              <w:top w:val="single" w:sz="4" w:space="0" w:color="auto"/>
              <w:left w:val="single" w:sz="24" w:space="0" w:color="FFFFFF"/>
              <w:bottom w:val="single" w:sz="12" w:space="0" w:color="auto"/>
            </w:tcBorders>
            <w:shd w:val="clear" w:color="000000" w:fill="auto"/>
            <w:noWrap/>
            <w:vAlign w:val="bottom"/>
          </w:tcPr>
          <w:p w:rsidR="001E7BB4" w:rsidRPr="007930B0" w:rsidRDefault="001E7BB4" w:rsidP="007D53FA">
            <w:pPr>
              <w:spacing w:before="80" w:after="80" w:line="200" w:lineRule="exact"/>
              <w:ind w:right="113"/>
              <w:jc w:val="right"/>
              <w:rPr>
                <w:i/>
                <w:sz w:val="16"/>
                <w:szCs w:val="16"/>
              </w:rPr>
            </w:pPr>
            <w:r w:rsidRPr="007930B0">
              <w:rPr>
                <w:i/>
                <w:sz w:val="16"/>
                <w:szCs w:val="16"/>
              </w:rPr>
              <w:t>Masc.</w:t>
            </w:r>
          </w:p>
        </w:tc>
        <w:tc>
          <w:tcPr>
            <w:tcW w:w="644" w:type="dxa"/>
            <w:tcBorders>
              <w:top w:val="single" w:sz="4" w:space="0" w:color="auto"/>
              <w:bottom w:val="single" w:sz="12" w:space="0" w:color="auto"/>
            </w:tcBorders>
            <w:shd w:val="clear" w:color="000000" w:fill="auto"/>
            <w:noWrap/>
            <w:vAlign w:val="bottom"/>
          </w:tcPr>
          <w:p w:rsidR="001E7BB4" w:rsidRPr="007930B0" w:rsidRDefault="001E7BB4" w:rsidP="007D53FA">
            <w:pPr>
              <w:spacing w:before="80" w:after="80" w:line="200" w:lineRule="exact"/>
              <w:ind w:right="113"/>
              <w:jc w:val="right"/>
              <w:rPr>
                <w:i/>
                <w:sz w:val="16"/>
                <w:szCs w:val="16"/>
              </w:rPr>
            </w:pPr>
            <w:r w:rsidRPr="007930B0">
              <w:rPr>
                <w:i/>
                <w:sz w:val="16"/>
                <w:szCs w:val="16"/>
              </w:rPr>
              <w:t>Fem.</w:t>
            </w:r>
          </w:p>
        </w:tc>
        <w:tc>
          <w:tcPr>
            <w:tcW w:w="644" w:type="dxa"/>
            <w:tcBorders>
              <w:top w:val="single" w:sz="4" w:space="0" w:color="auto"/>
              <w:bottom w:val="single" w:sz="12" w:space="0" w:color="auto"/>
            </w:tcBorders>
            <w:shd w:val="clear" w:color="000000" w:fill="auto"/>
            <w:noWrap/>
            <w:vAlign w:val="bottom"/>
          </w:tcPr>
          <w:p w:rsidR="001E7BB4" w:rsidRPr="007930B0" w:rsidRDefault="001E7BB4" w:rsidP="007D53FA">
            <w:pPr>
              <w:spacing w:before="80" w:after="80" w:line="200" w:lineRule="exact"/>
              <w:ind w:right="113"/>
              <w:jc w:val="right"/>
              <w:rPr>
                <w:b/>
                <w:i/>
                <w:sz w:val="16"/>
                <w:szCs w:val="16"/>
              </w:rPr>
            </w:pPr>
            <w:r w:rsidRPr="007930B0">
              <w:rPr>
                <w:b/>
                <w:i/>
                <w:sz w:val="16"/>
                <w:szCs w:val="16"/>
              </w:rPr>
              <w:t>Total</w:t>
            </w:r>
          </w:p>
        </w:tc>
      </w:tr>
      <w:tr w:rsidR="007D53FA" w:rsidRPr="007930B0">
        <w:trPr>
          <w:trHeight w:val="255"/>
        </w:trPr>
        <w:tc>
          <w:tcPr>
            <w:tcW w:w="1574" w:type="dxa"/>
            <w:tcBorders>
              <w:top w:val="single" w:sz="12" w:space="0" w:color="auto"/>
            </w:tcBorders>
            <w:shd w:val="clear" w:color="000000" w:fill="auto"/>
            <w:noWrap/>
          </w:tcPr>
          <w:p w:rsidR="001E7BB4" w:rsidRPr="007930B0" w:rsidRDefault="001E7BB4" w:rsidP="007D53FA">
            <w:pPr>
              <w:spacing w:before="40" w:after="40" w:line="220" w:lineRule="exact"/>
              <w:ind w:right="113"/>
              <w:rPr>
                <w:sz w:val="18"/>
              </w:rPr>
            </w:pPr>
            <w:r w:rsidRPr="007930B0">
              <w:rPr>
                <w:sz w:val="18"/>
              </w:rPr>
              <w:t>Hodh Charghi</w:t>
            </w:r>
          </w:p>
        </w:tc>
        <w:tc>
          <w:tcPr>
            <w:tcW w:w="644" w:type="dxa"/>
            <w:tcBorders>
              <w:top w:val="single" w:sz="12" w:space="0" w:color="auto"/>
            </w:tcBorders>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83,6</w:t>
            </w:r>
          </w:p>
        </w:tc>
        <w:tc>
          <w:tcPr>
            <w:tcW w:w="644" w:type="dxa"/>
            <w:tcBorders>
              <w:top w:val="single" w:sz="12" w:space="0" w:color="auto"/>
            </w:tcBorders>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89,3</w:t>
            </w:r>
          </w:p>
        </w:tc>
        <w:tc>
          <w:tcPr>
            <w:tcW w:w="644" w:type="dxa"/>
            <w:tcBorders>
              <w:top w:val="single" w:sz="12" w:space="0" w:color="auto"/>
            </w:tcBorders>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86,3</w:t>
            </w:r>
          </w:p>
        </w:tc>
        <w:tc>
          <w:tcPr>
            <w:tcW w:w="644" w:type="dxa"/>
            <w:tcBorders>
              <w:top w:val="single" w:sz="12" w:space="0" w:color="auto"/>
            </w:tcBorders>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85,1</w:t>
            </w:r>
          </w:p>
        </w:tc>
        <w:tc>
          <w:tcPr>
            <w:tcW w:w="644" w:type="dxa"/>
            <w:tcBorders>
              <w:top w:val="single" w:sz="12" w:space="0" w:color="auto"/>
            </w:tcBorders>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88,5</w:t>
            </w:r>
          </w:p>
        </w:tc>
        <w:tc>
          <w:tcPr>
            <w:tcW w:w="644" w:type="dxa"/>
            <w:tcBorders>
              <w:top w:val="single" w:sz="12" w:space="0" w:color="auto"/>
            </w:tcBorders>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86,7</w:t>
            </w:r>
          </w:p>
        </w:tc>
        <w:tc>
          <w:tcPr>
            <w:tcW w:w="644" w:type="dxa"/>
            <w:tcBorders>
              <w:top w:val="single" w:sz="12" w:space="0" w:color="auto"/>
            </w:tcBorders>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78,0</w:t>
            </w:r>
          </w:p>
        </w:tc>
        <w:tc>
          <w:tcPr>
            <w:tcW w:w="644" w:type="dxa"/>
            <w:tcBorders>
              <w:top w:val="single" w:sz="12" w:space="0" w:color="auto"/>
            </w:tcBorders>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82,3</w:t>
            </w:r>
          </w:p>
        </w:tc>
        <w:tc>
          <w:tcPr>
            <w:tcW w:w="644" w:type="dxa"/>
            <w:tcBorders>
              <w:top w:val="single" w:sz="12" w:space="0" w:color="auto"/>
            </w:tcBorders>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80,1</w:t>
            </w:r>
          </w:p>
        </w:tc>
      </w:tr>
      <w:tr w:rsidR="007D53FA" w:rsidRPr="007930B0">
        <w:trPr>
          <w:trHeight w:val="255"/>
        </w:trPr>
        <w:tc>
          <w:tcPr>
            <w:tcW w:w="1574" w:type="dxa"/>
            <w:shd w:val="clear" w:color="000000" w:fill="auto"/>
            <w:noWrap/>
          </w:tcPr>
          <w:p w:rsidR="001E7BB4" w:rsidRPr="007930B0" w:rsidRDefault="001E7BB4" w:rsidP="007D53FA">
            <w:pPr>
              <w:spacing w:before="40" w:after="40" w:line="220" w:lineRule="exact"/>
              <w:ind w:right="113"/>
              <w:rPr>
                <w:sz w:val="18"/>
              </w:rPr>
            </w:pPr>
            <w:r w:rsidRPr="007930B0">
              <w:rPr>
                <w:sz w:val="18"/>
              </w:rPr>
              <w:t>Hodh El Gharbi</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89,9</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112,6</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101,0</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100,7</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120,1</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110,2</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98,0</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116,2</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106,9</w:t>
            </w:r>
          </w:p>
        </w:tc>
      </w:tr>
      <w:tr w:rsidR="007D53FA" w:rsidRPr="007930B0">
        <w:trPr>
          <w:trHeight w:val="255"/>
        </w:trPr>
        <w:tc>
          <w:tcPr>
            <w:tcW w:w="1574" w:type="dxa"/>
            <w:shd w:val="clear" w:color="000000" w:fill="auto"/>
            <w:noWrap/>
          </w:tcPr>
          <w:p w:rsidR="001E7BB4" w:rsidRPr="007930B0" w:rsidRDefault="001E7BB4" w:rsidP="007D53FA">
            <w:pPr>
              <w:spacing w:before="40" w:after="40" w:line="220" w:lineRule="exact"/>
              <w:ind w:right="113"/>
              <w:rPr>
                <w:sz w:val="18"/>
              </w:rPr>
            </w:pPr>
            <w:r w:rsidRPr="007930B0">
              <w:rPr>
                <w:sz w:val="18"/>
              </w:rPr>
              <w:t>Assaba</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94,1</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95,6</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94,8</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94,9</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97,7</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96,2</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92,9</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95,1</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94,0</w:t>
            </w:r>
          </w:p>
        </w:tc>
      </w:tr>
      <w:tr w:rsidR="007D53FA" w:rsidRPr="007930B0">
        <w:trPr>
          <w:trHeight w:val="255"/>
        </w:trPr>
        <w:tc>
          <w:tcPr>
            <w:tcW w:w="1574" w:type="dxa"/>
            <w:shd w:val="clear" w:color="000000" w:fill="auto"/>
            <w:noWrap/>
          </w:tcPr>
          <w:p w:rsidR="001E7BB4" w:rsidRPr="007930B0" w:rsidRDefault="001E7BB4" w:rsidP="007D53FA">
            <w:pPr>
              <w:spacing w:before="40" w:after="40" w:line="220" w:lineRule="exact"/>
              <w:ind w:right="113"/>
              <w:rPr>
                <w:sz w:val="18"/>
              </w:rPr>
            </w:pPr>
            <w:r w:rsidRPr="007930B0">
              <w:rPr>
                <w:sz w:val="18"/>
              </w:rPr>
              <w:t>Gorgol</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83,1</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82,2</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82,7</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87,3</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86,1</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86,7</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91,8</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91,8</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91,8</w:t>
            </w:r>
          </w:p>
        </w:tc>
      </w:tr>
      <w:tr w:rsidR="007D53FA" w:rsidRPr="007930B0">
        <w:trPr>
          <w:trHeight w:val="255"/>
        </w:trPr>
        <w:tc>
          <w:tcPr>
            <w:tcW w:w="1574" w:type="dxa"/>
            <w:shd w:val="clear" w:color="000000" w:fill="auto"/>
            <w:noWrap/>
          </w:tcPr>
          <w:p w:rsidR="001E7BB4" w:rsidRPr="007930B0" w:rsidRDefault="001E7BB4" w:rsidP="007D53FA">
            <w:pPr>
              <w:spacing w:before="40" w:after="40" w:line="220" w:lineRule="exact"/>
              <w:ind w:right="113"/>
              <w:rPr>
                <w:sz w:val="18"/>
              </w:rPr>
            </w:pPr>
            <w:r w:rsidRPr="007930B0">
              <w:rPr>
                <w:sz w:val="18"/>
              </w:rPr>
              <w:t>Brakna</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83,8</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89,7</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86,7</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87,3</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91,4</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89,3</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92,9</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98,2</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95,5</w:t>
            </w:r>
          </w:p>
        </w:tc>
      </w:tr>
      <w:tr w:rsidR="007D53FA" w:rsidRPr="007930B0">
        <w:trPr>
          <w:trHeight w:val="255"/>
        </w:trPr>
        <w:tc>
          <w:tcPr>
            <w:tcW w:w="1574" w:type="dxa"/>
            <w:shd w:val="clear" w:color="000000" w:fill="auto"/>
            <w:noWrap/>
          </w:tcPr>
          <w:p w:rsidR="001E7BB4" w:rsidRPr="007930B0" w:rsidRDefault="001E7BB4" w:rsidP="007D53FA">
            <w:pPr>
              <w:spacing w:before="40" w:after="40" w:line="220" w:lineRule="exact"/>
              <w:ind w:right="113"/>
              <w:rPr>
                <w:sz w:val="18"/>
              </w:rPr>
            </w:pPr>
            <w:r w:rsidRPr="007930B0">
              <w:rPr>
                <w:sz w:val="18"/>
              </w:rPr>
              <w:t>Trarza</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93,1</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95,9</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94,5</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106,0</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107,1</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106,5</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99,6</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101,6</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100,6</w:t>
            </w:r>
          </w:p>
        </w:tc>
      </w:tr>
      <w:tr w:rsidR="007D53FA" w:rsidRPr="007930B0">
        <w:trPr>
          <w:trHeight w:val="255"/>
        </w:trPr>
        <w:tc>
          <w:tcPr>
            <w:tcW w:w="1574" w:type="dxa"/>
            <w:shd w:val="clear" w:color="000000" w:fill="auto"/>
            <w:noWrap/>
          </w:tcPr>
          <w:p w:rsidR="001E7BB4" w:rsidRPr="007930B0" w:rsidRDefault="001E7BB4" w:rsidP="007D53FA">
            <w:pPr>
              <w:spacing w:before="40" w:after="40" w:line="220" w:lineRule="exact"/>
              <w:ind w:right="113"/>
              <w:rPr>
                <w:sz w:val="18"/>
              </w:rPr>
            </w:pPr>
            <w:r w:rsidRPr="007930B0">
              <w:rPr>
                <w:sz w:val="18"/>
              </w:rPr>
              <w:t>Adrar</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110,8</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109,7</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110,3</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120,3</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115,4</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117,9</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103,5</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102,6</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103,0</w:t>
            </w:r>
          </w:p>
        </w:tc>
      </w:tr>
      <w:tr w:rsidR="007D53FA" w:rsidRPr="007930B0">
        <w:trPr>
          <w:trHeight w:val="255"/>
        </w:trPr>
        <w:tc>
          <w:tcPr>
            <w:tcW w:w="1574" w:type="dxa"/>
            <w:shd w:val="clear" w:color="000000" w:fill="auto"/>
            <w:noWrap/>
          </w:tcPr>
          <w:p w:rsidR="001E7BB4" w:rsidRPr="007930B0" w:rsidRDefault="001E7BB4" w:rsidP="007D53FA">
            <w:pPr>
              <w:spacing w:before="40" w:after="40" w:line="220" w:lineRule="exact"/>
              <w:ind w:right="113"/>
              <w:rPr>
                <w:sz w:val="18"/>
              </w:rPr>
            </w:pPr>
            <w:r w:rsidRPr="007930B0">
              <w:rPr>
                <w:sz w:val="18"/>
              </w:rPr>
              <w:t>Nuadhibu</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118,6</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127,8</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123,0</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112,5</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115,4</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113,9</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106,7</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112,8</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109,6</w:t>
            </w:r>
          </w:p>
        </w:tc>
      </w:tr>
      <w:tr w:rsidR="007D53FA" w:rsidRPr="007930B0">
        <w:trPr>
          <w:trHeight w:val="255"/>
        </w:trPr>
        <w:tc>
          <w:tcPr>
            <w:tcW w:w="1574" w:type="dxa"/>
            <w:shd w:val="clear" w:color="000000" w:fill="auto"/>
            <w:noWrap/>
          </w:tcPr>
          <w:p w:rsidR="001E7BB4" w:rsidRPr="007930B0" w:rsidRDefault="001E7BB4" w:rsidP="007D53FA">
            <w:pPr>
              <w:spacing w:before="40" w:after="40" w:line="220" w:lineRule="exact"/>
              <w:ind w:right="113"/>
              <w:rPr>
                <w:sz w:val="18"/>
              </w:rPr>
            </w:pPr>
            <w:r w:rsidRPr="007930B0">
              <w:rPr>
                <w:sz w:val="18"/>
              </w:rPr>
              <w:t>Tagant</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116,0</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118,0</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117,0</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115,5</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119,9</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117,7</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124,0</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128,2</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126,1</w:t>
            </w:r>
          </w:p>
        </w:tc>
      </w:tr>
      <w:tr w:rsidR="007D53FA" w:rsidRPr="007930B0">
        <w:trPr>
          <w:trHeight w:val="255"/>
        </w:trPr>
        <w:tc>
          <w:tcPr>
            <w:tcW w:w="1574" w:type="dxa"/>
            <w:shd w:val="clear" w:color="000000" w:fill="auto"/>
            <w:noWrap/>
          </w:tcPr>
          <w:p w:rsidR="001E7BB4" w:rsidRPr="007930B0" w:rsidRDefault="001E7BB4" w:rsidP="007D53FA">
            <w:pPr>
              <w:spacing w:before="40" w:after="40" w:line="220" w:lineRule="exact"/>
              <w:ind w:right="113"/>
              <w:rPr>
                <w:sz w:val="18"/>
              </w:rPr>
            </w:pPr>
            <w:r w:rsidRPr="007930B0">
              <w:rPr>
                <w:sz w:val="18"/>
              </w:rPr>
              <w:t>Guidimakha</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83,0</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82,9</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83,0</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84,5</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82,9</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83,7</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93,1</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90,5</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91,8</w:t>
            </w:r>
          </w:p>
        </w:tc>
      </w:tr>
      <w:tr w:rsidR="007D53FA" w:rsidRPr="007930B0">
        <w:trPr>
          <w:trHeight w:val="255"/>
        </w:trPr>
        <w:tc>
          <w:tcPr>
            <w:tcW w:w="1574" w:type="dxa"/>
            <w:shd w:val="clear" w:color="000000" w:fill="auto"/>
            <w:noWrap/>
          </w:tcPr>
          <w:p w:rsidR="001E7BB4" w:rsidRPr="007930B0" w:rsidRDefault="001E7BB4" w:rsidP="007D53FA">
            <w:pPr>
              <w:spacing w:before="40" w:after="40" w:line="220" w:lineRule="exact"/>
              <w:ind w:right="113"/>
              <w:rPr>
                <w:sz w:val="18"/>
              </w:rPr>
            </w:pPr>
            <w:r w:rsidRPr="007930B0">
              <w:rPr>
                <w:sz w:val="18"/>
              </w:rPr>
              <w:t>Tiris Zemmour</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108,0</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104,9</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106,5</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105,0</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100,1</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102,6</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105,5</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101,1</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103,3</w:t>
            </w:r>
          </w:p>
        </w:tc>
      </w:tr>
      <w:tr w:rsidR="007D53FA" w:rsidRPr="007930B0">
        <w:trPr>
          <w:trHeight w:val="255"/>
        </w:trPr>
        <w:tc>
          <w:tcPr>
            <w:tcW w:w="1574" w:type="dxa"/>
            <w:shd w:val="clear" w:color="000000" w:fill="auto"/>
            <w:noWrap/>
          </w:tcPr>
          <w:p w:rsidR="001E7BB4" w:rsidRPr="007930B0" w:rsidRDefault="001E7BB4" w:rsidP="007D53FA">
            <w:pPr>
              <w:spacing w:before="40" w:after="40" w:line="220" w:lineRule="exact"/>
              <w:ind w:right="113"/>
              <w:rPr>
                <w:sz w:val="18"/>
              </w:rPr>
            </w:pPr>
            <w:r w:rsidRPr="007930B0">
              <w:rPr>
                <w:sz w:val="18"/>
              </w:rPr>
              <w:t>Inchiri</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101,0</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96,2</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98,6</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109,7</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103,0</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106,3</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99,4</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91,1</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95,2</w:t>
            </w:r>
          </w:p>
        </w:tc>
      </w:tr>
      <w:tr w:rsidR="007D53FA" w:rsidRPr="007930B0">
        <w:trPr>
          <w:trHeight w:val="255"/>
        </w:trPr>
        <w:tc>
          <w:tcPr>
            <w:tcW w:w="1574" w:type="dxa"/>
            <w:tcBorders>
              <w:bottom w:val="single" w:sz="4" w:space="0" w:color="auto"/>
            </w:tcBorders>
            <w:shd w:val="clear" w:color="000000" w:fill="auto"/>
            <w:noWrap/>
          </w:tcPr>
          <w:p w:rsidR="001E7BB4" w:rsidRPr="007930B0" w:rsidRDefault="001E7BB4" w:rsidP="007D53FA">
            <w:pPr>
              <w:spacing w:before="40" w:after="40" w:line="220" w:lineRule="exact"/>
              <w:ind w:right="113"/>
              <w:rPr>
                <w:sz w:val="18"/>
              </w:rPr>
            </w:pPr>
            <w:r w:rsidRPr="007930B0">
              <w:rPr>
                <w:sz w:val="18"/>
              </w:rPr>
              <w:t>Nuakchot</w:t>
            </w:r>
          </w:p>
        </w:tc>
        <w:tc>
          <w:tcPr>
            <w:tcW w:w="644" w:type="dxa"/>
            <w:tcBorders>
              <w:bottom w:val="single" w:sz="4" w:space="0" w:color="auto"/>
            </w:tcBorders>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100,1</w:t>
            </w:r>
          </w:p>
        </w:tc>
        <w:tc>
          <w:tcPr>
            <w:tcW w:w="644" w:type="dxa"/>
            <w:tcBorders>
              <w:bottom w:val="single" w:sz="4" w:space="0" w:color="auto"/>
            </w:tcBorders>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109,0</w:t>
            </w:r>
          </w:p>
        </w:tc>
        <w:tc>
          <w:tcPr>
            <w:tcW w:w="644" w:type="dxa"/>
            <w:tcBorders>
              <w:bottom w:val="single" w:sz="4" w:space="0" w:color="auto"/>
            </w:tcBorders>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104,5</w:t>
            </w:r>
          </w:p>
        </w:tc>
        <w:tc>
          <w:tcPr>
            <w:tcW w:w="644" w:type="dxa"/>
            <w:tcBorders>
              <w:bottom w:val="single" w:sz="4" w:space="0" w:color="auto"/>
            </w:tcBorders>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94,3</w:t>
            </w:r>
          </w:p>
        </w:tc>
        <w:tc>
          <w:tcPr>
            <w:tcW w:w="644" w:type="dxa"/>
            <w:tcBorders>
              <w:bottom w:val="single" w:sz="4" w:space="0" w:color="auto"/>
            </w:tcBorders>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103,8</w:t>
            </w:r>
          </w:p>
        </w:tc>
        <w:tc>
          <w:tcPr>
            <w:tcW w:w="644" w:type="dxa"/>
            <w:tcBorders>
              <w:bottom w:val="single" w:sz="4" w:space="0" w:color="auto"/>
            </w:tcBorders>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98,9</w:t>
            </w:r>
          </w:p>
        </w:tc>
        <w:tc>
          <w:tcPr>
            <w:tcW w:w="644" w:type="dxa"/>
            <w:tcBorders>
              <w:bottom w:val="single" w:sz="4" w:space="0" w:color="auto"/>
            </w:tcBorders>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99,6</w:t>
            </w:r>
          </w:p>
        </w:tc>
        <w:tc>
          <w:tcPr>
            <w:tcW w:w="644" w:type="dxa"/>
            <w:tcBorders>
              <w:bottom w:val="single" w:sz="4" w:space="0" w:color="auto"/>
            </w:tcBorders>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109,8</w:t>
            </w:r>
          </w:p>
        </w:tc>
        <w:tc>
          <w:tcPr>
            <w:tcW w:w="644" w:type="dxa"/>
            <w:tcBorders>
              <w:bottom w:val="single" w:sz="4" w:space="0" w:color="auto"/>
            </w:tcBorders>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104,5</w:t>
            </w:r>
          </w:p>
        </w:tc>
      </w:tr>
      <w:tr w:rsidR="007D53FA" w:rsidRPr="007930B0">
        <w:tc>
          <w:tcPr>
            <w:tcW w:w="1574" w:type="dxa"/>
            <w:tcBorders>
              <w:top w:val="single" w:sz="4" w:space="0" w:color="auto"/>
              <w:bottom w:val="single" w:sz="4" w:space="0" w:color="auto"/>
            </w:tcBorders>
            <w:shd w:val="clear" w:color="000000" w:fill="auto"/>
            <w:noWrap/>
          </w:tcPr>
          <w:p w:rsidR="001E7BB4" w:rsidRPr="007930B0" w:rsidRDefault="001E7BB4" w:rsidP="007D53FA">
            <w:pPr>
              <w:spacing w:before="80" w:after="80" w:line="220" w:lineRule="exact"/>
              <w:ind w:left="284" w:right="113"/>
              <w:rPr>
                <w:b/>
                <w:sz w:val="18"/>
              </w:rPr>
            </w:pPr>
            <w:r w:rsidRPr="007930B0">
              <w:rPr>
                <w:b/>
                <w:sz w:val="18"/>
              </w:rPr>
              <w:t>Total</w:t>
            </w:r>
          </w:p>
        </w:tc>
        <w:tc>
          <w:tcPr>
            <w:tcW w:w="644" w:type="dxa"/>
            <w:tcBorders>
              <w:top w:val="single" w:sz="4" w:space="0" w:color="auto"/>
              <w:bottom w:val="single" w:sz="4" w:space="0" w:color="auto"/>
            </w:tcBorders>
            <w:shd w:val="clear" w:color="000000" w:fill="auto"/>
            <w:noWrap/>
            <w:vAlign w:val="bottom"/>
          </w:tcPr>
          <w:p w:rsidR="001E7BB4" w:rsidRPr="007930B0" w:rsidRDefault="001E7BB4" w:rsidP="007D53FA">
            <w:pPr>
              <w:spacing w:before="80" w:after="80" w:line="220" w:lineRule="exact"/>
              <w:ind w:right="113"/>
              <w:jc w:val="right"/>
              <w:rPr>
                <w:b/>
                <w:sz w:val="18"/>
              </w:rPr>
            </w:pPr>
            <w:r w:rsidRPr="007930B0">
              <w:rPr>
                <w:b/>
                <w:sz w:val="18"/>
              </w:rPr>
              <w:t>92,3</w:t>
            </w:r>
          </w:p>
        </w:tc>
        <w:tc>
          <w:tcPr>
            <w:tcW w:w="644" w:type="dxa"/>
            <w:tcBorders>
              <w:top w:val="single" w:sz="4" w:space="0" w:color="auto"/>
              <w:bottom w:val="single" w:sz="4" w:space="0" w:color="auto"/>
            </w:tcBorders>
            <w:shd w:val="clear" w:color="000000" w:fill="auto"/>
            <w:noWrap/>
            <w:vAlign w:val="bottom"/>
          </w:tcPr>
          <w:p w:rsidR="001E7BB4" w:rsidRPr="007930B0" w:rsidRDefault="001E7BB4" w:rsidP="007D53FA">
            <w:pPr>
              <w:spacing w:before="80" w:after="80" w:line="220" w:lineRule="exact"/>
              <w:ind w:right="113"/>
              <w:jc w:val="right"/>
              <w:rPr>
                <w:b/>
                <w:sz w:val="18"/>
              </w:rPr>
            </w:pPr>
            <w:r w:rsidRPr="007930B0">
              <w:rPr>
                <w:b/>
                <w:sz w:val="18"/>
              </w:rPr>
              <w:t>98,0</w:t>
            </w:r>
          </w:p>
        </w:tc>
        <w:tc>
          <w:tcPr>
            <w:tcW w:w="644" w:type="dxa"/>
            <w:tcBorders>
              <w:top w:val="single" w:sz="4" w:space="0" w:color="auto"/>
              <w:bottom w:val="single" w:sz="4" w:space="0" w:color="auto"/>
            </w:tcBorders>
            <w:shd w:val="clear" w:color="000000" w:fill="auto"/>
            <w:noWrap/>
            <w:vAlign w:val="bottom"/>
          </w:tcPr>
          <w:p w:rsidR="001E7BB4" w:rsidRPr="007930B0" w:rsidRDefault="001E7BB4" w:rsidP="007D53FA">
            <w:pPr>
              <w:spacing w:before="80" w:after="80" w:line="220" w:lineRule="exact"/>
              <w:ind w:right="113"/>
              <w:jc w:val="right"/>
              <w:rPr>
                <w:b/>
                <w:sz w:val="18"/>
              </w:rPr>
            </w:pPr>
            <w:r w:rsidRPr="007930B0">
              <w:rPr>
                <w:b/>
                <w:sz w:val="18"/>
              </w:rPr>
              <w:t>95,1</w:t>
            </w:r>
          </w:p>
        </w:tc>
        <w:tc>
          <w:tcPr>
            <w:tcW w:w="644" w:type="dxa"/>
            <w:tcBorders>
              <w:top w:val="single" w:sz="4" w:space="0" w:color="auto"/>
              <w:bottom w:val="single" w:sz="4" w:space="0" w:color="auto"/>
            </w:tcBorders>
            <w:shd w:val="clear" w:color="000000" w:fill="auto"/>
            <w:noWrap/>
            <w:vAlign w:val="bottom"/>
          </w:tcPr>
          <w:p w:rsidR="001E7BB4" w:rsidRPr="007930B0" w:rsidRDefault="001E7BB4" w:rsidP="007D53FA">
            <w:pPr>
              <w:spacing w:before="80" w:after="80" w:line="220" w:lineRule="exact"/>
              <w:ind w:right="113"/>
              <w:jc w:val="right"/>
              <w:rPr>
                <w:b/>
                <w:sz w:val="18"/>
              </w:rPr>
            </w:pPr>
            <w:r w:rsidRPr="007930B0">
              <w:rPr>
                <w:b/>
                <w:sz w:val="18"/>
              </w:rPr>
              <w:t>94,6</w:t>
            </w:r>
          </w:p>
        </w:tc>
        <w:tc>
          <w:tcPr>
            <w:tcW w:w="644" w:type="dxa"/>
            <w:tcBorders>
              <w:top w:val="single" w:sz="4" w:space="0" w:color="auto"/>
              <w:bottom w:val="single" w:sz="4" w:space="0" w:color="auto"/>
            </w:tcBorders>
            <w:shd w:val="clear" w:color="000000" w:fill="auto"/>
            <w:noWrap/>
            <w:vAlign w:val="bottom"/>
          </w:tcPr>
          <w:p w:rsidR="001E7BB4" w:rsidRPr="007930B0" w:rsidRDefault="001E7BB4" w:rsidP="007D53FA">
            <w:pPr>
              <w:spacing w:before="80" w:after="80" w:line="220" w:lineRule="exact"/>
              <w:ind w:right="113"/>
              <w:jc w:val="right"/>
              <w:rPr>
                <w:b/>
                <w:sz w:val="18"/>
              </w:rPr>
            </w:pPr>
            <w:r w:rsidRPr="007930B0">
              <w:rPr>
                <w:b/>
                <w:sz w:val="18"/>
              </w:rPr>
              <w:t>99,2</w:t>
            </w:r>
          </w:p>
        </w:tc>
        <w:tc>
          <w:tcPr>
            <w:tcW w:w="644" w:type="dxa"/>
            <w:tcBorders>
              <w:top w:val="single" w:sz="4" w:space="0" w:color="auto"/>
              <w:bottom w:val="single" w:sz="4" w:space="0" w:color="auto"/>
            </w:tcBorders>
            <w:shd w:val="clear" w:color="000000" w:fill="auto"/>
            <w:noWrap/>
            <w:vAlign w:val="bottom"/>
          </w:tcPr>
          <w:p w:rsidR="001E7BB4" w:rsidRPr="007930B0" w:rsidRDefault="001E7BB4" w:rsidP="007D53FA">
            <w:pPr>
              <w:spacing w:before="80" w:after="80" w:line="220" w:lineRule="exact"/>
              <w:ind w:right="113"/>
              <w:jc w:val="right"/>
              <w:rPr>
                <w:b/>
                <w:sz w:val="18"/>
              </w:rPr>
            </w:pPr>
            <w:r w:rsidRPr="007930B0">
              <w:rPr>
                <w:b/>
                <w:sz w:val="18"/>
              </w:rPr>
              <w:t>96,9</w:t>
            </w:r>
          </w:p>
        </w:tc>
        <w:tc>
          <w:tcPr>
            <w:tcW w:w="644" w:type="dxa"/>
            <w:tcBorders>
              <w:top w:val="single" w:sz="4" w:space="0" w:color="auto"/>
              <w:bottom w:val="single" w:sz="4" w:space="0" w:color="auto"/>
            </w:tcBorders>
            <w:shd w:val="clear" w:color="000000" w:fill="auto"/>
            <w:noWrap/>
            <w:vAlign w:val="bottom"/>
          </w:tcPr>
          <w:p w:rsidR="001E7BB4" w:rsidRPr="007930B0" w:rsidRDefault="001E7BB4" w:rsidP="007D53FA">
            <w:pPr>
              <w:spacing w:before="80" w:after="80" w:line="220" w:lineRule="exact"/>
              <w:ind w:right="113"/>
              <w:jc w:val="right"/>
              <w:rPr>
                <w:b/>
                <w:sz w:val="18"/>
              </w:rPr>
            </w:pPr>
            <w:r w:rsidRPr="007930B0">
              <w:rPr>
                <w:b/>
                <w:sz w:val="18"/>
              </w:rPr>
              <w:t>95,4</w:t>
            </w:r>
          </w:p>
        </w:tc>
        <w:tc>
          <w:tcPr>
            <w:tcW w:w="644" w:type="dxa"/>
            <w:tcBorders>
              <w:top w:val="single" w:sz="4" w:space="0" w:color="auto"/>
              <w:bottom w:val="single" w:sz="4" w:space="0" w:color="auto"/>
            </w:tcBorders>
            <w:shd w:val="clear" w:color="000000" w:fill="auto"/>
            <w:noWrap/>
            <w:vAlign w:val="bottom"/>
          </w:tcPr>
          <w:p w:rsidR="001E7BB4" w:rsidRPr="007930B0" w:rsidRDefault="001E7BB4" w:rsidP="007D53FA">
            <w:pPr>
              <w:spacing w:before="80" w:after="80" w:line="220" w:lineRule="exact"/>
              <w:ind w:right="113"/>
              <w:jc w:val="right"/>
              <w:rPr>
                <w:b/>
                <w:sz w:val="18"/>
              </w:rPr>
            </w:pPr>
            <w:r w:rsidRPr="007930B0">
              <w:rPr>
                <w:b/>
                <w:sz w:val="18"/>
              </w:rPr>
              <w:t>100,5</w:t>
            </w:r>
          </w:p>
        </w:tc>
        <w:tc>
          <w:tcPr>
            <w:tcW w:w="644" w:type="dxa"/>
            <w:tcBorders>
              <w:top w:val="single" w:sz="4" w:space="0" w:color="auto"/>
              <w:bottom w:val="single" w:sz="4" w:space="0" w:color="auto"/>
            </w:tcBorders>
            <w:shd w:val="clear" w:color="000000" w:fill="auto"/>
            <w:noWrap/>
            <w:vAlign w:val="bottom"/>
          </w:tcPr>
          <w:p w:rsidR="001E7BB4" w:rsidRPr="007930B0" w:rsidRDefault="001E7BB4" w:rsidP="007D53FA">
            <w:pPr>
              <w:spacing w:before="80" w:after="80" w:line="220" w:lineRule="exact"/>
              <w:ind w:right="113"/>
              <w:jc w:val="right"/>
              <w:rPr>
                <w:b/>
                <w:sz w:val="18"/>
              </w:rPr>
            </w:pPr>
            <w:r w:rsidRPr="007930B0">
              <w:rPr>
                <w:b/>
                <w:sz w:val="18"/>
              </w:rPr>
              <w:t>97,9</w:t>
            </w:r>
          </w:p>
        </w:tc>
      </w:tr>
      <w:tr w:rsidR="007D53FA" w:rsidRPr="007930B0">
        <w:trPr>
          <w:trHeight w:val="255"/>
        </w:trPr>
        <w:tc>
          <w:tcPr>
            <w:tcW w:w="1574" w:type="dxa"/>
            <w:tcBorders>
              <w:top w:val="single" w:sz="4" w:space="0" w:color="auto"/>
            </w:tcBorders>
            <w:shd w:val="clear" w:color="000000" w:fill="auto"/>
            <w:noWrap/>
          </w:tcPr>
          <w:p w:rsidR="001E7BB4" w:rsidRPr="007930B0" w:rsidRDefault="001E7BB4" w:rsidP="007D53FA">
            <w:pPr>
              <w:spacing w:before="40" w:after="40" w:line="220" w:lineRule="exact"/>
              <w:ind w:right="113"/>
              <w:rPr>
                <w:sz w:val="18"/>
              </w:rPr>
            </w:pPr>
            <w:r w:rsidRPr="007930B0">
              <w:rPr>
                <w:sz w:val="18"/>
              </w:rPr>
              <w:t>Mínima</w:t>
            </w:r>
          </w:p>
        </w:tc>
        <w:tc>
          <w:tcPr>
            <w:tcW w:w="644" w:type="dxa"/>
            <w:tcBorders>
              <w:top w:val="single" w:sz="4" w:space="0" w:color="auto"/>
            </w:tcBorders>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78,5</w:t>
            </w:r>
          </w:p>
        </w:tc>
        <w:tc>
          <w:tcPr>
            <w:tcW w:w="644" w:type="dxa"/>
            <w:tcBorders>
              <w:top w:val="single" w:sz="4" w:space="0" w:color="auto"/>
            </w:tcBorders>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76,4</w:t>
            </w:r>
          </w:p>
        </w:tc>
        <w:tc>
          <w:tcPr>
            <w:tcW w:w="644" w:type="dxa"/>
            <w:tcBorders>
              <w:top w:val="single" w:sz="4" w:space="0" w:color="auto"/>
            </w:tcBorders>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77,5</w:t>
            </w:r>
          </w:p>
        </w:tc>
        <w:tc>
          <w:tcPr>
            <w:tcW w:w="644" w:type="dxa"/>
            <w:tcBorders>
              <w:top w:val="single" w:sz="4" w:space="0" w:color="auto"/>
            </w:tcBorders>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83,0</w:t>
            </w:r>
          </w:p>
        </w:tc>
        <w:tc>
          <w:tcPr>
            <w:tcW w:w="644" w:type="dxa"/>
            <w:tcBorders>
              <w:top w:val="single" w:sz="4" w:space="0" w:color="auto"/>
            </w:tcBorders>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82,2</w:t>
            </w:r>
          </w:p>
        </w:tc>
        <w:tc>
          <w:tcPr>
            <w:tcW w:w="644" w:type="dxa"/>
            <w:tcBorders>
              <w:top w:val="single" w:sz="4" w:space="0" w:color="auto"/>
            </w:tcBorders>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82,7</w:t>
            </w:r>
          </w:p>
        </w:tc>
        <w:tc>
          <w:tcPr>
            <w:tcW w:w="644" w:type="dxa"/>
            <w:tcBorders>
              <w:top w:val="single" w:sz="4" w:space="0" w:color="auto"/>
            </w:tcBorders>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78,0</w:t>
            </w:r>
          </w:p>
        </w:tc>
        <w:tc>
          <w:tcPr>
            <w:tcW w:w="644" w:type="dxa"/>
            <w:tcBorders>
              <w:top w:val="single" w:sz="4" w:space="0" w:color="auto"/>
            </w:tcBorders>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82,3</w:t>
            </w:r>
          </w:p>
        </w:tc>
        <w:tc>
          <w:tcPr>
            <w:tcW w:w="644" w:type="dxa"/>
            <w:tcBorders>
              <w:top w:val="single" w:sz="4" w:space="0" w:color="auto"/>
            </w:tcBorders>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80,1</w:t>
            </w:r>
          </w:p>
        </w:tc>
      </w:tr>
      <w:tr w:rsidR="007D53FA" w:rsidRPr="007930B0">
        <w:trPr>
          <w:trHeight w:val="255"/>
        </w:trPr>
        <w:tc>
          <w:tcPr>
            <w:tcW w:w="1574" w:type="dxa"/>
            <w:shd w:val="clear" w:color="000000" w:fill="auto"/>
            <w:noWrap/>
          </w:tcPr>
          <w:p w:rsidR="001E7BB4" w:rsidRPr="007930B0" w:rsidRDefault="001E7BB4" w:rsidP="007D53FA">
            <w:pPr>
              <w:spacing w:before="40" w:after="40" w:line="220" w:lineRule="exact"/>
              <w:ind w:right="113"/>
              <w:rPr>
                <w:sz w:val="18"/>
              </w:rPr>
            </w:pPr>
            <w:r w:rsidRPr="007930B0">
              <w:rPr>
                <w:sz w:val="18"/>
              </w:rPr>
              <w:t>Máxima</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127,0</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126,6</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125,9</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118,6</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127,8</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123,0</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124,0</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128,2</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126,1</w:t>
            </w:r>
          </w:p>
        </w:tc>
      </w:tr>
      <w:tr w:rsidR="007D53FA" w:rsidRPr="007930B0">
        <w:trPr>
          <w:trHeight w:val="270"/>
        </w:trPr>
        <w:tc>
          <w:tcPr>
            <w:tcW w:w="1574" w:type="dxa"/>
            <w:shd w:val="clear" w:color="000000" w:fill="auto"/>
            <w:noWrap/>
          </w:tcPr>
          <w:p w:rsidR="001E7BB4" w:rsidRPr="007930B0" w:rsidRDefault="001E7BB4" w:rsidP="007D53FA">
            <w:pPr>
              <w:spacing w:before="40" w:after="40" w:line="220" w:lineRule="exact"/>
              <w:ind w:right="113"/>
              <w:rPr>
                <w:sz w:val="18"/>
              </w:rPr>
            </w:pPr>
            <w:r w:rsidRPr="007930B0">
              <w:rPr>
                <w:sz w:val="18"/>
              </w:rPr>
              <w:t>Desviación estándar</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16,3</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15,2</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15,3</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12,9</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13,9</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12,9</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10,6</w:t>
            </w:r>
          </w:p>
        </w:tc>
        <w:tc>
          <w:tcPr>
            <w:tcW w:w="644" w:type="dxa"/>
            <w:shd w:val="clear" w:color="000000" w:fill="auto"/>
            <w:noWrap/>
            <w:vAlign w:val="bottom"/>
          </w:tcPr>
          <w:p w:rsidR="001E7BB4" w:rsidRPr="007930B0" w:rsidRDefault="001E7BB4" w:rsidP="007D53FA">
            <w:pPr>
              <w:spacing w:before="40" w:after="40" w:line="220" w:lineRule="exact"/>
              <w:ind w:right="113"/>
              <w:jc w:val="right"/>
              <w:rPr>
                <w:sz w:val="18"/>
              </w:rPr>
            </w:pPr>
            <w:r w:rsidRPr="007930B0">
              <w:rPr>
                <w:sz w:val="18"/>
              </w:rPr>
              <w:t>12,5</w:t>
            </w:r>
          </w:p>
        </w:tc>
        <w:tc>
          <w:tcPr>
            <w:tcW w:w="644" w:type="dxa"/>
            <w:shd w:val="clear" w:color="000000" w:fill="auto"/>
            <w:noWrap/>
            <w:vAlign w:val="bottom"/>
          </w:tcPr>
          <w:p w:rsidR="001E7BB4" w:rsidRPr="007930B0" w:rsidRDefault="001E7BB4" w:rsidP="007D53FA">
            <w:pPr>
              <w:spacing w:before="40" w:after="40" w:line="220" w:lineRule="exact"/>
              <w:ind w:right="113"/>
              <w:jc w:val="right"/>
              <w:rPr>
                <w:b/>
                <w:sz w:val="18"/>
              </w:rPr>
            </w:pPr>
            <w:r w:rsidRPr="007930B0">
              <w:rPr>
                <w:b/>
                <w:sz w:val="18"/>
              </w:rPr>
              <w:t>11,1</w:t>
            </w:r>
          </w:p>
        </w:tc>
      </w:tr>
    </w:tbl>
    <w:p w:rsidR="001E7BB4" w:rsidRPr="007930B0" w:rsidRDefault="007D53FA" w:rsidP="007D53FA">
      <w:pPr>
        <w:pStyle w:val="H4G"/>
        <w:rPr>
          <w:lang w:val="es-ES"/>
        </w:rPr>
      </w:pPr>
      <w:r w:rsidRPr="007930B0">
        <w:rPr>
          <w:lang w:val="es-ES"/>
        </w:rPr>
        <w:tab/>
      </w:r>
      <w:r w:rsidRPr="007930B0">
        <w:rPr>
          <w:lang w:val="es-ES"/>
        </w:rPr>
        <w:tab/>
      </w:r>
      <w:r w:rsidR="001E7BB4" w:rsidRPr="007930B0">
        <w:rPr>
          <w:lang w:val="es-ES"/>
        </w:rPr>
        <w:t>Tasa de participación de las niñas</w:t>
      </w:r>
    </w:p>
    <w:p w:rsidR="001E7BB4" w:rsidRPr="007930B0" w:rsidRDefault="001E7BB4" w:rsidP="0068666F">
      <w:pPr>
        <w:pStyle w:val="SingleTxtG"/>
        <w:rPr>
          <w:lang w:val="es-ES"/>
        </w:rPr>
      </w:pPr>
      <w:r w:rsidRPr="007930B0">
        <w:rPr>
          <w:lang w:val="es-ES"/>
        </w:rPr>
        <w:t>408.</w:t>
      </w:r>
      <w:r w:rsidRPr="007930B0">
        <w:rPr>
          <w:lang w:val="es-ES"/>
        </w:rPr>
        <w:tab/>
        <w:t xml:space="preserve">Después del leve descenso que sufrió entre 2004/05 y 2005/06, la tasa de participación de las niñas (porcentaje de niñas) a nivel nacional volvió a aumentar entre 2005/06 y 2006/07, llegando al umbral de 50% (la meta del PNDSE para 2010 en relación con este indicador). Sin embargo, esta tendencia de la tasa de participación de las niñas a acercarse al nivel de igualdad a escala nacional oculta algunas disparidades regionales. </w:t>
      </w:r>
    </w:p>
    <w:p w:rsidR="007D53FA" w:rsidRPr="007930B0" w:rsidRDefault="007D53FA" w:rsidP="007D53FA">
      <w:pPr>
        <w:pStyle w:val="Heading1"/>
        <w:rPr>
          <w:lang w:val="es-ES"/>
        </w:rPr>
      </w:pPr>
      <w:r w:rsidRPr="007930B0">
        <w:rPr>
          <w:lang w:val="es-ES"/>
        </w:rPr>
        <w:t>Cuadro 2</w:t>
      </w:r>
    </w:p>
    <w:p w:rsidR="001E7BB4" w:rsidRPr="007930B0" w:rsidRDefault="001E7BB4" w:rsidP="007D53FA">
      <w:pPr>
        <w:pStyle w:val="SingleTxtG"/>
        <w:jc w:val="left"/>
        <w:rPr>
          <w:b/>
          <w:lang w:val="es-ES"/>
        </w:rPr>
      </w:pPr>
      <w:r w:rsidRPr="007930B0">
        <w:rPr>
          <w:b/>
          <w:lang w:val="es-ES"/>
        </w:rPr>
        <w:t xml:space="preserve">Evolución de la tasa de participación de las niñas, por </w:t>
      </w:r>
      <w:r w:rsidRPr="007930B0">
        <w:rPr>
          <w:b/>
          <w:i/>
          <w:iCs/>
          <w:lang w:val="es-ES"/>
        </w:rPr>
        <w:t>wilaya</w:t>
      </w:r>
      <w:r w:rsidRPr="007930B0">
        <w:rPr>
          <w:b/>
          <w:lang w:val="es-ES"/>
        </w:rPr>
        <w:t>, entre 2004/05 y 2006/07</w:t>
      </w:r>
    </w:p>
    <w:tbl>
      <w:tblPr>
        <w:tblW w:w="7370" w:type="dxa"/>
        <w:tblInd w:w="1134"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3688"/>
        <w:gridCol w:w="1227"/>
        <w:gridCol w:w="1227"/>
        <w:gridCol w:w="1228"/>
      </w:tblGrid>
      <w:tr w:rsidR="001E7BB4" w:rsidRPr="007930B0">
        <w:trPr>
          <w:trHeight w:val="195"/>
          <w:tblHeader/>
        </w:trPr>
        <w:tc>
          <w:tcPr>
            <w:tcW w:w="3688" w:type="dxa"/>
            <w:tcBorders>
              <w:top w:val="single" w:sz="4" w:space="0" w:color="auto"/>
              <w:bottom w:val="single" w:sz="12" w:space="0" w:color="auto"/>
            </w:tcBorders>
            <w:shd w:val="clear" w:color="auto" w:fill="auto"/>
            <w:noWrap/>
            <w:tcMar>
              <w:top w:w="0" w:type="dxa"/>
              <w:left w:w="15" w:type="dxa"/>
              <w:bottom w:w="0" w:type="dxa"/>
              <w:right w:w="15" w:type="dxa"/>
            </w:tcMar>
            <w:vAlign w:val="bottom"/>
          </w:tcPr>
          <w:p w:rsidR="001E7BB4" w:rsidRPr="007930B0" w:rsidRDefault="001E7BB4" w:rsidP="007D53FA">
            <w:pPr>
              <w:spacing w:before="80" w:after="80" w:line="200" w:lineRule="exact"/>
              <w:ind w:right="113"/>
              <w:rPr>
                <w:i/>
                <w:sz w:val="16"/>
              </w:rPr>
            </w:pPr>
            <w:r w:rsidRPr="007930B0">
              <w:rPr>
                <w:i/>
                <w:sz w:val="16"/>
              </w:rPr>
              <w:t>Wilaya/Año</w:t>
            </w:r>
          </w:p>
        </w:tc>
        <w:tc>
          <w:tcPr>
            <w:tcW w:w="1227"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1E7BB4" w:rsidRPr="007930B0" w:rsidRDefault="001E7BB4" w:rsidP="007D53FA">
            <w:pPr>
              <w:spacing w:before="80" w:after="80" w:line="200" w:lineRule="exact"/>
              <w:ind w:right="113"/>
              <w:jc w:val="right"/>
              <w:rPr>
                <w:i/>
                <w:sz w:val="16"/>
              </w:rPr>
            </w:pPr>
            <w:r w:rsidRPr="007930B0">
              <w:rPr>
                <w:i/>
                <w:sz w:val="16"/>
              </w:rPr>
              <w:t>2004/05</w:t>
            </w:r>
          </w:p>
        </w:tc>
        <w:tc>
          <w:tcPr>
            <w:tcW w:w="1227"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1E7BB4" w:rsidRPr="007930B0" w:rsidRDefault="001E7BB4" w:rsidP="007D53FA">
            <w:pPr>
              <w:spacing w:before="80" w:after="80" w:line="200" w:lineRule="exact"/>
              <w:ind w:right="113"/>
              <w:jc w:val="right"/>
              <w:rPr>
                <w:i/>
                <w:sz w:val="16"/>
              </w:rPr>
            </w:pPr>
            <w:r w:rsidRPr="007930B0">
              <w:rPr>
                <w:i/>
                <w:sz w:val="16"/>
              </w:rPr>
              <w:t>2005/06</w:t>
            </w:r>
          </w:p>
        </w:tc>
        <w:tc>
          <w:tcPr>
            <w:tcW w:w="1228"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1E7BB4" w:rsidRPr="007930B0" w:rsidRDefault="001E7BB4" w:rsidP="007D53FA">
            <w:pPr>
              <w:spacing w:before="80" w:after="80" w:line="200" w:lineRule="exact"/>
              <w:ind w:right="113"/>
              <w:jc w:val="right"/>
              <w:rPr>
                <w:i/>
                <w:sz w:val="16"/>
              </w:rPr>
            </w:pPr>
            <w:r w:rsidRPr="007930B0">
              <w:rPr>
                <w:i/>
                <w:sz w:val="16"/>
              </w:rPr>
              <w:t>2006/07</w:t>
            </w:r>
          </w:p>
        </w:tc>
      </w:tr>
      <w:tr w:rsidR="001E7BB4" w:rsidRPr="007930B0">
        <w:trPr>
          <w:trHeight w:val="195"/>
        </w:trPr>
        <w:tc>
          <w:tcPr>
            <w:tcW w:w="3688" w:type="dxa"/>
            <w:tcBorders>
              <w:top w:val="single" w:sz="12" w:space="0" w:color="auto"/>
            </w:tcBorders>
            <w:shd w:val="clear" w:color="auto" w:fill="auto"/>
            <w:noWrap/>
            <w:tcMar>
              <w:top w:w="15" w:type="dxa"/>
              <w:left w:w="15" w:type="dxa"/>
              <w:bottom w:w="0" w:type="dxa"/>
              <w:right w:w="15" w:type="dxa"/>
            </w:tcMar>
          </w:tcPr>
          <w:p w:rsidR="001E7BB4" w:rsidRPr="007930B0" w:rsidRDefault="001E7BB4" w:rsidP="007D53FA">
            <w:pPr>
              <w:spacing w:before="40" w:after="40" w:line="220" w:lineRule="exact"/>
              <w:ind w:right="113"/>
              <w:rPr>
                <w:sz w:val="18"/>
              </w:rPr>
            </w:pPr>
            <w:r w:rsidRPr="007930B0">
              <w:rPr>
                <w:sz w:val="18"/>
              </w:rPr>
              <w:t>Hodh Charghi</w:t>
            </w:r>
          </w:p>
        </w:tc>
        <w:tc>
          <w:tcPr>
            <w:tcW w:w="1227" w:type="dxa"/>
            <w:tcBorders>
              <w:top w:val="single" w:sz="12" w:space="0" w:color="auto"/>
            </w:tcBorders>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49,6</w:t>
            </w:r>
          </w:p>
        </w:tc>
        <w:tc>
          <w:tcPr>
            <w:tcW w:w="1227" w:type="dxa"/>
            <w:tcBorders>
              <w:top w:val="single" w:sz="12" w:space="0" w:color="auto"/>
            </w:tcBorders>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49,3</w:t>
            </w:r>
          </w:p>
        </w:tc>
        <w:tc>
          <w:tcPr>
            <w:tcW w:w="1228" w:type="dxa"/>
            <w:tcBorders>
              <w:top w:val="single" w:sz="12" w:space="0" w:color="auto"/>
            </w:tcBorders>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49,8</w:t>
            </w:r>
          </w:p>
        </w:tc>
      </w:tr>
      <w:tr w:rsidR="001E7BB4" w:rsidRPr="007930B0">
        <w:trPr>
          <w:trHeight w:val="195"/>
        </w:trPr>
        <w:tc>
          <w:tcPr>
            <w:tcW w:w="3688" w:type="dxa"/>
            <w:shd w:val="clear" w:color="auto" w:fill="auto"/>
            <w:noWrap/>
            <w:tcMar>
              <w:top w:w="15" w:type="dxa"/>
              <w:left w:w="15" w:type="dxa"/>
              <w:bottom w:w="0" w:type="dxa"/>
              <w:right w:w="15" w:type="dxa"/>
            </w:tcMar>
          </w:tcPr>
          <w:p w:rsidR="001E7BB4" w:rsidRPr="007930B0" w:rsidRDefault="001E7BB4" w:rsidP="007D53FA">
            <w:pPr>
              <w:spacing w:before="40" w:after="40" w:line="220" w:lineRule="exact"/>
              <w:ind w:right="113"/>
              <w:rPr>
                <w:sz w:val="18"/>
              </w:rPr>
            </w:pPr>
            <w:r w:rsidRPr="007930B0">
              <w:rPr>
                <w:sz w:val="18"/>
              </w:rPr>
              <w:t>Hodh El Gharbi</w:t>
            </w:r>
          </w:p>
        </w:tc>
        <w:tc>
          <w:tcPr>
            <w:tcW w:w="1227"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54,4</w:t>
            </w:r>
          </w:p>
        </w:tc>
        <w:tc>
          <w:tcPr>
            <w:tcW w:w="1227"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53,4</w:t>
            </w:r>
          </w:p>
        </w:tc>
        <w:tc>
          <w:tcPr>
            <w:tcW w:w="1228"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53,3</w:t>
            </w:r>
          </w:p>
        </w:tc>
      </w:tr>
      <w:tr w:rsidR="001E7BB4" w:rsidRPr="007930B0">
        <w:trPr>
          <w:trHeight w:val="195"/>
        </w:trPr>
        <w:tc>
          <w:tcPr>
            <w:tcW w:w="3688" w:type="dxa"/>
            <w:shd w:val="clear" w:color="auto" w:fill="auto"/>
            <w:noWrap/>
            <w:tcMar>
              <w:top w:w="15" w:type="dxa"/>
              <w:left w:w="15" w:type="dxa"/>
              <w:bottom w:w="0" w:type="dxa"/>
              <w:right w:w="15" w:type="dxa"/>
            </w:tcMar>
          </w:tcPr>
          <w:p w:rsidR="001E7BB4" w:rsidRPr="007930B0" w:rsidRDefault="001E7BB4" w:rsidP="007D53FA">
            <w:pPr>
              <w:spacing w:before="40" w:after="40" w:line="220" w:lineRule="exact"/>
              <w:ind w:right="113"/>
              <w:rPr>
                <w:sz w:val="18"/>
              </w:rPr>
            </w:pPr>
            <w:r w:rsidRPr="007930B0">
              <w:rPr>
                <w:sz w:val="18"/>
              </w:rPr>
              <w:t>Assaba</w:t>
            </w:r>
          </w:p>
        </w:tc>
        <w:tc>
          <w:tcPr>
            <w:tcW w:w="1227"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48,7</w:t>
            </w:r>
          </w:p>
        </w:tc>
        <w:tc>
          <w:tcPr>
            <w:tcW w:w="1227"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49,4</w:t>
            </w:r>
          </w:p>
        </w:tc>
        <w:tc>
          <w:tcPr>
            <w:tcW w:w="1228"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49,4</w:t>
            </w:r>
          </w:p>
        </w:tc>
      </w:tr>
      <w:tr w:rsidR="001E7BB4" w:rsidRPr="007930B0">
        <w:trPr>
          <w:trHeight w:val="195"/>
        </w:trPr>
        <w:tc>
          <w:tcPr>
            <w:tcW w:w="3688" w:type="dxa"/>
            <w:shd w:val="clear" w:color="auto" w:fill="auto"/>
            <w:noWrap/>
            <w:tcMar>
              <w:top w:w="15" w:type="dxa"/>
              <w:left w:w="15" w:type="dxa"/>
              <w:bottom w:w="0" w:type="dxa"/>
              <w:right w:w="15" w:type="dxa"/>
            </w:tcMar>
          </w:tcPr>
          <w:p w:rsidR="001E7BB4" w:rsidRPr="007930B0" w:rsidRDefault="001E7BB4" w:rsidP="007D53FA">
            <w:pPr>
              <w:spacing w:before="40" w:after="40" w:line="220" w:lineRule="exact"/>
              <w:ind w:right="113"/>
              <w:rPr>
                <w:sz w:val="18"/>
              </w:rPr>
            </w:pPr>
            <w:r w:rsidRPr="007930B0">
              <w:rPr>
                <w:sz w:val="18"/>
              </w:rPr>
              <w:t>Gorgol</w:t>
            </w:r>
          </w:p>
        </w:tc>
        <w:tc>
          <w:tcPr>
            <w:tcW w:w="1227"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48,9</w:t>
            </w:r>
          </w:p>
        </w:tc>
        <w:tc>
          <w:tcPr>
            <w:tcW w:w="1227"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49,1</w:t>
            </w:r>
          </w:p>
        </w:tc>
        <w:tc>
          <w:tcPr>
            <w:tcW w:w="1228"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49,4</w:t>
            </w:r>
          </w:p>
        </w:tc>
      </w:tr>
      <w:tr w:rsidR="001E7BB4" w:rsidRPr="007930B0">
        <w:trPr>
          <w:trHeight w:val="195"/>
        </w:trPr>
        <w:tc>
          <w:tcPr>
            <w:tcW w:w="3688" w:type="dxa"/>
            <w:shd w:val="clear" w:color="auto" w:fill="auto"/>
            <w:noWrap/>
            <w:tcMar>
              <w:top w:w="15" w:type="dxa"/>
              <w:left w:w="15" w:type="dxa"/>
              <w:bottom w:w="0" w:type="dxa"/>
              <w:right w:w="15" w:type="dxa"/>
            </w:tcMar>
          </w:tcPr>
          <w:p w:rsidR="001E7BB4" w:rsidRPr="007930B0" w:rsidRDefault="001E7BB4" w:rsidP="007D53FA">
            <w:pPr>
              <w:spacing w:before="40" w:after="40" w:line="220" w:lineRule="exact"/>
              <w:ind w:right="113"/>
              <w:rPr>
                <w:sz w:val="18"/>
              </w:rPr>
            </w:pPr>
            <w:r w:rsidRPr="007930B0">
              <w:rPr>
                <w:sz w:val="18"/>
              </w:rPr>
              <w:t>Brakna</w:t>
            </w:r>
          </w:p>
        </w:tc>
        <w:tc>
          <w:tcPr>
            <w:tcW w:w="1227"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50,3</w:t>
            </w:r>
          </w:p>
        </w:tc>
        <w:tc>
          <w:tcPr>
            <w:tcW w:w="1227"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50</w:t>
            </w:r>
          </w:p>
        </w:tc>
        <w:tc>
          <w:tcPr>
            <w:tcW w:w="1228"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50,3</w:t>
            </w:r>
          </w:p>
        </w:tc>
      </w:tr>
      <w:tr w:rsidR="001E7BB4" w:rsidRPr="007930B0">
        <w:trPr>
          <w:trHeight w:val="195"/>
        </w:trPr>
        <w:tc>
          <w:tcPr>
            <w:tcW w:w="3688" w:type="dxa"/>
            <w:shd w:val="clear" w:color="auto" w:fill="auto"/>
            <w:noWrap/>
            <w:tcMar>
              <w:top w:w="15" w:type="dxa"/>
              <w:left w:w="15" w:type="dxa"/>
              <w:bottom w:w="0" w:type="dxa"/>
              <w:right w:w="15" w:type="dxa"/>
            </w:tcMar>
          </w:tcPr>
          <w:p w:rsidR="001E7BB4" w:rsidRPr="007930B0" w:rsidRDefault="001E7BB4" w:rsidP="007D53FA">
            <w:pPr>
              <w:spacing w:before="40" w:after="40" w:line="220" w:lineRule="exact"/>
              <w:ind w:right="113"/>
              <w:rPr>
                <w:sz w:val="18"/>
              </w:rPr>
            </w:pPr>
            <w:r w:rsidRPr="007930B0">
              <w:rPr>
                <w:sz w:val="18"/>
              </w:rPr>
              <w:t>Trarza</w:t>
            </w:r>
          </w:p>
        </w:tc>
        <w:tc>
          <w:tcPr>
            <w:tcW w:w="1227"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49,2</w:t>
            </w:r>
          </w:p>
        </w:tc>
        <w:tc>
          <w:tcPr>
            <w:tcW w:w="1227"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49</w:t>
            </w:r>
          </w:p>
        </w:tc>
        <w:tc>
          <w:tcPr>
            <w:tcW w:w="1228"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49,4</w:t>
            </w:r>
          </w:p>
        </w:tc>
      </w:tr>
      <w:tr w:rsidR="001E7BB4" w:rsidRPr="007930B0">
        <w:trPr>
          <w:trHeight w:val="195"/>
        </w:trPr>
        <w:tc>
          <w:tcPr>
            <w:tcW w:w="3688" w:type="dxa"/>
            <w:shd w:val="clear" w:color="auto" w:fill="auto"/>
            <w:noWrap/>
            <w:tcMar>
              <w:top w:w="15" w:type="dxa"/>
              <w:left w:w="15" w:type="dxa"/>
              <w:bottom w:w="0" w:type="dxa"/>
              <w:right w:w="15" w:type="dxa"/>
            </w:tcMar>
          </w:tcPr>
          <w:p w:rsidR="001E7BB4" w:rsidRPr="007930B0" w:rsidRDefault="001E7BB4" w:rsidP="007D53FA">
            <w:pPr>
              <w:spacing w:before="40" w:after="40" w:line="220" w:lineRule="exact"/>
              <w:ind w:right="113"/>
              <w:rPr>
                <w:sz w:val="18"/>
              </w:rPr>
            </w:pPr>
            <w:r w:rsidRPr="007930B0">
              <w:rPr>
                <w:sz w:val="18"/>
              </w:rPr>
              <w:t>Adrar</w:t>
            </w:r>
          </w:p>
        </w:tc>
        <w:tc>
          <w:tcPr>
            <w:tcW w:w="1227"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48,6</w:t>
            </w:r>
          </w:p>
        </w:tc>
        <w:tc>
          <w:tcPr>
            <w:tcW w:w="1227"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47,8</w:t>
            </w:r>
          </w:p>
        </w:tc>
        <w:tc>
          <w:tcPr>
            <w:tcW w:w="1228"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48,7</w:t>
            </w:r>
          </w:p>
        </w:tc>
      </w:tr>
      <w:tr w:rsidR="001E7BB4" w:rsidRPr="007930B0">
        <w:trPr>
          <w:trHeight w:val="195"/>
        </w:trPr>
        <w:tc>
          <w:tcPr>
            <w:tcW w:w="3688" w:type="dxa"/>
            <w:shd w:val="clear" w:color="auto" w:fill="auto"/>
            <w:noWrap/>
            <w:tcMar>
              <w:top w:w="15" w:type="dxa"/>
              <w:left w:w="15" w:type="dxa"/>
              <w:bottom w:w="0" w:type="dxa"/>
              <w:right w:w="15" w:type="dxa"/>
            </w:tcMar>
          </w:tcPr>
          <w:p w:rsidR="001E7BB4" w:rsidRPr="007930B0" w:rsidRDefault="001E7BB4" w:rsidP="007D53FA">
            <w:pPr>
              <w:spacing w:before="40" w:after="40" w:line="220" w:lineRule="exact"/>
              <w:ind w:right="113"/>
              <w:rPr>
                <w:sz w:val="18"/>
              </w:rPr>
            </w:pPr>
            <w:r w:rsidRPr="007930B0">
              <w:rPr>
                <w:sz w:val="18"/>
              </w:rPr>
              <w:t>Nuadhibu</w:t>
            </w:r>
          </w:p>
        </w:tc>
        <w:tc>
          <w:tcPr>
            <w:tcW w:w="1227"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50,2</w:t>
            </w:r>
          </w:p>
        </w:tc>
        <w:tc>
          <w:tcPr>
            <w:tcW w:w="1227"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48,6</w:t>
            </w:r>
          </w:p>
        </w:tc>
        <w:tc>
          <w:tcPr>
            <w:tcW w:w="1228"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49,2</w:t>
            </w:r>
          </w:p>
        </w:tc>
      </w:tr>
      <w:tr w:rsidR="001E7BB4" w:rsidRPr="007930B0">
        <w:trPr>
          <w:trHeight w:val="195"/>
        </w:trPr>
        <w:tc>
          <w:tcPr>
            <w:tcW w:w="3688" w:type="dxa"/>
            <w:shd w:val="clear" w:color="auto" w:fill="auto"/>
            <w:noWrap/>
            <w:tcMar>
              <w:top w:w="15" w:type="dxa"/>
              <w:left w:w="15" w:type="dxa"/>
              <w:bottom w:w="0" w:type="dxa"/>
              <w:right w:w="15" w:type="dxa"/>
            </w:tcMar>
          </w:tcPr>
          <w:p w:rsidR="001E7BB4" w:rsidRPr="007930B0" w:rsidRDefault="001E7BB4" w:rsidP="007D53FA">
            <w:pPr>
              <w:spacing w:before="40" w:after="40" w:line="220" w:lineRule="exact"/>
              <w:ind w:right="113"/>
              <w:rPr>
                <w:sz w:val="18"/>
              </w:rPr>
            </w:pPr>
            <w:r w:rsidRPr="007930B0">
              <w:rPr>
                <w:sz w:val="18"/>
              </w:rPr>
              <w:t>Tagant</w:t>
            </w:r>
          </w:p>
        </w:tc>
        <w:tc>
          <w:tcPr>
            <w:tcW w:w="1227"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49,6</w:t>
            </w:r>
          </w:p>
        </w:tc>
        <w:tc>
          <w:tcPr>
            <w:tcW w:w="1227"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50,3</w:t>
            </w:r>
          </w:p>
        </w:tc>
        <w:tc>
          <w:tcPr>
            <w:tcW w:w="1228"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50,2</w:t>
            </w:r>
          </w:p>
        </w:tc>
      </w:tr>
      <w:tr w:rsidR="001E7BB4" w:rsidRPr="007930B0">
        <w:trPr>
          <w:trHeight w:val="195"/>
        </w:trPr>
        <w:tc>
          <w:tcPr>
            <w:tcW w:w="3688" w:type="dxa"/>
            <w:shd w:val="clear" w:color="auto" w:fill="auto"/>
            <w:noWrap/>
            <w:tcMar>
              <w:top w:w="15" w:type="dxa"/>
              <w:left w:w="15" w:type="dxa"/>
              <w:bottom w:w="0" w:type="dxa"/>
              <w:right w:w="15" w:type="dxa"/>
            </w:tcMar>
          </w:tcPr>
          <w:p w:rsidR="001E7BB4" w:rsidRPr="007930B0" w:rsidRDefault="001E7BB4" w:rsidP="007D53FA">
            <w:pPr>
              <w:spacing w:before="40" w:after="40" w:line="220" w:lineRule="exact"/>
              <w:ind w:right="113"/>
              <w:rPr>
                <w:sz w:val="18"/>
              </w:rPr>
            </w:pPr>
            <w:r w:rsidRPr="007930B0">
              <w:rPr>
                <w:sz w:val="18"/>
              </w:rPr>
              <w:t>Guidimakha</w:t>
            </w:r>
          </w:p>
        </w:tc>
        <w:tc>
          <w:tcPr>
            <w:tcW w:w="1227"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47,7</w:t>
            </w:r>
          </w:p>
        </w:tc>
        <w:tc>
          <w:tcPr>
            <w:tcW w:w="1227"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47,6</w:t>
            </w:r>
          </w:p>
        </w:tc>
        <w:tc>
          <w:tcPr>
            <w:tcW w:w="1228"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47,5</w:t>
            </w:r>
          </w:p>
        </w:tc>
      </w:tr>
      <w:tr w:rsidR="001E7BB4" w:rsidRPr="007930B0">
        <w:trPr>
          <w:trHeight w:val="195"/>
        </w:trPr>
        <w:tc>
          <w:tcPr>
            <w:tcW w:w="3688" w:type="dxa"/>
            <w:shd w:val="clear" w:color="auto" w:fill="auto"/>
            <w:noWrap/>
            <w:tcMar>
              <w:top w:w="15" w:type="dxa"/>
              <w:left w:w="15" w:type="dxa"/>
              <w:bottom w:w="0" w:type="dxa"/>
              <w:right w:w="15" w:type="dxa"/>
            </w:tcMar>
          </w:tcPr>
          <w:p w:rsidR="001E7BB4" w:rsidRPr="007930B0" w:rsidRDefault="001E7BB4" w:rsidP="007D53FA">
            <w:pPr>
              <w:spacing w:before="40" w:after="40" w:line="220" w:lineRule="exact"/>
              <w:ind w:right="113"/>
              <w:rPr>
                <w:sz w:val="18"/>
              </w:rPr>
            </w:pPr>
            <w:r w:rsidRPr="007930B0">
              <w:rPr>
                <w:sz w:val="18"/>
              </w:rPr>
              <w:t>Tiris Zemmour</w:t>
            </w:r>
          </w:p>
        </w:tc>
        <w:tc>
          <w:tcPr>
            <w:tcW w:w="1227"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48,2</w:t>
            </w:r>
          </w:p>
        </w:tc>
        <w:tc>
          <w:tcPr>
            <w:tcW w:w="1227"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48,3</w:t>
            </w:r>
          </w:p>
        </w:tc>
        <w:tc>
          <w:tcPr>
            <w:tcW w:w="1228"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48,3</w:t>
            </w:r>
          </w:p>
        </w:tc>
      </w:tr>
      <w:tr w:rsidR="001E7BB4" w:rsidRPr="007930B0">
        <w:trPr>
          <w:trHeight w:val="195"/>
        </w:trPr>
        <w:tc>
          <w:tcPr>
            <w:tcW w:w="3688" w:type="dxa"/>
            <w:shd w:val="clear" w:color="auto" w:fill="auto"/>
            <w:noWrap/>
            <w:tcMar>
              <w:top w:w="15" w:type="dxa"/>
              <w:left w:w="15" w:type="dxa"/>
              <w:bottom w:w="0" w:type="dxa"/>
              <w:right w:w="15" w:type="dxa"/>
            </w:tcMar>
          </w:tcPr>
          <w:p w:rsidR="001E7BB4" w:rsidRPr="007930B0" w:rsidRDefault="001E7BB4" w:rsidP="007D53FA">
            <w:pPr>
              <w:spacing w:before="40" w:after="40" w:line="220" w:lineRule="exact"/>
              <w:ind w:right="113"/>
              <w:rPr>
                <w:sz w:val="18"/>
              </w:rPr>
            </w:pPr>
            <w:r w:rsidRPr="007930B0">
              <w:rPr>
                <w:sz w:val="18"/>
              </w:rPr>
              <w:t>Inchiri</w:t>
            </w:r>
          </w:p>
        </w:tc>
        <w:tc>
          <w:tcPr>
            <w:tcW w:w="1227"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50,1</w:t>
            </w:r>
          </w:p>
        </w:tc>
        <w:tc>
          <w:tcPr>
            <w:tcW w:w="1227"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49,2</w:t>
            </w:r>
          </w:p>
        </w:tc>
        <w:tc>
          <w:tcPr>
            <w:tcW w:w="1228" w:type="dxa"/>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48,4</w:t>
            </w:r>
          </w:p>
        </w:tc>
      </w:tr>
      <w:tr w:rsidR="001E7BB4" w:rsidRPr="007930B0">
        <w:trPr>
          <w:trHeight w:val="195"/>
        </w:trPr>
        <w:tc>
          <w:tcPr>
            <w:tcW w:w="3688" w:type="dxa"/>
            <w:tcBorders>
              <w:bottom w:val="single" w:sz="4" w:space="0" w:color="auto"/>
            </w:tcBorders>
            <w:shd w:val="clear" w:color="auto" w:fill="auto"/>
            <w:noWrap/>
            <w:tcMar>
              <w:top w:w="15" w:type="dxa"/>
              <w:left w:w="15" w:type="dxa"/>
              <w:bottom w:w="0" w:type="dxa"/>
              <w:right w:w="15" w:type="dxa"/>
            </w:tcMar>
          </w:tcPr>
          <w:p w:rsidR="001E7BB4" w:rsidRPr="007930B0" w:rsidRDefault="001E7BB4" w:rsidP="007D53FA">
            <w:pPr>
              <w:spacing w:before="40" w:after="40" w:line="220" w:lineRule="exact"/>
              <w:ind w:right="113"/>
              <w:rPr>
                <w:sz w:val="18"/>
              </w:rPr>
            </w:pPr>
            <w:r w:rsidRPr="007930B0">
              <w:rPr>
                <w:sz w:val="18"/>
              </w:rPr>
              <w:t>Nuakchot</w:t>
            </w:r>
          </w:p>
        </w:tc>
        <w:tc>
          <w:tcPr>
            <w:tcW w:w="1227" w:type="dxa"/>
            <w:tcBorders>
              <w:bottom w:val="single" w:sz="4" w:space="0" w:color="auto"/>
            </w:tcBorders>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50,6</w:t>
            </w:r>
          </w:p>
        </w:tc>
        <w:tc>
          <w:tcPr>
            <w:tcW w:w="1227" w:type="dxa"/>
            <w:tcBorders>
              <w:bottom w:val="single" w:sz="4" w:space="0" w:color="auto"/>
            </w:tcBorders>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50,6</w:t>
            </w:r>
          </w:p>
        </w:tc>
        <w:tc>
          <w:tcPr>
            <w:tcW w:w="1228" w:type="dxa"/>
            <w:tcBorders>
              <w:bottom w:val="single" w:sz="4" w:space="0" w:color="auto"/>
            </w:tcBorders>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50,5</w:t>
            </w:r>
          </w:p>
        </w:tc>
      </w:tr>
      <w:tr w:rsidR="001E7BB4" w:rsidRPr="007930B0">
        <w:trPr>
          <w:trHeight w:val="195"/>
        </w:trPr>
        <w:tc>
          <w:tcPr>
            <w:tcW w:w="3688" w:type="dxa"/>
            <w:tcBorders>
              <w:top w:val="single" w:sz="4" w:space="0" w:color="auto"/>
              <w:bottom w:val="single" w:sz="4" w:space="0" w:color="auto"/>
            </w:tcBorders>
            <w:shd w:val="clear" w:color="auto" w:fill="auto"/>
            <w:noWrap/>
            <w:tcMar>
              <w:top w:w="15" w:type="dxa"/>
              <w:left w:w="15" w:type="dxa"/>
              <w:bottom w:w="0" w:type="dxa"/>
              <w:right w:w="15" w:type="dxa"/>
            </w:tcMar>
          </w:tcPr>
          <w:p w:rsidR="001E7BB4" w:rsidRPr="007930B0" w:rsidRDefault="001E7BB4" w:rsidP="007D43BE">
            <w:pPr>
              <w:spacing w:before="80" w:after="80" w:line="220" w:lineRule="exact"/>
              <w:ind w:left="284" w:right="113"/>
              <w:rPr>
                <w:b/>
                <w:sz w:val="18"/>
              </w:rPr>
            </w:pPr>
            <w:r w:rsidRPr="007930B0">
              <w:rPr>
                <w:b/>
                <w:sz w:val="18"/>
              </w:rPr>
              <w:t>Total</w:t>
            </w:r>
          </w:p>
        </w:tc>
        <w:tc>
          <w:tcPr>
            <w:tcW w:w="1227" w:type="dxa"/>
            <w:tcBorders>
              <w:top w:val="single" w:sz="4" w:space="0" w:color="auto"/>
              <w:bottom w:val="single" w:sz="4" w:space="0" w:color="auto"/>
            </w:tcBorders>
            <w:shd w:val="clear" w:color="auto" w:fill="auto"/>
            <w:noWrap/>
            <w:tcMar>
              <w:top w:w="15" w:type="dxa"/>
              <w:left w:w="15" w:type="dxa"/>
              <w:bottom w:w="0" w:type="dxa"/>
              <w:right w:w="15" w:type="dxa"/>
            </w:tcMar>
            <w:vAlign w:val="bottom"/>
          </w:tcPr>
          <w:p w:rsidR="001E7BB4" w:rsidRPr="007930B0" w:rsidRDefault="001E7BB4" w:rsidP="00D52F35">
            <w:pPr>
              <w:spacing w:before="80" w:after="80" w:line="220" w:lineRule="exact"/>
              <w:ind w:right="113"/>
              <w:jc w:val="right"/>
              <w:rPr>
                <w:b/>
                <w:sz w:val="18"/>
              </w:rPr>
            </w:pPr>
            <w:r w:rsidRPr="007930B0">
              <w:rPr>
                <w:b/>
                <w:sz w:val="18"/>
              </w:rPr>
              <w:t>49,9</w:t>
            </w:r>
          </w:p>
        </w:tc>
        <w:tc>
          <w:tcPr>
            <w:tcW w:w="1227" w:type="dxa"/>
            <w:tcBorders>
              <w:top w:val="single" w:sz="4" w:space="0" w:color="auto"/>
              <w:bottom w:val="single" w:sz="4" w:space="0" w:color="auto"/>
            </w:tcBorders>
            <w:shd w:val="clear" w:color="auto" w:fill="auto"/>
            <w:noWrap/>
            <w:tcMar>
              <w:top w:w="15" w:type="dxa"/>
              <w:left w:w="15" w:type="dxa"/>
              <w:bottom w:w="0" w:type="dxa"/>
              <w:right w:w="15" w:type="dxa"/>
            </w:tcMar>
            <w:vAlign w:val="bottom"/>
          </w:tcPr>
          <w:p w:rsidR="001E7BB4" w:rsidRPr="007930B0" w:rsidRDefault="001E7BB4" w:rsidP="00D52F35">
            <w:pPr>
              <w:spacing w:before="80" w:after="80" w:line="220" w:lineRule="exact"/>
              <w:ind w:right="113"/>
              <w:jc w:val="right"/>
              <w:rPr>
                <w:b/>
                <w:sz w:val="18"/>
              </w:rPr>
            </w:pPr>
            <w:r w:rsidRPr="007930B0">
              <w:rPr>
                <w:b/>
                <w:sz w:val="18"/>
              </w:rPr>
              <w:t>49,8</w:t>
            </w:r>
          </w:p>
        </w:tc>
        <w:tc>
          <w:tcPr>
            <w:tcW w:w="1228" w:type="dxa"/>
            <w:tcBorders>
              <w:top w:val="single" w:sz="4" w:space="0" w:color="auto"/>
              <w:bottom w:val="single" w:sz="4" w:space="0" w:color="auto"/>
            </w:tcBorders>
            <w:shd w:val="clear" w:color="auto" w:fill="auto"/>
            <w:noWrap/>
            <w:tcMar>
              <w:top w:w="15" w:type="dxa"/>
              <w:left w:w="15" w:type="dxa"/>
              <w:bottom w:w="0" w:type="dxa"/>
              <w:right w:w="15" w:type="dxa"/>
            </w:tcMar>
            <w:vAlign w:val="bottom"/>
          </w:tcPr>
          <w:p w:rsidR="001E7BB4" w:rsidRPr="007930B0" w:rsidRDefault="001E7BB4" w:rsidP="00D52F35">
            <w:pPr>
              <w:spacing w:before="80" w:after="80" w:line="220" w:lineRule="exact"/>
              <w:ind w:right="113"/>
              <w:jc w:val="right"/>
              <w:rPr>
                <w:b/>
                <w:sz w:val="18"/>
              </w:rPr>
            </w:pPr>
            <w:r w:rsidRPr="007930B0">
              <w:rPr>
                <w:b/>
                <w:sz w:val="18"/>
              </w:rPr>
              <w:t>50</w:t>
            </w:r>
          </w:p>
        </w:tc>
      </w:tr>
      <w:tr w:rsidR="001E7BB4" w:rsidRPr="007930B0">
        <w:trPr>
          <w:trHeight w:val="202"/>
        </w:trPr>
        <w:tc>
          <w:tcPr>
            <w:tcW w:w="3688" w:type="dxa"/>
            <w:tcBorders>
              <w:top w:val="single" w:sz="4" w:space="0" w:color="auto"/>
            </w:tcBorders>
            <w:shd w:val="clear" w:color="auto" w:fill="auto"/>
            <w:noWrap/>
            <w:tcMar>
              <w:top w:w="0" w:type="dxa"/>
              <w:left w:w="15" w:type="dxa"/>
              <w:bottom w:w="0" w:type="dxa"/>
              <w:right w:w="15" w:type="dxa"/>
            </w:tcMar>
          </w:tcPr>
          <w:p w:rsidR="001E7BB4" w:rsidRPr="007930B0" w:rsidRDefault="001E7BB4" w:rsidP="007D53FA">
            <w:pPr>
              <w:spacing w:before="40" w:after="40" w:line="220" w:lineRule="exact"/>
              <w:ind w:right="113"/>
              <w:rPr>
                <w:sz w:val="18"/>
              </w:rPr>
            </w:pPr>
            <w:r w:rsidRPr="007930B0">
              <w:rPr>
                <w:sz w:val="18"/>
              </w:rPr>
              <w:t>Mínima</w:t>
            </w:r>
          </w:p>
        </w:tc>
        <w:tc>
          <w:tcPr>
            <w:tcW w:w="1227" w:type="dxa"/>
            <w:tcBorders>
              <w:top w:val="single" w:sz="4" w:space="0" w:color="auto"/>
            </w:tcBorders>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47,7</w:t>
            </w:r>
          </w:p>
        </w:tc>
        <w:tc>
          <w:tcPr>
            <w:tcW w:w="1227" w:type="dxa"/>
            <w:tcBorders>
              <w:top w:val="single" w:sz="4" w:space="0" w:color="auto"/>
            </w:tcBorders>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47,6</w:t>
            </w:r>
          </w:p>
        </w:tc>
        <w:tc>
          <w:tcPr>
            <w:tcW w:w="1228" w:type="dxa"/>
            <w:tcBorders>
              <w:top w:val="single" w:sz="4" w:space="0" w:color="auto"/>
            </w:tcBorders>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47,5</w:t>
            </w:r>
          </w:p>
        </w:tc>
      </w:tr>
      <w:tr w:rsidR="001E7BB4" w:rsidRPr="007930B0">
        <w:trPr>
          <w:trHeight w:val="195"/>
        </w:trPr>
        <w:tc>
          <w:tcPr>
            <w:tcW w:w="3688" w:type="dxa"/>
            <w:tcBorders>
              <w:bottom w:val="nil"/>
            </w:tcBorders>
            <w:shd w:val="clear" w:color="auto" w:fill="auto"/>
            <w:noWrap/>
            <w:tcMar>
              <w:top w:w="15" w:type="dxa"/>
              <w:left w:w="15" w:type="dxa"/>
              <w:bottom w:w="0" w:type="dxa"/>
              <w:right w:w="15" w:type="dxa"/>
            </w:tcMar>
          </w:tcPr>
          <w:p w:rsidR="001E7BB4" w:rsidRPr="007930B0" w:rsidRDefault="001E7BB4" w:rsidP="007D53FA">
            <w:pPr>
              <w:spacing w:before="40" w:after="40" w:line="220" w:lineRule="exact"/>
              <w:ind w:right="113"/>
              <w:rPr>
                <w:sz w:val="18"/>
              </w:rPr>
            </w:pPr>
            <w:r w:rsidRPr="007930B0">
              <w:rPr>
                <w:sz w:val="18"/>
              </w:rPr>
              <w:t>Máxima</w:t>
            </w:r>
          </w:p>
        </w:tc>
        <w:tc>
          <w:tcPr>
            <w:tcW w:w="1227" w:type="dxa"/>
            <w:tcBorders>
              <w:bottom w:val="nil"/>
            </w:tcBorders>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54,4</w:t>
            </w:r>
          </w:p>
        </w:tc>
        <w:tc>
          <w:tcPr>
            <w:tcW w:w="1227" w:type="dxa"/>
            <w:tcBorders>
              <w:bottom w:val="nil"/>
            </w:tcBorders>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53,4</w:t>
            </w:r>
          </w:p>
        </w:tc>
        <w:tc>
          <w:tcPr>
            <w:tcW w:w="1228" w:type="dxa"/>
            <w:tcBorders>
              <w:bottom w:val="nil"/>
            </w:tcBorders>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53,3</w:t>
            </w:r>
          </w:p>
        </w:tc>
      </w:tr>
      <w:tr w:rsidR="001E7BB4" w:rsidRPr="007930B0">
        <w:trPr>
          <w:trHeight w:val="240"/>
        </w:trPr>
        <w:tc>
          <w:tcPr>
            <w:tcW w:w="3688" w:type="dxa"/>
            <w:tcBorders>
              <w:top w:val="nil"/>
              <w:bottom w:val="single" w:sz="12" w:space="0" w:color="auto"/>
            </w:tcBorders>
            <w:shd w:val="clear" w:color="auto" w:fill="auto"/>
            <w:noWrap/>
            <w:tcMar>
              <w:top w:w="15" w:type="dxa"/>
              <w:left w:w="15" w:type="dxa"/>
              <w:bottom w:w="0" w:type="dxa"/>
              <w:right w:w="15" w:type="dxa"/>
            </w:tcMar>
          </w:tcPr>
          <w:p w:rsidR="001E7BB4" w:rsidRPr="007930B0" w:rsidRDefault="001E7BB4" w:rsidP="007D53FA">
            <w:pPr>
              <w:spacing w:before="40" w:after="40" w:line="220" w:lineRule="exact"/>
              <w:ind w:right="113"/>
              <w:rPr>
                <w:sz w:val="18"/>
              </w:rPr>
            </w:pPr>
            <w:r w:rsidRPr="007930B0">
              <w:rPr>
                <w:sz w:val="18"/>
              </w:rPr>
              <w:t>Desviación estándar</w:t>
            </w:r>
          </w:p>
        </w:tc>
        <w:tc>
          <w:tcPr>
            <w:tcW w:w="1227" w:type="dxa"/>
            <w:tcBorders>
              <w:top w:val="nil"/>
              <w:bottom w:val="single" w:sz="12" w:space="0" w:color="auto"/>
            </w:tcBorders>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1,7</w:t>
            </w:r>
          </w:p>
        </w:tc>
        <w:tc>
          <w:tcPr>
            <w:tcW w:w="1227" w:type="dxa"/>
            <w:tcBorders>
              <w:top w:val="nil"/>
              <w:bottom w:val="single" w:sz="12" w:space="0" w:color="auto"/>
            </w:tcBorders>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1,5</w:t>
            </w:r>
          </w:p>
        </w:tc>
        <w:tc>
          <w:tcPr>
            <w:tcW w:w="1228" w:type="dxa"/>
            <w:tcBorders>
              <w:top w:val="nil"/>
              <w:bottom w:val="single" w:sz="12" w:space="0" w:color="auto"/>
            </w:tcBorders>
            <w:shd w:val="clear" w:color="auto" w:fill="auto"/>
            <w:noWrap/>
            <w:tcMar>
              <w:top w:w="15" w:type="dxa"/>
              <w:left w:w="15" w:type="dxa"/>
              <w:bottom w:w="0" w:type="dxa"/>
              <w:right w:w="15" w:type="dxa"/>
            </w:tcMar>
            <w:vAlign w:val="bottom"/>
          </w:tcPr>
          <w:p w:rsidR="001E7BB4" w:rsidRPr="007930B0" w:rsidRDefault="001E7BB4" w:rsidP="007D53FA">
            <w:pPr>
              <w:spacing w:before="40" w:after="40" w:line="220" w:lineRule="exact"/>
              <w:ind w:right="113"/>
              <w:jc w:val="right"/>
              <w:rPr>
                <w:sz w:val="18"/>
              </w:rPr>
            </w:pPr>
            <w:r w:rsidRPr="007930B0">
              <w:rPr>
                <w:sz w:val="18"/>
              </w:rPr>
              <w:t>1,4</w:t>
            </w:r>
          </w:p>
        </w:tc>
      </w:tr>
    </w:tbl>
    <w:p w:rsidR="001E7BB4" w:rsidRPr="007930B0" w:rsidRDefault="001E7BB4" w:rsidP="00D52F35">
      <w:pPr>
        <w:pStyle w:val="SingleTxtG"/>
        <w:spacing w:before="240"/>
        <w:rPr>
          <w:lang w:val="es-ES"/>
        </w:rPr>
      </w:pPr>
      <w:r w:rsidRPr="007930B0">
        <w:rPr>
          <w:lang w:val="es-ES"/>
        </w:rPr>
        <w:t>409.</w:t>
      </w:r>
      <w:r w:rsidRPr="007930B0">
        <w:rPr>
          <w:lang w:val="es-ES"/>
        </w:rPr>
        <w:tab/>
        <w:t>La magnitud de las diferencias regionales con respecto al promedio nacional y la meta del PNDSE permite distinguir dos configuraciones principales.</w:t>
      </w:r>
    </w:p>
    <w:p w:rsidR="001E7BB4" w:rsidRPr="007930B0" w:rsidRDefault="001E7BB4" w:rsidP="0068666F">
      <w:pPr>
        <w:pStyle w:val="SingleTxtG"/>
        <w:rPr>
          <w:lang w:val="es-ES"/>
        </w:rPr>
      </w:pPr>
      <w:r w:rsidRPr="007930B0">
        <w:rPr>
          <w:lang w:val="es-ES"/>
        </w:rPr>
        <w:t>410.</w:t>
      </w:r>
      <w:r w:rsidRPr="007930B0">
        <w:rPr>
          <w:lang w:val="es-ES"/>
        </w:rPr>
        <w:tab/>
        <w:t xml:space="preserve">En Nuakchot, Tagant, Hodh El Gharbi y Brakna, las tasas de participación de las niñas superan el promedio nacional. A excepción de Brakna, las otras tres </w:t>
      </w:r>
      <w:r w:rsidRPr="007930B0">
        <w:rPr>
          <w:i/>
          <w:iCs/>
          <w:lang w:val="es-ES"/>
        </w:rPr>
        <w:t>wilayas</w:t>
      </w:r>
      <w:r w:rsidRPr="007930B0">
        <w:rPr>
          <w:lang w:val="es-ES"/>
        </w:rPr>
        <w:t xml:space="preserve"> registraron, entre 2005/06 y 2006/07, un descenso de 0,1 puntos en sus tasas de participación de las niñas (tendencia a acercarse al umbral de 50%).</w:t>
      </w:r>
    </w:p>
    <w:p w:rsidR="001E7BB4" w:rsidRPr="007930B0" w:rsidRDefault="001E7BB4" w:rsidP="0068666F">
      <w:pPr>
        <w:pStyle w:val="SingleTxtG"/>
        <w:rPr>
          <w:lang w:val="es-ES"/>
        </w:rPr>
      </w:pPr>
      <w:r w:rsidRPr="007930B0">
        <w:rPr>
          <w:lang w:val="es-ES"/>
        </w:rPr>
        <w:t>411.</w:t>
      </w:r>
      <w:r w:rsidRPr="007930B0">
        <w:rPr>
          <w:lang w:val="es-ES"/>
        </w:rPr>
        <w:tab/>
        <w:t xml:space="preserve">Un segundo grupo, compuesto por Guidimakha, Adrar, Tiris Zemmour, Nuadhibu, Trarza, Gorgol, Hodh El Charghi, Inchiri y Assaba, mostró en 2005/06 tasas de participación de las niñas inferiores a la tasa nacional. A excepción de Inchiri y Guidimakha, las otras </w:t>
      </w:r>
      <w:r w:rsidRPr="007930B0">
        <w:rPr>
          <w:i/>
          <w:iCs/>
          <w:lang w:val="es-ES"/>
        </w:rPr>
        <w:t>wilayas</w:t>
      </w:r>
      <w:r w:rsidRPr="007930B0">
        <w:rPr>
          <w:lang w:val="es-ES"/>
        </w:rPr>
        <w:t xml:space="preserve"> mejoraron sus tasas de participación. Debe señalarse que en Guidimigha se registró, por segundo año consecutivo, un ligero descenso en la tasa de participación de las niñas. </w:t>
      </w:r>
    </w:p>
    <w:p w:rsidR="001E7BB4" w:rsidRPr="007930B0" w:rsidRDefault="002D2BBC" w:rsidP="002D2BBC">
      <w:pPr>
        <w:pStyle w:val="H4G"/>
        <w:rPr>
          <w:lang w:val="es-ES"/>
        </w:rPr>
      </w:pPr>
      <w:r w:rsidRPr="007930B0">
        <w:rPr>
          <w:lang w:val="es-ES"/>
        </w:rPr>
        <w:tab/>
      </w:r>
      <w:r w:rsidRPr="007930B0">
        <w:rPr>
          <w:lang w:val="es-ES"/>
        </w:rPr>
        <w:tab/>
      </w:r>
      <w:r w:rsidR="001E7BB4" w:rsidRPr="007930B0">
        <w:rPr>
          <w:lang w:val="es-ES"/>
        </w:rPr>
        <w:t>Tasa de acceso al primer año de enseñanza primaria (tasa bruta de admisión)</w:t>
      </w:r>
    </w:p>
    <w:p w:rsidR="001E7BB4" w:rsidRPr="007930B0" w:rsidRDefault="001E7BB4" w:rsidP="0068666F">
      <w:pPr>
        <w:pStyle w:val="SingleTxtG"/>
        <w:rPr>
          <w:lang w:val="es-ES"/>
        </w:rPr>
      </w:pPr>
      <w:r w:rsidRPr="007930B0">
        <w:rPr>
          <w:lang w:val="es-ES"/>
        </w:rPr>
        <w:t>412.</w:t>
      </w:r>
      <w:r w:rsidRPr="007930B0">
        <w:rPr>
          <w:lang w:val="es-ES"/>
        </w:rPr>
        <w:tab/>
        <w:t xml:space="preserve">La tasa de acceso al primer año de enseñanza primaria aumentó levemente, al pasar de 119,4% en 2005/06 a 119,7% en 2006/07, superando siempre el umbral de 100% ambicionado por el PNDSE para 2010. La evolución positiva de la tasa bruta de admisión a lo largo de tres años consecutivos y el hecho de haberse mantenido por encima del 100% pueden deberse a que una proporción importante de los nuevos alumnos que ingresan al primer año de enseñanza primaria lo hacen a una edad mayor o menor de 6 años (la edad normal). Esta situación puede deberse también, incluso en parte, a los problemas que plantean los datos demográficos utilizados para el cálculo de este indicador. </w:t>
      </w:r>
    </w:p>
    <w:p w:rsidR="001E7BB4" w:rsidRPr="007930B0" w:rsidRDefault="001E7BB4" w:rsidP="0068666F">
      <w:pPr>
        <w:pStyle w:val="SingleTxtG"/>
        <w:rPr>
          <w:lang w:val="es-ES"/>
        </w:rPr>
      </w:pPr>
      <w:r w:rsidRPr="007930B0">
        <w:rPr>
          <w:lang w:val="es-ES"/>
        </w:rPr>
        <w:t>413.</w:t>
      </w:r>
      <w:r w:rsidRPr="007930B0">
        <w:rPr>
          <w:lang w:val="es-ES"/>
        </w:rPr>
        <w:tab/>
        <w:t xml:space="preserve">El análisis de las tasas brutas de admisión regionales revela que todas las </w:t>
      </w:r>
      <w:r w:rsidRPr="007930B0">
        <w:rPr>
          <w:i/>
          <w:iCs/>
          <w:lang w:val="es-ES"/>
        </w:rPr>
        <w:t>wilayas</w:t>
      </w:r>
      <w:r w:rsidRPr="007930B0">
        <w:rPr>
          <w:lang w:val="es-ES"/>
        </w:rPr>
        <w:t xml:space="preserve"> del país registran tasas brutas de admisión superiores a 100%. En 2006/07, esas tasas oscilaron entre 122,3% en Nuakchot y 200,5% en Tagant. La desviación estándar de la estructura de las tasas brutas de admisión descendió 5,35 puntos entre 2005/06 y 2006/07 (25,6 frente a 20,25), lo que denota también importantes disparidades. La comparación de las tasas brutas de admisión de las </w:t>
      </w:r>
      <w:r w:rsidRPr="007930B0">
        <w:rPr>
          <w:i/>
          <w:iCs/>
          <w:lang w:val="es-ES"/>
        </w:rPr>
        <w:t>wilayas</w:t>
      </w:r>
      <w:r w:rsidRPr="007930B0">
        <w:rPr>
          <w:lang w:val="es-ES"/>
        </w:rPr>
        <w:t xml:space="preserve"> con el promedio nacional permite distinguir dos grupos principales.</w:t>
      </w:r>
    </w:p>
    <w:p w:rsidR="002D2BBC" w:rsidRPr="007930B0" w:rsidRDefault="002D2BBC" w:rsidP="002D2BBC">
      <w:pPr>
        <w:pStyle w:val="Heading1"/>
        <w:rPr>
          <w:lang w:val="es-ES"/>
        </w:rPr>
      </w:pPr>
      <w:r w:rsidRPr="007930B0">
        <w:rPr>
          <w:lang w:val="es-ES"/>
        </w:rPr>
        <w:t>Cuadro 3</w:t>
      </w:r>
    </w:p>
    <w:p w:rsidR="001E7BB4" w:rsidRPr="007930B0" w:rsidRDefault="001E7BB4" w:rsidP="002D2BBC">
      <w:pPr>
        <w:pStyle w:val="SingleTxtG"/>
        <w:jc w:val="left"/>
        <w:rPr>
          <w:b/>
          <w:lang w:val="es-ES"/>
        </w:rPr>
      </w:pPr>
      <w:r w:rsidRPr="007930B0">
        <w:rPr>
          <w:b/>
          <w:lang w:val="es-ES"/>
        </w:rPr>
        <w:t xml:space="preserve">Evolución de la tasa bruta de admisión, por </w:t>
      </w:r>
      <w:r w:rsidRPr="007930B0">
        <w:rPr>
          <w:b/>
          <w:i/>
          <w:iCs/>
          <w:lang w:val="es-ES"/>
        </w:rPr>
        <w:t>wilaya</w:t>
      </w:r>
      <w:r w:rsidRPr="007930B0">
        <w:rPr>
          <w:b/>
          <w:lang w:val="es-ES"/>
        </w:rPr>
        <w:t xml:space="preserve"> y por sexo, entre 2004/05 y 2006/07</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1523"/>
        <w:gridCol w:w="649"/>
        <w:gridCol w:w="649"/>
        <w:gridCol w:w="651"/>
        <w:gridCol w:w="649"/>
        <w:gridCol w:w="650"/>
        <w:gridCol w:w="650"/>
        <w:gridCol w:w="650"/>
        <w:gridCol w:w="649"/>
        <w:gridCol w:w="650"/>
      </w:tblGrid>
      <w:tr w:rsidR="002D2BBC" w:rsidRPr="007930B0">
        <w:trPr>
          <w:cantSplit/>
          <w:trHeight w:val="255"/>
          <w:tblHeader/>
        </w:trPr>
        <w:tc>
          <w:tcPr>
            <w:tcW w:w="1523" w:type="dxa"/>
            <w:vMerge w:val="restart"/>
            <w:tcBorders>
              <w:top w:val="single" w:sz="4" w:space="0" w:color="auto"/>
              <w:bottom w:val="single" w:sz="12" w:space="0" w:color="auto"/>
            </w:tcBorders>
            <w:shd w:val="clear" w:color="000000" w:fill="auto"/>
            <w:noWrap/>
            <w:vAlign w:val="bottom"/>
          </w:tcPr>
          <w:p w:rsidR="002D2BBC" w:rsidRPr="007930B0" w:rsidRDefault="002D2BBC" w:rsidP="002D2BBC">
            <w:pPr>
              <w:spacing w:before="80" w:after="80" w:line="200" w:lineRule="exact"/>
              <w:ind w:right="113"/>
              <w:rPr>
                <w:i/>
                <w:sz w:val="16"/>
              </w:rPr>
            </w:pPr>
            <w:r w:rsidRPr="007930B0">
              <w:rPr>
                <w:i/>
                <w:sz w:val="16"/>
              </w:rPr>
              <w:t>Wilaya/Año/Sexo</w:t>
            </w:r>
          </w:p>
        </w:tc>
        <w:tc>
          <w:tcPr>
            <w:tcW w:w="1949" w:type="dxa"/>
            <w:gridSpan w:val="3"/>
            <w:tcBorders>
              <w:top w:val="single" w:sz="4" w:space="0" w:color="auto"/>
              <w:bottom w:val="single" w:sz="4" w:space="0" w:color="auto"/>
              <w:right w:val="single" w:sz="24" w:space="0" w:color="FFFFFF"/>
            </w:tcBorders>
            <w:shd w:val="clear" w:color="000000" w:fill="auto"/>
            <w:noWrap/>
            <w:vAlign w:val="bottom"/>
          </w:tcPr>
          <w:p w:rsidR="002D2BBC" w:rsidRPr="007930B0" w:rsidRDefault="002D2BBC" w:rsidP="002D2BBC">
            <w:pPr>
              <w:spacing w:before="80" w:after="80" w:line="200" w:lineRule="exact"/>
              <w:ind w:right="113"/>
              <w:jc w:val="center"/>
              <w:rPr>
                <w:i/>
                <w:sz w:val="16"/>
              </w:rPr>
            </w:pPr>
            <w:r w:rsidRPr="007930B0">
              <w:rPr>
                <w:i/>
                <w:sz w:val="16"/>
              </w:rPr>
              <w:t>2004/05</w:t>
            </w:r>
          </w:p>
        </w:tc>
        <w:tc>
          <w:tcPr>
            <w:tcW w:w="1949"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2D2BBC" w:rsidRPr="007930B0" w:rsidRDefault="002D2BBC" w:rsidP="002D2BBC">
            <w:pPr>
              <w:spacing w:before="80" w:after="80" w:line="200" w:lineRule="exact"/>
              <w:ind w:right="113"/>
              <w:jc w:val="center"/>
              <w:rPr>
                <w:i/>
                <w:sz w:val="16"/>
              </w:rPr>
            </w:pPr>
            <w:r w:rsidRPr="007930B0">
              <w:rPr>
                <w:i/>
                <w:sz w:val="16"/>
              </w:rPr>
              <w:t>2005/06</w:t>
            </w:r>
          </w:p>
        </w:tc>
        <w:tc>
          <w:tcPr>
            <w:tcW w:w="1949" w:type="dxa"/>
            <w:gridSpan w:val="3"/>
            <w:tcBorders>
              <w:top w:val="single" w:sz="4" w:space="0" w:color="auto"/>
              <w:left w:val="single" w:sz="24" w:space="0" w:color="FFFFFF"/>
              <w:bottom w:val="single" w:sz="4" w:space="0" w:color="auto"/>
            </w:tcBorders>
            <w:shd w:val="clear" w:color="000000" w:fill="auto"/>
            <w:vAlign w:val="bottom"/>
          </w:tcPr>
          <w:p w:rsidR="002D2BBC" w:rsidRPr="007930B0" w:rsidRDefault="002D2BBC" w:rsidP="002D2BBC">
            <w:pPr>
              <w:spacing w:before="80" w:after="80" w:line="200" w:lineRule="exact"/>
              <w:ind w:right="113"/>
              <w:jc w:val="center"/>
              <w:rPr>
                <w:i/>
                <w:sz w:val="16"/>
              </w:rPr>
            </w:pPr>
            <w:r w:rsidRPr="007930B0">
              <w:rPr>
                <w:i/>
                <w:sz w:val="16"/>
              </w:rPr>
              <w:t>2006/07</w:t>
            </w:r>
          </w:p>
        </w:tc>
      </w:tr>
      <w:tr w:rsidR="002D2BBC" w:rsidRPr="007930B0">
        <w:trPr>
          <w:cantSplit/>
          <w:trHeight w:val="225"/>
          <w:tblHeader/>
        </w:trPr>
        <w:tc>
          <w:tcPr>
            <w:tcW w:w="1523" w:type="dxa"/>
            <w:vMerge/>
            <w:tcBorders>
              <w:top w:val="single" w:sz="12" w:space="0" w:color="auto"/>
              <w:bottom w:val="single" w:sz="12" w:space="0" w:color="auto"/>
            </w:tcBorders>
            <w:shd w:val="clear" w:color="000000" w:fill="auto"/>
            <w:vAlign w:val="bottom"/>
          </w:tcPr>
          <w:p w:rsidR="001E7BB4" w:rsidRPr="007930B0" w:rsidRDefault="001E7BB4" w:rsidP="002D2BBC">
            <w:pPr>
              <w:spacing w:before="40" w:after="40" w:line="220" w:lineRule="exact"/>
              <w:ind w:right="113"/>
              <w:rPr>
                <w:sz w:val="18"/>
              </w:rPr>
            </w:pPr>
          </w:p>
        </w:tc>
        <w:tc>
          <w:tcPr>
            <w:tcW w:w="649" w:type="dxa"/>
            <w:tcBorders>
              <w:top w:val="single" w:sz="4" w:space="0" w:color="auto"/>
              <w:bottom w:val="single" w:sz="12" w:space="0" w:color="auto"/>
            </w:tcBorders>
            <w:shd w:val="clear" w:color="000000" w:fill="auto"/>
            <w:noWrap/>
            <w:vAlign w:val="bottom"/>
          </w:tcPr>
          <w:p w:rsidR="001E7BB4" w:rsidRPr="007930B0" w:rsidRDefault="001E7BB4" w:rsidP="002D2BBC">
            <w:pPr>
              <w:spacing w:before="80" w:after="80" w:line="200" w:lineRule="exact"/>
              <w:ind w:right="113"/>
              <w:jc w:val="right"/>
              <w:rPr>
                <w:i/>
                <w:sz w:val="16"/>
                <w:szCs w:val="16"/>
              </w:rPr>
            </w:pPr>
            <w:r w:rsidRPr="007930B0">
              <w:rPr>
                <w:i/>
                <w:sz w:val="16"/>
                <w:szCs w:val="16"/>
              </w:rPr>
              <w:t>Masc.</w:t>
            </w:r>
          </w:p>
        </w:tc>
        <w:tc>
          <w:tcPr>
            <w:tcW w:w="649" w:type="dxa"/>
            <w:tcBorders>
              <w:top w:val="single" w:sz="4" w:space="0" w:color="auto"/>
              <w:bottom w:val="single" w:sz="12" w:space="0" w:color="auto"/>
            </w:tcBorders>
            <w:shd w:val="clear" w:color="000000" w:fill="auto"/>
            <w:noWrap/>
            <w:vAlign w:val="bottom"/>
          </w:tcPr>
          <w:p w:rsidR="001E7BB4" w:rsidRPr="007930B0" w:rsidRDefault="001E7BB4" w:rsidP="002D2BBC">
            <w:pPr>
              <w:spacing w:before="80" w:after="80" w:line="200" w:lineRule="exact"/>
              <w:ind w:right="113"/>
              <w:jc w:val="right"/>
              <w:rPr>
                <w:i/>
                <w:sz w:val="16"/>
                <w:szCs w:val="16"/>
              </w:rPr>
            </w:pPr>
            <w:r w:rsidRPr="007930B0">
              <w:rPr>
                <w:i/>
                <w:sz w:val="16"/>
                <w:szCs w:val="16"/>
              </w:rPr>
              <w:t>Fem.</w:t>
            </w:r>
          </w:p>
        </w:tc>
        <w:tc>
          <w:tcPr>
            <w:tcW w:w="651" w:type="dxa"/>
            <w:tcBorders>
              <w:top w:val="single" w:sz="4" w:space="0" w:color="auto"/>
              <w:bottom w:val="single" w:sz="12" w:space="0" w:color="auto"/>
              <w:right w:val="single" w:sz="24" w:space="0" w:color="FFFFFF"/>
            </w:tcBorders>
            <w:shd w:val="clear" w:color="000000" w:fill="auto"/>
            <w:noWrap/>
            <w:vAlign w:val="bottom"/>
          </w:tcPr>
          <w:p w:rsidR="001E7BB4" w:rsidRPr="007930B0" w:rsidRDefault="001E7BB4" w:rsidP="002D2BBC">
            <w:pPr>
              <w:spacing w:before="80" w:after="80" w:line="200" w:lineRule="exact"/>
              <w:ind w:right="113"/>
              <w:jc w:val="right"/>
              <w:rPr>
                <w:b/>
                <w:i/>
                <w:sz w:val="16"/>
                <w:szCs w:val="16"/>
              </w:rPr>
            </w:pPr>
            <w:r w:rsidRPr="007930B0">
              <w:rPr>
                <w:b/>
                <w:i/>
                <w:sz w:val="16"/>
                <w:szCs w:val="16"/>
              </w:rPr>
              <w:t>Total</w:t>
            </w:r>
          </w:p>
        </w:tc>
        <w:tc>
          <w:tcPr>
            <w:tcW w:w="649" w:type="dxa"/>
            <w:tcBorders>
              <w:top w:val="single" w:sz="4" w:space="0" w:color="auto"/>
              <w:left w:val="single" w:sz="24" w:space="0" w:color="FFFFFF"/>
              <w:bottom w:val="single" w:sz="12" w:space="0" w:color="auto"/>
            </w:tcBorders>
            <w:shd w:val="clear" w:color="000000" w:fill="auto"/>
            <w:noWrap/>
            <w:vAlign w:val="bottom"/>
          </w:tcPr>
          <w:p w:rsidR="001E7BB4" w:rsidRPr="007930B0" w:rsidRDefault="001E7BB4" w:rsidP="002D2BBC">
            <w:pPr>
              <w:spacing w:before="80" w:after="80" w:line="200" w:lineRule="exact"/>
              <w:ind w:right="113"/>
              <w:jc w:val="right"/>
              <w:rPr>
                <w:i/>
                <w:sz w:val="16"/>
                <w:szCs w:val="16"/>
              </w:rPr>
            </w:pPr>
            <w:r w:rsidRPr="007930B0">
              <w:rPr>
                <w:i/>
                <w:sz w:val="16"/>
                <w:szCs w:val="16"/>
              </w:rPr>
              <w:t>Masc.</w:t>
            </w:r>
          </w:p>
        </w:tc>
        <w:tc>
          <w:tcPr>
            <w:tcW w:w="650" w:type="dxa"/>
            <w:tcBorders>
              <w:top w:val="single" w:sz="4" w:space="0" w:color="auto"/>
              <w:bottom w:val="single" w:sz="12" w:space="0" w:color="auto"/>
            </w:tcBorders>
            <w:shd w:val="clear" w:color="000000" w:fill="auto"/>
            <w:noWrap/>
            <w:vAlign w:val="bottom"/>
          </w:tcPr>
          <w:p w:rsidR="001E7BB4" w:rsidRPr="007930B0" w:rsidRDefault="001E7BB4" w:rsidP="002D2BBC">
            <w:pPr>
              <w:spacing w:before="80" w:after="80" w:line="200" w:lineRule="exact"/>
              <w:ind w:right="113"/>
              <w:jc w:val="right"/>
              <w:rPr>
                <w:i/>
                <w:sz w:val="16"/>
                <w:szCs w:val="16"/>
              </w:rPr>
            </w:pPr>
            <w:r w:rsidRPr="007930B0">
              <w:rPr>
                <w:i/>
                <w:sz w:val="16"/>
                <w:szCs w:val="16"/>
              </w:rPr>
              <w:t>Fem.</w:t>
            </w:r>
          </w:p>
        </w:tc>
        <w:tc>
          <w:tcPr>
            <w:tcW w:w="650" w:type="dxa"/>
            <w:tcBorders>
              <w:top w:val="single" w:sz="4" w:space="0" w:color="auto"/>
              <w:bottom w:val="single" w:sz="12" w:space="0" w:color="auto"/>
              <w:right w:val="single" w:sz="24" w:space="0" w:color="FFFFFF"/>
            </w:tcBorders>
            <w:shd w:val="clear" w:color="000000" w:fill="auto"/>
            <w:noWrap/>
            <w:vAlign w:val="bottom"/>
          </w:tcPr>
          <w:p w:rsidR="001E7BB4" w:rsidRPr="007930B0" w:rsidRDefault="001E7BB4" w:rsidP="002D2BBC">
            <w:pPr>
              <w:spacing w:before="80" w:after="80" w:line="200" w:lineRule="exact"/>
              <w:ind w:right="113"/>
              <w:jc w:val="right"/>
              <w:rPr>
                <w:b/>
                <w:i/>
                <w:sz w:val="16"/>
                <w:szCs w:val="16"/>
              </w:rPr>
            </w:pPr>
            <w:r w:rsidRPr="007930B0">
              <w:rPr>
                <w:b/>
                <w:i/>
                <w:sz w:val="16"/>
                <w:szCs w:val="16"/>
              </w:rPr>
              <w:t>Total</w:t>
            </w:r>
          </w:p>
        </w:tc>
        <w:tc>
          <w:tcPr>
            <w:tcW w:w="650" w:type="dxa"/>
            <w:tcBorders>
              <w:top w:val="single" w:sz="4" w:space="0" w:color="auto"/>
              <w:left w:val="single" w:sz="24" w:space="0" w:color="FFFFFF"/>
              <w:bottom w:val="single" w:sz="12" w:space="0" w:color="auto"/>
            </w:tcBorders>
            <w:shd w:val="clear" w:color="000000" w:fill="auto"/>
            <w:noWrap/>
            <w:vAlign w:val="bottom"/>
          </w:tcPr>
          <w:p w:rsidR="001E7BB4" w:rsidRPr="007930B0" w:rsidRDefault="001E7BB4" w:rsidP="002D2BBC">
            <w:pPr>
              <w:spacing w:before="80" w:after="80" w:line="200" w:lineRule="exact"/>
              <w:ind w:right="113"/>
              <w:jc w:val="right"/>
              <w:rPr>
                <w:i/>
                <w:sz w:val="16"/>
                <w:szCs w:val="16"/>
              </w:rPr>
            </w:pPr>
            <w:r w:rsidRPr="007930B0">
              <w:rPr>
                <w:i/>
                <w:sz w:val="16"/>
                <w:szCs w:val="16"/>
              </w:rPr>
              <w:t>Masc.</w:t>
            </w:r>
          </w:p>
        </w:tc>
        <w:tc>
          <w:tcPr>
            <w:tcW w:w="649" w:type="dxa"/>
            <w:tcBorders>
              <w:top w:val="single" w:sz="4" w:space="0" w:color="auto"/>
              <w:bottom w:val="single" w:sz="12" w:space="0" w:color="auto"/>
            </w:tcBorders>
            <w:shd w:val="clear" w:color="000000" w:fill="auto"/>
            <w:noWrap/>
            <w:vAlign w:val="bottom"/>
          </w:tcPr>
          <w:p w:rsidR="001E7BB4" w:rsidRPr="007930B0" w:rsidRDefault="001E7BB4" w:rsidP="002D2BBC">
            <w:pPr>
              <w:spacing w:before="80" w:after="80" w:line="200" w:lineRule="exact"/>
              <w:ind w:right="113"/>
              <w:jc w:val="right"/>
              <w:rPr>
                <w:i/>
                <w:sz w:val="16"/>
                <w:szCs w:val="16"/>
              </w:rPr>
            </w:pPr>
            <w:r w:rsidRPr="007930B0">
              <w:rPr>
                <w:i/>
                <w:sz w:val="16"/>
                <w:szCs w:val="16"/>
              </w:rPr>
              <w:t>Fem.</w:t>
            </w:r>
          </w:p>
        </w:tc>
        <w:tc>
          <w:tcPr>
            <w:tcW w:w="650" w:type="dxa"/>
            <w:tcBorders>
              <w:top w:val="single" w:sz="4" w:space="0" w:color="auto"/>
              <w:bottom w:val="single" w:sz="12" w:space="0" w:color="auto"/>
            </w:tcBorders>
            <w:shd w:val="clear" w:color="000000" w:fill="auto"/>
            <w:noWrap/>
            <w:vAlign w:val="bottom"/>
          </w:tcPr>
          <w:p w:rsidR="001E7BB4" w:rsidRPr="007930B0" w:rsidRDefault="001E7BB4" w:rsidP="002D2BBC">
            <w:pPr>
              <w:spacing w:before="80" w:after="80" w:line="200" w:lineRule="exact"/>
              <w:ind w:right="113"/>
              <w:jc w:val="right"/>
              <w:rPr>
                <w:b/>
                <w:i/>
                <w:sz w:val="16"/>
                <w:szCs w:val="16"/>
              </w:rPr>
            </w:pPr>
            <w:r w:rsidRPr="007930B0">
              <w:rPr>
                <w:b/>
                <w:i/>
                <w:sz w:val="16"/>
                <w:szCs w:val="16"/>
              </w:rPr>
              <w:t>Total</w:t>
            </w:r>
          </w:p>
        </w:tc>
      </w:tr>
      <w:tr w:rsidR="002D2BBC" w:rsidRPr="007930B0">
        <w:trPr>
          <w:trHeight w:val="225"/>
        </w:trPr>
        <w:tc>
          <w:tcPr>
            <w:tcW w:w="1523" w:type="dxa"/>
            <w:tcBorders>
              <w:top w:val="single" w:sz="12" w:space="0" w:color="auto"/>
            </w:tcBorders>
            <w:shd w:val="clear" w:color="000000" w:fill="auto"/>
            <w:noWrap/>
          </w:tcPr>
          <w:p w:rsidR="001E7BB4" w:rsidRPr="007930B0" w:rsidRDefault="001E7BB4" w:rsidP="002D2BBC">
            <w:pPr>
              <w:spacing w:before="40" w:after="40" w:line="220" w:lineRule="exact"/>
              <w:ind w:right="113"/>
              <w:rPr>
                <w:sz w:val="18"/>
              </w:rPr>
            </w:pPr>
            <w:r w:rsidRPr="007930B0">
              <w:rPr>
                <w:sz w:val="18"/>
              </w:rPr>
              <w:t>Hodh Charghi</w:t>
            </w:r>
          </w:p>
        </w:tc>
        <w:tc>
          <w:tcPr>
            <w:tcW w:w="649" w:type="dxa"/>
            <w:tcBorders>
              <w:top w:val="single" w:sz="12" w:space="0" w:color="auto"/>
            </w:tcBorders>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131,3</w:t>
            </w:r>
          </w:p>
        </w:tc>
        <w:tc>
          <w:tcPr>
            <w:tcW w:w="649" w:type="dxa"/>
            <w:tcBorders>
              <w:top w:val="single" w:sz="12" w:space="0" w:color="auto"/>
            </w:tcBorders>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137,9</w:t>
            </w:r>
          </w:p>
        </w:tc>
        <w:tc>
          <w:tcPr>
            <w:tcW w:w="651" w:type="dxa"/>
            <w:tcBorders>
              <w:top w:val="single" w:sz="12" w:space="0" w:color="auto"/>
            </w:tcBorders>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134,5</w:t>
            </w:r>
          </w:p>
        </w:tc>
        <w:tc>
          <w:tcPr>
            <w:tcW w:w="649" w:type="dxa"/>
            <w:tcBorders>
              <w:top w:val="single" w:sz="12" w:space="0" w:color="auto"/>
            </w:tcBorders>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128,3</w:t>
            </w:r>
          </w:p>
        </w:tc>
        <w:tc>
          <w:tcPr>
            <w:tcW w:w="650" w:type="dxa"/>
            <w:tcBorders>
              <w:top w:val="single" w:sz="12" w:space="0" w:color="auto"/>
            </w:tcBorders>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128,7</w:t>
            </w:r>
          </w:p>
        </w:tc>
        <w:tc>
          <w:tcPr>
            <w:tcW w:w="650" w:type="dxa"/>
            <w:tcBorders>
              <w:top w:val="single" w:sz="12" w:space="0" w:color="auto"/>
            </w:tcBorders>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128,5</w:t>
            </w:r>
          </w:p>
        </w:tc>
        <w:tc>
          <w:tcPr>
            <w:tcW w:w="650" w:type="dxa"/>
            <w:tcBorders>
              <w:top w:val="single" w:sz="12" w:space="0" w:color="auto"/>
            </w:tcBorders>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121,6</w:t>
            </w:r>
          </w:p>
        </w:tc>
        <w:tc>
          <w:tcPr>
            <w:tcW w:w="649" w:type="dxa"/>
            <w:tcBorders>
              <w:top w:val="single" w:sz="12" w:space="0" w:color="auto"/>
            </w:tcBorders>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131,9</w:t>
            </w:r>
          </w:p>
        </w:tc>
        <w:tc>
          <w:tcPr>
            <w:tcW w:w="650" w:type="dxa"/>
            <w:tcBorders>
              <w:top w:val="single" w:sz="12" w:space="0" w:color="auto"/>
            </w:tcBorders>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126,5</w:t>
            </w:r>
          </w:p>
        </w:tc>
      </w:tr>
      <w:tr w:rsidR="002D2BBC" w:rsidRPr="007930B0">
        <w:trPr>
          <w:trHeight w:val="225"/>
        </w:trPr>
        <w:tc>
          <w:tcPr>
            <w:tcW w:w="1523" w:type="dxa"/>
            <w:shd w:val="clear" w:color="000000" w:fill="auto"/>
            <w:noWrap/>
          </w:tcPr>
          <w:p w:rsidR="001E7BB4" w:rsidRPr="007930B0" w:rsidRDefault="001E7BB4" w:rsidP="002D2BBC">
            <w:pPr>
              <w:spacing w:before="40" w:after="40" w:line="220" w:lineRule="exact"/>
              <w:ind w:right="113"/>
              <w:rPr>
                <w:sz w:val="18"/>
              </w:rPr>
            </w:pPr>
            <w:r w:rsidRPr="007930B0">
              <w:rPr>
                <w:sz w:val="18"/>
              </w:rPr>
              <w:t>Hodh El Gharbi</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129,5</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152,7</w:t>
            </w:r>
          </w:p>
        </w:tc>
        <w:tc>
          <w:tcPr>
            <w:tcW w:w="651"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140,9</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155,5</w:t>
            </w:r>
          </w:p>
        </w:tc>
        <w:tc>
          <w:tcPr>
            <w:tcW w:w="650"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172,5</w:t>
            </w:r>
          </w:p>
        </w:tc>
        <w:tc>
          <w:tcPr>
            <w:tcW w:w="650"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163,9</w:t>
            </w:r>
          </w:p>
        </w:tc>
        <w:tc>
          <w:tcPr>
            <w:tcW w:w="650"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114,6</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137,3</w:t>
            </w:r>
          </w:p>
        </w:tc>
        <w:tc>
          <w:tcPr>
            <w:tcW w:w="650"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125,6</w:t>
            </w:r>
          </w:p>
        </w:tc>
      </w:tr>
      <w:tr w:rsidR="002D2BBC" w:rsidRPr="007930B0">
        <w:trPr>
          <w:trHeight w:val="225"/>
        </w:trPr>
        <w:tc>
          <w:tcPr>
            <w:tcW w:w="1523" w:type="dxa"/>
            <w:shd w:val="clear" w:color="000000" w:fill="auto"/>
            <w:noWrap/>
          </w:tcPr>
          <w:p w:rsidR="001E7BB4" w:rsidRPr="007930B0" w:rsidRDefault="001E7BB4" w:rsidP="002D2BBC">
            <w:pPr>
              <w:spacing w:before="40" w:after="40" w:line="220" w:lineRule="exact"/>
              <w:ind w:right="113"/>
              <w:rPr>
                <w:sz w:val="18"/>
              </w:rPr>
            </w:pPr>
            <w:r w:rsidRPr="007930B0">
              <w:rPr>
                <w:sz w:val="18"/>
              </w:rPr>
              <w:t>Assaba</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122</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127,4</w:t>
            </w:r>
          </w:p>
        </w:tc>
        <w:tc>
          <w:tcPr>
            <w:tcW w:w="651"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124,6</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151,3</w:t>
            </w:r>
          </w:p>
        </w:tc>
        <w:tc>
          <w:tcPr>
            <w:tcW w:w="650"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157,7</w:t>
            </w:r>
          </w:p>
        </w:tc>
        <w:tc>
          <w:tcPr>
            <w:tcW w:w="650"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154,4</w:t>
            </w:r>
          </w:p>
        </w:tc>
        <w:tc>
          <w:tcPr>
            <w:tcW w:w="650"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137,5</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139,6</w:t>
            </w:r>
          </w:p>
        </w:tc>
        <w:tc>
          <w:tcPr>
            <w:tcW w:w="650"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138,5</w:t>
            </w:r>
          </w:p>
        </w:tc>
      </w:tr>
      <w:tr w:rsidR="002D2BBC" w:rsidRPr="007930B0">
        <w:trPr>
          <w:trHeight w:val="225"/>
        </w:trPr>
        <w:tc>
          <w:tcPr>
            <w:tcW w:w="1523" w:type="dxa"/>
            <w:shd w:val="clear" w:color="000000" w:fill="auto"/>
            <w:noWrap/>
          </w:tcPr>
          <w:p w:rsidR="001E7BB4" w:rsidRPr="007930B0" w:rsidRDefault="001E7BB4" w:rsidP="002D2BBC">
            <w:pPr>
              <w:spacing w:before="40" w:after="40" w:line="220" w:lineRule="exact"/>
              <w:ind w:right="113"/>
              <w:rPr>
                <w:sz w:val="18"/>
              </w:rPr>
            </w:pPr>
            <w:r w:rsidRPr="007930B0">
              <w:rPr>
                <w:sz w:val="18"/>
              </w:rPr>
              <w:t>Gorgol</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125</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125,6</w:t>
            </w:r>
          </w:p>
        </w:tc>
        <w:tc>
          <w:tcPr>
            <w:tcW w:w="651"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125,3</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119,9</w:t>
            </w:r>
          </w:p>
        </w:tc>
        <w:tc>
          <w:tcPr>
            <w:tcW w:w="650"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118,6</w:t>
            </w:r>
          </w:p>
        </w:tc>
        <w:tc>
          <w:tcPr>
            <w:tcW w:w="650"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119,2</w:t>
            </w:r>
          </w:p>
        </w:tc>
        <w:tc>
          <w:tcPr>
            <w:tcW w:w="650"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126</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127,2</w:t>
            </w:r>
          </w:p>
        </w:tc>
        <w:tc>
          <w:tcPr>
            <w:tcW w:w="650"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126,6</w:t>
            </w:r>
          </w:p>
        </w:tc>
      </w:tr>
      <w:tr w:rsidR="002D2BBC" w:rsidRPr="007930B0">
        <w:trPr>
          <w:trHeight w:val="225"/>
        </w:trPr>
        <w:tc>
          <w:tcPr>
            <w:tcW w:w="1523" w:type="dxa"/>
            <w:shd w:val="clear" w:color="000000" w:fill="auto"/>
            <w:noWrap/>
          </w:tcPr>
          <w:p w:rsidR="001E7BB4" w:rsidRPr="007930B0" w:rsidRDefault="001E7BB4" w:rsidP="002D2BBC">
            <w:pPr>
              <w:spacing w:before="40" w:after="40" w:line="220" w:lineRule="exact"/>
              <w:ind w:right="113"/>
              <w:rPr>
                <w:sz w:val="18"/>
              </w:rPr>
            </w:pPr>
            <w:r w:rsidRPr="007930B0">
              <w:rPr>
                <w:sz w:val="18"/>
              </w:rPr>
              <w:t>Brakna</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99</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104,7</w:t>
            </w:r>
          </w:p>
        </w:tc>
        <w:tc>
          <w:tcPr>
            <w:tcW w:w="651"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101,7</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115,7</w:t>
            </w:r>
          </w:p>
        </w:tc>
        <w:tc>
          <w:tcPr>
            <w:tcW w:w="650"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114,5</w:t>
            </w:r>
          </w:p>
        </w:tc>
        <w:tc>
          <w:tcPr>
            <w:tcW w:w="650"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115,1</w:t>
            </w:r>
          </w:p>
        </w:tc>
        <w:tc>
          <w:tcPr>
            <w:tcW w:w="650"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128,3</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134,8</w:t>
            </w:r>
          </w:p>
        </w:tc>
        <w:tc>
          <w:tcPr>
            <w:tcW w:w="650"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131,5</w:t>
            </w:r>
          </w:p>
        </w:tc>
      </w:tr>
      <w:tr w:rsidR="002D2BBC" w:rsidRPr="007930B0">
        <w:trPr>
          <w:trHeight w:val="225"/>
        </w:trPr>
        <w:tc>
          <w:tcPr>
            <w:tcW w:w="1523" w:type="dxa"/>
            <w:shd w:val="clear" w:color="000000" w:fill="auto"/>
            <w:noWrap/>
          </w:tcPr>
          <w:p w:rsidR="001E7BB4" w:rsidRPr="007930B0" w:rsidRDefault="001E7BB4" w:rsidP="002D2BBC">
            <w:pPr>
              <w:spacing w:before="40" w:after="40" w:line="220" w:lineRule="exact"/>
              <w:ind w:right="113"/>
              <w:rPr>
                <w:sz w:val="18"/>
              </w:rPr>
            </w:pPr>
            <w:r w:rsidRPr="007930B0">
              <w:rPr>
                <w:sz w:val="18"/>
              </w:rPr>
              <w:t>Trarza</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109,5</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110,9</w:t>
            </w:r>
          </w:p>
        </w:tc>
        <w:tc>
          <w:tcPr>
            <w:tcW w:w="651"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110,2</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120</w:t>
            </w:r>
          </w:p>
        </w:tc>
        <w:tc>
          <w:tcPr>
            <w:tcW w:w="650"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122,5</w:t>
            </w:r>
          </w:p>
        </w:tc>
        <w:tc>
          <w:tcPr>
            <w:tcW w:w="650"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121,3</w:t>
            </w:r>
          </w:p>
        </w:tc>
        <w:tc>
          <w:tcPr>
            <w:tcW w:w="650"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131,2</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134,4</w:t>
            </w:r>
          </w:p>
        </w:tc>
        <w:tc>
          <w:tcPr>
            <w:tcW w:w="650"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132,8</w:t>
            </w:r>
          </w:p>
        </w:tc>
      </w:tr>
      <w:tr w:rsidR="002D2BBC" w:rsidRPr="007930B0">
        <w:trPr>
          <w:trHeight w:val="225"/>
        </w:trPr>
        <w:tc>
          <w:tcPr>
            <w:tcW w:w="1523" w:type="dxa"/>
            <w:shd w:val="clear" w:color="000000" w:fill="auto"/>
            <w:noWrap/>
          </w:tcPr>
          <w:p w:rsidR="001E7BB4" w:rsidRPr="007930B0" w:rsidRDefault="001E7BB4" w:rsidP="002D2BBC">
            <w:pPr>
              <w:spacing w:before="40" w:after="40" w:line="220" w:lineRule="exact"/>
              <w:ind w:right="113"/>
              <w:rPr>
                <w:sz w:val="18"/>
              </w:rPr>
            </w:pPr>
            <w:r w:rsidRPr="007930B0">
              <w:rPr>
                <w:sz w:val="18"/>
              </w:rPr>
              <w:t>Adrar</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136,6</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126,7</w:t>
            </w:r>
          </w:p>
        </w:tc>
        <w:tc>
          <w:tcPr>
            <w:tcW w:w="651"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131,7</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135</w:t>
            </w:r>
          </w:p>
        </w:tc>
        <w:tc>
          <w:tcPr>
            <w:tcW w:w="650"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123,7</w:t>
            </w:r>
          </w:p>
        </w:tc>
        <w:tc>
          <w:tcPr>
            <w:tcW w:w="650"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129,5</w:t>
            </w:r>
          </w:p>
        </w:tc>
        <w:tc>
          <w:tcPr>
            <w:tcW w:w="650"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135,9</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125,3</w:t>
            </w:r>
          </w:p>
        </w:tc>
        <w:tc>
          <w:tcPr>
            <w:tcW w:w="650"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130,7</w:t>
            </w:r>
          </w:p>
        </w:tc>
      </w:tr>
      <w:tr w:rsidR="002D2BBC" w:rsidRPr="007930B0">
        <w:trPr>
          <w:trHeight w:val="225"/>
        </w:trPr>
        <w:tc>
          <w:tcPr>
            <w:tcW w:w="1523" w:type="dxa"/>
            <w:shd w:val="clear" w:color="000000" w:fill="auto"/>
            <w:noWrap/>
          </w:tcPr>
          <w:p w:rsidR="001E7BB4" w:rsidRPr="007930B0" w:rsidRDefault="001E7BB4" w:rsidP="002D2BBC">
            <w:pPr>
              <w:spacing w:before="40" w:after="40" w:line="220" w:lineRule="exact"/>
              <w:ind w:right="113"/>
              <w:rPr>
                <w:sz w:val="18"/>
              </w:rPr>
            </w:pPr>
            <w:r w:rsidRPr="007930B0">
              <w:rPr>
                <w:sz w:val="18"/>
              </w:rPr>
              <w:t>Nuadhibu</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107,5</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113,3</w:t>
            </w:r>
          </w:p>
        </w:tc>
        <w:tc>
          <w:tcPr>
            <w:tcW w:w="651"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110,3</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94,8</w:t>
            </w:r>
          </w:p>
        </w:tc>
        <w:tc>
          <w:tcPr>
            <w:tcW w:w="650"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97,8</w:t>
            </w:r>
          </w:p>
        </w:tc>
        <w:tc>
          <w:tcPr>
            <w:tcW w:w="650"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96,3</w:t>
            </w:r>
          </w:p>
        </w:tc>
        <w:tc>
          <w:tcPr>
            <w:tcW w:w="650"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122,8</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136,5</w:t>
            </w:r>
          </w:p>
        </w:tc>
        <w:tc>
          <w:tcPr>
            <w:tcW w:w="650"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124,6</w:t>
            </w:r>
          </w:p>
        </w:tc>
      </w:tr>
      <w:tr w:rsidR="002D2BBC" w:rsidRPr="007930B0">
        <w:trPr>
          <w:trHeight w:val="225"/>
        </w:trPr>
        <w:tc>
          <w:tcPr>
            <w:tcW w:w="1523" w:type="dxa"/>
            <w:shd w:val="clear" w:color="000000" w:fill="auto"/>
            <w:noWrap/>
          </w:tcPr>
          <w:p w:rsidR="001E7BB4" w:rsidRPr="007930B0" w:rsidRDefault="001E7BB4" w:rsidP="002D2BBC">
            <w:pPr>
              <w:spacing w:before="40" w:after="40" w:line="220" w:lineRule="exact"/>
              <w:ind w:right="113"/>
              <w:rPr>
                <w:sz w:val="18"/>
              </w:rPr>
            </w:pPr>
            <w:r w:rsidRPr="007930B0">
              <w:rPr>
                <w:sz w:val="18"/>
              </w:rPr>
              <w:t>Tagant</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144,3</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143,8</w:t>
            </w:r>
          </w:p>
        </w:tc>
        <w:tc>
          <w:tcPr>
            <w:tcW w:w="651"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144,1</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163,3</w:t>
            </w:r>
          </w:p>
        </w:tc>
        <w:tc>
          <w:tcPr>
            <w:tcW w:w="650"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169,7</w:t>
            </w:r>
          </w:p>
        </w:tc>
        <w:tc>
          <w:tcPr>
            <w:tcW w:w="650"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166,4</w:t>
            </w:r>
          </w:p>
        </w:tc>
        <w:tc>
          <w:tcPr>
            <w:tcW w:w="650"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203,4</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197,6</w:t>
            </w:r>
          </w:p>
        </w:tc>
        <w:tc>
          <w:tcPr>
            <w:tcW w:w="650"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200,5</w:t>
            </w:r>
          </w:p>
        </w:tc>
      </w:tr>
      <w:tr w:rsidR="002D2BBC" w:rsidRPr="007930B0">
        <w:trPr>
          <w:trHeight w:val="225"/>
        </w:trPr>
        <w:tc>
          <w:tcPr>
            <w:tcW w:w="1523" w:type="dxa"/>
            <w:shd w:val="clear" w:color="000000" w:fill="auto"/>
            <w:noWrap/>
          </w:tcPr>
          <w:p w:rsidR="001E7BB4" w:rsidRPr="007930B0" w:rsidRDefault="001E7BB4" w:rsidP="002D2BBC">
            <w:pPr>
              <w:spacing w:before="40" w:after="40" w:line="220" w:lineRule="exact"/>
              <w:ind w:right="113"/>
              <w:rPr>
                <w:sz w:val="18"/>
              </w:rPr>
            </w:pPr>
            <w:r w:rsidRPr="007930B0">
              <w:rPr>
                <w:sz w:val="18"/>
              </w:rPr>
              <w:t>Guidimakha</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114,1</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123,9</w:t>
            </w:r>
          </w:p>
        </w:tc>
        <w:tc>
          <w:tcPr>
            <w:tcW w:w="651"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118,8</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112,9</w:t>
            </w:r>
          </w:p>
        </w:tc>
        <w:tc>
          <w:tcPr>
            <w:tcW w:w="650"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116,7</w:t>
            </w:r>
          </w:p>
        </w:tc>
        <w:tc>
          <w:tcPr>
            <w:tcW w:w="650"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114,7</w:t>
            </w:r>
          </w:p>
        </w:tc>
        <w:tc>
          <w:tcPr>
            <w:tcW w:w="650"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121,8</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132,7</w:t>
            </w:r>
          </w:p>
        </w:tc>
        <w:tc>
          <w:tcPr>
            <w:tcW w:w="650"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127</w:t>
            </w:r>
          </w:p>
        </w:tc>
      </w:tr>
      <w:tr w:rsidR="002D2BBC" w:rsidRPr="007930B0">
        <w:trPr>
          <w:trHeight w:val="225"/>
        </w:trPr>
        <w:tc>
          <w:tcPr>
            <w:tcW w:w="1523" w:type="dxa"/>
            <w:shd w:val="clear" w:color="000000" w:fill="auto"/>
            <w:noWrap/>
          </w:tcPr>
          <w:p w:rsidR="001E7BB4" w:rsidRPr="007930B0" w:rsidRDefault="001E7BB4" w:rsidP="002D2BBC">
            <w:pPr>
              <w:spacing w:before="40" w:after="40" w:line="220" w:lineRule="exact"/>
              <w:ind w:right="113"/>
              <w:rPr>
                <w:sz w:val="18"/>
              </w:rPr>
            </w:pPr>
            <w:r w:rsidRPr="007930B0">
              <w:rPr>
                <w:sz w:val="18"/>
              </w:rPr>
              <w:t>Tiris Zemmour</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106,5</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93,1</w:t>
            </w:r>
          </w:p>
        </w:tc>
        <w:tc>
          <w:tcPr>
            <w:tcW w:w="651"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99,8</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101,9</w:t>
            </w:r>
          </w:p>
        </w:tc>
        <w:tc>
          <w:tcPr>
            <w:tcW w:w="650"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91,6</w:t>
            </w:r>
          </w:p>
        </w:tc>
        <w:tc>
          <w:tcPr>
            <w:tcW w:w="650"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96,7</w:t>
            </w:r>
          </w:p>
        </w:tc>
        <w:tc>
          <w:tcPr>
            <w:tcW w:w="650"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131,7</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134,9</w:t>
            </w:r>
          </w:p>
        </w:tc>
        <w:tc>
          <w:tcPr>
            <w:tcW w:w="650"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133,2</w:t>
            </w:r>
          </w:p>
        </w:tc>
      </w:tr>
      <w:tr w:rsidR="002D2BBC" w:rsidRPr="007930B0">
        <w:trPr>
          <w:trHeight w:val="225"/>
        </w:trPr>
        <w:tc>
          <w:tcPr>
            <w:tcW w:w="1523" w:type="dxa"/>
            <w:shd w:val="clear" w:color="000000" w:fill="auto"/>
            <w:noWrap/>
          </w:tcPr>
          <w:p w:rsidR="001E7BB4" w:rsidRPr="007930B0" w:rsidRDefault="001E7BB4" w:rsidP="002D2BBC">
            <w:pPr>
              <w:spacing w:before="40" w:after="40" w:line="220" w:lineRule="exact"/>
              <w:ind w:right="113"/>
              <w:rPr>
                <w:sz w:val="18"/>
              </w:rPr>
            </w:pPr>
            <w:r w:rsidRPr="007930B0">
              <w:rPr>
                <w:sz w:val="18"/>
              </w:rPr>
              <w:t>Inchiri</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105,6</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64</w:t>
            </w:r>
          </w:p>
        </w:tc>
        <w:tc>
          <w:tcPr>
            <w:tcW w:w="651"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84,3</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122,5</w:t>
            </w:r>
          </w:p>
        </w:tc>
        <w:tc>
          <w:tcPr>
            <w:tcW w:w="650"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116,3</w:t>
            </w:r>
          </w:p>
        </w:tc>
        <w:tc>
          <w:tcPr>
            <w:tcW w:w="650"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119,4</w:t>
            </w:r>
          </w:p>
        </w:tc>
        <w:tc>
          <w:tcPr>
            <w:tcW w:w="650"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157,6</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122,2</w:t>
            </w:r>
          </w:p>
        </w:tc>
        <w:tc>
          <w:tcPr>
            <w:tcW w:w="650"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139,3</w:t>
            </w:r>
          </w:p>
        </w:tc>
      </w:tr>
      <w:tr w:rsidR="002D2BBC" w:rsidRPr="007930B0">
        <w:trPr>
          <w:trHeight w:val="225"/>
        </w:trPr>
        <w:tc>
          <w:tcPr>
            <w:tcW w:w="1523" w:type="dxa"/>
            <w:tcBorders>
              <w:bottom w:val="single" w:sz="4" w:space="0" w:color="auto"/>
            </w:tcBorders>
            <w:shd w:val="clear" w:color="000000" w:fill="auto"/>
            <w:noWrap/>
          </w:tcPr>
          <w:p w:rsidR="001E7BB4" w:rsidRPr="007930B0" w:rsidRDefault="001E7BB4" w:rsidP="002D2BBC">
            <w:pPr>
              <w:spacing w:before="40" w:after="40" w:line="220" w:lineRule="exact"/>
              <w:ind w:right="113"/>
              <w:rPr>
                <w:sz w:val="18"/>
              </w:rPr>
            </w:pPr>
            <w:r w:rsidRPr="007930B0">
              <w:rPr>
                <w:sz w:val="18"/>
              </w:rPr>
              <w:t>Nuakchot</w:t>
            </w:r>
          </w:p>
        </w:tc>
        <w:tc>
          <w:tcPr>
            <w:tcW w:w="649" w:type="dxa"/>
            <w:tcBorders>
              <w:bottom w:val="single" w:sz="4" w:space="0" w:color="auto"/>
            </w:tcBorders>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88,7</w:t>
            </w:r>
          </w:p>
        </w:tc>
        <w:tc>
          <w:tcPr>
            <w:tcW w:w="649" w:type="dxa"/>
            <w:tcBorders>
              <w:bottom w:val="single" w:sz="4" w:space="0" w:color="auto"/>
            </w:tcBorders>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93,7</w:t>
            </w:r>
          </w:p>
        </w:tc>
        <w:tc>
          <w:tcPr>
            <w:tcW w:w="651" w:type="dxa"/>
            <w:tcBorders>
              <w:bottom w:val="single" w:sz="4" w:space="0" w:color="auto"/>
            </w:tcBorders>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91,1</w:t>
            </w:r>
          </w:p>
        </w:tc>
        <w:tc>
          <w:tcPr>
            <w:tcW w:w="649" w:type="dxa"/>
            <w:tcBorders>
              <w:bottom w:val="single" w:sz="4" w:space="0" w:color="auto"/>
            </w:tcBorders>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79,1</w:t>
            </w:r>
          </w:p>
        </w:tc>
        <w:tc>
          <w:tcPr>
            <w:tcW w:w="650" w:type="dxa"/>
            <w:tcBorders>
              <w:bottom w:val="single" w:sz="4" w:space="0" w:color="auto"/>
            </w:tcBorders>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85,1</w:t>
            </w:r>
          </w:p>
        </w:tc>
        <w:tc>
          <w:tcPr>
            <w:tcW w:w="650" w:type="dxa"/>
            <w:tcBorders>
              <w:bottom w:val="single" w:sz="4" w:space="0" w:color="auto"/>
            </w:tcBorders>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82</w:t>
            </w:r>
          </w:p>
        </w:tc>
        <w:tc>
          <w:tcPr>
            <w:tcW w:w="650" w:type="dxa"/>
            <w:tcBorders>
              <w:bottom w:val="single" w:sz="4" w:space="0" w:color="auto"/>
            </w:tcBorders>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117,9</w:t>
            </w:r>
          </w:p>
        </w:tc>
        <w:tc>
          <w:tcPr>
            <w:tcW w:w="649" w:type="dxa"/>
            <w:tcBorders>
              <w:bottom w:val="single" w:sz="4" w:space="0" w:color="auto"/>
            </w:tcBorders>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127,1</w:t>
            </w:r>
          </w:p>
        </w:tc>
        <w:tc>
          <w:tcPr>
            <w:tcW w:w="650" w:type="dxa"/>
            <w:tcBorders>
              <w:bottom w:val="single" w:sz="4" w:space="0" w:color="auto"/>
            </w:tcBorders>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122,3</w:t>
            </w:r>
          </w:p>
        </w:tc>
      </w:tr>
      <w:tr w:rsidR="002D2BBC" w:rsidRPr="007930B0">
        <w:trPr>
          <w:trHeight w:val="225"/>
        </w:trPr>
        <w:tc>
          <w:tcPr>
            <w:tcW w:w="1523" w:type="dxa"/>
            <w:tcBorders>
              <w:top w:val="single" w:sz="4" w:space="0" w:color="auto"/>
              <w:bottom w:val="single" w:sz="4" w:space="0" w:color="auto"/>
            </w:tcBorders>
            <w:shd w:val="clear" w:color="000000" w:fill="auto"/>
            <w:noWrap/>
          </w:tcPr>
          <w:p w:rsidR="001E7BB4" w:rsidRPr="007930B0" w:rsidRDefault="001E7BB4" w:rsidP="002D2BBC">
            <w:pPr>
              <w:spacing w:before="80" w:after="80" w:line="220" w:lineRule="exact"/>
              <w:ind w:left="284" w:right="113"/>
              <w:rPr>
                <w:b/>
                <w:sz w:val="18"/>
              </w:rPr>
            </w:pPr>
            <w:r w:rsidRPr="007930B0">
              <w:rPr>
                <w:b/>
                <w:sz w:val="18"/>
              </w:rPr>
              <w:t>Total</w:t>
            </w:r>
          </w:p>
        </w:tc>
        <w:tc>
          <w:tcPr>
            <w:tcW w:w="649" w:type="dxa"/>
            <w:tcBorders>
              <w:top w:val="single" w:sz="4" w:space="0" w:color="auto"/>
              <w:bottom w:val="single" w:sz="4" w:space="0" w:color="auto"/>
            </w:tcBorders>
            <w:shd w:val="clear" w:color="000000" w:fill="auto"/>
            <w:noWrap/>
            <w:vAlign w:val="bottom"/>
          </w:tcPr>
          <w:p w:rsidR="001E7BB4" w:rsidRPr="007930B0" w:rsidRDefault="001E7BB4" w:rsidP="002D2BBC">
            <w:pPr>
              <w:spacing w:before="80" w:after="80" w:line="220" w:lineRule="exact"/>
              <w:ind w:right="113"/>
              <w:jc w:val="right"/>
              <w:rPr>
                <w:b/>
                <w:sz w:val="18"/>
              </w:rPr>
            </w:pPr>
            <w:r w:rsidRPr="007930B0">
              <w:rPr>
                <w:b/>
                <w:sz w:val="18"/>
              </w:rPr>
              <w:t>113,1</w:t>
            </w:r>
          </w:p>
        </w:tc>
        <w:tc>
          <w:tcPr>
            <w:tcW w:w="649" w:type="dxa"/>
            <w:tcBorders>
              <w:top w:val="single" w:sz="4" w:space="0" w:color="auto"/>
              <w:bottom w:val="single" w:sz="4" w:space="0" w:color="auto"/>
            </w:tcBorders>
            <w:shd w:val="clear" w:color="000000" w:fill="auto"/>
            <w:noWrap/>
            <w:vAlign w:val="bottom"/>
          </w:tcPr>
          <w:p w:rsidR="001E7BB4" w:rsidRPr="007930B0" w:rsidRDefault="001E7BB4" w:rsidP="002D2BBC">
            <w:pPr>
              <w:spacing w:before="80" w:after="80" w:line="220" w:lineRule="exact"/>
              <w:ind w:right="113"/>
              <w:jc w:val="right"/>
              <w:rPr>
                <w:b/>
                <w:sz w:val="18"/>
              </w:rPr>
            </w:pPr>
            <w:r w:rsidRPr="007930B0">
              <w:rPr>
                <w:b/>
                <w:sz w:val="18"/>
              </w:rPr>
              <w:t>118,7</w:t>
            </w:r>
          </w:p>
        </w:tc>
        <w:tc>
          <w:tcPr>
            <w:tcW w:w="651" w:type="dxa"/>
            <w:tcBorders>
              <w:top w:val="single" w:sz="4" w:space="0" w:color="auto"/>
              <w:bottom w:val="single" w:sz="4" w:space="0" w:color="auto"/>
            </w:tcBorders>
            <w:shd w:val="clear" w:color="000000" w:fill="auto"/>
            <w:noWrap/>
            <w:vAlign w:val="bottom"/>
          </w:tcPr>
          <w:p w:rsidR="001E7BB4" w:rsidRPr="00CC7CB3" w:rsidRDefault="001E7BB4" w:rsidP="002D2BBC">
            <w:pPr>
              <w:spacing w:before="80" w:after="80" w:line="220" w:lineRule="exact"/>
              <w:ind w:right="113"/>
              <w:jc w:val="right"/>
              <w:rPr>
                <w:b/>
                <w:sz w:val="18"/>
              </w:rPr>
            </w:pPr>
            <w:r w:rsidRPr="00CC7CB3">
              <w:rPr>
                <w:b/>
                <w:sz w:val="18"/>
              </w:rPr>
              <w:t>115,9</w:t>
            </w:r>
          </w:p>
        </w:tc>
        <w:tc>
          <w:tcPr>
            <w:tcW w:w="649" w:type="dxa"/>
            <w:tcBorders>
              <w:top w:val="single" w:sz="4" w:space="0" w:color="auto"/>
              <w:bottom w:val="single" w:sz="4" w:space="0" w:color="auto"/>
            </w:tcBorders>
            <w:shd w:val="clear" w:color="000000" w:fill="auto"/>
            <w:noWrap/>
            <w:vAlign w:val="bottom"/>
          </w:tcPr>
          <w:p w:rsidR="001E7BB4" w:rsidRPr="007930B0" w:rsidRDefault="001E7BB4" w:rsidP="002D2BBC">
            <w:pPr>
              <w:spacing w:before="80" w:after="80" w:line="220" w:lineRule="exact"/>
              <w:ind w:right="113"/>
              <w:jc w:val="right"/>
              <w:rPr>
                <w:b/>
                <w:sz w:val="18"/>
              </w:rPr>
            </w:pPr>
            <w:r w:rsidRPr="007930B0">
              <w:rPr>
                <w:b/>
                <w:sz w:val="18"/>
              </w:rPr>
              <w:t>117,5</w:t>
            </w:r>
          </w:p>
        </w:tc>
        <w:tc>
          <w:tcPr>
            <w:tcW w:w="650" w:type="dxa"/>
            <w:tcBorders>
              <w:top w:val="single" w:sz="4" w:space="0" w:color="auto"/>
              <w:bottom w:val="single" w:sz="4" w:space="0" w:color="auto"/>
            </w:tcBorders>
            <w:shd w:val="clear" w:color="000000" w:fill="auto"/>
            <w:noWrap/>
            <w:vAlign w:val="bottom"/>
          </w:tcPr>
          <w:p w:rsidR="001E7BB4" w:rsidRPr="007930B0" w:rsidRDefault="001E7BB4" w:rsidP="002D2BBC">
            <w:pPr>
              <w:spacing w:before="80" w:after="80" w:line="220" w:lineRule="exact"/>
              <w:ind w:right="113"/>
              <w:jc w:val="right"/>
              <w:rPr>
                <w:b/>
                <w:sz w:val="18"/>
              </w:rPr>
            </w:pPr>
            <w:r w:rsidRPr="007930B0">
              <w:rPr>
                <w:b/>
                <w:sz w:val="18"/>
              </w:rPr>
              <w:t>121,3</w:t>
            </w:r>
          </w:p>
        </w:tc>
        <w:tc>
          <w:tcPr>
            <w:tcW w:w="650" w:type="dxa"/>
            <w:tcBorders>
              <w:top w:val="single" w:sz="4" w:space="0" w:color="auto"/>
              <w:bottom w:val="single" w:sz="4" w:space="0" w:color="auto"/>
            </w:tcBorders>
            <w:shd w:val="clear" w:color="000000" w:fill="auto"/>
            <w:noWrap/>
            <w:vAlign w:val="bottom"/>
          </w:tcPr>
          <w:p w:rsidR="001E7BB4" w:rsidRPr="00CC7CB3" w:rsidRDefault="001E7BB4" w:rsidP="002D2BBC">
            <w:pPr>
              <w:spacing w:before="80" w:after="80" w:line="220" w:lineRule="exact"/>
              <w:ind w:right="113"/>
              <w:jc w:val="right"/>
              <w:rPr>
                <w:b/>
                <w:sz w:val="18"/>
              </w:rPr>
            </w:pPr>
            <w:r w:rsidRPr="00CC7CB3">
              <w:rPr>
                <w:b/>
                <w:sz w:val="18"/>
              </w:rPr>
              <w:t>119,4</w:t>
            </w:r>
          </w:p>
        </w:tc>
        <w:tc>
          <w:tcPr>
            <w:tcW w:w="650" w:type="dxa"/>
            <w:tcBorders>
              <w:top w:val="single" w:sz="4" w:space="0" w:color="auto"/>
              <w:bottom w:val="single" w:sz="4" w:space="0" w:color="auto"/>
            </w:tcBorders>
            <w:shd w:val="clear" w:color="000000" w:fill="auto"/>
            <w:noWrap/>
            <w:vAlign w:val="bottom"/>
          </w:tcPr>
          <w:p w:rsidR="001E7BB4" w:rsidRPr="007930B0" w:rsidRDefault="001E7BB4" w:rsidP="002D2BBC">
            <w:pPr>
              <w:spacing w:before="80" w:after="80" w:line="220" w:lineRule="exact"/>
              <w:ind w:right="113"/>
              <w:jc w:val="right"/>
              <w:rPr>
                <w:b/>
                <w:sz w:val="18"/>
              </w:rPr>
            </w:pPr>
            <w:r w:rsidRPr="007930B0">
              <w:rPr>
                <w:b/>
                <w:sz w:val="18"/>
              </w:rPr>
              <w:t>117,2</w:t>
            </w:r>
          </w:p>
        </w:tc>
        <w:tc>
          <w:tcPr>
            <w:tcW w:w="649" w:type="dxa"/>
            <w:tcBorders>
              <w:top w:val="single" w:sz="4" w:space="0" w:color="auto"/>
              <w:bottom w:val="single" w:sz="4" w:space="0" w:color="auto"/>
            </w:tcBorders>
            <w:shd w:val="clear" w:color="000000" w:fill="auto"/>
            <w:noWrap/>
            <w:vAlign w:val="bottom"/>
          </w:tcPr>
          <w:p w:rsidR="001E7BB4" w:rsidRPr="007930B0" w:rsidRDefault="001E7BB4" w:rsidP="002D2BBC">
            <w:pPr>
              <w:spacing w:before="80" w:after="80" w:line="220" w:lineRule="exact"/>
              <w:ind w:right="113"/>
              <w:jc w:val="right"/>
              <w:rPr>
                <w:b/>
                <w:sz w:val="18"/>
              </w:rPr>
            </w:pPr>
            <w:r w:rsidRPr="007930B0">
              <w:rPr>
                <w:b/>
                <w:sz w:val="18"/>
              </w:rPr>
              <w:t>122,3</w:t>
            </w:r>
          </w:p>
        </w:tc>
        <w:tc>
          <w:tcPr>
            <w:tcW w:w="650" w:type="dxa"/>
            <w:tcBorders>
              <w:top w:val="single" w:sz="4" w:space="0" w:color="auto"/>
              <w:bottom w:val="single" w:sz="4" w:space="0" w:color="auto"/>
            </w:tcBorders>
            <w:shd w:val="clear" w:color="000000" w:fill="auto"/>
            <w:noWrap/>
            <w:vAlign w:val="bottom"/>
          </w:tcPr>
          <w:p w:rsidR="001E7BB4" w:rsidRPr="00CC7CB3" w:rsidRDefault="001E7BB4" w:rsidP="002D2BBC">
            <w:pPr>
              <w:spacing w:before="80" w:after="80" w:line="220" w:lineRule="exact"/>
              <w:ind w:right="113"/>
              <w:jc w:val="right"/>
              <w:rPr>
                <w:b/>
                <w:sz w:val="18"/>
              </w:rPr>
            </w:pPr>
            <w:r w:rsidRPr="00CC7CB3">
              <w:rPr>
                <w:b/>
                <w:sz w:val="18"/>
              </w:rPr>
              <w:t>119,7</w:t>
            </w:r>
          </w:p>
        </w:tc>
      </w:tr>
      <w:tr w:rsidR="002D2BBC" w:rsidRPr="007930B0">
        <w:trPr>
          <w:trHeight w:val="225"/>
        </w:trPr>
        <w:tc>
          <w:tcPr>
            <w:tcW w:w="1523" w:type="dxa"/>
            <w:tcBorders>
              <w:top w:val="single" w:sz="4" w:space="0" w:color="auto"/>
            </w:tcBorders>
            <w:shd w:val="clear" w:color="000000" w:fill="auto"/>
            <w:noWrap/>
          </w:tcPr>
          <w:p w:rsidR="001E7BB4" w:rsidRPr="007930B0" w:rsidRDefault="001E7BB4" w:rsidP="002D2BBC">
            <w:pPr>
              <w:spacing w:before="40" w:after="40" w:line="220" w:lineRule="exact"/>
              <w:ind w:right="113"/>
              <w:rPr>
                <w:sz w:val="18"/>
              </w:rPr>
            </w:pPr>
            <w:r w:rsidRPr="007930B0">
              <w:rPr>
                <w:sz w:val="18"/>
              </w:rPr>
              <w:t>Mínima</w:t>
            </w:r>
          </w:p>
        </w:tc>
        <w:tc>
          <w:tcPr>
            <w:tcW w:w="649" w:type="dxa"/>
            <w:tcBorders>
              <w:top w:val="single" w:sz="4" w:space="0" w:color="auto"/>
            </w:tcBorders>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88,7</w:t>
            </w:r>
          </w:p>
        </w:tc>
        <w:tc>
          <w:tcPr>
            <w:tcW w:w="649" w:type="dxa"/>
            <w:tcBorders>
              <w:top w:val="single" w:sz="4" w:space="0" w:color="auto"/>
            </w:tcBorders>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64</w:t>
            </w:r>
          </w:p>
        </w:tc>
        <w:tc>
          <w:tcPr>
            <w:tcW w:w="651" w:type="dxa"/>
            <w:tcBorders>
              <w:top w:val="single" w:sz="4" w:space="0" w:color="auto"/>
            </w:tcBorders>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84,3</w:t>
            </w:r>
          </w:p>
        </w:tc>
        <w:tc>
          <w:tcPr>
            <w:tcW w:w="649" w:type="dxa"/>
            <w:tcBorders>
              <w:top w:val="single" w:sz="4" w:space="0" w:color="auto"/>
            </w:tcBorders>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79,1</w:t>
            </w:r>
          </w:p>
        </w:tc>
        <w:tc>
          <w:tcPr>
            <w:tcW w:w="650" w:type="dxa"/>
            <w:tcBorders>
              <w:top w:val="single" w:sz="4" w:space="0" w:color="auto"/>
            </w:tcBorders>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85,1</w:t>
            </w:r>
          </w:p>
        </w:tc>
        <w:tc>
          <w:tcPr>
            <w:tcW w:w="650" w:type="dxa"/>
            <w:tcBorders>
              <w:top w:val="single" w:sz="4" w:space="0" w:color="auto"/>
            </w:tcBorders>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82</w:t>
            </w:r>
          </w:p>
        </w:tc>
        <w:tc>
          <w:tcPr>
            <w:tcW w:w="650" w:type="dxa"/>
            <w:tcBorders>
              <w:top w:val="single" w:sz="4" w:space="0" w:color="auto"/>
            </w:tcBorders>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114,6</w:t>
            </w:r>
          </w:p>
        </w:tc>
        <w:tc>
          <w:tcPr>
            <w:tcW w:w="649" w:type="dxa"/>
            <w:tcBorders>
              <w:top w:val="single" w:sz="4" w:space="0" w:color="auto"/>
            </w:tcBorders>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122,2</w:t>
            </w:r>
          </w:p>
        </w:tc>
        <w:tc>
          <w:tcPr>
            <w:tcW w:w="650" w:type="dxa"/>
            <w:tcBorders>
              <w:top w:val="single" w:sz="4" w:space="0" w:color="auto"/>
            </w:tcBorders>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122,3</w:t>
            </w:r>
          </w:p>
        </w:tc>
      </w:tr>
      <w:tr w:rsidR="002D2BBC" w:rsidRPr="007930B0">
        <w:trPr>
          <w:trHeight w:val="225"/>
        </w:trPr>
        <w:tc>
          <w:tcPr>
            <w:tcW w:w="1523" w:type="dxa"/>
            <w:shd w:val="clear" w:color="000000" w:fill="auto"/>
            <w:noWrap/>
          </w:tcPr>
          <w:p w:rsidR="001E7BB4" w:rsidRPr="007930B0" w:rsidRDefault="001E7BB4" w:rsidP="002D2BBC">
            <w:pPr>
              <w:spacing w:before="40" w:after="40" w:line="220" w:lineRule="exact"/>
              <w:ind w:right="113"/>
              <w:rPr>
                <w:sz w:val="18"/>
              </w:rPr>
            </w:pPr>
            <w:r w:rsidRPr="007930B0">
              <w:rPr>
                <w:sz w:val="18"/>
              </w:rPr>
              <w:t>Máxima</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144,3</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152,7</w:t>
            </w:r>
          </w:p>
        </w:tc>
        <w:tc>
          <w:tcPr>
            <w:tcW w:w="651"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144,1</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163,3</w:t>
            </w:r>
          </w:p>
        </w:tc>
        <w:tc>
          <w:tcPr>
            <w:tcW w:w="650"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172,5</w:t>
            </w:r>
          </w:p>
        </w:tc>
        <w:tc>
          <w:tcPr>
            <w:tcW w:w="650"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166,4</w:t>
            </w:r>
          </w:p>
        </w:tc>
        <w:tc>
          <w:tcPr>
            <w:tcW w:w="650"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203,4</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197,6</w:t>
            </w:r>
          </w:p>
        </w:tc>
        <w:tc>
          <w:tcPr>
            <w:tcW w:w="650"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200,5</w:t>
            </w:r>
          </w:p>
        </w:tc>
      </w:tr>
      <w:tr w:rsidR="002D2BBC" w:rsidRPr="007930B0">
        <w:trPr>
          <w:trHeight w:val="225"/>
        </w:trPr>
        <w:tc>
          <w:tcPr>
            <w:tcW w:w="1523" w:type="dxa"/>
            <w:shd w:val="clear" w:color="000000" w:fill="auto"/>
            <w:noWrap/>
          </w:tcPr>
          <w:p w:rsidR="001E7BB4" w:rsidRPr="007930B0" w:rsidRDefault="001E7BB4" w:rsidP="002D2BBC">
            <w:pPr>
              <w:spacing w:before="40" w:after="40" w:line="220" w:lineRule="exact"/>
              <w:ind w:right="113"/>
              <w:rPr>
                <w:sz w:val="18"/>
              </w:rPr>
            </w:pPr>
            <w:r w:rsidRPr="007930B0">
              <w:rPr>
                <w:sz w:val="18"/>
              </w:rPr>
              <w:t>Desviación estándar</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16,1</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23,9</w:t>
            </w:r>
          </w:p>
        </w:tc>
        <w:tc>
          <w:tcPr>
            <w:tcW w:w="651"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19</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24,1</w:t>
            </w:r>
          </w:p>
        </w:tc>
        <w:tc>
          <w:tcPr>
            <w:tcW w:w="650"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27,5</w:t>
            </w:r>
          </w:p>
        </w:tc>
        <w:tc>
          <w:tcPr>
            <w:tcW w:w="650"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25,6</w:t>
            </w:r>
          </w:p>
        </w:tc>
        <w:tc>
          <w:tcPr>
            <w:tcW w:w="650"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23,4</w:t>
            </w:r>
          </w:p>
        </w:tc>
        <w:tc>
          <w:tcPr>
            <w:tcW w:w="649" w:type="dxa"/>
            <w:shd w:val="clear" w:color="000000" w:fill="auto"/>
            <w:noWrap/>
            <w:vAlign w:val="bottom"/>
          </w:tcPr>
          <w:p w:rsidR="001E7BB4" w:rsidRPr="007930B0" w:rsidRDefault="001E7BB4" w:rsidP="002D2BBC">
            <w:pPr>
              <w:spacing w:before="40" w:after="40" w:line="220" w:lineRule="exact"/>
              <w:ind w:right="113"/>
              <w:jc w:val="right"/>
              <w:rPr>
                <w:sz w:val="18"/>
              </w:rPr>
            </w:pPr>
            <w:r w:rsidRPr="007930B0">
              <w:rPr>
                <w:sz w:val="18"/>
              </w:rPr>
              <w:t>18,9</w:t>
            </w:r>
          </w:p>
        </w:tc>
        <w:tc>
          <w:tcPr>
            <w:tcW w:w="650" w:type="dxa"/>
            <w:shd w:val="clear" w:color="000000" w:fill="auto"/>
            <w:noWrap/>
            <w:vAlign w:val="bottom"/>
          </w:tcPr>
          <w:p w:rsidR="001E7BB4" w:rsidRPr="00CC7CB3" w:rsidRDefault="001E7BB4" w:rsidP="002D2BBC">
            <w:pPr>
              <w:spacing w:before="40" w:after="40" w:line="220" w:lineRule="exact"/>
              <w:ind w:right="113"/>
              <w:jc w:val="right"/>
              <w:rPr>
                <w:b/>
                <w:sz w:val="18"/>
              </w:rPr>
            </w:pPr>
            <w:r w:rsidRPr="00CC7CB3">
              <w:rPr>
                <w:b/>
                <w:sz w:val="18"/>
              </w:rPr>
              <w:t>20,3</w:t>
            </w:r>
          </w:p>
        </w:tc>
      </w:tr>
    </w:tbl>
    <w:p w:rsidR="001E7BB4" w:rsidRPr="007930B0" w:rsidRDefault="001E7BB4" w:rsidP="002D2BBC">
      <w:pPr>
        <w:pStyle w:val="SingleTxtG"/>
        <w:spacing w:before="240"/>
        <w:rPr>
          <w:lang w:val="es-ES"/>
        </w:rPr>
      </w:pPr>
      <w:r w:rsidRPr="007930B0">
        <w:rPr>
          <w:lang w:val="es-ES"/>
        </w:rPr>
        <w:t>414.</w:t>
      </w:r>
      <w:r w:rsidRPr="007930B0">
        <w:rPr>
          <w:lang w:val="es-ES"/>
        </w:rPr>
        <w:tab/>
        <w:t xml:space="preserve">Si se desglosa la tasa bruta de admisión por sexo, se observa que la tasa bruta de admisión femenina en 2005/06 superó en 5,1 puntos a la tasa bruta de admisión masculina (122,3% frente a 117,2%). Esta ventaja a favor de las niñas se registró en 10 de las 13 </w:t>
      </w:r>
      <w:r w:rsidRPr="007930B0">
        <w:rPr>
          <w:i/>
          <w:iCs/>
          <w:lang w:val="es-ES"/>
        </w:rPr>
        <w:t>wilayas</w:t>
      </w:r>
      <w:r w:rsidRPr="007930B0">
        <w:rPr>
          <w:lang w:val="es-ES"/>
        </w:rPr>
        <w:t xml:space="preserve">. Las </w:t>
      </w:r>
      <w:r w:rsidRPr="007930B0">
        <w:rPr>
          <w:i/>
          <w:iCs/>
          <w:lang w:val="es-ES"/>
        </w:rPr>
        <w:t>wilayas</w:t>
      </w:r>
      <w:r w:rsidRPr="007930B0">
        <w:rPr>
          <w:lang w:val="es-ES"/>
        </w:rPr>
        <w:t xml:space="preserve"> en las que las niñas continúan rezagadas con respecto a los varones (en lo que respecta a la tasa bruta de admisión) son Adrar, Inchiri y Tagant. Cabe señalar que Tagant no se encontraba en esa situación el año anterior (2005/06).</w:t>
      </w:r>
    </w:p>
    <w:p w:rsidR="001E7BB4" w:rsidRPr="007930B0" w:rsidRDefault="00DB44A9" w:rsidP="00DB44A9">
      <w:pPr>
        <w:pStyle w:val="H4G"/>
        <w:rPr>
          <w:lang w:val="es-ES"/>
        </w:rPr>
      </w:pPr>
      <w:r w:rsidRPr="007930B0">
        <w:rPr>
          <w:lang w:val="es-ES"/>
        </w:rPr>
        <w:tab/>
      </w:r>
      <w:r w:rsidRPr="007930B0">
        <w:rPr>
          <w:lang w:val="es-ES"/>
        </w:rPr>
        <w:tab/>
      </w:r>
      <w:r w:rsidR="001E7BB4" w:rsidRPr="007930B0">
        <w:rPr>
          <w:lang w:val="es-ES"/>
        </w:rPr>
        <w:t>Porcentaje de escuelas completas</w:t>
      </w:r>
      <w:r w:rsidR="001E7BB4" w:rsidRPr="007930B0">
        <w:rPr>
          <w:rStyle w:val="FootnoteReference"/>
          <w:i w:val="0"/>
          <w:lang w:val="es-ES"/>
        </w:rPr>
        <w:footnoteReference w:id="36"/>
      </w:r>
    </w:p>
    <w:p w:rsidR="001E7BB4" w:rsidRPr="007930B0" w:rsidRDefault="001E7BB4" w:rsidP="00420414">
      <w:pPr>
        <w:pStyle w:val="SingleTxtG"/>
        <w:spacing w:line="230" w:lineRule="atLeast"/>
        <w:ind w:right="1138"/>
        <w:rPr>
          <w:lang w:val="es-ES"/>
        </w:rPr>
      </w:pPr>
      <w:r w:rsidRPr="007930B0">
        <w:rPr>
          <w:lang w:val="es-ES"/>
        </w:rPr>
        <w:t>415.</w:t>
      </w:r>
      <w:r w:rsidRPr="007930B0">
        <w:rPr>
          <w:lang w:val="es-ES"/>
        </w:rPr>
        <w:tab/>
        <w:t>La proporción de escuelas completas (escuelas públicas) en 2006/07 fue de 20,8% (733 de 3.521 escuelas), lo que confirma el ritmo de mejoría relativamente lento observado en estos últimos años, que sigue siendo muy inferior a la meta del PNDSE respecto de este indicador, que es de 45%. A pesar de esta mejora, que se debe probablemente a los esfuerzos desplegados en los últimos tres años para construir aulas e introducir las clases multigrado, será difícil alcanzar el objetivo del PNDSE para el año 2010.</w:t>
      </w:r>
    </w:p>
    <w:p w:rsidR="001E7BB4" w:rsidRPr="007930B0" w:rsidRDefault="001E7BB4" w:rsidP="00420414">
      <w:pPr>
        <w:pStyle w:val="SingleTxtG"/>
        <w:spacing w:line="230" w:lineRule="atLeast"/>
        <w:ind w:right="1138"/>
        <w:rPr>
          <w:lang w:val="es-ES"/>
        </w:rPr>
      </w:pPr>
      <w:r w:rsidRPr="007930B0">
        <w:rPr>
          <w:lang w:val="es-ES"/>
        </w:rPr>
        <w:t>416.</w:t>
      </w:r>
      <w:r w:rsidRPr="007930B0">
        <w:rPr>
          <w:lang w:val="es-ES"/>
        </w:rPr>
        <w:tab/>
        <w:t xml:space="preserve">Sin embargo, esta constatación a nivel nacional no debería ocultar la realidad imperante en el plano regional. La distribución de escuelas completas por </w:t>
      </w:r>
      <w:r w:rsidR="00CD15B7" w:rsidRPr="007930B0">
        <w:rPr>
          <w:i/>
          <w:lang w:val="es-ES"/>
        </w:rPr>
        <w:t>wilaya</w:t>
      </w:r>
      <w:r w:rsidRPr="007930B0">
        <w:rPr>
          <w:lang w:val="es-ES"/>
        </w:rPr>
        <w:t xml:space="preserve"> indica que su proporción varía entre 7,3% en Hodh El Gharbi y 97,5% en Nuakchot, es decir, una desviación estándar de 30,4 puntos (la desviación estándar en 2005/06 fue de 28,7 puntos). </w:t>
      </w:r>
    </w:p>
    <w:p w:rsidR="001E7BB4" w:rsidRPr="007930B0" w:rsidRDefault="001E7BB4" w:rsidP="00420414">
      <w:pPr>
        <w:pStyle w:val="SingleTxtG"/>
        <w:spacing w:line="230" w:lineRule="atLeast"/>
        <w:ind w:right="1138"/>
        <w:rPr>
          <w:lang w:val="es-ES"/>
        </w:rPr>
      </w:pPr>
      <w:r w:rsidRPr="007930B0">
        <w:rPr>
          <w:lang w:val="es-ES"/>
        </w:rPr>
        <w:t>417.</w:t>
      </w:r>
      <w:r w:rsidRPr="007930B0">
        <w:rPr>
          <w:lang w:val="es-ES"/>
        </w:rPr>
        <w:tab/>
        <w:t xml:space="preserve">El análisis de esta proporción por </w:t>
      </w:r>
      <w:r w:rsidR="00CD15B7" w:rsidRPr="007930B0">
        <w:rPr>
          <w:i/>
          <w:lang w:val="es-ES"/>
        </w:rPr>
        <w:t>wilaya</w:t>
      </w:r>
      <w:r w:rsidRPr="007930B0">
        <w:rPr>
          <w:lang w:val="es-ES"/>
        </w:rPr>
        <w:t xml:space="preserve"> permite distinguir dos perfiles principales:</w:t>
      </w:r>
    </w:p>
    <w:p w:rsidR="001E7BB4" w:rsidRPr="007930B0" w:rsidRDefault="001E7BB4" w:rsidP="00420414">
      <w:pPr>
        <w:pStyle w:val="Bullet1G"/>
        <w:spacing w:line="230" w:lineRule="atLeast"/>
        <w:ind w:right="1138"/>
        <w:rPr>
          <w:lang w:val="es-ES"/>
        </w:rPr>
      </w:pPr>
      <w:r w:rsidRPr="007930B0">
        <w:rPr>
          <w:lang w:val="es-ES"/>
        </w:rPr>
        <w:t xml:space="preserve">Las </w:t>
      </w:r>
      <w:r w:rsidRPr="007930B0">
        <w:rPr>
          <w:i/>
          <w:iCs/>
          <w:lang w:val="es-ES"/>
        </w:rPr>
        <w:t>wilayas</w:t>
      </w:r>
      <w:r w:rsidRPr="007930B0">
        <w:rPr>
          <w:lang w:val="es-ES"/>
        </w:rPr>
        <w:t xml:space="preserve"> donde el porcentaje de escuelas completas es superior al promedio nacional: Nuakchot (97,5%), Tiris Zemmour (81,8%), D. Nuadhibu (78,4%), Inchiri (29,2%), Trarza (28,5%), Adrar (27,8%) y Brakna (26,7%). A excepción de Inchiri, todas las </w:t>
      </w:r>
      <w:r w:rsidRPr="007930B0">
        <w:rPr>
          <w:i/>
          <w:iCs/>
          <w:lang w:val="es-ES"/>
        </w:rPr>
        <w:t>wilayas</w:t>
      </w:r>
      <w:r w:rsidRPr="007930B0">
        <w:rPr>
          <w:lang w:val="es-ES"/>
        </w:rPr>
        <w:t xml:space="preserve"> de este grupo registraron, entre 2005/06 y 2006/07, un incremento en la proporción de escuelas completas. Nuakchot, Tiris Zemmour y D. Nuadhibu </w:t>
      </w:r>
      <w:r w:rsidR="00CC7CB3">
        <w:rPr>
          <w:lang w:val="es-ES"/>
        </w:rPr>
        <w:t>ya superaron la meta del PNDSE.</w:t>
      </w:r>
    </w:p>
    <w:p w:rsidR="001E7BB4" w:rsidRPr="007930B0" w:rsidRDefault="001E7BB4" w:rsidP="00420414">
      <w:pPr>
        <w:pStyle w:val="Bullet1G"/>
        <w:spacing w:line="230" w:lineRule="atLeast"/>
        <w:ind w:right="1138"/>
        <w:rPr>
          <w:lang w:val="es-ES"/>
        </w:rPr>
      </w:pPr>
      <w:r w:rsidRPr="007930B0">
        <w:rPr>
          <w:lang w:val="es-ES"/>
        </w:rPr>
        <w:t xml:space="preserve">Las </w:t>
      </w:r>
      <w:r w:rsidRPr="007930B0">
        <w:rPr>
          <w:i/>
          <w:iCs/>
          <w:lang w:val="es-ES"/>
        </w:rPr>
        <w:t>wilayas</w:t>
      </w:r>
      <w:r w:rsidRPr="007930B0">
        <w:rPr>
          <w:lang w:val="es-ES"/>
        </w:rPr>
        <w:t xml:space="preserve"> donde las tasas están por debajo del nivel nacional: Guidimakha (19,2%), Gorgol (18,7%), Tagant (14,7%), Assaba (12,3%), Hodh El Charghi (7,5%) y Hodh El Gharbi (7,3%). Las </w:t>
      </w:r>
      <w:r w:rsidRPr="007930B0">
        <w:rPr>
          <w:i/>
          <w:iCs/>
          <w:lang w:val="es-ES"/>
        </w:rPr>
        <w:t>wilayas</w:t>
      </w:r>
      <w:r w:rsidRPr="007930B0">
        <w:rPr>
          <w:lang w:val="es-ES"/>
        </w:rPr>
        <w:t xml:space="preserve"> de Assaba y Gorgol sufrieron un ligero descenso entre 2002/06 y 2006/07. En las demás </w:t>
      </w:r>
      <w:r w:rsidRPr="007930B0">
        <w:rPr>
          <w:i/>
          <w:iCs/>
          <w:lang w:val="es-ES"/>
        </w:rPr>
        <w:t>wilayas</w:t>
      </w:r>
      <w:r w:rsidRPr="007930B0">
        <w:rPr>
          <w:lang w:val="es-ES"/>
        </w:rPr>
        <w:t xml:space="preserve">, las progresiones más significativas se registraron en Guidimakha (2,19 puntos). Todas las </w:t>
      </w:r>
      <w:r w:rsidRPr="007930B0">
        <w:rPr>
          <w:i/>
          <w:iCs/>
          <w:lang w:val="es-ES"/>
        </w:rPr>
        <w:t>wilayas</w:t>
      </w:r>
      <w:r w:rsidRPr="007930B0">
        <w:rPr>
          <w:lang w:val="es-ES"/>
        </w:rPr>
        <w:t xml:space="preserve"> de este grupo mostraron tasas muy inferiores a la meta del PNDSE en lo que respecta a la proporción de escuelas completas. </w:t>
      </w:r>
    </w:p>
    <w:p w:rsidR="001E7BB4" w:rsidRPr="007930B0" w:rsidRDefault="001E7BB4" w:rsidP="00420414">
      <w:pPr>
        <w:pStyle w:val="SingleTxtG"/>
        <w:spacing w:line="230" w:lineRule="atLeast"/>
        <w:ind w:right="1138"/>
        <w:rPr>
          <w:lang w:val="es-ES"/>
        </w:rPr>
      </w:pPr>
      <w:r w:rsidRPr="007930B0">
        <w:rPr>
          <w:lang w:val="es-ES"/>
        </w:rPr>
        <w:t>418.</w:t>
      </w:r>
      <w:r w:rsidRPr="007930B0">
        <w:rPr>
          <w:lang w:val="es-ES"/>
        </w:rPr>
        <w:tab/>
      </w:r>
      <w:r w:rsidRPr="007D43BE">
        <w:rPr>
          <w:spacing w:val="-2"/>
          <w:lang w:val="es-ES"/>
        </w:rPr>
        <w:t xml:space="preserve">En el cuadro siguiente se puede ver dicha evolución a lo largo de los años, por </w:t>
      </w:r>
      <w:r w:rsidR="00CD15B7" w:rsidRPr="007D43BE">
        <w:rPr>
          <w:i/>
          <w:spacing w:val="-2"/>
          <w:lang w:val="es-ES"/>
        </w:rPr>
        <w:t>wilaya</w:t>
      </w:r>
      <w:r w:rsidRPr="007D43BE">
        <w:rPr>
          <w:spacing w:val="-2"/>
          <w:lang w:val="es-ES"/>
        </w:rPr>
        <w:t>.</w:t>
      </w:r>
    </w:p>
    <w:p w:rsidR="00DB44A9" w:rsidRPr="007930B0" w:rsidRDefault="00DB44A9" w:rsidP="00DB44A9">
      <w:pPr>
        <w:pStyle w:val="Heading1"/>
        <w:rPr>
          <w:lang w:val="es-ES"/>
        </w:rPr>
      </w:pPr>
      <w:r w:rsidRPr="007930B0">
        <w:rPr>
          <w:lang w:val="es-ES"/>
        </w:rPr>
        <w:t>Cuadro 4</w:t>
      </w:r>
    </w:p>
    <w:p w:rsidR="001E7BB4" w:rsidRPr="007930B0" w:rsidRDefault="001E7BB4" w:rsidP="00DB44A9">
      <w:pPr>
        <w:pStyle w:val="SingleTxtG"/>
        <w:jc w:val="left"/>
        <w:rPr>
          <w:b/>
          <w:lang w:val="es-ES"/>
        </w:rPr>
      </w:pPr>
      <w:r w:rsidRPr="007930B0">
        <w:rPr>
          <w:b/>
          <w:lang w:val="es-ES"/>
        </w:rPr>
        <w:t xml:space="preserve">Evolución del porcentaje de escuelas completas por </w:t>
      </w:r>
      <w:r w:rsidRPr="007930B0">
        <w:rPr>
          <w:b/>
          <w:i/>
          <w:iCs/>
          <w:lang w:val="es-ES"/>
        </w:rPr>
        <w:t>wilaya</w:t>
      </w:r>
      <w:r w:rsidRPr="007930B0">
        <w:rPr>
          <w:b/>
          <w:lang w:val="es-ES"/>
        </w:rPr>
        <w:t>, entre 2004/05 y 2006/07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12"/>
        <w:gridCol w:w="1919"/>
        <w:gridCol w:w="1919"/>
        <w:gridCol w:w="1920"/>
      </w:tblGrid>
      <w:tr w:rsidR="001E7BB4" w:rsidRPr="007930B0">
        <w:trPr>
          <w:trHeight w:val="255"/>
          <w:tblHeader/>
        </w:trPr>
        <w:tc>
          <w:tcPr>
            <w:tcW w:w="1612" w:type="dxa"/>
            <w:tcBorders>
              <w:top w:val="single" w:sz="4" w:space="0" w:color="auto"/>
              <w:bottom w:val="single" w:sz="12" w:space="0" w:color="auto"/>
            </w:tcBorders>
            <w:shd w:val="clear" w:color="auto" w:fill="auto"/>
            <w:noWrap/>
            <w:vAlign w:val="bottom"/>
          </w:tcPr>
          <w:p w:rsidR="001E7BB4" w:rsidRPr="007930B0" w:rsidRDefault="001E7BB4" w:rsidP="00DB44A9">
            <w:pPr>
              <w:spacing w:before="80" w:after="80" w:line="200" w:lineRule="exact"/>
              <w:ind w:right="113"/>
              <w:rPr>
                <w:i/>
                <w:sz w:val="16"/>
              </w:rPr>
            </w:pPr>
            <w:r w:rsidRPr="007930B0">
              <w:rPr>
                <w:i/>
                <w:sz w:val="16"/>
              </w:rPr>
              <w:t>Wilayas</w:t>
            </w:r>
          </w:p>
        </w:tc>
        <w:tc>
          <w:tcPr>
            <w:tcW w:w="1919" w:type="dxa"/>
            <w:tcBorders>
              <w:top w:val="single" w:sz="4" w:space="0" w:color="auto"/>
              <w:bottom w:val="single" w:sz="12" w:space="0" w:color="auto"/>
            </w:tcBorders>
            <w:shd w:val="clear" w:color="auto" w:fill="auto"/>
            <w:noWrap/>
            <w:vAlign w:val="bottom"/>
          </w:tcPr>
          <w:p w:rsidR="001E7BB4" w:rsidRPr="007930B0" w:rsidRDefault="001E7BB4" w:rsidP="00DB44A9">
            <w:pPr>
              <w:spacing w:before="80" w:after="80" w:line="200" w:lineRule="exact"/>
              <w:ind w:right="113"/>
              <w:jc w:val="right"/>
              <w:rPr>
                <w:i/>
                <w:sz w:val="16"/>
              </w:rPr>
            </w:pPr>
            <w:r w:rsidRPr="007930B0">
              <w:rPr>
                <w:i/>
                <w:sz w:val="16"/>
              </w:rPr>
              <w:t>2004/05</w:t>
            </w:r>
          </w:p>
        </w:tc>
        <w:tc>
          <w:tcPr>
            <w:tcW w:w="1919" w:type="dxa"/>
            <w:tcBorders>
              <w:top w:val="single" w:sz="4" w:space="0" w:color="auto"/>
              <w:bottom w:val="single" w:sz="12" w:space="0" w:color="auto"/>
            </w:tcBorders>
            <w:shd w:val="clear" w:color="auto" w:fill="auto"/>
            <w:noWrap/>
            <w:vAlign w:val="bottom"/>
          </w:tcPr>
          <w:p w:rsidR="001E7BB4" w:rsidRPr="007930B0" w:rsidRDefault="001E7BB4" w:rsidP="00DB44A9">
            <w:pPr>
              <w:spacing w:before="80" w:after="80" w:line="200" w:lineRule="exact"/>
              <w:ind w:right="113"/>
              <w:jc w:val="right"/>
              <w:rPr>
                <w:i/>
                <w:sz w:val="16"/>
              </w:rPr>
            </w:pPr>
            <w:r w:rsidRPr="007930B0">
              <w:rPr>
                <w:i/>
                <w:sz w:val="16"/>
              </w:rPr>
              <w:t>2005/06</w:t>
            </w:r>
          </w:p>
        </w:tc>
        <w:tc>
          <w:tcPr>
            <w:tcW w:w="1920" w:type="dxa"/>
            <w:tcBorders>
              <w:top w:val="single" w:sz="4" w:space="0" w:color="auto"/>
              <w:bottom w:val="single" w:sz="12" w:space="0" w:color="auto"/>
            </w:tcBorders>
            <w:shd w:val="clear" w:color="auto" w:fill="auto"/>
            <w:noWrap/>
            <w:vAlign w:val="bottom"/>
          </w:tcPr>
          <w:p w:rsidR="001E7BB4" w:rsidRPr="007930B0" w:rsidRDefault="001E7BB4" w:rsidP="00DB44A9">
            <w:pPr>
              <w:spacing w:before="80" w:after="80" w:line="200" w:lineRule="exact"/>
              <w:ind w:right="113"/>
              <w:jc w:val="right"/>
              <w:rPr>
                <w:i/>
                <w:sz w:val="16"/>
              </w:rPr>
            </w:pPr>
            <w:r w:rsidRPr="007930B0">
              <w:rPr>
                <w:i/>
                <w:sz w:val="16"/>
              </w:rPr>
              <w:t>2006/07</w:t>
            </w:r>
          </w:p>
        </w:tc>
      </w:tr>
      <w:tr w:rsidR="001E7BB4" w:rsidRPr="007930B0">
        <w:trPr>
          <w:trHeight w:val="270"/>
        </w:trPr>
        <w:tc>
          <w:tcPr>
            <w:tcW w:w="1612" w:type="dxa"/>
            <w:tcBorders>
              <w:top w:val="single" w:sz="12" w:space="0" w:color="auto"/>
            </w:tcBorders>
            <w:shd w:val="clear" w:color="auto" w:fill="auto"/>
            <w:noWrap/>
          </w:tcPr>
          <w:p w:rsidR="001E7BB4" w:rsidRPr="007930B0" w:rsidRDefault="001E7BB4" w:rsidP="00DB44A9">
            <w:pPr>
              <w:spacing w:before="40" w:after="40" w:line="220" w:lineRule="exact"/>
              <w:ind w:right="113"/>
              <w:rPr>
                <w:sz w:val="18"/>
              </w:rPr>
            </w:pPr>
            <w:r w:rsidRPr="007930B0">
              <w:rPr>
                <w:sz w:val="18"/>
              </w:rPr>
              <w:t>Hodh Charghi</w:t>
            </w:r>
          </w:p>
        </w:tc>
        <w:tc>
          <w:tcPr>
            <w:tcW w:w="1919" w:type="dxa"/>
            <w:tcBorders>
              <w:top w:val="single" w:sz="12" w:space="0" w:color="auto"/>
            </w:tcBorders>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6,8</w:t>
            </w:r>
          </w:p>
        </w:tc>
        <w:tc>
          <w:tcPr>
            <w:tcW w:w="1919" w:type="dxa"/>
            <w:tcBorders>
              <w:top w:val="single" w:sz="12" w:space="0" w:color="auto"/>
            </w:tcBorders>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7,3</w:t>
            </w:r>
          </w:p>
        </w:tc>
        <w:tc>
          <w:tcPr>
            <w:tcW w:w="1920" w:type="dxa"/>
            <w:tcBorders>
              <w:top w:val="single" w:sz="12" w:space="0" w:color="auto"/>
            </w:tcBorders>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7,5</w:t>
            </w:r>
          </w:p>
        </w:tc>
      </w:tr>
      <w:tr w:rsidR="001E7BB4" w:rsidRPr="007930B0">
        <w:trPr>
          <w:trHeight w:val="270"/>
        </w:trPr>
        <w:tc>
          <w:tcPr>
            <w:tcW w:w="1612" w:type="dxa"/>
            <w:shd w:val="clear" w:color="auto" w:fill="auto"/>
            <w:noWrap/>
          </w:tcPr>
          <w:p w:rsidR="001E7BB4" w:rsidRPr="007930B0" w:rsidRDefault="001E7BB4" w:rsidP="00DB44A9">
            <w:pPr>
              <w:spacing w:before="40" w:after="40" w:line="220" w:lineRule="exact"/>
              <w:ind w:right="113"/>
              <w:rPr>
                <w:sz w:val="18"/>
              </w:rPr>
            </w:pPr>
            <w:r w:rsidRPr="007930B0">
              <w:rPr>
                <w:sz w:val="18"/>
              </w:rPr>
              <w:t>Hodh El Gharbi</w:t>
            </w:r>
          </w:p>
        </w:tc>
        <w:tc>
          <w:tcPr>
            <w:tcW w:w="1919"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7,2</w:t>
            </w:r>
          </w:p>
        </w:tc>
        <w:tc>
          <w:tcPr>
            <w:tcW w:w="1919"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7,1</w:t>
            </w:r>
          </w:p>
        </w:tc>
        <w:tc>
          <w:tcPr>
            <w:tcW w:w="1920"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7,3</w:t>
            </w:r>
          </w:p>
        </w:tc>
      </w:tr>
      <w:tr w:rsidR="001E7BB4" w:rsidRPr="007930B0">
        <w:trPr>
          <w:trHeight w:val="270"/>
        </w:trPr>
        <w:tc>
          <w:tcPr>
            <w:tcW w:w="1612" w:type="dxa"/>
            <w:shd w:val="clear" w:color="auto" w:fill="auto"/>
            <w:noWrap/>
          </w:tcPr>
          <w:p w:rsidR="001E7BB4" w:rsidRPr="007930B0" w:rsidRDefault="001E7BB4" w:rsidP="00DB44A9">
            <w:pPr>
              <w:spacing w:before="40" w:after="40" w:line="220" w:lineRule="exact"/>
              <w:ind w:right="113"/>
              <w:rPr>
                <w:sz w:val="18"/>
              </w:rPr>
            </w:pPr>
            <w:r w:rsidRPr="007930B0">
              <w:rPr>
                <w:sz w:val="18"/>
              </w:rPr>
              <w:t>Assaba</w:t>
            </w:r>
          </w:p>
        </w:tc>
        <w:tc>
          <w:tcPr>
            <w:tcW w:w="1919"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11,9</w:t>
            </w:r>
          </w:p>
        </w:tc>
        <w:tc>
          <w:tcPr>
            <w:tcW w:w="1919"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13</w:t>
            </w:r>
          </w:p>
        </w:tc>
        <w:tc>
          <w:tcPr>
            <w:tcW w:w="1920"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12,3</w:t>
            </w:r>
          </w:p>
        </w:tc>
      </w:tr>
      <w:tr w:rsidR="001E7BB4" w:rsidRPr="007930B0">
        <w:trPr>
          <w:trHeight w:val="270"/>
        </w:trPr>
        <w:tc>
          <w:tcPr>
            <w:tcW w:w="1612" w:type="dxa"/>
            <w:shd w:val="clear" w:color="auto" w:fill="auto"/>
            <w:noWrap/>
          </w:tcPr>
          <w:p w:rsidR="001E7BB4" w:rsidRPr="007930B0" w:rsidRDefault="001E7BB4" w:rsidP="00DB44A9">
            <w:pPr>
              <w:spacing w:before="40" w:after="40" w:line="220" w:lineRule="exact"/>
              <w:ind w:right="113"/>
              <w:rPr>
                <w:sz w:val="18"/>
              </w:rPr>
            </w:pPr>
            <w:r w:rsidRPr="007930B0">
              <w:rPr>
                <w:sz w:val="18"/>
              </w:rPr>
              <w:t>Gorgol</w:t>
            </w:r>
          </w:p>
        </w:tc>
        <w:tc>
          <w:tcPr>
            <w:tcW w:w="1919"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16,9</w:t>
            </w:r>
          </w:p>
        </w:tc>
        <w:tc>
          <w:tcPr>
            <w:tcW w:w="1919"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18,8</w:t>
            </w:r>
          </w:p>
        </w:tc>
        <w:tc>
          <w:tcPr>
            <w:tcW w:w="1920"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18,7</w:t>
            </w:r>
          </w:p>
        </w:tc>
      </w:tr>
      <w:tr w:rsidR="001E7BB4" w:rsidRPr="007930B0">
        <w:trPr>
          <w:trHeight w:val="270"/>
        </w:trPr>
        <w:tc>
          <w:tcPr>
            <w:tcW w:w="1612" w:type="dxa"/>
            <w:shd w:val="clear" w:color="auto" w:fill="auto"/>
            <w:noWrap/>
          </w:tcPr>
          <w:p w:rsidR="001E7BB4" w:rsidRPr="007930B0" w:rsidRDefault="001E7BB4" w:rsidP="00DB44A9">
            <w:pPr>
              <w:spacing w:before="40" w:after="40" w:line="220" w:lineRule="exact"/>
              <w:ind w:right="113"/>
              <w:rPr>
                <w:sz w:val="18"/>
              </w:rPr>
            </w:pPr>
            <w:r w:rsidRPr="007930B0">
              <w:rPr>
                <w:sz w:val="18"/>
              </w:rPr>
              <w:t>Brakna</w:t>
            </w:r>
          </w:p>
        </w:tc>
        <w:tc>
          <w:tcPr>
            <w:tcW w:w="1919"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22,1</w:t>
            </w:r>
          </w:p>
        </w:tc>
        <w:tc>
          <w:tcPr>
            <w:tcW w:w="1919"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23</w:t>
            </w:r>
          </w:p>
        </w:tc>
        <w:tc>
          <w:tcPr>
            <w:tcW w:w="1920"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26,7</w:t>
            </w:r>
          </w:p>
        </w:tc>
      </w:tr>
      <w:tr w:rsidR="001E7BB4" w:rsidRPr="007930B0">
        <w:trPr>
          <w:trHeight w:val="270"/>
        </w:trPr>
        <w:tc>
          <w:tcPr>
            <w:tcW w:w="1612" w:type="dxa"/>
            <w:shd w:val="clear" w:color="auto" w:fill="auto"/>
            <w:noWrap/>
          </w:tcPr>
          <w:p w:rsidR="001E7BB4" w:rsidRPr="007930B0" w:rsidRDefault="001E7BB4" w:rsidP="00DB44A9">
            <w:pPr>
              <w:spacing w:before="40" w:after="40" w:line="220" w:lineRule="exact"/>
              <w:ind w:right="113"/>
              <w:rPr>
                <w:sz w:val="18"/>
              </w:rPr>
            </w:pPr>
            <w:r w:rsidRPr="007930B0">
              <w:rPr>
                <w:sz w:val="18"/>
              </w:rPr>
              <w:t>Trarza</w:t>
            </w:r>
          </w:p>
        </w:tc>
        <w:tc>
          <w:tcPr>
            <w:tcW w:w="1919"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22,4</w:t>
            </w:r>
          </w:p>
        </w:tc>
        <w:tc>
          <w:tcPr>
            <w:tcW w:w="1919"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24,2</w:t>
            </w:r>
          </w:p>
        </w:tc>
        <w:tc>
          <w:tcPr>
            <w:tcW w:w="1920"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28,5</w:t>
            </w:r>
          </w:p>
        </w:tc>
      </w:tr>
      <w:tr w:rsidR="001E7BB4" w:rsidRPr="007930B0">
        <w:trPr>
          <w:trHeight w:val="270"/>
        </w:trPr>
        <w:tc>
          <w:tcPr>
            <w:tcW w:w="1612" w:type="dxa"/>
            <w:shd w:val="clear" w:color="auto" w:fill="auto"/>
            <w:noWrap/>
          </w:tcPr>
          <w:p w:rsidR="001E7BB4" w:rsidRPr="007930B0" w:rsidRDefault="001E7BB4" w:rsidP="00DB44A9">
            <w:pPr>
              <w:spacing w:before="40" w:after="40" w:line="220" w:lineRule="exact"/>
              <w:ind w:right="113"/>
              <w:rPr>
                <w:sz w:val="18"/>
              </w:rPr>
            </w:pPr>
            <w:r w:rsidRPr="007930B0">
              <w:rPr>
                <w:sz w:val="18"/>
              </w:rPr>
              <w:t>Adrar</w:t>
            </w:r>
          </w:p>
        </w:tc>
        <w:tc>
          <w:tcPr>
            <w:tcW w:w="1919"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22,3</w:t>
            </w:r>
          </w:p>
        </w:tc>
        <w:tc>
          <w:tcPr>
            <w:tcW w:w="1919"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25,7</w:t>
            </w:r>
          </w:p>
        </w:tc>
        <w:tc>
          <w:tcPr>
            <w:tcW w:w="1920"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27,8</w:t>
            </w:r>
          </w:p>
        </w:tc>
      </w:tr>
      <w:tr w:rsidR="001E7BB4" w:rsidRPr="007930B0">
        <w:trPr>
          <w:trHeight w:val="270"/>
        </w:trPr>
        <w:tc>
          <w:tcPr>
            <w:tcW w:w="1612" w:type="dxa"/>
            <w:shd w:val="clear" w:color="auto" w:fill="auto"/>
            <w:noWrap/>
          </w:tcPr>
          <w:p w:rsidR="001E7BB4" w:rsidRPr="007930B0" w:rsidRDefault="001E7BB4" w:rsidP="00DB44A9">
            <w:pPr>
              <w:spacing w:before="40" w:after="40" w:line="220" w:lineRule="exact"/>
              <w:ind w:right="113"/>
              <w:rPr>
                <w:sz w:val="18"/>
              </w:rPr>
            </w:pPr>
            <w:r w:rsidRPr="007930B0">
              <w:rPr>
                <w:sz w:val="18"/>
              </w:rPr>
              <w:t>Nuadhibu</w:t>
            </w:r>
          </w:p>
        </w:tc>
        <w:tc>
          <w:tcPr>
            <w:tcW w:w="1919"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79,4</w:t>
            </w:r>
          </w:p>
        </w:tc>
        <w:tc>
          <w:tcPr>
            <w:tcW w:w="1919"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76,3</w:t>
            </w:r>
          </w:p>
        </w:tc>
        <w:tc>
          <w:tcPr>
            <w:tcW w:w="1920"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78,4</w:t>
            </w:r>
          </w:p>
        </w:tc>
      </w:tr>
      <w:tr w:rsidR="001E7BB4" w:rsidRPr="007930B0">
        <w:trPr>
          <w:trHeight w:val="270"/>
        </w:trPr>
        <w:tc>
          <w:tcPr>
            <w:tcW w:w="1612" w:type="dxa"/>
            <w:shd w:val="clear" w:color="auto" w:fill="auto"/>
            <w:noWrap/>
          </w:tcPr>
          <w:p w:rsidR="001E7BB4" w:rsidRPr="007930B0" w:rsidRDefault="001E7BB4" w:rsidP="00DB44A9">
            <w:pPr>
              <w:spacing w:before="40" w:after="40" w:line="220" w:lineRule="exact"/>
              <w:ind w:right="113"/>
              <w:rPr>
                <w:sz w:val="18"/>
              </w:rPr>
            </w:pPr>
            <w:r w:rsidRPr="007930B0">
              <w:rPr>
                <w:sz w:val="18"/>
              </w:rPr>
              <w:t>Tagant</w:t>
            </w:r>
          </w:p>
        </w:tc>
        <w:tc>
          <w:tcPr>
            <w:tcW w:w="1919"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13,6</w:t>
            </w:r>
          </w:p>
        </w:tc>
        <w:tc>
          <w:tcPr>
            <w:tcW w:w="1919"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14,1</w:t>
            </w:r>
          </w:p>
        </w:tc>
        <w:tc>
          <w:tcPr>
            <w:tcW w:w="1920"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14,7</w:t>
            </w:r>
          </w:p>
        </w:tc>
      </w:tr>
      <w:tr w:rsidR="001E7BB4" w:rsidRPr="007930B0">
        <w:trPr>
          <w:trHeight w:val="270"/>
        </w:trPr>
        <w:tc>
          <w:tcPr>
            <w:tcW w:w="1612" w:type="dxa"/>
            <w:shd w:val="clear" w:color="auto" w:fill="auto"/>
            <w:noWrap/>
          </w:tcPr>
          <w:p w:rsidR="001E7BB4" w:rsidRPr="007930B0" w:rsidRDefault="001E7BB4" w:rsidP="00DB44A9">
            <w:pPr>
              <w:spacing w:before="40" w:after="40" w:line="220" w:lineRule="exact"/>
              <w:ind w:right="113"/>
              <w:rPr>
                <w:sz w:val="18"/>
              </w:rPr>
            </w:pPr>
            <w:r w:rsidRPr="007930B0">
              <w:rPr>
                <w:sz w:val="18"/>
              </w:rPr>
              <w:t>Guidimakha</w:t>
            </w:r>
          </w:p>
        </w:tc>
        <w:tc>
          <w:tcPr>
            <w:tcW w:w="1919"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17,9</w:t>
            </w:r>
          </w:p>
        </w:tc>
        <w:tc>
          <w:tcPr>
            <w:tcW w:w="1919"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17,1</w:t>
            </w:r>
          </w:p>
        </w:tc>
        <w:tc>
          <w:tcPr>
            <w:tcW w:w="1920"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19,2</w:t>
            </w:r>
          </w:p>
        </w:tc>
      </w:tr>
      <w:tr w:rsidR="001E7BB4" w:rsidRPr="007930B0">
        <w:trPr>
          <w:trHeight w:val="270"/>
        </w:trPr>
        <w:tc>
          <w:tcPr>
            <w:tcW w:w="1612" w:type="dxa"/>
            <w:shd w:val="clear" w:color="auto" w:fill="auto"/>
            <w:noWrap/>
          </w:tcPr>
          <w:p w:rsidR="001E7BB4" w:rsidRPr="007930B0" w:rsidRDefault="001E7BB4" w:rsidP="00DB44A9">
            <w:pPr>
              <w:spacing w:before="40" w:after="40" w:line="220" w:lineRule="exact"/>
              <w:ind w:right="113"/>
              <w:rPr>
                <w:sz w:val="18"/>
              </w:rPr>
            </w:pPr>
            <w:r w:rsidRPr="007930B0">
              <w:rPr>
                <w:sz w:val="18"/>
              </w:rPr>
              <w:t>Tiris Zemmour</w:t>
            </w:r>
          </w:p>
        </w:tc>
        <w:tc>
          <w:tcPr>
            <w:tcW w:w="1919"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90,5</w:t>
            </w:r>
          </w:p>
        </w:tc>
        <w:tc>
          <w:tcPr>
            <w:tcW w:w="1919"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78,3</w:t>
            </w:r>
          </w:p>
        </w:tc>
        <w:tc>
          <w:tcPr>
            <w:tcW w:w="1920"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81,8</w:t>
            </w:r>
          </w:p>
        </w:tc>
      </w:tr>
      <w:tr w:rsidR="001E7BB4" w:rsidRPr="007930B0">
        <w:trPr>
          <w:trHeight w:val="270"/>
        </w:trPr>
        <w:tc>
          <w:tcPr>
            <w:tcW w:w="1612" w:type="dxa"/>
            <w:tcBorders>
              <w:bottom w:val="nil"/>
            </w:tcBorders>
            <w:shd w:val="clear" w:color="auto" w:fill="auto"/>
            <w:noWrap/>
          </w:tcPr>
          <w:p w:rsidR="001E7BB4" w:rsidRPr="007930B0" w:rsidRDefault="001E7BB4" w:rsidP="00DB44A9">
            <w:pPr>
              <w:spacing w:before="40" w:after="40" w:line="220" w:lineRule="exact"/>
              <w:ind w:right="113"/>
              <w:rPr>
                <w:sz w:val="18"/>
              </w:rPr>
            </w:pPr>
            <w:r w:rsidRPr="007930B0">
              <w:rPr>
                <w:sz w:val="18"/>
              </w:rPr>
              <w:t>Inchiri</w:t>
            </w:r>
          </w:p>
        </w:tc>
        <w:tc>
          <w:tcPr>
            <w:tcW w:w="1919" w:type="dxa"/>
            <w:tcBorders>
              <w:bottom w:val="nil"/>
            </w:tcBorders>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50</w:t>
            </w:r>
          </w:p>
        </w:tc>
        <w:tc>
          <w:tcPr>
            <w:tcW w:w="1919" w:type="dxa"/>
            <w:tcBorders>
              <w:bottom w:val="nil"/>
            </w:tcBorders>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39,1</w:t>
            </w:r>
          </w:p>
        </w:tc>
        <w:tc>
          <w:tcPr>
            <w:tcW w:w="1920" w:type="dxa"/>
            <w:tcBorders>
              <w:bottom w:val="nil"/>
            </w:tcBorders>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29,2</w:t>
            </w:r>
          </w:p>
        </w:tc>
      </w:tr>
      <w:tr w:rsidR="001E7BB4" w:rsidRPr="007930B0">
        <w:trPr>
          <w:trHeight w:val="270"/>
        </w:trPr>
        <w:tc>
          <w:tcPr>
            <w:tcW w:w="1612" w:type="dxa"/>
            <w:tcBorders>
              <w:top w:val="nil"/>
              <w:bottom w:val="single" w:sz="4" w:space="0" w:color="auto"/>
            </w:tcBorders>
            <w:shd w:val="clear" w:color="auto" w:fill="auto"/>
            <w:noWrap/>
          </w:tcPr>
          <w:p w:rsidR="001E7BB4" w:rsidRPr="007930B0" w:rsidRDefault="001E7BB4" w:rsidP="00DB44A9">
            <w:pPr>
              <w:spacing w:before="40" w:after="40" w:line="220" w:lineRule="exact"/>
              <w:ind w:right="113"/>
              <w:rPr>
                <w:sz w:val="18"/>
              </w:rPr>
            </w:pPr>
            <w:r w:rsidRPr="007930B0">
              <w:rPr>
                <w:sz w:val="18"/>
              </w:rPr>
              <w:t>Nuakchot</w:t>
            </w:r>
          </w:p>
        </w:tc>
        <w:tc>
          <w:tcPr>
            <w:tcW w:w="1919" w:type="dxa"/>
            <w:tcBorders>
              <w:top w:val="nil"/>
              <w:bottom w:val="single" w:sz="4" w:space="0" w:color="auto"/>
            </w:tcBorders>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89,9</w:t>
            </w:r>
          </w:p>
        </w:tc>
        <w:tc>
          <w:tcPr>
            <w:tcW w:w="1919" w:type="dxa"/>
            <w:tcBorders>
              <w:top w:val="nil"/>
              <w:bottom w:val="single" w:sz="4" w:space="0" w:color="auto"/>
            </w:tcBorders>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96</w:t>
            </w:r>
          </w:p>
        </w:tc>
        <w:tc>
          <w:tcPr>
            <w:tcW w:w="1920" w:type="dxa"/>
            <w:tcBorders>
              <w:top w:val="nil"/>
              <w:bottom w:val="single" w:sz="4" w:space="0" w:color="auto"/>
            </w:tcBorders>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97,5</w:t>
            </w:r>
          </w:p>
        </w:tc>
      </w:tr>
      <w:tr w:rsidR="001E7BB4" w:rsidRPr="007930B0">
        <w:trPr>
          <w:trHeight w:val="270"/>
        </w:trPr>
        <w:tc>
          <w:tcPr>
            <w:tcW w:w="1612" w:type="dxa"/>
            <w:tcBorders>
              <w:top w:val="single" w:sz="4" w:space="0" w:color="auto"/>
              <w:bottom w:val="single" w:sz="12" w:space="0" w:color="auto"/>
            </w:tcBorders>
            <w:shd w:val="clear" w:color="auto" w:fill="auto"/>
            <w:noWrap/>
          </w:tcPr>
          <w:p w:rsidR="001E7BB4" w:rsidRPr="007930B0" w:rsidRDefault="001E7BB4" w:rsidP="00420414">
            <w:pPr>
              <w:spacing w:before="80" w:after="80" w:line="220" w:lineRule="exact"/>
              <w:ind w:left="288" w:right="115"/>
              <w:rPr>
                <w:b/>
                <w:sz w:val="18"/>
              </w:rPr>
            </w:pPr>
            <w:r w:rsidRPr="007930B0">
              <w:rPr>
                <w:b/>
                <w:sz w:val="18"/>
              </w:rPr>
              <w:t>Total</w:t>
            </w:r>
          </w:p>
        </w:tc>
        <w:tc>
          <w:tcPr>
            <w:tcW w:w="1919" w:type="dxa"/>
            <w:tcBorders>
              <w:top w:val="single" w:sz="4" w:space="0" w:color="auto"/>
              <w:bottom w:val="single" w:sz="12" w:space="0" w:color="auto"/>
            </w:tcBorders>
            <w:shd w:val="clear" w:color="auto" w:fill="auto"/>
            <w:noWrap/>
            <w:vAlign w:val="bottom"/>
          </w:tcPr>
          <w:p w:rsidR="001E7BB4" w:rsidRPr="007930B0" w:rsidRDefault="001E7BB4" w:rsidP="007D43BE">
            <w:pPr>
              <w:spacing w:before="40" w:after="40" w:line="220" w:lineRule="exact"/>
              <w:ind w:right="113"/>
              <w:jc w:val="right"/>
              <w:rPr>
                <w:b/>
                <w:sz w:val="18"/>
              </w:rPr>
            </w:pPr>
            <w:r w:rsidRPr="007930B0">
              <w:rPr>
                <w:b/>
                <w:sz w:val="18"/>
              </w:rPr>
              <w:t>18,7</w:t>
            </w:r>
          </w:p>
        </w:tc>
        <w:tc>
          <w:tcPr>
            <w:tcW w:w="1919" w:type="dxa"/>
            <w:tcBorders>
              <w:top w:val="single" w:sz="4" w:space="0" w:color="auto"/>
              <w:bottom w:val="single" w:sz="12" w:space="0" w:color="auto"/>
            </w:tcBorders>
            <w:shd w:val="clear" w:color="auto" w:fill="auto"/>
            <w:noWrap/>
            <w:vAlign w:val="bottom"/>
          </w:tcPr>
          <w:p w:rsidR="001E7BB4" w:rsidRPr="007930B0" w:rsidRDefault="001E7BB4" w:rsidP="007D43BE">
            <w:pPr>
              <w:spacing w:before="40" w:after="40" w:line="220" w:lineRule="exact"/>
              <w:ind w:right="113"/>
              <w:jc w:val="right"/>
              <w:rPr>
                <w:b/>
                <w:sz w:val="18"/>
              </w:rPr>
            </w:pPr>
            <w:r w:rsidRPr="007930B0">
              <w:rPr>
                <w:b/>
                <w:sz w:val="18"/>
              </w:rPr>
              <w:t>19,5</w:t>
            </w:r>
          </w:p>
        </w:tc>
        <w:tc>
          <w:tcPr>
            <w:tcW w:w="1920" w:type="dxa"/>
            <w:tcBorders>
              <w:top w:val="single" w:sz="4" w:space="0" w:color="auto"/>
              <w:bottom w:val="single" w:sz="12" w:space="0" w:color="auto"/>
            </w:tcBorders>
            <w:shd w:val="clear" w:color="auto" w:fill="auto"/>
            <w:noWrap/>
            <w:vAlign w:val="bottom"/>
          </w:tcPr>
          <w:p w:rsidR="001E7BB4" w:rsidRPr="007930B0" w:rsidRDefault="001E7BB4" w:rsidP="007D43BE">
            <w:pPr>
              <w:spacing w:before="40" w:after="40" w:line="220" w:lineRule="exact"/>
              <w:ind w:right="113"/>
              <w:jc w:val="right"/>
              <w:rPr>
                <w:b/>
                <w:sz w:val="18"/>
              </w:rPr>
            </w:pPr>
            <w:r w:rsidRPr="007930B0">
              <w:rPr>
                <w:b/>
                <w:sz w:val="18"/>
              </w:rPr>
              <w:t>20,8</w:t>
            </w:r>
          </w:p>
        </w:tc>
      </w:tr>
    </w:tbl>
    <w:p w:rsidR="001E7BB4" w:rsidRPr="007930B0" w:rsidRDefault="00DB44A9" w:rsidP="00DB44A9">
      <w:pPr>
        <w:pStyle w:val="H4G"/>
        <w:rPr>
          <w:lang w:val="es-ES"/>
        </w:rPr>
      </w:pPr>
      <w:r w:rsidRPr="007930B0">
        <w:rPr>
          <w:lang w:val="es-ES"/>
        </w:rPr>
        <w:tab/>
      </w:r>
      <w:r w:rsidRPr="007930B0">
        <w:rPr>
          <w:lang w:val="es-ES"/>
        </w:rPr>
        <w:tab/>
      </w:r>
      <w:r w:rsidR="001E7BB4" w:rsidRPr="007930B0">
        <w:rPr>
          <w:lang w:val="es-ES"/>
        </w:rPr>
        <w:t>Tasa de retención escolar</w:t>
      </w:r>
    </w:p>
    <w:p w:rsidR="001E7BB4" w:rsidRPr="007930B0" w:rsidRDefault="001E7BB4" w:rsidP="0068666F">
      <w:pPr>
        <w:pStyle w:val="SingleTxtG"/>
        <w:rPr>
          <w:lang w:val="es-ES"/>
        </w:rPr>
      </w:pPr>
      <w:r w:rsidRPr="007930B0">
        <w:rPr>
          <w:lang w:val="es-ES"/>
        </w:rPr>
        <w:t>419.</w:t>
      </w:r>
      <w:r w:rsidRPr="007930B0">
        <w:rPr>
          <w:lang w:val="es-ES"/>
        </w:rPr>
        <w:tab/>
        <w:t>La tasa de retención escolar, calculada sobre la base del método longitudinal</w:t>
      </w:r>
      <w:r w:rsidRPr="007930B0">
        <w:rPr>
          <w:rStyle w:val="FootnoteReference"/>
          <w:lang w:val="es-ES"/>
        </w:rPr>
        <w:footnoteReference w:id="37"/>
      </w:r>
      <w:r w:rsidRPr="007930B0">
        <w:rPr>
          <w:lang w:val="es-ES"/>
        </w:rPr>
        <w:t>, se estima que fue de 49,3 % en 2007, es decir, una evolución positiva de 2,9 puntos con respecto a 2006. En cuanto al género, la tasa de retención de las niñas en 2007 superó por escaso margen a la de los varones (49,6% frente a 49,1%). El valor meta de este indicador para 2010 es una tasa de 78%.</w:t>
      </w:r>
    </w:p>
    <w:p w:rsidR="001E7BB4" w:rsidRPr="007930B0" w:rsidRDefault="001E7BB4" w:rsidP="0068666F">
      <w:pPr>
        <w:pStyle w:val="SingleTxtG"/>
        <w:rPr>
          <w:lang w:val="es-ES"/>
        </w:rPr>
      </w:pPr>
      <w:r w:rsidRPr="007930B0">
        <w:rPr>
          <w:lang w:val="es-ES"/>
        </w:rPr>
        <w:t>420.</w:t>
      </w:r>
      <w:r w:rsidRPr="007930B0">
        <w:rPr>
          <w:lang w:val="es-ES"/>
        </w:rPr>
        <w:tab/>
        <w:t xml:space="preserve">El análisis por </w:t>
      </w:r>
      <w:r w:rsidR="00CD15B7" w:rsidRPr="007930B0">
        <w:rPr>
          <w:i/>
          <w:lang w:val="es-ES"/>
        </w:rPr>
        <w:t>wilaya</w:t>
      </w:r>
      <w:r w:rsidRPr="007930B0">
        <w:rPr>
          <w:lang w:val="es-ES"/>
        </w:rPr>
        <w:t xml:space="preserve"> permite distinguir dos grupos principales:</w:t>
      </w:r>
    </w:p>
    <w:p w:rsidR="001E7BB4" w:rsidRPr="007930B0" w:rsidRDefault="001E7BB4" w:rsidP="00DB44A9">
      <w:pPr>
        <w:pStyle w:val="Bullet1G"/>
        <w:rPr>
          <w:lang w:val="es-ES"/>
        </w:rPr>
      </w:pPr>
      <w:r w:rsidRPr="007930B0">
        <w:rPr>
          <w:lang w:val="es-ES"/>
        </w:rPr>
        <w:t xml:space="preserve">El primer grupo está constituido por las </w:t>
      </w:r>
      <w:r w:rsidRPr="007930B0">
        <w:rPr>
          <w:i/>
          <w:iCs/>
          <w:lang w:val="es-ES"/>
        </w:rPr>
        <w:t>wilayas</w:t>
      </w:r>
      <w:r w:rsidRPr="007930B0">
        <w:rPr>
          <w:lang w:val="es-ES"/>
        </w:rPr>
        <w:t xml:space="preserve"> que presentan tasas de retención superiores al promedio nacional: Trarza, Adrar, Nuadhibu, Tagant, Tiris y Nuakchot. La de Nuakchot registra una tasa superior a la meta del PNDSE (78%). En comparación con 2006, en Trarza y Adrar hubo una disminución de la tasa de retención escolar, mientras que en las otras tres </w:t>
      </w:r>
      <w:r w:rsidRPr="007930B0">
        <w:rPr>
          <w:i/>
          <w:iCs/>
          <w:lang w:val="es-ES"/>
        </w:rPr>
        <w:t>wilayas</w:t>
      </w:r>
      <w:r w:rsidRPr="007930B0">
        <w:rPr>
          <w:lang w:val="es-ES"/>
        </w:rPr>
        <w:t xml:space="preserve"> se registró un incremento;</w:t>
      </w:r>
    </w:p>
    <w:p w:rsidR="001E7BB4" w:rsidRPr="007930B0" w:rsidRDefault="001E7BB4" w:rsidP="00DB44A9">
      <w:pPr>
        <w:pStyle w:val="Bullet1G"/>
        <w:rPr>
          <w:lang w:val="es-ES"/>
        </w:rPr>
      </w:pPr>
      <w:r w:rsidRPr="007930B0">
        <w:rPr>
          <w:lang w:val="es-ES"/>
        </w:rPr>
        <w:t xml:space="preserve">El segundo grupo está compuesto por las </w:t>
      </w:r>
      <w:r w:rsidRPr="007930B0">
        <w:rPr>
          <w:i/>
          <w:iCs/>
          <w:lang w:val="es-ES"/>
        </w:rPr>
        <w:t>wilayas</w:t>
      </w:r>
      <w:r w:rsidRPr="007930B0">
        <w:rPr>
          <w:lang w:val="es-ES"/>
        </w:rPr>
        <w:t xml:space="preserve"> rezagadas con respecto al promedio nacional: las dos Hodhs, Assaba, Gorgol, Brakna, Guidimakha e Inchiri. Las tasas de las dos Hodhs y de Inchiri bajaron entre 2006 y 2007. </w:t>
      </w:r>
    </w:p>
    <w:p w:rsidR="001E7BB4" w:rsidRPr="007930B0" w:rsidRDefault="00DB44A9" w:rsidP="0068666F">
      <w:pPr>
        <w:pStyle w:val="SingleTxtG"/>
        <w:rPr>
          <w:lang w:val="es-ES"/>
        </w:rPr>
      </w:pPr>
      <w:r w:rsidRPr="007930B0">
        <w:rPr>
          <w:lang w:val="es-ES"/>
        </w:rPr>
        <w:t>421.</w:t>
      </w:r>
      <w:r w:rsidRPr="007930B0">
        <w:rPr>
          <w:lang w:val="es-ES"/>
        </w:rPr>
        <w:tab/>
      </w:r>
      <w:r w:rsidR="001E7BB4" w:rsidRPr="007930B0">
        <w:rPr>
          <w:lang w:val="es-ES"/>
        </w:rPr>
        <w:t>En el cuadro siguiente se puede ver la evolución de estas tasas a lo largo de los años.</w:t>
      </w:r>
    </w:p>
    <w:p w:rsidR="00DB44A9" w:rsidRPr="007930B0" w:rsidRDefault="00DB44A9" w:rsidP="00DB44A9">
      <w:pPr>
        <w:pStyle w:val="Heading1"/>
        <w:rPr>
          <w:lang w:val="es-ES"/>
        </w:rPr>
      </w:pPr>
      <w:r w:rsidRPr="007930B0">
        <w:rPr>
          <w:lang w:val="es-ES"/>
        </w:rPr>
        <w:t>Cuadro 5</w:t>
      </w:r>
    </w:p>
    <w:p w:rsidR="001E7BB4" w:rsidRPr="007930B0" w:rsidRDefault="001E7BB4" w:rsidP="00DB44A9">
      <w:pPr>
        <w:pStyle w:val="SingleTxtG"/>
        <w:jc w:val="left"/>
        <w:rPr>
          <w:b/>
          <w:lang w:val="es-ES"/>
        </w:rPr>
      </w:pPr>
      <w:r w:rsidRPr="007930B0">
        <w:rPr>
          <w:b/>
          <w:lang w:val="es-ES"/>
        </w:rPr>
        <w:t xml:space="preserve">Tasa de retención escolar por </w:t>
      </w:r>
      <w:r w:rsidRPr="007930B0">
        <w:rPr>
          <w:b/>
          <w:i/>
          <w:iCs/>
          <w:lang w:val="es-ES"/>
        </w:rPr>
        <w:t>wilaya</w:t>
      </w:r>
      <w:r w:rsidRPr="007930B0">
        <w:rPr>
          <w:b/>
          <w:lang w:val="es-ES"/>
        </w:rPr>
        <w:t xml:space="preserve"> en 2005/06 y en 2006/07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312"/>
        <w:gridCol w:w="6"/>
        <w:gridCol w:w="763"/>
        <w:gridCol w:w="763"/>
        <w:gridCol w:w="7"/>
        <w:gridCol w:w="756"/>
        <w:gridCol w:w="763"/>
      </w:tblGrid>
      <w:tr w:rsidR="001E7BB4" w:rsidRPr="007930B0">
        <w:trPr>
          <w:cantSplit/>
          <w:trHeight w:val="255"/>
          <w:tblHeader/>
        </w:trPr>
        <w:tc>
          <w:tcPr>
            <w:tcW w:w="4312" w:type="dxa"/>
            <w:vMerge w:val="restart"/>
            <w:tcBorders>
              <w:top w:val="single" w:sz="4" w:space="0" w:color="auto"/>
              <w:bottom w:val="single" w:sz="12" w:space="0" w:color="auto"/>
            </w:tcBorders>
            <w:shd w:val="clear" w:color="auto" w:fill="auto"/>
            <w:noWrap/>
            <w:vAlign w:val="bottom"/>
          </w:tcPr>
          <w:p w:rsidR="001E7BB4" w:rsidRPr="007930B0" w:rsidRDefault="001E7BB4" w:rsidP="00DB44A9">
            <w:pPr>
              <w:spacing w:before="80" w:after="80" w:line="200" w:lineRule="exact"/>
              <w:ind w:right="113"/>
              <w:rPr>
                <w:i/>
                <w:sz w:val="16"/>
              </w:rPr>
            </w:pPr>
            <w:r w:rsidRPr="007930B0">
              <w:rPr>
                <w:i/>
                <w:sz w:val="16"/>
              </w:rPr>
              <w:t>Wilayas</w:t>
            </w:r>
          </w:p>
        </w:tc>
        <w:tc>
          <w:tcPr>
            <w:tcW w:w="769" w:type="dxa"/>
            <w:gridSpan w:val="2"/>
            <w:tcBorders>
              <w:top w:val="single" w:sz="4" w:space="0" w:color="auto"/>
              <w:bottom w:val="single" w:sz="4" w:space="0" w:color="auto"/>
              <w:right w:val="single" w:sz="24" w:space="0" w:color="FFFFFF"/>
            </w:tcBorders>
            <w:shd w:val="clear" w:color="auto" w:fill="auto"/>
            <w:noWrap/>
            <w:vAlign w:val="bottom"/>
          </w:tcPr>
          <w:p w:rsidR="001E7BB4" w:rsidRPr="007930B0" w:rsidRDefault="001E7BB4" w:rsidP="00DB44A9">
            <w:pPr>
              <w:spacing w:before="80" w:after="80" w:line="200" w:lineRule="exact"/>
              <w:ind w:right="113"/>
              <w:jc w:val="right"/>
              <w:rPr>
                <w:i/>
                <w:sz w:val="16"/>
              </w:rPr>
            </w:pPr>
            <w:r w:rsidRPr="007930B0">
              <w:rPr>
                <w:i/>
                <w:sz w:val="16"/>
              </w:rPr>
              <w:t>2006</w:t>
            </w:r>
          </w:p>
        </w:tc>
        <w:tc>
          <w:tcPr>
            <w:tcW w:w="2289" w:type="dxa"/>
            <w:gridSpan w:val="4"/>
            <w:tcBorders>
              <w:top w:val="single" w:sz="4" w:space="0" w:color="auto"/>
              <w:left w:val="single" w:sz="24" w:space="0" w:color="FFFFFF"/>
              <w:bottom w:val="single" w:sz="4" w:space="0" w:color="auto"/>
            </w:tcBorders>
            <w:shd w:val="clear" w:color="auto" w:fill="auto"/>
            <w:noWrap/>
            <w:vAlign w:val="bottom"/>
          </w:tcPr>
          <w:p w:rsidR="001E7BB4" w:rsidRPr="007930B0" w:rsidRDefault="001E7BB4" w:rsidP="00DB44A9">
            <w:pPr>
              <w:spacing w:before="80" w:after="80" w:line="200" w:lineRule="exact"/>
              <w:ind w:right="113"/>
              <w:jc w:val="center"/>
              <w:rPr>
                <w:i/>
                <w:sz w:val="16"/>
              </w:rPr>
            </w:pPr>
            <w:r w:rsidRPr="007930B0">
              <w:rPr>
                <w:i/>
                <w:sz w:val="16"/>
              </w:rPr>
              <w:t>2007</w:t>
            </w:r>
          </w:p>
        </w:tc>
      </w:tr>
      <w:tr w:rsidR="001E7BB4" w:rsidRPr="007930B0">
        <w:trPr>
          <w:cantSplit/>
          <w:trHeight w:val="255"/>
          <w:tblHeader/>
        </w:trPr>
        <w:tc>
          <w:tcPr>
            <w:tcW w:w="4312" w:type="dxa"/>
            <w:vMerge/>
            <w:tcBorders>
              <w:top w:val="single" w:sz="12" w:space="0" w:color="auto"/>
              <w:bottom w:val="single" w:sz="12" w:space="0" w:color="auto"/>
            </w:tcBorders>
            <w:shd w:val="clear" w:color="auto" w:fill="auto"/>
            <w:noWrap/>
            <w:vAlign w:val="bottom"/>
          </w:tcPr>
          <w:p w:rsidR="001E7BB4" w:rsidRPr="007930B0" w:rsidRDefault="001E7BB4" w:rsidP="00DB44A9">
            <w:pPr>
              <w:spacing w:before="40" w:after="40" w:line="220" w:lineRule="exact"/>
              <w:ind w:right="113"/>
              <w:rPr>
                <w:sz w:val="18"/>
              </w:rPr>
            </w:pPr>
          </w:p>
        </w:tc>
        <w:tc>
          <w:tcPr>
            <w:tcW w:w="769" w:type="dxa"/>
            <w:gridSpan w:val="2"/>
            <w:tcBorders>
              <w:top w:val="single" w:sz="4" w:space="0" w:color="auto"/>
              <w:bottom w:val="single" w:sz="12" w:space="0" w:color="auto"/>
              <w:right w:val="single" w:sz="24" w:space="0" w:color="FFFFFF"/>
            </w:tcBorders>
            <w:shd w:val="clear" w:color="auto" w:fill="auto"/>
            <w:noWrap/>
            <w:vAlign w:val="bottom"/>
          </w:tcPr>
          <w:p w:rsidR="001E7BB4" w:rsidRPr="007930B0" w:rsidRDefault="001E7BB4" w:rsidP="00DB44A9">
            <w:pPr>
              <w:spacing w:before="80" w:after="80" w:line="200" w:lineRule="exact"/>
              <w:ind w:right="113"/>
              <w:jc w:val="right"/>
              <w:rPr>
                <w:b/>
                <w:i/>
                <w:sz w:val="16"/>
                <w:szCs w:val="16"/>
              </w:rPr>
            </w:pPr>
            <w:r w:rsidRPr="007930B0">
              <w:rPr>
                <w:b/>
                <w:i/>
                <w:sz w:val="16"/>
                <w:szCs w:val="16"/>
              </w:rPr>
              <w:t>Total</w:t>
            </w:r>
          </w:p>
        </w:tc>
        <w:tc>
          <w:tcPr>
            <w:tcW w:w="770" w:type="dxa"/>
            <w:gridSpan w:val="2"/>
            <w:tcBorders>
              <w:top w:val="single" w:sz="4" w:space="0" w:color="auto"/>
              <w:left w:val="single" w:sz="24" w:space="0" w:color="FFFFFF"/>
              <w:bottom w:val="single" w:sz="12" w:space="0" w:color="auto"/>
            </w:tcBorders>
            <w:shd w:val="clear" w:color="auto" w:fill="auto"/>
            <w:noWrap/>
            <w:vAlign w:val="bottom"/>
          </w:tcPr>
          <w:p w:rsidR="001E7BB4" w:rsidRPr="007930B0" w:rsidRDefault="001E7BB4" w:rsidP="00DB44A9">
            <w:pPr>
              <w:spacing w:before="80" w:after="80" w:line="200" w:lineRule="exact"/>
              <w:ind w:right="113"/>
              <w:jc w:val="right"/>
              <w:rPr>
                <w:i/>
                <w:sz w:val="16"/>
                <w:szCs w:val="16"/>
              </w:rPr>
            </w:pPr>
            <w:r w:rsidRPr="007930B0">
              <w:rPr>
                <w:i/>
                <w:sz w:val="16"/>
                <w:szCs w:val="16"/>
              </w:rPr>
              <w:t>Masc.</w:t>
            </w:r>
          </w:p>
        </w:tc>
        <w:tc>
          <w:tcPr>
            <w:tcW w:w="756" w:type="dxa"/>
            <w:tcBorders>
              <w:top w:val="single" w:sz="4" w:space="0" w:color="auto"/>
              <w:bottom w:val="single" w:sz="12" w:space="0" w:color="auto"/>
            </w:tcBorders>
            <w:shd w:val="clear" w:color="auto" w:fill="auto"/>
            <w:noWrap/>
            <w:vAlign w:val="bottom"/>
          </w:tcPr>
          <w:p w:rsidR="001E7BB4" w:rsidRPr="007930B0" w:rsidRDefault="001E7BB4" w:rsidP="00DB44A9">
            <w:pPr>
              <w:spacing w:before="80" w:after="80" w:line="200" w:lineRule="exact"/>
              <w:ind w:right="113"/>
              <w:jc w:val="right"/>
              <w:rPr>
                <w:i/>
                <w:sz w:val="16"/>
                <w:szCs w:val="16"/>
              </w:rPr>
            </w:pPr>
            <w:r w:rsidRPr="007930B0">
              <w:rPr>
                <w:i/>
                <w:sz w:val="16"/>
                <w:szCs w:val="16"/>
              </w:rPr>
              <w:t>Fem.</w:t>
            </w:r>
          </w:p>
        </w:tc>
        <w:tc>
          <w:tcPr>
            <w:tcW w:w="763" w:type="dxa"/>
            <w:tcBorders>
              <w:top w:val="single" w:sz="4" w:space="0" w:color="auto"/>
              <w:bottom w:val="single" w:sz="12" w:space="0" w:color="auto"/>
            </w:tcBorders>
            <w:shd w:val="clear" w:color="auto" w:fill="auto"/>
            <w:noWrap/>
            <w:vAlign w:val="bottom"/>
          </w:tcPr>
          <w:p w:rsidR="001E7BB4" w:rsidRPr="007930B0" w:rsidRDefault="001E7BB4" w:rsidP="00DB44A9">
            <w:pPr>
              <w:spacing w:before="80" w:after="80" w:line="200" w:lineRule="exact"/>
              <w:ind w:right="113"/>
              <w:jc w:val="right"/>
              <w:rPr>
                <w:b/>
                <w:i/>
                <w:sz w:val="16"/>
                <w:szCs w:val="16"/>
              </w:rPr>
            </w:pPr>
            <w:r w:rsidRPr="007930B0">
              <w:rPr>
                <w:b/>
                <w:i/>
                <w:sz w:val="16"/>
                <w:szCs w:val="16"/>
              </w:rPr>
              <w:t>Total</w:t>
            </w:r>
          </w:p>
        </w:tc>
      </w:tr>
      <w:tr w:rsidR="001E7BB4" w:rsidRPr="007930B0">
        <w:trPr>
          <w:trHeight w:val="255"/>
        </w:trPr>
        <w:tc>
          <w:tcPr>
            <w:tcW w:w="4318" w:type="dxa"/>
            <w:gridSpan w:val="2"/>
            <w:tcBorders>
              <w:top w:val="single" w:sz="12" w:space="0" w:color="auto"/>
              <w:bottom w:val="nil"/>
            </w:tcBorders>
            <w:shd w:val="clear" w:color="auto" w:fill="auto"/>
            <w:noWrap/>
          </w:tcPr>
          <w:p w:rsidR="001E7BB4" w:rsidRPr="007930B0" w:rsidRDefault="001E7BB4" w:rsidP="00DB44A9">
            <w:pPr>
              <w:spacing w:before="40" w:after="40" w:line="220" w:lineRule="exact"/>
              <w:ind w:right="113"/>
              <w:rPr>
                <w:sz w:val="18"/>
              </w:rPr>
            </w:pPr>
            <w:r w:rsidRPr="007930B0">
              <w:rPr>
                <w:sz w:val="18"/>
              </w:rPr>
              <w:t>Hodh Charghi</w:t>
            </w:r>
          </w:p>
        </w:tc>
        <w:tc>
          <w:tcPr>
            <w:tcW w:w="763" w:type="dxa"/>
            <w:shd w:val="clear" w:color="auto" w:fill="auto"/>
            <w:noWrap/>
            <w:vAlign w:val="bottom"/>
          </w:tcPr>
          <w:p w:rsidR="001E7BB4" w:rsidRPr="007930B0" w:rsidRDefault="001E7BB4" w:rsidP="00DB44A9">
            <w:pPr>
              <w:spacing w:before="40" w:after="40" w:line="220" w:lineRule="exact"/>
              <w:ind w:right="113"/>
              <w:jc w:val="right"/>
              <w:rPr>
                <w:b/>
                <w:sz w:val="18"/>
              </w:rPr>
            </w:pPr>
            <w:r w:rsidRPr="007930B0">
              <w:rPr>
                <w:b/>
                <w:sz w:val="18"/>
              </w:rPr>
              <w:t>22,9</w:t>
            </w:r>
          </w:p>
        </w:tc>
        <w:tc>
          <w:tcPr>
            <w:tcW w:w="763"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19,9</w:t>
            </w:r>
          </w:p>
        </w:tc>
        <w:tc>
          <w:tcPr>
            <w:tcW w:w="763" w:type="dxa"/>
            <w:gridSpan w:val="2"/>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21,3</w:t>
            </w:r>
          </w:p>
        </w:tc>
        <w:tc>
          <w:tcPr>
            <w:tcW w:w="763" w:type="dxa"/>
            <w:shd w:val="clear" w:color="auto" w:fill="auto"/>
            <w:noWrap/>
            <w:vAlign w:val="bottom"/>
          </w:tcPr>
          <w:p w:rsidR="001E7BB4" w:rsidRPr="007930B0" w:rsidRDefault="001E7BB4" w:rsidP="00DB44A9">
            <w:pPr>
              <w:spacing w:before="40" w:after="40" w:line="220" w:lineRule="exact"/>
              <w:ind w:right="113"/>
              <w:jc w:val="right"/>
              <w:rPr>
                <w:b/>
                <w:sz w:val="18"/>
              </w:rPr>
            </w:pPr>
            <w:r w:rsidRPr="007930B0">
              <w:rPr>
                <w:b/>
                <w:sz w:val="18"/>
              </w:rPr>
              <w:t>20,6</w:t>
            </w:r>
          </w:p>
        </w:tc>
      </w:tr>
      <w:tr w:rsidR="001E7BB4" w:rsidRPr="007930B0">
        <w:trPr>
          <w:trHeight w:val="255"/>
        </w:trPr>
        <w:tc>
          <w:tcPr>
            <w:tcW w:w="4318" w:type="dxa"/>
            <w:gridSpan w:val="2"/>
            <w:tcBorders>
              <w:top w:val="nil"/>
            </w:tcBorders>
            <w:shd w:val="clear" w:color="auto" w:fill="auto"/>
            <w:noWrap/>
          </w:tcPr>
          <w:p w:rsidR="001E7BB4" w:rsidRPr="007930B0" w:rsidRDefault="001E7BB4" w:rsidP="00DB44A9">
            <w:pPr>
              <w:spacing w:before="40" w:after="40" w:line="220" w:lineRule="exact"/>
              <w:ind w:right="113"/>
              <w:rPr>
                <w:sz w:val="18"/>
              </w:rPr>
            </w:pPr>
            <w:r w:rsidRPr="007930B0">
              <w:rPr>
                <w:sz w:val="18"/>
              </w:rPr>
              <w:t>Hodh El Gharbi</w:t>
            </w:r>
          </w:p>
        </w:tc>
        <w:tc>
          <w:tcPr>
            <w:tcW w:w="763" w:type="dxa"/>
            <w:shd w:val="clear" w:color="auto" w:fill="auto"/>
            <w:noWrap/>
            <w:vAlign w:val="bottom"/>
          </w:tcPr>
          <w:p w:rsidR="001E7BB4" w:rsidRPr="007930B0" w:rsidRDefault="001E7BB4" w:rsidP="00DB44A9">
            <w:pPr>
              <w:spacing w:before="40" w:after="40" w:line="220" w:lineRule="exact"/>
              <w:ind w:right="113"/>
              <w:jc w:val="right"/>
              <w:rPr>
                <w:b/>
                <w:sz w:val="18"/>
              </w:rPr>
            </w:pPr>
            <w:r w:rsidRPr="007930B0">
              <w:rPr>
                <w:b/>
                <w:sz w:val="18"/>
              </w:rPr>
              <w:t>55,9</w:t>
            </w:r>
          </w:p>
        </w:tc>
        <w:tc>
          <w:tcPr>
            <w:tcW w:w="763"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40,2</w:t>
            </w:r>
          </w:p>
        </w:tc>
        <w:tc>
          <w:tcPr>
            <w:tcW w:w="763" w:type="dxa"/>
            <w:gridSpan w:val="2"/>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40,6</w:t>
            </w:r>
          </w:p>
        </w:tc>
        <w:tc>
          <w:tcPr>
            <w:tcW w:w="763" w:type="dxa"/>
            <w:shd w:val="clear" w:color="auto" w:fill="auto"/>
            <w:noWrap/>
            <w:vAlign w:val="bottom"/>
          </w:tcPr>
          <w:p w:rsidR="001E7BB4" w:rsidRPr="007930B0" w:rsidRDefault="001E7BB4" w:rsidP="00DB44A9">
            <w:pPr>
              <w:spacing w:before="40" w:after="40" w:line="220" w:lineRule="exact"/>
              <w:ind w:right="113"/>
              <w:jc w:val="right"/>
              <w:rPr>
                <w:b/>
                <w:sz w:val="18"/>
              </w:rPr>
            </w:pPr>
            <w:r w:rsidRPr="007930B0">
              <w:rPr>
                <w:b/>
                <w:sz w:val="18"/>
              </w:rPr>
              <w:t>40,4</w:t>
            </w:r>
          </w:p>
        </w:tc>
      </w:tr>
      <w:tr w:rsidR="001E7BB4" w:rsidRPr="007930B0">
        <w:trPr>
          <w:trHeight w:val="255"/>
        </w:trPr>
        <w:tc>
          <w:tcPr>
            <w:tcW w:w="4318" w:type="dxa"/>
            <w:gridSpan w:val="2"/>
            <w:shd w:val="clear" w:color="auto" w:fill="auto"/>
            <w:noWrap/>
          </w:tcPr>
          <w:p w:rsidR="001E7BB4" w:rsidRPr="007930B0" w:rsidRDefault="001E7BB4" w:rsidP="00DB44A9">
            <w:pPr>
              <w:spacing w:before="40" w:after="40" w:line="220" w:lineRule="exact"/>
              <w:ind w:right="113"/>
              <w:rPr>
                <w:sz w:val="18"/>
              </w:rPr>
            </w:pPr>
            <w:r w:rsidRPr="007930B0">
              <w:rPr>
                <w:sz w:val="18"/>
              </w:rPr>
              <w:t>Assaba</w:t>
            </w:r>
          </w:p>
        </w:tc>
        <w:tc>
          <w:tcPr>
            <w:tcW w:w="763" w:type="dxa"/>
            <w:shd w:val="clear" w:color="auto" w:fill="auto"/>
            <w:noWrap/>
            <w:vAlign w:val="bottom"/>
          </w:tcPr>
          <w:p w:rsidR="001E7BB4" w:rsidRPr="007930B0" w:rsidRDefault="001E7BB4" w:rsidP="00DB44A9">
            <w:pPr>
              <w:spacing w:before="40" w:after="40" w:line="220" w:lineRule="exact"/>
              <w:ind w:right="113"/>
              <w:jc w:val="right"/>
              <w:rPr>
                <w:b/>
                <w:sz w:val="18"/>
              </w:rPr>
            </w:pPr>
            <w:r w:rsidRPr="007930B0">
              <w:rPr>
                <w:b/>
                <w:sz w:val="18"/>
              </w:rPr>
              <w:t>29,8</w:t>
            </w:r>
          </w:p>
        </w:tc>
        <w:tc>
          <w:tcPr>
            <w:tcW w:w="763"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33,3</w:t>
            </w:r>
          </w:p>
        </w:tc>
        <w:tc>
          <w:tcPr>
            <w:tcW w:w="763" w:type="dxa"/>
            <w:gridSpan w:val="2"/>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30,4</w:t>
            </w:r>
          </w:p>
        </w:tc>
        <w:tc>
          <w:tcPr>
            <w:tcW w:w="763" w:type="dxa"/>
            <w:shd w:val="clear" w:color="auto" w:fill="auto"/>
            <w:noWrap/>
            <w:vAlign w:val="bottom"/>
          </w:tcPr>
          <w:p w:rsidR="001E7BB4" w:rsidRPr="007930B0" w:rsidRDefault="001E7BB4" w:rsidP="00DB44A9">
            <w:pPr>
              <w:spacing w:before="40" w:after="40" w:line="220" w:lineRule="exact"/>
              <w:ind w:right="113"/>
              <w:jc w:val="right"/>
              <w:rPr>
                <w:b/>
                <w:sz w:val="18"/>
              </w:rPr>
            </w:pPr>
            <w:r w:rsidRPr="007930B0">
              <w:rPr>
                <w:b/>
                <w:sz w:val="18"/>
              </w:rPr>
              <w:t>31,9</w:t>
            </w:r>
          </w:p>
        </w:tc>
      </w:tr>
      <w:tr w:rsidR="001E7BB4" w:rsidRPr="007930B0">
        <w:trPr>
          <w:trHeight w:val="255"/>
        </w:trPr>
        <w:tc>
          <w:tcPr>
            <w:tcW w:w="4318" w:type="dxa"/>
            <w:gridSpan w:val="2"/>
            <w:shd w:val="clear" w:color="auto" w:fill="auto"/>
            <w:noWrap/>
          </w:tcPr>
          <w:p w:rsidR="001E7BB4" w:rsidRPr="007930B0" w:rsidRDefault="001E7BB4" w:rsidP="00DB44A9">
            <w:pPr>
              <w:spacing w:before="40" w:after="40" w:line="220" w:lineRule="exact"/>
              <w:ind w:right="113"/>
              <w:rPr>
                <w:sz w:val="18"/>
              </w:rPr>
            </w:pPr>
            <w:r w:rsidRPr="007930B0">
              <w:rPr>
                <w:sz w:val="18"/>
              </w:rPr>
              <w:t>Gorgol</w:t>
            </w:r>
          </w:p>
        </w:tc>
        <w:tc>
          <w:tcPr>
            <w:tcW w:w="763" w:type="dxa"/>
            <w:shd w:val="clear" w:color="auto" w:fill="auto"/>
            <w:noWrap/>
            <w:vAlign w:val="bottom"/>
          </w:tcPr>
          <w:p w:rsidR="001E7BB4" w:rsidRPr="007930B0" w:rsidRDefault="001E7BB4" w:rsidP="00DB44A9">
            <w:pPr>
              <w:spacing w:before="40" w:after="40" w:line="220" w:lineRule="exact"/>
              <w:ind w:right="113"/>
              <w:jc w:val="right"/>
              <w:rPr>
                <w:b/>
                <w:sz w:val="18"/>
              </w:rPr>
            </w:pPr>
            <w:r w:rsidRPr="007930B0">
              <w:rPr>
                <w:b/>
                <w:sz w:val="18"/>
              </w:rPr>
              <w:t>29,9</w:t>
            </w:r>
          </w:p>
        </w:tc>
        <w:tc>
          <w:tcPr>
            <w:tcW w:w="763"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40,3</w:t>
            </w:r>
          </w:p>
        </w:tc>
        <w:tc>
          <w:tcPr>
            <w:tcW w:w="763" w:type="dxa"/>
            <w:gridSpan w:val="2"/>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38,4</w:t>
            </w:r>
          </w:p>
        </w:tc>
        <w:tc>
          <w:tcPr>
            <w:tcW w:w="763" w:type="dxa"/>
            <w:shd w:val="clear" w:color="auto" w:fill="auto"/>
            <w:noWrap/>
            <w:vAlign w:val="bottom"/>
          </w:tcPr>
          <w:p w:rsidR="001E7BB4" w:rsidRPr="007930B0" w:rsidRDefault="001E7BB4" w:rsidP="00DB44A9">
            <w:pPr>
              <w:spacing w:before="40" w:after="40" w:line="220" w:lineRule="exact"/>
              <w:ind w:right="113"/>
              <w:jc w:val="right"/>
              <w:rPr>
                <w:b/>
                <w:sz w:val="18"/>
              </w:rPr>
            </w:pPr>
            <w:r w:rsidRPr="007930B0">
              <w:rPr>
                <w:b/>
                <w:sz w:val="18"/>
              </w:rPr>
              <w:t>39,4</w:t>
            </w:r>
          </w:p>
        </w:tc>
      </w:tr>
      <w:tr w:rsidR="001E7BB4" w:rsidRPr="007930B0">
        <w:trPr>
          <w:trHeight w:val="255"/>
        </w:trPr>
        <w:tc>
          <w:tcPr>
            <w:tcW w:w="4318" w:type="dxa"/>
            <w:gridSpan w:val="2"/>
            <w:shd w:val="clear" w:color="auto" w:fill="auto"/>
            <w:noWrap/>
          </w:tcPr>
          <w:p w:rsidR="001E7BB4" w:rsidRPr="007930B0" w:rsidRDefault="001E7BB4" w:rsidP="00DB44A9">
            <w:pPr>
              <w:spacing w:before="40" w:after="40" w:line="220" w:lineRule="exact"/>
              <w:ind w:right="113"/>
              <w:rPr>
                <w:sz w:val="18"/>
              </w:rPr>
            </w:pPr>
            <w:r w:rsidRPr="007930B0">
              <w:rPr>
                <w:sz w:val="18"/>
              </w:rPr>
              <w:t>Brakna</w:t>
            </w:r>
          </w:p>
        </w:tc>
        <w:tc>
          <w:tcPr>
            <w:tcW w:w="763" w:type="dxa"/>
            <w:shd w:val="clear" w:color="auto" w:fill="auto"/>
            <w:noWrap/>
            <w:vAlign w:val="bottom"/>
          </w:tcPr>
          <w:p w:rsidR="001E7BB4" w:rsidRPr="007930B0" w:rsidRDefault="001E7BB4" w:rsidP="00DB44A9">
            <w:pPr>
              <w:spacing w:before="40" w:after="40" w:line="220" w:lineRule="exact"/>
              <w:ind w:right="113"/>
              <w:jc w:val="right"/>
              <w:rPr>
                <w:b/>
                <w:sz w:val="18"/>
              </w:rPr>
            </w:pPr>
            <w:r w:rsidRPr="007930B0">
              <w:rPr>
                <w:b/>
                <w:sz w:val="18"/>
              </w:rPr>
              <w:t>43</w:t>
            </w:r>
          </w:p>
        </w:tc>
        <w:tc>
          <w:tcPr>
            <w:tcW w:w="763"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42,3</w:t>
            </w:r>
          </w:p>
        </w:tc>
        <w:tc>
          <w:tcPr>
            <w:tcW w:w="763" w:type="dxa"/>
            <w:gridSpan w:val="2"/>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51</w:t>
            </w:r>
          </w:p>
        </w:tc>
        <w:tc>
          <w:tcPr>
            <w:tcW w:w="763" w:type="dxa"/>
            <w:shd w:val="clear" w:color="auto" w:fill="auto"/>
            <w:noWrap/>
            <w:vAlign w:val="bottom"/>
          </w:tcPr>
          <w:p w:rsidR="001E7BB4" w:rsidRPr="007930B0" w:rsidRDefault="001E7BB4" w:rsidP="00DB44A9">
            <w:pPr>
              <w:spacing w:before="40" w:after="40" w:line="220" w:lineRule="exact"/>
              <w:ind w:right="113"/>
              <w:jc w:val="right"/>
              <w:rPr>
                <w:b/>
                <w:sz w:val="18"/>
              </w:rPr>
            </w:pPr>
            <w:r w:rsidRPr="007930B0">
              <w:rPr>
                <w:b/>
                <w:sz w:val="18"/>
              </w:rPr>
              <w:t>46,4</w:t>
            </w:r>
          </w:p>
        </w:tc>
      </w:tr>
      <w:tr w:rsidR="001E7BB4" w:rsidRPr="007930B0">
        <w:trPr>
          <w:trHeight w:val="255"/>
        </w:trPr>
        <w:tc>
          <w:tcPr>
            <w:tcW w:w="4318" w:type="dxa"/>
            <w:gridSpan w:val="2"/>
            <w:shd w:val="clear" w:color="auto" w:fill="auto"/>
            <w:noWrap/>
          </w:tcPr>
          <w:p w:rsidR="001E7BB4" w:rsidRPr="007930B0" w:rsidRDefault="001E7BB4" w:rsidP="00DB44A9">
            <w:pPr>
              <w:spacing w:before="40" w:after="40" w:line="220" w:lineRule="exact"/>
              <w:ind w:right="113"/>
              <w:rPr>
                <w:sz w:val="18"/>
              </w:rPr>
            </w:pPr>
            <w:r w:rsidRPr="007930B0">
              <w:rPr>
                <w:sz w:val="18"/>
              </w:rPr>
              <w:t>Trarza</w:t>
            </w:r>
          </w:p>
        </w:tc>
        <w:tc>
          <w:tcPr>
            <w:tcW w:w="763" w:type="dxa"/>
            <w:shd w:val="clear" w:color="auto" w:fill="auto"/>
            <w:noWrap/>
            <w:vAlign w:val="bottom"/>
          </w:tcPr>
          <w:p w:rsidR="001E7BB4" w:rsidRPr="007930B0" w:rsidRDefault="001E7BB4" w:rsidP="00DB44A9">
            <w:pPr>
              <w:spacing w:before="40" w:after="40" w:line="220" w:lineRule="exact"/>
              <w:ind w:right="113"/>
              <w:jc w:val="right"/>
              <w:rPr>
                <w:b/>
                <w:sz w:val="18"/>
              </w:rPr>
            </w:pPr>
            <w:r w:rsidRPr="007930B0">
              <w:rPr>
                <w:b/>
                <w:sz w:val="18"/>
              </w:rPr>
              <w:t>58,8</w:t>
            </w:r>
          </w:p>
        </w:tc>
        <w:tc>
          <w:tcPr>
            <w:tcW w:w="763"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54,4</w:t>
            </w:r>
          </w:p>
        </w:tc>
        <w:tc>
          <w:tcPr>
            <w:tcW w:w="763" w:type="dxa"/>
            <w:gridSpan w:val="2"/>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57,8</w:t>
            </w:r>
          </w:p>
        </w:tc>
        <w:tc>
          <w:tcPr>
            <w:tcW w:w="763" w:type="dxa"/>
            <w:shd w:val="clear" w:color="auto" w:fill="auto"/>
            <w:noWrap/>
            <w:vAlign w:val="bottom"/>
          </w:tcPr>
          <w:p w:rsidR="001E7BB4" w:rsidRPr="007930B0" w:rsidRDefault="001E7BB4" w:rsidP="00DB44A9">
            <w:pPr>
              <w:spacing w:before="40" w:after="40" w:line="220" w:lineRule="exact"/>
              <w:ind w:right="113"/>
              <w:jc w:val="right"/>
              <w:rPr>
                <w:b/>
                <w:sz w:val="18"/>
              </w:rPr>
            </w:pPr>
            <w:r w:rsidRPr="007930B0">
              <w:rPr>
                <w:b/>
                <w:sz w:val="18"/>
              </w:rPr>
              <w:t>56</w:t>
            </w:r>
          </w:p>
        </w:tc>
      </w:tr>
      <w:tr w:rsidR="001E7BB4" w:rsidRPr="007930B0">
        <w:trPr>
          <w:trHeight w:val="255"/>
        </w:trPr>
        <w:tc>
          <w:tcPr>
            <w:tcW w:w="4318" w:type="dxa"/>
            <w:gridSpan w:val="2"/>
            <w:shd w:val="clear" w:color="auto" w:fill="auto"/>
            <w:noWrap/>
          </w:tcPr>
          <w:p w:rsidR="001E7BB4" w:rsidRPr="007930B0" w:rsidRDefault="001E7BB4" w:rsidP="00DB44A9">
            <w:pPr>
              <w:spacing w:before="40" w:after="40" w:line="220" w:lineRule="exact"/>
              <w:ind w:right="113"/>
              <w:rPr>
                <w:sz w:val="18"/>
              </w:rPr>
            </w:pPr>
            <w:r w:rsidRPr="007930B0">
              <w:rPr>
                <w:sz w:val="18"/>
              </w:rPr>
              <w:t>Adrar</w:t>
            </w:r>
          </w:p>
        </w:tc>
        <w:tc>
          <w:tcPr>
            <w:tcW w:w="763" w:type="dxa"/>
            <w:shd w:val="clear" w:color="auto" w:fill="auto"/>
            <w:noWrap/>
            <w:vAlign w:val="bottom"/>
          </w:tcPr>
          <w:p w:rsidR="001E7BB4" w:rsidRPr="007930B0" w:rsidRDefault="001E7BB4" w:rsidP="00DB44A9">
            <w:pPr>
              <w:spacing w:before="40" w:after="40" w:line="220" w:lineRule="exact"/>
              <w:ind w:right="113"/>
              <w:jc w:val="right"/>
              <w:rPr>
                <w:b/>
                <w:sz w:val="18"/>
              </w:rPr>
            </w:pPr>
            <w:r w:rsidRPr="007930B0">
              <w:rPr>
                <w:b/>
                <w:sz w:val="18"/>
              </w:rPr>
              <w:t>62,2</w:t>
            </w:r>
          </w:p>
        </w:tc>
        <w:tc>
          <w:tcPr>
            <w:tcW w:w="763"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47,9</w:t>
            </w:r>
          </w:p>
        </w:tc>
        <w:tc>
          <w:tcPr>
            <w:tcW w:w="763" w:type="dxa"/>
            <w:gridSpan w:val="2"/>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52,5</w:t>
            </w:r>
          </w:p>
        </w:tc>
        <w:tc>
          <w:tcPr>
            <w:tcW w:w="763" w:type="dxa"/>
            <w:shd w:val="clear" w:color="auto" w:fill="auto"/>
            <w:noWrap/>
            <w:vAlign w:val="bottom"/>
          </w:tcPr>
          <w:p w:rsidR="001E7BB4" w:rsidRPr="007930B0" w:rsidRDefault="001E7BB4" w:rsidP="00DB44A9">
            <w:pPr>
              <w:spacing w:before="40" w:after="40" w:line="220" w:lineRule="exact"/>
              <w:ind w:right="113"/>
              <w:jc w:val="right"/>
              <w:rPr>
                <w:b/>
                <w:sz w:val="18"/>
              </w:rPr>
            </w:pPr>
            <w:r w:rsidRPr="007930B0">
              <w:rPr>
                <w:b/>
                <w:sz w:val="18"/>
              </w:rPr>
              <w:t>50,1</w:t>
            </w:r>
          </w:p>
        </w:tc>
      </w:tr>
      <w:tr w:rsidR="001E7BB4" w:rsidRPr="007930B0">
        <w:trPr>
          <w:trHeight w:val="255"/>
        </w:trPr>
        <w:tc>
          <w:tcPr>
            <w:tcW w:w="4318" w:type="dxa"/>
            <w:gridSpan w:val="2"/>
            <w:shd w:val="clear" w:color="auto" w:fill="auto"/>
            <w:noWrap/>
          </w:tcPr>
          <w:p w:rsidR="001E7BB4" w:rsidRPr="007930B0" w:rsidRDefault="001E7BB4" w:rsidP="00DB44A9">
            <w:pPr>
              <w:spacing w:before="40" w:after="40" w:line="220" w:lineRule="exact"/>
              <w:ind w:right="113"/>
              <w:rPr>
                <w:sz w:val="18"/>
              </w:rPr>
            </w:pPr>
            <w:r w:rsidRPr="007930B0">
              <w:rPr>
                <w:sz w:val="18"/>
              </w:rPr>
              <w:t>Dakhlett ndb</w:t>
            </w:r>
          </w:p>
        </w:tc>
        <w:tc>
          <w:tcPr>
            <w:tcW w:w="763" w:type="dxa"/>
            <w:shd w:val="clear" w:color="auto" w:fill="auto"/>
            <w:noWrap/>
            <w:vAlign w:val="bottom"/>
          </w:tcPr>
          <w:p w:rsidR="001E7BB4" w:rsidRPr="007930B0" w:rsidRDefault="001E7BB4" w:rsidP="00DB44A9">
            <w:pPr>
              <w:spacing w:before="40" w:after="40" w:line="220" w:lineRule="exact"/>
              <w:ind w:right="113"/>
              <w:jc w:val="right"/>
              <w:rPr>
                <w:b/>
                <w:sz w:val="18"/>
              </w:rPr>
            </w:pPr>
            <w:r w:rsidRPr="007930B0">
              <w:rPr>
                <w:b/>
                <w:sz w:val="18"/>
              </w:rPr>
              <w:t>71,5</w:t>
            </w:r>
          </w:p>
        </w:tc>
        <w:tc>
          <w:tcPr>
            <w:tcW w:w="763"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68,2</w:t>
            </w:r>
          </w:p>
        </w:tc>
        <w:tc>
          <w:tcPr>
            <w:tcW w:w="763" w:type="dxa"/>
            <w:gridSpan w:val="2"/>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78,2</w:t>
            </w:r>
          </w:p>
        </w:tc>
        <w:tc>
          <w:tcPr>
            <w:tcW w:w="763" w:type="dxa"/>
            <w:shd w:val="clear" w:color="auto" w:fill="auto"/>
            <w:noWrap/>
            <w:vAlign w:val="bottom"/>
          </w:tcPr>
          <w:p w:rsidR="001E7BB4" w:rsidRPr="007930B0" w:rsidRDefault="001E7BB4" w:rsidP="00DB44A9">
            <w:pPr>
              <w:spacing w:before="40" w:after="40" w:line="220" w:lineRule="exact"/>
              <w:ind w:right="113"/>
              <w:jc w:val="right"/>
              <w:rPr>
                <w:b/>
                <w:sz w:val="18"/>
              </w:rPr>
            </w:pPr>
            <w:r w:rsidRPr="007930B0">
              <w:rPr>
                <w:b/>
                <w:sz w:val="18"/>
              </w:rPr>
              <w:t>72,8</w:t>
            </w:r>
          </w:p>
        </w:tc>
      </w:tr>
      <w:tr w:rsidR="001E7BB4" w:rsidRPr="007930B0">
        <w:trPr>
          <w:trHeight w:val="255"/>
        </w:trPr>
        <w:tc>
          <w:tcPr>
            <w:tcW w:w="4318" w:type="dxa"/>
            <w:gridSpan w:val="2"/>
            <w:shd w:val="clear" w:color="auto" w:fill="auto"/>
            <w:noWrap/>
          </w:tcPr>
          <w:p w:rsidR="001E7BB4" w:rsidRPr="007930B0" w:rsidRDefault="001E7BB4" w:rsidP="00DB44A9">
            <w:pPr>
              <w:spacing w:before="40" w:after="40" w:line="220" w:lineRule="exact"/>
              <w:ind w:right="113"/>
              <w:rPr>
                <w:sz w:val="18"/>
              </w:rPr>
            </w:pPr>
            <w:r w:rsidRPr="007930B0">
              <w:rPr>
                <w:sz w:val="18"/>
              </w:rPr>
              <w:t>Tagant</w:t>
            </w:r>
          </w:p>
        </w:tc>
        <w:tc>
          <w:tcPr>
            <w:tcW w:w="763" w:type="dxa"/>
            <w:shd w:val="clear" w:color="auto" w:fill="auto"/>
            <w:noWrap/>
            <w:vAlign w:val="bottom"/>
          </w:tcPr>
          <w:p w:rsidR="001E7BB4" w:rsidRPr="007930B0" w:rsidRDefault="001E7BB4" w:rsidP="00DB44A9">
            <w:pPr>
              <w:spacing w:before="40" w:after="40" w:line="220" w:lineRule="exact"/>
              <w:ind w:right="113"/>
              <w:jc w:val="right"/>
              <w:rPr>
                <w:b/>
                <w:sz w:val="18"/>
              </w:rPr>
            </w:pPr>
            <w:r w:rsidRPr="007930B0">
              <w:rPr>
                <w:b/>
                <w:sz w:val="18"/>
              </w:rPr>
              <w:t>40,1</w:t>
            </w:r>
          </w:p>
        </w:tc>
        <w:tc>
          <w:tcPr>
            <w:tcW w:w="763"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62,1</w:t>
            </w:r>
          </w:p>
        </w:tc>
        <w:tc>
          <w:tcPr>
            <w:tcW w:w="763" w:type="dxa"/>
            <w:gridSpan w:val="2"/>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58,1</w:t>
            </w:r>
          </w:p>
        </w:tc>
        <w:tc>
          <w:tcPr>
            <w:tcW w:w="763" w:type="dxa"/>
            <w:shd w:val="clear" w:color="auto" w:fill="auto"/>
            <w:noWrap/>
            <w:vAlign w:val="bottom"/>
          </w:tcPr>
          <w:p w:rsidR="001E7BB4" w:rsidRPr="007930B0" w:rsidRDefault="001E7BB4" w:rsidP="00DB44A9">
            <w:pPr>
              <w:spacing w:before="40" w:after="40" w:line="220" w:lineRule="exact"/>
              <w:ind w:right="113"/>
              <w:jc w:val="right"/>
              <w:rPr>
                <w:b/>
                <w:sz w:val="18"/>
              </w:rPr>
            </w:pPr>
            <w:r w:rsidRPr="007930B0">
              <w:rPr>
                <w:b/>
                <w:sz w:val="18"/>
              </w:rPr>
              <w:t>60,1</w:t>
            </w:r>
          </w:p>
        </w:tc>
      </w:tr>
      <w:tr w:rsidR="001E7BB4" w:rsidRPr="007930B0">
        <w:trPr>
          <w:trHeight w:val="255"/>
        </w:trPr>
        <w:tc>
          <w:tcPr>
            <w:tcW w:w="4318" w:type="dxa"/>
            <w:gridSpan w:val="2"/>
            <w:shd w:val="clear" w:color="auto" w:fill="auto"/>
            <w:noWrap/>
          </w:tcPr>
          <w:p w:rsidR="001E7BB4" w:rsidRPr="007930B0" w:rsidRDefault="001E7BB4" w:rsidP="00DB44A9">
            <w:pPr>
              <w:spacing w:before="40" w:after="40" w:line="220" w:lineRule="exact"/>
              <w:ind w:right="113"/>
              <w:rPr>
                <w:sz w:val="18"/>
              </w:rPr>
            </w:pPr>
            <w:r w:rsidRPr="007930B0">
              <w:rPr>
                <w:sz w:val="18"/>
              </w:rPr>
              <w:t>Guidimagha</w:t>
            </w:r>
          </w:p>
        </w:tc>
        <w:tc>
          <w:tcPr>
            <w:tcW w:w="763" w:type="dxa"/>
            <w:shd w:val="clear" w:color="auto" w:fill="auto"/>
            <w:noWrap/>
            <w:vAlign w:val="bottom"/>
          </w:tcPr>
          <w:p w:rsidR="001E7BB4" w:rsidRPr="007930B0" w:rsidRDefault="001E7BB4" w:rsidP="00DB44A9">
            <w:pPr>
              <w:spacing w:before="40" w:after="40" w:line="220" w:lineRule="exact"/>
              <w:ind w:right="113"/>
              <w:jc w:val="right"/>
              <w:rPr>
                <w:b/>
                <w:sz w:val="18"/>
              </w:rPr>
            </w:pPr>
            <w:r w:rsidRPr="007930B0">
              <w:rPr>
                <w:b/>
                <w:sz w:val="18"/>
              </w:rPr>
              <w:t>31,4</w:t>
            </w:r>
          </w:p>
        </w:tc>
        <w:tc>
          <w:tcPr>
            <w:tcW w:w="763"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55,8</w:t>
            </w:r>
          </w:p>
        </w:tc>
        <w:tc>
          <w:tcPr>
            <w:tcW w:w="763" w:type="dxa"/>
            <w:gridSpan w:val="2"/>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35,9</w:t>
            </w:r>
          </w:p>
        </w:tc>
        <w:tc>
          <w:tcPr>
            <w:tcW w:w="763" w:type="dxa"/>
            <w:shd w:val="clear" w:color="auto" w:fill="auto"/>
            <w:noWrap/>
            <w:vAlign w:val="bottom"/>
          </w:tcPr>
          <w:p w:rsidR="001E7BB4" w:rsidRPr="007930B0" w:rsidRDefault="001E7BB4" w:rsidP="00DB44A9">
            <w:pPr>
              <w:spacing w:before="40" w:after="40" w:line="220" w:lineRule="exact"/>
              <w:ind w:right="113"/>
              <w:jc w:val="right"/>
              <w:rPr>
                <w:b/>
                <w:sz w:val="18"/>
              </w:rPr>
            </w:pPr>
            <w:r w:rsidRPr="007930B0">
              <w:rPr>
                <w:b/>
                <w:sz w:val="18"/>
              </w:rPr>
              <w:t>45,8</w:t>
            </w:r>
          </w:p>
        </w:tc>
      </w:tr>
      <w:tr w:rsidR="001E7BB4" w:rsidRPr="007930B0">
        <w:trPr>
          <w:trHeight w:val="255"/>
        </w:trPr>
        <w:tc>
          <w:tcPr>
            <w:tcW w:w="4318" w:type="dxa"/>
            <w:gridSpan w:val="2"/>
            <w:shd w:val="clear" w:color="auto" w:fill="auto"/>
            <w:noWrap/>
          </w:tcPr>
          <w:p w:rsidR="001E7BB4" w:rsidRPr="007930B0" w:rsidRDefault="001E7BB4" w:rsidP="00DB44A9">
            <w:pPr>
              <w:spacing w:before="40" w:after="40" w:line="220" w:lineRule="exact"/>
              <w:ind w:right="113"/>
              <w:rPr>
                <w:sz w:val="18"/>
              </w:rPr>
            </w:pPr>
            <w:r w:rsidRPr="007930B0">
              <w:rPr>
                <w:sz w:val="18"/>
              </w:rPr>
              <w:t>Tiris Zemmour</w:t>
            </w:r>
          </w:p>
        </w:tc>
        <w:tc>
          <w:tcPr>
            <w:tcW w:w="763" w:type="dxa"/>
            <w:shd w:val="clear" w:color="auto" w:fill="auto"/>
            <w:noWrap/>
            <w:vAlign w:val="bottom"/>
          </w:tcPr>
          <w:p w:rsidR="001E7BB4" w:rsidRPr="007930B0" w:rsidRDefault="001E7BB4" w:rsidP="00DB44A9">
            <w:pPr>
              <w:spacing w:before="40" w:after="40" w:line="220" w:lineRule="exact"/>
              <w:ind w:right="113"/>
              <w:jc w:val="right"/>
              <w:rPr>
                <w:b/>
                <w:sz w:val="18"/>
              </w:rPr>
            </w:pPr>
            <w:r w:rsidRPr="007930B0">
              <w:rPr>
                <w:b/>
                <w:sz w:val="18"/>
              </w:rPr>
              <w:t>53,8</w:t>
            </w:r>
          </w:p>
        </w:tc>
        <w:tc>
          <w:tcPr>
            <w:tcW w:w="763"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74,4</w:t>
            </w:r>
          </w:p>
        </w:tc>
        <w:tc>
          <w:tcPr>
            <w:tcW w:w="763" w:type="dxa"/>
            <w:gridSpan w:val="2"/>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72,7</w:t>
            </w:r>
          </w:p>
        </w:tc>
        <w:tc>
          <w:tcPr>
            <w:tcW w:w="763" w:type="dxa"/>
            <w:shd w:val="clear" w:color="auto" w:fill="auto"/>
            <w:noWrap/>
            <w:vAlign w:val="bottom"/>
          </w:tcPr>
          <w:p w:rsidR="001E7BB4" w:rsidRPr="007930B0" w:rsidRDefault="001E7BB4" w:rsidP="00DB44A9">
            <w:pPr>
              <w:spacing w:before="40" w:after="40" w:line="220" w:lineRule="exact"/>
              <w:ind w:right="113"/>
              <w:jc w:val="right"/>
              <w:rPr>
                <w:b/>
                <w:sz w:val="18"/>
              </w:rPr>
            </w:pPr>
            <w:r w:rsidRPr="007930B0">
              <w:rPr>
                <w:b/>
                <w:sz w:val="18"/>
              </w:rPr>
              <w:t>73,6</w:t>
            </w:r>
          </w:p>
        </w:tc>
      </w:tr>
      <w:tr w:rsidR="001E7BB4" w:rsidRPr="007930B0">
        <w:trPr>
          <w:trHeight w:val="255"/>
        </w:trPr>
        <w:tc>
          <w:tcPr>
            <w:tcW w:w="4318" w:type="dxa"/>
            <w:gridSpan w:val="2"/>
            <w:shd w:val="clear" w:color="auto" w:fill="auto"/>
            <w:noWrap/>
          </w:tcPr>
          <w:p w:rsidR="001E7BB4" w:rsidRPr="007930B0" w:rsidRDefault="001E7BB4" w:rsidP="00DB44A9">
            <w:pPr>
              <w:spacing w:before="40" w:after="40" w:line="220" w:lineRule="exact"/>
              <w:ind w:right="113"/>
              <w:rPr>
                <w:sz w:val="18"/>
              </w:rPr>
            </w:pPr>
            <w:r w:rsidRPr="007930B0">
              <w:rPr>
                <w:sz w:val="18"/>
              </w:rPr>
              <w:t>Inchiri</w:t>
            </w:r>
          </w:p>
        </w:tc>
        <w:tc>
          <w:tcPr>
            <w:tcW w:w="763" w:type="dxa"/>
            <w:shd w:val="clear" w:color="auto" w:fill="auto"/>
            <w:noWrap/>
            <w:vAlign w:val="bottom"/>
          </w:tcPr>
          <w:p w:rsidR="001E7BB4" w:rsidRPr="007930B0" w:rsidRDefault="001E7BB4" w:rsidP="00DB44A9">
            <w:pPr>
              <w:spacing w:before="40" w:after="40" w:line="220" w:lineRule="exact"/>
              <w:ind w:right="113"/>
              <w:jc w:val="right"/>
              <w:rPr>
                <w:b/>
                <w:sz w:val="18"/>
              </w:rPr>
            </w:pPr>
            <w:r w:rsidRPr="007930B0">
              <w:rPr>
                <w:b/>
                <w:sz w:val="18"/>
              </w:rPr>
              <w:t>73,9</w:t>
            </w:r>
          </w:p>
        </w:tc>
        <w:tc>
          <w:tcPr>
            <w:tcW w:w="763" w:type="dxa"/>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53,3</w:t>
            </w:r>
          </w:p>
        </w:tc>
        <w:tc>
          <w:tcPr>
            <w:tcW w:w="763" w:type="dxa"/>
            <w:gridSpan w:val="2"/>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45,6</w:t>
            </w:r>
          </w:p>
        </w:tc>
        <w:tc>
          <w:tcPr>
            <w:tcW w:w="763" w:type="dxa"/>
            <w:shd w:val="clear" w:color="auto" w:fill="auto"/>
            <w:noWrap/>
            <w:vAlign w:val="bottom"/>
          </w:tcPr>
          <w:p w:rsidR="001E7BB4" w:rsidRPr="007930B0" w:rsidRDefault="001E7BB4" w:rsidP="00DB44A9">
            <w:pPr>
              <w:spacing w:before="40" w:after="40" w:line="220" w:lineRule="exact"/>
              <w:ind w:right="113"/>
              <w:jc w:val="right"/>
              <w:rPr>
                <w:b/>
                <w:sz w:val="18"/>
              </w:rPr>
            </w:pPr>
            <w:r w:rsidRPr="007930B0">
              <w:rPr>
                <w:b/>
                <w:sz w:val="18"/>
              </w:rPr>
              <w:t>49,2</w:t>
            </w:r>
          </w:p>
        </w:tc>
      </w:tr>
      <w:tr w:rsidR="001E7BB4" w:rsidRPr="007930B0">
        <w:trPr>
          <w:trHeight w:val="255"/>
        </w:trPr>
        <w:tc>
          <w:tcPr>
            <w:tcW w:w="4318" w:type="dxa"/>
            <w:gridSpan w:val="2"/>
            <w:tcBorders>
              <w:bottom w:val="single" w:sz="4" w:space="0" w:color="auto"/>
            </w:tcBorders>
            <w:shd w:val="clear" w:color="auto" w:fill="auto"/>
            <w:noWrap/>
          </w:tcPr>
          <w:p w:rsidR="001E7BB4" w:rsidRPr="007930B0" w:rsidRDefault="001E7BB4" w:rsidP="00DB44A9">
            <w:pPr>
              <w:spacing w:before="40" w:after="40" w:line="220" w:lineRule="exact"/>
              <w:ind w:right="113"/>
              <w:rPr>
                <w:sz w:val="18"/>
              </w:rPr>
            </w:pPr>
            <w:r w:rsidRPr="007930B0">
              <w:rPr>
                <w:sz w:val="18"/>
              </w:rPr>
              <w:t>Nuakchot</w:t>
            </w:r>
          </w:p>
        </w:tc>
        <w:tc>
          <w:tcPr>
            <w:tcW w:w="763" w:type="dxa"/>
            <w:tcBorders>
              <w:bottom w:val="single" w:sz="4" w:space="0" w:color="auto"/>
            </w:tcBorders>
            <w:shd w:val="clear" w:color="auto" w:fill="auto"/>
            <w:noWrap/>
            <w:vAlign w:val="bottom"/>
          </w:tcPr>
          <w:p w:rsidR="001E7BB4" w:rsidRPr="007930B0" w:rsidRDefault="001E7BB4" w:rsidP="00DB44A9">
            <w:pPr>
              <w:spacing w:before="40" w:after="40" w:line="220" w:lineRule="exact"/>
              <w:ind w:right="113"/>
              <w:jc w:val="right"/>
              <w:rPr>
                <w:b/>
                <w:sz w:val="18"/>
              </w:rPr>
            </w:pPr>
            <w:r w:rsidRPr="007930B0">
              <w:rPr>
                <w:b/>
                <w:sz w:val="18"/>
              </w:rPr>
              <w:t>85,2</w:t>
            </w:r>
          </w:p>
        </w:tc>
        <w:tc>
          <w:tcPr>
            <w:tcW w:w="763" w:type="dxa"/>
            <w:tcBorders>
              <w:bottom w:val="single" w:sz="4" w:space="0" w:color="auto"/>
            </w:tcBorders>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98,9</w:t>
            </w:r>
          </w:p>
        </w:tc>
        <w:tc>
          <w:tcPr>
            <w:tcW w:w="763" w:type="dxa"/>
            <w:gridSpan w:val="2"/>
            <w:tcBorders>
              <w:bottom w:val="single" w:sz="4" w:space="0" w:color="auto"/>
            </w:tcBorders>
            <w:shd w:val="clear" w:color="auto" w:fill="auto"/>
            <w:noWrap/>
            <w:vAlign w:val="bottom"/>
          </w:tcPr>
          <w:p w:rsidR="001E7BB4" w:rsidRPr="007930B0" w:rsidRDefault="001E7BB4" w:rsidP="00DB44A9">
            <w:pPr>
              <w:spacing w:before="40" w:after="40" w:line="220" w:lineRule="exact"/>
              <w:ind w:right="113"/>
              <w:jc w:val="right"/>
              <w:rPr>
                <w:sz w:val="18"/>
              </w:rPr>
            </w:pPr>
            <w:r w:rsidRPr="007930B0">
              <w:rPr>
                <w:sz w:val="18"/>
              </w:rPr>
              <w:t>100,2</w:t>
            </w:r>
          </w:p>
        </w:tc>
        <w:tc>
          <w:tcPr>
            <w:tcW w:w="763" w:type="dxa"/>
            <w:tcBorders>
              <w:bottom w:val="single" w:sz="4" w:space="0" w:color="auto"/>
            </w:tcBorders>
            <w:shd w:val="clear" w:color="auto" w:fill="auto"/>
            <w:noWrap/>
            <w:vAlign w:val="bottom"/>
          </w:tcPr>
          <w:p w:rsidR="001E7BB4" w:rsidRPr="007930B0" w:rsidRDefault="001E7BB4" w:rsidP="00DB44A9">
            <w:pPr>
              <w:spacing w:before="40" w:after="40" w:line="220" w:lineRule="exact"/>
              <w:ind w:right="113"/>
              <w:jc w:val="right"/>
              <w:rPr>
                <w:b/>
                <w:sz w:val="18"/>
              </w:rPr>
            </w:pPr>
            <w:r w:rsidRPr="007930B0">
              <w:rPr>
                <w:b/>
                <w:sz w:val="18"/>
              </w:rPr>
              <w:t>99,6</w:t>
            </w:r>
          </w:p>
        </w:tc>
      </w:tr>
      <w:tr w:rsidR="001E7BB4" w:rsidRPr="007930B0">
        <w:trPr>
          <w:trHeight w:val="255"/>
        </w:trPr>
        <w:tc>
          <w:tcPr>
            <w:tcW w:w="4318" w:type="dxa"/>
            <w:gridSpan w:val="2"/>
            <w:tcBorders>
              <w:top w:val="single" w:sz="4" w:space="0" w:color="auto"/>
              <w:bottom w:val="single" w:sz="12" w:space="0" w:color="auto"/>
            </w:tcBorders>
            <w:shd w:val="clear" w:color="auto" w:fill="auto"/>
            <w:noWrap/>
          </w:tcPr>
          <w:p w:rsidR="001E7BB4" w:rsidRPr="007930B0" w:rsidRDefault="001E7BB4" w:rsidP="00CC7CB3">
            <w:pPr>
              <w:spacing w:before="80" w:after="80" w:line="220" w:lineRule="exact"/>
              <w:ind w:left="284" w:right="113"/>
              <w:rPr>
                <w:b/>
                <w:sz w:val="18"/>
              </w:rPr>
            </w:pPr>
            <w:r w:rsidRPr="007930B0">
              <w:rPr>
                <w:b/>
                <w:sz w:val="18"/>
              </w:rPr>
              <w:t>Nacional</w:t>
            </w:r>
          </w:p>
        </w:tc>
        <w:tc>
          <w:tcPr>
            <w:tcW w:w="763" w:type="dxa"/>
            <w:tcBorders>
              <w:top w:val="single" w:sz="4" w:space="0" w:color="auto"/>
              <w:bottom w:val="single" w:sz="12" w:space="0" w:color="auto"/>
            </w:tcBorders>
            <w:shd w:val="clear" w:color="auto" w:fill="auto"/>
            <w:noWrap/>
            <w:vAlign w:val="bottom"/>
          </w:tcPr>
          <w:p w:rsidR="001E7BB4" w:rsidRPr="007930B0" w:rsidRDefault="001E7BB4" w:rsidP="0071105A">
            <w:pPr>
              <w:spacing w:before="80" w:after="80" w:line="220" w:lineRule="exact"/>
              <w:ind w:right="113"/>
              <w:jc w:val="right"/>
              <w:rPr>
                <w:b/>
                <w:sz w:val="18"/>
              </w:rPr>
            </w:pPr>
            <w:r w:rsidRPr="007930B0">
              <w:rPr>
                <w:b/>
                <w:sz w:val="18"/>
              </w:rPr>
              <w:t>46,5</w:t>
            </w:r>
          </w:p>
        </w:tc>
        <w:tc>
          <w:tcPr>
            <w:tcW w:w="763" w:type="dxa"/>
            <w:tcBorders>
              <w:top w:val="single" w:sz="4" w:space="0" w:color="auto"/>
              <w:bottom w:val="single" w:sz="12" w:space="0" w:color="auto"/>
            </w:tcBorders>
            <w:shd w:val="clear" w:color="auto" w:fill="auto"/>
            <w:noWrap/>
            <w:vAlign w:val="bottom"/>
          </w:tcPr>
          <w:p w:rsidR="001E7BB4" w:rsidRPr="007930B0" w:rsidRDefault="001E7BB4" w:rsidP="0071105A">
            <w:pPr>
              <w:spacing w:before="80" w:after="80" w:line="220" w:lineRule="exact"/>
              <w:ind w:right="113"/>
              <w:jc w:val="right"/>
              <w:rPr>
                <w:b/>
                <w:sz w:val="18"/>
              </w:rPr>
            </w:pPr>
            <w:r w:rsidRPr="007930B0">
              <w:rPr>
                <w:b/>
                <w:sz w:val="18"/>
              </w:rPr>
              <w:t>49,1</w:t>
            </w:r>
          </w:p>
        </w:tc>
        <w:tc>
          <w:tcPr>
            <w:tcW w:w="763" w:type="dxa"/>
            <w:gridSpan w:val="2"/>
            <w:tcBorders>
              <w:top w:val="single" w:sz="4" w:space="0" w:color="auto"/>
              <w:bottom w:val="single" w:sz="12" w:space="0" w:color="auto"/>
            </w:tcBorders>
            <w:shd w:val="clear" w:color="auto" w:fill="auto"/>
            <w:noWrap/>
            <w:vAlign w:val="bottom"/>
          </w:tcPr>
          <w:p w:rsidR="001E7BB4" w:rsidRPr="007930B0" w:rsidRDefault="001E7BB4" w:rsidP="0071105A">
            <w:pPr>
              <w:spacing w:before="80" w:after="80" w:line="220" w:lineRule="exact"/>
              <w:ind w:right="113"/>
              <w:jc w:val="right"/>
              <w:rPr>
                <w:b/>
                <w:sz w:val="18"/>
              </w:rPr>
            </w:pPr>
            <w:r w:rsidRPr="007930B0">
              <w:rPr>
                <w:b/>
                <w:sz w:val="18"/>
              </w:rPr>
              <w:t>49,6</w:t>
            </w:r>
          </w:p>
        </w:tc>
        <w:tc>
          <w:tcPr>
            <w:tcW w:w="763" w:type="dxa"/>
            <w:tcBorders>
              <w:top w:val="single" w:sz="4" w:space="0" w:color="auto"/>
              <w:bottom w:val="single" w:sz="12" w:space="0" w:color="auto"/>
            </w:tcBorders>
            <w:shd w:val="clear" w:color="auto" w:fill="auto"/>
            <w:noWrap/>
            <w:vAlign w:val="bottom"/>
          </w:tcPr>
          <w:p w:rsidR="001E7BB4" w:rsidRPr="007930B0" w:rsidRDefault="001E7BB4" w:rsidP="0071105A">
            <w:pPr>
              <w:spacing w:before="80" w:after="80" w:line="220" w:lineRule="exact"/>
              <w:ind w:right="113"/>
              <w:jc w:val="right"/>
              <w:rPr>
                <w:b/>
                <w:sz w:val="18"/>
              </w:rPr>
            </w:pPr>
            <w:r w:rsidRPr="007930B0">
              <w:rPr>
                <w:b/>
                <w:sz w:val="18"/>
              </w:rPr>
              <w:t>49,3</w:t>
            </w:r>
          </w:p>
        </w:tc>
      </w:tr>
    </w:tbl>
    <w:p w:rsidR="001E7BB4" w:rsidRPr="007930B0" w:rsidRDefault="001E7BB4" w:rsidP="00DB44A9">
      <w:pPr>
        <w:pStyle w:val="SingleTxtG"/>
        <w:spacing w:before="240"/>
        <w:rPr>
          <w:lang w:val="es-ES"/>
        </w:rPr>
      </w:pPr>
      <w:r w:rsidRPr="007930B0">
        <w:rPr>
          <w:lang w:val="es-ES"/>
        </w:rPr>
        <w:t>422.</w:t>
      </w:r>
      <w:r w:rsidRPr="007930B0">
        <w:rPr>
          <w:lang w:val="es-ES"/>
        </w:rPr>
        <w:tab/>
        <w:t>Cabe señalar que para calcular la tasa de retención escolar se ideó, en el marco de la elaboración del último Informe de Estado de un Sistema Educativo Nacional (RESEN), un método que corrige ciertas anomalías constatadas en los datos de algunos años. Este método permitió estimar la tasa de retención escolar de 2005 en 53,8%. La aplicación de este método a los datos de 2007 da una tasa de retención escolar de 61%.</w:t>
      </w:r>
    </w:p>
    <w:p w:rsidR="001E7BB4" w:rsidRPr="007930B0" w:rsidRDefault="001E7BB4" w:rsidP="0068666F">
      <w:pPr>
        <w:pStyle w:val="SingleTxtG"/>
        <w:rPr>
          <w:lang w:val="es-ES"/>
        </w:rPr>
      </w:pPr>
      <w:r w:rsidRPr="007930B0">
        <w:rPr>
          <w:lang w:val="es-ES"/>
        </w:rPr>
        <w:t>423.</w:t>
      </w:r>
      <w:r w:rsidRPr="007930B0">
        <w:rPr>
          <w:lang w:val="es-ES"/>
        </w:rPr>
        <w:tab/>
        <w:t>En vista de las divergencias entre los diferentes métodos de cálculo y dada la importancia de este indicador, será necesario proceder, durante el año 2007/08, a una operación de recopilación de datos de envergadura que permita establecer una situación de referencia para la retención del sistema.</w:t>
      </w:r>
    </w:p>
    <w:p w:rsidR="001E7BB4" w:rsidRPr="007930B0" w:rsidRDefault="00DB44A9" w:rsidP="00DB44A9">
      <w:pPr>
        <w:pStyle w:val="H23G"/>
        <w:rPr>
          <w:lang w:val="es-ES"/>
        </w:rPr>
      </w:pPr>
      <w:bookmarkStart w:id="5" w:name="_Toc50388708"/>
      <w:bookmarkStart w:id="6" w:name="_Toc151950051"/>
      <w:bookmarkStart w:id="7" w:name="_Toc180163039"/>
      <w:r w:rsidRPr="007930B0">
        <w:rPr>
          <w:lang w:val="es-ES"/>
        </w:rPr>
        <w:tab/>
      </w:r>
      <w:r w:rsidRPr="007930B0">
        <w:rPr>
          <w:lang w:val="es-ES"/>
        </w:rPr>
        <w:tab/>
      </w:r>
      <w:r w:rsidR="001E7BB4" w:rsidRPr="007930B0">
        <w:rPr>
          <w:lang w:val="es-ES"/>
        </w:rPr>
        <w:t>Enseñanza sec</w:t>
      </w:r>
      <w:bookmarkEnd w:id="5"/>
      <w:bookmarkEnd w:id="6"/>
      <w:bookmarkEnd w:id="7"/>
      <w:r w:rsidR="001E7BB4" w:rsidRPr="007930B0">
        <w:rPr>
          <w:lang w:val="es-ES"/>
        </w:rPr>
        <w:t>undaria</w:t>
      </w:r>
    </w:p>
    <w:p w:rsidR="001E7BB4" w:rsidRPr="007930B0" w:rsidRDefault="001E7BB4" w:rsidP="0068666F">
      <w:pPr>
        <w:pStyle w:val="SingleTxtG"/>
        <w:rPr>
          <w:lang w:val="es-ES"/>
        </w:rPr>
      </w:pPr>
      <w:r w:rsidRPr="007930B0">
        <w:rPr>
          <w:lang w:val="es-ES"/>
        </w:rPr>
        <w:t>424.</w:t>
      </w:r>
      <w:r w:rsidRPr="007930B0">
        <w:rPr>
          <w:lang w:val="es-ES"/>
        </w:rPr>
        <w:tab/>
        <w:t xml:space="preserve">A nivel de la enseñanza secundaria se seleccionaron tres indicadores para seguir la evolución en materia de acceso y equidad, a saber: el número de nuevos ingresos en el primer año de enseñanza secundaria, la tasa de transición efectiva al primer año de enseñanza secundaria y el porcentaje de niñas en el primer ciclo de enseñanza secundaria. </w:t>
      </w:r>
    </w:p>
    <w:p w:rsidR="001E7BB4" w:rsidRPr="007930B0" w:rsidRDefault="00DB44A9" w:rsidP="00DB44A9">
      <w:pPr>
        <w:pStyle w:val="H4G"/>
        <w:rPr>
          <w:lang w:val="es-ES"/>
        </w:rPr>
      </w:pPr>
      <w:bookmarkStart w:id="8" w:name="_Toc50388709"/>
      <w:r w:rsidRPr="007930B0">
        <w:rPr>
          <w:lang w:val="es-ES"/>
        </w:rPr>
        <w:tab/>
      </w:r>
      <w:r w:rsidRPr="007930B0">
        <w:rPr>
          <w:lang w:val="es-ES"/>
        </w:rPr>
        <w:tab/>
      </w:r>
      <w:r w:rsidR="001E7BB4" w:rsidRPr="007930B0">
        <w:rPr>
          <w:lang w:val="es-ES"/>
        </w:rPr>
        <w:t>Número de nuevos ingresos en el primer año de enseñanza secundaria</w:t>
      </w:r>
      <w:bookmarkEnd w:id="8"/>
    </w:p>
    <w:p w:rsidR="001E7BB4" w:rsidRPr="007930B0" w:rsidRDefault="001E7BB4" w:rsidP="0068666F">
      <w:pPr>
        <w:pStyle w:val="SingleTxtG"/>
        <w:rPr>
          <w:lang w:val="es-ES"/>
        </w:rPr>
      </w:pPr>
      <w:r w:rsidRPr="007930B0">
        <w:rPr>
          <w:lang w:val="es-ES"/>
        </w:rPr>
        <w:t>425.</w:t>
      </w:r>
      <w:r w:rsidRPr="007930B0">
        <w:rPr>
          <w:lang w:val="es-ES"/>
        </w:rPr>
        <w:tab/>
        <w:t>El número de nuevos ingresos en el primer año de enseñanza secundaria, después de disminuir durante dos años consecutivos, experimentó un aumento importante entre 2005/06 y 2006/07, al pasar de 18.301 en 2005/06 a 21.488 en 2006/07. Este aumento nos acerca a la meta fijada por el PNDSE para este indicador, es decir, 25.000 nuevos ingresos en el primer año de enseñanza secundaria.</w:t>
      </w:r>
    </w:p>
    <w:p w:rsidR="001E7BB4" w:rsidRPr="007930B0" w:rsidRDefault="001E7BB4" w:rsidP="0068666F">
      <w:pPr>
        <w:pStyle w:val="SingleTxtG"/>
        <w:rPr>
          <w:lang w:val="es-ES"/>
        </w:rPr>
      </w:pPr>
      <w:r w:rsidRPr="007930B0">
        <w:rPr>
          <w:lang w:val="es-ES"/>
        </w:rPr>
        <w:t>426.</w:t>
      </w:r>
      <w:r w:rsidRPr="007930B0">
        <w:rPr>
          <w:lang w:val="es-ES"/>
        </w:rPr>
        <w:tab/>
        <w:t xml:space="preserve">El análisis de este indicador por </w:t>
      </w:r>
      <w:r w:rsidR="00CD15B7" w:rsidRPr="007930B0">
        <w:rPr>
          <w:i/>
          <w:lang w:val="es-ES"/>
        </w:rPr>
        <w:t>wilaya</w:t>
      </w:r>
      <w:r w:rsidRPr="007930B0">
        <w:rPr>
          <w:lang w:val="es-ES"/>
        </w:rPr>
        <w:t xml:space="preserve"> muestra, en particular, la importancia de Nuakchot en cuanto al número de nuevos ingresos en el primer año de enseñanza secundaria (36,6% en 2005/06 frente a 39% en 2006/07) y la escasa contribución de las dos Hodhs y de Assaba, a pesar de su peso demográfico (19,2% del total de nuevos ingresos en 2005/06 frente a 19,6% en 2006/07). Estas tres </w:t>
      </w:r>
      <w:r w:rsidRPr="007930B0">
        <w:rPr>
          <w:i/>
          <w:iCs/>
          <w:lang w:val="es-ES"/>
        </w:rPr>
        <w:t>wilayas</w:t>
      </w:r>
      <w:r w:rsidRPr="007930B0">
        <w:rPr>
          <w:lang w:val="es-ES"/>
        </w:rPr>
        <w:t xml:space="preserve"> reúnen a alrededor del 28% de los alumnos de enseñanza primaria, mientras que Nuakchot tiene menos del 23%. Las bajas tasas de retención escolar en la enseñanza primaria y la insuficiencia de la oferta en la enseñanza secundaria, que no permite satisfacer una demanda dispersa, podrían explicar el bajo número de ingresos en el primer año de enseñanza secundaria en las dos Hodhs y en Assaba.</w:t>
      </w:r>
    </w:p>
    <w:p w:rsidR="001E7BB4" w:rsidRPr="007930B0" w:rsidRDefault="001E7BB4" w:rsidP="0068666F">
      <w:pPr>
        <w:pStyle w:val="SingleTxtG"/>
        <w:rPr>
          <w:lang w:val="es-ES"/>
        </w:rPr>
      </w:pPr>
      <w:r w:rsidRPr="007930B0">
        <w:rPr>
          <w:lang w:val="es-ES"/>
        </w:rPr>
        <w:t>427.</w:t>
      </w:r>
      <w:r w:rsidRPr="007930B0">
        <w:rPr>
          <w:lang w:val="es-ES"/>
        </w:rPr>
        <w:tab/>
        <w:t xml:space="preserve">El análisis de la evolución de los nuevos ingresos en el primer año de enseñanza secundaria, entre 2005/06 y 2006/07 por </w:t>
      </w:r>
      <w:r w:rsidR="00CD15B7" w:rsidRPr="007930B0">
        <w:rPr>
          <w:i/>
          <w:lang w:val="es-ES"/>
        </w:rPr>
        <w:t>wilaya</w:t>
      </w:r>
      <w:r w:rsidRPr="007930B0">
        <w:rPr>
          <w:lang w:val="es-ES"/>
        </w:rPr>
        <w:t xml:space="preserve">, muestra un descenso en Gorgol, Adrar, Nuadhibu y Tiris Zemmour. Las otras </w:t>
      </w:r>
      <w:r w:rsidRPr="007930B0">
        <w:rPr>
          <w:i/>
          <w:iCs/>
          <w:lang w:val="es-ES"/>
        </w:rPr>
        <w:t>wilayas</w:t>
      </w:r>
      <w:r w:rsidRPr="007930B0">
        <w:rPr>
          <w:lang w:val="es-ES"/>
        </w:rPr>
        <w:t xml:space="preserve"> experimentaron, en diverso grado, un aumento de los nuevos ingresos en el primer año de enseñanza secundaria. Los aumentos más importantes se registraron en Nuakch</w:t>
      </w:r>
      <w:r w:rsidR="00DB44A9" w:rsidRPr="007930B0">
        <w:rPr>
          <w:lang w:val="es-ES"/>
        </w:rPr>
        <w:t>ot (+1.469) y en Trarza (+864).</w:t>
      </w:r>
    </w:p>
    <w:p w:rsidR="001E7BB4" w:rsidRPr="007930B0" w:rsidRDefault="001E7BB4" w:rsidP="0068666F">
      <w:pPr>
        <w:pStyle w:val="SingleTxtG"/>
        <w:rPr>
          <w:lang w:val="es-ES"/>
        </w:rPr>
      </w:pPr>
      <w:r w:rsidRPr="007930B0">
        <w:rPr>
          <w:lang w:val="es-ES"/>
        </w:rPr>
        <w:t>428.</w:t>
      </w:r>
      <w:r w:rsidRPr="007930B0">
        <w:rPr>
          <w:lang w:val="es-ES"/>
        </w:rPr>
        <w:tab/>
        <w:t>En el cuadro siguiente se puede ver la evolución del número de nuevos ingresos a lo largo de los años.</w:t>
      </w:r>
    </w:p>
    <w:p w:rsidR="002428EB" w:rsidRPr="007930B0" w:rsidRDefault="002428EB" w:rsidP="002428EB">
      <w:pPr>
        <w:pStyle w:val="Heading1"/>
        <w:rPr>
          <w:lang w:val="es-ES"/>
        </w:rPr>
      </w:pPr>
      <w:r w:rsidRPr="007930B0">
        <w:rPr>
          <w:lang w:val="es-ES"/>
        </w:rPr>
        <w:t>Cuadro 6</w:t>
      </w:r>
    </w:p>
    <w:p w:rsidR="001E7BB4" w:rsidRPr="007930B0" w:rsidRDefault="001E7BB4" w:rsidP="002428EB">
      <w:pPr>
        <w:pStyle w:val="SingleTxtG"/>
        <w:jc w:val="left"/>
        <w:rPr>
          <w:b/>
          <w:lang w:val="es-ES"/>
        </w:rPr>
      </w:pPr>
      <w:r w:rsidRPr="007930B0">
        <w:rPr>
          <w:b/>
          <w:lang w:val="es-ES"/>
        </w:rPr>
        <w:t xml:space="preserve">Evolución del número de alumnos nuevos que ingresan en el primer año de enseñanza secundaria por </w:t>
      </w:r>
      <w:r w:rsidRPr="007930B0">
        <w:rPr>
          <w:b/>
          <w:i/>
          <w:iCs/>
          <w:lang w:val="es-ES"/>
        </w:rPr>
        <w:t>wilaya</w:t>
      </w:r>
      <w:r w:rsidRPr="007930B0">
        <w:rPr>
          <w:b/>
          <w:lang w:val="es-ES"/>
        </w:rPr>
        <w:t xml:space="preserve"> entre 2005/06 y 2006/07</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865"/>
        <w:gridCol w:w="793"/>
        <w:gridCol w:w="710"/>
        <w:gridCol w:w="581"/>
        <w:gridCol w:w="582"/>
        <w:gridCol w:w="582"/>
        <w:gridCol w:w="582"/>
        <w:gridCol w:w="582"/>
        <w:gridCol w:w="582"/>
        <w:gridCol w:w="582"/>
        <w:gridCol w:w="687"/>
        <w:gridCol w:w="819"/>
        <w:gridCol w:w="529"/>
        <w:gridCol w:w="529"/>
        <w:gridCol w:w="634"/>
      </w:tblGrid>
      <w:tr w:rsidR="002428EB" w:rsidRPr="007930B0">
        <w:trPr>
          <w:trHeight w:hRule="exact" w:val="170"/>
          <w:tblHeader/>
        </w:trPr>
        <w:tc>
          <w:tcPr>
            <w:tcW w:w="865" w:type="dxa"/>
            <w:vMerge w:val="restart"/>
            <w:tcBorders>
              <w:top w:val="single" w:sz="4" w:space="0" w:color="auto"/>
              <w:bottom w:val="single" w:sz="12" w:space="0" w:color="auto"/>
            </w:tcBorders>
            <w:shd w:val="clear" w:color="000000" w:fill="auto"/>
            <w:noWrap/>
            <w:vAlign w:val="bottom"/>
          </w:tcPr>
          <w:p w:rsidR="002428EB" w:rsidRPr="007930B0" w:rsidRDefault="002428EB" w:rsidP="00AA188E">
            <w:pPr>
              <w:spacing w:before="80" w:after="80" w:line="200" w:lineRule="exact"/>
              <w:rPr>
                <w:bCs/>
                <w:i/>
                <w:sz w:val="16"/>
                <w:szCs w:val="14"/>
              </w:rPr>
            </w:pPr>
            <w:r w:rsidRPr="007930B0">
              <w:rPr>
                <w:bCs/>
                <w:i/>
                <w:sz w:val="16"/>
                <w:szCs w:val="14"/>
              </w:rPr>
              <w:t>A/W</w:t>
            </w:r>
          </w:p>
        </w:tc>
        <w:tc>
          <w:tcPr>
            <w:tcW w:w="793" w:type="dxa"/>
            <w:vMerge w:val="restart"/>
            <w:tcBorders>
              <w:top w:val="single" w:sz="4" w:space="0" w:color="auto"/>
              <w:bottom w:val="single" w:sz="12" w:space="0" w:color="auto"/>
            </w:tcBorders>
            <w:shd w:val="clear" w:color="000000" w:fill="auto"/>
            <w:vAlign w:val="bottom"/>
          </w:tcPr>
          <w:p w:rsidR="002428EB" w:rsidRPr="007930B0" w:rsidRDefault="002428EB" w:rsidP="00AA188E">
            <w:pPr>
              <w:spacing w:before="80" w:after="80" w:line="200" w:lineRule="exact"/>
              <w:jc w:val="right"/>
              <w:rPr>
                <w:bCs/>
                <w:i/>
                <w:sz w:val="16"/>
                <w:szCs w:val="14"/>
              </w:rPr>
            </w:pPr>
            <w:r w:rsidRPr="007930B0">
              <w:rPr>
                <w:bCs/>
                <w:i/>
                <w:sz w:val="16"/>
                <w:szCs w:val="14"/>
              </w:rPr>
              <w:t>H. Chargui</w:t>
            </w:r>
          </w:p>
        </w:tc>
        <w:tc>
          <w:tcPr>
            <w:tcW w:w="710" w:type="dxa"/>
            <w:vMerge w:val="restart"/>
            <w:tcBorders>
              <w:top w:val="single" w:sz="4" w:space="0" w:color="auto"/>
              <w:bottom w:val="single" w:sz="12" w:space="0" w:color="auto"/>
            </w:tcBorders>
            <w:shd w:val="clear" w:color="000000" w:fill="auto"/>
            <w:vAlign w:val="bottom"/>
          </w:tcPr>
          <w:p w:rsidR="002428EB" w:rsidRPr="007930B0" w:rsidRDefault="002428EB" w:rsidP="00AA188E">
            <w:pPr>
              <w:spacing w:before="80" w:after="80" w:line="200" w:lineRule="exact"/>
              <w:jc w:val="right"/>
              <w:rPr>
                <w:bCs/>
                <w:i/>
                <w:sz w:val="16"/>
                <w:szCs w:val="14"/>
              </w:rPr>
            </w:pPr>
            <w:r w:rsidRPr="007930B0">
              <w:rPr>
                <w:bCs/>
                <w:i/>
                <w:sz w:val="16"/>
                <w:szCs w:val="14"/>
              </w:rPr>
              <w:t>H. Gharbi</w:t>
            </w:r>
          </w:p>
        </w:tc>
        <w:tc>
          <w:tcPr>
            <w:tcW w:w="581" w:type="dxa"/>
            <w:vMerge w:val="restart"/>
            <w:tcBorders>
              <w:top w:val="single" w:sz="4" w:space="0" w:color="auto"/>
              <w:bottom w:val="single" w:sz="12" w:space="0" w:color="auto"/>
            </w:tcBorders>
            <w:shd w:val="clear" w:color="000000" w:fill="auto"/>
            <w:noWrap/>
            <w:vAlign w:val="bottom"/>
          </w:tcPr>
          <w:p w:rsidR="002428EB" w:rsidRPr="007930B0" w:rsidRDefault="002428EB" w:rsidP="00AA188E">
            <w:pPr>
              <w:spacing w:before="80" w:after="80" w:line="200" w:lineRule="exact"/>
              <w:jc w:val="right"/>
              <w:rPr>
                <w:bCs/>
                <w:i/>
                <w:sz w:val="16"/>
                <w:szCs w:val="14"/>
              </w:rPr>
            </w:pPr>
            <w:r w:rsidRPr="007930B0">
              <w:rPr>
                <w:bCs/>
                <w:i/>
                <w:sz w:val="16"/>
                <w:szCs w:val="14"/>
              </w:rPr>
              <w:t>Assaba</w:t>
            </w:r>
          </w:p>
        </w:tc>
        <w:tc>
          <w:tcPr>
            <w:tcW w:w="582" w:type="dxa"/>
            <w:vMerge w:val="restart"/>
            <w:tcBorders>
              <w:top w:val="single" w:sz="4" w:space="0" w:color="auto"/>
              <w:bottom w:val="single" w:sz="12" w:space="0" w:color="auto"/>
            </w:tcBorders>
            <w:shd w:val="clear" w:color="000000" w:fill="auto"/>
            <w:noWrap/>
            <w:vAlign w:val="bottom"/>
          </w:tcPr>
          <w:p w:rsidR="002428EB" w:rsidRPr="007930B0" w:rsidRDefault="002428EB" w:rsidP="00AA188E">
            <w:pPr>
              <w:spacing w:before="80" w:after="80" w:line="200" w:lineRule="exact"/>
              <w:jc w:val="right"/>
              <w:rPr>
                <w:bCs/>
                <w:i/>
                <w:sz w:val="16"/>
                <w:szCs w:val="14"/>
              </w:rPr>
            </w:pPr>
            <w:r w:rsidRPr="007930B0">
              <w:rPr>
                <w:bCs/>
                <w:i/>
                <w:sz w:val="16"/>
                <w:szCs w:val="14"/>
              </w:rPr>
              <w:t>Gorgol</w:t>
            </w:r>
          </w:p>
        </w:tc>
        <w:tc>
          <w:tcPr>
            <w:tcW w:w="582" w:type="dxa"/>
            <w:vMerge w:val="restart"/>
            <w:tcBorders>
              <w:top w:val="single" w:sz="4" w:space="0" w:color="auto"/>
              <w:bottom w:val="single" w:sz="12" w:space="0" w:color="auto"/>
            </w:tcBorders>
            <w:shd w:val="clear" w:color="000000" w:fill="auto"/>
            <w:noWrap/>
            <w:vAlign w:val="bottom"/>
          </w:tcPr>
          <w:p w:rsidR="002428EB" w:rsidRPr="007930B0" w:rsidRDefault="002428EB" w:rsidP="00AA188E">
            <w:pPr>
              <w:spacing w:before="80" w:after="80" w:line="200" w:lineRule="exact"/>
              <w:jc w:val="right"/>
              <w:rPr>
                <w:bCs/>
                <w:i/>
                <w:sz w:val="16"/>
                <w:szCs w:val="14"/>
              </w:rPr>
            </w:pPr>
            <w:r w:rsidRPr="007930B0">
              <w:rPr>
                <w:bCs/>
                <w:i/>
                <w:sz w:val="16"/>
                <w:szCs w:val="14"/>
              </w:rPr>
              <w:t>Brakna</w:t>
            </w:r>
          </w:p>
        </w:tc>
        <w:tc>
          <w:tcPr>
            <w:tcW w:w="582" w:type="dxa"/>
            <w:vMerge w:val="restart"/>
            <w:tcBorders>
              <w:top w:val="single" w:sz="4" w:space="0" w:color="auto"/>
              <w:bottom w:val="single" w:sz="12" w:space="0" w:color="auto"/>
            </w:tcBorders>
            <w:shd w:val="clear" w:color="000000" w:fill="auto"/>
            <w:noWrap/>
            <w:vAlign w:val="bottom"/>
          </w:tcPr>
          <w:p w:rsidR="002428EB" w:rsidRPr="007930B0" w:rsidRDefault="002428EB" w:rsidP="00AA188E">
            <w:pPr>
              <w:spacing w:before="80" w:after="80" w:line="200" w:lineRule="exact"/>
              <w:jc w:val="right"/>
              <w:rPr>
                <w:bCs/>
                <w:i/>
                <w:sz w:val="16"/>
                <w:szCs w:val="14"/>
              </w:rPr>
            </w:pPr>
            <w:r w:rsidRPr="007930B0">
              <w:rPr>
                <w:bCs/>
                <w:i/>
                <w:sz w:val="16"/>
                <w:szCs w:val="14"/>
              </w:rPr>
              <w:t>Trarza</w:t>
            </w:r>
          </w:p>
        </w:tc>
        <w:tc>
          <w:tcPr>
            <w:tcW w:w="582" w:type="dxa"/>
            <w:vMerge w:val="restart"/>
            <w:tcBorders>
              <w:top w:val="single" w:sz="4" w:space="0" w:color="auto"/>
              <w:bottom w:val="single" w:sz="12" w:space="0" w:color="auto"/>
            </w:tcBorders>
            <w:shd w:val="clear" w:color="000000" w:fill="auto"/>
            <w:noWrap/>
            <w:vAlign w:val="bottom"/>
          </w:tcPr>
          <w:p w:rsidR="002428EB" w:rsidRPr="007930B0" w:rsidRDefault="002428EB" w:rsidP="00AA188E">
            <w:pPr>
              <w:spacing w:before="80" w:after="80" w:line="200" w:lineRule="exact"/>
              <w:jc w:val="right"/>
              <w:rPr>
                <w:bCs/>
                <w:i/>
                <w:sz w:val="16"/>
                <w:szCs w:val="14"/>
              </w:rPr>
            </w:pPr>
            <w:r w:rsidRPr="007930B0">
              <w:rPr>
                <w:bCs/>
                <w:i/>
                <w:sz w:val="16"/>
                <w:szCs w:val="14"/>
              </w:rPr>
              <w:t>Adrar</w:t>
            </w:r>
          </w:p>
        </w:tc>
        <w:tc>
          <w:tcPr>
            <w:tcW w:w="582" w:type="dxa"/>
            <w:vMerge w:val="restart"/>
            <w:tcBorders>
              <w:top w:val="single" w:sz="4" w:space="0" w:color="auto"/>
              <w:bottom w:val="single" w:sz="12" w:space="0" w:color="auto"/>
            </w:tcBorders>
            <w:shd w:val="clear" w:color="000000" w:fill="auto"/>
            <w:noWrap/>
            <w:vAlign w:val="bottom"/>
          </w:tcPr>
          <w:p w:rsidR="002428EB" w:rsidRPr="007930B0" w:rsidRDefault="002428EB" w:rsidP="00AA188E">
            <w:pPr>
              <w:spacing w:before="80" w:after="80" w:line="200" w:lineRule="exact"/>
              <w:jc w:val="right"/>
              <w:rPr>
                <w:bCs/>
                <w:i/>
                <w:sz w:val="16"/>
                <w:szCs w:val="14"/>
              </w:rPr>
            </w:pPr>
            <w:r w:rsidRPr="007930B0">
              <w:rPr>
                <w:bCs/>
                <w:i/>
                <w:sz w:val="16"/>
                <w:szCs w:val="14"/>
              </w:rPr>
              <w:t>NDB</w:t>
            </w:r>
          </w:p>
        </w:tc>
        <w:tc>
          <w:tcPr>
            <w:tcW w:w="582" w:type="dxa"/>
            <w:vMerge w:val="restart"/>
            <w:tcBorders>
              <w:top w:val="single" w:sz="4" w:space="0" w:color="auto"/>
              <w:bottom w:val="single" w:sz="12" w:space="0" w:color="auto"/>
            </w:tcBorders>
            <w:shd w:val="clear" w:color="000000" w:fill="auto"/>
            <w:noWrap/>
            <w:vAlign w:val="bottom"/>
          </w:tcPr>
          <w:p w:rsidR="002428EB" w:rsidRPr="007930B0" w:rsidRDefault="002428EB" w:rsidP="00AA188E">
            <w:pPr>
              <w:spacing w:before="80" w:after="80" w:line="200" w:lineRule="exact"/>
              <w:jc w:val="right"/>
              <w:rPr>
                <w:bCs/>
                <w:i/>
                <w:sz w:val="16"/>
                <w:szCs w:val="14"/>
              </w:rPr>
            </w:pPr>
            <w:r w:rsidRPr="007930B0">
              <w:rPr>
                <w:bCs/>
                <w:i/>
                <w:sz w:val="16"/>
                <w:szCs w:val="14"/>
              </w:rPr>
              <w:t>Tagant</w:t>
            </w:r>
          </w:p>
        </w:tc>
        <w:tc>
          <w:tcPr>
            <w:tcW w:w="687" w:type="dxa"/>
            <w:vMerge w:val="restart"/>
            <w:tcBorders>
              <w:top w:val="single" w:sz="4" w:space="0" w:color="auto"/>
              <w:bottom w:val="single" w:sz="12" w:space="0" w:color="auto"/>
            </w:tcBorders>
            <w:shd w:val="clear" w:color="000000" w:fill="auto"/>
            <w:noWrap/>
            <w:vAlign w:val="bottom"/>
          </w:tcPr>
          <w:p w:rsidR="002428EB" w:rsidRPr="007930B0" w:rsidRDefault="002428EB" w:rsidP="00AA188E">
            <w:pPr>
              <w:spacing w:before="80" w:after="80" w:line="200" w:lineRule="exact"/>
              <w:jc w:val="right"/>
              <w:rPr>
                <w:bCs/>
                <w:i/>
                <w:sz w:val="16"/>
                <w:szCs w:val="14"/>
              </w:rPr>
            </w:pPr>
            <w:r w:rsidRPr="007930B0">
              <w:rPr>
                <w:bCs/>
                <w:i/>
                <w:sz w:val="16"/>
                <w:szCs w:val="14"/>
              </w:rPr>
              <w:t>Guidim.</w:t>
            </w:r>
          </w:p>
        </w:tc>
        <w:tc>
          <w:tcPr>
            <w:tcW w:w="819" w:type="dxa"/>
            <w:vMerge w:val="restart"/>
            <w:tcBorders>
              <w:top w:val="single" w:sz="4" w:space="0" w:color="auto"/>
              <w:bottom w:val="single" w:sz="12" w:space="0" w:color="auto"/>
            </w:tcBorders>
            <w:shd w:val="clear" w:color="000000" w:fill="auto"/>
            <w:noWrap/>
            <w:vAlign w:val="bottom"/>
          </w:tcPr>
          <w:p w:rsidR="002428EB" w:rsidRPr="007930B0" w:rsidRDefault="002428EB" w:rsidP="00AA188E">
            <w:pPr>
              <w:spacing w:before="80" w:after="80" w:line="200" w:lineRule="exact"/>
              <w:jc w:val="right"/>
              <w:rPr>
                <w:bCs/>
                <w:i/>
                <w:sz w:val="16"/>
                <w:szCs w:val="14"/>
              </w:rPr>
            </w:pPr>
            <w:r w:rsidRPr="007930B0">
              <w:rPr>
                <w:bCs/>
                <w:i/>
                <w:sz w:val="16"/>
                <w:szCs w:val="14"/>
              </w:rPr>
              <w:t>T. Zemour</w:t>
            </w:r>
          </w:p>
        </w:tc>
        <w:tc>
          <w:tcPr>
            <w:tcW w:w="529" w:type="dxa"/>
            <w:vMerge w:val="restart"/>
            <w:tcBorders>
              <w:top w:val="single" w:sz="4" w:space="0" w:color="auto"/>
              <w:bottom w:val="single" w:sz="12" w:space="0" w:color="auto"/>
            </w:tcBorders>
            <w:shd w:val="clear" w:color="000000" w:fill="auto"/>
            <w:noWrap/>
            <w:vAlign w:val="bottom"/>
          </w:tcPr>
          <w:p w:rsidR="002428EB" w:rsidRPr="007930B0" w:rsidRDefault="002428EB" w:rsidP="00AA188E">
            <w:pPr>
              <w:spacing w:before="80" w:after="80" w:line="200" w:lineRule="exact"/>
              <w:jc w:val="right"/>
              <w:rPr>
                <w:bCs/>
                <w:i/>
                <w:sz w:val="16"/>
                <w:szCs w:val="14"/>
              </w:rPr>
            </w:pPr>
            <w:r w:rsidRPr="007930B0">
              <w:rPr>
                <w:bCs/>
                <w:i/>
                <w:sz w:val="16"/>
                <w:szCs w:val="14"/>
              </w:rPr>
              <w:t>Inchiri</w:t>
            </w:r>
          </w:p>
        </w:tc>
        <w:tc>
          <w:tcPr>
            <w:tcW w:w="529" w:type="dxa"/>
            <w:vMerge w:val="restart"/>
            <w:tcBorders>
              <w:top w:val="single" w:sz="4" w:space="0" w:color="auto"/>
              <w:bottom w:val="single" w:sz="12" w:space="0" w:color="auto"/>
            </w:tcBorders>
            <w:shd w:val="clear" w:color="000000" w:fill="auto"/>
            <w:noWrap/>
            <w:vAlign w:val="bottom"/>
          </w:tcPr>
          <w:p w:rsidR="002428EB" w:rsidRPr="007930B0" w:rsidRDefault="002428EB" w:rsidP="00AA188E">
            <w:pPr>
              <w:spacing w:before="80" w:after="80" w:line="200" w:lineRule="exact"/>
              <w:jc w:val="right"/>
              <w:rPr>
                <w:bCs/>
                <w:i/>
                <w:sz w:val="16"/>
                <w:szCs w:val="14"/>
              </w:rPr>
            </w:pPr>
            <w:r w:rsidRPr="007930B0">
              <w:rPr>
                <w:bCs/>
                <w:i/>
                <w:sz w:val="16"/>
                <w:szCs w:val="14"/>
              </w:rPr>
              <w:t>NKTT</w:t>
            </w:r>
          </w:p>
        </w:tc>
        <w:tc>
          <w:tcPr>
            <w:tcW w:w="634" w:type="dxa"/>
            <w:vMerge w:val="restart"/>
            <w:tcBorders>
              <w:top w:val="single" w:sz="4" w:space="0" w:color="auto"/>
              <w:bottom w:val="single" w:sz="12" w:space="0" w:color="auto"/>
            </w:tcBorders>
            <w:shd w:val="clear" w:color="000000" w:fill="auto"/>
            <w:noWrap/>
            <w:vAlign w:val="bottom"/>
          </w:tcPr>
          <w:p w:rsidR="002428EB" w:rsidRPr="007930B0" w:rsidRDefault="0095166A" w:rsidP="00AA188E">
            <w:pPr>
              <w:spacing w:before="80" w:after="80" w:line="200" w:lineRule="exact"/>
              <w:jc w:val="right"/>
              <w:rPr>
                <w:b/>
                <w:bCs/>
                <w:i/>
                <w:sz w:val="16"/>
                <w:szCs w:val="14"/>
              </w:rPr>
            </w:pPr>
            <w:r w:rsidRPr="007930B0">
              <w:rPr>
                <w:b/>
                <w:bCs/>
                <w:i/>
                <w:sz w:val="16"/>
                <w:szCs w:val="14"/>
              </w:rPr>
              <w:t>Nacional</w:t>
            </w:r>
          </w:p>
        </w:tc>
      </w:tr>
      <w:tr w:rsidR="002428EB" w:rsidRPr="007930B0">
        <w:trPr>
          <w:trHeight w:val="315"/>
          <w:tblHeader/>
        </w:trPr>
        <w:tc>
          <w:tcPr>
            <w:tcW w:w="865" w:type="dxa"/>
            <w:vMerge/>
            <w:tcBorders>
              <w:top w:val="nil"/>
              <w:bottom w:val="single" w:sz="12" w:space="0" w:color="auto"/>
            </w:tcBorders>
            <w:shd w:val="clear" w:color="000000" w:fill="auto"/>
            <w:vAlign w:val="bottom"/>
          </w:tcPr>
          <w:p w:rsidR="002428EB" w:rsidRPr="007930B0" w:rsidRDefault="002428EB" w:rsidP="00AA188E">
            <w:pPr>
              <w:spacing w:before="40" w:after="40" w:line="220" w:lineRule="exact"/>
              <w:rPr>
                <w:b/>
                <w:bCs/>
                <w:sz w:val="18"/>
              </w:rPr>
            </w:pPr>
          </w:p>
        </w:tc>
        <w:tc>
          <w:tcPr>
            <w:tcW w:w="793" w:type="dxa"/>
            <w:vMerge/>
            <w:tcBorders>
              <w:top w:val="nil"/>
              <w:bottom w:val="single" w:sz="12" w:space="0" w:color="auto"/>
            </w:tcBorders>
            <w:shd w:val="clear" w:color="000000" w:fill="auto"/>
            <w:vAlign w:val="bottom"/>
          </w:tcPr>
          <w:p w:rsidR="002428EB" w:rsidRPr="007930B0" w:rsidRDefault="002428EB" w:rsidP="00AA188E">
            <w:pPr>
              <w:spacing w:before="40" w:after="40" w:line="220" w:lineRule="exact"/>
              <w:jc w:val="right"/>
              <w:rPr>
                <w:b/>
                <w:bCs/>
                <w:sz w:val="18"/>
              </w:rPr>
            </w:pPr>
          </w:p>
        </w:tc>
        <w:tc>
          <w:tcPr>
            <w:tcW w:w="710" w:type="dxa"/>
            <w:vMerge/>
            <w:tcBorders>
              <w:top w:val="nil"/>
              <w:bottom w:val="single" w:sz="12" w:space="0" w:color="auto"/>
            </w:tcBorders>
            <w:shd w:val="clear" w:color="000000" w:fill="auto"/>
            <w:vAlign w:val="bottom"/>
          </w:tcPr>
          <w:p w:rsidR="002428EB" w:rsidRPr="007930B0" w:rsidRDefault="002428EB" w:rsidP="00AA188E">
            <w:pPr>
              <w:spacing w:before="40" w:after="40" w:line="220" w:lineRule="exact"/>
              <w:jc w:val="right"/>
              <w:rPr>
                <w:b/>
                <w:bCs/>
                <w:sz w:val="18"/>
              </w:rPr>
            </w:pPr>
          </w:p>
        </w:tc>
        <w:tc>
          <w:tcPr>
            <w:tcW w:w="581" w:type="dxa"/>
            <w:vMerge/>
            <w:tcBorders>
              <w:top w:val="nil"/>
              <w:bottom w:val="single" w:sz="12" w:space="0" w:color="auto"/>
            </w:tcBorders>
            <w:shd w:val="clear" w:color="000000" w:fill="auto"/>
            <w:vAlign w:val="bottom"/>
          </w:tcPr>
          <w:p w:rsidR="002428EB" w:rsidRPr="007930B0" w:rsidRDefault="002428EB" w:rsidP="00AA188E">
            <w:pPr>
              <w:spacing w:before="40" w:after="40" w:line="220" w:lineRule="exact"/>
              <w:jc w:val="right"/>
              <w:rPr>
                <w:b/>
                <w:bCs/>
                <w:sz w:val="18"/>
              </w:rPr>
            </w:pPr>
          </w:p>
        </w:tc>
        <w:tc>
          <w:tcPr>
            <w:tcW w:w="582" w:type="dxa"/>
            <w:vMerge/>
            <w:tcBorders>
              <w:top w:val="nil"/>
              <w:bottom w:val="single" w:sz="12" w:space="0" w:color="auto"/>
            </w:tcBorders>
            <w:shd w:val="clear" w:color="000000" w:fill="auto"/>
            <w:vAlign w:val="bottom"/>
          </w:tcPr>
          <w:p w:rsidR="002428EB" w:rsidRPr="007930B0" w:rsidRDefault="002428EB" w:rsidP="00AA188E">
            <w:pPr>
              <w:spacing w:before="40" w:after="40" w:line="220" w:lineRule="exact"/>
              <w:jc w:val="right"/>
              <w:rPr>
                <w:b/>
                <w:bCs/>
                <w:sz w:val="18"/>
              </w:rPr>
            </w:pPr>
          </w:p>
        </w:tc>
        <w:tc>
          <w:tcPr>
            <w:tcW w:w="582" w:type="dxa"/>
            <w:vMerge/>
            <w:tcBorders>
              <w:top w:val="nil"/>
              <w:bottom w:val="single" w:sz="12" w:space="0" w:color="auto"/>
            </w:tcBorders>
            <w:shd w:val="clear" w:color="000000" w:fill="auto"/>
            <w:vAlign w:val="bottom"/>
          </w:tcPr>
          <w:p w:rsidR="002428EB" w:rsidRPr="007930B0" w:rsidRDefault="002428EB" w:rsidP="00AA188E">
            <w:pPr>
              <w:spacing w:before="40" w:after="40" w:line="220" w:lineRule="exact"/>
              <w:jc w:val="right"/>
              <w:rPr>
                <w:b/>
                <w:bCs/>
                <w:sz w:val="18"/>
              </w:rPr>
            </w:pPr>
          </w:p>
        </w:tc>
        <w:tc>
          <w:tcPr>
            <w:tcW w:w="582" w:type="dxa"/>
            <w:vMerge/>
            <w:tcBorders>
              <w:top w:val="nil"/>
              <w:bottom w:val="single" w:sz="12" w:space="0" w:color="auto"/>
            </w:tcBorders>
            <w:shd w:val="clear" w:color="000000" w:fill="auto"/>
            <w:vAlign w:val="bottom"/>
          </w:tcPr>
          <w:p w:rsidR="002428EB" w:rsidRPr="007930B0" w:rsidRDefault="002428EB" w:rsidP="00AA188E">
            <w:pPr>
              <w:spacing w:before="40" w:after="40" w:line="220" w:lineRule="exact"/>
              <w:jc w:val="right"/>
              <w:rPr>
                <w:b/>
                <w:bCs/>
                <w:sz w:val="18"/>
              </w:rPr>
            </w:pPr>
          </w:p>
        </w:tc>
        <w:tc>
          <w:tcPr>
            <w:tcW w:w="582" w:type="dxa"/>
            <w:vMerge/>
            <w:tcBorders>
              <w:top w:val="nil"/>
              <w:bottom w:val="single" w:sz="12" w:space="0" w:color="auto"/>
            </w:tcBorders>
            <w:shd w:val="clear" w:color="000000" w:fill="auto"/>
            <w:vAlign w:val="bottom"/>
          </w:tcPr>
          <w:p w:rsidR="002428EB" w:rsidRPr="007930B0" w:rsidRDefault="002428EB" w:rsidP="00AA188E">
            <w:pPr>
              <w:spacing w:before="40" w:after="40" w:line="220" w:lineRule="exact"/>
              <w:jc w:val="right"/>
              <w:rPr>
                <w:b/>
                <w:bCs/>
                <w:sz w:val="18"/>
              </w:rPr>
            </w:pPr>
          </w:p>
        </w:tc>
        <w:tc>
          <w:tcPr>
            <w:tcW w:w="582" w:type="dxa"/>
            <w:vMerge/>
            <w:tcBorders>
              <w:top w:val="nil"/>
              <w:bottom w:val="single" w:sz="12" w:space="0" w:color="auto"/>
            </w:tcBorders>
            <w:shd w:val="clear" w:color="000000" w:fill="auto"/>
            <w:vAlign w:val="bottom"/>
          </w:tcPr>
          <w:p w:rsidR="002428EB" w:rsidRPr="007930B0" w:rsidRDefault="002428EB" w:rsidP="00AA188E">
            <w:pPr>
              <w:spacing w:before="40" w:after="40" w:line="220" w:lineRule="exact"/>
              <w:jc w:val="right"/>
              <w:rPr>
                <w:b/>
                <w:bCs/>
                <w:sz w:val="18"/>
              </w:rPr>
            </w:pPr>
          </w:p>
        </w:tc>
        <w:tc>
          <w:tcPr>
            <w:tcW w:w="582" w:type="dxa"/>
            <w:vMerge/>
            <w:tcBorders>
              <w:top w:val="nil"/>
              <w:bottom w:val="single" w:sz="12" w:space="0" w:color="auto"/>
            </w:tcBorders>
            <w:shd w:val="clear" w:color="000000" w:fill="auto"/>
            <w:vAlign w:val="bottom"/>
          </w:tcPr>
          <w:p w:rsidR="002428EB" w:rsidRPr="007930B0" w:rsidRDefault="002428EB" w:rsidP="00AA188E">
            <w:pPr>
              <w:spacing w:before="40" w:after="40" w:line="220" w:lineRule="exact"/>
              <w:jc w:val="right"/>
              <w:rPr>
                <w:b/>
                <w:bCs/>
                <w:sz w:val="18"/>
              </w:rPr>
            </w:pPr>
          </w:p>
        </w:tc>
        <w:tc>
          <w:tcPr>
            <w:tcW w:w="687" w:type="dxa"/>
            <w:vMerge/>
            <w:tcBorders>
              <w:top w:val="nil"/>
              <w:bottom w:val="single" w:sz="12" w:space="0" w:color="auto"/>
            </w:tcBorders>
            <w:shd w:val="clear" w:color="000000" w:fill="auto"/>
            <w:vAlign w:val="bottom"/>
          </w:tcPr>
          <w:p w:rsidR="002428EB" w:rsidRPr="007930B0" w:rsidRDefault="002428EB" w:rsidP="00AA188E">
            <w:pPr>
              <w:spacing w:before="40" w:after="40" w:line="220" w:lineRule="exact"/>
              <w:jc w:val="right"/>
              <w:rPr>
                <w:b/>
                <w:bCs/>
                <w:sz w:val="18"/>
              </w:rPr>
            </w:pPr>
          </w:p>
        </w:tc>
        <w:tc>
          <w:tcPr>
            <w:tcW w:w="819" w:type="dxa"/>
            <w:vMerge/>
            <w:tcBorders>
              <w:top w:val="nil"/>
              <w:bottom w:val="single" w:sz="12" w:space="0" w:color="auto"/>
            </w:tcBorders>
            <w:shd w:val="clear" w:color="000000" w:fill="auto"/>
            <w:vAlign w:val="bottom"/>
          </w:tcPr>
          <w:p w:rsidR="002428EB" w:rsidRPr="007930B0" w:rsidRDefault="002428EB" w:rsidP="00AA188E">
            <w:pPr>
              <w:spacing w:before="40" w:after="40" w:line="220" w:lineRule="exact"/>
              <w:jc w:val="right"/>
              <w:rPr>
                <w:b/>
                <w:bCs/>
                <w:sz w:val="18"/>
              </w:rPr>
            </w:pPr>
          </w:p>
        </w:tc>
        <w:tc>
          <w:tcPr>
            <w:tcW w:w="529" w:type="dxa"/>
            <w:vMerge/>
            <w:tcBorders>
              <w:top w:val="nil"/>
              <w:bottom w:val="single" w:sz="12" w:space="0" w:color="auto"/>
            </w:tcBorders>
            <w:shd w:val="clear" w:color="000000" w:fill="auto"/>
            <w:vAlign w:val="bottom"/>
          </w:tcPr>
          <w:p w:rsidR="002428EB" w:rsidRPr="007930B0" w:rsidRDefault="002428EB" w:rsidP="00AA188E">
            <w:pPr>
              <w:spacing w:before="40" w:after="40" w:line="220" w:lineRule="exact"/>
              <w:jc w:val="right"/>
              <w:rPr>
                <w:b/>
                <w:bCs/>
                <w:sz w:val="18"/>
              </w:rPr>
            </w:pPr>
          </w:p>
        </w:tc>
        <w:tc>
          <w:tcPr>
            <w:tcW w:w="529" w:type="dxa"/>
            <w:vMerge/>
            <w:tcBorders>
              <w:top w:val="nil"/>
              <w:bottom w:val="single" w:sz="12" w:space="0" w:color="auto"/>
            </w:tcBorders>
            <w:shd w:val="clear" w:color="000000" w:fill="auto"/>
            <w:vAlign w:val="bottom"/>
          </w:tcPr>
          <w:p w:rsidR="002428EB" w:rsidRPr="007930B0" w:rsidRDefault="002428EB" w:rsidP="00AA188E">
            <w:pPr>
              <w:spacing w:before="40" w:after="40" w:line="220" w:lineRule="exact"/>
              <w:jc w:val="right"/>
              <w:rPr>
                <w:b/>
                <w:bCs/>
                <w:sz w:val="18"/>
              </w:rPr>
            </w:pPr>
          </w:p>
        </w:tc>
        <w:tc>
          <w:tcPr>
            <w:tcW w:w="634" w:type="dxa"/>
            <w:vMerge/>
            <w:tcBorders>
              <w:top w:val="nil"/>
              <w:bottom w:val="single" w:sz="12" w:space="0" w:color="auto"/>
            </w:tcBorders>
            <w:shd w:val="clear" w:color="000000" w:fill="auto"/>
            <w:vAlign w:val="bottom"/>
          </w:tcPr>
          <w:p w:rsidR="002428EB" w:rsidRPr="007930B0" w:rsidRDefault="002428EB" w:rsidP="00AA188E">
            <w:pPr>
              <w:spacing w:before="40" w:after="40" w:line="220" w:lineRule="exact"/>
              <w:jc w:val="right"/>
              <w:rPr>
                <w:b/>
                <w:bCs/>
                <w:sz w:val="18"/>
              </w:rPr>
            </w:pPr>
          </w:p>
        </w:tc>
      </w:tr>
      <w:tr w:rsidR="002428EB" w:rsidRPr="007930B0">
        <w:trPr>
          <w:trHeight w:val="270"/>
        </w:trPr>
        <w:tc>
          <w:tcPr>
            <w:tcW w:w="865" w:type="dxa"/>
            <w:tcBorders>
              <w:top w:val="single" w:sz="12" w:space="0" w:color="auto"/>
            </w:tcBorders>
            <w:shd w:val="clear" w:color="000000" w:fill="auto"/>
            <w:noWrap/>
          </w:tcPr>
          <w:p w:rsidR="002428EB" w:rsidRPr="007930B0" w:rsidRDefault="002428EB" w:rsidP="00AA188E">
            <w:pPr>
              <w:spacing w:before="40" w:after="40" w:line="220" w:lineRule="exact"/>
              <w:rPr>
                <w:sz w:val="18"/>
                <w:szCs w:val="16"/>
              </w:rPr>
            </w:pPr>
            <w:r w:rsidRPr="007930B0">
              <w:rPr>
                <w:sz w:val="18"/>
                <w:szCs w:val="16"/>
              </w:rPr>
              <w:t>2004-05</w:t>
            </w:r>
          </w:p>
        </w:tc>
        <w:tc>
          <w:tcPr>
            <w:tcW w:w="793" w:type="dxa"/>
            <w:tcBorders>
              <w:top w:val="single" w:sz="12" w:space="0" w:color="auto"/>
            </w:tcBorders>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881</w:t>
            </w:r>
          </w:p>
        </w:tc>
        <w:tc>
          <w:tcPr>
            <w:tcW w:w="710" w:type="dxa"/>
            <w:tcBorders>
              <w:top w:val="single" w:sz="12" w:space="0" w:color="auto"/>
            </w:tcBorders>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1 015</w:t>
            </w:r>
          </w:p>
        </w:tc>
        <w:tc>
          <w:tcPr>
            <w:tcW w:w="581" w:type="dxa"/>
            <w:tcBorders>
              <w:top w:val="single" w:sz="12" w:space="0" w:color="auto"/>
            </w:tcBorders>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1 570</w:t>
            </w:r>
          </w:p>
        </w:tc>
        <w:tc>
          <w:tcPr>
            <w:tcW w:w="582" w:type="dxa"/>
            <w:tcBorders>
              <w:top w:val="single" w:sz="12" w:space="0" w:color="auto"/>
            </w:tcBorders>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997</w:t>
            </w:r>
          </w:p>
        </w:tc>
        <w:tc>
          <w:tcPr>
            <w:tcW w:w="582" w:type="dxa"/>
            <w:tcBorders>
              <w:top w:val="single" w:sz="12" w:space="0" w:color="auto"/>
            </w:tcBorders>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1 254</w:t>
            </w:r>
          </w:p>
        </w:tc>
        <w:tc>
          <w:tcPr>
            <w:tcW w:w="582" w:type="dxa"/>
            <w:tcBorders>
              <w:top w:val="single" w:sz="12" w:space="0" w:color="auto"/>
            </w:tcBorders>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1 598</w:t>
            </w:r>
          </w:p>
        </w:tc>
        <w:tc>
          <w:tcPr>
            <w:tcW w:w="582" w:type="dxa"/>
            <w:tcBorders>
              <w:top w:val="single" w:sz="12" w:space="0" w:color="auto"/>
            </w:tcBorders>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716</w:t>
            </w:r>
          </w:p>
        </w:tc>
        <w:tc>
          <w:tcPr>
            <w:tcW w:w="582" w:type="dxa"/>
            <w:tcBorders>
              <w:top w:val="single" w:sz="12" w:space="0" w:color="auto"/>
            </w:tcBorders>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1 026</w:t>
            </w:r>
          </w:p>
        </w:tc>
        <w:tc>
          <w:tcPr>
            <w:tcW w:w="582" w:type="dxa"/>
            <w:tcBorders>
              <w:top w:val="single" w:sz="12" w:space="0" w:color="auto"/>
            </w:tcBorders>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548</w:t>
            </w:r>
          </w:p>
        </w:tc>
        <w:tc>
          <w:tcPr>
            <w:tcW w:w="687" w:type="dxa"/>
            <w:tcBorders>
              <w:top w:val="single" w:sz="12" w:space="0" w:color="auto"/>
            </w:tcBorders>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899</w:t>
            </w:r>
          </w:p>
        </w:tc>
        <w:tc>
          <w:tcPr>
            <w:tcW w:w="819" w:type="dxa"/>
            <w:tcBorders>
              <w:top w:val="single" w:sz="12" w:space="0" w:color="auto"/>
            </w:tcBorders>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713</w:t>
            </w:r>
          </w:p>
        </w:tc>
        <w:tc>
          <w:tcPr>
            <w:tcW w:w="529" w:type="dxa"/>
            <w:tcBorders>
              <w:top w:val="single" w:sz="12" w:space="0" w:color="auto"/>
            </w:tcBorders>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113</w:t>
            </w:r>
          </w:p>
        </w:tc>
        <w:tc>
          <w:tcPr>
            <w:tcW w:w="529" w:type="dxa"/>
            <w:tcBorders>
              <w:top w:val="single" w:sz="12" w:space="0" w:color="auto"/>
            </w:tcBorders>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7 225</w:t>
            </w:r>
          </w:p>
        </w:tc>
        <w:tc>
          <w:tcPr>
            <w:tcW w:w="634" w:type="dxa"/>
            <w:tcBorders>
              <w:top w:val="single" w:sz="12" w:space="0" w:color="auto"/>
            </w:tcBorders>
            <w:shd w:val="clear" w:color="000000" w:fill="auto"/>
            <w:noWrap/>
            <w:vAlign w:val="bottom"/>
          </w:tcPr>
          <w:p w:rsidR="002428EB" w:rsidRPr="007930B0" w:rsidRDefault="002428EB" w:rsidP="00AA188E">
            <w:pPr>
              <w:spacing w:before="40" w:after="40" w:line="220" w:lineRule="exact"/>
              <w:jc w:val="right"/>
              <w:rPr>
                <w:b/>
                <w:bCs/>
                <w:sz w:val="18"/>
                <w:szCs w:val="16"/>
              </w:rPr>
            </w:pPr>
            <w:r w:rsidRPr="007930B0">
              <w:rPr>
                <w:b/>
                <w:bCs/>
                <w:sz w:val="18"/>
                <w:szCs w:val="16"/>
              </w:rPr>
              <w:t>18 555</w:t>
            </w:r>
          </w:p>
        </w:tc>
      </w:tr>
      <w:tr w:rsidR="002428EB" w:rsidRPr="007930B0">
        <w:trPr>
          <w:trHeight w:val="270"/>
        </w:trPr>
        <w:tc>
          <w:tcPr>
            <w:tcW w:w="865" w:type="dxa"/>
            <w:shd w:val="clear" w:color="000000" w:fill="auto"/>
            <w:noWrap/>
          </w:tcPr>
          <w:p w:rsidR="002428EB" w:rsidRPr="007930B0" w:rsidRDefault="002428EB" w:rsidP="00AA188E">
            <w:pPr>
              <w:spacing w:before="40" w:after="40" w:line="220" w:lineRule="exact"/>
              <w:rPr>
                <w:sz w:val="18"/>
                <w:szCs w:val="16"/>
              </w:rPr>
            </w:pPr>
            <w:r w:rsidRPr="007930B0">
              <w:rPr>
                <w:sz w:val="18"/>
                <w:szCs w:val="16"/>
              </w:rPr>
              <w:t>2005-06</w:t>
            </w:r>
          </w:p>
        </w:tc>
        <w:tc>
          <w:tcPr>
            <w:tcW w:w="793" w:type="dxa"/>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791</w:t>
            </w:r>
          </w:p>
        </w:tc>
        <w:tc>
          <w:tcPr>
            <w:tcW w:w="710" w:type="dxa"/>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1 226</w:t>
            </w:r>
          </w:p>
        </w:tc>
        <w:tc>
          <w:tcPr>
            <w:tcW w:w="581" w:type="dxa"/>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1 505</w:t>
            </w:r>
          </w:p>
        </w:tc>
        <w:tc>
          <w:tcPr>
            <w:tcW w:w="582" w:type="dxa"/>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1 321</w:t>
            </w:r>
          </w:p>
        </w:tc>
        <w:tc>
          <w:tcPr>
            <w:tcW w:w="582" w:type="dxa"/>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1 344</w:t>
            </w:r>
          </w:p>
        </w:tc>
        <w:tc>
          <w:tcPr>
            <w:tcW w:w="582" w:type="dxa"/>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1 662</w:t>
            </w:r>
          </w:p>
        </w:tc>
        <w:tc>
          <w:tcPr>
            <w:tcW w:w="582" w:type="dxa"/>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575</w:t>
            </w:r>
          </w:p>
        </w:tc>
        <w:tc>
          <w:tcPr>
            <w:tcW w:w="582" w:type="dxa"/>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1 114</w:t>
            </w:r>
          </w:p>
        </w:tc>
        <w:tc>
          <w:tcPr>
            <w:tcW w:w="582" w:type="dxa"/>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527</w:t>
            </w:r>
          </w:p>
        </w:tc>
        <w:tc>
          <w:tcPr>
            <w:tcW w:w="687" w:type="dxa"/>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766</w:t>
            </w:r>
          </w:p>
        </w:tc>
        <w:tc>
          <w:tcPr>
            <w:tcW w:w="819" w:type="dxa"/>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691</w:t>
            </w:r>
          </w:p>
        </w:tc>
        <w:tc>
          <w:tcPr>
            <w:tcW w:w="529" w:type="dxa"/>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84</w:t>
            </w:r>
          </w:p>
        </w:tc>
        <w:tc>
          <w:tcPr>
            <w:tcW w:w="529" w:type="dxa"/>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6 695</w:t>
            </w:r>
          </w:p>
        </w:tc>
        <w:tc>
          <w:tcPr>
            <w:tcW w:w="634" w:type="dxa"/>
            <w:shd w:val="clear" w:color="000000" w:fill="auto"/>
            <w:noWrap/>
            <w:vAlign w:val="bottom"/>
          </w:tcPr>
          <w:p w:rsidR="002428EB" w:rsidRPr="007930B0" w:rsidRDefault="002428EB" w:rsidP="00AA188E">
            <w:pPr>
              <w:spacing w:before="40" w:after="40" w:line="220" w:lineRule="exact"/>
              <w:jc w:val="right"/>
              <w:rPr>
                <w:b/>
                <w:bCs/>
                <w:sz w:val="18"/>
                <w:szCs w:val="16"/>
              </w:rPr>
            </w:pPr>
            <w:r w:rsidRPr="007930B0">
              <w:rPr>
                <w:b/>
                <w:bCs/>
                <w:sz w:val="18"/>
                <w:szCs w:val="16"/>
              </w:rPr>
              <w:t>18 301</w:t>
            </w:r>
          </w:p>
        </w:tc>
      </w:tr>
      <w:tr w:rsidR="002428EB" w:rsidRPr="007930B0">
        <w:trPr>
          <w:trHeight w:val="270"/>
        </w:trPr>
        <w:tc>
          <w:tcPr>
            <w:tcW w:w="865" w:type="dxa"/>
            <w:shd w:val="clear" w:color="000000" w:fill="auto"/>
            <w:noWrap/>
          </w:tcPr>
          <w:p w:rsidR="002428EB" w:rsidRPr="007930B0" w:rsidRDefault="002428EB" w:rsidP="00AA188E">
            <w:pPr>
              <w:spacing w:before="40" w:after="40" w:line="220" w:lineRule="exact"/>
              <w:rPr>
                <w:sz w:val="18"/>
                <w:szCs w:val="16"/>
              </w:rPr>
            </w:pPr>
            <w:r w:rsidRPr="007930B0">
              <w:rPr>
                <w:sz w:val="18"/>
                <w:szCs w:val="16"/>
              </w:rPr>
              <w:t>2006-07</w:t>
            </w:r>
          </w:p>
        </w:tc>
        <w:tc>
          <w:tcPr>
            <w:tcW w:w="793" w:type="dxa"/>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1 111</w:t>
            </w:r>
          </w:p>
        </w:tc>
        <w:tc>
          <w:tcPr>
            <w:tcW w:w="710" w:type="dxa"/>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1 472</w:t>
            </w:r>
          </w:p>
        </w:tc>
        <w:tc>
          <w:tcPr>
            <w:tcW w:w="581" w:type="dxa"/>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1 627</w:t>
            </w:r>
          </w:p>
        </w:tc>
        <w:tc>
          <w:tcPr>
            <w:tcW w:w="582" w:type="dxa"/>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1 112</w:t>
            </w:r>
          </w:p>
        </w:tc>
        <w:tc>
          <w:tcPr>
            <w:tcW w:w="582" w:type="dxa"/>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1 590</w:t>
            </w:r>
          </w:p>
        </w:tc>
        <w:tc>
          <w:tcPr>
            <w:tcW w:w="582" w:type="dxa"/>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2 526</w:t>
            </w:r>
          </w:p>
        </w:tc>
        <w:tc>
          <w:tcPr>
            <w:tcW w:w="582" w:type="dxa"/>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534</w:t>
            </w:r>
          </w:p>
        </w:tc>
        <w:tc>
          <w:tcPr>
            <w:tcW w:w="582" w:type="dxa"/>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1 079</w:t>
            </w:r>
          </w:p>
        </w:tc>
        <w:tc>
          <w:tcPr>
            <w:tcW w:w="582" w:type="dxa"/>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675</w:t>
            </w:r>
          </w:p>
        </w:tc>
        <w:tc>
          <w:tcPr>
            <w:tcW w:w="687" w:type="dxa"/>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878</w:t>
            </w:r>
          </w:p>
        </w:tc>
        <w:tc>
          <w:tcPr>
            <w:tcW w:w="819" w:type="dxa"/>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576</w:t>
            </w:r>
          </w:p>
        </w:tc>
        <w:tc>
          <w:tcPr>
            <w:tcW w:w="529" w:type="dxa"/>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144</w:t>
            </w:r>
          </w:p>
        </w:tc>
        <w:tc>
          <w:tcPr>
            <w:tcW w:w="529" w:type="dxa"/>
            <w:shd w:val="clear" w:color="000000" w:fill="auto"/>
            <w:noWrap/>
            <w:vAlign w:val="bottom"/>
          </w:tcPr>
          <w:p w:rsidR="002428EB" w:rsidRPr="007930B0" w:rsidRDefault="002428EB" w:rsidP="00AA188E">
            <w:pPr>
              <w:spacing w:before="40" w:after="40" w:line="220" w:lineRule="exact"/>
              <w:jc w:val="right"/>
              <w:rPr>
                <w:sz w:val="18"/>
                <w:szCs w:val="16"/>
              </w:rPr>
            </w:pPr>
            <w:r w:rsidRPr="007930B0">
              <w:rPr>
                <w:sz w:val="18"/>
                <w:szCs w:val="16"/>
              </w:rPr>
              <w:t>8 164</w:t>
            </w:r>
          </w:p>
        </w:tc>
        <w:tc>
          <w:tcPr>
            <w:tcW w:w="634" w:type="dxa"/>
            <w:shd w:val="clear" w:color="000000" w:fill="auto"/>
            <w:noWrap/>
            <w:vAlign w:val="bottom"/>
          </w:tcPr>
          <w:p w:rsidR="002428EB" w:rsidRPr="007930B0" w:rsidRDefault="002428EB" w:rsidP="00AA188E">
            <w:pPr>
              <w:spacing w:before="40" w:after="40" w:line="220" w:lineRule="exact"/>
              <w:jc w:val="right"/>
              <w:rPr>
                <w:b/>
                <w:bCs/>
                <w:sz w:val="18"/>
                <w:szCs w:val="16"/>
              </w:rPr>
            </w:pPr>
            <w:r w:rsidRPr="007930B0">
              <w:rPr>
                <w:b/>
                <w:bCs/>
                <w:sz w:val="18"/>
                <w:szCs w:val="16"/>
              </w:rPr>
              <w:t>21 488</w:t>
            </w:r>
          </w:p>
        </w:tc>
      </w:tr>
      <w:tr w:rsidR="002428EB" w:rsidRPr="007930B0">
        <w:trPr>
          <w:trHeight w:val="270"/>
        </w:trPr>
        <w:tc>
          <w:tcPr>
            <w:tcW w:w="865" w:type="dxa"/>
            <w:shd w:val="clear" w:color="000000" w:fill="auto"/>
            <w:noWrap/>
          </w:tcPr>
          <w:p w:rsidR="002428EB" w:rsidRPr="007930B0" w:rsidRDefault="002428EB" w:rsidP="00AA188E">
            <w:pPr>
              <w:spacing w:before="40" w:after="40" w:line="220" w:lineRule="exact"/>
              <w:rPr>
                <w:bCs/>
                <w:iCs/>
                <w:sz w:val="18"/>
                <w:szCs w:val="16"/>
              </w:rPr>
            </w:pPr>
            <w:r w:rsidRPr="007930B0">
              <w:rPr>
                <w:bCs/>
                <w:iCs/>
                <w:sz w:val="18"/>
                <w:szCs w:val="16"/>
              </w:rPr>
              <w:t>Variación</w:t>
            </w:r>
          </w:p>
        </w:tc>
        <w:tc>
          <w:tcPr>
            <w:tcW w:w="793" w:type="dxa"/>
            <w:shd w:val="clear" w:color="000000" w:fill="auto"/>
            <w:noWrap/>
            <w:vAlign w:val="bottom"/>
          </w:tcPr>
          <w:p w:rsidR="002428EB" w:rsidRPr="007930B0" w:rsidRDefault="002428EB" w:rsidP="00AA188E">
            <w:pPr>
              <w:spacing w:before="40" w:after="40" w:line="220" w:lineRule="exact"/>
              <w:jc w:val="right"/>
              <w:rPr>
                <w:iCs/>
                <w:sz w:val="18"/>
                <w:szCs w:val="16"/>
              </w:rPr>
            </w:pPr>
            <w:r w:rsidRPr="007930B0">
              <w:rPr>
                <w:iCs/>
                <w:sz w:val="18"/>
                <w:szCs w:val="16"/>
              </w:rPr>
              <w:t>320</w:t>
            </w:r>
          </w:p>
        </w:tc>
        <w:tc>
          <w:tcPr>
            <w:tcW w:w="710" w:type="dxa"/>
            <w:shd w:val="clear" w:color="000000" w:fill="auto"/>
            <w:noWrap/>
            <w:vAlign w:val="bottom"/>
          </w:tcPr>
          <w:p w:rsidR="002428EB" w:rsidRPr="007930B0" w:rsidRDefault="002428EB" w:rsidP="00AA188E">
            <w:pPr>
              <w:spacing w:before="40" w:after="40" w:line="220" w:lineRule="exact"/>
              <w:jc w:val="right"/>
              <w:rPr>
                <w:iCs/>
                <w:sz w:val="18"/>
                <w:szCs w:val="16"/>
              </w:rPr>
            </w:pPr>
            <w:r w:rsidRPr="007930B0">
              <w:rPr>
                <w:iCs/>
                <w:sz w:val="18"/>
                <w:szCs w:val="16"/>
              </w:rPr>
              <w:t>246</w:t>
            </w:r>
          </w:p>
        </w:tc>
        <w:tc>
          <w:tcPr>
            <w:tcW w:w="581" w:type="dxa"/>
            <w:shd w:val="clear" w:color="000000" w:fill="auto"/>
            <w:noWrap/>
            <w:vAlign w:val="bottom"/>
          </w:tcPr>
          <w:p w:rsidR="002428EB" w:rsidRPr="007930B0" w:rsidRDefault="002428EB" w:rsidP="00AA188E">
            <w:pPr>
              <w:spacing w:before="40" w:after="40" w:line="220" w:lineRule="exact"/>
              <w:jc w:val="right"/>
              <w:rPr>
                <w:iCs/>
                <w:sz w:val="18"/>
                <w:szCs w:val="16"/>
              </w:rPr>
            </w:pPr>
            <w:r w:rsidRPr="007930B0">
              <w:rPr>
                <w:iCs/>
                <w:sz w:val="18"/>
                <w:szCs w:val="16"/>
              </w:rPr>
              <w:t>122</w:t>
            </w:r>
          </w:p>
        </w:tc>
        <w:tc>
          <w:tcPr>
            <w:tcW w:w="582" w:type="dxa"/>
            <w:shd w:val="clear" w:color="000000" w:fill="auto"/>
            <w:noWrap/>
            <w:vAlign w:val="bottom"/>
          </w:tcPr>
          <w:p w:rsidR="002428EB" w:rsidRPr="007930B0" w:rsidRDefault="002428EB" w:rsidP="00AA188E">
            <w:pPr>
              <w:spacing w:before="40" w:after="40" w:line="220" w:lineRule="exact"/>
              <w:jc w:val="right"/>
              <w:rPr>
                <w:iCs/>
                <w:sz w:val="18"/>
                <w:szCs w:val="16"/>
              </w:rPr>
            </w:pPr>
            <w:r w:rsidRPr="007930B0">
              <w:rPr>
                <w:iCs/>
                <w:sz w:val="18"/>
                <w:szCs w:val="16"/>
              </w:rPr>
              <w:t>-209</w:t>
            </w:r>
          </w:p>
        </w:tc>
        <w:tc>
          <w:tcPr>
            <w:tcW w:w="582" w:type="dxa"/>
            <w:shd w:val="clear" w:color="000000" w:fill="auto"/>
            <w:noWrap/>
            <w:vAlign w:val="bottom"/>
          </w:tcPr>
          <w:p w:rsidR="002428EB" w:rsidRPr="007930B0" w:rsidRDefault="002428EB" w:rsidP="00AA188E">
            <w:pPr>
              <w:spacing w:before="40" w:after="40" w:line="220" w:lineRule="exact"/>
              <w:jc w:val="right"/>
              <w:rPr>
                <w:iCs/>
                <w:sz w:val="18"/>
                <w:szCs w:val="16"/>
              </w:rPr>
            </w:pPr>
            <w:r w:rsidRPr="007930B0">
              <w:rPr>
                <w:iCs/>
                <w:sz w:val="18"/>
                <w:szCs w:val="16"/>
              </w:rPr>
              <w:t>246</w:t>
            </w:r>
          </w:p>
        </w:tc>
        <w:tc>
          <w:tcPr>
            <w:tcW w:w="582" w:type="dxa"/>
            <w:shd w:val="clear" w:color="000000" w:fill="auto"/>
            <w:noWrap/>
            <w:vAlign w:val="bottom"/>
          </w:tcPr>
          <w:p w:rsidR="002428EB" w:rsidRPr="007930B0" w:rsidRDefault="002428EB" w:rsidP="00AA188E">
            <w:pPr>
              <w:spacing w:before="40" w:after="40" w:line="220" w:lineRule="exact"/>
              <w:jc w:val="right"/>
              <w:rPr>
                <w:iCs/>
                <w:sz w:val="18"/>
                <w:szCs w:val="16"/>
              </w:rPr>
            </w:pPr>
            <w:r w:rsidRPr="007930B0">
              <w:rPr>
                <w:iCs/>
                <w:sz w:val="18"/>
                <w:szCs w:val="16"/>
              </w:rPr>
              <w:t>864</w:t>
            </w:r>
          </w:p>
        </w:tc>
        <w:tc>
          <w:tcPr>
            <w:tcW w:w="582" w:type="dxa"/>
            <w:shd w:val="clear" w:color="000000" w:fill="auto"/>
            <w:noWrap/>
            <w:vAlign w:val="bottom"/>
          </w:tcPr>
          <w:p w:rsidR="002428EB" w:rsidRPr="007930B0" w:rsidRDefault="002428EB" w:rsidP="00AA188E">
            <w:pPr>
              <w:spacing w:before="40" w:after="40" w:line="220" w:lineRule="exact"/>
              <w:jc w:val="right"/>
              <w:rPr>
                <w:iCs/>
                <w:sz w:val="18"/>
                <w:szCs w:val="16"/>
              </w:rPr>
            </w:pPr>
            <w:r w:rsidRPr="007930B0">
              <w:rPr>
                <w:iCs/>
                <w:sz w:val="18"/>
                <w:szCs w:val="16"/>
              </w:rPr>
              <w:t>-41</w:t>
            </w:r>
          </w:p>
        </w:tc>
        <w:tc>
          <w:tcPr>
            <w:tcW w:w="582" w:type="dxa"/>
            <w:shd w:val="clear" w:color="000000" w:fill="auto"/>
            <w:noWrap/>
            <w:vAlign w:val="bottom"/>
          </w:tcPr>
          <w:p w:rsidR="002428EB" w:rsidRPr="007930B0" w:rsidRDefault="002428EB" w:rsidP="00AA188E">
            <w:pPr>
              <w:spacing w:before="40" w:after="40" w:line="220" w:lineRule="exact"/>
              <w:jc w:val="right"/>
              <w:rPr>
                <w:iCs/>
                <w:sz w:val="18"/>
                <w:szCs w:val="16"/>
              </w:rPr>
            </w:pPr>
            <w:r w:rsidRPr="007930B0">
              <w:rPr>
                <w:iCs/>
                <w:sz w:val="18"/>
                <w:szCs w:val="16"/>
              </w:rPr>
              <w:t>-35</w:t>
            </w:r>
          </w:p>
        </w:tc>
        <w:tc>
          <w:tcPr>
            <w:tcW w:w="582" w:type="dxa"/>
            <w:shd w:val="clear" w:color="000000" w:fill="auto"/>
            <w:noWrap/>
            <w:vAlign w:val="bottom"/>
          </w:tcPr>
          <w:p w:rsidR="002428EB" w:rsidRPr="007930B0" w:rsidRDefault="002428EB" w:rsidP="00AA188E">
            <w:pPr>
              <w:spacing w:before="40" w:after="40" w:line="220" w:lineRule="exact"/>
              <w:jc w:val="right"/>
              <w:rPr>
                <w:iCs/>
                <w:sz w:val="18"/>
                <w:szCs w:val="16"/>
              </w:rPr>
            </w:pPr>
            <w:r w:rsidRPr="007930B0">
              <w:rPr>
                <w:iCs/>
                <w:sz w:val="18"/>
                <w:szCs w:val="16"/>
              </w:rPr>
              <w:t>148</w:t>
            </w:r>
          </w:p>
        </w:tc>
        <w:tc>
          <w:tcPr>
            <w:tcW w:w="687" w:type="dxa"/>
            <w:shd w:val="clear" w:color="000000" w:fill="auto"/>
            <w:noWrap/>
            <w:vAlign w:val="bottom"/>
          </w:tcPr>
          <w:p w:rsidR="002428EB" w:rsidRPr="007930B0" w:rsidRDefault="002428EB" w:rsidP="00AA188E">
            <w:pPr>
              <w:spacing w:before="40" w:after="40" w:line="220" w:lineRule="exact"/>
              <w:jc w:val="right"/>
              <w:rPr>
                <w:iCs/>
                <w:sz w:val="18"/>
                <w:szCs w:val="16"/>
              </w:rPr>
            </w:pPr>
            <w:r w:rsidRPr="007930B0">
              <w:rPr>
                <w:iCs/>
                <w:sz w:val="18"/>
                <w:szCs w:val="16"/>
              </w:rPr>
              <w:t>112</w:t>
            </w:r>
          </w:p>
        </w:tc>
        <w:tc>
          <w:tcPr>
            <w:tcW w:w="819" w:type="dxa"/>
            <w:shd w:val="clear" w:color="000000" w:fill="auto"/>
            <w:noWrap/>
            <w:vAlign w:val="bottom"/>
          </w:tcPr>
          <w:p w:rsidR="002428EB" w:rsidRPr="007930B0" w:rsidRDefault="002428EB" w:rsidP="00AA188E">
            <w:pPr>
              <w:spacing w:before="40" w:after="40" w:line="220" w:lineRule="exact"/>
              <w:jc w:val="right"/>
              <w:rPr>
                <w:iCs/>
                <w:sz w:val="18"/>
                <w:szCs w:val="16"/>
              </w:rPr>
            </w:pPr>
            <w:r w:rsidRPr="007930B0">
              <w:rPr>
                <w:iCs/>
                <w:sz w:val="18"/>
                <w:szCs w:val="16"/>
              </w:rPr>
              <w:t>-115</w:t>
            </w:r>
          </w:p>
        </w:tc>
        <w:tc>
          <w:tcPr>
            <w:tcW w:w="529" w:type="dxa"/>
            <w:shd w:val="clear" w:color="000000" w:fill="auto"/>
            <w:noWrap/>
            <w:vAlign w:val="bottom"/>
          </w:tcPr>
          <w:p w:rsidR="002428EB" w:rsidRPr="007930B0" w:rsidRDefault="002428EB" w:rsidP="00AA188E">
            <w:pPr>
              <w:spacing w:before="40" w:after="40" w:line="220" w:lineRule="exact"/>
              <w:jc w:val="right"/>
              <w:rPr>
                <w:iCs/>
                <w:sz w:val="18"/>
                <w:szCs w:val="16"/>
              </w:rPr>
            </w:pPr>
            <w:r w:rsidRPr="007930B0">
              <w:rPr>
                <w:iCs/>
                <w:sz w:val="18"/>
                <w:szCs w:val="16"/>
              </w:rPr>
              <w:t>60</w:t>
            </w:r>
          </w:p>
        </w:tc>
        <w:tc>
          <w:tcPr>
            <w:tcW w:w="529" w:type="dxa"/>
            <w:shd w:val="clear" w:color="000000" w:fill="auto"/>
            <w:noWrap/>
            <w:vAlign w:val="bottom"/>
          </w:tcPr>
          <w:p w:rsidR="002428EB" w:rsidRPr="007930B0" w:rsidRDefault="002428EB" w:rsidP="00AA188E">
            <w:pPr>
              <w:spacing w:before="40" w:after="40" w:line="220" w:lineRule="exact"/>
              <w:jc w:val="right"/>
              <w:rPr>
                <w:iCs/>
                <w:sz w:val="18"/>
                <w:szCs w:val="16"/>
              </w:rPr>
            </w:pPr>
            <w:r w:rsidRPr="007930B0">
              <w:rPr>
                <w:iCs/>
                <w:sz w:val="18"/>
                <w:szCs w:val="16"/>
              </w:rPr>
              <w:t>1</w:t>
            </w:r>
            <w:r w:rsidR="0071105A" w:rsidRPr="007930B0">
              <w:rPr>
                <w:iCs/>
                <w:sz w:val="18"/>
                <w:szCs w:val="16"/>
              </w:rPr>
              <w:t xml:space="preserve"> </w:t>
            </w:r>
            <w:r w:rsidRPr="007930B0">
              <w:rPr>
                <w:iCs/>
                <w:sz w:val="18"/>
                <w:szCs w:val="16"/>
              </w:rPr>
              <w:t>469</w:t>
            </w:r>
          </w:p>
        </w:tc>
        <w:tc>
          <w:tcPr>
            <w:tcW w:w="634" w:type="dxa"/>
            <w:shd w:val="clear" w:color="000000" w:fill="auto"/>
            <w:noWrap/>
            <w:vAlign w:val="bottom"/>
          </w:tcPr>
          <w:p w:rsidR="002428EB" w:rsidRPr="007930B0" w:rsidRDefault="002428EB" w:rsidP="00AA188E">
            <w:pPr>
              <w:spacing w:before="40" w:after="40" w:line="220" w:lineRule="exact"/>
              <w:jc w:val="right"/>
              <w:rPr>
                <w:b/>
                <w:bCs/>
                <w:iCs/>
                <w:sz w:val="18"/>
                <w:szCs w:val="16"/>
              </w:rPr>
            </w:pPr>
            <w:r w:rsidRPr="007930B0">
              <w:rPr>
                <w:b/>
                <w:bCs/>
                <w:iCs/>
                <w:sz w:val="18"/>
                <w:szCs w:val="16"/>
              </w:rPr>
              <w:t>3</w:t>
            </w:r>
            <w:r w:rsidR="0071105A" w:rsidRPr="007930B0">
              <w:rPr>
                <w:b/>
                <w:bCs/>
                <w:iCs/>
                <w:sz w:val="18"/>
                <w:szCs w:val="16"/>
              </w:rPr>
              <w:t xml:space="preserve"> </w:t>
            </w:r>
            <w:r w:rsidRPr="007930B0">
              <w:rPr>
                <w:b/>
                <w:bCs/>
                <w:iCs/>
                <w:sz w:val="18"/>
                <w:szCs w:val="16"/>
              </w:rPr>
              <w:t>187</w:t>
            </w:r>
          </w:p>
        </w:tc>
      </w:tr>
    </w:tbl>
    <w:p w:rsidR="001E7BB4" w:rsidRPr="007930B0" w:rsidRDefault="0071105A" w:rsidP="0071105A">
      <w:pPr>
        <w:pStyle w:val="H4G"/>
        <w:rPr>
          <w:lang w:val="es-ES"/>
        </w:rPr>
      </w:pPr>
      <w:r w:rsidRPr="007930B0">
        <w:rPr>
          <w:lang w:val="es-ES"/>
        </w:rPr>
        <w:tab/>
      </w:r>
      <w:r w:rsidRPr="007930B0">
        <w:rPr>
          <w:lang w:val="es-ES"/>
        </w:rPr>
        <w:tab/>
      </w:r>
      <w:r w:rsidR="001E7BB4" w:rsidRPr="007930B0">
        <w:rPr>
          <w:lang w:val="es-ES"/>
        </w:rPr>
        <w:t>Tasa de transición efectiva a primer año</w:t>
      </w:r>
    </w:p>
    <w:p w:rsidR="001E7BB4" w:rsidRPr="007930B0" w:rsidRDefault="001E7BB4" w:rsidP="0068666F">
      <w:pPr>
        <w:pStyle w:val="SingleTxtG"/>
        <w:rPr>
          <w:lang w:val="es-ES"/>
        </w:rPr>
      </w:pPr>
      <w:r w:rsidRPr="007930B0">
        <w:rPr>
          <w:lang w:val="es-ES"/>
        </w:rPr>
        <w:t>429.</w:t>
      </w:r>
      <w:r w:rsidRPr="007930B0">
        <w:rPr>
          <w:lang w:val="es-ES"/>
        </w:rPr>
        <w:tab/>
        <w:t>La tasa de transición efectiva a primer año de secundaria siguió bajando por cuarto año consecutivo. Entre 2005/06 y 2006/07, esta tasa pasó de 56,8% a 49,3%. El valor meta de este indicador para el PNDSE es 50%.</w:t>
      </w:r>
    </w:p>
    <w:p w:rsidR="001E7BB4" w:rsidRPr="007930B0" w:rsidRDefault="001E7BB4" w:rsidP="0068666F">
      <w:pPr>
        <w:pStyle w:val="SingleTxtG"/>
        <w:rPr>
          <w:lang w:val="es-ES"/>
        </w:rPr>
      </w:pPr>
      <w:r w:rsidRPr="007930B0">
        <w:rPr>
          <w:lang w:val="es-ES"/>
        </w:rPr>
        <w:t>430.</w:t>
      </w:r>
      <w:r w:rsidRPr="007930B0">
        <w:rPr>
          <w:lang w:val="es-ES"/>
        </w:rPr>
        <w:tab/>
        <w:t>El análisis por género muestra que la tasa de transición de las niñas a primer año de secundaria es más baja que la de los varones: 45,2% frente a 53,2% en 2006/07. En comparación con el año anterior, se observa una reducción de la tasa de transición de ambos sexos y un aumento de la desviación (5,8 puntos en 2005/06 frente a 8,1 en 2006/07).</w:t>
      </w:r>
    </w:p>
    <w:p w:rsidR="001E7BB4" w:rsidRPr="007930B0" w:rsidRDefault="001E7BB4" w:rsidP="0068666F">
      <w:pPr>
        <w:pStyle w:val="SingleTxtG"/>
        <w:rPr>
          <w:lang w:val="es-ES"/>
        </w:rPr>
      </w:pPr>
      <w:r w:rsidRPr="007930B0">
        <w:rPr>
          <w:lang w:val="es-ES"/>
        </w:rPr>
        <w:t>431.</w:t>
      </w:r>
      <w:r w:rsidRPr="007930B0">
        <w:rPr>
          <w:lang w:val="es-ES"/>
        </w:rPr>
        <w:tab/>
        <w:t>En el cuadro siguiente se puede ver la evolución de la tasa de transición efectiva en el transcurso de los años.</w:t>
      </w:r>
    </w:p>
    <w:p w:rsidR="0071105A" w:rsidRPr="007930B0" w:rsidRDefault="0071105A" w:rsidP="0071105A">
      <w:pPr>
        <w:pStyle w:val="Heading1"/>
        <w:rPr>
          <w:lang w:val="es-ES"/>
        </w:rPr>
      </w:pPr>
      <w:r w:rsidRPr="007930B0">
        <w:rPr>
          <w:lang w:val="es-ES"/>
        </w:rPr>
        <w:t>Cuadro 7</w:t>
      </w:r>
    </w:p>
    <w:p w:rsidR="001E7BB4" w:rsidRPr="007930B0" w:rsidRDefault="001E7BB4" w:rsidP="0068666F">
      <w:pPr>
        <w:pStyle w:val="SingleTxtG"/>
        <w:rPr>
          <w:b/>
          <w:lang w:val="es-ES"/>
        </w:rPr>
      </w:pPr>
      <w:r w:rsidRPr="007930B0">
        <w:rPr>
          <w:b/>
          <w:lang w:val="es-ES"/>
        </w:rPr>
        <w:t xml:space="preserve">Evolución de la tasa de transición efectiva a primer año de enseñanza secundaria por </w:t>
      </w:r>
      <w:r w:rsidRPr="007930B0">
        <w:rPr>
          <w:b/>
          <w:i/>
          <w:iCs/>
          <w:lang w:val="es-ES"/>
        </w:rPr>
        <w:t>wilaya</w:t>
      </w:r>
      <w:r w:rsidRPr="007930B0">
        <w:rPr>
          <w:b/>
          <w:lang w:val="es-ES"/>
        </w:rPr>
        <w:t xml:space="preserve"> entre 2005/06 y 2006/07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13"/>
        <w:gridCol w:w="1577"/>
        <w:gridCol w:w="1290"/>
        <w:gridCol w:w="1290"/>
      </w:tblGrid>
      <w:tr w:rsidR="001E7BB4" w:rsidRPr="007930B0">
        <w:trPr>
          <w:trHeight w:val="315"/>
          <w:tblHeader/>
        </w:trPr>
        <w:tc>
          <w:tcPr>
            <w:tcW w:w="3213" w:type="dxa"/>
            <w:tcBorders>
              <w:top w:val="single" w:sz="4" w:space="0" w:color="auto"/>
              <w:bottom w:val="single" w:sz="12" w:space="0" w:color="auto"/>
            </w:tcBorders>
            <w:shd w:val="clear" w:color="auto" w:fill="auto"/>
            <w:vAlign w:val="bottom"/>
          </w:tcPr>
          <w:p w:rsidR="001E7BB4" w:rsidRPr="007930B0" w:rsidRDefault="001E7BB4" w:rsidP="0071105A">
            <w:pPr>
              <w:spacing w:before="80" w:after="80" w:line="200" w:lineRule="exact"/>
              <w:ind w:right="113"/>
              <w:rPr>
                <w:i/>
                <w:sz w:val="16"/>
              </w:rPr>
            </w:pPr>
            <w:r w:rsidRPr="007930B0">
              <w:rPr>
                <w:i/>
                <w:sz w:val="16"/>
              </w:rPr>
              <w:t>Wilayas</w:t>
            </w:r>
          </w:p>
        </w:tc>
        <w:tc>
          <w:tcPr>
            <w:tcW w:w="1577" w:type="dxa"/>
            <w:tcBorders>
              <w:top w:val="single" w:sz="4" w:space="0" w:color="auto"/>
              <w:bottom w:val="single" w:sz="12" w:space="0" w:color="auto"/>
            </w:tcBorders>
            <w:shd w:val="clear" w:color="auto" w:fill="auto"/>
            <w:noWrap/>
            <w:vAlign w:val="bottom"/>
          </w:tcPr>
          <w:p w:rsidR="001E7BB4" w:rsidRPr="007930B0" w:rsidRDefault="001E7BB4" w:rsidP="0071105A">
            <w:pPr>
              <w:spacing w:before="80" w:after="80" w:line="200" w:lineRule="exact"/>
              <w:ind w:right="113"/>
              <w:jc w:val="right"/>
              <w:rPr>
                <w:i/>
                <w:sz w:val="16"/>
              </w:rPr>
            </w:pPr>
            <w:r w:rsidRPr="007930B0">
              <w:rPr>
                <w:i/>
                <w:sz w:val="16"/>
              </w:rPr>
              <w:t>2004/05</w:t>
            </w:r>
          </w:p>
        </w:tc>
        <w:tc>
          <w:tcPr>
            <w:tcW w:w="1290" w:type="dxa"/>
            <w:tcBorders>
              <w:top w:val="single" w:sz="4" w:space="0" w:color="auto"/>
              <w:bottom w:val="single" w:sz="12" w:space="0" w:color="auto"/>
            </w:tcBorders>
            <w:shd w:val="clear" w:color="auto" w:fill="auto"/>
            <w:noWrap/>
            <w:vAlign w:val="bottom"/>
          </w:tcPr>
          <w:p w:rsidR="001E7BB4" w:rsidRPr="007930B0" w:rsidRDefault="001E7BB4" w:rsidP="0071105A">
            <w:pPr>
              <w:spacing w:before="80" w:after="80" w:line="200" w:lineRule="exact"/>
              <w:ind w:right="113"/>
              <w:jc w:val="right"/>
              <w:rPr>
                <w:i/>
                <w:sz w:val="16"/>
              </w:rPr>
            </w:pPr>
            <w:r w:rsidRPr="007930B0">
              <w:rPr>
                <w:i/>
                <w:sz w:val="16"/>
              </w:rPr>
              <w:t>2005/06</w:t>
            </w:r>
          </w:p>
        </w:tc>
        <w:tc>
          <w:tcPr>
            <w:tcW w:w="1290" w:type="dxa"/>
            <w:tcBorders>
              <w:top w:val="single" w:sz="4" w:space="0" w:color="auto"/>
              <w:bottom w:val="single" w:sz="12" w:space="0" w:color="auto"/>
            </w:tcBorders>
            <w:shd w:val="clear" w:color="auto" w:fill="auto"/>
            <w:noWrap/>
            <w:vAlign w:val="bottom"/>
          </w:tcPr>
          <w:p w:rsidR="001E7BB4" w:rsidRPr="007930B0" w:rsidRDefault="001E7BB4" w:rsidP="0071105A">
            <w:pPr>
              <w:spacing w:before="80" w:after="80" w:line="200" w:lineRule="exact"/>
              <w:ind w:right="113"/>
              <w:jc w:val="right"/>
              <w:rPr>
                <w:i/>
                <w:sz w:val="16"/>
              </w:rPr>
            </w:pPr>
            <w:r w:rsidRPr="007930B0">
              <w:rPr>
                <w:i/>
                <w:sz w:val="16"/>
              </w:rPr>
              <w:t>2005/06</w:t>
            </w:r>
          </w:p>
        </w:tc>
      </w:tr>
      <w:tr w:rsidR="001E7BB4" w:rsidRPr="007930B0">
        <w:trPr>
          <w:trHeight w:val="255"/>
        </w:trPr>
        <w:tc>
          <w:tcPr>
            <w:tcW w:w="3213" w:type="dxa"/>
            <w:tcBorders>
              <w:top w:val="single" w:sz="12" w:space="0" w:color="auto"/>
            </w:tcBorders>
            <w:shd w:val="clear" w:color="auto" w:fill="auto"/>
            <w:noWrap/>
          </w:tcPr>
          <w:p w:rsidR="001E7BB4" w:rsidRPr="007930B0" w:rsidRDefault="001E7BB4" w:rsidP="0071105A">
            <w:pPr>
              <w:spacing w:before="40" w:after="40" w:line="220" w:lineRule="exact"/>
              <w:ind w:right="113"/>
              <w:rPr>
                <w:sz w:val="18"/>
              </w:rPr>
            </w:pPr>
            <w:r w:rsidRPr="007930B0">
              <w:rPr>
                <w:sz w:val="18"/>
              </w:rPr>
              <w:t>Hodh Charghi</w:t>
            </w:r>
          </w:p>
        </w:tc>
        <w:tc>
          <w:tcPr>
            <w:tcW w:w="1577" w:type="dxa"/>
            <w:tcBorders>
              <w:top w:val="single" w:sz="12" w:space="0" w:color="auto"/>
            </w:tcBorders>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34,80%</w:t>
            </w:r>
          </w:p>
        </w:tc>
        <w:tc>
          <w:tcPr>
            <w:tcW w:w="1290" w:type="dxa"/>
            <w:tcBorders>
              <w:top w:val="single" w:sz="12" w:space="0" w:color="auto"/>
            </w:tcBorders>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36,30%</w:t>
            </w:r>
          </w:p>
        </w:tc>
        <w:tc>
          <w:tcPr>
            <w:tcW w:w="1290" w:type="dxa"/>
            <w:tcBorders>
              <w:top w:val="single" w:sz="12" w:space="0" w:color="auto"/>
            </w:tcBorders>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42,37%</w:t>
            </w:r>
          </w:p>
        </w:tc>
      </w:tr>
      <w:tr w:rsidR="001E7BB4" w:rsidRPr="007930B0">
        <w:trPr>
          <w:trHeight w:val="255"/>
        </w:trPr>
        <w:tc>
          <w:tcPr>
            <w:tcW w:w="3213" w:type="dxa"/>
            <w:shd w:val="clear" w:color="auto" w:fill="auto"/>
            <w:noWrap/>
          </w:tcPr>
          <w:p w:rsidR="001E7BB4" w:rsidRPr="007930B0" w:rsidRDefault="001E7BB4" w:rsidP="0071105A">
            <w:pPr>
              <w:spacing w:before="40" w:after="40" w:line="220" w:lineRule="exact"/>
              <w:ind w:right="113"/>
              <w:rPr>
                <w:sz w:val="18"/>
              </w:rPr>
            </w:pPr>
            <w:r w:rsidRPr="007930B0">
              <w:rPr>
                <w:sz w:val="18"/>
              </w:rPr>
              <w:t>Hodh El Gharbi</w:t>
            </w:r>
          </w:p>
        </w:tc>
        <w:tc>
          <w:tcPr>
            <w:tcW w:w="1577"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54,70%</w:t>
            </w:r>
          </w:p>
        </w:tc>
        <w:tc>
          <w:tcPr>
            <w:tcW w:w="1290"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47,90%</w:t>
            </w:r>
          </w:p>
        </w:tc>
        <w:tc>
          <w:tcPr>
            <w:tcW w:w="1290"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41,48%</w:t>
            </w:r>
          </w:p>
        </w:tc>
      </w:tr>
      <w:tr w:rsidR="001E7BB4" w:rsidRPr="007930B0">
        <w:trPr>
          <w:trHeight w:val="255"/>
        </w:trPr>
        <w:tc>
          <w:tcPr>
            <w:tcW w:w="3213" w:type="dxa"/>
            <w:shd w:val="clear" w:color="auto" w:fill="auto"/>
            <w:noWrap/>
          </w:tcPr>
          <w:p w:rsidR="001E7BB4" w:rsidRPr="007930B0" w:rsidRDefault="001E7BB4" w:rsidP="0071105A">
            <w:pPr>
              <w:spacing w:before="40" w:after="40" w:line="220" w:lineRule="exact"/>
              <w:ind w:right="113"/>
              <w:rPr>
                <w:sz w:val="18"/>
              </w:rPr>
            </w:pPr>
            <w:r w:rsidRPr="007930B0">
              <w:rPr>
                <w:sz w:val="18"/>
              </w:rPr>
              <w:t>Assaba</w:t>
            </w:r>
          </w:p>
        </w:tc>
        <w:tc>
          <w:tcPr>
            <w:tcW w:w="1577"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58,40%</w:t>
            </w:r>
          </w:p>
        </w:tc>
        <w:tc>
          <w:tcPr>
            <w:tcW w:w="1290"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55,90%</w:t>
            </w:r>
          </w:p>
        </w:tc>
        <w:tc>
          <w:tcPr>
            <w:tcW w:w="1290"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41,70%</w:t>
            </w:r>
          </w:p>
        </w:tc>
      </w:tr>
      <w:tr w:rsidR="001E7BB4" w:rsidRPr="007930B0">
        <w:trPr>
          <w:trHeight w:val="255"/>
        </w:trPr>
        <w:tc>
          <w:tcPr>
            <w:tcW w:w="3213" w:type="dxa"/>
            <w:shd w:val="clear" w:color="auto" w:fill="auto"/>
            <w:noWrap/>
          </w:tcPr>
          <w:p w:rsidR="001E7BB4" w:rsidRPr="007930B0" w:rsidRDefault="001E7BB4" w:rsidP="0071105A">
            <w:pPr>
              <w:spacing w:before="40" w:after="40" w:line="220" w:lineRule="exact"/>
              <w:ind w:right="113"/>
              <w:rPr>
                <w:sz w:val="18"/>
              </w:rPr>
            </w:pPr>
            <w:r w:rsidRPr="007930B0">
              <w:rPr>
                <w:sz w:val="18"/>
              </w:rPr>
              <w:t>Gorgol</w:t>
            </w:r>
          </w:p>
        </w:tc>
        <w:tc>
          <w:tcPr>
            <w:tcW w:w="1577"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48,60%</w:t>
            </w:r>
          </w:p>
        </w:tc>
        <w:tc>
          <w:tcPr>
            <w:tcW w:w="1290"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61,00%</w:t>
            </w:r>
          </w:p>
        </w:tc>
        <w:tc>
          <w:tcPr>
            <w:tcW w:w="1290"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29,34%</w:t>
            </w:r>
          </w:p>
        </w:tc>
      </w:tr>
      <w:tr w:rsidR="001E7BB4" w:rsidRPr="007930B0">
        <w:trPr>
          <w:trHeight w:val="255"/>
        </w:trPr>
        <w:tc>
          <w:tcPr>
            <w:tcW w:w="3213" w:type="dxa"/>
            <w:shd w:val="clear" w:color="auto" w:fill="auto"/>
            <w:noWrap/>
          </w:tcPr>
          <w:p w:rsidR="001E7BB4" w:rsidRPr="007930B0" w:rsidRDefault="001E7BB4" w:rsidP="0071105A">
            <w:pPr>
              <w:spacing w:before="40" w:after="40" w:line="220" w:lineRule="exact"/>
              <w:ind w:right="113"/>
              <w:rPr>
                <w:sz w:val="18"/>
              </w:rPr>
            </w:pPr>
            <w:r w:rsidRPr="007930B0">
              <w:rPr>
                <w:sz w:val="18"/>
              </w:rPr>
              <w:t>Brakna</w:t>
            </w:r>
          </w:p>
        </w:tc>
        <w:tc>
          <w:tcPr>
            <w:tcW w:w="1577"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44,50%</w:t>
            </w:r>
          </w:p>
        </w:tc>
        <w:tc>
          <w:tcPr>
            <w:tcW w:w="1290"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40,10%</w:t>
            </w:r>
          </w:p>
        </w:tc>
        <w:tc>
          <w:tcPr>
            <w:tcW w:w="1290"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38,07%</w:t>
            </w:r>
          </w:p>
        </w:tc>
      </w:tr>
      <w:tr w:rsidR="001E7BB4" w:rsidRPr="007930B0">
        <w:trPr>
          <w:trHeight w:val="255"/>
        </w:trPr>
        <w:tc>
          <w:tcPr>
            <w:tcW w:w="3213" w:type="dxa"/>
            <w:shd w:val="clear" w:color="auto" w:fill="auto"/>
            <w:noWrap/>
          </w:tcPr>
          <w:p w:rsidR="001E7BB4" w:rsidRPr="007930B0" w:rsidRDefault="001E7BB4" w:rsidP="0071105A">
            <w:pPr>
              <w:spacing w:before="40" w:after="40" w:line="220" w:lineRule="exact"/>
              <w:ind w:right="113"/>
              <w:rPr>
                <w:sz w:val="18"/>
              </w:rPr>
            </w:pPr>
            <w:r w:rsidRPr="007930B0">
              <w:rPr>
                <w:sz w:val="18"/>
              </w:rPr>
              <w:t>Trarza</w:t>
            </w:r>
          </w:p>
        </w:tc>
        <w:tc>
          <w:tcPr>
            <w:tcW w:w="1577"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46,40%</w:t>
            </w:r>
          </w:p>
        </w:tc>
        <w:tc>
          <w:tcPr>
            <w:tcW w:w="1290"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45,10%</w:t>
            </w:r>
          </w:p>
        </w:tc>
        <w:tc>
          <w:tcPr>
            <w:tcW w:w="1290"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55,33%</w:t>
            </w:r>
          </w:p>
        </w:tc>
      </w:tr>
      <w:tr w:rsidR="001E7BB4" w:rsidRPr="007930B0">
        <w:trPr>
          <w:trHeight w:val="255"/>
        </w:trPr>
        <w:tc>
          <w:tcPr>
            <w:tcW w:w="3213" w:type="dxa"/>
            <w:shd w:val="clear" w:color="auto" w:fill="auto"/>
            <w:noWrap/>
          </w:tcPr>
          <w:p w:rsidR="001E7BB4" w:rsidRPr="007930B0" w:rsidRDefault="001E7BB4" w:rsidP="0071105A">
            <w:pPr>
              <w:spacing w:before="40" w:after="40" w:line="220" w:lineRule="exact"/>
              <w:ind w:right="113"/>
              <w:rPr>
                <w:sz w:val="18"/>
              </w:rPr>
            </w:pPr>
            <w:r w:rsidRPr="007930B0">
              <w:rPr>
                <w:sz w:val="18"/>
              </w:rPr>
              <w:t>Adrar</w:t>
            </w:r>
          </w:p>
        </w:tc>
        <w:tc>
          <w:tcPr>
            <w:tcW w:w="1577"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57,50%</w:t>
            </w:r>
          </w:p>
        </w:tc>
        <w:tc>
          <w:tcPr>
            <w:tcW w:w="1290"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59,00%</w:t>
            </w:r>
          </w:p>
        </w:tc>
        <w:tc>
          <w:tcPr>
            <w:tcW w:w="1290"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40,92%</w:t>
            </w:r>
          </w:p>
        </w:tc>
      </w:tr>
      <w:tr w:rsidR="001E7BB4" w:rsidRPr="007930B0">
        <w:trPr>
          <w:trHeight w:val="255"/>
        </w:trPr>
        <w:tc>
          <w:tcPr>
            <w:tcW w:w="3213" w:type="dxa"/>
            <w:shd w:val="clear" w:color="auto" w:fill="auto"/>
            <w:noWrap/>
          </w:tcPr>
          <w:p w:rsidR="001E7BB4" w:rsidRPr="007930B0" w:rsidRDefault="001E7BB4" w:rsidP="0071105A">
            <w:pPr>
              <w:spacing w:before="40" w:after="40" w:line="220" w:lineRule="exact"/>
              <w:ind w:right="113"/>
              <w:rPr>
                <w:sz w:val="18"/>
              </w:rPr>
            </w:pPr>
            <w:r w:rsidRPr="007930B0">
              <w:rPr>
                <w:sz w:val="18"/>
              </w:rPr>
              <w:t>Nuadhibu</w:t>
            </w:r>
          </w:p>
        </w:tc>
        <w:tc>
          <w:tcPr>
            <w:tcW w:w="1577"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88,30%</w:t>
            </w:r>
          </w:p>
        </w:tc>
        <w:tc>
          <w:tcPr>
            <w:tcW w:w="1290"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79,50%</w:t>
            </w:r>
          </w:p>
        </w:tc>
        <w:tc>
          <w:tcPr>
            <w:tcW w:w="1290"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70,16%</w:t>
            </w:r>
          </w:p>
        </w:tc>
      </w:tr>
      <w:tr w:rsidR="001E7BB4" w:rsidRPr="007930B0">
        <w:trPr>
          <w:trHeight w:val="255"/>
        </w:trPr>
        <w:tc>
          <w:tcPr>
            <w:tcW w:w="3213" w:type="dxa"/>
            <w:shd w:val="clear" w:color="auto" w:fill="auto"/>
            <w:noWrap/>
          </w:tcPr>
          <w:p w:rsidR="001E7BB4" w:rsidRPr="007930B0" w:rsidRDefault="001E7BB4" w:rsidP="0071105A">
            <w:pPr>
              <w:spacing w:before="40" w:after="40" w:line="220" w:lineRule="exact"/>
              <w:ind w:right="113"/>
              <w:rPr>
                <w:sz w:val="18"/>
              </w:rPr>
            </w:pPr>
            <w:r w:rsidRPr="007930B0">
              <w:rPr>
                <w:sz w:val="18"/>
              </w:rPr>
              <w:t>Tagant</w:t>
            </w:r>
          </w:p>
        </w:tc>
        <w:tc>
          <w:tcPr>
            <w:tcW w:w="1577"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52,00%</w:t>
            </w:r>
          </w:p>
        </w:tc>
        <w:tc>
          <w:tcPr>
            <w:tcW w:w="1290"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46,90%</w:t>
            </w:r>
          </w:p>
        </w:tc>
        <w:tc>
          <w:tcPr>
            <w:tcW w:w="1290"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38,37%</w:t>
            </w:r>
          </w:p>
        </w:tc>
      </w:tr>
      <w:tr w:rsidR="001E7BB4" w:rsidRPr="007930B0">
        <w:trPr>
          <w:trHeight w:val="255"/>
        </w:trPr>
        <w:tc>
          <w:tcPr>
            <w:tcW w:w="3213" w:type="dxa"/>
            <w:shd w:val="clear" w:color="auto" w:fill="auto"/>
            <w:noWrap/>
          </w:tcPr>
          <w:p w:rsidR="001E7BB4" w:rsidRPr="007930B0" w:rsidRDefault="001E7BB4" w:rsidP="0071105A">
            <w:pPr>
              <w:spacing w:before="40" w:after="40" w:line="220" w:lineRule="exact"/>
              <w:ind w:right="113"/>
              <w:rPr>
                <w:sz w:val="18"/>
              </w:rPr>
            </w:pPr>
            <w:r w:rsidRPr="007930B0">
              <w:rPr>
                <w:sz w:val="18"/>
              </w:rPr>
              <w:t>Guidimakha</w:t>
            </w:r>
          </w:p>
        </w:tc>
        <w:tc>
          <w:tcPr>
            <w:tcW w:w="1577"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55,40%</w:t>
            </w:r>
          </w:p>
        </w:tc>
        <w:tc>
          <w:tcPr>
            <w:tcW w:w="1290"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39,80%</w:t>
            </w:r>
          </w:p>
        </w:tc>
        <w:tc>
          <w:tcPr>
            <w:tcW w:w="1290"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32,17%</w:t>
            </w:r>
          </w:p>
        </w:tc>
      </w:tr>
      <w:tr w:rsidR="001E7BB4" w:rsidRPr="007930B0">
        <w:trPr>
          <w:trHeight w:val="255"/>
        </w:trPr>
        <w:tc>
          <w:tcPr>
            <w:tcW w:w="3213" w:type="dxa"/>
            <w:shd w:val="clear" w:color="auto" w:fill="auto"/>
            <w:noWrap/>
          </w:tcPr>
          <w:p w:rsidR="001E7BB4" w:rsidRPr="007930B0" w:rsidRDefault="001E7BB4" w:rsidP="0071105A">
            <w:pPr>
              <w:spacing w:before="40" w:after="40" w:line="220" w:lineRule="exact"/>
              <w:ind w:right="113"/>
              <w:rPr>
                <w:sz w:val="18"/>
              </w:rPr>
            </w:pPr>
            <w:r w:rsidRPr="007930B0">
              <w:rPr>
                <w:sz w:val="18"/>
              </w:rPr>
              <w:t>Tiris Zemmour</w:t>
            </w:r>
          </w:p>
        </w:tc>
        <w:tc>
          <w:tcPr>
            <w:tcW w:w="1577"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112,50%</w:t>
            </w:r>
          </w:p>
        </w:tc>
        <w:tc>
          <w:tcPr>
            <w:tcW w:w="1290"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105,70%</w:t>
            </w:r>
          </w:p>
        </w:tc>
        <w:tc>
          <w:tcPr>
            <w:tcW w:w="1290"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63,23%</w:t>
            </w:r>
          </w:p>
        </w:tc>
      </w:tr>
      <w:tr w:rsidR="001E7BB4" w:rsidRPr="007930B0">
        <w:trPr>
          <w:trHeight w:val="255"/>
        </w:trPr>
        <w:tc>
          <w:tcPr>
            <w:tcW w:w="3213" w:type="dxa"/>
            <w:shd w:val="clear" w:color="auto" w:fill="auto"/>
            <w:noWrap/>
          </w:tcPr>
          <w:p w:rsidR="001E7BB4" w:rsidRPr="007930B0" w:rsidRDefault="001E7BB4" w:rsidP="0071105A">
            <w:pPr>
              <w:spacing w:before="40" w:after="40" w:line="220" w:lineRule="exact"/>
              <w:ind w:right="113"/>
              <w:rPr>
                <w:sz w:val="18"/>
              </w:rPr>
            </w:pPr>
            <w:r w:rsidRPr="007930B0">
              <w:rPr>
                <w:sz w:val="18"/>
              </w:rPr>
              <w:t>Inchiri</w:t>
            </w:r>
          </w:p>
        </w:tc>
        <w:tc>
          <w:tcPr>
            <w:tcW w:w="1577"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77,90%</w:t>
            </w:r>
          </w:p>
        </w:tc>
        <w:tc>
          <w:tcPr>
            <w:tcW w:w="1290"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48,60%</w:t>
            </w:r>
          </w:p>
        </w:tc>
        <w:tc>
          <w:tcPr>
            <w:tcW w:w="1290"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91,72%</w:t>
            </w:r>
          </w:p>
        </w:tc>
      </w:tr>
      <w:tr w:rsidR="001E7BB4" w:rsidRPr="007930B0">
        <w:trPr>
          <w:trHeight w:val="255"/>
        </w:trPr>
        <w:tc>
          <w:tcPr>
            <w:tcW w:w="3213" w:type="dxa"/>
            <w:tcBorders>
              <w:bottom w:val="single" w:sz="4" w:space="0" w:color="auto"/>
            </w:tcBorders>
            <w:shd w:val="clear" w:color="auto" w:fill="auto"/>
            <w:noWrap/>
          </w:tcPr>
          <w:p w:rsidR="001E7BB4" w:rsidRPr="007930B0" w:rsidRDefault="001E7BB4" w:rsidP="0071105A">
            <w:pPr>
              <w:spacing w:before="40" w:after="40" w:line="220" w:lineRule="exact"/>
              <w:ind w:right="113"/>
              <w:rPr>
                <w:sz w:val="18"/>
              </w:rPr>
            </w:pPr>
            <w:r w:rsidRPr="007930B0">
              <w:rPr>
                <w:sz w:val="18"/>
              </w:rPr>
              <w:t>Nuakchot</w:t>
            </w:r>
          </w:p>
        </w:tc>
        <w:tc>
          <w:tcPr>
            <w:tcW w:w="1577" w:type="dxa"/>
            <w:tcBorders>
              <w:bottom w:val="single" w:sz="4" w:space="0" w:color="auto"/>
            </w:tcBorders>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79,20%</w:t>
            </w:r>
          </w:p>
        </w:tc>
        <w:tc>
          <w:tcPr>
            <w:tcW w:w="1290" w:type="dxa"/>
            <w:tcBorders>
              <w:bottom w:val="single" w:sz="4" w:space="0" w:color="auto"/>
            </w:tcBorders>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71,90%</w:t>
            </w:r>
          </w:p>
        </w:tc>
        <w:tc>
          <w:tcPr>
            <w:tcW w:w="1290" w:type="dxa"/>
            <w:tcBorders>
              <w:bottom w:val="single" w:sz="4" w:space="0" w:color="auto"/>
            </w:tcBorders>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64,74%</w:t>
            </w:r>
          </w:p>
        </w:tc>
      </w:tr>
      <w:tr w:rsidR="001E7BB4" w:rsidRPr="007930B0">
        <w:trPr>
          <w:trHeight w:val="255"/>
        </w:trPr>
        <w:tc>
          <w:tcPr>
            <w:tcW w:w="3213" w:type="dxa"/>
            <w:tcBorders>
              <w:top w:val="single" w:sz="4" w:space="0" w:color="auto"/>
              <w:bottom w:val="single" w:sz="12" w:space="0" w:color="auto"/>
            </w:tcBorders>
            <w:shd w:val="clear" w:color="auto" w:fill="auto"/>
            <w:noWrap/>
          </w:tcPr>
          <w:p w:rsidR="001E7BB4" w:rsidRPr="007930B0" w:rsidRDefault="001E7BB4" w:rsidP="0071105A">
            <w:pPr>
              <w:spacing w:before="80" w:after="80" w:line="220" w:lineRule="exact"/>
              <w:ind w:left="284" w:right="113"/>
              <w:rPr>
                <w:b/>
                <w:sz w:val="18"/>
              </w:rPr>
            </w:pPr>
            <w:r w:rsidRPr="007930B0">
              <w:rPr>
                <w:b/>
                <w:sz w:val="18"/>
              </w:rPr>
              <w:t>Nacional</w:t>
            </w:r>
          </w:p>
        </w:tc>
        <w:tc>
          <w:tcPr>
            <w:tcW w:w="1577" w:type="dxa"/>
            <w:tcBorders>
              <w:top w:val="single" w:sz="4" w:space="0" w:color="auto"/>
              <w:bottom w:val="single" w:sz="12" w:space="0" w:color="auto"/>
            </w:tcBorders>
            <w:shd w:val="clear" w:color="auto" w:fill="auto"/>
            <w:noWrap/>
            <w:vAlign w:val="bottom"/>
          </w:tcPr>
          <w:p w:rsidR="001E7BB4" w:rsidRPr="007930B0" w:rsidRDefault="001E7BB4" w:rsidP="0071105A">
            <w:pPr>
              <w:spacing w:before="80" w:after="80" w:line="220" w:lineRule="exact"/>
              <w:ind w:right="113"/>
              <w:jc w:val="right"/>
              <w:rPr>
                <w:b/>
                <w:sz w:val="18"/>
              </w:rPr>
            </w:pPr>
            <w:r w:rsidRPr="007930B0">
              <w:rPr>
                <w:b/>
                <w:sz w:val="18"/>
              </w:rPr>
              <w:t>61,10%</w:t>
            </w:r>
          </w:p>
        </w:tc>
        <w:tc>
          <w:tcPr>
            <w:tcW w:w="1290" w:type="dxa"/>
            <w:tcBorders>
              <w:top w:val="single" w:sz="4" w:space="0" w:color="auto"/>
              <w:bottom w:val="single" w:sz="12" w:space="0" w:color="auto"/>
            </w:tcBorders>
            <w:shd w:val="clear" w:color="auto" w:fill="auto"/>
            <w:noWrap/>
            <w:vAlign w:val="bottom"/>
          </w:tcPr>
          <w:p w:rsidR="001E7BB4" w:rsidRPr="007930B0" w:rsidRDefault="001E7BB4" w:rsidP="0071105A">
            <w:pPr>
              <w:spacing w:before="80" w:after="80" w:line="220" w:lineRule="exact"/>
              <w:ind w:right="113"/>
              <w:jc w:val="right"/>
              <w:rPr>
                <w:b/>
                <w:sz w:val="18"/>
              </w:rPr>
            </w:pPr>
            <w:r w:rsidRPr="007930B0">
              <w:rPr>
                <w:b/>
                <w:sz w:val="18"/>
              </w:rPr>
              <w:t>56,80%</w:t>
            </w:r>
          </w:p>
        </w:tc>
        <w:tc>
          <w:tcPr>
            <w:tcW w:w="1290" w:type="dxa"/>
            <w:tcBorders>
              <w:top w:val="single" w:sz="4" w:space="0" w:color="auto"/>
              <w:bottom w:val="single" w:sz="12" w:space="0" w:color="auto"/>
            </w:tcBorders>
            <w:shd w:val="clear" w:color="auto" w:fill="auto"/>
            <w:noWrap/>
            <w:vAlign w:val="bottom"/>
          </w:tcPr>
          <w:p w:rsidR="001E7BB4" w:rsidRPr="007930B0" w:rsidRDefault="001E7BB4" w:rsidP="0071105A">
            <w:pPr>
              <w:spacing w:before="80" w:after="80" w:line="220" w:lineRule="exact"/>
              <w:ind w:right="113"/>
              <w:jc w:val="right"/>
              <w:rPr>
                <w:b/>
                <w:sz w:val="18"/>
              </w:rPr>
            </w:pPr>
            <w:r w:rsidRPr="007930B0">
              <w:rPr>
                <w:b/>
                <w:sz w:val="18"/>
              </w:rPr>
              <w:t>49,27%</w:t>
            </w:r>
          </w:p>
        </w:tc>
      </w:tr>
    </w:tbl>
    <w:p w:rsidR="001E7BB4" w:rsidRPr="007930B0" w:rsidRDefault="001E7BB4" w:rsidP="0071105A">
      <w:pPr>
        <w:pStyle w:val="SingleTxtG"/>
        <w:spacing w:before="240"/>
        <w:rPr>
          <w:lang w:val="es-ES"/>
        </w:rPr>
      </w:pPr>
      <w:r w:rsidRPr="007930B0">
        <w:rPr>
          <w:lang w:val="es-ES"/>
        </w:rPr>
        <w:t>432.</w:t>
      </w:r>
      <w:r w:rsidRPr="007930B0">
        <w:rPr>
          <w:lang w:val="es-ES"/>
        </w:rPr>
        <w:tab/>
        <w:t>El análisis de la estructura regional de este indicador en 2006/07 y su evolución en relación con el año 2004/05 revelan perfiles divergentes. La tasa más alta se registró en Inchiri (91,7%), mientras que la tasa más baja se registró en Gorgol (29,34%). Nótese que en 2005/06 la tasa de transición en Gorgol era del orden del 61%, lo que denota una caída considerable en 2006/07.</w:t>
      </w:r>
    </w:p>
    <w:p w:rsidR="001E7BB4" w:rsidRPr="007930B0" w:rsidRDefault="001E7BB4" w:rsidP="0068666F">
      <w:pPr>
        <w:pStyle w:val="SingleTxtG"/>
        <w:rPr>
          <w:lang w:val="es-ES"/>
        </w:rPr>
      </w:pPr>
      <w:r w:rsidRPr="007930B0">
        <w:rPr>
          <w:lang w:val="es-ES"/>
        </w:rPr>
        <w:t>433.</w:t>
      </w:r>
      <w:r w:rsidRPr="007930B0">
        <w:rPr>
          <w:lang w:val="es-ES"/>
        </w:rPr>
        <w:tab/>
        <w:t xml:space="preserve">Además de Inchiri, las </w:t>
      </w:r>
      <w:r w:rsidRPr="007930B0">
        <w:rPr>
          <w:i/>
          <w:iCs/>
          <w:lang w:val="es-ES"/>
        </w:rPr>
        <w:t>wilayas</w:t>
      </w:r>
      <w:r w:rsidRPr="007930B0">
        <w:rPr>
          <w:lang w:val="es-ES"/>
        </w:rPr>
        <w:t xml:space="preserve"> de Nuadhibu (70,2%), Nuakchot (64,7%), Tiris Zemmour (63,7%) y Trarza (55,3%) tienen tasas de transición superiores al promedio nacional y al valor meta de este indicador para el PNDSE. De las 13 </w:t>
      </w:r>
      <w:r w:rsidRPr="007930B0">
        <w:rPr>
          <w:i/>
          <w:iCs/>
          <w:lang w:val="es-ES"/>
        </w:rPr>
        <w:t>wilayas</w:t>
      </w:r>
      <w:r w:rsidRPr="007930B0">
        <w:rPr>
          <w:lang w:val="es-ES"/>
        </w:rPr>
        <w:t xml:space="preserve"> del país, 3 registraron un aumento en sus tasas de transición entre 2005/06 y 2006/07: Hodh Charghi, Trarza e Inchiri.</w:t>
      </w:r>
    </w:p>
    <w:p w:rsidR="001E7BB4" w:rsidRPr="007930B0" w:rsidRDefault="0071105A" w:rsidP="0071105A">
      <w:pPr>
        <w:pStyle w:val="H4G"/>
        <w:rPr>
          <w:lang w:val="es-ES"/>
        </w:rPr>
      </w:pPr>
      <w:r w:rsidRPr="007930B0">
        <w:rPr>
          <w:lang w:val="es-ES"/>
        </w:rPr>
        <w:tab/>
      </w:r>
      <w:r w:rsidRPr="007930B0">
        <w:rPr>
          <w:lang w:val="es-ES"/>
        </w:rPr>
        <w:tab/>
      </w:r>
      <w:r w:rsidR="001E7BB4" w:rsidRPr="007930B0">
        <w:rPr>
          <w:lang w:val="es-ES"/>
        </w:rPr>
        <w:t>Porcentaje de niñas en el primer ciclo (tasa de participación de las niñas)</w:t>
      </w:r>
    </w:p>
    <w:p w:rsidR="001E7BB4" w:rsidRPr="007930B0" w:rsidRDefault="001E7BB4" w:rsidP="0068666F">
      <w:pPr>
        <w:pStyle w:val="SingleTxtG"/>
        <w:rPr>
          <w:lang w:val="es-ES"/>
        </w:rPr>
      </w:pPr>
      <w:r w:rsidRPr="007930B0">
        <w:rPr>
          <w:lang w:val="es-ES"/>
        </w:rPr>
        <w:t>434.</w:t>
      </w:r>
      <w:r w:rsidRPr="007930B0">
        <w:rPr>
          <w:lang w:val="es-ES"/>
        </w:rPr>
        <w:tab/>
        <w:t xml:space="preserve">La tasa de participación de las niñas siguió bajando por segundo año consecutivo. Pasó de 45,8% en 2005/06 a 44,5% en 2006/07, alejándose así de la meta fijada por el PNDSE para este indicador, que es una tasa de 50%. </w:t>
      </w:r>
    </w:p>
    <w:p w:rsidR="001E7BB4" w:rsidRPr="007930B0" w:rsidRDefault="001E7BB4" w:rsidP="0068666F">
      <w:pPr>
        <w:pStyle w:val="SingleTxtG"/>
        <w:rPr>
          <w:lang w:val="es-ES"/>
        </w:rPr>
      </w:pPr>
      <w:r w:rsidRPr="007930B0">
        <w:rPr>
          <w:lang w:val="es-ES"/>
        </w:rPr>
        <w:t>435.</w:t>
      </w:r>
      <w:r w:rsidRPr="007930B0">
        <w:rPr>
          <w:lang w:val="es-ES"/>
        </w:rPr>
        <w:tab/>
        <w:t>En términos de disparidades regionales, la tasa de participación más alta se registró (en 2006/07) en Hodh El Gharbi (54,4%), mientras que la tasa más baja se registró en Guidimakha (21%). La desviación estándar intrarregional en 2006/07 fue del orden de 9 puntos (había sido de 6 puntos en 2005/06).</w:t>
      </w:r>
    </w:p>
    <w:p w:rsidR="001E7BB4" w:rsidRPr="007930B0" w:rsidRDefault="001E7BB4" w:rsidP="0068666F">
      <w:pPr>
        <w:pStyle w:val="SingleTxtG"/>
        <w:rPr>
          <w:lang w:val="es-ES"/>
        </w:rPr>
      </w:pPr>
      <w:r w:rsidRPr="007930B0">
        <w:rPr>
          <w:lang w:val="es-ES"/>
        </w:rPr>
        <w:t>436.</w:t>
      </w:r>
      <w:r w:rsidRPr="007930B0">
        <w:rPr>
          <w:lang w:val="es-ES"/>
        </w:rPr>
        <w:tab/>
        <w:t xml:space="preserve">Las dos Hodhs, Brakna, Trarza, Nuadhibu y Nuakchot tienen tasas superiores al promedio nacional. Entre las </w:t>
      </w:r>
      <w:r w:rsidRPr="007930B0">
        <w:rPr>
          <w:i/>
          <w:iCs/>
          <w:lang w:val="es-ES"/>
        </w:rPr>
        <w:t>wilayas</w:t>
      </w:r>
      <w:r w:rsidRPr="007930B0">
        <w:rPr>
          <w:lang w:val="es-ES"/>
        </w:rPr>
        <w:t xml:space="preserve"> de este grupo, Brakna y Nuadhibu mostraron una evolución positiva entre 2005/06 y 2006/07. En lo que respecta a las </w:t>
      </w:r>
      <w:r w:rsidRPr="007930B0">
        <w:rPr>
          <w:i/>
          <w:iCs/>
          <w:lang w:val="es-ES"/>
        </w:rPr>
        <w:t>wilayas</w:t>
      </w:r>
      <w:r w:rsidRPr="007930B0">
        <w:rPr>
          <w:lang w:val="es-ES"/>
        </w:rPr>
        <w:t xml:space="preserve"> que tuvieron tasas de participación inferiores al promedio nacional, solo Gorgol registró un aumento de su tasa entre 2005/06 y 2006/07.</w:t>
      </w:r>
    </w:p>
    <w:p w:rsidR="001E7BB4" w:rsidRPr="007930B0" w:rsidRDefault="001E7BB4" w:rsidP="0068666F">
      <w:pPr>
        <w:pStyle w:val="SingleTxtG"/>
        <w:rPr>
          <w:lang w:val="es-ES"/>
        </w:rPr>
      </w:pPr>
      <w:r w:rsidRPr="007930B0">
        <w:rPr>
          <w:lang w:val="es-ES"/>
        </w:rPr>
        <w:t>437.</w:t>
      </w:r>
      <w:r w:rsidRPr="007930B0">
        <w:rPr>
          <w:lang w:val="es-ES"/>
        </w:rPr>
        <w:tab/>
        <w:t>En el cuadro siguiente puede verse la evolución del porcentaje de niñas escolarizadas en el primer ciclo de enseñanza secundaria a lo largo de los años.</w:t>
      </w:r>
    </w:p>
    <w:p w:rsidR="0071105A" w:rsidRPr="007930B0" w:rsidRDefault="0071105A" w:rsidP="0071105A">
      <w:pPr>
        <w:pStyle w:val="Heading1"/>
        <w:rPr>
          <w:lang w:val="es-ES"/>
        </w:rPr>
      </w:pPr>
      <w:r w:rsidRPr="007930B0">
        <w:rPr>
          <w:lang w:val="es-ES"/>
        </w:rPr>
        <w:t>Cuadro 8</w:t>
      </w:r>
    </w:p>
    <w:p w:rsidR="001E7BB4" w:rsidRPr="007930B0" w:rsidRDefault="001E7BB4" w:rsidP="0071105A">
      <w:pPr>
        <w:pStyle w:val="SingleTxtG"/>
        <w:jc w:val="left"/>
        <w:rPr>
          <w:b/>
          <w:lang w:val="es-ES"/>
        </w:rPr>
      </w:pPr>
      <w:r w:rsidRPr="007930B0">
        <w:rPr>
          <w:b/>
          <w:lang w:val="es-ES"/>
        </w:rPr>
        <w:t xml:space="preserve">Evolución del porcentaje de niñas en el primer ciclo de enseñanza secundaria por </w:t>
      </w:r>
      <w:r w:rsidRPr="007930B0">
        <w:rPr>
          <w:b/>
          <w:i/>
          <w:iCs/>
          <w:lang w:val="es-ES"/>
        </w:rPr>
        <w:t>wilaya</w:t>
      </w:r>
      <w:r w:rsidRPr="007930B0">
        <w:rPr>
          <w:b/>
          <w:lang w:val="es-ES"/>
        </w:rPr>
        <w:t xml:space="preserve"> entre 2005/06 y 2006/07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400"/>
        <w:gridCol w:w="1323"/>
        <w:gridCol w:w="1324"/>
        <w:gridCol w:w="1323"/>
      </w:tblGrid>
      <w:tr w:rsidR="001E7BB4" w:rsidRPr="007930B0">
        <w:trPr>
          <w:cantSplit/>
          <w:trHeight w:val="255"/>
          <w:tblHeader/>
        </w:trPr>
        <w:tc>
          <w:tcPr>
            <w:tcW w:w="3400" w:type="dxa"/>
            <w:tcBorders>
              <w:top w:val="single" w:sz="4" w:space="0" w:color="auto"/>
              <w:bottom w:val="single" w:sz="12" w:space="0" w:color="auto"/>
            </w:tcBorders>
            <w:shd w:val="clear" w:color="auto" w:fill="auto"/>
            <w:vAlign w:val="bottom"/>
          </w:tcPr>
          <w:p w:rsidR="001E7BB4" w:rsidRPr="007930B0" w:rsidRDefault="001E7BB4" w:rsidP="0071105A">
            <w:pPr>
              <w:spacing w:before="80" w:after="80" w:line="200" w:lineRule="exact"/>
              <w:ind w:right="113"/>
              <w:rPr>
                <w:i/>
                <w:sz w:val="16"/>
              </w:rPr>
            </w:pPr>
            <w:r w:rsidRPr="007930B0">
              <w:rPr>
                <w:i/>
                <w:sz w:val="16"/>
              </w:rPr>
              <w:t>Wilayas</w:t>
            </w:r>
          </w:p>
        </w:tc>
        <w:tc>
          <w:tcPr>
            <w:tcW w:w="1323" w:type="dxa"/>
            <w:tcBorders>
              <w:top w:val="single" w:sz="4" w:space="0" w:color="auto"/>
              <w:bottom w:val="single" w:sz="12" w:space="0" w:color="auto"/>
            </w:tcBorders>
            <w:shd w:val="clear" w:color="auto" w:fill="auto"/>
            <w:noWrap/>
            <w:vAlign w:val="bottom"/>
          </w:tcPr>
          <w:p w:rsidR="001E7BB4" w:rsidRPr="007930B0" w:rsidRDefault="001E7BB4" w:rsidP="0071105A">
            <w:pPr>
              <w:spacing w:before="80" w:after="80" w:line="200" w:lineRule="exact"/>
              <w:ind w:right="113"/>
              <w:jc w:val="right"/>
              <w:rPr>
                <w:i/>
                <w:sz w:val="16"/>
              </w:rPr>
            </w:pPr>
            <w:r w:rsidRPr="007930B0">
              <w:rPr>
                <w:i/>
                <w:sz w:val="16"/>
              </w:rPr>
              <w:t>2004/05</w:t>
            </w:r>
          </w:p>
        </w:tc>
        <w:tc>
          <w:tcPr>
            <w:tcW w:w="1324" w:type="dxa"/>
            <w:tcBorders>
              <w:top w:val="single" w:sz="4" w:space="0" w:color="auto"/>
              <w:bottom w:val="single" w:sz="12" w:space="0" w:color="auto"/>
            </w:tcBorders>
            <w:shd w:val="clear" w:color="auto" w:fill="auto"/>
            <w:noWrap/>
            <w:vAlign w:val="bottom"/>
          </w:tcPr>
          <w:p w:rsidR="001E7BB4" w:rsidRPr="007930B0" w:rsidRDefault="001E7BB4" w:rsidP="0071105A">
            <w:pPr>
              <w:spacing w:before="80" w:after="80" w:line="200" w:lineRule="exact"/>
              <w:ind w:right="113"/>
              <w:jc w:val="right"/>
              <w:rPr>
                <w:i/>
                <w:sz w:val="16"/>
              </w:rPr>
            </w:pPr>
            <w:r w:rsidRPr="007930B0">
              <w:rPr>
                <w:i/>
                <w:sz w:val="16"/>
              </w:rPr>
              <w:t>2005/06</w:t>
            </w:r>
          </w:p>
        </w:tc>
        <w:tc>
          <w:tcPr>
            <w:tcW w:w="1323" w:type="dxa"/>
            <w:tcBorders>
              <w:top w:val="single" w:sz="4" w:space="0" w:color="auto"/>
              <w:bottom w:val="single" w:sz="12" w:space="0" w:color="auto"/>
            </w:tcBorders>
            <w:shd w:val="clear" w:color="auto" w:fill="auto"/>
            <w:noWrap/>
            <w:vAlign w:val="bottom"/>
          </w:tcPr>
          <w:p w:rsidR="001E7BB4" w:rsidRPr="007930B0" w:rsidRDefault="001E7BB4" w:rsidP="0071105A">
            <w:pPr>
              <w:spacing w:before="80" w:after="80" w:line="200" w:lineRule="exact"/>
              <w:ind w:right="113"/>
              <w:jc w:val="right"/>
              <w:rPr>
                <w:i/>
                <w:sz w:val="16"/>
              </w:rPr>
            </w:pPr>
            <w:r w:rsidRPr="007930B0">
              <w:rPr>
                <w:i/>
                <w:sz w:val="16"/>
              </w:rPr>
              <w:t>2006/07</w:t>
            </w:r>
          </w:p>
        </w:tc>
      </w:tr>
      <w:tr w:rsidR="001E7BB4" w:rsidRPr="007930B0">
        <w:trPr>
          <w:trHeight w:val="255"/>
        </w:trPr>
        <w:tc>
          <w:tcPr>
            <w:tcW w:w="3400" w:type="dxa"/>
            <w:tcBorders>
              <w:top w:val="single" w:sz="12" w:space="0" w:color="auto"/>
            </w:tcBorders>
            <w:shd w:val="clear" w:color="auto" w:fill="auto"/>
            <w:noWrap/>
          </w:tcPr>
          <w:p w:rsidR="001E7BB4" w:rsidRPr="007930B0" w:rsidRDefault="001E7BB4" w:rsidP="0071105A">
            <w:pPr>
              <w:spacing w:before="40" w:after="40" w:line="220" w:lineRule="exact"/>
              <w:ind w:right="113"/>
              <w:rPr>
                <w:sz w:val="18"/>
              </w:rPr>
            </w:pPr>
            <w:r w:rsidRPr="007930B0">
              <w:rPr>
                <w:sz w:val="18"/>
              </w:rPr>
              <w:t>Hodh Charghi</w:t>
            </w:r>
          </w:p>
        </w:tc>
        <w:tc>
          <w:tcPr>
            <w:tcW w:w="1323" w:type="dxa"/>
            <w:tcBorders>
              <w:top w:val="single" w:sz="12" w:space="0" w:color="auto"/>
            </w:tcBorders>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45,40%</w:t>
            </w:r>
          </w:p>
        </w:tc>
        <w:tc>
          <w:tcPr>
            <w:tcW w:w="1324" w:type="dxa"/>
            <w:tcBorders>
              <w:top w:val="single" w:sz="12" w:space="0" w:color="auto"/>
            </w:tcBorders>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47,10%</w:t>
            </w:r>
          </w:p>
        </w:tc>
        <w:tc>
          <w:tcPr>
            <w:tcW w:w="1323" w:type="dxa"/>
            <w:tcBorders>
              <w:top w:val="single" w:sz="12" w:space="0" w:color="auto"/>
            </w:tcBorders>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44,76%</w:t>
            </w:r>
          </w:p>
        </w:tc>
      </w:tr>
      <w:tr w:rsidR="001E7BB4" w:rsidRPr="007930B0">
        <w:trPr>
          <w:trHeight w:val="255"/>
        </w:trPr>
        <w:tc>
          <w:tcPr>
            <w:tcW w:w="3400" w:type="dxa"/>
            <w:shd w:val="clear" w:color="auto" w:fill="auto"/>
            <w:noWrap/>
          </w:tcPr>
          <w:p w:rsidR="001E7BB4" w:rsidRPr="007930B0" w:rsidRDefault="001E7BB4" w:rsidP="0071105A">
            <w:pPr>
              <w:spacing w:before="40" w:after="40" w:line="220" w:lineRule="exact"/>
              <w:ind w:right="113"/>
              <w:rPr>
                <w:sz w:val="18"/>
              </w:rPr>
            </w:pPr>
            <w:r w:rsidRPr="007930B0">
              <w:rPr>
                <w:sz w:val="18"/>
              </w:rPr>
              <w:t>Hodh El Gharbi</w:t>
            </w:r>
          </w:p>
        </w:tc>
        <w:tc>
          <w:tcPr>
            <w:tcW w:w="1323"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55,30%</w:t>
            </w:r>
          </w:p>
        </w:tc>
        <w:tc>
          <w:tcPr>
            <w:tcW w:w="1324"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54,60%</w:t>
            </w:r>
          </w:p>
        </w:tc>
        <w:tc>
          <w:tcPr>
            <w:tcW w:w="1323"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54,36%</w:t>
            </w:r>
          </w:p>
        </w:tc>
      </w:tr>
      <w:tr w:rsidR="001E7BB4" w:rsidRPr="007930B0">
        <w:trPr>
          <w:trHeight w:val="255"/>
        </w:trPr>
        <w:tc>
          <w:tcPr>
            <w:tcW w:w="3400" w:type="dxa"/>
            <w:shd w:val="clear" w:color="auto" w:fill="auto"/>
            <w:noWrap/>
          </w:tcPr>
          <w:p w:rsidR="001E7BB4" w:rsidRPr="007930B0" w:rsidRDefault="001E7BB4" w:rsidP="0071105A">
            <w:pPr>
              <w:spacing w:before="40" w:after="40" w:line="220" w:lineRule="exact"/>
              <w:ind w:right="113"/>
              <w:rPr>
                <w:sz w:val="18"/>
              </w:rPr>
            </w:pPr>
            <w:r w:rsidRPr="007930B0">
              <w:rPr>
                <w:sz w:val="18"/>
              </w:rPr>
              <w:t>Assaba</w:t>
            </w:r>
          </w:p>
        </w:tc>
        <w:tc>
          <w:tcPr>
            <w:tcW w:w="1323"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45,00%</w:t>
            </w:r>
          </w:p>
        </w:tc>
        <w:tc>
          <w:tcPr>
            <w:tcW w:w="1324"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46,80%</w:t>
            </w:r>
          </w:p>
        </w:tc>
        <w:tc>
          <w:tcPr>
            <w:tcW w:w="1323"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43,12%</w:t>
            </w:r>
          </w:p>
        </w:tc>
      </w:tr>
      <w:tr w:rsidR="001E7BB4" w:rsidRPr="007930B0">
        <w:trPr>
          <w:trHeight w:val="255"/>
        </w:trPr>
        <w:tc>
          <w:tcPr>
            <w:tcW w:w="3400" w:type="dxa"/>
            <w:shd w:val="clear" w:color="auto" w:fill="auto"/>
            <w:noWrap/>
          </w:tcPr>
          <w:p w:rsidR="001E7BB4" w:rsidRPr="007930B0" w:rsidRDefault="001E7BB4" w:rsidP="0071105A">
            <w:pPr>
              <w:spacing w:before="40" w:after="40" w:line="220" w:lineRule="exact"/>
              <w:ind w:right="113"/>
              <w:rPr>
                <w:sz w:val="18"/>
              </w:rPr>
            </w:pPr>
            <w:r w:rsidRPr="007930B0">
              <w:rPr>
                <w:sz w:val="18"/>
              </w:rPr>
              <w:t>Gorgol</w:t>
            </w:r>
          </w:p>
        </w:tc>
        <w:tc>
          <w:tcPr>
            <w:tcW w:w="1323"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41,00%</w:t>
            </w:r>
          </w:p>
        </w:tc>
        <w:tc>
          <w:tcPr>
            <w:tcW w:w="1324"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42,50%</w:t>
            </w:r>
          </w:p>
        </w:tc>
        <w:tc>
          <w:tcPr>
            <w:tcW w:w="1323"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44,06%</w:t>
            </w:r>
          </w:p>
        </w:tc>
      </w:tr>
      <w:tr w:rsidR="001E7BB4" w:rsidRPr="007930B0">
        <w:trPr>
          <w:trHeight w:val="255"/>
        </w:trPr>
        <w:tc>
          <w:tcPr>
            <w:tcW w:w="3400" w:type="dxa"/>
            <w:shd w:val="clear" w:color="auto" w:fill="auto"/>
            <w:noWrap/>
          </w:tcPr>
          <w:p w:rsidR="001E7BB4" w:rsidRPr="007930B0" w:rsidRDefault="001E7BB4" w:rsidP="0071105A">
            <w:pPr>
              <w:spacing w:before="40" w:after="40" w:line="220" w:lineRule="exact"/>
              <w:ind w:right="113"/>
              <w:rPr>
                <w:sz w:val="18"/>
              </w:rPr>
            </w:pPr>
            <w:r w:rsidRPr="007930B0">
              <w:rPr>
                <w:sz w:val="18"/>
              </w:rPr>
              <w:t>Brakna</w:t>
            </w:r>
          </w:p>
        </w:tc>
        <w:tc>
          <w:tcPr>
            <w:tcW w:w="1323"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42,90%</w:t>
            </w:r>
          </w:p>
        </w:tc>
        <w:tc>
          <w:tcPr>
            <w:tcW w:w="1324"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44,30%</w:t>
            </w:r>
          </w:p>
        </w:tc>
        <w:tc>
          <w:tcPr>
            <w:tcW w:w="1323"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44,90%</w:t>
            </w:r>
          </w:p>
        </w:tc>
      </w:tr>
      <w:tr w:rsidR="001E7BB4" w:rsidRPr="007930B0">
        <w:trPr>
          <w:trHeight w:val="255"/>
        </w:trPr>
        <w:tc>
          <w:tcPr>
            <w:tcW w:w="3400" w:type="dxa"/>
            <w:shd w:val="clear" w:color="auto" w:fill="auto"/>
            <w:noWrap/>
          </w:tcPr>
          <w:p w:rsidR="001E7BB4" w:rsidRPr="007930B0" w:rsidRDefault="001E7BB4" w:rsidP="0071105A">
            <w:pPr>
              <w:spacing w:before="40" w:after="40" w:line="220" w:lineRule="exact"/>
              <w:ind w:right="113"/>
              <w:rPr>
                <w:sz w:val="18"/>
              </w:rPr>
            </w:pPr>
            <w:r w:rsidRPr="007930B0">
              <w:rPr>
                <w:sz w:val="18"/>
              </w:rPr>
              <w:t>Trarza</w:t>
            </w:r>
          </w:p>
        </w:tc>
        <w:tc>
          <w:tcPr>
            <w:tcW w:w="1323"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47,20%</w:t>
            </w:r>
          </w:p>
        </w:tc>
        <w:tc>
          <w:tcPr>
            <w:tcW w:w="1324"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47,40%</w:t>
            </w:r>
          </w:p>
        </w:tc>
        <w:tc>
          <w:tcPr>
            <w:tcW w:w="1323"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44,86%</w:t>
            </w:r>
          </w:p>
        </w:tc>
      </w:tr>
      <w:tr w:rsidR="001E7BB4" w:rsidRPr="007930B0">
        <w:trPr>
          <w:trHeight w:val="255"/>
        </w:trPr>
        <w:tc>
          <w:tcPr>
            <w:tcW w:w="3400" w:type="dxa"/>
            <w:shd w:val="clear" w:color="auto" w:fill="auto"/>
            <w:noWrap/>
          </w:tcPr>
          <w:p w:rsidR="001E7BB4" w:rsidRPr="007930B0" w:rsidRDefault="001E7BB4" w:rsidP="0071105A">
            <w:pPr>
              <w:spacing w:before="40" w:after="40" w:line="220" w:lineRule="exact"/>
              <w:ind w:right="113"/>
              <w:rPr>
                <w:sz w:val="18"/>
              </w:rPr>
            </w:pPr>
            <w:r w:rsidRPr="007930B0">
              <w:rPr>
                <w:sz w:val="18"/>
              </w:rPr>
              <w:t>Adrar</w:t>
            </w:r>
          </w:p>
        </w:tc>
        <w:tc>
          <w:tcPr>
            <w:tcW w:w="1323"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49,50%</w:t>
            </w:r>
          </w:p>
        </w:tc>
        <w:tc>
          <w:tcPr>
            <w:tcW w:w="1324"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45,40%</w:t>
            </w:r>
          </w:p>
        </w:tc>
        <w:tc>
          <w:tcPr>
            <w:tcW w:w="1323"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24,80%</w:t>
            </w:r>
          </w:p>
        </w:tc>
      </w:tr>
      <w:tr w:rsidR="001E7BB4" w:rsidRPr="007930B0">
        <w:trPr>
          <w:trHeight w:val="255"/>
        </w:trPr>
        <w:tc>
          <w:tcPr>
            <w:tcW w:w="3400" w:type="dxa"/>
            <w:shd w:val="clear" w:color="auto" w:fill="auto"/>
            <w:noWrap/>
          </w:tcPr>
          <w:p w:rsidR="001E7BB4" w:rsidRPr="007930B0" w:rsidRDefault="001E7BB4" w:rsidP="0071105A">
            <w:pPr>
              <w:spacing w:before="40" w:after="40" w:line="220" w:lineRule="exact"/>
              <w:ind w:right="113"/>
              <w:rPr>
                <w:sz w:val="18"/>
              </w:rPr>
            </w:pPr>
            <w:r w:rsidRPr="007930B0">
              <w:rPr>
                <w:sz w:val="18"/>
              </w:rPr>
              <w:t>Nuadhibu</w:t>
            </w:r>
          </w:p>
        </w:tc>
        <w:tc>
          <w:tcPr>
            <w:tcW w:w="1323"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47,80%</w:t>
            </w:r>
          </w:p>
        </w:tc>
        <w:tc>
          <w:tcPr>
            <w:tcW w:w="1324"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46,60%</w:t>
            </w:r>
          </w:p>
        </w:tc>
        <w:tc>
          <w:tcPr>
            <w:tcW w:w="1323"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48,78%</w:t>
            </w:r>
          </w:p>
        </w:tc>
      </w:tr>
      <w:tr w:rsidR="001E7BB4" w:rsidRPr="007930B0">
        <w:trPr>
          <w:trHeight w:val="255"/>
        </w:trPr>
        <w:tc>
          <w:tcPr>
            <w:tcW w:w="3400" w:type="dxa"/>
            <w:shd w:val="clear" w:color="auto" w:fill="auto"/>
            <w:noWrap/>
          </w:tcPr>
          <w:p w:rsidR="001E7BB4" w:rsidRPr="007930B0" w:rsidRDefault="001E7BB4" w:rsidP="0071105A">
            <w:pPr>
              <w:spacing w:before="40" w:after="40" w:line="220" w:lineRule="exact"/>
              <w:ind w:right="113"/>
              <w:rPr>
                <w:sz w:val="18"/>
              </w:rPr>
            </w:pPr>
            <w:r w:rsidRPr="007930B0">
              <w:rPr>
                <w:sz w:val="18"/>
              </w:rPr>
              <w:t>Tagant</w:t>
            </w:r>
          </w:p>
        </w:tc>
        <w:tc>
          <w:tcPr>
            <w:tcW w:w="1323"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44,20%</w:t>
            </w:r>
          </w:p>
        </w:tc>
        <w:tc>
          <w:tcPr>
            <w:tcW w:w="1324"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43,90%</w:t>
            </w:r>
          </w:p>
        </w:tc>
        <w:tc>
          <w:tcPr>
            <w:tcW w:w="1323"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40,79%</w:t>
            </w:r>
          </w:p>
        </w:tc>
      </w:tr>
      <w:tr w:rsidR="001E7BB4" w:rsidRPr="007930B0">
        <w:trPr>
          <w:trHeight w:val="255"/>
        </w:trPr>
        <w:tc>
          <w:tcPr>
            <w:tcW w:w="3400" w:type="dxa"/>
            <w:shd w:val="clear" w:color="auto" w:fill="auto"/>
            <w:noWrap/>
          </w:tcPr>
          <w:p w:rsidR="001E7BB4" w:rsidRPr="007930B0" w:rsidRDefault="001E7BB4" w:rsidP="0071105A">
            <w:pPr>
              <w:spacing w:before="40" w:after="40" w:line="220" w:lineRule="exact"/>
              <w:ind w:right="113"/>
              <w:rPr>
                <w:sz w:val="18"/>
              </w:rPr>
            </w:pPr>
            <w:r w:rsidRPr="007930B0">
              <w:rPr>
                <w:sz w:val="18"/>
              </w:rPr>
              <w:t>Guidimakha</w:t>
            </w:r>
          </w:p>
        </w:tc>
        <w:tc>
          <w:tcPr>
            <w:tcW w:w="1323"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28,80%</w:t>
            </w:r>
          </w:p>
        </w:tc>
        <w:tc>
          <w:tcPr>
            <w:tcW w:w="1324"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26,20%</w:t>
            </w:r>
          </w:p>
        </w:tc>
        <w:tc>
          <w:tcPr>
            <w:tcW w:w="1323"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20,98%</w:t>
            </w:r>
          </w:p>
        </w:tc>
      </w:tr>
      <w:tr w:rsidR="001E7BB4" w:rsidRPr="007930B0">
        <w:trPr>
          <w:trHeight w:val="255"/>
        </w:trPr>
        <w:tc>
          <w:tcPr>
            <w:tcW w:w="3400" w:type="dxa"/>
            <w:shd w:val="clear" w:color="auto" w:fill="auto"/>
            <w:noWrap/>
          </w:tcPr>
          <w:p w:rsidR="001E7BB4" w:rsidRPr="007930B0" w:rsidRDefault="001E7BB4" w:rsidP="0071105A">
            <w:pPr>
              <w:spacing w:before="40" w:after="40" w:line="220" w:lineRule="exact"/>
              <w:ind w:right="113"/>
              <w:rPr>
                <w:sz w:val="18"/>
              </w:rPr>
            </w:pPr>
            <w:r w:rsidRPr="007930B0">
              <w:rPr>
                <w:sz w:val="18"/>
              </w:rPr>
              <w:t>Tiris Zemmour</w:t>
            </w:r>
          </w:p>
        </w:tc>
        <w:tc>
          <w:tcPr>
            <w:tcW w:w="1323"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44,60%</w:t>
            </w:r>
          </w:p>
        </w:tc>
        <w:tc>
          <w:tcPr>
            <w:tcW w:w="1324"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43,80%</w:t>
            </w:r>
          </w:p>
        </w:tc>
        <w:tc>
          <w:tcPr>
            <w:tcW w:w="1323"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42,40%</w:t>
            </w:r>
          </w:p>
        </w:tc>
      </w:tr>
      <w:tr w:rsidR="001E7BB4" w:rsidRPr="007930B0">
        <w:trPr>
          <w:trHeight w:val="255"/>
        </w:trPr>
        <w:tc>
          <w:tcPr>
            <w:tcW w:w="3400" w:type="dxa"/>
            <w:shd w:val="clear" w:color="auto" w:fill="auto"/>
            <w:noWrap/>
          </w:tcPr>
          <w:p w:rsidR="001E7BB4" w:rsidRPr="007930B0" w:rsidRDefault="001E7BB4" w:rsidP="0071105A">
            <w:pPr>
              <w:spacing w:before="40" w:after="40" w:line="220" w:lineRule="exact"/>
              <w:ind w:right="113"/>
              <w:rPr>
                <w:sz w:val="18"/>
              </w:rPr>
            </w:pPr>
            <w:r w:rsidRPr="007930B0">
              <w:rPr>
                <w:sz w:val="18"/>
              </w:rPr>
              <w:t>Inchiri</w:t>
            </w:r>
          </w:p>
        </w:tc>
        <w:tc>
          <w:tcPr>
            <w:tcW w:w="1323"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48,20%</w:t>
            </w:r>
          </w:p>
        </w:tc>
        <w:tc>
          <w:tcPr>
            <w:tcW w:w="1324"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52,40%</w:t>
            </w:r>
          </w:p>
        </w:tc>
        <w:tc>
          <w:tcPr>
            <w:tcW w:w="1323"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41,39%</w:t>
            </w:r>
          </w:p>
        </w:tc>
      </w:tr>
      <w:tr w:rsidR="001E7BB4" w:rsidRPr="007930B0">
        <w:trPr>
          <w:trHeight w:val="255"/>
        </w:trPr>
        <w:tc>
          <w:tcPr>
            <w:tcW w:w="3400" w:type="dxa"/>
            <w:shd w:val="clear" w:color="auto" w:fill="auto"/>
            <w:noWrap/>
          </w:tcPr>
          <w:p w:rsidR="001E7BB4" w:rsidRPr="007930B0" w:rsidRDefault="001E7BB4" w:rsidP="0071105A">
            <w:pPr>
              <w:spacing w:before="40" w:after="40" w:line="220" w:lineRule="exact"/>
              <w:ind w:right="113"/>
              <w:rPr>
                <w:sz w:val="18"/>
              </w:rPr>
            </w:pPr>
            <w:r w:rsidRPr="007930B0">
              <w:rPr>
                <w:sz w:val="18"/>
              </w:rPr>
              <w:t>Nuakchot</w:t>
            </w:r>
          </w:p>
        </w:tc>
        <w:tc>
          <w:tcPr>
            <w:tcW w:w="1323"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48,80%</w:t>
            </w:r>
          </w:p>
        </w:tc>
        <w:tc>
          <w:tcPr>
            <w:tcW w:w="1324"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46,70%</w:t>
            </w:r>
          </w:p>
        </w:tc>
        <w:tc>
          <w:tcPr>
            <w:tcW w:w="1323" w:type="dxa"/>
            <w:shd w:val="clear" w:color="auto" w:fill="auto"/>
            <w:noWrap/>
            <w:vAlign w:val="bottom"/>
          </w:tcPr>
          <w:p w:rsidR="001E7BB4" w:rsidRPr="007930B0" w:rsidRDefault="001E7BB4" w:rsidP="0071105A">
            <w:pPr>
              <w:spacing w:before="40" w:after="40" w:line="220" w:lineRule="exact"/>
              <w:ind w:right="113"/>
              <w:jc w:val="right"/>
              <w:rPr>
                <w:sz w:val="18"/>
              </w:rPr>
            </w:pPr>
            <w:r w:rsidRPr="007930B0">
              <w:rPr>
                <w:sz w:val="18"/>
              </w:rPr>
              <w:t>46,33%</w:t>
            </w:r>
          </w:p>
        </w:tc>
      </w:tr>
    </w:tbl>
    <w:p w:rsidR="001E7BB4" w:rsidRPr="007930B0" w:rsidRDefault="001E7BB4" w:rsidP="0071105A">
      <w:pPr>
        <w:pStyle w:val="H23G"/>
        <w:rPr>
          <w:lang w:val="es-ES"/>
        </w:rPr>
      </w:pPr>
      <w:r w:rsidRPr="007930B0">
        <w:rPr>
          <w:lang w:val="es-ES"/>
        </w:rPr>
        <w:tab/>
      </w:r>
      <w:r w:rsidRPr="007930B0">
        <w:rPr>
          <w:lang w:val="es-ES"/>
        </w:rPr>
        <w:tab/>
        <w:t>Recursos y logros de la educación para todos</w:t>
      </w:r>
    </w:p>
    <w:p w:rsidR="001E7BB4" w:rsidRPr="007930B0" w:rsidRDefault="001E7BB4" w:rsidP="0071105A">
      <w:pPr>
        <w:pStyle w:val="H23G"/>
        <w:rPr>
          <w:lang w:val="es-ES"/>
        </w:rPr>
      </w:pPr>
      <w:bookmarkStart w:id="9" w:name="_Toc180163023"/>
      <w:r w:rsidRPr="007930B0">
        <w:rPr>
          <w:lang w:val="es-ES"/>
        </w:rPr>
        <w:tab/>
      </w:r>
      <w:r w:rsidRPr="007930B0">
        <w:rPr>
          <w:lang w:val="es-ES"/>
        </w:rPr>
        <w:tab/>
        <w:t>Presupuesto del Plan de Acción de 2007</w:t>
      </w:r>
      <w:bookmarkEnd w:id="9"/>
    </w:p>
    <w:p w:rsidR="001E7BB4" w:rsidRPr="007930B0" w:rsidRDefault="001E7BB4" w:rsidP="0068666F">
      <w:pPr>
        <w:pStyle w:val="SingleTxtG"/>
        <w:rPr>
          <w:lang w:val="es-ES"/>
        </w:rPr>
      </w:pPr>
      <w:r w:rsidRPr="007930B0">
        <w:rPr>
          <w:lang w:val="es-ES"/>
        </w:rPr>
        <w:t>438.</w:t>
      </w:r>
      <w:r w:rsidRPr="007930B0">
        <w:rPr>
          <w:lang w:val="es-ES"/>
        </w:rPr>
        <w:tab/>
        <w:t xml:space="preserve">El presupuesto global del Plan de Acción de 2007 asciende a </w:t>
      </w:r>
      <w:r w:rsidRPr="00CC7CB3">
        <w:rPr>
          <w:b/>
          <w:lang w:val="es-ES"/>
        </w:rPr>
        <w:t>13.639.110.994 UM</w:t>
      </w:r>
      <w:r w:rsidRPr="007930B0">
        <w:rPr>
          <w:rStyle w:val="FootnoteReference"/>
          <w:lang w:val="es-ES"/>
        </w:rPr>
        <w:footnoteReference w:id="38"/>
      </w:r>
      <w:r w:rsidRPr="007930B0">
        <w:rPr>
          <w:lang w:val="es-ES"/>
        </w:rPr>
        <w:t>. Se distribuye entre los siguientes componentes:</w:t>
      </w:r>
    </w:p>
    <w:tbl>
      <w:tblPr>
        <w:tblW w:w="7371" w:type="dxa"/>
        <w:tblInd w:w="1134" w:type="dxa"/>
        <w:tblLayout w:type="fixed"/>
        <w:tblCellMar>
          <w:left w:w="0" w:type="dxa"/>
          <w:right w:w="0" w:type="dxa"/>
        </w:tblCellMar>
        <w:tblLook w:val="01E0" w:firstRow="1" w:lastRow="1" w:firstColumn="1" w:lastColumn="1" w:noHBand="0" w:noVBand="0"/>
      </w:tblPr>
      <w:tblGrid>
        <w:gridCol w:w="2766"/>
        <w:gridCol w:w="4605"/>
      </w:tblGrid>
      <w:tr w:rsidR="001E7BB4" w:rsidRPr="007930B0">
        <w:tc>
          <w:tcPr>
            <w:tcW w:w="2766" w:type="dxa"/>
          </w:tcPr>
          <w:p w:rsidR="001E7BB4" w:rsidRPr="007930B0" w:rsidRDefault="00CC3B6E" w:rsidP="0071105A">
            <w:pPr>
              <w:spacing w:before="40" w:after="40"/>
              <w:rPr>
                <w:b/>
              </w:rPr>
            </w:pPr>
            <w:r w:rsidRPr="007930B0">
              <w:rPr>
                <w:b/>
              </w:rPr>
              <w:t>"</w:t>
            </w:r>
            <w:r w:rsidR="001E7BB4" w:rsidRPr="007930B0">
              <w:rPr>
                <w:b/>
              </w:rPr>
              <w:t>Gestión</w:t>
            </w:r>
            <w:r w:rsidRPr="007930B0">
              <w:rPr>
                <w:b/>
              </w:rPr>
              <w:t>"</w:t>
            </w:r>
          </w:p>
        </w:tc>
        <w:tc>
          <w:tcPr>
            <w:tcW w:w="4605" w:type="dxa"/>
          </w:tcPr>
          <w:p w:rsidR="001E7BB4" w:rsidRPr="007930B0" w:rsidRDefault="001E7BB4" w:rsidP="0071105A">
            <w:pPr>
              <w:spacing w:before="40" w:after="40"/>
            </w:pPr>
            <w:r w:rsidRPr="007930B0">
              <w:t xml:space="preserve">1 794 361 320 UM, es decir, </w:t>
            </w:r>
            <w:r w:rsidRPr="007930B0">
              <w:rPr>
                <w:b/>
              </w:rPr>
              <w:t>13%</w:t>
            </w:r>
          </w:p>
        </w:tc>
      </w:tr>
      <w:tr w:rsidR="001E7BB4" w:rsidRPr="007930B0">
        <w:tc>
          <w:tcPr>
            <w:tcW w:w="2766" w:type="dxa"/>
          </w:tcPr>
          <w:p w:rsidR="001E7BB4" w:rsidRPr="007930B0" w:rsidRDefault="00CC3B6E" w:rsidP="0071105A">
            <w:pPr>
              <w:spacing w:before="40" w:after="40"/>
              <w:rPr>
                <w:b/>
              </w:rPr>
            </w:pPr>
            <w:r w:rsidRPr="007930B0">
              <w:rPr>
                <w:b/>
              </w:rPr>
              <w:t>"</w:t>
            </w:r>
            <w:r w:rsidR="001E7BB4" w:rsidRPr="007930B0">
              <w:rPr>
                <w:b/>
              </w:rPr>
              <w:t>Calidad</w:t>
            </w:r>
            <w:r w:rsidRPr="007930B0">
              <w:rPr>
                <w:b/>
              </w:rPr>
              <w:t>"</w:t>
            </w:r>
          </w:p>
        </w:tc>
        <w:tc>
          <w:tcPr>
            <w:tcW w:w="4605" w:type="dxa"/>
          </w:tcPr>
          <w:p w:rsidR="001E7BB4" w:rsidRPr="007930B0" w:rsidRDefault="001E7BB4" w:rsidP="0071105A">
            <w:pPr>
              <w:spacing w:before="40" w:after="40"/>
            </w:pPr>
            <w:r w:rsidRPr="007930B0">
              <w:t xml:space="preserve">4 054 835 704 UM, es decir, </w:t>
            </w:r>
            <w:r w:rsidRPr="007930B0">
              <w:rPr>
                <w:b/>
              </w:rPr>
              <w:t>30%</w:t>
            </w:r>
          </w:p>
        </w:tc>
      </w:tr>
      <w:tr w:rsidR="001E7BB4" w:rsidRPr="007930B0">
        <w:tc>
          <w:tcPr>
            <w:tcW w:w="2766" w:type="dxa"/>
          </w:tcPr>
          <w:p w:rsidR="001E7BB4" w:rsidRPr="007930B0" w:rsidRDefault="00CC3B6E" w:rsidP="0071105A">
            <w:pPr>
              <w:spacing w:before="40" w:after="40"/>
              <w:rPr>
                <w:b/>
              </w:rPr>
            </w:pPr>
            <w:r w:rsidRPr="007930B0">
              <w:rPr>
                <w:b/>
              </w:rPr>
              <w:t>"</w:t>
            </w:r>
            <w:r w:rsidR="001E7BB4" w:rsidRPr="007930B0">
              <w:rPr>
                <w:b/>
              </w:rPr>
              <w:t>Acceso</w:t>
            </w:r>
            <w:r w:rsidRPr="007930B0">
              <w:rPr>
                <w:b/>
              </w:rPr>
              <w:t>"</w:t>
            </w:r>
          </w:p>
        </w:tc>
        <w:tc>
          <w:tcPr>
            <w:tcW w:w="4605" w:type="dxa"/>
          </w:tcPr>
          <w:p w:rsidR="001E7BB4" w:rsidRPr="007930B0" w:rsidRDefault="001E7BB4" w:rsidP="0071105A">
            <w:pPr>
              <w:spacing w:before="40" w:after="40"/>
            </w:pPr>
            <w:r w:rsidRPr="007930B0">
              <w:t xml:space="preserve">4 354 237 076 UM, es decir, </w:t>
            </w:r>
            <w:r w:rsidRPr="007930B0">
              <w:rPr>
                <w:b/>
              </w:rPr>
              <w:t>32%</w:t>
            </w:r>
          </w:p>
        </w:tc>
      </w:tr>
      <w:tr w:rsidR="001E7BB4" w:rsidRPr="007930B0">
        <w:tc>
          <w:tcPr>
            <w:tcW w:w="2766" w:type="dxa"/>
          </w:tcPr>
          <w:p w:rsidR="001E7BB4" w:rsidRPr="007930B0" w:rsidRDefault="00CC3B6E" w:rsidP="0071105A">
            <w:pPr>
              <w:spacing w:before="40" w:after="40"/>
              <w:rPr>
                <w:b/>
              </w:rPr>
            </w:pPr>
            <w:r w:rsidRPr="007930B0">
              <w:rPr>
                <w:b/>
              </w:rPr>
              <w:t>"</w:t>
            </w:r>
            <w:r w:rsidR="001E7BB4" w:rsidRPr="007930B0">
              <w:rPr>
                <w:b/>
              </w:rPr>
              <w:t>FTP/Enseñanza superior</w:t>
            </w:r>
            <w:r w:rsidRPr="007930B0">
              <w:rPr>
                <w:b/>
              </w:rPr>
              <w:t>"</w:t>
            </w:r>
          </w:p>
        </w:tc>
        <w:tc>
          <w:tcPr>
            <w:tcW w:w="4605" w:type="dxa"/>
          </w:tcPr>
          <w:p w:rsidR="001E7BB4" w:rsidRPr="007930B0" w:rsidRDefault="001E7BB4" w:rsidP="0071105A">
            <w:pPr>
              <w:spacing w:before="40" w:after="40"/>
            </w:pPr>
            <w:r w:rsidRPr="007930B0">
              <w:t xml:space="preserve">3 435 676 893 UM, es decir, </w:t>
            </w:r>
            <w:r w:rsidRPr="007930B0">
              <w:rPr>
                <w:b/>
              </w:rPr>
              <w:t>25%</w:t>
            </w:r>
          </w:p>
        </w:tc>
      </w:tr>
    </w:tbl>
    <w:p w:rsidR="001E7BB4" w:rsidRPr="007930B0" w:rsidRDefault="005361CB" w:rsidP="0071105A">
      <w:pPr>
        <w:ind w:left="1134"/>
      </w:pPr>
      <w:r w:rsidRPr="007930B0">
        <w:rPr>
          <w:noProof/>
          <w:lang w:eastAsia="ca-ES"/>
        </w:rPr>
      </w:r>
      <w:r w:rsidRPr="007930B0">
        <w:pict>
          <v:group id="_x0000_s1120" editas="canvas" style="width:368.75pt;height:183pt;mso-position-horizontal-relative:char;mso-position-vertical-relative:line" coordsize="7375,3660">
            <o:lock v:ext="edit" aspectratio="t"/>
            <v:shape id="_x0000_s1119" type="#_x0000_t75" style="position:absolute;width:7375;height:3660" o:preferrelative="f">
              <v:fill o:detectmouseclick="t"/>
              <v:path o:extrusionok="t" o:connecttype="none"/>
              <o:lock v:ext="edit" text="t"/>
            </v:shape>
            <v:rect id="_x0000_s1121" style="position:absolute;left:77;top:55;width:7206;height:3368"/>
            <v:shape id="_x0000_s1122" style="position:absolute;left:3873;top:1274;width:1419;height:632" coordsize="1419,632" path="m,244l1419,r,388l,632,,244xe" fillcolor="#4d4d80">
              <v:path arrowok="t"/>
            </v:shape>
            <v:shape id="_x0000_s1123" style="position:absolute;left:3873;top:1152;width:1435;height:366" coordsize="1435,366" path="m,l77,r62,l200,r77,l339,r77,l478,11r62,l601,11r78,11l740,22r62,11l833,33r62,l956,45r47,l1064,56r62,11l1172,67r62,11l1280,89r62,11l1388,100r47,11l,366,,xe" fillcolor="#99f">
              <v:path arrowok="t"/>
            </v:shape>
            <v:shape id="_x0000_s1124" style="position:absolute;left:1373;top:1529;width:1;height:388" coordsize="0,388" path="m,l,,,,,,,388r,l,388r,l,xe" fillcolor="#668080">
              <v:path arrowok="t"/>
            </v:shape>
            <v:rect id="_x0000_s1125" style="position:absolute;left:1373;top:1529;width:1944;height:388" fillcolor="#668080"/>
            <v:shape id="_x0000_s1126" style="position:absolute;left:1373;top:1163;width:1944;height:366" coordsize="1944,366" path="m,366l,355,,344,,333,16,322r,-11l31,299,46,288,62,277,77,266,93,255r15,-22l139,222r31,-11l201,200r15,l247,189r31,-11l309,166r46,-11l386,144r46,-11l479,122r46,-11l571,100r16,l648,89,695,78r46,l803,67,864,56r47,l972,45r62,l1065,34r62,l1188,22r62,l1312,22r61,-11l1451,11r61,l1574,r62,l1682,r62,l1805,r78,l1944,r,366l,366xe" fillcolor="#cff">
              <v:path arrowok="t"/>
            </v:shape>
            <v:shape id="_x0000_s1127" style="position:absolute;left:5030;top:1606;width:1095;height:710" coordsize="1095,710" path="m1095,r,12l1080,23r,11l1080,45r-15,11l1049,78r-15,11l1018,100r-15,l987,111r-30,22l941,145r-31,11l879,167r-30,11l818,189r-47,11l741,211r-47,11l663,233r-46,l571,244r-46,11l478,266r-31,l401,277r-62,12l293,289r-62,11l170,311r-47,l62,322,,322,,710r62,l123,698r47,l231,687r62,-11l339,676r62,-11l447,654r31,l525,643r46,-11l617,621r46,l694,610r47,-11l771,588r47,-11l849,566r30,-12l910,543r31,-11l957,521r30,-22l1003,488r15,l1034,477r15,-11l1065,444r15,-11l1080,421r,-11l1095,399r,-11l1095,xe" fillcolor="#4d1a33">
              <v:path arrowok="t"/>
            </v:shape>
            <v:shape id="_x0000_s1128" style="position:absolute;left:4166;top:1606;width:848;height:710" coordsize="848,710" path="m,l848,322r,388l,388,,xe" fillcolor="#4d1a33">
              <v:path arrowok="t"/>
            </v:shape>
            <v:shape id="_x0000_s1129" style="position:absolute;left:4166;top:1352;width:1959;height:576" coordsize="1959,576" path="m1435,r46,11l1527,22r31,11l1605,44r30,11l1682,66r31,11l1743,88r31,11l1805,110r16,12l1851,133r16,11l1882,155r31,11l1913,177r16,22l1944,210r,11l1959,232r,11l1959,254r,12l1944,288r,11l1929,310r-16,11l1913,332r-15,11l1882,354r-15,11l1836,376r-15,11l1790,399r-31,11l1728,421r-31,11l1666,443r-46,11l1589,465r-46,11l1497,487r-47,11l1404,509r-46,l1311,520r-46,11l1203,543r-46,l1095,554r-61,11l987,565r-61,11l864,576,,254,1435,xe" fillcolor="#936">
              <v:path arrowok="t"/>
            </v:shape>
            <v:shape id="_x0000_s1130" style="position:absolute;left:1481;top:1673;width:2808;height:753" coordsize="2808,753" path="m2808,321r-61,11l2685,332r-62,11l2546,343r-62,l2423,354r-31,l2315,354r-62,l2191,366r-77,l2052,366r-77,l1913,366r-61,l1775,366r-62,l1636,354r-31,l1543,354r-62,l1404,343r-61,l1281,343r-62,-11l1157,332r-61,-11l1034,321,972,310r-61,l880,299r-47,l772,288,725,277r-61,l617,266,571,255,525,244,479,233r-47,l386,222,355,210,324,199,293,188,263,177,232,166,201,155,170,144,139,133,108,122,93,111,77,100,62,89,46,78,31,66,16,55r,-11l,33,,11,,,,388r,11l,421r16,11l16,443r15,11l46,465r16,11l77,487r16,12l108,510r31,11l170,532r31,11l232,554r31,11l293,576r31,11l355,598r31,11l432,620r47,l525,631r46,12l617,654r47,11l725,665r47,11l833,687r47,l911,698r61,l1034,709r62,l1157,720r62,l1281,731r62,l1404,731r77,11l1543,742r62,l1636,742r77,11l1775,753r77,l1913,753r62,l2052,753r62,l2191,753r62,-11l2315,742r77,l2423,742r61,-11l2546,731r77,l2685,720r62,l2808,709r,-388xe" fillcolor="#808066">
              <v:path arrowok="t"/>
            </v:shape>
            <v:shape id="_x0000_s1131" style="position:absolute;left:1481;top:1673;width:2808;height:366" coordsize="2808,366" path="m2808,321r-61,11l2685,332r-62,11l2546,343r-62,l2423,354r-31,l2315,354r-62,l2191,366r-77,l2052,366r-77,l1913,366r-61,l1775,366r-62,l1636,354r-31,l1543,354r-62,l1404,343r-61,l1281,343r-62,-11l1157,332r-61,-11l1034,321,972,310r-61,l880,299r-47,l772,288,725,277r-61,l617,266,571,255,525,244,479,233r-47,l386,222,355,210,324,199,293,188,263,177,232,166,201,155,170,144,139,133,108,122,93,111,77,100,62,89,46,78,31,66,16,55r,-11l,33,,11,,,1944,r864,321xe" fillcolor="#ffc">
              <v:path arrowok="t"/>
            </v:shape>
            <v:rect id="_x0000_s1132" style="position:absolute;left:1100;top:166;width:5134;height:240" filled="f" stroked="f">
              <v:textbox style="mso-fit-shape-to-text:t" inset="0,0,0,0">
                <w:txbxContent>
                  <w:p w:rsidR="00704D1B" w:rsidRPr="005361CB" w:rsidRDefault="00704D1B">
                    <w:r w:rsidRPr="005361CB">
                      <w:rPr>
                        <w:b/>
                        <w:bCs/>
                        <w:color w:val="000000"/>
                        <w:sz w:val="14"/>
                        <w:szCs w:val="14"/>
                      </w:rPr>
                      <w:t>Estructura del presupuesto del Plan de Acci</w:t>
                    </w:r>
                    <w:r>
                      <w:rPr>
                        <w:b/>
                        <w:bCs/>
                        <w:color w:val="000000"/>
                        <w:sz w:val="14"/>
                        <w:szCs w:val="14"/>
                      </w:rPr>
                      <w:t>ón de 2007 desglosado por componente</w:t>
                    </w:r>
                  </w:p>
                </w:txbxContent>
              </v:textbox>
            </v:rect>
            <v:rect id="_x0000_s1133" style="position:absolute;left:4706;top:964;width:281;height:480;mso-wrap-style:none" filled="f" stroked="f">
              <v:textbox style="mso-fit-shape-to-text:t" inset="0,0,0,0">
                <w:txbxContent>
                  <w:p w:rsidR="00704D1B" w:rsidRDefault="00704D1B">
                    <w:r>
                      <w:rPr>
                        <w:rFonts w:ascii="Arial" w:hAnsi="Arial" w:cs="Arial"/>
                        <w:color w:val="000000"/>
                        <w:sz w:val="14"/>
                        <w:szCs w:val="14"/>
                        <w:lang w:val="en-US"/>
                      </w:rPr>
                      <w:t>13%</w:t>
                    </w:r>
                  </w:p>
                </w:txbxContent>
              </v:textbox>
            </v:rect>
            <v:rect id="_x0000_s1134" style="position:absolute;left:1975;top:2404;width:281;height:480;mso-wrap-style:none" filled="f" stroked="f">
              <v:textbox style="mso-fit-shape-to-text:t" inset="0,0,0,0">
                <w:txbxContent>
                  <w:p w:rsidR="00704D1B" w:rsidRDefault="00704D1B">
                    <w:r>
                      <w:rPr>
                        <w:rFonts w:ascii="Arial" w:hAnsi="Arial" w:cs="Arial"/>
                        <w:color w:val="000000"/>
                        <w:sz w:val="14"/>
                        <w:szCs w:val="14"/>
                        <w:lang w:val="en-US"/>
                      </w:rPr>
                      <w:t>32%</w:t>
                    </w:r>
                  </w:p>
                </w:txbxContent>
              </v:textbox>
            </v:rect>
            <v:rect id="_x0000_s1135" style="position:absolute;left:1450;top:1064;width:281;height:480;mso-wrap-style:none" filled="f" stroked="f">
              <v:textbox style="mso-fit-shape-to-text:t" inset="0,0,0,0">
                <w:txbxContent>
                  <w:p w:rsidR="00704D1B" w:rsidRDefault="00704D1B">
                    <w:r>
                      <w:rPr>
                        <w:rFonts w:ascii="Arial" w:hAnsi="Arial" w:cs="Arial"/>
                        <w:color w:val="000000"/>
                        <w:sz w:val="14"/>
                        <w:szCs w:val="14"/>
                        <w:lang w:val="en-US"/>
                      </w:rPr>
                      <w:t>25%</w:t>
                    </w:r>
                  </w:p>
                </w:txbxContent>
              </v:textbox>
            </v:rect>
            <v:rect id="_x0000_s1136" style="position:absolute;left:6203;top:1994;width:281;height:480;mso-wrap-style:none" filled="f" stroked="f">
              <v:textbox style="mso-fit-shape-to-text:t" inset="0,0,0,0">
                <w:txbxContent>
                  <w:p w:rsidR="00704D1B" w:rsidRDefault="00704D1B">
                    <w:r>
                      <w:rPr>
                        <w:rFonts w:ascii="Arial" w:hAnsi="Arial" w:cs="Arial"/>
                        <w:color w:val="000000"/>
                        <w:sz w:val="14"/>
                        <w:szCs w:val="14"/>
                        <w:lang w:val="en-US"/>
                      </w:rPr>
                      <w:t>30%</w:t>
                    </w:r>
                  </w:p>
                </w:txbxContent>
              </v:textbox>
            </v:rect>
            <v:rect id="_x0000_s1137" style="position:absolute;left:2083;top:3146;width:3317;height:233" strokeweight="0"/>
            <v:rect id="_x0000_s1138" style="position:absolute;left:2145;top:3224;width:92;height:66" fillcolor="#99f"/>
            <v:rect id="_x0000_s1139" style="position:absolute;left:2299;top:3060;width:374;height:240;mso-wrap-style:none" filled="f" stroked="f">
              <v:textbox inset="0,0,0,0">
                <w:txbxContent>
                  <w:p w:rsidR="00704D1B" w:rsidRDefault="00704D1B">
                    <w:r>
                      <w:rPr>
                        <w:color w:val="000000"/>
                        <w:sz w:val="12"/>
                        <w:szCs w:val="12"/>
                        <w:lang w:val="en-US"/>
                      </w:rPr>
                      <w:t xml:space="preserve">Gestión </w:t>
                    </w:r>
                  </w:p>
                </w:txbxContent>
              </v:textbox>
            </v:rect>
            <v:rect id="_x0000_s1140" style="position:absolute;left:2962;top:3224;width:93;height:66" fillcolor="#936"/>
            <v:rect id="_x0000_s1141" style="position:absolute;left:3117;top:3060;width:374;height:240;mso-wrap-style:none" filled="f" stroked="f">
              <v:textbox inset="0,0,0,0">
                <w:txbxContent>
                  <w:p w:rsidR="00704D1B" w:rsidRDefault="00704D1B">
                    <w:r>
                      <w:rPr>
                        <w:color w:val="000000"/>
                        <w:sz w:val="12"/>
                        <w:szCs w:val="12"/>
                        <w:lang w:val="en-US"/>
                      </w:rPr>
                      <w:t>Calidad</w:t>
                    </w:r>
                  </w:p>
                </w:txbxContent>
              </v:textbox>
            </v:rect>
            <v:rect id="_x0000_s1142" style="position:absolute;left:3703;top:3224;width:93;height:66" fillcolor="#ffc"/>
            <v:rect id="_x0000_s1143" style="position:absolute;left:3857;top:3060;width:354;height:240;mso-wrap-style:none" filled="f" stroked="f">
              <v:textbox inset="0,0,0,0">
                <w:txbxContent>
                  <w:p w:rsidR="00704D1B" w:rsidRDefault="00704D1B">
                    <w:r>
                      <w:rPr>
                        <w:color w:val="000000"/>
                        <w:sz w:val="12"/>
                        <w:szCs w:val="12"/>
                        <w:lang w:val="en-US"/>
                      </w:rPr>
                      <w:t>Acceso</w:t>
                    </w:r>
                  </w:p>
                </w:txbxContent>
              </v:textbox>
            </v:rect>
            <v:rect id="_x0000_s1144" style="position:absolute;left:4351;top:3224;width:93;height:66" fillcolor="#cff"/>
            <v:rect id="_x0000_s1145" style="position:absolute;left:4505;top:3060;width:874;height:240;mso-wrap-style:none" filled="f" stroked="f">
              <v:textbox inset="0,0,0,0">
                <w:txbxContent>
                  <w:p w:rsidR="00704D1B" w:rsidRDefault="00704D1B">
                    <w:r>
                      <w:rPr>
                        <w:color w:val="000000"/>
                        <w:sz w:val="12"/>
                        <w:szCs w:val="12"/>
                        <w:lang w:val="en-US"/>
                      </w:rPr>
                      <w:t>FTP/Ens. superior</w:t>
                    </w:r>
                  </w:p>
                </w:txbxContent>
              </v:textbox>
            </v:rect>
            <v:rect id="_x0000_s1146" style="position:absolute;left:77;top:55;width:7206;height:3368" filled="f"/>
            <w10:anchorlock/>
          </v:group>
        </w:pict>
      </w:r>
    </w:p>
    <w:p w:rsidR="001E7BB4" w:rsidRPr="007930B0" w:rsidRDefault="001E7BB4" w:rsidP="005361CB">
      <w:pPr>
        <w:pStyle w:val="SingleTxtG"/>
        <w:rPr>
          <w:lang w:val="es-ES"/>
        </w:rPr>
      </w:pPr>
      <w:r w:rsidRPr="007930B0">
        <w:rPr>
          <w:lang w:val="es-ES"/>
        </w:rPr>
        <w:t>439.</w:t>
      </w:r>
      <w:r w:rsidRPr="007930B0">
        <w:rPr>
          <w:lang w:val="es-ES"/>
        </w:rPr>
        <w:tab/>
        <w:t>Este presupuesto es sufragado por ocho donantes mediante 11 financiaciones: el Gobierno de Mauritania (RIM), la Asociación Internacional de Fomento (AIF) (IDA-3573 e IDA-3570), el Organismo Francés de Desarrollo (AfD) (C2D1 y C2D2), el Banco Islámico de Desarrollo (BIsD) (BID1 y BID2), el Banco Africano de Desarrollo (BAFD) y la vía rápida (Fast-Track). En el gráfico siguiente se ilustra la estructura del presupuesto del Plan de Acción de 2007 según la financiación.</w:t>
      </w:r>
    </w:p>
    <w:p w:rsidR="001E7BB4" w:rsidRPr="007930B0" w:rsidRDefault="005361CB" w:rsidP="005361CB">
      <w:pPr>
        <w:ind w:left="1134"/>
      </w:pPr>
      <w:r w:rsidRPr="007930B0">
        <w:rPr>
          <w:noProof/>
          <w:lang w:eastAsia="ca-ES"/>
        </w:rPr>
      </w:r>
      <w:r w:rsidRPr="007930B0">
        <w:pict>
          <v:group id="_x0000_s1149" editas="canvas" style="width:368.3pt;height:202.3pt;mso-position-horizontal-relative:char;mso-position-vertical-relative:line" coordsize="7366,4046">
            <o:lock v:ext="edit" aspectratio="t"/>
            <v:shape id="_x0000_s1148" type="#_x0000_t75" style="position:absolute;width:7366;height:4046" o:preferrelative="f">
              <v:fill o:detectmouseclick="t"/>
              <v:path o:extrusionok="t" o:connecttype="none"/>
              <o:lock v:ext="edit" text="t"/>
            </v:shape>
            <v:rect id="_x0000_s1150" style="position:absolute;left:71;top:66;width:7209;height:3872" strokeweight=".7pt"/>
            <v:shape id="_x0000_s1151" style="position:absolute;left:1014;top:3328;width:5967;height:159" coordsize="5967,159" path="m,159l214,,5967,,5753,159,,159xe" fillcolor="gray" stroked="f">
              <v:path arrowok="t"/>
            </v:shape>
            <v:shape id="_x0000_s1152" style="position:absolute;left:1014;top:769;width:214;height:2718" coordsize="214,2718" path="m,2718l,146,214,r,2559l,2718xe" filled="f" stroked="f">
              <v:path arrowok="t"/>
            </v:shape>
            <v:rect id="_x0000_s1153" style="position:absolute;left:1228;top:769;width:5753;height:2559" filled="f" stroked="f"/>
            <v:shape id="_x0000_s1154" style="position:absolute;left:1014;top:3328;width:5967;height:159" coordsize="418,12" path="m,12l15,,418,e" filled="f" strokeweight="0">
              <v:path arrowok="t"/>
            </v:shape>
            <v:shape id="_x0000_s1155" style="position:absolute;left:1014;top:3036;width:5967;height:159" coordsize="418,12" path="m,12l15,,418,e" filled="f" strokeweight="0">
              <v:path arrowok="t"/>
            </v:shape>
            <v:shape id="_x0000_s1156" style="position:absolute;left:1014;top:2758;width:5967;height:159" coordsize="418,12" path="m,12l15,,418,e" filled="f" strokeweight="0">
              <v:path arrowok="t"/>
            </v:shape>
            <v:shape id="_x0000_s1157" style="position:absolute;left:1014;top:2466;width:5967;height:159" coordsize="418,12" path="m,12l15,,418,e" filled="f" strokeweight="0">
              <v:path arrowok="t"/>
            </v:shape>
            <v:shape id="_x0000_s1158" style="position:absolute;left:1014;top:2188;width:5967;height:159" coordsize="418,12" path="m,12l15,,418,e" filled="f" strokeweight="0">
              <v:path arrowok="t"/>
            </v:shape>
            <v:shape id="_x0000_s1159" style="position:absolute;left:1014;top:1896;width:5967;height:159" coordsize="418,12" path="m,12l15,,418,e" filled="f" strokeweight="0">
              <v:path arrowok="t"/>
            </v:shape>
            <v:shape id="_x0000_s1160" style="position:absolute;left:1014;top:1617;width:5967;height:160" coordsize="418,12" path="m,12l15,,418,e" filled="f" strokeweight="0">
              <v:path arrowok="t"/>
            </v:shape>
            <v:shape id="_x0000_s1161" style="position:absolute;left:1014;top:1326;width:5967;height:159" coordsize="418,12" path="m,12l15,,418,e" filled="f" strokeweight="0">
              <v:path arrowok="t"/>
            </v:shape>
            <v:shape id="_x0000_s1162" style="position:absolute;left:1014;top:1047;width:5967;height:159" coordsize="418,12" path="m,12l15,,418,e" filled="f" strokeweight="0">
              <v:path arrowok="t"/>
            </v:shape>
            <v:shape id="_x0000_s1163" style="position:absolute;left:1014;top:769;width:5967;height:146" coordsize="418,11" path="m,11l15,,418,e" filled="f" strokeweight="0">
              <v:path arrowok="t"/>
            </v:shape>
            <v:shape id="_x0000_s1164" style="position:absolute;left:1014;top:3328;width:5967;height:159" coordsize="5967,159" path="m5967,l5753,159,,159,214,,5967,xe" filled="f" strokeweight="0">
              <v:path arrowok="t"/>
            </v:shape>
            <v:shape id="_x0000_s1165" style="position:absolute;left:1014;top:769;width:214;height:2718" coordsize="214,2718" path="m,2718l,146,214,r,2559l,2718xe" filled="f" stroked="f">
              <v:path arrowok="t"/>
            </v:shape>
            <v:rect id="_x0000_s1166" style="position:absolute;left:1228;top:769;width:5753;height:2559" filled="f" stroked="f"/>
            <v:shape id="_x0000_s1167" style="position:absolute;left:1527;top:3288;width:86;height:146" coordsize="86,146" path="m,146l,53,86,r,79l,146xe" fillcolor="#4d4d80" strokeweight=".7pt">
              <v:path arrowok="t"/>
            </v:shape>
            <v:rect id="_x0000_s1168" style="position:absolute;left:1271;top:3341;width:256;height:93" fillcolor="#99f" strokeweight=".7pt"/>
            <v:shape id="_x0000_s1169" style="position:absolute;left:1271;top:3288;width:342;height:53" coordsize="342,53" path="m256,53l342,,85,,,53r256,xe" fillcolor="#7373bf" strokeweight=".7pt">
              <v:path arrowok="t"/>
            </v:shape>
            <v:shape id="_x0000_s1170" style="position:absolute;left:2170;top:3261;width:86;height:173" coordsize="86,173" path="m,173l,67,86,r,106l,173xe" fillcolor="#4d4d80" strokeweight=".7pt">
              <v:path arrowok="t"/>
            </v:shape>
            <v:rect id="_x0000_s1171" style="position:absolute;left:1913;top:3328;width:257;height:106" fillcolor="#99f" strokeweight=".7pt"/>
            <v:shape id="_x0000_s1172" style="position:absolute;left:1913;top:3261;width:343;height:67" coordsize="343,67" path="m257,67l343,,86,,,67r257,xe" fillcolor="#7373bf" strokeweight=".7pt">
              <v:path arrowok="t"/>
            </v:shape>
            <v:shape id="_x0000_s1173" style="position:absolute;left:2798;top:3102;width:86;height:332" coordsize="86,332" path="m,332l,67,86,r,265l,332xe" fillcolor="#4d4d80" strokeweight=".7pt">
              <v:path arrowok="t"/>
            </v:shape>
            <v:rect id="_x0000_s1174" style="position:absolute;left:2541;top:3169;width:257;height:265" fillcolor="#99f" strokeweight=".7pt"/>
            <v:shape id="_x0000_s1175" style="position:absolute;left:2541;top:3102;width:343;height:67" coordsize="343,67" path="m257,67l343,,100,,,67r257,xe" fillcolor="#7373bf" strokeweight=".7pt">
              <v:path arrowok="t"/>
            </v:shape>
            <v:shape id="_x0000_s1176" style="position:absolute;left:3440;top:3076;width:86;height:358" coordsize="86,358" path="m,358l,66,86,r,291l,358xe" fillcolor="#4d4d80" strokeweight=".7pt">
              <v:path arrowok="t"/>
            </v:shape>
            <v:rect id="_x0000_s1177" style="position:absolute;left:3183;top:3142;width:257;height:292" fillcolor="#99f" strokeweight=".7pt"/>
            <v:shape id="_x0000_s1178" style="position:absolute;left:3183;top:3076;width:343;height:66" coordsize="343,66" path="m257,66l343,,86,,,66r257,xe" fillcolor="#7373bf" strokeweight=".7pt">
              <v:path arrowok="t"/>
            </v:shape>
            <v:shape id="_x0000_s1179" style="position:absolute;left:4083;top:2917;width:85;height:517" coordsize="85,517" path="m,517l,66,85,r,450l,517xe" fillcolor="#4d4d80" strokeweight=".7pt">
              <v:path arrowok="t"/>
            </v:shape>
            <v:rect id="_x0000_s1180" style="position:absolute;left:3826;top:2983;width:257;height:451" fillcolor="#99f" strokeweight=".7pt"/>
            <v:shape id="_x0000_s1181" style="position:absolute;left:3826;top:2917;width:342;height:66" coordsize="342,66" path="m257,66l342,,85,,,66r257,xe" fillcolor="#7373bf" strokeweight=".7pt">
              <v:path arrowok="t"/>
            </v:shape>
            <v:shape id="_x0000_s1182" style="position:absolute;left:4725;top:2824;width:86;height:610" coordsize="86,610" path="m,610l,66,86,r,543l,610xe" fillcolor="#4d4d80" strokeweight=".7pt">
              <v:path arrowok="t"/>
            </v:shape>
            <v:rect id="_x0000_s1183" style="position:absolute;left:4468;top:2890;width:257;height:544" fillcolor="#99f" strokeweight=".7pt"/>
            <v:shape id="_x0000_s1184" style="position:absolute;left:4468;top:2824;width:343;height:66" coordsize="343,66" path="m257,66l343,,86,,,66r257,xe" fillcolor="#7373bf" strokeweight=".7pt">
              <v:path arrowok="t"/>
            </v:shape>
            <v:shape id="_x0000_s1185" style="position:absolute;left:5353;top:2652;width:100;height:782" coordsize="100,782" path="m,782l,66,100,r,715l,782xe" fillcolor="#4d4d80" strokeweight=".7pt">
              <v:path arrowok="t"/>
            </v:shape>
            <v:rect id="_x0000_s1186" style="position:absolute;left:5111;top:2718;width:242;height:716" fillcolor="#99f" strokeweight=".7pt"/>
            <v:shape id="_x0000_s1187" style="position:absolute;left:5111;top:2652;width:342;height:66" coordsize="342,66" path="m242,66l342,,85,,,66r242,xe" fillcolor="#7373bf" strokeweight=".7pt">
              <v:path arrowok="t"/>
            </v:shape>
            <v:shape id="_x0000_s1188" style="position:absolute;left:5996;top:2492;width:85;height:942" coordsize="85,942" path="m,942l,67,85,r,875l,942xe" fillcolor="#4d4d80" strokeweight=".7pt">
              <v:path arrowok="t"/>
            </v:shape>
            <v:rect id="_x0000_s1189" style="position:absolute;left:5739;top:2559;width:257;height:875" fillcolor="#99f" strokeweight=".7pt"/>
            <v:shape id="_x0000_s1190" style="position:absolute;left:5739;top:2492;width:342;height:67" coordsize="342,67" path="m257,67l342,,85,,,67r257,xe" fillcolor="#7373bf" strokeweight=".7pt">
              <v:path arrowok="t"/>
            </v:shape>
            <v:shape id="_x0000_s1191" style="position:absolute;left:6638;top:1034;width:86;height:2400" coordsize="86,2400" path="m,2400l,66,86,r,2333l,2400xe" fillcolor="#4d4d80" strokeweight=".7pt">
              <v:path arrowok="t"/>
            </v:shape>
            <v:rect id="_x0000_s1192" style="position:absolute;left:6381;top:1100;width:257;height:2334" fillcolor="#99f" strokeweight=".7pt"/>
            <v:shape id="_x0000_s1193" style="position:absolute;left:6381;top:1034;width:343;height:66" coordsize="343,66" path="m257,66l343,,86,,,66r257,xe" fillcolor="#7373bf" strokeweight=".7pt">
              <v:path arrowok="t"/>
            </v:shape>
            <v:line id="_x0000_s1194" style="position:absolute;flip:y" from="1014,915" to="1015,3487" strokeweight="0"/>
            <v:line id="_x0000_s1195" style="position:absolute;flip:x" from="971,3487" to="1014,3488" strokeweight="0"/>
            <v:line id="_x0000_s1196" style="position:absolute;flip:x" from="971,3195" to="1014,3196" strokeweight="0"/>
            <v:line id="_x0000_s1197" style="position:absolute;flip:x" from="971,2917" to="1014,2918" strokeweight="0"/>
            <v:line id="_x0000_s1198" style="position:absolute;flip:x" from="971,2625" to="1014,2626" strokeweight="0"/>
            <v:line id="_x0000_s1199" style="position:absolute;flip:x" from="971,2347" to="1014,2348" strokeweight="0"/>
            <v:line id="_x0000_s1200" style="position:absolute;flip:x" from="971,2055" to="1014,2056" strokeweight="0"/>
            <v:line id="_x0000_s1201" style="position:absolute;flip:x" from="971,1777" to="1014,1778" strokeweight="0"/>
            <v:line id="_x0000_s1202" style="position:absolute;flip:x" from="971,1485" to="1014,1486" strokeweight="0"/>
            <v:line id="_x0000_s1203" style="position:absolute;flip:x" from="971,1206" to="1014,1207" strokeweight="0"/>
            <v:line id="_x0000_s1204" style="position:absolute;flip:x" from="971,915" to="1014,916" strokeweight="0"/>
            <v:rect id="_x0000_s1205" style="position:absolute;left:500;top:3394;width:397;height:480;mso-wrap-style:none" filled="f" stroked="f">
              <v:textbox style="mso-fit-shape-to-text:t" inset="0,0,0,0">
                <w:txbxContent>
                  <w:p w:rsidR="00704D1B" w:rsidRDefault="00704D1B">
                    <w:r>
                      <w:rPr>
                        <w:rFonts w:ascii="Arial" w:hAnsi="Arial" w:cs="Arial"/>
                        <w:color w:val="000000"/>
                        <w:sz w:val="14"/>
                        <w:szCs w:val="14"/>
                        <w:lang w:val="en-US"/>
                      </w:rPr>
                      <w:t>0,00%</w:t>
                    </w:r>
                  </w:p>
                </w:txbxContent>
              </v:textbox>
            </v:rect>
            <v:rect id="_x0000_s1206" style="position:absolute;left:500;top:3102;width:397;height:480;mso-wrap-style:none" filled="f" stroked="f">
              <v:textbox style="mso-fit-shape-to-text:t" inset="0,0,0,0">
                <w:txbxContent>
                  <w:p w:rsidR="00704D1B" w:rsidRDefault="00704D1B">
                    <w:r>
                      <w:rPr>
                        <w:rFonts w:ascii="Arial" w:hAnsi="Arial" w:cs="Arial"/>
                        <w:color w:val="000000"/>
                        <w:sz w:val="14"/>
                        <w:szCs w:val="14"/>
                        <w:lang w:val="en-US"/>
                      </w:rPr>
                      <w:t>5,00%</w:t>
                    </w:r>
                  </w:p>
                </w:txbxContent>
              </v:textbox>
            </v:rect>
            <v:rect id="_x0000_s1207" style="position:absolute;left:414;top:2824;width:475;height:480;mso-wrap-style:none" filled="f" stroked="f">
              <v:textbox style="mso-fit-shape-to-text:t" inset="0,0,0,0">
                <w:txbxContent>
                  <w:p w:rsidR="00704D1B" w:rsidRDefault="00704D1B">
                    <w:r>
                      <w:rPr>
                        <w:rFonts w:ascii="Arial" w:hAnsi="Arial" w:cs="Arial"/>
                        <w:color w:val="000000"/>
                        <w:sz w:val="14"/>
                        <w:szCs w:val="14"/>
                        <w:lang w:val="en-US"/>
                      </w:rPr>
                      <w:t>10,00%</w:t>
                    </w:r>
                  </w:p>
                </w:txbxContent>
              </v:textbox>
            </v:rect>
            <v:rect id="_x0000_s1208" style="position:absolute;left:414;top:2532;width:475;height:480;mso-wrap-style:none" filled="f" stroked="f">
              <v:textbox style="mso-fit-shape-to-text:t" inset="0,0,0,0">
                <w:txbxContent>
                  <w:p w:rsidR="00704D1B" w:rsidRDefault="00704D1B">
                    <w:r>
                      <w:rPr>
                        <w:rFonts w:ascii="Arial" w:hAnsi="Arial" w:cs="Arial"/>
                        <w:color w:val="000000"/>
                        <w:sz w:val="14"/>
                        <w:szCs w:val="14"/>
                        <w:lang w:val="en-US"/>
                      </w:rPr>
                      <w:t>15,00%</w:t>
                    </w:r>
                  </w:p>
                </w:txbxContent>
              </v:textbox>
            </v:rect>
            <v:rect id="_x0000_s1209" style="position:absolute;left:414;top:2254;width:475;height:480;mso-wrap-style:none" filled="f" stroked="f">
              <v:textbox style="mso-fit-shape-to-text:t" inset="0,0,0,0">
                <w:txbxContent>
                  <w:p w:rsidR="00704D1B" w:rsidRDefault="00704D1B">
                    <w:r>
                      <w:rPr>
                        <w:rFonts w:ascii="Arial" w:hAnsi="Arial" w:cs="Arial"/>
                        <w:color w:val="000000"/>
                        <w:sz w:val="14"/>
                        <w:szCs w:val="14"/>
                        <w:lang w:val="en-US"/>
                      </w:rPr>
                      <w:t>20,00%</w:t>
                    </w:r>
                  </w:p>
                </w:txbxContent>
              </v:textbox>
            </v:rect>
            <v:rect id="_x0000_s1210" style="position:absolute;left:414;top:1962;width:475;height:480;mso-wrap-style:none" filled="f" stroked="f">
              <v:textbox style="mso-fit-shape-to-text:t" inset="0,0,0,0">
                <w:txbxContent>
                  <w:p w:rsidR="00704D1B" w:rsidRDefault="00704D1B">
                    <w:r>
                      <w:rPr>
                        <w:rFonts w:ascii="Arial" w:hAnsi="Arial" w:cs="Arial"/>
                        <w:color w:val="000000"/>
                        <w:sz w:val="14"/>
                        <w:szCs w:val="14"/>
                        <w:lang w:val="en-US"/>
                      </w:rPr>
                      <w:t>25,00%</w:t>
                    </w:r>
                  </w:p>
                </w:txbxContent>
              </v:textbox>
            </v:rect>
            <v:rect id="_x0000_s1211" style="position:absolute;left:414;top:1684;width:475;height:480;mso-wrap-style:none" filled="f" stroked="f">
              <v:textbox style="mso-fit-shape-to-text:t" inset="0,0,0,0">
                <w:txbxContent>
                  <w:p w:rsidR="00704D1B" w:rsidRDefault="00704D1B">
                    <w:r>
                      <w:rPr>
                        <w:rFonts w:ascii="Arial" w:hAnsi="Arial" w:cs="Arial"/>
                        <w:color w:val="000000"/>
                        <w:sz w:val="14"/>
                        <w:szCs w:val="14"/>
                        <w:lang w:val="en-US"/>
                      </w:rPr>
                      <w:t>30,00%</w:t>
                    </w:r>
                  </w:p>
                </w:txbxContent>
              </v:textbox>
            </v:rect>
            <v:rect id="_x0000_s1212" style="position:absolute;left:414;top:1392;width:475;height:480;mso-wrap-style:none" filled="f" stroked="f">
              <v:textbox style="mso-fit-shape-to-text:t" inset="0,0,0,0">
                <w:txbxContent>
                  <w:p w:rsidR="00704D1B" w:rsidRDefault="00704D1B">
                    <w:r>
                      <w:rPr>
                        <w:rFonts w:ascii="Arial" w:hAnsi="Arial" w:cs="Arial"/>
                        <w:color w:val="000000"/>
                        <w:sz w:val="14"/>
                        <w:szCs w:val="14"/>
                        <w:lang w:val="en-US"/>
                      </w:rPr>
                      <w:t>35,00%</w:t>
                    </w:r>
                  </w:p>
                </w:txbxContent>
              </v:textbox>
            </v:rect>
            <v:rect id="_x0000_s1213" style="position:absolute;left:414;top:1114;width:475;height:480;mso-wrap-style:none" filled="f" stroked="f">
              <v:textbox style="mso-fit-shape-to-text:t" inset="0,0,0,0">
                <w:txbxContent>
                  <w:p w:rsidR="00704D1B" w:rsidRDefault="00704D1B">
                    <w:r>
                      <w:rPr>
                        <w:rFonts w:ascii="Arial" w:hAnsi="Arial" w:cs="Arial"/>
                        <w:color w:val="000000"/>
                        <w:sz w:val="14"/>
                        <w:szCs w:val="14"/>
                        <w:lang w:val="en-US"/>
                      </w:rPr>
                      <w:t>40,00%</w:t>
                    </w:r>
                  </w:p>
                </w:txbxContent>
              </v:textbox>
            </v:rect>
            <v:rect id="_x0000_s1214" style="position:absolute;left:414;top:822;width:475;height:480;mso-wrap-style:none" filled="f" stroked="f">
              <v:textbox style="mso-fit-shape-to-text:t" inset="0,0,0,0">
                <w:txbxContent>
                  <w:p w:rsidR="00704D1B" w:rsidRDefault="00704D1B">
                    <w:r>
                      <w:rPr>
                        <w:rFonts w:ascii="Arial" w:hAnsi="Arial" w:cs="Arial"/>
                        <w:color w:val="000000"/>
                        <w:sz w:val="14"/>
                        <w:szCs w:val="14"/>
                        <w:lang w:val="en-US"/>
                      </w:rPr>
                      <w:t>45,00%</w:t>
                    </w:r>
                  </w:p>
                </w:txbxContent>
              </v:textbox>
            </v:rect>
            <v:line id="_x0000_s1215" style="position:absolute" from="1014,3487" to="6767,3488" strokeweight="0"/>
            <v:line id="_x0000_s1216" style="position:absolute" from="1014,3487" to="1015,3527" strokeweight="0"/>
            <v:line id="_x0000_s1217" style="position:absolute" from="1656,3487" to="1657,3527" strokeweight="0"/>
            <v:line id="_x0000_s1218" style="position:absolute" from="2284,3487" to="2285,3527" strokeweight="0"/>
            <v:line id="_x0000_s1219" style="position:absolute" from="2926,3487" to="2927,3527" strokeweight="0"/>
            <v:line id="_x0000_s1220" style="position:absolute" from="3569,3487" to="3570,3527" strokeweight="0"/>
            <v:line id="_x0000_s1221" style="position:absolute" from="4211,3487" to="4212,3527" strokeweight="0"/>
            <v:line id="_x0000_s1222" style="position:absolute" from="4854,3487" to="4855,3527" strokeweight="0"/>
            <v:line id="_x0000_s1223" style="position:absolute" from="5482,3487" to="5483,3527" strokeweight="0"/>
            <v:line id="_x0000_s1224" style="position:absolute" from="6124,3487" to="6125,3527" strokeweight="0"/>
            <v:line id="_x0000_s1225" style="position:absolute" from="6767,3487" to="6768,3527" strokeweight="0"/>
            <v:rect id="_x0000_s1226" style="position:absolute;left:1171;top:3566;width:312;height:480;mso-wrap-style:none" filled="f" stroked="f">
              <v:textbox style="mso-fit-shape-to-text:t" inset="0,0,0,0">
                <w:txbxContent>
                  <w:p w:rsidR="00704D1B" w:rsidRDefault="00704D1B">
                    <w:r>
                      <w:rPr>
                        <w:rFonts w:ascii="Arial" w:hAnsi="Arial" w:cs="Arial"/>
                        <w:color w:val="000000"/>
                        <w:sz w:val="14"/>
                        <w:szCs w:val="14"/>
                        <w:lang w:val="en-US"/>
                      </w:rPr>
                      <w:t>BID2</w:t>
                    </w:r>
                  </w:p>
                </w:txbxContent>
              </v:textbox>
            </v:rect>
            <v:rect id="_x0000_s1227" style="position:absolute;left:1699;top:3566;width:601;height:240" filled="f" stroked="f">
              <v:textbox style="mso-fit-shape-to-text:t" inset="0,0,0,0">
                <w:txbxContent>
                  <w:p w:rsidR="00704D1B" w:rsidRDefault="00704D1B">
                    <w:r>
                      <w:rPr>
                        <w:rFonts w:ascii="Arial" w:hAnsi="Arial" w:cs="Arial"/>
                        <w:color w:val="000000"/>
                        <w:sz w:val="14"/>
                        <w:szCs w:val="14"/>
                        <w:lang w:val="en-US"/>
                      </w:rPr>
                      <w:t>IDA sup</w:t>
                    </w:r>
                  </w:p>
                </w:txbxContent>
              </v:textbox>
            </v:rect>
            <v:rect id="_x0000_s1228" style="position:absolute;left:2413;top:3566;width:366;height:480;mso-wrap-style:none" filled="f" stroked="f">
              <v:textbox style="mso-fit-shape-to-text:t" inset="0,0,0,0">
                <w:txbxContent>
                  <w:p w:rsidR="00704D1B" w:rsidRDefault="00704D1B">
                    <w:r>
                      <w:rPr>
                        <w:rFonts w:ascii="Arial" w:hAnsi="Arial" w:cs="Arial"/>
                        <w:color w:val="000000"/>
                        <w:sz w:val="14"/>
                        <w:szCs w:val="14"/>
                        <w:lang w:val="en-US"/>
                      </w:rPr>
                      <w:t>BAD2</w:t>
                    </w:r>
                  </w:p>
                </w:txbxContent>
              </v:textbox>
            </v:rect>
            <v:rect id="_x0000_s1229" style="position:absolute;left:3169;top:3566;width:172;height:480;mso-wrap-style:none" filled="f" stroked="f">
              <v:textbox style="mso-fit-shape-to-text:t" inset="0,0,0,0">
                <w:txbxContent>
                  <w:p w:rsidR="00704D1B" w:rsidRDefault="00704D1B">
                    <w:r>
                      <w:rPr>
                        <w:rFonts w:ascii="Arial" w:hAnsi="Arial" w:cs="Arial"/>
                        <w:color w:val="000000"/>
                        <w:sz w:val="14"/>
                        <w:szCs w:val="14"/>
                        <w:lang w:val="en-US"/>
                      </w:rPr>
                      <w:t>FT</w:t>
                    </w:r>
                  </w:p>
                </w:txbxContent>
              </v:textbox>
            </v:rect>
            <v:rect id="_x0000_s1230" style="position:absolute;left:3726;top:3566;width:312;height:480;mso-wrap-style:none" filled="f" stroked="f">
              <v:textbox style="mso-fit-shape-to-text:t" inset="0,0,0,0">
                <w:txbxContent>
                  <w:p w:rsidR="00704D1B" w:rsidRDefault="00704D1B">
                    <w:r>
                      <w:rPr>
                        <w:rFonts w:ascii="Arial" w:hAnsi="Arial" w:cs="Arial"/>
                        <w:color w:val="000000"/>
                        <w:sz w:val="14"/>
                        <w:szCs w:val="14"/>
                        <w:lang w:val="en-US"/>
                      </w:rPr>
                      <w:t>BID1</w:t>
                    </w:r>
                  </w:p>
                </w:txbxContent>
              </v:textbox>
            </v:rect>
            <v:rect id="_x0000_s1231" style="position:absolute;left:4340;top:3566;width:358;height:480;mso-wrap-style:none" filled="f" stroked="f">
              <v:textbox style="mso-fit-shape-to-text:t" inset="0,0,0,0">
                <w:txbxContent>
                  <w:p w:rsidR="00704D1B" w:rsidRDefault="00704D1B">
                    <w:r>
                      <w:rPr>
                        <w:rFonts w:ascii="Arial" w:hAnsi="Arial" w:cs="Arial"/>
                        <w:color w:val="000000"/>
                        <w:sz w:val="14"/>
                        <w:szCs w:val="14"/>
                        <w:lang w:val="en-US"/>
                      </w:rPr>
                      <w:t>C2D1</w:t>
                    </w:r>
                  </w:p>
                </w:txbxContent>
              </v:textbox>
            </v:rect>
            <v:rect id="_x0000_s1232" style="position:absolute;left:4982;top:3566;width:358;height:480;mso-wrap-style:none" filled="f" stroked="f">
              <v:textbox style="mso-fit-shape-to-text:t" inset="0,0,0,0">
                <w:txbxContent>
                  <w:p w:rsidR="00704D1B" w:rsidRDefault="00704D1B">
                    <w:r>
                      <w:rPr>
                        <w:rFonts w:ascii="Arial" w:hAnsi="Arial" w:cs="Arial"/>
                        <w:color w:val="000000"/>
                        <w:sz w:val="14"/>
                        <w:szCs w:val="14"/>
                        <w:lang w:val="en-US"/>
                      </w:rPr>
                      <w:t>C2D2</w:t>
                    </w:r>
                  </w:p>
                </w:txbxContent>
              </v:textbox>
            </v:rect>
            <v:rect id="_x0000_s1233" style="position:absolute;left:5696;top:3566;width:257;height:480;mso-wrap-style:none" filled="f" stroked="f">
              <v:textbox style="mso-fit-shape-to-text:t" inset="0,0,0,0">
                <w:txbxContent>
                  <w:p w:rsidR="00704D1B" w:rsidRDefault="00704D1B">
                    <w:r>
                      <w:rPr>
                        <w:rFonts w:ascii="Arial" w:hAnsi="Arial" w:cs="Arial"/>
                        <w:color w:val="000000"/>
                        <w:sz w:val="14"/>
                        <w:szCs w:val="14"/>
                        <w:lang w:val="en-US"/>
                      </w:rPr>
                      <w:t>RIM</w:t>
                    </w:r>
                  </w:p>
                </w:txbxContent>
              </v:textbox>
            </v:rect>
            <v:rect id="_x0000_s1234" style="position:absolute;left:6324;top:3566;width:234;height:480;mso-wrap-style:none" filled="f" stroked="f">
              <v:textbox style="mso-fit-shape-to-text:t" inset="0,0,0,0">
                <w:txbxContent>
                  <w:p w:rsidR="00704D1B" w:rsidRDefault="00704D1B">
                    <w:r>
                      <w:rPr>
                        <w:rFonts w:ascii="Arial" w:hAnsi="Arial" w:cs="Arial"/>
                        <w:color w:val="000000"/>
                        <w:sz w:val="14"/>
                        <w:szCs w:val="14"/>
                        <w:lang w:val="en-US"/>
                      </w:rPr>
                      <w:t>IDA</w:t>
                    </w:r>
                  </w:p>
                </w:txbxContent>
              </v:textbox>
            </v:rect>
            <v:rect id="_x0000_s1235" style="position:absolute;left:1542;top:212;width:4175;height:506;mso-wrap-style:none" filled="f" stroked="f">
              <v:textbox style="mso-fit-shape-to-text:t" inset="0,0,0,0">
                <w:txbxContent>
                  <w:p w:rsidR="00704D1B" w:rsidRPr="005361CB" w:rsidRDefault="00704D1B">
                    <w:r w:rsidRPr="005361CB">
                      <w:rPr>
                        <w:b/>
                        <w:bCs/>
                        <w:color w:val="000000"/>
                        <w:sz w:val="22"/>
                        <w:szCs w:val="22"/>
                      </w:rPr>
                      <w:t>Estructura del presupuesto según el donante</w:t>
                    </w:r>
                  </w:p>
                </w:txbxContent>
              </v:textbox>
            </v:rect>
            <v:rect id="_x0000_s1236" style="position:absolute;left:71;top:66;width:7209;height:3872" filled="f" strokeweight=".7pt"/>
            <w10:anchorlock/>
          </v:group>
        </w:pict>
      </w:r>
    </w:p>
    <w:p w:rsidR="001E7BB4" w:rsidRPr="007930B0" w:rsidRDefault="004207F3" w:rsidP="004207F3">
      <w:pPr>
        <w:pStyle w:val="H23G"/>
        <w:rPr>
          <w:lang w:val="es-ES"/>
        </w:rPr>
      </w:pPr>
      <w:bookmarkStart w:id="10" w:name="_Toc38812750"/>
      <w:bookmarkStart w:id="11" w:name="_Toc50388667"/>
      <w:bookmarkStart w:id="12" w:name="_Toc151950035"/>
      <w:bookmarkStart w:id="13" w:name="_Toc180163024"/>
      <w:r w:rsidRPr="007930B0">
        <w:rPr>
          <w:lang w:val="es-ES"/>
        </w:rPr>
        <w:tab/>
      </w:r>
      <w:r w:rsidRPr="007930B0">
        <w:rPr>
          <w:lang w:val="es-ES"/>
        </w:rPr>
        <w:tab/>
      </w:r>
      <w:r w:rsidR="001E7BB4" w:rsidRPr="007930B0">
        <w:rPr>
          <w:lang w:val="es-ES"/>
        </w:rPr>
        <w:t>Estado de ejecución global por componente</w:t>
      </w:r>
      <w:bookmarkEnd w:id="10"/>
      <w:bookmarkEnd w:id="11"/>
      <w:bookmarkEnd w:id="12"/>
      <w:bookmarkEnd w:id="13"/>
    </w:p>
    <w:p w:rsidR="001E7BB4" w:rsidRPr="007930B0" w:rsidRDefault="001E7BB4" w:rsidP="0068666F">
      <w:pPr>
        <w:pStyle w:val="SingleTxtG"/>
        <w:rPr>
          <w:lang w:val="es-ES"/>
        </w:rPr>
      </w:pPr>
      <w:r w:rsidRPr="007930B0">
        <w:rPr>
          <w:lang w:val="es-ES"/>
        </w:rPr>
        <w:t>440.</w:t>
      </w:r>
      <w:r w:rsidRPr="007930B0">
        <w:rPr>
          <w:lang w:val="es-ES"/>
        </w:rPr>
        <w:tab/>
        <w:t xml:space="preserve">Las sumas comprometidas al </w:t>
      </w:r>
      <w:r w:rsidR="00CC7CB3">
        <w:rPr>
          <w:lang w:val="es-ES"/>
        </w:rPr>
        <w:t xml:space="preserve">1º de octubre de </w:t>
      </w:r>
      <w:r w:rsidRPr="007930B0">
        <w:rPr>
          <w:lang w:val="es-ES"/>
        </w:rPr>
        <w:t xml:space="preserve">2007 ascienden a </w:t>
      </w:r>
      <w:r w:rsidRPr="00CC7CB3">
        <w:rPr>
          <w:b/>
          <w:lang w:val="es-ES"/>
        </w:rPr>
        <w:t>11.200.572.218 UM</w:t>
      </w:r>
      <w:r w:rsidRPr="007930B0">
        <w:rPr>
          <w:lang w:val="es-ES"/>
        </w:rPr>
        <w:t xml:space="preserve">, es decir, </w:t>
      </w:r>
      <w:r w:rsidRPr="00CC7CB3">
        <w:rPr>
          <w:b/>
          <w:lang w:val="es-ES"/>
        </w:rPr>
        <w:t>82,1%</w:t>
      </w:r>
      <w:r w:rsidRPr="007930B0">
        <w:rPr>
          <w:lang w:val="es-ES"/>
        </w:rPr>
        <w:t xml:space="preserve"> del presupuesto previsto. Los desembolsos efectuados son de </w:t>
      </w:r>
      <w:r w:rsidRPr="00CC7CB3">
        <w:rPr>
          <w:b/>
          <w:lang w:val="es-ES"/>
        </w:rPr>
        <w:t>6.543.249.472 UM</w:t>
      </w:r>
      <w:r w:rsidRPr="007930B0">
        <w:rPr>
          <w:lang w:val="es-ES"/>
        </w:rPr>
        <w:t xml:space="preserve">, es decir, </w:t>
      </w:r>
      <w:r w:rsidRPr="00CC7CB3">
        <w:rPr>
          <w:b/>
          <w:lang w:val="es-ES"/>
        </w:rPr>
        <w:t>58,4%</w:t>
      </w:r>
      <w:r w:rsidRPr="007930B0">
        <w:rPr>
          <w:lang w:val="es-ES"/>
        </w:rPr>
        <w:t xml:space="preserve"> de las sumas comprometidas y </w:t>
      </w:r>
      <w:r w:rsidRPr="00CC7CB3">
        <w:rPr>
          <w:b/>
          <w:lang w:val="es-ES"/>
        </w:rPr>
        <w:t>48%</w:t>
      </w:r>
      <w:r w:rsidRPr="007930B0">
        <w:rPr>
          <w:lang w:val="es-ES"/>
        </w:rPr>
        <w:t xml:space="preserve"> del presupuesto global. Estas tasas de ejecución son superiores a las del Plan de Acción de 2006. La tasa de compromiso en el ejercicio anterior fue de 75% y la tasa de desembolso de 46%. En el cuadro siguiente se expone el estado de ejecución financiera global, por componente y subcomponente.</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1000"/>
        <w:gridCol w:w="2200"/>
        <w:gridCol w:w="1204"/>
        <w:gridCol w:w="1125"/>
        <w:gridCol w:w="1125"/>
        <w:gridCol w:w="961"/>
        <w:gridCol w:w="961"/>
        <w:gridCol w:w="1063"/>
      </w:tblGrid>
      <w:tr w:rsidR="004207F3" w:rsidRPr="007930B0">
        <w:trPr>
          <w:tblHeader/>
        </w:trPr>
        <w:tc>
          <w:tcPr>
            <w:tcW w:w="1000" w:type="dxa"/>
            <w:vMerge w:val="restart"/>
            <w:tcBorders>
              <w:top w:val="single" w:sz="4" w:space="0" w:color="auto"/>
              <w:bottom w:val="single" w:sz="12" w:space="0" w:color="auto"/>
            </w:tcBorders>
            <w:shd w:val="clear" w:color="000000" w:fill="auto"/>
            <w:noWrap/>
            <w:vAlign w:val="bottom"/>
          </w:tcPr>
          <w:p w:rsidR="001E7BB4" w:rsidRPr="007930B0" w:rsidRDefault="001E7BB4" w:rsidP="004207F3">
            <w:pPr>
              <w:keepNext/>
              <w:spacing w:before="80" w:after="80" w:line="200" w:lineRule="exact"/>
              <w:ind w:right="113"/>
              <w:rPr>
                <w:i/>
                <w:sz w:val="14"/>
                <w:szCs w:val="14"/>
              </w:rPr>
            </w:pPr>
            <w:r w:rsidRPr="007930B0">
              <w:rPr>
                <w:i/>
                <w:sz w:val="14"/>
                <w:szCs w:val="14"/>
              </w:rPr>
              <w:t>Componente</w:t>
            </w:r>
          </w:p>
        </w:tc>
        <w:tc>
          <w:tcPr>
            <w:tcW w:w="2200" w:type="dxa"/>
            <w:vMerge w:val="restart"/>
            <w:tcBorders>
              <w:top w:val="single" w:sz="4" w:space="0" w:color="auto"/>
              <w:bottom w:val="single" w:sz="12" w:space="0" w:color="auto"/>
            </w:tcBorders>
            <w:shd w:val="clear" w:color="000000" w:fill="auto"/>
            <w:noWrap/>
            <w:vAlign w:val="bottom"/>
          </w:tcPr>
          <w:p w:rsidR="001E7BB4" w:rsidRPr="007930B0" w:rsidRDefault="001E7BB4" w:rsidP="004207F3">
            <w:pPr>
              <w:keepNext/>
              <w:spacing w:before="80" w:after="80" w:line="200" w:lineRule="exact"/>
              <w:ind w:right="113"/>
              <w:jc w:val="right"/>
              <w:rPr>
                <w:i/>
                <w:sz w:val="14"/>
                <w:szCs w:val="14"/>
              </w:rPr>
            </w:pPr>
            <w:r w:rsidRPr="007930B0">
              <w:rPr>
                <w:i/>
                <w:sz w:val="14"/>
                <w:szCs w:val="14"/>
              </w:rPr>
              <w:t>Subcomponente</w:t>
            </w:r>
          </w:p>
        </w:tc>
        <w:tc>
          <w:tcPr>
            <w:tcW w:w="3454" w:type="dxa"/>
            <w:gridSpan w:val="3"/>
            <w:tcBorders>
              <w:top w:val="single" w:sz="4" w:space="0" w:color="auto"/>
              <w:bottom w:val="single" w:sz="4" w:space="0" w:color="auto"/>
              <w:right w:val="single" w:sz="24" w:space="0" w:color="FFFFFF"/>
            </w:tcBorders>
            <w:shd w:val="clear" w:color="000000" w:fill="auto"/>
            <w:noWrap/>
            <w:vAlign w:val="bottom"/>
          </w:tcPr>
          <w:p w:rsidR="001E7BB4" w:rsidRPr="007930B0" w:rsidRDefault="001E7BB4" w:rsidP="004207F3">
            <w:pPr>
              <w:keepNext/>
              <w:spacing w:before="80" w:after="80" w:line="200" w:lineRule="exact"/>
              <w:ind w:right="113"/>
              <w:jc w:val="center"/>
              <w:rPr>
                <w:i/>
                <w:sz w:val="14"/>
                <w:szCs w:val="14"/>
              </w:rPr>
            </w:pPr>
            <w:r w:rsidRPr="007930B0">
              <w:rPr>
                <w:i/>
                <w:sz w:val="14"/>
                <w:szCs w:val="14"/>
              </w:rPr>
              <w:t>Sumas</w:t>
            </w:r>
          </w:p>
        </w:tc>
        <w:tc>
          <w:tcPr>
            <w:tcW w:w="2985" w:type="dxa"/>
            <w:gridSpan w:val="3"/>
            <w:tcBorders>
              <w:top w:val="single" w:sz="4" w:space="0" w:color="auto"/>
              <w:left w:val="single" w:sz="24" w:space="0" w:color="FFFFFF"/>
              <w:bottom w:val="single" w:sz="4" w:space="0" w:color="auto"/>
            </w:tcBorders>
            <w:shd w:val="clear" w:color="000000" w:fill="auto"/>
            <w:noWrap/>
            <w:vAlign w:val="bottom"/>
          </w:tcPr>
          <w:p w:rsidR="001E7BB4" w:rsidRPr="007930B0" w:rsidRDefault="001E7BB4" w:rsidP="004207F3">
            <w:pPr>
              <w:keepNext/>
              <w:spacing w:before="80" w:after="80" w:line="200" w:lineRule="exact"/>
              <w:ind w:right="113"/>
              <w:jc w:val="center"/>
              <w:rPr>
                <w:i/>
                <w:sz w:val="14"/>
                <w:szCs w:val="14"/>
              </w:rPr>
            </w:pPr>
            <w:r w:rsidRPr="007930B0">
              <w:rPr>
                <w:i/>
                <w:sz w:val="14"/>
                <w:szCs w:val="14"/>
              </w:rPr>
              <w:t>Tasas</w:t>
            </w:r>
          </w:p>
        </w:tc>
      </w:tr>
      <w:tr w:rsidR="004207F3" w:rsidRPr="007930B0">
        <w:trPr>
          <w:tblHeader/>
        </w:trPr>
        <w:tc>
          <w:tcPr>
            <w:tcW w:w="1000" w:type="dxa"/>
            <w:vMerge/>
            <w:tcBorders>
              <w:top w:val="nil"/>
              <w:bottom w:val="single" w:sz="12" w:space="0" w:color="auto"/>
            </w:tcBorders>
            <w:shd w:val="clear" w:color="000000" w:fill="auto"/>
            <w:noWrap/>
            <w:vAlign w:val="bottom"/>
          </w:tcPr>
          <w:p w:rsidR="001E7BB4" w:rsidRPr="007930B0" w:rsidRDefault="001E7BB4" w:rsidP="004207F3">
            <w:pPr>
              <w:keepNext/>
              <w:spacing w:before="40" w:after="40" w:line="220" w:lineRule="exact"/>
              <w:ind w:right="113"/>
              <w:rPr>
                <w:sz w:val="14"/>
                <w:szCs w:val="14"/>
              </w:rPr>
            </w:pPr>
          </w:p>
        </w:tc>
        <w:tc>
          <w:tcPr>
            <w:tcW w:w="2200" w:type="dxa"/>
            <w:vMerge/>
            <w:tcBorders>
              <w:top w:val="nil"/>
              <w:bottom w:val="single" w:sz="12" w:space="0" w:color="auto"/>
            </w:tcBorders>
            <w:shd w:val="clear" w:color="000000" w:fill="auto"/>
            <w:noWrap/>
            <w:vAlign w:val="bottom"/>
          </w:tcPr>
          <w:p w:rsidR="001E7BB4" w:rsidRPr="007930B0" w:rsidRDefault="001E7BB4" w:rsidP="004207F3">
            <w:pPr>
              <w:keepNext/>
              <w:spacing w:before="40" w:after="40" w:line="220" w:lineRule="exact"/>
              <w:ind w:right="113"/>
              <w:jc w:val="right"/>
              <w:rPr>
                <w:sz w:val="14"/>
                <w:szCs w:val="14"/>
              </w:rPr>
            </w:pPr>
          </w:p>
        </w:tc>
        <w:tc>
          <w:tcPr>
            <w:tcW w:w="1204" w:type="dxa"/>
            <w:tcBorders>
              <w:top w:val="single" w:sz="4" w:space="0" w:color="auto"/>
              <w:bottom w:val="single" w:sz="12" w:space="0" w:color="auto"/>
            </w:tcBorders>
            <w:shd w:val="clear" w:color="000000" w:fill="auto"/>
            <w:noWrap/>
            <w:vAlign w:val="bottom"/>
          </w:tcPr>
          <w:p w:rsidR="001E7BB4" w:rsidRPr="007930B0" w:rsidRDefault="001E7BB4" w:rsidP="004207F3">
            <w:pPr>
              <w:keepNext/>
              <w:spacing w:before="80" w:after="80" w:line="200" w:lineRule="exact"/>
              <w:ind w:right="113"/>
              <w:jc w:val="right"/>
              <w:rPr>
                <w:i/>
                <w:sz w:val="14"/>
                <w:szCs w:val="14"/>
              </w:rPr>
            </w:pPr>
            <w:r w:rsidRPr="007930B0">
              <w:rPr>
                <w:i/>
                <w:sz w:val="14"/>
                <w:szCs w:val="14"/>
              </w:rPr>
              <w:t>Presupuesto</w:t>
            </w:r>
          </w:p>
        </w:tc>
        <w:tc>
          <w:tcPr>
            <w:tcW w:w="1125" w:type="dxa"/>
            <w:tcBorders>
              <w:top w:val="single" w:sz="4" w:space="0" w:color="auto"/>
              <w:bottom w:val="single" w:sz="12" w:space="0" w:color="auto"/>
            </w:tcBorders>
            <w:shd w:val="clear" w:color="000000" w:fill="auto"/>
            <w:noWrap/>
            <w:vAlign w:val="bottom"/>
          </w:tcPr>
          <w:p w:rsidR="001E7BB4" w:rsidRPr="007930B0" w:rsidRDefault="001E7BB4" w:rsidP="004207F3">
            <w:pPr>
              <w:keepNext/>
              <w:spacing w:before="80" w:after="80" w:line="200" w:lineRule="exact"/>
              <w:ind w:right="113"/>
              <w:jc w:val="right"/>
              <w:rPr>
                <w:i/>
                <w:sz w:val="14"/>
                <w:szCs w:val="14"/>
              </w:rPr>
            </w:pPr>
            <w:r w:rsidRPr="007930B0">
              <w:rPr>
                <w:i/>
                <w:sz w:val="14"/>
                <w:szCs w:val="14"/>
              </w:rPr>
              <w:t>Compromisos</w:t>
            </w:r>
          </w:p>
        </w:tc>
        <w:tc>
          <w:tcPr>
            <w:tcW w:w="1125" w:type="dxa"/>
            <w:tcBorders>
              <w:top w:val="single" w:sz="4" w:space="0" w:color="auto"/>
              <w:bottom w:val="single" w:sz="12" w:space="0" w:color="auto"/>
              <w:right w:val="single" w:sz="24" w:space="0" w:color="FFFFFF"/>
            </w:tcBorders>
            <w:shd w:val="clear" w:color="000000" w:fill="auto"/>
            <w:noWrap/>
            <w:vAlign w:val="bottom"/>
          </w:tcPr>
          <w:p w:rsidR="001E7BB4" w:rsidRPr="007930B0" w:rsidRDefault="001E7BB4" w:rsidP="004207F3">
            <w:pPr>
              <w:keepNext/>
              <w:spacing w:before="80" w:after="80" w:line="200" w:lineRule="exact"/>
              <w:ind w:right="113"/>
              <w:jc w:val="right"/>
              <w:rPr>
                <w:i/>
                <w:sz w:val="14"/>
                <w:szCs w:val="14"/>
              </w:rPr>
            </w:pPr>
            <w:r w:rsidRPr="007930B0">
              <w:rPr>
                <w:i/>
                <w:sz w:val="14"/>
                <w:szCs w:val="14"/>
              </w:rPr>
              <w:t>Desembolsos</w:t>
            </w:r>
          </w:p>
        </w:tc>
        <w:tc>
          <w:tcPr>
            <w:tcW w:w="961" w:type="dxa"/>
            <w:tcBorders>
              <w:top w:val="single" w:sz="4" w:space="0" w:color="auto"/>
              <w:left w:val="single" w:sz="24" w:space="0" w:color="FFFFFF"/>
              <w:bottom w:val="single" w:sz="12" w:space="0" w:color="auto"/>
            </w:tcBorders>
            <w:shd w:val="clear" w:color="000000" w:fill="auto"/>
            <w:noWrap/>
            <w:vAlign w:val="bottom"/>
          </w:tcPr>
          <w:p w:rsidR="001E7BB4" w:rsidRPr="007930B0" w:rsidRDefault="001E7BB4" w:rsidP="004207F3">
            <w:pPr>
              <w:keepNext/>
              <w:spacing w:before="80" w:after="80" w:line="200" w:lineRule="exact"/>
              <w:ind w:right="113"/>
              <w:jc w:val="right"/>
              <w:rPr>
                <w:i/>
                <w:sz w:val="14"/>
                <w:szCs w:val="14"/>
              </w:rPr>
            </w:pPr>
            <w:r w:rsidRPr="007930B0">
              <w:rPr>
                <w:i/>
                <w:sz w:val="14"/>
                <w:szCs w:val="14"/>
              </w:rPr>
              <w:t>Tasa de compromiso</w:t>
            </w:r>
          </w:p>
        </w:tc>
        <w:tc>
          <w:tcPr>
            <w:tcW w:w="961" w:type="dxa"/>
            <w:tcBorders>
              <w:top w:val="single" w:sz="4" w:space="0" w:color="auto"/>
              <w:bottom w:val="single" w:sz="12" w:space="0" w:color="auto"/>
            </w:tcBorders>
            <w:shd w:val="clear" w:color="000000" w:fill="auto"/>
            <w:noWrap/>
            <w:vAlign w:val="bottom"/>
          </w:tcPr>
          <w:p w:rsidR="001E7BB4" w:rsidRPr="007930B0" w:rsidRDefault="001E7BB4" w:rsidP="004207F3">
            <w:pPr>
              <w:keepNext/>
              <w:spacing w:before="80" w:after="80" w:line="200" w:lineRule="exact"/>
              <w:ind w:right="113"/>
              <w:jc w:val="right"/>
              <w:rPr>
                <w:i/>
                <w:sz w:val="14"/>
                <w:szCs w:val="14"/>
              </w:rPr>
            </w:pPr>
            <w:r w:rsidRPr="007930B0">
              <w:rPr>
                <w:i/>
                <w:sz w:val="14"/>
                <w:szCs w:val="14"/>
              </w:rPr>
              <w:t>Tasa de desembolso (Presup. total)</w:t>
            </w:r>
          </w:p>
        </w:tc>
        <w:tc>
          <w:tcPr>
            <w:tcW w:w="1063" w:type="dxa"/>
            <w:tcBorders>
              <w:top w:val="single" w:sz="4" w:space="0" w:color="auto"/>
              <w:bottom w:val="single" w:sz="12" w:space="0" w:color="auto"/>
            </w:tcBorders>
            <w:shd w:val="clear" w:color="000000" w:fill="auto"/>
            <w:noWrap/>
            <w:vAlign w:val="bottom"/>
          </w:tcPr>
          <w:p w:rsidR="001E7BB4" w:rsidRPr="007930B0" w:rsidRDefault="001E7BB4" w:rsidP="004207F3">
            <w:pPr>
              <w:keepNext/>
              <w:spacing w:before="80" w:after="80" w:line="200" w:lineRule="exact"/>
              <w:ind w:right="113"/>
              <w:jc w:val="right"/>
              <w:rPr>
                <w:i/>
                <w:sz w:val="14"/>
                <w:szCs w:val="14"/>
              </w:rPr>
            </w:pPr>
            <w:r w:rsidRPr="007930B0">
              <w:rPr>
                <w:i/>
                <w:sz w:val="14"/>
                <w:szCs w:val="14"/>
              </w:rPr>
              <w:t>Tasa de desembolso (Presup. comprometido)</w:t>
            </w:r>
          </w:p>
        </w:tc>
      </w:tr>
      <w:tr w:rsidR="004207F3" w:rsidRPr="007930B0">
        <w:tc>
          <w:tcPr>
            <w:tcW w:w="1000" w:type="dxa"/>
            <w:vMerge w:val="restart"/>
            <w:tcBorders>
              <w:top w:val="single" w:sz="12" w:space="0" w:color="auto"/>
            </w:tcBorders>
            <w:shd w:val="clear" w:color="000000" w:fill="auto"/>
            <w:noWrap/>
          </w:tcPr>
          <w:p w:rsidR="001E7BB4" w:rsidRPr="007930B0" w:rsidRDefault="001E7BB4" w:rsidP="004207F3">
            <w:pPr>
              <w:spacing w:before="40" w:after="40" w:line="220" w:lineRule="exact"/>
              <w:ind w:right="113"/>
              <w:rPr>
                <w:sz w:val="16"/>
                <w:szCs w:val="16"/>
              </w:rPr>
            </w:pPr>
            <w:r w:rsidRPr="007930B0">
              <w:rPr>
                <w:sz w:val="16"/>
                <w:szCs w:val="16"/>
              </w:rPr>
              <w:t>Gestión</w:t>
            </w:r>
          </w:p>
        </w:tc>
        <w:tc>
          <w:tcPr>
            <w:tcW w:w="2200" w:type="dxa"/>
            <w:tcBorders>
              <w:top w:val="single" w:sz="12"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Creación de un sistema</w:t>
            </w:r>
            <w:r w:rsidR="004207F3" w:rsidRPr="007930B0">
              <w:rPr>
                <w:sz w:val="16"/>
                <w:szCs w:val="16"/>
              </w:rPr>
              <w:t xml:space="preserve"> </w:t>
            </w:r>
            <w:r w:rsidRPr="007930B0">
              <w:rPr>
                <w:sz w:val="16"/>
                <w:szCs w:val="16"/>
              </w:rPr>
              <w:t>de seguimiento</w:t>
            </w:r>
          </w:p>
        </w:tc>
        <w:tc>
          <w:tcPr>
            <w:tcW w:w="1204" w:type="dxa"/>
            <w:tcBorders>
              <w:top w:val="single" w:sz="12"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323 106 529</w:t>
            </w:r>
          </w:p>
        </w:tc>
        <w:tc>
          <w:tcPr>
            <w:tcW w:w="1125" w:type="dxa"/>
            <w:tcBorders>
              <w:top w:val="single" w:sz="12"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237 182 585</w:t>
            </w:r>
          </w:p>
        </w:tc>
        <w:tc>
          <w:tcPr>
            <w:tcW w:w="1125" w:type="dxa"/>
            <w:tcBorders>
              <w:top w:val="single" w:sz="12"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105 366 805</w:t>
            </w:r>
          </w:p>
        </w:tc>
        <w:tc>
          <w:tcPr>
            <w:tcW w:w="961" w:type="dxa"/>
            <w:tcBorders>
              <w:top w:val="single" w:sz="12"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73,4%</w:t>
            </w:r>
          </w:p>
        </w:tc>
        <w:tc>
          <w:tcPr>
            <w:tcW w:w="961" w:type="dxa"/>
            <w:tcBorders>
              <w:top w:val="single" w:sz="12"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32,6%</w:t>
            </w:r>
          </w:p>
        </w:tc>
        <w:tc>
          <w:tcPr>
            <w:tcW w:w="1063" w:type="dxa"/>
            <w:tcBorders>
              <w:top w:val="single" w:sz="12"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44,4%</w:t>
            </w:r>
          </w:p>
        </w:tc>
      </w:tr>
      <w:tr w:rsidR="004207F3" w:rsidRPr="007930B0">
        <w:tc>
          <w:tcPr>
            <w:tcW w:w="1000" w:type="dxa"/>
            <w:vMerge/>
            <w:shd w:val="clear" w:color="000000" w:fill="auto"/>
            <w:noWrap/>
          </w:tcPr>
          <w:p w:rsidR="001E7BB4" w:rsidRPr="007930B0" w:rsidRDefault="001E7BB4" w:rsidP="004207F3">
            <w:pPr>
              <w:spacing w:before="40" w:after="40" w:line="220" w:lineRule="exact"/>
              <w:ind w:right="113"/>
              <w:rPr>
                <w:sz w:val="16"/>
                <w:szCs w:val="16"/>
              </w:rPr>
            </w:pPr>
          </w:p>
        </w:tc>
        <w:tc>
          <w:tcPr>
            <w:tcW w:w="2200"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Mejoramiento de la gestión de recursos humanos</w:t>
            </w:r>
          </w:p>
        </w:tc>
        <w:tc>
          <w:tcPr>
            <w:tcW w:w="1204"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37 330 422</w:t>
            </w:r>
          </w:p>
        </w:tc>
        <w:tc>
          <w:tcPr>
            <w:tcW w:w="1125"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19 516 422</w:t>
            </w:r>
          </w:p>
        </w:tc>
        <w:tc>
          <w:tcPr>
            <w:tcW w:w="1125"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5 717 401</w:t>
            </w:r>
          </w:p>
        </w:tc>
        <w:tc>
          <w:tcPr>
            <w:tcW w:w="961"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52,3%</w:t>
            </w:r>
          </w:p>
        </w:tc>
        <w:tc>
          <w:tcPr>
            <w:tcW w:w="961"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15,3%</w:t>
            </w:r>
          </w:p>
        </w:tc>
        <w:tc>
          <w:tcPr>
            <w:tcW w:w="1063"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29,3%</w:t>
            </w:r>
          </w:p>
        </w:tc>
      </w:tr>
      <w:tr w:rsidR="004207F3" w:rsidRPr="007930B0">
        <w:tc>
          <w:tcPr>
            <w:tcW w:w="1000" w:type="dxa"/>
            <w:vMerge/>
            <w:shd w:val="clear" w:color="000000" w:fill="auto"/>
            <w:noWrap/>
          </w:tcPr>
          <w:p w:rsidR="001E7BB4" w:rsidRPr="007930B0" w:rsidRDefault="001E7BB4" w:rsidP="004207F3">
            <w:pPr>
              <w:spacing w:before="40" w:after="40" w:line="220" w:lineRule="exact"/>
              <w:ind w:right="113"/>
              <w:rPr>
                <w:sz w:val="16"/>
                <w:szCs w:val="16"/>
              </w:rPr>
            </w:pPr>
          </w:p>
        </w:tc>
        <w:tc>
          <w:tcPr>
            <w:tcW w:w="2200"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Gestión pedagógica basada</w:t>
            </w:r>
            <w:r w:rsidR="004207F3" w:rsidRPr="007930B0">
              <w:rPr>
                <w:sz w:val="16"/>
                <w:szCs w:val="16"/>
              </w:rPr>
              <w:t xml:space="preserve"> </w:t>
            </w:r>
            <w:r w:rsidRPr="007930B0">
              <w:rPr>
                <w:sz w:val="16"/>
                <w:szCs w:val="16"/>
              </w:rPr>
              <w:t>en los resultados</w:t>
            </w:r>
          </w:p>
        </w:tc>
        <w:tc>
          <w:tcPr>
            <w:tcW w:w="1204"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112 486 941</w:t>
            </w:r>
          </w:p>
        </w:tc>
        <w:tc>
          <w:tcPr>
            <w:tcW w:w="1125"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50 454 659</w:t>
            </w:r>
          </w:p>
        </w:tc>
        <w:tc>
          <w:tcPr>
            <w:tcW w:w="1125"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15 126 835</w:t>
            </w:r>
          </w:p>
        </w:tc>
        <w:tc>
          <w:tcPr>
            <w:tcW w:w="961"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44,9%</w:t>
            </w:r>
          </w:p>
        </w:tc>
        <w:tc>
          <w:tcPr>
            <w:tcW w:w="961"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13,4%</w:t>
            </w:r>
          </w:p>
        </w:tc>
        <w:tc>
          <w:tcPr>
            <w:tcW w:w="1063"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30,0%</w:t>
            </w:r>
          </w:p>
        </w:tc>
      </w:tr>
      <w:tr w:rsidR="004207F3" w:rsidRPr="007930B0">
        <w:tc>
          <w:tcPr>
            <w:tcW w:w="1000" w:type="dxa"/>
            <w:vMerge/>
            <w:shd w:val="clear" w:color="000000" w:fill="auto"/>
            <w:noWrap/>
          </w:tcPr>
          <w:p w:rsidR="001E7BB4" w:rsidRPr="007930B0" w:rsidRDefault="001E7BB4" w:rsidP="004207F3">
            <w:pPr>
              <w:spacing w:before="40" w:after="40" w:line="220" w:lineRule="exact"/>
              <w:ind w:right="113"/>
              <w:rPr>
                <w:sz w:val="16"/>
                <w:szCs w:val="16"/>
              </w:rPr>
            </w:pPr>
          </w:p>
        </w:tc>
        <w:tc>
          <w:tcPr>
            <w:tcW w:w="2200"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Mejoramiento de la gestión administrativa y financiera</w:t>
            </w:r>
          </w:p>
        </w:tc>
        <w:tc>
          <w:tcPr>
            <w:tcW w:w="1204"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920 460 148</w:t>
            </w:r>
          </w:p>
        </w:tc>
        <w:tc>
          <w:tcPr>
            <w:tcW w:w="1125"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719 927 883</w:t>
            </w:r>
          </w:p>
        </w:tc>
        <w:tc>
          <w:tcPr>
            <w:tcW w:w="1125"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353 972 529</w:t>
            </w:r>
          </w:p>
        </w:tc>
        <w:tc>
          <w:tcPr>
            <w:tcW w:w="961"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78,2%</w:t>
            </w:r>
          </w:p>
        </w:tc>
        <w:tc>
          <w:tcPr>
            <w:tcW w:w="961"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38,5%</w:t>
            </w:r>
          </w:p>
        </w:tc>
        <w:tc>
          <w:tcPr>
            <w:tcW w:w="1063"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49,2%</w:t>
            </w:r>
          </w:p>
        </w:tc>
      </w:tr>
      <w:tr w:rsidR="004207F3" w:rsidRPr="007930B0">
        <w:tc>
          <w:tcPr>
            <w:tcW w:w="1000" w:type="dxa"/>
            <w:vMerge/>
            <w:tcBorders>
              <w:bottom w:val="single" w:sz="4" w:space="0" w:color="auto"/>
            </w:tcBorders>
            <w:shd w:val="clear" w:color="000000" w:fill="auto"/>
            <w:noWrap/>
          </w:tcPr>
          <w:p w:rsidR="001E7BB4" w:rsidRPr="007930B0" w:rsidRDefault="001E7BB4" w:rsidP="004207F3">
            <w:pPr>
              <w:spacing w:before="40" w:after="40" w:line="220" w:lineRule="exact"/>
              <w:ind w:right="113"/>
              <w:rPr>
                <w:sz w:val="16"/>
                <w:szCs w:val="16"/>
              </w:rPr>
            </w:pPr>
          </w:p>
        </w:tc>
        <w:tc>
          <w:tcPr>
            <w:tcW w:w="2200" w:type="dxa"/>
            <w:tcBorders>
              <w:bottom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Coordinación de programas</w:t>
            </w:r>
          </w:p>
        </w:tc>
        <w:tc>
          <w:tcPr>
            <w:tcW w:w="1204" w:type="dxa"/>
            <w:tcBorders>
              <w:bottom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400 977 280</w:t>
            </w:r>
          </w:p>
        </w:tc>
        <w:tc>
          <w:tcPr>
            <w:tcW w:w="1125" w:type="dxa"/>
            <w:tcBorders>
              <w:bottom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378 570 028</w:t>
            </w:r>
          </w:p>
        </w:tc>
        <w:tc>
          <w:tcPr>
            <w:tcW w:w="1125" w:type="dxa"/>
            <w:tcBorders>
              <w:bottom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303 733 782</w:t>
            </w:r>
          </w:p>
        </w:tc>
        <w:tc>
          <w:tcPr>
            <w:tcW w:w="961" w:type="dxa"/>
            <w:tcBorders>
              <w:bottom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94,4%</w:t>
            </w:r>
          </w:p>
        </w:tc>
        <w:tc>
          <w:tcPr>
            <w:tcW w:w="961" w:type="dxa"/>
            <w:tcBorders>
              <w:bottom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75,7%</w:t>
            </w:r>
          </w:p>
        </w:tc>
        <w:tc>
          <w:tcPr>
            <w:tcW w:w="1063" w:type="dxa"/>
            <w:tcBorders>
              <w:bottom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80,2%</w:t>
            </w:r>
          </w:p>
        </w:tc>
      </w:tr>
      <w:tr w:rsidR="004207F3" w:rsidRPr="007930B0">
        <w:tc>
          <w:tcPr>
            <w:tcW w:w="3200" w:type="dxa"/>
            <w:gridSpan w:val="2"/>
            <w:tcBorders>
              <w:top w:val="single" w:sz="4" w:space="0" w:color="auto"/>
              <w:bottom w:val="single" w:sz="4" w:space="0" w:color="auto"/>
            </w:tcBorders>
            <w:shd w:val="clear" w:color="000000" w:fill="auto"/>
            <w:noWrap/>
          </w:tcPr>
          <w:p w:rsidR="001E7BB4" w:rsidRPr="007930B0" w:rsidRDefault="001E7BB4" w:rsidP="00245838">
            <w:pPr>
              <w:spacing w:before="80" w:after="80" w:line="220" w:lineRule="exact"/>
              <w:ind w:left="284" w:right="113"/>
              <w:rPr>
                <w:b/>
                <w:sz w:val="16"/>
                <w:szCs w:val="16"/>
              </w:rPr>
            </w:pPr>
            <w:r w:rsidRPr="007930B0">
              <w:rPr>
                <w:b/>
                <w:sz w:val="16"/>
                <w:szCs w:val="16"/>
              </w:rPr>
              <w:t>Subtotal</w:t>
            </w:r>
          </w:p>
        </w:tc>
        <w:tc>
          <w:tcPr>
            <w:tcW w:w="1204" w:type="dxa"/>
            <w:tcBorders>
              <w:top w:val="single" w:sz="4" w:space="0" w:color="auto"/>
              <w:bottom w:val="single" w:sz="4" w:space="0" w:color="auto"/>
            </w:tcBorders>
            <w:shd w:val="clear" w:color="000000" w:fill="auto"/>
            <w:noWrap/>
            <w:vAlign w:val="bottom"/>
          </w:tcPr>
          <w:p w:rsidR="001E7BB4" w:rsidRPr="007930B0" w:rsidRDefault="001E7BB4" w:rsidP="00245838">
            <w:pPr>
              <w:spacing w:before="80" w:after="80" w:line="220" w:lineRule="exact"/>
              <w:ind w:right="113"/>
              <w:jc w:val="right"/>
              <w:rPr>
                <w:b/>
                <w:sz w:val="16"/>
                <w:szCs w:val="16"/>
              </w:rPr>
            </w:pPr>
            <w:r w:rsidRPr="007930B0">
              <w:rPr>
                <w:b/>
                <w:sz w:val="16"/>
                <w:szCs w:val="16"/>
              </w:rPr>
              <w:t>1 794 361 320</w:t>
            </w:r>
          </w:p>
        </w:tc>
        <w:tc>
          <w:tcPr>
            <w:tcW w:w="1125" w:type="dxa"/>
            <w:tcBorders>
              <w:top w:val="single" w:sz="4" w:space="0" w:color="auto"/>
              <w:bottom w:val="single" w:sz="4" w:space="0" w:color="auto"/>
            </w:tcBorders>
            <w:shd w:val="clear" w:color="000000" w:fill="auto"/>
            <w:noWrap/>
            <w:vAlign w:val="bottom"/>
          </w:tcPr>
          <w:p w:rsidR="001E7BB4" w:rsidRPr="007930B0" w:rsidRDefault="001E7BB4" w:rsidP="00245838">
            <w:pPr>
              <w:spacing w:before="80" w:after="80" w:line="220" w:lineRule="exact"/>
              <w:ind w:right="113"/>
              <w:jc w:val="right"/>
              <w:rPr>
                <w:b/>
                <w:sz w:val="16"/>
                <w:szCs w:val="16"/>
              </w:rPr>
            </w:pPr>
            <w:r w:rsidRPr="007930B0">
              <w:rPr>
                <w:b/>
                <w:sz w:val="16"/>
                <w:szCs w:val="16"/>
              </w:rPr>
              <w:t>1 405 651 577</w:t>
            </w:r>
          </w:p>
        </w:tc>
        <w:tc>
          <w:tcPr>
            <w:tcW w:w="1125" w:type="dxa"/>
            <w:tcBorders>
              <w:top w:val="single" w:sz="4" w:space="0" w:color="auto"/>
              <w:bottom w:val="single" w:sz="4" w:space="0" w:color="auto"/>
            </w:tcBorders>
            <w:shd w:val="clear" w:color="000000" w:fill="auto"/>
            <w:noWrap/>
            <w:vAlign w:val="bottom"/>
          </w:tcPr>
          <w:p w:rsidR="001E7BB4" w:rsidRPr="007930B0" w:rsidRDefault="001E7BB4" w:rsidP="00245838">
            <w:pPr>
              <w:spacing w:before="80" w:after="80" w:line="220" w:lineRule="exact"/>
              <w:ind w:right="113"/>
              <w:jc w:val="right"/>
              <w:rPr>
                <w:b/>
                <w:sz w:val="16"/>
                <w:szCs w:val="16"/>
              </w:rPr>
            </w:pPr>
            <w:r w:rsidRPr="007930B0">
              <w:rPr>
                <w:b/>
                <w:sz w:val="16"/>
                <w:szCs w:val="16"/>
              </w:rPr>
              <w:t>783 917 352</w:t>
            </w:r>
          </w:p>
        </w:tc>
        <w:tc>
          <w:tcPr>
            <w:tcW w:w="961" w:type="dxa"/>
            <w:tcBorders>
              <w:top w:val="single" w:sz="4" w:space="0" w:color="auto"/>
              <w:bottom w:val="single" w:sz="4" w:space="0" w:color="auto"/>
            </w:tcBorders>
            <w:shd w:val="clear" w:color="000000" w:fill="auto"/>
            <w:noWrap/>
            <w:vAlign w:val="bottom"/>
          </w:tcPr>
          <w:p w:rsidR="001E7BB4" w:rsidRPr="007930B0" w:rsidRDefault="001E7BB4" w:rsidP="00245838">
            <w:pPr>
              <w:spacing w:before="80" w:after="80" w:line="220" w:lineRule="exact"/>
              <w:ind w:right="113"/>
              <w:jc w:val="right"/>
              <w:rPr>
                <w:b/>
                <w:sz w:val="16"/>
                <w:szCs w:val="16"/>
              </w:rPr>
            </w:pPr>
            <w:r w:rsidRPr="007930B0">
              <w:rPr>
                <w:b/>
                <w:sz w:val="16"/>
                <w:szCs w:val="16"/>
              </w:rPr>
              <w:t>78,3%</w:t>
            </w:r>
          </w:p>
        </w:tc>
        <w:tc>
          <w:tcPr>
            <w:tcW w:w="961" w:type="dxa"/>
            <w:tcBorders>
              <w:top w:val="single" w:sz="4" w:space="0" w:color="auto"/>
              <w:bottom w:val="single" w:sz="4" w:space="0" w:color="auto"/>
            </w:tcBorders>
            <w:shd w:val="clear" w:color="000000" w:fill="auto"/>
            <w:noWrap/>
            <w:vAlign w:val="bottom"/>
          </w:tcPr>
          <w:p w:rsidR="001E7BB4" w:rsidRPr="007930B0" w:rsidRDefault="001E7BB4" w:rsidP="00245838">
            <w:pPr>
              <w:spacing w:before="80" w:after="80" w:line="220" w:lineRule="exact"/>
              <w:ind w:right="113"/>
              <w:jc w:val="right"/>
              <w:rPr>
                <w:b/>
                <w:sz w:val="16"/>
                <w:szCs w:val="16"/>
              </w:rPr>
            </w:pPr>
            <w:r w:rsidRPr="007930B0">
              <w:rPr>
                <w:b/>
                <w:sz w:val="16"/>
                <w:szCs w:val="16"/>
              </w:rPr>
              <w:t>43,7%</w:t>
            </w:r>
          </w:p>
        </w:tc>
        <w:tc>
          <w:tcPr>
            <w:tcW w:w="1063" w:type="dxa"/>
            <w:tcBorders>
              <w:top w:val="single" w:sz="4" w:space="0" w:color="auto"/>
              <w:bottom w:val="single" w:sz="4" w:space="0" w:color="auto"/>
            </w:tcBorders>
            <w:shd w:val="clear" w:color="000000" w:fill="auto"/>
            <w:noWrap/>
            <w:vAlign w:val="bottom"/>
          </w:tcPr>
          <w:p w:rsidR="001E7BB4" w:rsidRPr="007930B0" w:rsidRDefault="001E7BB4" w:rsidP="00245838">
            <w:pPr>
              <w:spacing w:before="80" w:after="80" w:line="220" w:lineRule="exact"/>
              <w:ind w:right="113"/>
              <w:jc w:val="right"/>
              <w:rPr>
                <w:b/>
                <w:sz w:val="16"/>
                <w:szCs w:val="16"/>
              </w:rPr>
            </w:pPr>
            <w:r w:rsidRPr="007930B0">
              <w:rPr>
                <w:b/>
                <w:sz w:val="16"/>
                <w:szCs w:val="16"/>
              </w:rPr>
              <w:t>55,8%</w:t>
            </w:r>
          </w:p>
        </w:tc>
      </w:tr>
      <w:tr w:rsidR="004207F3" w:rsidRPr="007930B0">
        <w:tc>
          <w:tcPr>
            <w:tcW w:w="1000" w:type="dxa"/>
            <w:vMerge w:val="restart"/>
            <w:tcBorders>
              <w:top w:val="single" w:sz="4" w:space="0" w:color="auto"/>
            </w:tcBorders>
            <w:shd w:val="clear" w:color="000000" w:fill="auto"/>
            <w:noWrap/>
          </w:tcPr>
          <w:p w:rsidR="001E7BB4" w:rsidRPr="007930B0" w:rsidRDefault="001E7BB4" w:rsidP="004207F3">
            <w:pPr>
              <w:spacing w:before="40" w:after="40" w:line="220" w:lineRule="exact"/>
              <w:ind w:right="113"/>
              <w:rPr>
                <w:sz w:val="16"/>
                <w:szCs w:val="16"/>
              </w:rPr>
            </w:pPr>
            <w:r w:rsidRPr="007930B0">
              <w:rPr>
                <w:sz w:val="16"/>
                <w:szCs w:val="16"/>
              </w:rPr>
              <w:t>Calidad</w:t>
            </w:r>
          </w:p>
        </w:tc>
        <w:tc>
          <w:tcPr>
            <w:tcW w:w="2200" w:type="dxa"/>
            <w:tcBorders>
              <w:top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Calidad y contenido pedagógico de la enseñanza primaria</w:t>
            </w:r>
          </w:p>
        </w:tc>
        <w:tc>
          <w:tcPr>
            <w:tcW w:w="1204" w:type="dxa"/>
            <w:tcBorders>
              <w:top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2 092 986 704</w:t>
            </w:r>
          </w:p>
        </w:tc>
        <w:tc>
          <w:tcPr>
            <w:tcW w:w="1125" w:type="dxa"/>
            <w:tcBorders>
              <w:top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1 717 786 425</w:t>
            </w:r>
          </w:p>
        </w:tc>
        <w:tc>
          <w:tcPr>
            <w:tcW w:w="1125" w:type="dxa"/>
            <w:tcBorders>
              <w:top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729 143 556</w:t>
            </w:r>
          </w:p>
        </w:tc>
        <w:tc>
          <w:tcPr>
            <w:tcW w:w="961" w:type="dxa"/>
            <w:tcBorders>
              <w:top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82,1%</w:t>
            </w:r>
          </w:p>
        </w:tc>
        <w:tc>
          <w:tcPr>
            <w:tcW w:w="961" w:type="dxa"/>
            <w:tcBorders>
              <w:top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34,8%</w:t>
            </w:r>
          </w:p>
        </w:tc>
        <w:tc>
          <w:tcPr>
            <w:tcW w:w="1063" w:type="dxa"/>
            <w:tcBorders>
              <w:top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42,4%</w:t>
            </w:r>
          </w:p>
        </w:tc>
      </w:tr>
      <w:tr w:rsidR="004207F3" w:rsidRPr="007930B0">
        <w:tc>
          <w:tcPr>
            <w:tcW w:w="1000" w:type="dxa"/>
            <w:vMerge/>
            <w:shd w:val="clear" w:color="000000" w:fill="auto"/>
            <w:noWrap/>
          </w:tcPr>
          <w:p w:rsidR="001E7BB4" w:rsidRPr="007930B0" w:rsidRDefault="001E7BB4" w:rsidP="004207F3">
            <w:pPr>
              <w:spacing w:before="40" w:after="40" w:line="220" w:lineRule="exact"/>
              <w:ind w:right="113"/>
              <w:rPr>
                <w:sz w:val="16"/>
                <w:szCs w:val="16"/>
              </w:rPr>
            </w:pPr>
          </w:p>
        </w:tc>
        <w:tc>
          <w:tcPr>
            <w:tcW w:w="2200"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Mejora de la calidad/ eficacia de la enseñanza secundaria</w:t>
            </w:r>
          </w:p>
        </w:tc>
        <w:tc>
          <w:tcPr>
            <w:tcW w:w="1204"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1 606 600 000</w:t>
            </w:r>
          </w:p>
        </w:tc>
        <w:tc>
          <w:tcPr>
            <w:tcW w:w="1125"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1 199 331 782</w:t>
            </w:r>
          </w:p>
        </w:tc>
        <w:tc>
          <w:tcPr>
            <w:tcW w:w="1125"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678 534 435</w:t>
            </w:r>
          </w:p>
        </w:tc>
        <w:tc>
          <w:tcPr>
            <w:tcW w:w="961"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74,7%</w:t>
            </w:r>
          </w:p>
        </w:tc>
        <w:tc>
          <w:tcPr>
            <w:tcW w:w="961"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42,2%</w:t>
            </w:r>
          </w:p>
        </w:tc>
        <w:tc>
          <w:tcPr>
            <w:tcW w:w="1063"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56,6%</w:t>
            </w:r>
          </w:p>
        </w:tc>
      </w:tr>
      <w:tr w:rsidR="004207F3" w:rsidRPr="007930B0">
        <w:tc>
          <w:tcPr>
            <w:tcW w:w="1000" w:type="dxa"/>
            <w:vMerge/>
            <w:shd w:val="clear" w:color="000000" w:fill="auto"/>
            <w:noWrap/>
          </w:tcPr>
          <w:p w:rsidR="001E7BB4" w:rsidRPr="007930B0" w:rsidRDefault="001E7BB4" w:rsidP="004207F3">
            <w:pPr>
              <w:spacing w:before="40" w:after="40" w:line="220" w:lineRule="exact"/>
              <w:ind w:right="113"/>
              <w:rPr>
                <w:sz w:val="16"/>
                <w:szCs w:val="16"/>
              </w:rPr>
            </w:pPr>
          </w:p>
        </w:tc>
        <w:tc>
          <w:tcPr>
            <w:tcW w:w="2200"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Desarrollo de la primera infancia</w:t>
            </w:r>
          </w:p>
        </w:tc>
        <w:tc>
          <w:tcPr>
            <w:tcW w:w="1204"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181 600 000</w:t>
            </w:r>
          </w:p>
        </w:tc>
        <w:tc>
          <w:tcPr>
            <w:tcW w:w="1125"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44 244 400</w:t>
            </w:r>
          </w:p>
        </w:tc>
        <w:tc>
          <w:tcPr>
            <w:tcW w:w="1125"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39 149 650</w:t>
            </w:r>
          </w:p>
        </w:tc>
        <w:tc>
          <w:tcPr>
            <w:tcW w:w="961"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24,4%</w:t>
            </w:r>
          </w:p>
        </w:tc>
        <w:tc>
          <w:tcPr>
            <w:tcW w:w="961"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21,6%</w:t>
            </w:r>
          </w:p>
        </w:tc>
        <w:tc>
          <w:tcPr>
            <w:tcW w:w="1063"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88,5%</w:t>
            </w:r>
          </w:p>
        </w:tc>
      </w:tr>
      <w:tr w:rsidR="004207F3" w:rsidRPr="007930B0">
        <w:tc>
          <w:tcPr>
            <w:tcW w:w="1000" w:type="dxa"/>
            <w:vMerge/>
            <w:tcBorders>
              <w:bottom w:val="single" w:sz="4" w:space="0" w:color="auto"/>
            </w:tcBorders>
            <w:shd w:val="clear" w:color="000000" w:fill="auto"/>
            <w:noWrap/>
          </w:tcPr>
          <w:p w:rsidR="001E7BB4" w:rsidRPr="007930B0" w:rsidRDefault="001E7BB4" w:rsidP="004207F3">
            <w:pPr>
              <w:spacing w:before="40" w:after="40" w:line="220" w:lineRule="exact"/>
              <w:ind w:right="113"/>
              <w:rPr>
                <w:sz w:val="16"/>
                <w:szCs w:val="16"/>
              </w:rPr>
            </w:pPr>
          </w:p>
        </w:tc>
        <w:tc>
          <w:tcPr>
            <w:tcW w:w="2200" w:type="dxa"/>
            <w:tcBorders>
              <w:bottom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Promoción de la salud escolar</w:t>
            </w:r>
          </w:p>
        </w:tc>
        <w:tc>
          <w:tcPr>
            <w:tcW w:w="1204" w:type="dxa"/>
            <w:tcBorders>
              <w:bottom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173 649 000</w:t>
            </w:r>
          </w:p>
        </w:tc>
        <w:tc>
          <w:tcPr>
            <w:tcW w:w="1125" w:type="dxa"/>
            <w:tcBorders>
              <w:bottom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144 218 477</w:t>
            </w:r>
          </w:p>
        </w:tc>
        <w:tc>
          <w:tcPr>
            <w:tcW w:w="1125" w:type="dxa"/>
            <w:tcBorders>
              <w:bottom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88 273 661</w:t>
            </w:r>
          </w:p>
        </w:tc>
        <w:tc>
          <w:tcPr>
            <w:tcW w:w="961" w:type="dxa"/>
            <w:tcBorders>
              <w:bottom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83,1%</w:t>
            </w:r>
          </w:p>
        </w:tc>
        <w:tc>
          <w:tcPr>
            <w:tcW w:w="961" w:type="dxa"/>
            <w:tcBorders>
              <w:bottom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50,8%</w:t>
            </w:r>
          </w:p>
        </w:tc>
        <w:tc>
          <w:tcPr>
            <w:tcW w:w="1063" w:type="dxa"/>
            <w:tcBorders>
              <w:bottom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61,2%</w:t>
            </w:r>
          </w:p>
        </w:tc>
      </w:tr>
      <w:tr w:rsidR="004207F3" w:rsidRPr="007930B0">
        <w:tc>
          <w:tcPr>
            <w:tcW w:w="3200" w:type="dxa"/>
            <w:gridSpan w:val="2"/>
            <w:tcBorders>
              <w:top w:val="single" w:sz="4" w:space="0" w:color="auto"/>
              <w:bottom w:val="single" w:sz="4" w:space="0" w:color="auto"/>
            </w:tcBorders>
            <w:shd w:val="clear" w:color="000000" w:fill="auto"/>
            <w:noWrap/>
          </w:tcPr>
          <w:p w:rsidR="001E7BB4" w:rsidRPr="007930B0" w:rsidRDefault="001E7BB4" w:rsidP="00245838">
            <w:pPr>
              <w:spacing w:before="80" w:after="80" w:line="220" w:lineRule="exact"/>
              <w:ind w:left="284" w:right="113"/>
              <w:rPr>
                <w:b/>
                <w:sz w:val="16"/>
                <w:szCs w:val="16"/>
              </w:rPr>
            </w:pPr>
            <w:r w:rsidRPr="007930B0">
              <w:rPr>
                <w:b/>
                <w:sz w:val="16"/>
                <w:szCs w:val="16"/>
              </w:rPr>
              <w:t>Subtotal</w:t>
            </w:r>
          </w:p>
        </w:tc>
        <w:tc>
          <w:tcPr>
            <w:tcW w:w="1204" w:type="dxa"/>
            <w:tcBorders>
              <w:top w:val="single" w:sz="4" w:space="0" w:color="auto"/>
              <w:bottom w:val="single" w:sz="4" w:space="0" w:color="auto"/>
            </w:tcBorders>
            <w:shd w:val="clear" w:color="000000" w:fill="auto"/>
            <w:noWrap/>
            <w:vAlign w:val="bottom"/>
          </w:tcPr>
          <w:p w:rsidR="001E7BB4" w:rsidRPr="007930B0" w:rsidRDefault="001E7BB4" w:rsidP="00245838">
            <w:pPr>
              <w:spacing w:before="80" w:after="80" w:line="220" w:lineRule="exact"/>
              <w:ind w:right="113"/>
              <w:jc w:val="right"/>
              <w:rPr>
                <w:b/>
                <w:sz w:val="16"/>
                <w:szCs w:val="16"/>
              </w:rPr>
            </w:pPr>
            <w:r w:rsidRPr="007930B0">
              <w:rPr>
                <w:b/>
                <w:sz w:val="16"/>
                <w:szCs w:val="16"/>
              </w:rPr>
              <w:t>4 054 835 704</w:t>
            </w:r>
          </w:p>
        </w:tc>
        <w:tc>
          <w:tcPr>
            <w:tcW w:w="1125" w:type="dxa"/>
            <w:tcBorders>
              <w:top w:val="single" w:sz="4" w:space="0" w:color="auto"/>
              <w:bottom w:val="single" w:sz="4" w:space="0" w:color="auto"/>
            </w:tcBorders>
            <w:shd w:val="clear" w:color="000000" w:fill="auto"/>
            <w:noWrap/>
            <w:vAlign w:val="bottom"/>
          </w:tcPr>
          <w:p w:rsidR="001E7BB4" w:rsidRPr="007930B0" w:rsidRDefault="001E7BB4" w:rsidP="00245838">
            <w:pPr>
              <w:spacing w:before="80" w:after="80" w:line="220" w:lineRule="exact"/>
              <w:ind w:right="113"/>
              <w:jc w:val="right"/>
              <w:rPr>
                <w:b/>
                <w:sz w:val="16"/>
                <w:szCs w:val="16"/>
              </w:rPr>
            </w:pPr>
            <w:r w:rsidRPr="007930B0">
              <w:rPr>
                <w:b/>
                <w:sz w:val="16"/>
                <w:szCs w:val="16"/>
              </w:rPr>
              <w:t>3 105 581 084</w:t>
            </w:r>
          </w:p>
        </w:tc>
        <w:tc>
          <w:tcPr>
            <w:tcW w:w="1125" w:type="dxa"/>
            <w:tcBorders>
              <w:top w:val="single" w:sz="4" w:space="0" w:color="auto"/>
              <w:bottom w:val="single" w:sz="4" w:space="0" w:color="auto"/>
            </w:tcBorders>
            <w:shd w:val="clear" w:color="000000" w:fill="auto"/>
            <w:noWrap/>
            <w:vAlign w:val="bottom"/>
          </w:tcPr>
          <w:p w:rsidR="001E7BB4" w:rsidRPr="007930B0" w:rsidRDefault="001E7BB4" w:rsidP="00245838">
            <w:pPr>
              <w:spacing w:before="80" w:after="80" w:line="220" w:lineRule="exact"/>
              <w:ind w:right="113"/>
              <w:jc w:val="right"/>
              <w:rPr>
                <w:b/>
                <w:sz w:val="16"/>
                <w:szCs w:val="16"/>
              </w:rPr>
            </w:pPr>
            <w:r w:rsidRPr="007930B0">
              <w:rPr>
                <w:b/>
                <w:sz w:val="16"/>
                <w:szCs w:val="16"/>
              </w:rPr>
              <w:t>1 535 101 302</w:t>
            </w:r>
          </w:p>
        </w:tc>
        <w:tc>
          <w:tcPr>
            <w:tcW w:w="961" w:type="dxa"/>
            <w:tcBorders>
              <w:top w:val="single" w:sz="4" w:space="0" w:color="auto"/>
              <w:bottom w:val="single" w:sz="4" w:space="0" w:color="auto"/>
            </w:tcBorders>
            <w:shd w:val="clear" w:color="000000" w:fill="auto"/>
            <w:noWrap/>
            <w:vAlign w:val="bottom"/>
          </w:tcPr>
          <w:p w:rsidR="001E7BB4" w:rsidRPr="007930B0" w:rsidRDefault="001E7BB4" w:rsidP="00245838">
            <w:pPr>
              <w:spacing w:before="80" w:after="80" w:line="220" w:lineRule="exact"/>
              <w:ind w:right="113"/>
              <w:jc w:val="right"/>
              <w:rPr>
                <w:b/>
                <w:sz w:val="16"/>
                <w:szCs w:val="16"/>
              </w:rPr>
            </w:pPr>
            <w:r w:rsidRPr="007930B0">
              <w:rPr>
                <w:b/>
                <w:sz w:val="16"/>
                <w:szCs w:val="16"/>
              </w:rPr>
              <w:t>76,6%</w:t>
            </w:r>
          </w:p>
        </w:tc>
        <w:tc>
          <w:tcPr>
            <w:tcW w:w="961" w:type="dxa"/>
            <w:tcBorders>
              <w:top w:val="single" w:sz="4" w:space="0" w:color="auto"/>
              <w:bottom w:val="single" w:sz="4" w:space="0" w:color="auto"/>
            </w:tcBorders>
            <w:shd w:val="clear" w:color="000000" w:fill="auto"/>
            <w:noWrap/>
            <w:vAlign w:val="bottom"/>
          </w:tcPr>
          <w:p w:rsidR="001E7BB4" w:rsidRPr="007930B0" w:rsidRDefault="001E7BB4" w:rsidP="00245838">
            <w:pPr>
              <w:spacing w:before="80" w:after="80" w:line="220" w:lineRule="exact"/>
              <w:ind w:right="113"/>
              <w:jc w:val="right"/>
              <w:rPr>
                <w:b/>
                <w:sz w:val="16"/>
                <w:szCs w:val="16"/>
              </w:rPr>
            </w:pPr>
            <w:r w:rsidRPr="007930B0">
              <w:rPr>
                <w:b/>
                <w:sz w:val="16"/>
                <w:szCs w:val="16"/>
              </w:rPr>
              <w:t>37,9%</w:t>
            </w:r>
          </w:p>
        </w:tc>
        <w:tc>
          <w:tcPr>
            <w:tcW w:w="1063" w:type="dxa"/>
            <w:tcBorders>
              <w:top w:val="single" w:sz="4" w:space="0" w:color="auto"/>
              <w:bottom w:val="single" w:sz="4" w:space="0" w:color="auto"/>
            </w:tcBorders>
            <w:shd w:val="clear" w:color="000000" w:fill="auto"/>
            <w:noWrap/>
            <w:vAlign w:val="bottom"/>
          </w:tcPr>
          <w:p w:rsidR="001E7BB4" w:rsidRPr="007930B0" w:rsidRDefault="001E7BB4" w:rsidP="00245838">
            <w:pPr>
              <w:spacing w:before="80" w:after="80" w:line="220" w:lineRule="exact"/>
              <w:ind w:right="113"/>
              <w:jc w:val="right"/>
              <w:rPr>
                <w:b/>
                <w:sz w:val="16"/>
                <w:szCs w:val="16"/>
              </w:rPr>
            </w:pPr>
            <w:r w:rsidRPr="007930B0">
              <w:rPr>
                <w:b/>
                <w:sz w:val="16"/>
                <w:szCs w:val="16"/>
              </w:rPr>
              <w:t>49,4%</w:t>
            </w:r>
          </w:p>
        </w:tc>
      </w:tr>
      <w:tr w:rsidR="004207F3" w:rsidRPr="007930B0">
        <w:tc>
          <w:tcPr>
            <w:tcW w:w="1000" w:type="dxa"/>
            <w:vMerge w:val="restart"/>
            <w:tcBorders>
              <w:top w:val="single" w:sz="4" w:space="0" w:color="auto"/>
            </w:tcBorders>
            <w:shd w:val="clear" w:color="000000" w:fill="auto"/>
            <w:noWrap/>
          </w:tcPr>
          <w:p w:rsidR="001E7BB4" w:rsidRPr="007930B0" w:rsidRDefault="001E7BB4" w:rsidP="004207F3">
            <w:pPr>
              <w:spacing w:before="40" w:after="40" w:line="220" w:lineRule="exact"/>
              <w:ind w:right="113"/>
              <w:rPr>
                <w:sz w:val="16"/>
                <w:szCs w:val="16"/>
              </w:rPr>
            </w:pPr>
            <w:r w:rsidRPr="007930B0">
              <w:rPr>
                <w:sz w:val="16"/>
                <w:szCs w:val="16"/>
              </w:rPr>
              <w:t>Acceso</w:t>
            </w:r>
          </w:p>
        </w:tc>
        <w:tc>
          <w:tcPr>
            <w:tcW w:w="2200" w:type="dxa"/>
            <w:tcBorders>
              <w:top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Promoción del acceso universal</w:t>
            </w:r>
            <w:r w:rsidR="004207F3" w:rsidRPr="007930B0">
              <w:rPr>
                <w:sz w:val="16"/>
                <w:szCs w:val="16"/>
              </w:rPr>
              <w:t xml:space="preserve"> </w:t>
            </w:r>
            <w:r w:rsidRPr="007930B0">
              <w:rPr>
                <w:sz w:val="16"/>
                <w:szCs w:val="16"/>
              </w:rPr>
              <w:t>a la enseñanza primaria</w:t>
            </w:r>
          </w:p>
        </w:tc>
        <w:tc>
          <w:tcPr>
            <w:tcW w:w="1204" w:type="dxa"/>
            <w:tcBorders>
              <w:top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2 616 398 784</w:t>
            </w:r>
          </w:p>
        </w:tc>
        <w:tc>
          <w:tcPr>
            <w:tcW w:w="1125" w:type="dxa"/>
            <w:tcBorders>
              <w:top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1 796 947 296</w:t>
            </w:r>
          </w:p>
        </w:tc>
        <w:tc>
          <w:tcPr>
            <w:tcW w:w="1125" w:type="dxa"/>
            <w:tcBorders>
              <w:top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750 624 415</w:t>
            </w:r>
          </w:p>
        </w:tc>
        <w:tc>
          <w:tcPr>
            <w:tcW w:w="961" w:type="dxa"/>
            <w:tcBorders>
              <w:top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68,7%</w:t>
            </w:r>
          </w:p>
        </w:tc>
        <w:tc>
          <w:tcPr>
            <w:tcW w:w="961" w:type="dxa"/>
            <w:tcBorders>
              <w:top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28,7%</w:t>
            </w:r>
          </w:p>
        </w:tc>
        <w:tc>
          <w:tcPr>
            <w:tcW w:w="1063" w:type="dxa"/>
            <w:tcBorders>
              <w:top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41,8%</w:t>
            </w:r>
          </w:p>
        </w:tc>
      </w:tr>
      <w:tr w:rsidR="004207F3" w:rsidRPr="007930B0">
        <w:tc>
          <w:tcPr>
            <w:tcW w:w="1000" w:type="dxa"/>
            <w:vMerge/>
            <w:shd w:val="clear" w:color="000000" w:fill="auto"/>
            <w:noWrap/>
          </w:tcPr>
          <w:p w:rsidR="001E7BB4" w:rsidRPr="007930B0" w:rsidRDefault="001E7BB4" w:rsidP="004207F3">
            <w:pPr>
              <w:spacing w:before="40" w:after="40" w:line="220" w:lineRule="exact"/>
              <w:ind w:right="113"/>
              <w:rPr>
                <w:sz w:val="16"/>
                <w:szCs w:val="16"/>
              </w:rPr>
            </w:pPr>
          </w:p>
        </w:tc>
        <w:tc>
          <w:tcPr>
            <w:tcW w:w="2200"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Mejora del acceso/ equidad en la enseñanza secundaria</w:t>
            </w:r>
          </w:p>
        </w:tc>
        <w:tc>
          <w:tcPr>
            <w:tcW w:w="1204"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1 505 771 022</w:t>
            </w:r>
          </w:p>
        </w:tc>
        <w:tc>
          <w:tcPr>
            <w:tcW w:w="1125"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1 820 500 623</w:t>
            </w:r>
          </w:p>
        </w:tc>
        <w:tc>
          <w:tcPr>
            <w:tcW w:w="1125"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1 976 353 692</w:t>
            </w:r>
          </w:p>
        </w:tc>
        <w:tc>
          <w:tcPr>
            <w:tcW w:w="961"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120,9%</w:t>
            </w:r>
          </w:p>
        </w:tc>
        <w:tc>
          <w:tcPr>
            <w:tcW w:w="961"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131,3%</w:t>
            </w:r>
          </w:p>
        </w:tc>
        <w:tc>
          <w:tcPr>
            <w:tcW w:w="1063"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108,6%</w:t>
            </w:r>
          </w:p>
        </w:tc>
      </w:tr>
      <w:tr w:rsidR="004207F3" w:rsidRPr="007930B0">
        <w:tc>
          <w:tcPr>
            <w:tcW w:w="1000" w:type="dxa"/>
            <w:vMerge/>
            <w:shd w:val="clear" w:color="000000" w:fill="auto"/>
            <w:noWrap/>
          </w:tcPr>
          <w:p w:rsidR="001E7BB4" w:rsidRPr="007930B0" w:rsidRDefault="001E7BB4" w:rsidP="004207F3">
            <w:pPr>
              <w:spacing w:before="40" w:after="40" w:line="220" w:lineRule="exact"/>
              <w:ind w:right="113"/>
              <w:rPr>
                <w:sz w:val="16"/>
                <w:szCs w:val="16"/>
              </w:rPr>
            </w:pPr>
          </w:p>
        </w:tc>
        <w:tc>
          <w:tcPr>
            <w:tcW w:w="2200"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Escolarización de las niñas</w:t>
            </w:r>
          </w:p>
        </w:tc>
        <w:tc>
          <w:tcPr>
            <w:tcW w:w="1204"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17 894 770</w:t>
            </w:r>
          </w:p>
        </w:tc>
        <w:tc>
          <w:tcPr>
            <w:tcW w:w="1125"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16 894 771</w:t>
            </w:r>
          </w:p>
        </w:tc>
        <w:tc>
          <w:tcPr>
            <w:tcW w:w="1125"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15 384 292</w:t>
            </w:r>
          </w:p>
        </w:tc>
        <w:tc>
          <w:tcPr>
            <w:tcW w:w="961"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94,4%</w:t>
            </w:r>
          </w:p>
        </w:tc>
        <w:tc>
          <w:tcPr>
            <w:tcW w:w="961"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86,0%</w:t>
            </w:r>
          </w:p>
        </w:tc>
        <w:tc>
          <w:tcPr>
            <w:tcW w:w="1063"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91,1%</w:t>
            </w:r>
          </w:p>
        </w:tc>
      </w:tr>
      <w:tr w:rsidR="004207F3" w:rsidRPr="007930B0">
        <w:tc>
          <w:tcPr>
            <w:tcW w:w="1000" w:type="dxa"/>
            <w:vMerge/>
            <w:shd w:val="clear" w:color="000000" w:fill="auto"/>
            <w:noWrap/>
          </w:tcPr>
          <w:p w:rsidR="001E7BB4" w:rsidRPr="007930B0" w:rsidRDefault="001E7BB4" w:rsidP="004207F3">
            <w:pPr>
              <w:spacing w:before="40" w:after="40" w:line="220" w:lineRule="exact"/>
              <w:ind w:right="113"/>
              <w:rPr>
                <w:sz w:val="16"/>
                <w:szCs w:val="16"/>
              </w:rPr>
            </w:pPr>
          </w:p>
        </w:tc>
        <w:tc>
          <w:tcPr>
            <w:tcW w:w="2200"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Promoción de la enseñanza privada</w:t>
            </w:r>
          </w:p>
        </w:tc>
        <w:tc>
          <w:tcPr>
            <w:tcW w:w="1204"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35 789 900</w:t>
            </w:r>
          </w:p>
        </w:tc>
        <w:tc>
          <w:tcPr>
            <w:tcW w:w="1125"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4 691 596</w:t>
            </w:r>
          </w:p>
        </w:tc>
        <w:tc>
          <w:tcPr>
            <w:tcW w:w="1125"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4 691 596</w:t>
            </w:r>
          </w:p>
        </w:tc>
        <w:tc>
          <w:tcPr>
            <w:tcW w:w="961"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13,1%</w:t>
            </w:r>
          </w:p>
        </w:tc>
        <w:tc>
          <w:tcPr>
            <w:tcW w:w="961"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13,1%</w:t>
            </w:r>
          </w:p>
        </w:tc>
        <w:tc>
          <w:tcPr>
            <w:tcW w:w="1063" w:type="dxa"/>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100,0%</w:t>
            </w:r>
          </w:p>
        </w:tc>
      </w:tr>
      <w:tr w:rsidR="004207F3" w:rsidRPr="007930B0">
        <w:tc>
          <w:tcPr>
            <w:tcW w:w="1000" w:type="dxa"/>
            <w:vMerge/>
            <w:tcBorders>
              <w:bottom w:val="single" w:sz="4" w:space="0" w:color="auto"/>
            </w:tcBorders>
            <w:shd w:val="clear" w:color="000000" w:fill="auto"/>
            <w:noWrap/>
          </w:tcPr>
          <w:p w:rsidR="001E7BB4" w:rsidRPr="007930B0" w:rsidRDefault="001E7BB4" w:rsidP="004207F3">
            <w:pPr>
              <w:spacing w:before="40" w:after="40" w:line="220" w:lineRule="exact"/>
              <w:ind w:right="113"/>
              <w:rPr>
                <w:sz w:val="16"/>
                <w:szCs w:val="16"/>
              </w:rPr>
            </w:pPr>
          </w:p>
        </w:tc>
        <w:tc>
          <w:tcPr>
            <w:tcW w:w="2200" w:type="dxa"/>
            <w:tcBorders>
              <w:bottom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Promoción de la alfabetización y la educación no formal</w:t>
            </w:r>
          </w:p>
        </w:tc>
        <w:tc>
          <w:tcPr>
            <w:tcW w:w="1204" w:type="dxa"/>
            <w:tcBorders>
              <w:bottom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178 382 600</w:t>
            </w:r>
          </w:p>
        </w:tc>
        <w:tc>
          <w:tcPr>
            <w:tcW w:w="1125" w:type="dxa"/>
            <w:tcBorders>
              <w:bottom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155 952 917</w:t>
            </w:r>
          </w:p>
        </w:tc>
        <w:tc>
          <w:tcPr>
            <w:tcW w:w="1125" w:type="dxa"/>
            <w:tcBorders>
              <w:bottom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139 876 289</w:t>
            </w:r>
          </w:p>
        </w:tc>
        <w:tc>
          <w:tcPr>
            <w:tcW w:w="961" w:type="dxa"/>
            <w:tcBorders>
              <w:bottom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87,4%</w:t>
            </w:r>
          </w:p>
        </w:tc>
        <w:tc>
          <w:tcPr>
            <w:tcW w:w="961" w:type="dxa"/>
            <w:tcBorders>
              <w:bottom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78,4%</w:t>
            </w:r>
          </w:p>
        </w:tc>
        <w:tc>
          <w:tcPr>
            <w:tcW w:w="1063" w:type="dxa"/>
            <w:tcBorders>
              <w:bottom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89,7%</w:t>
            </w:r>
          </w:p>
        </w:tc>
      </w:tr>
      <w:tr w:rsidR="004207F3" w:rsidRPr="007930B0">
        <w:tc>
          <w:tcPr>
            <w:tcW w:w="3200" w:type="dxa"/>
            <w:gridSpan w:val="2"/>
            <w:tcBorders>
              <w:top w:val="single" w:sz="4" w:space="0" w:color="auto"/>
              <w:bottom w:val="single" w:sz="4" w:space="0" w:color="auto"/>
            </w:tcBorders>
            <w:shd w:val="clear" w:color="000000" w:fill="auto"/>
            <w:noWrap/>
          </w:tcPr>
          <w:p w:rsidR="001E7BB4" w:rsidRPr="007930B0" w:rsidRDefault="001E7BB4" w:rsidP="00245838">
            <w:pPr>
              <w:spacing w:before="80" w:after="80" w:line="220" w:lineRule="exact"/>
              <w:ind w:left="284" w:right="113"/>
              <w:rPr>
                <w:b/>
                <w:sz w:val="16"/>
                <w:szCs w:val="16"/>
              </w:rPr>
            </w:pPr>
            <w:r w:rsidRPr="007930B0">
              <w:rPr>
                <w:b/>
                <w:sz w:val="16"/>
                <w:szCs w:val="16"/>
              </w:rPr>
              <w:t>Subtotal</w:t>
            </w:r>
          </w:p>
        </w:tc>
        <w:tc>
          <w:tcPr>
            <w:tcW w:w="1204" w:type="dxa"/>
            <w:tcBorders>
              <w:top w:val="single" w:sz="4" w:space="0" w:color="auto"/>
              <w:bottom w:val="single" w:sz="4" w:space="0" w:color="auto"/>
            </w:tcBorders>
            <w:shd w:val="clear" w:color="000000" w:fill="auto"/>
            <w:noWrap/>
            <w:vAlign w:val="bottom"/>
          </w:tcPr>
          <w:p w:rsidR="001E7BB4" w:rsidRPr="007930B0" w:rsidRDefault="001E7BB4" w:rsidP="00245838">
            <w:pPr>
              <w:spacing w:before="80" w:after="80" w:line="220" w:lineRule="exact"/>
              <w:ind w:right="113"/>
              <w:jc w:val="right"/>
              <w:rPr>
                <w:b/>
                <w:sz w:val="16"/>
                <w:szCs w:val="16"/>
              </w:rPr>
            </w:pPr>
            <w:r w:rsidRPr="007930B0">
              <w:rPr>
                <w:b/>
                <w:sz w:val="16"/>
                <w:szCs w:val="16"/>
              </w:rPr>
              <w:t>4 354 237 076</w:t>
            </w:r>
          </w:p>
        </w:tc>
        <w:tc>
          <w:tcPr>
            <w:tcW w:w="1125" w:type="dxa"/>
            <w:tcBorders>
              <w:top w:val="single" w:sz="4" w:space="0" w:color="auto"/>
              <w:bottom w:val="single" w:sz="4" w:space="0" w:color="auto"/>
            </w:tcBorders>
            <w:shd w:val="clear" w:color="000000" w:fill="auto"/>
            <w:noWrap/>
            <w:vAlign w:val="bottom"/>
          </w:tcPr>
          <w:p w:rsidR="001E7BB4" w:rsidRPr="007930B0" w:rsidRDefault="001E7BB4" w:rsidP="00245838">
            <w:pPr>
              <w:spacing w:before="80" w:after="80" w:line="220" w:lineRule="exact"/>
              <w:ind w:right="113"/>
              <w:jc w:val="right"/>
              <w:rPr>
                <w:b/>
                <w:sz w:val="16"/>
                <w:szCs w:val="16"/>
              </w:rPr>
            </w:pPr>
            <w:r w:rsidRPr="007930B0">
              <w:rPr>
                <w:b/>
                <w:sz w:val="16"/>
                <w:szCs w:val="16"/>
              </w:rPr>
              <w:t>3 794 987 203</w:t>
            </w:r>
          </w:p>
        </w:tc>
        <w:tc>
          <w:tcPr>
            <w:tcW w:w="1125" w:type="dxa"/>
            <w:tcBorders>
              <w:top w:val="single" w:sz="4" w:space="0" w:color="auto"/>
              <w:bottom w:val="single" w:sz="4" w:space="0" w:color="auto"/>
            </w:tcBorders>
            <w:shd w:val="clear" w:color="000000" w:fill="auto"/>
            <w:noWrap/>
            <w:vAlign w:val="bottom"/>
          </w:tcPr>
          <w:p w:rsidR="001E7BB4" w:rsidRPr="007930B0" w:rsidRDefault="001E7BB4" w:rsidP="00245838">
            <w:pPr>
              <w:spacing w:before="80" w:after="80" w:line="220" w:lineRule="exact"/>
              <w:ind w:right="113"/>
              <w:jc w:val="right"/>
              <w:rPr>
                <w:b/>
                <w:sz w:val="16"/>
                <w:szCs w:val="16"/>
              </w:rPr>
            </w:pPr>
            <w:r w:rsidRPr="007930B0">
              <w:rPr>
                <w:b/>
                <w:sz w:val="16"/>
                <w:szCs w:val="16"/>
              </w:rPr>
              <w:t>2 886 930 284</w:t>
            </w:r>
          </w:p>
        </w:tc>
        <w:tc>
          <w:tcPr>
            <w:tcW w:w="961" w:type="dxa"/>
            <w:tcBorders>
              <w:top w:val="single" w:sz="4" w:space="0" w:color="auto"/>
              <w:bottom w:val="single" w:sz="4" w:space="0" w:color="auto"/>
            </w:tcBorders>
            <w:shd w:val="clear" w:color="000000" w:fill="auto"/>
            <w:noWrap/>
            <w:vAlign w:val="bottom"/>
          </w:tcPr>
          <w:p w:rsidR="001E7BB4" w:rsidRPr="007930B0" w:rsidRDefault="001E7BB4" w:rsidP="00245838">
            <w:pPr>
              <w:spacing w:before="80" w:after="80" w:line="220" w:lineRule="exact"/>
              <w:ind w:right="113"/>
              <w:jc w:val="right"/>
              <w:rPr>
                <w:b/>
                <w:sz w:val="16"/>
                <w:szCs w:val="16"/>
              </w:rPr>
            </w:pPr>
            <w:r w:rsidRPr="007930B0">
              <w:rPr>
                <w:b/>
                <w:sz w:val="16"/>
                <w:szCs w:val="16"/>
              </w:rPr>
              <w:t>87,2%</w:t>
            </w:r>
          </w:p>
        </w:tc>
        <w:tc>
          <w:tcPr>
            <w:tcW w:w="961" w:type="dxa"/>
            <w:tcBorders>
              <w:top w:val="single" w:sz="4" w:space="0" w:color="auto"/>
              <w:bottom w:val="single" w:sz="4" w:space="0" w:color="auto"/>
            </w:tcBorders>
            <w:shd w:val="clear" w:color="000000" w:fill="auto"/>
            <w:noWrap/>
            <w:vAlign w:val="bottom"/>
          </w:tcPr>
          <w:p w:rsidR="001E7BB4" w:rsidRPr="007930B0" w:rsidRDefault="001E7BB4" w:rsidP="00245838">
            <w:pPr>
              <w:spacing w:before="80" w:after="80" w:line="220" w:lineRule="exact"/>
              <w:ind w:right="113"/>
              <w:jc w:val="right"/>
              <w:rPr>
                <w:b/>
                <w:sz w:val="16"/>
                <w:szCs w:val="16"/>
              </w:rPr>
            </w:pPr>
            <w:r w:rsidRPr="007930B0">
              <w:rPr>
                <w:b/>
                <w:sz w:val="16"/>
                <w:szCs w:val="16"/>
              </w:rPr>
              <w:t>66,3%</w:t>
            </w:r>
          </w:p>
        </w:tc>
        <w:tc>
          <w:tcPr>
            <w:tcW w:w="1063" w:type="dxa"/>
            <w:tcBorders>
              <w:top w:val="single" w:sz="4" w:space="0" w:color="auto"/>
              <w:bottom w:val="single" w:sz="4" w:space="0" w:color="auto"/>
            </w:tcBorders>
            <w:shd w:val="clear" w:color="000000" w:fill="auto"/>
            <w:noWrap/>
            <w:vAlign w:val="bottom"/>
          </w:tcPr>
          <w:p w:rsidR="001E7BB4" w:rsidRPr="007930B0" w:rsidRDefault="001E7BB4" w:rsidP="00245838">
            <w:pPr>
              <w:spacing w:before="80" w:after="80" w:line="220" w:lineRule="exact"/>
              <w:ind w:right="113"/>
              <w:jc w:val="right"/>
              <w:rPr>
                <w:b/>
                <w:sz w:val="16"/>
                <w:szCs w:val="16"/>
              </w:rPr>
            </w:pPr>
            <w:r w:rsidRPr="007930B0">
              <w:rPr>
                <w:b/>
                <w:sz w:val="16"/>
                <w:szCs w:val="16"/>
              </w:rPr>
              <w:t>76,1%</w:t>
            </w:r>
          </w:p>
        </w:tc>
      </w:tr>
      <w:tr w:rsidR="004207F3" w:rsidRPr="007930B0">
        <w:tc>
          <w:tcPr>
            <w:tcW w:w="1000" w:type="dxa"/>
            <w:vMerge w:val="restart"/>
            <w:tcBorders>
              <w:top w:val="single" w:sz="4" w:space="0" w:color="auto"/>
            </w:tcBorders>
            <w:shd w:val="clear" w:color="000000" w:fill="auto"/>
          </w:tcPr>
          <w:p w:rsidR="001E7BB4" w:rsidRPr="007930B0" w:rsidRDefault="001E7BB4" w:rsidP="004207F3">
            <w:pPr>
              <w:spacing w:before="40" w:after="40" w:line="220" w:lineRule="exact"/>
              <w:ind w:right="113"/>
              <w:rPr>
                <w:sz w:val="16"/>
                <w:szCs w:val="16"/>
              </w:rPr>
            </w:pPr>
            <w:r w:rsidRPr="007930B0">
              <w:rPr>
                <w:sz w:val="16"/>
                <w:szCs w:val="16"/>
              </w:rPr>
              <w:t>FTP/</w:t>
            </w:r>
            <w:r w:rsidR="00245838" w:rsidRPr="007930B0">
              <w:rPr>
                <w:sz w:val="16"/>
                <w:szCs w:val="16"/>
              </w:rPr>
              <w:br/>
            </w:r>
            <w:r w:rsidRPr="007930B0">
              <w:rPr>
                <w:sz w:val="16"/>
                <w:szCs w:val="16"/>
              </w:rPr>
              <w:t>Enseñanza superior</w:t>
            </w:r>
          </w:p>
        </w:tc>
        <w:tc>
          <w:tcPr>
            <w:tcW w:w="2200" w:type="dxa"/>
            <w:tcBorders>
              <w:top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Promoción del sistema de FTP</w:t>
            </w:r>
          </w:p>
        </w:tc>
        <w:tc>
          <w:tcPr>
            <w:tcW w:w="1204" w:type="dxa"/>
            <w:tcBorders>
              <w:top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1 351 802 603</w:t>
            </w:r>
          </w:p>
        </w:tc>
        <w:tc>
          <w:tcPr>
            <w:tcW w:w="1125" w:type="dxa"/>
            <w:tcBorders>
              <w:top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432 733 785</w:t>
            </w:r>
          </w:p>
        </w:tc>
        <w:tc>
          <w:tcPr>
            <w:tcW w:w="1125" w:type="dxa"/>
            <w:tcBorders>
              <w:top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374 449 588</w:t>
            </w:r>
          </w:p>
        </w:tc>
        <w:tc>
          <w:tcPr>
            <w:tcW w:w="961" w:type="dxa"/>
            <w:tcBorders>
              <w:top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32,0%</w:t>
            </w:r>
          </w:p>
        </w:tc>
        <w:tc>
          <w:tcPr>
            <w:tcW w:w="961" w:type="dxa"/>
            <w:tcBorders>
              <w:top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27,7%</w:t>
            </w:r>
          </w:p>
        </w:tc>
        <w:tc>
          <w:tcPr>
            <w:tcW w:w="1063" w:type="dxa"/>
            <w:tcBorders>
              <w:top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86,5%</w:t>
            </w:r>
          </w:p>
        </w:tc>
      </w:tr>
      <w:tr w:rsidR="004207F3" w:rsidRPr="007930B0">
        <w:tc>
          <w:tcPr>
            <w:tcW w:w="1000" w:type="dxa"/>
            <w:vMerge/>
            <w:tcBorders>
              <w:bottom w:val="single" w:sz="4" w:space="0" w:color="auto"/>
            </w:tcBorders>
            <w:shd w:val="clear" w:color="000000" w:fill="auto"/>
          </w:tcPr>
          <w:p w:rsidR="001E7BB4" w:rsidRPr="007930B0" w:rsidRDefault="001E7BB4" w:rsidP="004207F3">
            <w:pPr>
              <w:spacing w:before="40" w:after="40" w:line="220" w:lineRule="exact"/>
              <w:ind w:right="113"/>
              <w:rPr>
                <w:sz w:val="16"/>
                <w:szCs w:val="16"/>
              </w:rPr>
            </w:pPr>
          </w:p>
        </w:tc>
        <w:tc>
          <w:tcPr>
            <w:tcW w:w="2200" w:type="dxa"/>
            <w:tcBorders>
              <w:bottom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Mejora de la calidad/ eficacia de la enseñanza superior</w:t>
            </w:r>
          </w:p>
        </w:tc>
        <w:tc>
          <w:tcPr>
            <w:tcW w:w="1204" w:type="dxa"/>
            <w:tcBorders>
              <w:bottom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2 083 874 290</w:t>
            </w:r>
          </w:p>
        </w:tc>
        <w:tc>
          <w:tcPr>
            <w:tcW w:w="1125" w:type="dxa"/>
            <w:tcBorders>
              <w:bottom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2 461 618 570</w:t>
            </w:r>
          </w:p>
        </w:tc>
        <w:tc>
          <w:tcPr>
            <w:tcW w:w="1125" w:type="dxa"/>
            <w:tcBorders>
              <w:bottom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962 850 946</w:t>
            </w:r>
          </w:p>
        </w:tc>
        <w:tc>
          <w:tcPr>
            <w:tcW w:w="961" w:type="dxa"/>
            <w:tcBorders>
              <w:bottom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118,1%</w:t>
            </w:r>
          </w:p>
        </w:tc>
        <w:tc>
          <w:tcPr>
            <w:tcW w:w="961" w:type="dxa"/>
            <w:tcBorders>
              <w:bottom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46,2%</w:t>
            </w:r>
          </w:p>
        </w:tc>
        <w:tc>
          <w:tcPr>
            <w:tcW w:w="1063" w:type="dxa"/>
            <w:tcBorders>
              <w:bottom w:val="single" w:sz="4" w:space="0" w:color="auto"/>
            </w:tcBorders>
            <w:shd w:val="clear" w:color="000000" w:fill="auto"/>
            <w:noWrap/>
            <w:vAlign w:val="bottom"/>
          </w:tcPr>
          <w:p w:rsidR="001E7BB4" w:rsidRPr="007930B0" w:rsidRDefault="001E7BB4" w:rsidP="004207F3">
            <w:pPr>
              <w:spacing w:before="40" w:after="40" w:line="220" w:lineRule="exact"/>
              <w:ind w:right="113"/>
              <w:jc w:val="right"/>
              <w:rPr>
                <w:sz w:val="16"/>
                <w:szCs w:val="16"/>
              </w:rPr>
            </w:pPr>
            <w:r w:rsidRPr="007930B0">
              <w:rPr>
                <w:sz w:val="16"/>
                <w:szCs w:val="16"/>
              </w:rPr>
              <w:t>39,1%</w:t>
            </w:r>
          </w:p>
        </w:tc>
      </w:tr>
      <w:tr w:rsidR="004207F3" w:rsidRPr="007930B0">
        <w:tc>
          <w:tcPr>
            <w:tcW w:w="3200" w:type="dxa"/>
            <w:gridSpan w:val="2"/>
            <w:tcBorders>
              <w:top w:val="single" w:sz="4" w:space="0" w:color="auto"/>
              <w:bottom w:val="single" w:sz="4" w:space="0" w:color="auto"/>
            </w:tcBorders>
            <w:shd w:val="clear" w:color="000000" w:fill="auto"/>
          </w:tcPr>
          <w:p w:rsidR="001E7BB4" w:rsidRPr="007930B0" w:rsidRDefault="001E7BB4" w:rsidP="00245838">
            <w:pPr>
              <w:spacing w:before="80" w:after="80" w:line="220" w:lineRule="exact"/>
              <w:ind w:left="284" w:right="113"/>
              <w:rPr>
                <w:b/>
                <w:sz w:val="16"/>
                <w:szCs w:val="16"/>
              </w:rPr>
            </w:pPr>
            <w:r w:rsidRPr="007930B0">
              <w:rPr>
                <w:b/>
                <w:sz w:val="16"/>
                <w:szCs w:val="16"/>
              </w:rPr>
              <w:t>Subtotal</w:t>
            </w:r>
          </w:p>
        </w:tc>
        <w:tc>
          <w:tcPr>
            <w:tcW w:w="1204" w:type="dxa"/>
            <w:tcBorders>
              <w:top w:val="single" w:sz="4" w:space="0" w:color="auto"/>
              <w:bottom w:val="single" w:sz="4" w:space="0" w:color="auto"/>
            </w:tcBorders>
            <w:shd w:val="clear" w:color="000000" w:fill="auto"/>
            <w:noWrap/>
            <w:vAlign w:val="bottom"/>
          </w:tcPr>
          <w:p w:rsidR="001E7BB4" w:rsidRPr="007930B0" w:rsidRDefault="001E7BB4" w:rsidP="00245838">
            <w:pPr>
              <w:spacing w:before="80" w:after="80" w:line="220" w:lineRule="exact"/>
              <w:ind w:right="113"/>
              <w:jc w:val="right"/>
              <w:rPr>
                <w:b/>
                <w:sz w:val="16"/>
                <w:szCs w:val="16"/>
              </w:rPr>
            </w:pPr>
            <w:r w:rsidRPr="007930B0">
              <w:rPr>
                <w:b/>
                <w:sz w:val="16"/>
                <w:szCs w:val="16"/>
              </w:rPr>
              <w:t>3 435 676 893</w:t>
            </w:r>
          </w:p>
        </w:tc>
        <w:tc>
          <w:tcPr>
            <w:tcW w:w="1125" w:type="dxa"/>
            <w:tcBorders>
              <w:top w:val="single" w:sz="4" w:space="0" w:color="auto"/>
              <w:bottom w:val="single" w:sz="4" w:space="0" w:color="auto"/>
            </w:tcBorders>
            <w:shd w:val="clear" w:color="000000" w:fill="auto"/>
            <w:noWrap/>
            <w:vAlign w:val="bottom"/>
          </w:tcPr>
          <w:p w:rsidR="001E7BB4" w:rsidRPr="007930B0" w:rsidRDefault="001E7BB4" w:rsidP="00245838">
            <w:pPr>
              <w:spacing w:before="80" w:after="80" w:line="220" w:lineRule="exact"/>
              <w:ind w:right="113"/>
              <w:jc w:val="right"/>
              <w:rPr>
                <w:b/>
                <w:sz w:val="16"/>
                <w:szCs w:val="16"/>
              </w:rPr>
            </w:pPr>
            <w:r w:rsidRPr="007930B0">
              <w:rPr>
                <w:b/>
                <w:sz w:val="16"/>
                <w:szCs w:val="16"/>
              </w:rPr>
              <w:t>2 894 352 355</w:t>
            </w:r>
          </w:p>
        </w:tc>
        <w:tc>
          <w:tcPr>
            <w:tcW w:w="1125" w:type="dxa"/>
            <w:tcBorders>
              <w:top w:val="single" w:sz="4" w:space="0" w:color="auto"/>
              <w:bottom w:val="single" w:sz="4" w:space="0" w:color="auto"/>
            </w:tcBorders>
            <w:shd w:val="clear" w:color="000000" w:fill="auto"/>
            <w:noWrap/>
            <w:vAlign w:val="bottom"/>
          </w:tcPr>
          <w:p w:rsidR="001E7BB4" w:rsidRPr="007930B0" w:rsidRDefault="001E7BB4" w:rsidP="00245838">
            <w:pPr>
              <w:spacing w:before="80" w:after="80" w:line="220" w:lineRule="exact"/>
              <w:ind w:right="113"/>
              <w:jc w:val="right"/>
              <w:rPr>
                <w:b/>
                <w:sz w:val="16"/>
                <w:szCs w:val="16"/>
              </w:rPr>
            </w:pPr>
            <w:r w:rsidRPr="007930B0">
              <w:rPr>
                <w:b/>
                <w:sz w:val="16"/>
                <w:szCs w:val="16"/>
              </w:rPr>
              <w:t>1 337 300 534</w:t>
            </w:r>
          </w:p>
        </w:tc>
        <w:tc>
          <w:tcPr>
            <w:tcW w:w="961" w:type="dxa"/>
            <w:tcBorders>
              <w:top w:val="single" w:sz="4" w:space="0" w:color="auto"/>
              <w:bottom w:val="single" w:sz="4" w:space="0" w:color="auto"/>
            </w:tcBorders>
            <w:shd w:val="clear" w:color="000000" w:fill="auto"/>
            <w:noWrap/>
            <w:vAlign w:val="bottom"/>
          </w:tcPr>
          <w:p w:rsidR="001E7BB4" w:rsidRPr="007930B0" w:rsidRDefault="001E7BB4" w:rsidP="00245838">
            <w:pPr>
              <w:spacing w:before="80" w:after="80" w:line="220" w:lineRule="exact"/>
              <w:ind w:right="113"/>
              <w:jc w:val="right"/>
              <w:rPr>
                <w:b/>
                <w:sz w:val="16"/>
                <w:szCs w:val="16"/>
              </w:rPr>
            </w:pPr>
            <w:r w:rsidRPr="007930B0">
              <w:rPr>
                <w:b/>
                <w:sz w:val="16"/>
                <w:szCs w:val="16"/>
              </w:rPr>
              <w:t>84,2%</w:t>
            </w:r>
          </w:p>
        </w:tc>
        <w:tc>
          <w:tcPr>
            <w:tcW w:w="961" w:type="dxa"/>
            <w:tcBorders>
              <w:top w:val="single" w:sz="4" w:space="0" w:color="auto"/>
              <w:bottom w:val="single" w:sz="4" w:space="0" w:color="auto"/>
            </w:tcBorders>
            <w:shd w:val="clear" w:color="000000" w:fill="auto"/>
            <w:noWrap/>
            <w:vAlign w:val="bottom"/>
          </w:tcPr>
          <w:p w:rsidR="001E7BB4" w:rsidRPr="007930B0" w:rsidRDefault="001E7BB4" w:rsidP="00245838">
            <w:pPr>
              <w:spacing w:before="80" w:after="80" w:line="220" w:lineRule="exact"/>
              <w:ind w:right="113"/>
              <w:jc w:val="right"/>
              <w:rPr>
                <w:b/>
                <w:sz w:val="16"/>
                <w:szCs w:val="16"/>
              </w:rPr>
            </w:pPr>
            <w:r w:rsidRPr="007930B0">
              <w:rPr>
                <w:b/>
                <w:sz w:val="16"/>
                <w:szCs w:val="16"/>
              </w:rPr>
              <w:t>38,9%</w:t>
            </w:r>
          </w:p>
        </w:tc>
        <w:tc>
          <w:tcPr>
            <w:tcW w:w="1063" w:type="dxa"/>
            <w:tcBorders>
              <w:top w:val="single" w:sz="4" w:space="0" w:color="auto"/>
              <w:bottom w:val="single" w:sz="4" w:space="0" w:color="auto"/>
            </w:tcBorders>
            <w:shd w:val="clear" w:color="000000" w:fill="auto"/>
            <w:noWrap/>
            <w:vAlign w:val="bottom"/>
          </w:tcPr>
          <w:p w:rsidR="001E7BB4" w:rsidRPr="007930B0" w:rsidRDefault="001E7BB4" w:rsidP="00245838">
            <w:pPr>
              <w:spacing w:before="80" w:after="80" w:line="220" w:lineRule="exact"/>
              <w:ind w:right="113"/>
              <w:jc w:val="right"/>
              <w:rPr>
                <w:b/>
                <w:sz w:val="16"/>
                <w:szCs w:val="16"/>
              </w:rPr>
            </w:pPr>
            <w:r w:rsidRPr="007930B0">
              <w:rPr>
                <w:b/>
                <w:sz w:val="16"/>
                <w:szCs w:val="16"/>
              </w:rPr>
              <w:t>46,2%</w:t>
            </w:r>
          </w:p>
        </w:tc>
      </w:tr>
      <w:tr w:rsidR="004207F3" w:rsidRPr="007930B0">
        <w:tc>
          <w:tcPr>
            <w:tcW w:w="3200" w:type="dxa"/>
            <w:gridSpan w:val="2"/>
            <w:tcBorders>
              <w:top w:val="single" w:sz="4" w:space="0" w:color="auto"/>
            </w:tcBorders>
            <w:shd w:val="clear" w:color="000000" w:fill="auto"/>
            <w:noWrap/>
          </w:tcPr>
          <w:p w:rsidR="001E7BB4" w:rsidRPr="007930B0" w:rsidRDefault="001E7BB4" w:rsidP="00245838">
            <w:pPr>
              <w:spacing w:before="80" w:after="80" w:line="220" w:lineRule="exact"/>
              <w:ind w:left="284" w:right="113"/>
              <w:rPr>
                <w:b/>
                <w:sz w:val="16"/>
                <w:szCs w:val="16"/>
              </w:rPr>
            </w:pPr>
            <w:r w:rsidRPr="007930B0">
              <w:rPr>
                <w:b/>
                <w:sz w:val="16"/>
                <w:szCs w:val="16"/>
              </w:rPr>
              <w:t>Total</w:t>
            </w:r>
          </w:p>
        </w:tc>
        <w:tc>
          <w:tcPr>
            <w:tcW w:w="1204" w:type="dxa"/>
            <w:tcBorders>
              <w:top w:val="single" w:sz="4" w:space="0" w:color="auto"/>
            </w:tcBorders>
            <w:shd w:val="clear" w:color="000000" w:fill="auto"/>
            <w:noWrap/>
            <w:vAlign w:val="bottom"/>
          </w:tcPr>
          <w:p w:rsidR="001E7BB4" w:rsidRPr="007930B0" w:rsidRDefault="00245838" w:rsidP="00245838">
            <w:pPr>
              <w:spacing w:before="80" w:after="80" w:line="220" w:lineRule="exact"/>
              <w:ind w:right="113"/>
              <w:jc w:val="right"/>
              <w:rPr>
                <w:b/>
                <w:sz w:val="16"/>
                <w:szCs w:val="16"/>
              </w:rPr>
            </w:pPr>
            <w:r w:rsidRPr="007930B0">
              <w:rPr>
                <w:b/>
                <w:sz w:val="16"/>
                <w:szCs w:val="16"/>
              </w:rPr>
              <w:t>13 639 110 994</w:t>
            </w:r>
          </w:p>
        </w:tc>
        <w:tc>
          <w:tcPr>
            <w:tcW w:w="1125" w:type="dxa"/>
            <w:tcBorders>
              <w:top w:val="single" w:sz="4" w:space="0" w:color="auto"/>
            </w:tcBorders>
            <w:shd w:val="clear" w:color="000000" w:fill="auto"/>
            <w:noWrap/>
            <w:vAlign w:val="bottom"/>
          </w:tcPr>
          <w:p w:rsidR="001E7BB4" w:rsidRPr="007930B0" w:rsidRDefault="001E7BB4" w:rsidP="00245838">
            <w:pPr>
              <w:spacing w:before="80" w:after="80" w:line="220" w:lineRule="exact"/>
              <w:ind w:right="113"/>
              <w:jc w:val="right"/>
              <w:rPr>
                <w:b/>
                <w:sz w:val="16"/>
                <w:szCs w:val="16"/>
              </w:rPr>
            </w:pPr>
            <w:r w:rsidRPr="007930B0">
              <w:rPr>
                <w:b/>
                <w:sz w:val="16"/>
                <w:szCs w:val="16"/>
              </w:rPr>
              <w:t>11 200 572 218</w:t>
            </w:r>
          </w:p>
        </w:tc>
        <w:tc>
          <w:tcPr>
            <w:tcW w:w="1125" w:type="dxa"/>
            <w:tcBorders>
              <w:top w:val="single" w:sz="4" w:space="0" w:color="auto"/>
            </w:tcBorders>
            <w:shd w:val="clear" w:color="000000" w:fill="auto"/>
            <w:noWrap/>
            <w:vAlign w:val="bottom"/>
          </w:tcPr>
          <w:p w:rsidR="001E7BB4" w:rsidRPr="007930B0" w:rsidRDefault="001E7BB4" w:rsidP="00245838">
            <w:pPr>
              <w:spacing w:before="80" w:after="80" w:line="220" w:lineRule="exact"/>
              <w:ind w:right="113"/>
              <w:jc w:val="right"/>
              <w:rPr>
                <w:b/>
                <w:sz w:val="16"/>
                <w:szCs w:val="16"/>
              </w:rPr>
            </w:pPr>
            <w:r w:rsidRPr="007930B0">
              <w:rPr>
                <w:b/>
                <w:sz w:val="16"/>
                <w:szCs w:val="16"/>
              </w:rPr>
              <w:t>6 543 249 472</w:t>
            </w:r>
          </w:p>
        </w:tc>
        <w:tc>
          <w:tcPr>
            <w:tcW w:w="961" w:type="dxa"/>
            <w:tcBorders>
              <w:top w:val="single" w:sz="4" w:space="0" w:color="auto"/>
            </w:tcBorders>
            <w:shd w:val="clear" w:color="000000" w:fill="auto"/>
            <w:noWrap/>
            <w:vAlign w:val="bottom"/>
          </w:tcPr>
          <w:p w:rsidR="001E7BB4" w:rsidRPr="007930B0" w:rsidRDefault="001E7BB4" w:rsidP="00245838">
            <w:pPr>
              <w:spacing w:before="80" w:after="80" w:line="220" w:lineRule="exact"/>
              <w:ind w:right="113"/>
              <w:jc w:val="right"/>
              <w:rPr>
                <w:b/>
                <w:sz w:val="16"/>
                <w:szCs w:val="16"/>
              </w:rPr>
            </w:pPr>
            <w:r w:rsidRPr="007930B0">
              <w:rPr>
                <w:b/>
                <w:sz w:val="16"/>
                <w:szCs w:val="16"/>
              </w:rPr>
              <w:t>82,1%</w:t>
            </w:r>
          </w:p>
        </w:tc>
        <w:tc>
          <w:tcPr>
            <w:tcW w:w="961" w:type="dxa"/>
            <w:tcBorders>
              <w:top w:val="single" w:sz="4" w:space="0" w:color="auto"/>
            </w:tcBorders>
            <w:shd w:val="clear" w:color="000000" w:fill="auto"/>
            <w:noWrap/>
            <w:vAlign w:val="bottom"/>
          </w:tcPr>
          <w:p w:rsidR="001E7BB4" w:rsidRPr="007930B0" w:rsidRDefault="001E7BB4" w:rsidP="00245838">
            <w:pPr>
              <w:spacing w:before="80" w:after="80" w:line="220" w:lineRule="exact"/>
              <w:ind w:right="113"/>
              <w:jc w:val="right"/>
              <w:rPr>
                <w:b/>
                <w:sz w:val="16"/>
                <w:szCs w:val="16"/>
              </w:rPr>
            </w:pPr>
            <w:r w:rsidRPr="007930B0">
              <w:rPr>
                <w:b/>
                <w:sz w:val="16"/>
                <w:szCs w:val="16"/>
              </w:rPr>
              <w:t>48,0%</w:t>
            </w:r>
          </w:p>
        </w:tc>
        <w:tc>
          <w:tcPr>
            <w:tcW w:w="1063" w:type="dxa"/>
            <w:tcBorders>
              <w:top w:val="single" w:sz="4" w:space="0" w:color="auto"/>
            </w:tcBorders>
            <w:shd w:val="clear" w:color="000000" w:fill="auto"/>
            <w:noWrap/>
            <w:vAlign w:val="bottom"/>
          </w:tcPr>
          <w:p w:rsidR="001E7BB4" w:rsidRPr="007930B0" w:rsidRDefault="001E7BB4" w:rsidP="00245838">
            <w:pPr>
              <w:spacing w:before="80" w:after="80" w:line="220" w:lineRule="exact"/>
              <w:ind w:right="113"/>
              <w:jc w:val="right"/>
              <w:rPr>
                <w:b/>
                <w:sz w:val="16"/>
                <w:szCs w:val="16"/>
              </w:rPr>
            </w:pPr>
            <w:r w:rsidRPr="007930B0">
              <w:rPr>
                <w:b/>
                <w:sz w:val="16"/>
                <w:szCs w:val="16"/>
              </w:rPr>
              <w:t>58,4%</w:t>
            </w:r>
          </w:p>
        </w:tc>
      </w:tr>
    </w:tbl>
    <w:p w:rsidR="001E7BB4" w:rsidRPr="007930B0" w:rsidRDefault="00245838" w:rsidP="00245838">
      <w:pPr>
        <w:pStyle w:val="H23G"/>
        <w:rPr>
          <w:lang w:val="es-ES"/>
        </w:rPr>
      </w:pPr>
      <w:r w:rsidRPr="007930B0">
        <w:rPr>
          <w:lang w:val="es-ES"/>
        </w:rPr>
        <w:tab/>
      </w:r>
      <w:r w:rsidRPr="007930B0">
        <w:rPr>
          <w:lang w:val="es-ES"/>
        </w:rPr>
        <w:tab/>
      </w:r>
      <w:r w:rsidR="001E7BB4" w:rsidRPr="007930B0">
        <w:rPr>
          <w:lang w:val="es-ES"/>
        </w:rPr>
        <w:t>Participación del Estado en esta ejecución financiera</w:t>
      </w:r>
    </w:p>
    <w:p w:rsidR="001E7BB4" w:rsidRPr="007930B0" w:rsidRDefault="001E7BB4" w:rsidP="0068666F">
      <w:pPr>
        <w:pStyle w:val="SingleTxtG"/>
        <w:rPr>
          <w:lang w:val="es-ES"/>
        </w:rPr>
      </w:pPr>
      <w:r w:rsidRPr="007930B0">
        <w:rPr>
          <w:lang w:val="es-ES"/>
        </w:rPr>
        <w:t>441.</w:t>
      </w:r>
      <w:r w:rsidRPr="007930B0">
        <w:rPr>
          <w:lang w:val="es-ES"/>
        </w:rPr>
        <w:tab/>
        <w:t xml:space="preserve">El Estado mauritano participa en la financiación de las actividades programadas en el marco del Plan de Acción de 2007 con </w:t>
      </w:r>
      <w:r w:rsidRPr="00CC7CB3">
        <w:rPr>
          <w:b/>
          <w:lang w:val="es-ES"/>
        </w:rPr>
        <w:t>2.093.928.333 UM</w:t>
      </w:r>
      <w:r w:rsidRPr="007930B0">
        <w:rPr>
          <w:lang w:val="es-ES"/>
        </w:rPr>
        <w:t xml:space="preserve">, es decir, </w:t>
      </w:r>
      <w:r w:rsidRPr="00CC7CB3">
        <w:rPr>
          <w:b/>
          <w:lang w:val="es-ES"/>
        </w:rPr>
        <w:t>15,3%</w:t>
      </w:r>
      <w:r w:rsidRPr="007930B0">
        <w:rPr>
          <w:lang w:val="es-ES"/>
        </w:rPr>
        <w:t xml:space="preserve"> del presupuesto global del Plan. Este presupuesto se distribuye entre los componentes que figuran a continuación:</w:t>
      </w:r>
    </w:p>
    <w:tbl>
      <w:tblPr>
        <w:tblW w:w="7371" w:type="dxa"/>
        <w:tblInd w:w="1134" w:type="dxa"/>
        <w:tblLayout w:type="fixed"/>
        <w:tblCellMar>
          <w:left w:w="0" w:type="dxa"/>
          <w:right w:w="0" w:type="dxa"/>
        </w:tblCellMar>
        <w:tblLook w:val="01E0" w:firstRow="1" w:lastRow="1" w:firstColumn="1" w:lastColumn="1" w:noHBand="0" w:noVBand="0"/>
      </w:tblPr>
      <w:tblGrid>
        <w:gridCol w:w="2766"/>
        <w:gridCol w:w="4605"/>
      </w:tblGrid>
      <w:tr w:rsidR="001E7BB4" w:rsidRPr="007930B0">
        <w:tc>
          <w:tcPr>
            <w:tcW w:w="2766" w:type="dxa"/>
          </w:tcPr>
          <w:p w:rsidR="001E7BB4" w:rsidRPr="007930B0" w:rsidRDefault="00CC3B6E" w:rsidP="00CC7CB3">
            <w:pPr>
              <w:keepNext/>
              <w:spacing w:after="120"/>
              <w:rPr>
                <w:b/>
              </w:rPr>
            </w:pPr>
            <w:r w:rsidRPr="007930B0">
              <w:rPr>
                <w:b/>
              </w:rPr>
              <w:t>"</w:t>
            </w:r>
            <w:r w:rsidR="001E7BB4" w:rsidRPr="007930B0">
              <w:rPr>
                <w:b/>
              </w:rPr>
              <w:t>Gestión</w:t>
            </w:r>
            <w:r w:rsidRPr="007930B0">
              <w:rPr>
                <w:b/>
              </w:rPr>
              <w:t>"</w:t>
            </w:r>
          </w:p>
        </w:tc>
        <w:tc>
          <w:tcPr>
            <w:tcW w:w="4605" w:type="dxa"/>
          </w:tcPr>
          <w:p w:rsidR="001E7BB4" w:rsidRPr="007930B0" w:rsidRDefault="001E7BB4" w:rsidP="00245838">
            <w:pPr>
              <w:keepNext/>
            </w:pPr>
            <w:r w:rsidRPr="007930B0">
              <w:t xml:space="preserve">240 671 055 UM, es decir, </w:t>
            </w:r>
            <w:r w:rsidRPr="007930B0">
              <w:rPr>
                <w:b/>
              </w:rPr>
              <w:t>11,5%</w:t>
            </w:r>
          </w:p>
        </w:tc>
      </w:tr>
      <w:tr w:rsidR="001E7BB4" w:rsidRPr="007930B0">
        <w:tc>
          <w:tcPr>
            <w:tcW w:w="2766" w:type="dxa"/>
          </w:tcPr>
          <w:p w:rsidR="001E7BB4" w:rsidRPr="007930B0" w:rsidRDefault="00CC3B6E" w:rsidP="00CC7CB3">
            <w:pPr>
              <w:spacing w:after="120"/>
              <w:rPr>
                <w:b/>
              </w:rPr>
            </w:pPr>
            <w:r w:rsidRPr="007930B0">
              <w:rPr>
                <w:b/>
              </w:rPr>
              <w:t>"</w:t>
            </w:r>
            <w:r w:rsidR="001E7BB4" w:rsidRPr="007930B0">
              <w:rPr>
                <w:b/>
              </w:rPr>
              <w:t>Calidad</w:t>
            </w:r>
            <w:r w:rsidRPr="007930B0">
              <w:rPr>
                <w:b/>
              </w:rPr>
              <w:t>"</w:t>
            </w:r>
          </w:p>
        </w:tc>
        <w:tc>
          <w:tcPr>
            <w:tcW w:w="4605" w:type="dxa"/>
          </w:tcPr>
          <w:p w:rsidR="001E7BB4" w:rsidRPr="007930B0" w:rsidRDefault="001E7BB4" w:rsidP="001E7BB4">
            <w:r w:rsidRPr="007930B0">
              <w:t xml:space="preserve">670 172 002 UM, es decir, </w:t>
            </w:r>
            <w:r w:rsidRPr="007930B0">
              <w:rPr>
                <w:b/>
              </w:rPr>
              <w:t>32%</w:t>
            </w:r>
          </w:p>
        </w:tc>
      </w:tr>
      <w:tr w:rsidR="001E7BB4" w:rsidRPr="007930B0">
        <w:tc>
          <w:tcPr>
            <w:tcW w:w="2766" w:type="dxa"/>
          </w:tcPr>
          <w:p w:rsidR="001E7BB4" w:rsidRPr="007930B0" w:rsidRDefault="00CC3B6E" w:rsidP="00CC7CB3">
            <w:pPr>
              <w:spacing w:after="120"/>
              <w:rPr>
                <w:b/>
              </w:rPr>
            </w:pPr>
            <w:r w:rsidRPr="007930B0">
              <w:rPr>
                <w:b/>
              </w:rPr>
              <w:t>"</w:t>
            </w:r>
            <w:r w:rsidR="001E7BB4" w:rsidRPr="007930B0">
              <w:rPr>
                <w:b/>
              </w:rPr>
              <w:t>Acceso</w:t>
            </w:r>
            <w:r w:rsidRPr="007930B0">
              <w:rPr>
                <w:b/>
              </w:rPr>
              <w:t>"</w:t>
            </w:r>
          </w:p>
        </w:tc>
        <w:tc>
          <w:tcPr>
            <w:tcW w:w="4605" w:type="dxa"/>
          </w:tcPr>
          <w:p w:rsidR="001E7BB4" w:rsidRPr="007930B0" w:rsidRDefault="001E7BB4" w:rsidP="001E7BB4">
            <w:r w:rsidRPr="007930B0">
              <w:t xml:space="preserve">567 309 383 UM, es decir, </w:t>
            </w:r>
            <w:r w:rsidRPr="007930B0">
              <w:rPr>
                <w:b/>
              </w:rPr>
              <w:t>27%</w:t>
            </w:r>
          </w:p>
        </w:tc>
      </w:tr>
      <w:tr w:rsidR="001E7BB4" w:rsidRPr="007930B0">
        <w:tc>
          <w:tcPr>
            <w:tcW w:w="2766" w:type="dxa"/>
          </w:tcPr>
          <w:p w:rsidR="001E7BB4" w:rsidRPr="007930B0" w:rsidRDefault="00CC3B6E" w:rsidP="00CC7CB3">
            <w:pPr>
              <w:spacing w:after="120"/>
              <w:rPr>
                <w:b/>
              </w:rPr>
            </w:pPr>
            <w:r w:rsidRPr="007930B0">
              <w:rPr>
                <w:b/>
              </w:rPr>
              <w:t>"</w:t>
            </w:r>
            <w:r w:rsidR="001E7BB4" w:rsidRPr="007930B0">
              <w:rPr>
                <w:b/>
              </w:rPr>
              <w:t>FTP/Enseñanza superior</w:t>
            </w:r>
            <w:r w:rsidRPr="007930B0">
              <w:rPr>
                <w:b/>
              </w:rPr>
              <w:t>"</w:t>
            </w:r>
          </w:p>
        </w:tc>
        <w:tc>
          <w:tcPr>
            <w:tcW w:w="4605" w:type="dxa"/>
          </w:tcPr>
          <w:p w:rsidR="001E7BB4" w:rsidRPr="007930B0" w:rsidRDefault="001E7BB4" w:rsidP="001E7BB4">
            <w:r w:rsidRPr="007930B0">
              <w:t xml:space="preserve">615 775 893 UM, es decir, </w:t>
            </w:r>
            <w:r w:rsidRPr="007930B0">
              <w:rPr>
                <w:b/>
              </w:rPr>
              <w:t>29,5%</w:t>
            </w:r>
          </w:p>
        </w:tc>
      </w:tr>
    </w:tbl>
    <w:p w:rsidR="001E7BB4" w:rsidRPr="007930B0" w:rsidRDefault="001E7BB4" w:rsidP="00245838">
      <w:pPr>
        <w:pStyle w:val="SingleTxtG"/>
        <w:spacing w:before="240"/>
        <w:rPr>
          <w:lang w:val="es-ES"/>
        </w:rPr>
      </w:pPr>
      <w:r w:rsidRPr="007930B0">
        <w:rPr>
          <w:lang w:val="es-ES"/>
        </w:rPr>
        <w:t>442.</w:t>
      </w:r>
      <w:r w:rsidRPr="007930B0">
        <w:rPr>
          <w:lang w:val="es-ES"/>
        </w:rPr>
        <w:tab/>
        <w:t xml:space="preserve">Las sumas comprometidas al </w:t>
      </w:r>
      <w:r w:rsidR="00CC7CB3">
        <w:rPr>
          <w:lang w:val="es-ES"/>
        </w:rPr>
        <w:t xml:space="preserve">1º de octubre de </w:t>
      </w:r>
      <w:r w:rsidRPr="007930B0">
        <w:rPr>
          <w:lang w:val="es-ES"/>
        </w:rPr>
        <w:t xml:space="preserve">2007 ascienden a 1.381.926.621 UM, es decir, 66% del presupuesto previsto. Los desembolsos efectuados son de 1.076.342.630 UM, es decir, 77,9% de las sumas comprometidas y 51,4% del presupuesto global. Los compromisos financiados por la República Islámica de Mauritania representan el 12,3% del total de compromisos del Plan de Acción de 2007 y los desembolsos representan el 16,4% de todos los desembolsos. En el cuadro siguiente puede verse el estado de ejecución de este presupuesto, por componente y subcomponente. </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763"/>
        <w:gridCol w:w="2442"/>
        <w:gridCol w:w="1113"/>
        <w:gridCol w:w="1165"/>
        <w:gridCol w:w="1112"/>
        <w:gridCol w:w="1058"/>
        <w:gridCol w:w="993"/>
        <w:gridCol w:w="993"/>
      </w:tblGrid>
      <w:tr w:rsidR="001F60AC" w:rsidRPr="007930B0">
        <w:trPr>
          <w:tblHeader/>
        </w:trPr>
        <w:tc>
          <w:tcPr>
            <w:tcW w:w="2451" w:type="dxa"/>
            <w:gridSpan w:val="2"/>
            <w:tcBorders>
              <w:top w:val="single" w:sz="4" w:space="0" w:color="auto"/>
              <w:bottom w:val="nil"/>
            </w:tcBorders>
            <w:shd w:val="clear" w:color="000000" w:fill="auto"/>
            <w:noWrap/>
            <w:tcMar>
              <w:top w:w="15" w:type="dxa"/>
              <w:left w:w="15" w:type="dxa"/>
              <w:bottom w:w="0" w:type="dxa"/>
              <w:right w:w="15" w:type="dxa"/>
            </w:tcMar>
            <w:vAlign w:val="bottom"/>
          </w:tcPr>
          <w:p w:rsidR="001E7BB4" w:rsidRPr="007930B0" w:rsidRDefault="001E7BB4" w:rsidP="001F60AC">
            <w:pPr>
              <w:spacing w:before="80" w:after="80" w:line="200" w:lineRule="exact"/>
              <w:ind w:right="113"/>
              <w:jc w:val="center"/>
              <w:rPr>
                <w:i/>
                <w:sz w:val="14"/>
                <w:szCs w:val="14"/>
              </w:rPr>
            </w:pPr>
            <w:r w:rsidRPr="007930B0">
              <w:rPr>
                <w:i/>
                <w:sz w:val="14"/>
                <w:szCs w:val="14"/>
              </w:rPr>
              <w:t>Componente/subcomponente</w:t>
            </w:r>
          </w:p>
        </w:tc>
        <w:tc>
          <w:tcPr>
            <w:tcW w:w="2592" w:type="dxa"/>
            <w:gridSpan w:val="3"/>
            <w:tcBorders>
              <w:top w:val="single" w:sz="4" w:space="0" w:color="auto"/>
              <w:bottom w:val="single" w:sz="4" w:space="0" w:color="auto"/>
              <w:right w:val="single" w:sz="24" w:space="0" w:color="FFFFFF"/>
            </w:tcBorders>
            <w:shd w:val="clear" w:color="000000" w:fill="auto"/>
            <w:noWrap/>
            <w:tcMar>
              <w:top w:w="15" w:type="dxa"/>
              <w:left w:w="15" w:type="dxa"/>
              <w:bottom w:w="0" w:type="dxa"/>
              <w:right w:w="15" w:type="dxa"/>
            </w:tcMar>
            <w:vAlign w:val="bottom"/>
          </w:tcPr>
          <w:p w:rsidR="001E7BB4" w:rsidRPr="007930B0" w:rsidRDefault="001E7BB4" w:rsidP="001F60AC">
            <w:pPr>
              <w:spacing w:before="80" w:after="80" w:line="200" w:lineRule="exact"/>
              <w:ind w:right="113"/>
              <w:jc w:val="center"/>
              <w:rPr>
                <w:i/>
                <w:sz w:val="14"/>
                <w:szCs w:val="14"/>
              </w:rPr>
            </w:pPr>
            <w:r w:rsidRPr="007930B0">
              <w:rPr>
                <w:i/>
                <w:sz w:val="14"/>
                <w:szCs w:val="14"/>
              </w:rPr>
              <w:t>Sumas</w:t>
            </w:r>
          </w:p>
        </w:tc>
        <w:tc>
          <w:tcPr>
            <w:tcW w:w="2327" w:type="dxa"/>
            <w:gridSpan w:val="3"/>
            <w:tcBorders>
              <w:top w:val="single" w:sz="4" w:space="0" w:color="auto"/>
              <w:left w:val="single" w:sz="24" w:space="0" w:color="FFFFFF"/>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80" w:after="80" w:line="200" w:lineRule="exact"/>
              <w:ind w:right="113"/>
              <w:jc w:val="center"/>
              <w:rPr>
                <w:i/>
                <w:sz w:val="14"/>
                <w:szCs w:val="14"/>
              </w:rPr>
            </w:pPr>
            <w:r w:rsidRPr="007930B0">
              <w:rPr>
                <w:i/>
                <w:sz w:val="14"/>
                <w:szCs w:val="14"/>
              </w:rPr>
              <w:t>Tasas</w:t>
            </w:r>
          </w:p>
        </w:tc>
      </w:tr>
      <w:tr w:rsidR="001F60AC" w:rsidRPr="007930B0">
        <w:trPr>
          <w:tblHeader/>
        </w:trPr>
        <w:tc>
          <w:tcPr>
            <w:tcW w:w="584" w:type="dxa"/>
            <w:tcBorders>
              <w:top w:val="nil"/>
              <w:bottom w:val="single" w:sz="12" w:space="0" w:color="auto"/>
            </w:tcBorders>
            <w:shd w:val="clear" w:color="000000" w:fill="auto"/>
            <w:noWrap/>
            <w:tcMar>
              <w:top w:w="15" w:type="dxa"/>
              <w:left w:w="15" w:type="dxa"/>
              <w:bottom w:w="0" w:type="dxa"/>
              <w:right w:w="15" w:type="dxa"/>
            </w:tcMar>
          </w:tcPr>
          <w:p w:rsidR="001E7BB4" w:rsidRPr="007930B0" w:rsidRDefault="001E7BB4" w:rsidP="001F60AC">
            <w:pPr>
              <w:spacing w:before="40" w:after="40" w:line="220" w:lineRule="exact"/>
              <w:ind w:right="113"/>
              <w:rPr>
                <w:i/>
                <w:sz w:val="14"/>
                <w:szCs w:val="14"/>
              </w:rPr>
            </w:pPr>
          </w:p>
        </w:tc>
        <w:tc>
          <w:tcPr>
            <w:tcW w:w="1867" w:type="dxa"/>
            <w:tcBorders>
              <w:top w:val="nil"/>
              <w:bottom w:val="single" w:sz="12" w:space="0" w:color="auto"/>
            </w:tcBorders>
            <w:shd w:val="clear" w:color="000000" w:fill="auto"/>
            <w:tcMar>
              <w:top w:w="15" w:type="dxa"/>
              <w:left w:w="15" w:type="dxa"/>
              <w:bottom w:w="0" w:type="dxa"/>
              <w:right w:w="15" w:type="dxa"/>
            </w:tcMar>
            <w:vAlign w:val="bottom"/>
          </w:tcPr>
          <w:p w:rsidR="001E7BB4" w:rsidRPr="007930B0" w:rsidRDefault="001E7BB4" w:rsidP="001F60AC">
            <w:pPr>
              <w:spacing w:before="40" w:after="40" w:line="220" w:lineRule="exact"/>
              <w:ind w:right="113"/>
              <w:rPr>
                <w:i/>
                <w:sz w:val="14"/>
                <w:szCs w:val="14"/>
              </w:rPr>
            </w:pPr>
            <w:r w:rsidRPr="007930B0">
              <w:rPr>
                <w:i/>
                <w:sz w:val="14"/>
                <w:szCs w:val="14"/>
              </w:rPr>
              <w:t>Subcomponente</w:t>
            </w:r>
          </w:p>
        </w:tc>
        <w:tc>
          <w:tcPr>
            <w:tcW w:w="851" w:type="dxa"/>
            <w:tcBorders>
              <w:top w:val="single" w:sz="4" w:space="0" w:color="auto"/>
              <w:bottom w:val="single" w:sz="12"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i/>
                <w:sz w:val="14"/>
                <w:szCs w:val="14"/>
              </w:rPr>
            </w:pPr>
            <w:r w:rsidRPr="007930B0">
              <w:rPr>
                <w:i/>
                <w:sz w:val="14"/>
                <w:szCs w:val="14"/>
              </w:rPr>
              <w:t>Presupuesto</w:t>
            </w:r>
          </w:p>
        </w:tc>
        <w:tc>
          <w:tcPr>
            <w:tcW w:w="891" w:type="dxa"/>
            <w:tcBorders>
              <w:top w:val="single" w:sz="4" w:space="0" w:color="auto"/>
              <w:bottom w:val="single" w:sz="12"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i/>
                <w:sz w:val="14"/>
                <w:szCs w:val="14"/>
              </w:rPr>
            </w:pPr>
            <w:r w:rsidRPr="007930B0">
              <w:rPr>
                <w:i/>
                <w:sz w:val="14"/>
                <w:szCs w:val="14"/>
              </w:rPr>
              <w:t>Compromisos</w:t>
            </w:r>
          </w:p>
        </w:tc>
        <w:tc>
          <w:tcPr>
            <w:tcW w:w="850" w:type="dxa"/>
            <w:tcBorders>
              <w:top w:val="single" w:sz="4" w:space="0" w:color="auto"/>
              <w:bottom w:val="single" w:sz="12" w:space="0" w:color="auto"/>
              <w:right w:val="single" w:sz="24" w:space="0" w:color="FFFFFF"/>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i/>
                <w:sz w:val="14"/>
                <w:szCs w:val="14"/>
              </w:rPr>
            </w:pPr>
            <w:r w:rsidRPr="007930B0">
              <w:rPr>
                <w:i/>
                <w:sz w:val="14"/>
                <w:szCs w:val="14"/>
              </w:rPr>
              <w:t>Desembolsos</w:t>
            </w:r>
          </w:p>
        </w:tc>
        <w:tc>
          <w:tcPr>
            <w:tcW w:w="809" w:type="dxa"/>
            <w:tcBorders>
              <w:top w:val="single" w:sz="4" w:space="0" w:color="auto"/>
              <w:left w:val="single" w:sz="24" w:space="0" w:color="FFFFFF"/>
              <w:bottom w:val="single" w:sz="12"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i/>
                <w:sz w:val="14"/>
                <w:szCs w:val="14"/>
              </w:rPr>
            </w:pPr>
            <w:r w:rsidRPr="007930B0">
              <w:rPr>
                <w:i/>
                <w:sz w:val="14"/>
                <w:szCs w:val="14"/>
              </w:rPr>
              <w:t>Tasa de compromiso</w:t>
            </w:r>
          </w:p>
        </w:tc>
        <w:tc>
          <w:tcPr>
            <w:tcW w:w="759" w:type="dxa"/>
            <w:tcBorders>
              <w:top w:val="single" w:sz="4" w:space="0" w:color="auto"/>
              <w:bottom w:val="single" w:sz="12"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i/>
                <w:sz w:val="14"/>
                <w:szCs w:val="14"/>
              </w:rPr>
            </w:pPr>
            <w:r w:rsidRPr="007930B0">
              <w:rPr>
                <w:i/>
                <w:sz w:val="14"/>
                <w:szCs w:val="14"/>
              </w:rPr>
              <w:t xml:space="preserve">Tasa de desembolso </w:t>
            </w:r>
            <w:r w:rsidR="00AA188E" w:rsidRPr="007930B0">
              <w:rPr>
                <w:i/>
                <w:sz w:val="14"/>
                <w:szCs w:val="14"/>
              </w:rPr>
              <w:t>(Pres</w:t>
            </w:r>
            <w:r w:rsidR="0023692B" w:rsidRPr="007930B0">
              <w:rPr>
                <w:i/>
                <w:sz w:val="14"/>
                <w:szCs w:val="14"/>
              </w:rPr>
              <w:t>up</w:t>
            </w:r>
            <w:r w:rsidR="00AA188E" w:rsidRPr="007930B0">
              <w:rPr>
                <w:i/>
                <w:sz w:val="14"/>
                <w:szCs w:val="14"/>
              </w:rPr>
              <w:t>. total)</w:t>
            </w:r>
          </w:p>
        </w:tc>
        <w:tc>
          <w:tcPr>
            <w:tcW w:w="759" w:type="dxa"/>
            <w:tcBorders>
              <w:top w:val="single" w:sz="4" w:space="0" w:color="auto"/>
              <w:bottom w:val="single" w:sz="12" w:space="0" w:color="auto"/>
            </w:tcBorders>
            <w:shd w:val="clear" w:color="000000" w:fill="auto"/>
            <w:noWrap/>
            <w:tcMar>
              <w:top w:w="15" w:type="dxa"/>
              <w:left w:w="15" w:type="dxa"/>
              <w:bottom w:w="0" w:type="dxa"/>
              <w:right w:w="15" w:type="dxa"/>
            </w:tcMar>
            <w:vAlign w:val="bottom"/>
          </w:tcPr>
          <w:p w:rsidR="001E7BB4" w:rsidRPr="007930B0" w:rsidRDefault="001E7BB4" w:rsidP="0023692B">
            <w:pPr>
              <w:spacing w:before="40" w:after="40" w:line="220" w:lineRule="exact"/>
              <w:ind w:right="113"/>
              <w:jc w:val="right"/>
              <w:rPr>
                <w:i/>
                <w:sz w:val="14"/>
                <w:szCs w:val="14"/>
              </w:rPr>
            </w:pPr>
            <w:r w:rsidRPr="007930B0">
              <w:rPr>
                <w:i/>
                <w:sz w:val="14"/>
                <w:szCs w:val="14"/>
              </w:rPr>
              <w:t xml:space="preserve">Tasa de desembolso </w:t>
            </w:r>
            <w:r w:rsidR="00AA188E" w:rsidRPr="007930B0">
              <w:rPr>
                <w:i/>
                <w:sz w:val="14"/>
                <w:szCs w:val="14"/>
              </w:rPr>
              <w:t>(Pres</w:t>
            </w:r>
            <w:r w:rsidR="0023692B" w:rsidRPr="007930B0">
              <w:rPr>
                <w:i/>
                <w:sz w:val="14"/>
                <w:szCs w:val="14"/>
              </w:rPr>
              <w:t>up</w:t>
            </w:r>
            <w:r w:rsidR="00AA188E" w:rsidRPr="007930B0">
              <w:rPr>
                <w:i/>
                <w:sz w:val="14"/>
                <w:szCs w:val="14"/>
              </w:rPr>
              <w:t>.</w:t>
            </w:r>
            <w:r w:rsidR="0023692B" w:rsidRPr="007930B0">
              <w:rPr>
                <w:i/>
                <w:sz w:val="14"/>
                <w:szCs w:val="14"/>
              </w:rPr>
              <w:t xml:space="preserve"> </w:t>
            </w:r>
            <w:r w:rsidR="00AA188E" w:rsidRPr="007930B0">
              <w:rPr>
                <w:i/>
                <w:sz w:val="14"/>
                <w:szCs w:val="14"/>
              </w:rPr>
              <w:t>total)</w:t>
            </w:r>
          </w:p>
        </w:tc>
      </w:tr>
      <w:tr w:rsidR="001F60AC" w:rsidRPr="007930B0">
        <w:tc>
          <w:tcPr>
            <w:tcW w:w="584" w:type="dxa"/>
            <w:vMerge w:val="restart"/>
            <w:tcBorders>
              <w:top w:val="single" w:sz="12" w:space="0" w:color="auto"/>
            </w:tcBorders>
            <w:shd w:val="clear" w:color="000000" w:fill="auto"/>
            <w:noWrap/>
            <w:tcMar>
              <w:top w:w="15" w:type="dxa"/>
              <w:left w:w="15" w:type="dxa"/>
              <w:bottom w:w="0" w:type="dxa"/>
              <w:right w:w="15" w:type="dxa"/>
            </w:tcMar>
          </w:tcPr>
          <w:p w:rsidR="001E7BB4" w:rsidRPr="007930B0" w:rsidRDefault="001E7BB4" w:rsidP="001F60AC">
            <w:pPr>
              <w:spacing w:before="40" w:after="40" w:line="220" w:lineRule="exact"/>
              <w:ind w:right="113"/>
              <w:rPr>
                <w:sz w:val="16"/>
                <w:szCs w:val="16"/>
              </w:rPr>
            </w:pPr>
            <w:r w:rsidRPr="007930B0">
              <w:rPr>
                <w:sz w:val="16"/>
                <w:szCs w:val="16"/>
              </w:rPr>
              <w:t>Gestión</w:t>
            </w:r>
          </w:p>
        </w:tc>
        <w:tc>
          <w:tcPr>
            <w:tcW w:w="1867" w:type="dxa"/>
            <w:tcBorders>
              <w:top w:val="single" w:sz="12" w:space="0" w:color="auto"/>
            </w:tcBorders>
            <w:shd w:val="clear" w:color="000000" w:fill="auto"/>
            <w:tcMar>
              <w:top w:w="15" w:type="dxa"/>
              <w:left w:w="15" w:type="dxa"/>
              <w:bottom w:w="0" w:type="dxa"/>
              <w:right w:w="15" w:type="dxa"/>
            </w:tcMar>
          </w:tcPr>
          <w:p w:rsidR="001E7BB4" w:rsidRPr="007930B0" w:rsidRDefault="001E7BB4" w:rsidP="001F60AC">
            <w:pPr>
              <w:spacing w:before="40" w:after="40" w:line="220" w:lineRule="exact"/>
              <w:ind w:right="113"/>
              <w:rPr>
                <w:sz w:val="16"/>
                <w:szCs w:val="16"/>
              </w:rPr>
            </w:pPr>
            <w:r w:rsidRPr="007930B0">
              <w:rPr>
                <w:sz w:val="16"/>
                <w:szCs w:val="16"/>
              </w:rPr>
              <w:t>Creación de un sistema de seguimiento</w:t>
            </w:r>
          </w:p>
        </w:tc>
        <w:tc>
          <w:tcPr>
            <w:tcW w:w="851" w:type="dxa"/>
            <w:tcBorders>
              <w:top w:val="single" w:sz="12"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40 000 000</w:t>
            </w:r>
          </w:p>
        </w:tc>
        <w:tc>
          <w:tcPr>
            <w:tcW w:w="891" w:type="dxa"/>
            <w:tcBorders>
              <w:top w:val="single" w:sz="12"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38</w:t>
            </w:r>
            <w:r w:rsidR="00AA188E" w:rsidRPr="007930B0">
              <w:rPr>
                <w:sz w:val="16"/>
                <w:szCs w:val="16"/>
              </w:rPr>
              <w:t xml:space="preserve"> </w:t>
            </w:r>
            <w:r w:rsidRPr="007930B0">
              <w:rPr>
                <w:sz w:val="16"/>
                <w:szCs w:val="16"/>
              </w:rPr>
              <w:t>922</w:t>
            </w:r>
            <w:r w:rsidR="00AA188E" w:rsidRPr="007930B0">
              <w:rPr>
                <w:sz w:val="16"/>
                <w:szCs w:val="16"/>
              </w:rPr>
              <w:t xml:space="preserve"> </w:t>
            </w:r>
            <w:r w:rsidRPr="007930B0">
              <w:rPr>
                <w:sz w:val="16"/>
                <w:szCs w:val="16"/>
              </w:rPr>
              <w:t>867</w:t>
            </w:r>
          </w:p>
        </w:tc>
        <w:tc>
          <w:tcPr>
            <w:tcW w:w="850" w:type="dxa"/>
            <w:tcBorders>
              <w:top w:val="single" w:sz="12"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39</w:t>
            </w:r>
            <w:r w:rsidR="00AA188E" w:rsidRPr="007930B0">
              <w:rPr>
                <w:sz w:val="16"/>
                <w:szCs w:val="16"/>
              </w:rPr>
              <w:t xml:space="preserve"> </w:t>
            </w:r>
            <w:r w:rsidRPr="007930B0">
              <w:rPr>
                <w:sz w:val="16"/>
                <w:szCs w:val="16"/>
              </w:rPr>
              <w:t>447</w:t>
            </w:r>
            <w:r w:rsidR="00AA188E" w:rsidRPr="007930B0">
              <w:rPr>
                <w:sz w:val="16"/>
                <w:szCs w:val="16"/>
              </w:rPr>
              <w:t xml:space="preserve"> </w:t>
            </w:r>
            <w:r w:rsidRPr="007930B0">
              <w:rPr>
                <w:sz w:val="16"/>
                <w:szCs w:val="16"/>
              </w:rPr>
              <w:t>104</w:t>
            </w:r>
          </w:p>
        </w:tc>
        <w:tc>
          <w:tcPr>
            <w:tcW w:w="809" w:type="dxa"/>
            <w:tcBorders>
              <w:top w:val="single" w:sz="12"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97,3%</w:t>
            </w:r>
          </w:p>
        </w:tc>
        <w:tc>
          <w:tcPr>
            <w:tcW w:w="759" w:type="dxa"/>
            <w:tcBorders>
              <w:top w:val="single" w:sz="12"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98,6%</w:t>
            </w:r>
          </w:p>
        </w:tc>
        <w:tc>
          <w:tcPr>
            <w:tcW w:w="759" w:type="dxa"/>
            <w:tcBorders>
              <w:top w:val="single" w:sz="12" w:space="0" w:color="auto"/>
            </w:tcBorders>
            <w:shd w:val="clear" w:color="000000" w:fill="auto"/>
            <w:noWrap/>
            <w:tcMar>
              <w:top w:w="15" w:type="dxa"/>
              <w:left w:w="15" w:type="dxa"/>
              <w:bottom w:w="0" w:type="dxa"/>
              <w:right w:w="15" w:type="dxa"/>
            </w:tcMar>
            <w:vAlign w:val="bottom"/>
          </w:tcPr>
          <w:p w:rsidR="001E7BB4" w:rsidRPr="007930B0" w:rsidRDefault="001E7BB4" w:rsidP="0023692B">
            <w:pPr>
              <w:spacing w:before="40" w:after="40" w:line="220" w:lineRule="exact"/>
              <w:ind w:right="113"/>
              <w:jc w:val="right"/>
              <w:rPr>
                <w:sz w:val="16"/>
                <w:szCs w:val="16"/>
              </w:rPr>
            </w:pPr>
            <w:r w:rsidRPr="007930B0">
              <w:rPr>
                <w:sz w:val="16"/>
                <w:szCs w:val="16"/>
              </w:rPr>
              <w:t>101,3%</w:t>
            </w:r>
          </w:p>
        </w:tc>
      </w:tr>
      <w:tr w:rsidR="001F60AC" w:rsidRPr="007930B0">
        <w:tc>
          <w:tcPr>
            <w:tcW w:w="584" w:type="dxa"/>
            <w:vMerge/>
            <w:shd w:val="clear" w:color="000000" w:fill="auto"/>
          </w:tcPr>
          <w:p w:rsidR="001E7BB4" w:rsidRPr="007930B0" w:rsidRDefault="001E7BB4" w:rsidP="001F60AC">
            <w:pPr>
              <w:spacing w:before="40" w:after="40" w:line="220" w:lineRule="exact"/>
              <w:ind w:right="113"/>
              <w:rPr>
                <w:sz w:val="16"/>
                <w:szCs w:val="16"/>
              </w:rPr>
            </w:pPr>
          </w:p>
        </w:tc>
        <w:tc>
          <w:tcPr>
            <w:tcW w:w="1867" w:type="dxa"/>
            <w:shd w:val="clear" w:color="000000" w:fill="auto"/>
            <w:tcMar>
              <w:top w:w="15" w:type="dxa"/>
              <w:left w:w="15" w:type="dxa"/>
              <w:bottom w:w="0" w:type="dxa"/>
              <w:right w:w="15" w:type="dxa"/>
            </w:tcMar>
          </w:tcPr>
          <w:p w:rsidR="001E7BB4" w:rsidRPr="007930B0" w:rsidRDefault="001E7BB4" w:rsidP="001F60AC">
            <w:pPr>
              <w:spacing w:before="40" w:after="40" w:line="220" w:lineRule="exact"/>
              <w:ind w:right="113"/>
              <w:rPr>
                <w:sz w:val="16"/>
                <w:szCs w:val="16"/>
              </w:rPr>
            </w:pPr>
            <w:r w:rsidRPr="007930B0">
              <w:rPr>
                <w:sz w:val="16"/>
                <w:szCs w:val="16"/>
              </w:rPr>
              <w:t>Mejoramiento de la gestión de recursos humanos</w:t>
            </w:r>
          </w:p>
        </w:tc>
        <w:tc>
          <w:tcPr>
            <w:tcW w:w="851" w:type="dxa"/>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10 000 000</w:t>
            </w:r>
          </w:p>
        </w:tc>
        <w:tc>
          <w:tcPr>
            <w:tcW w:w="891" w:type="dxa"/>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0</w:t>
            </w:r>
          </w:p>
        </w:tc>
        <w:tc>
          <w:tcPr>
            <w:tcW w:w="850" w:type="dxa"/>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0</w:t>
            </w:r>
          </w:p>
        </w:tc>
        <w:tc>
          <w:tcPr>
            <w:tcW w:w="809" w:type="dxa"/>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0,0%</w:t>
            </w:r>
          </w:p>
        </w:tc>
        <w:tc>
          <w:tcPr>
            <w:tcW w:w="759" w:type="dxa"/>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0,0%</w:t>
            </w:r>
          </w:p>
        </w:tc>
        <w:tc>
          <w:tcPr>
            <w:tcW w:w="759" w:type="dxa"/>
            <w:shd w:val="clear" w:color="000000" w:fill="auto"/>
            <w:noWrap/>
            <w:tcMar>
              <w:top w:w="15" w:type="dxa"/>
              <w:left w:w="15" w:type="dxa"/>
              <w:bottom w:w="0" w:type="dxa"/>
              <w:right w:w="15" w:type="dxa"/>
            </w:tcMar>
            <w:vAlign w:val="bottom"/>
          </w:tcPr>
          <w:p w:rsidR="001E7BB4" w:rsidRPr="007930B0" w:rsidRDefault="001E7BB4" w:rsidP="0023692B">
            <w:pPr>
              <w:spacing w:before="40" w:after="40" w:line="220" w:lineRule="exact"/>
              <w:ind w:right="113"/>
              <w:jc w:val="right"/>
              <w:rPr>
                <w:sz w:val="16"/>
                <w:szCs w:val="16"/>
              </w:rPr>
            </w:pPr>
            <w:r w:rsidRPr="007930B0">
              <w:rPr>
                <w:sz w:val="16"/>
                <w:szCs w:val="16"/>
              </w:rPr>
              <w:t>#DIV/0!</w:t>
            </w:r>
          </w:p>
        </w:tc>
      </w:tr>
      <w:tr w:rsidR="001F60AC" w:rsidRPr="007930B0">
        <w:tc>
          <w:tcPr>
            <w:tcW w:w="584" w:type="dxa"/>
            <w:vMerge/>
            <w:shd w:val="clear" w:color="000000" w:fill="auto"/>
          </w:tcPr>
          <w:p w:rsidR="001E7BB4" w:rsidRPr="007930B0" w:rsidRDefault="001E7BB4" w:rsidP="001F60AC">
            <w:pPr>
              <w:spacing w:before="40" w:after="40" w:line="220" w:lineRule="exact"/>
              <w:ind w:right="113"/>
              <w:rPr>
                <w:sz w:val="16"/>
                <w:szCs w:val="16"/>
              </w:rPr>
            </w:pPr>
          </w:p>
        </w:tc>
        <w:tc>
          <w:tcPr>
            <w:tcW w:w="1867" w:type="dxa"/>
            <w:shd w:val="clear" w:color="000000" w:fill="auto"/>
            <w:tcMar>
              <w:top w:w="15" w:type="dxa"/>
              <w:left w:w="15" w:type="dxa"/>
              <w:bottom w:w="0" w:type="dxa"/>
              <w:right w:w="15" w:type="dxa"/>
            </w:tcMar>
          </w:tcPr>
          <w:p w:rsidR="001E7BB4" w:rsidRPr="007930B0" w:rsidRDefault="001E7BB4" w:rsidP="001F60AC">
            <w:pPr>
              <w:spacing w:before="40" w:after="40" w:line="220" w:lineRule="exact"/>
              <w:ind w:right="113"/>
              <w:rPr>
                <w:sz w:val="16"/>
                <w:szCs w:val="16"/>
              </w:rPr>
            </w:pPr>
            <w:r w:rsidRPr="007930B0">
              <w:rPr>
                <w:sz w:val="16"/>
                <w:szCs w:val="16"/>
              </w:rPr>
              <w:t>Gestión pedagógica basada en los resultados</w:t>
            </w:r>
          </w:p>
        </w:tc>
        <w:tc>
          <w:tcPr>
            <w:tcW w:w="851" w:type="dxa"/>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15 000 000</w:t>
            </w:r>
          </w:p>
        </w:tc>
        <w:tc>
          <w:tcPr>
            <w:tcW w:w="891" w:type="dxa"/>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0</w:t>
            </w:r>
          </w:p>
        </w:tc>
        <w:tc>
          <w:tcPr>
            <w:tcW w:w="850" w:type="dxa"/>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0</w:t>
            </w:r>
          </w:p>
        </w:tc>
        <w:tc>
          <w:tcPr>
            <w:tcW w:w="809" w:type="dxa"/>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0,0%</w:t>
            </w:r>
          </w:p>
        </w:tc>
        <w:tc>
          <w:tcPr>
            <w:tcW w:w="759" w:type="dxa"/>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0,0%</w:t>
            </w:r>
          </w:p>
        </w:tc>
        <w:tc>
          <w:tcPr>
            <w:tcW w:w="759" w:type="dxa"/>
            <w:shd w:val="clear" w:color="000000" w:fill="auto"/>
            <w:noWrap/>
            <w:tcMar>
              <w:top w:w="15" w:type="dxa"/>
              <w:left w:w="15" w:type="dxa"/>
              <w:bottom w:w="0" w:type="dxa"/>
              <w:right w:w="15" w:type="dxa"/>
            </w:tcMar>
            <w:vAlign w:val="bottom"/>
          </w:tcPr>
          <w:p w:rsidR="001E7BB4" w:rsidRPr="007930B0" w:rsidRDefault="001E7BB4" w:rsidP="0023692B">
            <w:pPr>
              <w:spacing w:before="40" w:after="40" w:line="220" w:lineRule="exact"/>
              <w:ind w:right="113"/>
              <w:jc w:val="right"/>
              <w:rPr>
                <w:sz w:val="16"/>
                <w:szCs w:val="16"/>
              </w:rPr>
            </w:pPr>
            <w:r w:rsidRPr="007930B0">
              <w:rPr>
                <w:sz w:val="16"/>
                <w:szCs w:val="16"/>
              </w:rPr>
              <w:t>#DIV/0!</w:t>
            </w:r>
          </w:p>
        </w:tc>
      </w:tr>
      <w:tr w:rsidR="001F60AC" w:rsidRPr="007930B0">
        <w:tc>
          <w:tcPr>
            <w:tcW w:w="584" w:type="dxa"/>
            <w:shd w:val="clear" w:color="000000" w:fill="auto"/>
          </w:tcPr>
          <w:p w:rsidR="001E7BB4" w:rsidRPr="007930B0" w:rsidRDefault="001E7BB4" w:rsidP="001F60AC">
            <w:pPr>
              <w:spacing w:before="40" w:after="40" w:line="220" w:lineRule="exact"/>
              <w:ind w:right="113"/>
              <w:rPr>
                <w:sz w:val="16"/>
                <w:szCs w:val="16"/>
              </w:rPr>
            </w:pPr>
          </w:p>
        </w:tc>
        <w:tc>
          <w:tcPr>
            <w:tcW w:w="1867" w:type="dxa"/>
            <w:shd w:val="clear" w:color="000000" w:fill="auto"/>
            <w:tcMar>
              <w:top w:w="15" w:type="dxa"/>
              <w:left w:w="15" w:type="dxa"/>
              <w:bottom w:w="0" w:type="dxa"/>
              <w:right w:w="15" w:type="dxa"/>
            </w:tcMar>
          </w:tcPr>
          <w:p w:rsidR="001E7BB4" w:rsidRPr="007930B0" w:rsidRDefault="001E7BB4" w:rsidP="001F60AC">
            <w:pPr>
              <w:spacing w:before="40" w:after="40" w:line="220" w:lineRule="exact"/>
              <w:ind w:right="113"/>
              <w:rPr>
                <w:sz w:val="16"/>
                <w:szCs w:val="16"/>
              </w:rPr>
            </w:pPr>
            <w:r w:rsidRPr="007930B0">
              <w:rPr>
                <w:sz w:val="16"/>
                <w:szCs w:val="16"/>
              </w:rPr>
              <w:t>Mejoramiento de la gestión administrativa y financiera</w:t>
            </w:r>
          </w:p>
        </w:tc>
        <w:tc>
          <w:tcPr>
            <w:tcW w:w="851" w:type="dxa"/>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50 433 775</w:t>
            </w:r>
          </w:p>
        </w:tc>
        <w:tc>
          <w:tcPr>
            <w:tcW w:w="891" w:type="dxa"/>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53</w:t>
            </w:r>
            <w:r w:rsidR="00AA188E" w:rsidRPr="007930B0">
              <w:rPr>
                <w:sz w:val="16"/>
                <w:szCs w:val="16"/>
              </w:rPr>
              <w:t xml:space="preserve"> </w:t>
            </w:r>
            <w:r w:rsidRPr="007930B0">
              <w:rPr>
                <w:sz w:val="16"/>
                <w:szCs w:val="16"/>
              </w:rPr>
              <w:t>211</w:t>
            </w:r>
            <w:r w:rsidR="00AA188E" w:rsidRPr="007930B0">
              <w:rPr>
                <w:sz w:val="16"/>
                <w:szCs w:val="16"/>
              </w:rPr>
              <w:t xml:space="preserve"> </w:t>
            </w:r>
            <w:r w:rsidRPr="007930B0">
              <w:rPr>
                <w:sz w:val="16"/>
                <w:szCs w:val="16"/>
              </w:rPr>
              <w:t>915</w:t>
            </w:r>
          </w:p>
        </w:tc>
        <w:tc>
          <w:tcPr>
            <w:tcW w:w="850" w:type="dxa"/>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48</w:t>
            </w:r>
            <w:r w:rsidR="00AA188E" w:rsidRPr="007930B0">
              <w:rPr>
                <w:sz w:val="16"/>
                <w:szCs w:val="16"/>
              </w:rPr>
              <w:t xml:space="preserve"> </w:t>
            </w:r>
            <w:r w:rsidRPr="007930B0">
              <w:rPr>
                <w:sz w:val="16"/>
                <w:szCs w:val="16"/>
              </w:rPr>
              <w:t>153</w:t>
            </w:r>
            <w:r w:rsidR="00AA188E" w:rsidRPr="007930B0">
              <w:rPr>
                <w:sz w:val="16"/>
                <w:szCs w:val="16"/>
              </w:rPr>
              <w:t xml:space="preserve"> </w:t>
            </w:r>
            <w:r w:rsidRPr="007930B0">
              <w:rPr>
                <w:sz w:val="16"/>
                <w:szCs w:val="16"/>
              </w:rPr>
              <w:t>016</w:t>
            </w:r>
          </w:p>
        </w:tc>
        <w:tc>
          <w:tcPr>
            <w:tcW w:w="809" w:type="dxa"/>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105,5%</w:t>
            </w:r>
          </w:p>
        </w:tc>
        <w:tc>
          <w:tcPr>
            <w:tcW w:w="759" w:type="dxa"/>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95,5%</w:t>
            </w:r>
          </w:p>
        </w:tc>
        <w:tc>
          <w:tcPr>
            <w:tcW w:w="759" w:type="dxa"/>
            <w:shd w:val="clear" w:color="000000" w:fill="auto"/>
            <w:noWrap/>
            <w:tcMar>
              <w:top w:w="15" w:type="dxa"/>
              <w:left w:w="15" w:type="dxa"/>
              <w:bottom w:w="0" w:type="dxa"/>
              <w:right w:w="15" w:type="dxa"/>
            </w:tcMar>
            <w:vAlign w:val="bottom"/>
          </w:tcPr>
          <w:p w:rsidR="001E7BB4" w:rsidRPr="007930B0" w:rsidRDefault="001E7BB4" w:rsidP="0023692B">
            <w:pPr>
              <w:spacing w:before="40" w:after="40" w:line="220" w:lineRule="exact"/>
              <w:ind w:right="113"/>
              <w:jc w:val="right"/>
              <w:rPr>
                <w:sz w:val="16"/>
                <w:szCs w:val="16"/>
              </w:rPr>
            </w:pPr>
            <w:r w:rsidRPr="007930B0">
              <w:rPr>
                <w:sz w:val="16"/>
                <w:szCs w:val="16"/>
              </w:rPr>
              <w:t>90,5%</w:t>
            </w:r>
          </w:p>
        </w:tc>
      </w:tr>
      <w:tr w:rsidR="001F60AC" w:rsidRPr="007930B0">
        <w:tc>
          <w:tcPr>
            <w:tcW w:w="584" w:type="dxa"/>
            <w:tcBorders>
              <w:bottom w:val="single" w:sz="4" w:space="0" w:color="auto"/>
            </w:tcBorders>
            <w:shd w:val="clear" w:color="000000" w:fill="auto"/>
          </w:tcPr>
          <w:p w:rsidR="001E7BB4" w:rsidRPr="007930B0" w:rsidRDefault="001E7BB4" w:rsidP="001F60AC">
            <w:pPr>
              <w:spacing w:before="40" w:after="40" w:line="220" w:lineRule="exact"/>
              <w:ind w:right="113"/>
              <w:rPr>
                <w:sz w:val="16"/>
                <w:szCs w:val="16"/>
              </w:rPr>
            </w:pPr>
          </w:p>
        </w:tc>
        <w:tc>
          <w:tcPr>
            <w:tcW w:w="1867" w:type="dxa"/>
            <w:tcBorders>
              <w:bottom w:val="single" w:sz="4" w:space="0" w:color="auto"/>
            </w:tcBorders>
            <w:shd w:val="clear" w:color="000000" w:fill="auto"/>
            <w:tcMar>
              <w:top w:w="15" w:type="dxa"/>
              <w:left w:w="15" w:type="dxa"/>
              <w:bottom w:w="0" w:type="dxa"/>
              <w:right w:w="15" w:type="dxa"/>
            </w:tcMar>
          </w:tcPr>
          <w:p w:rsidR="001E7BB4" w:rsidRPr="007930B0" w:rsidRDefault="001E7BB4" w:rsidP="001F60AC">
            <w:pPr>
              <w:spacing w:before="40" w:after="40" w:line="220" w:lineRule="exact"/>
              <w:ind w:right="113"/>
              <w:rPr>
                <w:sz w:val="16"/>
                <w:szCs w:val="16"/>
              </w:rPr>
            </w:pPr>
            <w:r w:rsidRPr="007930B0">
              <w:rPr>
                <w:sz w:val="16"/>
                <w:szCs w:val="16"/>
              </w:rPr>
              <w:t>Coordinación de programas</w:t>
            </w:r>
          </w:p>
        </w:tc>
        <w:tc>
          <w:tcPr>
            <w:tcW w:w="851" w:type="dxa"/>
            <w:tcBorders>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125 237 280</w:t>
            </w:r>
          </w:p>
        </w:tc>
        <w:tc>
          <w:tcPr>
            <w:tcW w:w="891" w:type="dxa"/>
            <w:tcBorders>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73</w:t>
            </w:r>
            <w:r w:rsidR="00AA188E" w:rsidRPr="007930B0">
              <w:rPr>
                <w:sz w:val="16"/>
                <w:szCs w:val="16"/>
              </w:rPr>
              <w:t xml:space="preserve"> </w:t>
            </w:r>
            <w:r w:rsidRPr="007930B0">
              <w:rPr>
                <w:sz w:val="16"/>
                <w:szCs w:val="16"/>
              </w:rPr>
              <w:t>449</w:t>
            </w:r>
            <w:r w:rsidR="00AA188E" w:rsidRPr="007930B0">
              <w:rPr>
                <w:sz w:val="16"/>
                <w:szCs w:val="16"/>
              </w:rPr>
              <w:t xml:space="preserve"> </w:t>
            </w:r>
            <w:r w:rsidRPr="007930B0">
              <w:rPr>
                <w:sz w:val="16"/>
                <w:szCs w:val="16"/>
              </w:rPr>
              <w:t>693</w:t>
            </w:r>
          </w:p>
        </w:tc>
        <w:tc>
          <w:tcPr>
            <w:tcW w:w="850" w:type="dxa"/>
            <w:tcBorders>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73</w:t>
            </w:r>
            <w:r w:rsidR="00AA188E" w:rsidRPr="007930B0">
              <w:rPr>
                <w:sz w:val="16"/>
                <w:szCs w:val="16"/>
              </w:rPr>
              <w:t xml:space="preserve"> </w:t>
            </w:r>
            <w:r w:rsidRPr="007930B0">
              <w:rPr>
                <w:sz w:val="16"/>
                <w:szCs w:val="16"/>
              </w:rPr>
              <w:t>449</w:t>
            </w:r>
            <w:r w:rsidR="00AA188E" w:rsidRPr="007930B0">
              <w:rPr>
                <w:sz w:val="16"/>
                <w:szCs w:val="16"/>
              </w:rPr>
              <w:t xml:space="preserve"> </w:t>
            </w:r>
            <w:r w:rsidRPr="007930B0">
              <w:rPr>
                <w:sz w:val="16"/>
                <w:szCs w:val="16"/>
              </w:rPr>
              <w:t>693</w:t>
            </w:r>
          </w:p>
        </w:tc>
        <w:tc>
          <w:tcPr>
            <w:tcW w:w="809" w:type="dxa"/>
            <w:tcBorders>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58,6%</w:t>
            </w:r>
          </w:p>
        </w:tc>
        <w:tc>
          <w:tcPr>
            <w:tcW w:w="759" w:type="dxa"/>
            <w:tcBorders>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58,6%</w:t>
            </w:r>
          </w:p>
        </w:tc>
        <w:tc>
          <w:tcPr>
            <w:tcW w:w="759" w:type="dxa"/>
            <w:tcBorders>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23692B">
            <w:pPr>
              <w:spacing w:before="40" w:after="40" w:line="220" w:lineRule="exact"/>
              <w:ind w:right="113"/>
              <w:jc w:val="right"/>
              <w:rPr>
                <w:sz w:val="16"/>
                <w:szCs w:val="16"/>
              </w:rPr>
            </w:pPr>
            <w:r w:rsidRPr="007930B0">
              <w:rPr>
                <w:sz w:val="16"/>
                <w:szCs w:val="16"/>
              </w:rPr>
              <w:t>100,0%</w:t>
            </w:r>
          </w:p>
        </w:tc>
      </w:tr>
      <w:tr w:rsidR="001F60AC" w:rsidRPr="007930B0">
        <w:tc>
          <w:tcPr>
            <w:tcW w:w="2451" w:type="dxa"/>
            <w:gridSpan w:val="2"/>
            <w:tcBorders>
              <w:top w:val="single" w:sz="4" w:space="0" w:color="auto"/>
              <w:bottom w:val="single" w:sz="4" w:space="0" w:color="auto"/>
            </w:tcBorders>
            <w:shd w:val="clear" w:color="000000" w:fill="auto"/>
            <w:noWrap/>
            <w:tcMar>
              <w:top w:w="15" w:type="dxa"/>
              <w:left w:w="15" w:type="dxa"/>
              <w:bottom w:w="0" w:type="dxa"/>
              <w:right w:w="15" w:type="dxa"/>
            </w:tcMar>
          </w:tcPr>
          <w:p w:rsidR="001E7BB4" w:rsidRPr="007930B0" w:rsidRDefault="001E7BB4" w:rsidP="00AA188E">
            <w:pPr>
              <w:spacing w:before="60" w:after="60" w:line="220" w:lineRule="exact"/>
              <w:ind w:left="284" w:right="113"/>
              <w:rPr>
                <w:b/>
                <w:sz w:val="16"/>
                <w:szCs w:val="16"/>
              </w:rPr>
            </w:pPr>
            <w:r w:rsidRPr="007930B0">
              <w:rPr>
                <w:b/>
                <w:sz w:val="16"/>
                <w:szCs w:val="16"/>
              </w:rPr>
              <w:t>Subtotal</w:t>
            </w:r>
          </w:p>
        </w:tc>
        <w:tc>
          <w:tcPr>
            <w:tcW w:w="851"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AA188E">
            <w:pPr>
              <w:spacing w:before="60" w:after="60" w:line="220" w:lineRule="exact"/>
              <w:ind w:right="113"/>
              <w:jc w:val="right"/>
              <w:rPr>
                <w:b/>
                <w:sz w:val="16"/>
                <w:szCs w:val="16"/>
              </w:rPr>
            </w:pPr>
            <w:r w:rsidRPr="007930B0">
              <w:rPr>
                <w:b/>
                <w:sz w:val="16"/>
                <w:szCs w:val="16"/>
              </w:rPr>
              <w:t>240 671 055</w:t>
            </w:r>
          </w:p>
        </w:tc>
        <w:tc>
          <w:tcPr>
            <w:tcW w:w="891"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AA188E">
            <w:pPr>
              <w:spacing w:before="60" w:after="60" w:line="220" w:lineRule="exact"/>
              <w:ind w:right="113"/>
              <w:jc w:val="right"/>
              <w:rPr>
                <w:b/>
                <w:sz w:val="16"/>
                <w:szCs w:val="16"/>
              </w:rPr>
            </w:pPr>
            <w:r w:rsidRPr="007930B0">
              <w:rPr>
                <w:b/>
                <w:sz w:val="16"/>
                <w:szCs w:val="16"/>
              </w:rPr>
              <w:t>165</w:t>
            </w:r>
            <w:r w:rsidR="00AA188E" w:rsidRPr="007930B0">
              <w:rPr>
                <w:b/>
                <w:sz w:val="16"/>
                <w:szCs w:val="16"/>
              </w:rPr>
              <w:t xml:space="preserve"> </w:t>
            </w:r>
            <w:r w:rsidRPr="007930B0">
              <w:rPr>
                <w:b/>
                <w:sz w:val="16"/>
                <w:szCs w:val="16"/>
              </w:rPr>
              <w:t>584</w:t>
            </w:r>
            <w:r w:rsidR="00AA188E" w:rsidRPr="007930B0">
              <w:rPr>
                <w:b/>
                <w:sz w:val="16"/>
                <w:szCs w:val="16"/>
              </w:rPr>
              <w:t xml:space="preserve"> </w:t>
            </w:r>
            <w:r w:rsidRPr="007930B0">
              <w:rPr>
                <w:b/>
                <w:sz w:val="16"/>
                <w:szCs w:val="16"/>
              </w:rPr>
              <w:t>475</w:t>
            </w:r>
          </w:p>
        </w:tc>
        <w:tc>
          <w:tcPr>
            <w:tcW w:w="850"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AA188E">
            <w:pPr>
              <w:spacing w:before="60" w:after="60" w:line="220" w:lineRule="exact"/>
              <w:ind w:right="113"/>
              <w:jc w:val="right"/>
              <w:rPr>
                <w:b/>
                <w:sz w:val="16"/>
                <w:szCs w:val="16"/>
              </w:rPr>
            </w:pPr>
            <w:r w:rsidRPr="007930B0">
              <w:rPr>
                <w:b/>
                <w:sz w:val="16"/>
                <w:szCs w:val="16"/>
              </w:rPr>
              <w:t>161</w:t>
            </w:r>
            <w:r w:rsidR="00AA188E" w:rsidRPr="007930B0">
              <w:rPr>
                <w:b/>
                <w:sz w:val="16"/>
                <w:szCs w:val="16"/>
              </w:rPr>
              <w:t xml:space="preserve"> </w:t>
            </w:r>
            <w:r w:rsidRPr="007930B0">
              <w:rPr>
                <w:b/>
                <w:sz w:val="16"/>
                <w:szCs w:val="16"/>
              </w:rPr>
              <w:t>049</w:t>
            </w:r>
            <w:r w:rsidR="00AA188E" w:rsidRPr="007930B0">
              <w:rPr>
                <w:b/>
                <w:sz w:val="16"/>
                <w:szCs w:val="16"/>
              </w:rPr>
              <w:t xml:space="preserve"> </w:t>
            </w:r>
            <w:r w:rsidRPr="007930B0">
              <w:rPr>
                <w:b/>
                <w:sz w:val="16"/>
                <w:szCs w:val="16"/>
              </w:rPr>
              <w:t>813</w:t>
            </w:r>
          </w:p>
        </w:tc>
        <w:tc>
          <w:tcPr>
            <w:tcW w:w="809"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AA188E">
            <w:pPr>
              <w:spacing w:before="60" w:after="60" w:line="220" w:lineRule="exact"/>
              <w:ind w:right="113"/>
              <w:jc w:val="right"/>
              <w:rPr>
                <w:b/>
                <w:sz w:val="16"/>
                <w:szCs w:val="16"/>
              </w:rPr>
            </w:pPr>
            <w:r w:rsidRPr="007930B0">
              <w:rPr>
                <w:b/>
                <w:sz w:val="16"/>
                <w:szCs w:val="16"/>
              </w:rPr>
              <w:t>68,8%</w:t>
            </w:r>
          </w:p>
        </w:tc>
        <w:tc>
          <w:tcPr>
            <w:tcW w:w="759"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AA188E">
            <w:pPr>
              <w:spacing w:before="60" w:after="60" w:line="220" w:lineRule="exact"/>
              <w:ind w:right="113"/>
              <w:jc w:val="right"/>
              <w:rPr>
                <w:b/>
                <w:sz w:val="16"/>
                <w:szCs w:val="16"/>
              </w:rPr>
            </w:pPr>
            <w:r w:rsidRPr="007930B0">
              <w:rPr>
                <w:b/>
                <w:sz w:val="16"/>
                <w:szCs w:val="16"/>
              </w:rPr>
              <w:t>66,9%</w:t>
            </w:r>
          </w:p>
        </w:tc>
        <w:tc>
          <w:tcPr>
            <w:tcW w:w="759"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23692B">
            <w:pPr>
              <w:spacing w:before="60" w:after="60" w:line="220" w:lineRule="exact"/>
              <w:ind w:right="113"/>
              <w:jc w:val="right"/>
              <w:rPr>
                <w:b/>
                <w:sz w:val="16"/>
                <w:szCs w:val="16"/>
              </w:rPr>
            </w:pPr>
            <w:r w:rsidRPr="007930B0">
              <w:rPr>
                <w:b/>
                <w:sz w:val="16"/>
                <w:szCs w:val="16"/>
              </w:rPr>
              <w:t>97,3%</w:t>
            </w:r>
          </w:p>
        </w:tc>
      </w:tr>
      <w:tr w:rsidR="001F60AC" w:rsidRPr="007930B0">
        <w:tc>
          <w:tcPr>
            <w:tcW w:w="584" w:type="dxa"/>
            <w:tcBorders>
              <w:top w:val="single" w:sz="4" w:space="0" w:color="auto"/>
            </w:tcBorders>
            <w:shd w:val="clear" w:color="000000" w:fill="auto"/>
            <w:noWrap/>
            <w:tcMar>
              <w:top w:w="15" w:type="dxa"/>
              <w:left w:w="15" w:type="dxa"/>
              <w:bottom w:w="0" w:type="dxa"/>
              <w:right w:w="15" w:type="dxa"/>
            </w:tcMar>
          </w:tcPr>
          <w:p w:rsidR="001E7BB4" w:rsidRPr="007930B0" w:rsidRDefault="001E7BB4" w:rsidP="001F60AC">
            <w:pPr>
              <w:spacing w:before="40" w:after="40" w:line="220" w:lineRule="exact"/>
              <w:ind w:right="113"/>
              <w:rPr>
                <w:sz w:val="16"/>
                <w:szCs w:val="16"/>
              </w:rPr>
            </w:pPr>
            <w:r w:rsidRPr="007930B0">
              <w:rPr>
                <w:sz w:val="16"/>
                <w:szCs w:val="16"/>
              </w:rPr>
              <w:t>Calidad</w:t>
            </w:r>
          </w:p>
        </w:tc>
        <w:tc>
          <w:tcPr>
            <w:tcW w:w="1867" w:type="dxa"/>
            <w:tcBorders>
              <w:top w:val="single" w:sz="4" w:space="0" w:color="auto"/>
            </w:tcBorders>
            <w:shd w:val="clear" w:color="000000" w:fill="auto"/>
            <w:tcMar>
              <w:top w:w="15" w:type="dxa"/>
              <w:left w:w="15" w:type="dxa"/>
              <w:bottom w:w="0" w:type="dxa"/>
              <w:right w:w="15" w:type="dxa"/>
            </w:tcMar>
          </w:tcPr>
          <w:p w:rsidR="001E7BB4" w:rsidRPr="007930B0" w:rsidRDefault="001E7BB4" w:rsidP="001F60AC">
            <w:pPr>
              <w:spacing w:before="40" w:after="40" w:line="220" w:lineRule="exact"/>
              <w:ind w:right="113"/>
              <w:rPr>
                <w:sz w:val="16"/>
                <w:szCs w:val="16"/>
              </w:rPr>
            </w:pPr>
            <w:r w:rsidRPr="007930B0">
              <w:rPr>
                <w:sz w:val="16"/>
                <w:szCs w:val="16"/>
              </w:rPr>
              <w:t>Calidad y contenido pedagógico</w:t>
            </w:r>
            <w:r w:rsidR="000F60AE" w:rsidRPr="007930B0">
              <w:rPr>
                <w:sz w:val="16"/>
                <w:szCs w:val="16"/>
              </w:rPr>
              <w:t xml:space="preserve"> </w:t>
            </w:r>
            <w:r w:rsidRPr="007930B0">
              <w:rPr>
                <w:sz w:val="16"/>
                <w:szCs w:val="16"/>
              </w:rPr>
              <w:t>de la enseñanza primaria</w:t>
            </w:r>
          </w:p>
        </w:tc>
        <w:tc>
          <w:tcPr>
            <w:tcW w:w="851" w:type="dxa"/>
            <w:tcBorders>
              <w:top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304 472 002</w:t>
            </w:r>
          </w:p>
        </w:tc>
        <w:tc>
          <w:tcPr>
            <w:tcW w:w="891" w:type="dxa"/>
            <w:tcBorders>
              <w:top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57</w:t>
            </w:r>
            <w:r w:rsidR="00AA188E" w:rsidRPr="007930B0">
              <w:rPr>
                <w:sz w:val="16"/>
                <w:szCs w:val="16"/>
              </w:rPr>
              <w:t xml:space="preserve"> </w:t>
            </w:r>
            <w:r w:rsidRPr="007930B0">
              <w:rPr>
                <w:sz w:val="16"/>
                <w:szCs w:val="16"/>
              </w:rPr>
              <w:t>167</w:t>
            </w:r>
            <w:r w:rsidR="00AA188E" w:rsidRPr="007930B0">
              <w:rPr>
                <w:sz w:val="16"/>
                <w:szCs w:val="16"/>
              </w:rPr>
              <w:t xml:space="preserve"> </w:t>
            </w:r>
            <w:r w:rsidRPr="007930B0">
              <w:rPr>
                <w:sz w:val="16"/>
                <w:szCs w:val="16"/>
              </w:rPr>
              <w:t>292</w:t>
            </w:r>
          </w:p>
        </w:tc>
        <w:tc>
          <w:tcPr>
            <w:tcW w:w="850" w:type="dxa"/>
            <w:tcBorders>
              <w:top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57</w:t>
            </w:r>
            <w:r w:rsidR="00AA188E" w:rsidRPr="007930B0">
              <w:rPr>
                <w:sz w:val="16"/>
                <w:szCs w:val="16"/>
              </w:rPr>
              <w:t xml:space="preserve"> </w:t>
            </w:r>
            <w:r w:rsidRPr="007930B0">
              <w:rPr>
                <w:sz w:val="16"/>
                <w:szCs w:val="16"/>
              </w:rPr>
              <w:t>167</w:t>
            </w:r>
            <w:r w:rsidR="00AA188E" w:rsidRPr="007930B0">
              <w:rPr>
                <w:sz w:val="16"/>
                <w:szCs w:val="16"/>
              </w:rPr>
              <w:t xml:space="preserve"> </w:t>
            </w:r>
            <w:r w:rsidRPr="007930B0">
              <w:rPr>
                <w:sz w:val="16"/>
                <w:szCs w:val="16"/>
              </w:rPr>
              <w:t>293</w:t>
            </w:r>
          </w:p>
        </w:tc>
        <w:tc>
          <w:tcPr>
            <w:tcW w:w="809" w:type="dxa"/>
            <w:tcBorders>
              <w:top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18,8%</w:t>
            </w:r>
          </w:p>
        </w:tc>
        <w:tc>
          <w:tcPr>
            <w:tcW w:w="759" w:type="dxa"/>
            <w:tcBorders>
              <w:top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18,8%</w:t>
            </w:r>
          </w:p>
        </w:tc>
        <w:tc>
          <w:tcPr>
            <w:tcW w:w="759" w:type="dxa"/>
            <w:tcBorders>
              <w:top w:val="single" w:sz="4" w:space="0" w:color="auto"/>
            </w:tcBorders>
            <w:shd w:val="clear" w:color="000000" w:fill="auto"/>
            <w:noWrap/>
            <w:tcMar>
              <w:top w:w="15" w:type="dxa"/>
              <w:left w:w="15" w:type="dxa"/>
              <w:bottom w:w="0" w:type="dxa"/>
              <w:right w:w="15" w:type="dxa"/>
            </w:tcMar>
            <w:vAlign w:val="bottom"/>
          </w:tcPr>
          <w:p w:rsidR="001E7BB4" w:rsidRPr="007930B0" w:rsidRDefault="001E7BB4" w:rsidP="0023692B">
            <w:pPr>
              <w:spacing w:before="40" w:after="40" w:line="220" w:lineRule="exact"/>
              <w:ind w:right="113"/>
              <w:jc w:val="right"/>
              <w:rPr>
                <w:sz w:val="16"/>
                <w:szCs w:val="16"/>
              </w:rPr>
            </w:pPr>
            <w:r w:rsidRPr="007930B0">
              <w:rPr>
                <w:sz w:val="16"/>
                <w:szCs w:val="16"/>
              </w:rPr>
              <w:t>100,0%</w:t>
            </w:r>
          </w:p>
        </w:tc>
      </w:tr>
      <w:tr w:rsidR="001F60AC" w:rsidRPr="007930B0">
        <w:tc>
          <w:tcPr>
            <w:tcW w:w="584" w:type="dxa"/>
            <w:shd w:val="clear" w:color="000000" w:fill="auto"/>
          </w:tcPr>
          <w:p w:rsidR="001E7BB4" w:rsidRPr="007930B0" w:rsidRDefault="001E7BB4" w:rsidP="001F60AC">
            <w:pPr>
              <w:spacing w:before="40" w:after="40" w:line="220" w:lineRule="exact"/>
              <w:ind w:right="113"/>
              <w:rPr>
                <w:sz w:val="16"/>
                <w:szCs w:val="16"/>
              </w:rPr>
            </w:pPr>
          </w:p>
        </w:tc>
        <w:tc>
          <w:tcPr>
            <w:tcW w:w="1867" w:type="dxa"/>
            <w:shd w:val="clear" w:color="000000" w:fill="auto"/>
            <w:tcMar>
              <w:top w:w="15" w:type="dxa"/>
              <w:left w:w="15" w:type="dxa"/>
              <w:bottom w:w="0" w:type="dxa"/>
              <w:right w:w="15" w:type="dxa"/>
            </w:tcMar>
          </w:tcPr>
          <w:p w:rsidR="001E7BB4" w:rsidRPr="007930B0" w:rsidRDefault="001E7BB4" w:rsidP="001F60AC">
            <w:pPr>
              <w:spacing w:before="40" w:after="40" w:line="220" w:lineRule="exact"/>
              <w:ind w:right="113"/>
              <w:rPr>
                <w:sz w:val="16"/>
                <w:szCs w:val="16"/>
              </w:rPr>
            </w:pPr>
            <w:r w:rsidRPr="007930B0">
              <w:rPr>
                <w:sz w:val="16"/>
                <w:szCs w:val="16"/>
              </w:rPr>
              <w:t>Mejora de la calidad/eficacia</w:t>
            </w:r>
            <w:r w:rsidR="000F60AE" w:rsidRPr="007930B0">
              <w:rPr>
                <w:sz w:val="16"/>
                <w:szCs w:val="16"/>
              </w:rPr>
              <w:t xml:space="preserve"> </w:t>
            </w:r>
            <w:r w:rsidRPr="007930B0">
              <w:rPr>
                <w:sz w:val="16"/>
                <w:szCs w:val="16"/>
              </w:rPr>
              <w:t>de la enseñanza secundaria</w:t>
            </w:r>
          </w:p>
        </w:tc>
        <w:tc>
          <w:tcPr>
            <w:tcW w:w="851" w:type="dxa"/>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355 700 000</w:t>
            </w:r>
          </w:p>
        </w:tc>
        <w:tc>
          <w:tcPr>
            <w:tcW w:w="891" w:type="dxa"/>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20</w:t>
            </w:r>
            <w:r w:rsidR="00AA188E" w:rsidRPr="007930B0">
              <w:rPr>
                <w:sz w:val="16"/>
                <w:szCs w:val="16"/>
              </w:rPr>
              <w:t xml:space="preserve"> </w:t>
            </w:r>
            <w:r w:rsidRPr="007930B0">
              <w:rPr>
                <w:sz w:val="16"/>
                <w:szCs w:val="16"/>
              </w:rPr>
              <w:t>145</w:t>
            </w:r>
            <w:r w:rsidR="00AA188E" w:rsidRPr="007930B0">
              <w:rPr>
                <w:sz w:val="16"/>
                <w:szCs w:val="16"/>
              </w:rPr>
              <w:t xml:space="preserve"> </w:t>
            </w:r>
            <w:r w:rsidRPr="007930B0">
              <w:rPr>
                <w:sz w:val="16"/>
                <w:szCs w:val="16"/>
              </w:rPr>
              <w:t>808</w:t>
            </w:r>
          </w:p>
        </w:tc>
        <w:tc>
          <w:tcPr>
            <w:tcW w:w="850" w:type="dxa"/>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20</w:t>
            </w:r>
            <w:r w:rsidR="00AA188E" w:rsidRPr="007930B0">
              <w:rPr>
                <w:sz w:val="16"/>
                <w:szCs w:val="16"/>
              </w:rPr>
              <w:t xml:space="preserve"> </w:t>
            </w:r>
            <w:r w:rsidRPr="007930B0">
              <w:rPr>
                <w:sz w:val="16"/>
                <w:szCs w:val="16"/>
              </w:rPr>
              <w:t>145</w:t>
            </w:r>
            <w:r w:rsidR="00AA188E" w:rsidRPr="007930B0">
              <w:rPr>
                <w:sz w:val="16"/>
                <w:szCs w:val="16"/>
              </w:rPr>
              <w:t xml:space="preserve"> </w:t>
            </w:r>
            <w:r w:rsidRPr="007930B0">
              <w:rPr>
                <w:sz w:val="16"/>
                <w:szCs w:val="16"/>
              </w:rPr>
              <w:t>808</w:t>
            </w:r>
          </w:p>
        </w:tc>
        <w:tc>
          <w:tcPr>
            <w:tcW w:w="809" w:type="dxa"/>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5,7%</w:t>
            </w:r>
          </w:p>
        </w:tc>
        <w:tc>
          <w:tcPr>
            <w:tcW w:w="759" w:type="dxa"/>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5,7%</w:t>
            </w:r>
          </w:p>
        </w:tc>
        <w:tc>
          <w:tcPr>
            <w:tcW w:w="759" w:type="dxa"/>
            <w:shd w:val="clear" w:color="000000" w:fill="auto"/>
            <w:noWrap/>
            <w:tcMar>
              <w:top w:w="15" w:type="dxa"/>
              <w:left w:w="15" w:type="dxa"/>
              <w:bottom w:w="0" w:type="dxa"/>
              <w:right w:w="15" w:type="dxa"/>
            </w:tcMar>
            <w:vAlign w:val="bottom"/>
          </w:tcPr>
          <w:p w:rsidR="001E7BB4" w:rsidRPr="007930B0" w:rsidRDefault="001E7BB4" w:rsidP="0023692B">
            <w:pPr>
              <w:spacing w:before="40" w:after="40" w:line="220" w:lineRule="exact"/>
              <w:ind w:right="113"/>
              <w:jc w:val="right"/>
              <w:rPr>
                <w:sz w:val="16"/>
                <w:szCs w:val="16"/>
              </w:rPr>
            </w:pPr>
            <w:r w:rsidRPr="007930B0">
              <w:rPr>
                <w:sz w:val="16"/>
                <w:szCs w:val="16"/>
              </w:rPr>
              <w:t>100,0%</w:t>
            </w:r>
          </w:p>
        </w:tc>
      </w:tr>
      <w:tr w:rsidR="001F60AC" w:rsidRPr="007930B0">
        <w:tc>
          <w:tcPr>
            <w:tcW w:w="584" w:type="dxa"/>
            <w:tcBorders>
              <w:bottom w:val="single" w:sz="4" w:space="0" w:color="auto"/>
            </w:tcBorders>
            <w:shd w:val="clear" w:color="000000" w:fill="auto"/>
          </w:tcPr>
          <w:p w:rsidR="001E7BB4" w:rsidRPr="007930B0" w:rsidRDefault="001E7BB4" w:rsidP="001F60AC">
            <w:pPr>
              <w:spacing w:before="40" w:after="40" w:line="220" w:lineRule="exact"/>
              <w:ind w:right="113"/>
              <w:rPr>
                <w:sz w:val="16"/>
                <w:szCs w:val="16"/>
              </w:rPr>
            </w:pPr>
          </w:p>
        </w:tc>
        <w:tc>
          <w:tcPr>
            <w:tcW w:w="1867" w:type="dxa"/>
            <w:tcBorders>
              <w:bottom w:val="single" w:sz="4" w:space="0" w:color="auto"/>
            </w:tcBorders>
            <w:shd w:val="clear" w:color="000000" w:fill="auto"/>
            <w:tcMar>
              <w:top w:w="15" w:type="dxa"/>
              <w:left w:w="15" w:type="dxa"/>
              <w:bottom w:w="0" w:type="dxa"/>
              <w:right w:w="15" w:type="dxa"/>
            </w:tcMar>
          </w:tcPr>
          <w:p w:rsidR="001E7BB4" w:rsidRPr="007930B0" w:rsidRDefault="001E7BB4" w:rsidP="001F60AC">
            <w:pPr>
              <w:spacing w:before="40" w:after="40" w:line="220" w:lineRule="exact"/>
              <w:ind w:right="113"/>
              <w:rPr>
                <w:sz w:val="16"/>
                <w:szCs w:val="16"/>
              </w:rPr>
            </w:pPr>
            <w:r w:rsidRPr="007930B0">
              <w:rPr>
                <w:sz w:val="16"/>
                <w:szCs w:val="16"/>
              </w:rPr>
              <w:t>Promoción de la salud escolar</w:t>
            </w:r>
          </w:p>
        </w:tc>
        <w:tc>
          <w:tcPr>
            <w:tcW w:w="851" w:type="dxa"/>
            <w:tcBorders>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10 000 000</w:t>
            </w:r>
          </w:p>
        </w:tc>
        <w:tc>
          <w:tcPr>
            <w:tcW w:w="891" w:type="dxa"/>
            <w:tcBorders>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630</w:t>
            </w:r>
            <w:r w:rsidR="00AA188E" w:rsidRPr="007930B0">
              <w:rPr>
                <w:sz w:val="16"/>
                <w:szCs w:val="16"/>
              </w:rPr>
              <w:t xml:space="preserve"> </w:t>
            </w:r>
            <w:r w:rsidRPr="007930B0">
              <w:rPr>
                <w:sz w:val="16"/>
                <w:szCs w:val="16"/>
              </w:rPr>
              <w:t>000</w:t>
            </w:r>
          </w:p>
        </w:tc>
        <w:tc>
          <w:tcPr>
            <w:tcW w:w="850" w:type="dxa"/>
            <w:tcBorders>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630</w:t>
            </w:r>
            <w:r w:rsidR="00AA188E" w:rsidRPr="007930B0">
              <w:rPr>
                <w:sz w:val="16"/>
                <w:szCs w:val="16"/>
              </w:rPr>
              <w:t xml:space="preserve"> </w:t>
            </w:r>
            <w:r w:rsidRPr="007930B0">
              <w:rPr>
                <w:sz w:val="16"/>
                <w:szCs w:val="16"/>
              </w:rPr>
              <w:t>000</w:t>
            </w:r>
          </w:p>
        </w:tc>
        <w:tc>
          <w:tcPr>
            <w:tcW w:w="809" w:type="dxa"/>
            <w:tcBorders>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6,3%</w:t>
            </w:r>
          </w:p>
        </w:tc>
        <w:tc>
          <w:tcPr>
            <w:tcW w:w="759" w:type="dxa"/>
            <w:tcBorders>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6,3%</w:t>
            </w:r>
          </w:p>
        </w:tc>
        <w:tc>
          <w:tcPr>
            <w:tcW w:w="759" w:type="dxa"/>
            <w:tcBorders>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23692B">
            <w:pPr>
              <w:spacing w:before="40" w:after="40" w:line="220" w:lineRule="exact"/>
              <w:ind w:right="113"/>
              <w:jc w:val="right"/>
              <w:rPr>
                <w:sz w:val="16"/>
                <w:szCs w:val="16"/>
              </w:rPr>
            </w:pPr>
            <w:r w:rsidRPr="007930B0">
              <w:rPr>
                <w:sz w:val="16"/>
                <w:szCs w:val="16"/>
              </w:rPr>
              <w:t>100,0%</w:t>
            </w:r>
          </w:p>
        </w:tc>
      </w:tr>
      <w:tr w:rsidR="001F60AC" w:rsidRPr="007930B0">
        <w:tc>
          <w:tcPr>
            <w:tcW w:w="2451" w:type="dxa"/>
            <w:gridSpan w:val="2"/>
            <w:tcBorders>
              <w:top w:val="single" w:sz="4" w:space="0" w:color="auto"/>
              <w:bottom w:val="single" w:sz="4" w:space="0" w:color="auto"/>
            </w:tcBorders>
            <w:shd w:val="clear" w:color="000000" w:fill="auto"/>
          </w:tcPr>
          <w:p w:rsidR="001E7BB4" w:rsidRPr="007930B0" w:rsidRDefault="001E7BB4" w:rsidP="00AA188E">
            <w:pPr>
              <w:spacing w:before="60" w:after="60" w:line="220" w:lineRule="exact"/>
              <w:ind w:left="284" w:right="113"/>
              <w:rPr>
                <w:b/>
                <w:sz w:val="16"/>
                <w:szCs w:val="16"/>
              </w:rPr>
            </w:pPr>
            <w:r w:rsidRPr="007930B0">
              <w:rPr>
                <w:b/>
                <w:sz w:val="16"/>
                <w:szCs w:val="16"/>
              </w:rPr>
              <w:t>Subtotal</w:t>
            </w:r>
          </w:p>
        </w:tc>
        <w:tc>
          <w:tcPr>
            <w:tcW w:w="851"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AA188E">
            <w:pPr>
              <w:spacing w:before="60" w:after="60" w:line="220" w:lineRule="exact"/>
              <w:ind w:right="113"/>
              <w:jc w:val="right"/>
              <w:rPr>
                <w:b/>
                <w:sz w:val="16"/>
                <w:szCs w:val="16"/>
              </w:rPr>
            </w:pPr>
            <w:r w:rsidRPr="007930B0">
              <w:rPr>
                <w:b/>
                <w:sz w:val="16"/>
                <w:szCs w:val="16"/>
              </w:rPr>
              <w:t>670 172 002</w:t>
            </w:r>
          </w:p>
        </w:tc>
        <w:tc>
          <w:tcPr>
            <w:tcW w:w="891"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AA188E">
            <w:pPr>
              <w:spacing w:before="60" w:after="60" w:line="220" w:lineRule="exact"/>
              <w:ind w:right="113"/>
              <w:jc w:val="right"/>
              <w:rPr>
                <w:b/>
                <w:sz w:val="16"/>
                <w:szCs w:val="16"/>
              </w:rPr>
            </w:pPr>
            <w:r w:rsidRPr="007930B0">
              <w:rPr>
                <w:b/>
                <w:sz w:val="16"/>
                <w:szCs w:val="16"/>
              </w:rPr>
              <w:t>77</w:t>
            </w:r>
            <w:r w:rsidR="00AA188E" w:rsidRPr="007930B0">
              <w:rPr>
                <w:b/>
                <w:sz w:val="16"/>
                <w:szCs w:val="16"/>
              </w:rPr>
              <w:t xml:space="preserve"> </w:t>
            </w:r>
            <w:r w:rsidRPr="007930B0">
              <w:rPr>
                <w:b/>
                <w:sz w:val="16"/>
                <w:szCs w:val="16"/>
              </w:rPr>
              <w:t>943</w:t>
            </w:r>
            <w:r w:rsidR="00AA188E" w:rsidRPr="007930B0">
              <w:rPr>
                <w:b/>
                <w:sz w:val="16"/>
                <w:szCs w:val="16"/>
              </w:rPr>
              <w:t xml:space="preserve"> </w:t>
            </w:r>
            <w:r w:rsidRPr="007930B0">
              <w:rPr>
                <w:b/>
                <w:sz w:val="16"/>
                <w:szCs w:val="16"/>
              </w:rPr>
              <w:t>100</w:t>
            </w:r>
          </w:p>
        </w:tc>
        <w:tc>
          <w:tcPr>
            <w:tcW w:w="850"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AA188E">
            <w:pPr>
              <w:spacing w:before="60" w:after="60" w:line="220" w:lineRule="exact"/>
              <w:ind w:right="113"/>
              <w:jc w:val="right"/>
              <w:rPr>
                <w:b/>
                <w:sz w:val="16"/>
                <w:szCs w:val="16"/>
              </w:rPr>
            </w:pPr>
            <w:r w:rsidRPr="007930B0">
              <w:rPr>
                <w:b/>
                <w:sz w:val="16"/>
                <w:szCs w:val="16"/>
              </w:rPr>
              <w:t>77</w:t>
            </w:r>
            <w:r w:rsidR="00AA188E" w:rsidRPr="007930B0">
              <w:rPr>
                <w:b/>
                <w:sz w:val="16"/>
                <w:szCs w:val="16"/>
              </w:rPr>
              <w:t xml:space="preserve"> </w:t>
            </w:r>
            <w:r w:rsidRPr="007930B0">
              <w:rPr>
                <w:b/>
                <w:sz w:val="16"/>
                <w:szCs w:val="16"/>
              </w:rPr>
              <w:t>943</w:t>
            </w:r>
            <w:r w:rsidR="00AA188E" w:rsidRPr="007930B0">
              <w:rPr>
                <w:b/>
                <w:sz w:val="16"/>
                <w:szCs w:val="16"/>
              </w:rPr>
              <w:t xml:space="preserve"> </w:t>
            </w:r>
            <w:r w:rsidRPr="007930B0">
              <w:rPr>
                <w:b/>
                <w:sz w:val="16"/>
                <w:szCs w:val="16"/>
              </w:rPr>
              <w:t>101</w:t>
            </w:r>
          </w:p>
        </w:tc>
        <w:tc>
          <w:tcPr>
            <w:tcW w:w="809"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AA188E">
            <w:pPr>
              <w:spacing w:before="60" w:after="60" w:line="220" w:lineRule="exact"/>
              <w:ind w:right="113"/>
              <w:jc w:val="right"/>
              <w:rPr>
                <w:b/>
                <w:sz w:val="16"/>
                <w:szCs w:val="16"/>
              </w:rPr>
            </w:pPr>
            <w:r w:rsidRPr="007930B0">
              <w:rPr>
                <w:b/>
                <w:sz w:val="16"/>
                <w:szCs w:val="16"/>
              </w:rPr>
              <w:t>11,6%</w:t>
            </w:r>
          </w:p>
        </w:tc>
        <w:tc>
          <w:tcPr>
            <w:tcW w:w="759"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AA188E">
            <w:pPr>
              <w:spacing w:before="60" w:after="60" w:line="220" w:lineRule="exact"/>
              <w:ind w:right="113"/>
              <w:jc w:val="right"/>
              <w:rPr>
                <w:b/>
                <w:sz w:val="16"/>
                <w:szCs w:val="16"/>
              </w:rPr>
            </w:pPr>
            <w:r w:rsidRPr="007930B0">
              <w:rPr>
                <w:b/>
                <w:sz w:val="16"/>
                <w:szCs w:val="16"/>
              </w:rPr>
              <w:t>11,6%</w:t>
            </w:r>
          </w:p>
        </w:tc>
        <w:tc>
          <w:tcPr>
            <w:tcW w:w="759"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23692B">
            <w:pPr>
              <w:spacing w:before="60" w:after="60" w:line="220" w:lineRule="exact"/>
              <w:ind w:right="113"/>
              <w:jc w:val="right"/>
              <w:rPr>
                <w:b/>
                <w:sz w:val="16"/>
                <w:szCs w:val="16"/>
              </w:rPr>
            </w:pPr>
            <w:r w:rsidRPr="007930B0">
              <w:rPr>
                <w:b/>
                <w:sz w:val="16"/>
                <w:szCs w:val="16"/>
              </w:rPr>
              <w:t>100,0%</w:t>
            </w:r>
          </w:p>
        </w:tc>
      </w:tr>
      <w:tr w:rsidR="001F60AC" w:rsidRPr="007930B0">
        <w:tc>
          <w:tcPr>
            <w:tcW w:w="584" w:type="dxa"/>
            <w:tcBorders>
              <w:top w:val="single" w:sz="4" w:space="0" w:color="auto"/>
            </w:tcBorders>
            <w:shd w:val="clear" w:color="000000" w:fill="auto"/>
            <w:noWrap/>
            <w:tcMar>
              <w:top w:w="15" w:type="dxa"/>
              <w:left w:w="15" w:type="dxa"/>
              <w:bottom w:w="0" w:type="dxa"/>
              <w:right w:w="15" w:type="dxa"/>
            </w:tcMar>
          </w:tcPr>
          <w:p w:rsidR="001E7BB4" w:rsidRPr="007930B0" w:rsidRDefault="001E7BB4" w:rsidP="001F60AC">
            <w:pPr>
              <w:spacing w:before="40" w:after="40" w:line="220" w:lineRule="exact"/>
              <w:ind w:right="113"/>
              <w:rPr>
                <w:sz w:val="16"/>
                <w:szCs w:val="16"/>
              </w:rPr>
            </w:pPr>
            <w:r w:rsidRPr="007930B0">
              <w:rPr>
                <w:sz w:val="16"/>
                <w:szCs w:val="16"/>
              </w:rPr>
              <w:t>Acceso</w:t>
            </w:r>
          </w:p>
        </w:tc>
        <w:tc>
          <w:tcPr>
            <w:tcW w:w="1867" w:type="dxa"/>
            <w:tcBorders>
              <w:top w:val="single" w:sz="4" w:space="0" w:color="auto"/>
            </w:tcBorders>
            <w:shd w:val="clear" w:color="000000" w:fill="auto"/>
            <w:tcMar>
              <w:top w:w="15" w:type="dxa"/>
              <w:left w:w="15" w:type="dxa"/>
              <w:bottom w:w="0" w:type="dxa"/>
              <w:right w:w="15" w:type="dxa"/>
            </w:tcMar>
          </w:tcPr>
          <w:p w:rsidR="001E7BB4" w:rsidRPr="007930B0" w:rsidRDefault="001E7BB4" w:rsidP="001F60AC">
            <w:pPr>
              <w:spacing w:before="40" w:after="40" w:line="220" w:lineRule="exact"/>
              <w:ind w:right="113"/>
              <w:rPr>
                <w:sz w:val="16"/>
                <w:szCs w:val="16"/>
              </w:rPr>
            </w:pPr>
            <w:r w:rsidRPr="007930B0">
              <w:rPr>
                <w:sz w:val="16"/>
                <w:szCs w:val="16"/>
              </w:rPr>
              <w:t>Promoción del acceso universal a la enseñanza primaria</w:t>
            </w:r>
          </w:p>
        </w:tc>
        <w:tc>
          <w:tcPr>
            <w:tcW w:w="851" w:type="dxa"/>
            <w:tcBorders>
              <w:top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400 000 000</w:t>
            </w:r>
          </w:p>
        </w:tc>
        <w:tc>
          <w:tcPr>
            <w:tcW w:w="891" w:type="dxa"/>
            <w:tcBorders>
              <w:top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114</w:t>
            </w:r>
            <w:r w:rsidR="00AA188E" w:rsidRPr="007930B0">
              <w:rPr>
                <w:sz w:val="16"/>
                <w:szCs w:val="16"/>
              </w:rPr>
              <w:t xml:space="preserve"> </w:t>
            </w:r>
            <w:r w:rsidRPr="007930B0">
              <w:rPr>
                <w:sz w:val="16"/>
                <w:szCs w:val="16"/>
              </w:rPr>
              <w:t>209</w:t>
            </w:r>
            <w:r w:rsidR="00AA188E" w:rsidRPr="007930B0">
              <w:rPr>
                <w:sz w:val="16"/>
                <w:szCs w:val="16"/>
              </w:rPr>
              <w:t xml:space="preserve"> </w:t>
            </w:r>
            <w:r w:rsidRPr="007930B0">
              <w:rPr>
                <w:sz w:val="16"/>
                <w:szCs w:val="16"/>
              </w:rPr>
              <w:t>800</w:t>
            </w:r>
          </w:p>
        </w:tc>
        <w:tc>
          <w:tcPr>
            <w:tcW w:w="850" w:type="dxa"/>
            <w:tcBorders>
              <w:top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114</w:t>
            </w:r>
            <w:r w:rsidR="00AA188E" w:rsidRPr="007930B0">
              <w:rPr>
                <w:sz w:val="16"/>
                <w:szCs w:val="16"/>
              </w:rPr>
              <w:t xml:space="preserve"> </w:t>
            </w:r>
            <w:r w:rsidRPr="007930B0">
              <w:rPr>
                <w:sz w:val="16"/>
                <w:szCs w:val="16"/>
              </w:rPr>
              <w:t>209</w:t>
            </w:r>
            <w:r w:rsidR="00AA188E" w:rsidRPr="007930B0">
              <w:rPr>
                <w:sz w:val="16"/>
                <w:szCs w:val="16"/>
              </w:rPr>
              <w:t xml:space="preserve"> </w:t>
            </w:r>
            <w:r w:rsidRPr="007930B0">
              <w:rPr>
                <w:sz w:val="16"/>
                <w:szCs w:val="16"/>
              </w:rPr>
              <w:t>800</w:t>
            </w:r>
          </w:p>
        </w:tc>
        <w:tc>
          <w:tcPr>
            <w:tcW w:w="809" w:type="dxa"/>
            <w:tcBorders>
              <w:top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28,6%</w:t>
            </w:r>
          </w:p>
        </w:tc>
        <w:tc>
          <w:tcPr>
            <w:tcW w:w="759" w:type="dxa"/>
            <w:tcBorders>
              <w:top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28,6%</w:t>
            </w:r>
          </w:p>
        </w:tc>
        <w:tc>
          <w:tcPr>
            <w:tcW w:w="759" w:type="dxa"/>
            <w:tcBorders>
              <w:top w:val="single" w:sz="4" w:space="0" w:color="auto"/>
            </w:tcBorders>
            <w:shd w:val="clear" w:color="000000" w:fill="auto"/>
            <w:noWrap/>
            <w:tcMar>
              <w:top w:w="15" w:type="dxa"/>
              <w:left w:w="15" w:type="dxa"/>
              <w:bottom w:w="0" w:type="dxa"/>
              <w:right w:w="15" w:type="dxa"/>
            </w:tcMar>
            <w:vAlign w:val="bottom"/>
          </w:tcPr>
          <w:p w:rsidR="001E7BB4" w:rsidRPr="007930B0" w:rsidRDefault="001E7BB4" w:rsidP="0023692B">
            <w:pPr>
              <w:spacing w:before="40" w:after="40" w:line="220" w:lineRule="exact"/>
              <w:ind w:right="113"/>
              <w:jc w:val="right"/>
              <w:rPr>
                <w:sz w:val="16"/>
                <w:szCs w:val="16"/>
              </w:rPr>
            </w:pPr>
            <w:r w:rsidRPr="007930B0">
              <w:rPr>
                <w:sz w:val="16"/>
                <w:szCs w:val="16"/>
              </w:rPr>
              <w:t>100,0%</w:t>
            </w:r>
          </w:p>
        </w:tc>
      </w:tr>
      <w:tr w:rsidR="001F60AC" w:rsidRPr="007930B0">
        <w:tc>
          <w:tcPr>
            <w:tcW w:w="584" w:type="dxa"/>
            <w:shd w:val="clear" w:color="000000" w:fill="auto"/>
          </w:tcPr>
          <w:p w:rsidR="001E7BB4" w:rsidRPr="007930B0" w:rsidRDefault="001E7BB4" w:rsidP="001F60AC">
            <w:pPr>
              <w:spacing w:before="40" w:after="40" w:line="220" w:lineRule="exact"/>
              <w:ind w:right="113"/>
              <w:rPr>
                <w:sz w:val="16"/>
                <w:szCs w:val="16"/>
              </w:rPr>
            </w:pPr>
          </w:p>
        </w:tc>
        <w:tc>
          <w:tcPr>
            <w:tcW w:w="1867" w:type="dxa"/>
            <w:shd w:val="clear" w:color="000000" w:fill="auto"/>
            <w:tcMar>
              <w:top w:w="15" w:type="dxa"/>
              <w:left w:w="15" w:type="dxa"/>
              <w:bottom w:w="0" w:type="dxa"/>
              <w:right w:w="15" w:type="dxa"/>
            </w:tcMar>
          </w:tcPr>
          <w:p w:rsidR="001E7BB4" w:rsidRPr="007930B0" w:rsidRDefault="001E7BB4" w:rsidP="001F60AC">
            <w:pPr>
              <w:spacing w:before="40" w:after="40" w:line="220" w:lineRule="exact"/>
              <w:ind w:right="113"/>
              <w:rPr>
                <w:sz w:val="16"/>
                <w:szCs w:val="16"/>
              </w:rPr>
            </w:pPr>
            <w:r w:rsidRPr="007930B0">
              <w:rPr>
                <w:sz w:val="16"/>
                <w:szCs w:val="16"/>
              </w:rPr>
              <w:t>Mejora del acceso/equidad en la enseñanza secundaria</w:t>
            </w:r>
          </w:p>
        </w:tc>
        <w:tc>
          <w:tcPr>
            <w:tcW w:w="851" w:type="dxa"/>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149 145 613</w:t>
            </w:r>
          </w:p>
        </w:tc>
        <w:tc>
          <w:tcPr>
            <w:tcW w:w="891" w:type="dxa"/>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483</w:t>
            </w:r>
            <w:r w:rsidR="00AA188E" w:rsidRPr="007930B0">
              <w:rPr>
                <w:sz w:val="16"/>
                <w:szCs w:val="16"/>
              </w:rPr>
              <w:t xml:space="preserve"> </w:t>
            </w:r>
            <w:r w:rsidRPr="007930B0">
              <w:rPr>
                <w:sz w:val="16"/>
                <w:szCs w:val="16"/>
              </w:rPr>
              <w:t>145</w:t>
            </w:r>
            <w:r w:rsidR="00AA188E" w:rsidRPr="007930B0">
              <w:rPr>
                <w:sz w:val="16"/>
                <w:szCs w:val="16"/>
              </w:rPr>
              <w:t xml:space="preserve"> </w:t>
            </w:r>
            <w:r w:rsidRPr="007930B0">
              <w:rPr>
                <w:sz w:val="16"/>
                <w:szCs w:val="16"/>
              </w:rPr>
              <w:t>573</w:t>
            </w:r>
          </w:p>
        </w:tc>
        <w:tc>
          <w:tcPr>
            <w:tcW w:w="850" w:type="dxa"/>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182</w:t>
            </w:r>
            <w:r w:rsidR="00AA188E" w:rsidRPr="007930B0">
              <w:rPr>
                <w:sz w:val="16"/>
                <w:szCs w:val="16"/>
              </w:rPr>
              <w:t xml:space="preserve"> </w:t>
            </w:r>
            <w:r w:rsidRPr="007930B0">
              <w:rPr>
                <w:sz w:val="16"/>
                <w:szCs w:val="16"/>
              </w:rPr>
              <w:t>572</w:t>
            </w:r>
            <w:r w:rsidR="00AA188E" w:rsidRPr="007930B0">
              <w:rPr>
                <w:sz w:val="16"/>
                <w:szCs w:val="16"/>
              </w:rPr>
              <w:t xml:space="preserve"> </w:t>
            </w:r>
            <w:r w:rsidRPr="007930B0">
              <w:rPr>
                <w:sz w:val="16"/>
                <w:szCs w:val="16"/>
              </w:rPr>
              <w:t>955</w:t>
            </w:r>
          </w:p>
        </w:tc>
        <w:tc>
          <w:tcPr>
            <w:tcW w:w="809" w:type="dxa"/>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323,9%</w:t>
            </w:r>
          </w:p>
        </w:tc>
        <w:tc>
          <w:tcPr>
            <w:tcW w:w="759" w:type="dxa"/>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122,4%</w:t>
            </w:r>
          </w:p>
        </w:tc>
        <w:tc>
          <w:tcPr>
            <w:tcW w:w="759" w:type="dxa"/>
            <w:shd w:val="clear" w:color="000000" w:fill="auto"/>
            <w:noWrap/>
            <w:tcMar>
              <w:top w:w="15" w:type="dxa"/>
              <w:left w:w="15" w:type="dxa"/>
              <w:bottom w:w="0" w:type="dxa"/>
              <w:right w:w="15" w:type="dxa"/>
            </w:tcMar>
            <w:vAlign w:val="bottom"/>
          </w:tcPr>
          <w:p w:rsidR="001E7BB4" w:rsidRPr="007930B0" w:rsidRDefault="001E7BB4" w:rsidP="0023692B">
            <w:pPr>
              <w:spacing w:before="40" w:after="40" w:line="220" w:lineRule="exact"/>
              <w:ind w:right="113"/>
              <w:jc w:val="right"/>
              <w:rPr>
                <w:sz w:val="16"/>
                <w:szCs w:val="16"/>
              </w:rPr>
            </w:pPr>
            <w:r w:rsidRPr="007930B0">
              <w:rPr>
                <w:sz w:val="16"/>
                <w:szCs w:val="16"/>
              </w:rPr>
              <w:t>37,8%</w:t>
            </w:r>
          </w:p>
        </w:tc>
      </w:tr>
      <w:tr w:rsidR="001F60AC" w:rsidRPr="007930B0">
        <w:tc>
          <w:tcPr>
            <w:tcW w:w="584" w:type="dxa"/>
            <w:shd w:val="clear" w:color="000000" w:fill="auto"/>
          </w:tcPr>
          <w:p w:rsidR="001E7BB4" w:rsidRPr="007930B0" w:rsidRDefault="001E7BB4" w:rsidP="001F60AC">
            <w:pPr>
              <w:spacing w:before="40" w:after="40" w:line="220" w:lineRule="exact"/>
              <w:ind w:right="113"/>
              <w:rPr>
                <w:sz w:val="16"/>
                <w:szCs w:val="16"/>
              </w:rPr>
            </w:pPr>
          </w:p>
        </w:tc>
        <w:tc>
          <w:tcPr>
            <w:tcW w:w="1867" w:type="dxa"/>
            <w:shd w:val="clear" w:color="000000" w:fill="auto"/>
            <w:tcMar>
              <w:top w:w="15" w:type="dxa"/>
              <w:left w:w="15" w:type="dxa"/>
              <w:bottom w:w="0" w:type="dxa"/>
              <w:right w:w="15" w:type="dxa"/>
            </w:tcMar>
          </w:tcPr>
          <w:p w:rsidR="001E7BB4" w:rsidRPr="007930B0" w:rsidRDefault="001E7BB4" w:rsidP="001F60AC">
            <w:pPr>
              <w:spacing w:before="40" w:after="40" w:line="220" w:lineRule="exact"/>
              <w:ind w:right="113"/>
              <w:rPr>
                <w:sz w:val="16"/>
                <w:szCs w:val="16"/>
              </w:rPr>
            </w:pPr>
            <w:r w:rsidRPr="007930B0">
              <w:rPr>
                <w:sz w:val="16"/>
                <w:szCs w:val="16"/>
              </w:rPr>
              <w:t>Escolarización de las niñas</w:t>
            </w:r>
          </w:p>
        </w:tc>
        <w:tc>
          <w:tcPr>
            <w:tcW w:w="851" w:type="dxa"/>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2 894 770</w:t>
            </w:r>
          </w:p>
        </w:tc>
        <w:tc>
          <w:tcPr>
            <w:tcW w:w="891" w:type="dxa"/>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2</w:t>
            </w:r>
            <w:r w:rsidR="00AA188E" w:rsidRPr="007930B0">
              <w:rPr>
                <w:sz w:val="16"/>
                <w:szCs w:val="16"/>
              </w:rPr>
              <w:t xml:space="preserve"> </w:t>
            </w:r>
            <w:r w:rsidRPr="007930B0">
              <w:rPr>
                <w:sz w:val="16"/>
                <w:szCs w:val="16"/>
              </w:rPr>
              <w:t>894</w:t>
            </w:r>
            <w:r w:rsidR="00AA188E" w:rsidRPr="007930B0">
              <w:rPr>
                <w:sz w:val="16"/>
                <w:szCs w:val="16"/>
              </w:rPr>
              <w:t xml:space="preserve"> </w:t>
            </w:r>
            <w:r w:rsidRPr="007930B0">
              <w:rPr>
                <w:sz w:val="16"/>
                <w:szCs w:val="16"/>
              </w:rPr>
              <w:t>770</w:t>
            </w:r>
          </w:p>
        </w:tc>
        <w:tc>
          <w:tcPr>
            <w:tcW w:w="850" w:type="dxa"/>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1</w:t>
            </w:r>
            <w:r w:rsidR="00AA188E" w:rsidRPr="007930B0">
              <w:rPr>
                <w:sz w:val="16"/>
                <w:szCs w:val="16"/>
              </w:rPr>
              <w:t xml:space="preserve"> </w:t>
            </w:r>
            <w:r w:rsidRPr="007930B0">
              <w:rPr>
                <w:sz w:val="16"/>
                <w:szCs w:val="16"/>
              </w:rPr>
              <w:t>813</w:t>
            </w:r>
            <w:r w:rsidR="00AA188E" w:rsidRPr="007930B0">
              <w:rPr>
                <w:sz w:val="16"/>
                <w:szCs w:val="16"/>
              </w:rPr>
              <w:t xml:space="preserve"> </w:t>
            </w:r>
            <w:r w:rsidRPr="007930B0">
              <w:rPr>
                <w:sz w:val="16"/>
                <w:szCs w:val="16"/>
              </w:rPr>
              <w:t>770</w:t>
            </w:r>
          </w:p>
        </w:tc>
        <w:tc>
          <w:tcPr>
            <w:tcW w:w="809" w:type="dxa"/>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100,0%</w:t>
            </w:r>
          </w:p>
        </w:tc>
        <w:tc>
          <w:tcPr>
            <w:tcW w:w="759" w:type="dxa"/>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62,7%</w:t>
            </w:r>
          </w:p>
        </w:tc>
        <w:tc>
          <w:tcPr>
            <w:tcW w:w="759" w:type="dxa"/>
            <w:shd w:val="clear" w:color="000000" w:fill="auto"/>
            <w:noWrap/>
            <w:tcMar>
              <w:top w:w="15" w:type="dxa"/>
              <w:left w:w="15" w:type="dxa"/>
              <w:bottom w:w="0" w:type="dxa"/>
              <w:right w:w="15" w:type="dxa"/>
            </w:tcMar>
            <w:vAlign w:val="bottom"/>
          </w:tcPr>
          <w:p w:rsidR="001E7BB4" w:rsidRPr="007930B0" w:rsidRDefault="001E7BB4" w:rsidP="0023692B">
            <w:pPr>
              <w:spacing w:before="40" w:after="40" w:line="220" w:lineRule="exact"/>
              <w:ind w:right="113"/>
              <w:jc w:val="right"/>
              <w:rPr>
                <w:sz w:val="16"/>
                <w:szCs w:val="16"/>
              </w:rPr>
            </w:pPr>
            <w:r w:rsidRPr="007930B0">
              <w:rPr>
                <w:sz w:val="16"/>
                <w:szCs w:val="16"/>
              </w:rPr>
              <w:t>62,7%</w:t>
            </w:r>
          </w:p>
        </w:tc>
      </w:tr>
      <w:tr w:rsidR="001F60AC" w:rsidRPr="007930B0">
        <w:tc>
          <w:tcPr>
            <w:tcW w:w="584" w:type="dxa"/>
            <w:tcBorders>
              <w:bottom w:val="single" w:sz="4" w:space="0" w:color="auto"/>
            </w:tcBorders>
            <w:shd w:val="clear" w:color="000000" w:fill="auto"/>
          </w:tcPr>
          <w:p w:rsidR="001E7BB4" w:rsidRPr="007930B0" w:rsidRDefault="001E7BB4" w:rsidP="001F60AC">
            <w:pPr>
              <w:spacing w:before="40" w:after="40" w:line="220" w:lineRule="exact"/>
              <w:ind w:right="113"/>
              <w:rPr>
                <w:sz w:val="16"/>
                <w:szCs w:val="16"/>
              </w:rPr>
            </w:pPr>
          </w:p>
        </w:tc>
        <w:tc>
          <w:tcPr>
            <w:tcW w:w="1867" w:type="dxa"/>
            <w:tcBorders>
              <w:bottom w:val="single" w:sz="4" w:space="0" w:color="auto"/>
            </w:tcBorders>
            <w:shd w:val="clear" w:color="000000" w:fill="auto"/>
            <w:tcMar>
              <w:top w:w="15" w:type="dxa"/>
              <w:left w:w="15" w:type="dxa"/>
              <w:bottom w:w="0" w:type="dxa"/>
              <w:right w:w="15" w:type="dxa"/>
            </w:tcMar>
          </w:tcPr>
          <w:p w:rsidR="001E7BB4" w:rsidRPr="007930B0" w:rsidRDefault="001E7BB4" w:rsidP="001F60AC">
            <w:pPr>
              <w:spacing w:before="40" w:after="40" w:line="220" w:lineRule="exact"/>
              <w:ind w:right="113"/>
              <w:rPr>
                <w:sz w:val="16"/>
                <w:szCs w:val="16"/>
              </w:rPr>
            </w:pPr>
            <w:r w:rsidRPr="007930B0">
              <w:rPr>
                <w:sz w:val="16"/>
                <w:szCs w:val="16"/>
              </w:rPr>
              <w:t>Promoción de la alfabetización y</w:t>
            </w:r>
            <w:r w:rsidR="00AA188E" w:rsidRPr="007930B0">
              <w:rPr>
                <w:sz w:val="16"/>
                <w:szCs w:val="16"/>
              </w:rPr>
              <w:t xml:space="preserve"> </w:t>
            </w:r>
            <w:r w:rsidRPr="007930B0">
              <w:rPr>
                <w:sz w:val="16"/>
                <w:szCs w:val="16"/>
              </w:rPr>
              <w:t>la educación no formal</w:t>
            </w:r>
          </w:p>
        </w:tc>
        <w:tc>
          <w:tcPr>
            <w:tcW w:w="851" w:type="dxa"/>
            <w:tcBorders>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15 269 000</w:t>
            </w:r>
          </w:p>
        </w:tc>
        <w:tc>
          <w:tcPr>
            <w:tcW w:w="891" w:type="dxa"/>
            <w:tcBorders>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1</w:t>
            </w:r>
            <w:r w:rsidR="00AA188E" w:rsidRPr="007930B0">
              <w:rPr>
                <w:sz w:val="16"/>
                <w:szCs w:val="16"/>
              </w:rPr>
              <w:t xml:space="preserve"> </w:t>
            </w:r>
            <w:r w:rsidRPr="007930B0">
              <w:rPr>
                <w:sz w:val="16"/>
                <w:szCs w:val="16"/>
              </w:rPr>
              <w:t>801</w:t>
            </w:r>
            <w:r w:rsidR="00AA188E" w:rsidRPr="007930B0">
              <w:rPr>
                <w:sz w:val="16"/>
                <w:szCs w:val="16"/>
              </w:rPr>
              <w:t xml:space="preserve"> </w:t>
            </w:r>
            <w:r w:rsidRPr="007930B0">
              <w:rPr>
                <w:sz w:val="16"/>
                <w:szCs w:val="16"/>
              </w:rPr>
              <w:t>000</w:t>
            </w:r>
          </w:p>
        </w:tc>
        <w:tc>
          <w:tcPr>
            <w:tcW w:w="850" w:type="dxa"/>
            <w:tcBorders>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1</w:t>
            </w:r>
            <w:r w:rsidR="00AA188E" w:rsidRPr="007930B0">
              <w:rPr>
                <w:sz w:val="16"/>
                <w:szCs w:val="16"/>
              </w:rPr>
              <w:t xml:space="preserve"> </w:t>
            </w:r>
            <w:r w:rsidRPr="007930B0">
              <w:rPr>
                <w:sz w:val="16"/>
                <w:szCs w:val="16"/>
              </w:rPr>
              <w:t>801</w:t>
            </w:r>
            <w:r w:rsidR="00AA188E" w:rsidRPr="007930B0">
              <w:rPr>
                <w:sz w:val="16"/>
                <w:szCs w:val="16"/>
              </w:rPr>
              <w:t xml:space="preserve"> </w:t>
            </w:r>
            <w:r w:rsidRPr="007930B0">
              <w:rPr>
                <w:sz w:val="16"/>
                <w:szCs w:val="16"/>
              </w:rPr>
              <w:t>000</w:t>
            </w:r>
          </w:p>
        </w:tc>
        <w:tc>
          <w:tcPr>
            <w:tcW w:w="809" w:type="dxa"/>
            <w:tcBorders>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11,8%</w:t>
            </w:r>
          </w:p>
        </w:tc>
        <w:tc>
          <w:tcPr>
            <w:tcW w:w="759" w:type="dxa"/>
            <w:tcBorders>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11,8%</w:t>
            </w:r>
          </w:p>
        </w:tc>
        <w:tc>
          <w:tcPr>
            <w:tcW w:w="759" w:type="dxa"/>
            <w:tcBorders>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23692B">
            <w:pPr>
              <w:spacing w:before="40" w:after="40" w:line="220" w:lineRule="exact"/>
              <w:ind w:right="113"/>
              <w:jc w:val="right"/>
              <w:rPr>
                <w:sz w:val="16"/>
                <w:szCs w:val="16"/>
              </w:rPr>
            </w:pPr>
            <w:r w:rsidRPr="007930B0">
              <w:rPr>
                <w:sz w:val="16"/>
                <w:szCs w:val="16"/>
              </w:rPr>
              <w:t>100,0%</w:t>
            </w:r>
          </w:p>
        </w:tc>
      </w:tr>
      <w:tr w:rsidR="001F60AC" w:rsidRPr="007930B0">
        <w:tc>
          <w:tcPr>
            <w:tcW w:w="2451" w:type="dxa"/>
            <w:gridSpan w:val="2"/>
            <w:tcBorders>
              <w:top w:val="single" w:sz="4" w:space="0" w:color="auto"/>
              <w:bottom w:val="single" w:sz="4" w:space="0" w:color="auto"/>
            </w:tcBorders>
            <w:shd w:val="clear" w:color="000000" w:fill="auto"/>
            <w:noWrap/>
            <w:tcMar>
              <w:top w:w="15" w:type="dxa"/>
              <w:left w:w="15" w:type="dxa"/>
              <w:bottom w:w="0" w:type="dxa"/>
              <w:right w:w="15" w:type="dxa"/>
            </w:tcMar>
          </w:tcPr>
          <w:p w:rsidR="001E7BB4" w:rsidRPr="007930B0" w:rsidRDefault="001E7BB4" w:rsidP="00AA188E">
            <w:pPr>
              <w:spacing w:before="60" w:after="60" w:line="220" w:lineRule="exact"/>
              <w:ind w:left="284" w:right="113"/>
              <w:rPr>
                <w:b/>
                <w:sz w:val="16"/>
                <w:szCs w:val="16"/>
              </w:rPr>
            </w:pPr>
            <w:r w:rsidRPr="007930B0">
              <w:rPr>
                <w:b/>
                <w:sz w:val="16"/>
                <w:szCs w:val="16"/>
              </w:rPr>
              <w:t>Subtotal</w:t>
            </w:r>
          </w:p>
        </w:tc>
        <w:tc>
          <w:tcPr>
            <w:tcW w:w="851"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AA188E">
            <w:pPr>
              <w:spacing w:before="60" w:after="60" w:line="220" w:lineRule="exact"/>
              <w:ind w:right="113"/>
              <w:jc w:val="right"/>
              <w:rPr>
                <w:b/>
                <w:sz w:val="16"/>
                <w:szCs w:val="16"/>
              </w:rPr>
            </w:pPr>
            <w:r w:rsidRPr="007930B0">
              <w:rPr>
                <w:b/>
                <w:sz w:val="16"/>
                <w:szCs w:val="16"/>
              </w:rPr>
              <w:t>567 309 383</w:t>
            </w:r>
          </w:p>
        </w:tc>
        <w:tc>
          <w:tcPr>
            <w:tcW w:w="891"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AA188E">
            <w:pPr>
              <w:spacing w:before="60" w:after="60" w:line="220" w:lineRule="exact"/>
              <w:ind w:right="113"/>
              <w:jc w:val="right"/>
              <w:rPr>
                <w:b/>
                <w:sz w:val="16"/>
                <w:szCs w:val="16"/>
              </w:rPr>
            </w:pPr>
            <w:r w:rsidRPr="007930B0">
              <w:rPr>
                <w:b/>
                <w:sz w:val="16"/>
                <w:szCs w:val="16"/>
              </w:rPr>
              <w:t>602</w:t>
            </w:r>
            <w:r w:rsidR="00AA188E" w:rsidRPr="007930B0">
              <w:rPr>
                <w:b/>
                <w:sz w:val="16"/>
                <w:szCs w:val="16"/>
              </w:rPr>
              <w:t xml:space="preserve"> </w:t>
            </w:r>
            <w:r w:rsidRPr="007930B0">
              <w:rPr>
                <w:b/>
                <w:sz w:val="16"/>
                <w:szCs w:val="16"/>
              </w:rPr>
              <w:t>051</w:t>
            </w:r>
            <w:r w:rsidR="00AA188E" w:rsidRPr="007930B0">
              <w:rPr>
                <w:b/>
                <w:sz w:val="16"/>
                <w:szCs w:val="16"/>
              </w:rPr>
              <w:t xml:space="preserve"> </w:t>
            </w:r>
            <w:r w:rsidRPr="007930B0">
              <w:rPr>
                <w:b/>
                <w:sz w:val="16"/>
                <w:szCs w:val="16"/>
              </w:rPr>
              <w:t>143</w:t>
            </w:r>
          </w:p>
        </w:tc>
        <w:tc>
          <w:tcPr>
            <w:tcW w:w="850"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AA188E">
            <w:pPr>
              <w:spacing w:before="60" w:after="60" w:line="220" w:lineRule="exact"/>
              <w:ind w:right="113"/>
              <w:jc w:val="right"/>
              <w:rPr>
                <w:b/>
                <w:sz w:val="16"/>
                <w:szCs w:val="16"/>
              </w:rPr>
            </w:pPr>
            <w:r w:rsidRPr="007930B0">
              <w:rPr>
                <w:b/>
                <w:sz w:val="16"/>
                <w:szCs w:val="16"/>
              </w:rPr>
              <w:t>300</w:t>
            </w:r>
            <w:r w:rsidR="00AA188E" w:rsidRPr="007930B0">
              <w:rPr>
                <w:b/>
                <w:sz w:val="16"/>
                <w:szCs w:val="16"/>
              </w:rPr>
              <w:t xml:space="preserve"> </w:t>
            </w:r>
            <w:r w:rsidRPr="007930B0">
              <w:rPr>
                <w:b/>
                <w:sz w:val="16"/>
                <w:szCs w:val="16"/>
              </w:rPr>
              <w:t>397</w:t>
            </w:r>
            <w:r w:rsidR="00AA188E" w:rsidRPr="007930B0">
              <w:rPr>
                <w:b/>
                <w:sz w:val="16"/>
                <w:szCs w:val="16"/>
              </w:rPr>
              <w:t xml:space="preserve"> </w:t>
            </w:r>
            <w:r w:rsidRPr="007930B0">
              <w:rPr>
                <w:b/>
                <w:sz w:val="16"/>
                <w:szCs w:val="16"/>
              </w:rPr>
              <w:t>525</w:t>
            </w:r>
          </w:p>
        </w:tc>
        <w:tc>
          <w:tcPr>
            <w:tcW w:w="809"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AA188E">
            <w:pPr>
              <w:spacing w:before="60" w:after="60" w:line="220" w:lineRule="exact"/>
              <w:ind w:right="113"/>
              <w:jc w:val="right"/>
              <w:rPr>
                <w:b/>
                <w:sz w:val="16"/>
                <w:szCs w:val="16"/>
              </w:rPr>
            </w:pPr>
            <w:r w:rsidRPr="007930B0">
              <w:rPr>
                <w:b/>
                <w:sz w:val="16"/>
                <w:szCs w:val="16"/>
              </w:rPr>
              <w:t>106,1%</w:t>
            </w:r>
          </w:p>
        </w:tc>
        <w:tc>
          <w:tcPr>
            <w:tcW w:w="759"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AA188E">
            <w:pPr>
              <w:spacing w:before="60" w:after="60" w:line="220" w:lineRule="exact"/>
              <w:ind w:right="113"/>
              <w:jc w:val="right"/>
              <w:rPr>
                <w:b/>
                <w:sz w:val="16"/>
                <w:szCs w:val="16"/>
              </w:rPr>
            </w:pPr>
            <w:r w:rsidRPr="007930B0">
              <w:rPr>
                <w:b/>
                <w:sz w:val="16"/>
                <w:szCs w:val="16"/>
              </w:rPr>
              <w:t>53,0%</w:t>
            </w:r>
          </w:p>
        </w:tc>
        <w:tc>
          <w:tcPr>
            <w:tcW w:w="759"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23692B">
            <w:pPr>
              <w:spacing w:before="60" w:after="60" w:line="220" w:lineRule="exact"/>
              <w:ind w:right="113"/>
              <w:jc w:val="right"/>
              <w:rPr>
                <w:b/>
                <w:sz w:val="16"/>
                <w:szCs w:val="16"/>
              </w:rPr>
            </w:pPr>
            <w:r w:rsidRPr="007930B0">
              <w:rPr>
                <w:b/>
                <w:sz w:val="16"/>
                <w:szCs w:val="16"/>
              </w:rPr>
              <w:t>49,9%</w:t>
            </w:r>
          </w:p>
        </w:tc>
      </w:tr>
      <w:tr w:rsidR="001F60AC" w:rsidRPr="007930B0">
        <w:tc>
          <w:tcPr>
            <w:tcW w:w="584" w:type="dxa"/>
            <w:tcBorders>
              <w:top w:val="single" w:sz="4" w:space="0" w:color="auto"/>
            </w:tcBorders>
            <w:shd w:val="clear" w:color="000000" w:fill="auto"/>
            <w:tcMar>
              <w:top w:w="15" w:type="dxa"/>
              <w:left w:w="15" w:type="dxa"/>
              <w:bottom w:w="0" w:type="dxa"/>
              <w:right w:w="15" w:type="dxa"/>
            </w:tcMar>
          </w:tcPr>
          <w:p w:rsidR="001E7BB4" w:rsidRPr="007930B0" w:rsidRDefault="001E7BB4" w:rsidP="001F60AC">
            <w:pPr>
              <w:spacing w:before="40" w:after="40" w:line="220" w:lineRule="exact"/>
              <w:ind w:right="113"/>
              <w:rPr>
                <w:sz w:val="16"/>
                <w:szCs w:val="16"/>
              </w:rPr>
            </w:pPr>
            <w:r w:rsidRPr="007930B0">
              <w:rPr>
                <w:sz w:val="16"/>
                <w:szCs w:val="16"/>
              </w:rPr>
              <w:t>FTP/Sup</w:t>
            </w:r>
          </w:p>
        </w:tc>
        <w:tc>
          <w:tcPr>
            <w:tcW w:w="1867" w:type="dxa"/>
            <w:tcBorders>
              <w:top w:val="single" w:sz="4" w:space="0" w:color="auto"/>
            </w:tcBorders>
            <w:shd w:val="clear" w:color="000000" w:fill="auto"/>
            <w:tcMar>
              <w:top w:w="15" w:type="dxa"/>
              <w:left w:w="15" w:type="dxa"/>
              <w:bottom w:w="0" w:type="dxa"/>
              <w:right w:w="15" w:type="dxa"/>
            </w:tcMar>
          </w:tcPr>
          <w:p w:rsidR="001E7BB4" w:rsidRPr="007930B0" w:rsidRDefault="001E7BB4" w:rsidP="001F60AC">
            <w:pPr>
              <w:spacing w:before="40" w:after="40" w:line="220" w:lineRule="exact"/>
              <w:ind w:right="113"/>
              <w:rPr>
                <w:sz w:val="16"/>
                <w:szCs w:val="16"/>
              </w:rPr>
            </w:pPr>
            <w:r w:rsidRPr="007930B0">
              <w:rPr>
                <w:sz w:val="16"/>
                <w:szCs w:val="16"/>
              </w:rPr>
              <w:t>Promoción del sistema de FTP</w:t>
            </w:r>
          </w:p>
        </w:tc>
        <w:tc>
          <w:tcPr>
            <w:tcW w:w="851" w:type="dxa"/>
            <w:tcBorders>
              <w:top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33 902 603</w:t>
            </w:r>
          </w:p>
        </w:tc>
        <w:tc>
          <w:tcPr>
            <w:tcW w:w="891" w:type="dxa"/>
            <w:tcBorders>
              <w:top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13</w:t>
            </w:r>
            <w:r w:rsidR="00AA188E" w:rsidRPr="007930B0">
              <w:rPr>
                <w:sz w:val="16"/>
                <w:szCs w:val="16"/>
              </w:rPr>
              <w:t xml:space="preserve"> </w:t>
            </w:r>
            <w:r w:rsidRPr="007930B0">
              <w:rPr>
                <w:sz w:val="16"/>
                <w:szCs w:val="16"/>
              </w:rPr>
              <w:t>902</w:t>
            </w:r>
            <w:r w:rsidR="00AA188E" w:rsidRPr="007930B0">
              <w:rPr>
                <w:sz w:val="16"/>
                <w:szCs w:val="16"/>
              </w:rPr>
              <w:t xml:space="preserve"> </w:t>
            </w:r>
            <w:r w:rsidRPr="007930B0">
              <w:rPr>
                <w:sz w:val="16"/>
                <w:szCs w:val="16"/>
              </w:rPr>
              <w:t>603</w:t>
            </w:r>
          </w:p>
        </w:tc>
        <w:tc>
          <w:tcPr>
            <w:tcW w:w="850" w:type="dxa"/>
            <w:tcBorders>
              <w:top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13</w:t>
            </w:r>
            <w:r w:rsidR="00AA188E" w:rsidRPr="007930B0">
              <w:rPr>
                <w:sz w:val="16"/>
                <w:szCs w:val="16"/>
              </w:rPr>
              <w:t xml:space="preserve"> </w:t>
            </w:r>
            <w:r w:rsidRPr="007930B0">
              <w:rPr>
                <w:sz w:val="16"/>
                <w:szCs w:val="16"/>
              </w:rPr>
              <w:t>902</w:t>
            </w:r>
            <w:r w:rsidR="00AA188E" w:rsidRPr="007930B0">
              <w:rPr>
                <w:sz w:val="16"/>
                <w:szCs w:val="16"/>
              </w:rPr>
              <w:t xml:space="preserve"> </w:t>
            </w:r>
            <w:r w:rsidRPr="007930B0">
              <w:rPr>
                <w:sz w:val="16"/>
                <w:szCs w:val="16"/>
              </w:rPr>
              <w:t>603</w:t>
            </w:r>
          </w:p>
        </w:tc>
        <w:tc>
          <w:tcPr>
            <w:tcW w:w="809" w:type="dxa"/>
            <w:tcBorders>
              <w:top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41,0%</w:t>
            </w:r>
          </w:p>
        </w:tc>
        <w:tc>
          <w:tcPr>
            <w:tcW w:w="759" w:type="dxa"/>
            <w:tcBorders>
              <w:top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41,0%</w:t>
            </w:r>
          </w:p>
        </w:tc>
        <w:tc>
          <w:tcPr>
            <w:tcW w:w="759" w:type="dxa"/>
            <w:tcBorders>
              <w:top w:val="single" w:sz="4" w:space="0" w:color="auto"/>
            </w:tcBorders>
            <w:shd w:val="clear" w:color="000000" w:fill="auto"/>
            <w:noWrap/>
            <w:tcMar>
              <w:top w:w="15" w:type="dxa"/>
              <w:left w:w="15" w:type="dxa"/>
              <w:bottom w:w="0" w:type="dxa"/>
              <w:right w:w="15" w:type="dxa"/>
            </w:tcMar>
            <w:vAlign w:val="bottom"/>
          </w:tcPr>
          <w:p w:rsidR="001E7BB4" w:rsidRPr="007930B0" w:rsidRDefault="001E7BB4" w:rsidP="0023692B">
            <w:pPr>
              <w:spacing w:before="40" w:after="40" w:line="220" w:lineRule="exact"/>
              <w:ind w:right="113"/>
              <w:jc w:val="right"/>
              <w:rPr>
                <w:sz w:val="16"/>
                <w:szCs w:val="16"/>
              </w:rPr>
            </w:pPr>
            <w:r w:rsidRPr="007930B0">
              <w:rPr>
                <w:sz w:val="16"/>
                <w:szCs w:val="16"/>
              </w:rPr>
              <w:t>100,0%</w:t>
            </w:r>
          </w:p>
        </w:tc>
      </w:tr>
      <w:tr w:rsidR="001F60AC" w:rsidRPr="007930B0">
        <w:tc>
          <w:tcPr>
            <w:tcW w:w="584" w:type="dxa"/>
            <w:tcBorders>
              <w:bottom w:val="single" w:sz="4" w:space="0" w:color="auto"/>
            </w:tcBorders>
            <w:shd w:val="clear" w:color="000000" w:fill="auto"/>
          </w:tcPr>
          <w:p w:rsidR="001E7BB4" w:rsidRPr="007930B0" w:rsidRDefault="001E7BB4" w:rsidP="001F60AC">
            <w:pPr>
              <w:spacing w:before="40" w:after="40" w:line="220" w:lineRule="exact"/>
              <w:ind w:right="113"/>
              <w:rPr>
                <w:sz w:val="16"/>
                <w:szCs w:val="16"/>
              </w:rPr>
            </w:pPr>
          </w:p>
        </w:tc>
        <w:tc>
          <w:tcPr>
            <w:tcW w:w="1867" w:type="dxa"/>
            <w:tcBorders>
              <w:bottom w:val="single" w:sz="4" w:space="0" w:color="auto"/>
            </w:tcBorders>
            <w:shd w:val="clear" w:color="000000" w:fill="auto"/>
            <w:tcMar>
              <w:top w:w="15" w:type="dxa"/>
              <w:left w:w="15" w:type="dxa"/>
              <w:bottom w:w="0" w:type="dxa"/>
              <w:right w:w="15" w:type="dxa"/>
            </w:tcMar>
          </w:tcPr>
          <w:p w:rsidR="001E7BB4" w:rsidRPr="007930B0" w:rsidRDefault="001E7BB4" w:rsidP="001F60AC">
            <w:pPr>
              <w:spacing w:before="40" w:after="40" w:line="220" w:lineRule="exact"/>
              <w:ind w:right="113"/>
              <w:rPr>
                <w:sz w:val="16"/>
                <w:szCs w:val="16"/>
              </w:rPr>
            </w:pPr>
            <w:r w:rsidRPr="007930B0">
              <w:rPr>
                <w:sz w:val="16"/>
                <w:szCs w:val="16"/>
              </w:rPr>
              <w:t>Mejora de la calidad/eficacia</w:t>
            </w:r>
            <w:r w:rsidR="00AA188E" w:rsidRPr="007930B0">
              <w:rPr>
                <w:sz w:val="16"/>
                <w:szCs w:val="16"/>
              </w:rPr>
              <w:t xml:space="preserve"> </w:t>
            </w:r>
            <w:r w:rsidRPr="007930B0">
              <w:rPr>
                <w:sz w:val="16"/>
                <w:szCs w:val="16"/>
              </w:rPr>
              <w:t>de la enseñanza superior</w:t>
            </w:r>
          </w:p>
        </w:tc>
        <w:tc>
          <w:tcPr>
            <w:tcW w:w="851" w:type="dxa"/>
            <w:tcBorders>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581 873 290</w:t>
            </w:r>
          </w:p>
        </w:tc>
        <w:tc>
          <w:tcPr>
            <w:tcW w:w="891" w:type="dxa"/>
            <w:tcBorders>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522</w:t>
            </w:r>
            <w:r w:rsidR="00AA188E" w:rsidRPr="007930B0">
              <w:rPr>
                <w:sz w:val="16"/>
                <w:szCs w:val="16"/>
              </w:rPr>
              <w:t xml:space="preserve"> </w:t>
            </w:r>
            <w:r w:rsidRPr="007930B0">
              <w:rPr>
                <w:sz w:val="16"/>
                <w:szCs w:val="16"/>
              </w:rPr>
              <w:t>445</w:t>
            </w:r>
            <w:r w:rsidR="00AA188E" w:rsidRPr="007930B0">
              <w:rPr>
                <w:sz w:val="16"/>
                <w:szCs w:val="16"/>
              </w:rPr>
              <w:t xml:space="preserve"> </w:t>
            </w:r>
            <w:r w:rsidRPr="007930B0">
              <w:rPr>
                <w:sz w:val="16"/>
                <w:szCs w:val="16"/>
              </w:rPr>
              <w:t>300</w:t>
            </w:r>
          </w:p>
        </w:tc>
        <w:tc>
          <w:tcPr>
            <w:tcW w:w="850" w:type="dxa"/>
            <w:tcBorders>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523</w:t>
            </w:r>
            <w:r w:rsidR="00AA188E" w:rsidRPr="007930B0">
              <w:rPr>
                <w:sz w:val="16"/>
                <w:szCs w:val="16"/>
              </w:rPr>
              <w:t xml:space="preserve"> </w:t>
            </w:r>
            <w:r w:rsidRPr="007930B0">
              <w:rPr>
                <w:sz w:val="16"/>
                <w:szCs w:val="16"/>
              </w:rPr>
              <w:t>049</w:t>
            </w:r>
            <w:r w:rsidR="00AA188E" w:rsidRPr="007930B0">
              <w:rPr>
                <w:sz w:val="16"/>
                <w:szCs w:val="16"/>
              </w:rPr>
              <w:t xml:space="preserve"> </w:t>
            </w:r>
            <w:r w:rsidRPr="007930B0">
              <w:rPr>
                <w:sz w:val="16"/>
                <w:szCs w:val="16"/>
              </w:rPr>
              <w:t>588</w:t>
            </w:r>
          </w:p>
        </w:tc>
        <w:tc>
          <w:tcPr>
            <w:tcW w:w="809" w:type="dxa"/>
            <w:tcBorders>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89,8%</w:t>
            </w:r>
          </w:p>
        </w:tc>
        <w:tc>
          <w:tcPr>
            <w:tcW w:w="759" w:type="dxa"/>
            <w:tcBorders>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1F60AC">
            <w:pPr>
              <w:spacing w:before="40" w:after="40" w:line="220" w:lineRule="exact"/>
              <w:ind w:right="113"/>
              <w:jc w:val="right"/>
              <w:rPr>
                <w:sz w:val="16"/>
                <w:szCs w:val="16"/>
              </w:rPr>
            </w:pPr>
            <w:r w:rsidRPr="007930B0">
              <w:rPr>
                <w:sz w:val="16"/>
                <w:szCs w:val="16"/>
              </w:rPr>
              <w:t>89,9%</w:t>
            </w:r>
          </w:p>
        </w:tc>
        <w:tc>
          <w:tcPr>
            <w:tcW w:w="759" w:type="dxa"/>
            <w:tcBorders>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23692B">
            <w:pPr>
              <w:spacing w:before="40" w:after="40" w:line="220" w:lineRule="exact"/>
              <w:ind w:right="113"/>
              <w:jc w:val="right"/>
              <w:rPr>
                <w:sz w:val="16"/>
                <w:szCs w:val="16"/>
              </w:rPr>
            </w:pPr>
            <w:r w:rsidRPr="007930B0">
              <w:rPr>
                <w:sz w:val="16"/>
                <w:szCs w:val="16"/>
              </w:rPr>
              <w:t>100,1%</w:t>
            </w:r>
          </w:p>
        </w:tc>
      </w:tr>
      <w:tr w:rsidR="001F60AC" w:rsidRPr="007930B0">
        <w:tc>
          <w:tcPr>
            <w:tcW w:w="2451" w:type="dxa"/>
            <w:gridSpan w:val="2"/>
            <w:tcBorders>
              <w:top w:val="single" w:sz="4" w:space="0" w:color="auto"/>
              <w:bottom w:val="single" w:sz="4" w:space="0" w:color="auto"/>
            </w:tcBorders>
            <w:shd w:val="clear" w:color="000000" w:fill="auto"/>
            <w:tcMar>
              <w:top w:w="15" w:type="dxa"/>
              <w:left w:w="15" w:type="dxa"/>
              <w:bottom w:w="0" w:type="dxa"/>
              <w:right w:w="15" w:type="dxa"/>
            </w:tcMar>
          </w:tcPr>
          <w:p w:rsidR="001E7BB4" w:rsidRPr="007930B0" w:rsidRDefault="001E7BB4" w:rsidP="00AA188E">
            <w:pPr>
              <w:spacing w:before="60" w:after="60" w:line="220" w:lineRule="exact"/>
              <w:ind w:left="284" w:right="113"/>
              <w:rPr>
                <w:b/>
                <w:sz w:val="16"/>
                <w:szCs w:val="16"/>
              </w:rPr>
            </w:pPr>
            <w:r w:rsidRPr="007930B0">
              <w:rPr>
                <w:b/>
                <w:sz w:val="16"/>
                <w:szCs w:val="16"/>
              </w:rPr>
              <w:t>Subtotal</w:t>
            </w:r>
          </w:p>
        </w:tc>
        <w:tc>
          <w:tcPr>
            <w:tcW w:w="851"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AA188E">
            <w:pPr>
              <w:spacing w:before="60" w:after="60" w:line="220" w:lineRule="exact"/>
              <w:ind w:right="113"/>
              <w:jc w:val="right"/>
              <w:rPr>
                <w:b/>
                <w:sz w:val="16"/>
                <w:szCs w:val="16"/>
              </w:rPr>
            </w:pPr>
            <w:r w:rsidRPr="007930B0">
              <w:rPr>
                <w:b/>
                <w:sz w:val="16"/>
                <w:szCs w:val="16"/>
              </w:rPr>
              <w:t>615 775 893</w:t>
            </w:r>
          </w:p>
        </w:tc>
        <w:tc>
          <w:tcPr>
            <w:tcW w:w="891"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AA188E">
            <w:pPr>
              <w:spacing w:before="60" w:after="60" w:line="220" w:lineRule="exact"/>
              <w:ind w:right="113"/>
              <w:jc w:val="right"/>
              <w:rPr>
                <w:b/>
                <w:sz w:val="16"/>
                <w:szCs w:val="16"/>
              </w:rPr>
            </w:pPr>
            <w:r w:rsidRPr="007930B0">
              <w:rPr>
                <w:b/>
                <w:sz w:val="16"/>
                <w:szCs w:val="16"/>
              </w:rPr>
              <w:t>536</w:t>
            </w:r>
            <w:r w:rsidR="00AA188E" w:rsidRPr="007930B0">
              <w:rPr>
                <w:b/>
                <w:sz w:val="16"/>
                <w:szCs w:val="16"/>
              </w:rPr>
              <w:t xml:space="preserve"> </w:t>
            </w:r>
            <w:r w:rsidRPr="007930B0">
              <w:rPr>
                <w:b/>
                <w:sz w:val="16"/>
                <w:szCs w:val="16"/>
              </w:rPr>
              <w:t>347</w:t>
            </w:r>
            <w:r w:rsidR="00AA188E" w:rsidRPr="007930B0">
              <w:rPr>
                <w:b/>
                <w:sz w:val="16"/>
                <w:szCs w:val="16"/>
              </w:rPr>
              <w:t xml:space="preserve"> </w:t>
            </w:r>
            <w:r w:rsidRPr="007930B0">
              <w:rPr>
                <w:b/>
                <w:sz w:val="16"/>
                <w:szCs w:val="16"/>
              </w:rPr>
              <w:t>903</w:t>
            </w:r>
          </w:p>
        </w:tc>
        <w:tc>
          <w:tcPr>
            <w:tcW w:w="850"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AA188E">
            <w:pPr>
              <w:spacing w:before="60" w:after="60" w:line="220" w:lineRule="exact"/>
              <w:ind w:right="113"/>
              <w:jc w:val="right"/>
              <w:rPr>
                <w:b/>
                <w:sz w:val="16"/>
                <w:szCs w:val="16"/>
              </w:rPr>
            </w:pPr>
            <w:r w:rsidRPr="007930B0">
              <w:rPr>
                <w:b/>
                <w:sz w:val="16"/>
                <w:szCs w:val="16"/>
              </w:rPr>
              <w:t>536</w:t>
            </w:r>
            <w:r w:rsidR="00AA188E" w:rsidRPr="007930B0">
              <w:rPr>
                <w:b/>
                <w:sz w:val="16"/>
                <w:szCs w:val="16"/>
              </w:rPr>
              <w:t xml:space="preserve"> </w:t>
            </w:r>
            <w:r w:rsidRPr="007930B0">
              <w:rPr>
                <w:b/>
                <w:sz w:val="16"/>
                <w:szCs w:val="16"/>
              </w:rPr>
              <w:t>952</w:t>
            </w:r>
            <w:r w:rsidR="00AA188E" w:rsidRPr="007930B0">
              <w:rPr>
                <w:b/>
                <w:sz w:val="16"/>
                <w:szCs w:val="16"/>
              </w:rPr>
              <w:t xml:space="preserve"> </w:t>
            </w:r>
            <w:r w:rsidRPr="007930B0">
              <w:rPr>
                <w:b/>
                <w:sz w:val="16"/>
                <w:szCs w:val="16"/>
              </w:rPr>
              <w:t>191</w:t>
            </w:r>
          </w:p>
        </w:tc>
        <w:tc>
          <w:tcPr>
            <w:tcW w:w="809"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AA188E">
            <w:pPr>
              <w:spacing w:before="60" w:after="60" w:line="220" w:lineRule="exact"/>
              <w:ind w:right="113"/>
              <w:jc w:val="right"/>
              <w:rPr>
                <w:b/>
                <w:sz w:val="16"/>
                <w:szCs w:val="16"/>
              </w:rPr>
            </w:pPr>
            <w:r w:rsidRPr="007930B0">
              <w:rPr>
                <w:b/>
                <w:sz w:val="16"/>
                <w:szCs w:val="16"/>
              </w:rPr>
              <w:t>87,1%</w:t>
            </w:r>
          </w:p>
        </w:tc>
        <w:tc>
          <w:tcPr>
            <w:tcW w:w="759"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AA188E">
            <w:pPr>
              <w:spacing w:before="60" w:after="60" w:line="220" w:lineRule="exact"/>
              <w:ind w:right="113"/>
              <w:jc w:val="right"/>
              <w:rPr>
                <w:b/>
                <w:sz w:val="16"/>
                <w:szCs w:val="16"/>
              </w:rPr>
            </w:pPr>
            <w:r w:rsidRPr="007930B0">
              <w:rPr>
                <w:b/>
                <w:sz w:val="16"/>
                <w:szCs w:val="16"/>
              </w:rPr>
              <w:t>87,2%</w:t>
            </w:r>
          </w:p>
        </w:tc>
        <w:tc>
          <w:tcPr>
            <w:tcW w:w="759" w:type="dxa"/>
            <w:tcBorders>
              <w:top w:val="single" w:sz="4" w:space="0" w:color="auto"/>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23692B">
            <w:pPr>
              <w:spacing w:before="60" w:after="60" w:line="220" w:lineRule="exact"/>
              <w:ind w:right="113"/>
              <w:jc w:val="right"/>
              <w:rPr>
                <w:b/>
                <w:sz w:val="16"/>
                <w:szCs w:val="16"/>
              </w:rPr>
            </w:pPr>
            <w:r w:rsidRPr="007930B0">
              <w:rPr>
                <w:b/>
                <w:sz w:val="16"/>
                <w:szCs w:val="16"/>
              </w:rPr>
              <w:t>100,1%</w:t>
            </w:r>
          </w:p>
        </w:tc>
      </w:tr>
      <w:tr w:rsidR="001F60AC" w:rsidRPr="007930B0">
        <w:tc>
          <w:tcPr>
            <w:tcW w:w="2451" w:type="dxa"/>
            <w:gridSpan w:val="2"/>
            <w:tcBorders>
              <w:top w:val="single" w:sz="4" w:space="0" w:color="auto"/>
            </w:tcBorders>
            <w:shd w:val="clear" w:color="000000" w:fill="auto"/>
            <w:tcMar>
              <w:top w:w="15" w:type="dxa"/>
              <w:left w:w="15" w:type="dxa"/>
              <w:bottom w:w="0" w:type="dxa"/>
              <w:right w:w="15" w:type="dxa"/>
            </w:tcMar>
          </w:tcPr>
          <w:p w:rsidR="001E7BB4" w:rsidRPr="007930B0" w:rsidRDefault="001E7BB4" w:rsidP="000F60AE">
            <w:pPr>
              <w:spacing w:before="80" w:after="80" w:line="220" w:lineRule="exact"/>
              <w:ind w:left="284" w:right="113"/>
              <w:rPr>
                <w:b/>
                <w:sz w:val="16"/>
                <w:szCs w:val="16"/>
              </w:rPr>
            </w:pPr>
            <w:r w:rsidRPr="007930B0">
              <w:rPr>
                <w:b/>
                <w:sz w:val="16"/>
                <w:szCs w:val="16"/>
              </w:rPr>
              <w:t>Total</w:t>
            </w:r>
          </w:p>
        </w:tc>
        <w:tc>
          <w:tcPr>
            <w:tcW w:w="851" w:type="dxa"/>
            <w:tcBorders>
              <w:top w:val="single" w:sz="4" w:space="0" w:color="auto"/>
            </w:tcBorders>
            <w:shd w:val="clear" w:color="000000" w:fill="auto"/>
            <w:noWrap/>
            <w:tcMar>
              <w:top w:w="15" w:type="dxa"/>
              <w:left w:w="15" w:type="dxa"/>
              <w:bottom w:w="0" w:type="dxa"/>
              <w:right w:w="15" w:type="dxa"/>
            </w:tcMar>
            <w:vAlign w:val="bottom"/>
          </w:tcPr>
          <w:p w:rsidR="001E7BB4" w:rsidRPr="007930B0" w:rsidRDefault="001E7BB4" w:rsidP="000F60AE">
            <w:pPr>
              <w:spacing w:before="80" w:after="80" w:line="220" w:lineRule="exact"/>
              <w:ind w:right="113"/>
              <w:jc w:val="right"/>
              <w:rPr>
                <w:b/>
                <w:sz w:val="16"/>
                <w:szCs w:val="16"/>
              </w:rPr>
            </w:pPr>
            <w:r w:rsidRPr="007930B0">
              <w:rPr>
                <w:b/>
                <w:sz w:val="16"/>
                <w:szCs w:val="16"/>
              </w:rPr>
              <w:t>2 093 928 333</w:t>
            </w:r>
          </w:p>
        </w:tc>
        <w:tc>
          <w:tcPr>
            <w:tcW w:w="891" w:type="dxa"/>
            <w:tcBorders>
              <w:top w:val="single" w:sz="4" w:space="0" w:color="auto"/>
            </w:tcBorders>
            <w:shd w:val="clear" w:color="000000" w:fill="auto"/>
            <w:noWrap/>
            <w:tcMar>
              <w:top w:w="15" w:type="dxa"/>
              <w:left w:w="15" w:type="dxa"/>
              <w:bottom w:w="0" w:type="dxa"/>
              <w:right w:w="15" w:type="dxa"/>
            </w:tcMar>
            <w:vAlign w:val="bottom"/>
          </w:tcPr>
          <w:p w:rsidR="001E7BB4" w:rsidRPr="007930B0" w:rsidRDefault="001E7BB4" w:rsidP="000F60AE">
            <w:pPr>
              <w:spacing w:before="80" w:after="80" w:line="220" w:lineRule="exact"/>
              <w:ind w:right="113"/>
              <w:jc w:val="right"/>
              <w:rPr>
                <w:b/>
                <w:sz w:val="16"/>
                <w:szCs w:val="16"/>
              </w:rPr>
            </w:pPr>
            <w:r w:rsidRPr="007930B0">
              <w:rPr>
                <w:b/>
                <w:sz w:val="16"/>
                <w:szCs w:val="16"/>
              </w:rPr>
              <w:t>1 381 926 621</w:t>
            </w:r>
          </w:p>
        </w:tc>
        <w:tc>
          <w:tcPr>
            <w:tcW w:w="850" w:type="dxa"/>
            <w:tcBorders>
              <w:top w:val="single" w:sz="4" w:space="0" w:color="auto"/>
            </w:tcBorders>
            <w:shd w:val="clear" w:color="000000" w:fill="auto"/>
            <w:noWrap/>
            <w:tcMar>
              <w:top w:w="15" w:type="dxa"/>
              <w:left w:w="15" w:type="dxa"/>
              <w:bottom w:w="0" w:type="dxa"/>
              <w:right w:w="15" w:type="dxa"/>
            </w:tcMar>
            <w:vAlign w:val="bottom"/>
          </w:tcPr>
          <w:p w:rsidR="001E7BB4" w:rsidRPr="007930B0" w:rsidRDefault="001E7BB4" w:rsidP="000F60AE">
            <w:pPr>
              <w:spacing w:before="80" w:after="80" w:line="220" w:lineRule="exact"/>
              <w:ind w:right="113"/>
              <w:jc w:val="right"/>
              <w:rPr>
                <w:b/>
                <w:sz w:val="16"/>
                <w:szCs w:val="16"/>
              </w:rPr>
            </w:pPr>
            <w:r w:rsidRPr="007930B0">
              <w:rPr>
                <w:b/>
                <w:sz w:val="16"/>
                <w:szCs w:val="16"/>
              </w:rPr>
              <w:t>1 076 342 630</w:t>
            </w:r>
          </w:p>
        </w:tc>
        <w:tc>
          <w:tcPr>
            <w:tcW w:w="809" w:type="dxa"/>
            <w:tcBorders>
              <w:top w:val="single" w:sz="4" w:space="0" w:color="auto"/>
            </w:tcBorders>
            <w:shd w:val="clear" w:color="000000" w:fill="auto"/>
            <w:noWrap/>
            <w:tcMar>
              <w:top w:w="15" w:type="dxa"/>
              <w:left w:w="15" w:type="dxa"/>
              <w:bottom w:w="0" w:type="dxa"/>
              <w:right w:w="15" w:type="dxa"/>
            </w:tcMar>
            <w:vAlign w:val="bottom"/>
          </w:tcPr>
          <w:p w:rsidR="001E7BB4" w:rsidRPr="007930B0" w:rsidRDefault="001E7BB4" w:rsidP="000F60AE">
            <w:pPr>
              <w:spacing w:before="80" w:after="80" w:line="220" w:lineRule="exact"/>
              <w:ind w:right="113"/>
              <w:jc w:val="right"/>
              <w:rPr>
                <w:b/>
                <w:sz w:val="16"/>
                <w:szCs w:val="16"/>
              </w:rPr>
            </w:pPr>
            <w:r w:rsidRPr="007930B0">
              <w:rPr>
                <w:b/>
                <w:sz w:val="16"/>
                <w:szCs w:val="16"/>
              </w:rPr>
              <w:t>66,0%</w:t>
            </w:r>
          </w:p>
        </w:tc>
        <w:tc>
          <w:tcPr>
            <w:tcW w:w="759" w:type="dxa"/>
            <w:tcBorders>
              <w:top w:val="single" w:sz="4" w:space="0" w:color="auto"/>
            </w:tcBorders>
            <w:shd w:val="clear" w:color="000000" w:fill="auto"/>
            <w:noWrap/>
            <w:tcMar>
              <w:top w:w="15" w:type="dxa"/>
              <w:left w:w="15" w:type="dxa"/>
              <w:bottom w:w="0" w:type="dxa"/>
              <w:right w:w="15" w:type="dxa"/>
            </w:tcMar>
            <w:vAlign w:val="bottom"/>
          </w:tcPr>
          <w:p w:rsidR="001E7BB4" w:rsidRPr="007930B0" w:rsidRDefault="001E7BB4" w:rsidP="000F60AE">
            <w:pPr>
              <w:spacing w:before="80" w:after="80" w:line="220" w:lineRule="exact"/>
              <w:ind w:right="113"/>
              <w:jc w:val="right"/>
              <w:rPr>
                <w:b/>
                <w:sz w:val="16"/>
                <w:szCs w:val="16"/>
              </w:rPr>
            </w:pPr>
            <w:r w:rsidRPr="007930B0">
              <w:rPr>
                <w:b/>
                <w:sz w:val="16"/>
                <w:szCs w:val="16"/>
              </w:rPr>
              <w:t>51,4%</w:t>
            </w:r>
          </w:p>
        </w:tc>
        <w:tc>
          <w:tcPr>
            <w:tcW w:w="759" w:type="dxa"/>
            <w:tcBorders>
              <w:top w:val="single" w:sz="4" w:space="0" w:color="auto"/>
            </w:tcBorders>
            <w:shd w:val="clear" w:color="000000" w:fill="auto"/>
            <w:noWrap/>
            <w:tcMar>
              <w:top w:w="15" w:type="dxa"/>
              <w:left w:w="15" w:type="dxa"/>
              <w:bottom w:w="0" w:type="dxa"/>
              <w:right w:w="15" w:type="dxa"/>
            </w:tcMar>
            <w:vAlign w:val="bottom"/>
          </w:tcPr>
          <w:p w:rsidR="001E7BB4" w:rsidRPr="007930B0" w:rsidRDefault="001E7BB4" w:rsidP="000F60AE">
            <w:pPr>
              <w:spacing w:before="80" w:after="80" w:line="220" w:lineRule="exact"/>
              <w:ind w:right="113"/>
              <w:jc w:val="right"/>
              <w:rPr>
                <w:b/>
                <w:sz w:val="16"/>
                <w:szCs w:val="16"/>
              </w:rPr>
            </w:pPr>
            <w:r w:rsidRPr="007930B0">
              <w:rPr>
                <w:b/>
                <w:sz w:val="16"/>
                <w:szCs w:val="16"/>
              </w:rPr>
              <w:t>77,9%</w:t>
            </w:r>
          </w:p>
        </w:tc>
      </w:tr>
    </w:tbl>
    <w:p w:rsidR="001E7BB4" w:rsidRPr="007930B0" w:rsidRDefault="001E7BB4" w:rsidP="007D6F39">
      <w:pPr>
        <w:pStyle w:val="SingleTxtG"/>
        <w:spacing w:before="240"/>
        <w:rPr>
          <w:lang w:val="es-ES"/>
        </w:rPr>
      </w:pPr>
      <w:r w:rsidRPr="007930B0">
        <w:rPr>
          <w:lang w:val="es-ES"/>
        </w:rPr>
        <w:t>443.</w:t>
      </w:r>
      <w:r w:rsidRPr="007930B0">
        <w:rPr>
          <w:lang w:val="es-ES"/>
        </w:rPr>
        <w:tab/>
        <w:t xml:space="preserve">Nos interesan en particular dos componentes. Es oportuno presentar la situación general de los compromisos y los desembolsos a que éstos han dado lugar. </w:t>
      </w:r>
    </w:p>
    <w:p w:rsidR="001E7BB4" w:rsidRPr="007930B0" w:rsidRDefault="001E7BB4" w:rsidP="000F60AE">
      <w:pPr>
        <w:pStyle w:val="H23G"/>
        <w:rPr>
          <w:lang w:val="es-ES"/>
        </w:rPr>
      </w:pPr>
      <w:r w:rsidRPr="007930B0">
        <w:rPr>
          <w:lang w:val="es-ES"/>
        </w:rPr>
        <w:tab/>
      </w:r>
      <w:r w:rsidRPr="007930B0">
        <w:rPr>
          <w:lang w:val="es-ES"/>
        </w:rPr>
        <w:tab/>
        <w:t>Medios financieros comprometidos en las dos categorías de componentes</w:t>
      </w:r>
    </w:p>
    <w:p w:rsidR="001E7BB4" w:rsidRPr="007930B0" w:rsidRDefault="001E7BB4" w:rsidP="000F60AE">
      <w:pPr>
        <w:pStyle w:val="H23G"/>
        <w:rPr>
          <w:lang w:val="es-ES"/>
        </w:rPr>
      </w:pPr>
      <w:bookmarkStart w:id="14" w:name="_Toc151950038"/>
      <w:bookmarkStart w:id="15" w:name="_Toc180163027"/>
      <w:r w:rsidRPr="007930B0">
        <w:rPr>
          <w:lang w:val="es-ES"/>
        </w:rPr>
        <w:tab/>
      </w:r>
      <w:r w:rsidRPr="007930B0">
        <w:rPr>
          <w:lang w:val="es-ES"/>
        </w:rPr>
        <w:tab/>
        <w:t xml:space="preserve">Componente </w:t>
      </w:r>
      <w:r w:rsidR="00CC3B6E" w:rsidRPr="007930B0">
        <w:rPr>
          <w:lang w:val="es-ES"/>
        </w:rPr>
        <w:t>"</w:t>
      </w:r>
      <w:r w:rsidRPr="007930B0">
        <w:rPr>
          <w:lang w:val="es-ES"/>
        </w:rPr>
        <w:t>acceso</w:t>
      </w:r>
      <w:r w:rsidR="00CC3B6E" w:rsidRPr="007930B0">
        <w:rPr>
          <w:lang w:val="es-ES"/>
        </w:rPr>
        <w:t>"</w:t>
      </w:r>
      <w:bookmarkEnd w:id="14"/>
      <w:bookmarkEnd w:id="15"/>
    </w:p>
    <w:p w:rsidR="001E7BB4" w:rsidRPr="007930B0" w:rsidRDefault="001E7BB4" w:rsidP="0068666F">
      <w:pPr>
        <w:pStyle w:val="SingleTxtG"/>
        <w:rPr>
          <w:lang w:val="es-ES"/>
        </w:rPr>
      </w:pPr>
      <w:r w:rsidRPr="007930B0">
        <w:rPr>
          <w:lang w:val="es-ES"/>
        </w:rPr>
        <w:t>444.</w:t>
      </w:r>
      <w:r w:rsidRPr="007930B0">
        <w:rPr>
          <w:lang w:val="es-ES"/>
        </w:rPr>
        <w:tab/>
        <w:t xml:space="preserve">Las sumas comprometidas ascienden a </w:t>
      </w:r>
      <w:r w:rsidR="00EA0D9F">
        <w:rPr>
          <w:b/>
          <w:lang w:val="es-ES"/>
        </w:rPr>
        <w:t>3.794.987.203</w:t>
      </w:r>
      <w:r w:rsidRPr="00EA0D9F">
        <w:rPr>
          <w:b/>
          <w:lang w:val="es-ES"/>
        </w:rPr>
        <w:t xml:space="preserve"> UM</w:t>
      </w:r>
      <w:r w:rsidRPr="007930B0">
        <w:rPr>
          <w:lang w:val="es-ES"/>
        </w:rPr>
        <w:t xml:space="preserve"> y representan el </w:t>
      </w:r>
      <w:r w:rsidRPr="00EA0D9F">
        <w:rPr>
          <w:b/>
          <w:lang w:val="es-ES"/>
        </w:rPr>
        <w:t>78,3%</w:t>
      </w:r>
      <w:r w:rsidRPr="007930B0">
        <w:rPr>
          <w:lang w:val="es-ES"/>
        </w:rPr>
        <w:t xml:space="preserve"> del presupuesto del componente y el </w:t>
      </w:r>
      <w:r w:rsidRPr="00EA0D9F">
        <w:rPr>
          <w:b/>
          <w:lang w:val="es-ES"/>
        </w:rPr>
        <w:t>33,9%</w:t>
      </w:r>
      <w:r w:rsidRPr="007930B0">
        <w:rPr>
          <w:lang w:val="es-ES"/>
        </w:rPr>
        <w:t xml:space="preserve"> del total de los compromisos del Plan de Acción. Las sumas desembolsadas ascienden a </w:t>
      </w:r>
      <w:r w:rsidR="00EA0D9F">
        <w:rPr>
          <w:b/>
          <w:lang w:val="es-ES"/>
        </w:rPr>
        <w:t>2.886.930.284</w:t>
      </w:r>
      <w:r w:rsidRPr="00EA0D9F">
        <w:rPr>
          <w:b/>
          <w:lang w:val="es-ES"/>
        </w:rPr>
        <w:t xml:space="preserve"> UM</w:t>
      </w:r>
      <w:r w:rsidRPr="007930B0">
        <w:rPr>
          <w:lang w:val="es-ES"/>
        </w:rPr>
        <w:t xml:space="preserve">, es decir, </w:t>
      </w:r>
      <w:r w:rsidRPr="00EA0D9F">
        <w:rPr>
          <w:b/>
          <w:lang w:val="es-ES"/>
        </w:rPr>
        <w:t>55,8%</w:t>
      </w:r>
      <w:r w:rsidRPr="007930B0">
        <w:rPr>
          <w:lang w:val="es-ES"/>
        </w:rPr>
        <w:t xml:space="preserve"> de los compromisos del componente y el </w:t>
      </w:r>
      <w:r w:rsidRPr="00EA0D9F">
        <w:rPr>
          <w:b/>
          <w:lang w:val="es-ES"/>
        </w:rPr>
        <w:t>43,7%</w:t>
      </w:r>
      <w:r w:rsidRPr="007930B0">
        <w:rPr>
          <w:lang w:val="es-ES"/>
        </w:rPr>
        <w:t xml:space="preserve"> del presupuesto de éste. La situación financiera se detalla por subcomponente de la siguiente manera:</w:t>
      </w:r>
    </w:p>
    <w:p w:rsidR="001E7BB4" w:rsidRPr="007930B0" w:rsidRDefault="001E7BB4" w:rsidP="006B0B85">
      <w:pPr>
        <w:pStyle w:val="SingleTxtG"/>
        <w:ind w:firstLine="567"/>
        <w:rPr>
          <w:lang w:val="es-ES"/>
        </w:rPr>
      </w:pPr>
      <w:r w:rsidRPr="007930B0">
        <w:rPr>
          <w:lang w:val="es-ES"/>
        </w:rPr>
        <w:t>a)</w:t>
      </w:r>
      <w:r w:rsidRPr="007930B0">
        <w:rPr>
          <w:lang w:val="es-ES"/>
        </w:rPr>
        <w:tab/>
      </w:r>
      <w:r w:rsidR="00CC3B6E" w:rsidRPr="007930B0">
        <w:rPr>
          <w:i/>
          <w:lang w:val="es-ES"/>
        </w:rPr>
        <w:t>"</w:t>
      </w:r>
      <w:r w:rsidRPr="007930B0">
        <w:rPr>
          <w:i/>
          <w:lang w:val="es-ES"/>
        </w:rPr>
        <w:t>Acceso a la enseñanza primaria</w:t>
      </w:r>
      <w:r w:rsidR="00CC3B6E" w:rsidRPr="007930B0">
        <w:rPr>
          <w:i/>
          <w:lang w:val="es-ES"/>
        </w:rPr>
        <w:t>"</w:t>
      </w:r>
      <w:r w:rsidRPr="007930B0">
        <w:rPr>
          <w:i/>
          <w:lang w:val="es-ES"/>
        </w:rPr>
        <w:t xml:space="preserve">: Para un presupuesto de </w:t>
      </w:r>
      <w:r w:rsidRPr="007930B0">
        <w:rPr>
          <w:i/>
          <w:rtl/>
          <w:lang w:val="es-ES"/>
        </w:rPr>
        <w:t>2</w:t>
      </w:r>
      <w:r w:rsidRPr="007930B0">
        <w:rPr>
          <w:i/>
          <w:lang w:val="es-ES"/>
        </w:rPr>
        <w:t>.</w:t>
      </w:r>
      <w:r w:rsidRPr="007930B0">
        <w:rPr>
          <w:i/>
          <w:rtl/>
          <w:lang w:val="es-ES"/>
        </w:rPr>
        <w:t>616</w:t>
      </w:r>
      <w:r w:rsidRPr="007930B0">
        <w:rPr>
          <w:i/>
          <w:lang w:val="es-ES"/>
        </w:rPr>
        <w:t>.</w:t>
      </w:r>
      <w:r w:rsidRPr="007930B0">
        <w:rPr>
          <w:i/>
          <w:rtl/>
          <w:lang w:val="es-ES"/>
        </w:rPr>
        <w:t>398</w:t>
      </w:r>
      <w:r w:rsidRPr="007930B0">
        <w:rPr>
          <w:i/>
          <w:lang w:val="es-ES"/>
        </w:rPr>
        <w:t>.</w:t>
      </w:r>
      <w:r w:rsidRPr="007930B0">
        <w:rPr>
          <w:i/>
          <w:rtl/>
          <w:lang w:val="es-ES"/>
        </w:rPr>
        <w:t>784</w:t>
      </w:r>
      <w:r w:rsidRPr="007930B0">
        <w:rPr>
          <w:i/>
          <w:lang w:val="es-ES"/>
        </w:rPr>
        <w:t xml:space="preserve"> UM, la suma comprometida asciende a </w:t>
      </w:r>
      <w:r w:rsidR="00EA0D9F">
        <w:rPr>
          <w:b/>
          <w:i/>
          <w:lang w:val="es-ES"/>
        </w:rPr>
        <w:t xml:space="preserve">1.796.947.296 </w:t>
      </w:r>
      <w:r w:rsidRPr="00EA0D9F">
        <w:rPr>
          <w:b/>
          <w:i/>
          <w:lang w:val="es-ES"/>
        </w:rPr>
        <w:t>UM</w:t>
      </w:r>
      <w:r w:rsidRPr="007930B0">
        <w:rPr>
          <w:i/>
          <w:lang w:val="es-ES"/>
        </w:rPr>
        <w:t xml:space="preserve"> (es decir, 68,7% del presupuesto del subcomponente); los desembolsos ascienden a </w:t>
      </w:r>
      <w:r w:rsidRPr="007930B0">
        <w:rPr>
          <w:i/>
          <w:rtl/>
          <w:lang w:val="es-ES"/>
        </w:rPr>
        <w:t>750</w:t>
      </w:r>
      <w:r w:rsidRPr="007930B0">
        <w:rPr>
          <w:i/>
          <w:lang w:val="es-ES"/>
        </w:rPr>
        <w:t>.</w:t>
      </w:r>
      <w:r w:rsidRPr="007930B0">
        <w:rPr>
          <w:i/>
          <w:rtl/>
          <w:lang w:val="es-ES"/>
        </w:rPr>
        <w:t>624</w:t>
      </w:r>
      <w:r w:rsidRPr="007930B0">
        <w:rPr>
          <w:i/>
          <w:lang w:val="es-ES"/>
        </w:rPr>
        <w:t>.</w:t>
      </w:r>
      <w:r w:rsidRPr="007930B0">
        <w:rPr>
          <w:i/>
          <w:rtl/>
          <w:lang w:val="es-ES"/>
        </w:rPr>
        <w:t>415</w:t>
      </w:r>
      <w:r w:rsidRPr="007930B0">
        <w:rPr>
          <w:i/>
          <w:lang w:val="es-ES"/>
        </w:rPr>
        <w:t xml:space="preserve"> UM (es decir, 41,8% de la suma comprometida y 28,7% del presupuesto del subcomponente);</w:t>
      </w:r>
    </w:p>
    <w:p w:rsidR="001E7BB4" w:rsidRPr="007930B0" w:rsidRDefault="001E7BB4" w:rsidP="006B0B85">
      <w:pPr>
        <w:pStyle w:val="SingleTxtG"/>
        <w:ind w:firstLine="567"/>
        <w:rPr>
          <w:lang w:val="es-ES"/>
        </w:rPr>
      </w:pPr>
      <w:r w:rsidRPr="007930B0">
        <w:rPr>
          <w:lang w:val="es-ES"/>
        </w:rPr>
        <w:t>b)</w:t>
      </w:r>
      <w:r w:rsidRPr="007930B0">
        <w:rPr>
          <w:lang w:val="es-ES"/>
        </w:rPr>
        <w:tab/>
      </w:r>
      <w:r w:rsidR="00CC3B6E" w:rsidRPr="007930B0">
        <w:rPr>
          <w:i/>
          <w:lang w:val="es-ES"/>
        </w:rPr>
        <w:t>"</w:t>
      </w:r>
      <w:r w:rsidRPr="007930B0">
        <w:rPr>
          <w:i/>
          <w:lang w:val="es-ES"/>
        </w:rPr>
        <w:t>Acceso a la enseñanza secundaria</w:t>
      </w:r>
      <w:r w:rsidR="00CC3B6E" w:rsidRPr="007930B0">
        <w:rPr>
          <w:i/>
          <w:lang w:val="es-ES"/>
        </w:rPr>
        <w:t>"</w:t>
      </w:r>
      <w:r w:rsidRPr="007930B0">
        <w:rPr>
          <w:i/>
          <w:lang w:val="es-ES"/>
        </w:rPr>
        <w:t xml:space="preserve">: Para un presupuesto de </w:t>
      </w:r>
      <w:r w:rsidRPr="007930B0">
        <w:rPr>
          <w:i/>
          <w:rtl/>
          <w:lang w:val="es-ES"/>
        </w:rPr>
        <w:t>1</w:t>
      </w:r>
      <w:r w:rsidRPr="007930B0">
        <w:rPr>
          <w:i/>
          <w:lang w:val="es-ES"/>
        </w:rPr>
        <w:t>.</w:t>
      </w:r>
      <w:r w:rsidRPr="007930B0">
        <w:rPr>
          <w:i/>
          <w:rtl/>
          <w:lang w:val="es-ES"/>
        </w:rPr>
        <w:t>505</w:t>
      </w:r>
      <w:r w:rsidRPr="007930B0">
        <w:rPr>
          <w:i/>
          <w:lang w:val="es-ES"/>
        </w:rPr>
        <w:t>.</w:t>
      </w:r>
      <w:r w:rsidRPr="007930B0">
        <w:rPr>
          <w:i/>
          <w:rtl/>
          <w:lang w:val="es-ES"/>
        </w:rPr>
        <w:t>771</w:t>
      </w:r>
      <w:r w:rsidRPr="007930B0">
        <w:rPr>
          <w:i/>
          <w:lang w:val="es-ES"/>
        </w:rPr>
        <w:t>.</w:t>
      </w:r>
      <w:r w:rsidRPr="007930B0">
        <w:rPr>
          <w:i/>
          <w:rtl/>
          <w:lang w:val="es-ES"/>
        </w:rPr>
        <w:t>022</w:t>
      </w:r>
      <w:r w:rsidRPr="007930B0">
        <w:rPr>
          <w:i/>
          <w:lang w:val="es-ES"/>
        </w:rPr>
        <w:t xml:space="preserve"> UM, </w:t>
      </w:r>
      <w:r w:rsidR="00EA0D9F">
        <w:rPr>
          <w:i/>
          <w:lang w:val="es-ES"/>
        </w:rPr>
        <w:t>la suma comprometida asciende a</w:t>
      </w:r>
      <w:r w:rsidR="00EA0D9F" w:rsidRPr="007930B0">
        <w:rPr>
          <w:i/>
          <w:lang w:val="es-ES"/>
        </w:rPr>
        <w:t xml:space="preserve"> </w:t>
      </w:r>
      <w:r w:rsidR="00EA0D9F">
        <w:rPr>
          <w:b/>
          <w:i/>
          <w:lang w:val="es-ES"/>
        </w:rPr>
        <w:t xml:space="preserve">1.820.500.623 </w:t>
      </w:r>
      <w:r w:rsidRPr="00EA0D9F">
        <w:rPr>
          <w:b/>
          <w:i/>
          <w:lang w:val="es-ES"/>
        </w:rPr>
        <w:t>UM</w:t>
      </w:r>
      <w:r w:rsidRPr="007930B0">
        <w:rPr>
          <w:i/>
          <w:lang w:val="es-ES"/>
        </w:rPr>
        <w:t xml:space="preserve"> (es decir, 120,9% del presupuesto del subcomponente). Este importe fue desembolsado en un 100%;</w:t>
      </w:r>
    </w:p>
    <w:p w:rsidR="001E7BB4" w:rsidRPr="007930B0" w:rsidRDefault="001E7BB4" w:rsidP="006B0B85">
      <w:pPr>
        <w:pStyle w:val="SingleTxtG"/>
        <w:ind w:firstLine="567"/>
        <w:rPr>
          <w:lang w:val="es-ES"/>
        </w:rPr>
      </w:pPr>
      <w:r w:rsidRPr="007930B0">
        <w:rPr>
          <w:lang w:val="es-ES"/>
        </w:rPr>
        <w:t>c)</w:t>
      </w:r>
      <w:r w:rsidRPr="007930B0">
        <w:rPr>
          <w:lang w:val="es-ES"/>
        </w:rPr>
        <w:tab/>
      </w:r>
      <w:r w:rsidR="00CC3B6E" w:rsidRPr="007930B0">
        <w:rPr>
          <w:i/>
          <w:lang w:val="es-ES"/>
        </w:rPr>
        <w:t>"</w:t>
      </w:r>
      <w:r w:rsidRPr="007930B0">
        <w:rPr>
          <w:i/>
          <w:lang w:val="es-ES"/>
        </w:rPr>
        <w:t>Escolarización de las niñas</w:t>
      </w:r>
      <w:r w:rsidR="00CC3B6E" w:rsidRPr="007930B0">
        <w:rPr>
          <w:i/>
          <w:lang w:val="es-ES"/>
        </w:rPr>
        <w:t>"</w:t>
      </w:r>
      <w:r w:rsidRPr="007930B0">
        <w:rPr>
          <w:i/>
          <w:lang w:val="es-ES"/>
        </w:rPr>
        <w:t xml:space="preserve">: Para un presupuesto estimado en </w:t>
      </w:r>
      <w:r w:rsidRPr="007930B0">
        <w:rPr>
          <w:i/>
          <w:rtl/>
          <w:lang w:val="es-ES"/>
        </w:rPr>
        <w:t>17</w:t>
      </w:r>
      <w:r w:rsidRPr="007930B0">
        <w:rPr>
          <w:i/>
          <w:lang w:val="es-ES"/>
        </w:rPr>
        <w:t>.</w:t>
      </w:r>
      <w:r w:rsidRPr="007930B0">
        <w:rPr>
          <w:i/>
          <w:rtl/>
          <w:lang w:val="es-ES"/>
        </w:rPr>
        <w:t>894</w:t>
      </w:r>
      <w:r w:rsidRPr="007930B0">
        <w:rPr>
          <w:i/>
          <w:lang w:val="es-ES"/>
        </w:rPr>
        <w:t>.</w:t>
      </w:r>
      <w:r w:rsidRPr="007930B0">
        <w:rPr>
          <w:i/>
          <w:rtl/>
          <w:lang w:val="es-ES"/>
        </w:rPr>
        <w:t>770</w:t>
      </w:r>
      <w:r w:rsidRPr="007930B0">
        <w:rPr>
          <w:i/>
          <w:lang w:val="es-ES"/>
        </w:rPr>
        <w:t xml:space="preserve"> UM, la suma comprometida asciende a </w:t>
      </w:r>
      <w:r w:rsidR="00EA0D9F">
        <w:rPr>
          <w:b/>
          <w:i/>
          <w:lang w:val="ca-ES"/>
        </w:rPr>
        <w:t xml:space="preserve">16.894.771 </w:t>
      </w:r>
      <w:r w:rsidRPr="00EA0D9F">
        <w:rPr>
          <w:b/>
          <w:i/>
          <w:lang w:val="es-ES"/>
        </w:rPr>
        <w:t>UM</w:t>
      </w:r>
      <w:r w:rsidRPr="007930B0">
        <w:rPr>
          <w:i/>
          <w:lang w:val="es-ES"/>
        </w:rPr>
        <w:t xml:space="preserve">, es decir, 94,4% del presupuesto del subcomponente. Los desembolsos ascienden a </w:t>
      </w:r>
      <w:r w:rsidR="00EA0D9F">
        <w:rPr>
          <w:b/>
          <w:i/>
          <w:lang w:val="es-ES"/>
        </w:rPr>
        <w:t xml:space="preserve">15.384.292 </w:t>
      </w:r>
      <w:r w:rsidRPr="00EA0D9F">
        <w:rPr>
          <w:b/>
          <w:i/>
          <w:lang w:val="es-ES"/>
        </w:rPr>
        <w:t>UM</w:t>
      </w:r>
      <w:r w:rsidRPr="007930B0">
        <w:rPr>
          <w:i/>
          <w:lang w:val="es-ES"/>
        </w:rPr>
        <w:t xml:space="preserve"> (es decir, 91% de la suma comprometida y 86% del presupuesto del subcomponente);</w:t>
      </w:r>
    </w:p>
    <w:p w:rsidR="001E7BB4" w:rsidRPr="007930B0" w:rsidRDefault="001E7BB4" w:rsidP="006B0B85">
      <w:pPr>
        <w:pStyle w:val="SingleTxtG"/>
        <w:ind w:firstLine="567"/>
        <w:rPr>
          <w:lang w:val="es-ES"/>
        </w:rPr>
      </w:pPr>
      <w:r w:rsidRPr="007930B0">
        <w:rPr>
          <w:lang w:val="es-ES"/>
        </w:rPr>
        <w:t>d)</w:t>
      </w:r>
      <w:r w:rsidRPr="007930B0">
        <w:rPr>
          <w:lang w:val="es-ES"/>
        </w:rPr>
        <w:tab/>
      </w:r>
      <w:r w:rsidR="00CC3B6E" w:rsidRPr="007930B0">
        <w:rPr>
          <w:i/>
          <w:lang w:val="es-ES"/>
        </w:rPr>
        <w:t>"</w:t>
      </w:r>
      <w:r w:rsidRPr="007930B0">
        <w:rPr>
          <w:i/>
          <w:lang w:val="es-ES"/>
        </w:rPr>
        <w:t>Promoción de la enseñanza privada</w:t>
      </w:r>
      <w:r w:rsidR="00CC3B6E" w:rsidRPr="007930B0">
        <w:rPr>
          <w:i/>
          <w:lang w:val="es-ES"/>
        </w:rPr>
        <w:t>"</w:t>
      </w:r>
      <w:r w:rsidRPr="007930B0">
        <w:rPr>
          <w:i/>
          <w:lang w:val="es-ES"/>
        </w:rPr>
        <w:t xml:space="preserve">: El proyecto de presupuesto para este subcomponente asciende a </w:t>
      </w:r>
      <w:r w:rsidR="00EA0D9F">
        <w:rPr>
          <w:b/>
          <w:i/>
          <w:lang w:val="ca-ES"/>
        </w:rPr>
        <w:t>35.789.900</w:t>
      </w:r>
      <w:r w:rsidRPr="007930B0">
        <w:rPr>
          <w:i/>
          <w:lang w:val="es-ES"/>
        </w:rPr>
        <w:t>; solamente el 13,1% de este presupuesto fue comprometido (</w:t>
      </w:r>
      <w:r w:rsidR="00EA0D9F">
        <w:rPr>
          <w:b/>
          <w:i/>
          <w:lang w:val="es-ES"/>
        </w:rPr>
        <w:t>4.691.596</w:t>
      </w:r>
      <w:r w:rsidRPr="007930B0">
        <w:rPr>
          <w:i/>
          <w:lang w:val="es-ES"/>
        </w:rPr>
        <w:t xml:space="preserve"> </w:t>
      </w:r>
      <w:r w:rsidRPr="00EA0D9F">
        <w:rPr>
          <w:b/>
          <w:i/>
          <w:lang w:val="es-ES"/>
        </w:rPr>
        <w:t>UM</w:t>
      </w:r>
      <w:r w:rsidRPr="007930B0">
        <w:rPr>
          <w:i/>
          <w:lang w:val="es-ES"/>
        </w:rPr>
        <w:t>). Se desembolsó la totalidad de la suma comprometida;</w:t>
      </w:r>
    </w:p>
    <w:p w:rsidR="001E7BB4" w:rsidRPr="007930B0" w:rsidRDefault="001E7BB4" w:rsidP="006B0B85">
      <w:pPr>
        <w:pStyle w:val="SingleTxtG"/>
        <w:ind w:firstLine="567"/>
        <w:rPr>
          <w:lang w:val="es-ES"/>
        </w:rPr>
      </w:pPr>
      <w:r w:rsidRPr="007930B0">
        <w:rPr>
          <w:lang w:val="es-ES"/>
        </w:rPr>
        <w:t>e)</w:t>
      </w:r>
      <w:r w:rsidRPr="007930B0">
        <w:rPr>
          <w:lang w:val="es-ES"/>
        </w:rPr>
        <w:tab/>
      </w:r>
      <w:r w:rsidR="00CC3B6E" w:rsidRPr="007930B0">
        <w:rPr>
          <w:i/>
          <w:lang w:val="es-ES"/>
        </w:rPr>
        <w:t>"</w:t>
      </w:r>
      <w:r w:rsidRPr="007930B0">
        <w:rPr>
          <w:i/>
          <w:lang w:val="es-ES"/>
        </w:rPr>
        <w:t>Alfabetización y enseñanza original</w:t>
      </w:r>
      <w:r w:rsidR="00CC3B6E" w:rsidRPr="007930B0">
        <w:rPr>
          <w:i/>
          <w:lang w:val="es-ES"/>
        </w:rPr>
        <w:t>"</w:t>
      </w:r>
      <w:r w:rsidRPr="007930B0">
        <w:rPr>
          <w:i/>
          <w:lang w:val="es-ES"/>
        </w:rPr>
        <w:t xml:space="preserve">: En un presupuesto de </w:t>
      </w:r>
      <w:r w:rsidR="00EA0D9F">
        <w:rPr>
          <w:b/>
          <w:i/>
          <w:lang w:val="es-ES"/>
        </w:rPr>
        <w:t>178.382.600</w:t>
      </w:r>
      <w:r w:rsidRPr="007930B0">
        <w:rPr>
          <w:i/>
          <w:lang w:val="es-ES"/>
        </w:rPr>
        <w:t xml:space="preserve"> </w:t>
      </w:r>
      <w:r w:rsidRPr="00EA0D9F">
        <w:rPr>
          <w:b/>
          <w:i/>
          <w:lang w:val="es-ES"/>
        </w:rPr>
        <w:t>UM</w:t>
      </w:r>
      <w:r w:rsidRPr="007930B0">
        <w:rPr>
          <w:i/>
          <w:lang w:val="es-ES"/>
        </w:rPr>
        <w:t xml:space="preserve">, la suma comprometida para este subcomponente asciende a </w:t>
      </w:r>
      <w:r w:rsidR="00EA0D9F">
        <w:rPr>
          <w:b/>
          <w:i/>
          <w:lang w:val="es-ES"/>
        </w:rPr>
        <w:t>155.952.917 UM</w:t>
      </w:r>
      <w:r w:rsidRPr="007930B0">
        <w:rPr>
          <w:i/>
          <w:lang w:val="es-ES"/>
        </w:rPr>
        <w:t xml:space="preserve"> (es decir, 87,4% del presupuesto del subcomponente). Los desembolsos ascienden a </w:t>
      </w:r>
      <w:r w:rsidR="00EA0D9F">
        <w:rPr>
          <w:b/>
          <w:i/>
          <w:lang w:val="es-ES"/>
        </w:rPr>
        <w:t>139.876.289</w:t>
      </w:r>
      <w:r w:rsidRPr="007930B0">
        <w:rPr>
          <w:i/>
          <w:lang w:val="es-ES"/>
        </w:rPr>
        <w:t xml:space="preserve"> </w:t>
      </w:r>
      <w:r w:rsidRPr="00EA0D9F">
        <w:rPr>
          <w:b/>
          <w:i/>
          <w:lang w:val="es-ES"/>
        </w:rPr>
        <w:t>UM</w:t>
      </w:r>
      <w:r w:rsidRPr="007930B0">
        <w:rPr>
          <w:i/>
          <w:lang w:val="es-ES"/>
        </w:rPr>
        <w:t xml:space="preserve"> (o sea, 89,7% de la suma comprometida y 78,4% del presupuesto del subcomponente).</w:t>
      </w:r>
    </w:p>
    <w:p w:rsidR="001E7BB4" w:rsidRPr="007930B0" w:rsidRDefault="001E7BB4" w:rsidP="006B0B85">
      <w:pPr>
        <w:pStyle w:val="H23G"/>
        <w:rPr>
          <w:lang w:val="es-ES"/>
        </w:rPr>
      </w:pPr>
      <w:bookmarkStart w:id="16" w:name="_Toc151950039"/>
      <w:bookmarkStart w:id="17" w:name="_Toc180163028"/>
      <w:r w:rsidRPr="007930B0">
        <w:rPr>
          <w:lang w:val="es-ES"/>
        </w:rPr>
        <w:tab/>
      </w:r>
      <w:r w:rsidRPr="007930B0">
        <w:rPr>
          <w:lang w:val="es-ES"/>
        </w:rPr>
        <w:tab/>
        <w:t xml:space="preserve">Componente </w:t>
      </w:r>
      <w:r w:rsidR="00CC3B6E" w:rsidRPr="007930B0">
        <w:rPr>
          <w:lang w:val="es-ES"/>
        </w:rPr>
        <w:t>"</w:t>
      </w:r>
      <w:r w:rsidRPr="007930B0">
        <w:rPr>
          <w:lang w:val="es-ES"/>
        </w:rPr>
        <w:t>FTP/Enseñanza superior</w:t>
      </w:r>
      <w:r w:rsidR="00CC3B6E" w:rsidRPr="007930B0">
        <w:rPr>
          <w:lang w:val="es-ES"/>
        </w:rPr>
        <w:t>"</w:t>
      </w:r>
      <w:bookmarkEnd w:id="16"/>
      <w:bookmarkEnd w:id="17"/>
    </w:p>
    <w:p w:rsidR="001E7BB4" w:rsidRPr="007930B0" w:rsidRDefault="001E7BB4" w:rsidP="0068666F">
      <w:pPr>
        <w:pStyle w:val="SingleTxtG"/>
        <w:rPr>
          <w:lang w:val="es-ES"/>
        </w:rPr>
      </w:pPr>
      <w:r w:rsidRPr="007930B0">
        <w:rPr>
          <w:lang w:val="es-ES"/>
        </w:rPr>
        <w:t>445.</w:t>
      </w:r>
      <w:r w:rsidRPr="007930B0">
        <w:rPr>
          <w:lang w:val="es-ES"/>
        </w:rPr>
        <w:tab/>
        <w:t xml:space="preserve">Las sumas comprometidas ascienden a </w:t>
      </w:r>
      <w:r w:rsidR="00EA0D9F">
        <w:rPr>
          <w:b/>
          <w:lang w:val="es-ES"/>
        </w:rPr>
        <w:t>2.894.352.355 UM</w:t>
      </w:r>
      <w:r w:rsidRPr="007930B0">
        <w:rPr>
          <w:lang w:val="es-ES"/>
        </w:rPr>
        <w:t xml:space="preserve"> y representan el </w:t>
      </w:r>
      <w:r w:rsidRPr="00EA0D9F">
        <w:rPr>
          <w:b/>
          <w:lang w:val="es-ES"/>
        </w:rPr>
        <w:t>84,2%</w:t>
      </w:r>
      <w:r w:rsidRPr="007930B0">
        <w:rPr>
          <w:lang w:val="es-ES"/>
        </w:rPr>
        <w:t xml:space="preserve"> del presupuesto del componente y el </w:t>
      </w:r>
      <w:r w:rsidRPr="00EA0D9F">
        <w:rPr>
          <w:b/>
          <w:lang w:val="es-ES"/>
        </w:rPr>
        <w:t>25,8%</w:t>
      </w:r>
      <w:r w:rsidRPr="007930B0">
        <w:rPr>
          <w:lang w:val="es-ES"/>
        </w:rPr>
        <w:t xml:space="preserve"> del total de los compromisos del Plan de Acción. Las sumas desembolsadas ascienden a </w:t>
      </w:r>
      <w:r w:rsidR="00A62881">
        <w:rPr>
          <w:b/>
          <w:lang w:val="es-ES"/>
        </w:rPr>
        <w:t>1.337.300.534 UM</w:t>
      </w:r>
      <w:r w:rsidRPr="007930B0">
        <w:rPr>
          <w:lang w:val="es-ES"/>
        </w:rPr>
        <w:t xml:space="preserve">, es decir, </w:t>
      </w:r>
      <w:r w:rsidRPr="00A62881">
        <w:rPr>
          <w:b/>
          <w:lang w:val="es-ES"/>
        </w:rPr>
        <w:t>46,2%</w:t>
      </w:r>
      <w:r w:rsidRPr="007930B0">
        <w:rPr>
          <w:lang w:val="es-ES"/>
        </w:rPr>
        <w:t xml:space="preserve"> de los compromisos del componente y </w:t>
      </w:r>
      <w:r w:rsidRPr="00A62881">
        <w:rPr>
          <w:b/>
          <w:lang w:val="es-ES"/>
        </w:rPr>
        <w:t>38,9%</w:t>
      </w:r>
      <w:r w:rsidRPr="007930B0">
        <w:rPr>
          <w:lang w:val="es-ES"/>
        </w:rPr>
        <w:t xml:space="preserve"> del presupuesto de éste. La situación financiera se desglosa por componente de la siguiente manera:</w:t>
      </w:r>
    </w:p>
    <w:p w:rsidR="001E7BB4" w:rsidRPr="007930B0" w:rsidRDefault="00CC3B6E" w:rsidP="006B0B85">
      <w:pPr>
        <w:pStyle w:val="Bullet1G"/>
        <w:rPr>
          <w:lang w:val="es-ES"/>
        </w:rPr>
      </w:pPr>
      <w:r w:rsidRPr="007930B0">
        <w:rPr>
          <w:lang w:val="es-ES"/>
        </w:rPr>
        <w:t>"</w:t>
      </w:r>
      <w:r w:rsidR="001E7BB4" w:rsidRPr="007930B0">
        <w:rPr>
          <w:lang w:val="es-ES"/>
        </w:rPr>
        <w:t>Formación técnica y profesional (FTP)</w:t>
      </w:r>
      <w:r w:rsidRPr="007930B0">
        <w:rPr>
          <w:lang w:val="es-ES"/>
        </w:rPr>
        <w:t>"</w:t>
      </w:r>
      <w:r w:rsidR="001E7BB4" w:rsidRPr="007930B0">
        <w:rPr>
          <w:lang w:val="es-ES"/>
        </w:rPr>
        <w:t xml:space="preserve">: En un presupuesto de </w:t>
      </w:r>
      <w:r w:rsidR="001E7BB4" w:rsidRPr="007930B0">
        <w:rPr>
          <w:rtl/>
          <w:lang w:val="es-ES"/>
        </w:rPr>
        <w:t>1</w:t>
      </w:r>
      <w:r w:rsidR="001E7BB4" w:rsidRPr="007930B0">
        <w:rPr>
          <w:lang w:val="es-ES"/>
        </w:rPr>
        <w:t>.</w:t>
      </w:r>
      <w:r w:rsidR="001E7BB4" w:rsidRPr="007930B0">
        <w:rPr>
          <w:rtl/>
          <w:lang w:val="es-ES"/>
        </w:rPr>
        <w:t>351</w:t>
      </w:r>
      <w:r w:rsidR="001E7BB4" w:rsidRPr="007930B0">
        <w:rPr>
          <w:lang w:val="es-ES"/>
        </w:rPr>
        <w:t>.</w:t>
      </w:r>
      <w:r w:rsidR="001E7BB4" w:rsidRPr="007930B0">
        <w:rPr>
          <w:rtl/>
          <w:lang w:val="es-ES"/>
        </w:rPr>
        <w:t>802</w:t>
      </w:r>
      <w:r w:rsidR="001E7BB4" w:rsidRPr="007930B0">
        <w:rPr>
          <w:lang w:val="es-ES"/>
        </w:rPr>
        <w:t>.</w:t>
      </w:r>
      <w:r w:rsidR="001E7BB4" w:rsidRPr="007930B0">
        <w:rPr>
          <w:rtl/>
          <w:lang w:val="es-ES"/>
        </w:rPr>
        <w:t>603</w:t>
      </w:r>
      <w:r w:rsidR="001E7BB4" w:rsidRPr="007930B0">
        <w:rPr>
          <w:lang w:val="es-ES"/>
        </w:rPr>
        <w:t xml:space="preserve"> UM, la suma comprometida asciende a </w:t>
      </w:r>
      <w:r w:rsidR="001E7BB4" w:rsidRPr="007930B0">
        <w:rPr>
          <w:rtl/>
          <w:lang w:val="es-ES"/>
        </w:rPr>
        <w:t>432</w:t>
      </w:r>
      <w:r w:rsidR="001E7BB4" w:rsidRPr="007930B0">
        <w:rPr>
          <w:lang w:val="es-ES"/>
        </w:rPr>
        <w:t>.</w:t>
      </w:r>
      <w:r w:rsidR="001E7BB4" w:rsidRPr="007930B0">
        <w:rPr>
          <w:rtl/>
          <w:lang w:val="es-ES"/>
        </w:rPr>
        <w:t>733</w:t>
      </w:r>
      <w:r w:rsidR="001E7BB4" w:rsidRPr="007930B0">
        <w:rPr>
          <w:lang w:val="es-ES"/>
        </w:rPr>
        <w:t>.</w:t>
      </w:r>
      <w:r w:rsidR="001E7BB4" w:rsidRPr="007930B0">
        <w:rPr>
          <w:rtl/>
          <w:lang w:val="es-ES"/>
        </w:rPr>
        <w:t>785</w:t>
      </w:r>
      <w:r w:rsidR="001E7BB4" w:rsidRPr="007930B0">
        <w:rPr>
          <w:lang w:val="es-ES"/>
        </w:rPr>
        <w:t xml:space="preserve"> UM (es decir, 32% del presupuesto del subcomponente). Se desembolsó el 86,5% de los compromisos de este subcomponente, es decir, el 27,7% del proyecto de presupuesto; </w:t>
      </w:r>
    </w:p>
    <w:p w:rsidR="001E7BB4" w:rsidRPr="007930B0" w:rsidRDefault="00CC3B6E" w:rsidP="006B0B85">
      <w:pPr>
        <w:pStyle w:val="Bullet1G"/>
        <w:rPr>
          <w:lang w:val="es-ES"/>
        </w:rPr>
      </w:pPr>
      <w:r w:rsidRPr="007930B0">
        <w:rPr>
          <w:lang w:val="es-ES"/>
        </w:rPr>
        <w:t>"</w:t>
      </w:r>
      <w:r w:rsidR="001E7BB4" w:rsidRPr="007930B0">
        <w:rPr>
          <w:lang w:val="es-ES"/>
        </w:rPr>
        <w:t>Enseñanza superior</w:t>
      </w:r>
      <w:r w:rsidRPr="007930B0">
        <w:rPr>
          <w:lang w:val="es-ES"/>
        </w:rPr>
        <w:t>"</w:t>
      </w:r>
      <w:r w:rsidR="001E7BB4" w:rsidRPr="007930B0">
        <w:rPr>
          <w:lang w:val="es-ES"/>
        </w:rPr>
        <w:t xml:space="preserve">: El presupuesto inicial de este subcomponente fue de </w:t>
      </w:r>
      <w:r w:rsidR="001E7BB4" w:rsidRPr="007930B0">
        <w:rPr>
          <w:rtl/>
          <w:lang w:val="es-ES"/>
        </w:rPr>
        <w:t>2</w:t>
      </w:r>
      <w:r w:rsidR="001E7BB4" w:rsidRPr="007930B0">
        <w:rPr>
          <w:lang w:val="es-ES"/>
        </w:rPr>
        <w:t>.</w:t>
      </w:r>
      <w:r w:rsidR="001E7BB4" w:rsidRPr="007930B0">
        <w:rPr>
          <w:rtl/>
          <w:lang w:val="es-ES"/>
        </w:rPr>
        <w:t>083</w:t>
      </w:r>
      <w:r w:rsidR="001E7BB4" w:rsidRPr="007930B0">
        <w:rPr>
          <w:lang w:val="es-ES"/>
        </w:rPr>
        <w:t>.</w:t>
      </w:r>
      <w:r w:rsidR="001E7BB4" w:rsidRPr="007930B0">
        <w:rPr>
          <w:rtl/>
          <w:lang w:val="es-ES"/>
        </w:rPr>
        <w:t>874</w:t>
      </w:r>
      <w:r w:rsidR="001E7BB4" w:rsidRPr="007930B0">
        <w:rPr>
          <w:lang w:val="es-ES"/>
        </w:rPr>
        <w:t>.</w:t>
      </w:r>
      <w:r w:rsidR="001E7BB4" w:rsidRPr="007930B0">
        <w:rPr>
          <w:rtl/>
          <w:lang w:val="es-ES"/>
        </w:rPr>
        <w:t>290</w:t>
      </w:r>
      <w:r w:rsidR="001E7BB4" w:rsidRPr="007930B0">
        <w:rPr>
          <w:lang w:val="es-ES"/>
        </w:rPr>
        <w:t xml:space="preserve"> UM. La suma comprometida asciende a </w:t>
      </w:r>
      <w:r w:rsidR="001E7BB4" w:rsidRPr="007930B0">
        <w:rPr>
          <w:rtl/>
          <w:lang w:val="es-ES"/>
        </w:rPr>
        <w:t>2</w:t>
      </w:r>
      <w:r w:rsidR="001E7BB4" w:rsidRPr="007930B0">
        <w:rPr>
          <w:lang w:val="es-ES"/>
        </w:rPr>
        <w:t>.</w:t>
      </w:r>
      <w:r w:rsidR="001E7BB4" w:rsidRPr="007930B0">
        <w:rPr>
          <w:rtl/>
          <w:lang w:val="es-ES"/>
        </w:rPr>
        <w:t>461</w:t>
      </w:r>
      <w:r w:rsidR="001E7BB4" w:rsidRPr="007930B0">
        <w:rPr>
          <w:lang w:val="es-ES"/>
        </w:rPr>
        <w:t>.</w:t>
      </w:r>
      <w:r w:rsidR="001E7BB4" w:rsidRPr="007930B0">
        <w:rPr>
          <w:rtl/>
          <w:lang w:val="es-ES"/>
        </w:rPr>
        <w:t>618</w:t>
      </w:r>
      <w:r w:rsidR="001E7BB4" w:rsidRPr="007930B0">
        <w:rPr>
          <w:lang w:val="es-ES"/>
        </w:rPr>
        <w:t>.</w:t>
      </w:r>
      <w:r w:rsidR="001E7BB4" w:rsidRPr="007930B0">
        <w:rPr>
          <w:rtl/>
          <w:lang w:val="es-ES"/>
        </w:rPr>
        <w:t>570</w:t>
      </w:r>
      <w:r w:rsidR="001E7BB4" w:rsidRPr="007930B0">
        <w:rPr>
          <w:lang w:val="es-ES"/>
        </w:rPr>
        <w:t xml:space="preserve"> UM, es decir, 118% del presupuesto inicial (se comprometieron montos muy superiores a los previstos en el contrato de construcción del Instituto Superior de Enseñanza Tecnológica de Rosso, el hermanamiento de la Universidad y el estudio arquitectónico del campus). Los desembolsos ascienden a </w:t>
      </w:r>
      <w:r w:rsidR="001E7BB4" w:rsidRPr="007930B0">
        <w:rPr>
          <w:rtl/>
          <w:lang w:val="es-ES"/>
        </w:rPr>
        <w:t>962</w:t>
      </w:r>
      <w:r w:rsidR="001E7BB4" w:rsidRPr="007930B0">
        <w:rPr>
          <w:lang w:val="es-ES"/>
        </w:rPr>
        <w:t>.</w:t>
      </w:r>
      <w:r w:rsidR="001E7BB4" w:rsidRPr="007930B0">
        <w:rPr>
          <w:rtl/>
          <w:lang w:val="es-ES"/>
        </w:rPr>
        <w:t>850</w:t>
      </w:r>
      <w:r w:rsidR="001E7BB4" w:rsidRPr="007930B0">
        <w:rPr>
          <w:lang w:val="es-ES"/>
        </w:rPr>
        <w:t>.</w:t>
      </w:r>
      <w:r w:rsidR="001E7BB4" w:rsidRPr="007930B0">
        <w:rPr>
          <w:rtl/>
          <w:lang w:val="es-ES"/>
        </w:rPr>
        <w:t>946</w:t>
      </w:r>
      <w:r w:rsidR="001E7BB4" w:rsidRPr="007930B0">
        <w:rPr>
          <w:lang w:val="es-ES"/>
        </w:rPr>
        <w:t xml:space="preserve"> UM (es decir, 39,1% de la suma comprometida y 46,2% del presupuesto del subcomponente).</w:t>
      </w:r>
    </w:p>
    <w:p w:rsidR="001E7BB4" w:rsidRPr="007930B0" w:rsidRDefault="001E7BB4" w:rsidP="006B0B85">
      <w:pPr>
        <w:pStyle w:val="H23G"/>
        <w:rPr>
          <w:lang w:val="es-ES"/>
        </w:rPr>
      </w:pPr>
      <w:r w:rsidRPr="007930B0">
        <w:rPr>
          <w:lang w:val="es-ES"/>
        </w:rPr>
        <w:tab/>
      </w:r>
      <w:r w:rsidRPr="007930B0">
        <w:rPr>
          <w:lang w:val="es-ES"/>
        </w:rPr>
        <w:tab/>
        <w:t>Logros</w:t>
      </w:r>
    </w:p>
    <w:p w:rsidR="001E7BB4" w:rsidRPr="007930B0" w:rsidRDefault="001E7BB4" w:rsidP="006B0B85">
      <w:pPr>
        <w:pStyle w:val="H4G"/>
        <w:rPr>
          <w:lang w:val="es-ES"/>
        </w:rPr>
      </w:pPr>
      <w:r w:rsidRPr="007930B0">
        <w:rPr>
          <w:lang w:val="es-ES"/>
        </w:rPr>
        <w:tab/>
      </w:r>
      <w:r w:rsidRPr="007930B0">
        <w:rPr>
          <w:lang w:val="es-ES"/>
        </w:rPr>
        <w:tab/>
        <w:t>Indicadores</w:t>
      </w:r>
    </w:p>
    <w:p w:rsidR="001E7BB4" w:rsidRPr="007930B0" w:rsidRDefault="001E7BB4" w:rsidP="006B0B85">
      <w:pPr>
        <w:pStyle w:val="H56G"/>
        <w:rPr>
          <w:lang w:val="es-ES"/>
        </w:rPr>
      </w:pPr>
      <w:bookmarkStart w:id="18" w:name="_Toc151950052"/>
      <w:bookmarkStart w:id="19" w:name="_Toc180163040"/>
      <w:r w:rsidRPr="007930B0">
        <w:rPr>
          <w:lang w:val="es-ES"/>
        </w:rPr>
        <w:tab/>
      </w:r>
      <w:r w:rsidRPr="007930B0">
        <w:rPr>
          <w:lang w:val="es-ES"/>
        </w:rPr>
        <w:tab/>
        <w:t>Indicadores de calidad</w:t>
      </w:r>
      <w:bookmarkEnd w:id="18"/>
      <w:bookmarkEnd w:id="19"/>
    </w:p>
    <w:p w:rsidR="001E7BB4" w:rsidRPr="007930B0" w:rsidRDefault="001E7BB4" w:rsidP="0068666F">
      <w:pPr>
        <w:pStyle w:val="SingleTxtG"/>
        <w:rPr>
          <w:lang w:val="es-ES"/>
        </w:rPr>
      </w:pPr>
      <w:bookmarkStart w:id="20" w:name="_Toc151950053"/>
      <w:bookmarkStart w:id="21" w:name="_Toc180163041"/>
      <w:r w:rsidRPr="007930B0">
        <w:rPr>
          <w:lang w:val="es-ES"/>
        </w:rPr>
        <w:tab/>
      </w:r>
      <w:bookmarkEnd w:id="20"/>
      <w:bookmarkEnd w:id="21"/>
      <w:r w:rsidRPr="007930B0">
        <w:rPr>
          <w:lang w:val="es-ES"/>
        </w:rPr>
        <w:t>Enseñanza primaria</w:t>
      </w:r>
    </w:p>
    <w:p w:rsidR="001E7BB4" w:rsidRPr="007930B0" w:rsidRDefault="001E7BB4" w:rsidP="0068666F">
      <w:pPr>
        <w:pStyle w:val="SingleTxtG"/>
        <w:rPr>
          <w:lang w:val="es-ES"/>
        </w:rPr>
      </w:pPr>
      <w:r w:rsidRPr="007930B0">
        <w:rPr>
          <w:lang w:val="es-ES"/>
        </w:rPr>
        <w:t>446.</w:t>
      </w:r>
      <w:r w:rsidRPr="007930B0">
        <w:rPr>
          <w:lang w:val="es-ES"/>
        </w:rPr>
        <w:tab/>
        <w:t>Los indicadores utilizados para evaluar los resultados cualitativos de la enseñanza primaria son la tasa de repetición y la proporción alumnos/maestros.</w:t>
      </w:r>
    </w:p>
    <w:p w:rsidR="001E7BB4" w:rsidRPr="007930B0" w:rsidRDefault="001E7BB4" w:rsidP="006B0B85">
      <w:pPr>
        <w:pStyle w:val="H4G"/>
        <w:rPr>
          <w:lang w:val="es-ES"/>
        </w:rPr>
      </w:pPr>
      <w:r w:rsidRPr="007930B0">
        <w:rPr>
          <w:lang w:val="es-ES"/>
        </w:rPr>
        <w:tab/>
      </w:r>
      <w:r w:rsidRPr="007930B0">
        <w:rPr>
          <w:lang w:val="es-ES"/>
        </w:rPr>
        <w:tab/>
        <w:t>Tasa de repetición</w:t>
      </w:r>
    </w:p>
    <w:p w:rsidR="001E7BB4" w:rsidRPr="007930B0" w:rsidRDefault="001E7BB4" w:rsidP="0068666F">
      <w:pPr>
        <w:pStyle w:val="SingleTxtG"/>
        <w:rPr>
          <w:lang w:val="es-ES"/>
        </w:rPr>
      </w:pPr>
      <w:r w:rsidRPr="007930B0">
        <w:rPr>
          <w:lang w:val="es-ES"/>
        </w:rPr>
        <w:t>447.</w:t>
      </w:r>
      <w:r w:rsidRPr="007930B0">
        <w:rPr>
          <w:lang w:val="es-ES"/>
        </w:rPr>
        <w:tab/>
        <w:t>La tasa de repetición bajó 6,8 puntos entre 2005/06 y 2006/07, pasando de 10,2% a 3,4%. Aunque este descenso se atribuye principalmente a la puesta en vigor del pasaje automático entre los años primero y tercero, se observa una disminución de las tasas de repetición en los años cuarto, quinto y sexto. Cabe señalar que la meta del PNDSE para este indicador es una tasa de 9%.</w:t>
      </w:r>
    </w:p>
    <w:p w:rsidR="001E7BB4" w:rsidRPr="007930B0" w:rsidRDefault="001E7BB4" w:rsidP="0068666F">
      <w:pPr>
        <w:pStyle w:val="SingleTxtG"/>
        <w:rPr>
          <w:lang w:val="es-ES"/>
        </w:rPr>
      </w:pPr>
      <w:r w:rsidRPr="007930B0">
        <w:rPr>
          <w:lang w:val="es-ES"/>
        </w:rPr>
        <w:t>448.</w:t>
      </w:r>
      <w:r w:rsidRPr="007930B0">
        <w:rPr>
          <w:lang w:val="es-ES"/>
        </w:rPr>
        <w:tab/>
        <w:t xml:space="preserve">El análisis de esta tasa por </w:t>
      </w:r>
      <w:r w:rsidR="00CD15B7" w:rsidRPr="007930B0">
        <w:rPr>
          <w:i/>
          <w:lang w:val="es-ES"/>
        </w:rPr>
        <w:t>wilaya</w:t>
      </w:r>
      <w:r w:rsidRPr="007930B0">
        <w:rPr>
          <w:lang w:val="es-ES"/>
        </w:rPr>
        <w:t xml:space="preserve"> revela una estructura relativamente heterogénea. Varía entre 9,7% en Adrar y 0,1% en Hodh El Gharbi, es decir, una desviación estándar de 3,4 puntos. En general, se pueden distinguir dos perfiles principales: </w:t>
      </w:r>
    </w:p>
    <w:p w:rsidR="001E7BB4" w:rsidRPr="007930B0" w:rsidRDefault="001E7BB4" w:rsidP="006B0B85">
      <w:pPr>
        <w:pStyle w:val="Bullet1G"/>
        <w:rPr>
          <w:i/>
          <w:lang w:val="es-ES"/>
        </w:rPr>
      </w:pPr>
      <w:r w:rsidRPr="007930B0">
        <w:rPr>
          <w:i/>
          <w:lang w:val="es-ES"/>
        </w:rPr>
        <w:t xml:space="preserve">Las </w:t>
      </w:r>
      <w:r w:rsidRPr="007930B0">
        <w:rPr>
          <w:iCs/>
          <w:lang w:val="es-ES"/>
        </w:rPr>
        <w:t>wilayas</w:t>
      </w:r>
      <w:r w:rsidRPr="007930B0">
        <w:rPr>
          <w:i/>
          <w:lang w:val="es-ES"/>
        </w:rPr>
        <w:t xml:space="preserve"> en las que la tasa de repetición fue superior al promedio nacional en 2005/06 fueron Nuakchot (6,8%), Tiris Zemmour (7,1%), Nuadhibu (7,8%), Inchiri (9,6%) y Adrar (9,7%). Con excepción de Inchiri, las otras cuatro </w:t>
      </w:r>
      <w:r w:rsidRPr="007930B0">
        <w:rPr>
          <w:iCs/>
          <w:lang w:val="es-ES"/>
        </w:rPr>
        <w:t>wilayas</w:t>
      </w:r>
      <w:r w:rsidRPr="007930B0">
        <w:rPr>
          <w:i/>
          <w:lang w:val="es-ES"/>
        </w:rPr>
        <w:t xml:space="preserve"> experimentaron un descenso en sus tasas de repetición entre 2005/06 y 2006/07. Los descensos más significativos se registraron en Nuakchot (-11,6 puntos) y en Tiris Zemmour (+10,4 puntos);</w:t>
      </w:r>
    </w:p>
    <w:p w:rsidR="001E7BB4" w:rsidRPr="007930B0" w:rsidRDefault="001E7BB4" w:rsidP="006B0B85">
      <w:pPr>
        <w:pStyle w:val="Bullet1G"/>
        <w:rPr>
          <w:i/>
          <w:lang w:val="es-ES"/>
        </w:rPr>
      </w:pPr>
      <w:r w:rsidRPr="007930B0">
        <w:rPr>
          <w:i/>
          <w:lang w:val="es-ES"/>
        </w:rPr>
        <w:t xml:space="preserve">Las </w:t>
      </w:r>
      <w:r w:rsidRPr="007930B0">
        <w:rPr>
          <w:iCs/>
          <w:lang w:val="es-ES"/>
        </w:rPr>
        <w:t>wilayas</w:t>
      </w:r>
      <w:r w:rsidRPr="007930B0">
        <w:rPr>
          <w:i/>
          <w:lang w:val="es-ES"/>
        </w:rPr>
        <w:t xml:space="preserve"> en las que la tasa de repetición fue inferior al nivel nacional en 2006/07 fueron las dos Hodhs, Assaba, Gorgol, Brakna, Trarza, Tagant y Guidimakha. En todas las </w:t>
      </w:r>
      <w:r w:rsidRPr="007930B0">
        <w:rPr>
          <w:iCs/>
          <w:lang w:val="es-ES"/>
        </w:rPr>
        <w:t>wilayas</w:t>
      </w:r>
      <w:r w:rsidRPr="007930B0">
        <w:rPr>
          <w:i/>
          <w:lang w:val="es-ES"/>
        </w:rPr>
        <w:t xml:space="preserve"> de este grupo se registró un descenso en las tasas de repetición entre 2005/06 y 2006/07. </w:t>
      </w:r>
    </w:p>
    <w:p w:rsidR="001E7BB4" w:rsidRPr="007930B0" w:rsidRDefault="001E7BB4" w:rsidP="0068666F">
      <w:pPr>
        <w:pStyle w:val="SingleTxtG"/>
        <w:rPr>
          <w:lang w:val="es-ES"/>
        </w:rPr>
      </w:pPr>
      <w:r w:rsidRPr="007930B0">
        <w:rPr>
          <w:lang w:val="es-ES"/>
        </w:rPr>
        <w:t>449.</w:t>
      </w:r>
      <w:r w:rsidRPr="007930B0">
        <w:rPr>
          <w:lang w:val="es-ES"/>
        </w:rPr>
        <w:tab/>
        <w:t>En el cuadro siguiente se observa la tasa de repetición a lo largo de los años.</w:t>
      </w:r>
    </w:p>
    <w:p w:rsidR="006B0B85" w:rsidRPr="007930B0" w:rsidRDefault="006B0B85" w:rsidP="006B0B85">
      <w:pPr>
        <w:pStyle w:val="Heading1"/>
        <w:rPr>
          <w:lang w:val="es-ES"/>
        </w:rPr>
      </w:pPr>
      <w:r w:rsidRPr="007930B0">
        <w:rPr>
          <w:lang w:val="es-ES"/>
        </w:rPr>
        <w:t>Cuadro 9</w:t>
      </w:r>
    </w:p>
    <w:p w:rsidR="001E7BB4" w:rsidRPr="007930B0" w:rsidRDefault="001E7BB4" w:rsidP="006B0B85">
      <w:pPr>
        <w:pStyle w:val="SingleTxtG"/>
        <w:jc w:val="left"/>
        <w:rPr>
          <w:b/>
          <w:lang w:val="es-ES"/>
        </w:rPr>
      </w:pPr>
      <w:r w:rsidRPr="007930B0">
        <w:rPr>
          <w:b/>
          <w:lang w:val="es-ES"/>
        </w:rPr>
        <w:t xml:space="preserve">Tasa de repetición por </w:t>
      </w:r>
      <w:r w:rsidRPr="007930B0">
        <w:rPr>
          <w:b/>
          <w:i/>
          <w:iCs/>
          <w:lang w:val="es-ES"/>
        </w:rPr>
        <w:t>wilaya</w:t>
      </w:r>
      <w:r w:rsidRPr="007930B0">
        <w:rPr>
          <w:b/>
          <w:lang w:val="es-ES"/>
        </w:rPr>
        <w:t xml:space="preserve"> y por sexo entre 2001/2002 y 2003/2004</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1328"/>
        <w:gridCol w:w="672"/>
        <w:gridCol w:w="672"/>
        <w:gridCol w:w="672"/>
        <w:gridCol w:w="671"/>
        <w:gridCol w:w="671"/>
        <w:gridCol w:w="671"/>
        <w:gridCol w:w="671"/>
        <w:gridCol w:w="671"/>
        <w:gridCol w:w="671"/>
      </w:tblGrid>
      <w:tr w:rsidR="006B0B85" w:rsidRPr="007930B0">
        <w:trPr>
          <w:cantSplit/>
          <w:trHeight w:val="315"/>
          <w:tblHeader/>
        </w:trPr>
        <w:tc>
          <w:tcPr>
            <w:tcW w:w="1328" w:type="dxa"/>
            <w:vMerge w:val="restart"/>
            <w:tcBorders>
              <w:top w:val="single" w:sz="4" w:space="0" w:color="auto"/>
              <w:bottom w:val="single" w:sz="12" w:space="0" w:color="auto"/>
            </w:tcBorders>
            <w:shd w:val="clear" w:color="000000" w:fill="auto"/>
            <w:noWrap/>
            <w:vAlign w:val="bottom"/>
          </w:tcPr>
          <w:p w:rsidR="001E7BB4" w:rsidRPr="007930B0" w:rsidRDefault="001E7BB4" w:rsidP="006B0B85">
            <w:pPr>
              <w:spacing w:before="80" w:after="80" w:line="200" w:lineRule="exact"/>
              <w:ind w:right="113"/>
              <w:rPr>
                <w:i/>
                <w:sz w:val="16"/>
              </w:rPr>
            </w:pPr>
            <w:r w:rsidRPr="007930B0">
              <w:rPr>
                <w:i/>
                <w:sz w:val="16"/>
              </w:rPr>
              <w:t>Wilayas</w:t>
            </w:r>
          </w:p>
        </w:tc>
        <w:tc>
          <w:tcPr>
            <w:tcW w:w="2016" w:type="dxa"/>
            <w:gridSpan w:val="3"/>
            <w:tcBorders>
              <w:top w:val="single" w:sz="4" w:space="0" w:color="auto"/>
              <w:bottom w:val="single" w:sz="4" w:space="0" w:color="auto"/>
              <w:right w:val="single" w:sz="24" w:space="0" w:color="FFFFFF"/>
            </w:tcBorders>
            <w:shd w:val="clear" w:color="000000" w:fill="auto"/>
            <w:noWrap/>
            <w:vAlign w:val="bottom"/>
          </w:tcPr>
          <w:p w:rsidR="001E7BB4" w:rsidRPr="007930B0" w:rsidRDefault="001E7BB4" w:rsidP="006B0B85">
            <w:pPr>
              <w:spacing w:before="80" w:after="80" w:line="200" w:lineRule="exact"/>
              <w:ind w:right="113"/>
              <w:jc w:val="center"/>
              <w:rPr>
                <w:i/>
                <w:sz w:val="16"/>
              </w:rPr>
            </w:pPr>
            <w:r w:rsidRPr="007930B0">
              <w:rPr>
                <w:i/>
                <w:sz w:val="16"/>
              </w:rPr>
              <w:t>2004/2005</w:t>
            </w:r>
          </w:p>
        </w:tc>
        <w:tc>
          <w:tcPr>
            <w:tcW w:w="2013" w:type="dxa"/>
            <w:gridSpan w:val="3"/>
            <w:tcBorders>
              <w:top w:val="single" w:sz="4" w:space="0" w:color="auto"/>
              <w:left w:val="single" w:sz="24" w:space="0" w:color="FFFFFF"/>
              <w:bottom w:val="single" w:sz="4" w:space="0" w:color="auto"/>
              <w:right w:val="single" w:sz="24" w:space="0" w:color="FFFFFF"/>
            </w:tcBorders>
            <w:shd w:val="clear" w:color="000000" w:fill="auto"/>
            <w:noWrap/>
            <w:vAlign w:val="bottom"/>
          </w:tcPr>
          <w:p w:rsidR="001E7BB4" w:rsidRPr="007930B0" w:rsidRDefault="001E7BB4" w:rsidP="006B0B85">
            <w:pPr>
              <w:spacing w:before="80" w:after="80" w:line="200" w:lineRule="exact"/>
              <w:ind w:right="113"/>
              <w:jc w:val="center"/>
              <w:rPr>
                <w:i/>
                <w:sz w:val="16"/>
              </w:rPr>
            </w:pPr>
            <w:r w:rsidRPr="007930B0">
              <w:rPr>
                <w:i/>
                <w:sz w:val="16"/>
              </w:rPr>
              <w:t>2005/2006</w:t>
            </w:r>
          </w:p>
        </w:tc>
        <w:tc>
          <w:tcPr>
            <w:tcW w:w="2013" w:type="dxa"/>
            <w:gridSpan w:val="3"/>
            <w:tcBorders>
              <w:top w:val="single" w:sz="4" w:space="0" w:color="auto"/>
              <w:left w:val="single" w:sz="24" w:space="0" w:color="FFFFFF"/>
              <w:bottom w:val="single" w:sz="4" w:space="0" w:color="auto"/>
            </w:tcBorders>
            <w:shd w:val="clear" w:color="000000" w:fill="auto"/>
            <w:noWrap/>
            <w:vAlign w:val="bottom"/>
          </w:tcPr>
          <w:p w:rsidR="001E7BB4" w:rsidRPr="007930B0" w:rsidRDefault="001E7BB4" w:rsidP="006B0B85">
            <w:pPr>
              <w:spacing w:before="80" w:after="80" w:line="200" w:lineRule="exact"/>
              <w:ind w:right="113"/>
              <w:jc w:val="center"/>
              <w:rPr>
                <w:i/>
                <w:sz w:val="16"/>
              </w:rPr>
            </w:pPr>
            <w:r w:rsidRPr="007930B0">
              <w:rPr>
                <w:i/>
                <w:sz w:val="16"/>
              </w:rPr>
              <w:t>2006/2007</w:t>
            </w:r>
          </w:p>
        </w:tc>
      </w:tr>
      <w:tr w:rsidR="006B0B85" w:rsidRPr="007930B0">
        <w:trPr>
          <w:cantSplit/>
          <w:trHeight w:val="300"/>
          <w:tblHeader/>
        </w:trPr>
        <w:tc>
          <w:tcPr>
            <w:tcW w:w="1328" w:type="dxa"/>
            <w:vMerge/>
            <w:tcBorders>
              <w:top w:val="single" w:sz="12" w:space="0" w:color="auto"/>
              <w:bottom w:val="single" w:sz="12" w:space="0" w:color="auto"/>
            </w:tcBorders>
            <w:shd w:val="clear" w:color="000000" w:fill="auto"/>
            <w:vAlign w:val="bottom"/>
          </w:tcPr>
          <w:p w:rsidR="001E7BB4" w:rsidRPr="007930B0" w:rsidRDefault="001E7BB4" w:rsidP="006B0B85">
            <w:pPr>
              <w:spacing w:before="40" w:after="40" w:line="220" w:lineRule="exact"/>
              <w:ind w:right="113"/>
              <w:rPr>
                <w:sz w:val="18"/>
              </w:rPr>
            </w:pPr>
          </w:p>
        </w:tc>
        <w:tc>
          <w:tcPr>
            <w:tcW w:w="672" w:type="dxa"/>
            <w:tcBorders>
              <w:top w:val="single" w:sz="4" w:space="0" w:color="auto"/>
              <w:bottom w:val="single" w:sz="12" w:space="0" w:color="auto"/>
            </w:tcBorders>
            <w:shd w:val="clear" w:color="000000" w:fill="auto"/>
            <w:noWrap/>
            <w:vAlign w:val="bottom"/>
          </w:tcPr>
          <w:p w:rsidR="001E7BB4" w:rsidRPr="007930B0" w:rsidRDefault="001E7BB4" w:rsidP="006B0B85">
            <w:pPr>
              <w:spacing w:before="80" w:after="80" w:line="200" w:lineRule="exact"/>
              <w:ind w:right="113"/>
              <w:jc w:val="right"/>
              <w:rPr>
                <w:i/>
                <w:sz w:val="16"/>
                <w:szCs w:val="16"/>
              </w:rPr>
            </w:pPr>
            <w:r w:rsidRPr="007930B0">
              <w:rPr>
                <w:i/>
                <w:sz w:val="16"/>
                <w:szCs w:val="16"/>
              </w:rPr>
              <w:t>Masc.</w:t>
            </w:r>
          </w:p>
        </w:tc>
        <w:tc>
          <w:tcPr>
            <w:tcW w:w="672" w:type="dxa"/>
            <w:tcBorders>
              <w:top w:val="single" w:sz="4" w:space="0" w:color="auto"/>
              <w:bottom w:val="single" w:sz="12" w:space="0" w:color="auto"/>
            </w:tcBorders>
            <w:shd w:val="clear" w:color="000000" w:fill="auto"/>
            <w:noWrap/>
            <w:vAlign w:val="bottom"/>
          </w:tcPr>
          <w:p w:rsidR="001E7BB4" w:rsidRPr="007930B0" w:rsidRDefault="001E7BB4" w:rsidP="006B0B85">
            <w:pPr>
              <w:spacing w:before="80" w:after="80" w:line="200" w:lineRule="exact"/>
              <w:ind w:right="113"/>
              <w:jc w:val="right"/>
              <w:rPr>
                <w:i/>
                <w:sz w:val="16"/>
                <w:szCs w:val="16"/>
              </w:rPr>
            </w:pPr>
            <w:r w:rsidRPr="007930B0">
              <w:rPr>
                <w:i/>
                <w:sz w:val="16"/>
                <w:szCs w:val="16"/>
              </w:rPr>
              <w:t>Fem.</w:t>
            </w:r>
          </w:p>
        </w:tc>
        <w:tc>
          <w:tcPr>
            <w:tcW w:w="672" w:type="dxa"/>
            <w:tcBorders>
              <w:top w:val="single" w:sz="4" w:space="0" w:color="auto"/>
              <w:bottom w:val="single" w:sz="12" w:space="0" w:color="auto"/>
              <w:right w:val="single" w:sz="24" w:space="0" w:color="FFFFFF"/>
            </w:tcBorders>
            <w:shd w:val="clear" w:color="000000" w:fill="auto"/>
            <w:noWrap/>
            <w:vAlign w:val="bottom"/>
          </w:tcPr>
          <w:p w:rsidR="001E7BB4" w:rsidRPr="007930B0" w:rsidRDefault="001E7BB4" w:rsidP="006B0B85">
            <w:pPr>
              <w:spacing w:before="80" w:after="80" w:line="200" w:lineRule="exact"/>
              <w:ind w:right="113"/>
              <w:jc w:val="right"/>
              <w:rPr>
                <w:b/>
                <w:i/>
                <w:sz w:val="16"/>
                <w:szCs w:val="16"/>
              </w:rPr>
            </w:pPr>
            <w:r w:rsidRPr="007930B0">
              <w:rPr>
                <w:b/>
                <w:i/>
                <w:sz w:val="16"/>
                <w:szCs w:val="16"/>
              </w:rPr>
              <w:t>Total</w:t>
            </w:r>
          </w:p>
        </w:tc>
        <w:tc>
          <w:tcPr>
            <w:tcW w:w="671" w:type="dxa"/>
            <w:tcBorders>
              <w:top w:val="single" w:sz="4" w:space="0" w:color="auto"/>
              <w:left w:val="single" w:sz="24" w:space="0" w:color="FFFFFF"/>
              <w:bottom w:val="single" w:sz="12" w:space="0" w:color="auto"/>
            </w:tcBorders>
            <w:shd w:val="clear" w:color="000000" w:fill="auto"/>
            <w:noWrap/>
            <w:vAlign w:val="bottom"/>
          </w:tcPr>
          <w:p w:rsidR="001E7BB4" w:rsidRPr="007930B0" w:rsidRDefault="001E7BB4" w:rsidP="006B0B85">
            <w:pPr>
              <w:spacing w:before="80" w:after="80" w:line="200" w:lineRule="exact"/>
              <w:ind w:right="113"/>
              <w:jc w:val="right"/>
              <w:rPr>
                <w:i/>
                <w:sz w:val="16"/>
                <w:szCs w:val="16"/>
              </w:rPr>
            </w:pPr>
            <w:r w:rsidRPr="007930B0">
              <w:rPr>
                <w:i/>
                <w:sz w:val="16"/>
                <w:szCs w:val="16"/>
              </w:rPr>
              <w:t>Masc.</w:t>
            </w:r>
          </w:p>
        </w:tc>
        <w:tc>
          <w:tcPr>
            <w:tcW w:w="671" w:type="dxa"/>
            <w:tcBorders>
              <w:top w:val="single" w:sz="4" w:space="0" w:color="auto"/>
              <w:bottom w:val="single" w:sz="12" w:space="0" w:color="auto"/>
            </w:tcBorders>
            <w:shd w:val="clear" w:color="000000" w:fill="auto"/>
            <w:noWrap/>
            <w:vAlign w:val="bottom"/>
          </w:tcPr>
          <w:p w:rsidR="001E7BB4" w:rsidRPr="007930B0" w:rsidRDefault="001E7BB4" w:rsidP="006B0B85">
            <w:pPr>
              <w:spacing w:before="80" w:after="80" w:line="200" w:lineRule="exact"/>
              <w:ind w:right="113"/>
              <w:jc w:val="right"/>
              <w:rPr>
                <w:i/>
                <w:sz w:val="16"/>
                <w:szCs w:val="16"/>
              </w:rPr>
            </w:pPr>
            <w:r w:rsidRPr="007930B0">
              <w:rPr>
                <w:i/>
                <w:sz w:val="16"/>
                <w:szCs w:val="16"/>
              </w:rPr>
              <w:t>Fem.</w:t>
            </w:r>
          </w:p>
        </w:tc>
        <w:tc>
          <w:tcPr>
            <w:tcW w:w="671" w:type="dxa"/>
            <w:tcBorders>
              <w:top w:val="single" w:sz="4" w:space="0" w:color="auto"/>
              <w:bottom w:val="single" w:sz="12" w:space="0" w:color="auto"/>
              <w:right w:val="single" w:sz="24" w:space="0" w:color="FFFFFF"/>
            </w:tcBorders>
            <w:shd w:val="clear" w:color="000000" w:fill="auto"/>
            <w:noWrap/>
            <w:vAlign w:val="bottom"/>
          </w:tcPr>
          <w:p w:rsidR="001E7BB4" w:rsidRPr="007930B0" w:rsidRDefault="001E7BB4" w:rsidP="006B0B85">
            <w:pPr>
              <w:spacing w:before="80" w:after="80" w:line="200" w:lineRule="exact"/>
              <w:ind w:right="113"/>
              <w:jc w:val="right"/>
              <w:rPr>
                <w:b/>
                <w:i/>
                <w:sz w:val="16"/>
                <w:szCs w:val="16"/>
              </w:rPr>
            </w:pPr>
            <w:r w:rsidRPr="007930B0">
              <w:rPr>
                <w:b/>
                <w:i/>
                <w:sz w:val="16"/>
                <w:szCs w:val="16"/>
              </w:rPr>
              <w:t>Total</w:t>
            </w:r>
          </w:p>
        </w:tc>
        <w:tc>
          <w:tcPr>
            <w:tcW w:w="671" w:type="dxa"/>
            <w:tcBorders>
              <w:top w:val="single" w:sz="4" w:space="0" w:color="auto"/>
              <w:left w:val="single" w:sz="24" w:space="0" w:color="FFFFFF"/>
              <w:bottom w:val="single" w:sz="12" w:space="0" w:color="auto"/>
            </w:tcBorders>
            <w:shd w:val="clear" w:color="000000" w:fill="auto"/>
            <w:noWrap/>
            <w:vAlign w:val="bottom"/>
          </w:tcPr>
          <w:p w:rsidR="001E7BB4" w:rsidRPr="007930B0" w:rsidRDefault="001E7BB4" w:rsidP="006B0B85">
            <w:pPr>
              <w:spacing w:before="80" w:after="80" w:line="200" w:lineRule="exact"/>
              <w:ind w:right="113"/>
              <w:jc w:val="right"/>
              <w:rPr>
                <w:i/>
                <w:sz w:val="16"/>
                <w:szCs w:val="16"/>
              </w:rPr>
            </w:pPr>
            <w:r w:rsidRPr="007930B0">
              <w:rPr>
                <w:i/>
                <w:sz w:val="16"/>
                <w:szCs w:val="16"/>
              </w:rPr>
              <w:t>Masc.</w:t>
            </w:r>
          </w:p>
        </w:tc>
        <w:tc>
          <w:tcPr>
            <w:tcW w:w="671" w:type="dxa"/>
            <w:tcBorders>
              <w:top w:val="single" w:sz="4" w:space="0" w:color="auto"/>
              <w:bottom w:val="single" w:sz="12" w:space="0" w:color="auto"/>
            </w:tcBorders>
            <w:shd w:val="clear" w:color="000000" w:fill="auto"/>
            <w:noWrap/>
            <w:vAlign w:val="bottom"/>
          </w:tcPr>
          <w:p w:rsidR="001E7BB4" w:rsidRPr="007930B0" w:rsidRDefault="001E7BB4" w:rsidP="006B0B85">
            <w:pPr>
              <w:spacing w:before="80" w:after="80" w:line="200" w:lineRule="exact"/>
              <w:ind w:right="113"/>
              <w:jc w:val="right"/>
              <w:rPr>
                <w:i/>
                <w:sz w:val="16"/>
                <w:szCs w:val="16"/>
              </w:rPr>
            </w:pPr>
            <w:r w:rsidRPr="007930B0">
              <w:rPr>
                <w:i/>
                <w:sz w:val="16"/>
                <w:szCs w:val="16"/>
              </w:rPr>
              <w:t>Fem.</w:t>
            </w:r>
          </w:p>
        </w:tc>
        <w:tc>
          <w:tcPr>
            <w:tcW w:w="671" w:type="dxa"/>
            <w:tcBorders>
              <w:top w:val="single" w:sz="4" w:space="0" w:color="auto"/>
              <w:bottom w:val="single" w:sz="12" w:space="0" w:color="auto"/>
            </w:tcBorders>
            <w:shd w:val="clear" w:color="000000" w:fill="auto"/>
            <w:noWrap/>
            <w:vAlign w:val="bottom"/>
          </w:tcPr>
          <w:p w:rsidR="001E7BB4" w:rsidRPr="007930B0" w:rsidRDefault="001E7BB4" w:rsidP="006B0B85">
            <w:pPr>
              <w:spacing w:before="80" w:after="80" w:line="200" w:lineRule="exact"/>
              <w:ind w:right="113"/>
              <w:jc w:val="right"/>
              <w:rPr>
                <w:b/>
                <w:i/>
                <w:sz w:val="16"/>
                <w:szCs w:val="16"/>
              </w:rPr>
            </w:pPr>
            <w:r w:rsidRPr="007930B0">
              <w:rPr>
                <w:b/>
                <w:i/>
                <w:sz w:val="16"/>
                <w:szCs w:val="16"/>
              </w:rPr>
              <w:t>Total</w:t>
            </w:r>
          </w:p>
        </w:tc>
      </w:tr>
      <w:tr w:rsidR="006B0B85" w:rsidRPr="007930B0">
        <w:trPr>
          <w:trHeight w:val="315"/>
        </w:trPr>
        <w:tc>
          <w:tcPr>
            <w:tcW w:w="1328" w:type="dxa"/>
            <w:tcBorders>
              <w:top w:val="single" w:sz="12" w:space="0" w:color="auto"/>
            </w:tcBorders>
            <w:shd w:val="clear" w:color="000000" w:fill="auto"/>
            <w:noWrap/>
          </w:tcPr>
          <w:p w:rsidR="001E7BB4" w:rsidRPr="007930B0" w:rsidRDefault="001E7BB4" w:rsidP="006B0B85">
            <w:pPr>
              <w:spacing w:before="40" w:after="40" w:line="220" w:lineRule="exact"/>
              <w:ind w:right="113"/>
              <w:rPr>
                <w:sz w:val="18"/>
              </w:rPr>
            </w:pPr>
            <w:r w:rsidRPr="007930B0">
              <w:rPr>
                <w:sz w:val="18"/>
              </w:rPr>
              <w:t>Hodh Charghi</w:t>
            </w:r>
          </w:p>
        </w:tc>
        <w:tc>
          <w:tcPr>
            <w:tcW w:w="672" w:type="dxa"/>
            <w:tcBorders>
              <w:top w:val="single" w:sz="12" w:space="0" w:color="auto"/>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5,0%</w:t>
            </w:r>
          </w:p>
        </w:tc>
        <w:tc>
          <w:tcPr>
            <w:tcW w:w="672" w:type="dxa"/>
            <w:tcBorders>
              <w:top w:val="single" w:sz="12" w:space="0" w:color="auto"/>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5,0%</w:t>
            </w:r>
          </w:p>
        </w:tc>
        <w:tc>
          <w:tcPr>
            <w:tcW w:w="672" w:type="dxa"/>
            <w:tcBorders>
              <w:top w:val="single" w:sz="12" w:space="0" w:color="auto"/>
            </w:tcBorders>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5,0%</w:t>
            </w:r>
          </w:p>
        </w:tc>
        <w:tc>
          <w:tcPr>
            <w:tcW w:w="671" w:type="dxa"/>
            <w:tcBorders>
              <w:top w:val="single" w:sz="12" w:space="0" w:color="auto"/>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4,0%</w:t>
            </w:r>
          </w:p>
        </w:tc>
        <w:tc>
          <w:tcPr>
            <w:tcW w:w="671" w:type="dxa"/>
            <w:tcBorders>
              <w:top w:val="single" w:sz="12" w:space="0" w:color="auto"/>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4,2%</w:t>
            </w:r>
          </w:p>
        </w:tc>
        <w:tc>
          <w:tcPr>
            <w:tcW w:w="671" w:type="dxa"/>
            <w:tcBorders>
              <w:top w:val="single" w:sz="12" w:space="0" w:color="auto"/>
            </w:tcBorders>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4,1%</w:t>
            </w:r>
          </w:p>
        </w:tc>
        <w:tc>
          <w:tcPr>
            <w:tcW w:w="671" w:type="dxa"/>
            <w:tcBorders>
              <w:top w:val="single" w:sz="12" w:space="0" w:color="auto"/>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2,0%</w:t>
            </w:r>
          </w:p>
        </w:tc>
        <w:tc>
          <w:tcPr>
            <w:tcW w:w="671" w:type="dxa"/>
            <w:tcBorders>
              <w:top w:val="single" w:sz="12" w:space="0" w:color="auto"/>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1,9%</w:t>
            </w:r>
          </w:p>
        </w:tc>
        <w:tc>
          <w:tcPr>
            <w:tcW w:w="671" w:type="dxa"/>
            <w:tcBorders>
              <w:top w:val="single" w:sz="12" w:space="0" w:color="auto"/>
            </w:tcBorders>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1,9%</w:t>
            </w:r>
          </w:p>
        </w:tc>
      </w:tr>
      <w:tr w:rsidR="006B0B85" w:rsidRPr="007930B0">
        <w:trPr>
          <w:trHeight w:val="315"/>
        </w:trPr>
        <w:tc>
          <w:tcPr>
            <w:tcW w:w="1328" w:type="dxa"/>
            <w:shd w:val="clear" w:color="000000" w:fill="auto"/>
            <w:noWrap/>
          </w:tcPr>
          <w:p w:rsidR="001E7BB4" w:rsidRPr="007930B0" w:rsidRDefault="001E7BB4" w:rsidP="006B0B85">
            <w:pPr>
              <w:spacing w:before="40" w:after="40" w:line="220" w:lineRule="exact"/>
              <w:ind w:right="113"/>
              <w:rPr>
                <w:sz w:val="18"/>
              </w:rPr>
            </w:pPr>
            <w:r w:rsidRPr="007930B0">
              <w:rPr>
                <w:sz w:val="18"/>
              </w:rPr>
              <w:t>Hodh El Gharbi</w:t>
            </w:r>
          </w:p>
        </w:tc>
        <w:tc>
          <w:tcPr>
            <w:tcW w:w="672" w:type="dxa"/>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4,3%</w:t>
            </w:r>
          </w:p>
        </w:tc>
        <w:tc>
          <w:tcPr>
            <w:tcW w:w="672" w:type="dxa"/>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4,6%</w:t>
            </w:r>
          </w:p>
        </w:tc>
        <w:tc>
          <w:tcPr>
            <w:tcW w:w="672" w:type="dxa"/>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4,4%</w:t>
            </w:r>
          </w:p>
        </w:tc>
        <w:tc>
          <w:tcPr>
            <w:tcW w:w="671" w:type="dxa"/>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2,6%</w:t>
            </w:r>
          </w:p>
        </w:tc>
        <w:tc>
          <w:tcPr>
            <w:tcW w:w="671" w:type="dxa"/>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2,8%</w:t>
            </w:r>
          </w:p>
        </w:tc>
        <w:tc>
          <w:tcPr>
            <w:tcW w:w="671" w:type="dxa"/>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2,7%</w:t>
            </w:r>
          </w:p>
        </w:tc>
        <w:tc>
          <w:tcPr>
            <w:tcW w:w="671" w:type="dxa"/>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0,1%</w:t>
            </w:r>
          </w:p>
        </w:tc>
        <w:tc>
          <w:tcPr>
            <w:tcW w:w="671" w:type="dxa"/>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0,2%</w:t>
            </w:r>
          </w:p>
        </w:tc>
        <w:tc>
          <w:tcPr>
            <w:tcW w:w="671" w:type="dxa"/>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0,1%</w:t>
            </w:r>
          </w:p>
        </w:tc>
      </w:tr>
      <w:tr w:rsidR="006B0B85" w:rsidRPr="007930B0">
        <w:trPr>
          <w:trHeight w:val="315"/>
        </w:trPr>
        <w:tc>
          <w:tcPr>
            <w:tcW w:w="1328" w:type="dxa"/>
            <w:tcBorders>
              <w:bottom w:val="nil"/>
            </w:tcBorders>
            <w:shd w:val="clear" w:color="000000" w:fill="auto"/>
            <w:noWrap/>
          </w:tcPr>
          <w:p w:rsidR="001E7BB4" w:rsidRPr="007930B0" w:rsidRDefault="001E7BB4" w:rsidP="006B0B85">
            <w:pPr>
              <w:spacing w:before="40" w:after="40" w:line="220" w:lineRule="exact"/>
              <w:ind w:right="113"/>
              <w:rPr>
                <w:sz w:val="18"/>
              </w:rPr>
            </w:pPr>
            <w:r w:rsidRPr="007930B0">
              <w:rPr>
                <w:sz w:val="18"/>
              </w:rPr>
              <w:t>Assaba</w:t>
            </w:r>
          </w:p>
        </w:tc>
        <w:tc>
          <w:tcPr>
            <w:tcW w:w="672" w:type="dxa"/>
            <w:tcBorders>
              <w:bottom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4,6%</w:t>
            </w:r>
          </w:p>
        </w:tc>
        <w:tc>
          <w:tcPr>
            <w:tcW w:w="672" w:type="dxa"/>
            <w:tcBorders>
              <w:bottom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4,2%</w:t>
            </w:r>
          </w:p>
        </w:tc>
        <w:tc>
          <w:tcPr>
            <w:tcW w:w="672" w:type="dxa"/>
            <w:tcBorders>
              <w:bottom w:val="nil"/>
            </w:tcBorders>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4,4%</w:t>
            </w:r>
          </w:p>
        </w:tc>
        <w:tc>
          <w:tcPr>
            <w:tcW w:w="671" w:type="dxa"/>
            <w:tcBorders>
              <w:bottom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3,6%</w:t>
            </w:r>
          </w:p>
        </w:tc>
        <w:tc>
          <w:tcPr>
            <w:tcW w:w="671" w:type="dxa"/>
            <w:tcBorders>
              <w:bottom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3,7%</w:t>
            </w:r>
          </w:p>
        </w:tc>
        <w:tc>
          <w:tcPr>
            <w:tcW w:w="671" w:type="dxa"/>
            <w:tcBorders>
              <w:bottom w:val="nil"/>
            </w:tcBorders>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3,7%</w:t>
            </w:r>
          </w:p>
        </w:tc>
        <w:tc>
          <w:tcPr>
            <w:tcW w:w="671" w:type="dxa"/>
            <w:tcBorders>
              <w:bottom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0,9%</w:t>
            </w:r>
          </w:p>
        </w:tc>
        <w:tc>
          <w:tcPr>
            <w:tcW w:w="671" w:type="dxa"/>
            <w:tcBorders>
              <w:bottom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1,1%</w:t>
            </w:r>
          </w:p>
        </w:tc>
        <w:tc>
          <w:tcPr>
            <w:tcW w:w="671" w:type="dxa"/>
            <w:tcBorders>
              <w:bottom w:val="nil"/>
            </w:tcBorders>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1,0%</w:t>
            </w:r>
          </w:p>
        </w:tc>
      </w:tr>
      <w:tr w:rsidR="006B0B85" w:rsidRPr="007930B0">
        <w:trPr>
          <w:trHeight w:val="315"/>
        </w:trPr>
        <w:tc>
          <w:tcPr>
            <w:tcW w:w="1328" w:type="dxa"/>
            <w:tcBorders>
              <w:top w:val="nil"/>
              <w:bottom w:val="nil"/>
            </w:tcBorders>
            <w:shd w:val="clear" w:color="000000" w:fill="auto"/>
            <w:noWrap/>
          </w:tcPr>
          <w:p w:rsidR="001E7BB4" w:rsidRPr="007930B0" w:rsidRDefault="001E7BB4" w:rsidP="006B0B85">
            <w:pPr>
              <w:spacing w:before="40" w:after="40" w:line="220" w:lineRule="exact"/>
              <w:ind w:right="113"/>
              <w:rPr>
                <w:sz w:val="18"/>
              </w:rPr>
            </w:pPr>
            <w:r w:rsidRPr="007930B0">
              <w:rPr>
                <w:sz w:val="18"/>
              </w:rPr>
              <w:t>Gorgol</w:t>
            </w:r>
          </w:p>
        </w:tc>
        <w:tc>
          <w:tcPr>
            <w:tcW w:w="672" w:type="dxa"/>
            <w:tcBorders>
              <w:top w:val="nil"/>
              <w:bottom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10,4%</w:t>
            </w:r>
          </w:p>
        </w:tc>
        <w:tc>
          <w:tcPr>
            <w:tcW w:w="672" w:type="dxa"/>
            <w:tcBorders>
              <w:top w:val="nil"/>
              <w:bottom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12,2%</w:t>
            </w:r>
          </w:p>
        </w:tc>
        <w:tc>
          <w:tcPr>
            <w:tcW w:w="672" w:type="dxa"/>
            <w:tcBorders>
              <w:top w:val="nil"/>
              <w:bottom w:val="nil"/>
            </w:tcBorders>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11,3%</w:t>
            </w:r>
          </w:p>
        </w:tc>
        <w:tc>
          <w:tcPr>
            <w:tcW w:w="671" w:type="dxa"/>
            <w:tcBorders>
              <w:top w:val="nil"/>
              <w:bottom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11,7%</w:t>
            </w:r>
          </w:p>
        </w:tc>
        <w:tc>
          <w:tcPr>
            <w:tcW w:w="671" w:type="dxa"/>
            <w:tcBorders>
              <w:top w:val="nil"/>
              <w:bottom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13,2%</w:t>
            </w:r>
          </w:p>
        </w:tc>
        <w:tc>
          <w:tcPr>
            <w:tcW w:w="671" w:type="dxa"/>
            <w:tcBorders>
              <w:top w:val="nil"/>
              <w:bottom w:val="nil"/>
            </w:tcBorders>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12,4%</w:t>
            </w:r>
          </w:p>
        </w:tc>
        <w:tc>
          <w:tcPr>
            <w:tcW w:w="671" w:type="dxa"/>
            <w:tcBorders>
              <w:top w:val="nil"/>
              <w:bottom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2,1%</w:t>
            </w:r>
          </w:p>
        </w:tc>
        <w:tc>
          <w:tcPr>
            <w:tcW w:w="671" w:type="dxa"/>
            <w:tcBorders>
              <w:top w:val="nil"/>
              <w:bottom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2,2%</w:t>
            </w:r>
          </w:p>
        </w:tc>
        <w:tc>
          <w:tcPr>
            <w:tcW w:w="671" w:type="dxa"/>
            <w:tcBorders>
              <w:top w:val="nil"/>
              <w:bottom w:val="nil"/>
            </w:tcBorders>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2,2%</w:t>
            </w:r>
          </w:p>
        </w:tc>
      </w:tr>
      <w:tr w:rsidR="006B0B85" w:rsidRPr="007930B0">
        <w:trPr>
          <w:trHeight w:val="315"/>
        </w:trPr>
        <w:tc>
          <w:tcPr>
            <w:tcW w:w="1328" w:type="dxa"/>
            <w:tcBorders>
              <w:top w:val="nil"/>
            </w:tcBorders>
            <w:shd w:val="clear" w:color="000000" w:fill="auto"/>
            <w:noWrap/>
          </w:tcPr>
          <w:p w:rsidR="001E7BB4" w:rsidRPr="007930B0" w:rsidRDefault="001E7BB4" w:rsidP="006B0B85">
            <w:pPr>
              <w:spacing w:before="40" w:after="40" w:line="220" w:lineRule="exact"/>
              <w:ind w:right="113"/>
              <w:rPr>
                <w:sz w:val="18"/>
              </w:rPr>
            </w:pPr>
            <w:r w:rsidRPr="007930B0">
              <w:rPr>
                <w:sz w:val="18"/>
              </w:rPr>
              <w:t>Brakna</w:t>
            </w:r>
          </w:p>
        </w:tc>
        <w:tc>
          <w:tcPr>
            <w:tcW w:w="672" w:type="dxa"/>
            <w:tcBorders>
              <w:top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9,1%</w:t>
            </w:r>
          </w:p>
        </w:tc>
        <w:tc>
          <w:tcPr>
            <w:tcW w:w="672" w:type="dxa"/>
            <w:tcBorders>
              <w:top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10,7%</w:t>
            </w:r>
          </w:p>
        </w:tc>
        <w:tc>
          <w:tcPr>
            <w:tcW w:w="672" w:type="dxa"/>
            <w:tcBorders>
              <w:top w:val="nil"/>
            </w:tcBorders>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9,9%</w:t>
            </w:r>
          </w:p>
        </w:tc>
        <w:tc>
          <w:tcPr>
            <w:tcW w:w="671" w:type="dxa"/>
            <w:tcBorders>
              <w:top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8,3%</w:t>
            </w:r>
          </w:p>
        </w:tc>
        <w:tc>
          <w:tcPr>
            <w:tcW w:w="671" w:type="dxa"/>
            <w:tcBorders>
              <w:top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9,3%</w:t>
            </w:r>
          </w:p>
        </w:tc>
        <w:tc>
          <w:tcPr>
            <w:tcW w:w="671" w:type="dxa"/>
            <w:tcBorders>
              <w:top w:val="nil"/>
            </w:tcBorders>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8,8%</w:t>
            </w:r>
          </w:p>
        </w:tc>
        <w:tc>
          <w:tcPr>
            <w:tcW w:w="671" w:type="dxa"/>
            <w:tcBorders>
              <w:top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3,3%</w:t>
            </w:r>
          </w:p>
        </w:tc>
        <w:tc>
          <w:tcPr>
            <w:tcW w:w="671" w:type="dxa"/>
            <w:tcBorders>
              <w:top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4,8%</w:t>
            </w:r>
          </w:p>
        </w:tc>
        <w:tc>
          <w:tcPr>
            <w:tcW w:w="671" w:type="dxa"/>
            <w:tcBorders>
              <w:top w:val="nil"/>
            </w:tcBorders>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3,1%</w:t>
            </w:r>
          </w:p>
        </w:tc>
      </w:tr>
      <w:tr w:rsidR="006B0B85" w:rsidRPr="007930B0">
        <w:trPr>
          <w:trHeight w:val="315"/>
        </w:trPr>
        <w:tc>
          <w:tcPr>
            <w:tcW w:w="1328" w:type="dxa"/>
            <w:shd w:val="clear" w:color="000000" w:fill="auto"/>
            <w:noWrap/>
          </w:tcPr>
          <w:p w:rsidR="001E7BB4" w:rsidRPr="007930B0" w:rsidRDefault="001E7BB4" w:rsidP="006B0B85">
            <w:pPr>
              <w:spacing w:before="40" w:after="40" w:line="220" w:lineRule="exact"/>
              <w:ind w:right="113"/>
              <w:rPr>
                <w:sz w:val="18"/>
              </w:rPr>
            </w:pPr>
            <w:r w:rsidRPr="007930B0">
              <w:rPr>
                <w:sz w:val="18"/>
              </w:rPr>
              <w:t>Trarza</w:t>
            </w:r>
          </w:p>
        </w:tc>
        <w:tc>
          <w:tcPr>
            <w:tcW w:w="672" w:type="dxa"/>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8,3%</w:t>
            </w:r>
          </w:p>
        </w:tc>
        <w:tc>
          <w:tcPr>
            <w:tcW w:w="672" w:type="dxa"/>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7,6%</w:t>
            </w:r>
          </w:p>
        </w:tc>
        <w:tc>
          <w:tcPr>
            <w:tcW w:w="672" w:type="dxa"/>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8,0%</w:t>
            </w:r>
          </w:p>
        </w:tc>
        <w:tc>
          <w:tcPr>
            <w:tcW w:w="671" w:type="dxa"/>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9,9%</w:t>
            </w:r>
          </w:p>
        </w:tc>
        <w:tc>
          <w:tcPr>
            <w:tcW w:w="671" w:type="dxa"/>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9,9%</w:t>
            </w:r>
          </w:p>
        </w:tc>
        <w:tc>
          <w:tcPr>
            <w:tcW w:w="671" w:type="dxa"/>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9,9%</w:t>
            </w:r>
          </w:p>
        </w:tc>
        <w:tc>
          <w:tcPr>
            <w:tcW w:w="671" w:type="dxa"/>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1,4%</w:t>
            </w:r>
          </w:p>
        </w:tc>
        <w:tc>
          <w:tcPr>
            <w:tcW w:w="671" w:type="dxa"/>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1,4%</w:t>
            </w:r>
          </w:p>
        </w:tc>
        <w:tc>
          <w:tcPr>
            <w:tcW w:w="671" w:type="dxa"/>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1,4%</w:t>
            </w:r>
          </w:p>
        </w:tc>
      </w:tr>
      <w:tr w:rsidR="006B0B85" w:rsidRPr="007930B0">
        <w:trPr>
          <w:trHeight w:val="315"/>
        </w:trPr>
        <w:tc>
          <w:tcPr>
            <w:tcW w:w="1328" w:type="dxa"/>
            <w:shd w:val="clear" w:color="000000" w:fill="auto"/>
            <w:noWrap/>
          </w:tcPr>
          <w:p w:rsidR="001E7BB4" w:rsidRPr="007930B0" w:rsidRDefault="001E7BB4" w:rsidP="006B0B85">
            <w:pPr>
              <w:spacing w:before="40" w:after="40" w:line="220" w:lineRule="exact"/>
              <w:ind w:right="113"/>
              <w:rPr>
                <w:sz w:val="18"/>
              </w:rPr>
            </w:pPr>
            <w:r w:rsidRPr="007930B0">
              <w:rPr>
                <w:sz w:val="18"/>
              </w:rPr>
              <w:t>Adrar</w:t>
            </w:r>
          </w:p>
        </w:tc>
        <w:tc>
          <w:tcPr>
            <w:tcW w:w="672" w:type="dxa"/>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9,2%</w:t>
            </w:r>
          </w:p>
        </w:tc>
        <w:tc>
          <w:tcPr>
            <w:tcW w:w="672" w:type="dxa"/>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10,5%</w:t>
            </w:r>
          </w:p>
        </w:tc>
        <w:tc>
          <w:tcPr>
            <w:tcW w:w="672" w:type="dxa"/>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9,8%</w:t>
            </w:r>
          </w:p>
        </w:tc>
        <w:tc>
          <w:tcPr>
            <w:tcW w:w="671" w:type="dxa"/>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12,1%</w:t>
            </w:r>
          </w:p>
        </w:tc>
        <w:tc>
          <w:tcPr>
            <w:tcW w:w="671" w:type="dxa"/>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11,5%</w:t>
            </w:r>
          </w:p>
        </w:tc>
        <w:tc>
          <w:tcPr>
            <w:tcW w:w="671" w:type="dxa"/>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11,7%</w:t>
            </w:r>
          </w:p>
        </w:tc>
        <w:tc>
          <w:tcPr>
            <w:tcW w:w="671" w:type="dxa"/>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9,5%</w:t>
            </w:r>
          </w:p>
        </w:tc>
        <w:tc>
          <w:tcPr>
            <w:tcW w:w="671" w:type="dxa"/>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9,8%</w:t>
            </w:r>
          </w:p>
        </w:tc>
        <w:tc>
          <w:tcPr>
            <w:tcW w:w="671" w:type="dxa"/>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9,7%</w:t>
            </w:r>
          </w:p>
        </w:tc>
      </w:tr>
      <w:tr w:rsidR="006B0B85" w:rsidRPr="007930B0">
        <w:trPr>
          <w:trHeight w:val="315"/>
        </w:trPr>
        <w:tc>
          <w:tcPr>
            <w:tcW w:w="1328" w:type="dxa"/>
            <w:shd w:val="clear" w:color="000000" w:fill="auto"/>
            <w:noWrap/>
          </w:tcPr>
          <w:p w:rsidR="001E7BB4" w:rsidRPr="007930B0" w:rsidRDefault="001E7BB4" w:rsidP="006B0B85">
            <w:pPr>
              <w:spacing w:before="40" w:after="40" w:line="220" w:lineRule="exact"/>
              <w:ind w:right="113"/>
              <w:rPr>
                <w:sz w:val="18"/>
              </w:rPr>
            </w:pPr>
            <w:r w:rsidRPr="007930B0">
              <w:rPr>
                <w:sz w:val="18"/>
              </w:rPr>
              <w:t>Nuadhibu</w:t>
            </w:r>
          </w:p>
        </w:tc>
        <w:tc>
          <w:tcPr>
            <w:tcW w:w="672" w:type="dxa"/>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17,7%</w:t>
            </w:r>
          </w:p>
        </w:tc>
        <w:tc>
          <w:tcPr>
            <w:tcW w:w="672" w:type="dxa"/>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16,3%</w:t>
            </w:r>
          </w:p>
        </w:tc>
        <w:tc>
          <w:tcPr>
            <w:tcW w:w="672" w:type="dxa"/>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17,0%</w:t>
            </w:r>
          </w:p>
        </w:tc>
        <w:tc>
          <w:tcPr>
            <w:tcW w:w="671" w:type="dxa"/>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16,8%</w:t>
            </w:r>
          </w:p>
        </w:tc>
        <w:tc>
          <w:tcPr>
            <w:tcW w:w="671" w:type="dxa"/>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16,6%</w:t>
            </w:r>
          </w:p>
        </w:tc>
        <w:tc>
          <w:tcPr>
            <w:tcW w:w="671" w:type="dxa"/>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16,7%</w:t>
            </w:r>
          </w:p>
        </w:tc>
        <w:tc>
          <w:tcPr>
            <w:tcW w:w="671" w:type="dxa"/>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7,9%</w:t>
            </w:r>
          </w:p>
        </w:tc>
        <w:tc>
          <w:tcPr>
            <w:tcW w:w="671" w:type="dxa"/>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7,8%</w:t>
            </w:r>
          </w:p>
        </w:tc>
        <w:tc>
          <w:tcPr>
            <w:tcW w:w="671" w:type="dxa"/>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7,8%</w:t>
            </w:r>
          </w:p>
        </w:tc>
      </w:tr>
      <w:tr w:rsidR="006B0B85" w:rsidRPr="007930B0">
        <w:trPr>
          <w:trHeight w:val="315"/>
        </w:trPr>
        <w:tc>
          <w:tcPr>
            <w:tcW w:w="1328" w:type="dxa"/>
            <w:shd w:val="clear" w:color="000000" w:fill="auto"/>
            <w:noWrap/>
          </w:tcPr>
          <w:p w:rsidR="001E7BB4" w:rsidRPr="007930B0" w:rsidRDefault="001E7BB4" w:rsidP="006B0B85">
            <w:pPr>
              <w:spacing w:before="40" w:after="40" w:line="220" w:lineRule="exact"/>
              <w:ind w:right="113"/>
              <w:rPr>
                <w:sz w:val="18"/>
              </w:rPr>
            </w:pPr>
            <w:r w:rsidRPr="007930B0">
              <w:rPr>
                <w:sz w:val="18"/>
              </w:rPr>
              <w:t>Tagant</w:t>
            </w:r>
          </w:p>
        </w:tc>
        <w:tc>
          <w:tcPr>
            <w:tcW w:w="672" w:type="dxa"/>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8,5%</w:t>
            </w:r>
          </w:p>
        </w:tc>
        <w:tc>
          <w:tcPr>
            <w:tcW w:w="672" w:type="dxa"/>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9,0%</w:t>
            </w:r>
          </w:p>
        </w:tc>
        <w:tc>
          <w:tcPr>
            <w:tcW w:w="672" w:type="dxa"/>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8,7%</w:t>
            </w:r>
          </w:p>
        </w:tc>
        <w:tc>
          <w:tcPr>
            <w:tcW w:w="671" w:type="dxa"/>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7,6%</w:t>
            </w:r>
          </w:p>
        </w:tc>
        <w:tc>
          <w:tcPr>
            <w:tcW w:w="671" w:type="dxa"/>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7,6%</w:t>
            </w:r>
          </w:p>
        </w:tc>
        <w:tc>
          <w:tcPr>
            <w:tcW w:w="671" w:type="dxa"/>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7,6%</w:t>
            </w:r>
          </w:p>
        </w:tc>
        <w:tc>
          <w:tcPr>
            <w:tcW w:w="671" w:type="dxa"/>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2,5%</w:t>
            </w:r>
          </w:p>
        </w:tc>
        <w:tc>
          <w:tcPr>
            <w:tcW w:w="671" w:type="dxa"/>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2,6%</w:t>
            </w:r>
          </w:p>
        </w:tc>
        <w:tc>
          <w:tcPr>
            <w:tcW w:w="671" w:type="dxa"/>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2,5%</w:t>
            </w:r>
          </w:p>
        </w:tc>
      </w:tr>
      <w:tr w:rsidR="006B0B85" w:rsidRPr="007930B0">
        <w:trPr>
          <w:trHeight w:val="315"/>
        </w:trPr>
        <w:tc>
          <w:tcPr>
            <w:tcW w:w="1328" w:type="dxa"/>
            <w:tcBorders>
              <w:bottom w:val="nil"/>
            </w:tcBorders>
            <w:shd w:val="clear" w:color="000000" w:fill="auto"/>
            <w:noWrap/>
          </w:tcPr>
          <w:p w:rsidR="001E7BB4" w:rsidRPr="007930B0" w:rsidRDefault="001E7BB4" w:rsidP="006B0B85">
            <w:pPr>
              <w:spacing w:before="40" w:after="40" w:line="220" w:lineRule="exact"/>
              <w:ind w:right="113"/>
              <w:rPr>
                <w:sz w:val="18"/>
              </w:rPr>
            </w:pPr>
            <w:r w:rsidRPr="007930B0">
              <w:rPr>
                <w:sz w:val="18"/>
              </w:rPr>
              <w:t>Guidimakha</w:t>
            </w:r>
          </w:p>
        </w:tc>
        <w:tc>
          <w:tcPr>
            <w:tcW w:w="672" w:type="dxa"/>
            <w:tcBorders>
              <w:bottom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8,2%</w:t>
            </w:r>
          </w:p>
        </w:tc>
        <w:tc>
          <w:tcPr>
            <w:tcW w:w="672" w:type="dxa"/>
            <w:tcBorders>
              <w:bottom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7,5%</w:t>
            </w:r>
          </w:p>
        </w:tc>
        <w:tc>
          <w:tcPr>
            <w:tcW w:w="672" w:type="dxa"/>
            <w:tcBorders>
              <w:bottom w:val="nil"/>
            </w:tcBorders>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7,9%</w:t>
            </w:r>
          </w:p>
        </w:tc>
        <w:tc>
          <w:tcPr>
            <w:tcW w:w="671" w:type="dxa"/>
            <w:tcBorders>
              <w:bottom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10,2%</w:t>
            </w:r>
          </w:p>
        </w:tc>
        <w:tc>
          <w:tcPr>
            <w:tcW w:w="671" w:type="dxa"/>
            <w:tcBorders>
              <w:bottom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9,5%</w:t>
            </w:r>
          </w:p>
        </w:tc>
        <w:tc>
          <w:tcPr>
            <w:tcW w:w="671" w:type="dxa"/>
            <w:tcBorders>
              <w:bottom w:val="nil"/>
            </w:tcBorders>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9,8%</w:t>
            </w:r>
          </w:p>
        </w:tc>
        <w:tc>
          <w:tcPr>
            <w:tcW w:w="671" w:type="dxa"/>
            <w:tcBorders>
              <w:bottom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2,8%</w:t>
            </w:r>
          </w:p>
        </w:tc>
        <w:tc>
          <w:tcPr>
            <w:tcW w:w="671" w:type="dxa"/>
            <w:tcBorders>
              <w:bottom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2,2%</w:t>
            </w:r>
          </w:p>
        </w:tc>
        <w:tc>
          <w:tcPr>
            <w:tcW w:w="671" w:type="dxa"/>
            <w:tcBorders>
              <w:bottom w:val="nil"/>
            </w:tcBorders>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2,5%</w:t>
            </w:r>
          </w:p>
        </w:tc>
      </w:tr>
      <w:tr w:rsidR="006B0B85" w:rsidRPr="007930B0">
        <w:trPr>
          <w:trHeight w:val="315"/>
        </w:trPr>
        <w:tc>
          <w:tcPr>
            <w:tcW w:w="1328" w:type="dxa"/>
            <w:tcBorders>
              <w:top w:val="nil"/>
              <w:bottom w:val="nil"/>
            </w:tcBorders>
            <w:shd w:val="clear" w:color="000000" w:fill="auto"/>
            <w:noWrap/>
          </w:tcPr>
          <w:p w:rsidR="001E7BB4" w:rsidRPr="007930B0" w:rsidRDefault="001E7BB4" w:rsidP="006B0B85">
            <w:pPr>
              <w:spacing w:before="40" w:after="40" w:line="220" w:lineRule="exact"/>
              <w:ind w:right="113"/>
              <w:rPr>
                <w:sz w:val="18"/>
              </w:rPr>
            </w:pPr>
            <w:r w:rsidRPr="007930B0">
              <w:rPr>
                <w:sz w:val="18"/>
              </w:rPr>
              <w:t>Tiris Zemmour</w:t>
            </w:r>
          </w:p>
        </w:tc>
        <w:tc>
          <w:tcPr>
            <w:tcW w:w="672" w:type="dxa"/>
            <w:tcBorders>
              <w:top w:val="nil"/>
              <w:bottom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15,6%</w:t>
            </w:r>
          </w:p>
        </w:tc>
        <w:tc>
          <w:tcPr>
            <w:tcW w:w="672" w:type="dxa"/>
            <w:tcBorders>
              <w:top w:val="nil"/>
              <w:bottom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16,3%</w:t>
            </w:r>
          </w:p>
        </w:tc>
        <w:tc>
          <w:tcPr>
            <w:tcW w:w="672" w:type="dxa"/>
            <w:tcBorders>
              <w:top w:val="nil"/>
              <w:bottom w:val="nil"/>
            </w:tcBorders>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15,9%</w:t>
            </w:r>
          </w:p>
        </w:tc>
        <w:tc>
          <w:tcPr>
            <w:tcW w:w="671" w:type="dxa"/>
            <w:tcBorders>
              <w:top w:val="nil"/>
              <w:bottom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17,3%</w:t>
            </w:r>
          </w:p>
        </w:tc>
        <w:tc>
          <w:tcPr>
            <w:tcW w:w="671" w:type="dxa"/>
            <w:tcBorders>
              <w:top w:val="nil"/>
              <w:bottom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17,6%</w:t>
            </w:r>
          </w:p>
        </w:tc>
        <w:tc>
          <w:tcPr>
            <w:tcW w:w="671" w:type="dxa"/>
            <w:tcBorders>
              <w:top w:val="nil"/>
              <w:bottom w:val="nil"/>
            </w:tcBorders>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17,5%</w:t>
            </w:r>
          </w:p>
        </w:tc>
        <w:tc>
          <w:tcPr>
            <w:tcW w:w="671" w:type="dxa"/>
            <w:tcBorders>
              <w:top w:val="nil"/>
              <w:bottom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7,2%</w:t>
            </w:r>
          </w:p>
        </w:tc>
        <w:tc>
          <w:tcPr>
            <w:tcW w:w="671" w:type="dxa"/>
            <w:tcBorders>
              <w:top w:val="nil"/>
              <w:bottom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7,0%</w:t>
            </w:r>
          </w:p>
        </w:tc>
        <w:tc>
          <w:tcPr>
            <w:tcW w:w="671" w:type="dxa"/>
            <w:tcBorders>
              <w:top w:val="nil"/>
              <w:bottom w:val="nil"/>
            </w:tcBorders>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7,1%</w:t>
            </w:r>
          </w:p>
        </w:tc>
      </w:tr>
      <w:tr w:rsidR="006B0B85" w:rsidRPr="007930B0">
        <w:trPr>
          <w:trHeight w:val="315"/>
        </w:trPr>
        <w:tc>
          <w:tcPr>
            <w:tcW w:w="1328" w:type="dxa"/>
            <w:tcBorders>
              <w:top w:val="nil"/>
            </w:tcBorders>
            <w:shd w:val="clear" w:color="000000" w:fill="auto"/>
            <w:noWrap/>
          </w:tcPr>
          <w:p w:rsidR="001E7BB4" w:rsidRPr="007930B0" w:rsidRDefault="001E7BB4" w:rsidP="006B0B85">
            <w:pPr>
              <w:spacing w:before="40" w:after="40" w:line="220" w:lineRule="exact"/>
              <w:ind w:right="113"/>
              <w:rPr>
                <w:sz w:val="18"/>
              </w:rPr>
            </w:pPr>
            <w:r w:rsidRPr="007930B0">
              <w:rPr>
                <w:sz w:val="18"/>
              </w:rPr>
              <w:t>Inchiri</w:t>
            </w:r>
          </w:p>
        </w:tc>
        <w:tc>
          <w:tcPr>
            <w:tcW w:w="672" w:type="dxa"/>
            <w:tcBorders>
              <w:top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11,6%</w:t>
            </w:r>
          </w:p>
        </w:tc>
        <w:tc>
          <w:tcPr>
            <w:tcW w:w="672" w:type="dxa"/>
            <w:tcBorders>
              <w:top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13,7%</w:t>
            </w:r>
          </w:p>
        </w:tc>
        <w:tc>
          <w:tcPr>
            <w:tcW w:w="672" w:type="dxa"/>
            <w:tcBorders>
              <w:top w:val="nil"/>
            </w:tcBorders>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12,6%</w:t>
            </w:r>
          </w:p>
        </w:tc>
        <w:tc>
          <w:tcPr>
            <w:tcW w:w="671" w:type="dxa"/>
            <w:tcBorders>
              <w:top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5,6%</w:t>
            </w:r>
          </w:p>
        </w:tc>
        <w:tc>
          <w:tcPr>
            <w:tcW w:w="671" w:type="dxa"/>
            <w:tcBorders>
              <w:top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10,5%</w:t>
            </w:r>
          </w:p>
        </w:tc>
        <w:tc>
          <w:tcPr>
            <w:tcW w:w="671" w:type="dxa"/>
            <w:tcBorders>
              <w:top w:val="nil"/>
            </w:tcBorders>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8,0%</w:t>
            </w:r>
          </w:p>
        </w:tc>
        <w:tc>
          <w:tcPr>
            <w:tcW w:w="671" w:type="dxa"/>
            <w:tcBorders>
              <w:top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9,1%</w:t>
            </w:r>
          </w:p>
        </w:tc>
        <w:tc>
          <w:tcPr>
            <w:tcW w:w="671" w:type="dxa"/>
            <w:tcBorders>
              <w:top w:val="nil"/>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10,1%</w:t>
            </w:r>
          </w:p>
        </w:tc>
        <w:tc>
          <w:tcPr>
            <w:tcW w:w="671" w:type="dxa"/>
            <w:tcBorders>
              <w:top w:val="nil"/>
            </w:tcBorders>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9,6%</w:t>
            </w:r>
          </w:p>
        </w:tc>
      </w:tr>
      <w:tr w:rsidR="006B0B85" w:rsidRPr="007930B0">
        <w:trPr>
          <w:trHeight w:val="315"/>
        </w:trPr>
        <w:tc>
          <w:tcPr>
            <w:tcW w:w="1328" w:type="dxa"/>
            <w:tcBorders>
              <w:bottom w:val="single" w:sz="4" w:space="0" w:color="auto"/>
            </w:tcBorders>
            <w:shd w:val="clear" w:color="000000" w:fill="auto"/>
            <w:noWrap/>
          </w:tcPr>
          <w:p w:rsidR="001E7BB4" w:rsidRPr="007930B0" w:rsidRDefault="001E7BB4" w:rsidP="006B0B85">
            <w:pPr>
              <w:spacing w:before="40" w:after="40" w:line="220" w:lineRule="exact"/>
              <w:ind w:right="113"/>
              <w:rPr>
                <w:sz w:val="18"/>
              </w:rPr>
            </w:pPr>
            <w:r w:rsidRPr="007930B0">
              <w:rPr>
                <w:sz w:val="18"/>
              </w:rPr>
              <w:t>Nuakchot</w:t>
            </w:r>
          </w:p>
        </w:tc>
        <w:tc>
          <w:tcPr>
            <w:tcW w:w="672" w:type="dxa"/>
            <w:tcBorders>
              <w:bottom w:val="single" w:sz="4" w:space="0" w:color="auto"/>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17,4%</w:t>
            </w:r>
          </w:p>
        </w:tc>
        <w:tc>
          <w:tcPr>
            <w:tcW w:w="672" w:type="dxa"/>
            <w:tcBorders>
              <w:bottom w:val="single" w:sz="4" w:space="0" w:color="auto"/>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17,9%</w:t>
            </w:r>
          </w:p>
        </w:tc>
        <w:tc>
          <w:tcPr>
            <w:tcW w:w="672" w:type="dxa"/>
            <w:tcBorders>
              <w:bottom w:val="single" w:sz="4" w:space="0" w:color="auto"/>
            </w:tcBorders>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17,7%</w:t>
            </w:r>
          </w:p>
        </w:tc>
        <w:tc>
          <w:tcPr>
            <w:tcW w:w="671" w:type="dxa"/>
            <w:tcBorders>
              <w:bottom w:val="single" w:sz="4" w:space="0" w:color="auto"/>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18,5%</w:t>
            </w:r>
          </w:p>
        </w:tc>
        <w:tc>
          <w:tcPr>
            <w:tcW w:w="671" w:type="dxa"/>
            <w:tcBorders>
              <w:bottom w:val="single" w:sz="4" w:space="0" w:color="auto"/>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18,4%</w:t>
            </w:r>
          </w:p>
        </w:tc>
        <w:tc>
          <w:tcPr>
            <w:tcW w:w="671" w:type="dxa"/>
            <w:tcBorders>
              <w:bottom w:val="single" w:sz="4" w:space="0" w:color="auto"/>
            </w:tcBorders>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18,4%</w:t>
            </w:r>
          </w:p>
        </w:tc>
        <w:tc>
          <w:tcPr>
            <w:tcW w:w="671" w:type="dxa"/>
            <w:tcBorders>
              <w:bottom w:val="single" w:sz="4" w:space="0" w:color="auto"/>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6,8%</w:t>
            </w:r>
          </w:p>
        </w:tc>
        <w:tc>
          <w:tcPr>
            <w:tcW w:w="671" w:type="dxa"/>
            <w:tcBorders>
              <w:bottom w:val="single" w:sz="4" w:space="0" w:color="auto"/>
            </w:tcBorders>
            <w:shd w:val="clear" w:color="000000" w:fill="auto"/>
            <w:noWrap/>
            <w:vAlign w:val="bottom"/>
          </w:tcPr>
          <w:p w:rsidR="001E7BB4" w:rsidRPr="007930B0" w:rsidRDefault="001E7BB4" w:rsidP="006B0B85">
            <w:pPr>
              <w:spacing w:before="40" w:after="40" w:line="220" w:lineRule="exact"/>
              <w:ind w:right="113"/>
              <w:jc w:val="right"/>
              <w:rPr>
                <w:sz w:val="18"/>
              </w:rPr>
            </w:pPr>
            <w:r w:rsidRPr="007930B0">
              <w:rPr>
                <w:sz w:val="18"/>
              </w:rPr>
              <w:t>6,8%</w:t>
            </w:r>
          </w:p>
        </w:tc>
        <w:tc>
          <w:tcPr>
            <w:tcW w:w="671" w:type="dxa"/>
            <w:tcBorders>
              <w:bottom w:val="single" w:sz="4" w:space="0" w:color="auto"/>
            </w:tcBorders>
            <w:shd w:val="clear" w:color="000000" w:fill="auto"/>
            <w:noWrap/>
            <w:vAlign w:val="bottom"/>
          </w:tcPr>
          <w:p w:rsidR="001E7BB4" w:rsidRPr="007930B0" w:rsidRDefault="001E7BB4" w:rsidP="006B0B85">
            <w:pPr>
              <w:spacing w:before="40" w:after="40" w:line="220" w:lineRule="exact"/>
              <w:ind w:right="113"/>
              <w:jc w:val="right"/>
              <w:rPr>
                <w:b/>
                <w:sz w:val="18"/>
              </w:rPr>
            </w:pPr>
            <w:r w:rsidRPr="007930B0">
              <w:rPr>
                <w:b/>
                <w:sz w:val="18"/>
              </w:rPr>
              <w:t>6,8%</w:t>
            </w:r>
          </w:p>
        </w:tc>
      </w:tr>
      <w:tr w:rsidR="006B0B85" w:rsidRPr="007930B0">
        <w:trPr>
          <w:trHeight w:val="300"/>
        </w:trPr>
        <w:tc>
          <w:tcPr>
            <w:tcW w:w="1328" w:type="dxa"/>
            <w:tcBorders>
              <w:top w:val="single" w:sz="4" w:space="0" w:color="auto"/>
              <w:bottom w:val="single" w:sz="12" w:space="0" w:color="auto"/>
            </w:tcBorders>
            <w:shd w:val="clear" w:color="000000" w:fill="auto"/>
            <w:noWrap/>
          </w:tcPr>
          <w:p w:rsidR="001E7BB4" w:rsidRPr="007930B0" w:rsidRDefault="001E7BB4" w:rsidP="006B0B85">
            <w:pPr>
              <w:spacing w:before="80" w:after="80" w:line="220" w:lineRule="exact"/>
              <w:ind w:left="284" w:right="113"/>
              <w:rPr>
                <w:b/>
                <w:sz w:val="18"/>
              </w:rPr>
            </w:pPr>
            <w:r w:rsidRPr="007930B0">
              <w:rPr>
                <w:b/>
                <w:sz w:val="18"/>
              </w:rPr>
              <w:t>Nacional</w:t>
            </w:r>
          </w:p>
        </w:tc>
        <w:tc>
          <w:tcPr>
            <w:tcW w:w="672" w:type="dxa"/>
            <w:tcBorders>
              <w:top w:val="single" w:sz="4" w:space="0" w:color="auto"/>
              <w:bottom w:val="single" w:sz="12" w:space="0" w:color="auto"/>
            </w:tcBorders>
            <w:shd w:val="clear" w:color="000000" w:fill="auto"/>
            <w:noWrap/>
            <w:vAlign w:val="bottom"/>
          </w:tcPr>
          <w:p w:rsidR="001E7BB4" w:rsidRPr="007930B0" w:rsidRDefault="001E7BB4" w:rsidP="006B0B85">
            <w:pPr>
              <w:spacing w:before="80" w:after="80" w:line="220" w:lineRule="exact"/>
              <w:ind w:right="113"/>
              <w:jc w:val="right"/>
              <w:rPr>
                <w:b/>
                <w:sz w:val="18"/>
              </w:rPr>
            </w:pPr>
            <w:r w:rsidRPr="007930B0">
              <w:rPr>
                <w:b/>
                <w:sz w:val="18"/>
              </w:rPr>
              <w:t>9,9%</w:t>
            </w:r>
          </w:p>
        </w:tc>
        <w:tc>
          <w:tcPr>
            <w:tcW w:w="672" w:type="dxa"/>
            <w:tcBorders>
              <w:top w:val="single" w:sz="4" w:space="0" w:color="auto"/>
              <w:bottom w:val="single" w:sz="12" w:space="0" w:color="auto"/>
            </w:tcBorders>
            <w:shd w:val="clear" w:color="000000" w:fill="auto"/>
            <w:noWrap/>
            <w:vAlign w:val="bottom"/>
          </w:tcPr>
          <w:p w:rsidR="001E7BB4" w:rsidRPr="007930B0" w:rsidRDefault="001E7BB4" w:rsidP="006B0B85">
            <w:pPr>
              <w:spacing w:before="80" w:after="80" w:line="220" w:lineRule="exact"/>
              <w:ind w:right="113"/>
              <w:jc w:val="right"/>
              <w:rPr>
                <w:b/>
                <w:sz w:val="18"/>
              </w:rPr>
            </w:pPr>
            <w:r w:rsidRPr="007930B0">
              <w:rPr>
                <w:b/>
                <w:sz w:val="18"/>
              </w:rPr>
              <w:t>10,3%</w:t>
            </w:r>
          </w:p>
        </w:tc>
        <w:tc>
          <w:tcPr>
            <w:tcW w:w="672" w:type="dxa"/>
            <w:tcBorders>
              <w:top w:val="single" w:sz="4" w:space="0" w:color="auto"/>
              <w:bottom w:val="single" w:sz="12" w:space="0" w:color="auto"/>
            </w:tcBorders>
            <w:shd w:val="clear" w:color="000000" w:fill="auto"/>
            <w:noWrap/>
            <w:vAlign w:val="bottom"/>
          </w:tcPr>
          <w:p w:rsidR="001E7BB4" w:rsidRPr="007930B0" w:rsidRDefault="001E7BB4" w:rsidP="006B0B85">
            <w:pPr>
              <w:spacing w:before="80" w:after="80" w:line="220" w:lineRule="exact"/>
              <w:ind w:right="113"/>
              <w:jc w:val="right"/>
              <w:rPr>
                <w:b/>
                <w:sz w:val="18"/>
              </w:rPr>
            </w:pPr>
            <w:r w:rsidRPr="007930B0">
              <w:rPr>
                <w:b/>
                <w:sz w:val="18"/>
              </w:rPr>
              <w:t>10,1%</w:t>
            </w:r>
          </w:p>
        </w:tc>
        <w:tc>
          <w:tcPr>
            <w:tcW w:w="671" w:type="dxa"/>
            <w:tcBorders>
              <w:top w:val="single" w:sz="4" w:space="0" w:color="auto"/>
              <w:bottom w:val="single" w:sz="12" w:space="0" w:color="auto"/>
            </w:tcBorders>
            <w:shd w:val="clear" w:color="000000" w:fill="auto"/>
            <w:noWrap/>
            <w:vAlign w:val="bottom"/>
          </w:tcPr>
          <w:p w:rsidR="001E7BB4" w:rsidRPr="007930B0" w:rsidRDefault="001E7BB4" w:rsidP="006B0B85">
            <w:pPr>
              <w:spacing w:before="80" w:after="80" w:line="220" w:lineRule="exact"/>
              <w:ind w:right="113"/>
              <w:jc w:val="right"/>
              <w:rPr>
                <w:b/>
                <w:sz w:val="18"/>
              </w:rPr>
            </w:pPr>
            <w:r w:rsidRPr="007930B0">
              <w:rPr>
                <w:b/>
                <w:sz w:val="18"/>
              </w:rPr>
              <w:t>10,1%</w:t>
            </w:r>
          </w:p>
        </w:tc>
        <w:tc>
          <w:tcPr>
            <w:tcW w:w="671" w:type="dxa"/>
            <w:tcBorders>
              <w:top w:val="single" w:sz="4" w:space="0" w:color="auto"/>
              <w:bottom w:val="single" w:sz="12" w:space="0" w:color="auto"/>
            </w:tcBorders>
            <w:shd w:val="clear" w:color="000000" w:fill="auto"/>
            <w:noWrap/>
            <w:vAlign w:val="bottom"/>
          </w:tcPr>
          <w:p w:rsidR="001E7BB4" w:rsidRPr="007930B0" w:rsidRDefault="001E7BB4" w:rsidP="006B0B85">
            <w:pPr>
              <w:spacing w:before="80" w:after="80" w:line="220" w:lineRule="exact"/>
              <w:ind w:right="113"/>
              <w:jc w:val="right"/>
              <w:rPr>
                <w:b/>
                <w:sz w:val="18"/>
              </w:rPr>
            </w:pPr>
            <w:r w:rsidRPr="007930B0">
              <w:rPr>
                <w:b/>
                <w:sz w:val="18"/>
              </w:rPr>
              <w:t>10,3%</w:t>
            </w:r>
          </w:p>
        </w:tc>
        <w:tc>
          <w:tcPr>
            <w:tcW w:w="671" w:type="dxa"/>
            <w:tcBorders>
              <w:top w:val="single" w:sz="4" w:space="0" w:color="auto"/>
              <w:bottom w:val="single" w:sz="12" w:space="0" w:color="auto"/>
            </w:tcBorders>
            <w:shd w:val="clear" w:color="000000" w:fill="auto"/>
            <w:noWrap/>
            <w:vAlign w:val="bottom"/>
          </w:tcPr>
          <w:p w:rsidR="001E7BB4" w:rsidRPr="007930B0" w:rsidRDefault="001E7BB4" w:rsidP="006B0B85">
            <w:pPr>
              <w:spacing w:before="80" w:after="80" w:line="220" w:lineRule="exact"/>
              <w:ind w:right="113"/>
              <w:jc w:val="right"/>
              <w:rPr>
                <w:b/>
                <w:sz w:val="18"/>
              </w:rPr>
            </w:pPr>
            <w:r w:rsidRPr="007930B0">
              <w:rPr>
                <w:b/>
                <w:sz w:val="18"/>
              </w:rPr>
              <w:t>10,2%</w:t>
            </w:r>
          </w:p>
        </w:tc>
        <w:tc>
          <w:tcPr>
            <w:tcW w:w="671" w:type="dxa"/>
            <w:tcBorders>
              <w:top w:val="single" w:sz="4" w:space="0" w:color="auto"/>
              <w:bottom w:val="single" w:sz="12" w:space="0" w:color="auto"/>
            </w:tcBorders>
            <w:shd w:val="clear" w:color="000000" w:fill="auto"/>
            <w:noWrap/>
            <w:vAlign w:val="bottom"/>
          </w:tcPr>
          <w:p w:rsidR="001E7BB4" w:rsidRPr="007930B0" w:rsidRDefault="001E7BB4" w:rsidP="006B0B85">
            <w:pPr>
              <w:spacing w:before="80" w:after="80" w:line="220" w:lineRule="exact"/>
              <w:ind w:right="113"/>
              <w:jc w:val="right"/>
              <w:rPr>
                <w:b/>
                <w:sz w:val="18"/>
              </w:rPr>
            </w:pPr>
            <w:r w:rsidRPr="007930B0">
              <w:rPr>
                <w:b/>
                <w:sz w:val="18"/>
              </w:rPr>
              <w:t>3,4%</w:t>
            </w:r>
          </w:p>
        </w:tc>
        <w:tc>
          <w:tcPr>
            <w:tcW w:w="671" w:type="dxa"/>
            <w:tcBorders>
              <w:top w:val="single" w:sz="4" w:space="0" w:color="auto"/>
              <w:bottom w:val="single" w:sz="12" w:space="0" w:color="auto"/>
            </w:tcBorders>
            <w:shd w:val="clear" w:color="000000" w:fill="auto"/>
            <w:noWrap/>
            <w:vAlign w:val="bottom"/>
          </w:tcPr>
          <w:p w:rsidR="001E7BB4" w:rsidRPr="007930B0" w:rsidRDefault="001E7BB4" w:rsidP="006B0B85">
            <w:pPr>
              <w:spacing w:before="80" w:after="80" w:line="220" w:lineRule="exact"/>
              <w:ind w:right="113"/>
              <w:jc w:val="right"/>
              <w:rPr>
                <w:b/>
                <w:sz w:val="18"/>
              </w:rPr>
            </w:pPr>
            <w:r w:rsidRPr="007930B0">
              <w:rPr>
                <w:b/>
                <w:sz w:val="18"/>
              </w:rPr>
              <w:t>3,4%</w:t>
            </w:r>
          </w:p>
        </w:tc>
        <w:tc>
          <w:tcPr>
            <w:tcW w:w="671" w:type="dxa"/>
            <w:tcBorders>
              <w:top w:val="single" w:sz="4" w:space="0" w:color="auto"/>
              <w:bottom w:val="single" w:sz="12" w:space="0" w:color="auto"/>
            </w:tcBorders>
            <w:shd w:val="clear" w:color="000000" w:fill="auto"/>
            <w:noWrap/>
            <w:vAlign w:val="bottom"/>
          </w:tcPr>
          <w:p w:rsidR="001E7BB4" w:rsidRPr="007930B0" w:rsidRDefault="001E7BB4" w:rsidP="006B0B85">
            <w:pPr>
              <w:spacing w:before="80" w:after="80" w:line="220" w:lineRule="exact"/>
              <w:ind w:right="113"/>
              <w:jc w:val="right"/>
              <w:rPr>
                <w:b/>
                <w:sz w:val="18"/>
              </w:rPr>
            </w:pPr>
            <w:r w:rsidRPr="007930B0">
              <w:rPr>
                <w:b/>
                <w:sz w:val="18"/>
              </w:rPr>
              <w:t>3,4%</w:t>
            </w:r>
          </w:p>
        </w:tc>
      </w:tr>
    </w:tbl>
    <w:p w:rsidR="001E7BB4" w:rsidRPr="007930B0" w:rsidRDefault="001E7BB4" w:rsidP="006B0B85">
      <w:pPr>
        <w:pStyle w:val="SingleTxtG"/>
        <w:spacing w:before="240"/>
        <w:rPr>
          <w:lang w:val="es-ES"/>
        </w:rPr>
      </w:pPr>
      <w:r w:rsidRPr="007930B0">
        <w:rPr>
          <w:lang w:val="es-ES"/>
        </w:rPr>
        <w:t>450.</w:t>
      </w:r>
      <w:r w:rsidRPr="007930B0">
        <w:rPr>
          <w:lang w:val="es-ES"/>
        </w:rPr>
        <w:tab/>
        <w:t xml:space="preserve">En términos de género, las niñas y los varones tuvieron la misma tasa de repetición en 2006/07. El análisis por </w:t>
      </w:r>
      <w:r w:rsidR="00CD15B7" w:rsidRPr="007930B0">
        <w:rPr>
          <w:i/>
          <w:lang w:val="es-ES"/>
        </w:rPr>
        <w:t>wilaya</w:t>
      </w:r>
      <w:r w:rsidRPr="007930B0">
        <w:rPr>
          <w:lang w:val="es-ES"/>
        </w:rPr>
        <w:t xml:space="preserve"> revela que la tasa de repetición masculina es inferior a la tasa de repetición femenina en casi todas las </w:t>
      </w:r>
      <w:r w:rsidRPr="007930B0">
        <w:rPr>
          <w:i/>
          <w:iCs/>
          <w:lang w:val="es-ES"/>
        </w:rPr>
        <w:t>wilayas</w:t>
      </w:r>
      <w:r w:rsidRPr="007930B0">
        <w:rPr>
          <w:lang w:val="es-ES"/>
        </w:rPr>
        <w:t xml:space="preserve"> del país (10 de 13), aunque a menudo la diferencia es mínima.</w:t>
      </w:r>
    </w:p>
    <w:p w:rsidR="001E7BB4" w:rsidRPr="007930B0" w:rsidRDefault="00A62881" w:rsidP="006B0B85">
      <w:pPr>
        <w:ind w:left="1134"/>
      </w:pPr>
      <w:r w:rsidRPr="007930B0">
        <w:rPr>
          <w:noProof/>
          <w:lang w:eastAsia="ca-ES"/>
        </w:rPr>
        <w:pict>
          <v:rect id="_x0000_s1315" style="position:absolute;left:0;text-align:left;margin-left:40.7pt;margin-top:96.7pt;width:43.25pt;height:15.35pt;rotation:270;z-index:7" filled="f" stroked="f">
            <v:textbox style="layout-flow:vertical;mso-layout-flow-alt:bottom-to-top" inset="0,0,0,0">
              <w:txbxContent>
                <w:p w:rsidR="00704D1B" w:rsidRPr="00A62881" w:rsidRDefault="00704D1B">
                  <w:pPr>
                    <w:rPr>
                      <w:sz w:val="18"/>
                      <w:szCs w:val="18"/>
                    </w:rPr>
                  </w:pPr>
                  <w:r w:rsidRPr="00A62881">
                    <w:rPr>
                      <w:b/>
                      <w:bCs/>
                      <w:color w:val="000000"/>
                      <w:sz w:val="18"/>
                      <w:szCs w:val="18"/>
                      <w:lang w:val="en-US"/>
                    </w:rPr>
                    <w:t>Varones</w:t>
                  </w:r>
                </w:p>
              </w:txbxContent>
            </v:textbox>
          </v:rect>
        </w:pict>
      </w:r>
      <w:r>
        <w:rPr>
          <w:noProof/>
          <w:lang w:val="ca-ES" w:eastAsia="ca-ES"/>
        </w:rPr>
        <w:pict>
          <v:rect id="_x0000_s1314" style="position:absolute;left:0;text-align:left;margin-left:229.65pt;margin-top:192pt;width:22.05pt;height:24pt;z-index:8;mso-wrap-style:none" filled="f" stroked="f">
            <v:textbox style="mso-fit-shape-to-text:t" inset="0,0,0,0">
              <w:txbxContent>
                <w:p w:rsidR="00704D1B" w:rsidRPr="00A62881" w:rsidRDefault="00704D1B">
                  <w:pPr>
                    <w:rPr>
                      <w:sz w:val="18"/>
                      <w:szCs w:val="18"/>
                    </w:rPr>
                  </w:pPr>
                  <w:r w:rsidRPr="00A62881">
                    <w:rPr>
                      <w:b/>
                      <w:bCs/>
                      <w:color w:val="000000"/>
                      <w:sz w:val="18"/>
                      <w:szCs w:val="18"/>
                      <w:lang w:val="en-US"/>
                    </w:rPr>
                    <w:t>Niñas</w:t>
                  </w:r>
                </w:p>
              </w:txbxContent>
            </v:textbox>
          </v:rect>
        </w:pict>
      </w:r>
      <w:r w:rsidR="006B0B85" w:rsidRPr="007930B0">
        <w:rPr>
          <w:noProof/>
          <w:lang w:eastAsia="ca-ES"/>
        </w:rPr>
      </w:r>
      <w:r w:rsidR="006B0B85" w:rsidRPr="007930B0">
        <w:pict>
          <v:group id="_x0000_s1239" editas="canvas" style="width:368.3pt;height:210.55pt;mso-position-horizontal-relative:char;mso-position-vertical-relative:line" coordsize="7366,4211">
            <o:lock v:ext="edit" aspectratio="t"/>
            <v:shape id="_x0000_s1238" type="#_x0000_t75" style="position:absolute;width:7366;height:4211" o:preferrelative="f">
              <v:fill o:detectmouseclick="t"/>
              <v:path o:extrusionok="t" o:connecttype="none"/>
              <o:lock v:ext="edit" text="t"/>
            </v:shape>
            <v:rect id="_x0000_s1240" style="position:absolute;left:624;top:505;width:6438;height:3005" fillcolor="silver" stroked="f"/>
            <v:line id="_x0000_s1241" style="position:absolute" from="624,3134" to="7062,3135" strokeweight="0"/>
            <v:line id="_x0000_s1242" style="position:absolute" from="624,2759" to="7062,2760" strokeweight="0"/>
            <v:line id="_x0000_s1243" style="position:absolute" from="624,2384" to="7062,2385" strokeweight="0"/>
            <v:line id="_x0000_s1244" style="position:absolute" from="624,2007" to="7062,2008" strokeweight="0"/>
            <v:line id="_x0000_s1245" style="position:absolute" from="624,1632" to="7062,1633" strokeweight="0"/>
            <v:line id="_x0000_s1246" style="position:absolute" from="624,1256" to="7062,1257" strokeweight="0"/>
            <v:line id="_x0000_s1247" style="position:absolute" from="624,881" to="7062,882" strokeweight="0"/>
            <v:line id="_x0000_s1248" style="position:absolute" from="624,505" to="7062,506" strokeweight="0"/>
            <v:line id="_x0000_s1249" style="position:absolute" from="1340,505" to="1341,3510" strokeweight="0"/>
            <v:line id="_x0000_s1250" style="position:absolute" from="2056,505" to="2057,3510" strokeweight="0"/>
            <v:line id="_x0000_s1251" style="position:absolute" from="2770,505" to="2771,3510" strokeweight="0"/>
            <v:line id="_x0000_s1252" style="position:absolute" from="3486,505" to="3487,3510" strokeweight="0"/>
            <v:line id="_x0000_s1253" style="position:absolute" from="4201,505" to="4202,3510" strokeweight="0"/>
            <v:line id="_x0000_s1254" style="position:absolute" from="4917,505" to="4918,3510" strokeweight="0"/>
            <v:line id="_x0000_s1255" style="position:absolute" from="5631,505" to="5632,3510" strokeweight="0"/>
            <v:line id="_x0000_s1256" style="position:absolute" from="6347,505" to="6348,3510" strokeweight="0"/>
            <v:line id="_x0000_s1257" style="position:absolute" from="7062,505" to="7063,3510" strokeweight="0"/>
            <v:rect id="_x0000_s1258" style="position:absolute;left:624;top:505;width:6438;height:3005" filled="f" strokecolor="gray" strokeweight=".5pt"/>
            <v:line id="_x0000_s1259" style="position:absolute" from="624,505" to="625,3510" strokeweight="0"/>
            <v:line id="_x0000_s1260" style="position:absolute" from="594,3510" to="624,3511" strokeweight="0"/>
            <v:line id="_x0000_s1261" style="position:absolute" from="594,3134" to="624,3135" strokeweight="0"/>
            <v:line id="_x0000_s1262" style="position:absolute" from="594,2759" to="624,2760" strokeweight="0"/>
            <v:line id="_x0000_s1263" style="position:absolute" from="594,2384" to="624,2385" strokeweight="0"/>
            <v:line id="_x0000_s1264" style="position:absolute" from="594,2007" to="624,2008" strokeweight="0"/>
            <v:line id="_x0000_s1265" style="position:absolute" from="594,1632" to="624,1633" strokeweight="0"/>
            <v:line id="_x0000_s1266" style="position:absolute" from="594,1256" to="624,1257" strokeweight="0"/>
            <v:line id="_x0000_s1267" style="position:absolute" from="594,881" to="624,882" strokeweight="0"/>
            <v:line id="_x0000_s1268" style="position:absolute" from="594,505" to="624,506" strokeweight="0"/>
            <v:line id="_x0000_s1269" style="position:absolute" from="624,3510" to="7062,3511" strokeweight="0"/>
            <v:line id="_x0000_s1270" style="position:absolute;flip:y" from="624,3510" to="625,3536" strokeweight="0"/>
            <v:line id="_x0000_s1271" style="position:absolute;flip:y" from="1340,3510" to="1341,3536" strokeweight="0"/>
            <v:line id="_x0000_s1272" style="position:absolute;flip:y" from="2056,3510" to="2057,3536" strokeweight="0"/>
            <v:line id="_x0000_s1273" style="position:absolute;flip:y" from="2770,3510" to="2771,3536" strokeweight="0"/>
            <v:line id="_x0000_s1274" style="position:absolute;flip:y" from="3486,3510" to="3487,3536" strokeweight="0"/>
            <v:line id="_x0000_s1275" style="position:absolute;flip:y" from="4201,3510" to="4202,3536" strokeweight="0"/>
            <v:line id="_x0000_s1276" style="position:absolute;flip:y" from="4917,3510" to="4918,3536" strokeweight="0"/>
            <v:line id="_x0000_s1277" style="position:absolute;flip:y" from="5631,3510" to="5632,3536" strokeweight="0"/>
            <v:line id="_x0000_s1278" style="position:absolute;flip:y" from="6347,3510" to="6348,3536" strokeweight="0"/>
            <v:line id="_x0000_s1279" style="position:absolute;flip:y" from="7062,3510" to="7063,3536" strokeweight="0"/>
            <v:shape id="_x0000_s1280" style="position:absolute;left:3803;top:2627;width:51;height:44" coordsize="51,44" path="m25,l51,22,25,44,,22,25,xe" fillcolor="navy" strokecolor="navy" strokeweight=".5pt">
              <v:path arrowok="t"/>
            </v:shape>
            <v:shape id="_x0000_s1281" style="position:absolute;left:812;top:3419;width:51;height:44" coordsize="51,44" path="m25,l51,22,25,44,,22,25,xe" fillcolor="navy" strokecolor="navy" strokeweight=".5pt">
              <v:path arrowok="t"/>
            </v:shape>
            <v:shape id="_x0000_s1282" style="position:absolute;left:2344;top:3023;width:51;height:44" coordsize="51,44" path="m25,l51,22,25,44,,22,25,xe" fillcolor="navy" strokecolor="navy" strokeweight=".5pt">
              <v:path arrowok="t"/>
            </v:shape>
            <v:shape id="_x0000_s1283" style="position:absolute;left:1917;top:3110;width:51;height:44" coordsize="51,44" path="m26,l51,22,26,44,,22,26,xe" fillcolor="navy" strokecolor="navy" strokeweight=".5pt">
              <v:path arrowok="t"/>
            </v:shape>
            <v:shape id="_x0000_s1284" style="position:absolute;left:3352;top:2680;width:51;height:43" coordsize="51,43" path="m25,l51,22,25,43,,22,25,xe" fillcolor="navy" strokecolor="navy" strokeweight=".5pt">
              <v:path arrowok="t"/>
            </v:shape>
            <v:shape id="_x0000_s1285" style="position:absolute;left:1592;top:3238;width:51;height:44" coordsize="51,44" path="m25,l51,22,25,44,,22,25,xe" fillcolor="navy" strokecolor="navy" strokeweight=".5pt">
              <v:path arrowok="t"/>
            </v:shape>
            <v:shape id="_x0000_s1286" style="position:absolute;left:6598;top:2108;width:51;height:44" coordsize="51,44" path="m26,l51,22,26,44,,22,26,xe" fillcolor="navy" strokecolor="navy" strokeweight=".5pt">
              <v:path arrowok="t"/>
            </v:shape>
            <v:shape id="_x0000_s1287" style="position:absolute;left:4199;top:2606;width:51;height:44" coordsize="51,44" path="m25,l51,22,25,44,,22,25,xe" fillcolor="navy" strokecolor="navy" strokeweight=".5pt">
              <v:path arrowok="t"/>
            </v:shape>
            <v:shape id="_x0000_s1288" style="position:absolute;left:3136;top:2810;width:51;height:44" coordsize="51,44" path="m25,l51,22,25,44,,22,25,xe" fillcolor="navy" strokecolor="navy" strokeweight=".5pt">
              <v:path arrowok="t"/>
            </v:shape>
            <v:shape id="_x0000_s1289" style="position:absolute;left:3177;top:2914;width:51;height:44" coordsize="51,44" path="m25,l51,22,25,44,,22,25,xe" fillcolor="navy" strokecolor="navy" strokeweight=".5pt">
              <v:path arrowok="t"/>
            </v:shape>
            <v:shape id="_x0000_s1290" style="position:absolute;left:3873;top:2673;width:51;height:44" coordsize="51,44" path="m26,l51,22,26,44,,22,26,xe" fillcolor="navy" strokecolor="navy" strokeweight=".5pt">
              <v:path arrowok="t"/>
            </v:shape>
            <v:shape id="_x0000_s1291" style="position:absolute;left:6731;top:558;width:51;height:44" coordsize="51,44" path="m25,l51,22,25,44,,22,25,xe" fillcolor="navy" strokecolor="navy" strokeweight=".5pt">
              <v:path arrowok="t"/>
            </v:shape>
            <v:shape id="_x0000_s1292" style="position:absolute;left:3506;top:2711;width:51;height:44" coordsize="51,44" path="m26,l51,22,26,44,,22,26,xe" fillcolor="navy" strokecolor="navy" strokeweight=".5pt">
              <v:path arrowok="t"/>
            </v:shape>
            <v:shape id="_x0000_s1293" style="position:absolute;left:3113;top:2821;width:51;height:44" coordsize="51,44" path="m25,l51,22,25,44,,22,25,xe" fillcolor="navy" strokecolor="navy" strokeweight=".5pt">
              <v:path arrowok="t"/>
            </v:shape>
            <v:rect id="_x0000_s1294" style="position:absolute;left:1800;top:135;width:3710;height:480;mso-wrap-style:none" filled="f" stroked="f">
              <v:textbox style="mso-fit-shape-to-text:t" inset="0,0,0,0">
                <w:txbxContent>
                  <w:p w:rsidR="00704D1B" w:rsidRPr="00A62881" w:rsidRDefault="00704D1B">
                    <w:pPr>
                      <w:rPr>
                        <w:i/>
                        <w:sz w:val="18"/>
                        <w:szCs w:val="18"/>
                      </w:rPr>
                    </w:pPr>
                    <w:r w:rsidRPr="00A62881">
                      <w:rPr>
                        <w:b/>
                        <w:bCs/>
                        <w:color w:val="000000"/>
                        <w:sz w:val="18"/>
                        <w:szCs w:val="18"/>
                      </w:rPr>
                      <w:t xml:space="preserve">Tasa de repetición por sexo y por </w:t>
                    </w:r>
                    <w:r w:rsidRPr="00A62881">
                      <w:rPr>
                        <w:b/>
                        <w:bCs/>
                        <w:i/>
                        <w:color w:val="000000"/>
                        <w:sz w:val="18"/>
                        <w:szCs w:val="18"/>
                      </w:rPr>
                      <w:t xml:space="preserve">wilaya </w:t>
                    </w:r>
                    <w:r w:rsidRPr="00A62881">
                      <w:rPr>
                        <w:b/>
                        <w:bCs/>
                        <w:color w:val="000000"/>
                        <w:sz w:val="18"/>
                        <w:szCs w:val="18"/>
                      </w:rPr>
                      <w:t>2006/07</w:t>
                    </w:r>
                  </w:p>
                </w:txbxContent>
              </v:textbox>
            </v:rect>
            <v:rect id="_x0000_s1295" style="position:absolute;left:320;top:3460;width:183;height:480;mso-wrap-style:none" filled="f" stroked="f">
              <v:textbox style="mso-fit-shape-to-text:t" inset="0,0,0,0">
                <w:txbxContent>
                  <w:p w:rsidR="00704D1B" w:rsidRDefault="00704D1B">
                    <w:r>
                      <w:rPr>
                        <w:rFonts w:ascii="Arial" w:hAnsi="Arial" w:cs="Arial"/>
                        <w:color w:val="000000"/>
                        <w:sz w:val="8"/>
                        <w:szCs w:val="8"/>
                        <w:lang w:val="en-US"/>
                      </w:rPr>
                      <w:t>0,0%</w:t>
                    </w:r>
                  </w:p>
                </w:txbxContent>
              </v:textbox>
            </v:rect>
            <v:rect id="_x0000_s1296" style="position:absolute;left:320;top:3084;width:183;height:480;mso-wrap-style:none" filled="f" stroked="f">
              <v:textbox style="mso-fit-shape-to-text:t" inset="0,0,0,0">
                <w:txbxContent>
                  <w:p w:rsidR="00704D1B" w:rsidRDefault="00704D1B">
                    <w:r>
                      <w:rPr>
                        <w:rFonts w:ascii="Arial" w:hAnsi="Arial" w:cs="Arial"/>
                        <w:color w:val="000000"/>
                        <w:sz w:val="8"/>
                        <w:szCs w:val="8"/>
                        <w:lang w:val="en-US"/>
                      </w:rPr>
                      <w:t>2,0%</w:t>
                    </w:r>
                  </w:p>
                </w:txbxContent>
              </v:textbox>
            </v:rect>
            <v:rect id="_x0000_s1297" style="position:absolute;left:320;top:2709;width:183;height:480;mso-wrap-style:none" filled="f" stroked="f">
              <v:textbox style="mso-fit-shape-to-text:t" inset="0,0,0,0">
                <w:txbxContent>
                  <w:p w:rsidR="00704D1B" w:rsidRDefault="00704D1B">
                    <w:r>
                      <w:rPr>
                        <w:rFonts w:ascii="Arial" w:hAnsi="Arial" w:cs="Arial"/>
                        <w:color w:val="000000"/>
                        <w:sz w:val="8"/>
                        <w:szCs w:val="8"/>
                        <w:lang w:val="en-US"/>
                      </w:rPr>
                      <w:t>4,0%</w:t>
                    </w:r>
                  </w:p>
                </w:txbxContent>
              </v:textbox>
            </v:rect>
            <v:rect id="_x0000_s1298" style="position:absolute;left:320;top:2333;width:183;height:480;mso-wrap-style:none" filled="f" stroked="f">
              <v:textbox style="mso-fit-shape-to-text:t" inset="0,0,0,0">
                <w:txbxContent>
                  <w:p w:rsidR="00704D1B" w:rsidRDefault="00704D1B">
                    <w:r>
                      <w:rPr>
                        <w:rFonts w:ascii="Arial" w:hAnsi="Arial" w:cs="Arial"/>
                        <w:color w:val="000000"/>
                        <w:sz w:val="8"/>
                        <w:szCs w:val="8"/>
                        <w:lang w:val="en-US"/>
                      </w:rPr>
                      <w:t>6,0%</w:t>
                    </w:r>
                  </w:p>
                </w:txbxContent>
              </v:textbox>
            </v:rect>
            <v:rect id="_x0000_s1299" style="position:absolute;left:320;top:1957;width:183;height:480;mso-wrap-style:none" filled="f" stroked="f">
              <v:textbox style="mso-fit-shape-to-text:t" inset="0,0,0,0">
                <w:txbxContent>
                  <w:p w:rsidR="00704D1B" w:rsidRDefault="00704D1B">
                    <w:r>
                      <w:rPr>
                        <w:rFonts w:ascii="Arial" w:hAnsi="Arial" w:cs="Arial"/>
                        <w:color w:val="000000"/>
                        <w:sz w:val="8"/>
                        <w:szCs w:val="8"/>
                        <w:lang w:val="en-US"/>
                      </w:rPr>
                      <w:t>8,0%</w:t>
                    </w:r>
                  </w:p>
                </w:txbxContent>
              </v:textbox>
            </v:rect>
            <v:rect id="_x0000_s1300" style="position:absolute;left:264;top:1581;width:227;height:480;mso-wrap-style:none" filled="f" stroked="f">
              <v:textbox style="mso-fit-shape-to-text:t" inset="0,0,0,0">
                <w:txbxContent>
                  <w:p w:rsidR="00704D1B" w:rsidRDefault="00704D1B">
                    <w:r>
                      <w:rPr>
                        <w:rFonts w:ascii="Arial" w:hAnsi="Arial" w:cs="Arial"/>
                        <w:color w:val="000000"/>
                        <w:sz w:val="8"/>
                        <w:szCs w:val="8"/>
                        <w:lang w:val="en-US"/>
                      </w:rPr>
                      <w:t>10,0%</w:t>
                    </w:r>
                  </w:p>
                </w:txbxContent>
              </v:textbox>
            </v:rect>
            <v:rect id="_x0000_s1301" style="position:absolute;left:264;top:1206;width:227;height:480;mso-wrap-style:none" filled="f" stroked="f">
              <v:textbox style="mso-fit-shape-to-text:t" inset="0,0,0,0">
                <w:txbxContent>
                  <w:p w:rsidR="00704D1B" w:rsidRDefault="00704D1B">
                    <w:r>
                      <w:rPr>
                        <w:rFonts w:ascii="Arial" w:hAnsi="Arial" w:cs="Arial"/>
                        <w:color w:val="000000"/>
                        <w:sz w:val="8"/>
                        <w:szCs w:val="8"/>
                        <w:lang w:val="en-US"/>
                      </w:rPr>
                      <w:t>12,0%</w:t>
                    </w:r>
                  </w:p>
                </w:txbxContent>
              </v:textbox>
            </v:rect>
            <v:rect id="_x0000_s1302" style="position:absolute;left:264;top:830;width:227;height:480;mso-wrap-style:none" filled="f" stroked="f">
              <v:textbox style="mso-fit-shape-to-text:t" inset="0,0,0,0">
                <w:txbxContent>
                  <w:p w:rsidR="00704D1B" w:rsidRDefault="00704D1B">
                    <w:r>
                      <w:rPr>
                        <w:rFonts w:ascii="Arial" w:hAnsi="Arial" w:cs="Arial"/>
                        <w:color w:val="000000"/>
                        <w:sz w:val="8"/>
                        <w:szCs w:val="8"/>
                        <w:lang w:val="en-US"/>
                      </w:rPr>
                      <w:t>14,0%</w:t>
                    </w:r>
                  </w:p>
                </w:txbxContent>
              </v:textbox>
            </v:rect>
            <v:rect id="_x0000_s1303" style="position:absolute;left:264;top:455;width:227;height:480;mso-wrap-style:none" filled="f" stroked="f">
              <v:textbox style="mso-fit-shape-to-text:t" inset="0,0,0,0">
                <w:txbxContent>
                  <w:p w:rsidR="00704D1B" w:rsidRDefault="00704D1B">
                    <w:r>
                      <w:rPr>
                        <w:rFonts w:ascii="Arial" w:hAnsi="Arial" w:cs="Arial"/>
                        <w:color w:val="000000"/>
                        <w:sz w:val="8"/>
                        <w:szCs w:val="8"/>
                        <w:lang w:val="en-US"/>
                      </w:rPr>
                      <w:t>16,0%</w:t>
                    </w:r>
                  </w:p>
                </w:txbxContent>
              </v:textbox>
            </v:rect>
            <v:rect id="_x0000_s1304" style="position:absolute;left:510;top:3584;width:183;height:480;mso-wrap-style:none" filled="f" stroked="f">
              <v:textbox style="mso-fit-shape-to-text:t" inset="0,0,0,0">
                <w:txbxContent>
                  <w:p w:rsidR="00704D1B" w:rsidRDefault="00704D1B">
                    <w:r>
                      <w:rPr>
                        <w:rFonts w:ascii="Arial" w:hAnsi="Arial" w:cs="Arial"/>
                        <w:color w:val="000000"/>
                        <w:sz w:val="8"/>
                        <w:szCs w:val="8"/>
                        <w:lang w:val="en-US"/>
                      </w:rPr>
                      <w:t>0,0%</w:t>
                    </w:r>
                  </w:p>
                </w:txbxContent>
              </v:textbox>
            </v:rect>
            <v:rect id="_x0000_s1305" style="position:absolute;left:1226;top:3584;width:183;height:480;mso-wrap-style:none" filled="f" stroked="f">
              <v:textbox style="mso-fit-shape-to-text:t" inset="0,0,0,0">
                <w:txbxContent>
                  <w:p w:rsidR="00704D1B" w:rsidRDefault="00704D1B">
                    <w:r>
                      <w:rPr>
                        <w:rFonts w:ascii="Arial" w:hAnsi="Arial" w:cs="Arial"/>
                        <w:color w:val="000000"/>
                        <w:sz w:val="8"/>
                        <w:szCs w:val="8"/>
                        <w:lang w:val="en-US"/>
                      </w:rPr>
                      <w:t>1,0%</w:t>
                    </w:r>
                  </w:p>
                </w:txbxContent>
              </v:textbox>
            </v:rect>
            <v:rect id="_x0000_s1306" style="position:absolute;left:1941;top:3584;width:183;height:480;mso-wrap-style:none" filled="f" stroked="f">
              <v:textbox style="mso-fit-shape-to-text:t" inset="0,0,0,0">
                <w:txbxContent>
                  <w:p w:rsidR="00704D1B" w:rsidRDefault="00704D1B">
                    <w:r>
                      <w:rPr>
                        <w:rFonts w:ascii="Arial" w:hAnsi="Arial" w:cs="Arial"/>
                        <w:color w:val="000000"/>
                        <w:sz w:val="8"/>
                        <w:szCs w:val="8"/>
                        <w:lang w:val="en-US"/>
                      </w:rPr>
                      <w:t>2,0%</w:t>
                    </w:r>
                  </w:p>
                </w:txbxContent>
              </v:textbox>
            </v:rect>
            <v:rect id="_x0000_s1307" style="position:absolute;left:2656;top:3584;width:183;height:480;mso-wrap-style:none" filled="f" stroked="f">
              <v:textbox style="mso-fit-shape-to-text:t" inset="0,0,0,0">
                <w:txbxContent>
                  <w:p w:rsidR="00704D1B" w:rsidRDefault="00704D1B">
                    <w:r>
                      <w:rPr>
                        <w:rFonts w:ascii="Arial" w:hAnsi="Arial" w:cs="Arial"/>
                        <w:color w:val="000000"/>
                        <w:sz w:val="8"/>
                        <w:szCs w:val="8"/>
                        <w:lang w:val="en-US"/>
                      </w:rPr>
                      <w:t>3,0%</w:t>
                    </w:r>
                  </w:p>
                </w:txbxContent>
              </v:textbox>
            </v:rect>
            <v:rect id="_x0000_s1308" style="position:absolute;left:3371;top:3584;width:183;height:480;mso-wrap-style:none" filled="f" stroked="f">
              <v:textbox style="mso-fit-shape-to-text:t" inset="0,0,0,0">
                <w:txbxContent>
                  <w:p w:rsidR="00704D1B" w:rsidRDefault="00704D1B">
                    <w:r>
                      <w:rPr>
                        <w:rFonts w:ascii="Arial" w:hAnsi="Arial" w:cs="Arial"/>
                        <w:color w:val="000000"/>
                        <w:sz w:val="8"/>
                        <w:szCs w:val="8"/>
                        <w:lang w:val="en-US"/>
                      </w:rPr>
                      <w:t>4,0%</w:t>
                    </w:r>
                  </w:p>
                </w:txbxContent>
              </v:textbox>
            </v:rect>
            <v:rect id="_x0000_s1309" style="position:absolute;left:4087;top:3584;width:183;height:480;mso-wrap-style:none" filled="f" stroked="f">
              <v:textbox style="mso-fit-shape-to-text:t" inset="0,0,0,0">
                <w:txbxContent>
                  <w:p w:rsidR="00704D1B" w:rsidRDefault="00704D1B">
                    <w:r>
                      <w:rPr>
                        <w:rFonts w:ascii="Arial" w:hAnsi="Arial" w:cs="Arial"/>
                        <w:color w:val="000000"/>
                        <w:sz w:val="8"/>
                        <w:szCs w:val="8"/>
                        <w:lang w:val="en-US"/>
                      </w:rPr>
                      <w:t>5,0%</w:t>
                    </w:r>
                  </w:p>
                </w:txbxContent>
              </v:textbox>
            </v:rect>
            <v:rect id="_x0000_s1310" style="position:absolute;left:4802;top:3584;width:183;height:480;mso-wrap-style:none" filled="f" stroked="f">
              <v:textbox style="mso-fit-shape-to-text:t" inset="0,0,0,0">
                <w:txbxContent>
                  <w:p w:rsidR="00704D1B" w:rsidRDefault="00704D1B">
                    <w:r>
                      <w:rPr>
                        <w:rFonts w:ascii="Arial" w:hAnsi="Arial" w:cs="Arial"/>
                        <w:color w:val="000000"/>
                        <w:sz w:val="8"/>
                        <w:szCs w:val="8"/>
                        <w:lang w:val="en-US"/>
                      </w:rPr>
                      <w:t>6,0%</w:t>
                    </w:r>
                  </w:p>
                </w:txbxContent>
              </v:textbox>
            </v:rect>
            <v:rect id="_x0000_s1311" style="position:absolute;left:5517;top:3584;width:183;height:480;mso-wrap-style:none" filled="f" stroked="f">
              <v:textbox style="mso-fit-shape-to-text:t" inset="0,0,0,0">
                <w:txbxContent>
                  <w:p w:rsidR="00704D1B" w:rsidRDefault="00704D1B">
                    <w:r>
                      <w:rPr>
                        <w:rFonts w:ascii="Arial" w:hAnsi="Arial" w:cs="Arial"/>
                        <w:color w:val="000000"/>
                        <w:sz w:val="8"/>
                        <w:szCs w:val="8"/>
                        <w:lang w:val="en-US"/>
                      </w:rPr>
                      <w:t>7,0%</w:t>
                    </w:r>
                  </w:p>
                </w:txbxContent>
              </v:textbox>
            </v:rect>
            <v:rect id="_x0000_s1312" style="position:absolute;left:6232;top:3584;width:183;height:480;mso-wrap-style:none" filled="f" stroked="f">
              <v:textbox style="mso-fit-shape-to-text:t" inset="0,0,0,0">
                <w:txbxContent>
                  <w:p w:rsidR="00704D1B" w:rsidRDefault="00704D1B">
                    <w:r>
                      <w:rPr>
                        <w:rFonts w:ascii="Arial" w:hAnsi="Arial" w:cs="Arial"/>
                        <w:color w:val="000000"/>
                        <w:sz w:val="8"/>
                        <w:szCs w:val="8"/>
                        <w:lang w:val="en-US"/>
                      </w:rPr>
                      <w:t>8,0%</w:t>
                    </w:r>
                  </w:p>
                </w:txbxContent>
              </v:textbox>
            </v:rect>
            <v:rect id="_x0000_s1313" style="position:absolute;left:6948;top:3584;width:183;height:480;mso-wrap-style:none" filled="f" stroked="f">
              <v:textbox style="mso-fit-shape-to-text:t" inset="0,0,0,0">
                <w:txbxContent>
                  <w:p w:rsidR="00704D1B" w:rsidRDefault="00704D1B">
                    <w:r>
                      <w:rPr>
                        <w:rFonts w:ascii="Arial" w:hAnsi="Arial" w:cs="Arial"/>
                        <w:color w:val="000000"/>
                        <w:sz w:val="8"/>
                        <w:szCs w:val="8"/>
                        <w:lang w:val="en-US"/>
                      </w:rPr>
                      <w:t>9,0%</w:t>
                    </w:r>
                  </w:p>
                </w:txbxContent>
              </v:textbox>
            </v:rect>
            <v:line id="_x0000_s1316" style="position:absolute;flip:y" from="666,1806" to="7056,3474" strokeweight=".4pt">
              <v:stroke endcap="round"/>
            </v:line>
            <v:rect id="_x0000_s1317" style="position:absolute;left:6562;top:633;width:214;height:480;mso-wrap-style:none" filled="f" stroked="f">
              <v:textbox style="mso-fit-shape-to-text:t" inset="0,0,0,0">
                <w:txbxContent>
                  <w:p w:rsidR="00704D1B" w:rsidRDefault="00704D1B">
                    <w:r>
                      <w:rPr>
                        <w:rFonts w:ascii="Arial" w:hAnsi="Arial" w:cs="Arial"/>
                        <w:color w:val="000000"/>
                        <w:sz w:val="8"/>
                        <w:szCs w:val="8"/>
                        <w:lang w:val="en-US"/>
                      </w:rPr>
                      <w:t>Inchiri</w:t>
                    </w:r>
                  </w:p>
                </w:txbxContent>
              </v:textbox>
            </v:rect>
            <v:rect id="_x0000_s1318" style="position:absolute;left:6682;top:2037;width:196;height:480;mso-wrap-style:none" filled="f" stroked="f">
              <v:textbox style="mso-fit-shape-to-text:t" inset="0,0,0,0">
                <w:txbxContent>
                  <w:p w:rsidR="00704D1B" w:rsidRDefault="00704D1B">
                    <w:r>
                      <w:rPr>
                        <w:rFonts w:ascii="Arial" w:hAnsi="Arial" w:cs="Arial"/>
                        <w:color w:val="000000"/>
                        <w:sz w:val="8"/>
                        <w:szCs w:val="8"/>
                        <w:lang w:val="en-US"/>
                      </w:rPr>
                      <w:t>Adrar</w:t>
                    </w:r>
                  </w:p>
                </w:txbxContent>
              </v:textbox>
            </v:rect>
            <v:rect id="_x0000_s1319" style="position:absolute;left:4368;top:2569;width:169;height:480;mso-wrap-style:none" filled="f" stroked="f">
              <v:textbox style="mso-fit-shape-to-text:t" inset="0,0,0,0">
                <w:txbxContent>
                  <w:p w:rsidR="00704D1B" w:rsidRDefault="00704D1B">
                    <w:r>
                      <w:rPr>
                        <w:rFonts w:ascii="Arial" w:hAnsi="Arial" w:cs="Arial"/>
                        <w:color w:val="000000"/>
                        <w:sz w:val="8"/>
                        <w:szCs w:val="8"/>
                        <w:lang w:val="en-US"/>
                      </w:rPr>
                      <w:t>NDB</w:t>
                    </w:r>
                  </w:p>
                </w:txbxContent>
              </v:textbox>
            </v:rect>
            <v:rect id="_x0000_s1320" style="position:absolute;left:3913;top:2675;width:343;height:480;mso-wrap-style:none" filled="f" stroked="f">
              <v:textbox style="mso-fit-shape-to-text:t" inset="0,0,0,0">
                <w:txbxContent>
                  <w:p w:rsidR="00704D1B" w:rsidRDefault="00704D1B">
                    <w:r>
                      <w:rPr>
                        <w:rFonts w:ascii="Arial" w:hAnsi="Arial" w:cs="Arial"/>
                        <w:color w:val="000000"/>
                        <w:sz w:val="8"/>
                        <w:szCs w:val="8"/>
                        <w:lang w:val="en-US"/>
                      </w:rPr>
                      <w:t>Zemmour</w:t>
                    </w:r>
                  </w:p>
                </w:txbxContent>
              </v:textbox>
            </v:rect>
            <v:rect id="_x0000_s1321" style="position:absolute;left:3804;top:2485;width:361;height:480;mso-wrap-style:none" filled="f" stroked="f">
              <v:textbox style="mso-fit-shape-to-text:t" inset="0,0,0,0">
                <w:txbxContent>
                  <w:p w:rsidR="00704D1B" w:rsidRDefault="00704D1B">
                    <w:r>
                      <w:rPr>
                        <w:rFonts w:ascii="Arial" w:hAnsi="Arial" w:cs="Arial"/>
                        <w:color w:val="000000"/>
                        <w:sz w:val="8"/>
                        <w:szCs w:val="8"/>
                        <w:lang w:val="en-US"/>
                      </w:rPr>
                      <w:t>H.Chargui</w:t>
                    </w:r>
                  </w:p>
                </w:txbxContent>
              </v:textbox>
            </v:rect>
            <v:rect id="_x0000_s1322" style="position:absolute;left:3255;top:2554;width:254;height:480;mso-wrap-style:none" filled="f" stroked="f">
              <v:textbox style="mso-fit-shape-to-text:t" inset="0,0,0,0">
                <w:txbxContent>
                  <w:p w:rsidR="00704D1B" w:rsidRDefault="00704D1B">
                    <w:r>
                      <w:rPr>
                        <w:rFonts w:ascii="Arial" w:hAnsi="Arial" w:cs="Arial"/>
                        <w:color w:val="000000"/>
                        <w:sz w:val="8"/>
                        <w:szCs w:val="8"/>
                        <w:lang w:val="en-US"/>
                      </w:rPr>
                      <w:t>Brakna</w:t>
                    </w:r>
                  </w:p>
                </w:txbxContent>
              </v:textbox>
            </v:rect>
            <v:rect id="_x0000_s1323" style="position:absolute;left:3529;top:2699;width:143;height:480;mso-wrap-style:none" filled="f" stroked="f">
              <v:textbox style="mso-fit-shape-to-text:t" inset="0,0,0,0">
                <w:txbxContent>
                  <w:p w:rsidR="00704D1B" w:rsidRDefault="00704D1B">
                    <w:r>
                      <w:rPr>
                        <w:rFonts w:ascii="Arial" w:hAnsi="Arial" w:cs="Arial"/>
                        <w:color w:val="000000"/>
                        <w:sz w:val="8"/>
                        <w:szCs w:val="8"/>
                        <w:lang w:val="en-US"/>
                      </w:rPr>
                      <w:t>Nktt</w:t>
                    </w:r>
                  </w:p>
                </w:txbxContent>
              </v:textbox>
            </v:rect>
            <v:rect id="_x0000_s1324" style="position:absolute;left:3324;top:2895;width:427;height:480;mso-wrap-style:none" filled="f" stroked="f">
              <v:textbox style="mso-fit-shape-to-text:t" inset="0,0,0,0">
                <w:txbxContent>
                  <w:p w:rsidR="00704D1B" w:rsidRDefault="00704D1B">
                    <w:r>
                      <w:rPr>
                        <w:rFonts w:ascii="Arial" w:hAnsi="Arial" w:cs="Arial"/>
                        <w:color w:val="000000"/>
                        <w:sz w:val="8"/>
                        <w:szCs w:val="8"/>
                        <w:lang w:val="en-US"/>
                      </w:rPr>
                      <w:t>Guidimakha</w:t>
                    </w:r>
                  </w:p>
                </w:txbxContent>
              </v:textbox>
            </v:rect>
            <v:rect id="_x0000_s1325" style="position:absolute;left:2448;top:3023;width:267;height:480;mso-wrap-style:none" filled="f" stroked="f">
              <v:textbox style="mso-fit-shape-to-text:t" inset="0,0,0,0">
                <w:txbxContent>
                  <w:p w:rsidR="00704D1B" w:rsidRDefault="00704D1B">
                    <w:r>
                      <w:rPr>
                        <w:rFonts w:ascii="Arial" w:hAnsi="Arial" w:cs="Arial"/>
                        <w:color w:val="000000"/>
                        <w:sz w:val="8"/>
                        <w:szCs w:val="8"/>
                        <w:lang w:val="en-US"/>
                      </w:rPr>
                      <w:t>Assaba</w:t>
                    </w:r>
                  </w:p>
                </w:txbxContent>
              </v:textbox>
            </v:rect>
            <v:rect id="_x0000_s1326" style="position:absolute;left:1879;top:3008;width:241;height:480;mso-wrap-style:none" filled="f" stroked="f">
              <v:textbox style="mso-fit-shape-to-text:t" inset="0,0,0,0">
                <w:txbxContent>
                  <w:p w:rsidR="00704D1B" w:rsidRDefault="00704D1B">
                    <w:r>
                      <w:rPr>
                        <w:rFonts w:ascii="Arial" w:hAnsi="Arial" w:cs="Arial"/>
                        <w:color w:val="000000"/>
                        <w:sz w:val="8"/>
                        <w:szCs w:val="8"/>
                        <w:lang w:val="en-US"/>
                      </w:rPr>
                      <w:t>Gorgol</w:t>
                    </w:r>
                  </w:p>
                </w:txbxContent>
              </v:textbox>
            </v:rect>
            <v:rect id="_x0000_s1327" style="position:absolute;left:1436;top:3177;width:232;height:480;mso-wrap-style:none" filled="f" stroked="f">
              <v:textbox style="mso-fit-shape-to-text:t" inset="0,0,0,0">
                <w:txbxContent>
                  <w:p w:rsidR="00704D1B" w:rsidRDefault="00704D1B">
                    <w:r>
                      <w:rPr>
                        <w:rFonts w:ascii="Arial" w:hAnsi="Arial" w:cs="Arial"/>
                        <w:color w:val="000000"/>
                        <w:sz w:val="8"/>
                        <w:szCs w:val="8"/>
                        <w:lang w:val="en-US"/>
                      </w:rPr>
                      <w:t>Trarza</w:t>
                    </w:r>
                  </w:p>
                </w:txbxContent>
              </v:textbox>
            </v:rect>
            <v:rect id="_x0000_s1328" style="position:absolute;left:753;top:3305;width:321;height:480;mso-wrap-style:none" filled="f" stroked="f">
              <v:textbox style="mso-fit-shape-to-text:t" inset="0,0,0,0">
                <w:txbxContent>
                  <w:p w:rsidR="00704D1B" w:rsidRDefault="00704D1B">
                    <w:r>
                      <w:rPr>
                        <w:rFonts w:ascii="Arial" w:hAnsi="Arial" w:cs="Arial"/>
                        <w:color w:val="000000"/>
                        <w:sz w:val="8"/>
                        <w:szCs w:val="8"/>
                        <w:lang w:val="en-US"/>
                      </w:rPr>
                      <w:t>H.Gharbi</w:t>
                    </w:r>
                  </w:p>
                </w:txbxContent>
              </v:textbox>
            </v:rect>
            <v:rect id="_x0000_s1329" style="position:absolute;left:3252;top:2753;width:161;height:240;mso-wrap-style:none" filled="f" stroked="f">
              <v:textbox style="mso-fit-shape-to-text:t" inset="0,0,0,0">
                <w:txbxContent>
                  <w:p w:rsidR="00704D1B" w:rsidRDefault="00704D1B">
                    <w:r>
                      <w:rPr>
                        <w:rFonts w:ascii="Arial" w:hAnsi="Arial" w:cs="Arial"/>
                        <w:b/>
                        <w:bCs/>
                        <w:color w:val="000000"/>
                        <w:sz w:val="8"/>
                        <w:szCs w:val="8"/>
                        <w:lang w:val="en-US"/>
                      </w:rPr>
                      <w:t>Mau</w:t>
                    </w:r>
                  </w:p>
                </w:txbxContent>
              </v:textbox>
            </v:rect>
            <v:rect id="_x0000_s1330" style="position:absolute;left:2902;top:2750;width:227;height:480;mso-wrap-style:none" filled="f" stroked="f">
              <v:textbox style="mso-fit-shape-to-text:t" inset="0,0,0,0">
                <w:txbxContent>
                  <w:p w:rsidR="00704D1B" w:rsidRDefault="00704D1B">
                    <w:r>
                      <w:rPr>
                        <w:rFonts w:ascii="Arial" w:hAnsi="Arial" w:cs="Arial"/>
                        <w:color w:val="000000"/>
                        <w:sz w:val="8"/>
                        <w:szCs w:val="8"/>
                        <w:lang w:val="en-US"/>
                      </w:rPr>
                      <w:t>Tagan</w:t>
                    </w:r>
                  </w:p>
                </w:txbxContent>
              </v:textbox>
            </v:rect>
            <v:rect id="_x0000_s1331" style="position:absolute;left:2902;top:2854;width:23;height:240;mso-wrap-style:none" filled="f" stroked="f">
              <v:textbox style="mso-fit-shape-to-text:t" inset="0,0,0,0">
                <w:txbxContent>
                  <w:p w:rsidR="00704D1B" w:rsidRDefault="00704D1B">
                    <w:r>
                      <w:rPr>
                        <w:rFonts w:ascii="Arial" w:hAnsi="Arial" w:cs="Arial"/>
                        <w:color w:val="000000"/>
                        <w:sz w:val="8"/>
                        <w:szCs w:val="8"/>
                        <w:lang w:val="en-US"/>
                      </w:rPr>
                      <w:t>t</w:t>
                    </w:r>
                  </w:p>
                </w:txbxContent>
              </v:textbox>
            </v:rect>
            <w10:anchorlock/>
          </v:group>
        </w:pict>
      </w:r>
    </w:p>
    <w:p w:rsidR="001E7BB4" w:rsidRPr="007930B0" w:rsidRDefault="00FC74A2" w:rsidP="00FC74A2">
      <w:pPr>
        <w:pStyle w:val="H4G"/>
        <w:rPr>
          <w:lang w:val="es-ES"/>
        </w:rPr>
      </w:pPr>
      <w:r w:rsidRPr="007930B0">
        <w:rPr>
          <w:lang w:val="es-ES"/>
        </w:rPr>
        <w:tab/>
      </w:r>
      <w:r w:rsidRPr="007930B0">
        <w:rPr>
          <w:lang w:val="es-ES"/>
        </w:rPr>
        <w:tab/>
      </w:r>
      <w:r w:rsidR="001E7BB4" w:rsidRPr="007930B0">
        <w:rPr>
          <w:lang w:val="es-ES"/>
        </w:rPr>
        <w:t>Proporción alumnos/maestros</w:t>
      </w:r>
      <w:r w:rsidR="001E7BB4" w:rsidRPr="007930B0">
        <w:rPr>
          <w:rStyle w:val="FootnoteReference"/>
          <w:i w:val="0"/>
          <w:lang w:val="es-ES"/>
        </w:rPr>
        <w:footnoteReference w:id="39"/>
      </w:r>
    </w:p>
    <w:p w:rsidR="001E7BB4" w:rsidRPr="007930B0" w:rsidRDefault="001E7BB4" w:rsidP="0068666F">
      <w:pPr>
        <w:pStyle w:val="SingleTxtG"/>
        <w:rPr>
          <w:lang w:val="es-ES"/>
        </w:rPr>
      </w:pPr>
      <w:r w:rsidRPr="007930B0">
        <w:rPr>
          <w:lang w:val="es-ES"/>
        </w:rPr>
        <w:t>451.</w:t>
      </w:r>
      <w:r w:rsidRPr="007930B0">
        <w:rPr>
          <w:lang w:val="es-ES"/>
        </w:rPr>
        <w:tab/>
        <w:t>La proporción entre alumnos y maestros continúa mostrando la progresión observada en los últimos años. Entre 2005/06 y 2006/07 pasó de 44 a 47 alumnos por maestro, superando la meta del PNDSE para 2010, que es de 40 alumnos por docente. Nótese que en la reforma de 1999 se previó una proporción de 50 alumnos por docente.</w:t>
      </w:r>
    </w:p>
    <w:p w:rsidR="001E7BB4" w:rsidRPr="007930B0" w:rsidRDefault="001E7BB4" w:rsidP="0068666F">
      <w:pPr>
        <w:pStyle w:val="SingleTxtG"/>
        <w:rPr>
          <w:lang w:val="es-ES"/>
        </w:rPr>
      </w:pPr>
      <w:r w:rsidRPr="007930B0">
        <w:rPr>
          <w:lang w:val="es-ES"/>
        </w:rPr>
        <w:t>452.</w:t>
      </w:r>
      <w:r w:rsidRPr="007930B0">
        <w:rPr>
          <w:lang w:val="es-ES"/>
        </w:rPr>
        <w:tab/>
        <w:t xml:space="preserve">El análisis de esta proporción por </w:t>
      </w:r>
      <w:r w:rsidR="00CD15B7" w:rsidRPr="007930B0">
        <w:rPr>
          <w:i/>
          <w:lang w:val="es-ES"/>
        </w:rPr>
        <w:t>wilaya</w:t>
      </w:r>
      <w:r w:rsidRPr="007930B0">
        <w:rPr>
          <w:lang w:val="es-ES"/>
        </w:rPr>
        <w:t xml:space="preserve"> muestra disparidades relativamente importantes. Varía entre 70 en Gorgol y 17 en Inchiri. Con respecto al promedio nacional se observa que:</w:t>
      </w:r>
    </w:p>
    <w:p w:rsidR="001E7BB4" w:rsidRPr="00A62881" w:rsidRDefault="001E7BB4" w:rsidP="00FC74A2">
      <w:pPr>
        <w:pStyle w:val="Bullet1G"/>
        <w:rPr>
          <w:i/>
          <w:lang w:val="es-ES"/>
        </w:rPr>
      </w:pPr>
      <w:r w:rsidRPr="00A62881">
        <w:rPr>
          <w:i/>
          <w:lang w:val="es-ES"/>
        </w:rPr>
        <w:t xml:space="preserve">Hodh Charghi (60), Assaba (54), Gorgol (70), Brakna (49) y Guidimakha (57) registraron en 2006/07 proporciones alumnos/maestros superiores al promedio nacional y a la meta del PNDSE. Entre 2005/06 y 2006/07, esta proporción aumentó en todas las </w:t>
      </w:r>
      <w:r w:rsidRPr="00A62881">
        <w:rPr>
          <w:iCs/>
          <w:lang w:val="es-ES"/>
        </w:rPr>
        <w:t>wilayas</w:t>
      </w:r>
      <w:r w:rsidRPr="00A62881">
        <w:rPr>
          <w:i/>
          <w:lang w:val="es-ES"/>
        </w:rPr>
        <w:t xml:space="preserve"> de este grupo. Los incrementos más importantes se registraron en Hodh Charghi (10 punt</w:t>
      </w:r>
      <w:r w:rsidR="00FC74A2" w:rsidRPr="00A62881">
        <w:rPr>
          <w:i/>
          <w:lang w:val="es-ES"/>
        </w:rPr>
        <w:t>os) y en Guidimakha (10 puntos).</w:t>
      </w:r>
    </w:p>
    <w:p w:rsidR="001E7BB4" w:rsidRPr="00A62881" w:rsidRDefault="001E7BB4" w:rsidP="00FC74A2">
      <w:pPr>
        <w:pStyle w:val="Bullet1G"/>
        <w:rPr>
          <w:i/>
          <w:lang w:val="es-ES"/>
        </w:rPr>
      </w:pPr>
      <w:r w:rsidRPr="00A62881">
        <w:rPr>
          <w:i/>
          <w:lang w:val="es-ES"/>
        </w:rPr>
        <w:t xml:space="preserve">Hodh El Gharbi (46), Trarza (38), Adrar (35), D. Nuadhibu (36), Tagant (45), Tiris Zemmour (38), Inchiri (17) y Nuakchot (40) tuvieron tasas inferiores al promedio nacional. En Hodh El Gharbi, Inchiri y Nuakchot las proporciones bajaron en relación con su nivel de 2006/07, mientras que en las demás </w:t>
      </w:r>
      <w:r w:rsidRPr="00A62881">
        <w:rPr>
          <w:iCs/>
          <w:lang w:val="es-ES"/>
        </w:rPr>
        <w:t>wilayas</w:t>
      </w:r>
      <w:r w:rsidRPr="00A62881">
        <w:rPr>
          <w:i/>
          <w:lang w:val="es-ES"/>
        </w:rPr>
        <w:t xml:space="preserve"> aumentaron.</w:t>
      </w:r>
    </w:p>
    <w:p w:rsidR="001E7BB4" w:rsidRPr="007930B0" w:rsidRDefault="001E7BB4" w:rsidP="0068666F">
      <w:pPr>
        <w:pStyle w:val="SingleTxtG"/>
        <w:rPr>
          <w:lang w:val="es-ES"/>
        </w:rPr>
      </w:pPr>
      <w:r w:rsidRPr="007930B0">
        <w:rPr>
          <w:lang w:val="es-ES"/>
        </w:rPr>
        <w:t>453.</w:t>
      </w:r>
      <w:r w:rsidRPr="007930B0">
        <w:rPr>
          <w:lang w:val="es-ES"/>
        </w:rPr>
        <w:tab/>
        <w:t>En el cuadro siguiente se observa la evolución de esta proporción entre 2004 y 2007.</w:t>
      </w:r>
    </w:p>
    <w:p w:rsidR="00FC74A2" w:rsidRPr="007930B0" w:rsidRDefault="00FC74A2" w:rsidP="00FC74A2">
      <w:pPr>
        <w:pStyle w:val="Heading1"/>
        <w:rPr>
          <w:lang w:val="es-ES"/>
        </w:rPr>
      </w:pPr>
      <w:r w:rsidRPr="007930B0">
        <w:rPr>
          <w:lang w:val="es-ES"/>
        </w:rPr>
        <w:t>Cuadro 10</w:t>
      </w:r>
    </w:p>
    <w:p w:rsidR="001E7BB4" w:rsidRPr="007930B0" w:rsidRDefault="001E7BB4" w:rsidP="00FC74A2">
      <w:pPr>
        <w:pStyle w:val="SingleTxtG"/>
        <w:jc w:val="left"/>
        <w:rPr>
          <w:b/>
          <w:lang w:val="es-ES"/>
        </w:rPr>
      </w:pPr>
      <w:r w:rsidRPr="007930B0">
        <w:rPr>
          <w:b/>
          <w:lang w:val="es-ES"/>
        </w:rPr>
        <w:t xml:space="preserve">Evolución de la proporción alumnos/maestros por </w:t>
      </w:r>
      <w:r w:rsidRPr="007930B0">
        <w:rPr>
          <w:b/>
          <w:i/>
          <w:iCs/>
          <w:lang w:val="es-ES"/>
        </w:rPr>
        <w:t>wilaya</w:t>
      </w:r>
      <w:r w:rsidRPr="007930B0">
        <w:rPr>
          <w:b/>
          <w:lang w:val="es-ES"/>
        </w:rPr>
        <w:t xml:space="preserve"> entre 2004/05 y 2006/07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400"/>
        <w:gridCol w:w="1323"/>
        <w:gridCol w:w="1324"/>
        <w:gridCol w:w="1323"/>
      </w:tblGrid>
      <w:tr w:rsidR="001E7BB4" w:rsidRPr="007930B0">
        <w:trPr>
          <w:cantSplit/>
          <w:trHeight w:val="255"/>
          <w:tblHeader/>
        </w:trPr>
        <w:tc>
          <w:tcPr>
            <w:tcW w:w="3400" w:type="dxa"/>
            <w:tcBorders>
              <w:top w:val="single" w:sz="4" w:space="0" w:color="auto"/>
              <w:bottom w:val="single" w:sz="12" w:space="0" w:color="auto"/>
            </w:tcBorders>
            <w:shd w:val="clear" w:color="auto" w:fill="auto"/>
            <w:vAlign w:val="bottom"/>
          </w:tcPr>
          <w:p w:rsidR="001E7BB4" w:rsidRPr="007930B0" w:rsidRDefault="001E7BB4" w:rsidP="00FC74A2">
            <w:pPr>
              <w:spacing w:before="80" w:after="80" w:line="200" w:lineRule="exact"/>
              <w:ind w:right="113"/>
              <w:rPr>
                <w:i/>
                <w:sz w:val="16"/>
              </w:rPr>
            </w:pPr>
            <w:r w:rsidRPr="007930B0">
              <w:rPr>
                <w:i/>
                <w:sz w:val="16"/>
              </w:rPr>
              <w:t>Wilayas</w:t>
            </w:r>
          </w:p>
        </w:tc>
        <w:tc>
          <w:tcPr>
            <w:tcW w:w="1323" w:type="dxa"/>
            <w:tcBorders>
              <w:top w:val="single" w:sz="4" w:space="0" w:color="auto"/>
              <w:bottom w:val="single" w:sz="12" w:space="0" w:color="auto"/>
            </w:tcBorders>
            <w:shd w:val="clear" w:color="auto" w:fill="auto"/>
            <w:noWrap/>
            <w:vAlign w:val="bottom"/>
          </w:tcPr>
          <w:p w:rsidR="001E7BB4" w:rsidRPr="007930B0" w:rsidRDefault="001E7BB4" w:rsidP="00FC74A2">
            <w:pPr>
              <w:spacing w:before="80" w:after="80" w:line="200" w:lineRule="exact"/>
              <w:ind w:right="113"/>
              <w:jc w:val="right"/>
              <w:rPr>
                <w:i/>
                <w:sz w:val="16"/>
              </w:rPr>
            </w:pPr>
            <w:r w:rsidRPr="007930B0">
              <w:rPr>
                <w:i/>
                <w:sz w:val="16"/>
              </w:rPr>
              <w:t>2004/05</w:t>
            </w:r>
          </w:p>
        </w:tc>
        <w:tc>
          <w:tcPr>
            <w:tcW w:w="1324" w:type="dxa"/>
            <w:tcBorders>
              <w:top w:val="single" w:sz="4" w:space="0" w:color="auto"/>
              <w:bottom w:val="single" w:sz="12" w:space="0" w:color="auto"/>
            </w:tcBorders>
            <w:shd w:val="clear" w:color="auto" w:fill="auto"/>
            <w:noWrap/>
            <w:vAlign w:val="bottom"/>
          </w:tcPr>
          <w:p w:rsidR="001E7BB4" w:rsidRPr="007930B0" w:rsidRDefault="001E7BB4" w:rsidP="00FC74A2">
            <w:pPr>
              <w:spacing w:before="80" w:after="80" w:line="200" w:lineRule="exact"/>
              <w:ind w:right="113"/>
              <w:jc w:val="right"/>
              <w:rPr>
                <w:i/>
                <w:sz w:val="16"/>
              </w:rPr>
            </w:pPr>
            <w:r w:rsidRPr="007930B0">
              <w:rPr>
                <w:i/>
                <w:sz w:val="16"/>
              </w:rPr>
              <w:t>2005/06</w:t>
            </w:r>
          </w:p>
        </w:tc>
        <w:tc>
          <w:tcPr>
            <w:tcW w:w="1323" w:type="dxa"/>
            <w:tcBorders>
              <w:top w:val="single" w:sz="4" w:space="0" w:color="auto"/>
              <w:bottom w:val="single" w:sz="12" w:space="0" w:color="auto"/>
            </w:tcBorders>
            <w:shd w:val="clear" w:color="auto" w:fill="auto"/>
            <w:noWrap/>
            <w:vAlign w:val="bottom"/>
          </w:tcPr>
          <w:p w:rsidR="001E7BB4" w:rsidRPr="007930B0" w:rsidRDefault="001E7BB4" w:rsidP="00FC74A2">
            <w:pPr>
              <w:spacing w:before="80" w:after="80" w:line="200" w:lineRule="exact"/>
              <w:ind w:right="113"/>
              <w:jc w:val="right"/>
              <w:rPr>
                <w:i/>
                <w:sz w:val="16"/>
              </w:rPr>
            </w:pPr>
            <w:r w:rsidRPr="007930B0">
              <w:rPr>
                <w:i/>
                <w:sz w:val="16"/>
              </w:rPr>
              <w:t>2006/07</w:t>
            </w:r>
          </w:p>
        </w:tc>
      </w:tr>
      <w:tr w:rsidR="001E7BB4" w:rsidRPr="007930B0">
        <w:trPr>
          <w:trHeight w:val="255"/>
        </w:trPr>
        <w:tc>
          <w:tcPr>
            <w:tcW w:w="3400" w:type="dxa"/>
            <w:tcBorders>
              <w:top w:val="single" w:sz="12" w:space="0" w:color="auto"/>
            </w:tcBorders>
            <w:shd w:val="clear" w:color="auto" w:fill="auto"/>
            <w:noWrap/>
          </w:tcPr>
          <w:p w:rsidR="001E7BB4" w:rsidRPr="007930B0" w:rsidRDefault="001E7BB4" w:rsidP="00FC74A2">
            <w:pPr>
              <w:spacing w:before="40" w:after="40" w:line="220" w:lineRule="exact"/>
              <w:ind w:right="113"/>
              <w:rPr>
                <w:sz w:val="18"/>
              </w:rPr>
            </w:pPr>
            <w:r w:rsidRPr="007930B0">
              <w:rPr>
                <w:sz w:val="18"/>
              </w:rPr>
              <w:t>Hodh Charghi</w:t>
            </w:r>
          </w:p>
        </w:tc>
        <w:tc>
          <w:tcPr>
            <w:tcW w:w="1323" w:type="dxa"/>
            <w:tcBorders>
              <w:top w:val="single" w:sz="12" w:space="0" w:color="auto"/>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48</w:t>
            </w:r>
          </w:p>
        </w:tc>
        <w:tc>
          <w:tcPr>
            <w:tcW w:w="1324" w:type="dxa"/>
            <w:tcBorders>
              <w:top w:val="single" w:sz="12" w:space="0" w:color="auto"/>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50</w:t>
            </w:r>
          </w:p>
        </w:tc>
        <w:tc>
          <w:tcPr>
            <w:tcW w:w="1323" w:type="dxa"/>
            <w:tcBorders>
              <w:top w:val="single" w:sz="12" w:space="0" w:color="auto"/>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60</w:t>
            </w:r>
          </w:p>
        </w:tc>
      </w:tr>
      <w:tr w:rsidR="001E7BB4" w:rsidRPr="007930B0">
        <w:trPr>
          <w:trHeight w:val="255"/>
        </w:trPr>
        <w:tc>
          <w:tcPr>
            <w:tcW w:w="3400" w:type="dxa"/>
            <w:shd w:val="clear" w:color="auto" w:fill="auto"/>
            <w:noWrap/>
          </w:tcPr>
          <w:p w:rsidR="001E7BB4" w:rsidRPr="007930B0" w:rsidRDefault="001E7BB4" w:rsidP="00FC74A2">
            <w:pPr>
              <w:spacing w:before="40" w:after="40" w:line="220" w:lineRule="exact"/>
              <w:ind w:right="113"/>
              <w:rPr>
                <w:sz w:val="18"/>
              </w:rPr>
            </w:pPr>
            <w:r w:rsidRPr="007930B0">
              <w:rPr>
                <w:sz w:val="18"/>
              </w:rPr>
              <w:t>Hodh El Gharbi</w:t>
            </w:r>
          </w:p>
        </w:tc>
        <w:tc>
          <w:tcPr>
            <w:tcW w:w="1323"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47</w:t>
            </w:r>
          </w:p>
        </w:tc>
        <w:tc>
          <w:tcPr>
            <w:tcW w:w="1324"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48</w:t>
            </w:r>
          </w:p>
        </w:tc>
        <w:tc>
          <w:tcPr>
            <w:tcW w:w="1323"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46</w:t>
            </w:r>
          </w:p>
        </w:tc>
      </w:tr>
      <w:tr w:rsidR="001E7BB4" w:rsidRPr="007930B0">
        <w:trPr>
          <w:trHeight w:val="255"/>
        </w:trPr>
        <w:tc>
          <w:tcPr>
            <w:tcW w:w="3400" w:type="dxa"/>
            <w:shd w:val="clear" w:color="auto" w:fill="auto"/>
            <w:noWrap/>
          </w:tcPr>
          <w:p w:rsidR="001E7BB4" w:rsidRPr="007930B0" w:rsidRDefault="001E7BB4" w:rsidP="00FC74A2">
            <w:pPr>
              <w:spacing w:before="40" w:after="40" w:line="220" w:lineRule="exact"/>
              <w:ind w:right="113"/>
              <w:rPr>
                <w:sz w:val="18"/>
              </w:rPr>
            </w:pPr>
            <w:r w:rsidRPr="007930B0">
              <w:rPr>
                <w:sz w:val="18"/>
              </w:rPr>
              <w:t>Assaba</w:t>
            </w:r>
          </w:p>
        </w:tc>
        <w:tc>
          <w:tcPr>
            <w:tcW w:w="1323"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53</w:t>
            </w:r>
          </w:p>
        </w:tc>
        <w:tc>
          <w:tcPr>
            <w:tcW w:w="1324"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53</w:t>
            </w:r>
          </w:p>
        </w:tc>
        <w:tc>
          <w:tcPr>
            <w:tcW w:w="1323"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54</w:t>
            </w:r>
          </w:p>
        </w:tc>
      </w:tr>
      <w:tr w:rsidR="001E7BB4" w:rsidRPr="007930B0">
        <w:trPr>
          <w:trHeight w:val="255"/>
        </w:trPr>
        <w:tc>
          <w:tcPr>
            <w:tcW w:w="3400" w:type="dxa"/>
            <w:shd w:val="clear" w:color="auto" w:fill="auto"/>
            <w:noWrap/>
          </w:tcPr>
          <w:p w:rsidR="001E7BB4" w:rsidRPr="007930B0" w:rsidRDefault="001E7BB4" w:rsidP="00FC74A2">
            <w:pPr>
              <w:spacing w:before="40" w:after="40" w:line="220" w:lineRule="exact"/>
              <w:ind w:right="113"/>
              <w:rPr>
                <w:sz w:val="18"/>
              </w:rPr>
            </w:pPr>
            <w:r w:rsidRPr="007930B0">
              <w:rPr>
                <w:sz w:val="18"/>
              </w:rPr>
              <w:t>Gorgol</w:t>
            </w:r>
          </w:p>
        </w:tc>
        <w:tc>
          <w:tcPr>
            <w:tcW w:w="1323"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60</w:t>
            </w:r>
          </w:p>
        </w:tc>
        <w:tc>
          <w:tcPr>
            <w:tcW w:w="1324"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62</w:t>
            </w:r>
          </w:p>
        </w:tc>
        <w:tc>
          <w:tcPr>
            <w:tcW w:w="1323"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70</w:t>
            </w:r>
          </w:p>
        </w:tc>
      </w:tr>
      <w:tr w:rsidR="001E7BB4" w:rsidRPr="007930B0">
        <w:trPr>
          <w:trHeight w:val="255"/>
        </w:trPr>
        <w:tc>
          <w:tcPr>
            <w:tcW w:w="3400" w:type="dxa"/>
            <w:shd w:val="clear" w:color="auto" w:fill="auto"/>
            <w:noWrap/>
          </w:tcPr>
          <w:p w:rsidR="001E7BB4" w:rsidRPr="007930B0" w:rsidRDefault="001E7BB4" w:rsidP="00FC74A2">
            <w:pPr>
              <w:spacing w:before="40" w:after="40" w:line="220" w:lineRule="exact"/>
              <w:ind w:right="113"/>
              <w:rPr>
                <w:sz w:val="18"/>
              </w:rPr>
            </w:pPr>
            <w:r w:rsidRPr="007930B0">
              <w:rPr>
                <w:sz w:val="18"/>
              </w:rPr>
              <w:t>Brakna</w:t>
            </w:r>
          </w:p>
        </w:tc>
        <w:tc>
          <w:tcPr>
            <w:tcW w:w="1323"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42</w:t>
            </w:r>
          </w:p>
        </w:tc>
        <w:tc>
          <w:tcPr>
            <w:tcW w:w="1324"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43</w:t>
            </w:r>
          </w:p>
        </w:tc>
        <w:tc>
          <w:tcPr>
            <w:tcW w:w="1323"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49</w:t>
            </w:r>
          </w:p>
        </w:tc>
      </w:tr>
      <w:tr w:rsidR="001E7BB4" w:rsidRPr="007930B0">
        <w:trPr>
          <w:trHeight w:val="255"/>
        </w:trPr>
        <w:tc>
          <w:tcPr>
            <w:tcW w:w="3400" w:type="dxa"/>
            <w:shd w:val="clear" w:color="auto" w:fill="auto"/>
            <w:noWrap/>
          </w:tcPr>
          <w:p w:rsidR="001E7BB4" w:rsidRPr="007930B0" w:rsidRDefault="001E7BB4" w:rsidP="00FC74A2">
            <w:pPr>
              <w:spacing w:before="40" w:after="40" w:line="220" w:lineRule="exact"/>
              <w:ind w:right="113"/>
              <w:rPr>
                <w:sz w:val="18"/>
              </w:rPr>
            </w:pPr>
            <w:r w:rsidRPr="007930B0">
              <w:rPr>
                <w:sz w:val="18"/>
              </w:rPr>
              <w:t>Trarza</w:t>
            </w:r>
          </w:p>
        </w:tc>
        <w:tc>
          <w:tcPr>
            <w:tcW w:w="1323"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34</w:t>
            </w:r>
          </w:p>
        </w:tc>
        <w:tc>
          <w:tcPr>
            <w:tcW w:w="1324"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38</w:t>
            </w:r>
          </w:p>
        </w:tc>
        <w:tc>
          <w:tcPr>
            <w:tcW w:w="1323"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38</w:t>
            </w:r>
          </w:p>
        </w:tc>
      </w:tr>
      <w:tr w:rsidR="001E7BB4" w:rsidRPr="007930B0">
        <w:trPr>
          <w:trHeight w:val="255"/>
        </w:trPr>
        <w:tc>
          <w:tcPr>
            <w:tcW w:w="3400" w:type="dxa"/>
            <w:shd w:val="clear" w:color="auto" w:fill="auto"/>
            <w:noWrap/>
          </w:tcPr>
          <w:p w:rsidR="001E7BB4" w:rsidRPr="007930B0" w:rsidRDefault="001E7BB4" w:rsidP="00FC74A2">
            <w:pPr>
              <w:spacing w:before="40" w:after="40" w:line="220" w:lineRule="exact"/>
              <w:ind w:right="113"/>
              <w:rPr>
                <w:sz w:val="18"/>
              </w:rPr>
            </w:pPr>
            <w:r w:rsidRPr="007930B0">
              <w:rPr>
                <w:sz w:val="18"/>
              </w:rPr>
              <w:t>Adrar</w:t>
            </w:r>
          </w:p>
        </w:tc>
        <w:tc>
          <w:tcPr>
            <w:tcW w:w="1323"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29</w:t>
            </w:r>
          </w:p>
        </w:tc>
        <w:tc>
          <w:tcPr>
            <w:tcW w:w="1324"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30</w:t>
            </w:r>
          </w:p>
        </w:tc>
        <w:tc>
          <w:tcPr>
            <w:tcW w:w="1323"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35</w:t>
            </w:r>
          </w:p>
        </w:tc>
      </w:tr>
      <w:tr w:rsidR="001E7BB4" w:rsidRPr="007930B0">
        <w:trPr>
          <w:trHeight w:val="255"/>
        </w:trPr>
        <w:tc>
          <w:tcPr>
            <w:tcW w:w="3400" w:type="dxa"/>
            <w:shd w:val="clear" w:color="auto" w:fill="auto"/>
            <w:noWrap/>
          </w:tcPr>
          <w:p w:rsidR="001E7BB4" w:rsidRPr="007930B0" w:rsidRDefault="001E7BB4" w:rsidP="00FC74A2">
            <w:pPr>
              <w:spacing w:before="40" w:after="40" w:line="220" w:lineRule="exact"/>
              <w:ind w:right="113"/>
              <w:rPr>
                <w:sz w:val="18"/>
              </w:rPr>
            </w:pPr>
            <w:r w:rsidRPr="007930B0">
              <w:rPr>
                <w:sz w:val="18"/>
              </w:rPr>
              <w:t>Nuadhibu</w:t>
            </w:r>
          </w:p>
        </w:tc>
        <w:tc>
          <w:tcPr>
            <w:tcW w:w="1323"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37</w:t>
            </w:r>
          </w:p>
        </w:tc>
        <w:tc>
          <w:tcPr>
            <w:tcW w:w="1324"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35</w:t>
            </w:r>
          </w:p>
        </w:tc>
        <w:tc>
          <w:tcPr>
            <w:tcW w:w="1323"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36</w:t>
            </w:r>
          </w:p>
        </w:tc>
      </w:tr>
      <w:tr w:rsidR="001E7BB4" w:rsidRPr="007930B0">
        <w:trPr>
          <w:trHeight w:val="255"/>
        </w:trPr>
        <w:tc>
          <w:tcPr>
            <w:tcW w:w="3400" w:type="dxa"/>
            <w:shd w:val="clear" w:color="auto" w:fill="auto"/>
            <w:noWrap/>
          </w:tcPr>
          <w:p w:rsidR="001E7BB4" w:rsidRPr="007930B0" w:rsidRDefault="001E7BB4" w:rsidP="00FC74A2">
            <w:pPr>
              <w:spacing w:before="40" w:after="40" w:line="220" w:lineRule="exact"/>
              <w:ind w:right="113"/>
              <w:rPr>
                <w:sz w:val="18"/>
              </w:rPr>
            </w:pPr>
            <w:r w:rsidRPr="007930B0">
              <w:rPr>
                <w:sz w:val="18"/>
              </w:rPr>
              <w:t>Tagant</w:t>
            </w:r>
          </w:p>
        </w:tc>
        <w:tc>
          <w:tcPr>
            <w:tcW w:w="1323"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36</w:t>
            </w:r>
          </w:p>
        </w:tc>
        <w:tc>
          <w:tcPr>
            <w:tcW w:w="1324"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37</w:t>
            </w:r>
          </w:p>
        </w:tc>
        <w:tc>
          <w:tcPr>
            <w:tcW w:w="1323"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45</w:t>
            </w:r>
          </w:p>
        </w:tc>
      </w:tr>
      <w:tr w:rsidR="001E7BB4" w:rsidRPr="007930B0">
        <w:trPr>
          <w:trHeight w:val="255"/>
        </w:trPr>
        <w:tc>
          <w:tcPr>
            <w:tcW w:w="3400" w:type="dxa"/>
            <w:shd w:val="clear" w:color="auto" w:fill="auto"/>
            <w:noWrap/>
          </w:tcPr>
          <w:p w:rsidR="001E7BB4" w:rsidRPr="007930B0" w:rsidRDefault="001E7BB4" w:rsidP="00FC74A2">
            <w:pPr>
              <w:spacing w:before="40" w:after="40" w:line="220" w:lineRule="exact"/>
              <w:ind w:right="113"/>
              <w:rPr>
                <w:sz w:val="18"/>
              </w:rPr>
            </w:pPr>
            <w:r w:rsidRPr="007930B0">
              <w:rPr>
                <w:sz w:val="18"/>
              </w:rPr>
              <w:t>Guidimakha</w:t>
            </w:r>
          </w:p>
        </w:tc>
        <w:tc>
          <w:tcPr>
            <w:tcW w:w="1323"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46</w:t>
            </w:r>
          </w:p>
        </w:tc>
        <w:tc>
          <w:tcPr>
            <w:tcW w:w="1324"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47</w:t>
            </w:r>
          </w:p>
        </w:tc>
        <w:tc>
          <w:tcPr>
            <w:tcW w:w="1323"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57</w:t>
            </w:r>
          </w:p>
        </w:tc>
      </w:tr>
      <w:tr w:rsidR="001E7BB4" w:rsidRPr="007930B0">
        <w:trPr>
          <w:trHeight w:val="255"/>
        </w:trPr>
        <w:tc>
          <w:tcPr>
            <w:tcW w:w="3400" w:type="dxa"/>
            <w:shd w:val="clear" w:color="auto" w:fill="auto"/>
            <w:noWrap/>
          </w:tcPr>
          <w:p w:rsidR="001E7BB4" w:rsidRPr="007930B0" w:rsidRDefault="001E7BB4" w:rsidP="00FC74A2">
            <w:pPr>
              <w:spacing w:before="40" w:after="40" w:line="220" w:lineRule="exact"/>
              <w:ind w:right="113"/>
              <w:rPr>
                <w:sz w:val="18"/>
              </w:rPr>
            </w:pPr>
            <w:r w:rsidRPr="007930B0">
              <w:rPr>
                <w:sz w:val="18"/>
              </w:rPr>
              <w:t>Tiris Zemmour</w:t>
            </w:r>
          </w:p>
        </w:tc>
        <w:tc>
          <w:tcPr>
            <w:tcW w:w="1323"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38</w:t>
            </w:r>
          </w:p>
        </w:tc>
        <w:tc>
          <w:tcPr>
            <w:tcW w:w="1324"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36</w:t>
            </w:r>
          </w:p>
        </w:tc>
        <w:tc>
          <w:tcPr>
            <w:tcW w:w="1323"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38</w:t>
            </w:r>
          </w:p>
        </w:tc>
      </w:tr>
      <w:tr w:rsidR="001E7BB4" w:rsidRPr="007930B0">
        <w:trPr>
          <w:trHeight w:val="255"/>
        </w:trPr>
        <w:tc>
          <w:tcPr>
            <w:tcW w:w="3400" w:type="dxa"/>
            <w:shd w:val="clear" w:color="auto" w:fill="auto"/>
            <w:noWrap/>
          </w:tcPr>
          <w:p w:rsidR="001E7BB4" w:rsidRPr="007930B0" w:rsidRDefault="001E7BB4" w:rsidP="00FC74A2">
            <w:pPr>
              <w:spacing w:before="40" w:after="40" w:line="220" w:lineRule="exact"/>
              <w:ind w:right="113"/>
              <w:rPr>
                <w:sz w:val="18"/>
              </w:rPr>
            </w:pPr>
            <w:r w:rsidRPr="007930B0">
              <w:rPr>
                <w:sz w:val="18"/>
              </w:rPr>
              <w:t>Inchiri</w:t>
            </w:r>
          </w:p>
        </w:tc>
        <w:tc>
          <w:tcPr>
            <w:tcW w:w="1323"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21</w:t>
            </w:r>
          </w:p>
        </w:tc>
        <w:tc>
          <w:tcPr>
            <w:tcW w:w="1324"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19</w:t>
            </w:r>
          </w:p>
        </w:tc>
        <w:tc>
          <w:tcPr>
            <w:tcW w:w="1323"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17</w:t>
            </w:r>
          </w:p>
        </w:tc>
      </w:tr>
      <w:tr w:rsidR="001E7BB4" w:rsidRPr="007930B0">
        <w:trPr>
          <w:trHeight w:val="255"/>
        </w:trPr>
        <w:tc>
          <w:tcPr>
            <w:tcW w:w="3400" w:type="dxa"/>
            <w:tcBorders>
              <w:bottom w:val="single" w:sz="4" w:space="0" w:color="auto"/>
            </w:tcBorders>
            <w:shd w:val="clear" w:color="auto" w:fill="auto"/>
            <w:noWrap/>
          </w:tcPr>
          <w:p w:rsidR="001E7BB4" w:rsidRPr="007930B0" w:rsidRDefault="001E7BB4" w:rsidP="00FC74A2">
            <w:pPr>
              <w:spacing w:before="40" w:after="40" w:line="220" w:lineRule="exact"/>
              <w:ind w:right="113"/>
              <w:rPr>
                <w:sz w:val="18"/>
              </w:rPr>
            </w:pPr>
            <w:r w:rsidRPr="007930B0">
              <w:rPr>
                <w:sz w:val="18"/>
              </w:rPr>
              <w:t>Nuakchot</w:t>
            </w:r>
          </w:p>
        </w:tc>
        <w:tc>
          <w:tcPr>
            <w:tcW w:w="1323" w:type="dxa"/>
            <w:tcBorders>
              <w:bottom w:val="single" w:sz="4" w:space="0" w:color="auto"/>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42</w:t>
            </w:r>
          </w:p>
        </w:tc>
        <w:tc>
          <w:tcPr>
            <w:tcW w:w="1324" w:type="dxa"/>
            <w:tcBorders>
              <w:bottom w:val="single" w:sz="4" w:space="0" w:color="auto"/>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41</w:t>
            </w:r>
          </w:p>
        </w:tc>
        <w:tc>
          <w:tcPr>
            <w:tcW w:w="1323" w:type="dxa"/>
            <w:tcBorders>
              <w:bottom w:val="single" w:sz="4" w:space="0" w:color="auto"/>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40</w:t>
            </w:r>
          </w:p>
        </w:tc>
      </w:tr>
      <w:tr w:rsidR="001E7BB4" w:rsidRPr="007930B0">
        <w:trPr>
          <w:trHeight w:val="255"/>
        </w:trPr>
        <w:tc>
          <w:tcPr>
            <w:tcW w:w="3400" w:type="dxa"/>
            <w:tcBorders>
              <w:top w:val="single" w:sz="4" w:space="0" w:color="auto"/>
              <w:bottom w:val="single" w:sz="12" w:space="0" w:color="auto"/>
            </w:tcBorders>
            <w:shd w:val="clear" w:color="auto" w:fill="auto"/>
            <w:noWrap/>
          </w:tcPr>
          <w:p w:rsidR="001E7BB4" w:rsidRPr="007930B0" w:rsidRDefault="001E7BB4" w:rsidP="00FC74A2">
            <w:pPr>
              <w:spacing w:before="80" w:after="80" w:line="220" w:lineRule="exact"/>
              <w:ind w:left="284" w:right="113"/>
              <w:rPr>
                <w:b/>
                <w:sz w:val="18"/>
              </w:rPr>
            </w:pPr>
            <w:r w:rsidRPr="007930B0">
              <w:rPr>
                <w:b/>
                <w:sz w:val="18"/>
              </w:rPr>
              <w:t>Nacional</w:t>
            </w:r>
          </w:p>
        </w:tc>
        <w:tc>
          <w:tcPr>
            <w:tcW w:w="1323" w:type="dxa"/>
            <w:tcBorders>
              <w:top w:val="single" w:sz="4" w:space="0" w:color="auto"/>
              <w:bottom w:val="single" w:sz="12" w:space="0" w:color="auto"/>
            </w:tcBorders>
            <w:shd w:val="clear" w:color="auto" w:fill="auto"/>
            <w:noWrap/>
            <w:vAlign w:val="bottom"/>
          </w:tcPr>
          <w:p w:rsidR="001E7BB4" w:rsidRPr="007930B0" w:rsidRDefault="001E7BB4" w:rsidP="00FC74A2">
            <w:pPr>
              <w:spacing w:before="80" w:after="80" w:line="220" w:lineRule="exact"/>
              <w:ind w:right="113"/>
              <w:jc w:val="right"/>
              <w:rPr>
                <w:b/>
                <w:sz w:val="18"/>
              </w:rPr>
            </w:pPr>
            <w:r w:rsidRPr="007930B0">
              <w:rPr>
                <w:b/>
                <w:sz w:val="18"/>
              </w:rPr>
              <w:t>43</w:t>
            </w:r>
          </w:p>
        </w:tc>
        <w:tc>
          <w:tcPr>
            <w:tcW w:w="1324" w:type="dxa"/>
            <w:tcBorders>
              <w:top w:val="single" w:sz="4" w:space="0" w:color="auto"/>
              <w:bottom w:val="single" w:sz="12" w:space="0" w:color="auto"/>
            </w:tcBorders>
            <w:shd w:val="clear" w:color="auto" w:fill="auto"/>
            <w:noWrap/>
            <w:vAlign w:val="bottom"/>
          </w:tcPr>
          <w:p w:rsidR="001E7BB4" w:rsidRPr="007930B0" w:rsidRDefault="001E7BB4" w:rsidP="00FC74A2">
            <w:pPr>
              <w:spacing w:before="80" w:after="80" w:line="220" w:lineRule="exact"/>
              <w:ind w:right="113"/>
              <w:jc w:val="right"/>
              <w:rPr>
                <w:b/>
                <w:sz w:val="18"/>
              </w:rPr>
            </w:pPr>
            <w:r w:rsidRPr="007930B0">
              <w:rPr>
                <w:b/>
                <w:sz w:val="18"/>
              </w:rPr>
              <w:t>44</w:t>
            </w:r>
          </w:p>
        </w:tc>
        <w:tc>
          <w:tcPr>
            <w:tcW w:w="1323" w:type="dxa"/>
            <w:tcBorders>
              <w:top w:val="single" w:sz="4" w:space="0" w:color="auto"/>
              <w:bottom w:val="single" w:sz="12" w:space="0" w:color="auto"/>
            </w:tcBorders>
            <w:shd w:val="clear" w:color="auto" w:fill="auto"/>
            <w:noWrap/>
            <w:vAlign w:val="bottom"/>
          </w:tcPr>
          <w:p w:rsidR="001E7BB4" w:rsidRPr="007930B0" w:rsidRDefault="001E7BB4" w:rsidP="00FC74A2">
            <w:pPr>
              <w:spacing w:before="80" w:after="80" w:line="220" w:lineRule="exact"/>
              <w:ind w:right="113"/>
              <w:jc w:val="right"/>
              <w:rPr>
                <w:b/>
                <w:sz w:val="18"/>
              </w:rPr>
            </w:pPr>
            <w:r w:rsidRPr="007930B0">
              <w:rPr>
                <w:b/>
                <w:sz w:val="18"/>
              </w:rPr>
              <w:t>47</w:t>
            </w:r>
          </w:p>
        </w:tc>
      </w:tr>
    </w:tbl>
    <w:p w:rsidR="001E7BB4" w:rsidRPr="007930B0" w:rsidRDefault="001E7BB4" w:rsidP="00FC74A2">
      <w:pPr>
        <w:pStyle w:val="SingleTxtG"/>
        <w:spacing w:before="240"/>
        <w:rPr>
          <w:lang w:val="es-ES"/>
        </w:rPr>
      </w:pPr>
      <w:r w:rsidRPr="007930B0">
        <w:rPr>
          <w:lang w:val="es-ES"/>
        </w:rPr>
        <w:t>454.</w:t>
      </w:r>
      <w:r w:rsidRPr="007930B0">
        <w:rPr>
          <w:lang w:val="es-ES"/>
        </w:rPr>
        <w:tab/>
        <w:t>Los indicadores seleccionados para evaluar los resultados cualitativos de la enseñanza secundaria son los siguientes: la proporción total alumnos/profesores, la proporción alumnos/profesores en el segundo ciclo, la tasa de repetición en el primer ciclo, la tasa de repetición en el segundo ciclo, el porcentaje de éxito en el BEPC (diploma de final del primer ciclo), el porcentaje de alumnos de las ramas científicas y el porcentaje de alumnos de la rama matemática dentro de las ramas científicas.</w:t>
      </w:r>
    </w:p>
    <w:p w:rsidR="001E7BB4" w:rsidRPr="007930B0" w:rsidRDefault="001E7BB4" w:rsidP="00FC74A2">
      <w:pPr>
        <w:pStyle w:val="H4G"/>
        <w:rPr>
          <w:lang w:val="es-ES"/>
        </w:rPr>
      </w:pPr>
      <w:r w:rsidRPr="007930B0">
        <w:rPr>
          <w:lang w:val="es-ES"/>
        </w:rPr>
        <w:tab/>
      </w:r>
      <w:r w:rsidRPr="007930B0">
        <w:rPr>
          <w:lang w:val="es-ES"/>
        </w:rPr>
        <w:tab/>
        <w:t>Proporción total alumnos/profesores</w:t>
      </w:r>
    </w:p>
    <w:p w:rsidR="001E7BB4" w:rsidRPr="007930B0" w:rsidRDefault="001E7BB4" w:rsidP="0068666F">
      <w:pPr>
        <w:pStyle w:val="SingleTxtG"/>
        <w:rPr>
          <w:lang w:val="es-ES"/>
        </w:rPr>
      </w:pPr>
      <w:r w:rsidRPr="007930B0">
        <w:rPr>
          <w:lang w:val="es-ES"/>
        </w:rPr>
        <w:t>455.</w:t>
      </w:r>
      <w:r w:rsidRPr="007930B0">
        <w:rPr>
          <w:lang w:val="es-ES"/>
        </w:rPr>
        <w:tab/>
        <w:t>La proporción total alumnos/profesores (los dos ciclos juntos) en 2006/07 fue de 26,9, lo que significa que hubo un ligero aumento en relación con 2005/06 (cuando había sido de 26,8). La meta prevista por el PNDSE respecto de este indicador es una proporción de 33,3 alumnos por profesor.</w:t>
      </w:r>
    </w:p>
    <w:p w:rsidR="001E7BB4" w:rsidRPr="007930B0" w:rsidRDefault="001E7BB4" w:rsidP="0068666F">
      <w:pPr>
        <w:pStyle w:val="SingleTxtG"/>
        <w:rPr>
          <w:lang w:val="es-ES"/>
        </w:rPr>
      </w:pPr>
      <w:r w:rsidRPr="007930B0">
        <w:rPr>
          <w:lang w:val="es-ES"/>
        </w:rPr>
        <w:t>456.</w:t>
      </w:r>
      <w:r w:rsidRPr="007930B0">
        <w:rPr>
          <w:lang w:val="es-ES"/>
        </w:rPr>
        <w:tab/>
        <w:t xml:space="preserve">El análisis por </w:t>
      </w:r>
      <w:r w:rsidR="00CD15B7" w:rsidRPr="007930B0">
        <w:rPr>
          <w:i/>
          <w:lang w:val="es-ES"/>
        </w:rPr>
        <w:t>wilaya</w:t>
      </w:r>
      <w:r w:rsidRPr="007930B0">
        <w:rPr>
          <w:lang w:val="es-ES"/>
        </w:rPr>
        <w:t xml:space="preserve">, para el año 2006/07, muestra que la proporción varía entre 21,2 en Hodh Charghi y 42,5 en Hodh Elgharbi. Todas las </w:t>
      </w:r>
      <w:r w:rsidRPr="007930B0">
        <w:rPr>
          <w:i/>
          <w:iCs/>
          <w:lang w:val="es-ES"/>
        </w:rPr>
        <w:t>wilayas</w:t>
      </w:r>
      <w:r w:rsidRPr="007930B0">
        <w:rPr>
          <w:lang w:val="es-ES"/>
        </w:rPr>
        <w:t xml:space="preserve">, con excepción de Hodh El Gharbi, registraron proporciones inferiores al promedio nacional. En la mayoría de las </w:t>
      </w:r>
      <w:r w:rsidRPr="007930B0">
        <w:rPr>
          <w:i/>
          <w:iCs/>
          <w:lang w:val="es-ES"/>
        </w:rPr>
        <w:t>wilayas</w:t>
      </w:r>
      <w:r w:rsidRPr="007930B0">
        <w:rPr>
          <w:lang w:val="es-ES"/>
        </w:rPr>
        <w:t xml:space="preserve"> (10 de 13), la proporción aumentó entre 2005/06 y 2006/07.</w:t>
      </w:r>
    </w:p>
    <w:p w:rsidR="001E7BB4" w:rsidRPr="007930B0" w:rsidRDefault="001E7BB4" w:rsidP="0068666F">
      <w:pPr>
        <w:pStyle w:val="SingleTxtG"/>
        <w:rPr>
          <w:lang w:val="es-ES"/>
        </w:rPr>
      </w:pPr>
      <w:r w:rsidRPr="007930B0">
        <w:rPr>
          <w:lang w:val="es-ES"/>
        </w:rPr>
        <w:t>457.</w:t>
      </w:r>
      <w:r w:rsidRPr="007930B0">
        <w:rPr>
          <w:lang w:val="es-ES"/>
        </w:rPr>
        <w:tab/>
        <w:t>En el cuadro siguiente puede verse la evolución de esta proporción entre 2003 y 2007.</w:t>
      </w:r>
    </w:p>
    <w:p w:rsidR="00FC74A2" w:rsidRPr="007930B0" w:rsidRDefault="00FC74A2" w:rsidP="00FC74A2">
      <w:pPr>
        <w:pStyle w:val="Heading1"/>
        <w:rPr>
          <w:lang w:val="es-ES"/>
        </w:rPr>
      </w:pPr>
      <w:r w:rsidRPr="007930B0">
        <w:rPr>
          <w:lang w:val="es-ES"/>
        </w:rPr>
        <w:t>Cuadro 11</w:t>
      </w:r>
    </w:p>
    <w:p w:rsidR="001E7BB4" w:rsidRPr="007930B0" w:rsidRDefault="001E7BB4" w:rsidP="00FC74A2">
      <w:pPr>
        <w:pStyle w:val="SingleTxtG"/>
        <w:jc w:val="left"/>
        <w:rPr>
          <w:b/>
          <w:lang w:val="es-ES"/>
        </w:rPr>
      </w:pPr>
      <w:r w:rsidRPr="007930B0">
        <w:rPr>
          <w:b/>
          <w:lang w:val="es-ES"/>
        </w:rPr>
        <w:t xml:space="preserve">Evolución de la proporción total alumnos/profesores por </w:t>
      </w:r>
      <w:r w:rsidRPr="007930B0">
        <w:rPr>
          <w:b/>
          <w:i/>
          <w:iCs/>
          <w:lang w:val="es-ES"/>
        </w:rPr>
        <w:t>wilaya</w:t>
      </w:r>
      <w:r w:rsidRPr="007930B0">
        <w:rPr>
          <w:b/>
          <w:lang w:val="es-ES"/>
        </w:rPr>
        <w:t xml:space="preserve"> entre 2003/04 y 2006/07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182"/>
        <w:gridCol w:w="1396"/>
        <w:gridCol w:w="1396"/>
        <w:gridCol w:w="1396"/>
      </w:tblGrid>
      <w:tr w:rsidR="001E7BB4" w:rsidRPr="007930B0">
        <w:trPr>
          <w:trHeight w:val="255"/>
          <w:tblHeader/>
        </w:trPr>
        <w:tc>
          <w:tcPr>
            <w:tcW w:w="3182" w:type="dxa"/>
            <w:tcBorders>
              <w:top w:val="single" w:sz="4" w:space="0" w:color="auto"/>
              <w:bottom w:val="single" w:sz="12" w:space="0" w:color="auto"/>
            </w:tcBorders>
            <w:shd w:val="clear" w:color="auto" w:fill="auto"/>
            <w:vAlign w:val="bottom"/>
          </w:tcPr>
          <w:p w:rsidR="001E7BB4" w:rsidRPr="007930B0" w:rsidRDefault="001E7BB4" w:rsidP="00FC74A2">
            <w:pPr>
              <w:spacing w:before="80" w:after="80" w:line="200" w:lineRule="exact"/>
              <w:ind w:right="113"/>
              <w:rPr>
                <w:i/>
                <w:sz w:val="16"/>
              </w:rPr>
            </w:pPr>
            <w:r w:rsidRPr="007930B0">
              <w:rPr>
                <w:i/>
                <w:sz w:val="16"/>
              </w:rPr>
              <w:t>Wilayas</w:t>
            </w:r>
          </w:p>
        </w:tc>
        <w:tc>
          <w:tcPr>
            <w:tcW w:w="1396" w:type="dxa"/>
            <w:tcBorders>
              <w:top w:val="single" w:sz="4" w:space="0" w:color="auto"/>
              <w:bottom w:val="single" w:sz="12" w:space="0" w:color="auto"/>
            </w:tcBorders>
            <w:shd w:val="clear" w:color="auto" w:fill="auto"/>
            <w:noWrap/>
            <w:vAlign w:val="bottom"/>
          </w:tcPr>
          <w:p w:rsidR="001E7BB4" w:rsidRPr="007930B0" w:rsidRDefault="001E7BB4" w:rsidP="00FC74A2">
            <w:pPr>
              <w:spacing w:before="80" w:after="80" w:line="200" w:lineRule="exact"/>
              <w:ind w:right="113"/>
              <w:jc w:val="right"/>
              <w:rPr>
                <w:i/>
                <w:sz w:val="16"/>
              </w:rPr>
            </w:pPr>
            <w:r w:rsidRPr="007930B0">
              <w:rPr>
                <w:i/>
                <w:sz w:val="16"/>
              </w:rPr>
              <w:t>2004/05</w:t>
            </w:r>
          </w:p>
        </w:tc>
        <w:tc>
          <w:tcPr>
            <w:tcW w:w="1396" w:type="dxa"/>
            <w:tcBorders>
              <w:top w:val="single" w:sz="4" w:space="0" w:color="auto"/>
              <w:bottom w:val="single" w:sz="12" w:space="0" w:color="auto"/>
            </w:tcBorders>
            <w:shd w:val="clear" w:color="auto" w:fill="auto"/>
            <w:noWrap/>
            <w:vAlign w:val="bottom"/>
          </w:tcPr>
          <w:p w:rsidR="001E7BB4" w:rsidRPr="007930B0" w:rsidRDefault="001E7BB4" w:rsidP="00FC74A2">
            <w:pPr>
              <w:spacing w:before="80" w:after="80" w:line="200" w:lineRule="exact"/>
              <w:ind w:right="113"/>
              <w:jc w:val="right"/>
              <w:rPr>
                <w:i/>
                <w:sz w:val="16"/>
              </w:rPr>
            </w:pPr>
            <w:r w:rsidRPr="007930B0">
              <w:rPr>
                <w:i/>
                <w:sz w:val="16"/>
              </w:rPr>
              <w:t>2005/06</w:t>
            </w:r>
          </w:p>
        </w:tc>
        <w:tc>
          <w:tcPr>
            <w:tcW w:w="1396" w:type="dxa"/>
            <w:tcBorders>
              <w:top w:val="single" w:sz="4" w:space="0" w:color="auto"/>
              <w:bottom w:val="single" w:sz="12" w:space="0" w:color="auto"/>
            </w:tcBorders>
            <w:shd w:val="clear" w:color="auto" w:fill="auto"/>
            <w:noWrap/>
            <w:vAlign w:val="bottom"/>
          </w:tcPr>
          <w:p w:rsidR="001E7BB4" w:rsidRPr="007930B0" w:rsidRDefault="001E7BB4" w:rsidP="00FC74A2">
            <w:pPr>
              <w:spacing w:before="80" w:after="80" w:line="200" w:lineRule="exact"/>
              <w:ind w:right="113"/>
              <w:jc w:val="right"/>
              <w:rPr>
                <w:i/>
                <w:sz w:val="16"/>
              </w:rPr>
            </w:pPr>
            <w:r w:rsidRPr="007930B0">
              <w:rPr>
                <w:i/>
                <w:sz w:val="16"/>
              </w:rPr>
              <w:t>2006/07</w:t>
            </w:r>
          </w:p>
        </w:tc>
      </w:tr>
      <w:tr w:rsidR="001E7BB4" w:rsidRPr="007930B0">
        <w:trPr>
          <w:trHeight w:val="255"/>
        </w:trPr>
        <w:tc>
          <w:tcPr>
            <w:tcW w:w="3182" w:type="dxa"/>
            <w:tcBorders>
              <w:top w:val="single" w:sz="12" w:space="0" w:color="auto"/>
              <w:bottom w:val="nil"/>
            </w:tcBorders>
            <w:shd w:val="clear" w:color="auto" w:fill="auto"/>
            <w:noWrap/>
          </w:tcPr>
          <w:p w:rsidR="001E7BB4" w:rsidRPr="007930B0" w:rsidRDefault="001E7BB4" w:rsidP="00FC74A2">
            <w:pPr>
              <w:spacing w:before="40" w:after="40" w:line="220" w:lineRule="exact"/>
              <w:ind w:right="113"/>
              <w:rPr>
                <w:sz w:val="18"/>
              </w:rPr>
            </w:pPr>
            <w:r w:rsidRPr="007930B0">
              <w:rPr>
                <w:sz w:val="18"/>
              </w:rPr>
              <w:t>Hodh Charghi</w:t>
            </w:r>
          </w:p>
        </w:tc>
        <w:tc>
          <w:tcPr>
            <w:tcW w:w="1396" w:type="dxa"/>
            <w:tcBorders>
              <w:top w:val="single" w:sz="12" w:space="0" w:color="auto"/>
              <w:bottom w:val="nil"/>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24,2</w:t>
            </w:r>
          </w:p>
        </w:tc>
        <w:tc>
          <w:tcPr>
            <w:tcW w:w="1396" w:type="dxa"/>
            <w:tcBorders>
              <w:top w:val="single" w:sz="12" w:space="0" w:color="auto"/>
              <w:bottom w:val="nil"/>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20</w:t>
            </w:r>
          </w:p>
        </w:tc>
        <w:tc>
          <w:tcPr>
            <w:tcW w:w="1396" w:type="dxa"/>
            <w:tcBorders>
              <w:top w:val="single" w:sz="12" w:space="0" w:color="auto"/>
              <w:bottom w:val="nil"/>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21,2</w:t>
            </w:r>
          </w:p>
        </w:tc>
      </w:tr>
      <w:tr w:rsidR="001E7BB4" w:rsidRPr="007930B0">
        <w:trPr>
          <w:trHeight w:val="255"/>
        </w:trPr>
        <w:tc>
          <w:tcPr>
            <w:tcW w:w="3182" w:type="dxa"/>
            <w:tcBorders>
              <w:top w:val="nil"/>
              <w:bottom w:val="nil"/>
            </w:tcBorders>
            <w:shd w:val="clear" w:color="auto" w:fill="auto"/>
            <w:noWrap/>
          </w:tcPr>
          <w:p w:rsidR="001E7BB4" w:rsidRPr="007930B0" w:rsidRDefault="001E7BB4" w:rsidP="00FC74A2">
            <w:pPr>
              <w:spacing w:before="40" w:after="40" w:line="220" w:lineRule="exact"/>
              <w:ind w:right="113"/>
              <w:rPr>
                <w:sz w:val="18"/>
              </w:rPr>
            </w:pPr>
            <w:r w:rsidRPr="007930B0">
              <w:rPr>
                <w:sz w:val="18"/>
              </w:rPr>
              <w:t>Hodh El Gharbi</w:t>
            </w:r>
          </w:p>
        </w:tc>
        <w:tc>
          <w:tcPr>
            <w:tcW w:w="1396" w:type="dxa"/>
            <w:tcBorders>
              <w:top w:val="nil"/>
              <w:bottom w:val="nil"/>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22,1</w:t>
            </w:r>
          </w:p>
        </w:tc>
        <w:tc>
          <w:tcPr>
            <w:tcW w:w="1396" w:type="dxa"/>
            <w:tcBorders>
              <w:top w:val="nil"/>
              <w:bottom w:val="nil"/>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23,9</w:t>
            </w:r>
          </w:p>
        </w:tc>
        <w:tc>
          <w:tcPr>
            <w:tcW w:w="1396" w:type="dxa"/>
            <w:tcBorders>
              <w:top w:val="nil"/>
              <w:bottom w:val="nil"/>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42,5</w:t>
            </w:r>
          </w:p>
        </w:tc>
      </w:tr>
      <w:tr w:rsidR="001E7BB4" w:rsidRPr="007930B0">
        <w:trPr>
          <w:trHeight w:val="255"/>
        </w:trPr>
        <w:tc>
          <w:tcPr>
            <w:tcW w:w="3182" w:type="dxa"/>
            <w:tcBorders>
              <w:top w:val="nil"/>
            </w:tcBorders>
            <w:shd w:val="clear" w:color="auto" w:fill="auto"/>
            <w:noWrap/>
          </w:tcPr>
          <w:p w:rsidR="001E7BB4" w:rsidRPr="007930B0" w:rsidRDefault="001E7BB4" w:rsidP="00FC74A2">
            <w:pPr>
              <w:spacing w:before="40" w:after="40" w:line="220" w:lineRule="exact"/>
              <w:ind w:right="113"/>
              <w:rPr>
                <w:sz w:val="18"/>
              </w:rPr>
            </w:pPr>
            <w:r w:rsidRPr="007930B0">
              <w:rPr>
                <w:sz w:val="18"/>
              </w:rPr>
              <w:t>Assaba</w:t>
            </w:r>
          </w:p>
        </w:tc>
        <w:tc>
          <w:tcPr>
            <w:tcW w:w="1396" w:type="dxa"/>
            <w:tcBorders>
              <w:top w:val="nil"/>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29,7</w:t>
            </w:r>
          </w:p>
        </w:tc>
        <w:tc>
          <w:tcPr>
            <w:tcW w:w="1396" w:type="dxa"/>
            <w:tcBorders>
              <w:top w:val="nil"/>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30,5</w:t>
            </w:r>
          </w:p>
        </w:tc>
        <w:tc>
          <w:tcPr>
            <w:tcW w:w="1396" w:type="dxa"/>
            <w:tcBorders>
              <w:top w:val="nil"/>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30,2</w:t>
            </w:r>
          </w:p>
        </w:tc>
      </w:tr>
      <w:tr w:rsidR="001E7BB4" w:rsidRPr="007930B0">
        <w:trPr>
          <w:trHeight w:val="255"/>
        </w:trPr>
        <w:tc>
          <w:tcPr>
            <w:tcW w:w="3182" w:type="dxa"/>
            <w:shd w:val="clear" w:color="auto" w:fill="auto"/>
            <w:noWrap/>
          </w:tcPr>
          <w:p w:rsidR="001E7BB4" w:rsidRPr="007930B0" w:rsidRDefault="001E7BB4" w:rsidP="00FC74A2">
            <w:pPr>
              <w:spacing w:before="40" w:after="40" w:line="220" w:lineRule="exact"/>
              <w:ind w:right="113"/>
              <w:rPr>
                <w:sz w:val="18"/>
              </w:rPr>
            </w:pPr>
            <w:r w:rsidRPr="007930B0">
              <w:rPr>
                <w:sz w:val="18"/>
              </w:rPr>
              <w:t>Gorgol</w:t>
            </w:r>
          </w:p>
        </w:tc>
        <w:tc>
          <w:tcPr>
            <w:tcW w:w="1396"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22,2</w:t>
            </w:r>
          </w:p>
        </w:tc>
        <w:tc>
          <w:tcPr>
            <w:tcW w:w="1396"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22,7</w:t>
            </w:r>
          </w:p>
        </w:tc>
        <w:tc>
          <w:tcPr>
            <w:tcW w:w="1396"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25,5</w:t>
            </w:r>
          </w:p>
        </w:tc>
      </w:tr>
      <w:tr w:rsidR="001E7BB4" w:rsidRPr="007930B0">
        <w:trPr>
          <w:trHeight w:val="255"/>
        </w:trPr>
        <w:tc>
          <w:tcPr>
            <w:tcW w:w="3182" w:type="dxa"/>
            <w:shd w:val="clear" w:color="auto" w:fill="auto"/>
            <w:noWrap/>
          </w:tcPr>
          <w:p w:rsidR="001E7BB4" w:rsidRPr="007930B0" w:rsidRDefault="001E7BB4" w:rsidP="00FC74A2">
            <w:pPr>
              <w:spacing w:before="40" w:after="40" w:line="220" w:lineRule="exact"/>
              <w:ind w:right="113"/>
              <w:rPr>
                <w:sz w:val="18"/>
              </w:rPr>
            </w:pPr>
            <w:r w:rsidRPr="007930B0">
              <w:rPr>
                <w:sz w:val="18"/>
              </w:rPr>
              <w:t>Brakna</w:t>
            </w:r>
          </w:p>
        </w:tc>
        <w:tc>
          <w:tcPr>
            <w:tcW w:w="1396"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22,6</w:t>
            </w:r>
          </w:p>
        </w:tc>
        <w:tc>
          <w:tcPr>
            <w:tcW w:w="1396"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26,3</w:t>
            </w:r>
          </w:p>
        </w:tc>
        <w:tc>
          <w:tcPr>
            <w:tcW w:w="1396"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27,2</w:t>
            </w:r>
          </w:p>
        </w:tc>
      </w:tr>
      <w:tr w:rsidR="001E7BB4" w:rsidRPr="007930B0">
        <w:trPr>
          <w:trHeight w:val="255"/>
        </w:trPr>
        <w:tc>
          <w:tcPr>
            <w:tcW w:w="3182" w:type="dxa"/>
            <w:shd w:val="clear" w:color="auto" w:fill="auto"/>
            <w:noWrap/>
          </w:tcPr>
          <w:p w:rsidR="001E7BB4" w:rsidRPr="007930B0" w:rsidRDefault="001E7BB4" w:rsidP="00FC74A2">
            <w:pPr>
              <w:spacing w:before="40" w:after="40" w:line="220" w:lineRule="exact"/>
              <w:ind w:right="113"/>
              <w:rPr>
                <w:sz w:val="18"/>
              </w:rPr>
            </w:pPr>
            <w:r w:rsidRPr="007930B0">
              <w:rPr>
                <w:sz w:val="18"/>
              </w:rPr>
              <w:t>Trarza</w:t>
            </w:r>
          </w:p>
        </w:tc>
        <w:tc>
          <w:tcPr>
            <w:tcW w:w="1396"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22,5</w:t>
            </w:r>
          </w:p>
        </w:tc>
        <w:tc>
          <w:tcPr>
            <w:tcW w:w="1396"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20,9</w:t>
            </w:r>
          </w:p>
        </w:tc>
        <w:tc>
          <w:tcPr>
            <w:tcW w:w="1396"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23,4</w:t>
            </w:r>
          </w:p>
        </w:tc>
      </w:tr>
      <w:tr w:rsidR="001E7BB4" w:rsidRPr="007930B0">
        <w:trPr>
          <w:trHeight w:val="255"/>
        </w:trPr>
        <w:tc>
          <w:tcPr>
            <w:tcW w:w="3182" w:type="dxa"/>
            <w:shd w:val="clear" w:color="auto" w:fill="auto"/>
            <w:noWrap/>
          </w:tcPr>
          <w:p w:rsidR="001E7BB4" w:rsidRPr="007930B0" w:rsidRDefault="001E7BB4" w:rsidP="00FC74A2">
            <w:pPr>
              <w:spacing w:before="40" w:after="40" w:line="220" w:lineRule="exact"/>
              <w:ind w:right="113"/>
              <w:rPr>
                <w:sz w:val="18"/>
              </w:rPr>
            </w:pPr>
            <w:r w:rsidRPr="007930B0">
              <w:rPr>
                <w:sz w:val="18"/>
              </w:rPr>
              <w:t>Adrar</w:t>
            </w:r>
          </w:p>
        </w:tc>
        <w:tc>
          <w:tcPr>
            <w:tcW w:w="1396"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22,4</w:t>
            </w:r>
          </w:p>
        </w:tc>
        <w:tc>
          <w:tcPr>
            <w:tcW w:w="1396"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19,6</w:t>
            </w:r>
          </w:p>
        </w:tc>
        <w:tc>
          <w:tcPr>
            <w:tcW w:w="1396"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25,1</w:t>
            </w:r>
          </w:p>
        </w:tc>
      </w:tr>
      <w:tr w:rsidR="001E7BB4" w:rsidRPr="007930B0">
        <w:trPr>
          <w:trHeight w:val="255"/>
        </w:trPr>
        <w:tc>
          <w:tcPr>
            <w:tcW w:w="3182" w:type="dxa"/>
            <w:shd w:val="clear" w:color="auto" w:fill="auto"/>
            <w:noWrap/>
          </w:tcPr>
          <w:p w:rsidR="001E7BB4" w:rsidRPr="007930B0" w:rsidRDefault="001E7BB4" w:rsidP="00FC74A2">
            <w:pPr>
              <w:spacing w:before="40" w:after="40" w:line="220" w:lineRule="exact"/>
              <w:ind w:right="113"/>
              <w:rPr>
                <w:sz w:val="18"/>
              </w:rPr>
            </w:pPr>
            <w:r w:rsidRPr="007930B0">
              <w:rPr>
                <w:sz w:val="18"/>
              </w:rPr>
              <w:t>Nuadhibu</w:t>
            </w:r>
          </w:p>
        </w:tc>
        <w:tc>
          <w:tcPr>
            <w:tcW w:w="1396"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26,1</w:t>
            </w:r>
          </w:p>
        </w:tc>
        <w:tc>
          <w:tcPr>
            <w:tcW w:w="1396"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35,3</w:t>
            </w:r>
          </w:p>
        </w:tc>
        <w:tc>
          <w:tcPr>
            <w:tcW w:w="1396"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27,8</w:t>
            </w:r>
          </w:p>
        </w:tc>
      </w:tr>
      <w:tr w:rsidR="001E7BB4" w:rsidRPr="007930B0">
        <w:trPr>
          <w:trHeight w:val="255"/>
        </w:trPr>
        <w:tc>
          <w:tcPr>
            <w:tcW w:w="3182" w:type="dxa"/>
            <w:shd w:val="clear" w:color="auto" w:fill="auto"/>
            <w:noWrap/>
          </w:tcPr>
          <w:p w:rsidR="001E7BB4" w:rsidRPr="007930B0" w:rsidRDefault="001E7BB4" w:rsidP="00FC74A2">
            <w:pPr>
              <w:spacing w:before="40" w:after="40" w:line="220" w:lineRule="exact"/>
              <w:ind w:right="113"/>
              <w:rPr>
                <w:sz w:val="18"/>
              </w:rPr>
            </w:pPr>
            <w:r w:rsidRPr="007930B0">
              <w:rPr>
                <w:sz w:val="18"/>
              </w:rPr>
              <w:t>Tagant</w:t>
            </w:r>
          </w:p>
        </w:tc>
        <w:tc>
          <w:tcPr>
            <w:tcW w:w="1396"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22,1</w:t>
            </w:r>
          </w:p>
        </w:tc>
        <w:tc>
          <w:tcPr>
            <w:tcW w:w="1396"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22,6</w:t>
            </w:r>
          </w:p>
        </w:tc>
        <w:tc>
          <w:tcPr>
            <w:tcW w:w="1396"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22,9</w:t>
            </w:r>
          </w:p>
        </w:tc>
      </w:tr>
      <w:tr w:rsidR="001E7BB4" w:rsidRPr="007930B0">
        <w:trPr>
          <w:trHeight w:val="255"/>
        </w:trPr>
        <w:tc>
          <w:tcPr>
            <w:tcW w:w="3182" w:type="dxa"/>
            <w:shd w:val="clear" w:color="auto" w:fill="auto"/>
            <w:noWrap/>
          </w:tcPr>
          <w:p w:rsidR="001E7BB4" w:rsidRPr="007930B0" w:rsidRDefault="001E7BB4" w:rsidP="00FC74A2">
            <w:pPr>
              <w:spacing w:before="40" w:after="40" w:line="220" w:lineRule="exact"/>
              <w:ind w:right="113"/>
              <w:rPr>
                <w:sz w:val="18"/>
              </w:rPr>
            </w:pPr>
            <w:r w:rsidRPr="007930B0">
              <w:rPr>
                <w:sz w:val="18"/>
              </w:rPr>
              <w:t>Guidimakha</w:t>
            </w:r>
          </w:p>
        </w:tc>
        <w:tc>
          <w:tcPr>
            <w:tcW w:w="1396"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22,6</w:t>
            </w:r>
          </w:p>
        </w:tc>
        <w:tc>
          <w:tcPr>
            <w:tcW w:w="1396"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27,4</w:t>
            </w:r>
          </w:p>
        </w:tc>
        <w:tc>
          <w:tcPr>
            <w:tcW w:w="1396"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28,2</w:t>
            </w:r>
          </w:p>
        </w:tc>
      </w:tr>
      <w:tr w:rsidR="001E7BB4" w:rsidRPr="007930B0">
        <w:trPr>
          <w:trHeight w:val="255"/>
        </w:trPr>
        <w:tc>
          <w:tcPr>
            <w:tcW w:w="3182" w:type="dxa"/>
            <w:shd w:val="clear" w:color="auto" w:fill="auto"/>
            <w:noWrap/>
          </w:tcPr>
          <w:p w:rsidR="001E7BB4" w:rsidRPr="007930B0" w:rsidRDefault="001E7BB4" w:rsidP="00FC74A2">
            <w:pPr>
              <w:spacing w:before="40" w:after="40" w:line="220" w:lineRule="exact"/>
              <w:ind w:right="113"/>
              <w:rPr>
                <w:sz w:val="18"/>
              </w:rPr>
            </w:pPr>
            <w:r w:rsidRPr="007930B0">
              <w:rPr>
                <w:sz w:val="18"/>
              </w:rPr>
              <w:t>Tiris Zemmour</w:t>
            </w:r>
          </w:p>
        </w:tc>
        <w:tc>
          <w:tcPr>
            <w:tcW w:w="1396"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26,5</w:t>
            </w:r>
          </w:p>
        </w:tc>
        <w:tc>
          <w:tcPr>
            <w:tcW w:w="1396"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25,4</w:t>
            </w:r>
          </w:p>
        </w:tc>
        <w:tc>
          <w:tcPr>
            <w:tcW w:w="1396"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27,9</w:t>
            </w:r>
          </w:p>
        </w:tc>
      </w:tr>
      <w:tr w:rsidR="001E7BB4" w:rsidRPr="007930B0">
        <w:trPr>
          <w:trHeight w:val="255"/>
        </w:trPr>
        <w:tc>
          <w:tcPr>
            <w:tcW w:w="3182" w:type="dxa"/>
            <w:shd w:val="clear" w:color="auto" w:fill="auto"/>
            <w:noWrap/>
          </w:tcPr>
          <w:p w:rsidR="001E7BB4" w:rsidRPr="007930B0" w:rsidRDefault="001E7BB4" w:rsidP="00FC74A2">
            <w:pPr>
              <w:spacing w:before="40" w:after="40" w:line="220" w:lineRule="exact"/>
              <w:ind w:right="113"/>
              <w:rPr>
                <w:sz w:val="18"/>
              </w:rPr>
            </w:pPr>
            <w:r w:rsidRPr="007930B0">
              <w:rPr>
                <w:sz w:val="18"/>
              </w:rPr>
              <w:t>Inchiri</w:t>
            </w:r>
          </w:p>
        </w:tc>
        <w:tc>
          <w:tcPr>
            <w:tcW w:w="1396"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18,8</w:t>
            </w:r>
          </w:p>
        </w:tc>
        <w:tc>
          <w:tcPr>
            <w:tcW w:w="1396"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20,6</w:t>
            </w:r>
          </w:p>
        </w:tc>
        <w:tc>
          <w:tcPr>
            <w:tcW w:w="1396"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23,4</w:t>
            </w:r>
          </w:p>
        </w:tc>
      </w:tr>
      <w:tr w:rsidR="001E7BB4" w:rsidRPr="007930B0">
        <w:trPr>
          <w:trHeight w:val="255"/>
        </w:trPr>
        <w:tc>
          <w:tcPr>
            <w:tcW w:w="3182" w:type="dxa"/>
            <w:tcBorders>
              <w:bottom w:val="single" w:sz="4" w:space="0" w:color="auto"/>
            </w:tcBorders>
            <w:shd w:val="clear" w:color="auto" w:fill="auto"/>
            <w:noWrap/>
          </w:tcPr>
          <w:p w:rsidR="001E7BB4" w:rsidRPr="007930B0" w:rsidRDefault="001E7BB4" w:rsidP="00FC74A2">
            <w:pPr>
              <w:spacing w:before="40" w:after="40" w:line="220" w:lineRule="exact"/>
              <w:ind w:right="113"/>
              <w:rPr>
                <w:sz w:val="18"/>
              </w:rPr>
            </w:pPr>
            <w:r w:rsidRPr="007930B0">
              <w:rPr>
                <w:sz w:val="18"/>
              </w:rPr>
              <w:t>Nuakchot</w:t>
            </w:r>
          </w:p>
        </w:tc>
        <w:tc>
          <w:tcPr>
            <w:tcW w:w="1396" w:type="dxa"/>
            <w:tcBorders>
              <w:bottom w:val="single" w:sz="4" w:space="0" w:color="auto"/>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31,4</w:t>
            </w:r>
          </w:p>
        </w:tc>
        <w:tc>
          <w:tcPr>
            <w:tcW w:w="1396" w:type="dxa"/>
            <w:tcBorders>
              <w:bottom w:val="single" w:sz="4" w:space="0" w:color="auto"/>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30,6</w:t>
            </w:r>
          </w:p>
        </w:tc>
        <w:tc>
          <w:tcPr>
            <w:tcW w:w="1396" w:type="dxa"/>
            <w:tcBorders>
              <w:bottom w:val="single" w:sz="4" w:space="0" w:color="auto"/>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27,2</w:t>
            </w:r>
          </w:p>
        </w:tc>
      </w:tr>
      <w:tr w:rsidR="001E7BB4" w:rsidRPr="007930B0">
        <w:trPr>
          <w:trHeight w:val="255"/>
        </w:trPr>
        <w:tc>
          <w:tcPr>
            <w:tcW w:w="3182" w:type="dxa"/>
            <w:tcBorders>
              <w:top w:val="single" w:sz="4" w:space="0" w:color="auto"/>
              <w:bottom w:val="single" w:sz="12" w:space="0" w:color="auto"/>
            </w:tcBorders>
            <w:shd w:val="clear" w:color="auto" w:fill="auto"/>
            <w:noWrap/>
          </w:tcPr>
          <w:p w:rsidR="001E7BB4" w:rsidRPr="007930B0" w:rsidRDefault="001E7BB4" w:rsidP="00FC74A2">
            <w:pPr>
              <w:spacing w:before="80" w:after="80" w:line="220" w:lineRule="exact"/>
              <w:ind w:left="284" w:right="113"/>
              <w:rPr>
                <w:b/>
                <w:sz w:val="18"/>
              </w:rPr>
            </w:pPr>
            <w:r w:rsidRPr="007930B0">
              <w:rPr>
                <w:b/>
                <w:sz w:val="18"/>
              </w:rPr>
              <w:t>Nacional</w:t>
            </w:r>
          </w:p>
        </w:tc>
        <w:tc>
          <w:tcPr>
            <w:tcW w:w="1396" w:type="dxa"/>
            <w:tcBorders>
              <w:top w:val="single" w:sz="4" w:space="0" w:color="auto"/>
              <w:bottom w:val="single" w:sz="12" w:space="0" w:color="auto"/>
            </w:tcBorders>
            <w:shd w:val="clear" w:color="auto" w:fill="auto"/>
            <w:noWrap/>
            <w:vAlign w:val="bottom"/>
          </w:tcPr>
          <w:p w:rsidR="001E7BB4" w:rsidRPr="007930B0" w:rsidRDefault="001E7BB4" w:rsidP="00FC74A2">
            <w:pPr>
              <w:spacing w:before="80" w:after="80" w:line="220" w:lineRule="exact"/>
              <w:ind w:right="113"/>
              <w:jc w:val="right"/>
              <w:rPr>
                <w:b/>
                <w:sz w:val="18"/>
              </w:rPr>
            </w:pPr>
            <w:r w:rsidRPr="007930B0">
              <w:rPr>
                <w:b/>
                <w:sz w:val="18"/>
              </w:rPr>
              <w:t>26,6</w:t>
            </w:r>
          </w:p>
        </w:tc>
        <w:tc>
          <w:tcPr>
            <w:tcW w:w="1396" w:type="dxa"/>
            <w:tcBorders>
              <w:top w:val="single" w:sz="4" w:space="0" w:color="auto"/>
              <w:bottom w:val="single" w:sz="12" w:space="0" w:color="auto"/>
            </w:tcBorders>
            <w:shd w:val="clear" w:color="auto" w:fill="auto"/>
            <w:noWrap/>
            <w:vAlign w:val="bottom"/>
          </w:tcPr>
          <w:p w:rsidR="001E7BB4" w:rsidRPr="007930B0" w:rsidRDefault="001E7BB4" w:rsidP="00FC74A2">
            <w:pPr>
              <w:spacing w:before="80" w:after="80" w:line="220" w:lineRule="exact"/>
              <w:ind w:right="113"/>
              <w:jc w:val="right"/>
              <w:rPr>
                <w:b/>
                <w:sz w:val="18"/>
              </w:rPr>
            </w:pPr>
            <w:r w:rsidRPr="007930B0">
              <w:rPr>
                <w:b/>
                <w:sz w:val="18"/>
              </w:rPr>
              <w:t>26,8</w:t>
            </w:r>
          </w:p>
        </w:tc>
        <w:tc>
          <w:tcPr>
            <w:tcW w:w="1396" w:type="dxa"/>
            <w:tcBorders>
              <w:top w:val="single" w:sz="4" w:space="0" w:color="auto"/>
              <w:bottom w:val="single" w:sz="12" w:space="0" w:color="auto"/>
            </w:tcBorders>
            <w:shd w:val="clear" w:color="auto" w:fill="auto"/>
            <w:noWrap/>
            <w:vAlign w:val="bottom"/>
          </w:tcPr>
          <w:p w:rsidR="001E7BB4" w:rsidRPr="007930B0" w:rsidRDefault="001E7BB4" w:rsidP="00FC74A2">
            <w:pPr>
              <w:spacing w:before="80" w:after="80" w:line="220" w:lineRule="exact"/>
              <w:ind w:right="113"/>
              <w:jc w:val="right"/>
              <w:rPr>
                <w:b/>
                <w:sz w:val="18"/>
              </w:rPr>
            </w:pPr>
            <w:r w:rsidRPr="007930B0">
              <w:rPr>
                <w:b/>
                <w:sz w:val="18"/>
              </w:rPr>
              <w:t>26,9</w:t>
            </w:r>
          </w:p>
        </w:tc>
      </w:tr>
    </w:tbl>
    <w:p w:rsidR="001E7BB4" w:rsidRPr="007930B0" w:rsidRDefault="001E7BB4" w:rsidP="00FC74A2">
      <w:pPr>
        <w:pStyle w:val="H4G"/>
        <w:rPr>
          <w:lang w:val="es-ES"/>
        </w:rPr>
      </w:pPr>
      <w:r w:rsidRPr="007930B0">
        <w:rPr>
          <w:lang w:val="es-ES"/>
        </w:rPr>
        <w:tab/>
      </w:r>
      <w:r w:rsidRPr="007930B0">
        <w:rPr>
          <w:lang w:val="es-ES"/>
        </w:rPr>
        <w:tab/>
        <w:t>Tasa de repetición en el primer ciclo</w:t>
      </w:r>
    </w:p>
    <w:p w:rsidR="001E7BB4" w:rsidRPr="007930B0" w:rsidRDefault="001E7BB4" w:rsidP="0068666F">
      <w:pPr>
        <w:pStyle w:val="SingleTxtG"/>
        <w:rPr>
          <w:lang w:val="es-ES"/>
        </w:rPr>
      </w:pPr>
      <w:r w:rsidRPr="007930B0">
        <w:rPr>
          <w:lang w:val="es-ES"/>
        </w:rPr>
        <w:t>458.</w:t>
      </w:r>
      <w:r w:rsidRPr="007930B0">
        <w:rPr>
          <w:lang w:val="es-ES"/>
        </w:rPr>
        <w:tab/>
        <w:t xml:space="preserve">La tasa de repetición en el primer ciclo bajó 3,6 puntos entre 2005/06 y 2006/07, al pasar de 12,9% a 9,3%. La meta del PNDSE para 2010 en relación con este indicador es una tasa de 7%. En 2006/07, la tasa de repetición de las niñas en el primer ciclo fue ligeramente inferior a la de los varones (9,4% para los varones frente a 9,1% para las niñas en 2005/06). </w:t>
      </w:r>
    </w:p>
    <w:p w:rsidR="001E7BB4" w:rsidRPr="007930B0" w:rsidRDefault="001E7BB4" w:rsidP="0068666F">
      <w:pPr>
        <w:pStyle w:val="SingleTxtG"/>
        <w:rPr>
          <w:lang w:val="es-ES"/>
        </w:rPr>
      </w:pPr>
      <w:r w:rsidRPr="007930B0">
        <w:rPr>
          <w:lang w:val="es-ES"/>
        </w:rPr>
        <w:t>459.</w:t>
      </w:r>
      <w:r w:rsidRPr="007930B0">
        <w:rPr>
          <w:lang w:val="es-ES"/>
        </w:rPr>
        <w:tab/>
        <w:t>En el cuadro siguiente se indica la evolución de la tasa de repetición de las niñas entre 2005 y 2007.</w:t>
      </w:r>
    </w:p>
    <w:p w:rsidR="00FC74A2" w:rsidRPr="007930B0" w:rsidRDefault="00FC74A2" w:rsidP="00FC74A2">
      <w:pPr>
        <w:pStyle w:val="Heading1"/>
        <w:rPr>
          <w:lang w:val="es-ES"/>
        </w:rPr>
      </w:pPr>
      <w:r w:rsidRPr="007930B0">
        <w:rPr>
          <w:lang w:val="es-ES"/>
        </w:rPr>
        <w:t>Cuadro 12</w:t>
      </w:r>
    </w:p>
    <w:p w:rsidR="001E7BB4" w:rsidRPr="007930B0" w:rsidRDefault="001E7BB4" w:rsidP="00FC74A2">
      <w:pPr>
        <w:pStyle w:val="SingleTxtG"/>
        <w:jc w:val="left"/>
        <w:rPr>
          <w:b/>
          <w:lang w:val="es-ES"/>
        </w:rPr>
      </w:pPr>
      <w:r w:rsidRPr="007930B0">
        <w:rPr>
          <w:b/>
          <w:lang w:val="es-ES"/>
        </w:rPr>
        <w:t xml:space="preserve">Evolución de la tasa de repetición en el primer ciclo de enseñanza secundaria por </w:t>
      </w:r>
      <w:r w:rsidRPr="007930B0">
        <w:rPr>
          <w:b/>
          <w:i/>
          <w:iCs/>
          <w:lang w:val="es-ES"/>
        </w:rPr>
        <w:t>wilaya</w:t>
      </w:r>
      <w:r w:rsidRPr="007930B0">
        <w:rPr>
          <w:b/>
          <w:lang w:val="es-ES"/>
        </w:rPr>
        <w:t xml:space="preserve"> entre 2005 y 2007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999"/>
        <w:gridCol w:w="1457"/>
        <w:gridCol w:w="1457"/>
        <w:gridCol w:w="1457"/>
      </w:tblGrid>
      <w:tr w:rsidR="001E7BB4" w:rsidRPr="007930B0">
        <w:trPr>
          <w:trHeight w:val="255"/>
          <w:tblHeader/>
        </w:trPr>
        <w:tc>
          <w:tcPr>
            <w:tcW w:w="2999" w:type="dxa"/>
            <w:tcBorders>
              <w:top w:val="single" w:sz="4" w:space="0" w:color="auto"/>
              <w:bottom w:val="single" w:sz="12" w:space="0" w:color="auto"/>
            </w:tcBorders>
            <w:shd w:val="clear" w:color="auto" w:fill="auto"/>
            <w:vAlign w:val="bottom"/>
          </w:tcPr>
          <w:p w:rsidR="001E7BB4" w:rsidRPr="007930B0" w:rsidRDefault="001E7BB4" w:rsidP="00FC74A2">
            <w:pPr>
              <w:spacing w:before="80" w:after="80" w:line="200" w:lineRule="exact"/>
              <w:ind w:right="113"/>
              <w:rPr>
                <w:i/>
                <w:sz w:val="16"/>
              </w:rPr>
            </w:pPr>
            <w:r w:rsidRPr="007930B0">
              <w:rPr>
                <w:i/>
                <w:sz w:val="16"/>
              </w:rPr>
              <w:t>Wilayas</w:t>
            </w:r>
          </w:p>
        </w:tc>
        <w:tc>
          <w:tcPr>
            <w:tcW w:w="1457" w:type="dxa"/>
            <w:tcBorders>
              <w:top w:val="single" w:sz="4" w:space="0" w:color="auto"/>
              <w:bottom w:val="single" w:sz="12" w:space="0" w:color="auto"/>
            </w:tcBorders>
            <w:shd w:val="clear" w:color="auto" w:fill="auto"/>
            <w:noWrap/>
            <w:vAlign w:val="bottom"/>
          </w:tcPr>
          <w:p w:rsidR="001E7BB4" w:rsidRPr="007930B0" w:rsidRDefault="001E7BB4" w:rsidP="00FC74A2">
            <w:pPr>
              <w:spacing w:before="80" w:after="80" w:line="200" w:lineRule="exact"/>
              <w:ind w:right="113"/>
              <w:jc w:val="right"/>
              <w:rPr>
                <w:i/>
                <w:sz w:val="16"/>
              </w:rPr>
            </w:pPr>
            <w:r w:rsidRPr="007930B0">
              <w:rPr>
                <w:i/>
                <w:sz w:val="16"/>
              </w:rPr>
              <w:t>2004/05</w:t>
            </w:r>
          </w:p>
        </w:tc>
        <w:tc>
          <w:tcPr>
            <w:tcW w:w="1457" w:type="dxa"/>
            <w:tcBorders>
              <w:top w:val="single" w:sz="4" w:space="0" w:color="auto"/>
              <w:bottom w:val="single" w:sz="12" w:space="0" w:color="auto"/>
            </w:tcBorders>
            <w:shd w:val="clear" w:color="auto" w:fill="auto"/>
            <w:noWrap/>
            <w:vAlign w:val="bottom"/>
          </w:tcPr>
          <w:p w:rsidR="001E7BB4" w:rsidRPr="007930B0" w:rsidRDefault="001E7BB4" w:rsidP="00FC74A2">
            <w:pPr>
              <w:spacing w:before="80" w:after="80" w:line="200" w:lineRule="exact"/>
              <w:ind w:right="113"/>
              <w:jc w:val="right"/>
              <w:rPr>
                <w:i/>
                <w:sz w:val="16"/>
              </w:rPr>
            </w:pPr>
            <w:r w:rsidRPr="007930B0">
              <w:rPr>
                <w:i/>
                <w:sz w:val="16"/>
              </w:rPr>
              <w:t>2005/06</w:t>
            </w:r>
          </w:p>
        </w:tc>
        <w:tc>
          <w:tcPr>
            <w:tcW w:w="1457" w:type="dxa"/>
            <w:tcBorders>
              <w:top w:val="single" w:sz="4" w:space="0" w:color="auto"/>
              <w:bottom w:val="single" w:sz="12" w:space="0" w:color="auto"/>
            </w:tcBorders>
            <w:shd w:val="clear" w:color="auto" w:fill="auto"/>
            <w:noWrap/>
            <w:vAlign w:val="bottom"/>
          </w:tcPr>
          <w:p w:rsidR="001E7BB4" w:rsidRPr="007930B0" w:rsidRDefault="001E7BB4" w:rsidP="00FC74A2">
            <w:pPr>
              <w:spacing w:before="80" w:after="80" w:line="200" w:lineRule="exact"/>
              <w:ind w:right="113"/>
              <w:jc w:val="right"/>
              <w:rPr>
                <w:i/>
                <w:sz w:val="16"/>
              </w:rPr>
            </w:pPr>
            <w:r w:rsidRPr="007930B0">
              <w:rPr>
                <w:i/>
                <w:sz w:val="16"/>
              </w:rPr>
              <w:t>2006/07</w:t>
            </w:r>
          </w:p>
        </w:tc>
      </w:tr>
      <w:tr w:rsidR="001E7BB4" w:rsidRPr="007930B0">
        <w:trPr>
          <w:trHeight w:val="255"/>
        </w:trPr>
        <w:tc>
          <w:tcPr>
            <w:tcW w:w="2999" w:type="dxa"/>
            <w:tcBorders>
              <w:top w:val="single" w:sz="12" w:space="0" w:color="auto"/>
            </w:tcBorders>
            <w:shd w:val="clear" w:color="auto" w:fill="auto"/>
            <w:noWrap/>
          </w:tcPr>
          <w:p w:rsidR="001E7BB4" w:rsidRPr="007930B0" w:rsidRDefault="001E7BB4" w:rsidP="00FC74A2">
            <w:pPr>
              <w:spacing w:before="40" w:after="40" w:line="220" w:lineRule="exact"/>
              <w:ind w:right="113"/>
              <w:rPr>
                <w:sz w:val="18"/>
              </w:rPr>
            </w:pPr>
            <w:r w:rsidRPr="007930B0">
              <w:rPr>
                <w:sz w:val="18"/>
              </w:rPr>
              <w:t>Hodh Charghi</w:t>
            </w:r>
          </w:p>
        </w:tc>
        <w:tc>
          <w:tcPr>
            <w:tcW w:w="1457" w:type="dxa"/>
            <w:tcBorders>
              <w:top w:val="single" w:sz="12" w:space="0" w:color="auto"/>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15,10%</w:t>
            </w:r>
          </w:p>
        </w:tc>
        <w:tc>
          <w:tcPr>
            <w:tcW w:w="1457" w:type="dxa"/>
            <w:tcBorders>
              <w:top w:val="single" w:sz="12" w:space="0" w:color="auto"/>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14,00%</w:t>
            </w:r>
          </w:p>
        </w:tc>
        <w:tc>
          <w:tcPr>
            <w:tcW w:w="1457" w:type="dxa"/>
            <w:tcBorders>
              <w:top w:val="single" w:sz="12" w:space="0" w:color="auto"/>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10,76%</w:t>
            </w:r>
          </w:p>
        </w:tc>
      </w:tr>
      <w:tr w:rsidR="001E7BB4" w:rsidRPr="007930B0">
        <w:trPr>
          <w:trHeight w:val="255"/>
        </w:trPr>
        <w:tc>
          <w:tcPr>
            <w:tcW w:w="2999" w:type="dxa"/>
            <w:shd w:val="clear" w:color="auto" w:fill="auto"/>
            <w:noWrap/>
          </w:tcPr>
          <w:p w:rsidR="001E7BB4" w:rsidRPr="007930B0" w:rsidRDefault="001E7BB4" w:rsidP="00FC74A2">
            <w:pPr>
              <w:spacing w:before="40" w:after="40" w:line="220" w:lineRule="exact"/>
              <w:ind w:right="113"/>
              <w:rPr>
                <w:sz w:val="18"/>
              </w:rPr>
            </w:pPr>
            <w:r w:rsidRPr="007930B0">
              <w:rPr>
                <w:sz w:val="18"/>
              </w:rPr>
              <w:t>Hodh El Gharbi</w:t>
            </w:r>
          </w:p>
        </w:tc>
        <w:tc>
          <w:tcPr>
            <w:tcW w:w="1457"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12,20%</w:t>
            </w:r>
          </w:p>
        </w:tc>
        <w:tc>
          <w:tcPr>
            <w:tcW w:w="1457"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11,70%</w:t>
            </w:r>
          </w:p>
        </w:tc>
        <w:tc>
          <w:tcPr>
            <w:tcW w:w="1457"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10,92%</w:t>
            </w:r>
          </w:p>
        </w:tc>
      </w:tr>
      <w:tr w:rsidR="001E7BB4" w:rsidRPr="007930B0">
        <w:trPr>
          <w:trHeight w:val="255"/>
        </w:trPr>
        <w:tc>
          <w:tcPr>
            <w:tcW w:w="2999" w:type="dxa"/>
            <w:shd w:val="clear" w:color="auto" w:fill="auto"/>
            <w:noWrap/>
          </w:tcPr>
          <w:p w:rsidR="001E7BB4" w:rsidRPr="007930B0" w:rsidRDefault="001E7BB4" w:rsidP="00FC74A2">
            <w:pPr>
              <w:spacing w:before="40" w:after="40" w:line="220" w:lineRule="exact"/>
              <w:ind w:right="113"/>
              <w:rPr>
                <w:sz w:val="18"/>
              </w:rPr>
            </w:pPr>
            <w:r w:rsidRPr="007930B0">
              <w:rPr>
                <w:sz w:val="18"/>
              </w:rPr>
              <w:t>Assaba</w:t>
            </w:r>
          </w:p>
        </w:tc>
        <w:tc>
          <w:tcPr>
            <w:tcW w:w="1457"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14,70%</w:t>
            </w:r>
          </w:p>
        </w:tc>
        <w:tc>
          <w:tcPr>
            <w:tcW w:w="1457"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15,10%</w:t>
            </w:r>
          </w:p>
        </w:tc>
        <w:tc>
          <w:tcPr>
            <w:tcW w:w="1457"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7,37%</w:t>
            </w:r>
          </w:p>
        </w:tc>
      </w:tr>
      <w:tr w:rsidR="001E7BB4" w:rsidRPr="007930B0">
        <w:trPr>
          <w:trHeight w:val="255"/>
        </w:trPr>
        <w:tc>
          <w:tcPr>
            <w:tcW w:w="2999" w:type="dxa"/>
            <w:shd w:val="clear" w:color="auto" w:fill="auto"/>
            <w:noWrap/>
          </w:tcPr>
          <w:p w:rsidR="001E7BB4" w:rsidRPr="007930B0" w:rsidRDefault="001E7BB4" w:rsidP="00FC74A2">
            <w:pPr>
              <w:spacing w:before="40" w:after="40" w:line="220" w:lineRule="exact"/>
              <w:ind w:right="113"/>
              <w:rPr>
                <w:sz w:val="18"/>
              </w:rPr>
            </w:pPr>
            <w:r w:rsidRPr="007930B0">
              <w:rPr>
                <w:sz w:val="18"/>
              </w:rPr>
              <w:t>Gorgol</w:t>
            </w:r>
          </w:p>
        </w:tc>
        <w:tc>
          <w:tcPr>
            <w:tcW w:w="1457"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27,00%</w:t>
            </w:r>
          </w:p>
        </w:tc>
        <w:tc>
          <w:tcPr>
            <w:tcW w:w="1457"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23,30%</w:t>
            </w:r>
          </w:p>
        </w:tc>
        <w:tc>
          <w:tcPr>
            <w:tcW w:w="1457"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23,76%</w:t>
            </w:r>
          </w:p>
        </w:tc>
      </w:tr>
      <w:tr w:rsidR="001E7BB4" w:rsidRPr="007930B0">
        <w:trPr>
          <w:trHeight w:val="255"/>
        </w:trPr>
        <w:tc>
          <w:tcPr>
            <w:tcW w:w="2999" w:type="dxa"/>
            <w:shd w:val="clear" w:color="auto" w:fill="auto"/>
            <w:noWrap/>
          </w:tcPr>
          <w:p w:rsidR="001E7BB4" w:rsidRPr="007930B0" w:rsidRDefault="001E7BB4" w:rsidP="00FC74A2">
            <w:pPr>
              <w:spacing w:before="40" w:after="40" w:line="220" w:lineRule="exact"/>
              <w:ind w:right="113"/>
              <w:rPr>
                <w:sz w:val="18"/>
              </w:rPr>
            </w:pPr>
            <w:r w:rsidRPr="007930B0">
              <w:rPr>
                <w:sz w:val="18"/>
              </w:rPr>
              <w:t>Brakna</w:t>
            </w:r>
          </w:p>
        </w:tc>
        <w:tc>
          <w:tcPr>
            <w:tcW w:w="1457"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15,00%</w:t>
            </w:r>
          </w:p>
        </w:tc>
        <w:tc>
          <w:tcPr>
            <w:tcW w:w="1457"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17,50%</w:t>
            </w:r>
          </w:p>
        </w:tc>
        <w:tc>
          <w:tcPr>
            <w:tcW w:w="1457"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6,88%</w:t>
            </w:r>
          </w:p>
        </w:tc>
      </w:tr>
      <w:tr w:rsidR="001E7BB4" w:rsidRPr="007930B0">
        <w:trPr>
          <w:trHeight w:val="255"/>
        </w:trPr>
        <w:tc>
          <w:tcPr>
            <w:tcW w:w="2999" w:type="dxa"/>
            <w:shd w:val="clear" w:color="auto" w:fill="auto"/>
            <w:noWrap/>
          </w:tcPr>
          <w:p w:rsidR="001E7BB4" w:rsidRPr="007930B0" w:rsidRDefault="001E7BB4" w:rsidP="00FC74A2">
            <w:pPr>
              <w:spacing w:before="40" w:after="40" w:line="220" w:lineRule="exact"/>
              <w:ind w:right="113"/>
              <w:rPr>
                <w:sz w:val="18"/>
              </w:rPr>
            </w:pPr>
            <w:r w:rsidRPr="007930B0">
              <w:rPr>
                <w:sz w:val="18"/>
              </w:rPr>
              <w:t>Trarza</w:t>
            </w:r>
          </w:p>
        </w:tc>
        <w:tc>
          <w:tcPr>
            <w:tcW w:w="1457"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15,90%</w:t>
            </w:r>
          </w:p>
        </w:tc>
        <w:tc>
          <w:tcPr>
            <w:tcW w:w="1457"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10,00%</w:t>
            </w:r>
          </w:p>
        </w:tc>
        <w:tc>
          <w:tcPr>
            <w:tcW w:w="1457"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1,35%</w:t>
            </w:r>
          </w:p>
        </w:tc>
      </w:tr>
      <w:tr w:rsidR="001E7BB4" w:rsidRPr="007930B0">
        <w:trPr>
          <w:trHeight w:val="255"/>
        </w:trPr>
        <w:tc>
          <w:tcPr>
            <w:tcW w:w="2999" w:type="dxa"/>
            <w:shd w:val="clear" w:color="auto" w:fill="auto"/>
            <w:noWrap/>
          </w:tcPr>
          <w:p w:rsidR="001E7BB4" w:rsidRPr="007930B0" w:rsidRDefault="001E7BB4" w:rsidP="00FC74A2">
            <w:pPr>
              <w:spacing w:before="40" w:after="40" w:line="220" w:lineRule="exact"/>
              <w:ind w:right="113"/>
              <w:rPr>
                <w:sz w:val="18"/>
              </w:rPr>
            </w:pPr>
            <w:r w:rsidRPr="007930B0">
              <w:rPr>
                <w:sz w:val="18"/>
              </w:rPr>
              <w:t>Adrar</w:t>
            </w:r>
          </w:p>
        </w:tc>
        <w:tc>
          <w:tcPr>
            <w:tcW w:w="1457"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12,80%</w:t>
            </w:r>
          </w:p>
        </w:tc>
        <w:tc>
          <w:tcPr>
            <w:tcW w:w="1457"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21,00%</w:t>
            </w:r>
          </w:p>
        </w:tc>
        <w:tc>
          <w:tcPr>
            <w:tcW w:w="1457"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26,29%</w:t>
            </w:r>
          </w:p>
        </w:tc>
      </w:tr>
      <w:tr w:rsidR="001E7BB4" w:rsidRPr="007930B0">
        <w:trPr>
          <w:trHeight w:val="255"/>
        </w:trPr>
        <w:tc>
          <w:tcPr>
            <w:tcW w:w="2999" w:type="dxa"/>
            <w:tcBorders>
              <w:bottom w:val="nil"/>
            </w:tcBorders>
            <w:shd w:val="clear" w:color="auto" w:fill="auto"/>
            <w:noWrap/>
          </w:tcPr>
          <w:p w:rsidR="001E7BB4" w:rsidRPr="007930B0" w:rsidRDefault="001E7BB4" w:rsidP="00FC74A2">
            <w:pPr>
              <w:spacing w:before="40" w:after="40" w:line="220" w:lineRule="exact"/>
              <w:ind w:right="113"/>
              <w:rPr>
                <w:sz w:val="18"/>
              </w:rPr>
            </w:pPr>
            <w:r w:rsidRPr="007930B0">
              <w:rPr>
                <w:sz w:val="18"/>
              </w:rPr>
              <w:t>Nuadhibu</w:t>
            </w:r>
          </w:p>
        </w:tc>
        <w:tc>
          <w:tcPr>
            <w:tcW w:w="1457" w:type="dxa"/>
            <w:tcBorders>
              <w:bottom w:val="nil"/>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17,10%</w:t>
            </w:r>
          </w:p>
        </w:tc>
        <w:tc>
          <w:tcPr>
            <w:tcW w:w="1457" w:type="dxa"/>
            <w:tcBorders>
              <w:bottom w:val="nil"/>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10,70%</w:t>
            </w:r>
          </w:p>
        </w:tc>
        <w:tc>
          <w:tcPr>
            <w:tcW w:w="1457" w:type="dxa"/>
            <w:tcBorders>
              <w:bottom w:val="nil"/>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3,19%</w:t>
            </w:r>
          </w:p>
        </w:tc>
      </w:tr>
      <w:tr w:rsidR="001E7BB4" w:rsidRPr="007930B0">
        <w:trPr>
          <w:trHeight w:val="255"/>
        </w:trPr>
        <w:tc>
          <w:tcPr>
            <w:tcW w:w="2999" w:type="dxa"/>
            <w:tcBorders>
              <w:top w:val="nil"/>
              <w:bottom w:val="nil"/>
            </w:tcBorders>
            <w:shd w:val="clear" w:color="auto" w:fill="auto"/>
            <w:noWrap/>
          </w:tcPr>
          <w:p w:rsidR="001E7BB4" w:rsidRPr="007930B0" w:rsidRDefault="001E7BB4" w:rsidP="00FC74A2">
            <w:pPr>
              <w:spacing w:before="40" w:after="40" w:line="220" w:lineRule="exact"/>
              <w:ind w:right="113"/>
              <w:rPr>
                <w:sz w:val="18"/>
              </w:rPr>
            </w:pPr>
            <w:r w:rsidRPr="007930B0">
              <w:rPr>
                <w:sz w:val="18"/>
              </w:rPr>
              <w:t>Tagant</w:t>
            </w:r>
          </w:p>
        </w:tc>
        <w:tc>
          <w:tcPr>
            <w:tcW w:w="1457" w:type="dxa"/>
            <w:tcBorders>
              <w:top w:val="nil"/>
              <w:bottom w:val="nil"/>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13,20%</w:t>
            </w:r>
          </w:p>
        </w:tc>
        <w:tc>
          <w:tcPr>
            <w:tcW w:w="1457" w:type="dxa"/>
            <w:tcBorders>
              <w:top w:val="nil"/>
              <w:bottom w:val="nil"/>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10,70%</w:t>
            </w:r>
          </w:p>
        </w:tc>
        <w:tc>
          <w:tcPr>
            <w:tcW w:w="1457" w:type="dxa"/>
            <w:tcBorders>
              <w:top w:val="nil"/>
              <w:bottom w:val="nil"/>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12,67%</w:t>
            </w:r>
          </w:p>
        </w:tc>
      </w:tr>
      <w:tr w:rsidR="001E7BB4" w:rsidRPr="007930B0">
        <w:trPr>
          <w:trHeight w:val="255"/>
        </w:trPr>
        <w:tc>
          <w:tcPr>
            <w:tcW w:w="2999" w:type="dxa"/>
            <w:tcBorders>
              <w:top w:val="nil"/>
            </w:tcBorders>
            <w:shd w:val="clear" w:color="auto" w:fill="auto"/>
            <w:noWrap/>
          </w:tcPr>
          <w:p w:rsidR="001E7BB4" w:rsidRPr="007930B0" w:rsidRDefault="001E7BB4" w:rsidP="00FC74A2">
            <w:pPr>
              <w:spacing w:before="40" w:after="40" w:line="220" w:lineRule="exact"/>
              <w:ind w:right="113"/>
              <w:rPr>
                <w:sz w:val="18"/>
              </w:rPr>
            </w:pPr>
            <w:r w:rsidRPr="007930B0">
              <w:rPr>
                <w:sz w:val="18"/>
              </w:rPr>
              <w:t>Guidimakha</w:t>
            </w:r>
          </w:p>
        </w:tc>
        <w:tc>
          <w:tcPr>
            <w:tcW w:w="1457" w:type="dxa"/>
            <w:tcBorders>
              <w:top w:val="nil"/>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18,70%</w:t>
            </w:r>
          </w:p>
        </w:tc>
        <w:tc>
          <w:tcPr>
            <w:tcW w:w="1457" w:type="dxa"/>
            <w:tcBorders>
              <w:top w:val="nil"/>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23,20%</w:t>
            </w:r>
          </w:p>
        </w:tc>
        <w:tc>
          <w:tcPr>
            <w:tcW w:w="1457" w:type="dxa"/>
            <w:tcBorders>
              <w:top w:val="nil"/>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16,74%</w:t>
            </w:r>
          </w:p>
        </w:tc>
      </w:tr>
      <w:tr w:rsidR="001E7BB4" w:rsidRPr="007930B0">
        <w:trPr>
          <w:trHeight w:val="255"/>
        </w:trPr>
        <w:tc>
          <w:tcPr>
            <w:tcW w:w="2999" w:type="dxa"/>
            <w:shd w:val="clear" w:color="auto" w:fill="auto"/>
            <w:noWrap/>
          </w:tcPr>
          <w:p w:rsidR="001E7BB4" w:rsidRPr="007930B0" w:rsidRDefault="001E7BB4" w:rsidP="00FC74A2">
            <w:pPr>
              <w:spacing w:before="40" w:after="40" w:line="220" w:lineRule="exact"/>
              <w:ind w:right="113"/>
              <w:rPr>
                <w:sz w:val="18"/>
              </w:rPr>
            </w:pPr>
            <w:r w:rsidRPr="007930B0">
              <w:rPr>
                <w:sz w:val="18"/>
              </w:rPr>
              <w:t>Tiris Zemmour</w:t>
            </w:r>
          </w:p>
        </w:tc>
        <w:tc>
          <w:tcPr>
            <w:tcW w:w="1457"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18,80%</w:t>
            </w:r>
          </w:p>
        </w:tc>
        <w:tc>
          <w:tcPr>
            <w:tcW w:w="1457"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5,00%</w:t>
            </w:r>
          </w:p>
        </w:tc>
        <w:tc>
          <w:tcPr>
            <w:tcW w:w="1457"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8,19%</w:t>
            </w:r>
          </w:p>
        </w:tc>
      </w:tr>
      <w:tr w:rsidR="001E7BB4" w:rsidRPr="007930B0">
        <w:trPr>
          <w:trHeight w:val="255"/>
        </w:trPr>
        <w:tc>
          <w:tcPr>
            <w:tcW w:w="2999" w:type="dxa"/>
            <w:shd w:val="clear" w:color="auto" w:fill="auto"/>
            <w:noWrap/>
          </w:tcPr>
          <w:p w:rsidR="001E7BB4" w:rsidRPr="007930B0" w:rsidRDefault="001E7BB4" w:rsidP="00FC74A2">
            <w:pPr>
              <w:spacing w:before="40" w:after="40" w:line="220" w:lineRule="exact"/>
              <w:ind w:right="113"/>
              <w:rPr>
                <w:sz w:val="18"/>
              </w:rPr>
            </w:pPr>
            <w:r w:rsidRPr="007930B0">
              <w:rPr>
                <w:sz w:val="18"/>
              </w:rPr>
              <w:t>Inchiri</w:t>
            </w:r>
          </w:p>
        </w:tc>
        <w:tc>
          <w:tcPr>
            <w:tcW w:w="1457"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10,70%</w:t>
            </w:r>
          </w:p>
        </w:tc>
        <w:tc>
          <w:tcPr>
            <w:tcW w:w="1457"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6,80%</w:t>
            </w:r>
          </w:p>
        </w:tc>
        <w:tc>
          <w:tcPr>
            <w:tcW w:w="1457" w:type="dxa"/>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0,00%</w:t>
            </w:r>
          </w:p>
        </w:tc>
      </w:tr>
      <w:tr w:rsidR="001E7BB4" w:rsidRPr="007930B0">
        <w:trPr>
          <w:trHeight w:val="255"/>
        </w:trPr>
        <w:tc>
          <w:tcPr>
            <w:tcW w:w="2999" w:type="dxa"/>
            <w:tcBorders>
              <w:bottom w:val="single" w:sz="4" w:space="0" w:color="auto"/>
            </w:tcBorders>
            <w:shd w:val="clear" w:color="auto" w:fill="auto"/>
            <w:noWrap/>
          </w:tcPr>
          <w:p w:rsidR="001E7BB4" w:rsidRPr="007930B0" w:rsidRDefault="001E7BB4" w:rsidP="00FC74A2">
            <w:pPr>
              <w:spacing w:before="40" w:after="40" w:line="220" w:lineRule="exact"/>
              <w:ind w:right="113"/>
              <w:rPr>
                <w:sz w:val="18"/>
              </w:rPr>
            </w:pPr>
            <w:r w:rsidRPr="007930B0">
              <w:rPr>
                <w:sz w:val="18"/>
              </w:rPr>
              <w:t>Nuakchot</w:t>
            </w:r>
          </w:p>
        </w:tc>
        <w:tc>
          <w:tcPr>
            <w:tcW w:w="1457" w:type="dxa"/>
            <w:tcBorders>
              <w:bottom w:val="single" w:sz="4" w:space="0" w:color="auto"/>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14,10%</w:t>
            </w:r>
          </w:p>
        </w:tc>
        <w:tc>
          <w:tcPr>
            <w:tcW w:w="1457" w:type="dxa"/>
            <w:tcBorders>
              <w:bottom w:val="single" w:sz="4" w:space="0" w:color="auto"/>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10,50%</w:t>
            </w:r>
          </w:p>
        </w:tc>
        <w:tc>
          <w:tcPr>
            <w:tcW w:w="1457" w:type="dxa"/>
            <w:tcBorders>
              <w:bottom w:val="single" w:sz="4" w:space="0" w:color="auto"/>
            </w:tcBorders>
            <w:shd w:val="clear" w:color="auto" w:fill="auto"/>
            <w:noWrap/>
            <w:vAlign w:val="bottom"/>
          </w:tcPr>
          <w:p w:rsidR="001E7BB4" w:rsidRPr="007930B0" w:rsidRDefault="001E7BB4" w:rsidP="00FC74A2">
            <w:pPr>
              <w:spacing w:before="40" w:after="40" w:line="220" w:lineRule="exact"/>
              <w:ind w:right="113"/>
              <w:jc w:val="right"/>
              <w:rPr>
                <w:sz w:val="18"/>
              </w:rPr>
            </w:pPr>
            <w:r w:rsidRPr="007930B0">
              <w:rPr>
                <w:sz w:val="18"/>
              </w:rPr>
              <w:t>8,30%</w:t>
            </w:r>
          </w:p>
        </w:tc>
      </w:tr>
      <w:tr w:rsidR="001E7BB4" w:rsidRPr="007930B0">
        <w:trPr>
          <w:trHeight w:val="255"/>
        </w:trPr>
        <w:tc>
          <w:tcPr>
            <w:tcW w:w="2999" w:type="dxa"/>
            <w:tcBorders>
              <w:top w:val="single" w:sz="4" w:space="0" w:color="auto"/>
              <w:bottom w:val="single" w:sz="12" w:space="0" w:color="auto"/>
            </w:tcBorders>
            <w:shd w:val="clear" w:color="auto" w:fill="auto"/>
            <w:noWrap/>
          </w:tcPr>
          <w:p w:rsidR="001E7BB4" w:rsidRPr="007930B0" w:rsidRDefault="001E7BB4" w:rsidP="00FC74A2">
            <w:pPr>
              <w:spacing w:before="80" w:after="80" w:line="220" w:lineRule="exact"/>
              <w:ind w:left="284" w:right="113"/>
              <w:rPr>
                <w:b/>
                <w:sz w:val="18"/>
              </w:rPr>
            </w:pPr>
            <w:r w:rsidRPr="007930B0">
              <w:rPr>
                <w:b/>
                <w:sz w:val="18"/>
              </w:rPr>
              <w:t>Nacional</w:t>
            </w:r>
          </w:p>
        </w:tc>
        <w:tc>
          <w:tcPr>
            <w:tcW w:w="1457" w:type="dxa"/>
            <w:tcBorders>
              <w:top w:val="single" w:sz="4" w:space="0" w:color="auto"/>
              <w:bottom w:val="single" w:sz="12" w:space="0" w:color="auto"/>
            </w:tcBorders>
            <w:shd w:val="clear" w:color="auto" w:fill="auto"/>
            <w:noWrap/>
            <w:vAlign w:val="bottom"/>
          </w:tcPr>
          <w:p w:rsidR="001E7BB4" w:rsidRPr="007930B0" w:rsidRDefault="001E7BB4" w:rsidP="00FC74A2">
            <w:pPr>
              <w:spacing w:before="80" w:after="80" w:line="220" w:lineRule="exact"/>
              <w:ind w:right="113"/>
              <w:jc w:val="right"/>
              <w:rPr>
                <w:b/>
                <w:sz w:val="18"/>
              </w:rPr>
            </w:pPr>
            <w:r w:rsidRPr="007930B0">
              <w:rPr>
                <w:b/>
                <w:sz w:val="18"/>
              </w:rPr>
              <w:t>15,60%</w:t>
            </w:r>
          </w:p>
        </w:tc>
        <w:tc>
          <w:tcPr>
            <w:tcW w:w="1457" w:type="dxa"/>
            <w:tcBorders>
              <w:top w:val="single" w:sz="4" w:space="0" w:color="auto"/>
              <w:bottom w:val="single" w:sz="12" w:space="0" w:color="auto"/>
            </w:tcBorders>
            <w:shd w:val="clear" w:color="auto" w:fill="auto"/>
            <w:noWrap/>
            <w:vAlign w:val="bottom"/>
          </w:tcPr>
          <w:p w:rsidR="001E7BB4" w:rsidRPr="007930B0" w:rsidRDefault="001E7BB4" w:rsidP="00FC74A2">
            <w:pPr>
              <w:spacing w:before="80" w:after="80" w:line="220" w:lineRule="exact"/>
              <w:ind w:right="113"/>
              <w:jc w:val="right"/>
              <w:rPr>
                <w:b/>
                <w:sz w:val="18"/>
              </w:rPr>
            </w:pPr>
            <w:r w:rsidRPr="007930B0">
              <w:rPr>
                <w:b/>
                <w:sz w:val="18"/>
              </w:rPr>
              <w:t>12,90%</w:t>
            </w:r>
          </w:p>
        </w:tc>
        <w:tc>
          <w:tcPr>
            <w:tcW w:w="1457" w:type="dxa"/>
            <w:tcBorders>
              <w:top w:val="single" w:sz="4" w:space="0" w:color="auto"/>
              <w:bottom w:val="single" w:sz="12" w:space="0" w:color="auto"/>
            </w:tcBorders>
            <w:shd w:val="clear" w:color="auto" w:fill="auto"/>
            <w:noWrap/>
            <w:vAlign w:val="bottom"/>
          </w:tcPr>
          <w:p w:rsidR="001E7BB4" w:rsidRPr="007930B0" w:rsidRDefault="001E7BB4" w:rsidP="00FC74A2">
            <w:pPr>
              <w:spacing w:before="80" w:after="80" w:line="220" w:lineRule="exact"/>
              <w:ind w:right="113"/>
              <w:jc w:val="right"/>
              <w:rPr>
                <w:b/>
                <w:sz w:val="18"/>
              </w:rPr>
            </w:pPr>
            <w:r w:rsidRPr="007930B0">
              <w:rPr>
                <w:b/>
                <w:sz w:val="18"/>
              </w:rPr>
              <w:t>9,28%</w:t>
            </w:r>
          </w:p>
        </w:tc>
      </w:tr>
    </w:tbl>
    <w:p w:rsidR="001E7BB4" w:rsidRPr="007930B0" w:rsidRDefault="001E7BB4" w:rsidP="00FC74A2">
      <w:pPr>
        <w:pStyle w:val="H4G"/>
        <w:rPr>
          <w:lang w:val="es-ES"/>
        </w:rPr>
      </w:pPr>
      <w:bookmarkStart w:id="22" w:name="_Toc50388722"/>
      <w:r w:rsidRPr="007930B0">
        <w:rPr>
          <w:lang w:val="es-ES"/>
        </w:rPr>
        <w:tab/>
      </w:r>
      <w:r w:rsidRPr="007930B0">
        <w:rPr>
          <w:lang w:val="es-ES"/>
        </w:rPr>
        <w:tab/>
        <w:t>Porcentaje de alumnos de las ramas científicas</w:t>
      </w:r>
      <w:bookmarkEnd w:id="22"/>
    </w:p>
    <w:p w:rsidR="001E7BB4" w:rsidRPr="007930B0" w:rsidRDefault="001E7BB4" w:rsidP="0068666F">
      <w:pPr>
        <w:pStyle w:val="SingleTxtG"/>
        <w:rPr>
          <w:lang w:val="es-ES"/>
        </w:rPr>
      </w:pPr>
      <w:r w:rsidRPr="007930B0">
        <w:rPr>
          <w:lang w:val="es-ES"/>
        </w:rPr>
        <w:t>460.</w:t>
      </w:r>
      <w:r w:rsidRPr="007930B0">
        <w:rPr>
          <w:lang w:val="es-ES"/>
        </w:rPr>
        <w:tab/>
        <w:t>La proporción de alumnos de las ramas científicas (C y D) fue de 70% en 2006/07, lo que indica un descenso de 3 puntos en relación con 2006/07 (73,1%). El objetivo del PNDSE con respecto a este indicador para 2010 es una tasa de 74%.</w:t>
      </w:r>
    </w:p>
    <w:p w:rsidR="001E7BB4" w:rsidRPr="007930B0" w:rsidRDefault="001E7BB4" w:rsidP="00FC74A2">
      <w:pPr>
        <w:pStyle w:val="H4G"/>
        <w:rPr>
          <w:lang w:val="es-ES"/>
        </w:rPr>
      </w:pPr>
      <w:bookmarkStart w:id="23" w:name="_Toc50388723"/>
      <w:r w:rsidRPr="007930B0">
        <w:rPr>
          <w:lang w:val="es-ES"/>
        </w:rPr>
        <w:tab/>
      </w:r>
      <w:r w:rsidRPr="007930B0">
        <w:rPr>
          <w:lang w:val="es-ES"/>
        </w:rPr>
        <w:tab/>
        <w:t>Proporción de alumnos de la rama matemática</w:t>
      </w:r>
      <w:bookmarkEnd w:id="23"/>
    </w:p>
    <w:p w:rsidR="001E7BB4" w:rsidRPr="007930B0" w:rsidRDefault="001E7BB4" w:rsidP="0068666F">
      <w:pPr>
        <w:pStyle w:val="SingleTxtG"/>
        <w:rPr>
          <w:lang w:val="es-ES"/>
        </w:rPr>
      </w:pPr>
      <w:r w:rsidRPr="007930B0">
        <w:rPr>
          <w:lang w:val="es-ES"/>
        </w:rPr>
        <w:t>461.</w:t>
      </w:r>
      <w:r w:rsidRPr="007930B0">
        <w:rPr>
          <w:lang w:val="es-ES"/>
        </w:rPr>
        <w:tab/>
        <w:t xml:space="preserve">El porcentaje de alumnos de la rama matemática (como proporción del total de alumnos de las ramas científicas) disminuyó, pasando de 23,8% en 2005/06 a 17,4% en 2006/07. El valor meta este indicador en la primera fase del PNDSE es una tasa de 50%. </w:t>
      </w:r>
    </w:p>
    <w:p w:rsidR="001E7BB4" w:rsidRPr="007930B0" w:rsidRDefault="001E7BB4" w:rsidP="00FC74A2">
      <w:pPr>
        <w:pStyle w:val="H23G"/>
        <w:rPr>
          <w:lang w:val="es-ES"/>
        </w:rPr>
      </w:pPr>
      <w:bookmarkStart w:id="24" w:name="_Toc50388726"/>
      <w:bookmarkStart w:id="25" w:name="_Toc151950055"/>
      <w:bookmarkStart w:id="26" w:name="_Toc180163043"/>
      <w:r w:rsidRPr="007930B0">
        <w:rPr>
          <w:lang w:val="es-ES"/>
        </w:rPr>
        <w:tab/>
      </w:r>
      <w:r w:rsidRPr="007930B0">
        <w:rPr>
          <w:lang w:val="es-ES"/>
        </w:rPr>
        <w:tab/>
        <w:t>Indicadores de la FTP y de la enseñanza superior</w:t>
      </w:r>
      <w:bookmarkEnd w:id="25"/>
      <w:bookmarkEnd w:id="26"/>
    </w:p>
    <w:p w:rsidR="001E7BB4" w:rsidRPr="007930B0" w:rsidRDefault="00FC74A2" w:rsidP="00FC74A2">
      <w:pPr>
        <w:pStyle w:val="H4G"/>
        <w:rPr>
          <w:lang w:val="es-ES"/>
        </w:rPr>
      </w:pPr>
      <w:bookmarkStart w:id="27" w:name="_Toc151950056"/>
      <w:bookmarkStart w:id="28" w:name="_Toc180163044"/>
      <w:r w:rsidRPr="007930B0">
        <w:rPr>
          <w:lang w:val="es-ES"/>
        </w:rPr>
        <w:tab/>
      </w:r>
      <w:r w:rsidRPr="007930B0">
        <w:rPr>
          <w:lang w:val="es-ES"/>
        </w:rPr>
        <w:tab/>
      </w:r>
      <w:r w:rsidR="001E7BB4" w:rsidRPr="007930B0">
        <w:rPr>
          <w:lang w:val="es-ES"/>
        </w:rPr>
        <w:t>Formación técnica y profesional (FTP)</w:t>
      </w:r>
      <w:bookmarkEnd w:id="24"/>
      <w:bookmarkEnd w:id="27"/>
      <w:bookmarkEnd w:id="28"/>
    </w:p>
    <w:p w:rsidR="001E7BB4" w:rsidRPr="007930B0" w:rsidRDefault="001E7BB4" w:rsidP="0068666F">
      <w:pPr>
        <w:pStyle w:val="SingleTxtG"/>
        <w:rPr>
          <w:lang w:val="es-ES"/>
        </w:rPr>
      </w:pPr>
      <w:r w:rsidRPr="007930B0">
        <w:rPr>
          <w:lang w:val="es-ES"/>
        </w:rPr>
        <w:t>462.</w:t>
      </w:r>
      <w:r w:rsidRPr="007930B0">
        <w:rPr>
          <w:lang w:val="es-ES"/>
        </w:rPr>
        <w:tab/>
        <w:t>Los indicadores seleccionados para el seguimiento de los resultados del subcomponente FTP son los siguientes: la tasa de inserción total de los estudiantes egresados, la tasa de inserción de los egresados de las nuevas modalidades de formación, el número de aprendices formados y el porcentaje de contribución de los empleadores al presupuesto de la FTP.</w:t>
      </w:r>
    </w:p>
    <w:p w:rsidR="001E7BB4" w:rsidRPr="007930B0" w:rsidRDefault="001E7BB4" w:rsidP="00FC74A2">
      <w:pPr>
        <w:pStyle w:val="H4G"/>
        <w:rPr>
          <w:lang w:val="es-ES"/>
        </w:rPr>
      </w:pPr>
      <w:r w:rsidRPr="007930B0">
        <w:rPr>
          <w:lang w:val="es-ES"/>
        </w:rPr>
        <w:tab/>
      </w:r>
      <w:r w:rsidRPr="007930B0">
        <w:rPr>
          <w:lang w:val="es-ES"/>
        </w:rPr>
        <w:tab/>
        <w:t>Tasa de inserción de los estudiantes egresados de la FTP</w:t>
      </w:r>
    </w:p>
    <w:p w:rsidR="001E7BB4" w:rsidRPr="007930B0" w:rsidRDefault="001E7BB4" w:rsidP="0068666F">
      <w:pPr>
        <w:pStyle w:val="SingleTxtG"/>
        <w:rPr>
          <w:lang w:val="es-ES"/>
        </w:rPr>
      </w:pPr>
      <w:r w:rsidRPr="007930B0">
        <w:rPr>
          <w:lang w:val="es-ES"/>
        </w:rPr>
        <w:t>463.</w:t>
      </w:r>
      <w:r w:rsidRPr="007930B0">
        <w:rPr>
          <w:lang w:val="es-ES"/>
        </w:rPr>
        <w:tab/>
        <w:t>La última encuesta de seguimiento sobre la inserción de los egresados de la FTP, realizada en 2006, se refería a la promoción 2004/05. Según esta encuesta, la tasa de inserción de los graduados, 18 meses después de haber egresado, se estimaba en 51%. La encuesta, que se llevó a cabo en 2003, mostró una tasa de inserción del orden del 41%. Cabe señalar que la meta del PNDSE en relación con este indicador es una tasa de 60%.</w:t>
      </w:r>
    </w:p>
    <w:p w:rsidR="001E7BB4" w:rsidRPr="007930B0" w:rsidRDefault="001E7BB4" w:rsidP="00FC74A2">
      <w:pPr>
        <w:pStyle w:val="H4G"/>
        <w:rPr>
          <w:lang w:val="es-ES"/>
        </w:rPr>
      </w:pPr>
      <w:r w:rsidRPr="007930B0">
        <w:rPr>
          <w:lang w:val="es-ES"/>
        </w:rPr>
        <w:tab/>
      </w:r>
      <w:r w:rsidRPr="007930B0">
        <w:rPr>
          <w:lang w:val="es-ES"/>
        </w:rPr>
        <w:tab/>
        <w:t>Tasa de inserción de los egresados de las nuevas modalidades de formación</w:t>
      </w:r>
    </w:p>
    <w:p w:rsidR="001E7BB4" w:rsidRPr="007930B0" w:rsidRDefault="001E7BB4" w:rsidP="0068666F">
      <w:pPr>
        <w:pStyle w:val="SingleTxtG"/>
        <w:rPr>
          <w:lang w:val="es-ES"/>
        </w:rPr>
      </w:pPr>
      <w:r w:rsidRPr="007930B0">
        <w:rPr>
          <w:lang w:val="es-ES"/>
        </w:rPr>
        <w:t>464.</w:t>
      </w:r>
      <w:r w:rsidRPr="007930B0">
        <w:rPr>
          <w:lang w:val="es-ES"/>
        </w:rPr>
        <w:tab/>
        <w:t xml:space="preserve">En 2007 no se dictaron cursos aplicando las nuevas modalidades de formación. Sin embargo, se estima que la tasa de inserción de las personas formadas alternando el estudio con el trabajo en 2006 fue de 70%. </w:t>
      </w:r>
    </w:p>
    <w:p w:rsidR="001E7BB4" w:rsidRPr="007930B0" w:rsidRDefault="001E7BB4" w:rsidP="00FC74A2">
      <w:pPr>
        <w:pStyle w:val="H4G"/>
        <w:rPr>
          <w:lang w:val="es-ES"/>
        </w:rPr>
      </w:pPr>
      <w:r w:rsidRPr="007930B0">
        <w:rPr>
          <w:lang w:val="es-ES"/>
        </w:rPr>
        <w:tab/>
      </w:r>
      <w:r w:rsidRPr="007930B0">
        <w:rPr>
          <w:lang w:val="es-ES"/>
        </w:rPr>
        <w:tab/>
        <w:t>Número de aprendices formados</w:t>
      </w:r>
    </w:p>
    <w:p w:rsidR="001E7BB4" w:rsidRPr="007930B0" w:rsidRDefault="001E7BB4" w:rsidP="0068666F">
      <w:pPr>
        <w:pStyle w:val="SingleTxtG"/>
        <w:rPr>
          <w:lang w:val="es-ES"/>
        </w:rPr>
      </w:pPr>
      <w:r w:rsidRPr="007930B0">
        <w:rPr>
          <w:lang w:val="es-ES"/>
        </w:rPr>
        <w:t>465.</w:t>
      </w:r>
      <w:r w:rsidRPr="007930B0">
        <w:rPr>
          <w:lang w:val="es-ES"/>
        </w:rPr>
        <w:tab/>
        <w:t>En el año 2007 no se dictaron cursos de formación de aprendices. Desde el comienzo del programa, el número de aprendices formados asciende a 101 personas. La meta del PNDSE es formar 500 para el año 2010.</w:t>
      </w:r>
    </w:p>
    <w:p w:rsidR="001E7BB4" w:rsidRPr="007930B0" w:rsidRDefault="001E7BB4" w:rsidP="00FC74A2">
      <w:pPr>
        <w:pStyle w:val="H4G"/>
        <w:rPr>
          <w:lang w:val="es-ES"/>
        </w:rPr>
      </w:pPr>
      <w:r w:rsidRPr="007930B0">
        <w:rPr>
          <w:lang w:val="es-ES"/>
        </w:rPr>
        <w:tab/>
      </w:r>
      <w:r w:rsidRPr="007930B0">
        <w:rPr>
          <w:lang w:val="es-ES"/>
        </w:rPr>
        <w:tab/>
        <w:t>Porcentaje de contribución de los empleadores al presupuesto de la FTP</w:t>
      </w:r>
    </w:p>
    <w:p w:rsidR="001E7BB4" w:rsidRPr="007930B0" w:rsidRDefault="001E7BB4" w:rsidP="0068666F">
      <w:pPr>
        <w:pStyle w:val="SingleTxtG"/>
        <w:rPr>
          <w:lang w:val="es-ES"/>
        </w:rPr>
      </w:pPr>
      <w:r w:rsidRPr="007930B0">
        <w:rPr>
          <w:lang w:val="es-ES"/>
        </w:rPr>
        <w:t>466.</w:t>
      </w:r>
      <w:r w:rsidRPr="007930B0">
        <w:rPr>
          <w:lang w:val="es-ES"/>
        </w:rPr>
        <w:tab/>
        <w:t xml:space="preserve">Este indicador se calculó sobre la base de la contribución de las empresas a los costos de la formación continua en 2006. Se estima que la contribución de las empresas a esos costos fue de 21% en 2006/07. La meta es una tasa de 20%. </w:t>
      </w:r>
    </w:p>
    <w:p w:rsidR="001E7BB4" w:rsidRPr="007930B0" w:rsidRDefault="001E7BB4" w:rsidP="0068666F">
      <w:pPr>
        <w:pStyle w:val="SingleTxtG"/>
        <w:rPr>
          <w:lang w:val="es-ES"/>
        </w:rPr>
      </w:pPr>
      <w:bookmarkStart w:id="29" w:name="_Toc50388727"/>
      <w:bookmarkStart w:id="30" w:name="_Toc151950057"/>
      <w:bookmarkStart w:id="31" w:name="_Toc180163045"/>
      <w:r w:rsidRPr="007930B0">
        <w:rPr>
          <w:lang w:val="es-ES"/>
        </w:rPr>
        <w:tab/>
        <w:t>Enseñanza superior</w:t>
      </w:r>
      <w:bookmarkEnd w:id="29"/>
      <w:bookmarkEnd w:id="30"/>
      <w:bookmarkEnd w:id="31"/>
    </w:p>
    <w:p w:rsidR="001E7BB4" w:rsidRPr="007930B0" w:rsidRDefault="001E7BB4" w:rsidP="0068666F">
      <w:pPr>
        <w:pStyle w:val="SingleTxtG"/>
        <w:rPr>
          <w:lang w:val="es-ES"/>
        </w:rPr>
      </w:pPr>
      <w:r w:rsidRPr="007930B0">
        <w:rPr>
          <w:lang w:val="es-ES"/>
        </w:rPr>
        <w:t>467.</w:t>
      </w:r>
      <w:r w:rsidRPr="007930B0">
        <w:rPr>
          <w:lang w:val="es-ES"/>
        </w:rPr>
        <w:tab/>
        <w:t>Los indicadores utilizados para el seguimiento de los resultados del subcomponente enseñanza superior son las tasas de eficacia interna y el porcentaje de carreras profesionales.</w:t>
      </w:r>
    </w:p>
    <w:p w:rsidR="001E7BB4" w:rsidRPr="007930B0" w:rsidRDefault="00FC74A2" w:rsidP="00FC74A2">
      <w:pPr>
        <w:pStyle w:val="H4G"/>
        <w:rPr>
          <w:lang w:val="es-ES"/>
        </w:rPr>
      </w:pPr>
      <w:r w:rsidRPr="007930B0">
        <w:rPr>
          <w:lang w:val="es-ES"/>
        </w:rPr>
        <w:tab/>
      </w:r>
      <w:r w:rsidRPr="007930B0">
        <w:rPr>
          <w:lang w:val="es-ES"/>
        </w:rPr>
        <w:tab/>
      </w:r>
      <w:r w:rsidR="001E7BB4" w:rsidRPr="007930B0">
        <w:rPr>
          <w:lang w:val="es-ES"/>
        </w:rPr>
        <w:t>Tasa de eficacia interna</w:t>
      </w:r>
    </w:p>
    <w:p w:rsidR="001E7BB4" w:rsidRPr="007930B0" w:rsidRDefault="001E7BB4" w:rsidP="0068666F">
      <w:pPr>
        <w:pStyle w:val="SingleTxtG"/>
        <w:rPr>
          <w:lang w:val="es-ES"/>
        </w:rPr>
      </w:pPr>
      <w:r w:rsidRPr="007930B0">
        <w:rPr>
          <w:lang w:val="es-ES"/>
        </w:rPr>
        <w:t>468.</w:t>
      </w:r>
      <w:r w:rsidRPr="007930B0">
        <w:rPr>
          <w:lang w:val="es-ES"/>
        </w:rPr>
        <w:tab/>
        <w:t>Esta tasa registró un descenso de 5 puntos entre 2006 y 2007, pasando de 36% a 31%. El valor meta de este indicador para el año 2010 es una tasa de 60%.</w:t>
      </w:r>
    </w:p>
    <w:p w:rsidR="001E7BB4" w:rsidRPr="007930B0" w:rsidRDefault="00AA5AA3" w:rsidP="00AA5AA3">
      <w:pPr>
        <w:pStyle w:val="H4G"/>
        <w:rPr>
          <w:lang w:val="es-ES"/>
        </w:rPr>
      </w:pPr>
      <w:r w:rsidRPr="007930B0">
        <w:rPr>
          <w:lang w:val="es-ES"/>
        </w:rPr>
        <w:tab/>
      </w:r>
      <w:r w:rsidRPr="007930B0">
        <w:rPr>
          <w:lang w:val="es-ES"/>
        </w:rPr>
        <w:tab/>
      </w:r>
      <w:r w:rsidR="001E7BB4" w:rsidRPr="007930B0">
        <w:rPr>
          <w:lang w:val="es-ES"/>
        </w:rPr>
        <w:t>Porcentaje de carreras profesionales</w:t>
      </w:r>
    </w:p>
    <w:p w:rsidR="001E7BB4" w:rsidRPr="007930B0" w:rsidRDefault="001E7BB4" w:rsidP="0068666F">
      <w:pPr>
        <w:pStyle w:val="SingleTxtG"/>
        <w:rPr>
          <w:lang w:val="es-ES"/>
        </w:rPr>
      </w:pPr>
      <w:r w:rsidRPr="007930B0">
        <w:rPr>
          <w:lang w:val="es-ES"/>
        </w:rPr>
        <w:t>469.</w:t>
      </w:r>
      <w:r w:rsidRPr="007930B0">
        <w:rPr>
          <w:lang w:val="es-ES"/>
        </w:rPr>
        <w:tab/>
        <w:t>El valor de este indicador experimentó una ligera progresión entre 2006 y 2007, pasando de 3% a 4%. El valor meta fijado en el marco del PNDSE en relación con este porcentaje para el año 2010 es una tasa de 15%.</w:t>
      </w:r>
    </w:p>
    <w:p w:rsidR="001E7BB4" w:rsidRPr="007930B0" w:rsidRDefault="001E7BB4" w:rsidP="00AA5AA3">
      <w:pPr>
        <w:pStyle w:val="H23G"/>
        <w:rPr>
          <w:lang w:val="es-ES"/>
        </w:rPr>
      </w:pPr>
      <w:bookmarkStart w:id="32" w:name="_Toc50388728"/>
      <w:bookmarkStart w:id="33" w:name="_Toc151950058"/>
      <w:bookmarkStart w:id="34" w:name="_Toc180163046"/>
      <w:r w:rsidRPr="007930B0">
        <w:rPr>
          <w:lang w:val="es-ES"/>
        </w:rPr>
        <w:tab/>
      </w:r>
      <w:r w:rsidRPr="007930B0">
        <w:rPr>
          <w:lang w:val="es-ES"/>
        </w:rPr>
        <w:tab/>
        <w:t>Indicadores de gestión</w:t>
      </w:r>
      <w:bookmarkEnd w:id="32"/>
      <w:bookmarkEnd w:id="33"/>
      <w:bookmarkEnd w:id="34"/>
    </w:p>
    <w:p w:rsidR="001E7BB4" w:rsidRPr="007930B0" w:rsidRDefault="001E7BB4" w:rsidP="0068666F">
      <w:pPr>
        <w:pStyle w:val="SingleTxtG"/>
        <w:rPr>
          <w:lang w:val="es-ES"/>
        </w:rPr>
      </w:pPr>
      <w:r w:rsidRPr="007930B0">
        <w:rPr>
          <w:lang w:val="es-ES"/>
        </w:rPr>
        <w:t>470.</w:t>
      </w:r>
      <w:r w:rsidRPr="007930B0">
        <w:rPr>
          <w:lang w:val="es-ES"/>
        </w:rPr>
        <w:tab/>
        <w:t xml:space="preserve">Se usaron dos indicadores para el seguimiento de los resultados del componente </w:t>
      </w:r>
      <w:r w:rsidR="00CC3B6E" w:rsidRPr="007930B0">
        <w:rPr>
          <w:lang w:val="es-ES"/>
        </w:rPr>
        <w:t>"</w:t>
      </w:r>
      <w:r w:rsidRPr="007930B0">
        <w:rPr>
          <w:lang w:val="es-ES"/>
        </w:rPr>
        <w:t>gestión</w:t>
      </w:r>
      <w:r w:rsidR="00CC3B6E" w:rsidRPr="007930B0">
        <w:rPr>
          <w:lang w:val="es-ES"/>
        </w:rPr>
        <w:t>"</w:t>
      </w:r>
      <w:r w:rsidRPr="007930B0">
        <w:rPr>
          <w:lang w:val="es-ES"/>
        </w:rPr>
        <w:t>, a saber: el coeficiente que expresa la relación entre el número de docentes y el número de alumnos por escuela (R2) y el porcentaje de recursos del Estado asignados al sector de la educación.</w:t>
      </w:r>
    </w:p>
    <w:p w:rsidR="001E7BB4" w:rsidRPr="007930B0" w:rsidRDefault="001E7BB4" w:rsidP="00AA5AA3">
      <w:pPr>
        <w:pStyle w:val="H4G"/>
        <w:rPr>
          <w:lang w:val="es-ES"/>
        </w:rPr>
      </w:pPr>
      <w:r w:rsidRPr="007930B0">
        <w:rPr>
          <w:lang w:val="es-ES"/>
        </w:rPr>
        <w:tab/>
      </w:r>
      <w:r w:rsidRPr="007930B0">
        <w:rPr>
          <w:lang w:val="es-ES"/>
        </w:rPr>
        <w:tab/>
        <w:t>Relación entre el número de docentes y el número de alumnos por escuela (R2)</w:t>
      </w:r>
    </w:p>
    <w:p w:rsidR="001E7BB4" w:rsidRPr="007930B0" w:rsidRDefault="001E7BB4" w:rsidP="0068666F">
      <w:pPr>
        <w:pStyle w:val="SingleTxtG"/>
        <w:rPr>
          <w:lang w:val="es-ES"/>
        </w:rPr>
      </w:pPr>
      <w:r w:rsidRPr="007930B0">
        <w:rPr>
          <w:lang w:val="es-ES"/>
        </w:rPr>
        <w:t>471.</w:t>
      </w:r>
      <w:r w:rsidRPr="007930B0">
        <w:rPr>
          <w:lang w:val="es-ES"/>
        </w:rPr>
        <w:tab/>
        <w:t xml:space="preserve">El coeficiente que expresa la relación entre el número de docentes y el número de alumnos por escuela ascendió en 2007 a 76%, es decir, un descenso de 2 puntos con respecto a 2006. El valor meta de este indicador en el horizonte temporal previsto es una tasa de 85%. </w:t>
      </w:r>
    </w:p>
    <w:p w:rsidR="001E7BB4" w:rsidRPr="007930B0" w:rsidRDefault="002F30FD" w:rsidP="002F30FD">
      <w:pPr>
        <w:ind w:left="1134"/>
      </w:pPr>
      <w:r w:rsidRPr="007930B0">
        <w:rPr>
          <w:noProof/>
          <w:lang w:eastAsia="ca-ES"/>
        </w:rPr>
      </w:r>
      <w:r w:rsidRPr="007930B0">
        <w:pict>
          <v:group id="_x0000_s1334" editas="canvas" style="width:368.75pt;height:151.55pt;mso-position-horizontal-relative:char;mso-position-vertical-relative:line" coordsize="7375,3031">
            <o:lock v:ext="edit" aspectratio="t"/>
            <v:shape id="_x0000_s1333" type="#_x0000_t75" style="position:absolute;width:7375;height:3031" o:preferrelative="f">
              <v:fill o:detectmouseclick="t"/>
              <v:path o:extrusionok="t" o:connecttype="none"/>
              <o:lock v:ext="edit" text="t"/>
            </v:shape>
            <v:group id="_x0000_s1535" style="position:absolute;left:76;top:55;width:7208;height:2828" coordorigin="76,55" coordsize="7208,2828">
              <v:rect id="_x0000_s1335" style="position:absolute;left:76;top:55;width:7208;height:2828" strokeweight="0"/>
              <v:rect id="_x0000_s1336" style="position:absolute;left:833;top:652;width:6179;height:1778" fillcolor="silver" stroked="f"/>
              <v:line id="_x0000_s1337" style="position:absolute" from="833,2132" to="7012,2133" strokeweight="0"/>
              <v:line id="_x0000_s1338" style="position:absolute" from="833,1833" to="7012,1834" strokeweight="0"/>
              <v:line id="_x0000_s1339" style="position:absolute" from="833,1546" to="7012,1547" strokeweight="0"/>
              <v:line id="_x0000_s1340" style="position:absolute" from="833,1248" to="7012,1249" strokeweight="0"/>
              <v:line id="_x0000_s1341" style="position:absolute" from="833,950" to="7012,951" strokeweight="0"/>
              <v:line id="_x0000_s1342" style="position:absolute" from="833,652" to="7012,653" strokeweight="0"/>
              <v:rect id="_x0000_s1343" style="position:absolute;left:833;top:652;width:6179;height:1778" filled="f" strokecolor="gray"/>
              <v:line id="_x0000_s1344" style="position:absolute" from="833,652" to="834,2430" strokeweight="0"/>
              <v:line id="_x0000_s1345" style="position:absolute" from="772,2430" to="833,2431" strokeweight="0"/>
              <v:line id="_x0000_s1346" style="position:absolute" from="772,2132" to="833,2133" strokeweight="0"/>
              <v:line id="_x0000_s1347" style="position:absolute" from="772,1833" to="833,1834" strokeweight="0"/>
              <v:line id="_x0000_s1348" style="position:absolute" from="772,1546" to="833,1547" strokeweight="0"/>
              <v:line id="_x0000_s1349" style="position:absolute" from="772,1248" to="833,1249" strokeweight="0"/>
              <v:line id="_x0000_s1350" style="position:absolute" from="772,950" to="833,951" strokeweight="0"/>
              <v:line id="_x0000_s1351" style="position:absolute" from="772,652" to="833,653" strokeweight="0"/>
              <v:line id="_x0000_s1352" style="position:absolute" from="833,2430" to="7012,2431" strokeweight="0"/>
              <v:line id="_x0000_s1353" style="position:absolute;flip:y" from="833,2430" to="834,2474" strokeweight="0"/>
              <v:line id="_x0000_s1354" style="position:absolute;flip:y" from="1863,2430" to="1864,2474" strokeweight="0"/>
              <v:line id="_x0000_s1355" style="position:absolute;flip:y" from="2892,2430" to="2893,2474" strokeweight="0"/>
              <v:line id="_x0000_s1356" style="position:absolute;flip:y" from="3922,2430" to="3923,2474" strokeweight="0"/>
              <v:line id="_x0000_s1357" style="position:absolute;flip:y" from="4952,2430" to="4953,2474" strokeweight="0"/>
              <v:line id="_x0000_s1358" style="position:absolute;flip:y" from="5982,2430" to="5983,2474" strokeweight="0"/>
              <v:line id="_x0000_s1359" style="position:absolute;flip:y" from="7012,2430" to="7013,2474" strokeweight="0"/>
              <v:shape id="_x0000_s1360" style="position:absolute;left:999;top:2375;width:91;height:66" coordsize="91,66" path="m46,l91,33,46,66,,33,46,xe" fillcolor="navy" strokecolor="navy">
                <v:path arrowok="t"/>
              </v:shape>
              <v:shape id="_x0000_s1361" style="position:absolute;left:999;top:2341;width:91;height:67" coordsize="91,67" path="m46,l91,34,46,67,,34,46,xe" fillcolor="navy" strokecolor="navy">
                <v:path arrowok="t"/>
              </v:shape>
              <v:shape id="_x0000_s1362" style="position:absolute;left:999;top:2341;width:91;height:67" coordsize="91,67" path="m46,l91,34,46,67,,34,46,xe" fillcolor="navy" strokecolor="navy">
                <v:path arrowok="t"/>
              </v:shape>
              <v:shape id="_x0000_s1363" style="position:absolute;left:999;top:2341;width:91;height:67" coordsize="91,67" path="m46,l91,34,46,67,,34,46,xe" fillcolor="navy" strokecolor="navy">
                <v:path arrowok="t"/>
              </v:shape>
              <v:shape id="_x0000_s1364" style="position:absolute;left:999;top:2330;width:91;height:67" coordsize="91,67" path="m46,l91,34,46,67,,34,46,xe" fillcolor="navy" strokecolor="navy">
                <v:path arrowok="t"/>
              </v:shape>
              <v:shape id="_x0000_s1365" style="position:absolute;left:999;top:2330;width:91;height:67" coordsize="91,67" path="m46,l91,34,46,67,,34,46,xe" fillcolor="navy" strokecolor="navy">
                <v:path arrowok="t"/>
              </v:shape>
              <v:shape id="_x0000_s1366" style="position:absolute;left:999;top:2330;width:91;height:67" coordsize="91,67" path="m46,l91,34,46,67,,34,46,xe" fillcolor="navy" strokecolor="navy">
                <v:path arrowok="t"/>
              </v:shape>
              <v:shape id="_x0000_s1367" style="position:absolute;left:999;top:2319;width:91;height:67" coordsize="91,67" path="m46,l91,33,46,67,,33,46,xe" fillcolor="navy" strokecolor="navy">
                <v:path arrowok="t"/>
              </v:shape>
              <v:shape id="_x0000_s1368" style="position:absolute;left:999;top:2319;width:91;height:67" coordsize="91,67" path="m46,l91,33,46,67,,33,46,xe" fillcolor="navy" strokecolor="navy">
                <v:path arrowok="t"/>
              </v:shape>
              <v:shape id="_x0000_s1369" style="position:absolute;left:999;top:2308;width:91;height:67" coordsize="91,67" path="m46,l91,33,46,67,,33,46,xe" fillcolor="navy" strokecolor="navy">
                <v:path arrowok="t"/>
              </v:shape>
              <v:shape id="_x0000_s1370" style="position:absolute;left:999;top:2308;width:91;height:67" coordsize="91,67" path="m46,l91,33,46,67,,33,46,xe" fillcolor="navy" strokecolor="navy">
                <v:path arrowok="t"/>
              </v:shape>
              <v:shape id="_x0000_s1371" style="position:absolute;left:999;top:2297;width:91;height:67" coordsize="91,67" path="m46,l91,33,46,67,,33,46,xe" fillcolor="navy" strokecolor="navy">
                <v:path arrowok="t"/>
              </v:shape>
              <v:shape id="_x0000_s1372" style="position:absolute;left:2226;top:2286;width:91;height:66" coordsize="91,66" path="m46,l91,33,46,66,,33,46,xe" fillcolor="navy" strokecolor="navy">
                <v:path arrowok="t"/>
              </v:shape>
              <v:shape id="_x0000_s1373" style="position:absolute;left:999;top:2264;width:91;height:66" coordsize="91,66" path="m46,l91,33,46,66,,33,46,xe" fillcolor="navy" strokecolor="navy">
                <v:path arrowok="t"/>
              </v:shape>
              <v:shape id="_x0000_s1374" style="position:absolute;left:999;top:2386;width:91;height:66" coordsize="91,66" path="m46,l91,33,46,66,,33,46,xe" fillcolor="navy" strokecolor="navy">
                <v:path arrowok="t"/>
              </v:shape>
              <v:shape id="_x0000_s1375" style="position:absolute;left:999;top:2386;width:91;height:66" coordsize="91,66" path="m46,l91,33,46,66,,33,46,xe" fillcolor="navy" strokecolor="navy">
                <v:path arrowok="t"/>
              </v:shape>
              <v:shape id="_x0000_s1376" style="position:absolute;left:999;top:2386;width:91;height:66" coordsize="91,66" path="m46,l91,33,46,66,,33,46,xe" fillcolor="navy" strokecolor="navy">
                <v:path arrowok="t"/>
              </v:shape>
              <v:shape id="_x0000_s1377" style="position:absolute;left:999;top:2386;width:91;height:66" coordsize="91,66" path="m46,l91,33,46,66,,33,46,xe" fillcolor="navy" strokecolor="navy">
                <v:path arrowok="t"/>
              </v:shape>
              <v:shape id="_x0000_s1378" style="position:absolute;left:999;top:2386;width:91;height:66" coordsize="91,66" path="m46,l91,33,46,66,,33,46,xe" fillcolor="navy" strokecolor="navy">
                <v:path arrowok="t"/>
              </v:shape>
              <v:shape id="_x0000_s1379" style="position:absolute;left:999;top:2386;width:91;height:66" coordsize="91,66" path="m46,l91,33,46,66,,33,46,xe" fillcolor="navy" strokecolor="navy">
                <v:path arrowok="t"/>
              </v:shape>
              <v:shape id="_x0000_s1380" style="position:absolute;left:999;top:2386;width:91;height:66" coordsize="91,66" path="m46,l91,33,46,66,,33,46,xe" fillcolor="navy" strokecolor="navy">
                <v:path arrowok="t"/>
              </v:shape>
              <v:shape id="_x0000_s1381" style="position:absolute;left:999;top:2386;width:91;height:66" coordsize="91,66" path="m46,l91,33,46,66,,33,46,xe" fillcolor="navy" strokecolor="navy">
                <v:path arrowok="t"/>
              </v:shape>
              <v:shape id="_x0000_s1382" style="position:absolute;left:999;top:2386;width:91;height:66" coordsize="91,66" path="m46,l91,33,46,66,,33,46,xe" fillcolor="navy" strokecolor="navy">
                <v:path arrowok="t"/>
              </v:shape>
              <v:shape id="_x0000_s1383" style="position:absolute;left:999;top:2386;width:91;height:66" coordsize="91,66" path="m46,l91,33,46,66,,33,46,xe" fillcolor="navy" strokecolor="navy">
                <v:path arrowok="t"/>
              </v:shape>
              <v:shape id="_x0000_s1384" style="position:absolute;left:999;top:2386;width:91;height:66" coordsize="91,66" path="m46,l91,33,46,66,,33,46,xe" fillcolor="navy" strokecolor="navy">
                <v:path arrowok="t"/>
              </v:shape>
              <v:shape id="_x0000_s1385" style="position:absolute;left:999;top:2386;width:91;height:66" coordsize="91,66" path="m46,l91,33,46,66,,33,46,xe" fillcolor="navy" strokecolor="navy">
                <v:path arrowok="t"/>
              </v:shape>
              <v:shape id="_x0000_s1386" style="position:absolute;left:999;top:2386;width:91;height:66" coordsize="91,66" path="m46,l91,33,46,66,,33,46,xe" fillcolor="navy" strokecolor="navy">
                <v:path arrowok="t"/>
              </v:shape>
              <v:shape id="_x0000_s1387" style="position:absolute;left:999;top:2375;width:91;height:66" coordsize="91,66" path="m46,l91,33,46,66,,33,46,xe" fillcolor="navy" strokecolor="navy">
                <v:path arrowok="t"/>
              </v:shape>
              <v:shape id="_x0000_s1388" style="position:absolute;left:999;top:2375;width:91;height:66" coordsize="91,66" path="m46,l91,33,46,66,,33,46,xe" fillcolor="navy" strokecolor="navy">
                <v:path arrowok="t"/>
              </v:shape>
              <v:shape id="_x0000_s1389" style="position:absolute;left:999;top:2375;width:91;height:66" coordsize="91,66" path="m46,l91,33,46,66,,33,46,xe" fillcolor="navy" strokecolor="navy">
                <v:path arrowok="t"/>
              </v:shape>
              <v:shape id="_x0000_s1390" style="position:absolute;left:999;top:2375;width:91;height:66" coordsize="91,66" path="m46,l91,33,46,66,,33,46,xe" fillcolor="navy" strokecolor="navy">
                <v:path arrowok="t"/>
              </v:shape>
              <v:shape id="_x0000_s1391" style="position:absolute;left:999;top:2375;width:91;height:66" coordsize="91,66" path="m46,l91,33,46,66,,33,46,xe" fillcolor="navy" strokecolor="navy">
                <v:path arrowok="t"/>
              </v:shape>
              <v:shape id="_x0000_s1392" style="position:absolute;left:999;top:2375;width:91;height:66" coordsize="91,66" path="m46,l91,33,46,66,,33,46,xe" fillcolor="navy" strokecolor="navy">
                <v:path arrowok="t"/>
              </v:shape>
              <v:shape id="_x0000_s1393" style="position:absolute;left:999;top:2375;width:91;height:66" coordsize="91,66" path="m46,l91,33,46,66,,33,46,xe" fillcolor="navy" strokecolor="navy">
                <v:path arrowok="t"/>
              </v:shape>
              <v:shape id="_x0000_s1394" style="position:absolute;left:999;top:2375;width:91;height:66" coordsize="91,66" path="m46,l91,33,46,66,,33,46,xe" fillcolor="navy" strokecolor="navy">
                <v:path arrowok="t"/>
              </v:shape>
              <v:shape id="_x0000_s1395" style="position:absolute;left:999;top:2375;width:91;height:66" coordsize="91,66" path="m46,l91,33,46,66,,33,46,xe" fillcolor="navy" strokecolor="navy">
                <v:path arrowok="t"/>
              </v:shape>
              <v:shape id="_x0000_s1396" style="position:absolute;left:999;top:2375;width:91;height:66" coordsize="91,66" path="m46,l91,33,46,66,,33,46,xe" fillcolor="navy" strokecolor="navy">
                <v:path arrowok="t"/>
              </v:shape>
              <v:shape id="_x0000_s1397" style="position:absolute;left:999;top:2375;width:91;height:66" coordsize="91,66" path="m46,l91,33,46,66,,33,46,xe" fillcolor="navy" strokecolor="navy">
                <v:path arrowok="t"/>
              </v:shape>
              <v:shape id="_x0000_s1398" style="position:absolute;left:999;top:2375;width:91;height:66" coordsize="91,66" path="m46,l91,33,46,66,,33,46,xe" fillcolor="navy" strokecolor="navy">
                <v:path arrowok="t"/>
              </v:shape>
              <v:shape id="_x0000_s1399" style="position:absolute;left:999;top:2375;width:91;height:66" coordsize="91,66" path="m46,l91,33,46,66,,33,46,xe" fillcolor="navy" strokecolor="navy">
                <v:path arrowok="t"/>
              </v:shape>
              <v:shape id="_x0000_s1400" style="position:absolute;left:999;top:2375;width:91;height:66" coordsize="91,66" path="m46,l91,33,46,66,,33,46,xe" fillcolor="navy" strokecolor="navy">
                <v:path arrowok="t"/>
              </v:shape>
              <v:shape id="_x0000_s1401" style="position:absolute;left:999;top:2375;width:91;height:66" coordsize="91,66" path="m46,l91,33,46,66,,33,46,xe" fillcolor="navy" strokecolor="navy">
                <v:path arrowok="t"/>
              </v:shape>
              <v:shape id="_x0000_s1402" style="position:absolute;left:999;top:2375;width:91;height:66" coordsize="91,66" path="m46,l91,33,46,66,,33,46,xe" fillcolor="navy" strokecolor="navy">
                <v:path arrowok="t"/>
              </v:shape>
              <v:shape id="_x0000_s1403" style="position:absolute;left:999;top:2375;width:91;height:66" coordsize="91,66" path="m46,l91,33,46,66,,33,46,xe" fillcolor="navy" strokecolor="navy">
                <v:path arrowok="t"/>
              </v:shape>
              <v:shape id="_x0000_s1404" style="position:absolute;left:999;top:2375;width:91;height:66" coordsize="91,66" path="m46,l91,33,46,66,,33,46,xe" fillcolor="navy" strokecolor="navy">
                <v:path arrowok="t"/>
              </v:shape>
              <v:shape id="_x0000_s1405" style="position:absolute;left:999;top:2375;width:91;height:66" coordsize="91,66" path="m46,l91,33,46,66,,33,46,xe" fillcolor="navy" strokecolor="navy">
                <v:path arrowok="t"/>
              </v:shape>
              <v:shape id="_x0000_s1406" style="position:absolute;left:999;top:2375;width:91;height:66" coordsize="91,66" path="m46,l91,33,46,66,,33,46,xe" fillcolor="navy" strokecolor="navy">
                <v:path arrowok="t"/>
              </v:shape>
              <v:shape id="_x0000_s1407" style="position:absolute;left:999;top:2375;width:91;height:66" coordsize="91,66" path="m46,l91,33,46,66,,33,46,xe" fillcolor="navy" strokecolor="navy">
                <v:path arrowok="t"/>
              </v:shape>
              <v:shape id="_x0000_s1408" style="position:absolute;left:999;top:2375;width:91;height:66" coordsize="91,66" path="m46,l91,33,46,66,,33,46,xe" fillcolor="navy" strokecolor="navy">
                <v:path arrowok="t"/>
              </v:shape>
              <v:shape id="_x0000_s1409" style="position:absolute;left:999;top:2375;width:91;height:66" coordsize="91,66" path="m46,l91,33,46,66,,33,46,xe" fillcolor="navy" strokecolor="navy">
                <v:path arrowok="t"/>
              </v:shape>
              <v:shape id="_x0000_s1410" style="position:absolute;left:999;top:2375;width:91;height:66" coordsize="91,66" path="m46,l91,33,46,66,,33,46,xe" fillcolor="navy" strokecolor="navy">
                <v:path arrowok="t"/>
              </v:shape>
              <v:shape id="_x0000_s1411" style="position:absolute;left:999;top:2375;width:91;height:66" coordsize="91,66" path="m46,l91,33,46,66,,33,46,xe" fillcolor="navy" strokecolor="navy">
                <v:path arrowok="t"/>
              </v:shape>
              <v:shape id="_x0000_s1412" style="position:absolute;left:999;top:2375;width:91;height:66" coordsize="91,66" path="m46,l91,33,46,66,,33,46,xe" fillcolor="navy" strokecolor="navy">
                <v:path arrowok="t"/>
              </v:shape>
              <v:shape id="_x0000_s1413" style="position:absolute;left:999;top:2375;width:91;height:66" coordsize="91,66" path="m46,l91,33,46,66,,33,46,xe" fillcolor="navy" strokecolor="navy">
                <v:path arrowok="t"/>
              </v:shape>
              <v:shape id="_x0000_s1414" style="position:absolute;left:999;top:2375;width:91;height:66" coordsize="91,66" path="m46,l91,33,46,66,,33,46,xe" fillcolor="navy" strokecolor="navy">
                <v:path arrowok="t"/>
              </v:shape>
              <v:shape id="_x0000_s1415" style="position:absolute;left:999;top:2375;width:91;height:66" coordsize="91,66" path="m46,l91,33,46,66,,33,46,xe" fillcolor="navy" strokecolor="navy">
                <v:path arrowok="t"/>
              </v:shape>
              <v:shape id="_x0000_s1416" style="position:absolute;left:999;top:2375;width:91;height:66" coordsize="91,66" path="m46,l91,33,46,66,,33,46,xe" fillcolor="navy" strokecolor="navy">
                <v:path arrowok="t"/>
              </v:shape>
              <v:shape id="_x0000_s1417" style="position:absolute;left:999;top:2375;width:91;height:66" coordsize="91,66" path="m46,l91,33,46,66,,33,46,xe" fillcolor="navy" strokecolor="navy">
                <v:path arrowok="t"/>
              </v:shape>
              <v:shape id="_x0000_s1418" style="position:absolute;left:999;top:2375;width:91;height:66" coordsize="91,66" path="m46,l91,33,46,66,,33,46,xe" fillcolor="navy" strokecolor="navy">
                <v:path arrowok="t"/>
              </v:shape>
              <v:shape id="_x0000_s1419" style="position:absolute;left:999;top:2375;width:91;height:66" coordsize="91,66" path="m46,l91,33,46,66,,33,46,xe" fillcolor="navy" strokecolor="navy">
                <v:path arrowok="t"/>
              </v:shape>
              <v:shape id="_x0000_s1420" style="position:absolute;left:999;top:2375;width:91;height:66" coordsize="91,66" path="m46,l91,33,46,66,,33,46,xe" fillcolor="navy" strokecolor="navy">
                <v:path arrowok="t"/>
              </v:shape>
              <v:shape id="_x0000_s1421" style="position:absolute;left:999;top:2375;width:91;height:66" coordsize="91,66" path="m46,l91,33,46,66,,33,46,xe" fillcolor="navy" strokecolor="navy">
                <v:path arrowok="t"/>
              </v:shape>
              <v:shape id="_x0000_s1422" style="position:absolute;left:999;top:2375;width:91;height:66" coordsize="91,66" path="m46,l91,33,46,66,,33,46,xe" fillcolor="navy" strokecolor="navy">
                <v:path arrowok="t"/>
              </v:shape>
              <v:shape id="_x0000_s1423" style="position:absolute;left:999;top:2375;width:91;height:66" coordsize="91,66" path="m46,l91,33,46,66,,33,46,xe" fillcolor="navy" strokecolor="navy">
                <v:path arrowok="t"/>
              </v:shape>
              <v:shape id="_x0000_s1424" style="position:absolute;left:999;top:2375;width:91;height:66" coordsize="91,66" path="m46,l91,33,46,66,,33,46,xe" fillcolor="navy" strokecolor="navy">
                <v:path arrowok="t"/>
              </v:shape>
              <v:shape id="_x0000_s1425" style="position:absolute;left:999;top:2375;width:91;height:66" coordsize="91,66" path="m46,l91,33,46,66,,33,46,xe" fillcolor="navy" strokecolor="navy">
                <v:path arrowok="t"/>
              </v:shape>
              <v:shape id="_x0000_s1426" style="position:absolute;left:999;top:2375;width:91;height:66" coordsize="91,66" path="m46,l91,33,46,66,,33,46,xe" fillcolor="navy" strokecolor="navy">
                <v:path arrowok="t"/>
              </v:shape>
              <v:shape id="_x0000_s1427" style="position:absolute;left:999;top:2375;width:91;height:66" coordsize="91,66" path="m46,l91,33,46,66,,33,46,xe" fillcolor="navy" strokecolor="navy">
                <v:path arrowok="t"/>
              </v:shape>
              <v:shape id="_x0000_s1428" style="position:absolute;left:999;top:2364;width:91;height:66" coordsize="91,66" path="m46,l91,33,46,66,,33,46,xe" fillcolor="navy" strokecolor="navy">
                <v:path arrowok="t"/>
              </v:shape>
              <v:shape id="_x0000_s1429" style="position:absolute;left:999;top:2364;width:91;height:66" coordsize="91,66" path="m46,l91,33,46,66,,33,46,xe" fillcolor="navy" strokecolor="navy">
                <v:path arrowok="t"/>
              </v:shape>
              <v:shape id="_x0000_s1430" style="position:absolute;left:999;top:2364;width:91;height:66" coordsize="91,66" path="m46,l91,33,46,66,,33,46,xe" fillcolor="navy" strokecolor="navy">
                <v:path arrowok="t"/>
              </v:shape>
              <v:shape id="_x0000_s1431" style="position:absolute;left:999;top:2364;width:91;height:66" coordsize="91,66" path="m46,l91,33,46,66,,33,46,xe" fillcolor="navy" strokecolor="navy">
                <v:path arrowok="t"/>
              </v:shape>
              <v:shape id="_x0000_s1432" style="position:absolute;left:999;top:2364;width:91;height:66" coordsize="91,66" path="m46,l91,33,46,66,,33,46,xe" fillcolor="navy" strokecolor="navy">
                <v:path arrowok="t"/>
              </v:shape>
              <v:shape id="_x0000_s1433" style="position:absolute;left:999;top:2364;width:91;height:66" coordsize="91,66" path="m46,l91,33,46,66,,33,46,xe" fillcolor="navy" strokecolor="navy">
                <v:path arrowok="t"/>
              </v:shape>
              <v:shape id="_x0000_s1434" style="position:absolute;left:999;top:2364;width:91;height:66" coordsize="91,66" path="m46,l91,33,46,66,,33,46,xe" fillcolor="navy" strokecolor="navy">
                <v:path arrowok="t"/>
              </v:shape>
              <v:shape id="_x0000_s1435" style="position:absolute;left:999;top:2364;width:91;height:66" coordsize="91,66" path="m46,l91,33,46,66,,33,46,xe" fillcolor="navy" strokecolor="navy">
                <v:path arrowok="t"/>
              </v:shape>
              <v:shape id="_x0000_s1436" style="position:absolute;left:999;top:2364;width:91;height:66" coordsize="91,66" path="m46,l91,33,46,66,,33,46,xe" fillcolor="navy" strokecolor="navy">
                <v:path arrowok="t"/>
              </v:shape>
              <v:shape id="_x0000_s1437" style="position:absolute;left:999;top:2364;width:91;height:66" coordsize="91,66" path="m46,l91,33,46,66,,33,46,xe" fillcolor="navy" strokecolor="navy">
                <v:path arrowok="t"/>
              </v:shape>
              <v:shape id="_x0000_s1438" style="position:absolute;left:999;top:2364;width:91;height:66" coordsize="91,66" path="m46,l91,33,46,66,,33,46,xe" fillcolor="navy" strokecolor="navy">
                <v:path arrowok="t"/>
              </v:shape>
              <v:shape id="_x0000_s1439" style="position:absolute;left:999;top:2364;width:91;height:66" coordsize="91,66" path="m46,l91,33,46,66,,33,46,xe" fillcolor="navy" strokecolor="navy">
                <v:path arrowok="t"/>
              </v:shape>
              <v:shape id="_x0000_s1440" style="position:absolute;left:999;top:2364;width:91;height:66" coordsize="91,66" path="m46,l91,33,46,66,,33,46,xe" fillcolor="navy" strokecolor="navy">
                <v:path arrowok="t"/>
              </v:shape>
              <v:shape id="_x0000_s1441" style="position:absolute;left:999;top:2364;width:91;height:66" coordsize="91,66" path="m46,l91,33,46,66,,33,46,xe" fillcolor="navy" strokecolor="navy">
                <v:path arrowok="t"/>
              </v:shape>
              <v:shape id="_x0000_s1442" style="position:absolute;left:999;top:2364;width:91;height:66" coordsize="91,66" path="m46,l91,33,46,66,,33,46,xe" fillcolor="navy" strokecolor="navy">
                <v:path arrowok="t"/>
              </v:shape>
              <v:shape id="_x0000_s1443" style="position:absolute;left:999;top:2364;width:91;height:66" coordsize="91,66" path="m46,l91,33,46,66,,33,46,xe" fillcolor="navy" strokecolor="navy">
                <v:path arrowok="t"/>
              </v:shape>
              <v:shape id="_x0000_s1444" style="position:absolute;left:999;top:2364;width:91;height:66" coordsize="91,66" path="m46,l91,33,46,66,,33,46,xe" fillcolor="navy" strokecolor="navy">
                <v:path arrowok="t"/>
              </v:shape>
              <v:shape id="_x0000_s1445" style="position:absolute;left:999;top:2364;width:91;height:66" coordsize="91,66" path="m46,l91,33,46,66,,33,46,xe" fillcolor="navy" strokecolor="navy">
                <v:path arrowok="t"/>
              </v:shape>
              <v:shape id="_x0000_s1446" style="position:absolute;left:999;top:2364;width:91;height:66" coordsize="91,66" path="m46,l91,33,46,66,,33,46,xe" fillcolor="navy" strokecolor="navy">
                <v:path arrowok="t"/>
              </v:shape>
              <v:shape id="_x0000_s1447" style="position:absolute;left:999;top:2364;width:91;height:66" coordsize="91,66" path="m46,l91,33,46,66,,33,46,xe" fillcolor="navy" strokecolor="navy">
                <v:path arrowok="t"/>
              </v:shape>
              <v:shape id="_x0000_s1448" style="position:absolute;left:999;top:2364;width:91;height:66" coordsize="91,66" path="m46,l91,33,46,66,,33,46,xe" fillcolor="navy" strokecolor="navy">
                <v:path arrowok="t"/>
              </v:shape>
              <v:shape id="_x0000_s1449" style="position:absolute;left:999;top:2364;width:91;height:66" coordsize="91,66" path="m46,l91,33,46,66,,33,46,xe" fillcolor="navy" strokecolor="navy">
                <v:path arrowok="t"/>
              </v:shape>
              <v:shape id="_x0000_s1450" style="position:absolute;left:999;top:2364;width:91;height:66" coordsize="91,66" path="m46,l91,33,46,66,,33,46,xe" fillcolor="navy" strokecolor="navy">
                <v:path arrowok="t"/>
              </v:shape>
              <v:shape id="_x0000_s1451" style="position:absolute;left:999;top:2364;width:91;height:66" coordsize="91,66" path="m46,l91,33,46,66,,33,46,xe" fillcolor="navy" strokecolor="navy">
                <v:path arrowok="t"/>
              </v:shape>
              <v:shape id="_x0000_s1452" style="position:absolute;left:999;top:2364;width:91;height:66" coordsize="91,66" path="m46,l91,33,46,66,,33,46,xe" fillcolor="navy" strokecolor="navy">
                <v:path arrowok="t"/>
              </v:shape>
              <v:shape id="_x0000_s1453" style="position:absolute;left:999;top:2364;width:91;height:66" coordsize="91,66" path="m46,l91,33,46,66,,33,46,xe" fillcolor="navy" strokecolor="navy">
                <v:path arrowok="t"/>
              </v:shape>
              <v:shape id="_x0000_s1454" style="position:absolute;left:999;top:2364;width:91;height:66" coordsize="91,66" path="m46,l91,33,46,66,,33,46,xe" fillcolor="navy" strokecolor="navy">
                <v:path arrowok="t"/>
              </v:shape>
              <v:shape id="_x0000_s1455" style="position:absolute;left:999;top:2364;width:91;height:66" coordsize="91,66" path="m46,l91,33,46,66,,33,46,xe" fillcolor="navy" strokecolor="navy">
                <v:path arrowok="t"/>
              </v:shape>
              <v:shape id="_x0000_s1456" style="position:absolute;left:999;top:2364;width:91;height:66" coordsize="91,66" path="m46,l91,33,46,66,,33,46,xe" fillcolor="navy" strokecolor="navy">
                <v:path arrowok="t"/>
              </v:shape>
              <v:shape id="_x0000_s1457" style="position:absolute;left:999;top:2364;width:91;height:66" coordsize="91,66" path="m46,l91,33,46,66,,33,46,xe" fillcolor="navy" strokecolor="navy">
                <v:path arrowok="t"/>
              </v:shape>
              <v:shape id="_x0000_s1458" style="position:absolute;left:999;top:2364;width:91;height:66" coordsize="91,66" path="m46,l91,33,46,66,,33,46,xe" fillcolor="navy" strokecolor="navy">
                <v:path arrowok="t"/>
              </v:shape>
              <v:shape id="_x0000_s1459" style="position:absolute;left:999;top:2364;width:91;height:66" coordsize="91,66" path="m46,l91,33,46,66,,33,46,xe" fillcolor="navy" strokecolor="navy">
                <v:path arrowok="t"/>
              </v:shape>
              <v:shape id="_x0000_s1460" style="position:absolute;left:999;top:2364;width:91;height:66" coordsize="91,66" path="m46,l91,33,46,66,,33,46,xe" fillcolor="navy" strokecolor="navy">
                <v:path arrowok="t"/>
              </v:shape>
              <v:shape id="_x0000_s1461" style="position:absolute;left:999;top:2364;width:91;height:66" coordsize="91,66" path="m46,l91,33,46,66,,33,46,xe" fillcolor="navy" strokecolor="navy">
                <v:path arrowok="t"/>
              </v:shape>
              <v:shape id="_x0000_s1462" style="position:absolute;left:999;top:2364;width:91;height:66" coordsize="91,66" path="m46,l91,33,46,66,,33,46,xe" fillcolor="navy" strokecolor="navy">
                <v:path arrowok="t"/>
              </v:shape>
              <v:shape id="_x0000_s1463" style="position:absolute;left:999;top:2364;width:91;height:66" coordsize="91,66" path="m46,l91,33,46,66,,33,46,xe" fillcolor="navy" strokecolor="navy">
                <v:path arrowok="t"/>
              </v:shape>
              <v:shape id="_x0000_s1464" style="position:absolute;left:999;top:2364;width:91;height:66" coordsize="91,66" path="m46,l91,33,46,66,,33,46,xe" fillcolor="navy" strokecolor="navy">
                <v:path arrowok="t"/>
              </v:shape>
              <v:shape id="_x0000_s1465" style="position:absolute;left:999;top:2364;width:91;height:66" coordsize="91,66" path="m46,l91,33,46,66,,33,46,xe" fillcolor="navy" strokecolor="navy">
                <v:path arrowok="t"/>
              </v:shape>
              <v:shape id="_x0000_s1466" style="position:absolute;left:999;top:2364;width:91;height:66" coordsize="91,66" path="m46,l91,33,46,66,,33,46,xe" fillcolor="navy" strokecolor="navy">
                <v:path arrowok="t"/>
              </v:shape>
              <v:shape id="_x0000_s1467" style="position:absolute;left:999;top:2364;width:91;height:66" coordsize="91,66" path="m46,l91,33,46,66,,33,46,xe" fillcolor="navy" strokecolor="navy">
                <v:path arrowok="t"/>
              </v:shape>
              <v:shape id="_x0000_s1468" style="position:absolute;left:999;top:2364;width:91;height:66" coordsize="91,66" path="m46,l91,33,46,66,,33,46,xe" fillcolor="navy" strokecolor="navy">
                <v:path arrowok="t"/>
              </v:shape>
              <v:shape id="_x0000_s1469" style="position:absolute;left:999;top:2364;width:91;height:66" coordsize="91,66" path="m46,l91,33,46,66,,33,46,xe" fillcolor="navy" strokecolor="navy">
                <v:path arrowok="t"/>
              </v:shape>
              <v:shape id="_x0000_s1470" style="position:absolute;left:999;top:2364;width:91;height:66" coordsize="91,66" path="m46,l91,33,46,66,,33,46,xe" fillcolor="navy" strokecolor="navy">
                <v:path arrowok="t"/>
              </v:shape>
              <v:shape id="_x0000_s1471" style="position:absolute;left:999;top:2364;width:91;height:66" coordsize="91,66" path="m46,l91,33,46,66,,33,46,xe" fillcolor="navy" strokecolor="navy">
                <v:path arrowok="t"/>
              </v:shape>
              <v:shape id="_x0000_s1472" style="position:absolute;left:999;top:2364;width:91;height:66" coordsize="91,66" path="m46,l91,33,46,66,,33,46,xe" fillcolor="navy" strokecolor="navy">
                <v:path arrowok="t"/>
              </v:shape>
              <v:shape id="_x0000_s1473" style="position:absolute;left:999;top:2364;width:91;height:66" coordsize="91,66" path="m46,l91,33,46,66,,33,46,xe" fillcolor="navy" strokecolor="navy">
                <v:path arrowok="t"/>
              </v:shape>
              <v:shape id="_x0000_s1474" style="position:absolute;left:999;top:2364;width:91;height:66" coordsize="91,66" path="m46,l91,33,46,66,,33,46,xe" fillcolor="navy" strokecolor="navy">
                <v:path arrowok="t"/>
              </v:shape>
              <v:shape id="_x0000_s1475" style="position:absolute;left:999;top:2364;width:91;height:66" coordsize="91,66" path="m46,l91,33,46,66,,33,46,xe" fillcolor="navy" strokecolor="navy">
                <v:path arrowok="t"/>
              </v:shape>
              <v:shape id="_x0000_s1476" style="position:absolute;left:999;top:2364;width:91;height:66" coordsize="91,66" path="m46,l91,33,46,66,,33,46,xe" fillcolor="navy" strokecolor="navy">
                <v:path arrowok="t"/>
              </v:shape>
              <v:shape id="_x0000_s1477" style="position:absolute;left:999;top:2364;width:91;height:66" coordsize="91,66" path="m46,l91,33,46,66,,33,46,xe" fillcolor="navy" strokecolor="navy">
                <v:path arrowok="t"/>
              </v:shape>
              <v:shape id="_x0000_s1478" style="position:absolute;left:999;top:2364;width:91;height:66" coordsize="91,66" path="m46,l91,33,46,66,,33,46,xe" fillcolor="navy" strokecolor="navy">
                <v:path arrowok="t"/>
              </v:shape>
              <v:shape id="_x0000_s1479" style="position:absolute;left:999;top:2364;width:91;height:66" coordsize="91,66" path="m46,l91,33,46,66,,33,46,xe" fillcolor="navy" strokecolor="navy">
                <v:path arrowok="t"/>
              </v:shape>
              <v:shape id="_x0000_s1480" style="position:absolute;left:999;top:2364;width:91;height:66" coordsize="91,66" path="m46,l91,33,46,66,,33,46,xe" fillcolor="navy" strokecolor="navy">
                <v:path arrowok="t"/>
              </v:shape>
              <v:shape id="_x0000_s1481" style="position:absolute;left:999;top:2364;width:91;height:66" coordsize="91,66" path="m46,l91,33,46,66,,33,46,xe" fillcolor="navy" strokecolor="navy">
                <v:path arrowok="t"/>
              </v:shape>
              <v:shape id="_x0000_s1482" style="position:absolute;left:999;top:2364;width:91;height:66" coordsize="91,66" path="m46,l91,33,46,66,,33,46,xe" fillcolor="navy" strokecolor="navy">
                <v:path arrowok="t"/>
              </v:shape>
              <v:shape id="_x0000_s1483" style="position:absolute;left:999;top:2364;width:91;height:66" coordsize="91,66" path="m46,l91,33,46,66,,33,46,xe" fillcolor="navy" strokecolor="navy">
                <v:path arrowok="t"/>
              </v:shape>
              <v:shape id="_x0000_s1484" style="position:absolute;left:999;top:2364;width:91;height:66" coordsize="91,66" path="m46,l91,33,46,66,,33,46,xe" fillcolor="navy" strokecolor="navy">
                <v:path arrowok="t"/>
              </v:shape>
              <v:shape id="_x0000_s1485" style="position:absolute;left:999;top:2364;width:91;height:66" coordsize="91,66" path="m46,l91,33,46,66,,33,46,xe" fillcolor="navy" strokecolor="navy">
                <v:path arrowok="t"/>
              </v:shape>
              <v:shape id="_x0000_s1486" style="position:absolute;left:999;top:2364;width:91;height:66" coordsize="91,66" path="m46,l91,33,46,66,,33,46,xe" fillcolor="navy" strokecolor="navy">
                <v:path arrowok="t"/>
              </v:shape>
              <v:shape id="_x0000_s1487" style="position:absolute;left:999;top:2364;width:91;height:66" coordsize="91,66" path="m46,l91,33,46,66,,33,46,xe" fillcolor="navy" strokecolor="navy">
                <v:path arrowok="t"/>
              </v:shape>
              <v:shape id="_x0000_s1488" style="position:absolute;left:999;top:2364;width:91;height:66" coordsize="91,66" path="m46,l91,33,46,66,,33,46,xe" fillcolor="navy" strokecolor="navy">
                <v:path arrowok="t"/>
              </v:shape>
              <v:shape id="_x0000_s1489" style="position:absolute;left:999;top:2364;width:91;height:66" coordsize="91,66" path="m46,l91,33,46,66,,33,46,xe" fillcolor="navy" strokecolor="navy">
                <v:path arrowok="t"/>
              </v:shape>
              <v:shape id="_x0000_s1490" style="position:absolute;left:999;top:2364;width:91;height:66" coordsize="91,66" path="m46,l91,33,46,66,,33,46,xe" fillcolor="navy" strokecolor="navy">
                <v:path arrowok="t"/>
              </v:shape>
              <v:shape id="_x0000_s1491" style="position:absolute;left:999;top:2364;width:91;height:66" coordsize="91,66" path="m46,l91,33,46,66,,33,46,xe" fillcolor="navy" strokecolor="navy">
                <v:path arrowok="t"/>
              </v:shape>
              <v:shape id="_x0000_s1492" style="position:absolute;left:999;top:2364;width:91;height:66" coordsize="91,66" path="m46,l91,33,46,66,,33,46,xe" fillcolor="navy" strokecolor="navy">
                <v:path arrowok="t"/>
              </v:shape>
              <v:shape id="_x0000_s1493" style="position:absolute;left:999;top:2364;width:91;height:66" coordsize="91,66" path="m46,l91,33,46,66,,33,46,xe" fillcolor="navy" strokecolor="navy">
                <v:path arrowok="t"/>
              </v:shape>
              <v:shape id="_x0000_s1494" style="position:absolute;left:999;top:2364;width:91;height:66" coordsize="91,66" path="m46,l91,33,46,66,,33,46,xe" fillcolor="navy" strokecolor="navy">
                <v:path arrowok="t"/>
              </v:shape>
              <v:shape id="_x0000_s1495" style="position:absolute;left:999;top:2364;width:91;height:66" coordsize="91,66" path="m46,l91,33,46,66,,33,46,xe" fillcolor="navy" strokecolor="navy">
                <v:path arrowok="t"/>
              </v:shape>
              <v:shape id="_x0000_s1496" style="position:absolute;left:999;top:2364;width:91;height:66" coordsize="91,66" path="m46,l91,33,46,66,,33,46,xe" fillcolor="navy" strokecolor="navy">
                <v:path arrowok="t"/>
              </v:shape>
              <v:shape id="_x0000_s1497" style="position:absolute;left:999;top:2364;width:91;height:66" coordsize="91,66" path="m46,l91,33,46,66,,33,46,xe" fillcolor="navy" strokecolor="navy">
                <v:path arrowok="t"/>
              </v:shape>
              <v:shape id="_x0000_s1498" style="position:absolute;left:999;top:2364;width:91;height:66" coordsize="91,66" path="m46,l91,33,46,66,,33,46,xe" fillcolor="navy" strokecolor="navy">
                <v:path arrowok="t"/>
              </v:shape>
              <v:shape id="_x0000_s1499" style="position:absolute;left:999;top:2364;width:91;height:66" coordsize="91,66" path="m46,l91,33,46,66,,33,46,xe" fillcolor="navy" strokecolor="navy">
                <v:path arrowok="t"/>
              </v:shape>
              <v:shape id="_x0000_s1500" style="position:absolute;left:999;top:2364;width:91;height:66" coordsize="91,66" path="m46,l91,33,46,66,,33,46,xe" fillcolor="navy" strokecolor="navy">
                <v:path arrowok="t"/>
              </v:shape>
              <v:shape id="_x0000_s1501" style="position:absolute;left:999;top:2364;width:91;height:66" coordsize="91,66" path="m46,l91,33,46,66,,33,46,xe" fillcolor="navy" strokecolor="navy">
                <v:path arrowok="t"/>
              </v:shape>
              <v:shape id="_x0000_s1502" style="position:absolute;left:999;top:2364;width:91;height:66" coordsize="91,66" path="m46,l91,33,46,66,,33,46,xe" fillcolor="navy" strokecolor="navy">
                <v:path arrowok="t"/>
              </v:shape>
              <v:shape id="_x0000_s1503" style="position:absolute;left:999;top:2364;width:91;height:66" coordsize="91,66" path="m46,l91,33,46,66,,33,46,xe" fillcolor="navy" strokecolor="navy">
                <v:path arrowok="t"/>
              </v:shape>
              <v:shape id="_x0000_s1504" style="position:absolute;left:999;top:2364;width:91;height:66" coordsize="91,66" path="m46,l91,33,46,66,,33,46,xe" fillcolor="navy" strokecolor="navy">
                <v:path arrowok="t"/>
              </v:shape>
              <v:shape id="_x0000_s1505" style="position:absolute;left:999;top:2364;width:91;height:66" coordsize="91,66" path="m46,l91,33,46,66,,33,46,xe" fillcolor="navy" strokecolor="navy">
                <v:path arrowok="t"/>
              </v:shape>
              <v:shape id="_x0000_s1506" style="position:absolute;left:999;top:2364;width:91;height:66" coordsize="91,66" path="m46,l91,33,46,66,,33,46,xe" fillcolor="navy" strokecolor="navy">
                <v:path arrowok="t"/>
              </v:shape>
              <v:shape id="_x0000_s1507" style="position:absolute;left:999;top:2364;width:91;height:66" coordsize="91,66" path="m46,l91,33,46,66,,33,46,xe" fillcolor="navy" strokecolor="navy">
                <v:path arrowok="t"/>
              </v:shape>
              <v:shape id="_x0000_s1508" style="position:absolute;left:999;top:2364;width:91;height:66" coordsize="91,66" path="m46,l91,33,46,66,,33,46,xe" fillcolor="navy" strokecolor="navy">
                <v:path arrowok="t"/>
              </v:shape>
              <v:shape id="_x0000_s1509" style="position:absolute;left:999;top:2364;width:91;height:66" coordsize="91,66" path="m46,l91,33,46,66,,33,46,xe" fillcolor="navy" strokecolor="navy">
                <v:path arrowok="t"/>
              </v:shape>
              <v:shape id="_x0000_s1510" style="position:absolute;left:999;top:2364;width:91;height:66" coordsize="91,66" path="m46,l91,33,46,66,,33,46,xe" fillcolor="navy" strokecolor="navy">
                <v:path arrowok="t"/>
              </v:shape>
              <v:shape id="_x0000_s1511" style="position:absolute;left:999;top:2364;width:91;height:66" coordsize="91,66" path="m46,l91,33,46,66,,33,46,xe" fillcolor="navy" strokecolor="navy">
                <v:path arrowok="t"/>
              </v:shape>
              <v:shape id="_x0000_s1512" style="position:absolute;left:999;top:2364;width:91;height:66" coordsize="91,66" path="m46,l91,33,46,66,,33,46,xe" fillcolor="navy" strokecolor="navy">
                <v:path arrowok="t"/>
              </v:shape>
              <v:shape id="_x0000_s1513" style="position:absolute;left:999;top:2364;width:91;height:66" coordsize="91,66" path="m46,l91,33,46,66,,33,46,xe" fillcolor="navy" strokecolor="navy">
                <v:path arrowok="t"/>
              </v:shape>
              <v:shape id="_x0000_s1514" style="position:absolute;left:999;top:2364;width:91;height:66" coordsize="91,66" path="m46,l91,33,46,66,,33,46,xe" fillcolor="navy" strokecolor="navy">
                <v:path arrowok="t"/>
              </v:shape>
              <v:shape id="_x0000_s1515" style="position:absolute;left:999;top:2364;width:91;height:66" coordsize="91,66" path="m46,l91,33,46,66,,33,46,xe" fillcolor="navy" strokecolor="navy">
                <v:path arrowok="t"/>
              </v:shape>
              <v:shape id="_x0000_s1516" style="position:absolute;left:999;top:2364;width:91;height:66" coordsize="91,66" path="m46,l91,33,46,66,,33,46,xe" fillcolor="navy" strokecolor="navy">
                <v:path arrowok="t"/>
              </v:shape>
              <v:shape id="_x0000_s1517" style="position:absolute;left:999;top:2364;width:91;height:66" coordsize="91,66" path="m46,l91,33,46,66,,33,46,xe" fillcolor="navy" strokecolor="navy">
                <v:path arrowok="t"/>
              </v:shape>
              <v:shape id="_x0000_s1518" style="position:absolute;left:999;top:2364;width:91;height:66" coordsize="91,66" path="m46,l91,33,46,66,,33,46,xe" fillcolor="navy" strokecolor="navy">
                <v:path arrowok="t"/>
              </v:shape>
              <v:shape id="_x0000_s1519" style="position:absolute;left:999;top:2364;width:91;height:66" coordsize="91,66" path="m46,l91,33,46,66,,33,46,xe" fillcolor="navy" strokecolor="navy">
                <v:path arrowok="t"/>
              </v:shape>
              <v:shape id="_x0000_s1520" style="position:absolute;left:999;top:2364;width:91;height:66" coordsize="91,66" path="m46,l91,33,46,66,,33,46,xe" fillcolor="navy" strokecolor="navy">
                <v:path arrowok="t"/>
              </v:shape>
              <v:shape id="_x0000_s1521" style="position:absolute;left:999;top:2364;width:91;height:66" coordsize="91,66" path="m46,l91,33,46,66,,33,46,xe" fillcolor="navy" strokecolor="navy">
                <v:path arrowok="t"/>
              </v:shape>
              <v:shape id="_x0000_s1522" style="position:absolute;left:999;top:2364;width:91;height:66" coordsize="91,66" path="m46,l91,33,46,66,,33,46,xe" fillcolor="navy" strokecolor="navy">
                <v:path arrowok="t"/>
              </v:shape>
              <v:shape id="_x0000_s1523" style="position:absolute;left:999;top:2364;width:91;height:66" coordsize="91,66" path="m46,l91,33,46,66,,33,46,xe" fillcolor="navy" strokecolor="navy">
                <v:path arrowok="t"/>
              </v:shape>
              <v:shape id="_x0000_s1524" style="position:absolute;left:999;top:2364;width:91;height:66" coordsize="91,66" path="m46,l91,33,46,66,,33,46,xe" fillcolor="navy" strokecolor="navy">
                <v:path arrowok="t"/>
              </v:shape>
              <v:shape id="_x0000_s1525" style="position:absolute;left:999;top:2364;width:91;height:66" coordsize="91,66" path="m46,l91,33,46,66,,33,46,xe" fillcolor="navy" strokecolor="navy">
                <v:path arrowok="t"/>
              </v:shape>
              <v:shape id="_x0000_s1526" style="position:absolute;left:999;top:2364;width:91;height:66" coordsize="91,66" path="m46,l91,33,46,66,,33,46,xe" fillcolor="navy" strokecolor="navy">
                <v:path arrowok="t"/>
              </v:shape>
              <v:shape id="_x0000_s1527" style="position:absolute;left:999;top:2364;width:91;height:66" coordsize="91,66" path="m46,l91,33,46,66,,33,46,xe" fillcolor="navy" strokecolor="navy">
                <v:path arrowok="t"/>
              </v:shape>
              <v:shape id="_x0000_s1528" style="position:absolute;left:999;top:2364;width:91;height:66" coordsize="91,66" path="m46,l91,33,46,66,,33,46,xe" fillcolor="navy" strokecolor="navy">
                <v:path arrowok="t"/>
              </v:shape>
              <v:shape id="_x0000_s1529" style="position:absolute;left:999;top:2364;width:91;height:66" coordsize="91,66" path="m46,l91,33,46,66,,33,46,xe" fillcolor="navy" strokecolor="navy">
                <v:path arrowok="t"/>
              </v:shape>
              <v:shape id="_x0000_s1530" style="position:absolute;left:999;top:2364;width:91;height:66" coordsize="91,66" path="m46,l91,33,46,66,,33,46,xe" fillcolor="navy" strokecolor="navy">
                <v:path arrowok="t"/>
              </v:shape>
              <v:shape id="_x0000_s1531" style="position:absolute;left:999;top:2364;width:91;height:66" coordsize="91,66" path="m46,l91,33,46,66,,33,46,xe" fillcolor="navy" strokecolor="navy">
                <v:path arrowok="t"/>
              </v:shape>
              <v:shape id="_x0000_s1532" style="position:absolute;left:999;top:2364;width:91;height:66" coordsize="91,66" path="m46,l91,33,46,66,,33,46,xe" fillcolor="navy" strokecolor="navy">
                <v:path arrowok="t"/>
              </v:shape>
              <v:shape id="_x0000_s1533" style="position:absolute;left:999;top:2364;width:91;height:66" coordsize="91,66" path="m46,l91,33,46,66,,33,46,xe" fillcolor="navy" strokecolor="navy">
                <v:path arrowok="t"/>
              </v:shape>
              <v:shape id="_x0000_s1534" style="position:absolute;left:999;top:2364;width:91;height:66" coordsize="91,66" path="m46,l91,33,46,66,,33,46,xe" fillcolor="navy" strokecolor="navy">
                <v:path arrowok="t"/>
              </v:shape>
            </v:group>
            <v:group id="_x0000_s1736" style="position:absolute;left:999;top:2341;width:91;height:89" coordorigin="999,2341" coordsize="91,89">
              <v:shape id="_x0000_s1536" style="position:absolute;left:999;top:2364;width:91;height:66" coordsize="91,66" path="m46,l91,33,46,66,,33,46,xe" fillcolor="navy" strokecolor="navy">
                <v:path arrowok="t"/>
              </v:shape>
              <v:shape id="_x0000_s1537" style="position:absolute;left:999;top:2364;width:91;height:66" coordsize="91,66" path="m46,l91,33,46,66,,33,46,xe" fillcolor="navy" strokecolor="navy">
                <v:path arrowok="t"/>
              </v:shape>
              <v:shape id="_x0000_s1538" style="position:absolute;left:999;top:2364;width:91;height:66" coordsize="91,66" path="m46,l91,33,46,66,,33,46,xe" fillcolor="navy" strokecolor="navy">
                <v:path arrowok="t"/>
              </v:shape>
              <v:shape id="_x0000_s1539" style="position:absolute;left:999;top:2352;width:91;height:67" coordsize="91,67" path="m46,l91,34,46,67,,34,46,xe" fillcolor="navy" strokecolor="navy">
                <v:path arrowok="t"/>
              </v:shape>
              <v:shape id="_x0000_s1540" style="position:absolute;left:999;top:2352;width:91;height:67" coordsize="91,67" path="m46,l91,34,46,67,,34,46,xe" fillcolor="navy" strokecolor="navy">
                <v:path arrowok="t"/>
              </v:shape>
              <v:shape id="_x0000_s1541" style="position:absolute;left:999;top:2352;width:91;height:67" coordsize="91,67" path="m46,l91,34,46,67,,34,46,xe" fillcolor="navy" strokecolor="navy">
                <v:path arrowok="t"/>
              </v:shape>
              <v:shape id="_x0000_s1542" style="position:absolute;left:999;top:2352;width:91;height:67" coordsize="91,67" path="m46,l91,34,46,67,,34,46,xe" fillcolor="navy" strokecolor="navy">
                <v:path arrowok="t"/>
              </v:shape>
              <v:shape id="_x0000_s1543" style="position:absolute;left:999;top:2352;width:91;height:67" coordsize="91,67" path="m46,l91,34,46,67,,34,46,xe" fillcolor="navy" strokecolor="navy">
                <v:path arrowok="t"/>
              </v:shape>
              <v:shape id="_x0000_s1544" style="position:absolute;left:999;top:2352;width:91;height:67" coordsize="91,67" path="m46,l91,34,46,67,,34,46,xe" fillcolor="navy" strokecolor="navy">
                <v:path arrowok="t"/>
              </v:shape>
              <v:shape id="_x0000_s1545" style="position:absolute;left:999;top:2352;width:91;height:67" coordsize="91,67" path="m46,l91,34,46,67,,34,46,xe" fillcolor="navy" strokecolor="navy">
                <v:path arrowok="t"/>
              </v:shape>
              <v:shape id="_x0000_s1546" style="position:absolute;left:999;top:2352;width:91;height:67" coordsize="91,67" path="m46,l91,34,46,67,,34,46,xe" fillcolor="navy" strokecolor="navy">
                <v:path arrowok="t"/>
              </v:shape>
              <v:shape id="_x0000_s1547" style="position:absolute;left:999;top:2352;width:91;height:67" coordsize="91,67" path="m46,l91,34,46,67,,34,46,xe" fillcolor="navy" strokecolor="navy">
                <v:path arrowok="t"/>
              </v:shape>
              <v:shape id="_x0000_s1548" style="position:absolute;left:999;top:2352;width:91;height:67" coordsize="91,67" path="m46,l91,34,46,67,,34,46,xe" fillcolor="navy" strokecolor="navy">
                <v:path arrowok="t"/>
              </v:shape>
              <v:shape id="_x0000_s1549" style="position:absolute;left:999;top:2352;width:91;height:67" coordsize="91,67" path="m46,l91,34,46,67,,34,46,xe" fillcolor="navy" strokecolor="navy">
                <v:path arrowok="t"/>
              </v:shape>
              <v:shape id="_x0000_s1550" style="position:absolute;left:999;top:2352;width:91;height:67" coordsize="91,67" path="m46,l91,34,46,67,,34,46,xe" fillcolor="navy" strokecolor="navy">
                <v:path arrowok="t"/>
              </v:shape>
              <v:shape id="_x0000_s1551" style="position:absolute;left:999;top:2352;width:91;height:67" coordsize="91,67" path="m46,l91,34,46,67,,34,46,xe" fillcolor="navy" strokecolor="navy">
                <v:path arrowok="t"/>
              </v:shape>
              <v:shape id="_x0000_s1552" style="position:absolute;left:999;top:2352;width:91;height:67" coordsize="91,67" path="m46,l91,34,46,67,,34,46,xe" fillcolor="navy" strokecolor="navy">
                <v:path arrowok="t"/>
              </v:shape>
              <v:shape id="_x0000_s1553" style="position:absolute;left:999;top:2352;width:91;height:67" coordsize="91,67" path="m46,l91,34,46,67,,34,46,xe" fillcolor="navy" strokecolor="navy">
                <v:path arrowok="t"/>
              </v:shape>
              <v:shape id="_x0000_s1554" style="position:absolute;left:999;top:2352;width:91;height:67" coordsize="91,67" path="m46,l91,34,46,67,,34,46,xe" fillcolor="navy" strokecolor="navy">
                <v:path arrowok="t"/>
              </v:shape>
              <v:shape id="_x0000_s1555" style="position:absolute;left:999;top:2352;width:91;height:67" coordsize="91,67" path="m46,l91,34,46,67,,34,46,xe" fillcolor="navy" strokecolor="navy">
                <v:path arrowok="t"/>
              </v:shape>
              <v:shape id="_x0000_s1556" style="position:absolute;left:999;top:2352;width:91;height:67" coordsize="91,67" path="m46,l91,34,46,67,,34,46,xe" fillcolor="navy" strokecolor="navy">
                <v:path arrowok="t"/>
              </v:shape>
              <v:shape id="_x0000_s1557" style="position:absolute;left:999;top:2352;width:91;height:67" coordsize="91,67" path="m46,l91,34,46,67,,34,46,xe" fillcolor="navy" strokecolor="navy">
                <v:path arrowok="t"/>
              </v:shape>
              <v:shape id="_x0000_s1558" style="position:absolute;left:999;top:2352;width:91;height:67" coordsize="91,67" path="m46,l91,34,46,67,,34,46,xe" fillcolor="navy" strokecolor="navy">
                <v:path arrowok="t"/>
              </v:shape>
              <v:shape id="_x0000_s1559" style="position:absolute;left:999;top:2352;width:91;height:67" coordsize="91,67" path="m46,l91,34,46,67,,34,46,xe" fillcolor="navy" strokecolor="navy">
                <v:path arrowok="t"/>
              </v:shape>
              <v:shape id="_x0000_s1560" style="position:absolute;left:999;top:2352;width:91;height:67" coordsize="91,67" path="m46,l91,34,46,67,,34,46,xe" fillcolor="navy" strokecolor="navy">
                <v:path arrowok="t"/>
              </v:shape>
              <v:shape id="_x0000_s1561" style="position:absolute;left:999;top:2352;width:91;height:67" coordsize="91,67" path="m46,l91,34,46,67,,34,46,xe" fillcolor="navy" strokecolor="navy">
                <v:path arrowok="t"/>
              </v:shape>
              <v:shape id="_x0000_s1562" style="position:absolute;left:999;top:2352;width:91;height:67" coordsize="91,67" path="m46,l91,34,46,67,,34,46,xe" fillcolor="navy" strokecolor="navy">
                <v:path arrowok="t"/>
              </v:shape>
              <v:shape id="_x0000_s1563" style="position:absolute;left:999;top:2352;width:91;height:67" coordsize="91,67" path="m46,l91,34,46,67,,34,46,xe" fillcolor="navy" strokecolor="navy">
                <v:path arrowok="t"/>
              </v:shape>
              <v:shape id="_x0000_s1564" style="position:absolute;left:999;top:2352;width:91;height:67" coordsize="91,67" path="m46,l91,34,46,67,,34,46,xe" fillcolor="navy" strokecolor="navy">
                <v:path arrowok="t"/>
              </v:shape>
              <v:shape id="_x0000_s1565" style="position:absolute;left:999;top:2352;width:91;height:67" coordsize="91,67" path="m46,l91,34,46,67,,34,46,xe" fillcolor="navy" strokecolor="navy">
                <v:path arrowok="t"/>
              </v:shape>
              <v:shape id="_x0000_s1566" style="position:absolute;left:999;top:2352;width:91;height:67" coordsize="91,67" path="m46,l91,34,46,67,,34,46,xe" fillcolor="navy" strokecolor="navy">
                <v:path arrowok="t"/>
              </v:shape>
              <v:shape id="_x0000_s1567" style="position:absolute;left:999;top:2352;width:91;height:67" coordsize="91,67" path="m46,l91,34,46,67,,34,46,xe" fillcolor="navy" strokecolor="navy">
                <v:path arrowok="t"/>
              </v:shape>
              <v:shape id="_x0000_s1568" style="position:absolute;left:999;top:2352;width:91;height:67" coordsize="91,67" path="m46,l91,34,46,67,,34,46,xe" fillcolor="navy" strokecolor="navy">
                <v:path arrowok="t"/>
              </v:shape>
              <v:shape id="_x0000_s1569" style="position:absolute;left:999;top:2352;width:91;height:67" coordsize="91,67" path="m46,l91,34,46,67,,34,46,xe" fillcolor="navy" strokecolor="navy">
                <v:path arrowok="t"/>
              </v:shape>
              <v:shape id="_x0000_s1570" style="position:absolute;left:999;top:2352;width:91;height:67" coordsize="91,67" path="m46,l91,34,46,67,,34,46,xe" fillcolor="navy" strokecolor="navy">
                <v:path arrowok="t"/>
              </v:shape>
              <v:shape id="_x0000_s1571" style="position:absolute;left:999;top:2352;width:91;height:67" coordsize="91,67" path="m46,l91,34,46,67,,34,46,xe" fillcolor="navy" strokecolor="navy">
                <v:path arrowok="t"/>
              </v:shape>
              <v:shape id="_x0000_s1572" style="position:absolute;left:999;top:2352;width:91;height:67" coordsize="91,67" path="m46,l91,34,46,67,,34,46,xe" fillcolor="navy" strokecolor="navy">
                <v:path arrowok="t"/>
              </v:shape>
              <v:shape id="_x0000_s1573" style="position:absolute;left:999;top:2352;width:91;height:67" coordsize="91,67" path="m46,l91,34,46,67,,34,46,xe" fillcolor="navy" strokecolor="navy">
                <v:path arrowok="t"/>
              </v:shape>
              <v:shape id="_x0000_s1574" style="position:absolute;left:999;top:2352;width:91;height:67" coordsize="91,67" path="m46,l91,34,46,67,,34,46,xe" fillcolor="navy" strokecolor="navy">
                <v:path arrowok="t"/>
              </v:shape>
              <v:shape id="_x0000_s1575" style="position:absolute;left:999;top:2352;width:91;height:67" coordsize="91,67" path="m46,l91,34,46,67,,34,46,xe" fillcolor="navy" strokecolor="navy">
                <v:path arrowok="t"/>
              </v:shape>
              <v:shape id="_x0000_s1576" style="position:absolute;left:999;top:2352;width:91;height:67" coordsize="91,67" path="m46,l91,34,46,67,,34,46,xe" fillcolor="navy" strokecolor="navy">
                <v:path arrowok="t"/>
              </v:shape>
              <v:shape id="_x0000_s1577" style="position:absolute;left:999;top:2352;width:91;height:67" coordsize="91,67" path="m46,l91,34,46,67,,34,46,xe" fillcolor="navy" strokecolor="navy">
                <v:path arrowok="t"/>
              </v:shape>
              <v:shape id="_x0000_s1578" style="position:absolute;left:999;top:2352;width:91;height:67" coordsize="91,67" path="m46,l91,34,46,67,,34,46,xe" fillcolor="navy" strokecolor="navy">
                <v:path arrowok="t"/>
              </v:shape>
              <v:shape id="_x0000_s1579" style="position:absolute;left:999;top:2352;width:91;height:67" coordsize="91,67" path="m46,l91,34,46,67,,34,46,xe" fillcolor="navy" strokecolor="navy">
                <v:path arrowok="t"/>
              </v:shape>
              <v:shape id="_x0000_s1580" style="position:absolute;left:999;top:2352;width:91;height:67" coordsize="91,67" path="m46,l91,34,46,67,,34,46,xe" fillcolor="navy" strokecolor="navy">
                <v:path arrowok="t"/>
              </v:shape>
              <v:shape id="_x0000_s1581" style="position:absolute;left:999;top:2352;width:91;height:67" coordsize="91,67" path="m46,l91,34,46,67,,34,46,xe" fillcolor="navy" strokecolor="navy">
                <v:path arrowok="t"/>
              </v:shape>
              <v:shape id="_x0000_s1582" style="position:absolute;left:999;top:2352;width:91;height:67" coordsize="91,67" path="m46,l91,34,46,67,,34,46,xe" fillcolor="navy" strokecolor="navy">
                <v:path arrowok="t"/>
              </v:shape>
              <v:shape id="_x0000_s1583" style="position:absolute;left:999;top:2352;width:91;height:67" coordsize="91,67" path="m46,l91,34,46,67,,34,46,xe" fillcolor="navy" strokecolor="navy">
                <v:path arrowok="t"/>
              </v:shape>
              <v:shape id="_x0000_s1584" style="position:absolute;left:999;top:2352;width:91;height:67" coordsize="91,67" path="m46,l91,34,46,67,,34,46,xe" fillcolor="navy" strokecolor="navy">
                <v:path arrowok="t"/>
              </v:shape>
              <v:shape id="_x0000_s1585" style="position:absolute;left:999;top:2352;width:91;height:67" coordsize="91,67" path="m46,l91,34,46,67,,34,46,xe" fillcolor="navy" strokecolor="navy">
                <v:path arrowok="t"/>
              </v:shape>
              <v:shape id="_x0000_s1586" style="position:absolute;left:999;top:2352;width:91;height:67" coordsize="91,67" path="m46,l91,34,46,67,,34,46,xe" fillcolor="navy" strokecolor="navy">
                <v:path arrowok="t"/>
              </v:shape>
              <v:shape id="_x0000_s1587" style="position:absolute;left:999;top:2352;width:91;height:67" coordsize="91,67" path="m46,l91,34,46,67,,34,46,xe" fillcolor="navy" strokecolor="navy">
                <v:path arrowok="t"/>
              </v:shape>
              <v:shape id="_x0000_s1588" style="position:absolute;left:999;top:2352;width:91;height:67" coordsize="91,67" path="m46,l91,34,46,67,,34,46,xe" fillcolor="navy" strokecolor="navy">
                <v:path arrowok="t"/>
              </v:shape>
              <v:shape id="_x0000_s1589" style="position:absolute;left:999;top:2352;width:91;height:67" coordsize="91,67" path="m46,l91,34,46,67,,34,46,xe" fillcolor="navy" strokecolor="navy">
                <v:path arrowok="t"/>
              </v:shape>
              <v:shape id="_x0000_s1590" style="position:absolute;left:999;top:2352;width:91;height:67" coordsize="91,67" path="m46,l91,34,46,67,,34,46,xe" fillcolor="navy" strokecolor="navy">
                <v:path arrowok="t"/>
              </v:shape>
              <v:shape id="_x0000_s1591" style="position:absolute;left:999;top:2352;width:91;height:67" coordsize="91,67" path="m46,l91,34,46,67,,34,46,xe" fillcolor="navy" strokecolor="navy">
                <v:path arrowok="t"/>
              </v:shape>
              <v:shape id="_x0000_s1592" style="position:absolute;left:999;top:2352;width:91;height:67" coordsize="91,67" path="m46,l91,34,46,67,,34,46,xe" fillcolor="navy" strokecolor="navy">
                <v:path arrowok="t"/>
              </v:shape>
              <v:shape id="_x0000_s1593" style="position:absolute;left:999;top:2352;width:91;height:67" coordsize="91,67" path="m46,l91,34,46,67,,34,46,xe" fillcolor="navy" strokecolor="navy">
                <v:path arrowok="t"/>
              </v:shape>
              <v:shape id="_x0000_s1594" style="position:absolute;left:999;top:2352;width:91;height:67" coordsize="91,67" path="m46,l91,34,46,67,,34,46,xe" fillcolor="navy" strokecolor="navy">
                <v:path arrowok="t"/>
              </v:shape>
              <v:shape id="_x0000_s1595" style="position:absolute;left:999;top:2352;width:91;height:67" coordsize="91,67" path="m46,l91,34,46,67,,34,46,xe" fillcolor="navy" strokecolor="navy">
                <v:path arrowok="t"/>
              </v:shape>
              <v:shape id="_x0000_s1596" style="position:absolute;left:999;top:2352;width:91;height:67" coordsize="91,67" path="m46,l91,34,46,67,,34,46,xe" fillcolor="navy" strokecolor="navy">
                <v:path arrowok="t"/>
              </v:shape>
              <v:shape id="_x0000_s1597" style="position:absolute;left:999;top:2352;width:91;height:67" coordsize="91,67" path="m46,l91,34,46,67,,34,46,xe" fillcolor="navy" strokecolor="navy">
                <v:path arrowok="t"/>
              </v:shape>
              <v:shape id="_x0000_s1598" style="position:absolute;left:999;top:2352;width:91;height:67" coordsize="91,67" path="m46,l91,34,46,67,,34,46,xe" fillcolor="navy" strokecolor="navy">
                <v:path arrowok="t"/>
              </v:shape>
              <v:shape id="_x0000_s1599" style="position:absolute;left:999;top:2352;width:91;height:67" coordsize="91,67" path="m46,l91,34,46,67,,34,46,xe" fillcolor="navy" strokecolor="navy">
                <v:path arrowok="t"/>
              </v:shape>
              <v:shape id="_x0000_s1600" style="position:absolute;left:999;top:2352;width:91;height:67" coordsize="91,67" path="m46,l91,34,46,67,,34,46,xe" fillcolor="navy" strokecolor="navy">
                <v:path arrowok="t"/>
              </v:shape>
              <v:shape id="_x0000_s1601" style="position:absolute;left:999;top:2352;width:91;height:67" coordsize="91,67" path="m46,l91,34,46,67,,34,46,xe" fillcolor="navy" strokecolor="navy">
                <v:path arrowok="t"/>
              </v:shape>
              <v:shape id="_x0000_s1602" style="position:absolute;left:999;top:2352;width:91;height:67" coordsize="91,67" path="m46,l91,34,46,67,,34,46,xe" fillcolor="navy" strokecolor="navy">
                <v:path arrowok="t"/>
              </v:shape>
              <v:shape id="_x0000_s1603" style="position:absolute;left:999;top:2352;width:91;height:67" coordsize="91,67" path="m46,l91,34,46,67,,34,46,xe" fillcolor="navy" strokecolor="navy">
                <v:path arrowok="t"/>
              </v:shape>
              <v:shape id="_x0000_s1604" style="position:absolute;left:999;top:2352;width:91;height:67" coordsize="91,67" path="m46,l91,34,46,67,,34,46,xe" fillcolor="navy" strokecolor="navy">
                <v:path arrowok="t"/>
              </v:shape>
              <v:shape id="_x0000_s1605" style="position:absolute;left:999;top:2352;width:91;height:67" coordsize="91,67" path="m46,l91,34,46,67,,34,46,xe" fillcolor="navy" strokecolor="navy">
                <v:path arrowok="t"/>
              </v:shape>
              <v:shape id="_x0000_s1606" style="position:absolute;left:999;top:2352;width:91;height:67" coordsize="91,67" path="m46,l91,34,46,67,,34,46,xe" fillcolor="navy" strokecolor="navy">
                <v:path arrowok="t"/>
              </v:shape>
              <v:shape id="_x0000_s1607" style="position:absolute;left:999;top:2352;width:91;height:67" coordsize="91,67" path="m46,l91,34,46,67,,34,46,xe" fillcolor="navy" strokecolor="navy">
                <v:path arrowok="t"/>
              </v:shape>
              <v:shape id="_x0000_s1608" style="position:absolute;left:999;top:2352;width:91;height:67" coordsize="91,67" path="m46,l91,34,46,67,,34,46,xe" fillcolor="navy" strokecolor="navy">
                <v:path arrowok="t"/>
              </v:shape>
              <v:shape id="_x0000_s1609" style="position:absolute;left:999;top:2352;width:91;height:67" coordsize="91,67" path="m46,l91,34,46,67,,34,46,xe" fillcolor="navy" strokecolor="navy">
                <v:path arrowok="t"/>
              </v:shape>
              <v:shape id="_x0000_s1610" style="position:absolute;left:999;top:2352;width:91;height:67" coordsize="91,67" path="m46,l91,34,46,67,,34,46,xe" fillcolor="navy" strokecolor="navy">
                <v:path arrowok="t"/>
              </v:shape>
              <v:shape id="_x0000_s1611" style="position:absolute;left:999;top:2352;width:91;height:67" coordsize="91,67" path="m46,l91,34,46,67,,34,46,xe" fillcolor="navy" strokecolor="navy">
                <v:path arrowok="t"/>
              </v:shape>
              <v:shape id="_x0000_s1612" style="position:absolute;left:999;top:2352;width:91;height:67" coordsize="91,67" path="m46,l91,34,46,67,,34,46,xe" fillcolor="navy" strokecolor="navy">
                <v:path arrowok="t"/>
              </v:shape>
              <v:shape id="_x0000_s1613" style="position:absolute;left:999;top:2352;width:91;height:67" coordsize="91,67" path="m46,l91,34,46,67,,34,46,xe" fillcolor="navy" strokecolor="navy">
                <v:path arrowok="t"/>
              </v:shape>
              <v:shape id="_x0000_s1614" style="position:absolute;left:999;top:2352;width:91;height:67" coordsize="91,67" path="m46,l91,34,46,67,,34,46,xe" fillcolor="navy" strokecolor="navy">
                <v:path arrowok="t"/>
              </v:shape>
              <v:shape id="_x0000_s1615" style="position:absolute;left:999;top:2352;width:91;height:67" coordsize="91,67" path="m46,l91,34,46,67,,34,46,xe" fillcolor="navy" strokecolor="navy">
                <v:path arrowok="t"/>
              </v:shape>
              <v:shape id="_x0000_s1616" style="position:absolute;left:999;top:2352;width:91;height:67" coordsize="91,67" path="m46,l91,34,46,67,,34,46,xe" fillcolor="navy" strokecolor="navy">
                <v:path arrowok="t"/>
              </v:shape>
              <v:shape id="_x0000_s1617" style="position:absolute;left:999;top:2352;width:91;height:67" coordsize="91,67" path="m46,l91,34,46,67,,34,46,xe" fillcolor="navy" strokecolor="navy">
                <v:path arrowok="t"/>
              </v:shape>
              <v:shape id="_x0000_s1618" style="position:absolute;left:999;top:2352;width:91;height:67" coordsize="91,67" path="m46,l91,34,46,67,,34,46,xe" fillcolor="navy" strokecolor="navy">
                <v:path arrowok="t"/>
              </v:shape>
              <v:shape id="_x0000_s1619" style="position:absolute;left:999;top:2352;width:91;height:67" coordsize="91,67" path="m46,l91,34,46,67,,34,46,xe" fillcolor="navy" strokecolor="navy">
                <v:path arrowok="t"/>
              </v:shape>
              <v:shape id="_x0000_s1620" style="position:absolute;left:999;top:2352;width:91;height:67" coordsize="91,67" path="m46,l91,34,46,67,,34,46,xe" fillcolor="navy" strokecolor="navy">
                <v:path arrowok="t"/>
              </v:shape>
              <v:shape id="_x0000_s1621" style="position:absolute;left:999;top:2352;width:91;height:67" coordsize="91,67" path="m46,l91,34,46,67,,34,46,xe" fillcolor="navy" strokecolor="navy">
                <v:path arrowok="t"/>
              </v:shape>
              <v:shape id="_x0000_s1622" style="position:absolute;left:999;top:2352;width:91;height:67" coordsize="91,67" path="m46,l91,34,46,67,,34,46,xe" fillcolor="navy" strokecolor="navy">
                <v:path arrowok="t"/>
              </v:shape>
              <v:shape id="_x0000_s1623" style="position:absolute;left:999;top:2352;width:91;height:67" coordsize="91,67" path="m46,l91,34,46,67,,34,46,xe" fillcolor="navy" strokecolor="navy">
                <v:path arrowok="t"/>
              </v:shape>
              <v:shape id="_x0000_s1624" style="position:absolute;left:999;top:2352;width:91;height:67" coordsize="91,67" path="m46,l91,34,46,67,,34,46,xe" fillcolor="navy" strokecolor="navy">
                <v:path arrowok="t"/>
              </v:shape>
              <v:shape id="_x0000_s1625" style="position:absolute;left:999;top:2352;width:91;height:67" coordsize="91,67" path="m46,l91,34,46,67,,34,46,xe" fillcolor="navy" strokecolor="navy">
                <v:path arrowok="t"/>
              </v:shape>
              <v:shape id="_x0000_s1626" style="position:absolute;left:999;top:2352;width:91;height:67" coordsize="91,67" path="m46,l91,34,46,67,,34,46,xe" fillcolor="navy" strokecolor="navy">
                <v:path arrowok="t"/>
              </v:shape>
              <v:shape id="_x0000_s1627" style="position:absolute;left:999;top:2352;width:91;height:67" coordsize="91,67" path="m46,l91,34,46,67,,34,46,xe" fillcolor="navy" strokecolor="navy">
                <v:path arrowok="t"/>
              </v:shape>
              <v:shape id="_x0000_s1628" style="position:absolute;left:999;top:2352;width:91;height:67" coordsize="91,67" path="m46,l91,34,46,67,,34,46,xe" fillcolor="navy" strokecolor="navy">
                <v:path arrowok="t"/>
              </v:shape>
              <v:shape id="_x0000_s1629" style="position:absolute;left:999;top:2352;width:91;height:67" coordsize="91,67" path="m46,l91,34,46,67,,34,46,xe" fillcolor="navy" strokecolor="navy">
                <v:path arrowok="t"/>
              </v:shape>
              <v:shape id="_x0000_s1630" style="position:absolute;left:999;top:2352;width:91;height:67" coordsize="91,67" path="m46,l91,34,46,67,,34,46,xe" fillcolor="navy" strokecolor="navy">
                <v:path arrowok="t"/>
              </v:shape>
              <v:shape id="_x0000_s1631" style="position:absolute;left:999;top:2352;width:91;height:67" coordsize="91,67" path="m46,l91,34,46,67,,34,46,xe" fillcolor="navy" strokecolor="navy">
                <v:path arrowok="t"/>
              </v:shape>
              <v:shape id="_x0000_s1632" style="position:absolute;left:999;top:2352;width:91;height:67" coordsize="91,67" path="m46,l91,34,46,67,,34,46,xe" fillcolor="navy" strokecolor="navy">
                <v:path arrowok="t"/>
              </v:shape>
              <v:shape id="_x0000_s1633" style="position:absolute;left:999;top:2352;width:91;height:67" coordsize="91,67" path="m46,l91,34,46,67,,34,46,xe" fillcolor="navy" strokecolor="navy">
                <v:path arrowok="t"/>
              </v:shape>
              <v:shape id="_x0000_s1634" style="position:absolute;left:999;top:2352;width:91;height:67" coordsize="91,67" path="m46,l91,34,46,67,,34,46,xe" fillcolor="navy" strokecolor="navy">
                <v:path arrowok="t"/>
              </v:shape>
              <v:shape id="_x0000_s1635" style="position:absolute;left:999;top:2352;width:91;height:67" coordsize="91,67" path="m46,l91,34,46,67,,34,46,xe" fillcolor="navy" strokecolor="navy">
                <v:path arrowok="t"/>
              </v:shape>
              <v:shape id="_x0000_s1636" style="position:absolute;left:999;top:2352;width:91;height:67" coordsize="91,67" path="m46,l91,34,46,67,,34,46,xe" fillcolor="navy" strokecolor="navy">
                <v:path arrowok="t"/>
              </v:shape>
              <v:shape id="_x0000_s1637" style="position:absolute;left:999;top:2352;width:91;height:67" coordsize="91,67" path="m46,l91,34,46,67,,34,46,xe" fillcolor="navy" strokecolor="navy">
                <v:path arrowok="t"/>
              </v:shape>
              <v:shape id="_x0000_s1638" style="position:absolute;left:999;top:2352;width:91;height:67" coordsize="91,67" path="m46,l91,34,46,67,,34,46,xe" fillcolor="navy" strokecolor="navy">
                <v:path arrowok="t"/>
              </v:shape>
              <v:shape id="_x0000_s1639" style="position:absolute;left:999;top:2352;width:91;height:67" coordsize="91,67" path="m46,l91,34,46,67,,34,46,xe" fillcolor="navy" strokecolor="navy">
                <v:path arrowok="t"/>
              </v:shape>
              <v:shape id="_x0000_s1640" style="position:absolute;left:999;top:2352;width:91;height:67" coordsize="91,67" path="m46,l91,34,46,67,,34,46,xe" fillcolor="navy" strokecolor="navy">
                <v:path arrowok="t"/>
              </v:shape>
              <v:shape id="_x0000_s1641" style="position:absolute;left:999;top:2352;width:91;height:67" coordsize="91,67" path="m46,l91,34,46,67,,34,46,xe" fillcolor="navy" strokecolor="navy">
                <v:path arrowok="t"/>
              </v:shape>
              <v:shape id="_x0000_s1642" style="position:absolute;left:999;top:2352;width:91;height:67" coordsize="91,67" path="m46,l91,34,46,67,,34,46,xe" fillcolor="navy" strokecolor="navy">
                <v:path arrowok="t"/>
              </v:shape>
              <v:shape id="_x0000_s1643" style="position:absolute;left:999;top:2352;width:91;height:67" coordsize="91,67" path="m46,l91,34,46,67,,34,46,xe" fillcolor="navy" strokecolor="navy">
                <v:path arrowok="t"/>
              </v:shape>
              <v:shape id="_x0000_s1644" style="position:absolute;left:999;top:2352;width:91;height:67" coordsize="91,67" path="m46,l91,34,46,67,,34,46,xe" fillcolor="navy" strokecolor="navy">
                <v:path arrowok="t"/>
              </v:shape>
              <v:shape id="_x0000_s1645" style="position:absolute;left:999;top:2352;width:91;height:67" coordsize="91,67" path="m46,l91,34,46,67,,34,46,xe" fillcolor="navy" strokecolor="navy">
                <v:path arrowok="t"/>
              </v:shape>
              <v:shape id="_x0000_s1646" style="position:absolute;left:999;top:2352;width:91;height:67" coordsize="91,67" path="m46,l91,34,46,67,,34,46,xe" fillcolor="navy" strokecolor="navy">
                <v:path arrowok="t"/>
              </v:shape>
              <v:shape id="_x0000_s1647" style="position:absolute;left:999;top:2352;width:91;height:67" coordsize="91,67" path="m46,l91,34,46,67,,34,46,xe" fillcolor="navy" strokecolor="navy">
                <v:path arrowok="t"/>
              </v:shape>
              <v:shape id="_x0000_s1648" style="position:absolute;left:999;top:2352;width:91;height:67" coordsize="91,67" path="m46,l91,34,46,67,,34,46,xe" fillcolor="navy" strokecolor="navy">
                <v:path arrowok="t"/>
              </v:shape>
              <v:shape id="_x0000_s1649" style="position:absolute;left:999;top:2352;width:91;height:67" coordsize="91,67" path="m46,l91,34,46,67,,34,46,xe" fillcolor="navy" strokecolor="navy">
                <v:path arrowok="t"/>
              </v:shape>
              <v:shape id="_x0000_s1650" style="position:absolute;left:999;top:2352;width:91;height:67" coordsize="91,67" path="m46,l91,34,46,67,,34,46,xe" fillcolor="navy" strokecolor="navy">
                <v:path arrowok="t"/>
              </v:shape>
              <v:shape id="_x0000_s1651" style="position:absolute;left:999;top:2352;width:91;height:67" coordsize="91,67" path="m46,l91,34,46,67,,34,46,xe" fillcolor="navy" strokecolor="navy">
                <v:path arrowok="t"/>
              </v:shape>
              <v:shape id="_x0000_s1652" style="position:absolute;left:999;top:2352;width:91;height:67" coordsize="91,67" path="m46,l91,34,46,67,,34,46,xe" fillcolor="navy" strokecolor="navy">
                <v:path arrowok="t"/>
              </v:shape>
              <v:shape id="_x0000_s1653" style="position:absolute;left:999;top:2352;width:91;height:67" coordsize="91,67" path="m46,l91,34,46,67,,34,46,xe" fillcolor="navy" strokecolor="navy">
                <v:path arrowok="t"/>
              </v:shape>
              <v:shape id="_x0000_s1654" style="position:absolute;left:999;top:2352;width:91;height:67" coordsize="91,67" path="m46,l91,34,46,67,,34,46,xe" fillcolor="navy" strokecolor="navy">
                <v:path arrowok="t"/>
              </v:shape>
              <v:shape id="_x0000_s1655" style="position:absolute;left:999;top:2352;width:91;height:67" coordsize="91,67" path="m46,l91,34,46,67,,34,46,xe" fillcolor="navy" strokecolor="navy">
                <v:path arrowok="t"/>
              </v:shape>
              <v:shape id="_x0000_s1656" style="position:absolute;left:999;top:2352;width:91;height:67" coordsize="91,67" path="m46,l91,34,46,67,,34,46,xe" fillcolor="navy" strokecolor="navy">
                <v:path arrowok="t"/>
              </v:shape>
              <v:shape id="_x0000_s1657" style="position:absolute;left:999;top:2352;width:91;height:67" coordsize="91,67" path="m46,l91,34,46,67,,34,46,xe" fillcolor="navy" strokecolor="navy">
                <v:path arrowok="t"/>
              </v:shape>
              <v:shape id="_x0000_s1658" style="position:absolute;left:999;top:2352;width:91;height:67" coordsize="91,67" path="m46,l91,34,46,67,,34,46,xe" fillcolor="navy" strokecolor="navy">
                <v:path arrowok="t"/>
              </v:shape>
              <v:shape id="_x0000_s1659" style="position:absolute;left:999;top:2352;width:91;height:67" coordsize="91,67" path="m46,l91,34,46,67,,34,46,xe" fillcolor="navy" strokecolor="navy">
                <v:path arrowok="t"/>
              </v:shape>
              <v:shape id="_x0000_s1660" style="position:absolute;left:999;top:2352;width:91;height:67" coordsize="91,67" path="m46,l91,34,46,67,,34,46,xe" fillcolor="navy" strokecolor="navy">
                <v:path arrowok="t"/>
              </v:shape>
              <v:shape id="_x0000_s1661" style="position:absolute;left:999;top:2352;width:91;height:67" coordsize="91,67" path="m46,l91,34,46,67,,34,46,xe" fillcolor="navy" strokecolor="navy">
                <v:path arrowok="t"/>
              </v:shape>
              <v:shape id="_x0000_s1662" style="position:absolute;left:999;top:2352;width:91;height:67" coordsize="91,67" path="m46,l91,34,46,67,,34,46,xe" fillcolor="navy" strokecolor="navy">
                <v:path arrowok="t"/>
              </v:shape>
              <v:shape id="_x0000_s1663" style="position:absolute;left:999;top:2352;width:91;height:67" coordsize="91,67" path="m46,l91,34,46,67,,34,46,xe" fillcolor="navy" strokecolor="navy">
                <v:path arrowok="t"/>
              </v:shape>
              <v:shape id="_x0000_s1664" style="position:absolute;left:999;top:2352;width:91;height:67" coordsize="91,67" path="m46,l91,34,46,67,,34,46,xe" fillcolor="navy" strokecolor="navy">
                <v:path arrowok="t"/>
              </v:shape>
              <v:shape id="_x0000_s1665" style="position:absolute;left:999;top:2352;width:91;height:67" coordsize="91,67" path="m46,l91,34,46,67,,34,46,xe" fillcolor="navy" strokecolor="navy">
                <v:path arrowok="t"/>
              </v:shape>
              <v:shape id="_x0000_s1666" style="position:absolute;left:999;top:2352;width:91;height:67" coordsize="91,67" path="m46,l91,34,46,67,,34,46,xe" fillcolor="navy" strokecolor="navy">
                <v:path arrowok="t"/>
              </v:shape>
              <v:shape id="_x0000_s1667" style="position:absolute;left:999;top:2352;width:91;height:67" coordsize="91,67" path="m46,l91,34,46,67,,34,46,xe" fillcolor="navy" strokecolor="navy">
                <v:path arrowok="t"/>
              </v:shape>
              <v:shape id="_x0000_s1668" style="position:absolute;left:999;top:2352;width:91;height:67" coordsize="91,67" path="m46,l91,34,46,67,,34,46,xe" fillcolor="navy" strokecolor="navy">
                <v:path arrowok="t"/>
              </v:shape>
              <v:shape id="_x0000_s1669" style="position:absolute;left:999;top:2341;width:91;height:67" coordsize="91,67" path="m46,l91,34,46,67,,34,46,xe" fillcolor="navy" strokecolor="navy">
                <v:path arrowok="t"/>
              </v:shape>
              <v:shape id="_x0000_s1670" style="position:absolute;left:999;top:2341;width:91;height:67" coordsize="91,67" path="m46,l91,34,46,67,,34,46,xe" fillcolor="navy" strokecolor="navy">
                <v:path arrowok="t"/>
              </v:shape>
              <v:shape id="_x0000_s1671" style="position:absolute;left:999;top:2341;width:91;height:67" coordsize="91,67" path="m46,l91,34,46,67,,34,46,xe" fillcolor="navy" strokecolor="navy">
                <v:path arrowok="t"/>
              </v:shape>
              <v:shape id="_x0000_s1672" style="position:absolute;left:999;top:2341;width:91;height:67" coordsize="91,67" path="m46,l91,34,46,67,,34,46,xe" fillcolor="navy" strokecolor="navy">
                <v:path arrowok="t"/>
              </v:shape>
              <v:shape id="_x0000_s1673" style="position:absolute;left:999;top:2341;width:91;height:67" coordsize="91,67" path="m46,l91,34,46,67,,34,46,xe" fillcolor="navy" strokecolor="navy">
                <v:path arrowok="t"/>
              </v:shape>
              <v:shape id="_x0000_s1674" style="position:absolute;left:999;top:2341;width:91;height:67" coordsize="91,67" path="m46,l91,34,46,67,,34,46,xe" fillcolor="navy" strokecolor="navy">
                <v:path arrowok="t"/>
              </v:shape>
              <v:shape id="_x0000_s1675" style="position:absolute;left:999;top:2341;width:91;height:67" coordsize="91,67" path="m46,l91,34,46,67,,34,46,xe" fillcolor="navy" strokecolor="navy">
                <v:path arrowok="t"/>
              </v:shape>
              <v:shape id="_x0000_s1676" style="position:absolute;left:999;top:2341;width:91;height:67" coordsize="91,67" path="m46,l91,34,46,67,,34,46,xe" fillcolor="navy" strokecolor="navy">
                <v:path arrowok="t"/>
              </v:shape>
              <v:shape id="_x0000_s1677" style="position:absolute;left:999;top:2341;width:91;height:67" coordsize="91,67" path="m46,l91,34,46,67,,34,46,xe" fillcolor="navy" strokecolor="navy">
                <v:path arrowok="t"/>
              </v:shape>
              <v:shape id="_x0000_s1678" style="position:absolute;left:999;top:2341;width:91;height:67" coordsize="91,67" path="m46,l91,34,46,67,,34,46,xe" fillcolor="navy" strokecolor="navy">
                <v:path arrowok="t"/>
              </v:shape>
              <v:shape id="_x0000_s1679" style="position:absolute;left:999;top:2341;width:91;height:67" coordsize="91,67" path="m46,l91,34,46,67,,34,46,xe" fillcolor="navy" strokecolor="navy">
                <v:path arrowok="t"/>
              </v:shape>
              <v:shape id="_x0000_s1680" style="position:absolute;left:999;top:2341;width:91;height:67" coordsize="91,67" path="m46,l91,34,46,67,,34,46,xe" fillcolor="navy" strokecolor="navy">
                <v:path arrowok="t"/>
              </v:shape>
              <v:shape id="_x0000_s1681" style="position:absolute;left:999;top:2341;width:91;height:67" coordsize="91,67" path="m46,l91,34,46,67,,34,46,xe" fillcolor="navy" strokecolor="navy">
                <v:path arrowok="t"/>
              </v:shape>
              <v:shape id="_x0000_s1682" style="position:absolute;left:999;top:2341;width:91;height:67" coordsize="91,67" path="m46,l91,34,46,67,,34,46,xe" fillcolor="navy" strokecolor="navy">
                <v:path arrowok="t"/>
              </v:shape>
              <v:shape id="_x0000_s1683" style="position:absolute;left:999;top:2341;width:91;height:67" coordsize="91,67" path="m46,l91,34,46,67,,34,46,xe" fillcolor="navy" strokecolor="navy">
                <v:path arrowok="t"/>
              </v:shape>
              <v:shape id="_x0000_s1684" style="position:absolute;left:999;top:2341;width:91;height:67" coordsize="91,67" path="m46,l91,34,46,67,,34,46,xe" fillcolor="navy" strokecolor="navy">
                <v:path arrowok="t"/>
              </v:shape>
              <v:shape id="_x0000_s1685" style="position:absolute;left:999;top:2341;width:91;height:67" coordsize="91,67" path="m46,l91,34,46,67,,34,46,xe" fillcolor="navy" strokecolor="navy">
                <v:path arrowok="t"/>
              </v:shape>
              <v:shape id="_x0000_s1686" style="position:absolute;left:999;top:2341;width:91;height:67" coordsize="91,67" path="m46,l91,34,46,67,,34,46,xe" fillcolor="navy" strokecolor="navy">
                <v:path arrowok="t"/>
              </v:shape>
              <v:shape id="_x0000_s1687" style="position:absolute;left:999;top:2341;width:91;height:67" coordsize="91,67" path="m46,l91,34,46,67,,34,46,xe" fillcolor="navy" strokecolor="navy">
                <v:path arrowok="t"/>
              </v:shape>
              <v:shape id="_x0000_s1688" style="position:absolute;left:999;top:2341;width:91;height:67" coordsize="91,67" path="m46,l91,34,46,67,,34,46,xe" fillcolor="navy" strokecolor="navy">
                <v:path arrowok="t"/>
              </v:shape>
              <v:shape id="_x0000_s1689" style="position:absolute;left:999;top:2341;width:91;height:67" coordsize="91,67" path="m46,l91,34,46,67,,34,46,xe" fillcolor="navy" strokecolor="navy">
                <v:path arrowok="t"/>
              </v:shape>
              <v:shape id="_x0000_s1690" style="position:absolute;left:999;top:2341;width:91;height:67" coordsize="91,67" path="m46,l91,34,46,67,,34,46,xe" fillcolor="navy" strokecolor="navy">
                <v:path arrowok="t"/>
              </v:shape>
              <v:shape id="_x0000_s1691" style="position:absolute;left:999;top:2341;width:91;height:67" coordsize="91,67" path="m46,l91,34,46,67,,34,46,xe" fillcolor="navy" strokecolor="navy">
                <v:path arrowok="t"/>
              </v:shape>
              <v:shape id="_x0000_s1692" style="position:absolute;left:999;top:2341;width:91;height:67" coordsize="91,67" path="m46,l91,34,46,67,,34,46,xe" fillcolor="navy" strokecolor="navy">
                <v:path arrowok="t"/>
              </v:shape>
              <v:shape id="_x0000_s1693" style="position:absolute;left:999;top:2341;width:91;height:67" coordsize="91,67" path="m46,l91,34,46,67,,34,46,xe" fillcolor="navy" strokecolor="navy">
                <v:path arrowok="t"/>
              </v:shape>
              <v:shape id="_x0000_s1694" style="position:absolute;left:999;top:2341;width:91;height:67" coordsize="91,67" path="m46,l91,34,46,67,,34,46,xe" fillcolor="navy" strokecolor="navy">
                <v:path arrowok="t"/>
              </v:shape>
              <v:shape id="_x0000_s1695" style="position:absolute;left:999;top:2341;width:91;height:67" coordsize="91,67" path="m46,l91,34,46,67,,34,46,xe" fillcolor="navy" strokecolor="navy">
                <v:path arrowok="t"/>
              </v:shape>
              <v:shape id="_x0000_s1696" style="position:absolute;left:999;top:2341;width:91;height:67" coordsize="91,67" path="m46,l91,34,46,67,,34,46,xe" fillcolor="navy" strokecolor="navy">
                <v:path arrowok="t"/>
              </v:shape>
              <v:shape id="_x0000_s1697" style="position:absolute;left:999;top:2341;width:91;height:67" coordsize="91,67" path="m46,l91,34,46,67,,34,46,xe" fillcolor="navy" strokecolor="navy">
                <v:path arrowok="t"/>
              </v:shape>
              <v:shape id="_x0000_s1698" style="position:absolute;left:999;top:2341;width:91;height:67" coordsize="91,67" path="m46,l91,34,46,67,,34,46,xe" fillcolor="navy" strokecolor="navy">
                <v:path arrowok="t"/>
              </v:shape>
              <v:shape id="_x0000_s1699" style="position:absolute;left:999;top:2341;width:91;height:67" coordsize="91,67" path="m46,l91,34,46,67,,34,46,xe" fillcolor="navy" strokecolor="navy">
                <v:path arrowok="t"/>
              </v:shape>
              <v:shape id="_x0000_s1700" style="position:absolute;left:999;top:2341;width:91;height:67" coordsize="91,67" path="m46,l91,34,46,67,,34,46,xe" fillcolor="navy" strokecolor="navy">
                <v:path arrowok="t"/>
              </v:shape>
              <v:shape id="_x0000_s1701" style="position:absolute;left:999;top:2341;width:91;height:67" coordsize="91,67" path="m46,l91,34,46,67,,34,46,xe" fillcolor="navy" strokecolor="navy">
                <v:path arrowok="t"/>
              </v:shape>
              <v:shape id="_x0000_s1702" style="position:absolute;left:999;top:2341;width:91;height:67" coordsize="91,67" path="m46,l91,34,46,67,,34,46,xe" fillcolor="navy" strokecolor="navy">
                <v:path arrowok="t"/>
              </v:shape>
              <v:shape id="_x0000_s1703" style="position:absolute;left:999;top:2341;width:91;height:67" coordsize="91,67" path="m46,l91,34,46,67,,34,46,xe" fillcolor="navy" strokecolor="navy">
                <v:path arrowok="t"/>
              </v:shape>
              <v:shape id="_x0000_s1704" style="position:absolute;left:999;top:2341;width:91;height:67" coordsize="91,67" path="m46,l91,34,46,67,,34,46,xe" fillcolor="navy" strokecolor="navy">
                <v:path arrowok="t"/>
              </v:shape>
              <v:shape id="_x0000_s1705" style="position:absolute;left:999;top:2341;width:91;height:67" coordsize="91,67" path="m46,l91,34,46,67,,34,46,xe" fillcolor="navy" strokecolor="navy">
                <v:path arrowok="t"/>
              </v:shape>
              <v:shape id="_x0000_s1706" style="position:absolute;left:999;top:2341;width:91;height:67" coordsize="91,67" path="m46,l91,34,46,67,,34,46,xe" fillcolor="navy" strokecolor="navy">
                <v:path arrowok="t"/>
              </v:shape>
              <v:shape id="_x0000_s1707" style="position:absolute;left:999;top:2341;width:91;height:67" coordsize="91,67" path="m46,l91,34,46,67,,34,46,xe" fillcolor="navy" strokecolor="navy">
                <v:path arrowok="t"/>
              </v:shape>
              <v:shape id="_x0000_s1708" style="position:absolute;left:999;top:2341;width:91;height:67" coordsize="91,67" path="m46,l91,34,46,67,,34,46,xe" fillcolor="navy" strokecolor="navy">
                <v:path arrowok="t"/>
              </v:shape>
              <v:shape id="_x0000_s1709" style="position:absolute;left:999;top:2341;width:91;height:67" coordsize="91,67" path="m46,l91,34,46,67,,34,46,xe" fillcolor="navy" strokecolor="navy">
                <v:path arrowok="t"/>
              </v:shape>
              <v:shape id="_x0000_s1710" style="position:absolute;left:999;top:2341;width:91;height:67" coordsize="91,67" path="m46,l91,34,46,67,,34,46,xe" fillcolor="navy" strokecolor="navy">
                <v:path arrowok="t"/>
              </v:shape>
              <v:shape id="_x0000_s1711" style="position:absolute;left:999;top:2341;width:91;height:67" coordsize="91,67" path="m46,l91,34,46,67,,34,46,xe" fillcolor="navy" strokecolor="navy">
                <v:path arrowok="t"/>
              </v:shape>
              <v:shape id="_x0000_s1712" style="position:absolute;left:999;top:2341;width:91;height:67" coordsize="91,67" path="m46,l91,34,46,67,,34,46,xe" fillcolor="navy" strokecolor="navy">
                <v:path arrowok="t"/>
              </v:shape>
              <v:shape id="_x0000_s1713" style="position:absolute;left:999;top:2341;width:91;height:67" coordsize="91,67" path="m46,l91,34,46,67,,34,46,xe" fillcolor="navy" strokecolor="navy">
                <v:path arrowok="t"/>
              </v:shape>
              <v:shape id="_x0000_s1714" style="position:absolute;left:999;top:2341;width:91;height:67" coordsize="91,67" path="m46,l91,34,46,67,,34,46,xe" fillcolor="navy" strokecolor="navy">
                <v:path arrowok="t"/>
              </v:shape>
              <v:shape id="_x0000_s1715" style="position:absolute;left:999;top:2341;width:91;height:67" coordsize="91,67" path="m46,l91,34,46,67,,34,46,xe" fillcolor="navy" strokecolor="navy">
                <v:path arrowok="t"/>
              </v:shape>
              <v:shape id="_x0000_s1716" style="position:absolute;left:999;top:2341;width:91;height:67" coordsize="91,67" path="m46,l91,34,46,67,,34,46,xe" fillcolor="navy" strokecolor="navy">
                <v:path arrowok="t"/>
              </v:shape>
              <v:shape id="_x0000_s1717" style="position:absolute;left:999;top:2341;width:91;height:67" coordsize="91,67" path="m46,l91,34,46,67,,34,46,xe" fillcolor="navy" strokecolor="navy">
                <v:path arrowok="t"/>
              </v:shape>
              <v:shape id="_x0000_s1718" style="position:absolute;left:999;top:2341;width:91;height:67" coordsize="91,67" path="m46,l91,34,46,67,,34,46,xe" fillcolor="navy" strokecolor="navy">
                <v:path arrowok="t"/>
              </v:shape>
              <v:shape id="_x0000_s1719" style="position:absolute;left:999;top:2341;width:91;height:67" coordsize="91,67" path="m46,l91,34,46,67,,34,46,xe" fillcolor="navy" strokecolor="navy">
                <v:path arrowok="t"/>
              </v:shape>
              <v:shape id="_x0000_s1720" style="position:absolute;left:999;top:2341;width:91;height:67" coordsize="91,67" path="m46,l91,34,46,67,,34,46,xe" fillcolor="navy" strokecolor="navy">
                <v:path arrowok="t"/>
              </v:shape>
              <v:shape id="_x0000_s1721" style="position:absolute;left:999;top:2341;width:91;height:67" coordsize="91,67" path="m46,l91,34,46,67,,34,46,xe" fillcolor="navy" strokecolor="navy">
                <v:path arrowok="t"/>
              </v:shape>
              <v:shape id="_x0000_s1722" style="position:absolute;left:999;top:2341;width:91;height:67" coordsize="91,67" path="m46,l91,34,46,67,,34,46,xe" fillcolor="navy" strokecolor="navy">
                <v:path arrowok="t"/>
              </v:shape>
              <v:shape id="_x0000_s1723" style="position:absolute;left:999;top:2341;width:91;height:67" coordsize="91,67" path="m46,l91,34,46,67,,34,46,xe" fillcolor="navy" strokecolor="navy">
                <v:path arrowok="t"/>
              </v:shape>
              <v:shape id="_x0000_s1724" style="position:absolute;left:999;top:2341;width:91;height:67" coordsize="91,67" path="m46,l91,34,46,67,,34,46,xe" fillcolor="navy" strokecolor="navy">
                <v:path arrowok="t"/>
              </v:shape>
              <v:shape id="_x0000_s1725" style="position:absolute;left:999;top:2341;width:91;height:67" coordsize="91,67" path="m46,l91,34,46,67,,34,46,xe" fillcolor="navy" strokecolor="navy">
                <v:path arrowok="t"/>
              </v:shape>
              <v:shape id="_x0000_s1726" style="position:absolute;left:999;top:2341;width:91;height:67" coordsize="91,67" path="m46,l91,34,46,67,,34,46,xe" fillcolor="navy" strokecolor="navy">
                <v:path arrowok="t"/>
              </v:shape>
              <v:shape id="_x0000_s1727" style="position:absolute;left:999;top:2341;width:91;height:67" coordsize="91,67" path="m46,l91,34,46,67,,34,46,xe" fillcolor="navy" strokecolor="navy">
                <v:path arrowok="t"/>
              </v:shape>
              <v:shape id="_x0000_s1728" style="position:absolute;left:999;top:2341;width:91;height:67" coordsize="91,67" path="m46,l91,34,46,67,,34,46,xe" fillcolor="navy" strokecolor="navy">
                <v:path arrowok="t"/>
              </v:shape>
              <v:shape id="_x0000_s1729" style="position:absolute;left:999;top:2341;width:91;height:67" coordsize="91,67" path="m46,l91,34,46,67,,34,46,xe" fillcolor="navy" strokecolor="navy">
                <v:path arrowok="t"/>
              </v:shape>
              <v:shape id="_x0000_s1730" style="position:absolute;left:999;top:2341;width:91;height:67" coordsize="91,67" path="m46,l91,34,46,67,,34,46,xe" fillcolor="navy" strokecolor="navy">
                <v:path arrowok="t"/>
              </v:shape>
              <v:shape id="_x0000_s1731" style="position:absolute;left:999;top:2341;width:91;height:67" coordsize="91,67" path="m46,l91,34,46,67,,34,46,xe" fillcolor="navy" strokecolor="navy">
                <v:path arrowok="t"/>
              </v:shape>
              <v:shape id="_x0000_s1732" style="position:absolute;left:999;top:2341;width:91;height:67" coordsize="91,67" path="m46,l91,34,46,67,,34,46,xe" fillcolor="navy" strokecolor="navy">
                <v:path arrowok="t"/>
              </v:shape>
              <v:shape id="_x0000_s1733" style="position:absolute;left:999;top:2341;width:91;height:67" coordsize="91,67" path="m46,l91,34,46,67,,34,46,xe" fillcolor="navy" strokecolor="navy">
                <v:path arrowok="t"/>
              </v:shape>
              <v:shape id="_x0000_s1734" style="position:absolute;left:999;top:2341;width:91;height:67" coordsize="91,67" path="m46,l91,34,46,67,,34,46,xe" fillcolor="navy" strokecolor="navy">
                <v:path arrowok="t"/>
              </v:shape>
              <v:shape id="_x0000_s1735" style="position:absolute;left:999;top:2341;width:91;height:67" coordsize="91,67" path="m46,l91,34,46,67,,34,46,xe" fillcolor="navy" strokecolor="navy">
                <v:path arrowok="t"/>
              </v:shape>
            </v:group>
            <v:group id="_x0000_s1937" style="position:absolute;left:999;top:2330;width:91;height:78" coordorigin="999,2330" coordsize="91,78">
              <v:shape id="_x0000_s1737" style="position:absolute;left:999;top:2341;width:91;height:67" coordsize="91,67" path="m46,l91,34,46,67,,34,46,xe" fillcolor="navy" strokecolor="navy">
                <v:path arrowok="t"/>
              </v:shape>
              <v:shape id="_x0000_s1738" style="position:absolute;left:999;top:2341;width:91;height:67" coordsize="91,67" path="m46,l91,34,46,67,,34,46,xe" fillcolor="navy" strokecolor="navy">
                <v:path arrowok="t"/>
              </v:shape>
              <v:shape id="_x0000_s1739" style="position:absolute;left:999;top:2341;width:91;height:67" coordsize="91,67" path="m46,l91,34,46,67,,34,46,xe" fillcolor="navy" strokecolor="navy">
                <v:path arrowok="t"/>
              </v:shape>
              <v:shape id="_x0000_s1740" style="position:absolute;left:999;top:2341;width:91;height:67" coordsize="91,67" path="m46,l91,34,46,67,,34,46,xe" fillcolor="navy" strokecolor="navy">
                <v:path arrowok="t"/>
              </v:shape>
              <v:shape id="_x0000_s1741" style="position:absolute;left:999;top:2341;width:91;height:67" coordsize="91,67" path="m46,l91,34,46,67,,34,46,xe" fillcolor="navy" strokecolor="navy">
                <v:path arrowok="t"/>
              </v:shape>
              <v:shape id="_x0000_s1742" style="position:absolute;left:999;top:2341;width:91;height:67" coordsize="91,67" path="m46,l91,34,46,67,,34,46,xe" fillcolor="navy" strokecolor="navy">
                <v:path arrowok="t"/>
              </v:shape>
              <v:shape id="_x0000_s1743" style="position:absolute;left:999;top:2341;width:91;height:67" coordsize="91,67" path="m46,l91,34,46,67,,34,46,xe" fillcolor="navy" strokecolor="navy">
                <v:path arrowok="t"/>
              </v:shape>
              <v:shape id="_x0000_s1744" style="position:absolute;left:999;top:2341;width:91;height:67" coordsize="91,67" path="m46,l91,34,46,67,,34,46,xe" fillcolor="navy" strokecolor="navy">
                <v:path arrowok="t"/>
              </v:shape>
              <v:shape id="_x0000_s1745" style="position:absolute;left:999;top:2341;width:91;height:67" coordsize="91,67" path="m46,l91,34,46,67,,34,46,xe" fillcolor="navy" strokecolor="navy">
                <v:path arrowok="t"/>
              </v:shape>
              <v:shape id="_x0000_s1746" style="position:absolute;left:999;top:2341;width:91;height:67" coordsize="91,67" path="m46,l91,34,46,67,,34,46,xe" fillcolor="navy" strokecolor="navy">
                <v:path arrowok="t"/>
              </v:shape>
              <v:shape id="_x0000_s1747" style="position:absolute;left:999;top:2341;width:91;height:67" coordsize="91,67" path="m46,l91,34,46,67,,34,46,xe" fillcolor="navy" strokecolor="navy">
                <v:path arrowok="t"/>
              </v:shape>
              <v:shape id="_x0000_s1748" style="position:absolute;left:999;top:2341;width:91;height:67" coordsize="91,67" path="m46,l91,34,46,67,,34,46,xe" fillcolor="navy" strokecolor="navy">
                <v:path arrowok="t"/>
              </v:shape>
              <v:shape id="_x0000_s1749" style="position:absolute;left:999;top:2341;width:91;height:67" coordsize="91,67" path="m46,l91,34,46,67,,34,46,xe" fillcolor="navy" strokecolor="navy">
                <v:path arrowok="t"/>
              </v:shape>
              <v:shape id="_x0000_s1750" style="position:absolute;left:999;top:2341;width:91;height:67" coordsize="91,67" path="m46,l91,34,46,67,,34,46,xe" fillcolor="navy" strokecolor="navy">
                <v:path arrowok="t"/>
              </v:shape>
              <v:shape id="_x0000_s1751" style="position:absolute;left:999;top:2341;width:91;height:67" coordsize="91,67" path="m46,l91,34,46,67,,34,46,xe" fillcolor="navy" strokecolor="navy">
                <v:path arrowok="t"/>
              </v:shape>
              <v:shape id="_x0000_s1752" style="position:absolute;left:999;top:2341;width:91;height:67" coordsize="91,67" path="m46,l91,34,46,67,,34,46,xe" fillcolor="navy" strokecolor="navy">
                <v:path arrowok="t"/>
              </v:shape>
              <v:shape id="_x0000_s1753" style="position:absolute;left:999;top:2341;width:91;height:67" coordsize="91,67" path="m46,l91,34,46,67,,34,46,xe" fillcolor="navy" strokecolor="navy">
                <v:path arrowok="t"/>
              </v:shape>
              <v:shape id="_x0000_s1754" style="position:absolute;left:999;top:2341;width:91;height:67" coordsize="91,67" path="m46,l91,34,46,67,,34,46,xe" fillcolor="navy" strokecolor="navy">
                <v:path arrowok="t"/>
              </v:shape>
              <v:shape id="_x0000_s1755" style="position:absolute;left:999;top:2341;width:91;height:67" coordsize="91,67" path="m46,l91,34,46,67,,34,46,xe" fillcolor="navy" strokecolor="navy">
                <v:path arrowok="t"/>
              </v:shape>
              <v:shape id="_x0000_s1756" style="position:absolute;left:999;top:2341;width:91;height:67" coordsize="91,67" path="m46,l91,34,46,67,,34,46,xe" fillcolor="navy" strokecolor="navy">
                <v:path arrowok="t"/>
              </v:shape>
              <v:shape id="_x0000_s1757" style="position:absolute;left:999;top:2341;width:91;height:67" coordsize="91,67" path="m46,l91,34,46,67,,34,46,xe" fillcolor="navy" strokecolor="navy">
                <v:path arrowok="t"/>
              </v:shape>
              <v:shape id="_x0000_s1758" style="position:absolute;left:999;top:2341;width:91;height:67" coordsize="91,67" path="m46,l91,34,46,67,,34,46,xe" fillcolor="navy" strokecolor="navy">
                <v:path arrowok="t"/>
              </v:shape>
              <v:shape id="_x0000_s1759" style="position:absolute;left:999;top:2341;width:91;height:67" coordsize="91,67" path="m46,l91,34,46,67,,34,46,xe" fillcolor="navy" strokecolor="navy">
                <v:path arrowok="t"/>
              </v:shape>
              <v:shape id="_x0000_s1760" style="position:absolute;left:999;top:2341;width:91;height:67" coordsize="91,67" path="m46,l91,34,46,67,,34,46,xe" fillcolor="navy" strokecolor="navy">
                <v:path arrowok="t"/>
              </v:shape>
              <v:shape id="_x0000_s1761" style="position:absolute;left:999;top:2341;width:91;height:67" coordsize="91,67" path="m46,l91,34,46,67,,34,46,xe" fillcolor="navy" strokecolor="navy">
                <v:path arrowok="t"/>
              </v:shape>
              <v:shape id="_x0000_s1762" style="position:absolute;left:999;top:2341;width:91;height:67" coordsize="91,67" path="m46,l91,34,46,67,,34,46,xe" fillcolor="navy" strokecolor="navy">
                <v:path arrowok="t"/>
              </v:shape>
              <v:shape id="_x0000_s1763" style="position:absolute;left:999;top:2341;width:91;height:67" coordsize="91,67" path="m46,l91,34,46,67,,34,46,xe" fillcolor="navy" strokecolor="navy">
                <v:path arrowok="t"/>
              </v:shape>
              <v:shape id="_x0000_s1764" style="position:absolute;left:999;top:2341;width:91;height:67" coordsize="91,67" path="m46,l91,34,46,67,,34,46,xe" fillcolor="navy" strokecolor="navy">
                <v:path arrowok="t"/>
              </v:shape>
              <v:shape id="_x0000_s1765" style="position:absolute;left:999;top:2341;width:91;height:67" coordsize="91,67" path="m46,l91,34,46,67,,34,46,xe" fillcolor="navy" strokecolor="navy">
                <v:path arrowok="t"/>
              </v:shape>
              <v:shape id="_x0000_s1766" style="position:absolute;left:999;top:2341;width:91;height:67" coordsize="91,67" path="m46,l91,34,46,67,,34,46,xe" fillcolor="navy" strokecolor="navy">
                <v:path arrowok="t"/>
              </v:shape>
              <v:shape id="_x0000_s1767" style="position:absolute;left:999;top:2341;width:91;height:67" coordsize="91,67" path="m46,l91,34,46,67,,34,46,xe" fillcolor="navy" strokecolor="navy">
                <v:path arrowok="t"/>
              </v:shape>
              <v:shape id="_x0000_s1768" style="position:absolute;left:999;top:2341;width:91;height:67" coordsize="91,67" path="m46,l91,34,46,67,,34,46,xe" fillcolor="navy" strokecolor="navy">
                <v:path arrowok="t"/>
              </v:shape>
              <v:shape id="_x0000_s1769" style="position:absolute;left:999;top:2341;width:91;height:67" coordsize="91,67" path="m46,l91,34,46,67,,34,46,xe" fillcolor="navy" strokecolor="navy">
                <v:path arrowok="t"/>
              </v:shape>
              <v:shape id="_x0000_s1770" style="position:absolute;left:999;top:2341;width:91;height:67" coordsize="91,67" path="m46,l91,34,46,67,,34,46,xe" fillcolor="navy" strokecolor="navy">
                <v:path arrowok="t"/>
              </v:shape>
              <v:shape id="_x0000_s1771" style="position:absolute;left:999;top:2341;width:91;height:67" coordsize="91,67" path="m46,l91,34,46,67,,34,46,xe" fillcolor="navy" strokecolor="navy">
                <v:path arrowok="t"/>
              </v:shape>
              <v:shape id="_x0000_s1772" style="position:absolute;left:999;top:2341;width:91;height:67" coordsize="91,67" path="m46,l91,34,46,67,,34,46,xe" fillcolor="navy" strokecolor="navy">
                <v:path arrowok="t"/>
              </v:shape>
              <v:shape id="_x0000_s1773" style="position:absolute;left:999;top:2341;width:91;height:67" coordsize="91,67" path="m46,l91,34,46,67,,34,46,xe" fillcolor="navy" strokecolor="navy">
                <v:path arrowok="t"/>
              </v:shape>
              <v:shape id="_x0000_s1774" style="position:absolute;left:999;top:2341;width:91;height:67" coordsize="91,67" path="m46,l91,34,46,67,,34,46,xe" fillcolor="navy" strokecolor="navy">
                <v:path arrowok="t"/>
              </v:shape>
              <v:shape id="_x0000_s1775" style="position:absolute;left:999;top:2341;width:91;height:67" coordsize="91,67" path="m46,l91,34,46,67,,34,46,xe" fillcolor="navy" strokecolor="navy">
                <v:path arrowok="t"/>
              </v:shape>
              <v:shape id="_x0000_s1776" style="position:absolute;left:999;top:2341;width:91;height:67" coordsize="91,67" path="m46,l91,34,46,67,,34,46,xe" fillcolor="navy" strokecolor="navy">
                <v:path arrowok="t"/>
              </v:shape>
              <v:shape id="_x0000_s1777" style="position:absolute;left:999;top:2341;width:91;height:67" coordsize="91,67" path="m46,l91,34,46,67,,34,46,xe" fillcolor="navy" strokecolor="navy">
                <v:path arrowok="t"/>
              </v:shape>
              <v:shape id="_x0000_s1778" style="position:absolute;left:999;top:2341;width:91;height:67" coordsize="91,67" path="m46,l91,34,46,67,,34,46,xe" fillcolor="navy" strokecolor="navy">
                <v:path arrowok="t"/>
              </v:shape>
              <v:shape id="_x0000_s1779" style="position:absolute;left:999;top:2341;width:91;height:67" coordsize="91,67" path="m46,l91,34,46,67,,34,46,xe" fillcolor="navy" strokecolor="navy">
                <v:path arrowok="t"/>
              </v:shape>
              <v:shape id="_x0000_s1780" style="position:absolute;left:999;top:2341;width:91;height:67" coordsize="91,67" path="m46,l91,34,46,67,,34,46,xe" fillcolor="navy" strokecolor="navy">
                <v:path arrowok="t"/>
              </v:shape>
              <v:shape id="_x0000_s1781" style="position:absolute;left:999;top:2341;width:91;height:67" coordsize="91,67" path="m46,l91,34,46,67,,34,46,xe" fillcolor="navy" strokecolor="navy">
                <v:path arrowok="t"/>
              </v:shape>
              <v:shape id="_x0000_s1782" style="position:absolute;left:999;top:2341;width:91;height:67" coordsize="91,67" path="m46,l91,34,46,67,,34,46,xe" fillcolor="navy" strokecolor="navy">
                <v:path arrowok="t"/>
              </v:shape>
              <v:shape id="_x0000_s1783" style="position:absolute;left:999;top:2341;width:91;height:67" coordsize="91,67" path="m46,l91,34,46,67,,34,46,xe" fillcolor="navy" strokecolor="navy">
                <v:path arrowok="t"/>
              </v:shape>
              <v:shape id="_x0000_s1784" style="position:absolute;left:999;top:2341;width:91;height:67" coordsize="91,67" path="m46,l91,34,46,67,,34,46,xe" fillcolor="navy" strokecolor="navy">
                <v:path arrowok="t"/>
              </v:shape>
              <v:shape id="_x0000_s1785" style="position:absolute;left:999;top:2341;width:91;height:67" coordsize="91,67" path="m46,l91,34,46,67,,34,46,xe" fillcolor="navy" strokecolor="navy">
                <v:path arrowok="t"/>
              </v:shape>
              <v:shape id="_x0000_s1786" style="position:absolute;left:999;top:2341;width:91;height:67" coordsize="91,67" path="m46,l91,34,46,67,,34,46,xe" fillcolor="navy" strokecolor="navy">
                <v:path arrowok="t"/>
              </v:shape>
              <v:shape id="_x0000_s1787" style="position:absolute;left:999;top:2341;width:91;height:67" coordsize="91,67" path="m46,l91,34,46,67,,34,46,xe" fillcolor="navy" strokecolor="navy">
                <v:path arrowok="t"/>
              </v:shape>
              <v:shape id="_x0000_s1788" style="position:absolute;left:999;top:2341;width:91;height:67" coordsize="91,67" path="m46,l91,34,46,67,,34,46,xe" fillcolor="navy" strokecolor="navy">
                <v:path arrowok="t"/>
              </v:shape>
              <v:shape id="_x0000_s1789" style="position:absolute;left:999;top:2341;width:91;height:67" coordsize="91,67" path="m46,l91,34,46,67,,34,46,xe" fillcolor="navy" strokecolor="navy">
                <v:path arrowok="t"/>
              </v:shape>
              <v:shape id="_x0000_s1790" style="position:absolute;left:999;top:2341;width:91;height:67" coordsize="91,67" path="m46,l91,34,46,67,,34,46,xe" fillcolor="navy" strokecolor="navy">
                <v:path arrowok="t"/>
              </v:shape>
              <v:shape id="_x0000_s1791" style="position:absolute;left:999;top:2341;width:91;height:67" coordsize="91,67" path="m46,l91,34,46,67,,34,46,xe" fillcolor="navy" strokecolor="navy">
                <v:path arrowok="t"/>
              </v:shape>
              <v:shape id="_x0000_s1792" style="position:absolute;left:999;top:2341;width:91;height:67" coordsize="91,67" path="m46,l91,34,46,67,,34,46,xe" fillcolor="navy" strokecolor="navy">
                <v:path arrowok="t"/>
              </v:shape>
              <v:shape id="_x0000_s1793" style="position:absolute;left:999;top:2341;width:91;height:67" coordsize="91,67" path="m46,l91,34,46,67,,34,46,xe" fillcolor="navy" strokecolor="navy">
                <v:path arrowok="t"/>
              </v:shape>
              <v:shape id="_x0000_s1794" style="position:absolute;left:999;top:2341;width:91;height:67" coordsize="91,67" path="m46,l91,34,46,67,,34,46,xe" fillcolor="navy" strokecolor="navy">
                <v:path arrowok="t"/>
              </v:shape>
              <v:shape id="_x0000_s1795" style="position:absolute;left:999;top:2341;width:91;height:67" coordsize="91,67" path="m46,l91,34,46,67,,34,46,xe" fillcolor="navy" strokecolor="navy">
                <v:path arrowok="t"/>
              </v:shape>
              <v:shape id="_x0000_s1796" style="position:absolute;left:999;top:2341;width:91;height:67" coordsize="91,67" path="m46,l91,34,46,67,,34,46,xe" fillcolor="navy" strokecolor="navy">
                <v:path arrowok="t"/>
              </v:shape>
              <v:shape id="_x0000_s1797" style="position:absolute;left:999;top:2341;width:91;height:67" coordsize="91,67" path="m46,l91,34,46,67,,34,46,xe" fillcolor="navy" strokecolor="navy">
                <v:path arrowok="t"/>
              </v:shape>
              <v:shape id="_x0000_s1798" style="position:absolute;left:999;top:2341;width:91;height:67" coordsize="91,67" path="m46,l91,34,46,67,,34,46,xe" fillcolor="navy" strokecolor="navy">
                <v:path arrowok="t"/>
              </v:shape>
              <v:shape id="_x0000_s1799" style="position:absolute;left:999;top:2341;width:91;height:67" coordsize="91,67" path="m46,l91,34,46,67,,34,46,xe" fillcolor="navy" strokecolor="navy">
                <v:path arrowok="t"/>
              </v:shape>
              <v:shape id="_x0000_s1800" style="position:absolute;left:999;top:2341;width:91;height:67" coordsize="91,67" path="m46,l91,34,46,67,,34,46,xe" fillcolor="navy" strokecolor="navy">
                <v:path arrowok="t"/>
              </v:shape>
              <v:shape id="_x0000_s1801" style="position:absolute;left:999;top:2341;width:91;height:67" coordsize="91,67" path="m46,l91,34,46,67,,34,46,xe" fillcolor="navy" strokecolor="navy">
                <v:path arrowok="t"/>
              </v:shape>
              <v:shape id="_x0000_s1802" style="position:absolute;left:999;top:2341;width:91;height:67" coordsize="91,67" path="m46,l91,34,46,67,,34,46,xe" fillcolor="navy" strokecolor="navy">
                <v:path arrowok="t"/>
              </v:shape>
              <v:shape id="_x0000_s1803" style="position:absolute;left:999;top:2341;width:91;height:67" coordsize="91,67" path="m46,l91,34,46,67,,34,46,xe" fillcolor="navy" strokecolor="navy">
                <v:path arrowok="t"/>
              </v:shape>
              <v:shape id="_x0000_s1804" style="position:absolute;left:999;top:2341;width:91;height:67" coordsize="91,67" path="m46,l91,34,46,67,,34,46,xe" fillcolor="navy" strokecolor="navy">
                <v:path arrowok="t"/>
              </v:shape>
              <v:shape id="_x0000_s1805" style="position:absolute;left:999;top:2341;width:91;height:67" coordsize="91,67" path="m46,l91,34,46,67,,34,46,xe" fillcolor="navy" strokecolor="navy">
                <v:path arrowok="t"/>
              </v:shape>
              <v:shape id="_x0000_s1806" style="position:absolute;left:999;top:2341;width:91;height:67" coordsize="91,67" path="m46,l91,34,46,67,,34,46,xe" fillcolor="navy" strokecolor="navy">
                <v:path arrowok="t"/>
              </v:shape>
              <v:shape id="_x0000_s1807" style="position:absolute;left:999;top:2341;width:91;height:67" coordsize="91,67" path="m46,l91,34,46,67,,34,46,xe" fillcolor="navy" strokecolor="navy">
                <v:path arrowok="t"/>
              </v:shape>
              <v:shape id="_x0000_s1808" style="position:absolute;left:999;top:2341;width:91;height:67" coordsize="91,67" path="m46,l91,34,46,67,,34,46,xe" fillcolor="navy" strokecolor="navy">
                <v:path arrowok="t"/>
              </v:shape>
              <v:shape id="_x0000_s1809" style="position:absolute;left:999;top:2341;width:91;height:67" coordsize="91,67" path="m46,l91,34,46,67,,34,46,xe" fillcolor="navy" strokecolor="navy">
                <v:path arrowok="t"/>
              </v:shape>
              <v:shape id="_x0000_s1810" style="position:absolute;left:999;top:2341;width:91;height:67" coordsize="91,67" path="m46,l91,34,46,67,,34,46,xe" fillcolor="navy" strokecolor="navy">
                <v:path arrowok="t"/>
              </v:shape>
              <v:shape id="_x0000_s1811" style="position:absolute;left:999;top:2341;width:91;height:67" coordsize="91,67" path="m46,l91,34,46,67,,34,46,xe" fillcolor="navy" strokecolor="navy">
                <v:path arrowok="t"/>
              </v:shape>
              <v:shape id="_x0000_s1812" style="position:absolute;left:999;top:2341;width:91;height:67" coordsize="91,67" path="m46,l91,34,46,67,,34,46,xe" fillcolor="navy" strokecolor="navy">
                <v:path arrowok="t"/>
              </v:shape>
              <v:shape id="_x0000_s1813" style="position:absolute;left:999;top:2341;width:91;height:67" coordsize="91,67" path="m46,l91,34,46,67,,34,46,xe" fillcolor="navy" strokecolor="navy">
                <v:path arrowok="t"/>
              </v:shape>
              <v:shape id="_x0000_s1814" style="position:absolute;left:999;top:2341;width:91;height:67" coordsize="91,67" path="m46,l91,34,46,67,,34,46,xe" fillcolor="navy" strokecolor="navy">
                <v:path arrowok="t"/>
              </v:shape>
              <v:shape id="_x0000_s1815" style="position:absolute;left:999;top:2341;width:91;height:67" coordsize="91,67" path="m46,l91,34,46,67,,34,46,xe" fillcolor="navy" strokecolor="navy">
                <v:path arrowok="t"/>
              </v:shape>
              <v:shape id="_x0000_s1816" style="position:absolute;left:999;top:2341;width:91;height:67" coordsize="91,67" path="m46,l91,34,46,67,,34,46,xe" fillcolor="navy" strokecolor="navy">
                <v:path arrowok="t"/>
              </v:shape>
              <v:shape id="_x0000_s1817" style="position:absolute;left:999;top:2341;width:91;height:67" coordsize="91,67" path="m46,l91,34,46,67,,34,46,xe" fillcolor="navy" strokecolor="navy">
                <v:path arrowok="t"/>
              </v:shape>
              <v:shape id="_x0000_s1818" style="position:absolute;left:999;top:2341;width:91;height:67" coordsize="91,67" path="m46,l91,34,46,67,,34,46,xe" fillcolor="navy" strokecolor="navy">
                <v:path arrowok="t"/>
              </v:shape>
              <v:shape id="_x0000_s1819" style="position:absolute;left:999;top:2341;width:91;height:67" coordsize="91,67" path="m46,l91,34,46,67,,34,46,xe" fillcolor="navy" strokecolor="navy">
                <v:path arrowok="t"/>
              </v:shape>
              <v:shape id="_x0000_s1820" style="position:absolute;left:999;top:2341;width:91;height:67" coordsize="91,67" path="m46,l91,34,46,67,,34,46,xe" fillcolor="navy" strokecolor="navy">
                <v:path arrowok="t"/>
              </v:shape>
              <v:shape id="_x0000_s1821" style="position:absolute;left:999;top:2341;width:91;height:67" coordsize="91,67" path="m46,l91,34,46,67,,34,46,xe" fillcolor="navy" strokecolor="navy">
                <v:path arrowok="t"/>
              </v:shape>
              <v:shape id="_x0000_s1822" style="position:absolute;left:999;top:2341;width:91;height:67" coordsize="91,67" path="m46,l91,34,46,67,,34,46,xe" fillcolor="navy" strokecolor="navy">
                <v:path arrowok="t"/>
              </v:shape>
              <v:shape id="_x0000_s1823" style="position:absolute;left:999;top:2341;width:91;height:67" coordsize="91,67" path="m46,l91,34,46,67,,34,46,xe" fillcolor="navy" strokecolor="navy">
                <v:path arrowok="t"/>
              </v:shape>
              <v:shape id="_x0000_s1824" style="position:absolute;left:999;top:2341;width:91;height:67" coordsize="91,67" path="m46,l91,34,46,67,,34,46,xe" fillcolor="navy" strokecolor="navy">
                <v:path arrowok="t"/>
              </v:shape>
              <v:shape id="_x0000_s1825" style="position:absolute;left:999;top:2341;width:91;height:67" coordsize="91,67" path="m46,l91,34,46,67,,34,46,xe" fillcolor="navy" strokecolor="navy">
                <v:path arrowok="t"/>
              </v:shape>
              <v:shape id="_x0000_s1826" style="position:absolute;left:999;top:2341;width:91;height:67" coordsize="91,67" path="m46,l91,34,46,67,,34,46,xe" fillcolor="navy" strokecolor="navy">
                <v:path arrowok="t"/>
              </v:shape>
              <v:shape id="_x0000_s1827" style="position:absolute;left:999;top:2341;width:91;height:67" coordsize="91,67" path="m46,l91,34,46,67,,34,46,xe" fillcolor="navy" strokecolor="navy">
                <v:path arrowok="t"/>
              </v:shape>
              <v:shape id="_x0000_s1828" style="position:absolute;left:999;top:2341;width:91;height:67" coordsize="91,67" path="m46,l91,34,46,67,,34,46,xe" fillcolor="navy" strokecolor="navy">
                <v:path arrowok="t"/>
              </v:shape>
              <v:shape id="_x0000_s1829" style="position:absolute;left:999;top:2341;width:91;height:67" coordsize="91,67" path="m46,l91,34,46,67,,34,46,xe" fillcolor="navy" strokecolor="navy">
                <v:path arrowok="t"/>
              </v:shape>
              <v:shape id="_x0000_s1830" style="position:absolute;left:999;top:2341;width:91;height:67" coordsize="91,67" path="m46,l91,34,46,67,,34,46,xe" fillcolor="navy" strokecolor="navy">
                <v:path arrowok="t"/>
              </v:shape>
              <v:shape id="_x0000_s1831" style="position:absolute;left:999;top:2341;width:91;height:67" coordsize="91,67" path="m46,l91,34,46,67,,34,46,xe" fillcolor="navy" strokecolor="navy">
                <v:path arrowok="t"/>
              </v:shape>
              <v:shape id="_x0000_s1832" style="position:absolute;left:999;top:2341;width:91;height:67" coordsize="91,67" path="m46,l91,34,46,67,,34,46,xe" fillcolor="navy" strokecolor="navy">
                <v:path arrowok="t"/>
              </v:shape>
              <v:shape id="_x0000_s1833" style="position:absolute;left:999;top:2341;width:91;height:67" coordsize="91,67" path="m46,l91,34,46,67,,34,46,xe" fillcolor="navy" strokecolor="navy">
                <v:path arrowok="t"/>
              </v:shape>
              <v:shape id="_x0000_s1834" style="position:absolute;left:999;top:2341;width:91;height:67" coordsize="91,67" path="m46,l91,34,46,67,,34,46,xe" fillcolor="navy" strokecolor="navy">
                <v:path arrowok="t"/>
              </v:shape>
              <v:shape id="_x0000_s1835" style="position:absolute;left:999;top:2341;width:91;height:67" coordsize="91,67" path="m46,l91,34,46,67,,34,46,xe" fillcolor="navy" strokecolor="navy">
                <v:path arrowok="t"/>
              </v:shape>
              <v:shape id="_x0000_s1836" style="position:absolute;left:999;top:2341;width:91;height:67" coordsize="91,67" path="m46,l91,34,46,67,,34,46,xe" fillcolor="navy" strokecolor="navy">
                <v:path arrowok="t"/>
              </v:shape>
              <v:shape id="_x0000_s1837" style="position:absolute;left:999;top:2341;width:91;height:67" coordsize="91,67" path="m46,l91,34,46,67,,34,46,xe" fillcolor="navy" strokecolor="navy">
                <v:path arrowok="t"/>
              </v:shape>
              <v:shape id="_x0000_s1838" style="position:absolute;left:999;top:2341;width:91;height:67" coordsize="91,67" path="m46,l91,34,46,67,,34,46,xe" fillcolor="navy" strokecolor="navy">
                <v:path arrowok="t"/>
              </v:shape>
              <v:shape id="_x0000_s1839" style="position:absolute;left:999;top:2341;width:91;height:67" coordsize="91,67" path="m46,l91,34,46,67,,34,46,xe" fillcolor="navy" strokecolor="navy">
                <v:path arrowok="t"/>
              </v:shape>
              <v:shape id="_x0000_s1840" style="position:absolute;left:999;top:2341;width:91;height:67" coordsize="91,67" path="m46,l91,34,46,67,,34,46,xe" fillcolor="navy" strokecolor="navy">
                <v:path arrowok="t"/>
              </v:shape>
              <v:shape id="_x0000_s1841" style="position:absolute;left:999;top:2341;width:91;height:67" coordsize="91,67" path="m46,l91,34,46,67,,34,46,xe" fillcolor="navy" strokecolor="navy">
                <v:path arrowok="t"/>
              </v:shape>
              <v:shape id="_x0000_s1842" style="position:absolute;left:999;top:2341;width:91;height:67" coordsize="91,67" path="m46,l91,34,46,67,,34,46,xe" fillcolor="navy" strokecolor="navy">
                <v:path arrowok="t"/>
              </v:shape>
              <v:shape id="_x0000_s1843" style="position:absolute;left:999;top:2341;width:91;height:67" coordsize="91,67" path="m46,l91,34,46,67,,34,46,xe" fillcolor="navy" strokecolor="navy">
                <v:path arrowok="t"/>
              </v:shape>
              <v:shape id="_x0000_s1844" style="position:absolute;left:999;top:2341;width:91;height:67" coordsize="91,67" path="m46,l91,34,46,67,,34,46,xe" fillcolor="navy" strokecolor="navy">
                <v:path arrowok="t"/>
              </v:shape>
              <v:shape id="_x0000_s1845" style="position:absolute;left:999;top:2330;width:91;height:67" coordsize="91,67" path="m46,l91,34,46,67,,34,46,xe" fillcolor="navy" strokecolor="navy">
                <v:path arrowok="t"/>
              </v:shape>
              <v:shape id="_x0000_s1846" style="position:absolute;left:999;top:2330;width:91;height:67" coordsize="91,67" path="m46,l91,34,46,67,,34,46,xe" fillcolor="navy" strokecolor="navy">
                <v:path arrowok="t"/>
              </v:shape>
              <v:shape id="_x0000_s1847" style="position:absolute;left:999;top:2330;width:91;height:67" coordsize="91,67" path="m46,l91,34,46,67,,34,46,xe" fillcolor="navy" strokecolor="navy">
                <v:path arrowok="t"/>
              </v:shape>
              <v:shape id="_x0000_s1848" style="position:absolute;left:999;top:2330;width:91;height:67" coordsize="91,67" path="m46,l91,34,46,67,,34,46,xe" fillcolor="navy" strokecolor="navy">
                <v:path arrowok="t"/>
              </v:shape>
              <v:shape id="_x0000_s1849" style="position:absolute;left:999;top:2330;width:91;height:67" coordsize="91,67" path="m46,l91,34,46,67,,34,46,xe" fillcolor="navy" strokecolor="navy">
                <v:path arrowok="t"/>
              </v:shape>
              <v:shape id="_x0000_s1850" style="position:absolute;left:999;top:2330;width:91;height:67" coordsize="91,67" path="m46,l91,34,46,67,,34,46,xe" fillcolor="navy" strokecolor="navy">
                <v:path arrowok="t"/>
              </v:shape>
              <v:shape id="_x0000_s1851" style="position:absolute;left:999;top:2330;width:91;height:67" coordsize="91,67" path="m46,l91,34,46,67,,34,46,xe" fillcolor="navy" strokecolor="navy">
                <v:path arrowok="t"/>
              </v:shape>
              <v:shape id="_x0000_s1852" style="position:absolute;left:999;top:2330;width:91;height:67" coordsize="91,67" path="m46,l91,34,46,67,,34,46,xe" fillcolor="navy" strokecolor="navy">
                <v:path arrowok="t"/>
              </v:shape>
              <v:shape id="_x0000_s1853" style="position:absolute;left:999;top:2330;width:91;height:67" coordsize="91,67" path="m46,l91,34,46,67,,34,46,xe" fillcolor="navy" strokecolor="navy">
                <v:path arrowok="t"/>
              </v:shape>
              <v:shape id="_x0000_s1854" style="position:absolute;left:999;top:2330;width:91;height:67" coordsize="91,67" path="m46,l91,34,46,67,,34,46,xe" fillcolor="navy" strokecolor="navy">
                <v:path arrowok="t"/>
              </v:shape>
              <v:shape id="_x0000_s1855" style="position:absolute;left:999;top:2330;width:91;height:67" coordsize="91,67" path="m46,l91,34,46,67,,34,46,xe" fillcolor="navy" strokecolor="navy">
                <v:path arrowok="t"/>
              </v:shape>
              <v:shape id="_x0000_s1856" style="position:absolute;left:999;top:2330;width:91;height:67" coordsize="91,67" path="m46,l91,34,46,67,,34,46,xe" fillcolor="navy" strokecolor="navy">
                <v:path arrowok="t"/>
              </v:shape>
              <v:shape id="_x0000_s1857" style="position:absolute;left:999;top:2330;width:91;height:67" coordsize="91,67" path="m46,l91,34,46,67,,34,46,xe" fillcolor="navy" strokecolor="navy">
                <v:path arrowok="t"/>
              </v:shape>
              <v:shape id="_x0000_s1858" style="position:absolute;left:999;top:2330;width:91;height:67" coordsize="91,67" path="m46,l91,34,46,67,,34,46,xe" fillcolor="navy" strokecolor="navy">
                <v:path arrowok="t"/>
              </v:shape>
              <v:shape id="_x0000_s1859" style="position:absolute;left:999;top:2330;width:91;height:67" coordsize="91,67" path="m46,l91,34,46,67,,34,46,xe" fillcolor="navy" strokecolor="navy">
                <v:path arrowok="t"/>
              </v:shape>
              <v:shape id="_x0000_s1860" style="position:absolute;left:999;top:2330;width:91;height:67" coordsize="91,67" path="m46,l91,34,46,67,,34,46,xe" fillcolor="navy" strokecolor="navy">
                <v:path arrowok="t"/>
              </v:shape>
              <v:shape id="_x0000_s1861" style="position:absolute;left:999;top:2330;width:91;height:67" coordsize="91,67" path="m46,l91,34,46,67,,34,46,xe" fillcolor="navy" strokecolor="navy">
                <v:path arrowok="t"/>
              </v:shape>
              <v:shape id="_x0000_s1862" style="position:absolute;left:999;top:2330;width:91;height:67" coordsize="91,67" path="m46,l91,34,46,67,,34,46,xe" fillcolor="navy" strokecolor="navy">
                <v:path arrowok="t"/>
              </v:shape>
              <v:shape id="_x0000_s1863" style="position:absolute;left:999;top:2330;width:91;height:67" coordsize="91,67" path="m46,l91,34,46,67,,34,46,xe" fillcolor="navy" strokecolor="navy">
                <v:path arrowok="t"/>
              </v:shape>
              <v:shape id="_x0000_s1864" style="position:absolute;left:999;top:2330;width:91;height:67" coordsize="91,67" path="m46,l91,34,46,67,,34,46,xe" fillcolor="navy" strokecolor="navy">
                <v:path arrowok="t"/>
              </v:shape>
              <v:shape id="_x0000_s1865" style="position:absolute;left:999;top:2330;width:91;height:67" coordsize="91,67" path="m46,l91,34,46,67,,34,46,xe" fillcolor="navy" strokecolor="navy">
                <v:path arrowok="t"/>
              </v:shape>
              <v:shape id="_x0000_s1866" style="position:absolute;left:999;top:2330;width:91;height:67" coordsize="91,67" path="m46,l91,34,46,67,,34,46,xe" fillcolor="navy" strokecolor="navy">
                <v:path arrowok="t"/>
              </v:shape>
              <v:shape id="_x0000_s1867" style="position:absolute;left:999;top:2330;width:91;height:67" coordsize="91,67" path="m46,l91,34,46,67,,34,46,xe" fillcolor="navy" strokecolor="navy">
                <v:path arrowok="t"/>
              </v:shape>
              <v:shape id="_x0000_s1868" style="position:absolute;left:999;top:2330;width:91;height:67" coordsize="91,67" path="m46,l91,34,46,67,,34,46,xe" fillcolor="navy" strokecolor="navy">
                <v:path arrowok="t"/>
              </v:shape>
              <v:shape id="_x0000_s1869" style="position:absolute;left:999;top:2330;width:91;height:67" coordsize="91,67" path="m46,l91,34,46,67,,34,46,xe" fillcolor="navy" strokecolor="navy">
                <v:path arrowok="t"/>
              </v:shape>
              <v:shape id="_x0000_s1870" style="position:absolute;left:999;top:2330;width:91;height:67" coordsize="91,67" path="m46,l91,34,46,67,,34,46,xe" fillcolor="navy" strokecolor="navy">
                <v:path arrowok="t"/>
              </v:shape>
              <v:shape id="_x0000_s1871" style="position:absolute;left:999;top:2330;width:91;height:67" coordsize="91,67" path="m46,l91,34,46,67,,34,46,xe" fillcolor="navy" strokecolor="navy">
                <v:path arrowok="t"/>
              </v:shape>
              <v:shape id="_x0000_s1872" style="position:absolute;left:999;top:2330;width:91;height:67" coordsize="91,67" path="m46,l91,34,46,67,,34,46,xe" fillcolor="navy" strokecolor="navy">
                <v:path arrowok="t"/>
              </v:shape>
              <v:shape id="_x0000_s1873" style="position:absolute;left:999;top:2330;width:91;height:67" coordsize="91,67" path="m46,l91,34,46,67,,34,46,xe" fillcolor="navy" strokecolor="navy">
                <v:path arrowok="t"/>
              </v:shape>
              <v:shape id="_x0000_s1874" style="position:absolute;left:999;top:2330;width:91;height:67" coordsize="91,67" path="m46,l91,34,46,67,,34,46,xe" fillcolor="navy" strokecolor="navy">
                <v:path arrowok="t"/>
              </v:shape>
              <v:shape id="_x0000_s1875" style="position:absolute;left:999;top:2330;width:91;height:67" coordsize="91,67" path="m46,l91,34,46,67,,34,46,xe" fillcolor="navy" strokecolor="navy">
                <v:path arrowok="t"/>
              </v:shape>
              <v:shape id="_x0000_s1876" style="position:absolute;left:999;top:2330;width:91;height:67" coordsize="91,67" path="m46,l91,34,46,67,,34,46,xe" fillcolor="navy" strokecolor="navy">
                <v:path arrowok="t"/>
              </v:shape>
              <v:shape id="_x0000_s1877" style="position:absolute;left:999;top:2330;width:91;height:67" coordsize="91,67" path="m46,l91,34,46,67,,34,46,xe" fillcolor="navy" strokecolor="navy">
                <v:path arrowok="t"/>
              </v:shape>
              <v:shape id="_x0000_s1878" style="position:absolute;left:999;top:2330;width:91;height:67" coordsize="91,67" path="m46,l91,34,46,67,,34,46,xe" fillcolor="navy" strokecolor="navy">
                <v:path arrowok="t"/>
              </v:shape>
              <v:shape id="_x0000_s1879" style="position:absolute;left:999;top:2330;width:91;height:67" coordsize="91,67" path="m46,l91,34,46,67,,34,46,xe" fillcolor="navy" strokecolor="navy">
                <v:path arrowok="t"/>
              </v:shape>
              <v:shape id="_x0000_s1880" style="position:absolute;left:999;top:2330;width:91;height:67" coordsize="91,67" path="m46,l91,34,46,67,,34,46,xe" fillcolor="navy" strokecolor="navy">
                <v:path arrowok="t"/>
              </v:shape>
              <v:shape id="_x0000_s1881" style="position:absolute;left:999;top:2330;width:91;height:67" coordsize="91,67" path="m46,l91,34,46,67,,34,46,xe" fillcolor="navy" strokecolor="navy">
                <v:path arrowok="t"/>
              </v:shape>
              <v:shape id="_x0000_s1882" style="position:absolute;left:999;top:2330;width:91;height:67" coordsize="91,67" path="m46,l91,34,46,67,,34,46,xe" fillcolor="navy" strokecolor="navy">
                <v:path arrowok="t"/>
              </v:shape>
              <v:shape id="_x0000_s1883" style="position:absolute;left:999;top:2330;width:91;height:67" coordsize="91,67" path="m46,l91,34,46,67,,34,46,xe" fillcolor="navy" strokecolor="navy">
                <v:path arrowok="t"/>
              </v:shape>
              <v:shape id="_x0000_s1884" style="position:absolute;left:999;top:2330;width:91;height:67" coordsize="91,67" path="m46,l91,34,46,67,,34,46,xe" fillcolor="navy" strokecolor="navy">
                <v:path arrowok="t"/>
              </v:shape>
              <v:shape id="_x0000_s1885" style="position:absolute;left:999;top:2330;width:91;height:67" coordsize="91,67" path="m46,l91,34,46,67,,34,46,xe" fillcolor="navy" strokecolor="navy">
                <v:path arrowok="t"/>
              </v:shape>
              <v:shape id="_x0000_s1886" style="position:absolute;left:999;top:2330;width:91;height:67" coordsize="91,67" path="m46,l91,34,46,67,,34,46,xe" fillcolor="navy" strokecolor="navy">
                <v:path arrowok="t"/>
              </v:shape>
              <v:shape id="_x0000_s1887" style="position:absolute;left:999;top:2330;width:91;height:67" coordsize="91,67" path="m46,l91,34,46,67,,34,46,xe" fillcolor="navy" strokecolor="navy">
                <v:path arrowok="t"/>
              </v:shape>
              <v:shape id="_x0000_s1888" style="position:absolute;left:999;top:2330;width:91;height:67" coordsize="91,67" path="m46,l91,34,46,67,,34,46,xe" fillcolor="navy" strokecolor="navy">
                <v:path arrowok="t"/>
              </v:shape>
              <v:shape id="_x0000_s1889" style="position:absolute;left:999;top:2330;width:91;height:67" coordsize="91,67" path="m46,l91,34,46,67,,34,46,xe" fillcolor="navy" strokecolor="navy">
                <v:path arrowok="t"/>
              </v:shape>
              <v:shape id="_x0000_s1890" style="position:absolute;left:999;top:2330;width:91;height:67" coordsize="91,67" path="m46,l91,34,46,67,,34,46,xe" fillcolor="navy" strokecolor="navy">
                <v:path arrowok="t"/>
              </v:shape>
              <v:shape id="_x0000_s1891" style="position:absolute;left:999;top:2330;width:91;height:67" coordsize="91,67" path="m46,l91,34,46,67,,34,46,xe" fillcolor="navy" strokecolor="navy">
                <v:path arrowok="t"/>
              </v:shape>
              <v:shape id="_x0000_s1892" style="position:absolute;left:999;top:2330;width:91;height:67" coordsize="91,67" path="m46,l91,34,46,67,,34,46,xe" fillcolor="navy" strokecolor="navy">
                <v:path arrowok="t"/>
              </v:shape>
              <v:shape id="_x0000_s1893" style="position:absolute;left:999;top:2330;width:91;height:67" coordsize="91,67" path="m46,l91,34,46,67,,34,46,xe" fillcolor="navy" strokecolor="navy">
                <v:path arrowok="t"/>
              </v:shape>
              <v:shape id="_x0000_s1894" style="position:absolute;left:999;top:2330;width:91;height:67" coordsize="91,67" path="m46,l91,34,46,67,,34,46,xe" fillcolor="navy" strokecolor="navy">
                <v:path arrowok="t"/>
              </v:shape>
              <v:shape id="_x0000_s1895" style="position:absolute;left:999;top:2330;width:91;height:67" coordsize="91,67" path="m46,l91,34,46,67,,34,46,xe" fillcolor="navy" strokecolor="navy">
                <v:path arrowok="t"/>
              </v:shape>
              <v:shape id="_x0000_s1896" style="position:absolute;left:999;top:2330;width:91;height:67" coordsize="91,67" path="m46,l91,34,46,67,,34,46,xe" fillcolor="navy" strokecolor="navy">
                <v:path arrowok="t"/>
              </v:shape>
              <v:shape id="_x0000_s1897" style="position:absolute;left:999;top:2330;width:91;height:67" coordsize="91,67" path="m46,l91,34,46,67,,34,46,xe" fillcolor="navy" strokecolor="navy">
                <v:path arrowok="t"/>
              </v:shape>
              <v:shape id="_x0000_s1898" style="position:absolute;left:999;top:2330;width:91;height:67" coordsize="91,67" path="m46,l91,34,46,67,,34,46,xe" fillcolor="navy" strokecolor="navy">
                <v:path arrowok="t"/>
              </v:shape>
              <v:shape id="_x0000_s1899" style="position:absolute;left:999;top:2330;width:91;height:67" coordsize="91,67" path="m46,l91,34,46,67,,34,46,xe" fillcolor="navy" strokecolor="navy">
                <v:path arrowok="t"/>
              </v:shape>
              <v:shape id="_x0000_s1900" style="position:absolute;left:999;top:2330;width:91;height:67" coordsize="91,67" path="m46,l91,34,46,67,,34,46,xe" fillcolor="navy" strokecolor="navy">
                <v:path arrowok="t"/>
              </v:shape>
              <v:shape id="_x0000_s1901" style="position:absolute;left:999;top:2330;width:91;height:67" coordsize="91,67" path="m46,l91,34,46,67,,34,46,xe" fillcolor="navy" strokecolor="navy">
                <v:path arrowok="t"/>
              </v:shape>
              <v:shape id="_x0000_s1902" style="position:absolute;left:999;top:2330;width:91;height:67" coordsize="91,67" path="m46,l91,34,46,67,,34,46,xe" fillcolor="navy" strokecolor="navy">
                <v:path arrowok="t"/>
              </v:shape>
              <v:shape id="_x0000_s1903" style="position:absolute;left:999;top:2330;width:91;height:67" coordsize="91,67" path="m46,l91,34,46,67,,34,46,xe" fillcolor="navy" strokecolor="navy">
                <v:path arrowok="t"/>
              </v:shape>
              <v:shape id="_x0000_s1904" style="position:absolute;left:999;top:2330;width:91;height:67" coordsize="91,67" path="m46,l91,34,46,67,,34,46,xe" fillcolor="navy" strokecolor="navy">
                <v:path arrowok="t"/>
              </v:shape>
              <v:shape id="_x0000_s1905" style="position:absolute;left:999;top:2330;width:91;height:67" coordsize="91,67" path="m46,l91,34,46,67,,34,46,xe" fillcolor="navy" strokecolor="navy">
                <v:path arrowok="t"/>
              </v:shape>
              <v:shape id="_x0000_s1906" style="position:absolute;left:999;top:2330;width:91;height:67" coordsize="91,67" path="m46,l91,34,46,67,,34,46,xe" fillcolor="navy" strokecolor="navy">
                <v:path arrowok="t"/>
              </v:shape>
              <v:shape id="_x0000_s1907" style="position:absolute;left:999;top:2330;width:91;height:67" coordsize="91,67" path="m46,l91,34,46,67,,34,46,xe" fillcolor="navy" strokecolor="navy">
                <v:path arrowok="t"/>
              </v:shape>
              <v:shape id="_x0000_s1908" style="position:absolute;left:999;top:2330;width:91;height:67" coordsize="91,67" path="m46,l91,34,46,67,,34,46,xe" fillcolor="navy" strokecolor="navy">
                <v:path arrowok="t"/>
              </v:shape>
              <v:shape id="_x0000_s1909" style="position:absolute;left:999;top:2330;width:91;height:67" coordsize="91,67" path="m46,l91,34,46,67,,34,46,xe" fillcolor="navy" strokecolor="navy">
                <v:path arrowok="t"/>
              </v:shape>
              <v:shape id="_x0000_s1910" style="position:absolute;left:999;top:2330;width:91;height:67" coordsize="91,67" path="m46,l91,34,46,67,,34,46,xe" fillcolor="navy" strokecolor="navy">
                <v:path arrowok="t"/>
              </v:shape>
              <v:shape id="_x0000_s1911" style="position:absolute;left:999;top:2330;width:91;height:67" coordsize="91,67" path="m46,l91,34,46,67,,34,46,xe" fillcolor="navy" strokecolor="navy">
                <v:path arrowok="t"/>
              </v:shape>
              <v:shape id="_x0000_s1912" style="position:absolute;left:999;top:2330;width:91;height:67" coordsize="91,67" path="m46,l91,34,46,67,,34,46,xe" fillcolor="navy" strokecolor="navy">
                <v:path arrowok="t"/>
              </v:shape>
              <v:shape id="_x0000_s1913" style="position:absolute;left:999;top:2330;width:91;height:67" coordsize="91,67" path="m46,l91,34,46,67,,34,46,xe" fillcolor="navy" strokecolor="navy">
                <v:path arrowok="t"/>
              </v:shape>
              <v:shape id="_x0000_s1914" style="position:absolute;left:999;top:2330;width:91;height:67" coordsize="91,67" path="m46,l91,34,46,67,,34,46,xe" fillcolor="navy" strokecolor="navy">
                <v:path arrowok="t"/>
              </v:shape>
              <v:shape id="_x0000_s1915" style="position:absolute;left:999;top:2330;width:91;height:67" coordsize="91,67" path="m46,l91,34,46,67,,34,46,xe" fillcolor="navy" strokecolor="navy">
                <v:path arrowok="t"/>
              </v:shape>
              <v:shape id="_x0000_s1916" style="position:absolute;left:999;top:2330;width:91;height:67" coordsize="91,67" path="m46,l91,34,46,67,,34,46,xe" fillcolor="navy" strokecolor="navy">
                <v:path arrowok="t"/>
              </v:shape>
              <v:shape id="_x0000_s1917" style="position:absolute;left:999;top:2330;width:91;height:67" coordsize="91,67" path="m46,l91,34,46,67,,34,46,xe" fillcolor="navy" strokecolor="navy">
                <v:path arrowok="t"/>
              </v:shape>
              <v:shape id="_x0000_s1918" style="position:absolute;left:999;top:2330;width:91;height:67" coordsize="91,67" path="m46,l91,34,46,67,,34,46,xe" fillcolor="navy" strokecolor="navy">
                <v:path arrowok="t"/>
              </v:shape>
              <v:shape id="_x0000_s1919" style="position:absolute;left:999;top:2330;width:91;height:67" coordsize="91,67" path="m46,l91,34,46,67,,34,46,xe" fillcolor="navy" strokecolor="navy">
                <v:path arrowok="t"/>
              </v:shape>
              <v:shape id="_x0000_s1920" style="position:absolute;left:999;top:2330;width:91;height:67" coordsize="91,67" path="m46,l91,34,46,67,,34,46,xe" fillcolor="navy" strokecolor="navy">
                <v:path arrowok="t"/>
              </v:shape>
              <v:shape id="_x0000_s1921" style="position:absolute;left:999;top:2330;width:91;height:67" coordsize="91,67" path="m46,l91,34,46,67,,34,46,xe" fillcolor="navy" strokecolor="navy">
                <v:path arrowok="t"/>
              </v:shape>
              <v:shape id="_x0000_s1922" style="position:absolute;left:999;top:2330;width:91;height:67" coordsize="91,67" path="m46,l91,34,46,67,,34,46,xe" fillcolor="navy" strokecolor="navy">
                <v:path arrowok="t"/>
              </v:shape>
              <v:shape id="_x0000_s1923" style="position:absolute;left:999;top:2330;width:91;height:67" coordsize="91,67" path="m46,l91,34,46,67,,34,46,xe" fillcolor="navy" strokecolor="navy">
                <v:path arrowok="t"/>
              </v:shape>
              <v:shape id="_x0000_s1924" style="position:absolute;left:999;top:2330;width:91;height:67" coordsize="91,67" path="m46,l91,34,46,67,,34,46,xe" fillcolor="navy" strokecolor="navy">
                <v:path arrowok="t"/>
              </v:shape>
              <v:shape id="_x0000_s1925" style="position:absolute;left:999;top:2330;width:91;height:67" coordsize="91,67" path="m46,l91,34,46,67,,34,46,xe" fillcolor="navy" strokecolor="navy">
                <v:path arrowok="t"/>
              </v:shape>
              <v:shape id="_x0000_s1926" style="position:absolute;left:999;top:2330;width:91;height:67" coordsize="91,67" path="m46,l91,34,46,67,,34,46,xe" fillcolor="navy" strokecolor="navy">
                <v:path arrowok="t"/>
              </v:shape>
              <v:shape id="_x0000_s1927" style="position:absolute;left:999;top:2330;width:91;height:67" coordsize="91,67" path="m46,l91,34,46,67,,34,46,xe" fillcolor="navy" strokecolor="navy">
                <v:path arrowok="t"/>
              </v:shape>
              <v:shape id="_x0000_s1928" style="position:absolute;left:999;top:2330;width:91;height:67" coordsize="91,67" path="m46,l91,34,46,67,,34,46,xe" fillcolor="navy" strokecolor="navy">
                <v:path arrowok="t"/>
              </v:shape>
              <v:shape id="_x0000_s1929" style="position:absolute;left:999;top:2330;width:91;height:67" coordsize="91,67" path="m46,l91,34,46,67,,34,46,xe" fillcolor="navy" strokecolor="navy">
                <v:path arrowok="t"/>
              </v:shape>
              <v:shape id="_x0000_s1930" style="position:absolute;left:999;top:2330;width:91;height:67" coordsize="91,67" path="m46,l91,34,46,67,,34,46,xe" fillcolor="navy" strokecolor="navy">
                <v:path arrowok="t"/>
              </v:shape>
              <v:shape id="_x0000_s1931" style="position:absolute;left:999;top:2330;width:91;height:67" coordsize="91,67" path="m46,l91,34,46,67,,34,46,xe" fillcolor="navy" strokecolor="navy">
                <v:path arrowok="t"/>
              </v:shape>
              <v:shape id="_x0000_s1932" style="position:absolute;left:999;top:2330;width:91;height:67" coordsize="91,67" path="m46,l91,34,46,67,,34,46,xe" fillcolor="navy" strokecolor="navy">
                <v:path arrowok="t"/>
              </v:shape>
              <v:shape id="_x0000_s1933" style="position:absolute;left:999;top:2330;width:91;height:67" coordsize="91,67" path="m46,l91,34,46,67,,34,46,xe" fillcolor="navy" strokecolor="navy">
                <v:path arrowok="t"/>
              </v:shape>
              <v:shape id="_x0000_s1934" style="position:absolute;left:999;top:2330;width:91;height:67" coordsize="91,67" path="m46,l91,34,46,67,,34,46,xe" fillcolor="navy" strokecolor="navy">
                <v:path arrowok="t"/>
              </v:shape>
              <v:shape id="_x0000_s1935" style="position:absolute;left:999;top:2330;width:91;height:67" coordsize="91,67" path="m46,l91,34,46,67,,34,46,xe" fillcolor="navy" strokecolor="navy">
                <v:path arrowok="t"/>
              </v:shape>
              <v:shape id="_x0000_s1936" style="position:absolute;left:999;top:2330;width:91;height:67" coordsize="91,67" path="m46,l91,34,46,67,,34,46,xe" fillcolor="navy" strokecolor="navy">
                <v:path arrowok="t"/>
              </v:shape>
            </v:group>
            <v:group id="_x0000_s3162" style="position:absolute;left:999;top:2319;width:91;height:78" coordorigin="999,2319" coordsize="91,78">
              <v:shape id="_x0000_s1938" style="position:absolute;left:999;top:2330;width:91;height:67" coordsize="91,67" path="m46,l91,34,46,67,,34,46,xe" fillcolor="navy" strokecolor="navy">
                <v:path arrowok="t"/>
              </v:shape>
              <v:shape id="_x0000_s1939" style="position:absolute;left:999;top:2330;width:91;height:67" coordsize="91,67" path="m46,l91,34,46,67,,34,46,xe" fillcolor="navy" strokecolor="navy">
                <v:path arrowok="t"/>
              </v:shape>
              <v:shape id="_x0000_s1940" style="position:absolute;left:999;top:2330;width:91;height:67" coordsize="91,67" path="m46,l91,34,46,67,,34,46,xe" fillcolor="navy" strokecolor="navy">
                <v:path arrowok="t"/>
              </v:shape>
              <v:shape id="_x0000_s1941" style="position:absolute;left:999;top:2330;width:91;height:67" coordsize="91,67" path="m46,l91,34,46,67,,34,46,xe" fillcolor="navy" strokecolor="navy">
                <v:path arrowok="t"/>
              </v:shape>
              <v:shape id="_x0000_s1942" style="position:absolute;left:999;top:2330;width:91;height:67" coordsize="91,67" path="m46,l91,34,46,67,,34,46,xe" fillcolor="navy" strokecolor="navy">
                <v:path arrowok="t"/>
              </v:shape>
              <v:shape id="_x0000_s1943" style="position:absolute;left:999;top:2330;width:91;height:67" coordsize="91,67" path="m46,l91,34,46,67,,34,46,xe" fillcolor="navy" strokecolor="navy">
                <v:path arrowok="t"/>
              </v:shape>
              <v:shape id="_x0000_s1944" style="position:absolute;left:999;top:2330;width:91;height:67" coordsize="91,67" path="m46,l91,34,46,67,,34,46,xe" fillcolor="navy" strokecolor="navy">
                <v:path arrowok="t"/>
              </v:shape>
              <v:shape id="_x0000_s1945" style="position:absolute;left:999;top:2330;width:91;height:67" coordsize="91,67" path="m46,l91,34,46,67,,34,46,xe" fillcolor="navy" strokecolor="navy">
                <v:path arrowok="t"/>
              </v:shape>
              <v:shape id="_x0000_s1946" style="position:absolute;left:999;top:2330;width:91;height:67" coordsize="91,67" path="m46,l91,34,46,67,,34,46,xe" fillcolor="navy" strokecolor="navy">
                <v:path arrowok="t"/>
              </v:shape>
              <v:shape id="_x0000_s1947" style="position:absolute;left:999;top:2330;width:91;height:67" coordsize="91,67" path="m46,l91,34,46,67,,34,46,xe" fillcolor="navy" strokecolor="navy">
                <v:path arrowok="t"/>
              </v:shape>
              <v:shape id="_x0000_s1948" style="position:absolute;left:999;top:2330;width:91;height:67" coordsize="91,67" path="m46,l91,34,46,67,,34,46,xe" fillcolor="navy" strokecolor="navy">
                <v:path arrowok="t"/>
              </v:shape>
              <v:shape id="_x0000_s1949" style="position:absolute;left:999;top:2330;width:91;height:67" coordsize="91,67" path="m46,l91,34,46,67,,34,46,xe" fillcolor="navy" strokecolor="navy">
                <v:path arrowok="t"/>
              </v:shape>
              <v:shape id="_x0000_s1950" style="position:absolute;left:999;top:2330;width:91;height:67" coordsize="91,67" path="m46,l91,34,46,67,,34,46,xe" fillcolor="navy" strokecolor="navy">
                <v:path arrowok="t"/>
              </v:shape>
              <v:shape id="_x0000_s1951" style="position:absolute;left:999;top:2330;width:91;height:67" coordsize="91,67" path="m46,l91,34,46,67,,34,46,xe" fillcolor="navy" strokecolor="navy">
                <v:path arrowok="t"/>
              </v:shape>
              <v:shape id="_x0000_s1952" style="position:absolute;left:999;top:2330;width:91;height:67" coordsize="91,67" path="m46,l91,34,46,67,,34,46,xe" fillcolor="navy" strokecolor="navy">
                <v:path arrowok="t"/>
              </v:shape>
              <v:shape id="_x0000_s1953" style="position:absolute;left:999;top:2330;width:91;height:67" coordsize="91,67" path="m46,l91,34,46,67,,34,46,xe" fillcolor="navy" strokecolor="navy">
                <v:path arrowok="t"/>
              </v:shape>
              <v:shape id="_x0000_s1954" style="position:absolute;left:999;top:2330;width:91;height:67" coordsize="91,67" path="m46,l91,34,46,67,,34,46,xe" fillcolor="navy" strokecolor="navy">
                <v:path arrowok="t"/>
              </v:shape>
              <v:shape id="_x0000_s1955" style="position:absolute;left:999;top:2330;width:91;height:67" coordsize="91,67" path="m46,l91,34,46,67,,34,46,xe" fillcolor="navy" strokecolor="navy">
                <v:path arrowok="t"/>
              </v:shape>
              <v:shape id="_x0000_s1956" style="position:absolute;left:999;top:2330;width:91;height:67" coordsize="91,67" path="m46,l91,34,46,67,,34,46,xe" fillcolor="navy" strokecolor="navy">
                <v:path arrowok="t"/>
              </v:shape>
              <v:shape id="_x0000_s1957" style="position:absolute;left:999;top:2330;width:91;height:67" coordsize="91,67" path="m46,l91,34,46,67,,34,46,xe" fillcolor="navy" strokecolor="navy">
                <v:path arrowok="t"/>
              </v:shape>
              <v:shape id="_x0000_s1958" style="position:absolute;left:999;top:2330;width:91;height:67" coordsize="91,67" path="m46,l91,34,46,67,,34,46,xe" fillcolor="navy" strokecolor="navy">
                <v:path arrowok="t"/>
              </v:shape>
              <v:shape id="_x0000_s1959" style="position:absolute;left:999;top:2330;width:91;height:67" coordsize="91,67" path="m46,l91,34,46,67,,34,46,xe" fillcolor="navy" strokecolor="navy">
                <v:path arrowok="t"/>
              </v:shape>
              <v:shape id="_x0000_s1960" style="position:absolute;left:999;top:2330;width:91;height:67" coordsize="91,67" path="m46,l91,34,46,67,,34,46,xe" fillcolor="navy" strokecolor="navy">
                <v:path arrowok="t"/>
              </v:shape>
              <v:shape id="_x0000_s1961" style="position:absolute;left:999;top:2330;width:91;height:67" coordsize="91,67" path="m46,l91,34,46,67,,34,46,xe" fillcolor="navy" strokecolor="navy">
                <v:path arrowok="t"/>
              </v:shape>
              <v:shape id="_x0000_s1962" style="position:absolute;left:999;top:2330;width:91;height:67" coordsize="91,67" path="m46,l91,34,46,67,,34,46,xe" fillcolor="navy" strokecolor="navy">
                <v:path arrowok="t"/>
              </v:shape>
              <v:shape id="_x0000_s1963" style="position:absolute;left:999;top:2330;width:91;height:67" coordsize="91,67" path="m46,l91,34,46,67,,34,46,xe" fillcolor="navy" strokecolor="navy">
                <v:path arrowok="t"/>
              </v:shape>
              <v:shape id="_x0000_s1964" style="position:absolute;left:999;top:2330;width:91;height:67" coordsize="91,67" path="m46,l91,34,46,67,,34,46,xe" fillcolor="navy" strokecolor="navy">
                <v:path arrowok="t"/>
              </v:shape>
              <v:shape id="_x0000_s1965" style="position:absolute;left:999;top:2330;width:91;height:67" coordsize="91,67" path="m46,l91,34,46,67,,34,46,xe" fillcolor="navy" strokecolor="navy">
                <v:path arrowok="t"/>
              </v:shape>
              <v:shape id="_x0000_s1966" style="position:absolute;left:999;top:2330;width:91;height:67" coordsize="91,67" path="m46,l91,34,46,67,,34,46,xe" fillcolor="navy" strokecolor="navy">
                <v:path arrowok="t"/>
              </v:shape>
              <v:shape id="_x0000_s1967" style="position:absolute;left:999;top:2330;width:91;height:67" coordsize="91,67" path="m46,l91,34,46,67,,34,46,xe" fillcolor="navy" strokecolor="navy">
                <v:path arrowok="t"/>
              </v:shape>
              <v:shape id="_x0000_s1968" style="position:absolute;left:999;top:2330;width:91;height:67" coordsize="91,67" path="m46,l91,34,46,67,,34,46,xe" fillcolor="navy" strokecolor="navy">
                <v:path arrowok="t"/>
              </v:shape>
              <v:shape id="_x0000_s1969" style="position:absolute;left:999;top:2330;width:91;height:67" coordsize="91,67" path="m46,l91,34,46,67,,34,46,xe" fillcolor="navy" strokecolor="navy">
                <v:path arrowok="t"/>
              </v:shape>
              <v:shape id="_x0000_s1970" style="position:absolute;left:999;top:2330;width:91;height:67" coordsize="91,67" path="m46,l91,34,46,67,,34,46,xe" fillcolor="navy" strokecolor="navy">
                <v:path arrowok="t"/>
              </v:shape>
              <v:shape id="_x0000_s1971" style="position:absolute;left:999;top:2330;width:91;height:67" coordsize="91,67" path="m46,l91,34,46,67,,34,46,xe" fillcolor="navy" strokecolor="navy">
                <v:path arrowok="t"/>
              </v:shape>
              <v:shape id="_x0000_s1972" style="position:absolute;left:999;top:2330;width:91;height:67" coordsize="91,67" path="m46,l91,34,46,67,,34,46,xe" fillcolor="navy" strokecolor="navy">
                <v:path arrowok="t"/>
              </v:shape>
              <v:shape id="_x0000_s1973" style="position:absolute;left:999;top:2330;width:91;height:67" coordsize="91,67" path="m46,l91,34,46,67,,34,46,xe" fillcolor="navy" strokecolor="navy">
                <v:path arrowok="t"/>
              </v:shape>
              <v:shape id="_x0000_s1974" style="position:absolute;left:999;top:2330;width:91;height:67" coordsize="91,67" path="m46,l91,34,46,67,,34,46,xe" fillcolor="navy" strokecolor="navy">
                <v:path arrowok="t"/>
              </v:shape>
              <v:shape id="_x0000_s1975" style="position:absolute;left:999;top:2330;width:91;height:67" coordsize="91,67" path="m46,l91,34,46,67,,34,46,xe" fillcolor="navy" strokecolor="navy">
                <v:path arrowok="t"/>
              </v:shape>
              <v:shape id="_x0000_s1976" style="position:absolute;left:999;top:2330;width:91;height:67" coordsize="91,67" path="m46,l91,34,46,67,,34,46,xe" fillcolor="navy" strokecolor="navy">
                <v:path arrowok="t"/>
              </v:shape>
              <v:shape id="_x0000_s1977" style="position:absolute;left:999;top:2330;width:91;height:67" coordsize="91,67" path="m46,l91,34,46,67,,34,46,xe" fillcolor="navy" strokecolor="navy">
                <v:path arrowok="t"/>
              </v:shape>
              <v:shape id="_x0000_s1978" style="position:absolute;left:999;top:2330;width:91;height:67" coordsize="91,67" path="m46,l91,34,46,67,,34,46,xe" fillcolor="navy" strokecolor="navy">
                <v:path arrowok="t"/>
              </v:shape>
              <v:shape id="_x0000_s1979" style="position:absolute;left:999;top:2330;width:91;height:67" coordsize="91,67" path="m46,l91,34,46,67,,34,46,xe" fillcolor="navy" strokecolor="navy">
                <v:path arrowok="t"/>
              </v:shape>
              <v:shape id="_x0000_s1980" style="position:absolute;left:999;top:2330;width:91;height:67" coordsize="91,67" path="m46,l91,34,46,67,,34,46,xe" fillcolor="navy" strokecolor="navy">
                <v:path arrowok="t"/>
              </v:shape>
              <v:shape id="_x0000_s1981" style="position:absolute;left:999;top:2330;width:91;height:67" coordsize="91,67" path="m46,l91,34,46,67,,34,46,xe" fillcolor="navy" strokecolor="navy">
                <v:path arrowok="t"/>
              </v:shape>
              <v:shape id="_x0000_s1982" style="position:absolute;left:999;top:2330;width:91;height:67" coordsize="91,67" path="m46,l91,34,46,67,,34,46,xe" fillcolor="navy" strokecolor="navy">
                <v:path arrowok="t"/>
              </v:shape>
              <v:shape id="_x0000_s1983" style="position:absolute;left:999;top:2330;width:91;height:67" coordsize="91,67" path="m46,l91,34,46,67,,34,46,xe" fillcolor="navy" strokecolor="navy">
                <v:path arrowok="t"/>
              </v:shape>
              <v:shape id="_x0000_s1984" style="position:absolute;left:999;top:2330;width:91;height:67" coordsize="91,67" path="m46,l91,34,46,67,,34,46,xe" fillcolor="navy" strokecolor="navy">
                <v:path arrowok="t"/>
              </v:shape>
              <v:shape id="_x0000_s1985" style="position:absolute;left:999;top:2330;width:91;height:67" coordsize="91,67" path="m46,l91,34,46,67,,34,46,xe" fillcolor="navy" strokecolor="navy">
                <v:path arrowok="t"/>
              </v:shape>
              <v:shape id="_x0000_s1986" style="position:absolute;left:999;top:2330;width:91;height:67" coordsize="91,67" path="m46,l91,34,46,67,,34,46,xe" fillcolor="navy" strokecolor="navy">
                <v:path arrowok="t"/>
              </v:shape>
              <v:shape id="_x0000_s1987" style="position:absolute;left:999;top:2330;width:91;height:67" coordsize="91,67" path="m46,l91,34,46,67,,34,46,xe" fillcolor="navy" strokecolor="navy">
                <v:path arrowok="t"/>
              </v:shape>
              <v:shape id="_x0000_s1988" style="position:absolute;left:999;top:2330;width:91;height:67" coordsize="91,67" path="m46,l91,34,46,67,,34,46,xe" fillcolor="navy" strokecolor="navy">
                <v:path arrowok="t"/>
              </v:shape>
              <v:shape id="_x0000_s1989" style="position:absolute;left:999;top:2330;width:91;height:67" coordsize="91,67" path="m46,l91,34,46,67,,34,46,xe" fillcolor="navy" strokecolor="navy">
                <v:path arrowok="t"/>
              </v:shape>
              <v:shape id="_x0000_s1990" style="position:absolute;left:999;top:2330;width:91;height:67" coordsize="91,67" path="m46,l91,34,46,67,,34,46,xe" fillcolor="navy" strokecolor="navy">
                <v:path arrowok="t"/>
              </v:shape>
              <v:shape id="_x0000_s1991" style="position:absolute;left:999;top:2330;width:91;height:67" coordsize="91,67" path="m46,l91,34,46,67,,34,46,xe" fillcolor="navy" strokecolor="navy">
                <v:path arrowok="t"/>
              </v:shape>
              <v:shape id="_x0000_s1992" style="position:absolute;left:999;top:2330;width:91;height:67" coordsize="91,67" path="m46,l91,34,46,67,,34,46,xe" fillcolor="navy" strokecolor="navy">
                <v:path arrowok="t"/>
              </v:shape>
              <v:shape id="_x0000_s1993" style="position:absolute;left:999;top:2330;width:91;height:67" coordsize="91,67" path="m46,l91,34,46,67,,34,46,xe" fillcolor="navy" strokecolor="navy">
                <v:path arrowok="t"/>
              </v:shape>
              <v:shape id="_x0000_s1994" style="position:absolute;left:999;top:2330;width:91;height:67" coordsize="91,67" path="m46,l91,34,46,67,,34,46,xe" fillcolor="navy" strokecolor="navy">
                <v:path arrowok="t"/>
              </v:shape>
              <v:shape id="_x0000_s1995" style="position:absolute;left:999;top:2330;width:91;height:67" coordsize="91,67" path="m46,l91,34,46,67,,34,46,xe" fillcolor="navy" strokecolor="navy">
                <v:path arrowok="t"/>
              </v:shape>
              <v:shape id="_x0000_s1996" style="position:absolute;left:999;top:2330;width:91;height:67" coordsize="91,67" path="m46,l91,34,46,67,,34,46,xe" fillcolor="navy" strokecolor="navy">
                <v:path arrowok="t"/>
              </v:shape>
              <v:shape id="_x0000_s1997" style="position:absolute;left:999;top:2330;width:91;height:67" coordsize="91,67" path="m46,l91,34,46,67,,34,46,xe" fillcolor="navy" strokecolor="navy">
                <v:path arrowok="t"/>
              </v:shape>
              <v:shape id="_x0000_s1998" style="position:absolute;left:999;top:2330;width:91;height:67" coordsize="91,67" path="m46,l91,34,46,67,,34,46,xe" fillcolor="navy" strokecolor="navy">
                <v:path arrowok="t"/>
              </v:shape>
              <v:shape id="_x0000_s1999" style="position:absolute;left:999;top:2330;width:91;height:67" coordsize="91,67" path="m46,l91,34,46,67,,34,46,xe" fillcolor="navy" strokecolor="navy">
                <v:path arrowok="t"/>
              </v:shape>
              <v:shape id="_x0000_s2000" style="position:absolute;left:999;top:2330;width:91;height:67" coordsize="91,67" path="m46,l91,34,46,67,,34,46,xe" fillcolor="navy" strokecolor="navy">
                <v:path arrowok="t"/>
              </v:shape>
              <v:shape id="_x0000_s2001" style="position:absolute;left:999;top:2330;width:91;height:67" coordsize="91,67" path="m46,l91,34,46,67,,34,46,xe" fillcolor="navy" strokecolor="navy">
                <v:path arrowok="t"/>
              </v:shape>
              <v:shape id="_x0000_s2002" style="position:absolute;left:999;top:2330;width:91;height:67" coordsize="91,67" path="m46,l91,34,46,67,,34,46,xe" fillcolor="navy" strokecolor="navy">
                <v:path arrowok="t"/>
              </v:shape>
              <v:shape id="_x0000_s2003" style="position:absolute;left:999;top:2330;width:91;height:67" coordsize="91,67" path="m46,l91,34,46,67,,34,46,xe" fillcolor="navy" strokecolor="navy">
                <v:path arrowok="t"/>
              </v:shape>
              <v:shape id="_x0000_s2004" style="position:absolute;left:999;top:2330;width:91;height:67" coordsize="91,67" path="m46,l91,34,46,67,,34,46,xe" fillcolor="navy" strokecolor="navy">
                <v:path arrowok="t"/>
              </v:shape>
              <v:shape id="_x0000_s2005" style="position:absolute;left:999;top:2330;width:91;height:67" coordsize="91,67" path="m46,l91,34,46,67,,34,46,xe" fillcolor="navy" strokecolor="navy">
                <v:path arrowok="t"/>
              </v:shape>
              <v:shape id="_x0000_s2006" style="position:absolute;left:999;top:2330;width:91;height:67" coordsize="91,67" path="m46,l91,34,46,67,,34,46,xe" fillcolor="navy" strokecolor="navy">
                <v:path arrowok="t"/>
              </v:shape>
              <v:shape id="_x0000_s2007" style="position:absolute;left:999;top:2330;width:91;height:67" coordsize="91,67" path="m46,l91,34,46,67,,34,46,xe" fillcolor="navy" strokecolor="navy">
                <v:path arrowok="t"/>
              </v:shape>
              <v:shape id="_x0000_s2008" style="position:absolute;left:999;top:2330;width:91;height:67" coordsize="91,67" path="m46,l91,34,46,67,,34,46,xe" fillcolor="navy" strokecolor="navy">
                <v:path arrowok="t"/>
              </v:shape>
              <v:shape id="_x0000_s2009" style="position:absolute;left:999;top:2330;width:91;height:67" coordsize="91,67" path="m46,l91,34,46,67,,34,46,xe" fillcolor="navy" strokecolor="navy">
                <v:path arrowok="t"/>
              </v:shape>
              <v:shape id="_x0000_s2010" style="position:absolute;left:999;top:2330;width:91;height:67" coordsize="91,67" path="m46,l91,34,46,67,,34,46,xe" fillcolor="navy" strokecolor="navy">
                <v:path arrowok="t"/>
              </v:shape>
              <v:shape id="_x0000_s2011" style="position:absolute;left:999;top:2330;width:91;height:67" coordsize="91,67" path="m46,l91,34,46,67,,34,46,xe" fillcolor="navy" strokecolor="navy">
                <v:path arrowok="t"/>
              </v:shape>
              <v:shape id="_x0000_s2012" style="position:absolute;left:999;top:2330;width:91;height:67" coordsize="91,67" path="m46,l91,34,46,67,,34,46,xe" fillcolor="navy" strokecolor="navy">
                <v:path arrowok="t"/>
              </v:shape>
              <v:shape id="_x0000_s2013" style="position:absolute;left:999;top:2330;width:91;height:67" coordsize="91,67" path="m46,l91,34,46,67,,34,46,xe" fillcolor="navy" strokecolor="navy">
                <v:path arrowok="t"/>
              </v:shape>
              <v:shape id="_x0000_s2014" style="position:absolute;left:999;top:2330;width:91;height:67" coordsize="91,67" path="m46,l91,34,46,67,,34,46,xe" fillcolor="navy" strokecolor="navy">
                <v:path arrowok="t"/>
              </v:shape>
              <v:shape id="_x0000_s2015" style="position:absolute;left:999;top:2330;width:91;height:67" coordsize="91,67" path="m46,l91,34,46,67,,34,46,xe" fillcolor="navy" strokecolor="navy">
                <v:path arrowok="t"/>
              </v:shape>
              <v:shape id="_x0000_s2016" style="position:absolute;left:999;top:2330;width:91;height:67" coordsize="91,67" path="m46,l91,34,46,67,,34,46,xe" fillcolor="navy" strokecolor="navy">
                <v:path arrowok="t"/>
              </v:shape>
              <v:shape id="_x0000_s2017" style="position:absolute;left:999;top:2330;width:91;height:67" coordsize="91,67" path="m46,l91,34,46,67,,34,46,xe" fillcolor="navy" strokecolor="navy">
                <v:path arrowok="t"/>
              </v:shape>
              <v:shape id="_x0000_s2018" style="position:absolute;left:999;top:2330;width:91;height:67" coordsize="91,67" path="m46,l91,34,46,67,,34,46,xe" fillcolor="navy" strokecolor="navy">
                <v:path arrowok="t"/>
              </v:shape>
              <v:shape id="_x0000_s2019" style="position:absolute;left:999;top:2330;width:91;height:67" coordsize="91,67" path="m46,l91,34,46,67,,34,46,xe" fillcolor="navy" strokecolor="navy">
                <v:path arrowok="t"/>
              </v:shape>
              <v:shape id="_x0000_s2020" style="position:absolute;left:999;top:2330;width:91;height:67" coordsize="91,67" path="m46,l91,34,46,67,,34,46,xe" fillcolor="navy" strokecolor="navy">
                <v:path arrowok="t"/>
              </v:shape>
              <v:shape id="_x0000_s2021" style="position:absolute;left:999;top:2330;width:91;height:67" coordsize="91,67" path="m46,l91,34,46,67,,34,46,xe" fillcolor="navy" strokecolor="navy">
                <v:path arrowok="t"/>
              </v:shape>
              <v:shape id="_x0000_s2022" style="position:absolute;left:999;top:2330;width:91;height:67" coordsize="91,67" path="m46,l91,34,46,67,,34,46,xe" fillcolor="navy" strokecolor="navy">
                <v:path arrowok="t"/>
              </v:shape>
              <v:shape id="_x0000_s2023" style="position:absolute;left:999;top:2330;width:91;height:67" coordsize="91,67" path="m46,l91,34,46,67,,34,46,xe" fillcolor="navy" strokecolor="navy">
                <v:path arrowok="t"/>
              </v:shape>
              <v:shape id="_x0000_s2024" style="position:absolute;left:999;top:2330;width:91;height:67" coordsize="91,67" path="m46,l91,34,46,67,,34,46,xe" fillcolor="navy" strokecolor="navy">
                <v:path arrowok="t"/>
              </v:shape>
              <v:shape id="_x0000_s2025" style="position:absolute;left:999;top:2330;width:91;height:67" coordsize="91,67" path="m46,l91,34,46,67,,34,46,xe" fillcolor="navy" strokecolor="navy">
                <v:path arrowok="t"/>
              </v:shape>
              <v:shape id="_x0000_s2026" style="position:absolute;left:999;top:2330;width:91;height:67" coordsize="91,67" path="m46,l91,34,46,67,,34,46,xe" fillcolor="navy" strokecolor="navy">
                <v:path arrowok="t"/>
              </v:shape>
              <v:shape id="_x0000_s2027" style="position:absolute;left:999;top:2330;width:91;height:67" coordsize="91,67" path="m46,l91,34,46,67,,34,46,xe" fillcolor="navy" strokecolor="navy">
                <v:path arrowok="t"/>
              </v:shape>
              <v:shape id="_x0000_s2028" style="position:absolute;left:999;top:2330;width:91;height:67" coordsize="91,67" path="m46,l91,34,46,67,,34,46,xe" fillcolor="navy" strokecolor="navy">
                <v:path arrowok="t"/>
              </v:shape>
              <v:shape id="_x0000_s2029" style="position:absolute;left:999;top:2330;width:91;height:67" coordsize="91,67" path="m46,l91,34,46,67,,34,46,xe" fillcolor="navy" strokecolor="navy">
                <v:path arrowok="t"/>
              </v:shape>
              <v:shape id="_x0000_s2030" style="position:absolute;left:999;top:2330;width:91;height:67" coordsize="91,67" path="m46,l91,34,46,67,,34,46,xe" fillcolor="navy" strokecolor="navy">
                <v:path arrowok="t"/>
              </v:shape>
              <v:shape id="_x0000_s2031" style="position:absolute;left:999;top:2330;width:91;height:67" coordsize="91,67" path="m46,l91,34,46,67,,34,46,xe" fillcolor="navy" strokecolor="navy">
                <v:path arrowok="t"/>
              </v:shape>
              <v:shape id="_x0000_s2032" style="position:absolute;left:999;top:2330;width:91;height:67" coordsize="91,67" path="m46,l91,34,46,67,,34,46,xe" fillcolor="navy" strokecolor="navy">
                <v:path arrowok="t"/>
              </v:shape>
              <v:shape id="_x0000_s2033" style="position:absolute;left:999;top:2330;width:91;height:67" coordsize="91,67" path="m46,l91,34,46,67,,34,46,xe" fillcolor="navy" strokecolor="navy">
                <v:path arrowok="t"/>
              </v:shape>
              <v:shape id="_x0000_s2034" style="position:absolute;left:999;top:2330;width:91;height:67" coordsize="91,67" path="m46,l91,34,46,67,,34,46,xe" fillcolor="navy" strokecolor="navy">
                <v:path arrowok="t"/>
              </v:shape>
              <v:shape id="_x0000_s2035" style="position:absolute;left:999;top:2330;width:91;height:67" coordsize="91,67" path="m46,l91,34,46,67,,34,46,xe" fillcolor="navy" strokecolor="navy">
                <v:path arrowok="t"/>
              </v:shape>
              <v:shape id="_x0000_s2036" style="position:absolute;left:999;top:2330;width:91;height:67" coordsize="91,67" path="m46,l91,34,46,67,,34,46,xe" fillcolor="navy" strokecolor="navy">
                <v:path arrowok="t"/>
              </v:shape>
              <v:shape id="_x0000_s2037" style="position:absolute;left:999;top:2330;width:91;height:67" coordsize="91,67" path="m46,l91,34,46,67,,34,46,xe" fillcolor="navy" strokecolor="navy">
                <v:path arrowok="t"/>
              </v:shape>
              <v:shape id="_x0000_s2038" style="position:absolute;left:999;top:2330;width:91;height:67" coordsize="91,67" path="m46,l91,34,46,67,,34,46,xe" fillcolor="navy" strokecolor="navy">
                <v:path arrowok="t"/>
              </v:shape>
              <v:shape id="_x0000_s2039" style="position:absolute;left:999;top:2330;width:91;height:67" coordsize="91,67" path="m46,l91,34,46,67,,34,46,xe" fillcolor="navy" strokecolor="navy">
                <v:path arrowok="t"/>
              </v:shape>
              <v:shape id="_x0000_s2040" style="position:absolute;left:999;top:2330;width:91;height:67" coordsize="91,67" path="m46,l91,34,46,67,,34,46,xe" fillcolor="navy" strokecolor="navy">
                <v:path arrowok="t"/>
              </v:shape>
              <v:shape id="_x0000_s2041" style="position:absolute;left:999;top:2330;width:91;height:67" coordsize="91,67" path="m46,l91,34,46,67,,34,46,xe" fillcolor="navy" strokecolor="navy">
                <v:path arrowok="t"/>
              </v:shape>
              <v:shape id="_x0000_s2042" style="position:absolute;left:999;top:2330;width:91;height:67" coordsize="91,67" path="m46,l91,34,46,67,,34,46,xe" fillcolor="navy" strokecolor="navy">
                <v:path arrowok="t"/>
              </v:shape>
              <v:shape id="_x0000_s2043" style="position:absolute;left:999;top:2330;width:91;height:67" coordsize="91,67" path="m46,l91,34,46,67,,34,46,xe" fillcolor="navy" strokecolor="navy">
                <v:path arrowok="t"/>
              </v:shape>
              <v:shape id="_x0000_s2044" style="position:absolute;left:999;top:2330;width:91;height:67" coordsize="91,67" path="m46,l91,34,46,67,,34,46,xe" fillcolor="navy" strokecolor="navy">
                <v:path arrowok="t"/>
              </v:shape>
              <v:shape id="_x0000_s2045" style="position:absolute;left:999;top:2330;width:91;height:67" coordsize="91,67" path="m46,l91,34,46,67,,34,46,xe" fillcolor="navy" strokecolor="navy">
                <v:path arrowok="t"/>
              </v:shape>
              <v:shape id="_x0000_s2046" style="position:absolute;left:999;top:2330;width:91;height:67" coordsize="91,67" path="m46,l91,34,46,67,,34,46,xe" fillcolor="navy" strokecolor="navy">
                <v:path arrowok="t"/>
              </v:shape>
              <v:shape id="_x0000_s2047" style="position:absolute;left:999;top:2330;width:91;height:67" coordsize="91,67" path="m46,l91,34,46,67,,34,46,xe" fillcolor="navy" strokecolor="navy">
                <v:path arrowok="t"/>
              </v:shape>
              <v:shape id="_x0000_s3072" style="position:absolute;left:999;top:2330;width:91;height:67" coordsize="91,67" path="m46,l91,34,46,67,,34,46,xe" fillcolor="navy" strokecolor="navy">
                <v:path arrowok="t"/>
              </v:shape>
              <v:shape id="_x0000_s3073" style="position:absolute;left:999;top:2330;width:91;height:67" coordsize="91,67" path="m46,l91,34,46,67,,34,46,xe" fillcolor="navy" strokecolor="navy">
                <v:path arrowok="t"/>
              </v:shape>
              <v:shape id="_x0000_s3074" style="position:absolute;left:999;top:2330;width:91;height:67" coordsize="91,67" path="m46,l91,34,46,67,,34,46,xe" fillcolor="navy" strokecolor="navy">
                <v:path arrowok="t"/>
              </v:shape>
              <v:shape id="_x0000_s3075" style="position:absolute;left:999;top:2330;width:91;height:67" coordsize="91,67" path="m46,l91,34,46,67,,34,46,xe" fillcolor="navy" strokecolor="navy">
                <v:path arrowok="t"/>
              </v:shape>
              <v:shape id="_x0000_s3076" style="position:absolute;left:999;top:2330;width:91;height:67" coordsize="91,67" path="m46,l91,34,46,67,,34,46,xe" fillcolor="navy" strokecolor="navy">
                <v:path arrowok="t"/>
              </v:shape>
              <v:shape id="_x0000_s3077" style="position:absolute;left:999;top:2330;width:91;height:67" coordsize="91,67" path="m46,l91,34,46,67,,34,46,xe" fillcolor="navy" strokecolor="navy">
                <v:path arrowok="t"/>
              </v:shape>
              <v:shape id="_x0000_s3078" style="position:absolute;left:999;top:2330;width:91;height:67" coordsize="91,67" path="m46,l91,34,46,67,,34,46,xe" fillcolor="navy" strokecolor="navy">
                <v:path arrowok="t"/>
              </v:shape>
              <v:shape id="_x0000_s3079" style="position:absolute;left:999;top:2330;width:91;height:67" coordsize="91,67" path="m46,l91,34,46,67,,34,46,xe" fillcolor="navy" strokecolor="navy">
                <v:path arrowok="t"/>
              </v:shape>
              <v:shape id="_x0000_s3080" style="position:absolute;left:999;top:2319;width:91;height:67" coordsize="91,67" path="m46,l91,33,46,67,,33,46,xe" fillcolor="navy" strokecolor="navy">
                <v:path arrowok="t"/>
              </v:shape>
              <v:shape id="_x0000_s3081" style="position:absolute;left:999;top:2319;width:91;height:67" coordsize="91,67" path="m46,l91,33,46,67,,33,46,xe" fillcolor="navy" strokecolor="navy">
                <v:path arrowok="t"/>
              </v:shape>
              <v:shape id="_x0000_s3082" style="position:absolute;left:999;top:2319;width:91;height:67" coordsize="91,67" path="m46,l91,33,46,67,,33,46,xe" fillcolor="navy" strokecolor="navy">
                <v:path arrowok="t"/>
              </v:shape>
              <v:shape id="_x0000_s3083" style="position:absolute;left:999;top:2319;width:91;height:67" coordsize="91,67" path="m46,l91,33,46,67,,33,46,xe" fillcolor="navy" strokecolor="navy">
                <v:path arrowok="t"/>
              </v:shape>
              <v:shape id="_x0000_s3084" style="position:absolute;left:999;top:2319;width:91;height:67" coordsize="91,67" path="m46,l91,33,46,67,,33,46,xe" fillcolor="navy" strokecolor="navy">
                <v:path arrowok="t"/>
              </v:shape>
              <v:shape id="_x0000_s3085" style="position:absolute;left:999;top:2319;width:91;height:67" coordsize="91,67" path="m46,l91,33,46,67,,33,46,xe" fillcolor="navy" strokecolor="navy">
                <v:path arrowok="t"/>
              </v:shape>
              <v:shape id="_x0000_s3086" style="position:absolute;left:999;top:2319;width:91;height:67" coordsize="91,67" path="m46,l91,33,46,67,,33,46,xe" fillcolor="navy" strokecolor="navy">
                <v:path arrowok="t"/>
              </v:shape>
              <v:shape id="_x0000_s3087" style="position:absolute;left:999;top:2319;width:91;height:67" coordsize="91,67" path="m46,l91,33,46,67,,33,46,xe" fillcolor="navy" strokecolor="navy">
                <v:path arrowok="t"/>
              </v:shape>
              <v:shape id="_x0000_s3088" style="position:absolute;left:999;top:2319;width:91;height:67" coordsize="91,67" path="m46,l91,33,46,67,,33,46,xe" fillcolor="navy" strokecolor="navy">
                <v:path arrowok="t"/>
              </v:shape>
              <v:shape id="_x0000_s3089" style="position:absolute;left:999;top:2319;width:91;height:67" coordsize="91,67" path="m46,l91,33,46,67,,33,46,xe" fillcolor="navy" strokecolor="navy">
                <v:path arrowok="t"/>
              </v:shape>
              <v:shape id="_x0000_s3090" style="position:absolute;left:999;top:2319;width:91;height:67" coordsize="91,67" path="m46,l91,33,46,67,,33,46,xe" fillcolor="navy" strokecolor="navy">
                <v:path arrowok="t"/>
              </v:shape>
              <v:shape id="_x0000_s3091" style="position:absolute;left:999;top:2319;width:91;height:67" coordsize="91,67" path="m46,l91,33,46,67,,33,46,xe" fillcolor="navy" strokecolor="navy">
                <v:path arrowok="t"/>
              </v:shape>
              <v:shape id="_x0000_s3092" style="position:absolute;left:999;top:2319;width:91;height:67" coordsize="91,67" path="m46,l91,33,46,67,,33,46,xe" fillcolor="navy" strokecolor="navy">
                <v:path arrowok="t"/>
              </v:shape>
              <v:shape id="_x0000_s3093" style="position:absolute;left:999;top:2319;width:91;height:67" coordsize="91,67" path="m46,l91,33,46,67,,33,46,xe" fillcolor="navy" strokecolor="navy">
                <v:path arrowok="t"/>
              </v:shape>
              <v:shape id="_x0000_s3094" style="position:absolute;left:999;top:2319;width:91;height:67" coordsize="91,67" path="m46,l91,33,46,67,,33,46,xe" fillcolor="navy" strokecolor="navy">
                <v:path arrowok="t"/>
              </v:shape>
              <v:shape id="_x0000_s3095" style="position:absolute;left:999;top:2319;width:91;height:67" coordsize="91,67" path="m46,l91,33,46,67,,33,46,xe" fillcolor="navy" strokecolor="navy">
                <v:path arrowok="t"/>
              </v:shape>
              <v:shape id="_x0000_s3096" style="position:absolute;left:999;top:2319;width:91;height:67" coordsize="91,67" path="m46,l91,33,46,67,,33,46,xe" fillcolor="navy" strokecolor="navy">
                <v:path arrowok="t"/>
              </v:shape>
              <v:shape id="_x0000_s3097" style="position:absolute;left:999;top:2319;width:91;height:67" coordsize="91,67" path="m46,l91,33,46,67,,33,46,xe" fillcolor="navy" strokecolor="navy">
                <v:path arrowok="t"/>
              </v:shape>
              <v:shape id="_x0000_s3098" style="position:absolute;left:999;top:2319;width:91;height:67" coordsize="91,67" path="m46,l91,33,46,67,,33,46,xe" fillcolor="navy" strokecolor="navy">
                <v:path arrowok="t"/>
              </v:shape>
              <v:shape id="_x0000_s3099" style="position:absolute;left:999;top:2319;width:91;height:67" coordsize="91,67" path="m46,l91,33,46,67,,33,46,xe" fillcolor="navy" strokecolor="navy">
                <v:path arrowok="t"/>
              </v:shape>
              <v:shape id="_x0000_s3100" style="position:absolute;left:999;top:2319;width:91;height:67" coordsize="91,67" path="m46,l91,33,46,67,,33,46,xe" fillcolor="navy" strokecolor="navy">
                <v:path arrowok="t"/>
              </v:shape>
              <v:shape id="_x0000_s3101" style="position:absolute;left:999;top:2319;width:91;height:67" coordsize="91,67" path="m46,l91,33,46,67,,33,46,xe" fillcolor="navy" strokecolor="navy">
                <v:path arrowok="t"/>
              </v:shape>
              <v:shape id="_x0000_s3102" style="position:absolute;left:999;top:2319;width:91;height:67" coordsize="91,67" path="m46,l91,33,46,67,,33,46,xe" fillcolor="navy" strokecolor="navy">
                <v:path arrowok="t"/>
              </v:shape>
              <v:shape id="_x0000_s3103" style="position:absolute;left:999;top:2319;width:91;height:67" coordsize="91,67" path="m46,l91,33,46,67,,33,46,xe" fillcolor="navy" strokecolor="navy">
                <v:path arrowok="t"/>
              </v:shape>
              <v:shape id="_x0000_s3104" style="position:absolute;left:999;top:2319;width:91;height:67" coordsize="91,67" path="m46,l91,33,46,67,,33,46,xe" fillcolor="navy" strokecolor="navy">
                <v:path arrowok="t"/>
              </v:shape>
              <v:shape id="_x0000_s3105" style="position:absolute;left:999;top:2319;width:91;height:67" coordsize="91,67" path="m46,l91,33,46,67,,33,46,xe" fillcolor="navy" strokecolor="navy">
                <v:path arrowok="t"/>
              </v:shape>
              <v:shape id="_x0000_s3106" style="position:absolute;left:999;top:2319;width:91;height:67" coordsize="91,67" path="m46,l91,33,46,67,,33,46,xe" fillcolor="navy" strokecolor="navy">
                <v:path arrowok="t"/>
              </v:shape>
              <v:shape id="_x0000_s3107" style="position:absolute;left:999;top:2319;width:91;height:67" coordsize="91,67" path="m46,l91,33,46,67,,33,46,xe" fillcolor="navy" strokecolor="navy">
                <v:path arrowok="t"/>
              </v:shape>
              <v:shape id="_x0000_s3108" style="position:absolute;left:999;top:2319;width:91;height:67" coordsize="91,67" path="m46,l91,33,46,67,,33,46,xe" fillcolor="navy" strokecolor="navy">
                <v:path arrowok="t"/>
              </v:shape>
              <v:shape id="_x0000_s3109" style="position:absolute;left:999;top:2319;width:91;height:67" coordsize="91,67" path="m46,l91,33,46,67,,33,46,xe" fillcolor="navy" strokecolor="navy">
                <v:path arrowok="t"/>
              </v:shape>
              <v:shape id="_x0000_s3110" style="position:absolute;left:999;top:2319;width:91;height:67" coordsize="91,67" path="m46,l91,33,46,67,,33,46,xe" fillcolor="navy" strokecolor="navy">
                <v:path arrowok="t"/>
              </v:shape>
              <v:shape id="_x0000_s3111" style="position:absolute;left:999;top:2319;width:91;height:67" coordsize="91,67" path="m46,l91,33,46,67,,33,46,xe" fillcolor="navy" strokecolor="navy">
                <v:path arrowok="t"/>
              </v:shape>
              <v:shape id="_x0000_s3112" style="position:absolute;left:999;top:2319;width:91;height:67" coordsize="91,67" path="m46,l91,33,46,67,,33,46,xe" fillcolor="navy" strokecolor="navy">
                <v:path arrowok="t"/>
              </v:shape>
              <v:shape id="_x0000_s3113" style="position:absolute;left:999;top:2319;width:91;height:67" coordsize="91,67" path="m46,l91,33,46,67,,33,46,xe" fillcolor="navy" strokecolor="navy">
                <v:path arrowok="t"/>
              </v:shape>
              <v:shape id="_x0000_s3114" style="position:absolute;left:999;top:2319;width:91;height:67" coordsize="91,67" path="m46,l91,33,46,67,,33,46,xe" fillcolor="navy" strokecolor="navy">
                <v:path arrowok="t"/>
              </v:shape>
              <v:shape id="_x0000_s3115" style="position:absolute;left:999;top:2319;width:91;height:67" coordsize="91,67" path="m46,l91,33,46,67,,33,46,xe" fillcolor="navy" strokecolor="navy">
                <v:path arrowok="t"/>
              </v:shape>
              <v:shape id="_x0000_s3116" style="position:absolute;left:999;top:2319;width:91;height:67" coordsize="91,67" path="m46,l91,33,46,67,,33,46,xe" fillcolor="navy" strokecolor="navy">
                <v:path arrowok="t"/>
              </v:shape>
              <v:shape id="_x0000_s3117" style="position:absolute;left:999;top:2319;width:91;height:67" coordsize="91,67" path="m46,l91,33,46,67,,33,46,xe" fillcolor="navy" strokecolor="navy">
                <v:path arrowok="t"/>
              </v:shape>
              <v:shape id="_x0000_s3118" style="position:absolute;left:999;top:2319;width:91;height:67" coordsize="91,67" path="m46,l91,33,46,67,,33,46,xe" fillcolor="navy" strokecolor="navy">
                <v:path arrowok="t"/>
              </v:shape>
              <v:shape id="_x0000_s3119" style="position:absolute;left:999;top:2319;width:91;height:67" coordsize="91,67" path="m46,l91,33,46,67,,33,46,xe" fillcolor="navy" strokecolor="navy">
                <v:path arrowok="t"/>
              </v:shape>
              <v:shape id="_x0000_s3120" style="position:absolute;left:999;top:2319;width:91;height:67" coordsize="91,67" path="m46,l91,33,46,67,,33,46,xe" fillcolor="navy" strokecolor="navy">
                <v:path arrowok="t"/>
              </v:shape>
              <v:shape id="_x0000_s3121" style="position:absolute;left:999;top:2319;width:91;height:67" coordsize="91,67" path="m46,l91,33,46,67,,33,46,xe" fillcolor="navy" strokecolor="navy">
                <v:path arrowok="t"/>
              </v:shape>
              <v:shape id="_x0000_s3122" style="position:absolute;left:999;top:2319;width:91;height:67" coordsize="91,67" path="m46,l91,33,46,67,,33,46,xe" fillcolor="navy" strokecolor="navy">
                <v:path arrowok="t"/>
              </v:shape>
              <v:shape id="_x0000_s3123" style="position:absolute;left:999;top:2319;width:91;height:67" coordsize="91,67" path="m46,l91,33,46,67,,33,46,xe" fillcolor="navy" strokecolor="navy">
                <v:path arrowok="t"/>
              </v:shape>
              <v:shape id="_x0000_s3124" style="position:absolute;left:999;top:2319;width:91;height:67" coordsize="91,67" path="m46,l91,33,46,67,,33,46,xe" fillcolor="navy" strokecolor="navy">
                <v:path arrowok="t"/>
              </v:shape>
              <v:shape id="_x0000_s3125" style="position:absolute;left:999;top:2319;width:91;height:67" coordsize="91,67" path="m46,l91,33,46,67,,33,46,xe" fillcolor="navy" strokecolor="navy">
                <v:path arrowok="t"/>
              </v:shape>
              <v:shape id="_x0000_s3126" style="position:absolute;left:999;top:2319;width:91;height:67" coordsize="91,67" path="m46,l91,33,46,67,,33,46,xe" fillcolor="navy" strokecolor="navy">
                <v:path arrowok="t"/>
              </v:shape>
              <v:shape id="_x0000_s3127" style="position:absolute;left:999;top:2319;width:91;height:67" coordsize="91,67" path="m46,l91,33,46,67,,33,46,xe" fillcolor="navy" strokecolor="navy">
                <v:path arrowok="t"/>
              </v:shape>
              <v:shape id="_x0000_s3128" style="position:absolute;left:999;top:2319;width:91;height:67" coordsize="91,67" path="m46,l91,33,46,67,,33,46,xe" fillcolor="navy" strokecolor="navy">
                <v:path arrowok="t"/>
              </v:shape>
              <v:shape id="_x0000_s3129" style="position:absolute;left:999;top:2319;width:91;height:67" coordsize="91,67" path="m46,l91,33,46,67,,33,46,xe" fillcolor="navy" strokecolor="navy">
                <v:path arrowok="t"/>
              </v:shape>
              <v:shape id="_x0000_s3130" style="position:absolute;left:999;top:2319;width:91;height:67" coordsize="91,67" path="m46,l91,33,46,67,,33,46,xe" fillcolor="navy" strokecolor="navy">
                <v:path arrowok="t"/>
              </v:shape>
              <v:shape id="_x0000_s3131" style="position:absolute;left:999;top:2319;width:91;height:67" coordsize="91,67" path="m46,l91,33,46,67,,33,46,xe" fillcolor="navy" strokecolor="navy">
                <v:path arrowok="t"/>
              </v:shape>
              <v:shape id="_x0000_s3132" style="position:absolute;left:999;top:2319;width:91;height:67" coordsize="91,67" path="m46,l91,33,46,67,,33,46,xe" fillcolor="navy" strokecolor="navy">
                <v:path arrowok="t"/>
              </v:shape>
              <v:shape id="_x0000_s3133" style="position:absolute;left:999;top:2319;width:91;height:67" coordsize="91,67" path="m46,l91,33,46,67,,33,46,xe" fillcolor="navy" strokecolor="navy">
                <v:path arrowok="t"/>
              </v:shape>
              <v:shape id="_x0000_s3134" style="position:absolute;left:999;top:2319;width:91;height:67" coordsize="91,67" path="m46,l91,33,46,67,,33,46,xe" fillcolor="navy" strokecolor="navy">
                <v:path arrowok="t"/>
              </v:shape>
              <v:shape id="_x0000_s3135" style="position:absolute;left:999;top:2319;width:91;height:67" coordsize="91,67" path="m46,l91,33,46,67,,33,46,xe" fillcolor="navy" strokecolor="navy">
                <v:path arrowok="t"/>
              </v:shape>
              <v:shape id="_x0000_s3136" style="position:absolute;left:999;top:2319;width:91;height:67" coordsize="91,67" path="m46,l91,33,46,67,,33,46,xe" fillcolor="navy" strokecolor="navy">
                <v:path arrowok="t"/>
              </v:shape>
              <v:shape id="_x0000_s3137" style="position:absolute;left:999;top:2319;width:91;height:67" coordsize="91,67" path="m46,l91,33,46,67,,33,46,xe" fillcolor="navy" strokecolor="navy">
                <v:path arrowok="t"/>
              </v:shape>
              <v:shape id="_x0000_s3138" style="position:absolute;left:999;top:2319;width:91;height:67" coordsize="91,67" path="m46,l91,33,46,67,,33,46,xe" fillcolor="navy" strokecolor="navy">
                <v:path arrowok="t"/>
              </v:shape>
              <v:shape id="_x0000_s3139" style="position:absolute;left:999;top:2319;width:91;height:67" coordsize="91,67" path="m46,l91,33,46,67,,33,46,xe" fillcolor="navy" strokecolor="navy">
                <v:path arrowok="t"/>
              </v:shape>
              <v:shape id="_x0000_s3140" style="position:absolute;left:999;top:2319;width:91;height:67" coordsize="91,67" path="m46,l91,33,46,67,,33,46,xe" fillcolor="navy" strokecolor="navy">
                <v:path arrowok="t"/>
              </v:shape>
              <v:shape id="_x0000_s3141" style="position:absolute;left:999;top:2319;width:91;height:67" coordsize="91,67" path="m46,l91,33,46,67,,33,46,xe" fillcolor="navy" strokecolor="navy">
                <v:path arrowok="t"/>
              </v:shape>
              <v:shape id="_x0000_s3142" style="position:absolute;left:999;top:2319;width:91;height:67" coordsize="91,67" path="m46,l91,33,46,67,,33,46,xe" fillcolor="navy" strokecolor="navy">
                <v:path arrowok="t"/>
              </v:shape>
              <v:shape id="_x0000_s3143" style="position:absolute;left:999;top:2319;width:91;height:67" coordsize="91,67" path="m46,l91,33,46,67,,33,46,xe" fillcolor="navy" strokecolor="navy">
                <v:path arrowok="t"/>
              </v:shape>
              <v:shape id="_x0000_s3144" style="position:absolute;left:999;top:2319;width:91;height:67" coordsize="91,67" path="m46,l91,33,46,67,,33,46,xe" fillcolor="navy" strokecolor="navy">
                <v:path arrowok="t"/>
              </v:shape>
              <v:shape id="_x0000_s3145" style="position:absolute;left:999;top:2319;width:91;height:67" coordsize="91,67" path="m46,l91,33,46,67,,33,46,xe" fillcolor="navy" strokecolor="navy">
                <v:path arrowok="t"/>
              </v:shape>
              <v:shape id="_x0000_s3146" style="position:absolute;left:999;top:2319;width:91;height:67" coordsize="91,67" path="m46,l91,33,46,67,,33,46,xe" fillcolor="navy" strokecolor="navy">
                <v:path arrowok="t"/>
              </v:shape>
              <v:shape id="_x0000_s3147" style="position:absolute;left:999;top:2319;width:91;height:67" coordsize="91,67" path="m46,l91,33,46,67,,33,46,xe" fillcolor="navy" strokecolor="navy">
                <v:path arrowok="t"/>
              </v:shape>
              <v:shape id="_x0000_s3148" style="position:absolute;left:999;top:2319;width:91;height:67" coordsize="91,67" path="m46,l91,33,46,67,,33,46,xe" fillcolor="navy" strokecolor="navy">
                <v:path arrowok="t"/>
              </v:shape>
              <v:shape id="_x0000_s3149" style="position:absolute;left:999;top:2319;width:91;height:67" coordsize="91,67" path="m46,l91,33,46,67,,33,46,xe" fillcolor="navy" strokecolor="navy">
                <v:path arrowok="t"/>
              </v:shape>
              <v:shape id="_x0000_s3150" style="position:absolute;left:999;top:2319;width:91;height:67" coordsize="91,67" path="m46,l91,33,46,67,,33,46,xe" fillcolor="navy" strokecolor="navy">
                <v:path arrowok="t"/>
              </v:shape>
              <v:shape id="_x0000_s3151" style="position:absolute;left:999;top:2319;width:91;height:67" coordsize="91,67" path="m46,l91,33,46,67,,33,46,xe" fillcolor="navy" strokecolor="navy">
                <v:path arrowok="t"/>
              </v:shape>
              <v:shape id="_x0000_s3152" style="position:absolute;left:999;top:2319;width:91;height:67" coordsize="91,67" path="m46,l91,33,46,67,,33,46,xe" fillcolor="navy" strokecolor="navy">
                <v:path arrowok="t"/>
              </v:shape>
              <v:shape id="_x0000_s3153" style="position:absolute;left:999;top:2319;width:91;height:67" coordsize="91,67" path="m46,l91,33,46,67,,33,46,xe" fillcolor="navy" strokecolor="navy">
                <v:path arrowok="t"/>
              </v:shape>
              <v:shape id="_x0000_s3154" style="position:absolute;left:999;top:2319;width:91;height:67" coordsize="91,67" path="m46,l91,33,46,67,,33,46,xe" fillcolor="navy" strokecolor="navy">
                <v:path arrowok="t"/>
              </v:shape>
              <v:shape id="_x0000_s3155" style="position:absolute;left:999;top:2319;width:91;height:67" coordsize="91,67" path="m46,l91,33,46,67,,33,46,xe" fillcolor="navy" strokecolor="navy">
                <v:path arrowok="t"/>
              </v:shape>
              <v:shape id="_x0000_s3156" style="position:absolute;left:999;top:2319;width:91;height:67" coordsize="91,67" path="m46,l91,33,46,67,,33,46,xe" fillcolor="navy" strokecolor="navy">
                <v:path arrowok="t"/>
              </v:shape>
              <v:shape id="_x0000_s3157" style="position:absolute;left:999;top:2319;width:91;height:67" coordsize="91,67" path="m46,l91,33,46,67,,33,46,xe" fillcolor="navy" strokecolor="navy">
                <v:path arrowok="t"/>
              </v:shape>
              <v:shape id="_x0000_s3158" style="position:absolute;left:999;top:2319;width:91;height:67" coordsize="91,67" path="m46,l91,33,46,67,,33,46,xe" fillcolor="navy" strokecolor="navy">
                <v:path arrowok="t"/>
              </v:shape>
              <v:shape id="_x0000_s3159" style="position:absolute;left:999;top:2319;width:91;height:67" coordsize="91,67" path="m46,l91,33,46,67,,33,46,xe" fillcolor="navy" strokecolor="navy">
                <v:path arrowok="t"/>
              </v:shape>
              <v:shape id="_x0000_s3160" style="position:absolute;left:999;top:2319;width:91;height:67" coordsize="91,67" path="m46,l91,33,46,67,,33,46,xe" fillcolor="navy" strokecolor="navy">
                <v:path arrowok="t"/>
              </v:shape>
              <v:shape id="_x0000_s3161" style="position:absolute;left:999;top:2319;width:91;height:67" coordsize="91,67" path="m46,l91,33,46,67,,33,46,xe" fillcolor="navy" strokecolor="navy">
                <v:path arrowok="t"/>
              </v:shape>
            </v:group>
            <v:group id="_x0000_s3363" style="position:absolute;left:999;top:2308;width:91;height:78" coordorigin="999,2308" coordsize="91,78">
              <v:shape id="_x0000_s3163" style="position:absolute;left:999;top:2319;width:91;height:67" coordsize="91,67" path="m46,l91,33,46,67,,33,46,xe" fillcolor="navy" strokecolor="navy">
                <v:path arrowok="t"/>
              </v:shape>
              <v:shape id="_x0000_s3164" style="position:absolute;left:999;top:2319;width:91;height:67" coordsize="91,67" path="m46,l91,33,46,67,,33,46,xe" fillcolor="navy" strokecolor="navy">
                <v:path arrowok="t"/>
              </v:shape>
              <v:shape id="_x0000_s3165" style="position:absolute;left:999;top:2319;width:91;height:67" coordsize="91,67" path="m46,l91,33,46,67,,33,46,xe" fillcolor="navy" strokecolor="navy">
                <v:path arrowok="t"/>
              </v:shape>
              <v:shape id="_x0000_s3166" style="position:absolute;left:999;top:2319;width:91;height:67" coordsize="91,67" path="m46,l91,33,46,67,,33,46,xe" fillcolor="navy" strokecolor="navy">
                <v:path arrowok="t"/>
              </v:shape>
              <v:shape id="_x0000_s3167" style="position:absolute;left:999;top:2319;width:91;height:67" coordsize="91,67" path="m46,l91,33,46,67,,33,46,xe" fillcolor="navy" strokecolor="navy">
                <v:path arrowok="t"/>
              </v:shape>
              <v:shape id="_x0000_s3168" style="position:absolute;left:999;top:2319;width:91;height:67" coordsize="91,67" path="m46,l91,33,46,67,,33,46,xe" fillcolor="navy" strokecolor="navy">
                <v:path arrowok="t"/>
              </v:shape>
              <v:shape id="_x0000_s3169" style="position:absolute;left:999;top:2319;width:91;height:67" coordsize="91,67" path="m46,l91,33,46,67,,33,46,xe" fillcolor="navy" strokecolor="navy">
                <v:path arrowok="t"/>
              </v:shape>
              <v:shape id="_x0000_s3170" style="position:absolute;left:999;top:2319;width:91;height:67" coordsize="91,67" path="m46,l91,33,46,67,,33,46,xe" fillcolor="navy" strokecolor="navy">
                <v:path arrowok="t"/>
              </v:shape>
              <v:shape id="_x0000_s3171" style="position:absolute;left:999;top:2319;width:91;height:67" coordsize="91,67" path="m46,l91,33,46,67,,33,46,xe" fillcolor="navy" strokecolor="navy">
                <v:path arrowok="t"/>
              </v:shape>
              <v:shape id="_x0000_s3172" style="position:absolute;left:999;top:2319;width:91;height:67" coordsize="91,67" path="m46,l91,33,46,67,,33,46,xe" fillcolor="navy" strokecolor="navy">
                <v:path arrowok="t"/>
              </v:shape>
              <v:shape id="_x0000_s3173" style="position:absolute;left:999;top:2319;width:91;height:67" coordsize="91,67" path="m46,l91,33,46,67,,33,46,xe" fillcolor="navy" strokecolor="navy">
                <v:path arrowok="t"/>
              </v:shape>
              <v:shape id="_x0000_s3174" style="position:absolute;left:999;top:2319;width:91;height:67" coordsize="91,67" path="m46,l91,33,46,67,,33,46,xe" fillcolor="navy" strokecolor="navy">
                <v:path arrowok="t"/>
              </v:shape>
              <v:shape id="_x0000_s3175" style="position:absolute;left:999;top:2319;width:91;height:67" coordsize="91,67" path="m46,l91,33,46,67,,33,46,xe" fillcolor="navy" strokecolor="navy">
                <v:path arrowok="t"/>
              </v:shape>
              <v:shape id="_x0000_s3176" style="position:absolute;left:999;top:2319;width:91;height:67" coordsize="91,67" path="m46,l91,33,46,67,,33,46,xe" fillcolor="navy" strokecolor="navy">
                <v:path arrowok="t"/>
              </v:shape>
              <v:shape id="_x0000_s3177" style="position:absolute;left:999;top:2319;width:91;height:67" coordsize="91,67" path="m46,l91,33,46,67,,33,46,xe" fillcolor="navy" strokecolor="navy">
                <v:path arrowok="t"/>
              </v:shape>
              <v:shape id="_x0000_s3178" style="position:absolute;left:999;top:2319;width:91;height:67" coordsize="91,67" path="m46,l91,33,46,67,,33,46,xe" fillcolor="navy" strokecolor="navy">
                <v:path arrowok="t"/>
              </v:shape>
              <v:shape id="_x0000_s3179" style="position:absolute;left:999;top:2319;width:91;height:67" coordsize="91,67" path="m46,l91,33,46,67,,33,46,xe" fillcolor="navy" strokecolor="navy">
                <v:path arrowok="t"/>
              </v:shape>
              <v:shape id="_x0000_s3180" style="position:absolute;left:999;top:2319;width:91;height:67" coordsize="91,67" path="m46,l91,33,46,67,,33,46,xe" fillcolor="navy" strokecolor="navy">
                <v:path arrowok="t"/>
              </v:shape>
              <v:shape id="_x0000_s3181" style="position:absolute;left:999;top:2319;width:91;height:67" coordsize="91,67" path="m46,l91,33,46,67,,33,46,xe" fillcolor="navy" strokecolor="navy">
                <v:path arrowok="t"/>
              </v:shape>
              <v:shape id="_x0000_s3182" style="position:absolute;left:999;top:2319;width:91;height:67" coordsize="91,67" path="m46,l91,33,46,67,,33,46,xe" fillcolor="navy" strokecolor="navy">
                <v:path arrowok="t"/>
              </v:shape>
              <v:shape id="_x0000_s3183" style="position:absolute;left:999;top:2319;width:91;height:67" coordsize="91,67" path="m46,l91,33,46,67,,33,46,xe" fillcolor="navy" strokecolor="navy">
                <v:path arrowok="t"/>
              </v:shape>
              <v:shape id="_x0000_s3184" style="position:absolute;left:999;top:2319;width:91;height:67" coordsize="91,67" path="m46,l91,33,46,67,,33,46,xe" fillcolor="navy" strokecolor="navy">
                <v:path arrowok="t"/>
              </v:shape>
              <v:shape id="_x0000_s3185" style="position:absolute;left:999;top:2319;width:91;height:67" coordsize="91,67" path="m46,l91,33,46,67,,33,46,xe" fillcolor="navy" strokecolor="navy">
                <v:path arrowok="t"/>
              </v:shape>
              <v:shape id="_x0000_s3186" style="position:absolute;left:999;top:2319;width:91;height:67" coordsize="91,67" path="m46,l91,33,46,67,,33,46,xe" fillcolor="navy" strokecolor="navy">
                <v:path arrowok="t"/>
              </v:shape>
              <v:shape id="_x0000_s3187" style="position:absolute;left:999;top:2319;width:91;height:67" coordsize="91,67" path="m46,l91,33,46,67,,33,46,xe" fillcolor="navy" strokecolor="navy">
                <v:path arrowok="t"/>
              </v:shape>
              <v:shape id="_x0000_s3188" style="position:absolute;left:999;top:2319;width:91;height:67" coordsize="91,67" path="m46,l91,33,46,67,,33,46,xe" fillcolor="navy" strokecolor="navy">
                <v:path arrowok="t"/>
              </v:shape>
              <v:shape id="_x0000_s3189" style="position:absolute;left:999;top:2319;width:91;height:67" coordsize="91,67" path="m46,l91,33,46,67,,33,46,xe" fillcolor="navy" strokecolor="navy">
                <v:path arrowok="t"/>
              </v:shape>
              <v:shape id="_x0000_s3190" style="position:absolute;left:999;top:2319;width:91;height:67" coordsize="91,67" path="m46,l91,33,46,67,,33,46,xe" fillcolor="navy" strokecolor="navy">
                <v:path arrowok="t"/>
              </v:shape>
              <v:shape id="_x0000_s3191" style="position:absolute;left:999;top:2319;width:91;height:67" coordsize="91,67" path="m46,l91,33,46,67,,33,46,xe" fillcolor="navy" strokecolor="navy">
                <v:path arrowok="t"/>
              </v:shape>
              <v:shape id="_x0000_s3192" style="position:absolute;left:999;top:2319;width:91;height:67" coordsize="91,67" path="m46,l91,33,46,67,,33,46,xe" fillcolor="navy" strokecolor="navy">
                <v:path arrowok="t"/>
              </v:shape>
              <v:shape id="_x0000_s3193" style="position:absolute;left:999;top:2319;width:91;height:67" coordsize="91,67" path="m46,l91,33,46,67,,33,46,xe" fillcolor="navy" strokecolor="navy">
                <v:path arrowok="t"/>
              </v:shape>
              <v:shape id="_x0000_s3194" style="position:absolute;left:999;top:2319;width:91;height:67" coordsize="91,67" path="m46,l91,33,46,67,,33,46,xe" fillcolor="navy" strokecolor="navy">
                <v:path arrowok="t"/>
              </v:shape>
              <v:shape id="_x0000_s3195" style="position:absolute;left:999;top:2319;width:91;height:67" coordsize="91,67" path="m46,l91,33,46,67,,33,46,xe" fillcolor="navy" strokecolor="navy">
                <v:path arrowok="t"/>
              </v:shape>
              <v:shape id="_x0000_s3196" style="position:absolute;left:999;top:2319;width:91;height:67" coordsize="91,67" path="m46,l91,33,46,67,,33,46,xe" fillcolor="navy" strokecolor="navy">
                <v:path arrowok="t"/>
              </v:shape>
              <v:shape id="_x0000_s3197" style="position:absolute;left:999;top:2319;width:91;height:67" coordsize="91,67" path="m46,l91,33,46,67,,33,46,xe" fillcolor="navy" strokecolor="navy">
                <v:path arrowok="t"/>
              </v:shape>
              <v:shape id="_x0000_s3198" style="position:absolute;left:999;top:2319;width:91;height:67" coordsize="91,67" path="m46,l91,33,46,67,,33,46,xe" fillcolor="navy" strokecolor="navy">
                <v:path arrowok="t"/>
              </v:shape>
              <v:shape id="_x0000_s3199" style="position:absolute;left:999;top:2319;width:91;height:67" coordsize="91,67" path="m46,l91,33,46,67,,33,46,xe" fillcolor="navy" strokecolor="navy">
                <v:path arrowok="t"/>
              </v:shape>
              <v:shape id="_x0000_s3200" style="position:absolute;left:999;top:2319;width:91;height:67" coordsize="91,67" path="m46,l91,33,46,67,,33,46,xe" fillcolor="navy" strokecolor="navy">
                <v:path arrowok="t"/>
              </v:shape>
              <v:shape id="_x0000_s3201" style="position:absolute;left:999;top:2319;width:91;height:67" coordsize="91,67" path="m46,l91,33,46,67,,33,46,xe" fillcolor="navy" strokecolor="navy">
                <v:path arrowok="t"/>
              </v:shape>
              <v:shape id="_x0000_s3202" style="position:absolute;left:999;top:2319;width:91;height:67" coordsize="91,67" path="m46,l91,33,46,67,,33,46,xe" fillcolor="navy" strokecolor="navy">
                <v:path arrowok="t"/>
              </v:shape>
              <v:shape id="_x0000_s3203" style="position:absolute;left:999;top:2319;width:91;height:67" coordsize="91,67" path="m46,l91,33,46,67,,33,46,xe" fillcolor="navy" strokecolor="navy">
                <v:path arrowok="t"/>
              </v:shape>
              <v:shape id="_x0000_s3204" style="position:absolute;left:999;top:2319;width:91;height:67" coordsize="91,67" path="m46,l91,33,46,67,,33,46,xe" fillcolor="navy" strokecolor="navy">
                <v:path arrowok="t"/>
              </v:shape>
              <v:shape id="_x0000_s3205" style="position:absolute;left:999;top:2319;width:91;height:67" coordsize="91,67" path="m46,l91,33,46,67,,33,46,xe" fillcolor="navy" strokecolor="navy">
                <v:path arrowok="t"/>
              </v:shape>
              <v:shape id="_x0000_s3206" style="position:absolute;left:999;top:2319;width:91;height:67" coordsize="91,67" path="m46,l91,33,46,67,,33,46,xe" fillcolor="navy" strokecolor="navy">
                <v:path arrowok="t"/>
              </v:shape>
              <v:shape id="_x0000_s3207" style="position:absolute;left:999;top:2319;width:91;height:67" coordsize="91,67" path="m46,l91,33,46,67,,33,46,xe" fillcolor="navy" strokecolor="navy">
                <v:path arrowok="t"/>
              </v:shape>
              <v:shape id="_x0000_s3208" style="position:absolute;left:999;top:2319;width:91;height:67" coordsize="91,67" path="m46,l91,33,46,67,,33,46,xe" fillcolor="navy" strokecolor="navy">
                <v:path arrowok="t"/>
              </v:shape>
              <v:shape id="_x0000_s3209" style="position:absolute;left:999;top:2319;width:91;height:67" coordsize="91,67" path="m46,l91,33,46,67,,33,46,xe" fillcolor="navy" strokecolor="navy">
                <v:path arrowok="t"/>
              </v:shape>
              <v:shape id="_x0000_s3210" style="position:absolute;left:999;top:2319;width:91;height:67" coordsize="91,67" path="m46,l91,33,46,67,,33,46,xe" fillcolor="navy" strokecolor="navy">
                <v:path arrowok="t"/>
              </v:shape>
              <v:shape id="_x0000_s3211" style="position:absolute;left:999;top:2319;width:91;height:67" coordsize="91,67" path="m46,l91,33,46,67,,33,46,xe" fillcolor="navy" strokecolor="navy">
                <v:path arrowok="t"/>
              </v:shape>
              <v:shape id="_x0000_s3212" style="position:absolute;left:999;top:2319;width:91;height:67" coordsize="91,67" path="m46,l91,33,46,67,,33,46,xe" fillcolor="navy" strokecolor="navy">
                <v:path arrowok="t"/>
              </v:shape>
              <v:shape id="_x0000_s3213" style="position:absolute;left:999;top:2319;width:91;height:67" coordsize="91,67" path="m46,l91,33,46,67,,33,46,xe" fillcolor="navy" strokecolor="navy">
                <v:path arrowok="t"/>
              </v:shape>
              <v:shape id="_x0000_s3214" style="position:absolute;left:999;top:2319;width:91;height:67" coordsize="91,67" path="m46,l91,33,46,67,,33,46,xe" fillcolor="navy" strokecolor="navy">
                <v:path arrowok="t"/>
              </v:shape>
              <v:shape id="_x0000_s3215" style="position:absolute;left:999;top:2319;width:91;height:67" coordsize="91,67" path="m46,l91,33,46,67,,33,46,xe" fillcolor="navy" strokecolor="navy">
                <v:path arrowok="t"/>
              </v:shape>
              <v:shape id="_x0000_s3216" style="position:absolute;left:999;top:2319;width:91;height:67" coordsize="91,67" path="m46,l91,33,46,67,,33,46,xe" fillcolor="navy" strokecolor="navy">
                <v:path arrowok="t"/>
              </v:shape>
              <v:shape id="_x0000_s3217" style="position:absolute;left:999;top:2319;width:91;height:67" coordsize="91,67" path="m46,l91,33,46,67,,33,46,xe" fillcolor="navy" strokecolor="navy">
                <v:path arrowok="t"/>
              </v:shape>
              <v:shape id="_x0000_s3218" style="position:absolute;left:999;top:2319;width:91;height:67" coordsize="91,67" path="m46,l91,33,46,67,,33,46,xe" fillcolor="navy" strokecolor="navy">
                <v:path arrowok="t"/>
              </v:shape>
              <v:shape id="_x0000_s3219" style="position:absolute;left:999;top:2319;width:91;height:67" coordsize="91,67" path="m46,l91,33,46,67,,33,46,xe" fillcolor="navy" strokecolor="navy">
                <v:path arrowok="t"/>
              </v:shape>
              <v:shape id="_x0000_s3220" style="position:absolute;left:999;top:2319;width:91;height:67" coordsize="91,67" path="m46,l91,33,46,67,,33,46,xe" fillcolor="navy" strokecolor="navy">
                <v:path arrowok="t"/>
              </v:shape>
              <v:shape id="_x0000_s3221" style="position:absolute;left:999;top:2319;width:91;height:67" coordsize="91,67" path="m46,l91,33,46,67,,33,46,xe" fillcolor="navy" strokecolor="navy">
                <v:path arrowok="t"/>
              </v:shape>
              <v:shape id="_x0000_s3222" style="position:absolute;left:999;top:2319;width:91;height:67" coordsize="91,67" path="m46,l91,33,46,67,,33,46,xe" fillcolor="navy" strokecolor="navy">
                <v:path arrowok="t"/>
              </v:shape>
              <v:shape id="_x0000_s3223" style="position:absolute;left:999;top:2319;width:91;height:67" coordsize="91,67" path="m46,l91,33,46,67,,33,46,xe" fillcolor="navy" strokecolor="navy">
                <v:path arrowok="t"/>
              </v:shape>
              <v:shape id="_x0000_s3224" style="position:absolute;left:999;top:2319;width:91;height:67" coordsize="91,67" path="m46,l91,33,46,67,,33,46,xe" fillcolor="navy" strokecolor="navy">
                <v:path arrowok="t"/>
              </v:shape>
              <v:shape id="_x0000_s3225" style="position:absolute;left:999;top:2319;width:91;height:67" coordsize="91,67" path="m46,l91,33,46,67,,33,46,xe" fillcolor="navy" strokecolor="navy">
                <v:path arrowok="t"/>
              </v:shape>
              <v:shape id="_x0000_s3226" style="position:absolute;left:999;top:2319;width:91;height:67" coordsize="91,67" path="m46,l91,33,46,67,,33,46,xe" fillcolor="navy" strokecolor="navy">
                <v:path arrowok="t"/>
              </v:shape>
              <v:shape id="_x0000_s3227" style="position:absolute;left:999;top:2319;width:91;height:67" coordsize="91,67" path="m46,l91,33,46,67,,33,46,xe" fillcolor="navy" strokecolor="navy">
                <v:path arrowok="t"/>
              </v:shape>
              <v:shape id="_x0000_s3228" style="position:absolute;left:999;top:2319;width:91;height:67" coordsize="91,67" path="m46,l91,33,46,67,,33,46,xe" fillcolor="navy" strokecolor="navy">
                <v:path arrowok="t"/>
              </v:shape>
              <v:shape id="_x0000_s3229" style="position:absolute;left:999;top:2319;width:91;height:67" coordsize="91,67" path="m46,l91,33,46,67,,33,46,xe" fillcolor="navy" strokecolor="navy">
                <v:path arrowok="t"/>
              </v:shape>
              <v:shape id="_x0000_s3230" style="position:absolute;left:999;top:2319;width:91;height:67" coordsize="91,67" path="m46,l91,33,46,67,,33,46,xe" fillcolor="navy" strokecolor="navy">
                <v:path arrowok="t"/>
              </v:shape>
              <v:shape id="_x0000_s3231" style="position:absolute;left:999;top:2319;width:91;height:67" coordsize="91,67" path="m46,l91,33,46,67,,33,46,xe" fillcolor="navy" strokecolor="navy">
                <v:path arrowok="t"/>
              </v:shape>
              <v:shape id="_x0000_s3232" style="position:absolute;left:999;top:2319;width:91;height:67" coordsize="91,67" path="m46,l91,33,46,67,,33,46,xe" fillcolor="navy" strokecolor="navy">
                <v:path arrowok="t"/>
              </v:shape>
              <v:shape id="_x0000_s3233" style="position:absolute;left:999;top:2319;width:91;height:67" coordsize="91,67" path="m46,l91,33,46,67,,33,46,xe" fillcolor="navy" strokecolor="navy">
                <v:path arrowok="t"/>
              </v:shape>
              <v:shape id="_x0000_s3234" style="position:absolute;left:999;top:2319;width:91;height:67" coordsize="91,67" path="m46,l91,33,46,67,,33,46,xe" fillcolor="navy" strokecolor="navy">
                <v:path arrowok="t"/>
              </v:shape>
              <v:shape id="_x0000_s3235" style="position:absolute;left:999;top:2319;width:91;height:67" coordsize="91,67" path="m46,l91,33,46,67,,33,46,xe" fillcolor="navy" strokecolor="navy">
                <v:path arrowok="t"/>
              </v:shape>
              <v:shape id="_x0000_s3236" style="position:absolute;left:999;top:2319;width:91;height:67" coordsize="91,67" path="m46,l91,33,46,67,,33,46,xe" fillcolor="navy" strokecolor="navy">
                <v:path arrowok="t"/>
              </v:shape>
              <v:shape id="_x0000_s3237" style="position:absolute;left:999;top:2319;width:91;height:67" coordsize="91,67" path="m46,l91,33,46,67,,33,46,xe" fillcolor="navy" strokecolor="navy">
                <v:path arrowok="t"/>
              </v:shape>
              <v:shape id="_x0000_s3238" style="position:absolute;left:999;top:2319;width:91;height:67" coordsize="91,67" path="m46,l91,33,46,67,,33,46,xe" fillcolor="navy" strokecolor="navy">
                <v:path arrowok="t"/>
              </v:shape>
              <v:shape id="_x0000_s3239" style="position:absolute;left:999;top:2319;width:91;height:67" coordsize="91,67" path="m46,l91,33,46,67,,33,46,xe" fillcolor="navy" strokecolor="navy">
                <v:path arrowok="t"/>
              </v:shape>
              <v:shape id="_x0000_s3240" style="position:absolute;left:999;top:2319;width:91;height:67" coordsize="91,67" path="m46,l91,33,46,67,,33,46,xe" fillcolor="navy" strokecolor="navy">
                <v:path arrowok="t"/>
              </v:shape>
              <v:shape id="_x0000_s3241" style="position:absolute;left:999;top:2319;width:91;height:67" coordsize="91,67" path="m46,l91,33,46,67,,33,46,xe" fillcolor="navy" strokecolor="navy">
                <v:path arrowok="t"/>
              </v:shape>
              <v:shape id="_x0000_s3242" style="position:absolute;left:999;top:2319;width:91;height:67" coordsize="91,67" path="m46,l91,33,46,67,,33,46,xe" fillcolor="navy" strokecolor="navy">
                <v:path arrowok="t"/>
              </v:shape>
              <v:shape id="_x0000_s3243" style="position:absolute;left:999;top:2319;width:91;height:67" coordsize="91,67" path="m46,l91,33,46,67,,33,46,xe" fillcolor="navy" strokecolor="navy">
                <v:path arrowok="t"/>
              </v:shape>
              <v:shape id="_x0000_s3244" style="position:absolute;left:999;top:2319;width:91;height:67" coordsize="91,67" path="m46,l91,33,46,67,,33,46,xe" fillcolor="navy" strokecolor="navy">
                <v:path arrowok="t"/>
              </v:shape>
              <v:shape id="_x0000_s3245" style="position:absolute;left:999;top:2319;width:91;height:67" coordsize="91,67" path="m46,l91,33,46,67,,33,46,xe" fillcolor="navy" strokecolor="navy">
                <v:path arrowok="t"/>
              </v:shape>
              <v:shape id="_x0000_s3246" style="position:absolute;left:999;top:2319;width:91;height:67" coordsize="91,67" path="m46,l91,33,46,67,,33,46,xe" fillcolor="navy" strokecolor="navy">
                <v:path arrowok="t"/>
              </v:shape>
              <v:shape id="_x0000_s3247" style="position:absolute;left:999;top:2319;width:91;height:67" coordsize="91,67" path="m46,l91,33,46,67,,33,46,xe" fillcolor="navy" strokecolor="navy">
                <v:path arrowok="t"/>
              </v:shape>
              <v:shape id="_x0000_s3248" style="position:absolute;left:999;top:2319;width:91;height:67" coordsize="91,67" path="m46,l91,33,46,67,,33,46,xe" fillcolor="navy" strokecolor="navy">
                <v:path arrowok="t"/>
              </v:shape>
              <v:shape id="_x0000_s3249" style="position:absolute;left:999;top:2319;width:91;height:67" coordsize="91,67" path="m46,l91,33,46,67,,33,46,xe" fillcolor="navy" strokecolor="navy">
                <v:path arrowok="t"/>
              </v:shape>
              <v:shape id="_x0000_s3250" style="position:absolute;left:999;top:2319;width:91;height:67" coordsize="91,67" path="m46,l91,33,46,67,,33,46,xe" fillcolor="navy" strokecolor="navy">
                <v:path arrowok="t"/>
              </v:shape>
              <v:shape id="_x0000_s3251" style="position:absolute;left:999;top:2319;width:91;height:67" coordsize="91,67" path="m46,l91,33,46,67,,33,46,xe" fillcolor="navy" strokecolor="navy">
                <v:path arrowok="t"/>
              </v:shape>
              <v:shape id="_x0000_s3252" style="position:absolute;left:999;top:2319;width:91;height:67" coordsize="91,67" path="m46,l91,33,46,67,,33,46,xe" fillcolor="navy" strokecolor="navy">
                <v:path arrowok="t"/>
              </v:shape>
              <v:shape id="_x0000_s3253" style="position:absolute;left:999;top:2319;width:91;height:67" coordsize="91,67" path="m46,l91,33,46,67,,33,46,xe" fillcolor="navy" strokecolor="navy">
                <v:path arrowok="t"/>
              </v:shape>
              <v:shape id="_x0000_s3254" style="position:absolute;left:999;top:2319;width:91;height:67" coordsize="91,67" path="m46,l91,33,46,67,,33,46,xe" fillcolor="navy" strokecolor="navy">
                <v:path arrowok="t"/>
              </v:shape>
              <v:shape id="_x0000_s3255" style="position:absolute;left:999;top:2319;width:91;height:67" coordsize="91,67" path="m46,l91,33,46,67,,33,46,xe" fillcolor="navy" strokecolor="navy">
                <v:path arrowok="t"/>
              </v:shape>
              <v:shape id="_x0000_s3256" style="position:absolute;left:999;top:2319;width:91;height:67" coordsize="91,67" path="m46,l91,33,46,67,,33,46,xe" fillcolor="navy" strokecolor="navy">
                <v:path arrowok="t"/>
              </v:shape>
              <v:shape id="_x0000_s3257" style="position:absolute;left:999;top:2319;width:91;height:67" coordsize="91,67" path="m46,l91,33,46,67,,33,46,xe" fillcolor="navy" strokecolor="navy">
                <v:path arrowok="t"/>
              </v:shape>
              <v:shape id="_x0000_s3258" style="position:absolute;left:999;top:2319;width:91;height:67" coordsize="91,67" path="m46,l91,33,46,67,,33,46,xe" fillcolor="navy" strokecolor="navy">
                <v:path arrowok="t"/>
              </v:shape>
              <v:shape id="_x0000_s3259" style="position:absolute;left:999;top:2319;width:91;height:67" coordsize="91,67" path="m46,l91,33,46,67,,33,46,xe" fillcolor="navy" strokecolor="navy">
                <v:path arrowok="t"/>
              </v:shape>
              <v:shape id="_x0000_s3260" style="position:absolute;left:999;top:2319;width:91;height:67" coordsize="91,67" path="m46,l91,33,46,67,,33,46,xe" fillcolor="navy" strokecolor="navy">
                <v:path arrowok="t"/>
              </v:shape>
              <v:shape id="_x0000_s3261" style="position:absolute;left:999;top:2319;width:91;height:67" coordsize="91,67" path="m46,l91,33,46,67,,33,46,xe" fillcolor="navy" strokecolor="navy">
                <v:path arrowok="t"/>
              </v:shape>
              <v:shape id="_x0000_s3262" style="position:absolute;left:999;top:2319;width:91;height:67" coordsize="91,67" path="m46,l91,33,46,67,,33,46,xe" fillcolor="navy" strokecolor="navy">
                <v:path arrowok="t"/>
              </v:shape>
              <v:shape id="_x0000_s3263" style="position:absolute;left:999;top:2319;width:91;height:67" coordsize="91,67" path="m46,l91,33,46,67,,33,46,xe" fillcolor="navy" strokecolor="navy">
                <v:path arrowok="t"/>
              </v:shape>
              <v:shape id="_x0000_s3264" style="position:absolute;left:999;top:2319;width:91;height:67" coordsize="91,67" path="m46,l91,33,46,67,,33,46,xe" fillcolor="navy" strokecolor="navy">
                <v:path arrowok="t"/>
              </v:shape>
              <v:shape id="_x0000_s3265" style="position:absolute;left:999;top:2319;width:91;height:67" coordsize="91,67" path="m46,l91,33,46,67,,33,46,xe" fillcolor="navy" strokecolor="navy">
                <v:path arrowok="t"/>
              </v:shape>
              <v:shape id="_x0000_s3266" style="position:absolute;left:999;top:2319;width:91;height:67" coordsize="91,67" path="m46,l91,33,46,67,,33,46,xe" fillcolor="navy" strokecolor="navy">
                <v:path arrowok="t"/>
              </v:shape>
              <v:shape id="_x0000_s3267" style="position:absolute;left:999;top:2319;width:91;height:67" coordsize="91,67" path="m46,l91,33,46,67,,33,46,xe" fillcolor="navy" strokecolor="navy">
                <v:path arrowok="t"/>
              </v:shape>
              <v:shape id="_x0000_s3268" style="position:absolute;left:999;top:2319;width:91;height:67" coordsize="91,67" path="m46,l91,33,46,67,,33,46,xe" fillcolor="navy" strokecolor="navy">
                <v:path arrowok="t"/>
              </v:shape>
              <v:shape id="_x0000_s3269" style="position:absolute;left:999;top:2319;width:91;height:67" coordsize="91,67" path="m46,l91,33,46,67,,33,46,xe" fillcolor="navy" strokecolor="navy">
                <v:path arrowok="t"/>
              </v:shape>
              <v:shape id="_x0000_s3270" style="position:absolute;left:999;top:2319;width:91;height:67" coordsize="91,67" path="m46,l91,33,46,67,,33,46,xe" fillcolor="navy" strokecolor="navy">
                <v:path arrowok="t"/>
              </v:shape>
              <v:shape id="_x0000_s3271" style="position:absolute;left:999;top:2319;width:91;height:67" coordsize="91,67" path="m46,l91,33,46,67,,33,46,xe" fillcolor="navy" strokecolor="navy">
                <v:path arrowok="t"/>
              </v:shape>
              <v:shape id="_x0000_s3272" style="position:absolute;left:999;top:2319;width:91;height:67" coordsize="91,67" path="m46,l91,33,46,67,,33,46,xe" fillcolor="navy" strokecolor="navy">
                <v:path arrowok="t"/>
              </v:shape>
              <v:shape id="_x0000_s3273" style="position:absolute;left:999;top:2319;width:91;height:67" coordsize="91,67" path="m46,l91,33,46,67,,33,46,xe" fillcolor="navy" strokecolor="navy">
                <v:path arrowok="t"/>
              </v:shape>
              <v:shape id="_x0000_s3274" style="position:absolute;left:999;top:2319;width:91;height:67" coordsize="91,67" path="m46,l91,33,46,67,,33,46,xe" fillcolor="navy" strokecolor="navy">
                <v:path arrowok="t"/>
              </v:shape>
              <v:shape id="_x0000_s3275" style="position:absolute;left:999;top:2319;width:91;height:67" coordsize="91,67" path="m46,l91,33,46,67,,33,46,xe" fillcolor="navy" strokecolor="navy">
                <v:path arrowok="t"/>
              </v:shape>
              <v:shape id="_x0000_s3276" style="position:absolute;left:999;top:2319;width:91;height:67" coordsize="91,67" path="m46,l91,33,46,67,,33,46,xe" fillcolor="navy" strokecolor="navy">
                <v:path arrowok="t"/>
              </v:shape>
              <v:shape id="_x0000_s3277" style="position:absolute;left:999;top:2319;width:91;height:67" coordsize="91,67" path="m46,l91,33,46,67,,33,46,xe" fillcolor="navy" strokecolor="navy">
                <v:path arrowok="t"/>
              </v:shape>
              <v:shape id="_x0000_s3278" style="position:absolute;left:999;top:2319;width:91;height:67" coordsize="91,67" path="m46,l91,33,46,67,,33,46,xe" fillcolor="navy" strokecolor="navy">
                <v:path arrowok="t"/>
              </v:shape>
              <v:shape id="_x0000_s3279" style="position:absolute;left:999;top:2319;width:91;height:67" coordsize="91,67" path="m46,l91,33,46,67,,33,46,xe" fillcolor="navy" strokecolor="navy">
                <v:path arrowok="t"/>
              </v:shape>
              <v:shape id="_x0000_s3280" style="position:absolute;left:999;top:2319;width:91;height:67" coordsize="91,67" path="m46,l91,33,46,67,,33,46,xe" fillcolor="navy" strokecolor="navy">
                <v:path arrowok="t"/>
              </v:shape>
              <v:shape id="_x0000_s3281" style="position:absolute;left:999;top:2319;width:91;height:67" coordsize="91,67" path="m46,l91,33,46,67,,33,46,xe" fillcolor="navy" strokecolor="navy">
                <v:path arrowok="t"/>
              </v:shape>
              <v:shape id="_x0000_s3282" style="position:absolute;left:999;top:2319;width:91;height:67" coordsize="91,67" path="m46,l91,33,46,67,,33,46,xe" fillcolor="navy" strokecolor="navy">
                <v:path arrowok="t"/>
              </v:shape>
              <v:shape id="_x0000_s3283" style="position:absolute;left:999;top:2319;width:91;height:67" coordsize="91,67" path="m46,l91,33,46,67,,33,46,xe" fillcolor="navy" strokecolor="navy">
                <v:path arrowok="t"/>
              </v:shape>
              <v:shape id="_x0000_s3284" style="position:absolute;left:999;top:2319;width:91;height:67" coordsize="91,67" path="m46,l91,33,46,67,,33,46,xe" fillcolor="navy" strokecolor="navy">
                <v:path arrowok="t"/>
              </v:shape>
              <v:shape id="_x0000_s3285" style="position:absolute;left:999;top:2319;width:91;height:67" coordsize="91,67" path="m46,l91,33,46,67,,33,46,xe" fillcolor="navy" strokecolor="navy">
                <v:path arrowok="t"/>
              </v:shape>
              <v:shape id="_x0000_s3286" style="position:absolute;left:999;top:2319;width:91;height:67" coordsize="91,67" path="m46,l91,33,46,67,,33,46,xe" fillcolor="navy" strokecolor="navy">
                <v:path arrowok="t"/>
              </v:shape>
              <v:shape id="_x0000_s3287" style="position:absolute;left:999;top:2319;width:91;height:67" coordsize="91,67" path="m46,l91,33,46,67,,33,46,xe" fillcolor="navy" strokecolor="navy">
                <v:path arrowok="t"/>
              </v:shape>
              <v:shape id="_x0000_s3288" style="position:absolute;left:999;top:2319;width:91;height:67" coordsize="91,67" path="m46,l91,33,46,67,,33,46,xe" fillcolor="navy" strokecolor="navy">
                <v:path arrowok="t"/>
              </v:shape>
              <v:shape id="_x0000_s3289" style="position:absolute;left:999;top:2319;width:91;height:67" coordsize="91,67" path="m46,l91,33,46,67,,33,46,xe" fillcolor="navy" strokecolor="navy">
                <v:path arrowok="t"/>
              </v:shape>
              <v:shape id="_x0000_s3290" style="position:absolute;left:999;top:2319;width:91;height:67" coordsize="91,67" path="m46,l91,33,46,67,,33,46,xe" fillcolor="navy" strokecolor="navy">
                <v:path arrowok="t"/>
              </v:shape>
              <v:shape id="_x0000_s3291" style="position:absolute;left:999;top:2319;width:91;height:67" coordsize="91,67" path="m46,l91,33,46,67,,33,46,xe" fillcolor="navy" strokecolor="navy">
                <v:path arrowok="t"/>
              </v:shape>
              <v:shape id="_x0000_s3292" style="position:absolute;left:999;top:2319;width:91;height:67" coordsize="91,67" path="m46,l91,33,46,67,,33,46,xe" fillcolor="navy" strokecolor="navy">
                <v:path arrowok="t"/>
              </v:shape>
              <v:shape id="_x0000_s3293" style="position:absolute;left:999;top:2319;width:91;height:67" coordsize="91,67" path="m46,l91,33,46,67,,33,46,xe" fillcolor="navy" strokecolor="navy">
                <v:path arrowok="t"/>
              </v:shape>
              <v:shape id="_x0000_s3294" style="position:absolute;left:999;top:2319;width:91;height:67" coordsize="91,67" path="m46,l91,33,46,67,,33,46,xe" fillcolor="navy" strokecolor="navy">
                <v:path arrowok="t"/>
              </v:shape>
              <v:shape id="_x0000_s3295" style="position:absolute;left:999;top:2319;width:91;height:67" coordsize="91,67" path="m46,l91,33,46,67,,33,46,xe" fillcolor="navy" strokecolor="navy">
                <v:path arrowok="t"/>
              </v:shape>
              <v:shape id="_x0000_s3296" style="position:absolute;left:999;top:2319;width:91;height:67" coordsize="91,67" path="m46,l91,33,46,67,,33,46,xe" fillcolor="navy" strokecolor="navy">
                <v:path arrowok="t"/>
              </v:shape>
              <v:shape id="_x0000_s3297" style="position:absolute;left:999;top:2319;width:91;height:67" coordsize="91,67" path="m46,l91,33,46,67,,33,46,xe" fillcolor="navy" strokecolor="navy">
                <v:path arrowok="t"/>
              </v:shape>
              <v:shape id="_x0000_s3298" style="position:absolute;left:999;top:2319;width:91;height:67" coordsize="91,67" path="m46,l91,33,46,67,,33,46,xe" fillcolor="navy" strokecolor="navy">
                <v:path arrowok="t"/>
              </v:shape>
              <v:shape id="_x0000_s3299" style="position:absolute;left:999;top:2319;width:91;height:67" coordsize="91,67" path="m46,l91,33,46,67,,33,46,xe" fillcolor="navy" strokecolor="navy">
                <v:path arrowok="t"/>
              </v:shape>
              <v:shape id="_x0000_s3300" style="position:absolute;left:999;top:2319;width:91;height:67" coordsize="91,67" path="m46,l91,33,46,67,,33,46,xe" fillcolor="navy" strokecolor="navy">
                <v:path arrowok="t"/>
              </v:shape>
              <v:shape id="_x0000_s3301" style="position:absolute;left:999;top:2319;width:91;height:67" coordsize="91,67" path="m46,l91,33,46,67,,33,46,xe" fillcolor="navy" strokecolor="navy">
                <v:path arrowok="t"/>
              </v:shape>
              <v:shape id="_x0000_s3302" style="position:absolute;left:999;top:2319;width:91;height:67" coordsize="91,67" path="m46,l91,33,46,67,,33,46,xe" fillcolor="navy" strokecolor="navy">
                <v:path arrowok="t"/>
              </v:shape>
              <v:shape id="_x0000_s3303" style="position:absolute;left:999;top:2308;width:91;height:67" coordsize="91,67" path="m46,l91,33,46,67,,33,46,xe" fillcolor="navy" strokecolor="navy">
                <v:path arrowok="t"/>
              </v:shape>
              <v:shape id="_x0000_s3304" style="position:absolute;left:999;top:2308;width:91;height:67" coordsize="91,67" path="m46,l91,33,46,67,,33,46,xe" fillcolor="navy" strokecolor="navy">
                <v:path arrowok="t"/>
              </v:shape>
              <v:shape id="_x0000_s3305" style="position:absolute;left:999;top:2308;width:91;height:67" coordsize="91,67" path="m46,l91,33,46,67,,33,46,xe" fillcolor="navy" strokecolor="navy">
                <v:path arrowok="t"/>
              </v:shape>
              <v:shape id="_x0000_s3306" style="position:absolute;left:999;top:2308;width:91;height:67" coordsize="91,67" path="m46,l91,33,46,67,,33,46,xe" fillcolor="navy" strokecolor="navy">
                <v:path arrowok="t"/>
              </v:shape>
              <v:shape id="_x0000_s3307" style="position:absolute;left:999;top:2308;width:91;height:67" coordsize="91,67" path="m46,l91,33,46,67,,33,46,xe" fillcolor="navy" strokecolor="navy">
                <v:path arrowok="t"/>
              </v:shape>
              <v:shape id="_x0000_s3308" style="position:absolute;left:999;top:2308;width:91;height:67" coordsize="91,67" path="m46,l91,33,46,67,,33,46,xe" fillcolor="navy" strokecolor="navy">
                <v:path arrowok="t"/>
              </v:shape>
              <v:shape id="_x0000_s3309" style="position:absolute;left:999;top:2308;width:91;height:67" coordsize="91,67" path="m46,l91,33,46,67,,33,46,xe" fillcolor="navy" strokecolor="navy">
                <v:path arrowok="t"/>
              </v:shape>
              <v:shape id="_x0000_s3310" style="position:absolute;left:999;top:2308;width:91;height:67" coordsize="91,67" path="m46,l91,33,46,67,,33,46,xe" fillcolor="navy" strokecolor="navy">
                <v:path arrowok="t"/>
              </v:shape>
              <v:shape id="_x0000_s3311" style="position:absolute;left:999;top:2308;width:91;height:67" coordsize="91,67" path="m46,l91,33,46,67,,33,46,xe" fillcolor="navy" strokecolor="navy">
                <v:path arrowok="t"/>
              </v:shape>
              <v:shape id="_x0000_s3312" style="position:absolute;left:999;top:2308;width:91;height:67" coordsize="91,67" path="m46,l91,33,46,67,,33,46,xe" fillcolor="navy" strokecolor="navy">
                <v:path arrowok="t"/>
              </v:shape>
              <v:shape id="_x0000_s3313" style="position:absolute;left:999;top:2308;width:91;height:67" coordsize="91,67" path="m46,l91,33,46,67,,33,46,xe" fillcolor="navy" strokecolor="navy">
                <v:path arrowok="t"/>
              </v:shape>
              <v:shape id="_x0000_s3314" style="position:absolute;left:999;top:2308;width:91;height:67" coordsize="91,67" path="m46,l91,33,46,67,,33,46,xe" fillcolor="navy" strokecolor="navy">
                <v:path arrowok="t"/>
              </v:shape>
              <v:shape id="_x0000_s3315" style="position:absolute;left:999;top:2308;width:91;height:67" coordsize="91,67" path="m46,l91,33,46,67,,33,46,xe" fillcolor="navy" strokecolor="navy">
                <v:path arrowok="t"/>
              </v:shape>
              <v:shape id="_x0000_s3316" style="position:absolute;left:999;top:2308;width:91;height:67" coordsize="91,67" path="m46,l91,33,46,67,,33,46,xe" fillcolor="navy" strokecolor="navy">
                <v:path arrowok="t"/>
              </v:shape>
              <v:shape id="_x0000_s3317" style="position:absolute;left:999;top:2308;width:91;height:67" coordsize="91,67" path="m46,l91,33,46,67,,33,46,xe" fillcolor="navy" strokecolor="navy">
                <v:path arrowok="t"/>
              </v:shape>
              <v:shape id="_x0000_s3318" style="position:absolute;left:999;top:2308;width:91;height:67" coordsize="91,67" path="m46,l91,33,46,67,,33,46,xe" fillcolor="navy" strokecolor="navy">
                <v:path arrowok="t"/>
              </v:shape>
              <v:shape id="_x0000_s3319" style="position:absolute;left:999;top:2308;width:91;height:67" coordsize="91,67" path="m46,l91,33,46,67,,33,46,xe" fillcolor="navy" strokecolor="navy">
                <v:path arrowok="t"/>
              </v:shape>
              <v:shape id="_x0000_s3320" style="position:absolute;left:999;top:2308;width:91;height:67" coordsize="91,67" path="m46,l91,33,46,67,,33,46,xe" fillcolor="navy" strokecolor="navy">
                <v:path arrowok="t"/>
              </v:shape>
              <v:shape id="_x0000_s3321" style="position:absolute;left:999;top:2308;width:91;height:67" coordsize="91,67" path="m46,l91,33,46,67,,33,46,xe" fillcolor="navy" strokecolor="navy">
                <v:path arrowok="t"/>
              </v:shape>
              <v:shape id="_x0000_s3322" style="position:absolute;left:999;top:2308;width:91;height:67" coordsize="91,67" path="m46,l91,33,46,67,,33,46,xe" fillcolor="navy" strokecolor="navy">
                <v:path arrowok="t"/>
              </v:shape>
              <v:shape id="_x0000_s3323" style="position:absolute;left:999;top:2308;width:91;height:67" coordsize="91,67" path="m46,l91,33,46,67,,33,46,xe" fillcolor="navy" strokecolor="navy">
                <v:path arrowok="t"/>
              </v:shape>
              <v:shape id="_x0000_s3324" style="position:absolute;left:999;top:2308;width:91;height:67" coordsize="91,67" path="m46,l91,33,46,67,,33,46,xe" fillcolor="navy" strokecolor="navy">
                <v:path arrowok="t"/>
              </v:shape>
              <v:shape id="_x0000_s3325" style="position:absolute;left:999;top:2308;width:91;height:67" coordsize="91,67" path="m46,l91,33,46,67,,33,46,xe" fillcolor="navy" strokecolor="navy">
                <v:path arrowok="t"/>
              </v:shape>
              <v:shape id="_x0000_s3326" style="position:absolute;left:999;top:2308;width:91;height:67" coordsize="91,67" path="m46,l91,33,46,67,,33,46,xe" fillcolor="navy" strokecolor="navy">
                <v:path arrowok="t"/>
              </v:shape>
              <v:shape id="_x0000_s3327" style="position:absolute;left:999;top:2308;width:91;height:67" coordsize="91,67" path="m46,l91,33,46,67,,33,46,xe" fillcolor="navy" strokecolor="navy">
                <v:path arrowok="t"/>
              </v:shape>
              <v:shape id="_x0000_s3328" style="position:absolute;left:999;top:2308;width:91;height:67" coordsize="91,67" path="m46,l91,33,46,67,,33,46,xe" fillcolor="navy" strokecolor="navy">
                <v:path arrowok="t"/>
              </v:shape>
              <v:shape id="_x0000_s3329" style="position:absolute;left:999;top:2308;width:91;height:67" coordsize="91,67" path="m46,l91,33,46,67,,33,46,xe" fillcolor="navy" strokecolor="navy">
                <v:path arrowok="t"/>
              </v:shape>
              <v:shape id="_x0000_s3330" style="position:absolute;left:999;top:2308;width:91;height:67" coordsize="91,67" path="m46,l91,33,46,67,,33,46,xe" fillcolor="navy" strokecolor="navy">
                <v:path arrowok="t"/>
              </v:shape>
              <v:shape id="_x0000_s3331" style="position:absolute;left:999;top:2308;width:91;height:67" coordsize="91,67" path="m46,l91,33,46,67,,33,46,xe" fillcolor="navy" strokecolor="navy">
                <v:path arrowok="t"/>
              </v:shape>
              <v:shape id="_x0000_s3332" style="position:absolute;left:999;top:2308;width:91;height:67" coordsize="91,67" path="m46,l91,33,46,67,,33,46,xe" fillcolor="navy" strokecolor="navy">
                <v:path arrowok="t"/>
              </v:shape>
              <v:shape id="_x0000_s3333" style="position:absolute;left:999;top:2308;width:91;height:67" coordsize="91,67" path="m46,l91,33,46,67,,33,46,xe" fillcolor="navy" strokecolor="navy">
                <v:path arrowok="t"/>
              </v:shape>
              <v:shape id="_x0000_s3334" style="position:absolute;left:999;top:2308;width:91;height:67" coordsize="91,67" path="m46,l91,33,46,67,,33,46,xe" fillcolor="navy" strokecolor="navy">
                <v:path arrowok="t"/>
              </v:shape>
              <v:shape id="_x0000_s3335" style="position:absolute;left:999;top:2308;width:91;height:67" coordsize="91,67" path="m46,l91,33,46,67,,33,46,xe" fillcolor="navy" strokecolor="navy">
                <v:path arrowok="t"/>
              </v:shape>
              <v:shape id="_x0000_s3336" style="position:absolute;left:999;top:2308;width:91;height:67" coordsize="91,67" path="m46,l91,33,46,67,,33,46,xe" fillcolor="navy" strokecolor="navy">
                <v:path arrowok="t"/>
              </v:shape>
              <v:shape id="_x0000_s3337" style="position:absolute;left:999;top:2308;width:91;height:67" coordsize="91,67" path="m46,l91,33,46,67,,33,46,xe" fillcolor="navy" strokecolor="navy">
                <v:path arrowok="t"/>
              </v:shape>
              <v:shape id="_x0000_s3338" style="position:absolute;left:999;top:2308;width:91;height:67" coordsize="91,67" path="m46,l91,33,46,67,,33,46,xe" fillcolor="navy" strokecolor="navy">
                <v:path arrowok="t"/>
              </v:shape>
              <v:shape id="_x0000_s3339" style="position:absolute;left:999;top:2308;width:91;height:67" coordsize="91,67" path="m46,l91,33,46,67,,33,46,xe" fillcolor="navy" strokecolor="navy">
                <v:path arrowok="t"/>
              </v:shape>
              <v:shape id="_x0000_s3340" style="position:absolute;left:999;top:2308;width:91;height:67" coordsize="91,67" path="m46,l91,33,46,67,,33,46,xe" fillcolor="navy" strokecolor="navy">
                <v:path arrowok="t"/>
              </v:shape>
              <v:shape id="_x0000_s3341" style="position:absolute;left:999;top:2308;width:91;height:67" coordsize="91,67" path="m46,l91,33,46,67,,33,46,xe" fillcolor="navy" strokecolor="navy">
                <v:path arrowok="t"/>
              </v:shape>
              <v:shape id="_x0000_s3342" style="position:absolute;left:999;top:2308;width:91;height:67" coordsize="91,67" path="m46,l91,33,46,67,,33,46,xe" fillcolor="navy" strokecolor="navy">
                <v:path arrowok="t"/>
              </v:shape>
              <v:shape id="_x0000_s3343" style="position:absolute;left:999;top:2308;width:91;height:67" coordsize="91,67" path="m46,l91,33,46,67,,33,46,xe" fillcolor="navy" strokecolor="navy">
                <v:path arrowok="t"/>
              </v:shape>
              <v:shape id="_x0000_s3344" style="position:absolute;left:999;top:2308;width:91;height:67" coordsize="91,67" path="m46,l91,33,46,67,,33,46,xe" fillcolor="navy" strokecolor="navy">
                <v:path arrowok="t"/>
              </v:shape>
              <v:shape id="_x0000_s3345" style="position:absolute;left:999;top:2308;width:91;height:67" coordsize="91,67" path="m46,l91,33,46,67,,33,46,xe" fillcolor="navy" strokecolor="navy">
                <v:path arrowok="t"/>
              </v:shape>
              <v:shape id="_x0000_s3346" style="position:absolute;left:999;top:2308;width:91;height:67" coordsize="91,67" path="m46,l91,33,46,67,,33,46,xe" fillcolor="navy" strokecolor="navy">
                <v:path arrowok="t"/>
              </v:shape>
              <v:shape id="_x0000_s3347" style="position:absolute;left:999;top:2308;width:91;height:67" coordsize="91,67" path="m46,l91,33,46,67,,33,46,xe" fillcolor="navy" strokecolor="navy">
                <v:path arrowok="t"/>
              </v:shape>
              <v:shape id="_x0000_s3348" style="position:absolute;left:999;top:2308;width:91;height:67" coordsize="91,67" path="m46,l91,33,46,67,,33,46,xe" fillcolor="navy" strokecolor="navy">
                <v:path arrowok="t"/>
              </v:shape>
              <v:shape id="_x0000_s3349" style="position:absolute;left:999;top:2308;width:91;height:67" coordsize="91,67" path="m46,l91,33,46,67,,33,46,xe" fillcolor="navy" strokecolor="navy">
                <v:path arrowok="t"/>
              </v:shape>
              <v:shape id="_x0000_s3350" style="position:absolute;left:999;top:2308;width:91;height:67" coordsize="91,67" path="m46,l91,33,46,67,,33,46,xe" fillcolor="navy" strokecolor="navy">
                <v:path arrowok="t"/>
              </v:shape>
              <v:shape id="_x0000_s3351" style="position:absolute;left:999;top:2308;width:91;height:67" coordsize="91,67" path="m46,l91,33,46,67,,33,46,xe" fillcolor="navy" strokecolor="navy">
                <v:path arrowok="t"/>
              </v:shape>
              <v:shape id="_x0000_s3352" style="position:absolute;left:999;top:2308;width:91;height:67" coordsize="91,67" path="m46,l91,33,46,67,,33,46,xe" fillcolor="navy" strokecolor="navy">
                <v:path arrowok="t"/>
              </v:shape>
              <v:shape id="_x0000_s3353" style="position:absolute;left:999;top:2308;width:91;height:67" coordsize="91,67" path="m46,l91,33,46,67,,33,46,xe" fillcolor="navy" strokecolor="navy">
                <v:path arrowok="t"/>
              </v:shape>
              <v:shape id="_x0000_s3354" style="position:absolute;left:999;top:2308;width:91;height:67" coordsize="91,67" path="m46,l91,33,46,67,,33,46,xe" fillcolor="navy" strokecolor="navy">
                <v:path arrowok="t"/>
              </v:shape>
              <v:shape id="_x0000_s3355" style="position:absolute;left:999;top:2308;width:91;height:67" coordsize="91,67" path="m46,l91,33,46,67,,33,46,xe" fillcolor="navy" strokecolor="navy">
                <v:path arrowok="t"/>
              </v:shape>
              <v:shape id="_x0000_s3356" style="position:absolute;left:999;top:2308;width:91;height:67" coordsize="91,67" path="m46,l91,33,46,67,,33,46,xe" fillcolor="navy" strokecolor="navy">
                <v:path arrowok="t"/>
              </v:shape>
              <v:shape id="_x0000_s3357" style="position:absolute;left:999;top:2308;width:91;height:67" coordsize="91,67" path="m46,l91,33,46,67,,33,46,xe" fillcolor="navy" strokecolor="navy">
                <v:path arrowok="t"/>
              </v:shape>
              <v:shape id="_x0000_s3358" style="position:absolute;left:999;top:2308;width:91;height:67" coordsize="91,67" path="m46,l91,33,46,67,,33,46,xe" fillcolor="navy" strokecolor="navy">
                <v:path arrowok="t"/>
              </v:shape>
              <v:shape id="_x0000_s3359" style="position:absolute;left:999;top:2308;width:91;height:67" coordsize="91,67" path="m46,l91,33,46,67,,33,46,xe" fillcolor="navy" strokecolor="navy">
                <v:path arrowok="t"/>
              </v:shape>
              <v:shape id="_x0000_s3360" style="position:absolute;left:999;top:2308;width:91;height:67" coordsize="91,67" path="m46,l91,33,46,67,,33,46,xe" fillcolor="navy" strokecolor="navy">
                <v:path arrowok="t"/>
              </v:shape>
              <v:shape id="_x0000_s3361" style="position:absolute;left:999;top:2308;width:91;height:67" coordsize="91,67" path="m46,l91,33,46,67,,33,46,xe" fillcolor="navy" strokecolor="navy">
                <v:path arrowok="t"/>
              </v:shape>
              <v:shape id="_x0000_s3362" style="position:absolute;left:999;top:2308;width:91;height:67" coordsize="91,67" path="m46,l91,33,46,67,,33,46,xe" fillcolor="navy" strokecolor="navy">
                <v:path arrowok="t"/>
              </v:shape>
            </v:group>
            <v:group id="_x0000_s3564" style="position:absolute;left:999;top:2297;width:91;height:78" coordorigin="999,2297" coordsize="91,78">
              <v:shape id="_x0000_s3364" style="position:absolute;left:999;top:2308;width:91;height:67" coordsize="91,67" path="m46,l91,33,46,67,,33,46,xe" fillcolor="navy" strokecolor="navy">
                <v:path arrowok="t"/>
              </v:shape>
              <v:shape id="_x0000_s3365" style="position:absolute;left:999;top:2308;width:91;height:67" coordsize="91,67" path="m46,l91,33,46,67,,33,46,xe" fillcolor="navy" strokecolor="navy">
                <v:path arrowok="t"/>
              </v:shape>
              <v:shape id="_x0000_s3366" style="position:absolute;left:999;top:2308;width:91;height:67" coordsize="91,67" path="m46,l91,33,46,67,,33,46,xe" fillcolor="navy" strokecolor="navy">
                <v:path arrowok="t"/>
              </v:shape>
              <v:shape id="_x0000_s3367" style="position:absolute;left:999;top:2308;width:91;height:67" coordsize="91,67" path="m46,l91,33,46,67,,33,46,xe" fillcolor="navy" strokecolor="navy">
                <v:path arrowok="t"/>
              </v:shape>
              <v:shape id="_x0000_s3368" style="position:absolute;left:999;top:2308;width:91;height:67" coordsize="91,67" path="m46,l91,33,46,67,,33,46,xe" fillcolor="navy" strokecolor="navy">
                <v:path arrowok="t"/>
              </v:shape>
              <v:shape id="_x0000_s3369" style="position:absolute;left:999;top:2308;width:91;height:67" coordsize="91,67" path="m46,l91,33,46,67,,33,46,xe" fillcolor="navy" strokecolor="navy">
                <v:path arrowok="t"/>
              </v:shape>
              <v:shape id="_x0000_s3370" style="position:absolute;left:999;top:2308;width:91;height:67" coordsize="91,67" path="m46,l91,33,46,67,,33,46,xe" fillcolor="navy" strokecolor="navy">
                <v:path arrowok="t"/>
              </v:shape>
              <v:shape id="_x0000_s3371" style="position:absolute;left:999;top:2308;width:91;height:67" coordsize="91,67" path="m46,l91,33,46,67,,33,46,xe" fillcolor="navy" strokecolor="navy">
                <v:path arrowok="t"/>
              </v:shape>
              <v:shape id="_x0000_s3372" style="position:absolute;left:999;top:2308;width:91;height:67" coordsize="91,67" path="m46,l91,33,46,67,,33,46,xe" fillcolor="navy" strokecolor="navy">
                <v:path arrowok="t"/>
              </v:shape>
              <v:shape id="_x0000_s3373" style="position:absolute;left:999;top:2308;width:91;height:67" coordsize="91,67" path="m46,l91,33,46,67,,33,46,xe" fillcolor="navy" strokecolor="navy">
                <v:path arrowok="t"/>
              </v:shape>
              <v:shape id="_x0000_s3374" style="position:absolute;left:999;top:2308;width:91;height:67" coordsize="91,67" path="m46,l91,33,46,67,,33,46,xe" fillcolor="navy" strokecolor="navy">
                <v:path arrowok="t"/>
              </v:shape>
              <v:shape id="_x0000_s3375" style="position:absolute;left:999;top:2308;width:91;height:67" coordsize="91,67" path="m46,l91,33,46,67,,33,46,xe" fillcolor="navy" strokecolor="navy">
                <v:path arrowok="t"/>
              </v:shape>
              <v:shape id="_x0000_s3376" style="position:absolute;left:999;top:2308;width:91;height:67" coordsize="91,67" path="m46,l91,33,46,67,,33,46,xe" fillcolor="navy" strokecolor="navy">
                <v:path arrowok="t"/>
              </v:shape>
              <v:shape id="_x0000_s3377" style="position:absolute;left:999;top:2308;width:91;height:67" coordsize="91,67" path="m46,l91,33,46,67,,33,46,xe" fillcolor="navy" strokecolor="navy">
                <v:path arrowok="t"/>
              </v:shape>
              <v:shape id="_x0000_s3378" style="position:absolute;left:999;top:2308;width:91;height:67" coordsize="91,67" path="m46,l91,33,46,67,,33,46,xe" fillcolor="navy" strokecolor="navy">
                <v:path arrowok="t"/>
              </v:shape>
              <v:shape id="_x0000_s3379" style="position:absolute;left:999;top:2308;width:91;height:67" coordsize="91,67" path="m46,l91,33,46,67,,33,46,xe" fillcolor="navy" strokecolor="navy">
                <v:path arrowok="t"/>
              </v:shape>
              <v:shape id="_x0000_s3380" style="position:absolute;left:999;top:2308;width:91;height:67" coordsize="91,67" path="m46,l91,33,46,67,,33,46,xe" fillcolor="navy" strokecolor="navy">
                <v:path arrowok="t"/>
              </v:shape>
              <v:shape id="_x0000_s3381" style="position:absolute;left:999;top:2308;width:91;height:67" coordsize="91,67" path="m46,l91,33,46,67,,33,46,xe" fillcolor="navy" strokecolor="navy">
                <v:path arrowok="t"/>
              </v:shape>
              <v:shape id="_x0000_s3382" style="position:absolute;left:999;top:2308;width:91;height:67" coordsize="91,67" path="m46,l91,33,46,67,,33,46,xe" fillcolor="navy" strokecolor="navy">
                <v:path arrowok="t"/>
              </v:shape>
              <v:shape id="_x0000_s3383" style="position:absolute;left:999;top:2308;width:91;height:67" coordsize="91,67" path="m46,l91,33,46,67,,33,46,xe" fillcolor="navy" strokecolor="navy">
                <v:path arrowok="t"/>
              </v:shape>
              <v:shape id="_x0000_s3384" style="position:absolute;left:999;top:2308;width:91;height:67" coordsize="91,67" path="m46,l91,33,46,67,,33,46,xe" fillcolor="navy" strokecolor="navy">
                <v:path arrowok="t"/>
              </v:shape>
              <v:shape id="_x0000_s3385" style="position:absolute;left:999;top:2308;width:91;height:67" coordsize="91,67" path="m46,l91,33,46,67,,33,46,xe" fillcolor="navy" strokecolor="navy">
                <v:path arrowok="t"/>
              </v:shape>
              <v:shape id="_x0000_s3386" style="position:absolute;left:999;top:2308;width:91;height:67" coordsize="91,67" path="m46,l91,33,46,67,,33,46,xe" fillcolor="navy" strokecolor="navy">
                <v:path arrowok="t"/>
              </v:shape>
              <v:shape id="_x0000_s3387" style="position:absolute;left:999;top:2308;width:91;height:67" coordsize="91,67" path="m46,l91,33,46,67,,33,46,xe" fillcolor="navy" strokecolor="navy">
                <v:path arrowok="t"/>
              </v:shape>
              <v:shape id="_x0000_s3388" style="position:absolute;left:999;top:2308;width:91;height:67" coordsize="91,67" path="m46,l91,33,46,67,,33,46,xe" fillcolor="navy" strokecolor="navy">
                <v:path arrowok="t"/>
              </v:shape>
              <v:shape id="_x0000_s3389" style="position:absolute;left:999;top:2308;width:91;height:67" coordsize="91,67" path="m46,l91,33,46,67,,33,46,xe" fillcolor="navy" strokecolor="navy">
                <v:path arrowok="t"/>
              </v:shape>
              <v:shape id="_x0000_s3390" style="position:absolute;left:999;top:2308;width:91;height:67" coordsize="91,67" path="m46,l91,33,46,67,,33,46,xe" fillcolor="navy" strokecolor="navy">
                <v:path arrowok="t"/>
              </v:shape>
              <v:shape id="_x0000_s3391" style="position:absolute;left:999;top:2308;width:91;height:67" coordsize="91,67" path="m46,l91,33,46,67,,33,46,xe" fillcolor="navy" strokecolor="navy">
                <v:path arrowok="t"/>
              </v:shape>
              <v:shape id="_x0000_s3392" style="position:absolute;left:999;top:2308;width:91;height:67" coordsize="91,67" path="m46,l91,33,46,67,,33,46,xe" fillcolor="navy" strokecolor="navy">
                <v:path arrowok="t"/>
              </v:shape>
              <v:shape id="_x0000_s3393" style="position:absolute;left:999;top:2308;width:91;height:67" coordsize="91,67" path="m46,l91,33,46,67,,33,46,xe" fillcolor="navy" strokecolor="navy">
                <v:path arrowok="t"/>
              </v:shape>
              <v:shape id="_x0000_s3394" style="position:absolute;left:999;top:2308;width:91;height:67" coordsize="91,67" path="m46,l91,33,46,67,,33,46,xe" fillcolor="navy" strokecolor="navy">
                <v:path arrowok="t"/>
              </v:shape>
              <v:shape id="_x0000_s3395" style="position:absolute;left:999;top:2308;width:91;height:67" coordsize="91,67" path="m46,l91,33,46,67,,33,46,xe" fillcolor="navy" strokecolor="navy">
                <v:path arrowok="t"/>
              </v:shape>
              <v:shape id="_x0000_s3396" style="position:absolute;left:999;top:2308;width:91;height:67" coordsize="91,67" path="m46,l91,33,46,67,,33,46,xe" fillcolor="navy" strokecolor="navy">
                <v:path arrowok="t"/>
              </v:shape>
              <v:shape id="_x0000_s3397" style="position:absolute;left:999;top:2308;width:91;height:67" coordsize="91,67" path="m46,l91,33,46,67,,33,46,xe" fillcolor="navy" strokecolor="navy">
                <v:path arrowok="t"/>
              </v:shape>
              <v:shape id="_x0000_s3398" style="position:absolute;left:999;top:2308;width:91;height:67" coordsize="91,67" path="m46,l91,33,46,67,,33,46,xe" fillcolor="navy" strokecolor="navy">
                <v:path arrowok="t"/>
              </v:shape>
              <v:shape id="_x0000_s3399" style="position:absolute;left:999;top:2308;width:91;height:67" coordsize="91,67" path="m46,l91,33,46,67,,33,46,xe" fillcolor="navy" strokecolor="navy">
                <v:path arrowok="t"/>
              </v:shape>
              <v:shape id="_x0000_s3400" style="position:absolute;left:999;top:2308;width:91;height:67" coordsize="91,67" path="m46,l91,33,46,67,,33,46,xe" fillcolor="navy" strokecolor="navy">
                <v:path arrowok="t"/>
              </v:shape>
              <v:shape id="_x0000_s3401" style="position:absolute;left:999;top:2308;width:91;height:67" coordsize="91,67" path="m46,l91,33,46,67,,33,46,xe" fillcolor="navy" strokecolor="navy">
                <v:path arrowok="t"/>
              </v:shape>
              <v:shape id="_x0000_s3402" style="position:absolute;left:999;top:2308;width:91;height:67" coordsize="91,67" path="m46,l91,33,46,67,,33,46,xe" fillcolor="navy" strokecolor="navy">
                <v:path arrowok="t"/>
              </v:shape>
              <v:shape id="_x0000_s3403" style="position:absolute;left:999;top:2308;width:91;height:67" coordsize="91,67" path="m46,l91,33,46,67,,33,46,xe" fillcolor="navy" strokecolor="navy">
                <v:path arrowok="t"/>
              </v:shape>
              <v:shape id="_x0000_s3404" style="position:absolute;left:999;top:2308;width:91;height:67" coordsize="91,67" path="m46,l91,33,46,67,,33,46,xe" fillcolor="navy" strokecolor="navy">
                <v:path arrowok="t"/>
              </v:shape>
              <v:shape id="_x0000_s3405" style="position:absolute;left:999;top:2308;width:91;height:67" coordsize="91,67" path="m46,l91,33,46,67,,33,46,xe" fillcolor="navy" strokecolor="navy">
                <v:path arrowok="t"/>
              </v:shape>
              <v:shape id="_x0000_s3406" style="position:absolute;left:999;top:2308;width:91;height:67" coordsize="91,67" path="m46,l91,33,46,67,,33,46,xe" fillcolor="navy" strokecolor="navy">
                <v:path arrowok="t"/>
              </v:shape>
              <v:shape id="_x0000_s3407" style="position:absolute;left:999;top:2308;width:91;height:67" coordsize="91,67" path="m46,l91,33,46,67,,33,46,xe" fillcolor="navy" strokecolor="navy">
                <v:path arrowok="t"/>
              </v:shape>
              <v:shape id="_x0000_s3408" style="position:absolute;left:999;top:2308;width:91;height:67" coordsize="91,67" path="m46,l91,33,46,67,,33,46,xe" fillcolor="navy" strokecolor="navy">
                <v:path arrowok="t"/>
              </v:shape>
              <v:shape id="_x0000_s3409" style="position:absolute;left:999;top:2308;width:91;height:67" coordsize="91,67" path="m46,l91,33,46,67,,33,46,xe" fillcolor="navy" strokecolor="navy">
                <v:path arrowok="t"/>
              </v:shape>
              <v:shape id="_x0000_s3410" style="position:absolute;left:999;top:2308;width:91;height:67" coordsize="91,67" path="m46,l91,33,46,67,,33,46,xe" fillcolor="navy" strokecolor="navy">
                <v:path arrowok="t"/>
              </v:shape>
              <v:shape id="_x0000_s3411" style="position:absolute;left:999;top:2308;width:91;height:67" coordsize="91,67" path="m46,l91,33,46,67,,33,46,xe" fillcolor="navy" strokecolor="navy">
                <v:path arrowok="t"/>
              </v:shape>
              <v:shape id="_x0000_s3412" style="position:absolute;left:999;top:2308;width:91;height:67" coordsize="91,67" path="m46,l91,33,46,67,,33,46,xe" fillcolor="navy" strokecolor="navy">
                <v:path arrowok="t"/>
              </v:shape>
              <v:shape id="_x0000_s3413" style="position:absolute;left:999;top:2308;width:91;height:67" coordsize="91,67" path="m46,l91,33,46,67,,33,46,xe" fillcolor="navy" strokecolor="navy">
                <v:path arrowok="t"/>
              </v:shape>
              <v:shape id="_x0000_s3414" style="position:absolute;left:999;top:2308;width:91;height:67" coordsize="91,67" path="m46,l91,33,46,67,,33,46,xe" fillcolor="navy" strokecolor="navy">
                <v:path arrowok="t"/>
              </v:shape>
              <v:shape id="_x0000_s3415" style="position:absolute;left:999;top:2308;width:91;height:67" coordsize="91,67" path="m46,l91,33,46,67,,33,46,xe" fillcolor="navy" strokecolor="navy">
                <v:path arrowok="t"/>
              </v:shape>
              <v:shape id="_x0000_s3416" style="position:absolute;left:999;top:2308;width:91;height:67" coordsize="91,67" path="m46,l91,33,46,67,,33,46,xe" fillcolor="navy" strokecolor="navy">
                <v:path arrowok="t"/>
              </v:shape>
              <v:shape id="_x0000_s3417" style="position:absolute;left:999;top:2308;width:91;height:67" coordsize="91,67" path="m46,l91,33,46,67,,33,46,xe" fillcolor="navy" strokecolor="navy">
                <v:path arrowok="t"/>
              </v:shape>
              <v:shape id="_x0000_s3418" style="position:absolute;left:999;top:2308;width:91;height:67" coordsize="91,67" path="m46,l91,33,46,67,,33,46,xe" fillcolor="navy" strokecolor="navy">
                <v:path arrowok="t"/>
              </v:shape>
              <v:shape id="_x0000_s3419" style="position:absolute;left:999;top:2308;width:91;height:67" coordsize="91,67" path="m46,l91,33,46,67,,33,46,xe" fillcolor="navy" strokecolor="navy">
                <v:path arrowok="t"/>
              </v:shape>
              <v:shape id="_x0000_s3420" style="position:absolute;left:999;top:2308;width:91;height:67" coordsize="91,67" path="m46,l91,33,46,67,,33,46,xe" fillcolor="navy" strokecolor="navy">
                <v:path arrowok="t"/>
              </v:shape>
              <v:shape id="_x0000_s3421" style="position:absolute;left:999;top:2308;width:91;height:67" coordsize="91,67" path="m46,l91,33,46,67,,33,46,xe" fillcolor="navy" strokecolor="navy">
                <v:path arrowok="t"/>
              </v:shape>
              <v:shape id="_x0000_s3422" style="position:absolute;left:999;top:2308;width:91;height:67" coordsize="91,67" path="m46,l91,33,46,67,,33,46,xe" fillcolor="navy" strokecolor="navy">
                <v:path arrowok="t"/>
              </v:shape>
              <v:shape id="_x0000_s3423" style="position:absolute;left:999;top:2308;width:91;height:67" coordsize="91,67" path="m46,l91,33,46,67,,33,46,xe" fillcolor="navy" strokecolor="navy">
                <v:path arrowok="t"/>
              </v:shape>
              <v:shape id="_x0000_s3424" style="position:absolute;left:999;top:2308;width:91;height:67" coordsize="91,67" path="m46,l91,33,46,67,,33,46,xe" fillcolor="navy" strokecolor="navy">
                <v:path arrowok="t"/>
              </v:shape>
              <v:shape id="_x0000_s3425" style="position:absolute;left:999;top:2308;width:91;height:67" coordsize="91,67" path="m46,l91,33,46,67,,33,46,xe" fillcolor="navy" strokecolor="navy">
                <v:path arrowok="t"/>
              </v:shape>
              <v:shape id="_x0000_s3426" style="position:absolute;left:999;top:2308;width:91;height:67" coordsize="91,67" path="m46,l91,33,46,67,,33,46,xe" fillcolor="navy" strokecolor="navy">
                <v:path arrowok="t"/>
              </v:shape>
              <v:shape id="_x0000_s3427" style="position:absolute;left:999;top:2308;width:91;height:67" coordsize="91,67" path="m46,l91,33,46,67,,33,46,xe" fillcolor="navy" strokecolor="navy">
                <v:path arrowok="t"/>
              </v:shape>
              <v:shape id="_x0000_s3428" style="position:absolute;left:999;top:2308;width:91;height:67" coordsize="91,67" path="m46,l91,33,46,67,,33,46,xe" fillcolor="navy" strokecolor="navy">
                <v:path arrowok="t"/>
              </v:shape>
              <v:shape id="_x0000_s3429" style="position:absolute;left:999;top:2308;width:91;height:67" coordsize="91,67" path="m46,l91,33,46,67,,33,46,xe" fillcolor="navy" strokecolor="navy">
                <v:path arrowok="t"/>
              </v:shape>
              <v:shape id="_x0000_s3430" style="position:absolute;left:999;top:2308;width:91;height:67" coordsize="91,67" path="m46,l91,33,46,67,,33,46,xe" fillcolor="navy" strokecolor="navy">
                <v:path arrowok="t"/>
              </v:shape>
              <v:shape id="_x0000_s3431" style="position:absolute;left:999;top:2308;width:91;height:67" coordsize="91,67" path="m46,l91,33,46,67,,33,46,xe" fillcolor="navy" strokecolor="navy">
                <v:path arrowok="t"/>
              </v:shape>
              <v:shape id="_x0000_s3432" style="position:absolute;left:999;top:2308;width:91;height:67" coordsize="91,67" path="m46,l91,33,46,67,,33,46,xe" fillcolor="navy" strokecolor="navy">
                <v:path arrowok="t"/>
              </v:shape>
              <v:shape id="_x0000_s3433" style="position:absolute;left:999;top:2308;width:91;height:67" coordsize="91,67" path="m46,l91,33,46,67,,33,46,xe" fillcolor="navy" strokecolor="navy">
                <v:path arrowok="t"/>
              </v:shape>
              <v:shape id="_x0000_s3434" style="position:absolute;left:999;top:2308;width:91;height:67" coordsize="91,67" path="m46,l91,33,46,67,,33,46,xe" fillcolor="navy" strokecolor="navy">
                <v:path arrowok="t"/>
              </v:shape>
              <v:shape id="_x0000_s3435" style="position:absolute;left:999;top:2308;width:91;height:67" coordsize="91,67" path="m46,l91,33,46,67,,33,46,xe" fillcolor="navy" strokecolor="navy">
                <v:path arrowok="t"/>
              </v:shape>
              <v:shape id="_x0000_s3436" style="position:absolute;left:999;top:2308;width:91;height:67" coordsize="91,67" path="m46,l91,33,46,67,,33,46,xe" fillcolor="navy" strokecolor="navy">
                <v:path arrowok="t"/>
              </v:shape>
              <v:shape id="_x0000_s3437" style="position:absolute;left:999;top:2308;width:91;height:67" coordsize="91,67" path="m46,l91,33,46,67,,33,46,xe" fillcolor="navy" strokecolor="navy">
                <v:path arrowok="t"/>
              </v:shape>
              <v:shape id="_x0000_s3438" style="position:absolute;left:999;top:2308;width:91;height:67" coordsize="91,67" path="m46,l91,33,46,67,,33,46,xe" fillcolor="navy" strokecolor="navy">
                <v:path arrowok="t"/>
              </v:shape>
              <v:shape id="_x0000_s3439" style="position:absolute;left:999;top:2308;width:91;height:67" coordsize="91,67" path="m46,l91,33,46,67,,33,46,xe" fillcolor="navy" strokecolor="navy">
                <v:path arrowok="t"/>
              </v:shape>
              <v:shape id="_x0000_s3440" style="position:absolute;left:999;top:2308;width:91;height:67" coordsize="91,67" path="m46,l91,33,46,67,,33,46,xe" fillcolor="navy" strokecolor="navy">
                <v:path arrowok="t"/>
              </v:shape>
              <v:shape id="_x0000_s3441" style="position:absolute;left:999;top:2308;width:91;height:67" coordsize="91,67" path="m46,l91,33,46,67,,33,46,xe" fillcolor="navy" strokecolor="navy">
                <v:path arrowok="t"/>
              </v:shape>
              <v:shape id="_x0000_s3442" style="position:absolute;left:999;top:2308;width:91;height:67" coordsize="91,67" path="m46,l91,33,46,67,,33,46,xe" fillcolor="navy" strokecolor="navy">
                <v:path arrowok="t"/>
              </v:shape>
              <v:shape id="_x0000_s3443" style="position:absolute;left:999;top:2308;width:91;height:67" coordsize="91,67" path="m46,l91,33,46,67,,33,46,xe" fillcolor="navy" strokecolor="navy">
                <v:path arrowok="t"/>
              </v:shape>
              <v:shape id="_x0000_s3444" style="position:absolute;left:999;top:2308;width:91;height:67" coordsize="91,67" path="m46,l91,33,46,67,,33,46,xe" fillcolor="navy" strokecolor="navy">
                <v:path arrowok="t"/>
              </v:shape>
              <v:shape id="_x0000_s3445" style="position:absolute;left:999;top:2308;width:91;height:67" coordsize="91,67" path="m46,l91,33,46,67,,33,46,xe" fillcolor="navy" strokecolor="navy">
                <v:path arrowok="t"/>
              </v:shape>
              <v:shape id="_x0000_s3446" style="position:absolute;left:999;top:2308;width:91;height:67" coordsize="91,67" path="m46,l91,33,46,67,,33,46,xe" fillcolor="navy" strokecolor="navy">
                <v:path arrowok="t"/>
              </v:shape>
              <v:shape id="_x0000_s3447" style="position:absolute;left:999;top:2308;width:91;height:67" coordsize="91,67" path="m46,l91,33,46,67,,33,46,xe" fillcolor="navy" strokecolor="navy">
                <v:path arrowok="t"/>
              </v:shape>
              <v:shape id="_x0000_s3448" style="position:absolute;left:999;top:2308;width:91;height:67" coordsize="91,67" path="m46,l91,33,46,67,,33,46,xe" fillcolor="navy" strokecolor="navy">
                <v:path arrowok="t"/>
              </v:shape>
              <v:shape id="_x0000_s3449" style="position:absolute;left:999;top:2308;width:91;height:67" coordsize="91,67" path="m46,l91,33,46,67,,33,46,xe" fillcolor="navy" strokecolor="navy">
                <v:path arrowok="t"/>
              </v:shape>
              <v:shape id="_x0000_s3450" style="position:absolute;left:999;top:2308;width:91;height:67" coordsize="91,67" path="m46,l91,33,46,67,,33,46,xe" fillcolor="navy" strokecolor="navy">
                <v:path arrowok="t"/>
              </v:shape>
              <v:shape id="_x0000_s3451" style="position:absolute;left:999;top:2308;width:91;height:67" coordsize="91,67" path="m46,l91,33,46,67,,33,46,xe" fillcolor="navy" strokecolor="navy">
                <v:path arrowok="t"/>
              </v:shape>
              <v:shape id="_x0000_s3452" style="position:absolute;left:999;top:2308;width:91;height:67" coordsize="91,67" path="m46,l91,33,46,67,,33,46,xe" fillcolor="navy" strokecolor="navy">
                <v:path arrowok="t"/>
              </v:shape>
              <v:shape id="_x0000_s3453" style="position:absolute;left:999;top:2308;width:91;height:67" coordsize="91,67" path="m46,l91,33,46,67,,33,46,xe" fillcolor="navy" strokecolor="navy">
                <v:path arrowok="t"/>
              </v:shape>
              <v:shape id="_x0000_s3454" style="position:absolute;left:999;top:2308;width:91;height:67" coordsize="91,67" path="m46,l91,33,46,67,,33,46,xe" fillcolor="navy" strokecolor="navy">
                <v:path arrowok="t"/>
              </v:shape>
              <v:shape id="_x0000_s3455" style="position:absolute;left:999;top:2308;width:91;height:67" coordsize="91,67" path="m46,l91,33,46,67,,33,46,xe" fillcolor="navy" strokecolor="navy">
                <v:path arrowok="t"/>
              </v:shape>
              <v:shape id="_x0000_s3456" style="position:absolute;left:999;top:2308;width:91;height:67" coordsize="91,67" path="m46,l91,33,46,67,,33,46,xe" fillcolor="navy" strokecolor="navy">
                <v:path arrowok="t"/>
              </v:shape>
              <v:shape id="_x0000_s3457" style="position:absolute;left:999;top:2308;width:91;height:67" coordsize="91,67" path="m46,l91,33,46,67,,33,46,xe" fillcolor="navy" strokecolor="navy">
                <v:path arrowok="t"/>
              </v:shape>
              <v:shape id="_x0000_s3458" style="position:absolute;left:999;top:2308;width:91;height:67" coordsize="91,67" path="m46,l91,33,46,67,,33,46,xe" fillcolor="navy" strokecolor="navy">
                <v:path arrowok="t"/>
              </v:shape>
              <v:shape id="_x0000_s3459" style="position:absolute;left:999;top:2308;width:91;height:67" coordsize="91,67" path="m46,l91,33,46,67,,33,46,xe" fillcolor="navy" strokecolor="navy">
                <v:path arrowok="t"/>
              </v:shape>
              <v:shape id="_x0000_s3460" style="position:absolute;left:999;top:2308;width:91;height:67" coordsize="91,67" path="m46,l91,33,46,67,,33,46,xe" fillcolor="navy" strokecolor="navy">
                <v:path arrowok="t"/>
              </v:shape>
              <v:shape id="_x0000_s3461" style="position:absolute;left:999;top:2308;width:91;height:67" coordsize="91,67" path="m46,l91,33,46,67,,33,46,xe" fillcolor="navy" strokecolor="navy">
                <v:path arrowok="t"/>
              </v:shape>
              <v:shape id="_x0000_s3462" style="position:absolute;left:999;top:2308;width:91;height:67" coordsize="91,67" path="m46,l91,33,46,67,,33,46,xe" fillcolor="navy" strokecolor="navy">
                <v:path arrowok="t"/>
              </v:shape>
              <v:shape id="_x0000_s3463" style="position:absolute;left:999;top:2308;width:91;height:67" coordsize="91,67" path="m46,l91,33,46,67,,33,46,xe" fillcolor="navy" strokecolor="navy">
                <v:path arrowok="t"/>
              </v:shape>
              <v:shape id="_x0000_s3464" style="position:absolute;left:999;top:2308;width:91;height:67" coordsize="91,67" path="m46,l91,33,46,67,,33,46,xe" fillcolor="navy" strokecolor="navy">
                <v:path arrowok="t"/>
              </v:shape>
              <v:shape id="_x0000_s3465" style="position:absolute;left:999;top:2308;width:91;height:67" coordsize="91,67" path="m46,l91,33,46,67,,33,46,xe" fillcolor="navy" strokecolor="navy">
                <v:path arrowok="t"/>
              </v:shape>
              <v:shape id="_x0000_s3466" style="position:absolute;left:999;top:2308;width:91;height:67" coordsize="91,67" path="m46,l91,33,46,67,,33,46,xe" fillcolor="navy" strokecolor="navy">
                <v:path arrowok="t"/>
              </v:shape>
              <v:shape id="_x0000_s3467" style="position:absolute;left:999;top:2308;width:91;height:67" coordsize="91,67" path="m46,l91,33,46,67,,33,46,xe" fillcolor="navy" strokecolor="navy">
                <v:path arrowok="t"/>
              </v:shape>
              <v:shape id="_x0000_s3468" style="position:absolute;left:999;top:2308;width:91;height:67" coordsize="91,67" path="m46,l91,33,46,67,,33,46,xe" fillcolor="navy" strokecolor="navy">
                <v:path arrowok="t"/>
              </v:shape>
              <v:shape id="_x0000_s3469" style="position:absolute;left:999;top:2308;width:91;height:67" coordsize="91,67" path="m46,l91,33,46,67,,33,46,xe" fillcolor="navy" strokecolor="navy">
                <v:path arrowok="t"/>
              </v:shape>
              <v:shape id="_x0000_s3470" style="position:absolute;left:999;top:2308;width:91;height:67" coordsize="91,67" path="m46,l91,33,46,67,,33,46,xe" fillcolor="navy" strokecolor="navy">
                <v:path arrowok="t"/>
              </v:shape>
              <v:shape id="_x0000_s3471" style="position:absolute;left:999;top:2308;width:91;height:67" coordsize="91,67" path="m46,l91,33,46,67,,33,46,xe" fillcolor="navy" strokecolor="navy">
                <v:path arrowok="t"/>
              </v:shape>
              <v:shape id="_x0000_s3472" style="position:absolute;left:999;top:2308;width:91;height:67" coordsize="91,67" path="m46,l91,33,46,67,,33,46,xe" fillcolor="navy" strokecolor="navy">
                <v:path arrowok="t"/>
              </v:shape>
              <v:shape id="_x0000_s3473" style="position:absolute;left:999;top:2308;width:91;height:67" coordsize="91,67" path="m46,l91,33,46,67,,33,46,xe" fillcolor="navy" strokecolor="navy">
                <v:path arrowok="t"/>
              </v:shape>
              <v:shape id="_x0000_s3474" style="position:absolute;left:999;top:2308;width:91;height:67" coordsize="91,67" path="m46,l91,33,46,67,,33,46,xe" fillcolor="navy" strokecolor="navy">
                <v:path arrowok="t"/>
              </v:shape>
              <v:shape id="_x0000_s3475" style="position:absolute;left:999;top:2308;width:91;height:67" coordsize="91,67" path="m46,l91,33,46,67,,33,46,xe" fillcolor="navy" strokecolor="navy">
                <v:path arrowok="t"/>
              </v:shape>
              <v:shape id="_x0000_s3476" style="position:absolute;left:999;top:2308;width:91;height:67" coordsize="91,67" path="m46,l91,33,46,67,,33,46,xe" fillcolor="navy" strokecolor="navy">
                <v:path arrowok="t"/>
              </v:shape>
              <v:shape id="_x0000_s3477" style="position:absolute;left:999;top:2308;width:91;height:67" coordsize="91,67" path="m46,l91,33,46,67,,33,46,xe" fillcolor="navy" strokecolor="navy">
                <v:path arrowok="t"/>
              </v:shape>
              <v:shape id="_x0000_s3478" style="position:absolute;left:999;top:2308;width:91;height:67" coordsize="91,67" path="m46,l91,33,46,67,,33,46,xe" fillcolor="navy" strokecolor="navy">
                <v:path arrowok="t"/>
              </v:shape>
              <v:shape id="_x0000_s3479" style="position:absolute;left:999;top:2308;width:91;height:67" coordsize="91,67" path="m46,l91,33,46,67,,33,46,xe" fillcolor="navy" strokecolor="navy">
                <v:path arrowok="t"/>
              </v:shape>
              <v:shape id="_x0000_s3480" style="position:absolute;left:999;top:2308;width:91;height:67" coordsize="91,67" path="m46,l91,33,46,67,,33,46,xe" fillcolor="navy" strokecolor="navy">
                <v:path arrowok="t"/>
              </v:shape>
              <v:shape id="_x0000_s3481" style="position:absolute;left:999;top:2308;width:91;height:67" coordsize="91,67" path="m46,l91,33,46,67,,33,46,xe" fillcolor="navy" strokecolor="navy">
                <v:path arrowok="t"/>
              </v:shape>
              <v:shape id="_x0000_s3482" style="position:absolute;left:999;top:2308;width:91;height:67" coordsize="91,67" path="m46,l91,33,46,67,,33,46,xe" fillcolor="navy" strokecolor="navy">
                <v:path arrowok="t"/>
              </v:shape>
              <v:shape id="_x0000_s3483" style="position:absolute;left:999;top:2308;width:91;height:67" coordsize="91,67" path="m46,l91,33,46,67,,33,46,xe" fillcolor="navy" strokecolor="navy">
                <v:path arrowok="t"/>
              </v:shape>
              <v:shape id="_x0000_s3484" style="position:absolute;left:999;top:2308;width:91;height:67" coordsize="91,67" path="m46,l91,33,46,67,,33,46,xe" fillcolor="navy" strokecolor="navy">
                <v:path arrowok="t"/>
              </v:shape>
              <v:shape id="_x0000_s3485" style="position:absolute;left:999;top:2308;width:91;height:67" coordsize="91,67" path="m46,l91,33,46,67,,33,46,xe" fillcolor="navy" strokecolor="navy">
                <v:path arrowok="t"/>
              </v:shape>
              <v:shape id="_x0000_s3486" style="position:absolute;left:999;top:2308;width:91;height:67" coordsize="91,67" path="m46,l91,33,46,67,,33,46,xe" fillcolor="navy" strokecolor="navy">
                <v:path arrowok="t"/>
              </v:shape>
              <v:shape id="_x0000_s3487" style="position:absolute;left:999;top:2308;width:91;height:67" coordsize="91,67" path="m46,l91,33,46,67,,33,46,xe" fillcolor="navy" strokecolor="navy">
                <v:path arrowok="t"/>
              </v:shape>
              <v:shape id="_x0000_s3488" style="position:absolute;left:999;top:2308;width:91;height:67" coordsize="91,67" path="m46,l91,33,46,67,,33,46,xe" fillcolor="navy" strokecolor="navy">
                <v:path arrowok="t"/>
              </v:shape>
              <v:shape id="_x0000_s3489" style="position:absolute;left:999;top:2308;width:91;height:67" coordsize="91,67" path="m46,l91,33,46,67,,33,46,xe" fillcolor="navy" strokecolor="navy">
                <v:path arrowok="t"/>
              </v:shape>
              <v:shape id="_x0000_s3490" style="position:absolute;left:999;top:2308;width:91;height:67" coordsize="91,67" path="m46,l91,33,46,67,,33,46,xe" fillcolor="navy" strokecolor="navy">
                <v:path arrowok="t"/>
              </v:shape>
              <v:shape id="_x0000_s3491" style="position:absolute;left:999;top:2308;width:91;height:67" coordsize="91,67" path="m46,l91,33,46,67,,33,46,xe" fillcolor="navy" strokecolor="navy">
                <v:path arrowok="t"/>
              </v:shape>
              <v:shape id="_x0000_s3492" style="position:absolute;left:999;top:2308;width:91;height:67" coordsize="91,67" path="m46,l91,33,46,67,,33,46,xe" fillcolor="navy" strokecolor="navy">
                <v:path arrowok="t"/>
              </v:shape>
              <v:shape id="_x0000_s3493" style="position:absolute;left:999;top:2308;width:91;height:67" coordsize="91,67" path="m46,l91,33,46,67,,33,46,xe" fillcolor="navy" strokecolor="navy">
                <v:path arrowok="t"/>
              </v:shape>
              <v:shape id="_x0000_s3494" style="position:absolute;left:999;top:2308;width:91;height:67" coordsize="91,67" path="m46,l91,33,46,67,,33,46,xe" fillcolor="navy" strokecolor="navy">
                <v:path arrowok="t"/>
              </v:shape>
              <v:shape id="_x0000_s3495" style="position:absolute;left:999;top:2308;width:91;height:67" coordsize="91,67" path="m46,l91,33,46,67,,33,46,xe" fillcolor="navy" strokecolor="navy">
                <v:path arrowok="t"/>
              </v:shape>
              <v:shape id="_x0000_s3496" style="position:absolute;left:999;top:2308;width:91;height:67" coordsize="91,67" path="m46,l91,33,46,67,,33,46,xe" fillcolor="navy" strokecolor="navy">
                <v:path arrowok="t"/>
              </v:shape>
              <v:shape id="_x0000_s3497" style="position:absolute;left:999;top:2308;width:91;height:67" coordsize="91,67" path="m46,l91,33,46,67,,33,46,xe" fillcolor="navy" strokecolor="navy">
                <v:path arrowok="t"/>
              </v:shape>
              <v:shape id="_x0000_s3498" style="position:absolute;left:999;top:2308;width:91;height:67" coordsize="91,67" path="m46,l91,33,46,67,,33,46,xe" fillcolor="navy" strokecolor="navy">
                <v:path arrowok="t"/>
              </v:shape>
              <v:shape id="_x0000_s3499" style="position:absolute;left:999;top:2308;width:91;height:67" coordsize="91,67" path="m46,l91,33,46,67,,33,46,xe" fillcolor="navy" strokecolor="navy">
                <v:path arrowok="t"/>
              </v:shape>
              <v:shape id="_x0000_s3500" style="position:absolute;left:999;top:2308;width:91;height:67" coordsize="91,67" path="m46,l91,33,46,67,,33,46,xe" fillcolor="navy" strokecolor="navy">
                <v:path arrowok="t"/>
              </v:shape>
              <v:shape id="_x0000_s3501" style="position:absolute;left:999;top:2308;width:91;height:67" coordsize="91,67" path="m46,l91,33,46,67,,33,46,xe" fillcolor="navy" strokecolor="navy">
                <v:path arrowok="t"/>
              </v:shape>
              <v:shape id="_x0000_s3502" style="position:absolute;left:999;top:2308;width:91;height:67" coordsize="91,67" path="m46,l91,33,46,67,,33,46,xe" fillcolor="navy" strokecolor="navy">
                <v:path arrowok="t"/>
              </v:shape>
              <v:shape id="_x0000_s3503" style="position:absolute;left:999;top:2308;width:91;height:67" coordsize="91,67" path="m46,l91,33,46,67,,33,46,xe" fillcolor="navy" strokecolor="navy">
                <v:path arrowok="t"/>
              </v:shape>
              <v:shape id="_x0000_s3504" style="position:absolute;left:999;top:2308;width:91;height:67" coordsize="91,67" path="m46,l91,33,46,67,,33,46,xe" fillcolor="navy" strokecolor="navy">
                <v:path arrowok="t"/>
              </v:shape>
              <v:shape id="_x0000_s3505" style="position:absolute;left:999;top:2308;width:91;height:67" coordsize="91,67" path="m46,l91,33,46,67,,33,46,xe" fillcolor="navy" strokecolor="navy">
                <v:path arrowok="t"/>
              </v:shape>
              <v:shape id="_x0000_s3506" style="position:absolute;left:999;top:2308;width:91;height:67" coordsize="91,67" path="m46,l91,33,46,67,,33,46,xe" fillcolor="navy" strokecolor="navy">
                <v:path arrowok="t"/>
              </v:shape>
              <v:shape id="_x0000_s3507" style="position:absolute;left:999;top:2308;width:91;height:67" coordsize="91,67" path="m46,l91,33,46,67,,33,46,xe" fillcolor="navy" strokecolor="navy">
                <v:path arrowok="t"/>
              </v:shape>
              <v:shape id="_x0000_s3508" style="position:absolute;left:999;top:2308;width:91;height:67" coordsize="91,67" path="m46,l91,33,46,67,,33,46,xe" fillcolor="navy" strokecolor="navy">
                <v:path arrowok="t"/>
              </v:shape>
              <v:shape id="_x0000_s3509" style="position:absolute;left:999;top:2308;width:91;height:67" coordsize="91,67" path="m46,l91,33,46,67,,33,46,xe" fillcolor="navy" strokecolor="navy">
                <v:path arrowok="t"/>
              </v:shape>
              <v:shape id="_x0000_s3510" style="position:absolute;left:999;top:2308;width:91;height:67" coordsize="91,67" path="m46,l91,33,46,67,,33,46,xe" fillcolor="navy" strokecolor="navy">
                <v:path arrowok="t"/>
              </v:shape>
              <v:shape id="_x0000_s3511" style="position:absolute;left:999;top:2308;width:91;height:67" coordsize="91,67" path="m46,l91,33,46,67,,33,46,xe" fillcolor="navy" strokecolor="navy">
                <v:path arrowok="t"/>
              </v:shape>
              <v:shape id="_x0000_s3512" style="position:absolute;left:999;top:2308;width:91;height:67" coordsize="91,67" path="m46,l91,33,46,67,,33,46,xe" fillcolor="navy" strokecolor="navy">
                <v:path arrowok="t"/>
              </v:shape>
              <v:shape id="_x0000_s3513" style="position:absolute;left:999;top:2308;width:91;height:67" coordsize="91,67" path="m46,l91,33,46,67,,33,46,xe" fillcolor="navy" strokecolor="navy">
                <v:path arrowok="t"/>
              </v:shape>
              <v:shape id="_x0000_s3514" style="position:absolute;left:999;top:2308;width:91;height:67" coordsize="91,67" path="m46,l91,33,46,67,,33,46,xe" fillcolor="navy" strokecolor="navy">
                <v:path arrowok="t"/>
              </v:shape>
              <v:shape id="_x0000_s3515" style="position:absolute;left:999;top:2308;width:91;height:67" coordsize="91,67" path="m46,l91,33,46,67,,33,46,xe" fillcolor="navy" strokecolor="navy">
                <v:path arrowok="t"/>
              </v:shape>
              <v:shape id="_x0000_s3516" style="position:absolute;left:999;top:2308;width:91;height:67" coordsize="91,67" path="m46,l91,33,46,67,,33,46,xe" fillcolor="navy" strokecolor="navy">
                <v:path arrowok="t"/>
              </v:shape>
              <v:shape id="_x0000_s3517" style="position:absolute;left:999;top:2308;width:91;height:67" coordsize="91,67" path="m46,l91,33,46,67,,33,46,xe" fillcolor="navy" strokecolor="navy">
                <v:path arrowok="t"/>
              </v:shape>
              <v:shape id="_x0000_s3518" style="position:absolute;left:999;top:2308;width:91;height:67" coordsize="91,67" path="m46,l91,33,46,67,,33,46,xe" fillcolor="navy" strokecolor="navy">
                <v:path arrowok="t"/>
              </v:shape>
              <v:shape id="_x0000_s3519" style="position:absolute;left:999;top:2308;width:91;height:67" coordsize="91,67" path="m46,l91,33,46,67,,33,46,xe" fillcolor="navy" strokecolor="navy">
                <v:path arrowok="t"/>
              </v:shape>
              <v:shape id="_x0000_s3520" style="position:absolute;left:999;top:2308;width:91;height:67" coordsize="91,67" path="m46,l91,33,46,67,,33,46,xe" fillcolor="navy" strokecolor="navy">
                <v:path arrowok="t"/>
              </v:shape>
              <v:shape id="_x0000_s3521" style="position:absolute;left:999;top:2308;width:91;height:67" coordsize="91,67" path="m46,l91,33,46,67,,33,46,xe" fillcolor="navy" strokecolor="navy">
                <v:path arrowok="t"/>
              </v:shape>
              <v:shape id="_x0000_s3522" style="position:absolute;left:999;top:2308;width:91;height:67" coordsize="91,67" path="m46,l91,33,46,67,,33,46,xe" fillcolor="navy" strokecolor="navy">
                <v:path arrowok="t"/>
              </v:shape>
              <v:shape id="_x0000_s3523" style="position:absolute;left:999;top:2308;width:91;height:67" coordsize="91,67" path="m46,l91,33,46,67,,33,46,xe" fillcolor="navy" strokecolor="navy">
                <v:path arrowok="t"/>
              </v:shape>
              <v:shape id="_x0000_s3524" style="position:absolute;left:999;top:2308;width:91;height:67" coordsize="91,67" path="m46,l91,33,46,67,,33,46,xe" fillcolor="navy" strokecolor="navy">
                <v:path arrowok="t"/>
              </v:shape>
              <v:shape id="_x0000_s3525" style="position:absolute;left:999;top:2308;width:91;height:67" coordsize="91,67" path="m46,l91,33,46,67,,33,46,xe" fillcolor="navy" strokecolor="navy">
                <v:path arrowok="t"/>
              </v:shape>
              <v:shape id="_x0000_s3526" style="position:absolute;left:999;top:2308;width:91;height:67" coordsize="91,67" path="m46,l91,33,46,67,,33,46,xe" fillcolor="navy" strokecolor="navy">
                <v:path arrowok="t"/>
              </v:shape>
              <v:shape id="_x0000_s3527" style="position:absolute;left:999;top:2308;width:91;height:67" coordsize="91,67" path="m46,l91,33,46,67,,33,46,xe" fillcolor="navy" strokecolor="navy">
                <v:path arrowok="t"/>
              </v:shape>
              <v:shape id="_x0000_s3528" style="position:absolute;left:999;top:2308;width:91;height:67" coordsize="91,67" path="m46,l91,33,46,67,,33,46,xe" fillcolor="navy" strokecolor="navy">
                <v:path arrowok="t"/>
              </v:shape>
              <v:shape id="_x0000_s3529" style="position:absolute;left:999;top:2308;width:91;height:67" coordsize="91,67" path="m46,l91,33,46,67,,33,46,xe" fillcolor="navy" strokecolor="navy">
                <v:path arrowok="t"/>
              </v:shape>
              <v:shape id="_x0000_s3530" style="position:absolute;left:999;top:2308;width:91;height:67" coordsize="91,67" path="m46,l91,33,46,67,,33,46,xe" fillcolor="navy" strokecolor="navy">
                <v:path arrowok="t"/>
              </v:shape>
              <v:shape id="_x0000_s3531" style="position:absolute;left:999;top:2308;width:91;height:67" coordsize="91,67" path="m46,l91,33,46,67,,33,46,xe" fillcolor="navy" strokecolor="navy">
                <v:path arrowok="t"/>
              </v:shape>
              <v:shape id="_x0000_s3532" style="position:absolute;left:999;top:2308;width:91;height:67" coordsize="91,67" path="m46,l91,33,46,67,,33,46,xe" fillcolor="navy" strokecolor="navy">
                <v:path arrowok="t"/>
              </v:shape>
              <v:shape id="_x0000_s3533" style="position:absolute;left:999;top:2308;width:91;height:67" coordsize="91,67" path="m46,l91,33,46,67,,33,46,xe" fillcolor="navy" strokecolor="navy">
                <v:path arrowok="t"/>
              </v:shape>
              <v:shape id="_x0000_s3534" style="position:absolute;left:999;top:2308;width:91;height:67" coordsize="91,67" path="m46,l91,33,46,67,,33,46,xe" fillcolor="navy" strokecolor="navy">
                <v:path arrowok="t"/>
              </v:shape>
              <v:shape id="_x0000_s3535" style="position:absolute;left:999;top:2308;width:91;height:67" coordsize="91,67" path="m46,l91,33,46,67,,33,46,xe" fillcolor="navy" strokecolor="navy">
                <v:path arrowok="t"/>
              </v:shape>
              <v:shape id="_x0000_s3536" style="position:absolute;left:999;top:2308;width:91;height:67" coordsize="91,67" path="m46,l91,33,46,67,,33,46,xe" fillcolor="navy" strokecolor="navy">
                <v:path arrowok="t"/>
              </v:shape>
              <v:shape id="_x0000_s3537" style="position:absolute;left:999;top:2308;width:91;height:67" coordsize="91,67" path="m46,l91,33,46,67,,33,46,xe" fillcolor="navy" strokecolor="navy">
                <v:path arrowok="t"/>
              </v:shape>
              <v:shape id="_x0000_s3538" style="position:absolute;left:999;top:2308;width:91;height:67" coordsize="91,67" path="m46,l91,33,46,67,,33,46,xe" fillcolor="navy" strokecolor="navy">
                <v:path arrowok="t"/>
              </v:shape>
              <v:shape id="_x0000_s3539" style="position:absolute;left:999;top:2308;width:91;height:67" coordsize="91,67" path="m46,l91,33,46,67,,33,46,xe" fillcolor="navy" strokecolor="navy">
                <v:path arrowok="t"/>
              </v:shape>
              <v:shape id="_x0000_s3540" style="position:absolute;left:999;top:2308;width:91;height:67" coordsize="91,67" path="m46,l91,33,46,67,,33,46,xe" fillcolor="navy" strokecolor="navy">
                <v:path arrowok="t"/>
              </v:shape>
              <v:shape id="_x0000_s3541" style="position:absolute;left:999;top:2308;width:91;height:67" coordsize="91,67" path="m46,l91,33,46,67,,33,46,xe" fillcolor="navy" strokecolor="navy">
                <v:path arrowok="t"/>
              </v:shape>
              <v:shape id="_x0000_s3542" style="position:absolute;left:999;top:2308;width:91;height:67" coordsize="91,67" path="m46,l91,33,46,67,,33,46,xe" fillcolor="navy" strokecolor="navy">
                <v:path arrowok="t"/>
              </v:shape>
              <v:shape id="_x0000_s3543" style="position:absolute;left:999;top:2308;width:91;height:67" coordsize="91,67" path="m46,l91,33,46,67,,33,46,xe" fillcolor="navy" strokecolor="navy">
                <v:path arrowok="t"/>
              </v:shape>
              <v:shape id="_x0000_s3544" style="position:absolute;left:999;top:2308;width:91;height:67" coordsize="91,67" path="m46,l91,33,46,67,,33,46,xe" fillcolor="navy" strokecolor="navy">
                <v:path arrowok="t"/>
              </v:shape>
              <v:shape id="_x0000_s3545" style="position:absolute;left:999;top:2308;width:91;height:67" coordsize="91,67" path="m46,l91,33,46,67,,33,46,xe" fillcolor="navy" strokecolor="navy">
                <v:path arrowok="t"/>
              </v:shape>
              <v:shape id="_x0000_s3546" style="position:absolute;left:999;top:2308;width:91;height:67" coordsize="91,67" path="m46,l91,33,46,67,,33,46,xe" fillcolor="navy" strokecolor="navy">
                <v:path arrowok="t"/>
              </v:shape>
              <v:shape id="_x0000_s3547" style="position:absolute;left:999;top:2308;width:91;height:67" coordsize="91,67" path="m46,l91,33,46,67,,33,46,xe" fillcolor="navy" strokecolor="navy">
                <v:path arrowok="t"/>
              </v:shape>
              <v:shape id="_x0000_s3548" style="position:absolute;left:999;top:2308;width:91;height:67" coordsize="91,67" path="m46,l91,33,46,67,,33,46,xe" fillcolor="navy" strokecolor="navy">
                <v:path arrowok="t"/>
              </v:shape>
              <v:shape id="_x0000_s3549" style="position:absolute;left:999;top:2308;width:91;height:67" coordsize="91,67" path="m46,l91,33,46,67,,33,46,xe" fillcolor="navy" strokecolor="navy">
                <v:path arrowok="t"/>
              </v:shape>
              <v:shape id="_x0000_s3550" style="position:absolute;left:999;top:2308;width:91;height:67" coordsize="91,67" path="m46,l91,33,46,67,,33,46,xe" fillcolor="navy" strokecolor="navy">
                <v:path arrowok="t"/>
              </v:shape>
              <v:shape id="_x0000_s3551" style="position:absolute;left:999;top:2308;width:91;height:67" coordsize="91,67" path="m46,l91,33,46,67,,33,46,xe" fillcolor="navy" strokecolor="navy">
                <v:path arrowok="t"/>
              </v:shape>
              <v:shape id="_x0000_s3552" style="position:absolute;left:999;top:2308;width:91;height:67" coordsize="91,67" path="m46,l91,33,46,67,,33,46,xe" fillcolor="navy" strokecolor="navy">
                <v:path arrowok="t"/>
              </v:shape>
              <v:shape id="_x0000_s3553" style="position:absolute;left:999;top:2308;width:91;height:67" coordsize="91,67" path="m46,l91,33,46,67,,33,46,xe" fillcolor="navy" strokecolor="navy">
                <v:path arrowok="t"/>
              </v:shape>
              <v:shape id="_x0000_s3554" style="position:absolute;left:999;top:2308;width:91;height:67" coordsize="91,67" path="m46,l91,33,46,67,,33,46,xe" fillcolor="navy" strokecolor="navy">
                <v:path arrowok="t"/>
              </v:shape>
              <v:shape id="_x0000_s3555" style="position:absolute;left:999;top:2308;width:91;height:67" coordsize="91,67" path="m46,l91,33,46,67,,33,46,xe" fillcolor="navy" strokecolor="navy">
                <v:path arrowok="t"/>
              </v:shape>
              <v:shape id="_x0000_s3556" style="position:absolute;left:999;top:2297;width:91;height:67" coordsize="91,67" path="m46,l91,33,46,67,,33,46,xe" fillcolor="navy" strokecolor="navy">
                <v:path arrowok="t"/>
              </v:shape>
              <v:shape id="_x0000_s3557" style="position:absolute;left:999;top:2297;width:91;height:67" coordsize="91,67" path="m46,l91,33,46,67,,33,46,xe" fillcolor="navy" strokecolor="navy">
                <v:path arrowok="t"/>
              </v:shape>
              <v:shape id="_x0000_s3558" style="position:absolute;left:999;top:2297;width:91;height:67" coordsize="91,67" path="m46,l91,33,46,67,,33,46,xe" fillcolor="navy" strokecolor="navy">
                <v:path arrowok="t"/>
              </v:shape>
              <v:shape id="_x0000_s3559" style="position:absolute;left:999;top:2297;width:91;height:67" coordsize="91,67" path="m46,l91,33,46,67,,33,46,xe" fillcolor="navy" strokecolor="navy">
                <v:path arrowok="t"/>
              </v:shape>
              <v:shape id="_x0000_s3560" style="position:absolute;left:999;top:2297;width:91;height:67" coordsize="91,67" path="m46,l91,33,46,67,,33,46,xe" fillcolor="navy" strokecolor="navy">
                <v:path arrowok="t"/>
              </v:shape>
              <v:shape id="_x0000_s3561" style="position:absolute;left:999;top:2297;width:91;height:67" coordsize="91,67" path="m46,l91,33,46,67,,33,46,xe" fillcolor="navy" strokecolor="navy">
                <v:path arrowok="t"/>
              </v:shape>
              <v:shape id="_x0000_s3562" style="position:absolute;left:999;top:2297;width:91;height:67" coordsize="91,67" path="m46,l91,33,46,67,,33,46,xe" fillcolor="navy" strokecolor="navy">
                <v:path arrowok="t"/>
              </v:shape>
              <v:shape id="_x0000_s3563" style="position:absolute;left:999;top:2297;width:91;height:67" coordsize="91,67" path="m46,l91,33,46,67,,33,46,xe" fillcolor="navy" strokecolor="navy">
                <v:path arrowok="t"/>
              </v:shape>
            </v:group>
            <v:group id="_x0000_s3765" style="position:absolute;left:999;top:2286;width:91;height:78" coordorigin="999,2286" coordsize="91,78">
              <v:shape id="_x0000_s3565" style="position:absolute;left:999;top:2297;width:91;height:67" coordsize="91,67" path="m46,l91,33,46,67,,33,46,xe" fillcolor="navy" strokecolor="navy">
                <v:path arrowok="t"/>
              </v:shape>
              <v:shape id="_x0000_s3566" style="position:absolute;left:999;top:2297;width:91;height:67" coordsize="91,67" path="m46,l91,33,46,67,,33,46,xe" fillcolor="navy" strokecolor="navy">
                <v:path arrowok="t"/>
              </v:shape>
              <v:shape id="_x0000_s3567" style="position:absolute;left:999;top:2297;width:91;height:67" coordsize="91,67" path="m46,l91,33,46,67,,33,46,xe" fillcolor="navy" strokecolor="navy">
                <v:path arrowok="t"/>
              </v:shape>
              <v:shape id="_x0000_s3568" style="position:absolute;left:999;top:2297;width:91;height:67" coordsize="91,67" path="m46,l91,33,46,67,,33,46,xe" fillcolor="navy" strokecolor="navy">
                <v:path arrowok="t"/>
              </v:shape>
              <v:shape id="_x0000_s3569" style="position:absolute;left:999;top:2297;width:91;height:67" coordsize="91,67" path="m46,l91,33,46,67,,33,46,xe" fillcolor="navy" strokecolor="navy">
                <v:path arrowok="t"/>
              </v:shape>
              <v:shape id="_x0000_s3570" style="position:absolute;left:999;top:2297;width:91;height:67" coordsize="91,67" path="m46,l91,33,46,67,,33,46,xe" fillcolor="navy" strokecolor="navy">
                <v:path arrowok="t"/>
              </v:shape>
              <v:shape id="_x0000_s3571" style="position:absolute;left:999;top:2297;width:91;height:67" coordsize="91,67" path="m46,l91,33,46,67,,33,46,xe" fillcolor="navy" strokecolor="navy">
                <v:path arrowok="t"/>
              </v:shape>
              <v:shape id="_x0000_s3572" style="position:absolute;left:999;top:2297;width:91;height:67" coordsize="91,67" path="m46,l91,33,46,67,,33,46,xe" fillcolor="navy" strokecolor="navy">
                <v:path arrowok="t"/>
              </v:shape>
              <v:shape id="_x0000_s3573" style="position:absolute;left:999;top:2297;width:91;height:67" coordsize="91,67" path="m46,l91,33,46,67,,33,46,xe" fillcolor="navy" strokecolor="navy">
                <v:path arrowok="t"/>
              </v:shape>
              <v:shape id="_x0000_s3574" style="position:absolute;left:999;top:2297;width:91;height:67" coordsize="91,67" path="m46,l91,33,46,67,,33,46,xe" fillcolor="navy" strokecolor="navy">
                <v:path arrowok="t"/>
              </v:shape>
              <v:shape id="_x0000_s3575" style="position:absolute;left:999;top:2297;width:91;height:67" coordsize="91,67" path="m46,l91,33,46,67,,33,46,xe" fillcolor="navy" strokecolor="navy">
                <v:path arrowok="t"/>
              </v:shape>
              <v:shape id="_x0000_s3576" style="position:absolute;left:999;top:2297;width:91;height:67" coordsize="91,67" path="m46,l91,33,46,67,,33,46,xe" fillcolor="navy" strokecolor="navy">
                <v:path arrowok="t"/>
              </v:shape>
              <v:shape id="_x0000_s3577" style="position:absolute;left:999;top:2297;width:91;height:67" coordsize="91,67" path="m46,l91,33,46,67,,33,46,xe" fillcolor="navy" strokecolor="navy">
                <v:path arrowok="t"/>
              </v:shape>
              <v:shape id="_x0000_s3578" style="position:absolute;left:999;top:2297;width:91;height:67" coordsize="91,67" path="m46,l91,33,46,67,,33,46,xe" fillcolor="navy" strokecolor="navy">
                <v:path arrowok="t"/>
              </v:shape>
              <v:shape id="_x0000_s3579" style="position:absolute;left:999;top:2297;width:91;height:67" coordsize="91,67" path="m46,l91,33,46,67,,33,46,xe" fillcolor="navy" strokecolor="navy">
                <v:path arrowok="t"/>
              </v:shape>
              <v:shape id="_x0000_s3580" style="position:absolute;left:999;top:2297;width:91;height:67" coordsize="91,67" path="m46,l91,33,46,67,,33,46,xe" fillcolor="navy" strokecolor="navy">
                <v:path arrowok="t"/>
              </v:shape>
              <v:shape id="_x0000_s3581" style="position:absolute;left:999;top:2297;width:91;height:67" coordsize="91,67" path="m46,l91,33,46,67,,33,46,xe" fillcolor="navy" strokecolor="navy">
                <v:path arrowok="t"/>
              </v:shape>
              <v:shape id="_x0000_s3582" style="position:absolute;left:999;top:2297;width:91;height:67" coordsize="91,67" path="m46,l91,33,46,67,,33,46,xe" fillcolor="navy" strokecolor="navy">
                <v:path arrowok="t"/>
              </v:shape>
              <v:shape id="_x0000_s3583" style="position:absolute;left:999;top:2297;width:91;height:67" coordsize="91,67" path="m46,l91,33,46,67,,33,46,xe" fillcolor="navy" strokecolor="navy">
                <v:path arrowok="t"/>
              </v:shape>
              <v:shape id="_x0000_s3584" style="position:absolute;left:999;top:2297;width:91;height:67" coordsize="91,67" path="m46,l91,33,46,67,,33,46,xe" fillcolor="navy" strokecolor="navy">
                <v:path arrowok="t"/>
              </v:shape>
              <v:shape id="_x0000_s3585" style="position:absolute;left:999;top:2297;width:91;height:67" coordsize="91,67" path="m46,l91,33,46,67,,33,46,xe" fillcolor="navy" strokecolor="navy">
                <v:path arrowok="t"/>
              </v:shape>
              <v:shape id="_x0000_s3586" style="position:absolute;left:999;top:2297;width:91;height:67" coordsize="91,67" path="m46,l91,33,46,67,,33,46,xe" fillcolor="navy" strokecolor="navy">
                <v:path arrowok="t"/>
              </v:shape>
              <v:shape id="_x0000_s3587" style="position:absolute;left:999;top:2297;width:91;height:67" coordsize="91,67" path="m46,l91,33,46,67,,33,46,xe" fillcolor="navy" strokecolor="navy">
                <v:path arrowok="t"/>
              </v:shape>
              <v:shape id="_x0000_s3588" style="position:absolute;left:999;top:2297;width:91;height:67" coordsize="91,67" path="m46,l91,33,46,67,,33,46,xe" fillcolor="navy" strokecolor="navy">
                <v:path arrowok="t"/>
              </v:shape>
              <v:shape id="_x0000_s3589" style="position:absolute;left:999;top:2297;width:91;height:67" coordsize="91,67" path="m46,l91,33,46,67,,33,46,xe" fillcolor="navy" strokecolor="navy">
                <v:path arrowok="t"/>
              </v:shape>
              <v:shape id="_x0000_s3590" style="position:absolute;left:999;top:2297;width:91;height:67" coordsize="91,67" path="m46,l91,33,46,67,,33,46,xe" fillcolor="navy" strokecolor="navy">
                <v:path arrowok="t"/>
              </v:shape>
              <v:shape id="_x0000_s3591" style="position:absolute;left:999;top:2297;width:91;height:67" coordsize="91,67" path="m46,l91,33,46,67,,33,46,xe" fillcolor="navy" strokecolor="navy">
                <v:path arrowok="t"/>
              </v:shape>
              <v:shape id="_x0000_s3592" style="position:absolute;left:999;top:2297;width:91;height:67" coordsize="91,67" path="m46,l91,33,46,67,,33,46,xe" fillcolor="navy" strokecolor="navy">
                <v:path arrowok="t"/>
              </v:shape>
              <v:shape id="_x0000_s3593" style="position:absolute;left:999;top:2297;width:91;height:67" coordsize="91,67" path="m46,l91,33,46,67,,33,46,xe" fillcolor="navy" strokecolor="navy">
                <v:path arrowok="t"/>
              </v:shape>
              <v:shape id="_x0000_s3594" style="position:absolute;left:999;top:2297;width:91;height:67" coordsize="91,67" path="m46,l91,33,46,67,,33,46,xe" fillcolor="navy" strokecolor="navy">
                <v:path arrowok="t"/>
              </v:shape>
              <v:shape id="_x0000_s3595" style="position:absolute;left:999;top:2297;width:91;height:67" coordsize="91,67" path="m46,l91,33,46,67,,33,46,xe" fillcolor="navy" strokecolor="navy">
                <v:path arrowok="t"/>
              </v:shape>
              <v:shape id="_x0000_s3596" style="position:absolute;left:999;top:2297;width:91;height:67" coordsize="91,67" path="m46,l91,33,46,67,,33,46,xe" fillcolor="navy" strokecolor="navy">
                <v:path arrowok="t"/>
              </v:shape>
              <v:shape id="_x0000_s3597" style="position:absolute;left:999;top:2297;width:91;height:67" coordsize="91,67" path="m46,l91,33,46,67,,33,46,xe" fillcolor="navy" strokecolor="navy">
                <v:path arrowok="t"/>
              </v:shape>
              <v:shape id="_x0000_s3598" style="position:absolute;left:999;top:2297;width:91;height:67" coordsize="91,67" path="m46,l91,33,46,67,,33,46,xe" fillcolor="navy" strokecolor="navy">
                <v:path arrowok="t"/>
              </v:shape>
              <v:shape id="_x0000_s3599" style="position:absolute;left:999;top:2297;width:91;height:67" coordsize="91,67" path="m46,l91,33,46,67,,33,46,xe" fillcolor="navy" strokecolor="navy">
                <v:path arrowok="t"/>
              </v:shape>
              <v:shape id="_x0000_s3600" style="position:absolute;left:999;top:2297;width:91;height:67" coordsize="91,67" path="m46,l91,33,46,67,,33,46,xe" fillcolor="navy" strokecolor="navy">
                <v:path arrowok="t"/>
              </v:shape>
              <v:shape id="_x0000_s3601" style="position:absolute;left:999;top:2297;width:91;height:67" coordsize="91,67" path="m46,l91,33,46,67,,33,46,xe" fillcolor="navy" strokecolor="navy">
                <v:path arrowok="t"/>
              </v:shape>
              <v:shape id="_x0000_s3602" style="position:absolute;left:999;top:2297;width:91;height:67" coordsize="91,67" path="m46,l91,33,46,67,,33,46,xe" fillcolor="navy" strokecolor="navy">
                <v:path arrowok="t"/>
              </v:shape>
              <v:shape id="_x0000_s3603" style="position:absolute;left:999;top:2297;width:91;height:67" coordsize="91,67" path="m46,l91,33,46,67,,33,46,xe" fillcolor="navy" strokecolor="navy">
                <v:path arrowok="t"/>
              </v:shape>
              <v:shape id="_x0000_s3604" style="position:absolute;left:999;top:2297;width:91;height:67" coordsize="91,67" path="m46,l91,33,46,67,,33,46,xe" fillcolor="navy" strokecolor="navy">
                <v:path arrowok="t"/>
              </v:shape>
              <v:shape id="_x0000_s3605" style="position:absolute;left:999;top:2297;width:91;height:67" coordsize="91,67" path="m46,l91,33,46,67,,33,46,xe" fillcolor="navy" strokecolor="navy">
                <v:path arrowok="t"/>
              </v:shape>
              <v:shape id="_x0000_s3606" style="position:absolute;left:999;top:2297;width:91;height:67" coordsize="91,67" path="m46,l91,33,46,67,,33,46,xe" fillcolor="navy" strokecolor="navy">
                <v:path arrowok="t"/>
              </v:shape>
              <v:shape id="_x0000_s3607" style="position:absolute;left:999;top:2297;width:91;height:67" coordsize="91,67" path="m46,l91,33,46,67,,33,46,xe" fillcolor="navy" strokecolor="navy">
                <v:path arrowok="t"/>
              </v:shape>
              <v:shape id="_x0000_s3608" style="position:absolute;left:999;top:2297;width:91;height:67" coordsize="91,67" path="m46,l91,33,46,67,,33,46,xe" fillcolor="navy" strokecolor="navy">
                <v:path arrowok="t"/>
              </v:shape>
              <v:shape id="_x0000_s3609" style="position:absolute;left:999;top:2297;width:91;height:67" coordsize="91,67" path="m46,l91,33,46,67,,33,46,xe" fillcolor="navy" strokecolor="navy">
                <v:path arrowok="t"/>
              </v:shape>
              <v:shape id="_x0000_s3610" style="position:absolute;left:999;top:2297;width:91;height:67" coordsize="91,67" path="m46,l91,33,46,67,,33,46,xe" fillcolor="navy" strokecolor="navy">
                <v:path arrowok="t"/>
              </v:shape>
              <v:shape id="_x0000_s3611" style="position:absolute;left:999;top:2297;width:91;height:67" coordsize="91,67" path="m46,l91,33,46,67,,33,46,xe" fillcolor="navy" strokecolor="navy">
                <v:path arrowok="t"/>
              </v:shape>
              <v:shape id="_x0000_s3612" style="position:absolute;left:999;top:2297;width:91;height:67" coordsize="91,67" path="m46,l91,33,46,67,,33,46,xe" fillcolor="navy" strokecolor="navy">
                <v:path arrowok="t"/>
              </v:shape>
              <v:shape id="_x0000_s3613" style="position:absolute;left:999;top:2297;width:91;height:67" coordsize="91,67" path="m46,l91,33,46,67,,33,46,xe" fillcolor="navy" strokecolor="navy">
                <v:path arrowok="t"/>
              </v:shape>
              <v:shape id="_x0000_s3614" style="position:absolute;left:999;top:2297;width:91;height:67" coordsize="91,67" path="m46,l91,33,46,67,,33,46,xe" fillcolor="navy" strokecolor="navy">
                <v:path arrowok="t"/>
              </v:shape>
              <v:shape id="_x0000_s3615" style="position:absolute;left:999;top:2297;width:91;height:67" coordsize="91,67" path="m46,l91,33,46,67,,33,46,xe" fillcolor="navy" strokecolor="navy">
                <v:path arrowok="t"/>
              </v:shape>
              <v:shape id="_x0000_s3616" style="position:absolute;left:999;top:2297;width:91;height:67" coordsize="91,67" path="m46,l91,33,46,67,,33,46,xe" fillcolor="navy" strokecolor="navy">
                <v:path arrowok="t"/>
              </v:shape>
              <v:shape id="_x0000_s3617" style="position:absolute;left:999;top:2297;width:91;height:67" coordsize="91,67" path="m46,l91,33,46,67,,33,46,xe" fillcolor="navy" strokecolor="navy">
                <v:path arrowok="t"/>
              </v:shape>
              <v:shape id="_x0000_s3618" style="position:absolute;left:999;top:2297;width:91;height:67" coordsize="91,67" path="m46,l91,33,46,67,,33,46,xe" fillcolor="navy" strokecolor="navy">
                <v:path arrowok="t"/>
              </v:shape>
              <v:shape id="_x0000_s3619" style="position:absolute;left:999;top:2297;width:91;height:67" coordsize="91,67" path="m46,l91,33,46,67,,33,46,xe" fillcolor="navy" strokecolor="navy">
                <v:path arrowok="t"/>
              </v:shape>
              <v:shape id="_x0000_s3620" style="position:absolute;left:999;top:2297;width:91;height:67" coordsize="91,67" path="m46,l91,33,46,67,,33,46,xe" fillcolor="navy" strokecolor="navy">
                <v:path arrowok="t"/>
              </v:shape>
              <v:shape id="_x0000_s3621" style="position:absolute;left:999;top:2297;width:91;height:67" coordsize="91,67" path="m46,l91,33,46,67,,33,46,xe" fillcolor="navy" strokecolor="navy">
                <v:path arrowok="t"/>
              </v:shape>
              <v:shape id="_x0000_s3622" style="position:absolute;left:999;top:2297;width:91;height:67" coordsize="91,67" path="m46,l91,33,46,67,,33,46,xe" fillcolor="navy" strokecolor="navy">
                <v:path arrowok="t"/>
              </v:shape>
              <v:shape id="_x0000_s3623" style="position:absolute;left:999;top:2297;width:91;height:67" coordsize="91,67" path="m46,l91,33,46,67,,33,46,xe" fillcolor="navy" strokecolor="navy">
                <v:path arrowok="t"/>
              </v:shape>
              <v:shape id="_x0000_s3624" style="position:absolute;left:999;top:2297;width:91;height:67" coordsize="91,67" path="m46,l91,33,46,67,,33,46,xe" fillcolor="navy" strokecolor="navy">
                <v:path arrowok="t"/>
              </v:shape>
              <v:shape id="_x0000_s3625" style="position:absolute;left:999;top:2297;width:91;height:67" coordsize="91,67" path="m46,l91,33,46,67,,33,46,xe" fillcolor="navy" strokecolor="navy">
                <v:path arrowok="t"/>
              </v:shape>
              <v:shape id="_x0000_s3626" style="position:absolute;left:999;top:2297;width:91;height:67" coordsize="91,67" path="m46,l91,33,46,67,,33,46,xe" fillcolor="navy" strokecolor="navy">
                <v:path arrowok="t"/>
              </v:shape>
              <v:shape id="_x0000_s3627" style="position:absolute;left:999;top:2297;width:91;height:67" coordsize="91,67" path="m46,l91,33,46,67,,33,46,xe" fillcolor="navy" strokecolor="navy">
                <v:path arrowok="t"/>
              </v:shape>
              <v:shape id="_x0000_s3628" style="position:absolute;left:999;top:2297;width:91;height:67" coordsize="91,67" path="m46,l91,33,46,67,,33,46,xe" fillcolor="navy" strokecolor="navy">
                <v:path arrowok="t"/>
              </v:shape>
              <v:shape id="_x0000_s3629" style="position:absolute;left:999;top:2297;width:91;height:67" coordsize="91,67" path="m46,l91,33,46,67,,33,46,xe" fillcolor="navy" strokecolor="navy">
                <v:path arrowok="t"/>
              </v:shape>
              <v:shape id="_x0000_s3630" style="position:absolute;left:999;top:2297;width:91;height:67" coordsize="91,67" path="m46,l91,33,46,67,,33,46,xe" fillcolor="navy" strokecolor="navy">
                <v:path arrowok="t"/>
              </v:shape>
              <v:shape id="_x0000_s3631" style="position:absolute;left:999;top:2297;width:91;height:67" coordsize="91,67" path="m46,l91,33,46,67,,33,46,xe" fillcolor="navy" strokecolor="navy">
                <v:path arrowok="t"/>
              </v:shape>
              <v:shape id="_x0000_s3632" style="position:absolute;left:999;top:2297;width:91;height:67" coordsize="91,67" path="m46,l91,33,46,67,,33,46,xe" fillcolor="navy" strokecolor="navy">
                <v:path arrowok="t"/>
              </v:shape>
              <v:shape id="_x0000_s3633" style="position:absolute;left:999;top:2297;width:91;height:67" coordsize="91,67" path="m46,l91,33,46,67,,33,46,xe" fillcolor="navy" strokecolor="navy">
                <v:path arrowok="t"/>
              </v:shape>
              <v:shape id="_x0000_s3634" style="position:absolute;left:999;top:2297;width:91;height:67" coordsize="91,67" path="m46,l91,33,46,67,,33,46,xe" fillcolor="navy" strokecolor="navy">
                <v:path arrowok="t"/>
              </v:shape>
              <v:shape id="_x0000_s3635" style="position:absolute;left:999;top:2297;width:91;height:67" coordsize="91,67" path="m46,l91,33,46,67,,33,46,xe" fillcolor="navy" strokecolor="navy">
                <v:path arrowok="t"/>
              </v:shape>
              <v:shape id="_x0000_s3636" style="position:absolute;left:999;top:2297;width:91;height:67" coordsize="91,67" path="m46,l91,33,46,67,,33,46,xe" fillcolor="navy" strokecolor="navy">
                <v:path arrowok="t"/>
              </v:shape>
              <v:shape id="_x0000_s3637" style="position:absolute;left:999;top:2297;width:91;height:67" coordsize="91,67" path="m46,l91,33,46,67,,33,46,xe" fillcolor="navy" strokecolor="navy">
                <v:path arrowok="t"/>
              </v:shape>
              <v:shape id="_x0000_s3638" style="position:absolute;left:999;top:2297;width:91;height:67" coordsize="91,67" path="m46,l91,33,46,67,,33,46,xe" fillcolor="navy" strokecolor="navy">
                <v:path arrowok="t"/>
              </v:shape>
              <v:shape id="_x0000_s3639" style="position:absolute;left:999;top:2297;width:91;height:67" coordsize="91,67" path="m46,l91,33,46,67,,33,46,xe" fillcolor="navy" strokecolor="navy">
                <v:path arrowok="t"/>
              </v:shape>
              <v:shape id="_x0000_s3640" style="position:absolute;left:999;top:2297;width:91;height:67" coordsize="91,67" path="m46,l91,33,46,67,,33,46,xe" fillcolor="navy" strokecolor="navy">
                <v:path arrowok="t"/>
              </v:shape>
              <v:shape id="_x0000_s3641" style="position:absolute;left:999;top:2297;width:91;height:67" coordsize="91,67" path="m46,l91,33,46,67,,33,46,xe" fillcolor="navy" strokecolor="navy">
                <v:path arrowok="t"/>
              </v:shape>
              <v:shape id="_x0000_s3642" style="position:absolute;left:999;top:2297;width:91;height:67" coordsize="91,67" path="m46,l91,33,46,67,,33,46,xe" fillcolor="navy" strokecolor="navy">
                <v:path arrowok="t"/>
              </v:shape>
              <v:shape id="_x0000_s3643" style="position:absolute;left:999;top:2297;width:91;height:67" coordsize="91,67" path="m46,l91,33,46,67,,33,46,xe" fillcolor="navy" strokecolor="navy">
                <v:path arrowok="t"/>
              </v:shape>
              <v:shape id="_x0000_s3644" style="position:absolute;left:999;top:2297;width:91;height:67" coordsize="91,67" path="m46,l91,33,46,67,,33,46,xe" fillcolor="navy" strokecolor="navy">
                <v:path arrowok="t"/>
              </v:shape>
              <v:shape id="_x0000_s3645" style="position:absolute;left:999;top:2297;width:91;height:67" coordsize="91,67" path="m46,l91,33,46,67,,33,46,xe" fillcolor="navy" strokecolor="navy">
                <v:path arrowok="t"/>
              </v:shape>
              <v:shape id="_x0000_s3646" style="position:absolute;left:999;top:2297;width:91;height:67" coordsize="91,67" path="m46,l91,33,46,67,,33,46,xe" fillcolor="navy" strokecolor="navy">
                <v:path arrowok="t"/>
              </v:shape>
              <v:shape id="_x0000_s3647" style="position:absolute;left:999;top:2297;width:91;height:67" coordsize="91,67" path="m46,l91,33,46,67,,33,46,xe" fillcolor="navy" strokecolor="navy">
                <v:path arrowok="t"/>
              </v:shape>
              <v:shape id="_x0000_s3648" style="position:absolute;left:999;top:2297;width:91;height:67" coordsize="91,67" path="m46,l91,33,46,67,,33,46,xe" fillcolor="navy" strokecolor="navy">
                <v:path arrowok="t"/>
              </v:shape>
              <v:shape id="_x0000_s3649" style="position:absolute;left:999;top:2297;width:91;height:67" coordsize="91,67" path="m46,l91,33,46,67,,33,46,xe" fillcolor="navy" strokecolor="navy">
                <v:path arrowok="t"/>
              </v:shape>
              <v:shape id="_x0000_s3650" style="position:absolute;left:999;top:2297;width:91;height:67" coordsize="91,67" path="m46,l91,33,46,67,,33,46,xe" fillcolor="navy" strokecolor="navy">
                <v:path arrowok="t"/>
              </v:shape>
              <v:shape id="_x0000_s3651" style="position:absolute;left:999;top:2297;width:91;height:67" coordsize="91,67" path="m46,l91,33,46,67,,33,46,xe" fillcolor="navy" strokecolor="navy">
                <v:path arrowok="t"/>
              </v:shape>
              <v:shape id="_x0000_s3652" style="position:absolute;left:999;top:2297;width:91;height:67" coordsize="91,67" path="m46,l91,33,46,67,,33,46,xe" fillcolor="navy" strokecolor="navy">
                <v:path arrowok="t"/>
              </v:shape>
              <v:shape id="_x0000_s3653" style="position:absolute;left:999;top:2297;width:91;height:67" coordsize="91,67" path="m46,l91,33,46,67,,33,46,xe" fillcolor="navy" strokecolor="navy">
                <v:path arrowok="t"/>
              </v:shape>
              <v:shape id="_x0000_s3654" style="position:absolute;left:999;top:2297;width:91;height:67" coordsize="91,67" path="m46,l91,33,46,67,,33,46,xe" fillcolor="navy" strokecolor="navy">
                <v:path arrowok="t"/>
              </v:shape>
              <v:shape id="_x0000_s3655" style="position:absolute;left:999;top:2297;width:91;height:67" coordsize="91,67" path="m46,l91,33,46,67,,33,46,xe" fillcolor="navy" strokecolor="navy">
                <v:path arrowok="t"/>
              </v:shape>
              <v:shape id="_x0000_s3656" style="position:absolute;left:999;top:2297;width:91;height:67" coordsize="91,67" path="m46,l91,33,46,67,,33,46,xe" fillcolor="navy" strokecolor="navy">
                <v:path arrowok="t"/>
              </v:shape>
              <v:shape id="_x0000_s3657" style="position:absolute;left:999;top:2297;width:91;height:67" coordsize="91,67" path="m46,l91,33,46,67,,33,46,xe" fillcolor="navy" strokecolor="navy">
                <v:path arrowok="t"/>
              </v:shape>
              <v:shape id="_x0000_s3658" style="position:absolute;left:999;top:2297;width:91;height:67" coordsize="91,67" path="m46,l91,33,46,67,,33,46,xe" fillcolor="navy" strokecolor="navy">
                <v:path arrowok="t"/>
              </v:shape>
              <v:shape id="_x0000_s3659" style="position:absolute;left:999;top:2297;width:91;height:67" coordsize="91,67" path="m46,l91,33,46,67,,33,46,xe" fillcolor="navy" strokecolor="navy">
                <v:path arrowok="t"/>
              </v:shape>
              <v:shape id="_x0000_s3660" style="position:absolute;left:999;top:2297;width:91;height:67" coordsize="91,67" path="m46,l91,33,46,67,,33,46,xe" fillcolor="navy" strokecolor="navy">
                <v:path arrowok="t"/>
              </v:shape>
              <v:shape id="_x0000_s3661" style="position:absolute;left:999;top:2297;width:91;height:67" coordsize="91,67" path="m46,l91,33,46,67,,33,46,xe" fillcolor="navy" strokecolor="navy">
                <v:path arrowok="t"/>
              </v:shape>
              <v:shape id="_x0000_s3662" style="position:absolute;left:999;top:2297;width:91;height:67" coordsize="91,67" path="m46,l91,33,46,67,,33,46,xe" fillcolor="navy" strokecolor="navy">
                <v:path arrowok="t"/>
              </v:shape>
              <v:shape id="_x0000_s3663" style="position:absolute;left:999;top:2297;width:91;height:67" coordsize="91,67" path="m46,l91,33,46,67,,33,46,xe" fillcolor="navy" strokecolor="navy">
                <v:path arrowok="t"/>
              </v:shape>
              <v:shape id="_x0000_s3664" style="position:absolute;left:999;top:2297;width:91;height:67" coordsize="91,67" path="m46,l91,33,46,67,,33,46,xe" fillcolor="navy" strokecolor="navy">
                <v:path arrowok="t"/>
              </v:shape>
              <v:shape id="_x0000_s3665" style="position:absolute;left:999;top:2297;width:91;height:67" coordsize="91,67" path="m46,l91,33,46,67,,33,46,xe" fillcolor="navy" strokecolor="navy">
                <v:path arrowok="t"/>
              </v:shape>
              <v:shape id="_x0000_s3666" style="position:absolute;left:999;top:2297;width:91;height:67" coordsize="91,67" path="m46,l91,33,46,67,,33,46,xe" fillcolor="navy" strokecolor="navy">
                <v:path arrowok="t"/>
              </v:shape>
              <v:shape id="_x0000_s3667" style="position:absolute;left:999;top:2297;width:91;height:67" coordsize="91,67" path="m46,l91,33,46,67,,33,46,xe" fillcolor="navy" strokecolor="navy">
                <v:path arrowok="t"/>
              </v:shape>
              <v:shape id="_x0000_s3668" style="position:absolute;left:999;top:2297;width:91;height:67" coordsize="91,67" path="m46,l91,33,46,67,,33,46,xe" fillcolor="navy" strokecolor="navy">
                <v:path arrowok="t"/>
              </v:shape>
              <v:shape id="_x0000_s3669" style="position:absolute;left:999;top:2297;width:91;height:67" coordsize="91,67" path="m46,l91,33,46,67,,33,46,xe" fillcolor="navy" strokecolor="navy">
                <v:path arrowok="t"/>
              </v:shape>
              <v:shape id="_x0000_s3670" style="position:absolute;left:999;top:2297;width:91;height:67" coordsize="91,67" path="m46,l91,33,46,67,,33,46,xe" fillcolor="navy" strokecolor="navy">
                <v:path arrowok="t"/>
              </v:shape>
              <v:shape id="_x0000_s3671" style="position:absolute;left:999;top:2297;width:91;height:67" coordsize="91,67" path="m46,l91,33,46,67,,33,46,xe" fillcolor="navy" strokecolor="navy">
                <v:path arrowok="t"/>
              </v:shape>
              <v:shape id="_x0000_s3672" style="position:absolute;left:999;top:2297;width:91;height:67" coordsize="91,67" path="m46,l91,33,46,67,,33,46,xe" fillcolor="navy" strokecolor="navy">
                <v:path arrowok="t"/>
              </v:shape>
              <v:shape id="_x0000_s3673" style="position:absolute;left:999;top:2297;width:91;height:67" coordsize="91,67" path="m46,l91,33,46,67,,33,46,xe" fillcolor="navy" strokecolor="navy">
                <v:path arrowok="t"/>
              </v:shape>
              <v:shape id="_x0000_s3674" style="position:absolute;left:999;top:2297;width:91;height:67" coordsize="91,67" path="m46,l91,33,46,67,,33,46,xe" fillcolor="navy" strokecolor="navy">
                <v:path arrowok="t"/>
              </v:shape>
              <v:shape id="_x0000_s3675" style="position:absolute;left:999;top:2297;width:91;height:67" coordsize="91,67" path="m46,l91,33,46,67,,33,46,xe" fillcolor="navy" strokecolor="navy">
                <v:path arrowok="t"/>
              </v:shape>
              <v:shape id="_x0000_s3676" style="position:absolute;left:999;top:2297;width:91;height:67" coordsize="91,67" path="m46,l91,33,46,67,,33,46,xe" fillcolor="navy" strokecolor="navy">
                <v:path arrowok="t"/>
              </v:shape>
              <v:shape id="_x0000_s3677" style="position:absolute;left:999;top:2297;width:91;height:67" coordsize="91,67" path="m46,l91,33,46,67,,33,46,xe" fillcolor="navy" strokecolor="navy">
                <v:path arrowok="t"/>
              </v:shape>
              <v:shape id="_x0000_s3678" style="position:absolute;left:999;top:2297;width:91;height:67" coordsize="91,67" path="m46,l91,33,46,67,,33,46,xe" fillcolor="navy" strokecolor="navy">
                <v:path arrowok="t"/>
              </v:shape>
              <v:shape id="_x0000_s3679" style="position:absolute;left:999;top:2297;width:91;height:67" coordsize="91,67" path="m46,l91,33,46,67,,33,46,xe" fillcolor="navy" strokecolor="navy">
                <v:path arrowok="t"/>
              </v:shape>
              <v:shape id="_x0000_s3680" style="position:absolute;left:999;top:2297;width:91;height:67" coordsize="91,67" path="m46,l91,33,46,67,,33,46,xe" fillcolor="navy" strokecolor="navy">
                <v:path arrowok="t"/>
              </v:shape>
              <v:shape id="_x0000_s3681" style="position:absolute;left:999;top:2297;width:91;height:67" coordsize="91,67" path="m46,l91,33,46,67,,33,46,xe" fillcolor="navy" strokecolor="navy">
                <v:path arrowok="t"/>
              </v:shape>
              <v:shape id="_x0000_s3682" style="position:absolute;left:999;top:2297;width:91;height:67" coordsize="91,67" path="m46,l91,33,46,67,,33,46,xe" fillcolor="navy" strokecolor="navy">
                <v:path arrowok="t"/>
              </v:shape>
              <v:shape id="_x0000_s3683" style="position:absolute;left:999;top:2297;width:91;height:67" coordsize="91,67" path="m46,l91,33,46,67,,33,46,xe" fillcolor="navy" strokecolor="navy">
                <v:path arrowok="t"/>
              </v:shape>
              <v:shape id="_x0000_s3684" style="position:absolute;left:999;top:2297;width:91;height:67" coordsize="91,67" path="m46,l91,33,46,67,,33,46,xe" fillcolor="navy" strokecolor="navy">
                <v:path arrowok="t"/>
              </v:shape>
              <v:shape id="_x0000_s3685" style="position:absolute;left:999;top:2297;width:91;height:67" coordsize="91,67" path="m46,l91,33,46,67,,33,46,xe" fillcolor="navy" strokecolor="navy">
                <v:path arrowok="t"/>
              </v:shape>
              <v:shape id="_x0000_s3686" style="position:absolute;left:999;top:2297;width:91;height:67" coordsize="91,67" path="m46,l91,33,46,67,,33,46,xe" fillcolor="navy" strokecolor="navy">
                <v:path arrowok="t"/>
              </v:shape>
              <v:shape id="_x0000_s3687" style="position:absolute;left:999;top:2297;width:91;height:67" coordsize="91,67" path="m46,l91,33,46,67,,33,46,xe" fillcolor="navy" strokecolor="navy">
                <v:path arrowok="t"/>
              </v:shape>
              <v:shape id="_x0000_s3688" style="position:absolute;left:999;top:2297;width:91;height:67" coordsize="91,67" path="m46,l91,33,46,67,,33,46,xe" fillcolor="navy" strokecolor="navy">
                <v:path arrowok="t"/>
              </v:shape>
              <v:shape id="_x0000_s3689" style="position:absolute;left:999;top:2297;width:91;height:67" coordsize="91,67" path="m46,l91,33,46,67,,33,46,xe" fillcolor="navy" strokecolor="navy">
                <v:path arrowok="t"/>
              </v:shape>
              <v:shape id="_x0000_s3690" style="position:absolute;left:999;top:2297;width:91;height:67" coordsize="91,67" path="m46,l91,33,46,67,,33,46,xe" fillcolor="navy" strokecolor="navy">
                <v:path arrowok="t"/>
              </v:shape>
              <v:shape id="_x0000_s3691" style="position:absolute;left:999;top:2297;width:91;height:67" coordsize="91,67" path="m46,l91,33,46,67,,33,46,xe" fillcolor="navy" strokecolor="navy">
                <v:path arrowok="t"/>
              </v:shape>
              <v:shape id="_x0000_s3692" style="position:absolute;left:999;top:2297;width:91;height:67" coordsize="91,67" path="m46,l91,33,46,67,,33,46,xe" fillcolor="navy" strokecolor="navy">
                <v:path arrowok="t"/>
              </v:shape>
              <v:shape id="_x0000_s3693" style="position:absolute;left:999;top:2297;width:91;height:67" coordsize="91,67" path="m46,l91,33,46,67,,33,46,xe" fillcolor="navy" strokecolor="navy">
                <v:path arrowok="t"/>
              </v:shape>
              <v:shape id="_x0000_s3694" style="position:absolute;left:999;top:2297;width:91;height:67" coordsize="91,67" path="m46,l91,33,46,67,,33,46,xe" fillcolor="navy" strokecolor="navy">
                <v:path arrowok="t"/>
              </v:shape>
              <v:shape id="_x0000_s3695" style="position:absolute;left:999;top:2297;width:91;height:67" coordsize="91,67" path="m46,l91,33,46,67,,33,46,xe" fillcolor="navy" strokecolor="navy">
                <v:path arrowok="t"/>
              </v:shape>
              <v:shape id="_x0000_s3696" style="position:absolute;left:999;top:2297;width:91;height:67" coordsize="91,67" path="m46,l91,33,46,67,,33,46,xe" fillcolor="navy" strokecolor="navy">
                <v:path arrowok="t"/>
              </v:shape>
              <v:shape id="_x0000_s3697" style="position:absolute;left:999;top:2297;width:91;height:67" coordsize="91,67" path="m46,l91,33,46,67,,33,46,xe" fillcolor="navy" strokecolor="navy">
                <v:path arrowok="t"/>
              </v:shape>
              <v:shape id="_x0000_s3698" style="position:absolute;left:999;top:2297;width:91;height:67" coordsize="91,67" path="m46,l91,33,46,67,,33,46,xe" fillcolor="navy" strokecolor="navy">
                <v:path arrowok="t"/>
              </v:shape>
              <v:shape id="_x0000_s3699" style="position:absolute;left:999;top:2297;width:91;height:67" coordsize="91,67" path="m46,l91,33,46,67,,33,46,xe" fillcolor="navy" strokecolor="navy">
                <v:path arrowok="t"/>
              </v:shape>
              <v:shape id="_x0000_s3700" style="position:absolute;left:999;top:2297;width:91;height:67" coordsize="91,67" path="m46,l91,33,46,67,,33,46,xe" fillcolor="navy" strokecolor="navy">
                <v:path arrowok="t"/>
              </v:shape>
              <v:shape id="_x0000_s3701" style="position:absolute;left:999;top:2297;width:91;height:67" coordsize="91,67" path="m46,l91,33,46,67,,33,46,xe" fillcolor="navy" strokecolor="navy">
                <v:path arrowok="t"/>
              </v:shape>
              <v:shape id="_x0000_s3702" style="position:absolute;left:999;top:2297;width:91;height:67" coordsize="91,67" path="m46,l91,33,46,67,,33,46,xe" fillcolor="navy" strokecolor="navy">
                <v:path arrowok="t"/>
              </v:shape>
              <v:shape id="_x0000_s3703" style="position:absolute;left:999;top:2297;width:91;height:67" coordsize="91,67" path="m46,l91,33,46,67,,33,46,xe" fillcolor="navy" strokecolor="navy">
                <v:path arrowok="t"/>
              </v:shape>
              <v:shape id="_x0000_s3704" style="position:absolute;left:999;top:2297;width:91;height:67" coordsize="91,67" path="m46,l91,33,46,67,,33,46,xe" fillcolor="navy" strokecolor="navy">
                <v:path arrowok="t"/>
              </v:shape>
              <v:shape id="_x0000_s3705" style="position:absolute;left:999;top:2297;width:91;height:67" coordsize="91,67" path="m46,l91,33,46,67,,33,46,xe" fillcolor="navy" strokecolor="navy">
                <v:path arrowok="t"/>
              </v:shape>
              <v:shape id="_x0000_s3706" style="position:absolute;left:999;top:2297;width:91;height:67" coordsize="91,67" path="m46,l91,33,46,67,,33,46,xe" fillcolor="navy" strokecolor="navy">
                <v:path arrowok="t"/>
              </v:shape>
              <v:shape id="_x0000_s3707" style="position:absolute;left:999;top:2297;width:91;height:67" coordsize="91,67" path="m46,l91,33,46,67,,33,46,xe" fillcolor="navy" strokecolor="navy">
                <v:path arrowok="t"/>
              </v:shape>
              <v:shape id="_x0000_s3708" style="position:absolute;left:999;top:2297;width:91;height:67" coordsize="91,67" path="m46,l91,33,46,67,,33,46,xe" fillcolor="navy" strokecolor="navy">
                <v:path arrowok="t"/>
              </v:shape>
              <v:shape id="_x0000_s3709" style="position:absolute;left:999;top:2297;width:91;height:67" coordsize="91,67" path="m46,l91,33,46,67,,33,46,xe" fillcolor="navy" strokecolor="navy">
                <v:path arrowok="t"/>
              </v:shape>
              <v:shape id="_x0000_s3710" style="position:absolute;left:999;top:2297;width:91;height:67" coordsize="91,67" path="m46,l91,33,46,67,,33,46,xe" fillcolor="navy" strokecolor="navy">
                <v:path arrowok="t"/>
              </v:shape>
              <v:shape id="_x0000_s3711" style="position:absolute;left:999;top:2297;width:91;height:67" coordsize="91,67" path="m46,l91,33,46,67,,33,46,xe" fillcolor="navy" strokecolor="navy">
                <v:path arrowok="t"/>
              </v:shape>
              <v:shape id="_x0000_s3712" style="position:absolute;left:999;top:2297;width:91;height:67" coordsize="91,67" path="m46,l91,33,46,67,,33,46,xe" fillcolor="navy" strokecolor="navy">
                <v:path arrowok="t"/>
              </v:shape>
              <v:shape id="_x0000_s3713" style="position:absolute;left:999;top:2297;width:91;height:67" coordsize="91,67" path="m46,l91,33,46,67,,33,46,xe" fillcolor="navy" strokecolor="navy">
                <v:path arrowok="t"/>
              </v:shape>
              <v:shape id="_x0000_s3714" style="position:absolute;left:999;top:2297;width:91;height:67" coordsize="91,67" path="m46,l91,33,46,67,,33,46,xe" fillcolor="navy" strokecolor="navy">
                <v:path arrowok="t"/>
              </v:shape>
              <v:shape id="_x0000_s3715" style="position:absolute;left:999;top:2297;width:91;height:67" coordsize="91,67" path="m46,l91,33,46,67,,33,46,xe" fillcolor="navy" strokecolor="navy">
                <v:path arrowok="t"/>
              </v:shape>
              <v:shape id="_x0000_s3716" style="position:absolute;left:999;top:2297;width:91;height:67" coordsize="91,67" path="m46,l91,33,46,67,,33,46,xe" fillcolor="navy" strokecolor="navy">
                <v:path arrowok="t"/>
              </v:shape>
              <v:shape id="_x0000_s3717" style="position:absolute;left:999;top:2297;width:91;height:67" coordsize="91,67" path="m46,l91,33,46,67,,33,46,xe" fillcolor="navy" strokecolor="navy">
                <v:path arrowok="t"/>
              </v:shape>
              <v:shape id="_x0000_s3718" style="position:absolute;left:999;top:2297;width:91;height:67" coordsize="91,67" path="m46,l91,33,46,67,,33,46,xe" fillcolor="navy" strokecolor="navy">
                <v:path arrowok="t"/>
              </v:shape>
              <v:shape id="_x0000_s3719" style="position:absolute;left:999;top:2297;width:91;height:67" coordsize="91,67" path="m46,l91,33,46,67,,33,46,xe" fillcolor="navy" strokecolor="navy">
                <v:path arrowok="t"/>
              </v:shape>
              <v:shape id="_x0000_s3720" style="position:absolute;left:999;top:2297;width:91;height:67" coordsize="91,67" path="m46,l91,33,46,67,,33,46,xe" fillcolor="navy" strokecolor="navy">
                <v:path arrowok="t"/>
              </v:shape>
              <v:shape id="_x0000_s3721" style="position:absolute;left:999;top:2297;width:91;height:67" coordsize="91,67" path="m46,l91,33,46,67,,33,46,xe" fillcolor="navy" strokecolor="navy">
                <v:path arrowok="t"/>
              </v:shape>
              <v:shape id="_x0000_s3722" style="position:absolute;left:999;top:2297;width:91;height:67" coordsize="91,67" path="m46,l91,33,46,67,,33,46,xe" fillcolor="navy" strokecolor="navy">
                <v:path arrowok="t"/>
              </v:shape>
              <v:shape id="_x0000_s3723" style="position:absolute;left:999;top:2297;width:91;height:67" coordsize="91,67" path="m46,l91,33,46,67,,33,46,xe" fillcolor="navy" strokecolor="navy">
                <v:path arrowok="t"/>
              </v:shape>
              <v:shape id="_x0000_s3724" style="position:absolute;left:999;top:2297;width:91;height:67" coordsize="91,67" path="m46,l91,33,46,67,,33,46,xe" fillcolor="navy" strokecolor="navy">
                <v:path arrowok="t"/>
              </v:shape>
              <v:shape id="_x0000_s3725" style="position:absolute;left:999;top:2297;width:91;height:67" coordsize="91,67" path="m46,l91,33,46,67,,33,46,xe" fillcolor="navy" strokecolor="navy">
                <v:path arrowok="t"/>
              </v:shape>
              <v:shape id="_x0000_s3726" style="position:absolute;left:999;top:2297;width:91;height:67" coordsize="91,67" path="m46,l91,33,46,67,,33,46,xe" fillcolor="navy" strokecolor="navy">
                <v:path arrowok="t"/>
              </v:shape>
              <v:shape id="_x0000_s3727" style="position:absolute;left:999;top:2297;width:91;height:67" coordsize="91,67" path="m46,l91,33,46,67,,33,46,xe" fillcolor="navy" strokecolor="navy">
                <v:path arrowok="t"/>
              </v:shape>
              <v:shape id="_x0000_s3728" style="position:absolute;left:999;top:2297;width:91;height:67" coordsize="91,67" path="m46,l91,33,46,67,,33,46,xe" fillcolor="navy" strokecolor="navy">
                <v:path arrowok="t"/>
              </v:shape>
              <v:shape id="_x0000_s3729" style="position:absolute;left:999;top:2297;width:91;height:67" coordsize="91,67" path="m46,l91,33,46,67,,33,46,xe" fillcolor="navy" strokecolor="navy">
                <v:path arrowok="t"/>
              </v:shape>
              <v:shape id="_x0000_s3730" style="position:absolute;left:999;top:2297;width:91;height:67" coordsize="91,67" path="m46,l91,33,46,67,,33,46,xe" fillcolor="navy" strokecolor="navy">
                <v:path arrowok="t"/>
              </v:shape>
              <v:shape id="_x0000_s3731" style="position:absolute;left:999;top:2297;width:91;height:67" coordsize="91,67" path="m46,l91,33,46,67,,33,46,xe" fillcolor="navy" strokecolor="navy">
                <v:path arrowok="t"/>
              </v:shape>
              <v:shape id="_x0000_s3732" style="position:absolute;left:999;top:2297;width:91;height:67" coordsize="91,67" path="m46,l91,33,46,67,,33,46,xe" fillcolor="navy" strokecolor="navy">
                <v:path arrowok="t"/>
              </v:shape>
              <v:shape id="_x0000_s3733" style="position:absolute;left:999;top:2297;width:91;height:67" coordsize="91,67" path="m46,l91,33,46,67,,33,46,xe" fillcolor="navy" strokecolor="navy">
                <v:path arrowok="t"/>
              </v:shape>
              <v:shape id="_x0000_s3734" style="position:absolute;left:999;top:2297;width:91;height:67" coordsize="91,67" path="m46,l91,33,46,67,,33,46,xe" fillcolor="navy" strokecolor="navy">
                <v:path arrowok="t"/>
              </v:shape>
              <v:shape id="_x0000_s3735" style="position:absolute;left:999;top:2297;width:91;height:67" coordsize="91,67" path="m46,l91,33,46,67,,33,46,xe" fillcolor="navy" strokecolor="navy">
                <v:path arrowok="t"/>
              </v:shape>
              <v:shape id="_x0000_s3736" style="position:absolute;left:999;top:2297;width:91;height:67" coordsize="91,67" path="m46,l91,33,46,67,,33,46,xe" fillcolor="navy" strokecolor="navy">
                <v:path arrowok="t"/>
              </v:shape>
              <v:shape id="_x0000_s3737" style="position:absolute;left:999;top:2297;width:91;height:67" coordsize="91,67" path="m46,l91,33,46,67,,33,46,xe" fillcolor="navy" strokecolor="navy">
                <v:path arrowok="t"/>
              </v:shape>
              <v:shape id="_x0000_s3738" style="position:absolute;left:999;top:2297;width:91;height:67" coordsize="91,67" path="m46,l91,33,46,67,,33,46,xe" fillcolor="navy" strokecolor="navy">
                <v:path arrowok="t"/>
              </v:shape>
              <v:shape id="_x0000_s3739" style="position:absolute;left:999;top:2297;width:91;height:67" coordsize="91,67" path="m46,l91,33,46,67,,33,46,xe" fillcolor="navy" strokecolor="navy">
                <v:path arrowok="t"/>
              </v:shape>
              <v:shape id="_x0000_s3740" style="position:absolute;left:999;top:2297;width:91;height:67" coordsize="91,67" path="m46,l91,33,46,67,,33,46,xe" fillcolor="navy" strokecolor="navy">
                <v:path arrowok="t"/>
              </v:shape>
              <v:shape id="_x0000_s3741" style="position:absolute;left:999;top:2297;width:91;height:67" coordsize="91,67" path="m46,l91,33,46,67,,33,46,xe" fillcolor="navy" strokecolor="navy">
                <v:path arrowok="t"/>
              </v:shape>
              <v:shape id="_x0000_s3742" style="position:absolute;left:999;top:2297;width:91;height:67" coordsize="91,67" path="m46,l91,33,46,67,,33,46,xe" fillcolor="navy" strokecolor="navy">
                <v:path arrowok="t"/>
              </v:shape>
              <v:shape id="_x0000_s3743" style="position:absolute;left:999;top:2297;width:91;height:67" coordsize="91,67" path="m46,l91,33,46,67,,33,46,xe" fillcolor="navy" strokecolor="navy">
                <v:path arrowok="t"/>
              </v:shape>
              <v:shape id="_x0000_s3744" style="position:absolute;left:999;top:2297;width:91;height:67" coordsize="91,67" path="m46,l91,33,46,67,,33,46,xe" fillcolor="navy" strokecolor="navy">
                <v:path arrowok="t"/>
              </v:shape>
              <v:shape id="_x0000_s3745" style="position:absolute;left:999;top:2297;width:91;height:67" coordsize="91,67" path="m46,l91,33,46,67,,33,46,xe" fillcolor="navy" strokecolor="navy">
                <v:path arrowok="t"/>
              </v:shape>
              <v:shape id="_x0000_s3746" style="position:absolute;left:999;top:2297;width:91;height:67" coordsize="91,67" path="m46,l91,33,46,67,,33,46,xe" fillcolor="navy" strokecolor="navy">
                <v:path arrowok="t"/>
              </v:shape>
              <v:shape id="_x0000_s3747" style="position:absolute;left:999;top:2297;width:91;height:67" coordsize="91,67" path="m46,l91,33,46,67,,33,46,xe" fillcolor="navy" strokecolor="navy">
                <v:path arrowok="t"/>
              </v:shape>
              <v:shape id="_x0000_s3748" style="position:absolute;left:999;top:2297;width:91;height:67" coordsize="91,67" path="m46,l91,33,46,67,,33,46,xe" fillcolor="navy" strokecolor="navy">
                <v:path arrowok="t"/>
              </v:shape>
              <v:shape id="_x0000_s3749" style="position:absolute;left:999;top:2297;width:91;height:67" coordsize="91,67" path="m46,l91,33,46,67,,33,46,xe" fillcolor="navy" strokecolor="navy">
                <v:path arrowok="t"/>
              </v:shape>
              <v:shape id="_x0000_s3750" style="position:absolute;left:999;top:2297;width:91;height:67" coordsize="91,67" path="m46,l91,33,46,67,,33,46,xe" fillcolor="navy" strokecolor="navy">
                <v:path arrowok="t"/>
              </v:shape>
              <v:shape id="_x0000_s3751" style="position:absolute;left:999;top:2286;width:91;height:66" coordsize="91,66" path="m46,l91,33,46,66,,33,46,xe" fillcolor="navy" strokecolor="navy">
                <v:path arrowok="t"/>
              </v:shape>
              <v:shape id="_x0000_s3752" style="position:absolute;left:999;top:2286;width:91;height:66" coordsize="91,66" path="m46,l91,33,46,66,,33,46,xe" fillcolor="navy" strokecolor="navy">
                <v:path arrowok="t"/>
              </v:shape>
              <v:shape id="_x0000_s3753" style="position:absolute;left:999;top:2286;width:91;height:66" coordsize="91,66" path="m46,l91,33,46,66,,33,46,xe" fillcolor="navy" strokecolor="navy">
                <v:path arrowok="t"/>
              </v:shape>
              <v:shape id="_x0000_s3754" style="position:absolute;left:999;top:2286;width:91;height:66" coordsize="91,66" path="m46,l91,33,46,66,,33,46,xe" fillcolor="navy" strokecolor="navy">
                <v:path arrowok="t"/>
              </v:shape>
              <v:shape id="_x0000_s3755" style="position:absolute;left:999;top:2286;width:91;height:66" coordsize="91,66" path="m46,l91,33,46,66,,33,46,xe" fillcolor="navy" strokecolor="navy">
                <v:path arrowok="t"/>
              </v:shape>
              <v:shape id="_x0000_s3756" style="position:absolute;left:999;top:2286;width:91;height:66" coordsize="91,66" path="m46,l91,33,46,66,,33,46,xe" fillcolor="navy" strokecolor="navy">
                <v:path arrowok="t"/>
              </v:shape>
              <v:shape id="_x0000_s3757" style="position:absolute;left:999;top:2286;width:91;height:66" coordsize="91,66" path="m46,l91,33,46,66,,33,46,xe" fillcolor="navy" strokecolor="navy">
                <v:path arrowok="t"/>
              </v:shape>
              <v:shape id="_x0000_s3758" style="position:absolute;left:999;top:2286;width:91;height:66" coordsize="91,66" path="m46,l91,33,46,66,,33,46,xe" fillcolor="navy" strokecolor="navy">
                <v:path arrowok="t"/>
              </v:shape>
              <v:shape id="_x0000_s3759" style="position:absolute;left:999;top:2286;width:91;height:66" coordsize="91,66" path="m46,l91,33,46,66,,33,46,xe" fillcolor="navy" strokecolor="navy">
                <v:path arrowok="t"/>
              </v:shape>
              <v:shape id="_x0000_s3760" style="position:absolute;left:999;top:2286;width:91;height:66" coordsize="91,66" path="m46,l91,33,46,66,,33,46,xe" fillcolor="navy" strokecolor="navy">
                <v:path arrowok="t"/>
              </v:shape>
              <v:shape id="_x0000_s3761" style="position:absolute;left:999;top:2286;width:91;height:66" coordsize="91,66" path="m46,l91,33,46,66,,33,46,xe" fillcolor="navy" strokecolor="navy">
                <v:path arrowok="t"/>
              </v:shape>
              <v:shape id="_x0000_s3762" style="position:absolute;left:999;top:2286;width:91;height:66" coordsize="91,66" path="m46,l91,33,46,66,,33,46,xe" fillcolor="navy" strokecolor="navy">
                <v:path arrowok="t"/>
              </v:shape>
              <v:shape id="_x0000_s3763" style="position:absolute;left:999;top:2286;width:91;height:66" coordsize="91,66" path="m46,l91,33,46,66,,33,46,xe" fillcolor="navy" strokecolor="navy">
                <v:path arrowok="t"/>
              </v:shape>
              <v:shape id="_x0000_s3764" style="position:absolute;left:999;top:2286;width:91;height:66" coordsize="91,66" path="m46,l91,33,46,66,,33,46,xe" fillcolor="navy" strokecolor="navy">
                <v:path arrowok="t"/>
              </v:shape>
            </v:group>
            <v:group id="_x0000_s3966" style="position:absolute;left:999;top:2275;width:91;height:77" coordorigin="999,2275" coordsize="91,77">
              <v:shape id="_x0000_s3766" style="position:absolute;left:999;top:2286;width:91;height:66" coordsize="91,66" path="m46,l91,33,46,66,,33,46,xe" fillcolor="navy" strokecolor="navy">
                <v:path arrowok="t"/>
              </v:shape>
              <v:shape id="_x0000_s3767" style="position:absolute;left:999;top:2286;width:91;height:66" coordsize="91,66" path="m46,l91,33,46,66,,33,46,xe" fillcolor="navy" strokecolor="navy">
                <v:path arrowok="t"/>
              </v:shape>
              <v:shape id="_x0000_s3768" style="position:absolute;left:999;top:2286;width:91;height:66" coordsize="91,66" path="m46,l91,33,46,66,,33,46,xe" fillcolor="navy" strokecolor="navy">
                <v:path arrowok="t"/>
              </v:shape>
              <v:shape id="_x0000_s3769" style="position:absolute;left:999;top:2286;width:91;height:66" coordsize="91,66" path="m46,l91,33,46,66,,33,46,xe" fillcolor="navy" strokecolor="navy">
                <v:path arrowok="t"/>
              </v:shape>
              <v:shape id="_x0000_s3770" style="position:absolute;left:999;top:2286;width:91;height:66" coordsize="91,66" path="m46,l91,33,46,66,,33,46,xe" fillcolor="navy" strokecolor="navy">
                <v:path arrowok="t"/>
              </v:shape>
              <v:shape id="_x0000_s3771" style="position:absolute;left:999;top:2286;width:91;height:66" coordsize="91,66" path="m46,l91,33,46,66,,33,46,xe" fillcolor="navy" strokecolor="navy">
                <v:path arrowok="t"/>
              </v:shape>
              <v:shape id="_x0000_s3772" style="position:absolute;left:999;top:2286;width:91;height:66" coordsize="91,66" path="m46,l91,33,46,66,,33,46,xe" fillcolor="navy" strokecolor="navy">
                <v:path arrowok="t"/>
              </v:shape>
              <v:shape id="_x0000_s3773" style="position:absolute;left:999;top:2286;width:91;height:66" coordsize="91,66" path="m46,l91,33,46,66,,33,46,xe" fillcolor="navy" strokecolor="navy">
                <v:path arrowok="t"/>
              </v:shape>
              <v:shape id="_x0000_s3774" style="position:absolute;left:999;top:2286;width:91;height:66" coordsize="91,66" path="m46,l91,33,46,66,,33,46,xe" fillcolor="navy" strokecolor="navy">
                <v:path arrowok="t"/>
              </v:shape>
              <v:shape id="_x0000_s3775" style="position:absolute;left:999;top:2286;width:91;height:66" coordsize="91,66" path="m46,l91,33,46,66,,33,46,xe" fillcolor="navy" strokecolor="navy">
                <v:path arrowok="t"/>
              </v:shape>
              <v:shape id="_x0000_s3776" style="position:absolute;left:999;top:2286;width:91;height:66" coordsize="91,66" path="m46,l91,33,46,66,,33,46,xe" fillcolor="navy" strokecolor="navy">
                <v:path arrowok="t"/>
              </v:shape>
              <v:shape id="_x0000_s3777" style="position:absolute;left:999;top:2286;width:91;height:66" coordsize="91,66" path="m46,l91,33,46,66,,33,46,xe" fillcolor="navy" strokecolor="navy">
                <v:path arrowok="t"/>
              </v:shape>
              <v:shape id="_x0000_s3778" style="position:absolute;left:999;top:2286;width:91;height:66" coordsize="91,66" path="m46,l91,33,46,66,,33,46,xe" fillcolor="navy" strokecolor="navy">
                <v:path arrowok="t"/>
              </v:shape>
              <v:shape id="_x0000_s3779" style="position:absolute;left:999;top:2286;width:91;height:66" coordsize="91,66" path="m46,l91,33,46,66,,33,46,xe" fillcolor="navy" strokecolor="navy">
                <v:path arrowok="t"/>
              </v:shape>
              <v:shape id="_x0000_s3780" style="position:absolute;left:999;top:2286;width:91;height:66" coordsize="91,66" path="m46,l91,33,46,66,,33,46,xe" fillcolor="navy" strokecolor="navy">
                <v:path arrowok="t"/>
              </v:shape>
              <v:shape id="_x0000_s3781" style="position:absolute;left:999;top:2286;width:91;height:66" coordsize="91,66" path="m46,l91,33,46,66,,33,46,xe" fillcolor="navy" strokecolor="navy">
                <v:path arrowok="t"/>
              </v:shape>
              <v:shape id="_x0000_s3782" style="position:absolute;left:999;top:2286;width:91;height:66" coordsize="91,66" path="m46,l91,33,46,66,,33,46,xe" fillcolor="navy" strokecolor="navy">
                <v:path arrowok="t"/>
              </v:shape>
              <v:shape id="_x0000_s3783" style="position:absolute;left:999;top:2286;width:91;height:66" coordsize="91,66" path="m46,l91,33,46,66,,33,46,xe" fillcolor="navy" strokecolor="navy">
                <v:path arrowok="t"/>
              </v:shape>
              <v:shape id="_x0000_s3784" style="position:absolute;left:999;top:2286;width:91;height:66" coordsize="91,66" path="m46,l91,33,46,66,,33,46,xe" fillcolor="navy" strokecolor="navy">
                <v:path arrowok="t"/>
              </v:shape>
              <v:shape id="_x0000_s3785" style="position:absolute;left:999;top:2286;width:91;height:66" coordsize="91,66" path="m46,l91,33,46,66,,33,46,xe" fillcolor="navy" strokecolor="navy">
                <v:path arrowok="t"/>
              </v:shape>
              <v:shape id="_x0000_s3786" style="position:absolute;left:999;top:2286;width:91;height:66" coordsize="91,66" path="m46,l91,33,46,66,,33,46,xe" fillcolor="navy" strokecolor="navy">
                <v:path arrowok="t"/>
              </v:shape>
              <v:shape id="_x0000_s3787" style="position:absolute;left:999;top:2286;width:91;height:66" coordsize="91,66" path="m46,l91,33,46,66,,33,46,xe" fillcolor="navy" strokecolor="navy">
                <v:path arrowok="t"/>
              </v:shape>
              <v:shape id="_x0000_s3788" style="position:absolute;left:999;top:2286;width:91;height:66" coordsize="91,66" path="m46,l91,33,46,66,,33,46,xe" fillcolor="navy" strokecolor="navy">
                <v:path arrowok="t"/>
              </v:shape>
              <v:shape id="_x0000_s3789" style="position:absolute;left:999;top:2286;width:91;height:66" coordsize="91,66" path="m46,l91,33,46,66,,33,46,xe" fillcolor="navy" strokecolor="navy">
                <v:path arrowok="t"/>
              </v:shape>
              <v:shape id="_x0000_s3790" style="position:absolute;left:999;top:2286;width:91;height:66" coordsize="91,66" path="m46,l91,33,46,66,,33,46,xe" fillcolor="navy" strokecolor="navy">
                <v:path arrowok="t"/>
              </v:shape>
              <v:shape id="_x0000_s3791" style="position:absolute;left:999;top:2286;width:91;height:66" coordsize="91,66" path="m46,l91,33,46,66,,33,46,xe" fillcolor="navy" strokecolor="navy">
                <v:path arrowok="t"/>
              </v:shape>
              <v:shape id="_x0000_s3792" style="position:absolute;left:999;top:2286;width:91;height:66" coordsize="91,66" path="m46,l91,33,46,66,,33,46,xe" fillcolor="navy" strokecolor="navy">
                <v:path arrowok="t"/>
              </v:shape>
              <v:shape id="_x0000_s3793" style="position:absolute;left:999;top:2286;width:91;height:66" coordsize="91,66" path="m46,l91,33,46,66,,33,46,xe" fillcolor="navy" strokecolor="navy">
                <v:path arrowok="t"/>
              </v:shape>
              <v:shape id="_x0000_s3794" style="position:absolute;left:999;top:2286;width:91;height:66" coordsize="91,66" path="m46,l91,33,46,66,,33,46,xe" fillcolor="navy" strokecolor="navy">
                <v:path arrowok="t"/>
              </v:shape>
              <v:shape id="_x0000_s3795" style="position:absolute;left:999;top:2286;width:91;height:66" coordsize="91,66" path="m46,l91,33,46,66,,33,46,xe" fillcolor="navy" strokecolor="navy">
                <v:path arrowok="t"/>
              </v:shape>
              <v:shape id="_x0000_s3796" style="position:absolute;left:999;top:2286;width:91;height:66" coordsize="91,66" path="m46,l91,33,46,66,,33,46,xe" fillcolor="navy" strokecolor="navy">
                <v:path arrowok="t"/>
              </v:shape>
              <v:shape id="_x0000_s3797" style="position:absolute;left:999;top:2286;width:91;height:66" coordsize="91,66" path="m46,l91,33,46,66,,33,46,xe" fillcolor="navy" strokecolor="navy">
                <v:path arrowok="t"/>
              </v:shape>
              <v:shape id="_x0000_s3798" style="position:absolute;left:999;top:2286;width:91;height:66" coordsize="91,66" path="m46,l91,33,46,66,,33,46,xe" fillcolor="navy" strokecolor="navy">
                <v:path arrowok="t"/>
              </v:shape>
              <v:shape id="_x0000_s3799" style="position:absolute;left:999;top:2286;width:91;height:66" coordsize="91,66" path="m46,l91,33,46,66,,33,46,xe" fillcolor="navy" strokecolor="navy">
                <v:path arrowok="t"/>
              </v:shape>
              <v:shape id="_x0000_s3800" style="position:absolute;left:999;top:2286;width:91;height:66" coordsize="91,66" path="m46,l91,33,46,66,,33,46,xe" fillcolor="navy" strokecolor="navy">
                <v:path arrowok="t"/>
              </v:shape>
              <v:shape id="_x0000_s3801" style="position:absolute;left:999;top:2286;width:91;height:66" coordsize="91,66" path="m46,l91,33,46,66,,33,46,xe" fillcolor="navy" strokecolor="navy">
                <v:path arrowok="t"/>
              </v:shape>
              <v:shape id="_x0000_s3802" style="position:absolute;left:999;top:2286;width:91;height:66" coordsize="91,66" path="m46,l91,33,46,66,,33,46,xe" fillcolor="navy" strokecolor="navy">
                <v:path arrowok="t"/>
              </v:shape>
              <v:shape id="_x0000_s3803" style="position:absolute;left:999;top:2286;width:91;height:66" coordsize="91,66" path="m46,l91,33,46,66,,33,46,xe" fillcolor="navy" strokecolor="navy">
                <v:path arrowok="t"/>
              </v:shape>
              <v:shape id="_x0000_s3804" style="position:absolute;left:999;top:2286;width:91;height:66" coordsize="91,66" path="m46,l91,33,46,66,,33,46,xe" fillcolor="navy" strokecolor="navy">
                <v:path arrowok="t"/>
              </v:shape>
              <v:shape id="_x0000_s3805" style="position:absolute;left:999;top:2286;width:91;height:66" coordsize="91,66" path="m46,l91,33,46,66,,33,46,xe" fillcolor="navy" strokecolor="navy">
                <v:path arrowok="t"/>
              </v:shape>
              <v:shape id="_x0000_s3806" style="position:absolute;left:999;top:2286;width:91;height:66" coordsize="91,66" path="m46,l91,33,46,66,,33,46,xe" fillcolor="navy" strokecolor="navy">
                <v:path arrowok="t"/>
              </v:shape>
              <v:shape id="_x0000_s3807" style="position:absolute;left:999;top:2286;width:91;height:66" coordsize="91,66" path="m46,l91,33,46,66,,33,46,xe" fillcolor="navy" strokecolor="navy">
                <v:path arrowok="t"/>
              </v:shape>
              <v:shape id="_x0000_s3808" style="position:absolute;left:999;top:2286;width:91;height:66" coordsize="91,66" path="m46,l91,33,46,66,,33,46,xe" fillcolor="navy" strokecolor="navy">
                <v:path arrowok="t"/>
              </v:shape>
              <v:shape id="_x0000_s3809" style="position:absolute;left:999;top:2286;width:91;height:66" coordsize="91,66" path="m46,l91,33,46,66,,33,46,xe" fillcolor="navy" strokecolor="navy">
                <v:path arrowok="t"/>
              </v:shape>
              <v:shape id="_x0000_s3810" style="position:absolute;left:999;top:2286;width:91;height:66" coordsize="91,66" path="m46,l91,33,46,66,,33,46,xe" fillcolor="navy" strokecolor="navy">
                <v:path arrowok="t"/>
              </v:shape>
              <v:shape id="_x0000_s3811" style="position:absolute;left:999;top:2286;width:91;height:66" coordsize="91,66" path="m46,l91,33,46,66,,33,46,xe" fillcolor="navy" strokecolor="navy">
                <v:path arrowok="t"/>
              </v:shape>
              <v:shape id="_x0000_s3812" style="position:absolute;left:999;top:2286;width:91;height:66" coordsize="91,66" path="m46,l91,33,46,66,,33,46,xe" fillcolor="navy" strokecolor="navy">
                <v:path arrowok="t"/>
              </v:shape>
              <v:shape id="_x0000_s3813" style="position:absolute;left:999;top:2286;width:91;height:66" coordsize="91,66" path="m46,l91,33,46,66,,33,46,xe" fillcolor="navy" strokecolor="navy">
                <v:path arrowok="t"/>
              </v:shape>
              <v:shape id="_x0000_s3814" style="position:absolute;left:999;top:2286;width:91;height:66" coordsize="91,66" path="m46,l91,33,46,66,,33,46,xe" fillcolor="navy" strokecolor="navy">
                <v:path arrowok="t"/>
              </v:shape>
              <v:shape id="_x0000_s3815" style="position:absolute;left:999;top:2286;width:91;height:66" coordsize="91,66" path="m46,l91,33,46,66,,33,46,xe" fillcolor="navy" strokecolor="navy">
                <v:path arrowok="t"/>
              </v:shape>
              <v:shape id="_x0000_s3816" style="position:absolute;left:999;top:2286;width:91;height:66" coordsize="91,66" path="m46,l91,33,46,66,,33,46,xe" fillcolor="navy" strokecolor="navy">
                <v:path arrowok="t"/>
              </v:shape>
              <v:shape id="_x0000_s3817" style="position:absolute;left:999;top:2286;width:91;height:66" coordsize="91,66" path="m46,l91,33,46,66,,33,46,xe" fillcolor="navy" strokecolor="navy">
                <v:path arrowok="t"/>
              </v:shape>
              <v:shape id="_x0000_s3818" style="position:absolute;left:999;top:2286;width:91;height:66" coordsize="91,66" path="m46,l91,33,46,66,,33,46,xe" fillcolor="navy" strokecolor="navy">
                <v:path arrowok="t"/>
              </v:shape>
              <v:shape id="_x0000_s3819" style="position:absolute;left:999;top:2286;width:91;height:66" coordsize="91,66" path="m46,l91,33,46,66,,33,46,xe" fillcolor="navy" strokecolor="navy">
                <v:path arrowok="t"/>
              </v:shape>
              <v:shape id="_x0000_s3820" style="position:absolute;left:999;top:2286;width:91;height:66" coordsize="91,66" path="m46,l91,33,46,66,,33,46,xe" fillcolor="navy" strokecolor="navy">
                <v:path arrowok="t"/>
              </v:shape>
              <v:shape id="_x0000_s3821" style="position:absolute;left:999;top:2286;width:91;height:66" coordsize="91,66" path="m46,l91,33,46,66,,33,46,xe" fillcolor="navy" strokecolor="navy">
                <v:path arrowok="t"/>
              </v:shape>
              <v:shape id="_x0000_s3822" style="position:absolute;left:999;top:2286;width:91;height:66" coordsize="91,66" path="m46,l91,33,46,66,,33,46,xe" fillcolor="navy" strokecolor="navy">
                <v:path arrowok="t"/>
              </v:shape>
              <v:shape id="_x0000_s3823" style="position:absolute;left:999;top:2286;width:91;height:66" coordsize="91,66" path="m46,l91,33,46,66,,33,46,xe" fillcolor="navy" strokecolor="navy">
                <v:path arrowok="t"/>
              </v:shape>
              <v:shape id="_x0000_s3824" style="position:absolute;left:999;top:2286;width:91;height:66" coordsize="91,66" path="m46,l91,33,46,66,,33,46,xe" fillcolor="navy" strokecolor="navy">
                <v:path arrowok="t"/>
              </v:shape>
              <v:shape id="_x0000_s3825" style="position:absolute;left:999;top:2286;width:91;height:66" coordsize="91,66" path="m46,l91,33,46,66,,33,46,xe" fillcolor="navy" strokecolor="navy">
                <v:path arrowok="t"/>
              </v:shape>
              <v:shape id="_x0000_s3826" style="position:absolute;left:999;top:2286;width:91;height:66" coordsize="91,66" path="m46,l91,33,46,66,,33,46,xe" fillcolor="navy" strokecolor="navy">
                <v:path arrowok="t"/>
              </v:shape>
              <v:shape id="_x0000_s3827" style="position:absolute;left:999;top:2286;width:91;height:66" coordsize="91,66" path="m46,l91,33,46,66,,33,46,xe" fillcolor="navy" strokecolor="navy">
                <v:path arrowok="t"/>
              </v:shape>
              <v:shape id="_x0000_s3828" style="position:absolute;left:999;top:2286;width:91;height:66" coordsize="91,66" path="m46,l91,33,46,66,,33,46,xe" fillcolor="navy" strokecolor="navy">
                <v:path arrowok="t"/>
              </v:shape>
              <v:shape id="_x0000_s3829" style="position:absolute;left:999;top:2286;width:91;height:66" coordsize="91,66" path="m46,l91,33,46,66,,33,46,xe" fillcolor="navy" strokecolor="navy">
                <v:path arrowok="t"/>
              </v:shape>
              <v:shape id="_x0000_s3830" style="position:absolute;left:999;top:2286;width:91;height:66" coordsize="91,66" path="m46,l91,33,46,66,,33,46,xe" fillcolor="navy" strokecolor="navy">
                <v:path arrowok="t"/>
              </v:shape>
              <v:shape id="_x0000_s3831" style="position:absolute;left:999;top:2286;width:91;height:66" coordsize="91,66" path="m46,l91,33,46,66,,33,46,xe" fillcolor="navy" strokecolor="navy">
                <v:path arrowok="t"/>
              </v:shape>
              <v:shape id="_x0000_s3832" style="position:absolute;left:999;top:2286;width:91;height:66" coordsize="91,66" path="m46,l91,33,46,66,,33,46,xe" fillcolor="navy" strokecolor="navy">
                <v:path arrowok="t"/>
              </v:shape>
              <v:shape id="_x0000_s3833" style="position:absolute;left:999;top:2286;width:91;height:66" coordsize="91,66" path="m46,l91,33,46,66,,33,46,xe" fillcolor="navy" strokecolor="navy">
                <v:path arrowok="t"/>
              </v:shape>
              <v:shape id="_x0000_s3834" style="position:absolute;left:999;top:2286;width:91;height:66" coordsize="91,66" path="m46,l91,33,46,66,,33,46,xe" fillcolor="navy" strokecolor="navy">
                <v:path arrowok="t"/>
              </v:shape>
              <v:shape id="_x0000_s3835" style="position:absolute;left:999;top:2286;width:91;height:66" coordsize="91,66" path="m46,l91,33,46,66,,33,46,xe" fillcolor="navy" strokecolor="navy">
                <v:path arrowok="t"/>
              </v:shape>
              <v:shape id="_x0000_s3836" style="position:absolute;left:999;top:2286;width:91;height:66" coordsize="91,66" path="m46,l91,33,46,66,,33,46,xe" fillcolor="navy" strokecolor="navy">
                <v:path arrowok="t"/>
              </v:shape>
              <v:shape id="_x0000_s3837" style="position:absolute;left:999;top:2286;width:91;height:66" coordsize="91,66" path="m46,l91,33,46,66,,33,46,xe" fillcolor="navy" strokecolor="navy">
                <v:path arrowok="t"/>
              </v:shape>
              <v:shape id="_x0000_s3838" style="position:absolute;left:999;top:2286;width:91;height:66" coordsize="91,66" path="m46,l91,33,46,66,,33,46,xe" fillcolor="navy" strokecolor="navy">
                <v:path arrowok="t"/>
              </v:shape>
              <v:shape id="_x0000_s3839" style="position:absolute;left:999;top:2286;width:91;height:66" coordsize="91,66" path="m46,l91,33,46,66,,33,46,xe" fillcolor="navy" strokecolor="navy">
                <v:path arrowok="t"/>
              </v:shape>
              <v:shape id="_x0000_s3840" style="position:absolute;left:999;top:2286;width:91;height:66" coordsize="91,66" path="m46,l91,33,46,66,,33,46,xe" fillcolor="navy" strokecolor="navy">
                <v:path arrowok="t"/>
              </v:shape>
              <v:shape id="_x0000_s3841" style="position:absolute;left:999;top:2286;width:91;height:66" coordsize="91,66" path="m46,l91,33,46,66,,33,46,xe" fillcolor="navy" strokecolor="navy">
                <v:path arrowok="t"/>
              </v:shape>
              <v:shape id="_x0000_s3842" style="position:absolute;left:999;top:2286;width:91;height:66" coordsize="91,66" path="m46,l91,33,46,66,,33,46,xe" fillcolor="navy" strokecolor="navy">
                <v:path arrowok="t"/>
              </v:shape>
              <v:shape id="_x0000_s3843" style="position:absolute;left:999;top:2286;width:91;height:66" coordsize="91,66" path="m46,l91,33,46,66,,33,46,xe" fillcolor="navy" strokecolor="navy">
                <v:path arrowok="t"/>
              </v:shape>
              <v:shape id="_x0000_s3844" style="position:absolute;left:999;top:2286;width:91;height:66" coordsize="91,66" path="m46,l91,33,46,66,,33,46,xe" fillcolor="navy" strokecolor="navy">
                <v:path arrowok="t"/>
              </v:shape>
              <v:shape id="_x0000_s3845" style="position:absolute;left:999;top:2286;width:91;height:66" coordsize="91,66" path="m46,l91,33,46,66,,33,46,xe" fillcolor="navy" strokecolor="navy">
                <v:path arrowok="t"/>
              </v:shape>
              <v:shape id="_x0000_s3846" style="position:absolute;left:999;top:2286;width:91;height:66" coordsize="91,66" path="m46,l91,33,46,66,,33,46,xe" fillcolor="navy" strokecolor="navy">
                <v:path arrowok="t"/>
              </v:shape>
              <v:shape id="_x0000_s3847" style="position:absolute;left:999;top:2286;width:91;height:66" coordsize="91,66" path="m46,l91,33,46,66,,33,46,xe" fillcolor="navy" strokecolor="navy">
                <v:path arrowok="t"/>
              </v:shape>
              <v:shape id="_x0000_s3848" style="position:absolute;left:999;top:2286;width:91;height:66" coordsize="91,66" path="m46,l91,33,46,66,,33,46,xe" fillcolor="navy" strokecolor="navy">
                <v:path arrowok="t"/>
              </v:shape>
              <v:shape id="_x0000_s3849" style="position:absolute;left:999;top:2286;width:91;height:66" coordsize="91,66" path="m46,l91,33,46,66,,33,46,xe" fillcolor="navy" strokecolor="navy">
                <v:path arrowok="t"/>
              </v:shape>
              <v:shape id="_x0000_s3850" style="position:absolute;left:999;top:2286;width:91;height:66" coordsize="91,66" path="m46,l91,33,46,66,,33,46,xe" fillcolor="navy" strokecolor="navy">
                <v:path arrowok="t"/>
              </v:shape>
              <v:shape id="_x0000_s3851" style="position:absolute;left:999;top:2286;width:91;height:66" coordsize="91,66" path="m46,l91,33,46,66,,33,46,xe" fillcolor="navy" strokecolor="navy">
                <v:path arrowok="t"/>
              </v:shape>
              <v:shape id="_x0000_s3852" style="position:absolute;left:999;top:2286;width:91;height:66" coordsize="91,66" path="m46,l91,33,46,66,,33,46,xe" fillcolor="navy" strokecolor="navy">
                <v:path arrowok="t"/>
              </v:shape>
              <v:shape id="_x0000_s3853" style="position:absolute;left:999;top:2286;width:91;height:66" coordsize="91,66" path="m46,l91,33,46,66,,33,46,xe" fillcolor="navy" strokecolor="navy">
                <v:path arrowok="t"/>
              </v:shape>
              <v:shape id="_x0000_s3854" style="position:absolute;left:999;top:2286;width:91;height:66" coordsize="91,66" path="m46,l91,33,46,66,,33,46,xe" fillcolor="navy" strokecolor="navy">
                <v:path arrowok="t"/>
              </v:shape>
              <v:shape id="_x0000_s3855" style="position:absolute;left:999;top:2286;width:91;height:66" coordsize="91,66" path="m46,l91,33,46,66,,33,46,xe" fillcolor="navy" strokecolor="navy">
                <v:path arrowok="t"/>
              </v:shape>
              <v:shape id="_x0000_s3856" style="position:absolute;left:999;top:2286;width:91;height:66" coordsize="91,66" path="m46,l91,33,46,66,,33,46,xe" fillcolor="navy" strokecolor="navy">
                <v:path arrowok="t"/>
              </v:shape>
              <v:shape id="_x0000_s3857" style="position:absolute;left:999;top:2286;width:91;height:66" coordsize="91,66" path="m46,l91,33,46,66,,33,46,xe" fillcolor="navy" strokecolor="navy">
                <v:path arrowok="t"/>
              </v:shape>
              <v:shape id="_x0000_s3858" style="position:absolute;left:999;top:2286;width:91;height:66" coordsize="91,66" path="m46,l91,33,46,66,,33,46,xe" fillcolor="navy" strokecolor="navy">
                <v:path arrowok="t"/>
              </v:shape>
              <v:shape id="_x0000_s3859" style="position:absolute;left:999;top:2286;width:91;height:66" coordsize="91,66" path="m46,l91,33,46,66,,33,46,xe" fillcolor="navy" strokecolor="navy">
                <v:path arrowok="t"/>
              </v:shape>
              <v:shape id="_x0000_s3860" style="position:absolute;left:999;top:2286;width:91;height:66" coordsize="91,66" path="m46,l91,33,46,66,,33,46,xe" fillcolor="navy" strokecolor="navy">
                <v:path arrowok="t"/>
              </v:shape>
              <v:shape id="_x0000_s3861" style="position:absolute;left:999;top:2286;width:91;height:66" coordsize="91,66" path="m46,l91,33,46,66,,33,46,xe" fillcolor="navy" strokecolor="navy">
                <v:path arrowok="t"/>
              </v:shape>
              <v:shape id="_x0000_s3862" style="position:absolute;left:999;top:2286;width:91;height:66" coordsize="91,66" path="m46,l91,33,46,66,,33,46,xe" fillcolor="navy" strokecolor="navy">
                <v:path arrowok="t"/>
              </v:shape>
              <v:shape id="_x0000_s3863" style="position:absolute;left:999;top:2286;width:91;height:66" coordsize="91,66" path="m46,l91,33,46,66,,33,46,xe" fillcolor="navy" strokecolor="navy">
                <v:path arrowok="t"/>
              </v:shape>
              <v:shape id="_x0000_s3864" style="position:absolute;left:999;top:2286;width:91;height:66" coordsize="91,66" path="m46,l91,33,46,66,,33,46,xe" fillcolor="navy" strokecolor="navy">
                <v:path arrowok="t"/>
              </v:shape>
              <v:shape id="_x0000_s3865" style="position:absolute;left:999;top:2286;width:91;height:66" coordsize="91,66" path="m46,l91,33,46,66,,33,46,xe" fillcolor="navy" strokecolor="navy">
                <v:path arrowok="t"/>
              </v:shape>
              <v:shape id="_x0000_s3866" style="position:absolute;left:999;top:2286;width:91;height:66" coordsize="91,66" path="m46,l91,33,46,66,,33,46,xe" fillcolor="navy" strokecolor="navy">
                <v:path arrowok="t"/>
              </v:shape>
              <v:shape id="_x0000_s3867" style="position:absolute;left:999;top:2286;width:91;height:66" coordsize="91,66" path="m46,l91,33,46,66,,33,46,xe" fillcolor="navy" strokecolor="navy">
                <v:path arrowok="t"/>
              </v:shape>
              <v:shape id="_x0000_s3868" style="position:absolute;left:999;top:2286;width:91;height:66" coordsize="91,66" path="m46,l91,33,46,66,,33,46,xe" fillcolor="navy" strokecolor="navy">
                <v:path arrowok="t"/>
              </v:shape>
              <v:shape id="_x0000_s3869" style="position:absolute;left:999;top:2286;width:91;height:66" coordsize="91,66" path="m46,l91,33,46,66,,33,46,xe" fillcolor="navy" strokecolor="navy">
                <v:path arrowok="t"/>
              </v:shape>
              <v:shape id="_x0000_s3870" style="position:absolute;left:999;top:2286;width:91;height:66" coordsize="91,66" path="m46,l91,33,46,66,,33,46,xe" fillcolor="navy" strokecolor="navy">
                <v:path arrowok="t"/>
              </v:shape>
              <v:shape id="_x0000_s3871" style="position:absolute;left:999;top:2286;width:91;height:66" coordsize="91,66" path="m46,l91,33,46,66,,33,46,xe" fillcolor="navy" strokecolor="navy">
                <v:path arrowok="t"/>
              </v:shape>
              <v:shape id="_x0000_s3872" style="position:absolute;left:999;top:2286;width:91;height:66" coordsize="91,66" path="m46,l91,33,46,66,,33,46,xe" fillcolor="navy" strokecolor="navy">
                <v:path arrowok="t"/>
              </v:shape>
              <v:shape id="_x0000_s3873" style="position:absolute;left:999;top:2286;width:91;height:66" coordsize="91,66" path="m46,l91,33,46,66,,33,46,xe" fillcolor="navy" strokecolor="navy">
                <v:path arrowok="t"/>
              </v:shape>
              <v:shape id="_x0000_s3874" style="position:absolute;left:999;top:2286;width:91;height:66" coordsize="91,66" path="m46,l91,33,46,66,,33,46,xe" fillcolor="navy" strokecolor="navy">
                <v:path arrowok="t"/>
              </v:shape>
              <v:shape id="_x0000_s3875" style="position:absolute;left:999;top:2286;width:91;height:66" coordsize="91,66" path="m46,l91,33,46,66,,33,46,xe" fillcolor="navy" strokecolor="navy">
                <v:path arrowok="t"/>
              </v:shape>
              <v:shape id="_x0000_s3876" style="position:absolute;left:999;top:2286;width:91;height:66" coordsize="91,66" path="m46,l91,33,46,66,,33,46,xe" fillcolor="navy" strokecolor="navy">
                <v:path arrowok="t"/>
              </v:shape>
              <v:shape id="_x0000_s3877" style="position:absolute;left:999;top:2286;width:91;height:66" coordsize="91,66" path="m46,l91,33,46,66,,33,46,xe" fillcolor="navy" strokecolor="navy">
                <v:path arrowok="t"/>
              </v:shape>
              <v:shape id="_x0000_s3878" style="position:absolute;left:999;top:2286;width:91;height:66" coordsize="91,66" path="m46,l91,33,46,66,,33,46,xe" fillcolor="navy" strokecolor="navy">
                <v:path arrowok="t"/>
              </v:shape>
              <v:shape id="_x0000_s3879" style="position:absolute;left:999;top:2286;width:91;height:66" coordsize="91,66" path="m46,l91,33,46,66,,33,46,xe" fillcolor="navy" strokecolor="navy">
                <v:path arrowok="t"/>
              </v:shape>
              <v:shape id="_x0000_s3880" style="position:absolute;left:999;top:2286;width:91;height:66" coordsize="91,66" path="m46,l91,33,46,66,,33,46,xe" fillcolor="navy" strokecolor="navy">
                <v:path arrowok="t"/>
              </v:shape>
              <v:shape id="_x0000_s3881" style="position:absolute;left:999;top:2286;width:91;height:66" coordsize="91,66" path="m46,l91,33,46,66,,33,46,xe" fillcolor="navy" strokecolor="navy">
                <v:path arrowok="t"/>
              </v:shape>
              <v:shape id="_x0000_s3882" style="position:absolute;left:999;top:2286;width:91;height:66" coordsize="91,66" path="m46,l91,33,46,66,,33,46,xe" fillcolor="navy" strokecolor="navy">
                <v:path arrowok="t"/>
              </v:shape>
              <v:shape id="_x0000_s3883" style="position:absolute;left:999;top:2286;width:91;height:66" coordsize="91,66" path="m46,l91,33,46,66,,33,46,xe" fillcolor="navy" strokecolor="navy">
                <v:path arrowok="t"/>
              </v:shape>
              <v:shape id="_x0000_s3884" style="position:absolute;left:999;top:2286;width:91;height:66" coordsize="91,66" path="m46,l91,33,46,66,,33,46,xe" fillcolor="navy" strokecolor="navy">
                <v:path arrowok="t"/>
              </v:shape>
              <v:shape id="_x0000_s3885" style="position:absolute;left:999;top:2286;width:91;height:66" coordsize="91,66" path="m46,l91,33,46,66,,33,46,xe" fillcolor="navy" strokecolor="navy">
                <v:path arrowok="t"/>
              </v:shape>
              <v:shape id="_x0000_s3886" style="position:absolute;left:999;top:2286;width:91;height:66" coordsize="91,66" path="m46,l91,33,46,66,,33,46,xe" fillcolor="navy" strokecolor="navy">
                <v:path arrowok="t"/>
              </v:shape>
              <v:shape id="_x0000_s3887" style="position:absolute;left:999;top:2275;width:91;height:66" coordsize="91,66" path="m46,l91,33,46,66,,33,46,xe" fillcolor="navy" strokecolor="navy">
                <v:path arrowok="t"/>
              </v:shape>
              <v:shape id="_x0000_s3888" style="position:absolute;left:999;top:2275;width:91;height:66" coordsize="91,66" path="m46,l91,33,46,66,,33,46,xe" fillcolor="navy" strokecolor="navy">
                <v:path arrowok="t"/>
              </v:shape>
              <v:shape id="_x0000_s3889" style="position:absolute;left:999;top:2275;width:91;height:66" coordsize="91,66" path="m46,l91,33,46,66,,33,46,xe" fillcolor="navy" strokecolor="navy">
                <v:path arrowok="t"/>
              </v:shape>
              <v:shape id="_x0000_s3890" style="position:absolute;left:999;top:2275;width:91;height:66" coordsize="91,66" path="m46,l91,33,46,66,,33,46,xe" fillcolor="navy" strokecolor="navy">
                <v:path arrowok="t"/>
              </v:shape>
              <v:shape id="_x0000_s3891" style="position:absolute;left:999;top:2275;width:91;height:66" coordsize="91,66" path="m46,l91,33,46,66,,33,46,xe" fillcolor="navy" strokecolor="navy">
                <v:path arrowok="t"/>
              </v:shape>
              <v:shape id="_x0000_s3892" style="position:absolute;left:999;top:2275;width:91;height:66" coordsize="91,66" path="m46,l91,33,46,66,,33,46,xe" fillcolor="navy" strokecolor="navy">
                <v:path arrowok="t"/>
              </v:shape>
              <v:shape id="_x0000_s3893" style="position:absolute;left:999;top:2275;width:91;height:66" coordsize="91,66" path="m46,l91,33,46,66,,33,46,xe" fillcolor="navy" strokecolor="navy">
                <v:path arrowok="t"/>
              </v:shape>
              <v:shape id="_x0000_s3894" style="position:absolute;left:999;top:2275;width:91;height:66" coordsize="91,66" path="m46,l91,33,46,66,,33,46,xe" fillcolor="navy" strokecolor="navy">
                <v:path arrowok="t"/>
              </v:shape>
              <v:shape id="_x0000_s3895" style="position:absolute;left:999;top:2275;width:91;height:66" coordsize="91,66" path="m46,l91,33,46,66,,33,46,xe" fillcolor="navy" strokecolor="navy">
                <v:path arrowok="t"/>
              </v:shape>
              <v:shape id="_x0000_s3896" style="position:absolute;left:999;top:2275;width:91;height:66" coordsize="91,66" path="m46,l91,33,46,66,,33,46,xe" fillcolor="navy" strokecolor="navy">
                <v:path arrowok="t"/>
              </v:shape>
              <v:shape id="_x0000_s3897" style="position:absolute;left:999;top:2275;width:91;height:66" coordsize="91,66" path="m46,l91,33,46,66,,33,46,xe" fillcolor="navy" strokecolor="navy">
                <v:path arrowok="t"/>
              </v:shape>
              <v:shape id="_x0000_s3898" style="position:absolute;left:999;top:2275;width:91;height:66" coordsize="91,66" path="m46,l91,33,46,66,,33,46,xe" fillcolor="navy" strokecolor="navy">
                <v:path arrowok="t"/>
              </v:shape>
              <v:shape id="_x0000_s3899" style="position:absolute;left:999;top:2275;width:91;height:66" coordsize="91,66" path="m46,l91,33,46,66,,33,46,xe" fillcolor="navy" strokecolor="navy">
                <v:path arrowok="t"/>
              </v:shape>
              <v:shape id="_x0000_s3900" style="position:absolute;left:999;top:2275;width:91;height:66" coordsize="91,66" path="m46,l91,33,46,66,,33,46,xe" fillcolor="navy" strokecolor="navy">
                <v:path arrowok="t"/>
              </v:shape>
              <v:shape id="_x0000_s3901" style="position:absolute;left:999;top:2275;width:91;height:66" coordsize="91,66" path="m46,l91,33,46,66,,33,46,xe" fillcolor="navy" strokecolor="navy">
                <v:path arrowok="t"/>
              </v:shape>
              <v:shape id="_x0000_s3902" style="position:absolute;left:999;top:2275;width:91;height:66" coordsize="91,66" path="m46,l91,33,46,66,,33,46,xe" fillcolor="navy" strokecolor="navy">
                <v:path arrowok="t"/>
              </v:shape>
              <v:shape id="_x0000_s3903" style="position:absolute;left:999;top:2275;width:91;height:66" coordsize="91,66" path="m46,l91,33,46,66,,33,46,xe" fillcolor="navy" strokecolor="navy">
                <v:path arrowok="t"/>
              </v:shape>
              <v:shape id="_x0000_s3904" style="position:absolute;left:999;top:2275;width:91;height:66" coordsize="91,66" path="m46,l91,33,46,66,,33,46,xe" fillcolor="navy" strokecolor="navy">
                <v:path arrowok="t"/>
              </v:shape>
              <v:shape id="_x0000_s3905" style="position:absolute;left:999;top:2275;width:91;height:66" coordsize="91,66" path="m46,l91,33,46,66,,33,46,xe" fillcolor="navy" strokecolor="navy">
                <v:path arrowok="t"/>
              </v:shape>
              <v:shape id="_x0000_s3906" style="position:absolute;left:999;top:2275;width:91;height:66" coordsize="91,66" path="m46,l91,33,46,66,,33,46,xe" fillcolor="navy" strokecolor="navy">
                <v:path arrowok="t"/>
              </v:shape>
              <v:shape id="_x0000_s3907" style="position:absolute;left:999;top:2275;width:91;height:66" coordsize="91,66" path="m46,l91,33,46,66,,33,46,xe" fillcolor="navy" strokecolor="navy">
                <v:path arrowok="t"/>
              </v:shape>
              <v:shape id="_x0000_s3908" style="position:absolute;left:999;top:2275;width:91;height:66" coordsize="91,66" path="m46,l91,33,46,66,,33,46,xe" fillcolor="navy" strokecolor="navy">
                <v:path arrowok="t"/>
              </v:shape>
              <v:shape id="_x0000_s3909" style="position:absolute;left:999;top:2275;width:91;height:66" coordsize="91,66" path="m46,l91,33,46,66,,33,46,xe" fillcolor="navy" strokecolor="navy">
                <v:path arrowok="t"/>
              </v:shape>
              <v:shape id="_x0000_s3910" style="position:absolute;left:999;top:2275;width:91;height:66" coordsize="91,66" path="m46,l91,33,46,66,,33,46,xe" fillcolor="navy" strokecolor="navy">
                <v:path arrowok="t"/>
              </v:shape>
              <v:shape id="_x0000_s3911" style="position:absolute;left:999;top:2275;width:91;height:66" coordsize="91,66" path="m46,l91,33,46,66,,33,46,xe" fillcolor="navy" strokecolor="navy">
                <v:path arrowok="t"/>
              </v:shape>
              <v:shape id="_x0000_s3912" style="position:absolute;left:999;top:2275;width:91;height:66" coordsize="91,66" path="m46,l91,33,46,66,,33,46,xe" fillcolor="navy" strokecolor="navy">
                <v:path arrowok="t"/>
              </v:shape>
              <v:shape id="_x0000_s3913" style="position:absolute;left:999;top:2275;width:91;height:66" coordsize="91,66" path="m46,l91,33,46,66,,33,46,xe" fillcolor="navy" strokecolor="navy">
                <v:path arrowok="t"/>
              </v:shape>
              <v:shape id="_x0000_s3914" style="position:absolute;left:999;top:2275;width:91;height:66" coordsize="91,66" path="m46,l91,33,46,66,,33,46,xe" fillcolor="navy" strokecolor="navy">
                <v:path arrowok="t"/>
              </v:shape>
              <v:shape id="_x0000_s3915" style="position:absolute;left:999;top:2275;width:91;height:66" coordsize="91,66" path="m46,l91,33,46,66,,33,46,xe" fillcolor="navy" strokecolor="navy">
                <v:path arrowok="t"/>
              </v:shape>
              <v:shape id="_x0000_s3916" style="position:absolute;left:999;top:2275;width:91;height:66" coordsize="91,66" path="m46,l91,33,46,66,,33,46,xe" fillcolor="navy" strokecolor="navy">
                <v:path arrowok="t"/>
              </v:shape>
              <v:shape id="_x0000_s3917" style="position:absolute;left:999;top:2275;width:91;height:66" coordsize="91,66" path="m46,l91,33,46,66,,33,46,xe" fillcolor="navy" strokecolor="navy">
                <v:path arrowok="t"/>
              </v:shape>
              <v:shape id="_x0000_s3918" style="position:absolute;left:999;top:2275;width:91;height:66" coordsize="91,66" path="m46,l91,33,46,66,,33,46,xe" fillcolor="navy" strokecolor="navy">
                <v:path arrowok="t"/>
              </v:shape>
              <v:shape id="_x0000_s3919" style="position:absolute;left:999;top:2275;width:91;height:66" coordsize="91,66" path="m46,l91,33,46,66,,33,46,xe" fillcolor="navy" strokecolor="navy">
                <v:path arrowok="t"/>
              </v:shape>
              <v:shape id="_x0000_s3920" style="position:absolute;left:999;top:2275;width:91;height:66" coordsize="91,66" path="m46,l91,33,46,66,,33,46,xe" fillcolor="navy" strokecolor="navy">
                <v:path arrowok="t"/>
              </v:shape>
              <v:shape id="_x0000_s3921" style="position:absolute;left:999;top:2275;width:91;height:66" coordsize="91,66" path="m46,l91,33,46,66,,33,46,xe" fillcolor="navy" strokecolor="navy">
                <v:path arrowok="t"/>
              </v:shape>
              <v:shape id="_x0000_s3922" style="position:absolute;left:999;top:2275;width:91;height:66" coordsize="91,66" path="m46,l91,33,46,66,,33,46,xe" fillcolor="navy" strokecolor="navy">
                <v:path arrowok="t"/>
              </v:shape>
              <v:shape id="_x0000_s3923" style="position:absolute;left:999;top:2275;width:91;height:66" coordsize="91,66" path="m46,l91,33,46,66,,33,46,xe" fillcolor="navy" strokecolor="navy">
                <v:path arrowok="t"/>
              </v:shape>
              <v:shape id="_x0000_s3924" style="position:absolute;left:999;top:2275;width:91;height:66" coordsize="91,66" path="m46,l91,33,46,66,,33,46,xe" fillcolor="navy" strokecolor="navy">
                <v:path arrowok="t"/>
              </v:shape>
              <v:shape id="_x0000_s3925" style="position:absolute;left:999;top:2275;width:91;height:66" coordsize="91,66" path="m46,l91,33,46,66,,33,46,xe" fillcolor="navy" strokecolor="navy">
                <v:path arrowok="t"/>
              </v:shape>
              <v:shape id="_x0000_s3926" style="position:absolute;left:999;top:2275;width:91;height:66" coordsize="91,66" path="m46,l91,33,46,66,,33,46,xe" fillcolor="navy" strokecolor="navy">
                <v:path arrowok="t"/>
              </v:shape>
              <v:shape id="_x0000_s3927" style="position:absolute;left:999;top:2275;width:91;height:66" coordsize="91,66" path="m46,l91,33,46,66,,33,46,xe" fillcolor="navy" strokecolor="navy">
                <v:path arrowok="t"/>
              </v:shape>
              <v:shape id="_x0000_s3928" style="position:absolute;left:999;top:2275;width:91;height:66" coordsize="91,66" path="m46,l91,33,46,66,,33,46,xe" fillcolor="navy" strokecolor="navy">
                <v:path arrowok="t"/>
              </v:shape>
              <v:shape id="_x0000_s3929" style="position:absolute;left:999;top:2275;width:91;height:66" coordsize="91,66" path="m46,l91,33,46,66,,33,46,xe" fillcolor="navy" strokecolor="navy">
                <v:path arrowok="t"/>
              </v:shape>
              <v:shape id="_x0000_s3930" style="position:absolute;left:999;top:2275;width:91;height:66" coordsize="91,66" path="m46,l91,33,46,66,,33,46,xe" fillcolor="navy" strokecolor="navy">
                <v:path arrowok="t"/>
              </v:shape>
              <v:shape id="_x0000_s3931" style="position:absolute;left:999;top:2275;width:91;height:66" coordsize="91,66" path="m46,l91,33,46,66,,33,46,xe" fillcolor="navy" strokecolor="navy">
                <v:path arrowok="t"/>
              </v:shape>
              <v:shape id="_x0000_s3932" style="position:absolute;left:999;top:2275;width:91;height:66" coordsize="91,66" path="m46,l91,33,46,66,,33,46,xe" fillcolor="navy" strokecolor="navy">
                <v:path arrowok="t"/>
              </v:shape>
              <v:shape id="_x0000_s3933" style="position:absolute;left:999;top:2275;width:91;height:66" coordsize="91,66" path="m46,l91,33,46,66,,33,46,xe" fillcolor="navy" strokecolor="navy">
                <v:path arrowok="t"/>
              </v:shape>
              <v:shape id="_x0000_s3934" style="position:absolute;left:999;top:2275;width:91;height:66" coordsize="91,66" path="m46,l91,33,46,66,,33,46,xe" fillcolor="navy" strokecolor="navy">
                <v:path arrowok="t"/>
              </v:shape>
              <v:shape id="_x0000_s3935" style="position:absolute;left:999;top:2275;width:91;height:66" coordsize="91,66" path="m46,l91,33,46,66,,33,46,xe" fillcolor="navy" strokecolor="navy">
                <v:path arrowok="t"/>
              </v:shape>
              <v:shape id="_x0000_s3936" style="position:absolute;left:999;top:2275;width:91;height:66" coordsize="91,66" path="m46,l91,33,46,66,,33,46,xe" fillcolor="navy" strokecolor="navy">
                <v:path arrowok="t"/>
              </v:shape>
              <v:shape id="_x0000_s3937" style="position:absolute;left:999;top:2275;width:91;height:66" coordsize="91,66" path="m46,l91,33,46,66,,33,46,xe" fillcolor="navy" strokecolor="navy">
                <v:path arrowok="t"/>
              </v:shape>
              <v:shape id="_x0000_s3938" style="position:absolute;left:999;top:2275;width:91;height:66" coordsize="91,66" path="m46,l91,33,46,66,,33,46,xe" fillcolor="navy" strokecolor="navy">
                <v:path arrowok="t"/>
              </v:shape>
              <v:shape id="_x0000_s3939" style="position:absolute;left:999;top:2275;width:91;height:66" coordsize="91,66" path="m46,l91,33,46,66,,33,46,xe" fillcolor="navy" strokecolor="navy">
                <v:path arrowok="t"/>
              </v:shape>
              <v:shape id="_x0000_s3940" style="position:absolute;left:999;top:2275;width:91;height:66" coordsize="91,66" path="m46,l91,33,46,66,,33,46,xe" fillcolor="navy" strokecolor="navy">
                <v:path arrowok="t"/>
              </v:shape>
              <v:shape id="_x0000_s3941" style="position:absolute;left:999;top:2275;width:91;height:66" coordsize="91,66" path="m46,l91,33,46,66,,33,46,xe" fillcolor="navy" strokecolor="navy">
                <v:path arrowok="t"/>
              </v:shape>
              <v:shape id="_x0000_s3942" style="position:absolute;left:999;top:2275;width:91;height:66" coordsize="91,66" path="m46,l91,33,46,66,,33,46,xe" fillcolor="navy" strokecolor="navy">
                <v:path arrowok="t"/>
              </v:shape>
              <v:shape id="_x0000_s3943" style="position:absolute;left:999;top:2275;width:91;height:66" coordsize="91,66" path="m46,l91,33,46,66,,33,46,xe" fillcolor="navy" strokecolor="navy">
                <v:path arrowok="t"/>
              </v:shape>
              <v:shape id="_x0000_s3944" style="position:absolute;left:999;top:2275;width:91;height:66" coordsize="91,66" path="m46,l91,33,46,66,,33,46,xe" fillcolor="navy" strokecolor="navy">
                <v:path arrowok="t"/>
              </v:shape>
              <v:shape id="_x0000_s3945" style="position:absolute;left:999;top:2275;width:91;height:66" coordsize="91,66" path="m46,l91,33,46,66,,33,46,xe" fillcolor="navy" strokecolor="navy">
                <v:path arrowok="t"/>
              </v:shape>
              <v:shape id="_x0000_s3946" style="position:absolute;left:999;top:2275;width:91;height:66" coordsize="91,66" path="m46,l91,33,46,66,,33,46,xe" fillcolor="navy" strokecolor="navy">
                <v:path arrowok="t"/>
              </v:shape>
              <v:shape id="_x0000_s3947" style="position:absolute;left:999;top:2275;width:91;height:66" coordsize="91,66" path="m46,l91,33,46,66,,33,46,xe" fillcolor="navy" strokecolor="navy">
                <v:path arrowok="t"/>
              </v:shape>
              <v:shape id="_x0000_s3948" style="position:absolute;left:999;top:2275;width:91;height:66" coordsize="91,66" path="m46,l91,33,46,66,,33,46,xe" fillcolor="navy" strokecolor="navy">
                <v:path arrowok="t"/>
              </v:shape>
              <v:shape id="_x0000_s3949" style="position:absolute;left:999;top:2275;width:91;height:66" coordsize="91,66" path="m46,l91,33,46,66,,33,46,xe" fillcolor="navy" strokecolor="navy">
                <v:path arrowok="t"/>
              </v:shape>
              <v:shape id="_x0000_s3950" style="position:absolute;left:999;top:2275;width:91;height:66" coordsize="91,66" path="m46,l91,33,46,66,,33,46,xe" fillcolor="navy" strokecolor="navy">
                <v:path arrowok="t"/>
              </v:shape>
              <v:shape id="_x0000_s3951" style="position:absolute;left:999;top:2275;width:91;height:66" coordsize="91,66" path="m46,l91,33,46,66,,33,46,xe" fillcolor="navy" strokecolor="navy">
                <v:path arrowok="t"/>
              </v:shape>
              <v:shape id="_x0000_s3952" style="position:absolute;left:999;top:2275;width:91;height:66" coordsize="91,66" path="m46,l91,33,46,66,,33,46,xe" fillcolor="navy" strokecolor="navy">
                <v:path arrowok="t"/>
              </v:shape>
              <v:shape id="_x0000_s3953" style="position:absolute;left:999;top:2275;width:91;height:66" coordsize="91,66" path="m46,l91,33,46,66,,33,46,xe" fillcolor="navy" strokecolor="navy">
                <v:path arrowok="t"/>
              </v:shape>
              <v:shape id="_x0000_s3954" style="position:absolute;left:999;top:2275;width:91;height:66" coordsize="91,66" path="m46,l91,33,46,66,,33,46,xe" fillcolor="navy" strokecolor="navy">
                <v:path arrowok="t"/>
              </v:shape>
              <v:shape id="_x0000_s3955" style="position:absolute;left:999;top:2275;width:91;height:66" coordsize="91,66" path="m46,l91,33,46,66,,33,46,xe" fillcolor="navy" strokecolor="navy">
                <v:path arrowok="t"/>
              </v:shape>
              <v:shape id="_x0000_s3956" style="position:absolute;left:999;top:2275;width:91;height:66" coordsize="91,66" path="m46,l91,33,46,66,,33,46,xe" fillcolor="navy" strokecolor="navy">
                <v:path arrowok="t"/>
              </v:shape>
              <v:shape id="_x0000_s3957" style="position:absolute;left:999;top:2275;width:91;height:66" coordsize="91,66" path="m46,l91,33,46,66,,33,46,xe" fillcolor="navy" strokecolor="navy">
                <v:path arrowok="t"/>
              </v:shape>
              <v:shape id="_x0000_s3958" style="position:absolute;left:999;top:2275;width:91;height:66" coordsize="91,66" path="m46,l91,33,46,66,,33,46,xe" fillcolor="navy" strokecolor="navy">
                <v:path arrowok="t"/>
              </v:shape>
              <v:shape id="_x0000_s3959" style="position:absolute;left:999;top:2275;width:91;height:66" coordsize="91,66" path="m46,l91,33,46,66,,33,46,xe" fillcolor="navy" strokecolor="navy">
                <v:path arrowok="t"/>
              </v:shape>
              <v:shape id="_x0000_s3960" style="position:absolute;left:999;top:2275;width:91;height:66" coordsize="91,66" path="m46,l91,33,46,66,,33,46,xe" fillcolor="navy" strokecolor="navy">
                <v:path arrowok="t"/>
              </v:shape>
              <v:shape id="_x0000_s3961" style="position:absolute;left:999;top:2275;width:91;height:66" coordsize="91,66" path="m46,l91,33,46,66,,33,46,xe" fillcolor="navy" strokecolor="navy">
                <v:path arrowok="t"/>
              </v:shape>
              <v:shape id="_x0000_s3962" style="position:absolute;left:999;top:2275;width:91;height:66" coordsize="91,66" path="m46,l91,33,46,66,,33,46,xe" fillcolor="navy" strokecolor="navy">
                <v:path arrowok="t"/>
              </v:shape>
              <v:shape id="_x0000_s3963" style="position:absolute;left:999;top:2275;width:91;height:66" coordsize="91,66" path="m46,l91,33,46,66,,33,46,xe" fillcolor="navy" strokecolor="navy">
                <v:path arrowok="t"/>
              </v:shape>
              <v:shape id="_x0000_s3964" style="position:absolute;left:999;top:2275;width:91;height:66" coordsize="91,66" path="m46,l91,33,46,66,,33,46,xe" fillcolor="navy" strokecolor="navy">
                <v:path arrowok="t"/>
              </v:shape>
              <v:shape id="_x0000_s3965" style="position:absolute;left:999;top:2275;width:91;height:66" coordsize="91,66" path="m46,l91,33,46,66,,33,46,xe" fillcolor="navy" strokecolor="navy">
                <v:path arrowok="t"/>
              </v:shape>
            </v:group>
            <v:group id="_x0000_s4167" style="position:absolute;left:999;top:2231;width:91;height:110" coordorigin="999,2231" coordsize="91,110">
              <v:shape id="_x0000_s3967" style="position:absolute;left:999;top:2275;width:91;height:66" coordsize="91,66" path="m46,l91,33,46,66,,33,46,xe" fillcolor="navy" strokecolor="navy">
                <v:path arrowok="t"/>
              </v:shape>
              <v:shape id="_x0000_s3968" style="position:absolute;left:999;top:2275;width:91;height:66" coordsize="91,66" path="m46,l91,33,46,66,,33,46,xe" fillcolor="navy" strokecolor="navy">
                <v:path arrowok="t"/>
              </v:shape>
              <v:shape id="_x0000_s3969" style="position:absolute;left:999;top:2275;width:91;height:66" coordsize="91,66" path="m46,l91,33,46,66,,33,46,xe" fillcolor="navy" strokecolor="navy">
                <v:path arrowok="t"/>
              </v:shape>
              <v:shape id="_x0000_s3970" style="position:absolute;left:999;top:2275;width:91;height:66" coordsize="91,66" path="m46,l91,33,46,66,,33,46,xe" fillcolor="navy" strokecolor="navy">
                <v:path arrowok="t"/>
              </v:shape>
              <v:shape id="_x0000_s3971" style="position:absolute;left:999;top:2275;width:91;height:66" coordsize="91,66" path="m46,l91,33,46,66,,33,46,xe" fillcolor="navy" strokecolor="navy">
                <v:path arrowok="t"/>
              </v:shape>
              <v:shape id="_x0000_s3972" style="position:absolute;left:999;top:2275;width:91;height:66" coordsize="91,66" path="m46,l91,33,46,66,,33,46,xe" fillcolor="navy" strokecolor="navy">
                <v:path arrowok="t"/>
              </v:shape>
              <v:shape id="_x0000_s3973" style="position:absolute;left:999;top:2275;width:91;height:66" coordsize="91,66" path="m46,l91,33,46,66,,33,46,xe" fillcolor="navy" strokecolor="navy">
                <v:path arrowok="t"/>
              </v:shape>
              <v:shape id="_x0000_s3974" style="position:absolute;left:999;top:2275;width:91;height:66" coordsize="91,66" path="m46,l91,33,46,66,,33,46,xe" fillcolor="navy" strokecolor="navy">
                <v:path arrowok="t"/>
              </v:shape>
              <v:shape id="_x0000_s3975" style="position:absolute;left:999;top:2275;width:91;height:66" coordsize="91,66" path="m46,l91,33,46,66,,33,46,xe" fillcolor="navy" strokecolor="navy">
                <v:path arrowok="t"/>
              </v:shape>
              <v:shape id="_x0000_s3976" style="position:absolute;left:999;top:2275;width:91;height:66" coordsize="91,66" path="m46,l91,33,46,66,,33,46,xe" fillcolor="navy" strokecolor="navy">
                <v:path arrowok="t"/>
              </v:shape>
              <v:shape id="_x0000_s3977" style="position:absolute;left:999;top:2275;width:91;height:66" coordsize="91,66" path="m46,l91,33,46,66,,33,46,xe" fillcolor="navy" strokecolor="navy">
                <v:path arrowok="t"/>
              </v:shape>
              <v:shape id="_x0000_s3978" style="position:absolute;left:999;top:2275;width:91;height:66" coordsize="91,66" path="m46,l91,33,46,66,,33,46,xe" fillcolor="navy" strokecolor="navy">
                <v:path arrowok="t"/>
              </v:shape>
              <v:shape id="_x0000_s3979" style="position:absolute;left:999;top:2275;width:91;height:66" coordsize="91,66" path="m46,l91,33,46,66,,33,46,xe" fillcolor="navy" strokecolor="navy">
                <v:path arrowok="t"/>
              </v:shape>
              <v:shape id="_x0000_s3980" style="position:absolute;left:999;top:2275;width:91;height:66" coordsize="91,66" path="m46,l91,33,46,66,,33,46,xe" fillcolor="navy" strokecolor="navy">
                <v:path arrowok="t"/>
              </v:shape>
              <v:shape id="_x0000_s3981" style="position:absolute;left:999;top:2275;width:91;height:66" coordsize="91,66" path="m46,l91,33,46,66,,33,46,xe" fillcolor="navy" strokecolor="navy">
                <v:path arrowok="t"/>
              </v:shape>
              <v:shape id="_x0000_s3982" style="position:absolute;left:999;top:2275;width:91;height:66" coordsize="91,66" path="m46,l91,33,46,66,,33,46,xe" fillcolor="navy" strokecolor="navy">
                <v:path arrowok="t"/>
              </v:shape>
              <v:shape id="_x0000_s3983" style="position:absolute;left:999;top:2275;width:91;height:66" coordsize="91,66" path="m46,l91,33,46,66,,33,46,xe" fillcolor="navy" strokecolor="navy">
                <v:path arrowok="t"/>
              </v:shape>
              <v:shape id="_x0000_s3984" style="position:absolute;left:999;top:2264;width:91;height:66" coordsize="91,66" path="m46,l91,33,46,66,,33,46,xe" fillcolor="navy" strokecolor="navy">
                <v:path arrowok="t"/>
              </v:shape>
              <v:shape id="_x0000_s3985" style="position:absolute;left:999;top:2264;width:91;height:66" coordsize="91,66" path="m46,l91,33,46,66,,33,46,xe" fillcolor="navy" strokecolor="navy">
                <v:path arrowok="t"/>
              </v:shape>
              <v:shape id="_x0000_s3986" style="position:absolute;left:999;top:2264;width:91;height:66" coordsize="91,66" path="m46,l91,33,46,66,,33,46,xe" fillcolor="navy" strokecolor="navy">
                <v:path arrowok="t"/>
              </v:shape>
              <v:shape id="_x0000_s3987" style="position:absolute;left:999;top:2264;width:91;height:66" coordsize="91,66" path="m46,l91,33,46,66,,33,46,xe" fillcolor="navy" strokecolor="navy">
                <v:path arrowok="t"/>
              </v:shape>
              <v:shape id="_x0000_s3988" style="position:absolute;left:999;top:2264;width:91;height:66" coordsize="91,66" path="m46,l91,33,46,66,,33,46,xe" fillcolor="navy" strokecolor="navy">
                <v:path arrowok="t"/>
              </v:shape>
              <v:shape id="_x0000_s3989" style="position:absolute;left:999;top:2264;width:91;height:66" coordsize="91,66" path="m46,l91,33,46,66,,33,46,xe" fillcolor="navy" strokecolor="navy">
                <v:path arrowok="t"/>
              </v:shape>
              <v:shape id="_x0000_s3990" style="position:absolute;left:999;top:2264;width:91;height:66" coordsize="91,66" path="m46,l91,33,46,66,,33,46,xe" fillcolor="navy" strokecolor="navy">
                <v:path arrowok="t"/>
              </v:shape>
              <v:shape id="_x0000_s3991" style="position:absolute;left:999;top:2264;width:91;height:66" coordsize="91,66" path="m46,l91,33,46,66,,33,46,xe" fillcolor="navy" strokecolor="navy">
                <v:path arrowok="t"/>
              </v:shape>
              <v:shape id="_x0000_s3992" style="position:absolute;left:999;top:2264;width:91;height:66" coordsize="91,66" path="m46,l91,33,46,66,,33,46,xe" fillcolor="navy" strokecolor="navy">
                <v:path arrowok="t"/>
              </v:shape>
              <v:shape id="_x0000_s3993" style="position:absolute;left:999;top:2264;width:91;height:66" coordsize="91,66" path="m46,l91,33,46,66,,33,46,xe" fillcolor="navy" strokecolor="navy">
                <v:path arrowok="t"/>
              </v:shape>
              <v:shape id="_x0000_s3994" style="position:absolute;left:999;top:2264;width:91;height:66" coordsize="91,66" path="m46,l91,33,46,66,,33,46,xe" fillcolor="navy" strokecolor="navy">
                <v:path arrowok="t"/>
              </v:shape>
              <v:shape id="_x0000_s3995" style="position:absolute;left:999;top:2264;width:91;height:66" coordsize="91,66" path="m46,l91,33,46,66,,33,46,xe" fillcolor="navy" strokecolor="navy">
                <v:path arrowok="t"/>
              </v:shape>
              <v:shape id="_x0000_s3996" style="position:absolute;left:999;top:2264;width:91;height:66" coordsize="91,66" path="m46,l91,33,46,66,,33,46,xe" fillcolor="navy" strokecolor="navy">
                <v:path arrowok="t"/>
              </v:shape>
              <v:shape id="_x0000_s3997" style="position:absolute;left:999;top:2264;width:91;height:66" coordsize="91,66" path="m46,l91,33,46,66,,33,46,xe" fillcolor="navy" strokecolor="navy">
                <v:path arrowok="t"/>
              </v:shape>
              <v:shape id="_x0000_s3998" style="position:absolute;left:999;top:2264;width:91;height:66" coordsize="91,66" path="m46,l91,33,46,66,,33,46,xe" fillcolor="navy" strokecolor="navy">
                <v:path arrowok="t"/>
              </v:shape>
              <v:shape id="_x0000_s3999" style="position:absolute;left:999;top:2264;width:91;height:66" coordsize="91,66" path="m46,l91,33,46,66,,33,46,xe" fillcolor="navy" strokecolor="navy">
                <v:path arrowok="t"/>
              </v:shape>
              <v:shape id="_x0000_s4000" style="position:absolute;left:999;top:2264;width:91;height:66" coordsize="91,66" path="m46,l91,33,46,66,,33,46,xe" fillcolor="navy" strokecolor="navy">
                <v:path arrowok="t"/>
              </v:shape>
              <v:shape id="_x0000_s4001" style="position:absolute;left:999;top:2264;width:91;height:66" coordsize="91,66" path="m46,l91,33,46,66,,33,46,xe" fillcolor="navy" strokecolor="navy">
                <v:path arrowok="t"/>
              </v:shape>
              <v:shape id="_x0000_s4002" style="position:absolute;left:999;top:2264;width:91;height:66" coordsize="91,66" path="m46,l91,33,46,66,,33,46,xe" fillcolor="navy" strokecolor="navy">
                <v:path arrowok="t"/>
              </v:shape>
              <v:shape id="_x0000_s4003" style="position:absolute;left:999;top:2264;width:91;height:66" coordsize="91,66" path="m46,l91,33,46,66,,33,46,xe" fillcolor="navy" strokecolor="navy">
                <v:path arrowok="t"/>
              </v:shape>
              <v:shape id="_x0000_s4004" style="position:absolute;left:999;top:2264;width:91;height:66" coordsize="91,66" path="m46,l91,33,46,66,,33,46,xe" fillcolor="navy" strokecolor="navy">
                <v:path arrowok="t"/>
              </v:shape>
              <v:shape id="_x0000_s4005" style="position:absolute;left:999;top:2264;width:91;height:66" coordsize="91,66" path="m46,l91,33,46,66,,33,46,xe" fillcolor="navy" strokecolor="navy">
                <v:path arrowok="t"/>
              </v:shape>
              <v:shape id="_x0000_s4006" style="position:absolute;left:999;top:2264;width:91;height:66" coordsize="91,66" path="m46,l91,33,46,66,,33,46,xe" fillcolor="navy" strokecolor="navy">
                <v:path arrowok="t"/>
              </v:shape>
              <v:shape id="_x0000_s4007" style="position:absolute;left:999;top:2264;width:91;height:66" coordsize="91,66" path="m46,l91,33,46,66,,33,46,xe" fillcolor="navy" strokecolor="navy">
                <v:path arrowok="t"/>
              </v:shape>
              <v:shape id="_x0000_s4008" style="position:absolute;left:999;top:2264;width:91;height:66" coordsize="91,66" path="m46,l91,33,46,66,,33,46,xe" fillcolor="navy" strokecolor="navy">
                <v:path arrowok="t"/>
              </v:shape>
              <v:shape id="_x0000_s4009" style="position:absolute;left:999;top:2264;width:91;height:66" coordsize="91,66" path="m46,l91,33,46,66,,33,46,xe" fillcolor="navy" strokecolor="navy">
                <v:path arrowok="t"/>
              </v:shape>
              <v:shape id="_x0000_s4010" style="position:absolute;left:999;top:2264;width:91;height:66" coordsize="91,66" path="m46,l91,33,46,66,,33,46,xe" fillcolor="navy" strokecolor="navy">
                <v:path arrowok="t"/>
              </v:shape>
              <v:shape id="_x0000_s4011" style="position:absolute;left:999;top:2264;width:91;height:66" coordsize="91,66" path="m46,l91,33,46,66,,33,46,xe" fillcolor="navy" strokecolor="navy">
                <v:path arrowok="t"/>
              </v:shape>
              <v:shape id="_x0000_s4012" style="position:absolute;left:999;top:2264;width:91;height:66" coordsize="91,66" path="m46,l91,33,46,66,,33,46,xe" fillcolor="navy" strokecolor="navy">
                <v:path arrowok="t"/>
              </v:shape>
              <v:shape id="_x0000_s4013" style="position:absolute;left:999;top:2264;width:91;height:66" coordsize="91,66" path="m46,l91,33,46,66,,33,46,xe" fillcolor="navy" strokecolor="navy">
                <v:path arrowok="t"/>
              </v:shape>
              <v:shape id="_x0000_s4014" style="position:absolute;left:999;top:2264;width:91;height:66" coordsize="91,66" path="m46,l91,33,46,66,,33,46,xe" fillcolor="navy" strokecolor="navy">
                <v:path arrowok="t"/>
              </v:shape>
              <v:shape id="_x0000_s4015" style="position:absolute;left:999;top:2264;width:91;height:66" coordsize="91,66" path="m46,l91,33,46,66,,33,46,xe" fillcolor="navy" strokecolor="navy">
                <v:path arrowok="t"/>
              </v:shape>
              <v:shape id="_x0000_s4016" style="position:absolute;left:999;top:2264;width:91;height:66" coordsize="91,66" path="m46,l91,33,46,66,,33,46,xe" fillcolor="navy" strokecolor="navy">
                <v:path arrowok="t"/>
              </v:shape>
              <v:shape id="_x0000_s4017" style="position:absolute;left:999;top:2264;width:91;height:66" coordsize="91,66" path="m46,l91,33,46,66,,33,46,xe" fillcolor="navy" strokecolor="navy">
                <v:path arrowok="t"/>
              </v:shape>
              <v:shape id="_x0000_s4018" style="position:absolute;left:999;top:2264;width:91;height:66" coordsize="91,66" path="m46,l91,33,46,66,,33,46,xe" fillcolor="navy" strokecolor="navy">
                <v:path arrowok="t"/>
              </v:shape>
              <v:shape id="_x0000_s4019" style="position:absolute;left:999;top:2264;width:91;height:66" coordsize="91,66" path="m46,l91,33,46,66,,33,46,xe" fillcolor="navy" strokecolor="navy">
                <v:path arrowok="t"/>
              </v:shape>
              <v:shape id="_x0000_s4020" style="position:absolute;left:999;top:2264;width:91;height:66" coordsize="91,66" path="m46,l91,33,46,66,,33,46,xe" fillcolor="navy" strokecolor="navy">
                <v:path arrowok="t"/>
              </v:shape>
              <v:shape id="_x0000_s4021" style="position:absolute;left:999;top:2264;width:91;height:66" coordsize="91,66" path="m46,l91,33,46,66,,33,46,xe" fillcolor="navy" strokecolor="navy">
                <v:path arrowok="t"/>
              </v:shape>
              <v:shape id="_x0000_s4022" style="position:absolute;left:999;top:2264;width:91;height:66" coordsize="91,66" path="m46,l91,33,46,66,,33,46,xe" fillcolor="navy" strokecolor="navy">
                <v:path arrowok="t"/>
              </v:shape>
              <v:shape id="_x0000_s4023" style="position:absolute;left:999;top:2264;width:91;height:66" coordsize="91,66" path="m46,l91,33,46,66,,33,46,xe" fillcolor="navy" strokecolor="navy">
                <v:path arrowok="t"/>
              </v:shape>
              <v:shape id="_x0000_s4024" style="position:absolute;left:999;top:2264;width:91;height:66" coordsize="91,66" path="m46,l91,33,46,66,,33,46,xe" fillcolor="navy" strokecolor="navy">
                <v:path arrowok="t"/>
              </v:shape>
              <v:shape id="_x0000_s4025" style="position:absolute;left:999;top:2264;width:91;height:66" coordsize="91,66" path="m46,l91,33,46,66,,33,46,xe" fillcolor="navy" strokecolor="navy">
                <v:path arrowok="t"/>
              </v:shape>
              <v:shape id="_x0000_s4026" style="position:absolute;left:999;top:2264;width:91;height:66" coordsize="91,66" path="m46,l91,33,46,66,,33,46,xe" fillcolor="navy" strokecolor="navy">
                <v:path arrowok="t"/>
              </v:shape>
              <v:shape id="_x0000_s4027" style="position:absolute;left:999;top:2264;width:91;height:66" coordsize="91,66" path="m46,l91,33,46,66,,33,46,xe" fillcolor="navy" strokecolor="navy">
                <v:path arrowok="t"/>
              </v:shape>
              <v:shape id="_x0000_s4028" style="position:absolute;left:999;top:2264;width:91;height:66" coordsize="91,66" path="m46,l91,33,46,66,,33,46,xe" fillcolor="navy" strokecolor="navy">
                <v:path arrowok="t"/>
              </v:shape>
              <v:shape id="_x0000_s4029" style="position:absolute;left:999;top:2264;width:91;height:66" coordsize="91,66" path="m46,l91,33,46,66,,33,46,xe" fillcolor="navy" strokecolor="navy">
                <v:path arrowok="t"/>
              </v:shape>
              <v:shape id="_x0000_s4030" style="position:absolute;left:999;top:2264;width:91;height:66" coordsize="91,66" path="m46,l91,33,46,66,,33,46,xe" fillcolor="navy" strokecolor="navy">
                <v:path arrowok="t"/>
              </v:shape>
              <v:shape id="_x0000_s4031" style="position:absolute;left:999;top:2264;width:91;height:66" coordsize="91,66" path="m46,l91,33,46,66,,33,46,xe" fillcolor="navy" strokecolor="navy">
                <v:path arrowok="t"/>
              </v:shape>
              <v:shape id="_x0000_s4032" style="position:absolute;left:999;top:2264;width:91;height:66" coordsize="91,66" path="m46,l91,33,46,66,,33,46,xe" fillcolor="navy" strokecolor="navy">
                <v:path arrowok="t"/>
              </v:shape>
              <v:shape id="_x0000_s4033" style="position:absolute;left:999;top:2264;width:91;height:66" coordsize="91,66" path="m46,l91,33,46,66,,33,46,xe" fillcolor="navy" strokecolor="navy">
                <v:path arrowok="t"/>
              </v:shape>
              <v:shape id="_x0000_s4034" style="position:absolute;left:999;top:2264;width:91;height:66" coordsize="91,66" path="m46,l91,33,46,66,,33,46,xe" fillcolor="navy" strokecolor="navy">
                <v:path arrowok="t"/>
              </v:shape>
              <v:shape id="_x0000_s4035" style="position:absolute;left:999;top:2264;width:91;height:66" coordsize="91,66" path="m46,l91,33,46,66,,33,46,xe" fillcolor="navy" strokecolor="navy">
                <v:path arrowok="t"/>
              </v:shape>
              <v:shape id="_x0000_s4036" style="position:absolute;left:999;top:2264;width:91;height:66" coordsize="91,66" path="m46,l91,33,46,66,,33,46,xe" fillcolor="navy" strokecolor="navy">
                <v:path arrowok="t"/>
              </v:shape>
              <v:shape id="_x0000_s4037" style="position:absolute;left:999;top:2264;width:91;height:66" coordsize="91,66" path="m46,l91,33,46,66,,33,46,xe" fillcolor="navy" strokecolor="navy">
                <v:path arrowok="t"/>
              </v:shape>
              <v:shape id="_x0000_s4038" style="position:absolute;left:999;top:2264;width:91;height:66" coordsize="91,66" path="m46,l91,33,46,66,,33,46,xe" fillcolor="navy" strokecolor="navy">
                <v:path arrowok="t"/>
              </v:shape>
              <v:shape id="_x0000_s4039" style="position:absolute;left:999;top:2264;width:91;height:66" coordsize="91,66" path="m46,l91,33,46,66,,33,46,xe" fillcolor="navy" strokecolor="navy">
                <v:path arrowok="t"/>
              </v:shape>
              <v:shape id="_x0000_s4040" style="position:absolute;left:999;top:2264;width:91;height:66" coordsize="91,66" path="m46,l91,33,46,66,,33,46,xe" fillcolor="navy" strokecolor="navy">
                <v:path arrowok="t"/>
              </v:shape>
              <v:shape id="_x0000_s4041" style="position:absolute;left:999;top:2264;width:91;height:66" coordsize="91,66" path="m46,l91,33,46,66,,33,46,xe" fillcolor="navy" strokecolor="navy">
                <v:path arrowok="t"/>
              </v:shape>
              <v:shape id="_x0000_s4042" style="position:absolute;left:999;top:2264;width:91;height:66" coordsize="91,66" path="m46,l91,33,46,66,,33,46,xe" fillcolor="navy" strokecolor="navy">
                <v:path arrowok="t"/>
              </v:shape>
              <v:shape id="_x0000_s4043" style="position:absolute;left:999;top:2264;width:91;height:66" coordsize="91,66" path="m46,l91,33,46,66,,33,46,xe" fillcolor="navy" strokecolor="navy">
                <v:path arrowok="t"/>
              </v:shape>
              <v:shape id="_x0000_s4044" style="position:absolute;left:999;top:2264;width:91;height:66" coordsize="91,66" path="m46,l91,33,46,66,,33,46,xe" fillcolor="navy" strokecolor="navy">
                <v:path arrowok="t"/>
              </v:shape>
              <v:shape id="_x0000_s4045" style="position:absolute;left:999;top:2264;width:91;height:66" coordsize="91,66" path="m46,l91,33,46,66,,33,46,xe" fillcolor="navy" strokecolor="navy">
                <v:path arrowok="t"/>
              </v:shape>
              <v:shape id="_x0000_s4046" style="position:absolute;left:999;top:2264;width:91;height:66" coordsize="91,66" path="m46,l91,33,46,66,,33,46,xe" fillcolor="navy" strokecolor="navy">
                <v:path arrowok="t"/>
              </v:shape>
              <v:shape id="_x0000_s4047" style="position:absolute;left:999;top:2264;width:91;height:66" coordsize="91,66" path="m46,l91,33,46,66,,33,46,xe" fillcolor="navy" strokecolor="navy">
                <v:path arrowok="t"/>
              </v:shape>
              <v:shape id="_x0000_s4048" style="position:absolute;left:999;top:2264;width:91;height:66" coordsize="91,66" path="m46,l91,33,46,66,,33,46,xe" fillcolor="navy" strokecolor="navy">
                <v:path arrowok="t"/>
              </v:shape>
              <v:shape id="_x0000_s4049" style="position:absolute;left:999;top:2264;width:91;height:66" coordsize="91,66" path="m46,l91,33,46,66,,33,46,xe" fillcolor="navy" strokecolor="navy">
                <v:path arrowok="t"/>
              </v:shape>
              <v:shape id="_x0000_s4050" style="position:absolute;left:999;top:2264;width:91;height:66" coordsize="91,66" path="m46,l91,33,46,66,,33,46,xe" fillcolor="navy" strokecolor="navy">
                <v:path arrowok="t"/>
              </v:shape>
              <v:shape id="_x0000_s4051" style="position:absolute;left:999;top:2264;width:91;height:66" coordsize="91,66" path="m46,l91,33,46,66,,33,46,xe" fillcolor="navy" strokecolor="navy">
                <v:path arrowok="t"/>
              </v:shape>
              <v:shape id="_x0000_s4052" style="position:absolute;left:999;top:2264;width:91;height:66" coordsize="91,66" path="m46,l91,33,46,66,,33,46,xe" fillcolor="navy" strokecolor="navy">
                <v:path arrowok="t"/>
              </v:shape>
              <v:shape id="_x0000_s4053" style="position:absolute;left:999;top:2264;width:91;height:66" coordsize="91,66" path="m46,l91,33,46,66,,33,46,xe" fillcolor="navy" strokecolor="navy">
                <v:path arrowok="t"/>
              </v:shape>
              <v:shape id="_x0000_s4054" style="position:absolute;left:999;top:2264;width:91;height:66" coordsize="91,66" path="m46,l91,33,46,66,,33,46,xe" fillcolor="navy" strokecolor="navy">
                <v:path arrowok="t"/>
              </v:shape>
              <v:shape id="_x0000_s4055" style="position:absolute;left:999;top:2264;width:91;height:66" coordsize="91,66" path="m46,l91,33,46,66,,33,46,xe" fillcolor="navy" strokecolor="navy">
                <v:path arrowok="t"/>
              </v:shape>
              <v:shape id="_x0000_s4056" style="position:absolute;left:999;top:2264;width:91;height:66" coordsize="91,66" path="m46,l91,33,46,66,,33,46,xe" fillcolor="navy" strokecolor="navy">
                <v:path arrowok="t"/>
              </v:shape>
              <v:shape id="_x0000_s4057" style="position:absolute;left:999;top:2264;width:91;height:66" coordsize="91,66" path="m46,l91,33,46,66,,33,46,xe" fillcolor="navy" strokecolor="navy">
                <v:path arrowok="t"/>
              </v:shape>
              <v:shape id="_x0000_s4058" style="position:absolute;left:999;top:2264;width:91;height:66" coordsize="91,66" path="m46,l91,33,46,66,,33,46,xe" fillcolor="navy" strokecolor="navy">
                <v:path arrowok="t"/>
              </v:shape>
              <v:shape id="_x0000_s4059" style="position:absolute;left:999;top:2264;width:91;height:66" coordsize="91,66" path="m46,l91,33,46,66,,33,46,xe" fillcolor="navy" strokecolor="navy">
                <v:path arrowok="t"/>
              </v:shape>
              <v:shape id="_x0000_s4060" style="position:absolute;left:999;top:2264;width:91;height:66" coordsize="91,66" path="m46,l91,33,46,66,,33,46,xe" fillcolor="navy" strokecolor="navy">
                <v:path arrowok="t"/>
              </v:shape>
              <v:shape id="_x0000_s4061" style="position:absolute;left:999;top:2264;width:91;height:66" coordsize="91,66" path="m46,l91,33,46,66,,33,46,xe" fillcolor="navy" strokecolor="navy">
                <v:path arrowok="t"/>
              </v:shape>
              <v:shape id="_x0000_s4062" style="position:absolute;left:999;top:2264;width:91;height:66" coordsize="91,66" path="m46,l91,33,46,66,,33,46,xe" fillcolor="navy" strokecolor="navy">
                <v:path arrowok="t"/>
              </v:shape>
              <v:shape id="_x0000_s4063" style="position:absolute;left:999;top:2264;width:91;height:66" coordsize="91,66" path="m46,l91,33,46,66,,33,46,xe" fillcolor="navy" strokecolor="navy">
                <v:path arrowok="t"/>
              </v:shape>
              <v:shape id="_x0000_s4064" style="position:absolute;left:999;top:2264;width:91;height:66" coordsize="91,66" path="m46,l91,33,46,66,,33,46,xe" fillcolor="navy" strokecolor="navy">
                <v:path arrowok="t"/>
              </v:shape>
              <v:shape id="_x0000_s4065" style="position:absolute;left:999;top:2264;width:91;height:66" coordsize="91,66" path="m46,l91,33,46,66,,33,46,xe" fillcolor="navy" strokecolor="navy">
                <v:path arrowok="t"/>
              </v:shape>
              <v:shape id="_x0000_s4066" style="position:absolute;left:999;top:2253;width:91;height:66" coordsize="91,66" path="m46,l91,33,46,66,,33,46,xe" fillcolor="navy" strokecolor="navy">
                <v:path arrowok="t"/>
              </v:shape>
              <v:shape id="_x0000_s4067" style="position:absolute;left:999;top:2253;width:91;height:66" coordsize="91,66" path="m46,l91,33,46,66,,33,46,xe" fillcolor="navy" strokecolor="navy">
                <v:path arrowok="t"/>
              </v:shape>
              <v:shape id="_x0000_s4068" style="position:absolute;left:999;top:2253;width:91;height:66" coordsize="91,66" path="m46,l91,33,46,66,,33,46,xe" fillcolor="navy" strokecolor="navy">
                <v:path arrowok="t"/>
              </v:shape>
              <v:shape id="_x0000_s4069" style="position:absolute;left:999;top:2253;width:91;height:66" coordsize="91,66" path="m46,l91,33,46,66,,33,46,xe" fillcolor="navy" strokecolor="navy">
                <v:path arrowok="t"/>
              </v:shape>
              <v:shape id="_x0000_s4070" style="position:absolute;left:999;top:2253;width:91;height:66" coordsize="91,66" path="m46,l91,33,46,66,,33,46,xe" fillcolor="navy" strokecolor="navy">
                <v:path arrowok="t"/>
              </v:shape>
              <v:shape id="_x0000_s4071" style="position:absolute;left:999;top:2253;width:91;height:66" coordsize="91,66" path="m46,l91,33,46,66,,33,46,xe" fillcolor="navy" strokecolor="navy">
                <v:path arrowok="t"/>
              </v:shape>
              <v:shape id="_x0000_s4072" style="position:absolute;left:999;top:2253;width:91;height:66" coordsize="91,66" path="m46,l91,33,46,66,,33,46,xe" fillcolor="navy" strokecolor="navy">
                <v:path arrowok="t"/>
              </v:shape>
              <v:shape id="_x0000_s4073" style="position:absolute;left:999;top:2253;width:91;height:66" coordsize="91,66" path="m46,l91,33,46,66,,33,46,xe" fillcolor="navy" strokecolor="navy">
                <v:path arrowok="t"/>
              </v:shape>
              <v:shape id="_x0000_s4074" style="position:absolute;left:999;top:2253;width:91;height:66" coordsize="91,66" path="m46,l91,33,46,66,,33,46,xe" fillcolor="navy" strokecolor="navy">
                <v:path arrowok="t"/>
              </v:shape>
              <v:shape id="_x0000_s4075" style="position:absolute;left:999;top:2253;width:91;height:66" coordsize="91,66" path="m46,l91,33,46,66,,33,46,xe" fillcolor="navy" strokecolor="navy">
                <v:path arrowok="t"/>
              </v:shape>
              <v:shape id="_x0000_s4076" style="position:absolute;left:999;top:2253;width:91;height:66" coordsize="91,66" path="m46,l91,33,46,66,,33,46,xe" fillcolor="navy" strokecolor="navy">
                <v:path arrowok="t"/>
              </v:shape>
              <v:shape id="_x0000_s4077" style="position:absolute;left:999;top:2253;width:91;height:66" coordsize="91,66" path="m46,l91,33,46,66,,33,46,xe" fillcolor="navy" strokecolor="navy">
                <v:path arrowok="t"/>
              </v:shape>
              <v:shape id="_x0000_s4078" style="position:absolute;left:999;top:2253;width:91;height:66" coordsize="91,66" path="m46,l91,33,46,66,,33,46,xe" fillcolor="navy" strokecolor="navy">
                <v:path arrowok="t"/>
              </v:shape>
              <v:shape id="_x0000_s4079" style="position:absolute;left:999;top:2253;width:91;height:66" coordsize="91,66" path="m46,l91,33,46,66,,33,46,xe" fillcolor="navy" strokecolor="navy">
                <v:path arrowok="t"/>
              </v:shape>
              <v:shape id="_x0000_s4080" style="position:absolute;left:999;top:2253;width:91;height:66" coordsize="91,66" path="m46,l91,33,46,66,,33,46,xe" fillcolor="navy" strokecolor="navy">
                <v:path arrowok="t"/>
              </v:shape>
              <v:shape id="_x0000_s4081" style="position:absolute;left:999;top:2253;width:91;height:66" coordsize="91,66" path="m46,l91,33,46,66,,33,46,xe" fillcolor="navy" strokecolor="navy">
                <v:path arrowok="t"/>
              </v:shape>
              <v:shape id="_x0000_s4082" style="position:absolute;left:999;top:2253;width:91;height:66" coordsize="91,66" path="m46,l91,33,46,66,,33,46,xe" fillcolor="navy" strokecolor="navy">
                <v:path arrowok="t"/>
              </v:shape>
              <v:shape id="_x0000_s4083" style="position:absolute;left:999;top:2253;width:91;height:66" coordsize="91,66" path="m46,l91,33,46,66,,33,46,xe" fillcolor="navy" strokecolor="navy">
                <v:path arrowok="t"/>
              </v:shape>
              <v:shape id="_x0000_s4084" style="position:absolute;left:999;top:2253;width:91;height:66" coordsize="91,66" path="m46,l91,33,46,66,,33,46,xe" fillcolor="navy" strokecolor="navy">
                <v:path arrowok="t"/>
              </v:shape>
              <v:shape id="_x0000_s4085" style="position:absolute;left:999;top:2253;width:91;height:66" coordsize="91,66" path="m46,l91,33,46,66,,33,46,xe" fillcolor="navy" strokecolor="navy">
                <v:path arrowok="t"/>
              </v:shape>
              <v:shape id="_x0000_s4086" style="position:absolute;left:999;top:2253;width:91;height:66" coordsize="91,66" path="m46,l91,33,46,66,,33,46,xe" fillcolor="navy" strokecolor="navy">
                <v:path arrowok="t"/>
              </v:shape>
              <v:shape id="_x0000_s4087" style="position:absolute;left:999;top:2253;width:91;height:66" coordsize="91,66" path="m46,l91,33,46,66,,33,46,xe" fillcolor="navy" strokecolor="navy">
                <v:path arrowok="t"/>
              </v:shape>
              <v:shape id="_x0000_s4088" style="position:absolute;left:999;top:2253;width:91;height:66" coordsize="91,66" path="m46,l91,33,46,66,,33,46,xe" fillcolor="navy" strokecolor="navy">
                <v:path arrowok="t"/>
              </v:shape>
              <v:shape id="_x0000_s4089" style="position:absolute;left:999;top:2253;width:91;height:66" coordsize="91,66" path="m46,l91,33,46,66,,33,46,xe" fillcolor="navy" strokecolor="navy">
                <v:path arrowok="t"/>
              </v:shape>
              <v:shape id="_x0000_s4090" style="position:absolute;left:999;top:2253;width:91;height:66" coordsize="91,66" path="m46,l91,33,46,66,,33,46,xe" fillcolor="navy" strokecolor="navy">
                <v:path arrowok="t"/>
              </v:shape>
              <v:shape id="_x0000_s4091" style="position:absolute;left:999;top:2253;width:91;height:66" coordsize="91,66" path="m46,l91,33,46,66,,33,46,xe" fillcolor="navy" strokecolor="navy">
                <v:path arrowok="t"/>
              </v:shape>
              <v:shape id="_x0000_s4092" style="position:absolute;left:999;top:2253;width:91;height:66" coordsize="91,66" path="m46,l91,33,46,66,,33,46,xe" fillcolor="navy" strokecolor="navy">
                <v:path arrowok="t"/>
              </v:shape>
              <v:shape id="_x0000_s4093" style="position:absolute;left:999;top:2253;width:91;height:66" coordsize="91,66" path="m46,l91,33,46,66,,33,46,xe" fillcolor="navy" strokecolor="navy">
                <v:path arrowok="t"/>
              </v:shape>
              <v:shape id="_x0000_s4094" style="position:absolute;left:999;top:2253;width:91;height:66" coordsize="91,66" path="m46,l91,33,46,66,,33,46,xe" fillcolor="navy" strokecolor="navy">
                <v:path arrowok="t"/>
              </v:shape>
              <v:shape id="_x0000_s4095" style="position:absolute;left:999;top:2253;width:91;height:66" coordsize="91,66" path="m46,l91,33,46,66,,33,46,xe" fillcolor="navy" strokecolor="navy">
                <v:path arrowok="t"/>
              </v:shape>
              <v:shape id="_x0000_s4096" style="position:absolute;left:999;top:2253;width:91;height:66" coordsize="91,66" path="m46,l91,33,46,66,,33,46,xe" fillcolor="navy" strokecolor="navy">
                <v:path arrowok="t"/>
              </v:shape>
              <v:shape id="_x0000_s4097" style="position:absolute;left:999;top:2253;width:91;height:66" coordsize="91,66" path="m46,l91,33,46,66,,33,46,xe" fillcolor="navy" strokecolor="navy">
                <v:path arrowok="t"/>
              </v:shape>
              <v:shape id="_x0000_s4098" style="position:absolute;left:999;top:2253;width:91;height:66" coordsize="91,66" path="m46,l91,33,46,66,,33,46,xe" fillcolor="navy" strokecolor="navy">
                <v:path arrowok="t"/>
              </v:shape>
              <v:shape id="_x0000_s4099" style="position:absolute;left:999;top:2253;width:91;height:66" coordsize="91,66" path="m46,l91,33,46,66,,33,46,xe" fillcolor="navy" strokecolor="navy">
                <v:path arrowok="t"/>
              </v:shape>
              <v:shape id="_x0000_s4100" style="position:absolute;left:999;top:2253;width:91;height:66" coordsize="91,66" path="m46,l91,33,46,66,,33,46,xe" fillcolor="navy" strokecolor="navy">
                <v:path arrowok="t"/>
              </v:shape>
              <v:shape id="_x0000_s4101" style="position:absolute;left:999;top:2253;width:91;height:66" coordsize="91,66" path="m46,l91,33,46,66,,33,46,xe" fillcolor="navy" strokecolor="navy">
                <v:path arrowok="t"/>
              </v:shape>
              <v:shape id="_x0000_s4102" style="position:absolute;left:999;top:2253;width:91;height:66" coordsize="91,66" path="m46,l91,33,46,66,,33,46,xe" fillcolor="navy" strokecolor="navy">
                <v:path arrowok="t"/>
              </v:shape>
              <v:shape id="_x0000_s4103" style="position:absolute;left:999;top:2253;width:91;height:66" coordsize="91,66" path="m46,l91,33,46,66,,33,46,xe" fillcolor="navy" strokecolor="navy">
                <v:path arrowok="t"/>
              </v:shape>
              <v:shape id="_x0000_s4104" style="position:absolute;left:999;top:2253;width:91;height:66" coordsize="91,66" path="m46,l91,33,46,66,,33,46,xe" fillcolor="navy" strokecolor="navy">
                <v:path arrowok="t"/>
              </v:shape>
              <v:shape id="_x0000_s4105" style="position:absolute;left:999;top:2253;width:91;height:66" coordsize="91,66" path="m46,l91,33,46,66,,33,46,xe" fillcolor="navy" strokecolor="navy">
                <v:path arrowok="t"/>
              </v:shape>
              <v:shape id="_x0000_s4106" style="position:absolute;left:999;top:2253;width:91;height:66" coordsize="91,66" path="m46,l91,33,46,66,,33,46,xe" fillcolor="navy" strokecolor="navy">
                <v:path arrowok="t"/>
              </v:shape>
              <v:shape id="_x0000_s4107" style="position:absolute;left:999;top:2253;width:91;height:66" coordsize="91,66" path="m46,l91,33,46,66,,33,46,xe" fillcolor="navy" strokecolor="navy">
                <v:path arrowok="t"/>
              </v:shape>
              <v:shape id="_x0000_s4108" style="position:absolute;left:999;top:2253;width:91;height:66" coordsize="91,66" path="m46,l91,33,46,66,,33,46,xe" fillcolor="navy" strokecolor="navy">
                <v:path arrowok="t"/>
              </v:shape>
              <v:shape id="_x0000_s4109" style="position:absolute;left:999;top:2253;width:91;height:66" coordsize="91,66" path="m46,l91,33,46,66,,33,46,xe" fillcolor="navy" strokecolor="navy">
                <v:path arrowok="t"/>
              </v:shape>
              <v:shape id="_x0000_s4110" style="position:absolute;left:999;top:2253;width:91;height:66" coordsize="91,66" path="m46,l91,33,46,66,,33,46,xe" fillcolor="navy" strokecolor="navy">
                <v:path arrowok="t"/>
              </v:shape>
              <v:shape id="_x0000_s4111" style="position:absolute;left:999;top:2253;width:91;height:66" coordsize="91,66" path="m46,l91,33,46,66,,33,46,xe" fillcolor="navy" strokecolor="navy">
                <v:path arrowok="t"/>
              </v:shape>
              <v:shape id="_x0000_s4112" style="position:absolute;left:999;top:2253;width:91;height:66" coordsize="91,66" path="m46,l91,33,46,66,,33,46,xe" fillcolor="navy" strokecolor="navy">
                <v:path arrowok="t"/>
              </v:shape>
              <v:shape id="_x0000_s4113" style="position:absolute;left:999;top:2253;width:91;height:66" coordsize="91,66" path="m46,l91,33,46,66,,33,46,xe" fillcolor="navy" strokecolor="navy">
                <v:path arrowok="t"/>
              </v:shape>
              <v:shape id="_x0000_s4114" style="position:absolute;left:999;top:2253;width:91;height:66" coordsize="91,66" path="m46,l91,33,46,66,,33,46,xe" fillcolor="navy" strokecolor="navy">
                <v:path arrowok="t"/>
              </v:shape>
              <v:shape id="_x0000_s4115" style="position:absolute;left:999;top:2253;width:91;height:66" coordsize="91,66" path="m46,l91,33,46,66,,33,46,xe" fillcolor="navy" strokecolor="navy">
                <v:path arrowok="t"/>
              </v:shape>
              <v:shape id="_x0000_s4116" style="position:absolute;left:999;top:2253;width:91;height:66" coordsize="91,66" path="m46,l91,33,46,66,,33,46,xe" fillcolor="navy" strokecolor="navy">
                <v:path arrowok="t"/>
              </v:shape>
              <v:shape id="_x0000_s4117" style="position:absolute;left:999;top:2253;width:91;height:66" coordsize="91,66" path="m46,l91,33,46,66,,33,46,xe" fillcolor="navy" strokecolor="navy">
                <v:path arrowok="t"/>
              </v:shape>
              <v:shape id="_x0000_s4118" style="position:absolute;left:999;top:2253;width:91;height:66" coordsize="91,66" path="m46,l91,33,46,66,,33,46,xe" fillcolor="navy" strokecolor="navy">
                <v:path arrowok="t"/>
              </v:shape>
              <v:shape id="_x0000_s4119" style="position:absolute;left:999;top:2242;width:91;height:66" coordsize="91,66" path="m46,l91,33,46,66,,33,46,xe" fillcolor="navy" strokecolor="navy">
                <v:path arrowok="t"/>
              </v:shape>
              <v:shape id="_x0000_s4120" style="position:absolute;left:999;top:2242;width:91;height:66" coordsize="91,66" path="m46,l91,33,46,66,,33,46,xe" fillcolor="navy" strokecolor="navy">
                <v:path arrowok="t"/>
              </v:shape>
              <v:shape id="_x0000_s4121" style="position:absolute;left:999;top:2242;width:91;height:66" coordsize="91,66" path="m46,l91,33,46,66,,33,46,xe" fillcolor="navy" strokecolor="navy">
                <v:path arrowok="t"/>
              </v:shape>
              <v:shape id="_x0000_s4122" style="position:absolute;left:999;top:2242;width:91;height:66" coordsize="91,66" path="m46,l91,33,46,66,,33,46,xe" fillcolor="navy" strokecolor="navy">
                <v:path arrowok="t"/>
              </v:shape>
              <v:shape id="_x0000_s4123" style="position:absolute;left:999;top:2242;width:91;height:66" coordsize="91,66" path="m46,l91,33,46,66,,33,46,xe" fillcolor="navy" strokecolor="navy">
                <v:path arrowok="t"/>
              </v:shape>
              <v:shape id="_x0000_s4124" style="position:absolute;left:999;top:2242;width:91;height:66" coordsize="91,66" path="m46,l91,33,46,66,,33,46,xe" fillcolor="navy" strokecolor="navy">
                <v:path arrowok="t"/>
              </v:shape>
              <v:shape id="_x0000_s4125" style="position:absolute;left:999;top:2242;width:91;height:66" coordsize="91,66" path="m46,l91,33,46,66,,33,46,xe" fillcolor="navy" strokecolor="navy">
                <v:path arrowok="t"/>
              </v:shape>
              <v:shape id="_x0000_s4126" style="position:absolute;left:999;top:2242;width:91;height:66" coordsize="91,66" path="m46,l91,33,46,66,,33,46,xe" fillcolor="navy" strokecolor="navy">
                <v:path arrowok="t"/>
              </v:shape>
              <v:shape id="_x0000_s4127" style="position:absolute;left:999;top:2242;width:91;height:66" coordsize="91,66" path="m46,l91,33,46,66,,33,46,xe" fillcolor="navy" strokecolor="navy">
                <v:path arrowok="t"/>
              </v:shape>
              <v:shape id="_x0000_s4128" style="position:absolute;left:999;top:2242;width:91;height:66" coordsize="91,66" path="m46,l91,33,46,66,,33,46,xe" fillcolor="navy" strokecolor="navy">
                <v:path arrowok="t"/>
              </v:shape>
              <v:shape id="_x0000_s4129" style="position:absolute;left:999;top:2242;width:91;height:66" coordsize="91,66" path="m46,l91,33,46,66,,33,46,xe" fillcolor="navy" strokecolor="navy">
                <v:path arrowok="t"/>
              </v:shape>
              <v:shape id="_x0000_s4130" style="position:absolute;left:999;top:2242;width:91;height:66" coordsize="91,66" path="m46,l91,33,46,66,,33,46,xe" fillcolor="navy" strokecolor="navy">
                <v:path arrowok="t"/>
              </v:shape>
              <v:shape id="_x0000_s4131" style="position:absolute;left:999;top:2242;width:91;height:66" coordsize="91,66" path="m46,l91,33,46,66,,33,46,xe" fillcolor="navy" strokecolor="navy">
                <v:path arrowok="t"/>
              </v:shape>
              <v:shape id="_x0000_s4132" style="position:absolute;left:999;top:2242;width:91;height:66" coordsize="91,66" path="m46,l91,33,46,66,,33,46,xe" fillcolor="navy" strokecolor="navy">
                <v:path arrowok="t"/>
              </v:shape>
              <v:shape id="_x0000_s4133" style="position:absolute;left:999;top:2242;width:91;height:66" coordsize="91,66" path="m46,l91,33,46,66,,33,46,xe" fillcolor="navy" strokecolor="navy">
                <v:path arrowok="t"/>
              </v:shape>
              <v:shape id="_x0000_s4134" style="position:absolute;left:999;top:2242;width:91;height:66" coordsize="91,66" path="m46,l91,33,46,66,,33,46,xe" fillcolor="navy" strokecolor="navy">
                <v:path arrowok="t"/>
              </v:shape>
              <v:shape id="_x0000_s4135" style="position:absolute;left:999;top:2242;width:91;height:66" coordsize="91,66" path="m46,l91,33,46,66,,33,46,xe" fillcolor="navy" strokecolor="navy">
                <v:path arrowok="t"/>
              </v:shape>
              <v:shape id="_x0000_s4136" style="position:absolute;left:999;top:2242;width:91;height:66" coordsize="91,66" path="m46,l91,33,46,66,,33,46,xe" fillcolor="navy" strokecolor="navy">
                <v:path arrowok="t"/>
              </v:shape>
              <v:shape id="_x0000_s4137" style="position:absolute;left:999;top:2242;width:91;height:66" coordsize="91,66" path="m46,l91,33,46,66,,33,46,xe" fillcolor="navy" strokecolor="navy">
                <v:path arrowok="t"/>
              </v:shape>
              <v:shape id="_x0000_s4138" style="position:absolute;left:999;top:2242;width:91;height:66" coordsize="91,66" path="m46,l91,33,46,66,,33,46,xe" fillcolor="navy" strokecolor="navy">
                <v:path arrowok="t"/>
              </v:shape>
              <v:shape id="_x0000_s4139" style="position:absolute;left:999;top:2242;width:91;height:66" coordsize="91,66" path="m46,l91,33,46,66,,33,46,xe" fillcolor="navy" strokecolor="navy">
                <v:path arrowok="t"/>
              </v:shape>
              <v:shape id="_x0000_s4140" style="position:absolute;left:999;top:2242;width:91;height:66" coordsize="91,66" path="m46,l91,33,46,66,,33,46,xe" fillcolor="navy" strokecolor="navy">
                <v:path arrowok="t"/>
              </v:shape>
              <v:shape id="_x0000_s4141" style="position:absolute;left:999;top:2242;width:91;height:66" coordsize="91,66" path="m46,l91,33,46,66,,33,46,xe" fillcolor="navy" strokecolor="navy">
                <v:path arrowok="t"/>
              </v:shape>
              <v:shape id="_x0000_s4142" style="position:absolute;left:999;top:2242;width:91;height:66" coordsize="91,66" path="m46,l91,33,46,66,,33,46,xe" fillcolor="navy" strokecolor="navy">
                <v:path arrowok="t"/>
              </v:shape>
              <v:shape id="_x0000_s4143" style="position:absolute;left:999;top:2242;width:91;height:66" coordsize="91,66" path="m46,l91,33,46,66,,33,46,xe" fillcolor="navy" strokecolor="navy">
                <v:path arrowok="t"/>
              </v:shape>
              <v:shape id="_x0000_s4144" style="position:absolute;left:999;top:2242;width:91;height:66" coordsize="91,66" path="m46,l91,33,46,66,,33,46,xe" fillcolor="navy" strokecolor="navy">
                <v:path arrowok="t"/>
              </v:shape>
              <v:shape id="_x0000_s4145" style="position:absolute;left:999;top:2242;width:91;height:66" coordsize="91,66" path="m46,l91,33,46,66,,33,46,xe" fillcolor="navy" strokecolor="navy">
                <v:path arrowok="t"/>
              </v:shape>
              <v:shape id="_x0000_s4146" style="position:absolute;left:999;top:2242;width:91;height:66" coordsize="91,66" path="m46,l91,33,46,66,,33,46,xe" fillcolor="navy" strokecolor="navy">
                <v:path arrowok="t"/>
              </v:shape>
              <v:shape id="_x0000_s4147" style="position:absolute;left:999;top:2242;width:91;height:66" coordsize="91,66" path="m46,l91,33,46,66,,33,46,xe" fillcolor="navy" strokecolor="navy">
                <v:path arrowok="t"/>
              </v:shape>
              <v:shape id="_x0000_s4148" style="position:absolute;left:999;top:2242;width:91;height:66" coordsize="91,66" path="m46,l91,33,46,66,,33,46,xe" fillcolor="navy" strokecolor="navy">
                <v:path arrowok="t"/>
              </v:shape>
              <v:shape id="_x0000_s4149" style="position:absolute;left:999;top:2242;width:91;height:66" coordsize="91,66" path="m46,l91,33,46,66,,33,46,xe" fillcolor="navy" strokecolor="navy">
                <v:path arrowok="t"/>
              </v:shape>
              <v:shape id="_x0000_s4150" style="position:absolute;left:999;top:2242;width:91;height:66" coordsize="91,66" path="m46,l91,33,46,66,,33,46,xe" fillcolor="navy" strokecolor="navy">
                <v:path arrowok="t"/>
              </v:shape>
              <v:shape id="_x0000_s4151" style="position:absolute;left:999;top:2242;width:91;height:66" coordsize="91,66" path="m46,l91,33,46,66,,33,46,xe" fillcolor="navy" strokecolor="navy">
                <v:path arrowok="t"/>
              </v:shape>
              <v:shape id="_x0000_s4152" style="position:absolute;left:999;top:2242;width:91;height:66" coordsize="91,66" path="m46,l91,33,46,66,,33,46,xe" fillcolor="navy" strokecolor="navy">
                <v:path arrowok="t"/>
              </v:shape>
              <v:shape id="_x0000_s4153" style="position:absolute;left:999;top:2242;width:91;height:66" coordsize="91,66" path="m46,l91,33,46,66,,33,46,xe" fillcolor="navy" strokecolor="navy">
                <v:path arrowok="t"/>
              </v:shape>
              <v:shape id="_x0000_s4154" style="position:absolute;left:999;top:2242;width:91;height:66" coordsize="91,66" path="m46,l91,33,46,66,,33,46,xe" fillcolor="navy" strokecolor="navy">
                <v:path arrowok="t"/>
              </v:shape>
              <v:shape id="_x0000_s4155" style="position:absolute;left:999;top:2242;width:91;height:66" coordsize="91,66" path="m46,l91,33,46,66,,33,46,xe" fillcolor="navy" strokecolor="navy">
                <v:path arrowok="t"/>
              </v:shape>
              <v:shape id="_x0000_s4156" style="position:absolute;left:999;top:2242;width:91;height:66" coordsize="91,66" path="m46,l91,33,46,66,,33,46,xe" fillcolor="navy" strokecolor="navy">
                <v:path arrowok="t"/>
              </v:shape>
              <v:shape id="_x0000_s4157" style="position:absolute;left:999;top:2242;width:91;height:66" coordsize="91,66" path="m46,l91,33,46,66,,33,46,xe" fillcolor="navy" strokecolor="navy">
                <v:path arrowok="t"/>
              </v:shape>
              <v:shape id="_x0000_s4158" style="position:absolute;left:999;top:2242;width:91;height:66" coordsize="91,66" path="m46,l91,33,46,66,,33,46,xe" fillcolor="navy" strokecolor="navy">
                <v:path arrowok="t"/>
              </v:shape>
              <v:shape id="_x0000_s4159" style="position:absolute;left:999;top:2242;width:91;height:66" coordsize="91,66" path="m46,l91,33,46,66,,33,46,xe" fillcolor="navy" strokecolor="navy">
                <v:path arrowok="t"/>
              </v:shape>
              <v:shape id="_x0000_s4160" style="position:absolute;left:999;top:2242;width:91;height:66" coordsize="91,66" path="m46,l91,33,46,66,,33,46,xe" fillcolor="navy" strokecolor="navy">
                <v:path arrowok="t"/>
              </v:shape>
              <v:shape id="_x0000_s4161" style="position:absolute;left:999;top:2231;width:91;height:66" coordsize="91,66" path="m46,l91,33,46,66,,33,46,xe" fillcolor="navy" strokecolor="navy">
                <v:path arrowok="t"/>
              </v:shape>
              <v:shape id="_x0000_s4162" style="position:absolute;left:999;top:2231;width:91;height:66" coordsize="91,66" path="m46,l91,33,46,66,,33,46,xe" fillcolor="navy" strokecolor="navy">
                <v:path arrowok="t"/>
              </v:shape>
              <v:shape id="_x0000_s4163" style="position:absolute;left:999;top:2231;width:91;height:66" coordsize="91,66" path="m46,l91,33,46,66,,33,46,xe" fillcolor="navy" strokecolor="navy">
                <v:path arrowok="t"/>
              </v:shape>
              <v:shape id="_x0000_s4164" style="position:absolute;left:999;top:2231;width:91;height:66" coordsize="91,66" path="m46,l91,33,46,66,,33,46,xe" fillcolor="navy" strokecolor="navy">
                <v:path arrowok="t"/>
              </v:shape>
              <v:shape id="_x0000_s4165" style="position:absolute;left:999;top:2231;width:91;height:66" coordsize="91,66" path="m46,l91,33,46,66,,33,46,xe" fillcolor="navy" strokecolor="navy">
                <v:path arrowok="t"/>
              </v:shape>
              <v:shape id="_x0000_s4166" style="position:absolute;left:999;top:2231;width:91;height:66" coordsize="91,66" path="m46,l91,33,46,66,,33,46,xe" fillcolor="navy" strokecolor="navy">
                <v:path arrowok="t"/>
              </v:shape>
            </v:group>
            <v:group id="_x0000_s4368" style="position:absolute;left:999;top:1822;width:288;height:619" coordorigin="999,1822" coordsize="288,619">
              <v:shape id="_x0000_s4168" style="position:absolute;left:999;top:2231;width:91;height:66" coordsize="91,66" path="m46,l91,33,46,66,,33,46,xe" fillcolor="navy" strokecolor="navy">
                <v:path arrowok="t"/>
              </v:shape>
              <v:shape id="_x0000_s4169" style="position:absolute;left:999;top:2231;width:91;height:66" coordsize="91,66" path="m46,l91,33,46,66,,33,46,xe" fillcolor="navy" strokecolor="navy">
                <v:path arrowok="t"/>
              </v:shape>
              <v:shape id="_x0000_s4170" style="position:absolute;left:999;top:2231;width:91;height:66" coordsize="91,66" path="m46,l91,33,46,66,,33,46,xe" fillcolor="navy" strokecolor="navy">
                <v:path arrowok="t"/>
              </v:shape>
              <v:shape id="_x0000_s4171" style="position:absolute;left:999;top:2231;width:91;height:66" coordsize="91,66" path="m46,l91,33,46,66,,33,46,xe" fillcolor="navy" strokecolor="navy">
                <v:path arrowok="t"/>
              </v:shape>
              <v:shape id="_x0000_s4172" style="position:absolute;left:999;top:2231;width:91;height:66" coordsize="91,66" path="m46,l91,33,46,66,,33,46,xe" fillcolor="navy" strokecolor="navy">
                <v:path arrowok="t"/>
              </v:shape>
              <v:shape id="_x0000_s4173" style="position:absolute;left:999;top:2231;width:91;height:66" coordsize="91,66" path="m46,l91,33,46,66,,33,46,xe" fillcolor="navy" strokecolor="navy">
                <v:path arrowok="t"/>
              </v:shape>
              <v:shape id="_x0000_s4174" style="position:absolute;left:999;top:2231;width:91;height:66" coordsize="91,66" path="m46,l91,33,46,66,,33,46,xe" fillcolor="navy" strokecolor="navy">
                <v:path arrowok="t"/>
              </v:shape>
              <v:shape id="_x0000_s4175" style="position:absolute;left:999;top:2231;width:91;height:66" coordsize="91,66" path="m46,l91,33,46,66,,33,46,xe" fillcolor="navy" strokecolor="navy">
                <v:path arrowok="t"/>
              </v:shape>
              <v:shape id="_x0000_s4176" style="position:absolute;left:999;top:2231;width:91;height:66" coordsize="91,66" path="m46,l91,33,46,66,,33,46,xe" fillcolor="navy" strokecolor="navy">
                <v:path arrowok="t"/>
              </v:shape>
              <v:shape id="_x0000_s4177" style="position:absolute;left:999;top:2231;width:91;height:66" coordsize="91,66" path="m46,l91,33,46,66,,33,46,xe" fillcolor="navy" strokecolor="navy">
                <v:path arrowok="t"/>
              </v:shape>
              <v:shape id="_x0000_s4178" style="position:absolute;left:999;top:2231;width:91;height:66" coordsize="91,66" path="m46,l91,33,46,66,,33,46,xe" fillcolor="navy" strokecolor="navy">
                <v:path arrowok="t"/>
              </v:shape>
              <v:shape id="_x0000_s4179" style="position:absolute;left:999;top:2231;width:91;height:66" coordsize="91,66" path="m46,l91,33,46,66,,33,46,xe" fillcolor="navy" strokecolor="navy">
                <v:path arrowok="t"/>
              </v:shape>
              <v:shape id="_x0000_s4180" style="position:absolute;left:999;top:2231;width:91;height:66" coordsize="91,66" path="m46,l91,33,46,66,,33,46,xe" fillcolor="navy" strokecolor="navy">
                <v:path arrowok="t"/>
              </v:shape>
              <v:shape id="_x0000_s4181" style="position:absolute;left:999;top:2231;width:91;height:66" coordsize="91,66" path="m46,l91,33,46,66,,33,46,xe" fillcolor="navy" strokecolor="navy">
                <v:path arrowok="t"/>
              </v:shape>
              <v:shape id="_x0000_s4182" style="position:absolute;left:999;top:2220;width:91;height:66" coordsize="91,66" path="m46,l91,33,46,66,,33,46,xe" fillcolor="navy" strokecolor="navy">
                <v:path arrowok="t"/>
              </v:shape>
              <v:shape id="_x0000_s4183" style="position:absolute;left:999;top:2220;width:91;height:66" coordsize="91,66" path="m46,l91,33,46,66,,33,46,xe" fillcolor="navy" strokecolor="navy">
                <v:path arrowok="t"/>
              </v:shape>
              <v:shape id="_x0000_s4184" style="position:absolute;left:999;top:2220;width:91;height:66" coordsize="91,66" path="m46,l91,33,46,66,,33,46,xe" fillcolor="navy" strokecolor="navy">
                <v:path arrowok="t"/>
              </v:shape>
              <v:shape id="_x0000_s4185" style="position:absolute;left:999;top:2220;width:91;height:66" coordsize="91,66" path="m46,l91,33,46,66,,33,46,xe" fillcolor="navy" strokecolor="navy">
                <v:path arrowok="t"/>
              </v:shape>
              <v:shape id="_x0000_s4186" style="position:absolute;left:999;top:2220;width:91;height:66" coordsize="91,66" path="m46,l91,33,46,66,,33,46,xe" fillcolor="navy" strokecolor="navy">
                <v:path arrowok="t"/>
              </v:shape>
              <v:shape id="_x0000_s4187" style="position:absolute;left:999;top:2220;width:91;height:66" coordsize="91,66" path="m46,l91,33,46,66,,33,46,xe" fillcolor="navy" strokecolor="navy">
                <v:path arrowok="t"/>
              </v:shape>
              <v:shape id="_x0000_s4188" style="position:absolute;left:999;top:2220;width:91;height:66" coordsize="91,66" path="m46,l91,33,46,66,,33,46,xe" fillcolor="navy" strokecolor="navy">
                <v:path arrowok="t"/>
              </v:shape>
              <v:shape id="_x0000_s4189" style="position:absolute;left:999;top:2220;width:91;height:66" coordsize="91,66" path="m46,l91,33,46,66,,33,46,xe" fillcolor="navy" strokecolor="navy">
                <v:path arrowok="t"/>
              </v:shape>
              <v:shape id="_x0000_s4190" style="position:absolute;left:999;top:2220;width:91;height:66" coordsize="91,66" path="m46,l91,33,46,66,,33,46,xe" fillcolor="navy" strokecolor="navy">
                <v:path arrowok="t"/>
              </v:shape>
              <v:shape id="_x0000_s4191" style="position:absolute;left:999;top:2220;width:91;height:66" coordsize="91,66" path="m46,l91,33,46,66,,33,46,xe" fillcolor="navy" strokecolor="navy">
                <v:path arrowok="t"/>
              </v:shape>
              <v:shape id="_x0000_s4192" style="position:absolute;left:999;top:2220;width:91;height:66" coordsize="91,66" path="m46,l91,33,46,66,,33,46,xe" fillcolor="navy" strokecolor="navy">
                <v:path arrowok="t"/>
              </v:shape>
              <v:shape id="_x0000_s4193" style="position:absolute;left:999;top:2220;width:91;height:66" coordsize="91,66" path="m46,l91,33,46,66,,33,46,xe" fillcolor="navy" strokecolor="navy">
                <v:path arrowok="t"/>
              </v:shape>
              <v:shape id="_x0000_s4194" style="position:absolute;left:999;top:2220;width:91;height:66" coordsize="91,66" path="m46,l91,33,46,66,,33,46,xe" fillcolor="navy" strokecolor="navy">
                <v:path arrowok="t"/>
              </v:shape>
              <v:shape id="_x0000_s4195" style="position:absolute;left:999;top:2220;width:91;height:66" coordsize="91,66" path="m46,l91,33,46,66,,33,46,xe" fillcolor="navy" strokecolor="navy">
                <v:path arrowok="t"/>
              </v:shape>
              <v:shape id="_x0000_s4196" style="position:absolute;left:999;top:2220;width:91;height:66" coordsize="91,66" path="m46,l91,33,46,66,,33,46,xe" fillcolor="navy" strokecolor="navy">
                <v:path arrowok="t"/>
              </v:shape>
              <v:shape id="_x0000_s4197" style="position:absolute;left:999;top:2220;width:91;height:66" coordsize="91,66" path="m46,l91,33,46,66,,33,46,xe" fillcolor="navy" strokecolor="navy">
                <v:path arrowok="t"/>
              </v:shape>
              <v:shape id="_x0000_s4198" style="position:absolute;left:999;top:2220;width:91;height:66" coordsize="91,66" path="m46,l91,33,46,66,,33,46,xe" fillcolor="navy" strokecolor="navy">
                <v:path arrowok="t"/>
              </v:shape>
              <v:shape id="_x0000_s4199" style="position:absolute;left:999;top:2220;width:91;height:66" coordsize="91,66" path="m46,l91,33,46,66,,33,46,xe" fillcolor="navy" strokecolor="navy">
                <v:path arrowok="t"/>
              </v:shape>
              <v:shape id="_x0000_s4200" style="position:absolute;left:999;top:2220;width:91;height:66" coordsize="91,66" path="m46,l91,33,46,66,,33,46,xe" fillcolor="navy" strokecolor="navy">
                <v:path arrowok="t"/>
              </v:shape>
              <v:shape id="_x0000_s4201" style="position:absolute;left:999;top:2220;width:91;height:66" coordsize="91,66" path="m46,l91,33,46,66,,33,46,xe" fillcolor="navy" strokecolor="navy">
                <v:path arrowok="t"/>
              </v:shape>
              <v:shape id="_x0000_s4202" style="position:absolute;left:999;top:2220;width:91;height:66" coordsize="91,66" path="m46,l91,33,46,66,,33,46,xe" fillcolor="navy" strokecolor="navy">
                <v:path arrowok="t"/>
              </v:shape>
              <v:shape id="_x0000_s4203" style="position:absolute;left:999;top:2220;width:91;height:66" coordsize="91,66" path="m46,l91,33,46,66,,33,46,xe" fillcolor="navy" strokecolor="navy">
                <v:path arrowok="t"/>
              </v:shape>
              <v:shape id="_x0000_s4204" style="position:absolute;left:999;top:2209;width:91;height:66" coordsize="91,66" path="m46,l91,33,46,66,,33,46,xe" fillcolor="navy" strokecolor="navy">
                <v:path arrowok="t"/>
              </v:shape>
              <v:shape id="_x0000_s4205" style="position:absolute;left:999;top:2209;width:91;height:66" coordsize="91,66" path="m46,l91,33,46,66,,33,46,xe" fillcolor="navy" strokecolor="navy">
                <v:path arrowok="t"/>
              </v:shape>
              <v:shape id="_x0000_s4206" style="position:absolute;left:999;top:2209;width:91;height:66" coordsize="91,66" path="m46,l91,33,46,66,,33,46,xe" fillcolor="navy" strokecolor="navy">
                <v:path arrowok="t"/>
              </v:shape>
              <v:shape id="_x0000_s4207" style="position:absolute;left:999;top:2209;width:91;height:66" coordsize="91,66" path="m46,l91,33,46,66,,33,46,xe" fillcolor="navy" strokecolor="navy">
                <v:path arrowok="t"/>
              </v:shape>
              <v:shape id="_x0000_s4208" style="position:absolute;left:999;top:2209;width:91;height:66" coordsize="91,66" path="m46,l91,33,46,66,,33,46,xe" fillcolor="navy" strokecolor="navy">
                <v:path arrowok="t"/>
              </v:shape>
              <v:shape id="_x0000_s4209" style="position:absolute;left:999;top:2209;width:91;height:66" coordsize="91,66" path="m46,l91,33,46,66,,33,46,xe" fillcolor="navy" strokecolor="navy">
                <v:path arrowok="t"/>
              </v:shape>
              <v:shape id="_x0000_s4210" style="position:absolute;left:999;top:2209;width:91;height:66" coordsize="91,66" path="m46,l91,33,46,66,,33,46,xe" fillcolor="navy" strokecolor="navy">
                <v:path arrowok="t"/>
              </v:shape>
              <v:shape id="_x0000_s4211" style="position:absolute;left:999;top:2209;width:91;height:66" coordsize="91,66" path="m46,l91,33,46,66,,33,46,xe" fillcolor="navy" strokecolor="navy">
                <v:path arrowok="t"/>
              </v:shape>
              <v:shape id="_x0000_s4212" style="position:absolute;left:999;top:2209;width:91;height:66" coordsize="91,66" path="m46,l91,33,46,66,,33,46,xe" fillcolor="navy" strokecolor="navy">
                <v:path arrowok="t"/>
              </v:shape>
              <v:shape id="_x0000_s4213" style="position:absolute;left:999;top:2209;width:91;height:66" coordsize="91,66" path="m46,l91,33,46,66,,33,46,xe" fillcolor="navy" strokecolor="navy">
                <v:path arrowok="t"/>
              </v:shape>
              <v:shape id="_x0000_s4214" style="position:absolute;left:999;top:2209;width:91;height:66" coordsize="91,66" path="m46,l91,33,46,66,,33,46,xe" fillcolor="navy" strokecolor="navy">
                <v:path arrowok="t"/>
              </v:shape>
              <v:shape id="_x0000_s4215" style="position:absolute;left:999;top:2209;width:91;height:66" coordsize="91,66" path="m46,l91,33,46,66,,33,46,xe" fillcolor="navy" strokecolor="navy">
                <v:path arrowok="t"/>
              </v:shape>
              <v:shape id="_x0000_s4216" style="position:absolute;left:999;top:2209;width:91;height:66" coordsize="91,66" path="m46,l91,33,46,66,,33,46,xe" fillcolor="navy" strokecolor="navy">
                <v:path arrowok="t"/>
              </v:shape>
              <v:shape id="_x0000_s4217" style="position:absolute;left:999;top:2209;width:91;height:66" coordsize="91,66" path="m46,l91,33,46,66,,33,46,xe" fillcolor="navy" strokecolor="navy">
                <v:path arrowok="t"/>
              </v:shape>
              <v:shape id="_x0000_s4218" style="position:absolute;left:999;top:2209;width:91;height:66" coordsize="91,66" path="m46,l91,33,46,66,,33,46,xe" fillcolor="navy" strokecolor="navy">
                <v:path arrowok="t"/>
              </v:shape>
              <v:shape id="_x0000_s4219" style="position:absolute;left:999;top:2209;width:91;height:66" coordsize="91,66" path="m46,l91,33,46,66,,33,46,xe" fillcolor="navy" strokecolor="navy">
                <v:path arrowok="t"/>
              </v:shape>
              <v:shape id="_x0000_s4220" style="position:absolute;left:999;top:2209;width:91;height:66" coordsize="91,66" path="m46,l91,33,46,66,,33,46,xe" fillcolor="navy" strokecolor="navy">
                <v:path arrowok="t"/>
              </v:shape>
              <v:shape id="_x0000_s4221" style="position:absolute;left:999;top:2209;width:91;height:66" coordsize="91,66" path="m46,l91,33,46,66,,33,46,xe" fillcolor="navy" strokecolor="navy">
                <v:path arrowok="t"/>
              </v:shape>
              <v:shape id="_x0000_s4222" style="position:absolute;left:999;top:2209;width:91;height:66" coordsize="91,66" path="m46,l91,33,46,66,,33,46,xe" fillcolor="navy" strokecolor="navy">
                <v:path arrowok="t"/>
              </v:shape>
              <v:shape id="_x0000_s4223" style="position:absolute;left:999;top:2198;width:91;height:66" coordsize="91,66" path="m46,l91,33,46,66,,33,46,xe" fillcolor="navy" strokecolor="navy">
                <v:path arrowok="t"/>
              </v:shape>
              <v:shape id="_x0000_s4224" style="position:absolute;left:999;top:2198;width:91;height:66" coordsize="91,66" path="m46,l91,33,46,66,,33,46,xe" fillcolor="navy" strokecolor="navy">
                <v:path arrowok="t"/>
              </v:shape>
              <v:shape id="_x0000_s4225" style="position:absolute;left:999;top:2198;width:91;height:66" coordsize="91,66" path="m46,l91,33,46,66,,33,46,xe" fillcolor="navy" strokecolor="navy">
                <v:path arrowok="t"/>
              </v:shape>
              <v:shape id="_x0000_s4226" style="position:absolute;left:999;top:2198;width:91;height:66" coordsize="91,66" path="m46,l91,33,46,66,,33,46,xe" fillcolor="navy" strokecolor="navy">
                <v:path arrowok="t"/>
              </v:shape>
              <v:shape id="_x0000_s4227" style="position:absolute;left:999;top:2198;width:91;height:66" coordsize="91,66" path="m46,l91,33,46,66,,33,46,xe" fillcolor="navy" strokecolor="navy">
                <v:path arrowok="t"/>
              </v:shape>
              <v:shape id="_x0000_s4228" style="position:absolute;left:999;top:2198;width:91;height:66" coordsize="91,66" path="m46,l91,33,46,66,,33,46,xe" fillcolor="navy" strokecolor="navy">
                <v:path arrowok="t"/>
              </v:shape>
              <v:shape id="_x0000_s4229" style="position:absolute;left:999;top:2198;width:91;height:66" coordsize="91,66" path="m46,l91,33,46,66,,33,46,xe" fillcolor="navy" strokecolor="navy">
                <v:path arrowok="t"/>
              </v:shape>
              <v:shape id="_x0000_s4230" style="position:absolute;left:999;top:2198;width:91;height:66" coordsize="91,66" path="m46,l91,33,46,66,,33,46,xe" fillcolor="navy" strokecolor="navy">
                <v:path arrowok="t"/>
              </v:shape>
              <v:shape id="_x0000_s4231" style="position:absolute;left:999;top:2198;width:91;height:66" coordsize="91,66" path="m46,l91,33,46,66,,33,46,xe" fillcolor="navy" strokecolor="navy">
                <v:path arrowok="t"/>
              </v:shape>
              <v:shape id="_x0000_s4232" style="position:absolute;left:999;top:2198;width:91;height:66" coordsize="91,66" path="m46,l91,33,46,66,,33,46,xe" fillcolor="navy" strokecolor="navy">
                <v:path arrowok="t"/>
              </v:shape>
              <v:shape id="_x0000_s4233" style="position:absolute;left:999;top:2198;width:91;height:66" coordsize="91,66" path="m46,l91,33,46,66,,33,46,xe" fillcolor="navy" strokecolor="navy">
                <v:path arrowok="t"/>
              </v:shape>
              <v:shape id="_x0000_s4234" style="position:absolute;left:999;top:2198;width:91;height:66" coordsize="91,66" path="m46,l91,33,46,66,,33,46,xe" fillcolor="navy" strokecolor="navy">
                <v:path arrowok="t"/>
              </v:shape>
              <v:shape id="_x0000_s4235" style="position:absolute;left:999;top:2198;width:91;height:66" coordsize="91,66" path="m46,l91,33,46,66,,33,46,xe" fillcolor="navy" strokecolor="navy">
                <v:path arrowok="t"/>
              </v:shape>
              <v:shape id="_x0000_s4236" style="position:absolute;left:999;top:2198;width:91;height:66" coordsize="91,66" path="m46,l91,33,46,66,,33,46,xe" fillcolor="navy" strokecolor="navy">
                <v:path arrowok="t"/>
              </v:shape>
              <v:shape id="_x0000_s4237" style="position:absolute;left:999;top:2187;width:91;height:66" coordsize="91,66" path="m46,l91,33,46,66,,33,46,xe" fillcolor="navy" strokecolor="navy">
                <v:path arrowok="t"/>
              </v:shape>
              <v:shape id="_x0000_s4238" style="position:absolute;left:999;top:2187;width:91;height:66" coordsize="91,66" path="m46,l91,33,46,66,,33,46,xe" fillcolor="navy" strokecolor="navy">
                <v:path arrowok="t"/>
              </v:shape>
              <v:shape id="_x0000_s4239" style="position:absolute;left:999;top:2187;width:91;height:66" coordsize="91,66" path="m46,l91,33,46,66,,33,46,xe" fillcolor="navy" strokecolor="navy">
                <v:path arrowok="t"/>
              </v:shape>
              <v:shape id="_x0000_s4240" style="position:absolute;left:999;top:2187;width:91;height:66" coordsize="91,66" path="m46,l91,33,46,66,,33,46,xe" fillcolor="navy" strokecolor="navy">
                <v:path arrowok="t"/>
              </v:shape>
              <v:shape id="_x0000_s4241" style="position:absolute;left:999;top:2187;width:91;height:66" coordsize="91,66" path="m46,l91,33,46,66,,33,46,xe" fillcolor="navy" strokecolor="navy">
                <v:path arrowok="t"/>
              </v:shape>
              <v:shape id="_x0000_s4242" style="position:absolute;left:999;top:2187;width:91;height:66" coordsize="91,66" path="m46,l91,33,46,66,,33,46,xe" fillcolor="navy" strokecolor="navy">
                <v:path arrowok="t"/>
              </v:shape>
              <v:shape id="_x0000_s4243" style="position:absolute;left:999;top:2187;width:91;height:66" coordsize="91,66" path="m46,l91,33,46,66,,33,46,xe" fillcolor="navy" strokecolor="navy">
                <v:path arrowok="t"/>
              </v:shape>
              <v:shape id="_x0000_s4244" style="position:absolute;left:999;top:2187;width:91;height:66" coordsize="91,66" path="m46,l91,33,46,66,,33,46,xe" fillcolor="navy" strokecolor="navy">
                <v:path arrowok="t"/>
              </v:shape>
              <v:shape id="_x0000_s4245" style="position:absolute;left:999;top:2187;width:91;height:66" coordsize="91,66" path="m46,l91,33,46,66,,33,46,xe" fillcolor="navy" strokecolor="navy">
                <v:path arrowok="t"/>
              </v:shape>
              <v:shape id="_x0000_s4246" style="position:absolute;left:999;top:2187;width:91;height:66" coordsize="91,66" path="m46,l91,33,46,66,,33,46,xe" fillcolor="navy" strokecolor="navy">
                <v:path arrowok="t"/>
              </v:shape>
              <v:shape id="_x0000_s4247" style="position:absolute;left:999;top:2176;width:91;height:66" coordsize="91,66" path="m46,l91,33,46,66,,33,46,xe" fillcolor="navy" strokecolor="navy">
                <v:path arrowok="t"/>
              </v:shape>
              <v:shape id="_x0000_s4248" style="position:absolute;left:999;top:2176;width:91;height:66" coordsize="91,66" path="m46,l91,33,46,66,,33,46,xe" fillcolor="navy" strokecolor="navy">
                <v:path arrowok="t"/>
              </v:shape>
              <v:shape id="_x0000_s4249" style="position:absolute;left:999;top:2176;width:91;height:66" coordsize="91,66" path="m46,l91,33,46,66,,33,46,xe" fillcolor="navy" strokecolor="navy">
                <v:path arrowok="t"/>
              </v:shape>
              <v:shape id="_x0000_s4250" style="position:absolute;left:999;top:2176;width:91;height:66" coordsize="91,66" path="m46,l91,33,46,66,,33,46,xe" fillcolor="navy" strokecolor="navy">
                <v:path arrowok="t"/>
              </v:shape>
              <v:shape id="_x0000_s4251" style="position:absolute;left:999;top:2176;width:91;height:66" coordsize="91,66" path="m46,l91,33,46,66,,33,46,xe" fillcolor="navy" strokecolor="navy">
                <v:path arrowok="t"/>
              </v:shape>
              <v:shape id="_x0000_s4252" style="position:absolute;left:999;top:2176;width:91;height:66" coordsize="91,66" path="m46,l91,33,46,66,,33,46,xe" fillcolor="navy" strokecolor="navy">
                <v:path arrowok="t"/>
              </v:shape>
              <v:shape id="_x0000_s4253" style="position:absolute;left:999;top:2176;width:91;height:66" coordsize="91,66" path="m46,l91,33,46,66,,33,46,xe" fillcolor="navy" strokecolor="navy">
                <v:path arrowok="t"/>
              </v:shape>
              <v:shape id="_x0000_s4254" style="position:absolute;left:999;top:2176;width:91;height:66" coordsize="91,66" path="m46,l91,33,46,66,,33,46,xe" fillcolor="navy" strokecolor="navy">
                <v:path arrowok="t"/>
              </v:shape>
              <v:shape id="_x0000_s4255" style="position:absolute;left:999;top:2176;width:91;height:66" coordsize="91,66" path="m46,l91,33,46,66,,33,46,xe" fillcolor="navy" strokecolor="navy">
                <v:path arrowok="t"/>
              </v:shape>
              <v:shape id="_x0000_s4256" style="position:absolute;left:999;top:2176;width:91;height:66" coordsize="91,66" path="m46,l91,33,46,66,,33,46,xe" fillcolor="navy" strokecolor="navy">
                <v:path arrowok="t"/>
              </v:shape>
              <v:shape id="_x0000_s4257" style="position:absolute;left:999;top:2165;width:91;height:66" coordsize="91,66" path="m46,l91,33,46,66,,33,46,xe" fillcolor="navy" strokecolor="navy">
                <v:path arrowok="t"/>
              </v:shape>
              <v:shape id="_x0000_s4258" style="position:absolute;left:999;top:2165;width:91;height:66" coordsize="91,66" path="m46,l91,33,46,66,,33,46,xe" fillcolor="navy" strokecolor="navy">
                <v:path arrowok="t"/>
              </v:shape>
              <v:shape id="_x0000_s4259" style="position:absolute;left:999;top:2165;width:91;height:66" coordsize="91,66" path="m46,l91,33,46,66,,33,46,xe" fillcolor="navy" strokecolor="navy">
                <v:path arrowok="t"/>
              </v:shape>
              <v:shape id="_x0000_s4260" style="position:absolute;left:999;top:2165;width:91;height:66" coordsize="91,66" path="m46,l91,33,46,66,,33,46,xe" fillcolor="navy" strokecolor="navy">
                <v:path arrowok="t"/>
              </v:shape>
              <v:shape id="_x0000_s4261" style="position:absolute;left:999;top:2154;width:91;height:66" coordsize="91,66" path="m46,l91,33,46,66,,33,46,xe" fillcolor="navy" strokecolor="navy">
                <v:path arrowok="t"/>
              </v:shape>
              <v:shape id="_x0000_s4262" style="position:absolute;left:999;top:2154;width:91;height:66" coordsize="91,66" path="m46,l91,33,46,66,,33,46,xe" fillcolor="navy" strokecolor="navy">
                <v:path arrowok="t"/>
              </v:shape>
              <v:shape id="_x0000_s4263" style="position:absolute;left:999;top:2154;width:91;height:66" coordsize="91,66" path="m46,l91,33,46,66,,33,46,xe" fillcolor="navy" strokecolor="navy">
                <v:path arrowok="t"/>
              </v:shape>
              <v:shape id="_x0000_s4264" style="position:absolute;left:999;top:2154;width:91;height:66" coordsize="91,66" path="m46,l91,33,46,66,,33,46,xe" fillcolor="navy" strokecolor="navy">
                <v:path arrowok="t"/>
              </v:shape>
              <v:shape id="_x0000_s4265" style="position:absolute;left:999;top:2143;width:91;height:66" coordsize="91,66" path="m46,l91,33,46,66,,33,46,xe" fillcolor="navy" strokecolor="navy">
                <v:path arrowok="t"/>
              </v:shape>
              <v:shape id="_x0000_s4266" style="position:absolute;left:999;top:2143;width:91;height:66" coordsize="91,66" path="m46,l91,33,46,66,,33,46,xe" fillcolor="navy" strokecolor="navy">
                <v:path arrowok="t"/>
              </v:shape>
              <v:shape id="_x0000_s4267" style="position:absolute;left:999;top:2132;width:91;height:66" coordsize="91,66" path="m46,l91,33,46,66,,33,46,xe" fillcolor="navy" strokecolor="navy">
                <v:path arrowok="t"/>
              </v:shape>
              <v:shape id="_x0000_s4268" style="position:absolute;left:999;top:2121;width:91;height:66" coordsize="91,66" path="m46,l91,33,46,66,,33,46,xe" fillcolor="navy" strokecolor="navy">
                <v:path arrowok="t"/>
              </v:shape>
              <v:shape id="_x0000_s4269" style="position:absolute;left:999;top:2121;width:91;height:66" coordsize="91,66" path="m46,l91,33,46,66,,33,46,xe" fillcolor="navy" strokecolor="navy">
                <v:path arrowok="t"/>
              </v:shape>
              <v:shape id="_x0000_s4270" style="position:absolute;left:999;top:2110;width:91;height:66" coordsize="91,66" path="m46,l91,33,46,66,,33,46,xe" fillcolor="navy" strokecolor="navy">
                <v:path arrowok="t"/>
              </v:shape>
              <v:shape id="_x0000_s4271" style="position:absolute;left:999;top:2098;width:91;height:67" coordsize="91,67" path="m46,l91,34,46,67,,34,46,xe" fillcolor="navy" strokecolor="navy">
                <v:path arrowok="t"/>
              </v:shape>
              <v:shape id="_x0000_s4272" style="position:absolute;left:999;top:2098;width:91;height:67" coordsize="91,67" path="m46,l91,34,46,67,,34,46,xe" fillcolor="navy" strokecolor="navy">
                <v:path arrowok="t"/>
              </v:shape>
              <v:shape id="_x0000_s4273" style="position:absolute;left:999;top:2098;width:91;height:67" coordsize="91,67" path="m46,l91,34,46,67,,34,46,xe" fillcolor="navy" strokecolor="navy">
                <v:path arrowok="t"/>
              </v:shape>
              <v:shape id="_x0000_s4274" style="position:absolute;left:999;top:2087;width:91;height:67" coordsize="91,67" path="m46,l91,34,46,67,,34,46,xe" fillcolor="navy" strokecolor="navy">
                <v:path arrowok="t"/>
              </v:shape>
              <v:shape id="_x0000_s4275" style="position:absolute;left:999;top:2076;width:91;height:67" coordsize="91,67" path="m46,l91,34,46,67,,34,46,xe" fillcolor="navy" strokecolor="navy">
                <v:path arrowok="t"/>
              </v:shape>
              <v:shape id="_x0000_s4276" style="position:absolute;left:999;top:1822;width:91;height:67" coordsize="91,67" path="m46,l91,33,46,67,,33,46,xe" fillcolor="navy" strokecolor="navy">
                <v:path arrowok="t"/>
              </v:shape>
              <v:shape id="_x0000_s4277" style="position:absolute;left:1196;top:2375;width:91;height:66" coordsize="91,66" path="m46,l91,33,46,66,,33,46,xe" fillcolor="navy" strokecolor="navy">
                <v:path arrowok="t"/>
              </v:shape>
              <v:shape id="_x0000_s4278" style="position:absolute;left:1196;top:2375;width:91;height:66" coordsize="91,66" path="m46,l91,33,46,66,,33,46,xe" fillcolor="navy" strokecolor="navy">
                <v:path arrowok="t"/>
              </v:shape>
              <v:shape id="_x0000_s4279" style="position:absolute;left:1196;top:2375;width:91;height:66" coordsize="91,66" path="m46,l91,33,46,66,,33,46,xe" fillcolor="navy" strokecolor="navy">
                <v:path arrowok="t"/>
              </v:shape>
              <v:shape id="_x0000_s4280" style="position:absolute;left:1196;top:2364;width:91;height:66" coordsize="91,66" path="m46,l91,33,46,66,,33,46,xe" fillcolor="navy" strokecolor="navy">
                <v:path arrowok="t"/>
              </v:shape>
              <v:shape id="_x0000_s4281" style="position:absolute;left:1196;top:2364;width:91;height:66" coordsize="91,66" path="m46,l91,33,46,66,,33,46,xe" fillcolor="navy" strokecolor="navy">
                <v:path arrowok="t"/>
              </v:shape>
              <v:shape id="_x0000_s4282" style="position:absolute;left:1196;top:2364;width:91;height:66" coordsize="91,66" path="m46,l91,33,46,66,,33,46,xe" fillcolor="navy" strokecolor="navy">
                <v:path arrowok="t"/>
              </v:shape>
              <v:shape id="_x0000_s4283" style="position:absolute;left:1196;top:2352;width:91;height:67" coordsize="91,67" path="m46,l91,34,46,67,,34,46,xe" fillcolor="navy" strokecolor="navy">
                <v:path arrowok="t"/>
              </v:shape>
              <v:shape id="_x0000_s4284" style="position:absolute;left:1196;top:2352;width:91;height:67" coordsize="91,67" path="m46,l91,34,46,67,,34,46,xe" fillcolor="navy" strokecolor="navy">
                <v:path arrowok="t"/>
              </v:shape>
              <v:shape id="_x0000_s4285" style="position:absolute;left:1196;top:2352;width:91;height:67" coordsize="91,67" path="m46,l91,34,46,67,,34,46,xe" fillcolor="navy" strokecolor="navy">
                <v:path arrowok="t"/>
              </v:shape>
              <v:shape id="_x0000_s4286" style="position:absolute;left:1196;top:2352;width:91;height:67" coordsize="91,67" path="m46,l91,34,46,67,,34,46,xe" fillcolor="navy" strokecolor="navy">
                <v:path arrowok="t"/>
              </v:shape>
              <v:shape id="_x0000_s4287" style="position:absolute;left:1196;top:2352;width:91;height:67" coordsize="91,67" path="m46,l91,34,46,67,,34,46,xe" fillcolor="navy" strokecolor="navy">
                <v:path arrowok="t"/>
              </v:shape>
              <v:shape id="_x0000_s4288" style="position:absolute;left:1196;top:2352;width:91;height:67" coordsize="91,67" path="m46,l91,34,46,67,,34,46,xe" fillcolor="navy" strokecolor="navy">
                <v:path arrowok="t"/>
              </v:shape>
              <v:shape id="_x0000_s4289" style="position:absolute;left:1196;top:2352;width:91;height:67" coordsize="91,67" path="m46,l91,34,46,67,,34,46,xe" fillcolor="navy" strokecolor="navy">
                <v:path arrowok="t"/>
              </v:shape>
              <v:shape id="_x0000_s4290" style="position:absolute;left:1196;top:2352;width:91;height:67" coordsize="91,67" path="m46,l91,34,46,67,,34,46,xe" fillcolor="navy" strokecolor="navy">
                <v:path arrowok="t"/>
              </v:shape>
              <v:shape id="_x0000_s4291" style="position:absolute;left:1196;top:2352;width:91;height:67" coordsize="91,67" path="m46,l91,34,46,67,,34,46,xe" fillcolor="navy" strokecolor="navy">
                <v:path arrowok="t"/>
              </v:shape>
              <v:shape id="_x0000_s4292" style="position:absolute;left:1196;top:2352;width:91;height:67" coordsize="91,67" path="m46,l91,34,46,67,,34,46,xe" fillcolor="navy" strokecolor="navy">
                <v:path arrowok="t"/>
              </v:shape>
              <v:shape id="_x0000_s4293" style="position:absolute;left:1196;top:2352;width:91;height:67" coordsize="91,67" path="m46,l91,34,46,67,,34,46,xe" fillcolor="navy" strokecolor="navy">
                <v:path arrowok="t"/>
              </v:shape>
              <v:shape id="_x0000_s4294" style="position:absolute;left:1196;top:2341;width:91;height:67" coordsize="91,67" path="m46,l91,34,46,67,,34,46,xe" fillcolor="navy" strokecolor="navy">
                <v:path arrowok="t"/>
              </v:shape>
              <v:shape id="_x0000_s4295" style="position:absolute;left:1196;top:2341;width:91;height:67" coordsize="91,67" path="m46,l91,34,46,67,,34,46,xe" fillcolor="navy" strokecolor="navy">
                <v:path arrowok="t"/>
              </v:shape>
              <v:shape id="_x0000_s4296" style="position:absolute;left:1196;top:2341;width:91;height:67" coordsize="91,67" path="m46,l91,34,46,67,,34,46,xe" fillcolor="navy" strokecolor="navy">
                <v:path arrowok="t"/>
              </v:shape>
              <v:shape id="_x0000_s4297" style="position:absolute;left:1196;top:2341;width:91;height:67" coordsize="91,67" path="m46,l91,34,46,67,,34,46,xe" fillcolor="navy" strokecolor="navy">
                <v:path arrowok="t"/>
              </v:shape>
              <v:shape id="_x0000_s4298" style="position:absolute;left:1196;top:2341;width:91;height:67" coordsize="91,67" path="m46,l91,34,46,67,,34,46,xe" fillcolor="navy" strokecolor="navy">
                <v:path arrowok="t"/>
              </v:shape>
              <v:shape id="_x0000_s4299" style="position:absolute;left:1196;top:2341;width:91;height:67" coordsize="91,67" path="m46,l91,34,46,67,,34,46,xe" fillcolor="navy" strokecolor="navy">
                <v:path arrowok="t"/>
              </v:shape>
              <v:shape id="_x0000_s4300" style="position:absolute;left:1196;top:2341;width:91;height:67" coordsize="91,67" path="m46,l91,34,46,67,,34,46,xe" fillcolor="navy" strokecolor="navy">
                <v:path arrowok="t"/>
              </v:shape>
              <v:shape id="_x0000_s4301" style="position:absolute;left:1196;top:2341;width:91;height:67" coordsize="91,67" path="m46,l91,34,46,67,,34,46,xe" fillcolor="navy" strokecolor="navy">
                <v:path arrowok="t"/>
              </v:shape>
              <v:shape id="_x0000_s4302" style="position:absolute;left:1196;top:2341;width:91;height:67" coordsize="91,67" path="m46,l91,34,46,67,,34,46,xe" fillcolor="navy" strokecolor="navy">
                <v:path arrowok="t"/>
              </v:shape>
              <v:shape id="_x0000_s4303" style="position:absolute;left:1196;top:2341;width:91;height:67" coordsize="91,67" path="m46,l91,34,46,67,,34,46,xe" fillcolor="navy" strokecolor="navy">
                <v:path arrowok="t"/>
              </v:shape>
              <v:shape id="_x0000_s4304" style="position:absolute;left:1196;top:2341;width:91;height:67" coordsize="91,67" path="m46,l91,34,46,67,,34,46,xe" fillcolor="navy" strokecolor="navy">
                <v:path arrowok="t"/>
              </v:shape>
              <v:shape id="_x0000_s4305" style="position:absolute;left:1196;top:2341;width:91;height:67" coordsize="91,67" path="m46,l91,34,46,67,,34,46,xe" fillcolor="navy" strokecolor="navy">
                <v:path arrowok="t"/>
              </v:shape>
              <v:shape id="_x0000_s4306" style="position:absolute;left:1196;top:2341;width:91;height:67" coordsize="91,67" path="m46,l91,34,46,67,,34,46,xe" fillcolor="navy" strokecolor="navy">
                <v:path arrowok="t"/>
              </v:shape>
              <v:shape id="_x0000_s4307" style="position:absolute;left:1196;top:2341;width:91;height:67" coordsize="91,67" path="m46,l91,34,46,67,,34,46,xe" fillcolor="navy" strokecolor="navy">
                <v:path arrowok="t"/>
              </v:shape>
              <v:shape id="_x0000_s4308" style="position:absolute;left:1196;top:2330;width:91;height:67" coordsize="91,67" path="m46,l91,34,46,67,,34,46,xe" fillcolor="navy" strokecolor="navy">
                <v:path arrowok="t"/>
              </v:shape>
              <v:shape id="_x0000_s4309" style="position:absolute;left:1196;top:2330;width:91;height:67" coordsize="91,67" path="m46,l91,34,46,67,,34,46,xe" fillcolor="navy" strokecolor="navy">
                <v:path arrowok="t"/>
              </v:shape>
              <v:shape id="_x0000_s4310" style="position:absolute;left:1196;top:2330;width:91;height:67" coordsize="91,67" path="m46,l91,34,46,67,,34,46,xe" fillcolor="navy" strokecolor="navy">
                <v:path arrowok="t"/>
              </v:shape>
              <v:shape id="_x0000_s4311" style="position:absolute;left:1196;top:2330;width:91;height:67" coordsize="91,67" path="m46,l91,34,46,67,,34,46,xe" fillcolor="navy" strokecolor="navy">
                <v:path arrowok="t"/>
              </v:shape>
              <v:shape id="_x0000_s4312" style="position:absolute;left:1196;top:2330;width:91;height:67" coordsize="91,67" path="m46,l91,34,46,67,,34,46,xe" fillcolor="navy" strokecolor="navy">
                <v:path arrowok="t"/>
              </v:shape>
              <v:shape id="_x0000_s4313" style="position:absolute;left:1196;top:2330;width:91;height:67" coordsize="91,67" path="m46,l91,34,46,67,,34,46,xe" fillcolor="navy" strokecolor="navy">
                <v:path arrowok="t"/>
              </v:shape>
              <v:shape id="_x0000_s4314" style="position:absolute;left:1196;top:2330;width:91;height:67" coordsize="91,67" path="m46,l91,34,46,67,,34,46,xe" fillcolor="navy" strokecolor="navy">
                <v:path arrowok="t"/>
              </v:shape>
              <v:shape id="_x0000_s4315" style="position:absolute;left:1196;top:2330;width:91;height:67" coordsize="91,67" path="m46,l91,34,46,67,,34,46,xe" fillcolor="navy" strokecolor="navy">
                <v:path arrowok="t"/>
              </v:shape>
              <v:shape id="_x0000_s4316" style="position:absolute;left:1196;top:2330;width:91;height:67" coordsize="91,67" path="m46,l91,34,46,67,,34,46,xe" fillcolor="navy" strokecolor="navy">
                <v:path arrowok="t"/>
              </v:shape>
              <v:shape id="_x0000_s4317" style="position:absolute;left:1196;top:2330;width:91;height:67" coordsize="91,67" path="m46,l91,34,46,67,,34,46,xe" fillcolor="navy" strokecolor="navy">
                <v:path arrowok="t"/>
              </v:shape>
              <v:shape id="_x0000_s4318" style="position:absolute;left:1196;top:2330;width:91;height:67" coordsize="91,67" path="m46,l91,34,46,67,,34,46,xe" fillcolor="navy" strokecolor="navy">
                <v:path arrowok="t"/>
              </v:shape>
              <v:shape id="_x0000_s4319" style="position:absolute;left:1196;top:2330;width:91;height:67" coordsize="91,67" path="m46,l91,34,46,67,,34,46,xe" fillcolor="navy" strokecolor="navy">
                <v:path arrowok="t"/>
              </v:shape>
              <v:shape id="_x0000_s4320" style="position:absolute;left:1196;top:2330;width:91;height:67" coordsize="91,67" path="m46,l91,34,46,67,,34,46,xe" fillcolor="navy" strokecolor="navy">
                <v:path arrowok="t"/>
              </v:shape>
              <v:shape id="_x0000_s4321" style="position:absolute;left:1196;top:2330;width:91;height:67" coordsize="91,67" path="m46,l91,34,46,67,,34,46,xe" fillcolor="navy" strokecolor="navy">
                <v:path arrowok="t"/>
              </v:shape>
              <v:shape id="_x0000_s4322" style="position:absolute;left:1196;top:2330;width:91;height:67" coordsize="91,67" path="m46,l91,34,46,67,,34,46,xe" fillcolor="navy" strokecolor="navy">
                <v:path arrowok="t"/>
              </v:shape>
              <v:shape id="_x0000_s4323" style="position:absolute;left:1196;top:2330;width:91;height:67" coordsize="91,67" path="m46,l91,34,46,67,,34,46,xe" fillcolor="navy" strokecolor="navy">
                <v:path arrowok="t"/>
              </v:shape>
              <v:shape id="_x0000_s4324" style="position:absolute;left:1196;top:2330;width:91;height:67" coordsize="91,67" path="m46,l91,34,46,67,,34,46,xe" fillcolor="navy" strokecolor="navy">
                <v:path arrowok="t"/>
              </v:shape>
              <v:shape id="_x0000_s4325" style="position:absolute;left:1196;top:2330;width:91;height:67" coordsize="91,67" path="m46,l91,34,46,67,,34,46,xe" fillcolor="navy" strokecolor="navy">
                <v:path arrowok="t"/>
              </v:shape>
              <v:shape id="_x0000_s4326" style="position:absolute;left:1196;top:2330;width:91;height:67" coordsize="91,67" path="m46,l91,34,46,67,,34,46,xe" fillcolor="navy" strokecolor="navy">
                <v:path arrowok="t"/>
              </v:shape>
              <v:shape id="_x0000_s4327" style="position:absolute;left:1196;top:2330;width:91;height:67" coordsize="91,67" path="m46,l91,34,46,67,,34,46,xe" fillcolor="navy" strokecolor="navy">
                <v:path arrowok="t"/>
              </v:shape>
              <v:shape id="_x0000_s4328" style="position:absolute;left:1196;top:2330;width:91;height:67" coordsize="91,67" path="m46,l91,34,46,67,,34,46,xe" fillcolor="navy" strokecolor="navy">
                <v:path arrowok="t"/>
              </v:shape>
              <v:shape id="_x0000_s4329" style="position:absolute;left:1196;top:2330;width:91;height:67" coordsize="91,67" path="m46,l91,34,46,67,,34,46,xe" fillcolor="navy" strokecolor="navy">
                <v:path arrowok="t"/>
              </v:shape>
              <v:shape id="_x0000_s4330" style="position:absolute;left:1196;top:2330;width:91;height:67" coordsize="91,67" path="m46,l91,34,46,67,,34,46,xe" fillcolor="navy" strokecolor="navy">
                <v:path arrowok="t"/>
              </v:shape>
              <v:shape id="_x0000_s4331" style="position:absolute;left:1196;top:2330;width:91;height:67" coordsize="91,67" path="m46,l91,34,46,67,,34,46,xe" fillcolor="navy" strokecolor="navy">
                <v:path arrowok="t"/>
              </v:shape>
              <v:shape id="_x0000_s4332" style="position:absolute;left:1196;top:2330;width:91;height:67" coordsize="91,67" path="m46,l91,34,46,67,,34,46,xe" fillcolor="navy" strokecolor="navy">
                <v:path arrowok="t"/>
              </v:shape>
              <v:shape id="_x0000_s4333" style="position:absolute;left:1196;top:2319;width:91;height:67" coordsize="91,67" path="m46,l91,33,46,67,,33,46,xe" fillcolor="navy" strokecolor="navy">
                <v:path arrowok="t"/>
              </v:shape>
              <v:shape id="_x0000_s4334" style="position:absolute;left:1196;top:2319;width:91;height:67" coordsize="91,67" path="m46,l91,33,46,67,,33,46,xe" fillcolor="navy" strokecolor="navy">
                <v:path arrowok="t"/>
              </v:shape>
              <v:shape id="_x0000_s4335" style="position:absolute;left:1196;top:2319;width:91;height:67" coordsize="91,67" path="m46,l91,33,46,67,,33,46,xe" fillcolor="navy" strokecolor="navy">
                <v:path arrowok="t"/>
              </v:shape>
              <v:shape id="_x0000_s4336" style="position:absolute;left:1196;top:2319;width:91;height:67" coordsize="91,67" path="m46,l91,33,46,67,,33,46,xe" fillcolor="navy" strokecolor="navy">
                <v:path arrowok="t"/>
              </v:shape>
              <v:shape id="_x0000_s4337" style="position:absolute;left:1196;top:2319;width:91;height:67" coordsize="91,67" path="m46,l91,33,46,67,,33,46,xe" fillcolor="navy" strokecolor="navy">
                <v:path arrowok="t"/>
              </v:shape>
              <v:shape id="_x0000_s4338" style="position:absolute;left:1196;top:2319;width:91;height:67" coordsize="91,67" path="m46,l91,33,46,67,,33,46,xe" fillcolor="navy" strokecolor="navy">
                <v:path arrowok="t"/>
              </v:shape>
              <v:shape id="_x0000_s4339" style="position:absolute;left:1196;top:2319;width:91;height:67" coordsize="91,67" path="m46,l91,33,46,67,,33,46,xe" fillcolor="navy" strokecolor="navy">
                <v:path arrowok="t"/>
              </v:shape>
              <v:shape id="_x0000_s4340" style="position:absolute;left:1196;top:2319;width:91;height:67" coordsize="91,67" path="m46,l91,33,46,67,,33,46,xe" fillcolor="navy" strokecolor="navy">
                <v:path arrowok="t"/>
              </v:shape>
              <v:shape id="_x0000_s4341" style="position:absolute;left:1196;top:2319;width:91;height:67" coordsize="91,67" path="m46,l91,33,46,67,,33,46,xe" fillcolor="navy" strokecolor="navy">
                <v:path arrowok="t"/>
              </v:shape>
              <v:shape id="_x0000_s4342" style="position:absolute;left:1196;top:2319;width:91;height:67" coordsize="91,67" path="m46,l91,33,46,67,,33,46,xe" fillcolor="navy" strokecolor="navy">
                <v:path arrowok="t"/>
              </v:shape>
              <v:shape id="_x0000_s4343" style="position:absolute;left:1196;top:2319;width:91;height:67" coordsize="91,67" path="m46,l91,33,46,67,,33,46,xe" fillcolor="navy" strokecolor="navy">
                <v:path arrowok="t"/>
              </v:shape>
              <v:shape id="_x0000_s4344" style="position:absolute;left:1196;top:2319;width:91;height:67" coordsize="91,67" path="m46,l91,33,46,67,,33,46,xe" fillcolor="navy" strokecolor="navy">
                <v:path arrowok="t"/>
              </v:shape>
              <v:shape id="_x0000_s4345" style="position:absolute;left:1196;top:2319;width:91;height:67" coordsize="91,67" path="m46,l91,33,46,67,,33,46,xe" fillcolor="navy" strokecolor="navy">
                <v:path arrowok="t"/>
              </v:shape>
              <v:shape id="_x0000_s4346" style="position:absolute;left:1196;top:2319;width:91;height:67" coordsize="91,67" path="m46,l91,33,46,67,,33,46,xe" fillcolor="navy" strokecolor="navy">
                <v:path arrowok="t"/>
              </v:shape>
              <v:shape id="_x0000_s4347" style="position:absolute;left:1196;top:2319;width:91;height:67" coordsize="91,67" path="m46,l91,33,46,67,,33,46,xe" fillcolor="navy" strokecolor="navy">
                <v:path arrowok="t"/>
              </v:shape>
              <v:shape id="_x0000_s4348" style="position:absolute;left:1196;top:2319;width:91;height:67" coordsize="91,67" path="m46,l91,33,46,67,,33,46,xe" fillcolor="navy" strokecolor="navy">
                <v:path arrowok="t"/>
              </v:shape>
              <v:shape id="_x0000_s4349" style="position:absolute;left:1196;top:2319;width:91;height:67" coordsize="91,67" path="m46,l91,33,46,67,,33,46,xe" fillcolor="navy" strokecolor="navy">
                <v:path arrowok="t"/>
              </v:shape>
              <v:shape id="_x0000_s4350" style="position:absolute;left:1196;top:2319;width:91;height:67" coordsize="91,67" path="m46,l91,33,46,67,,33,46,xe" fillcolor="navy" strokecolor="navy">
                <v:path arrowok="t"/>
              </v:shape>
              <v:shape id="_x0000_s4351" style="position:absolute;left:1196;top:2319;width:91;height:67" coordsize="91,67" path="m46,l91,33,46,67,,33,46,xe" fillcolor="navy" strokecolor="navy">
                <v:path arrowok="t"/>
              </v:shape>
              <v:shape id="_x0000_s4352" style="position:absolute;left:1196;top:2319;width:91;height:67" coordsize="91,67" path="m46,l91,33,46,67,,33,46,xe" fillcolor="navy" strokecolor="navy">
                <v:path arrowok="t"/>
              </v:shape>
              <v:shape id="_x0000_s4353" style="position:absolute;left:1196;top:2319;width:91;height:67" coordsize="91,67" path="m46,l91,33,46,67,,33,46,xe" fillcolor="navy" strokecolor="navy">
                <v:path arrowok="t"/>
              </v:shape>
              <v:shape id="_x0000_s4354" style="position:absolute;left:1196;top:2319;width:91;height:67" coordsize="91,67" path="m46,l91,33,46,67,,33,46,xe" fillcolor="navy" strokecolor="navy">
                <v:path arrowok="t"/>
              </v:shape>
              <v:shape id="_x0000_s4355" style="position:absolute;left:1196;top:2319;width:91;height:67" coordsize="91,67" path="m46,l91,33,46,67,,33,46,xe" fillcolor="navy" strokecolor="navy">
                <v:path arrowok="t"/>
              </v:shape>
              <v:shape id="_x0000_s4356" style="position:absolute;left:1196;top:2319;width:91;height:67" coordsize="91,67" path="m46,l91,33,46,67,,33,46,xe" fillcolor="navy" strokecolor="navy">
                <v:path arrowok="t"/>
              </v:shape>
              <v:shape id="_x0000_s4357" style="position:absolute;left:1196;top:2319;width:91;height:67" coordsize="91,67" path="m46,l91,33,46,67,,33,46,xe" fillcolor="navy" strokecolor="navy">
                <v:path arrowok="t"/>
              </v:shape>
              <v:shape id="_x0000_s4358" style="position:absolute;left:1196;top:2319;width:91;height:67" coordsize="91,67" path="m46,l91,33,46,67,,33,46,xe" fillcolor="navy" strokecolor="navy">
                <v:path arrowok="t"/>
              </v:shape>
              <v:shape id="_x0000_s4359" style="position:absolute;left:1196;top:2319;width:91;height:67" coordsize="91,67" path="m46,l91,33,46,67,,33,46,xe" fillcolor="navy" strokecolor="navy">
                <v:path arrowok="t"/>
              </v:shape>
              <v:shape id="_x0000_s4360" style="position:absolute;left:1196;top:2319;width:91;height:67" coordsize="91,67" path="m46,l91,33,46,67,,33,46,xe" fillcolor="navy" strokecolor="navy">
                <v:path arrowok="t"/>
              </v:shape>
              <v:shape id="_x0000_s4361" style="position:absolute;left:1196;top:2319;width:91;height:67" coordsize="91,67" path="m46,l91,33,46,67,,33,46,xe" fillcolor="navy" strokecolor="navy">
                <v:path arrowok="t"/>
              </v:shape>
              <v:shape id="_x0000_s4362" style="position:absolute;left:1196;top:2319;width:91;height:67" coordsize="91,67" path="m46,l91,33,46,67,,33,46,xe" fillcolor="navy" strokecolor="navy">
                <v:path arrowok="t"/>
              </v:shape>
              <v:shape id="_x0000_s4363" style="position:absolute;left:1196;top:2319;width:91;height:67" coordsize="91,67" path="m46,l91,33,46,67,,33,46,xe" fillcolor="navy" strokecolor="navy">
                <v:path arrowok="t"/>
              </v:shape>
              <v:shape id="_x0000_s4364" style="position:absolute;left:1196;top:2319;width:91;height:67" coordsize="91,67" path="m46,l91,33,46,67,,33,46,xe" fillcolor="navy" strokecolor="navy">
                <v:path arrowok="t"/>
              </v:shape>
              <v:shape id="_x0000_s4365" style="position:absolute;left:1196;top:2319;width:91;height:67" coordsize="91,67" path="m46,l91,33,46,67,,33,46,xe" fillcolor="navy" strokecolor="navy">
                <v:path arrowok="t"/>
              </v:shape>
              <v:shape id="_x0000_s4366" style="position:absolute;left:1196;top:2319;width:91;height:67" coordsize="91,67" path="m46,l91,33,46,67,,33,46,xe" fillcolor="navy" strokecolor="navy">
                <v:path arrowok="t"/>
              </v:shape>
              <v:shape id="_x0000_s4367" style="position:absolute;left:1196;top:2319;width:91;height:67" coordsize="91,67" path="m46,l91,33,46,67,,33,46,xe" fillcolor="navy" strokecolor="navy">
                <v:path arrowok="t"/>
              </v:shape>
            </v:group>
            <v:group id="_x0000_s4569" style="position:absolute;left:1196;top:2231;width:91;height:155" coordorigin="1196,2231" coordsize="91,155">
              <v:shape id="_x0000_s4369" style="position:absolute;left:1196;top:2319;width:91;height:67" coordsize="91,67" path="m46,l91,33,46,67,,33,46,xe" fillcolor="navy" strokecolor="navy">
                <v:path arrowok="t"/>
              </v:shape>
              <v:shape id="_x0000_s4370" style="position:absolute;left:1196;top:2308;width:91;height:67" coordsize="91,67" path="m46,l91,33,46,67,,33,46,xe" fillcolor="navy" strokecolor="navy">
                <v:path arrowok="t"/>
              </v:shape>
              <v:shape id="_x0000_s4371" style="position:absolute;left:1196;top:2308;width:91;height:67" coordsize="91,67" path="m46,l91,33,46,67,,33,46,xe" fillcolor="navy" strokecolor="navy">
                <v:path arrowok="t"/>
              </v:shape>
              <v:shape id="_x0000_s4372" style="position:absolute;left:1196;top:2308;width:91;height:67" coordsize="91,67" path="m46,l91,33,46,67,,33,46,xe" fillcolor="navy" strokecolor="navy">
                <v:path arrowok="t"/>
              </v:shape>
              <v:shape id="_x0000_s4373" style="position:absolute;left:1196;top:2308;width:91;height:67" coordsize="91,67" path="m46,l91,33,46,67,,33,46,xe" fillcolor="navy" strokecolor="navy">
                <v:path arrowok="t"/>
              </v:shape>
              <v:shape id="_x0000_s4374" style="position:absolute;left:1196;top:2308;width:91;height:67" coordsize="91,67" path="m46,l91,33,46,67,,33,46,xe" fillcolor="navy" strokecolor="navy">
                <v:path arrowok="t"/>
              </v:shape>
              <v:shape id="_x0000_s4375" style="position:absolute;left:1196;top:2308;width:91;height:67" coordsize="91,67" path="m46,l91,33,46,67,,33,46,xe" fillcolor="navy" strokecolor="navy">
                <v:path arrowok="t"/>
              </v:shape>
              <v:shape id="_x0000_s4376" style="position:absolute;left:1196;top:2308;width:91;height:67" coordsize="91,67" path="m46,l91,33,46,67,,33,46,xe" fillcolor="navy" strokecolor="navy">
                <v:path arrowok="t"/>
              </v:shape>
              <v:shape id="_x0000_s4377" style="position:absolute;left:1196;top:2308;width:91;height:67" coordsize="91,67" path="m46,l91,33,46,67,,33,46,xe" fillcolor="navy" strokecolor="navy">
                <v:path arrowok="t"/>
              </v:shape>
              <v:shape id="_x0000_s4378" style="position:absolute;left:1196;top:2308;width:91;height:67" coordsize="91,67" path="m46,l91,33,46,67,,33,46,xe" fillcolor="navy" strokecolor="navy">
                <v:path arrowok="t"/>
              </v:shape>
              <v:shape id="_x0000_s4379" style="position:absolute;left:1196;top:2308;width:91;height:67" coordsize="91,67" path="m46,l91,33,46,67,,33,46,xe" fillcolor="navy" strokecolor="navy">
                <v:path arrowok="t"/>
              </v:shape>
              <v:shape id="_x0000_s4380" style="position:absolute;left:1196;top:2308;width:91;height:67" coordsize="91,67" path="m46,l91,33,46,67,,33,46,xe" fillcolor="navy" strokecolor="navy">
                <v:path arrowok="t"/>
              </v:shape>
              <v:shape id="_x0000_s4381" style="position:absolute;left:1196;top:2308;width:91;height:67" coordsize="91,67" path="m46,l91,33,46,67,,33,46,xe" fillcolor="navy" strokecolor="navy">
                <v:path arrowok="t"/>
              </v:shape>
              <v:shape id="_x0000_s4382" style="position:absolute;left:1196;top:2308;width:91;height:67" coordsize="91,67" path="m46,l91,33,46,67,,33,46,xe" fillcolor="navy" strokecolor="navy">
                <v:path arrowok="t"/>
              </v:shape>
              <v:shape id="_x0000_s4383" style="position:absolute;left:1196;top:2308;width:91;height:67" coordsize="91,67" path="m46,l91,33,46,67,,33,46,xe" fillcolor="navy" strokecolor="navy">
                <v:path arrowok="t"/>
              </v:shape>
              <v:shape id="_x0000_s4384" style="position:absolute;left:1196;top:2308;width:91;height:67" coordsize="91,67" path="m46,l91,33,46,67,,33,46,xe" fillcolor="navy" strokecolor="navy">
                <v:path arrowok="t"/>
              </v:shape>
              <v:shape id="_x0000_s4385" style="position:absolute;left:1196;top:2308;width:91;height:67" coordsize="91,67" path="m46,l91,33,46,67,,33,46,xe" fillcolor="navy" strokecolor="navy">
                <v:path arrowok="t"/>
              </v:shape>
              <v:shape id="_x0000_s4386" style="position:absolute;left:1196;top:2308;width:91;height:67" coordsize="91,67" path="m46,l91,33,46,67,,33,46,xe" fillcolor="navy" strokecolor="navy">
                <v:path arrowok="t"/>
              </v:shape>
              <v:shape id="_x0000_s4387" style="position:absolute;left:1196;top:2308;width:91;height:67" coordsize="91,67" path="m46,l91,33,46,67,,33,46,xe" fillcolor="navy" strokecolor="navy">
                <v:path arrowok="t"/>
              </v:shape>
              <v:shape id="_x0000_s4388" style="position:absolute;left:1196;top:2308;width:91;height:67" coordsize="91,67" path="m46,l91,33,46,67,,33,46,xe" fillcolor="navy" strokecolor="navy">
                <v:path arrowok="t"/>
              </v:shape>
              <v:shape id="_x0000_s4389" style="position:absolute;left:1196;top:2308;width:91;height:67" coordsize="91,67" path="m46,l91,33,46,67,,33,46,xe" fillcolor="navy" strokecolor="navy">
                <v:path arrowok="t"/>
              </v:shape>
              <v:shape id="_x0000_s4390" style="position:absolute;left:1196;top:2308;width:91;height:67" coordsize="91,67" path="m46,l91,33,46,67,,33,46,xe" fillcolor="navy" strokecolor="navy">
                <v:path arrowok="t"/>
              </v:shape>
              <v:shape id="_x0000_s4391" style="position:absolute;left:1196;top:2308;width:91;height:67" coordsize="91,67" path="m46,l91,33,46,67,,33,46,xe" fillcolor="navy" strokecolor="navy">
                <v:path arrowok="t"/>
              </v:shape>
              <v:shape id="_x0000_s4392" style="position:absolute;left:1196;top:2308;width:91;height:67" coordsize="91,67" path="m46,l91,33,46,67,,33,46,xe" fillcolor="navy" strokecolor="navy">
                <v:path arrowok="t"/>
              </v:shape>
              <v:shape id="_x0000_s4393" style="position:absolute;left:1196;top:2308;width:91;height:67" coordsize="91,67" path="m46,l91,33,46,67,,33,46,xe" fillcolor="navy" strokecolor="navy">
                <v:path arrowok="t"/>
              </v:shape>
              <v:shape id="_x0000_s4394" style="position:absolute;left:1196;top:2308;width:91;height:67" coordsize="91,67" path="m46,l91,33,46,67,,33,46,xe" fillcolor="navy" strokecolor="navy">
                <v:path arrowok="t"/>
              </v:shape>
              <v:shape id="_x0000_s4395" style="position:absolute;left:1196;top:2308;width:91;height:67" coordsize="91,67" path="m46,l91,33,46,67,,33,46,xe" fillcolor="navy" strokecolor="navy">
                <v:path arrowok="t"/>
              </v:shape>
              <v:shape id="_x0000_s4396" style="position:absolute;left:1196;top:2308;width:91;height:67" coordsize="91,67" path="m46,l91,33,46,67,,33,46,xe" fillcolor="navy" strokecolor="navy">
                <v:path arrowok="t"/>
              </v:shape>
              <v:shape id="_x0000_s4397" style="position:absolute;left:1196;top:2308;width:91;height:67" coordsize="91,67" path="m46,l91,33,46,67,,33,46,xe" fillcolor="navy" strokecolor="navy">
                <v:path arrowok="t"/>
              </v:shape>
              <v:shape id="_x0000_s4398" style="position:absolute;left:1196;top:2297;width:91;height:67" coordsize="91,67" path="m46,l91,33,46,67,,33,46,xe" fillcolor="navy" strokecolor="navy">
                <v:path arrowok="t"/>
              </v:shape>
              <v:shape id="_x0000_s4399" style="position:absolute;left:1196;top:2297;width:91;height:67" coordsize="91,67" path="m46,l91,33,46,67,,33,46,xe" fillcolor="navy" strokecolor="navy">
                <v:path arrowok="t"/>
              </v:shape>
              <v:shape id="_x0000_s4400" style="position:absolute;left:1196;top:2297;width:91;height:67" coordsize="91,67" path="m46,l91,33,46,67,,33,46,xe" fillcolor="navy" strokecolor="navy">
                <v:path arrowok="t"/>
              </v:shape>
              <v:shape id="_x0000_s4401" style="position:absolute;left:1196;top:2297;width:91;height:67" coordsize="91,67" path="m46,l91,33,46,67,,33,46,xe" fillcolor="navy" strokecolor="navy">
                <v:path arrowok="t"/>
              </v:shape>
              <v:shape id="_x0000_s4402" style="position:absolute;left:1196;top:2297;width:91;height:67" coordsize="91,67" path="m46,l91,33,46,67,,33,46,xe" fillcolor="navy" strokecolor="navy">
                <v:path arrowok="t"/>
              </v:shape>
              <v:shape id="_x0000_s4403" style="position:absolute;left:1196;top:2297;width:91;height:67" coordsize="91,67" path="m46,l91,33,46,67,,33,46,xe" fillcolor="navy" strokecolor="navy">
                <v:path arrowok="t"/>
              </v:shape>
              <v:shape id="_x0000_s4404" style="position:absolute;left:1196;top:2297;width:91;height:67" coordsize="91,67" path="m46,l91,33,46,67,,33,46,xe" fillcolor="navy" strokecolor="navy">
                <v:path arrowok="t"/>
              </v:shape>
              <v:shape id="_x0000_s4405" style="position:absolute;left:1196;top:2297;width:91;height:67" coordsize="91,67" path="m46,l91,33,46,67,,33,46,xe" fillcolor="navy" strokecolor="navy">
                <v:path arrowok="t"/>
              </v:shape>
              <v:shape id="_x0000_s4406" style="position:absolute;left:1196;top:2297;width:91;height:67" coordsize="91,67" path="m46,l91,33,46,67,,33,46,xe" fillcolor="navy" strokecolor="navy">
                <v:path arrowok="t"/>
              </v:shape>
              <v:shape id="_x0000_s4407" style="position:absolute;left:1196;top:2297;width:91;height:67" coordsize="91,67" path="m46,l91,33,46,67,,33,46,xe" fillcolor="navy" strokecolor="navy">
                <v:path arrowok="t"/>
              </v:shape>
              <v:shape id="_x0000_s4408" style="position:absolute;left:1196;top:2297;width:91;height:67" coordsize="91,67" path="m46,l91,33,46,67,,33,46,xe" fillcolor="navy" strokecolor="navy">
                <v:path arrowok="t"/>
              </v:shape>
              <v:shape id="_x0000_s4409" style="position:absolute;left:1196;top:2297;width:91;height:67" coordsize="91,67" path="m46,l91,33,46,67,,33,46,xe" fillcolor="navy" strokecolor="navy">
                <v:path arrowok="t"/>
              </v:shape>
              <v:shape id="_x0000_s4410" style="position:absolute;left:1196;top:2297;width:91;height:67" coordsize="91,67" path="m46,l91,33,46,67,,33,46,xe" fillcolor="navy" strokecolor="navy">
                <v:path arrowok="t"/>
              </v:shape>
              <v:shape id="_x0000_s4411" style="position:absolute;left:1196;top:2297;width:91;height:67" coordsize="91,67" path="m46,l91,33,46,67,,33,46,xe" fillcolor="navy" strokecolor="navy">
                <v:path arrowok="t"/>
              </v:shape>
              <v:shape id="_x0000_s4412" style="position:absolute;left:1196;top:2297;width:91;height:67" coordsize="91,67" path="m46,l91,33,46,67,,33,46,xe" fillcolor="navy" strokecolor="navy">
                <v:path arrowok="t"/>
              </v:shape>
              <v:shape id="_x0000_s4413" style="position:absolute;left:1196;top:2297;width:91;height:67" coordsize="91,67" path="m46,l91,33,46,67,,33,46,xe" fillcolor="navy" strokecolor="navy">
                <v:path arrowok="t"/>
              </v:shape>
              <v:shape id="_x0000_s4414" style="position:absolute;left:1196;top:2297;width:91;height:67" coordsize="91,67" path="m46,l91,33,46,67,,33,46,xe" fillcolor="navy" strokecolor="navy">
                <v:path arrowok="t"/>
              </v:shape>
              <v:shape id="_x0000_s4415" style="position:absolute;left:1196;top:2297;width:91;height:67" coordsize="91,67" path="m46,l91,33,46,67,,33,46,xe" fillcolor="navy" strokecolor="navy">
                <v:path arrowok="t"/>
              </v:shape>
              <v:shape id="_x0000_s4416" style="position:absolute;left:1196;top:2297;width:91;height:67" coordsize="91,67" path="m46,l91,33,46,67,,33,46,xe" fillcolor="navy" strokecolor="navy">
                <v:path arrowok="t"/>
              </v:shape>
              <v:shape id="_x0000_s4417" style="position:absolute;left:1196;top:2297;width:91;height:67" coordsize="91,67" path="m46,l91,33,46,67,,33,46,xe" fillcolor="navy" strokecolor="navy">
                <v:path arrowok="t"/>
              </v:shape>
              <v:shape id="_x0000_s4418" style="position:absolute;left:1196;top:2297;width:91;height:67" coordsize="91,67" path="m46,l91,33,46,67,,33,46,xe" fillcolor="navy" strokecolor="navy">
                <v:path arrowok="t"/>
              </v:shape>
              <v:shape id="_x0000_s4419" style="position:absolute;left:1196;top:2286;width:91;height:66" coordsize="91,66" path="m46,l91,33,46,66,,33,46,xe" fillcolor="navy" strokecolor="navy">
                <v:path arrowok="t"/>
              </v:shape>
              <v:shape id="_x0000_s4420" style="position:absolute;left:1196;top:2286;width:91;height:66" coordsize="91,66" path="m46,l91,33,46,66,,33,46,xe" fillcolor="navy" strokecolor="navy">
                <v:path arrowok="t"/>
              </v:shape>
              <v:shape id="_x0000_s4421" style="position:absolute;left:1196;top:2286;width:91;height:66" coordsize="91,66" path="m46,l91,33,46,66,,33,46,xe" fillcolor="navy" strokecolor="navy">
                <v:path arrowok="t"/>
              </v:shape>
              <v:shape id="_x0000_s4422" style="position:absolute;left:1196;top:2286;width:91;height:66" coordsize="91,66" path="m46,l91,33,46,66,,33,46,xe" fillcolor="navy" strokecolor="navy">
                <v:path arrowok="t"/>
              </v:shape>
              <v:shape id="_x0000_s4423" style="position:absolute;left:1196;top:2286;width:91;height:66" coordsize="91,66" path="m46,l91,33,46,66,,33,46,xe" fillcolor="navy" strokecolor="navy">
                <v:path arrowok="t"/>
              </v:shape>
              <v:shape id="_x0000_s4424" style="position:absolute;left:1196;top:2286;width:91;height:66" coordsize="91,66" path="m46,l91,33,46,66,,33,46,xe" fillcolor="navy" strokecolor="navy">
                <v:path arrowok="t"/>
              </v:shape>
              <v:shape id="_x0000_s4425" style="position:absolute;left:1196;top:2286;width:91;height:66" coordsize="91,66" path="m46,l91,33,46,66,,33,46,xe" fillcolor="navy" strokecolor="navy">
                <v:path arrowok="t"/>
              </v:shape>
              <v:shape id="_x0000_s4426" style="position:absolute;left:1196;top:2286;width:91;height:66" coordsize="91,66" path="m46,l91,33,46,66,,33,46,xe" fillcolor="navy" strokecolor="navy">
                <v:path arrowok="t"/>
              </v:shape>
              <v:shape id="_x0000_s4427" style="position:absolute;left:1196;top:2286;width:91;height:66" coordsize="91,66" path="m46,l91,33,46,66,,33,46,xe" fillcolor="navy" strokecolor="navy">
                <v:path arrowok="t"/>
              </v:shape>
              <v:shape id="_x0000_s4428" style="position:absolute;left:1196;top:2286;width:91;height:66" coordsize="91,66" path="m46,l91,33,46,66,,33,46,xe" fillcolor="navy" strokecolor="navy">
                <v:path arrowok="t"/>
              </v:shape>
              <v:shape id="_x0000_s4429" style="position:absolute;left:1196;top:2286;width:91;height:66" coordsize="91,66" path="m46,l91,33,46,66,,33,46,xe" fillcolor="navy" strokecolor="navy">
                <v:path arrowok="t"/>
              </v:shape>
              <v:shape id="_x0000_s4430" style="position:absolute;left:1196;top:2286;width:91;height:66" coordsize="91,66" path="m46,l91,33,46,66,,33,46,xe" fillcolor="navy" strokecolor="navy">
                <v:path arrowok="t"/>
              </v:shape>
              <v:shape id="_x0000_s4431" style="position:absolute;left:1196;top:2286;width:91;height:66" coordsize="91,66" path="m46,l91,33,46,66,,33,46,xe" fillcolor="navy" strokecolor="navy">
                <v:path arrowok="t"/>
              </v:shape>
              <v:shape id="_x0000_s4432" style="position:absolute;left:1196;top:2286;width:91;height:66" coordsize="91,66" path="m46,l91,33,46,66,,33,46,xe" fillcolor="navy" strokecolor="navy">
                <v:path arrowok="t"/>
              </v:shape>
              <v:shape id="_x0000_s4433" style="position:absolute;left:1196;top:2286;width:91;height:66" coordsize="91,66" path="m46,l91,33,46,66,,33,46,xe" fillcolor="navy" strokecolor="navy">
                <v:path arrowok="t"/>
              </v:shape>
              <v:shape id="_x0000_s4434" style="position:absolute;left:1196;top:2286;width:91;height:66" coordsize="91,66" path="m46,l91,33,46,66,,33,46,xe" fillcolor="navy" strokecolor="navy">
                <v:path arrowok="t"/>
              </v:shape>
              <v:shape id="_x0000_s4435" style="position:absolute;left:1196;top:2286;width:91;height:66" coordsize="91,66" path="m46,l91,33,46,66,,33,46,xe" fillcolor="navy" strokecolor="navy">
                <v:path arrowok="t"/>
              </v:shape>
              <v:shape id="_x0000_s4436" style="position:absolute;left:1196;top:2286;width:91;height:66" coordsize="91,66" path="m46,l91,33,46,66,,33,46,xe" fillcolor="navy" strokecolor="navy">
                <v:path arrowok="t"/>
              </v:shape>
              <v:shape id="_x0000_s4437" style="position:absolute;left:1196;top:2286;width:91;height:66" coordsize="91,66" path="m46,l91,33,46,66,,33,46,xe" fillcolor="navy" strokecolor="navy">
                <v:path arrowok="t"/>
              </v:shape>
              <v:shape id="_x0000_s4438" style="position:absolute;left:1196;top:2286;width:91;height:66" coordsize="91,66" path="m46,l91,33,46,66,,33,46,xe" fillcolor="navy" strokecolor="navy">
                <v:path arrowok="t"/>
              </v:shape>
              <v:shape id="_x0000_s4439" style="position:absolute;left:1196;top:2286;width:91;height:66" coordsize="91,66" path="m46,l91,33,46,66,,33,46,xe" fillcolor="navy" strokecolor="navy">
                <v:path arrowok="t"/>
              </v:shape>
              <v:shape id="_x0000_s4440" style="position:absolute;left:1196;top:2286;width:91;height:66" coordsize="91,66" path="m46,l91,33,46,66,,33,46,xe" fillcolor="navy" strokecolor="navy">
                <v:path arrowok="t"/>
              </v:shape>
              <v:shape id="_x0000_s4441" style="position:absolute;left:1196;top:2286;width:91;height:66" coordsize="91,66" path="m46,l91,33,46,66,,33,46,xe" fillcolor="navy" strokecolor="navy">
                <v:path arrowok="t"/>
              </v:shape>
              <v:shape id="_x0000_s4442" style="position:absolute;left:1196;top:2286;width:91;height:66" coordsize="91,66" path="m46,l91,33,46,66,,33,46,xe" fillcolor="navy" strokecolor="navy">
                <v:path arrowok="t"/>
              </v:shape>
              <v:shape id="_x0000_s4443" style="position:absolute;left:1196;top:2286;width:91;height:66" coordsize="91,66" path="m46,l91,33,46,66,,33,46,xe" fillcolor="navy" strokecolor="navy">
                <v:path arrowok="t"/>
              </v:shape>
              <v:shape id="_x0000_s4444" style="position:absolute;left:1196;top:2286;width:91;height:66" coordsize="91,66" path="m46,l91,33,46,66,,33,46,xe" fillcolor="navy" strokecolor="navy">
                <v:path arrowok="t"/>
              </v:shape>
              <v:shape id="_x0000_s4445" style="position:absolute;left:1196;top:2286;width:91;height:66" coordsize="91,66" path="m46,l91,33,46,66,,33,46,xe" fillcolor="navy" strokecolor="navy">
                <v:path arrowok="t"/>
              </v:shape>
              <v:shape id="_x0000_s4446" style="position:absolute;left:1196;top:2286;width:91;height:66" coordsize="91,66" path="m46,l91,33,46,66,,33,46,xe" fillcolor="navy" strokecolor="navy">
                <v:path arrowok="t"/>
              </v:shape>
              <v:shape id="_x0000_s4447" style="position:absolute;left:1196;top:2286;width:91;height:66" coordsize="91,66" path="m46,l91,33,46,66,,33,46,xe" fillcolor="navy" strokecolor="navy">
                <v:path arrowok="t"/>
              </v:shape>
              <v:shape id="_x0000_s4448" style="position:absolute;left:1196;top:2286;width:91;height:66" coordsize="91,66" path="m46,l91,33,46,66,,33,46,xe" fillcolor="navy" strokecolor="navy">
                <v:path arrowok="t"/>
              </v:shape>
              <v:shape id="_x0000_s4449" style="position:absolute;left:1196;top:2286;width:91;height:66" coordsize="91,66" path="m46,l91,33,46,66,,33,46,xe" fillcolor="navy" strokecolor="navy">
                <v:path arrowok="t"/>
              </v:shape>
              <v:shape id="_x0000_s4450" style="position:absolute;left:1196;top:2286;width:91;height:66" coordsize="91,66" path="m46,l91,33,46,66,,33,46,xe" fillcolor="navy" strokecolor="navy">
                <v:path arrowok="t"/>
              </v:shape>
              <v:shape id="_x0000_s4451" style="position:absolute;left:1196;top:2286;width:91;height:66" coordsize="91,66" path="m46,l91,33,46,66,,33,46,xe" fillcolor="navy" strokecolor="navy">
                <v:path arrowok="t"/>
              </v:shape>
              <v:shape id="_x0000_s4452" style="position:absolute;left:1196;top:2286;width:91;height:66" coordsize="91,66" path="m46,l91,33,46,66,,33,46,xe" fillcolor="navy" strokecolor="navy">
                <v:path arrowok="t"/>
              </v:shape>
              <v:shape id="_x0000_s4453" style="position:absolute;left:1196;top:2286;width:91;height:66" coordsize="91,66" path="m46,l91,33,46,66,,33,46,xe" fillcolor="navy" strokecolor="navy">
                <v:path arrowok="t"/>
              </v:shape>
              <v:shape id="_x0000_s4454" style="position:absolute;left:1196;top:2286;width:91;height:66" coordsize="91,66" path="m46,l91,33,46,66,,33,46,xe" fillcolor="navy" strokecolor="navy">
                <v:path arrowok="t"/>
              </v:shape>
              <v:shape id="_x0000_s4455" style="position:absolute;left:1196;top:2286;width:91;height:66" coordsize="91,66" path="m46,l91,33,46,66,,33,46,xe" fillcolor="navy" strokecolor="navy">
                <v:path arrowok="t"/>
              </v:shape>
              <v:shape id="_x0000_s4456" style="position:absolute;left:1196;top:2286;width:91;height:66" coordsize="91,66" path="m46,l91,33,46,66,,33,46,xe" fillcolor="navy" strokecolor="navy">
                <v:path arrowok="t"/>
              </v:shape>
              <v:shape id="_x0000_s4457" style="position:absolute;left:1196;top:2275;width:91;height:66" coordsize="91,66" path="m46,l91,33,46,66,,33,46,xe" fillcolor="navy" strokecolor="navy">
                <v:path arrowok="t"/>
              </v:shape>
              <v:shape id="_x0000_s4458" style="position:absolute;left:1196;top:2275;width:91;height:66" coordsize="91,66" path="m46,l91,33,46,66,,33,46,xe" fillcolor="navy" strokecolor="navy">
                <v:path arrowok="t"/>
              </v:shape>
              <v:shape id="_x0000_s4459" style="position:absolute;left:1196;top:2275;width:91;height:66" coordsize="91,66" path="m46,l91,33,46,66,,33,46,xe" fillcolor="navy" strokecolor="navy">
                <v:path arrowok="t"/>
              </v:shape>
              <v:shape id="_x0000_s4460" style="position:absolute;left:1196;top:2275;width:91;height:66" coordsize="91,66" path="m46,l91,33,46,66,,33,46,xe" fillcolor="navy" strokecolor="navy">
                <v:path arrowok="t"/>
              </v:shape>
              <v:shape id="_x0000_s4461" style="position:absolute;left:1196;top:2275;width:91;height:66" coordsize="91,66" path="m46,l91,33,46,66,,33,46,xe" fillcolor="navy" strokecolor="navy">
                <v:path arrowok="t"/>
              </v:shape>
              <v:shape id="_x0000_s4462" style="position:absolute;left:1196;top:2275;width:91;height:66" coordsize="91,66" path="m46,l91,33,46,66,,33,46,xe" fillcolor="navy" strokecolor="navy">
                <v:path arrowok="t"/>
              </v:shape>
              <v:shape id="_x0000_s4463" style="position:absolute;left:1196;top:2275;width:91;height:66" coordsize="91,66" path="m46,l91,33,46,66,,33,46,xe" fillcolor="navy" strokecolor="navy">
                <v:path arrowok="t"/>
              </v:shape>
              <v:shape id="_x0000_s4464" style="position:absolute;left:1196;top:2275;width:91;height:66" coordsize="91,66" path="m46,l91,33,46,66,,33,46,xe" fillcolor="navy" strokecolor="navy">
                <v:path arrowok="t"/>
              </v:shape>
              <v:shape id="_x0000_s4465" style="position:absolute;left:1196;top:2275;width:91;height:66" coordsize="91,66" path="m46,l91,33,46,66,,33,46,xe" fillcolor="navy" strokecolor="navy">
                <v:path arrowok="t"/>
              </v:shape>
              <v:shape id="_x0000_s4466" style="position:absolute;left:1196;top:2275;width:91;height:66" coordsize="91,66" path="m46,l91,33,46,66,,33,46,xe" fillcolor="navy" strokecolor="navy">
                <v:path arrowok="t"/>
              </v:shape>
              <v:shape id="_x0000_s4467" style="position:absolute;left:1196;top:2275;width:91;height:66" coordsize="91,66" path="m46,l91,33,46,66,,33,46,xe" fillcolor="navy" strokecolor="navy">
                <v:path arrowok="t"/>
              </v:shape>
              <v:shape id="_x0000_s4468" style="position:absolute;left:1196;top:2275;width:91;height:66" coordsize="91,66" path="m46,l91,33,46,66,,33,46,xe" fillcolor="navy" strokecolor="navy">
                <v:path arrowok="t"/>
              </v:shape>
              <v:shape id="_x0000_s4469" style="position:absolute;left:1196;top:2275;width:91;height:66" coordsize="91,66" path="m46,l91,33,46,66,,33,46,xe" fillcolor="navy" strokecolor="navy">
                <v:path arrowok="t"/>
              </v:shape>
              <v:shape id="_x0000_s4470" style="position:absolute;left:1196;top:2275;width:91;height:66" coordsize="91,66" path="m46,l91,33,46,66,,33,46,xe" fillcolor="navy" strokecolor="navy">
                <v:path arrowok="t"/>
              </v:shape>
              <v:shape id="_x0000_s4471" style="position:absolute;left:1196;top:2275;width:91;height:66" coordsize="91,66" path="m46,l91,33,46,66,,33,46,xe" fillcolor="navy" strokecolor="navy">
                <v:path arrowok="t"/>
              </v:shape>
              <v:shape id="_x0000_s4472" style="position:absolute;left:1196;top:2275;width:91;height:66" coordsize="91,66" path="m46,l91,33,46,66,,33,46,xe" fillcolor="navy" strokecolor="navy">
                <v:path arrowok="t"/>
              </v:shape>
              <v:shape id="_x0000_s4473" style="position:absolute;left:1196;top:2275;width:91;height:66" coordsize="91,66" path="m46,l91,33,46,66,,33,46,xe" fillcolor="navy" strokecolor="navy">
                <v:path arrowok="t"/>
              </v:shape>
              <v:shape id="_x0000_s4474" style="position:absolute;left:1196;top:2275;width:91;height:66" coordsize="91,66" path="m46,l91,33,46,66,,33,46,xe" fillcolor="navy" strokecolor="navy">
                <v:path arrowok="t"/>
              </v:shape>
              <v:shape id="_x0000_s4475" style="position:absolute;left:1196;top:2275;width:91;height:66" coordsize="91,66" path="m46,l91,33,46,66,,33,46,xe" fillcolor="navy" strokecolor="navy">
                <v:path arrowok="t"/>
              </v:shape>
              <v:shape id="_x0000_s4476" style="position:absolute;left:1196;top:2275;width:91;height:66" coordsize="91,66" path="m46,l91,33,46,66,,33,46,xe" fillcolor="navy" strokecolor="navy">
                <v:path arrowok="t"/>
              </v:shape>
              <v:shape id="_x0000_s4477" style="position:absolute;left:1196;top:2275;width:91;height:66" coordsize="91,66" path="m46,l91,33,46,66,,33,46,xe" fillcolor="navy" strokecolor="navy">
                <v:path arrowok="t"/>
              </v:shape>
              <v:shape id="_x0000_s4478" style="position:absolute;left:1196;top:2275;width:91;height:66" coordsize="91,66" path="m46,l91,33,46,66,,33,46,xe" fillcolor="navy" strokecolor="navy">
                <v:path arrowok="t"/>
              </v:shape>
              <v:shape id="_x0000_s4479" style="position:absolute;left:1196;top:2275;width:91;height:66" coordsize="91,66" path="m46,l91,33,46,66,,33,46,xe" fillcolor="navy" strokecolor="navy">
                <v:path arrowok="t"/>
              </v:shape>
              <v:shape id="_x0000_s4480" style="position:absolute;left:1196;top:2275;width:91;height:66" coordsize="91,66" path="m46,l91,33,46,66,,33,46,xe" fillcolor="navy" strokecolor="navy">
                <v:path arrowok="t"/>
              </v:shape>
              <v:shape id="_x0000_s4481" style="position:absolute;left:1196;top:2275;width:91;height:66" coordsize="91,66" path="m46,l91,33,46,66,,33,46,xe" fillcolor="navy" strokecolor="navy">
                <v:path arrowok="t"/>
              </v:shape>
              <v:shape id="_x0000_s4482" style="position:absolute;left:1196;top:2275;width:91;height:66" coordsize="91,66" path="m46,l91,33,46,66,,33,46,xe" fillcolor="navy" strokecolor="navy">
                <v:path arrowok="t"/>
              </v:shape>
              <v:shape id="_x0000_s4483" style="position:absolute;left:1196;top:2275;width:91;height:66" coordsize="91,66" path="m46,l91,33,46,66,,33,46,xe" fillcolor="navy" strokecolor="navy">
                <v:path arrowok="t"/>
              </v:shape>
              <v:shape id="_x0000_s4484" style="position:absolute;left:1196;top:2275;width:91;height:66" coordsize="91,66" path="m46,l91,33,46,66,,33,46,xe" fillcolor="navy" strokecolor="navy">
                <v:path arrowok="t"/>
              </v:shape>
              <v:shape id="_x0000_s4485" style="position:absolute;left:1196;top:2275;width:91;height:66" coordsize="91,66" path="m46,l91,33,46,66,,33,46,xe" fillcolor="navy" strokecolor="navy">
                <v:path arrowok="t"/>
              </v:shape>
              <v:shape id="_x0000_s4486" style="position:absolute;left:1196;top:2275;width:91;height:66" coordsize="91,66" path="m46,l91,33,46,66,,33,46,xe" fillcolor="navy" strokecolor="navy">
                <v:path arrowok="t"/>
              </v:shape>
              <v:shape id="_x0000_s4487" style="position:absolute;left:1196;top:2275;width:91;height:66" coordsize="91,66" path="m46,l91,33,46,66,,33,46,xe" fillcolor="navy" strokecolor="navy">
                <v:path arrowok="t"/>
              </v:shape>
              <v:shape id="_x0000_s4488" style="position:absolute;left:1196;top:2275;width:91;height:66" coordsize="91,66" path="m46,l91,33,46,66,,33,46,xe" fillcolor="navy" strokecolor="navy">
                <v:path arrowok="t"/>
              </v:shape>
              <v:shape id="_x0000_s4489" style="position:absolute;left:1196;top:2275;width:91;height:66" coordsize="91,66" path="m46,l91,33,46,66,,33,46,xe" fillcolor="navy" strokecolor="navy">
                <v:path arrowok="t"/>
              </v:shape>
              <v:shape id="_x0000_s4490" style="position:absolute;left:1196;top:2275;width:91;height:66" coordsize="91,66" path="m46,l91,33,46,66,,33,46,xe" fillcolor="navy" strokecolor="navy">
                <v:path arrowok="t"/>
              </v:shape>
              <v:shape id="_x0000_s4491" style="position:absolute;left:1196;top:2275;width:91;height:66" coordsize="91,66" path="m46,l91,33,46,66,,33,46,xe" fillcolor="navy" strokecolor="navy">
                <v:path arrowok="t"/>
              </v:shape>
              <v:shape id="_x0000_s4492" style="position:absolute;left:1196;top:2264;width:91;height:66" coordsize="91,66" path="m46,l91,33,46,66,,33,46,xe" fillcolor="navy" strokecolor="navy">
                <v:path arrowok="t"/>
              </v:shape>
              <v:shape id="_x0000_s4493" style="position:absolute;left:1196;top:2264;width:91;height:66" coordsize="91,66" path="m46,l91,33,46,66,,33,46,xe" fillcolor="navy" strokecolor="navy">
                <v:path arrowok="t"/>
              </v:shape>
              <v:shape id="_x0000_s4494" style="position:absolute;left:1196;top:2264;width:91;height:66" coordsize="91,66" path="m46,l91,33,46,66,,33,46,xe" fillcolor="navy" strokecolor="navy">
                <v:path arrowok="t"/>
              </v:shape>
              <v:shape id="_x0000_s4495" style="position:absolute;left:1196;top:2264;width:91;height:66" coordsize="91,66" path="m46,l91,33,46,66,,33,46,xe" fillcolor="navy" strokecolor="navy">
                <v:path arrowok="t"/>
              </v:shape>
              <v:shape id="_x0000_s4496" style="position:absolute;left:1196;top:2264;width:91;height:66" coordsize="91,66" path="m46,l91,33,46,66,,33,46,xe" fillcolor="navy" strokecolor="navy">
                <v:path arrowok="t"/>
              </v:shape>
              <v:shape id="_x0000_s4497" style="position:absolute;left:1196;top:2264;width:91;height:66" coordsize="91,66" path="m46,l91,33,46,66,,33,46,xe" fillcolor="navy" strokecolor="navy">
                <v:path arrowok="t"/>
              </v:shape>
              <v:shape id="_x0000_s4498" style="position:absolute;left:1196;top:2264;width:91;height:66" coordsize="91,66" path="m46,l91,33,46,66,,33,46,xe" fillcolor="navy" strokecolor="navy">
                <v:path arrowok="t"/>
              </v:shape>
              <v:shape id="_x0000_s4499" style="position:absolute;left:1196;top:2264;width:91;height:66" coordsize="91,66" path="m46,l91,33,46,66,,33,46,xe" fillcolor="navy" strokecolor="navy">
                <v:path arrowok="t"/>
              </v:shape>
              <v:shape id="_x0000_s4500" style="position:absolute;left:1196;top:2264;width:91;height:66" coordsize="91,66" path="m46,l91,33,46,66,,33,46,xe" fillcolor="navy" strokecolor="navy">
                <v:path arrowok="t"/>
              </v:shape>
              <v:shape id="_x0000_s4501" style="position:absolute;left:1196;top:2264;width:91;height:66" coordsize="91,66" path="m46,l91,33,46,66,,33,46,xe" fillcolor="navy" strokecolor="navy">
                <v:path arrowok="t"/>
              </v:shape>
              <v:shape id="_x0000_s4502" style="position:absolute;left:1196;top:2264;width:91;height:66" coordsize="91,66" path="m46,l91,33,46,66,,33,46,xe" fillcolor="navy" strokecolor="navy">
                <v:path arrowok="t"/>
              </v:shape>
              <v:shape id="_x0000_s4503" style="position:absolute;left:1196;top:2264;width:91;height:66" coordsize="91,66" path="m46,l91,33,46,66,,33,46,xe" fillcolor="navy" strokecolor="navy">
                <v:path arrowok="t"/>
              </v:shape>
              <v:shape id="_x0000_s4504" style="position:absolute;left:1196;top:2264;width:91;height:66" coordsize="91,66" path="m46,l91,33,46,66,,33,46,xe" fillcolor="navy" strokecolor="navy">
                <v:path arrowok="t"/>
              </v:shape>
              <v:shape id="_x0000_s4505" style="position:absolute;left:1196;top:2264;width:91;height:66" coordsize="91,66" path="m46,l91,33,46,66,,33,46,xe" fillcolor="navy" strokecolor="navy">
                <v:path arrowok="t"/>
              </v:shape>
              <v:shape id="_x0000_s4506" style="position:absolute;left:1196;top:2264;width:91;height:66" coordsize="91,66" path="m46,l91,33,46,66,,33,46,xe" fillcolor="navy" strokecolor="navy">
                <v:path arrowok="t"/>
              </v:shape>
              <v:shape id="_x0000_s4507" style="position:absolute;left:1196;top:2264;width:91;height:66" coordsize="91,66" path="m46,l91,33,46,66,,33,46,xe" fillcolor="navy" strokecolor="navy">
                <v:path arrowok="t"/>
              </v:shape>
              <v:shape id="_x0000_s4508" style="position:absolute;left:1196;top:2264;width:91;height:66" coordsize="91,66" path="m46,l91,33,46,66,,33,46,xe" fillcolor="navy" strokecolor="navy">
                <v:path arrowok="t"/>
              </v:shape>
              <v:shape id="_x0000_s4509" style="position:absolute;left:1196;top:2264;width:91;height:66" coordsize="91,66" path="m46,l91,33,46,66,,33,46,xe" fillcolor="navy" strokecolor="navy">
                <v:path arrowok="t"/>
              </v:shape>
              <v:shape id="_x0000_s4510" style="position:absolute;left:1196;top:2264;width:91;height:66" coordsize="91,66" path="m46,l91,33,46,66,,33,46,xe" fillcolor="navy" strokecolor="navy">
                <v:path arrowok="t"/>
              </v:shape>
              <v:shape id="_x0000_s4511" style="position:absolute;left:1196;top:2264;width:91;height:66" coordsize="91,66" path="m46,l91,33,46,66,,33,46,xe" fillcolor="navy" strokecolor="navy">
                <v:path arrowok="t"/>
              </v:shape>
              <v:shape id="_x0000_s4512" style="position:absolute;left:1196;top:2264;width:91;height:66" coordsize="91,66" path="m46,l91,33,46,66,,33,46,xe" fillcolor="navy" strokecolor="navy">
                <v:path arrowok="t"/>
              </v:shape>
              <v:shape id="_x0000_s4513" style="position:absolute;left:1196;top:2264;width:91;height:66" coordsize="91,66" path="m46,l91,33,46,66,,33,46,xe" fillcolor="navy" strokecolor="navy">
                <v:path arrowok="t"/>
              </v:shape>
              <v:shape id="_x0000_s4514" style="position:absolute;left:1196;top:2264;width:91;height:66" coordsize="91,66" path="m46,l91,33,46,66,,33,46,xe" fillcolor="navy" strokecolor="navy">
                <v:path arrowok="t"/>
              </v:shape>
              <v:shape id="_x0000_s4515" style="position:absolute;left:1196;top:2264;width:91;height:66" coordsize="91,66" path="m46,l91,33,46,66,,33,46,xe" fillcolor="navy" strokecolor="navy">
                <v:path arrowok="t"/>
              </v:shape>
              <v:shape id="_x0000_s4516" style="position:absolute;left:1196;top:2253;width:91;height:66" coordsize="91,66" path="m46,l91,33,46,66,,33,46,xe" fillcolor="navy" strokecolor="navy">
                <v:path arrowok="t"/>
              </v:shape>
              <v:shape id="_x0000_s4517" style="position:absolute;left:1196;top:2253;width:91;height:66" coordsize="91,66" path="m46,l91,33,46,66,,33,46,xe" fillcolor="navy" strokecolor="navy">
                <v:path arrowok="t"/>
              </v:shape>
              <v:shape id="_x0000_s4518" style="position:absolute;left:1196;top:2253;width:91;height:66" coordsize="91,66" path="m46,l91,33,46,66,,33,46,xe" fillcolor="navy" strokecolor="navy">
                <v:path arrowok="t"/>
              </v:shape>
              <v:shape id="_x0000_s4519" style="position:absolute;left:1196;top:2253;width:91;height:66" coordsize="91,66" path="m46,l91,33,46,66,,33,46,xe" fillcolor="navy" strokecolor="navy">
                <v:path arrowok="t"/>
              </v:shape>
              <v:shape id="_x0000_s4520" style="position:absolute;left:1196;top:2253;width:91;height:66" coordsize="91,66" path="m46,l91,33,46,66,,33,46,xe" fillcolor="navy" strokecolor="navy">
                <v:path arrowok="t"/>
              </v:shape>
              <v:shape id="_x0000_s4521" style="position:absolute;left:1196;top:2253;width:91;height:66" coordsize="91,66" path="m46,l91,33,46,66,,33,46,xe" fillcolor="navy" strokecolor="navy">
                <v:path arrowok="t"/>
              </v:shape>
              <v:shape id="_x0000_s4522" style="position:absolute;left:1196;top:2253;width:91;height:66" coordsize="91,66" path="m46,l91,33,46,66,,33,46,xe" fillcolor="navy" strokecolor="navy">
                <v:path arrowok="t"/>
              </v:shape>
              <v:shape id="_x0000_s4523" style="position:absolute;left:1196;top:2253;width:91;height:66" coordsize="91,66" path="m46,l91,33,46,66,,33,46,xe" fillcolor="navy" strokecolor="navy">
                <v:path arrowok="t"/>
              </v:shape>
              <v:shape id="_x0000_s4524" style="position:absolute;left:1196;top:2253;width:91;height:66" coordsize="91,66" path="m46,l91,33,46,66,,33,46,xe" fillcolor="navy" strokecolor="navy">
                <v:path arrowok="t"/>
              </v:shape>
              <v:shape id="_x0000_s4525" style="position:absolute;left:1196;top:2253;width:91;height:66" coordsize="91,66" path="m46,l91,33,46,66,,33,46,xe" fillcolor="navy" strokecolor="navy">
                <v:path arrowok="t"/>
              </v:shape>
              <v:shape id="_x0000_s4526" style="position:absolute;left:1196;top:2253;width:91;height:66" coordsize="91,66" path="m46,l91,33,46,66,,33,46,xe" fillcolor="navy" strokecolor="navy">
                <v:path arrowok="t"/>
              </v:shape>
              <v:shape id="_x0000_s4527" style="position:absolute;left:1196;top:2253;width:91;height:66" coordsize="91,66" path="m46,l91,33,46,66,,33,46,xe" fillcolor="navy" strokecolor="navy">
                <v:path arrowok="t"/>
              </v:shape>
              <v:shape id="_x0000_s4528" style="position:absolute;left:1196;top:2253;width:91;height:66" coordsize="91,66" path="m46,l91,33,46,66,,33,46,xe" fillcolor="navy" strokecolor="navy">
                <v:path arrowok="t"/>
              </v:shape>
              <v:shape id="_x0000_s4529" style="position:absolute;left:1196;top:2253;width:91;height:66" coordsize="91,66" path="m46,l91,33,46,66,,33,46,xe" fillcolor="navy" strokecolor="navy">
                <v:path arrowok="t"/>
              </v:shape>
              <v:shape id="_x0000_s4530" style="position:absolute;left:1196;top:2253;width:91;height:66" coordsize="91,66" path="m46,l91,33,46,66,,33,46,xe" fillcolor="navy" strokecolor="navy">
                <v:path arrowok="t"/>
              </v:shape>
              <v:shape id="_x0000_s4531" style="position:absolute;left:1196;top:2253;width:91;height:66" coordsize="91,66" path="m46,l91,33,46,66,,33,46,xe" fillcolor="navy" strokecolor="navy">
                <v:path arrowok="t"/>
              </v:shape>
              <v:shape id="_x0000_s4532" style="position:absolute;left:1196;top:2253;width:91;height:66" coordsize="91,66" path="m46,l91,33,46,66,,33,46,xe" fillcolor="navy" strokecolor="navy">
                <v:path arrowok="t"/>
              </v:shape>
              <v:shape id="_x0000_s4533" style="position:absolute;left:1196;top:2253;width:91;height:66" coordsize="91,66" path="m46,l91,33,46,66,,33,46,xe" fillcolor="navy" strokecolor="navy">
                <v:path arrowok="t"/>
              </v:shape>
              <v:shape id="_x0000_s4534" style="position:absolute;left:1196;top:2253;width:91;height:66" coordsize="91,66" path="m46,l91,33,46,66,,33,46,xe" fillcolor="navy" strokecolor="navy">
                <v:path arrowok="t"/>
              </v:shape>
              <v:shape id="_x0000_s4535" style="position:absolute;left:1196;top:2253;width:91;height:66" coordsize="91,66" path="m46,l91,33,46,66,,33,46,xe" fillcolor="navy" strokecolor="navy">
                <v:path arrowok="t"/>
              </v:shape>
              <v:shape id="_x0000_s4536" style="position:absolute;left:1196;top:2253;width:91;height:66" coordsize="91,66" path="m46,l91,33,46,66,,33,46,xe" fillcolor="navy" strokecolor="navy">
                <v:path arrowok="t"/>
              </v:shape>
              <v:shape id="_x0000_s4537" style="position:absolute;left:1196;top:2253;width:91;height:66" coordsize="91,66" path="m46,l91,33,46,66,,33,46,xe" fillcolor="navy" strokecolor="navy">
                <v:path arrowok="t"/>
              </v:shape>
              <v:shape id="_x0000_s4538" style="position:absolute;left:1196;top:2253;width:91;height:66" coordsize="91,66" path="m46,l91,33,46,66,,33,46,xe" fillcolor="navy" strokecolor="navy">
                <v:path arrowok="t"/>
              </v:shape>
              <v:shape id="_x0000_s4539" style="position:absolute;left:1196;top:2242;width:91;height:66" coordsize="91,66" path="m46,l91,33,46,66,,33,46,xe" fillcolor="navy" strokecolor="navy">
                <v:path arrowok="t"/>
              </v:shape>
              <v:shape id="_x0000_s4540" style="position:absolute;left:1196;top:2242;width:91;height:66" coordsize="91,66" path="m46,l91,33,46,66,,33,46,xe" fillcolor="navy" strokecolor="navy">
                <v:path arrowok="t"/>
              </v:shape>
              <v:shape id="_x0000_s4541" style="position:absolute;left:1196;top:2242;width:91;height:66" coordsize="91,66" path="m46,l91,33,46,66,,33,46,xe" fillcolor="navy" strokecolor="navy">
                <v:path arrowok="t"/>
              </v:shape>
              <v:shape id="_x0000_s4542" style="position:absolute;left:1196;top:2242;width:91;height:66" coordsize="91,66" path="m46,l91,33,46,66,,33,46,xe" fillcolor="navy" strokecolor="navy">
                <v:path arrowok="t"/>
              </v:shape>
              <v:shape id="_x0000_s4543" style="position:absolute;left:1196;top:2242;width:91;height:66" coordsize="91,66" path="m46,l91,33,46,66,,33,46,xe" fillcolor="navy" strokecolor="navy">
                <v:path arrowok="t"/>
              </v:shape>
              <v:shape id="_x0000_s4544" style="position:absolute;left:1196;top:2242;width:91;height:66" coordsize="91,66" path="m46,l91,33,46,66,,33,46,xe" fillcolor="navy" strokecolor="navy">
                <v:path arrowok="t"/>
              </v:shape>
              <v:shape id="_x0000_s4545" style="position:absolute;left:1196;top:2242;width:91;height:66" coordsize="91,66" path="m46,l91,33,46,66,,33,46,xe" fillcolor="navy" strokecolor="navy">
                <v:path arrowok="t"/>
              </v:shape>
              <v:shape id="_x0000_s4546" style="position:absolute;left:1196;top:2242;width:91;height:66" coordsize="91,66" path="m46,l91,33,46,66,,33,46,xe" fillcolor="navy" strokecolor="navy">
                <v:path arrowok="t"/>
              </v:shape>
              <v:shape id="_x0000_s4547" style="position:absolute;left:1196;top:2242;width:91;height:66" coordsize="91,66" path="m46,l91,33,46,66,,33,46,xe" fillcolor="navy" strokecolor="navy">
                <v:path arrowok="t"/>
              </v:shape>
              <v:shape id="_x0000_s4548" style="position:absolute;left:1196;top:2242;width:91;height:66" coordsize="91,66" path="m46,l91,33,46,66,,33,46,xe" fillcolor="navy" strokecolor="navy">
                <v:path arrowok="t"/>
              </v:shape>
              <v:shape id="_x0000_s4549" style="position:absolute;left:1196;top:2242;width:91;height:66" coordsize="91,66" path="m46,l91,33,46,66,,33,46,xe" fillcolor="navy" strokecolor="navy">
                <v:path arrowok="t"/>
              </v:shape>
              <v:shape id="_x0000_s4550" style="position:absolute;left:1196;top:2242;width:91;height:66" coordsize="91,66" path="m46,l91,33,46,66,,33,46,xe" fillcolor="navy" strokecolor="navy">
                <v:path arrowok="t"/>
              </v:shape>
              <v:shape id="_x0000_s4551" style="position:absolute;left:1196;top:2242;width:91;height:66" coordsize="91,66" path="m46,l91,33,46,66,,33,46,xe" fillcolor="navy" strokecolor="navy">
                <v:path arrowok="t"/>
              </v:shape>
              <v:shape id="_x0000_s4552" style="position:absolute;left:1196;top:2242;width:91;height:66" coordsize="91,66" path="m46,l91,33,46,66,,33,46,xe" fillcolor="navy" strokecolor="navy">
                <v:path arrowok="t"/>
              </v:shape>
              <v:shape id="_x0000_s4553" style="position:absolute;left:1196;top:2242;width:91;height:66" coordsize="91,66" path="m46,l91,33,46,66,,33,46,xe" fillcolor="navy" strokecolor="navy">
                <v:path arrowok="t"/>
              </v:shape>
              <v:shape id="_x0000_s4554" style="position:absolute;left:1196;top:2242;width:91;height:66" coordsize="91,66" path="m46,l91,33,46,66,,33,46,xe" fillcolor="navy" strokecolor="navy">
                <v:path arrowok="t"/>
              </v:shape>
              <v:shape id="_x0000_s4555" style="position:absolute;left:1196;top:2242;width:91;height:66" coordsize="91,66" path="m46,l91,33,46,66,,33,46,xe" fillcolor="navy" strokecolor="navy">
                <v:path arrowok="t"/>
              </v:shape>
              <v:shape id="_x0000_s4556" style="position:absolute;left:1196;top:2242;width:91;height:66" coordsize="91,66" path="m46,l91,33,46,66,,33,46,xe" fillcolor="navy" strokecolor="navy">
                <v:path arrowok="t"/>
              </v:shape>
              <v:shape id="_x0000_s4557" style="position:absolute;left:1196;top:2242;width:91;height:66" coordsize="91,66" path="m46,l91,33,46,66,,33,46,xe" fillcolor="navy" strokecolor="navy">
                <v:path arrowok="t"/>
              </v:shape>
              <v:shape id="_x0000_s4558" style="position:absolute;left:1196;top:2242;width:91;height:66" coordsize="91,66" path="m46,l91,33,46,66,,33,46,xe" fillcolor="navy" strokecolor="navy">
                <v:path arrowok="t"/>
              </v:shape>
              <v:shape id="_x0000_s4559" style="position:absolute;left:1196;top:2242;width:91;height:66" coordsize="91,66" path="m46,l91,33,46,66,,33,46,xe" fillcolor="navy" strokecolor="navy">
                <v:path arrowok="t"/>
              </v:shape>
              <v:shape id="_x0000_s4560" style="position:absolute;left:1196;top:2242;width:91;height:66" coordsize="91,66" path="m46,l91,33,46,66,,33,46,xe" fillcolor="navy" strokecolor="navy">
                <v:path arrowok="t"/>
              </v:shape>
              <v:shape id="_x0000_s4561" style="position:absolute;left:1196;top:2231;width:91;height:66" coordsize="91,66" path="m46,l91,33,46,66,,33,46,xe" fillcolor="navy" strokecolor="navy">
                <v:path arrowok="t"/>
              </v:shape>
              <v:shape id="_x0000_s4562" style="position:absolute;left:1196;top:2231;width:91;height:66" coordsize="91,66" path="m46,l91,33,46,66,,33,46,xe" fillcolor="navy" strokecolor="navy">
                <v:path arrowok="t"/>
              </v:shape>
              <v:shape id="_x0000_s4563" style="position:absolute;left:1196;top:2231;width:91;height:66" coordsize="91,66" path="m46,l91,33,46,66,,33,46,xe" fillcolor="navy" strokecolor="navy">
                <v:path arrowok="t"/>
              </v:shape>
              <v:shape id="_x0000_s4564" style="position:absolute;left:1196;top:2231;width:91;height:66" coordsize="91,66" path="m46,l91,33,46,66,,33,46,xe" fillcolor="navy" strokecolor="navy">
                <v:path arrowok="t"/>
              </v:shape>
              <v:shape id="_x0000_s4565" style="position:absolute;left:1196;top:2231;width:91;height:66" coordsize="91,66" path="m46,l91,33,46,66,,33,46,xe" fillcolor="navy" strokecolor="navy">
                <v:path arrowok="t"/>
              </v:shape>
              <v:shape id="_x0000_s4566" style="position:absolute;left:1196;top:2231;width:91;height:66" coordsize="91,66" path="m46,l91,33,46,66,,33,46,xe" fillcolor="navy" strokecolor="navy">
                <v:path arrowok="t"/>
              </v:shape>
              <v:shape id="_x0000_s4567" style="position:absolute;left:1196;top:2231;width:91;height:66" coordsize="91,66" path="m46,l91,33,46,66,,33,46,xe" fillcolor="navy" strokecolor="navy">
                <v:path arrowok="t"/>
              </v:shape>
              <v:shape id="_x0000_s4568" style="position:absolute;left:1196;top:2231;width:91;height:66" coordsize="91,66" path="m46,l91,33,46,66,,33,46,xe" fillcolor="navy" strokecolor="navy">
                <v:path arrowok="t"/>
              </v:shape>
            </v:group>
            <v:group id="_x0000_s4770" style="position:absolute;left:1196;top:1789;width:303;height:641" coordorigin="1196,1789" coordsize="303,641">
              <v:shape id="_x0000_s4570" style="position:absolute;left:1196;top:2231;width:91;height:66" coordsize="91,66" path="m46,l91,33,46,66,,33,46,xe" fillcolor="navy" strokecolor="navy">
                <v:path arrowok="t"/>
              </v:shape>
              <v:shape id="_x0000_s4571" style="position:absolute;left:1196;top:2231;width:91;height:66" coordsize="91,66" path="m46,l91,33,46,66,,33,46,xe" fillcolor="navy" strokecolor="navy">
                <v:path arrowok="t"/>
              </v:shape>
              <v:shape id="_x0000_s4572" style="position:absolute;left:1196;top:2231;width:91;height:66" coordsize="91,66" path="m46,l91,33,46,66,,33,46,xe" fillcolor="navy" strokecolor="navy">
                <v:path arrowok="t"/>
              </v:shape>
              <v:shape id="_x0000_s4573" style="position:absolute;left:1196;top:2231;width:91;height:66" coordsize="91,66" path="m46,l91,33,46,66,,33,46,xe" fillcolor="navy" strokecolor="navy">
                <v:path arrowok="t"/>
              </v:shape>
              <v:shape id="_x0000_s4574" style="position:absolute;left:1196;top:2231;width:91;height:66" coordsize="91,66" path="m46,l91,33,46,66,,33,46,xe" fillcolor="navy" strokecolor="navy">
                <v:path arrowok="t"/>
              </v:shape>
              <v:shape id="_x0000_s4575" style="position:absolute;left:1196;top:2231;width:91;height:66" coordsize="91,66" path="m46,l91,33,46,66,,33,46,xe" fillcolor="navy" strokecolor="navy">
                <v:path arrowok="t"/>
              </v:shape>
              <v:shape id="_x0000_s4576" style="position:absolute;left:1196;top:2231;width:91;height:66" coordsize="91,66" path="m46,l91,33,46,66,,33,46,xe" fillcolor="navy" strokecolor="navy">
                <v:path arrowok="t"/>
              </v:shape>
              <v:shape id="_x0000_s4577" style="position:absolute;left:1196;top:2231;width:91;height:66" coordsize="91,66" path="m46,l91,33,46,66,,33,46,xe" fillcolor="navy" strokecolor="navy">
                <v:path arrowok="t"/>
              </v:shape>
              <v:shape id="_x0000_s4578" style="position:absolute;left:1196;top:2231;width:91;height:66" coordsize="91,66" path="m46,l91,33,46,66,,33,46,xe" fillcolor="navy" strokecolor="navy">
                <v:path arrowok="t"/>
              </v:shape>
              <v:shape id="_x0000_s4579" style="position:absolute;left:1196;top:2231;width:91;height:66" coordsize="91,66" path="m46,l91,33,46,66,,33,46,xe" fillcolor="navy" strokecolor="navy">
                <v:path arrowok="t"/>
              </v:shape>
              <v:shape id="_x0000_s4580" style="position:absolute;left:1196;top:2231;width:91;height:66" coordsize="91,66" path="m46,l91,33,46,66,,33,46,xe" fillcolor="navy" strokecolor="navy">
                <v:path arrowok="t"/>
              </v:shape>
              <v:shape id="_x0000_s4581" style="position:absolute;left:1196;top:2220;width:91;height:66" coordsize="91,66" path="m46,l91,33,46,66,,33,46,xe" fillcolor="navy" strokecolor="navy">
                <v:path arrowok="t"/>
              </v:shape>
              <v:shape id="_x0000_s4582" style="position:absolute;left:1196;top:2220;width:91;height:66" coordsize="91,66" path="m46,l91,33,46,66,,33,46,xe" fillcolor="navy" strokecolor="navy">
                <v:path arrowok="t"/>
              </v:shape>
              <v:shape id="_x0000_s4583" style="position:absolute;left:1196;top:2220;width:91;height:66" coordsize="91,66" path="m46,l91,33,46,66,,33,46,xe" fillcolor="navy" strokecolor="navy">
                <v:path arrowok="t"/>
              </v:shape>
              <v:shape id="_x0000_s4584" style="position:absolute;left:1196;top:2220;width:91;height:66" coordsize="91,66" path="m46,l91,33,46,66,,33,46,xe" fillcolor="navy" strokecolor="navy">
                <v:path arrowok="t"/>
              </v:shape>
              <v:shape id="_x0000_s4585" style="position:absolute;left:1196;top:2220;width:91;height:66" coordsize="91,66" path="m46,l91,33,46,66,,33,46,xe" fillcolor="navy" strokecolor="navy">
                <v:path arrowok="t"/>
              </v:shape>
              <v:shape id="_x0000_s4586" style="position:absolute;left:1196;top:2220;width:91;height:66" coordsize="91,66" path="m46,l91,33,46,66,,33,46,xe" fillcolor="navy" strokecolor="navy">
                <v:path arrowok="t"/>
              </v:shape>
              <v:shape id="_x0000_s4587" style="position:absolute;left:1196;top:2220;width:91;height:66" coordsize="91,66" path="m46,l91,33,46,66,,33,46,xe" fillcolor="navy" strokecolor="navy">
                <v:path arrowok="t"/>
              </v:shape>
              <v:shape id="_x0000_s4588" style="position:absolute;left:1196;top:2220;width:91;height:66" coordsize="91,66" path="m46,l91,33,46,66,,33,46,xe" fillcolor="navy" strokecolor="navy">
                <v:path arrowok="t"/>
              </v:shape>
              <v:shape id="_x0000_s4589" style="position:absolute;left:1196;top:2220;width:91;height:66" coordsize="91,66" path="m46,l91,33,46,66,,33,46,xe" fillcolor="navy" strokecolor="navy">
                <v:path arrowok="t"/>
              </v:shape>
              <v:shape id="_x0000_s4590" style="position:absolute;left:1196;top:2220;width:91;height:66" coordsize="91,66" path="m46,l91,33,46,66,,33,46,xe" fillcolor="navy" strokecolor="navy">
                <v:path arrowok="t"/>
              </v:shape>
              <v:shape id="_x0000_s4591" style="position:absolute;left:1196;top:2220;width:91;height:66" coordsize="91,66" path="m46,l91,33,46,66,,33,46,xe" fillcolor="navy" strokecolor="navy">
                <v:path arrowok="t"/>
              </v:shape>
              <v:shape id="_x0000_s4592" style="position:absolute;left:1196;top:2220;width:91;height:66" coordsize="91,66" path="m46,l91,33,46,66,,33,46,xe" fillcolor="navy" strokecolor="navy">
                <v:path arrowok="t"/>
              </v:shape>
              <v:shape id="_x0000_s4593" style="position:absolute;left:1196;top:2220;width:91;height:66" coordsize="91,66" path="m46,l91,33,46,66,,33,46,xe" fillcolor="navy" strokecolor="navy">
                <v:path arrowok="t"/>
              </v:shape>
              <v:shape id="_x0000_s4594" style="position:absolute;left:1196;top:2220;width:91;height:66" coordsize="91,66" path="m46,l91,33,46,66,,33,46,xe" fillcolor="navy" strokecolor="navy">
                <v:path arrowok="t"/>
              </v:shape>
              <v:shape id="_x0000_s4595" style="position:absolute;left:1196;top:2220;width:91;height:66" coordsize="91,66" path="m46,l91,33,46,66,,33,46,xe" fillcolor="navy" strokecolor="navy">
                <v:path arrowok="t"/>
              </v:shape>
              <v:shape id="_x0000_s4596" style="position:absolute;left:1196;top:2220;width:91;height:66" coordsize="91,66" path="m46,l91,33,46,66,,33,46,xe" fillcolor="navy" strokecolor="navy">
                <v:path arrowok="t"/>
              </v:shape>
              <v:shape id="_x0000_s4597" style="position:absolute;left:1196;top:2220;width:91;height:66" coordsize="91,66" path="m46,l91,33,46,66,,33,46,xe" fillcolor="navy" strokecolor="navy">
                <v:path arrowok="t"/>
              </v:shape>
              <v:shape id="_x0000_s4598" style="position:absolute;left:1196;top:2220;width:91;height:66" coordsize="91,66" path="m46,l91,33,46,66,,33,46,xe" fillcolor="navy" strokecolor="navy">
                <v:path arrowok="t"/>
              </v:shape>
              <v:shape id="_x0000_s4599" style="position:absolute;left:1196;top:2220;width:91;height:66" coordsize="91,66" path="m46,l91,33,46,66,,33,46,xe" fillcolor="navy" strokecolor="navy">
                <v:path arrowok="t"/>
              </v:shape>
              <v:shape id="_x0000_s4600" style="position:absolute;left:1196;top:2209;width:91;height:66" coordsize="91,66" path="m46,l91,33,46,66,,33,46,xe" fillcolor="navy" strokecolor="navy">
                <v:path arrowok="t"/>
              </v:shape>
              <v:shape id="_x0000_s4601" style="position:absolute;left:1196;top:2209;width:91;height:66" coordsize="91,66" path="m46,l91,33,46,66,,33,46,xe" fillcolor="navy" strokecolor="navy">
                <v:path arrowok="t"/>
              </v:shape>
              <v:shape id="_x0000_s4602" style="position:absolute;left:1196;top:2209;width:91;height:66" coordsize="91,66" path="m46,l91,33,46,66,,33,46,xe" fillcolor="navy" strokecolor="navy">
                <v:path arrowok="t"/>
              </v:shape>
              <v:shape id="_x0000_s4603" style="position:absolute;left:1196;top:2209;width:91;height:66" coordsize="91,66" path="m46,l91,33,46,66,,33,46,xe" fillcolor="navy" strokecolor="navy">
                <v:path arrowok="t"/>
              </v:shape>
              <v:shape id="_x0000_s4604" style="position:absolute;left:1196;top:2209;width:91;height:66" coordsize="91,66" path="m46,l91,33,46,66,,33,46,xe" fillcolor="navy" strokecolor="navy">
                <v:path arrowok="t"/>
              </v:shape>
              <v:shape id="_x0000_s4605" style="position:absolute;left:1196;top:2209;width:91;height:66" coordsize="91,66" path="m46,l91,33,46,66,,33,46,xe" fillcolor="navy" strokecolor="navy">
                <v:path arrowok="t"/>
              </v:shape>
              <v:shape id="_x0000_s4606" style="position:absolute;left:1196;top:2209;width:91;height:66" coordsize="91,66" path="m46,l91,33,46,66,,33,46,xe" fillcolor="navy" strokecolor="navy">
                <v:path arrowok="t"/>
              </v:shape>
              <v:shape id="_x0000_s4607" style="position:absolute;left:1196;top:2209;width:91;height:66" coordsize="91,66" path="m46,l91,33,46,66,,33,46,xe" fillcolor="navy" strokecolor="navy">
                <v:path arrowok="t"/>
              </v:shape>
              <v:shape id="_x0000_s4608" style="position:absolute;left:1196;top:2209;width:91;height:66" coordsize="91,66" path="m46,l91,33,46,66,,33,46,xe" fillcolor="navy" strokecolor="navy">
                <v:path arrowok="t"/>
              </v:shape>
              <v:shape id="_x0000_s4609" style="position:absolute;left:1196;top:2209;width:91;height:66" coordsize="91,66" path="m46,l91,33,46,66,,33,46,xe" fillcolor="navy" strokecolor="navy">
                <v:path arrowok="t"/>
              </v:shape>
              <v:shape id="_x0000_s4610" style="position:absolute;left:1196;top:2209;width:91;height:66" coordsize="91,66" path="m46,l91,33,46,66,,33,46,xe" fillcolor="navy" strokecolor="navy">
                <v:path arrowok="t"/>
              </v:shape>
              <v:shape id="_x0000_s4611" style="position:absolute;left:1196;top:2209;width:91;height:66" coordsize="91,66" path="m46,l91,33,46,66,,33,46,xe" fillcolor="navy" strokecolor="navy">
                <v:path arrowok="t"/>
              </v:shape>
              <v:shape id="_x0000_s4612" style="position:absolute;left:1196;top:2209;width:91;height:66" coordsize="91,66" path="m46,l91,33,46,66,,33,46,xe" fillcolor="navy" strokecolor="navy">
                <v:path arrowok="t"/>
              </v:shape>
              <v:shape id="_x0000_s4613" style="position:absolute;left:1196;top:2209;width:91;height:66" coordsize="91,66" path="m46,l91,33,46,66,,33,46,xe" fillcolor="navy" strokecolor="navy">
                <v:path arrowok="t"/>
              </v:shape>
              <v:shape id="_x0000_s4614" style="position:absolute;left:1196;top:2209;width:91;height:66" coordsize="91,66" path="m46,l91,33,46,66,,33,46,xe" fillcolor="navy" strokecolor="navy">
                <v:path arrowok="t"/>
              </v:shape>
              <v:shape id="_x0000_s4615" style="position:absolute;left:1196;top:2209;width:91;height:66" coordsize="91,66" path="m46,l91,33,46,66,,33,46,xe" fillcolor="navy" strokecolor="navy">
                <v:path arrowok="t"/>
              </v:shape>
              <v:shape id="_x0000_s4616" style="position:absolute;left:1196;top:2209;width:91;height:66" coordsize="91,66" path="m46,l91,33,46,66,,33,46,xe" fillcolor="navy" strokecolor="navy">
                <v:path arrowok="t"/>
              </v:shape>
              <v:shape id="_x0000_s4617" style="position:absolute;left:1196;top:2209;width:91;height:66" coordsize="91,66" path="m46,l91,33,46,66,,33,46,xe" fillcolor="navy" strokecolor="navy">
                <v:path arrowok="t"/>
              </v:shape>
              <v:shape id="_x0000_s4618" style="position:absolute;left:1196;top:2209;width:91;height:66" coordsize="91,66" path="m46,l91,33,46,66,,33,46,xe" fillcolor="navy" strokecolor="navy">
                <v:path arrowok="t"/>
              </v:shape>
              <v:shape id="_x0000_s4619" style="position:absolute;left:1196;top:2209;width:91;height:66" coordsize="91,66" path="m46,l91,33,46,66,,33,46,xe" fillcolor="navy" strokecolor="navy">
                <v:path arrowok="t"/>
              </v:shape>
              <v:shape id="_x0000_s4620" style="position:absolute;left:1196;top:2209;width:91;height:66" coordsize="91,66" path="m46,l91,33,46,66,,33,46,xe" fillcolor="navy" strokecolor="navy">
                <v:path arrowok="t"/>
              </v:shape>
              <v:shape id="_x0000_s4621" style="position:absolute;left:1196;top:2209;width:91;height:66" coordsize="91,66" path="m46,l91,33,46,66,,33,46,xe" fillcolor="navy" strokecolor="navy">
                <v:path arrowok="t"/>
              </v:shape>
              <v:shape id="_x0000_s4622" style="position:absolute;left:1196;top:2209;width:91;height:66" coordsize="91,66" path="m46,l91,33,46,66,,33,46,xe" fillcolor="navy" strokecolor="navy">
                <v:path arrowok="t"/>
              </v:shape>
              <v:shape id="_x0000_s4623" style="position:absolute;left:1196;top:2209;width:91;height:66" coordsize="91,66" path="m46,l91,33,46,66,,33,46,xe" fillcolor="navy" strokecolor="navy">
                <v:path arrowok="t"/>
              </v:shape>
              <v:shape id="_x0000_s4624" style="position:absolute;left:1196;top:2198;width:91;height:66" coordsize="91,66" path="m46,l91,33,46,66,,33,46,xe" fillcolor="navy" strokecolor="navy">
                <v:path arrowok="t"/>
              </v:shape>
              <v:shape id="_x0000_s4625" style="position:absolute;left:1196;top:2198;width:91;height:66" coordsize="91,66" path="m46,l91,33,46,66,,33,46,xe" fillcolor="navy" strokecolor="navy">
                <v:path arrowok="t"/>
              </v:shape>
              <v:shape id="_x0000_s4626" style="position:absolute;left:1196;top:2198;width:91;height:66" coordsize="91,66" path="m46,l91,33,46,66,,33,46,xe" fillcolor="navy" strokecolor="navy">
                <v:path arrowok="t"/>
              </v:shape>
              <v:shape id="_x0000_s4627" style="position:absolute;left:1196;top:2198;width:91;height:66" coordsize="91,66" path="m46,l91,33,46,66,,33,46,xe" fillcolor="navy" strokecolor="navy">
                <v:path arrowok="t"/>
              </v:shape>
              <v:shape id="_x0000_s4628" style="position:absolute;left:1196;top:2198;width:91;height:66" coordsize="91,66" path="m46,l91,33,46,66,,33,46,xe" fillcolor="navy" strokecolor="navy">
                <v:path arrowok="t"/>
              </v:shape>
              <v:shape id="_x0000_s4629" style="position:absolute;left:1196;top:2198;width:91;height:66" coordsize="91,66" path="m46,l91,33,46,66,,33,46,xe" fillcolor="navy" strokecolor="navy">
                <v:path arrowok="t"/>
              </v:shape>
              <v:shape id="_x0000_s4630" style="position:absolute;left:1196;top:2198;width:91;height:66" coordsize="91,66" path="m46,l91,33,46,66,,33,46,xe" fillcolor="navy" strokecolor="navy">
                <v:path arrowok="t"/>
              </v:shape>
              <v:shape id="_x0000_s4631" style="position:absolute;left:1196;top:2198;width:91;height:66" coordsize="91,66" path="m46,l91,33,46,66,,33,46,xe" fillcolor="navy" strokecolor="navy">
                <v:path arrowok="t"/>
              </v:shape>
              <v:shape id="_x0000_s4632" style="position:absolute;left:1196;top:2198;width:91;height:66" coordsize="91,66" path="m46,l91,33,46,66,,33,46,xe" fillcolor="navy" strokecolor="navy">
                <v:path arrowok="t"/>
              </v:shape>
              <v:shape id="_x0000_s4633" style="position:absolute;left:1196;top:2198;width:91;height:66" coordsize="91,66" path="m46,l91,33,46,66,,33,46,xe" fillcolor="navy" strokecolor="navy">
                <v:path arrowok="t"/>
              </v:shape>
              <v:shape id="_x0000_s4634" style="position:absolute;left:1196;top:2198;width:91;height:66" coordsize="91,66" path="m46,l91,33,46,66,,33,46,xe" fillcolor="navy" strokecolor="navy">
                <v:path arrowok="t"/>
              </v:shape>
              <v:shape id="_x0000_s4635" style="position:absolute;left:1196;top:2198;width:91;height:66" coordsize="91,66" path="m46,l91,33,46,66,,33,46,xe" fillcolor="navy" strokecolor="navy">
                <v:path arrowok="t"/>
              </v:shape>
              <v:shape id="_x0000_s4636" style="position:absolute;left:1196;top:2198;width:91;height:66" coordsize="91,66" path="m46,l91,33,46,66,,33,46,xe" fillcolor="navy" strokecolor="navy">
                <v:path arrowok="t"/>
              </v:shape>
              <v:shape id="_x0000_s4637" style="position:absolute;left:1196;top:2198;width:91;height:66" coordsize="91,66" path="m46,l91,33,46,66,,33,46,xe" fillcolor="navy" strokecolor="navy">
                <v:path arrowok="t"/>
              </v:shape>
              <v:shape id="_x0000_s4638" style="position:absolute;left:1196;top:2198;width:91;height:66" coordsize="91,66" path="m46,l91,33,46,66,,33,46,xe" fillcolor="navy" strokecolor="navy">
                <v:path arrowok="t"/>
              </v:shape>
              <v:shape id="_x0000_s4639" style="position:absolute;left:1196;top:2187;width:91;height:66" coordsize="91,66" path="m46,l91,33,46,66,,33,46,xe" fillcolor="navy" strokecolor="navy">
                <v:path arrowok="t"/>
              </v:shape>
              <v:shape id="_x0000_s4640" style="position:absolute;left:1196;top:2187;width:91;height:66" coordsize="91,66" path="m46,l91,33,46,66,,33,46,xe" fillcolor="navy" strokecolor="navy">
                <v:path arrowok="t"/>
              </v:shape>
              <v:shape id="_x0000_s4641" style="position:absolute;left:1196;top:2187;width:91;height:66" coordsize="91,66" path="m46,l91,33,46,66,,33,46,xe" fillcolor="navy" strokecolor="navy">
                <v:path arrowok="t"/>
              </v:shape>
              <v:shape id="_x0000_s4642" style="position:absolute;left:1196;top:2187;width:91;height:66" coordsize="91,66" path="m46,l91,33,46,66,,33,46,xe" fillcolor="navy" strokecolor="navy">
                <v:path arrowok="t"/>
              </v:shape>
              <v:shape id="_x0000_s4643" style="position:absolute;left:1196;top:2187;width:91;height:66" coordsize="91,66" path="m46,l91,33,46,66,,33,46,xe" fillcolor="navy" strokecolor="navy">
                <v:path arrowok="t"/>
              </v:shape>
              <v:shape id="_x0000_s4644" style="position:absolute;left:1196;top:2187;width:91;height:66" coordsize="91,66" path="m46,l91,33,46,66,,33,46,xe" fillcolor="navy" strokecolor="navy">
                <v:path arrowok="t"/>
              </v:shape>
              <v:shape id="_x0000_s4645" style="position:absolute;left:1196;top:2187;width:91;height:66" coordsize="91,66" path="m46,l91,33,46,66,,33,46,xe" fillcolor="navy" strokecolor="navy">
                <v:path arrowok="t"/>
              </v:shape>
              <v:shape id="_x0000_s4646" style="position:absolute;left:1196;top:2187;width:91;height:66" coordsize="91,66" path="m46,l91,33,46,66,,33,46,xe" fillcolor="navy" strokecolor="navy">
                <v:path arrowok="t"/>
              </v:shape>
              <v:shape id="_x0000_s4647" style="position:absolute;left:1196;top:2187;width:91;height:66" coordsize="91,66" path="m46,l91,33,46,66,,33,46,xe" fillcolor="navy" strokecolor="navy">
                <v:path arrowok="t"/>
              </v:shape>
              <v:shape id="_x0000_s4648" style="position:absolute;left:1196;top:2187;width:91;height:66" coordsize="91,66" path="m46,l91,33,46,66,,33,46,xe" fillcolor="navy" strokecolor="navy">
                <v:path arrowok="t"/>
              </v:shape>
              <v:shape id="_x0000_s4649" style="position:absolute;left:1196;top:2187;width:91;height:66" coordsize="91,66" path="m46,l91,33,46,66,,33,46,xe" fillcolor="navy" strokecolor="navy">
                <v:path arrowok="t"/>
              </v:shape>
              <v:shape id="_x0000_s4650" style="position:absolute;left:1196;top:2187;width:91;height:66" coordsize="91,66" path="m46,l91,33,46,66,,33,46,xe" fillcolor="navy" strokecolor="navy">
                <v:path arrowok="t"/>
              </v:shape>
              <v:shape id="_x0000_s4651" style="position:absolute;left:1196;top:2176;width:91;height:66" coordsize="91,66" path="m46,l91,33,46,66,,33,46,xe" fillcolor="navy" strokecolor="navy">
                <v:path arrowok="t"/>
              </v:shape>
              <v:shape id="_x0000_s4652" style="position:absolute;left:1196;top:2176;width:91;height:66" coordsize="91,66" path="m46,l91,33,46,66,,33,46,xe" fillcolor="navy" strokecolor="navy">
                <v:path arrowok="t"/>
              </v:shape>
              <v:shape id="_x0000_s4653" style="position:absolute;left:1196;top:2176;width:91;height:66" coordsize="91,66" path="m46,l91,33,46,66,,33,46,xe" fillcolor="navy" strokecolor="navy">
                <v:path arrowok="t"/>
              </v:shape>
              <v:shape id="_x0000_s4654" style="position:absolute;left:1196;top:2176;width:91;height:66" coordsize="91,66" path="m46,l91,33,46,66,,33,46,xe" fillcolor="navy" strokecolor="navy">
                <v:path arrowok="t"/>
              </v:shape>
              <v:shape id="_x0000_s4655" style="position:absolute;left:1196;top:2176;width:91;height:66" coordsize="91,66" path="m46,l91,33,46,66,,33,46,xe" fillcolor="navy" strokecolor="navy">
                <v:path arrowok="t"/>
              </v:shape>
              <v:shape id="_x0000_s4656" style="position:absolute;left:1196;top:2176;width:91;height:66" coordsize="91,66" path="m46,l91,33,46,66,,33,46,xe" fillcolor="navy" strokecolor="navy">
                <v:path arrowok="t"/>
              </v:shape>
              <v:shape id="_x0000_s4657" style="position:absolute;left:1196;top:2176;width:91;height:66" coordsize="91,66" path="m46,l91,33,46,66,,33,46,xe" fillcolor="navy" strokecolor="navy">
                <v:path arrowok="t"/>
              </v:shape>
              <v:shape id="_x0000_s4658" style="position:absolute;left:1196;top:2165;width:91;height:66" coordsize="91,66" path="m46,l91,33,46,66,,33,46,xe" fillcolor="navy" strokecolor="navy">
                <v:path arrowok="t"/>
              </v:shape>
              <v:shape id="_x0000_s4659" style="position:absolute;left:1196;top:2165;width:91;height:66" coordsize="91,66" path="m46,l91,33,46,66,,33,46,xe" fillcolor="navy" strokecolor="navy">
                <v:path arrowok="t"/>
              </v:shape>
              <v:shape id="_x0000_s4660" style="position:absolute;left:1196;top:2165;width:91;height:66" coordsize="91,66" path="m46,l91,33,46,66,,33,46,xe" fillcolor="navy" strokecolor="navy">
                <v:path arrowok="t"/>
              </v:shape>
              <v:shape id="_x0000_s4661" style="position:absolute;left:1196;top:2165;width:91;height:66" coordsize="91,66" path="m46,l91,33,46,66,,33,46,xe" fillcolor="navy" strokecolor="navy">
                <v:path arrowok="t"/>
              </v:shape>
              <v:shape id="_x0000_s4662" style="position:absolute;left:1196;top:2165;width:91;height:66" coordsize="91,66" path="m46,l91,33,46,66,,33,46,xe" fillcolor="navy" strokecolor="navy">
                <v:path arrowok="t"/>
              </v:shape>
              <v:shape id="_x0000_s4663" style="position:absolute;left:1196;top:2165;width:91;height:66" coordsize="91,66" path="m46,l91,33,46,66,,33,46,xe" fillcolor="navy" strokecolor="navy">
                <v:path arrowok="t"/>
              </v:shape>
              <v:shape id="_x0000_s4664" style="position:absolute;left:1196;top:2165;width:91;height:66" coordsize="91,66" path="m46,l91,33,46,66,,33,46,xe" fillcolor="navy" strokecolor="navy">
                <v:path arrowok="t"/>
              </v:shape>
              <v:shape id="_x0000_s4665" style="position:absolute;left:1196;top:2165;width:91;height:66" coordsize="91,66" path="m46,l91,33,46,66,,33,46,xe" fillcolor="navy" strokecolor="navy">
                <v:path arrowok="t"/>
              </v:shape>
              <v:shape id="_x0000_s4666" style="position:absolute;left:1196;top:2165;width:91;height:66" coordsize="91,66" path="m46,l91,33,46,66,,33,46,xe" fillcolor="navy" strokecolor="navy">
                <v:path arrowok="t"/>
              </v:shape>
              <v:shape id="_x0000_s4667" style="position:absolute;left:1196;top:2165;width:91;height:66" coordsize="91,66" path="m46,l91,33,46,66,,33,46,xe" fillcolor="navy" strokecolor="navy">
                <v:path arrowok="t"/>
              </v:shape>
              <v:shape id="_x0000_s4668" style="position:absolute;left:1196;top:2165;width:91;height:66" coordsize="91,66" path="m46,l91,33,46,66,,33,46,xe" fillcolor="navy" strokecolor="navy">
                <v:path arrowok="t"/>
              </v:shape>
              <v:shape id="_x0000_s4669" style="position:absolute;left:1196;top:2165;width:91;height:66" coordsize="91,66" path="m46,l91,33,46,66,,33,46,xe" fillcolor="navy" strokecolor="navy">
                <v:path arrowok="t"/>
              </v:shape>
              <v:shape id="_x0000_s4670" style="position:absolute;left:1196;top:2165;width:91;height:66" coordsize="91,66" path="m46,l91,33,46,66,,33,46,xe" fillcolor="navy" strokecolor="navy">
                <v:path arrowok="t"/>
              </v:shape>
              <v:shape id="_x0000_s4671" style="position:absolute;left:1196;top:2165;width:91;height:66" coordsize="91,66" path="m46,l91,33,46,66,,33,46,xe" fillcolor="navy" strokecolor="navy">
                <v:path arrowok="t"/>
              </v:shape>
              <v:shape id="_x0000_s4672" style="position:absolute;left:1196;top:2165;width:91;height:66" coordsize="91,66" path="m46,l91,33,46,66,,33,46,xe" fillcolor="navy" strokecolor="navy">
                <v:path arrowok="t"/>
              </v:shape>
              <v:shape id="_x0000_s4673" style="position:absolute;left:1196;top:2165;width:91;height:66" coordsize="91,66" path="m46,l91,33,46,66,,33,46,xe" fillcolor="navy" strokecolor="navy">
                <v:path arrowok="t"/>
              </v:shape>
              <v:shape id="_x0000_s4674" style="position:absolute;left:1196;top:2165;width:91;height:66" coordsize="91,66" path="m46,l91,33,46,66,,33,46,xe" fillcolor="navy" strokecolor="navy">
                <v:path arrowok="t"/>
              </v:shape>
              <v:shape id="_x0000_s4675" style="position:absolute;left:1196;top:2165;width:91;height:66" coordsize="91,66" path="m46,l91,33,46,66,,33,46,xe" fillcolor="navy" strokecolor="navy">
                <v:path arrowok="t"/>
              </v:shape>
              <v:shape id="_x0000_s4676" style="position:absolute;left:1196;top:2143;width:91;height:66" coordsize="91,66" path="m46,l91,33,46,66,,33,46,xe" fillcolor="navy" strokecolor="navy">
                <v:path arrowok="t"/>
              </v:shape>
              <v:shape id="_x0000_s4677" style="position:absolute;left:1196;top:2143;width:91;height:66" coordsize="91,66" path="m46,l91,33,46,66,,33,46,xe" fillcolor="navy" strokecolor="navy">
                <v:path arrowok="t"/>
              </v:shape>
              <v:shape id="_x0000_s4678" style="position:absolute;left:1196;top:2143;width:91;height:66" coordsize="91,66" path="m46,l91,33,46,66,,33,46,xe" fillcolor="navy" strokecolor="navy">
                <v:path arrowok="t"/>
              </v:shape>
              <v:shape id="_x0000_s4679" style="position:absolute;left:1196;top:2143;width:91;height:66" coordsize="91,66" path="m46,l91,33,46,66,,33,46,xe" fillcolor="navy" strokecolor="navy">
                <v:path arrowok="t"/>
              </v:shape>
              <v:shape id="_x0000_s4680" style="position:absolute;left:1196;top:2143;width:91;height:66" coordsize="91,66" path="m46,l91,33,46,66,,33,46,xe" fillcolor="navy" strokecolor="navy">
                <v:path arrowok="t"/>
              </v:shape>
              <v:shape id="_x0000_s4681" style="position:absolute;left:1196;top:2143;width:91;height:66" coordsize="91,66" path="m46,l91,33,46,66,,33,46,xe" fillcolor="navy" strokecolor="navy">
                <v:path arrowok="t"/>
              </v:shape>
              <v:shape id="_x0000_s4682" style="position:absolute;left:1196;top:2143;width:91;height:66" coordsize="91,66" path="m46,l91,33,46,66,,33,46,xe" fillcolor="navy" strokecolor="navy">
                <v:path arrowok="t"/>
              </v:shape>
              <v:shape id="_x0000_s4683" style="position:absolute;left:1196;top:2143;width:91;height:66" coordsize="91,66" path="m46,l91,33,46,66,,33,46,xe" fillcolor="navy" strokecolor="navy">
                <v:path arrowok="t"/>
              </v:shape>
              <v:shape id="_x0000_s4684" style="position:absolute;left:1196;top:2143;width:91;height:66" coordsize="91,66" path="m46,l91,33,46,66,,33,46,xe" fillcolor="navy" strokecolor="navy">
                <v:path arrowok="t"/>
              </v:shape>
              <v:shape id="_x0000_s4685" style="position:absolute;left:1196;top:2132;width:91;height:66" coordsize="91,66" path="m46,l91,33,46,66,,33,46,xe" fillcolor="navy" strokecolor="navy">
                <v:path arrowok="t"/>
              </v:shape>
              <v:shape id="_x0000_s4686" style="position:absolute;left:1196;top:2132;width:91;height:66" coordsize="91,66" path="m46,l91,33,46,66,,33,46,xe" fillcolor="navy" strokecolor="navy">
                <v:path arrowok="t"/>
              </v:shape>
              <v:shape id="_x0000_s4687" style="position:absolute;left:1196;top:2132;width:91;height:66" coordsize="91,66" path="m46,l91,33,46,66,,33,46,xe" fillcolor="navy" strokecolor="navy">
                <v:path arrowok="t"/>
              </v:shape>
              <v:shape id="_x0000_s4688" style="position:absolute;left:1196;top:2132;width:91;height:66" coordsize="91,66" path="m46,l91,33,46,66,,33,46,xe" fillcolor="navy" strokecolor="navy">
                <v:path arrowok="t"/>
              </v:shape>
              <v:shape id="_x0000_s4689" style="position:absolute;left:1196;top:2132;width:91;height:66" coordsize="91,66" path="m46,l91,33,46,66,,33,46,xe" fillcolor="navy" strokecolor="navy">
                <v:path arrowok="t"/>
              </v:shape>
              <v:shape id="_x0000_s4690" style="position:absolute;left:1196;top:2121;width:91;height:66" coordsize="91,66" path="m46,l91,33,46,66,,33,46,xe" fillcolor="navy" strokecolor="navy">
                <v:path arrowok="t"/>
              </v:shape>
              <v:shape id="_x0000_s4691" style="position:absolute;left:1196;top:2121;width:91;height:66" coordsize="91,66" path="m46,l91,33,46,66,,33,46,xe" fillcolor="navy" strokecolor="navy">
                <v:path arrowok="t"/>
              </v:shape>
              <v:shape id="_x0000_s4692" style="position:absolute;left:1196;top:2121;width:91;height:66" coordsize="91,66" path="m46,l91,33,46,66,,33,46,xe" fillcolor="navy" strokecolor="navy">
                <v:path arrowok="t"/>
              </v:shape>
              <v:shape id="_x0000_s4693" style="position:absolute;left:1196;top:2121;width:91;height:66" coordsize="91,66" path="m46,l91,33,46,66,,33,46,xe" fillcolor="navy" strokecolor="navy">
                <v:path arrowok="t"/>
              </v:shape>
              <v:shape id="_x0000_s4694" style="position:absolute;left:1196;top:2121;width:91;height:66" coordsize="91,66" path="m46,l91,33,46,66,,33,46,xe" fillcolor="navy" strokecolor="navy">
                <v:path arrowok="t"/>
              </v:shape>
              <v:shape id="_x0000_s4695" style="position:absolute;left:1196;top:2110;width:91;height:66" coordsize="91,66" path="m46,l91,33,46,66,,33,46,xe" fillcolor="navy" strokecolor="navy">
                <v:path arrowok="t"/>
              </v:shape>
              <v:shape id="_x0000_s4696" style="position:absolute;left:1196;top:2110;width:91;height:66" coordsize="91,66" path="m46,l91,33,46,66,,33,46,xe" fillcolor="navy" strokecolor="navy">
                <v:path arrowok="t"/>
              </v:shape>
              <v:shape id="_x0000_s4697" style="position:absolute;left:1196;top:2098;width:91;height:67" coordsize="91,67" path="m46,l91,34,46,67,,34,46,xe" fillcolor="navy" strokecolor="navy">
                <v:path arrowok="t"/>
              </v:shape>
              <v:shape id="_x0000_s4698" style="position:absolute;left:1196;top:2098;width:91;height:67" coordsize="91,67" path="m46,l91,34,46,67,,34,46,xe" fillcolor="navy" strokecolor="navy">
                <v:path arrowok="t"/>
              </v:shape>
              <v:shape id="_x0000_s4699" style="position:absolute;left:1196;top:2098;width:91;height:67" coordsize="91,67" path="m46,l91,34,46,67,,34,46,xe" fillcolor="navy" strokecolor="navy">
                <v:path arrowok="t"/>
              </v:shape>
              <v:shape id="_x0000_s4700" style="position:absolute;left:1196;top:2087;width:91;height:67" coordsize="91,67" path="m46,l91,34,46,67,,34,46,xe" fillcolor="navy" strokecolor="navy">
                <v:path arrowok="t"/>
              </v:shape>
              <v:shape id="_x0000_s4701" style="position:absolute;left:1196;top:2087;width:91;height:67" coordsize="91,67" path="m46,l91,34,46,67,,34,46,xe" fillcolor="navy" strokecolor="navy">
                <v:path arrowok="t"/>
              </v:shape>
              <v:shape id="_x0000_s4702" style="position:absolute;left:1196;top:2087;width:91;height:67" coordsize="91,67" path="m46,l91,34,46,67,,34,46,xe" fillcolor="navy" strokecolor="navy">
                <v:path arrowok="t"/>
              </v:shape>
              <v:shape id="_x0000_s4703" style="position:absolute;left:1196;top:2087;width:91;height:67" coordsize="91,67" path="m46,l91,34,46,67,,34,46,xe" fillcolor="navy" strokecolor="navy">
                <v:path arrowok="t"/>
              </v:shape>
              <v:shape id="_x0000_s4704" style="position:absolute;left:1196;top:2076;width:91;height:67" coordsize="91,67" path="m46,l91,34,46,67,,34,46,xe" fillcolor="navy" strokecolor="navy">
                <v:path arrowok="t"/>
              </v:shape>
              <v:shape id="_x0000_s4705" style="position:absolute;left:1196;top:2065;width:91;height:67" coordsize="91,67" path="m46,l91,33,46,67,,33,46,xe" fillcolor="navy" strokecolor="navy">
                <v:path arrowok="t"/>
              </v:shape>
              <v:shape id="_x0000_s4706" style="position:absolute;left:1196;top:2065;width:91;height:67" coordsize="91,67" path="m46,l91,33,46,67,,33,46,xe" fillcolor="navy" strokecolor="navy">
                <v:path arrowok="t"/>
              </v:shape>
              <v:shape id="_x0000_s4707" style="position:absolute;left:1196;top:2065;width:91;height:67" coordsize="91,67" path="m46,l91,33,46,67,,33,46,xe" fillcolor="navy" strokecolor="navy">
                <v:path arrowok="t"/>
              </v:shape>
              <v:shape id="_x0000_s4708" style="position:absolute;left:1196;top:2065;width:91;height:67" coordsize="91,67" path="m46,l91,33,46,67,,33,46,xe" fillcolor="navy" strokecolor="navy">
                <v:path arrowok="t"/>
              </v:shape>
              <v:shape id="_x0000_s4709" style="position:absolute;left:1196;top:2065;width:91;height:67" coordsize="91,67" path="m46,l91,33,46,67,,33,46,xe" fillcolor="navy" strokecolor="navy">
                <v:path arrowok="t"/>
              </v:shape>
              <v:shape id="_x0000_s4710" style="position:absolute;left:1196;top:2054;width:91;height:67" coordsize="91,67" path="m46,l91,33,46,67,,33,46,xe" fillcolor="navy" strokecolor="navy">
                <v:path arrowok="t"/>
              </v:shape>
              <v:shape id="_x0000_s4711" style="position:absolute;left:1196;top:2043;width:91;height:67" coordsize="91,67" path="m46,l91,33,46,67,,33,46,xe" fillcolor="navy" strokecolor="navy">
                <v:path arrowok="t"/>
              </v:shape>
              <v:shape id="_x0000_s4712" style="position:absolute;left:1196;top:2043;width:91;height:67" coordsize="91,67" path="m46,l91,33,46,67,,33,46,xe" fillcolor="navy" strokecolor="navy">
                <v:path arrowok="t"/>
              </v:shape>
              <v:shape id="_x0000_s4713" style="position:absolute;left:1196;top:2032;width:91;height:66" coordsize="91,66" path="m46,l91,33,46,66,,33,46,xe" fillcolor="navy" strokecolor="navy">
                <v:path arrowok="t"/>
              </v:shape>
              <v:shape id="_x0000_s4714" style="position:absolute;left:1196;top:2021;width:91;height:66" coordsize="91,66" path="m46,l91,33,46,66,,33,46,xe" fillcolor="navy" strokecolor="navy">
                <v:path arrowok="t"/>
              </v:shape>
              <v:shape id="_x0000_s4715" style="position:absolute;left:1196;top:2021;width:91;height:66" coordsize="91,66" path="m46,l91,33,46,66,,33,46,xe" fillcolor="navy" strokecolor="navy">
                <v:path arrowok="t"/>
              </v:shape>
              <v:shape id="_x0000_s4716" style="position:absolute;left:1196;top:2010;width:91;height:66" coordsize="91,66" path="m46,l91,33,46,66,,33,46,xe" fillcolor="navy" strokecolor="navy">
                <v:path arrowok="t"/>
              </v:shape>
              <v:shape id="_x0000_s4717" style="position:absolute;left:1196;top:2010;width:91;height:66" coordsize="91,66" path="m46,l91,33,46,66,,33,46,xe" fillcolor="navy" strokecolor="navy">
                <v:path arrowok="t"/>
              </v:shape>
              <v:shape id="_x0000_s4718" style="position:absolute;left:1196;top:1988;width:91;height:66" coordsize="91,66" path="m46,l91,33,46,66,,33,46,xe" fillcolor="navy" strokecolor="navy">
                <v:path arrowok="t"/>
              </v:shape>
              <v:shape id="_x0000_s4719" style="position:absolute;left:1196;top:1966;width:91;height:66" coordsize="91,66" path="m46,l91,33,46,66,,33,46,xe" fillcolor="navy" strokecolor="navy">
                <v:path arrowok="t"/>
              </v:shape>
              <v:shape id="_x0000_s4720" style="position:absolute;left:1196;top:1955;width:91;height:66" coordsize="91,66" path="m46,l91,33,46,66,,33,46,xe" fillcolor="navy" strokecolor="navy">
                <v:path arrowok="t"/>
              </v:shape>
              <v:shape id="_x0000_s4721" style="position:absolute;left:1196;top:1900;width:91;height:66" coordsize="91,66" path="m46,l91,33,46,66,,33,46,xe" fillcolor="navy" strokecolor="navy">
                <v:path arrowok="t"/>
              </v:shape>
              <v:shape id="_x0000_s4722" style="position:absolute;left:1196;top:1789;width:91;height:66" coordsize="91,66" path="m46,l91,33,46,66,,33,46,xe" fillcolor="navy" strokecolor="navy">
                <v:path arrowok="t"/>
              </v:shape>
              <v:shape id="_x0000_s4723" style="position:absolute;left:1408;top:2364;width:91;height:66" coordsize="91,66" path="m46,l91,33,46,66,,33,46,xe" fillcolor="navy" strokecolor="navy">
                <v:path arrowok="t"/>
              </v:shape>
              <v:shape id="_x0000_s4724" style="position:absolute;left:1408;top:2364;width:91;height:66" coordsize="91,66" path="m46,l91,33,46,66,,33,46,xe" fillcolor="navy" strokecolor="navy">
                <v:path arrowok="t"/>
              </v:shape>
              <v:shape id="_x0000_s4725" style="position:absolute;left:1408;top:2341;width:91;height:67" coordsize="91,67" path="m46,l91,34,46,67,,34,46,xe" fillcolor="navy" strokecolor="navy">
                <v:path arrowok="t"/>
              </v:shape>
              <v:shape id="_x0000_s4726" style="position:absolute;left:1408;top:2341;width:91;height:67" coordsize="91,67" path="m46,l91,34,46,67,,34,46,xe" fillcolor="navy" strokecolor="navy">
                <v:path arrowok="t"/>
              </v:shape>
              <v:shape id="_x0000_s4727" style="position:absolute;left:1408;top:2341;width:91;height:67" coordsize="91,67" path="m46,l91,34,46,67,,34,46,xe" fillcolor="navy" strokecolor="navy">
                <v:path arrowok="t"/>
              </v:shape>
              <v:shape id="_x0000_s4728" style="position:absolute;left:1408;top:2341;width:91;height:67" coordsize="91,67" path="m46,l91,34,46,67,,34,46,xe" fillcolor="navy" strokecolor="navy">
                <v:path arrowok="t"/>
              </v:shape>
              <v:shape id="_x0000_s4729" style="position:absolute;left:1408;top:2330;width:91;height:67" coordsize="91,67" path="m46,l91,34,46,67,,34,46,xe" fillcolor="navy" strokecolor="navy">
                <v:path arrowok="t"/>
              </v:shape>
              <v:shape id="_x0000_s4730" style="position:absolute;left:1408;top:2330;width:91;height:67" coordsize="91,67" path="m46,l91,34,46,67,,34,46,xe" fillcolor="navy" strokecolor="navy">
                <v:path arrowok="t"/>
              </v:shape>
              <v:shape id="_x0000_s4731" style="position:absolute;left:1408;top:2330;width:91;height:67" coordsize="91,67" path="m46,l91,34,46,67,,34,46,xe" fillcolor="navy" strokecolor="navy">
                <v:path arrowok="t"/>
              </v:shape>
              <v:shape id="_x0000_s4732" style="position:absolute;left:1408;top:2330;width:91;height:67" coordsize="91,67" path="m46,l91,34,46,67,,34,46,xe" fillcolor="navy" strokecolor="navy">
                <v:path arrowok="t"/>
              </v:shape>
              <v:shape id="_x0000_s4733" style="position:absolute;left:1408;top:2319;width:91;height:67" coordsize="91,67" path="m46,l91,33,46,67,,33,46,xe" fillcolor="navy" strokecolor="navy">
                <v:path arrowok="t"/>
              </v:shape>
              <v:shape id="_x0000_s4734" style="position:absolute;left:1408;top:2319;width:91;height:67" coordsize="91,67" path="m46,l91,33,46,67,,33,46,xe" fillcolor="navy" strokecolor="navy">
                <v:path arrowok="t"/>
              </v:shape>
              <v:shape id="_x0000_s4735" style="position:absolute;left:1408;top:2319;width:91;height:67" coordsize="91,67" path="m46,l91,33,46,67,,33,46,xe" fillcolor="navy" strokecolor="navy">
                <v:path arrowok="t"/>
              </v:shape>
              <v:shape id="_x0000_s4736" style="position:absolute;left:1408;top:2319;width:91;height:67" coordsize="91,67" path="m46,l91,33,46,67,,33,46,xe" fillcolor="navy" strokecolor="navy">
                <v:path arrowok="t"/>
              </v:shape>
              <v:shape id="_x0000_s4737" style="position:absolute;left:1408;top:2308;width:91;height:67" coordsize="91,67" path="m46,l91,33,46,67,,33,46,xe" fillcolor="navy" strokecolor="navy">
                <v:path arrowok="t"/>
              </v:shape>
              <v:shape id="_x0000_s4738" style="position:absolute;left:1408;top:2308;width:91;height:67" coordsize="91,67" path="m46,l91,33,46,67,,33,46,xe" fillcolor="navy" strokecolor="navy">
                <v:path arrowok="t"/>
              </v:shape>
              <v:shape id="_x0000_s4739" style="position:absolute;left:1408;top:2308;width:91;height:67" coordsize="91,67" path="m46,l91,33,46,67,,33,46,xe" fillcolor="navy" strokecolor="navy">
                <v:path arrowok="t"/>
              </v:shape>
              <v:shape id="_x0000_s4740" style="position:absolute;left:1408;top:2308;width:91;height:67" coordsize="91,67" path="m46,l91,33,46,67,,33,46,xe" fillcolor="navy" strokecolor="navy">
                <v:path arrowok="t"/>
              </v:shape>
              <v:shape id="_x0000_s4741" style="position:absolute;left:1408;top:2308;width:91;height:67" coordsize="91,67" path="m46,l91,33,46,67,,33,46,xe" fillcolor="navy" strokecolor="navy">
                <v:path arrowok="t"/>
              </v:shape>
              <v:shape id="_x0000_s4742" style="position:absolute;left:1408;top:2308;width:91;height:67" coordsize="91,67" path="m46,l91,33,46,67,,33,46,xe" fillcolor="navy" strokecolor="navy">
                <v:path arrowok="t"/>
              </v:shape>
              <v:shape id="_x0000_s4743" style="position:absolute;left:1408;top:2308;width:91;height:67" coordsize="91,67" path="m46,l91,33,46,67,,33,46,xe" fillcolor="navy" strokecolor="navy">
                <v:path arrowok="t"/>
              </v:shape>
              <v:shape id="_x0000_s4744" style="position:absolute;left:1408;top:2308;width:91;height:67" coordsize="91,67" path="m46,l91,33,46,67,,33,46,xe" fillcolor="navy" strokecolor="navy">
                <v:path arrowok="t"/>
              </v:shape>
              <v:shape id="_x0000_s4745" style="position:absolute;left:1408;top:2308;width:91;height:67" coordsize="91,67" path="m46,l91,33,46,67,,33,46,xe" fillcolor="navy" strokecolor="navy">
                <v:path arrowok="t"/>
              </v:shape>
              <v:shape id="_x0000_s4746" style="position:absolute;left:1408;top:2297;width:91;height:67" coordsize="91,67" path="m46,l91,33,46,67,,33,46,xe" fillcolor="navy" strokecolor="navy">
                <v:path arrowok="t"/>
              </v:shape>
              <v:shape id="_x0000_s4747" style="position:absolute;left:1408;top:2297;width:91;height:67" coordsize="91,67" path="m46,l91,33,46,67,,33,46,xe" fillcolor="navy" strokecolor="navy">
                <v:path arrowok="t"/>
              </v:shape>
              <v:shape id="_x0000_s4748" style="position:absolute;left:1408;top:2297;width:91;height:67" coordsize="91,67" path="m46,l91,33,46,67,,33,46,xe" fillcolor="navy" strokecolor="navy">
                <v:path arrowok="t"/>
              </v:shape>
              <v:shape id="_x0000_s4749" style="position:absolute;left:1408;top:2297;width:91;height:67" coordsize="91,67" path="m46,l91,33,46,67,,33,46,xe" fillcolor="navy" strokecolor="navy">
                <v:path arrowok="t"/>
              </v:shape>
              <v:shape id="_x0000_s4750" style="position:absolute;left:1408;top:2297;width:91;height:67" coordsize="91,67" path="m46,l91,33,46,67,,33,46,xe" fillcolor="navy" strokecolor="navy">
                <v:path arrowok="t"/>
              </v:shape>
              <v:shape id="_x0000_s4751" style="position:absolute;left:1408;top:2297;width:91;height:67" coordsize="91,67" path="m46,l91,33,46,67,,33,46,xe" fillcolor="navy" strokecolor="navy">
                <v:path arrowok="t"/>
              </v:shape>
              <v:shape id="_x0000_s4752" style="position:absolute;left:1408;top:2297;width:91;height:67" coordsize="91,67" path="m46,l91,33,46,67,,33,46,xe" fillcolor="navy" strokecolor="navy">
                <v:path arrowok="t"/>
              </v:shape>
              <v:shape id="_x0000_s4753" style="position:absolute;left:1408;top:2286;width:91;height:66" coordsize="91,66" path="m46,l91,33,46,66,,33,46,xe" fillcolor="navy" strokecolor="navy">
                <v:path arrowok="t"/>
              </v:shape>
              <v:shape id="_x0000_s4754" style="position:absolute;left:1408;top:2286;width:91;height:66" coordsize="91,66" path="m46,l91,33,46,66,,33,46,xe" fillcolor="navy" strokecolor="navy">
                <v:path arrowok="t"/>
              </v:shape>
              <v:shape id="_x0000_s4755" style="position:absolute;left:1408;top:2286;width:91;height:66" coordsize="91,66" path="m46,l91,33,46,66,,33,46,xe" fillcolor="navy" strokecolor="navy">
                <v:path arrowok="t"/>
              </v:shape>
              <v:shape id="_x0000_s4756" style="position:absolute;left:1408;top:2286;width:91;height:66" coordsize="91,66" path="m46,l91,33,46,66,,33,46,xe" fillcolor="navy" strokecolor="navy">
                <v:path arrowok="t"/>
              </v:shape>
              <v:shape id="_x0000_s4757" style="position:absolute;left:1408;top:2286;width:91;height:66" coordsize="91,66" path="m46,l91,33,46,66,,33,46,xe" fillcolor="navy" strokecolor="navy">
                <v:path arrowok="t"/>
              </v:shape>
              <v:shape id="_x0000_s4758" style="position:absolute;left:1408;top:2286;width:91;height:66" coordsize="91,66" path="m46,l91,33,46,66,,33,46,xe" fillcolor="navy" strokecolor="navy">
                <v:path arrowok="t"/>
              </v:shape>
              <v:shape id="_x0000_s4759" style="position:absolute;left:1408;top:2286;width:91;height:66" coordsize="91,66" path="m46,l91,33,46,66,,33,46,xe" fillcolor="navy" strokecolor="navy">
                <v:path arrowok="t"/>
              </v:shape>
              <v:shape id="_x0000_s4760" style="position:absolute;left:1408;top:2286;width:91;height:66" coordsize="91,66" path="m46,l91,33,46,66,,33,46,xe" fillcolor="navy" strokecolor="navy">
                <v:path arrowok="t"/>
              </v:shape>
              <v:shape id="_x0000_s4761" style="position:absolute;left:1408;top:2286;width:91;height:66" coordsize="91,66" path="m46,l91,33,46,66,,33,46,xe" fillcolor="navy" strokecolor="navy">
                <v:path arrowok="t"/>
              </v:shape>
              <v:shape id="_x0000_s4762" style="position:absolute;left:1408;top:2286;width:91;height:66" coordsize="91,66" path="m46,l91,33,46,66,,33,46,xe" fillcolor="navy" strokecolor="navy">
                <v:path arrowok="t"/>
              </v:shape>
              <v:shape id="_x0000_s4763" style="position:absolute;left:1408;top:2286;width:91;height:66" coordsize="91,66" path="m46,l91,33,46,66,,33,46,xe" fillcolor="navy" strokecolor="navy">
                <v:path arrowok="t"/>
              </v:shape>
              <v:shape id="_x0000_s4764" style="position:absolute;left:1408;top:2275;width:91;height:66" coordsize="91,66" path="m46,l91,33,46,66,,33,46,xe" fillcolor="navy" strokecolor="navy">
                <v:path arrowok="t"/>
              </v:shape>
              <v:shape id="_x0000_s4765" style="position:absolute;left:1408;top:2275;width:91;height:66" coordsize="91,66" path="m46,l91,33,46,66,,33,46,xe" fillcolor="navy" strokecolor="navy">
                <v:path arrowok="t"/>
              </v:shape>
              <v:shape id="_x0000_s4766" style="position:absolute;left:1408;top:2275;width:91;height:66" coordsize="91,66" path="m46,l91,33,46,66,,33,46,xe" fillcolor="navy" strokecolor="navy">
                <v:path arrowok="t"/>
              </v:shape>
              <v:shape id="_x0000_s4767" style="position:absolute;left:1408;top:2275;width:91;height:66" coordsize="91,66" path="m46,l91,33,46,66,,33,46,xe" fillcolor="navy" strokecolor="navy">
                <v:path arrowok="t"/>
              </v:shape>
              <v:shape id="_x0000_s4768" style="position:absolute;left:1408;top:2275;width:91;height:66" coordsize="91,66" path="m46,l91,33,46,66,,33,46,xe" fillcolor="navy" strokecolor="navy">
                <v:path arrowok="t"/>
              </v:shape>
              <v:shape id="_x0000_s4769" style="position:absolute;left:1408;top:2275;width:91;height:66" coordsize="91,66" path="m46,l91,33,46,66,,33,46,xe" fillcolor="navy" strokecolor="navy">
                <v:path arrowok="t"/>
              </v:shape>
            </v:group>
            <v:group id="_x0000_s4971" style="position:absolute;left:1408;top:1944;width:91;height:397" coordorigin="1408,1944" coordsize="91,397">
              <v:shape id="_x0000_s4771" style="position:absolute;left:1408;top:2275;width:91;height:66" coordsize="91,66" path="m46,l91,33,46,66,,33,46,xe" fillcolor="navy" strokecolor="navy">
                <v:path arrowok="t"/>
              </v:shape>
              <v:shape id="_x0000_s4772" style="position:absolute;left:1408;top:2275;width:91;height:66" coordsize="91,66" path="m46,l91,33,46,66,,33,46,xe" fillcolor="navy" strokecolor="navy">
                <v:path arrowok="t"/>
              </v:shape>
              <v:shape id="_x0000_s4773" style="position:absolute;left:1408;top:2275;width:91;height:66" coordsize="91,66" path="m46,l91,33,46,66,,33,46,xe" fillcolor="navy" strokecolor="navy">
                <v:path arrowok="t"/>
              </v:shape>
              <v:shape id="_x0000_s4774" style="position:absolute;left:1408;top:2275;width:91;height:66" coordsize="91,66" path="m46,l91,33,46,66,,33,46,xe" fillcolor="navy" strokecolor="navy">
                <v:path arrowok="t"/>
              </v:shape>
              <v:shape id="_x0000_s4775" style="position:absolute;left:1408;top:2264;width:91;height:66" coordsize="91,66" path="m46,l91,33,46,66,,33,46,xe" fillcolor="navy" strokecolor="navy">
                <v:path arrowok="t"/>
              </v:shape>
              <v:shape id="_x0000_s4776" style="position:absolute;left:1408;top:2264;width:91;height:66" coordsize="91,66" path="m46,l91,33,46,66,,33,46,xe" fillcolor="navy" strokecolor="navy">
                <v:path arrowok="t"/>
              </v:shape>
              <v:shape id="_x0000_s4777" style="position:absolute;left:1408;top:2264;width:91;height:66" coordsize="91,66" path="m46,l91,33,46,66,,33,46,xe" fillcolor="navy" strokecolor="navy">
                <v:path arrowok="t"/>
              </v:shape>
              <v:shape id="_x0000_s4778" style="position:absolute;left:1408;top:2264;width:91;height:66" coordsize="91,66" path="m46,l91,33,46,66,,33,46,xe" fillcolor="navy" strokecolor="navy">
                <v:path arrowok="t"/>
              </v:shape>
              <v:shape id="_x0000_s4779" style="position:absolute;left:1408;top:2264;width:91;height:66" coordsize="91,66" path="m46,l91,33,46,66,,33,46,xe" fillcolor="navy" strokecolor="navy">
                <v:path arrowok="t"/>
              </v:shape>
              <v:shape id="_x0000_s4780" style="position:absolute;left:1408;top:2264;width:91;height:66" coordsize="91,66" path="m46,l91,33,46,66,,33,46,xe" fillcolor="navy" strokecolor="navy">
                <v:path arrowok="t"/>
              </v:shape>
              <v:shape id="_x0000_s4781" style="position:absolute;left:1408;top:2264;width:91;height:66" coordsize="91,66" path="m46,l91,33,46,66,,33,46,xe" fillcolor="navy" strokecolor="navy">
                <v:path arrowok="t"/>
              </v:shape>
              <v:shape id="_x0000_s4782" style="position:absolute;left:1408;top:2264;width:91;height:66" coordsize="91,66" path="m46,l91,33,46,66,,33,46,xe" fillcolor="navy" strokecolor="navy">
                <v:path arrowok="t"/>
              </v:shape>
              <v:shape id="_x0000_s4783" style="position:absolute;left:1408;top:2264;width:91;height:66" coordsize="91,66" path="m46,l91,33,46,66,,33,46,xe" fillcolor="navy" strokecolor="navy">
                <v:path arrowok="t"/>
              </v:shape>
              <v:shape id="_x0000_s4784" style="position:absolute;left:1408;top:2264;width:91;height:66" coordsize="91,66" path="m46,l91,33,46,66,,33,46,xe" fillcolor="navy" strokecolor="navy">
                <v:path arrowok="t"/>
              </v:shape>
              <v:shape id="_x0000_s4785" style="position:absolute;left:1408;top:2264;width:91;height:66" coordsize="91,66" path="m46,l91,33,46,66,,33,46,xe" fillcolor="navy" strokecolor="navy">
                <v:path arrowok="t"/>
              </v:shape>
              <v:shape id="_x0000_s4786" style="position:absolute;left:1408;top:2264;width:91;height:66" coordsize="91,66" path="m46,l91,33,46,66,,33,46,xe" fillcolor="navy" strokecolor="navy">
                <v:path arrowok="t"/>
              </v:shape>
              <v:shape id="_x0000_s4787" style="position:absolute;left:1408;top:2264;width:91;height:66" coordsize="91,66" path="m46,l91,33,46,66,,33,46,xe" fillcolor="navy" strokecolor="navy">
                <v:path arrowok="t"/>
              </v:shape>
              <v:shape id="_x0000_s4788" style="position:absolute;left:1408;top:2264;width:91;height:66" coordsize="91,66" path="m46,l91,33,46,66,,33,46,xe" fillcolor="navy" strokecolor="navy">
                <v:path arrowok="t"/>
              </v:shape>
              <v:shape id="_x0000_s4789" style="position:absolute;left:1408;top:2264;width:91;height:66" coordsize="91,66" path="m46,l91,33,46,66,,33,46,xe" fillcolor="navy" strokecolor="navy">
                <v:path arrowok="t"/>
              </v:shape>
              <v:shape id="_x0000_s4790" style="position:absolute;left:1408;top:2264;width:91;height:66" coordsize="91,66" path="m46,l91,33,46,66,,33,46,xe" fillcolor="navy" strokecolor="navy">
                <v:path arrowok="t"/>
              </v:shape>
              <v:shape id="_x0000_s4791" style="position:absolute;left:1408;top:2253;width:91;height:66" coordsize="91,66" path="m46,l91,33,46,66,,33,46,xe" fillcolor="navy" strokecolor="navy">
                <v:path arrowok="t"/>
              </v:shape>
              <v:shape id="_x0000_s4792" style="position:absolute;left:1408;top:2253;width:91;height:66" coordsize="91,66" path="m46,l91,33,46,66,,33,46,xe" fillcolor="navy" strokecolor="navy">
                <v:path arrowok="t"/>
              </v:shape>
              <v:shape id="_x0000_s4793" style="position:absolute;left:1408;top:2253;width:91;height:66" coordsize="91,66" path="m46,l91,33,46,66,,33,46,xe" fillcolor="navy" strokecolor="navy">
                <v:path arrowok="t"/>
              </v:shape>
              <v:shape id="_x0000_s4794" style="position:absolute;left:1408;top:2253;width:91;height:66" coordsize="91,66" path="m46,l91,33,46,66,,33,46,xe" fillcolor="navy" strokecolor="navy">
                <v:path arrowok="t"/>
              </v:shape>
              <v:shape id="_x0000_s4795" style="position:absolute;left:1408;top:2253;width:91;height:66" coordsize="91,66" path="m46,l91,33,46,66,,33,46,xe" fillcolor="navy" strokecolor="navy">
                <v:path arrowok="t"/>
              </v:shape>
              <v:shape id="_x0000_s4796" style="position:absolute;left:1408;top:2253;width:91;height:66" coordsize="91,66" path="m46,l91,33,46,66,,33,46,xe" fillcolor="navy" strokecolor="navy">
                <v:path arrowok="t"/>
              </v:shape>
              <v:shape id="_x0000_s4797" style="position:absolute;left:1408;top:2253;width:91;height:66" coordsize="91,66" path="m46,l91,33,46,66,,33,46,xe" fillcolor="navy" strokecolor="navy">
                <v:path arrowok="t"/>
              </v:shape>
              <v:shape id="_x0000_s4798" style="position:absolute;left:1408;top:2253;width:91;height:66" coordsize="91,66" path="m46,l91,33,46,66,,33,46,xe" fillcolor="navy" strokecolor="navy">
                <v:path arrowok="t"/>
              </v:shape>
              <v:shape id="_x0000_s4799" style="position:absolute;left:1408;top:2253;width:91;height:66" coordsize="91,66" path="m46,l91,33,46,66,,33,46,xe" fillcolor="navy" strokecolor="navy">
                <v:path arrowok="t"/>
              </v:shape>
              <v:shape id="_x0000_s4800" style="position:absolute;left:1408;top:2253;width:91;height:66" coordsize="91,66" path="m46,l91,33,46,66,,33,46,xe" fillcolor="navy" strokecolor="navy">
                <v:path arrowok="t"/>
              </v:shape>
              <v:shape id="_x0000_s4801" style="position:absolute;left:1408;top:2253;width:91;height:66" coordsize="91,66" path="m46,l91,33,46,66,,33,46,xe" fillcolor="navy" strokecolor="navy">
                <v:path arrowok="t"/>
              </v:shape>
              <v:shape id="_x0000_s4802" style="position:absolute;left:1408;top:2242;width:91;height:66" coordsize="91,66" path="m46,l91,33,46,66,,33,46,xe" fillcolor="navy" strokecolor="navy">
                <v:path arrowok="t"/>
              </v:shape>
              <v:shape id="_x0000_s4803" style="position:absolute;left:1408;top:2242;width:91;height:66" coordsize="91,66" path="m46,l91,33,46,66,,33,46,xe" fillcolor="navy" strokecolor="navy">
                <v:path arrowok="t"/>
              </v:shape>
              <v:shape id="_x0000_s4804" style="position:absolute;left:1408;top:2242;width:91;height:66" coordsize="91,66" path="m46,l91,33,46,66,,33,46,xe" fillcolor="navy" strokecolor="navy">
                <v:path arrowok="t"/>
              </v:shape>
              <v:shape id="_x0000_s4805" style="position:absolute;left:1408;top:2242;width:91;height:66" coordsize="91,66" path="m46,l91,33,46,66,,33,46,xe" fillcolor="navy" strokecolor="navy">
                <v:path arrowok="t"/>
              </v:shape>
              <v:shape id="_x0000_s4806" style="position:absolute;left:1408;top:2242;width:91;height:66" coordsize="91,66" path="m46,l91,33,46,66,,33,46,xe" fillcolor="navy" strokecolor="navy">
                <v:path arrowok="t"/>
              </v:shape>
              <v:shape id="_x0000_s4807" style="position:absolute;left:1408;top:2242;width:91;height:66" coordsize="91,66" path="m46,l91,33,46,66,,33,46,xe" fillcolor="navy" strokecolor="navy">
                <v:path arrowok="t"/>
              </v:shape>
              <v:shape id="_x0000_s4808" style="position:absolute;left:1408;top:2242;width:91;height:66" coordsize="91,66" path="m46,l91,33,46,66,,33,46,xe" fillcolor="navy" strokecolor="navy">
                <v:path arrowok="t"/>
              </v:shape>
              <v:shape id="_x0000_s4809" style="position:absolute;left:1408;top:2242;width:91;height:66" coordsize="91,66" path="m46,l91,33,46,66,,33,46,xe" fillcolor="navy" strokecolor="navy">
                <v:path arrowok="t"/>
              </v:shape>
              <v:shape id="_x0000_s4810" style="position:absolute;left:1408;top:2242;width:91;height:66" coordsize="91,66" path="m46,l91,33,46,66,,33,46,xe" fillcolor="navy" strokecolor="navy">
                <v:path arrowok="t"/>
              </v:shape>
              <v:shape id="_x0000_s4811" style="position:absolute;left:1408;top:2242;width:91;height:66" coordsize="91,66" path="m46,l91,33,46,66,,33,46,xe" fillcolor="navy" strokecolor="navy">
                <v:path arrowok="t"/>
              </v:shape>
              <v:shape id="_x0000_s4812" style="position:absolute;left:1408;top:2242;width:91;height:66" coordsize="91,66" path="m46,l91,33,46,66,,33,46,xe" fillcolor="navy" strokecolor="navy">
                <v:path arrowok="t"/>
              </v:shape>
              <v:shape id="_x0000_s4813" style="position:absolute;left:1408;top:2242;width:91;height:66" coordsize="91,66" path="m46,l91,33,46,66,,33,46,xe" fillcolor="navy" strokecolor="navy">
                <v:path arrowok="t"/>
              </v:shape>
              <v:shape id="_x0000_s4814" style="position:absolute;left:1408;top:2242;width:91;height:66" coordsize="91,66" path="m46,l91,33,46,66,,33,46,xe" fillcolor="navy" strokecolor="navy">
                <v:path arrowok="t"/>
              </v:shape>
              <v:shape id="_x0000_s4815" style="position:absolute;left:1408;top:2242;width:91;height:66" coordsize="91,66" path="m46,l91,33,46,66,,33,46,xe" fillcolor="navy" strokecolor="navy">
                <v:path arrowok="t"/>
              </v:shape>
              <v:shape id="_x0000_s4816" style="position:absolute;left:1408;top:2231;width:91;height:66" coordsize="91,66" path="m46,l91,33,46,66,,33,46,xe" fillcolor="navy" strokecolor="navy">
                <v:path arrowok="t"/>
              </v:shape>
              <v:shape id="_x0000_s4817" style="position:absolute;left:1408;top:2231;width:91;height:66" coordsize="91,66" path="m46,l91,33,46,66,,33,46,xe" fillcolor="navy" strokecolor="navy">
                <v:path arrowok="t"/>
              </v:shape>
              <v:shape id="_x0000_s4818" style="position:absolute;left:1408;top:2231;width:91;height:66" coordsize="91,66" path="m46,l91,33,46,66,,33,46,xe" fillcolor="navy" strokecolor="navy">
                <v:path arrowok="t"/>
              </v:shape>
              <v:shape id="_x0000_s4819" style="position:absolute;left:1408;top:2231;width:91;height:66" coordsize="91,66" path="m46,l91,33,46,66,,33,46,xe" fillcolor="navy" strokecolor="navy">
                <v:path arrowok="t"/>
              </v:shape>
              <v:shape id="_x0000_s4820" style="position:absolute;left:1408;top:2231;width:91;height:66" coordsize="91,66" path="m46,l91,33,46,66,,33,46,xe" fillcolor="navy" strokecolor="navy">
                <v:path arrowok="t"/>
              </v:shape>
              <v:shape id="_x0000_s4821" style="position:absolute;left:1408;top:2231;width:91;height:66" coordsize="91,66" path="m46,l91,33,46,66,,33,46,xe" fillcolor="navy" strokecolor="navy">
                <v:path arrowok="t"/>
              </v:shape>
              <v:shape id="_x0000_s4822" style="position:absolute;left:1408;top:2231;width:91;height:66" coordsize="91,66" path="m46,l91,33,46,66,,33,46,xe" fillcolor="navy" strokecolor="navy">
                <v:path arrowok="t"/>
              </v:shape>
              <v:shape id="_x0000_s4823" style="position:absolute;left:1408;top:2231;width:91;height:66" coordsize="91,66" path="m46,l91,33,46,66,,33,46,xe" fillcolor="navy" strokecolor="navy">
                <v:path arrowok="t"/>
              </v:shape>
              <v:shape id="_x0000_s4824" style="position:absolute;left:1408;top:2231;width:91;height:66" coordsize="91,66" path="m46,l91,33,46,66,,33,46,xe" fillcolor="navy" strokecolor="navy">
                <v:path arrowok="t"/>
              </v:shape>
              <v:shape id="_x0000_s4825" style="position:absolute;left:1408;top:2231;width:91;height:66" coordsize="91,66" path="m46,l91,33,46,66,,33,46,xe" fillcolor="navy" strokecolor="navy">
                <v:path arrowok="t"/>
              </v:shape>
              <v:shape id="_x0000_s4826" style="position:absolute;left:1408;top:2231;width:91;height:66" coordsize="91,66" path="m46,l91,33,46,66,,33,46,xe" fillcolor="navy" strokecolor="navy">
                <v:path arrowok="t"/>
              </v:shape>
              <v:shape id="_x0000_s4827" style="position:absolute;left:1408;top:2231;width:91;height:66" coordsize="91,66" path="m46,l91,33,46,66,,33,46,xe" fillcolor="navy" strokecolor="navy">
                <v:path arrowok="t"/>
              </v:shape>
              <v:shape id="_x0000_s4828" style="position:absolute;left:1408;top:2220;width:91;height:66" coordsize="91,66" path="m46,l91,33,46,66,,33,46,xe" fillcolor="navy" strokecolor="navy">
                <v:path arrowok="t"/>
              </v:shape>
              <v:shape id="_x0000_s4829" style="position:absolute;left:1408;top:2220;width:91;height:66" coordsize="91,66" path="m46,l91,33,46,66,,33,46,xe" fillcolor="navy" strokecolor="navy">
                <v:path arrowok="t"/>
              </v:shape>
              <v:shape id="_x0000_s4830" style="position:absolute;left:1408;top:2220;width:91;height:66" coordsize="91,66" path="m46,l91,33,46,66,,33,46,xe" fillcolor="navy" strokecolor="navy">
                <v:path arrowok="t"/>
              </v:shape>
              <v:shape id="_x0000_s4831" style="position:absolute;left:1408;top:2220;width:91;height:66" coordsize="91,66" path="m46,l91,33,46,66,,33,46,xe" fillcolor="navy" strokecolor="navy">
                <v:path arrowok="t"/>
              </v:shape>
              <v:shape id="_x0000_s4832" style="position:absolute;left:1408;top:2220;width:91;height:66" coordsize="91,66" path="m46,l91,33,46,66,,33,46,xe" fillcolor="navy" strokecolor="navy">
                <v:path arrowok="t"/>
              </v:shape>
              <v:shape id="_x0000_s4833" style="position:absolute;left:1408;top:2220;width:91;height:66" coordsize="91,66" path="m46,l91,33,46,66,,33,46,xe" fillcolor="navy" strokecolor="navy">
                <v:path arrowok="t"/>
              </v:shape>
              <v:shape id="_x0000_s4834" style="position:absolute;left:1408;top:2220;width:91;height:66" coordsize="91,66" path="m46,l91,33,46,66,,33,46,xe" fillcolor="navy" strokecolor="navy">
                <v:path arrowok="t"/>
              </v:shape>
              <v:shape id="_x0000_s4835" style="position:absolute;left:1408;top:2220;width:91;height:66" coordsize="91,66" path="m46,l91,33,46,66,,33,46,xe" fillcolor="navy" strokecolor="navy">
                <v:path arrowok="t"/>
              </v:shape>
              <v:shape id="_x0000_s4836" style="position:absolute;left:1408;top:2220;width:91;height:66" coordsize="91,66" path="m46,l91,33,46,66,,33,46,xe" fillcolor="navy" strokecolor="navy">
                <v:path arrowok="t"/>
              </v:shape>
              <v:shape id="_x0000_s4837" style="position:absolute;left:1408;top:2220;width:91;height:66" coordsize="91,66" path="m46,l91,33,46,66,,33,46,xe" fillcolor="navy" strokecolor="navy">
                <v:path arrowok="t"/>
              </v:shape>
              <v:shape id="_x0000_s4838" style="position:absolute;left:1408;top:2220;width:91;height:66" coordsize="91,66" path="m46,l91,33,46,66,,33,46,xe" fillcolor="navy" strokecolor="navy">
                <v:path arrowok="t"/>
              </v:shape>
              <v:shape id="_x0000_s4839" style="position:absolute;left:1408;top:2220;width:91;height:66" coordsize="91,66" path="m46,l91,33,46,66,,33,46,xe" fillcolor="navy" strokecolor="navy">
                <v:path arrowok="t"/>
              </v:shape>
              <v:shape id="_x0000_s4840" style="position:absolute;left:1408;top:2220;width:91;height:66" coordsize="91,66" path="m46,l91,33,46,66,,33,46,xe" fillcolor="navy" strokecolor="navy">
                <v:path arrowok="t"/>
              </v:shape>
              <v:shape id="_x0000_s4841" style="position:absolute;left:1408;top:2220;width:91;height:66" coordsize="91,66" path="m46,l91,33,46,66,,33,46,xe" fillcolor="navy" strokecolor="navy">
                <v:path arrowok="t"/>
              </v:shape>
              <v:shape id="_x0000_s4842" style="position:absolute;left:1408;top:2220;width:91;height:66" coordsize="91,66" path="m46,l91,33,46,66,,33,46,xe" fillcolor="navy" strokecolor="navy">
                <v:path arrowok="t"/>
              </v:shape>
              <v:shape id="_x0000_s4843" style="position:absolute;left:1408;top:2209;width:91;height:66" coordsize="91,66" path="m46,l91,33,46,66,,33,46,xe" fillcolor="navy" strokecolor="navy">
                <v:path arrowok="t"/>
              </v:shape>
              <v:shape id="_x0000_s4844" style="position:absolute;left:1408;top:2209;width:91;height:66" coordsize="91,66" path="m46,l91,33,46,66,,33,46,xe" fillcolor="navy" strokecolor="navy">
                <v:path arrowok="t"/>
              </v:shape>
              <v:shape id="_x0000_s4845" style="position:absolute;left:1408;top:2209;width:91;height:66" coordsize="91,66" path="m46,l91,33,46,66,,33,46,xe" fillcolor="navy" strokecolor="navy">
                <v:path arrowok="t"/>
              </v:shape>
              <v:shape id="_x0000_s4846" style="position:absolute;left:1408;top:2209;width:91;height:66" coordsize="91,66" path="m46,l91,33,46,66,,33,46,xe" fillcolor="navy" strokecolor="navy">
                <v:path arrowok="t"/>
              </v:shape>
              <v:shape id="_x0000_s4847" style="position:absolute;left:1408;top:2209;width:91;height:66" coordsize="91,66" path="m46,l91,33,46,66,,33,46,xe" fillcolor="navy" strokecolor="navy">
                <v:path arrowok="t"/>
              </v:shape>
              <v:shape id="_x0000_s4848" style="position:absolute;left:1408;top:2209;width:91;height:66" coordsize="91,66" path="m46,l91,33,46,66,,33,46,xe" fillcolor="navy" strokecolor="navy">
                <v:path arrowok="t"/>
              </v:shape>
              <v:shape id="_x0000_s4849" style="position:absolute;left:1408;top:2209;width:91;height:66" coordsize="91,66" path="m46,l91,33,46,66,,33,46,xe" fillcolor="navy" strokecolor="navy">
                <v:path arrowok="t"/>
              </v:shape>
              <v:shape id="_x0000_s4850" style="position:absolute;left:1408;top:2209;width:91;height:66" coordsize="91,66" path="m46,l91,33,46,66,,33,46,xe" fillcolor="navy" strokecolor="navy">
                <v:path arrowok="t"/>
              </v:shape>
              <v:shape id="_x0000_s4851" style="position:absolute;left:1408;top:2209;width:91;height:66" coordsize="91,66" path="m46,l91,33,46,66,,33,46,xe" fillcolor="navy" strokecolor="navy">
                <v:path arrowok="t"/>
              </v:shape>
              <v:shape id="_x0000_s4852" style="position:absolute;left:1408;top:2198;width:91;height:66" coordsize="91,66" path="m46,l91,33,46,66,,33,46,xe" fillcolor="navy" strokecolor="navy">
                <v:path arrowok="t"/>
              </v:shape>
              <v:shape id="_x0000_s4853" style="position:absolute;left:1408;top:2198;width:91;height:66" coordsize="91,66" path="m46,l91,33,46,66,,33,46,xe" fillcolor="navy" strokecolor="navy">
                <v:path arrowok="t"/>
              </v:shape>
              <v:shape id="_x0000_s4854" style="position:absolute;left:1408;top:2198;width:91;height:66" coordsize="91,66" path="m46,l91,33,46,66,,33,46,xe" fillcolor="navy" strokecolor="navy">
                <v:path arrowok="t"/>
              </v:shape>
              <v:shape id="_x0000_s4855" style="position:absolute;left:1408;top:2198;width:91;height:66" coordsize="91,66" path="m46,l91,33,46,66,,33,46,xe" fillcolor="navy" strokecolor="navy">
                <v:path arrowok="t"/>
              </v:shape>
              <v:shape id="_x0000_s4856" style="position:absolute;left:1408;top:2198;width:91;height:66" coordsize="91,66" path="m46,l91,33,46,66,,33,46,xe" fillcolor="navy" strokecolor="navy">
                <v:path arrowok="t"/>
              </v:shape>
              <v:shape id="_x0000_s4857" style="position:absolute;left:1408;top:2198;width:91;height:66" coordsize="91,66" path="m46,l91,33,46,66,,33,46,xe" fillcolor="navy" strokecolor="navy">
                <v:path arrowok="t"/>
              </v:shape>
              <v:shape id="_x0000_s4858" style="position:absolute;left:1408;top:2198;width:91;height:66" coordsize="91,66" path="m46,l91,33,46,66,,33,46,xe" fillcolor="navy" strokecolor="navy">
                <v:path arrowok="t"/>
              </v:shape>
              <v:shape id="_x0000_s4859" style="position:absolute;left:1408;top:2198;width:91;height:66" coordsize="91,66" path="m46,l91,33,46,66,,33,46,xe" fillcolor="navy" strokecolor="navy">
                <v:path arrowok="t"/>
              </v:shape>
              <v:shape id="_x0000_s4860" style="position:absolute;left:1408;top:2198;width:91;height:66" coordsize="91,66" path="m46,l91,33,46,66,,33,46,xe" fillcolor="navy" strokecolor="navy">
                <v:path arrowok="t"/>
              </v:shape>
              <v:shape id="_x0000_s4861" style="position:absolute;left:1408;top:2198;width:91;height:66" coordsize="91,66" path="m46,l91,33,46,66,,33,46,xe" fillcolor="navy" strokecolor="navy">
                <v:path arrowok="t"/>
              </v:shape>
              <v:shape id="_x0000_s4862" style="position:absolute;left:1408;top:2198;width:91;height:66" coordsize="91,66" path="m46,l91,33,46,66,,33,46,xe" fillcolor="navy" strokecolor="navy">
                <v:path arrowok="t"/>
              </v:shape>
              <v:shape id="_x0000_s4863" style="position:absolute;left:1408;top:2198;width:91;height:66" coordsize="91,66" path="m46,l91,33,46,66,,33,46,xe" fillcolor="navy" strokecolor="navy">
                <v:path arrowok="t"/>
              </v:shape>
              <v:shape id="_x0000_s4864" style="position:absolute;left:1408;top:2198;width:91;height:66" coordsize="91,66" path="m46,l91,33,46,66,,33,46,xe" fillcolor="navy" strokecolor="navy">
                <v:path arrowok="t"/>
              </v:shape>
              <v:shape id="_x0000_s4865" style="position:absolute;left:1408;top:2187;width:91;height:66" coordsize="91,66" path="m46,l91,33,46,66,,33,46,xe" fillcolor="navy" strokecolor="navy">
                <v:path arrowok="t"/>
              </v:shape>
              <v:shape id="_x0000_s4866" style="position:absolute;left:1408;top:2187;width:91;height:66" coordsize="91,66" path="m46,l91,33,46,66,,33,46,xe" fillcolor="navy" strokecolor="navy">
                <v:path arrowok="t"/>
              </v:shape>
              <v:shape id="_x0000_s4867" style="position:absolute;left:1408;top:2187;width:91;height:66" coordsize="91,66" path="m46,l91,33,46,66,,33,46,xe" fillcolor="navy" strokecolor="navy">
                <v:path arrowok="t"/>
              </v:shape>
              <v:shape id="_x0000_s4868" style="position:absolute;left:1408;top:2187;width:91;height:66" coordsize="91,66" path="m46,l91,33,46,66,,33,46,xe" fillcolor="navy" strokecolor="navy">
                <v:path arrowok="t"/>
              </v:shape>
              <v:shape id="_x0000_s4869" style="position:absolute;left:1408;top:2187;width:91;height:66" coordsize="91,66" path="m46,l91,33,46,66,,33,46,xe" fillcolor="navy" strokecolor="navy">
                <v:path arrowok="t"/>
              </v:shape>
              <v:shape id="_x0000_s4870" style="position:absolute;left:1408;top:2187;width:91;height:66" coordsize="91,66" path="m46,l91,33,46,66,,33,46,xe" fillcolor="navy" strokecolor="navy">
                <v:path arrowok="t"/>
              </v:shape>
              <v:shape id="_x0000_s4871" style="position:absolute;left:1408;top:2176;width:91;height:66" coordsize="91,66" path="m46,l91,33,46,66,,33,46,xe" fillcolor="navy" strokecolor="navy">
                <v:path arrowok="t"/>
              </v:shape>
              <v:shape id="_x0000_s4872" style="position:absolute;left:1408;top:2176;width:91;height:66" coordsize="91,66" path="m46,l91,33,46,66,,33,46,xe" fillcolor="navy" strokecolor="navy">
                <v:path arrowok="t"/>
              </v:shape>
              <v:shape id="_x0000_s4873" style="position:absolute;left:1408;top:2176;width:91;height:66" coordsize="91,66" path="m46,l91,33,46,66,,33,46,xe" fillcolor="navy" strokecolor="navy">
                <v:path arrowok="t"/>
              </v:shape>
              <v:shape id="_x0000_s4874" style="position:absolute;left:1408;top:2176;width:91;height:66" coordsize="91,66" path="m46,l91,33,46,66,,33,46,xe" fillcolor="navy" strokecolor="navy">
                <v:path arrowok="t"/>
              </v:shape>
              <v:shape id="_x0000_s4875" style="position:absolute;left:1408;top:2176;width:91;height:66" coordsize="91,66" path="m46,l91,33,46,66,,33,46,xe" fillcolor="navy" strokecolor="navy">
                <v:path arrowok="t"/>
              </v:shape>
              <v:shape id="_x0000_s4876" style="position:absolute;left:1408;top:2176;width:91;height:66" coordsize="91,66" path="m46,l91,33,46,66,,33,46,xe" fillcolor="navy" strokecolor="navy">
                <v:path arrowok="t"/>
              </v:shape>
              <v:shape id="_x0000_s4877" style="position:absolute;left:1408;top:2176;width:91;height:66" coordsize="91,66" path="m46,l91,33,46,66,,33,46,xe" fillcolor="navy" strokecolor="navy">
                <v:path arrowok="t"/>
              </v:shape>
              <v:shape id="_x0000_s4878" style="position:absolute;left:1408;top:2176;width:91;height:66" coordsize="91,66" path="m46,l91,33,46,66,,33,46,xe" fillcolor="navy" strokecolor="navy">
                <v:path arrowok="t"/>
              </v:shape>
              <v:shape id="_x0000_s4879" style="position:absolute;left:1408;top:2176;width:91;height:66" coordsize="91,66" path="m46,l91,33,46,66,,33,46,xe" fillcolor="navy" strokecolor="navy">
                <v:path arrowok="t"/>
              </v:shape>
              <v:shape id="_x0000_s4880" style="position:absolute;left:1408;top:2176;width:91;height:66" coordsize="91,66" path="m46,l91,33,46,66,,33,46,xe" fillcolor="navy" strokecolor="navy">
                <v:path arrowok="t"/>
              </v:shape>
              <v:shape id="_x0000_s4881" style="position:absolute;left:1408;top:2165;width:91;height:66" coordsize="91,66" path="m46,l91,33,46,66,,33,46,xe" fillcolor="navy" strokecolor="navy">
                <v:path arrowok="t"/>
              </v:shape>
              <v:shape id="_x0000_s4882" style="position:absolute;left:1408;top:2165;width:91;height:66" coordsize="91,66" path="m46,l91,33,46,66,,33,46,xe" fillcolor="navy" strokecolor="navy">
                <v:path arrowok="t"/>
              </v:shape>
              <v:shape id="_x0000_s4883" style="position:absolute;left:1408;top:2165;width:91;height:66" coordsize="91,66" path="m46,l91,33,46,66,,33,46,xe" fillcolor="navy" strokecolor="navy">
                <v:path arrowok="t"/>
              </v:shape>
              <v:shape id="_x0000_s4884" style="position:absolute;left:1408;top:2165;width:91;height:66" coordsize="91,66" path="m46,l91,33,46,66,,33,46,xe" fillcolor="navy" strokecolor="navy">
                <v:path arrowok="t"/>
              </v:shape>
              <v:shape id="_x0000_s4885" style="position:absolute;left:1408;top:2165;width:91;height:66" coordsize="91,66" path="m46,l91,33,46,66,,33,46,xe" fillcolor="navy" strokecolor="navy">
                <v:path arrowok="t"/>
              </v:shape>
              <v:shape id="_x0000_s4886" style="position:absolute;left:1408;top:2165;width:91;height:66" coordsize="91,66" path="m46,l91,33,46,66,,33,46,xe" fillcolor="navy" strokecolor="navy">
                <v:path arrowok="t"/>
              </v:shape>
              <v:shape id="_x0000_s4887" style="position:absolute;left:1408;top:2165;width:91;height:66" coordsize="91,66" path="m46,l91,33,46,66,,33,46,xe" fillcolor="navy" strokecolor="navy">
                <v:path arrowok="t"/>
              </v:shape>
              <v:shape id="_x0000_s4888" style="position:absolute;left:1408;top:2165;width:91;height:66" coordsize="91,66" path="m46,l91,33,46,66,,33,46,xe" fillcolor="navy" strokecolor="navy">
                <v:path arrowok="t"/>
              </v:shape>
              <v:shape id="_x0000_s4889" style="position:absolute;left:1408;top:2165;width:91;height:66" coordsize="91,66" path="m46,l91,33,46,66,,33,46,xe" fillcolor="navy" strokecolor="navy">
                <v:path arrowok="t"/>
              </v:shape>
              <v:shape id="_x0000_s4890" style="position:absolute;left:1408;top:2165;width:91;height:66" coordsize="91,66" path="m46,l91,33,46,66,,33,46,xe" fillcolor="navy" strokecolor="navy">
                <v:path arrowok="t"/>
              </v:shape>
              <v:shape id="_x0000_s4891" style="position:absolute;left:1408;top:2165;width:91;height:66" coordsize="91,66" path="m46,l91,33,46,66,,33,46,xe" fillcolor="navy" strokecolor="navy">
                <v:path arrowok="t"/>
              </v:shape>
              <v:shape id="_x0000_s4892" style="position:absolute;left:1408;top:2165;width:91;height:66" coordsize="91,66" path="m46,l91,33,46,66,,33,46,xe" fillcolor="navy" strokecolor="navy">
                <v:path arrowok="t"/>
              </v:shape>
              <v:shape id="_x0000_s4893" style="position:absolute;left:1408;top:2154;width:91;height:66" coordsize="91,66" path="m46,l91,33,46,66,,33,46,xe" fillcolor="navy" strokecolor="navy">
                <v:path arrowok="t"/>
              </v:shape>
              <v:shape id="_x0000_s4894" style="position:absolute;left:1408;top:2154;width:91;height:66" coordsize="91,66" path="m46,l91,33,46,66,,33,46,xe" fillcolor="navy" strokecolor="navy">
                <v:path arrowok="t"/>
              </v:shape>
              <v:shape id="_x0000_s4895" style="position:absolute;left:1408;top:2154;width:91;height:66" coordsize="91,66" path="m46,l91,33,46,66,,33,46,xe" fillcolor="navy" strokecolor="navy">
                <v:path arrowok="t"/>
              </v:shape>
              <v:shape id="_x0000_s4896" style="position:absolute;left:1408;top:2154;width:91;height:66" coordsize="91,66" path="m46,l91,33,46,66,,33,46,xe" fillcolor="navy" strokecolor="navy">
                <v:path arrowok="t"/>
              </v:shape>
              <v:shape id="_x0000_s4897" style="position:absolute;left:1408;top:2154;width:91;height:66" coordsize="91,66" path="m46,l91,33,46,66,,33,46,xe" fillcolor="navy" strokecolor="navy">
                <v:path arrowok="t"/>
              </v:shape>
              <v:shape id="_x0000_s4898" style="position:absolute;left:1408;top:2154;width:91;height:66" coordsize="91,66" path="m46,l91,33,46,66,,33,46,xe" fillcolor="navy" strokecolor="navy">
                <v:path arrowok="t"/>
              </v:shape>
              <v:shape id="_x0000_s4899" style="position:absolute;left:1408;top:2154;width:91;height:66" coordsize="91,66" path="m46,l91,33,46,66,,33,46,xe" fillcolor="navy" strokecolor="navy">
                <v:path arrowok="t"/>
              </v:shape>
              <v:shape id="_x0000_s4900" style="position:absolute;left:1408;top:2143;width:91;height:66" coordsize="91,66" path="m46,l91,33,46,66,,33,46,xe" fillcolor="navy" strokecolor="navy">
                <v:path arrowok="t"/>
              </v:shape>
              <v:shape id="_x0000_s4901" style="position:absolute;left:1408;top:2143;width:91;height:66" coordsize="91,66" path="m46,l91,33,46,66,,33,46,xe" fillcolor="navy" strokecolor="navy">
                <v:path arrowok="t"/>
              </v:shape>
              <v:shape id="_x0000_s4902" style="position:absolute;left:1408;top:2143;width:91;height:66" coordsize="91,66" path="m46,l91,33,46,66,,33,46,xe" fillcolor="navy" strokecolor="navy">
                <v:path arrowok="t"/>
              </v:shape>
              <v:shape id="_x0000_s4903" style="position:absolute;left:1408;top:2143;width:91;height:66" coordsize="91,66" path="m46,l91,33,46,66,,33,46,xe" fillcolor="navy" strokecolor="navy">
                <v:path arrowok="t"/>
              </v:shape>
              <v:shape id="_x0000_s4904" style="position:absolute;left:1408;top:2143;width:91;height:66" coordsize="91,66" path="m46,l91,33,46,66,,33,46,xe" fillcolor="navy" strokecolor="navy">
                <v:path arrowok="t"/>
              </v:shape>
              <v:shape id="_x0000_s4905" style="position:absolute;left:1408;top:2143;width:91;height:66" coordsize="91,66" path="m46,l91,33,46,66,,33,46,xe" fillcolor="navy" strokecolor="navy">
                <v:path arrowok="t"/>
              </v:shape>
              <v:shape id="_x0000_s4906" style="position:absolute;left:1408;top:2143;width:91;height:66" coordsize="91,66" path="m46,l91,33,46,66,,33,46,xe" fillcolor="navy" strokecolor="navy">
                <v:path arrowok="t"/>
              </v:shape>
              <v:shape id="_x0000_s4907" style="position:absolute;left:1408;top:2143;width:91;height:66" coordsize="91,66" path="m46,l91,33,46,66,,33,46,xe" fillcolor="navy" strokecolor="navy">
                <v:path arrowok="t"/>
              </v:shape>
              <v:shape id="_x0000_s4908" style="position:absolute;left:1408;top:2143;width:91;height:66" coordsize="91,66" path="m46,l91,33,46,66,,33,46,xe" fillcolor="navy" strokecolor="navy">
                <v:path arrowok="t"/>
              </v:shape>
              <v:shape id="_x0000_s4909" style="position:absolute;left:1408;top:2132;width:91;height:66" coordsize="91,66" path="m46,l91,33,46,66,,33,46,xe" fillcolor="navy" strokecolor="navy">
                <v:path arrowok="t"/>
              </v:shape>
              <v:shape id="_x0000_s4910" style="position:absolute;left:1408;top:2132;width:91;height:66" coordsize="91,66" path="m46,l91,33,46,66,,33,46,xe" fillcolor="navy" strokecolor="navy">
                <v:path arrowok="t"/>
              </v:shape>
              <v:shape id="_x0000_s4911" style="position:absolute;left:1408;top:2132;width:91;height:66" coordsize="91,66" path="m46,l91,33,46,66,,33,46,xe" fillcolor="navy" strokecolor="navy">
                <v:path arrowok="t"/>
              </v:shape>
              <v:shape id="_x0000_s4912" style="position:absolute;left:1408;top:2132;width:91;height:66" coordsize="91,66" path="m46,l91,33,46,66,,33,46,xe" fillcolor="navy" strokecolor="navy">
                <v:path arrowok="t"/>
              </v:shape>
              <v:shape id="_x0000_s4913" style="position:absolute;left:1408;top:2132;width:91;height:66" coordsize="91,66" path="m46,l91,33,46,66,,33,46,xe" fillcolor="navy" strokecolor="navy">
                <v:path arrowok="t"/>
              </v:shape>
              <v:shape id="_x0000_s4914" style="position:absolute;left:1408;top:2132;width:91;height:66" coordsize="91,66" path="m46,l91,33,46,66,,33,46,xe" fillcolor="navy" strokecolor="navy">
                <v:path arrowok="t"/>
              </v:shape>
              <v:shape id="_x0000_s4915" style="position:absolute;left:1408;top:2132;width:91;height:66" coordsize="91,66" path="m46,l91,33,46,66,,33,46,xe" fillcolor="navy" strokecolor="navy">
                <v:path arrowok="t"/>
              </v:shape>
              <v:shape id="_x0000_s4916" style="position:absolute;left:1408;top:2132;width:91;height:66" coordsize="91,66" path="m46,l91,33,46,66,,33,46,xe" fillcolor="navy" strokecolor="navy">
                <v:path arrowok="t"/>
              </v:shape>
              <v:shape id="_x0000_s4917" style="position:absolute;left:1408;top:2132;width:91;height:66" coordsize="91,66" path="m46,l91,33,46,66,,33,46,xe" fillcolor="navy" strokecolor="navy">
                <v:path arrowok="t"/>
              </v:shape>
              <v:shape id="_x0000_s4918" style="position:absolute;left:1408;top:2121;width:91;height:66" coordsize="91,66" path="m46,l91,33,46,66,,33,46,xe" fillcolor="navy" strokecolor="navy">
                <v:path arrowok="t"/>
              </v:shape>
              <v:shape id="_x0000_s4919" style="position:absolute;left:1408;top:2121;width:91;height:66" coordsize="91,66" path="m46,l91,33,46,66,,33,46,xe" fillcolor="navy" strokecolor="navy">
                <v:path arrowok="t"/>
              </v:shape>
              <v:shape id="_x0000_s4920" style="position:absolute;left:1408;top:2121;width:91;height:66" coordsize="91,66" path="m46,l91,33,46,66,,33,46,xe" fillcolor="navy" strokecolor="navy">
                <v:path arrowok="t"/>
              </v:shape>
              <v:shape id="_x0000_s4921" style="position:absolute;left:1408;top:2121;width:91;height:66" coordsize="91,66" path="m46,l91,33,46,66,,33,46,xe" fillcolor="navy" strokecolor="navy">
                <v:path arrowok="t"/>
              </v:shape>
              <v:shape id="_x0000_s4922" style="position:absolute;left:1408;top:2121;width:91;height:66" coordsize="91,66" path="m46,l91,33,46,66,,33,46,xe" fillcolor="navy" strokecolor="navy">
                <v:path arrowok="t"/>
              </v:shape>
              <v:shape id="_x0000_s4923" style="position:absolute;left:1408;top:2110;width:91;height:66" coordsize="91,66" path="m46,l91,33,46,66,,33,46,xe" fillcolor="navy" strokecolor="navy">
                <v:path arrowok="t"/>
              </v:shape>
              <v:shape id="_x0000_s4924" style="position:absolute;left:1408;top:2110;width:91;height:66" coordsize="91,66" path="m46,l91,33,46,66,,33,46,xe" fillcolor="navy" strokecolor="navy">
                <v:path arrowok="t"/>
              </v:shape>
              <v:shape id="_x0000_s4925" style="position:absolute;left:1408;top:2098;width:91;height:67" coordsize="91,67" path="m46,l91,34,46,67,,34,46,xe" fillcolor="navy" strokecolor="navy">
                <v:path arrowok="t"/>
              </v:shape>
              <v:shape id="_x0000_s4926" style="position:absolute;left:1408;top:2098;width:91;height:67" coordsize="91,67" path="m46,l91,34,46,67,,34,46,xe" fillcolor="navy" strokecolor="navy">
                <v:path arrowok="t"/>
              </v:shape>
              <v:shape id="_x0000_s4927" style="position:absolute;left:1408;top:2098;width:91;height:67" coordsize="91,67" path="m46,l91,34,46,67,,34,46,xe" fillcolor="navy" strokecolor="navy">
                <v:path arrowok="t"/>
              </v:shape>
              <v:shape id="_x0000_s4928" style="position:absolute;left:1408;top:2098;width:91;height:67" coordsize="91,67" path="m46,l91,34,46,67,,34,46,xe" fillcolor="navy" strokecolor="navy">
                <v:path arrowok="t"/>
              </v:shape>
              <v:shape id="_x0000_s4929" style="position:absolute;left:1408;top:2087;width:91;height:67" coordsize="91,67" path="m46,l91,34,46,67,,34,46,xe" fillcolor="navy" strokecolor="navy">
                <v:path arrowok="t"/>
              </v:shape>
              <v:shape id="_x0000_s4930" style="position:absolute;left:1408;top:2087;width:91;height:67" coordsize="91,67" path="m46,l91,34,46,67,,34,46,xe" fillcolor="navy" strokecolor="navy">
                <v:path arrowok="t"/>
              </v:shape>
              <v:shape id="_x0000_s4931" style="position:absolute;left:1408;top:2087;width:91;height:67" coordsize="91,67" path="m46,l91,34,46,67,,34,46,xe" fillcolor="navy" strokecolor="navy">
                <v:path arrowok="t"/>
              </v:shape>
              <v:shape id="_x0000_s4932" style="position:absolute;left:1408;top:2087;width:91;height:67" coordsize="91,67" path="m46,l91,34,46,67,,34,46,xe" fillcolor="navy" strokecolor="navy">
                <v:path arrowok="t"/>
              </v:shape>
              <v:shape id="_x0000_s4933" style="position:absolute;left:1408;top:2087;width:91;height:67" coordsize="91,67" path="m46,l91,34,46,67,,34,46,xe" fillcolor="navy" strokecolor="navy">
                <v:path arrowok="t"/>
              </v:shape>
              <v:shape id="_x0000_s4934" style="position:absolute;left:1408;top:2076;width:91;height:67" coordsize="91,67" path="m46,l91,34,46,67,,34,46,xe" fillcolor="navy" strokecolor="navy">
                <v:path arrowok="t"/>
              </v:shape>
              <v:shape id="_x0000_s4935" style="position:absolute;left:1408;top:2076;width:91;height:67" coordsize="91,67" path="m46,l91,34,46,67,,34,46,xe" fillcolor="navy" strokecolor="navy">
                <v:path arrowok="t"/>
              </v:shape>
              <v:shape id="_x0000_s4936" style="position:absolute;left:1408;top:2076;width:91;height:67" coordsize="91,67" path="m46,l91,34,46,67,,34,46,xe" fillcolor="navy" strokecolor="navy">
                <v:path arrowok="t"/>
              </v:shape>
              <v:shape id="_x0000_s4937" style="position:absolute;left:1408;top:2076;width:91;height:67" coordsize="91,67" path="m46,l91,34,46,67,,34,46,xe" fillcolor="navy" strokecolor="navy">
                <v:path arrowok="t"/>
              </v:shape>
              <v:shape id="_x0000_s4938" style="position:absolute;left:1408;top:2076;width:91;height:67" coordsize="91,67" path="m46,l91,34,46,67,,34,46,xe" fillcolor="navy" strokecolor="navy">
                <v:path arrowok="t"/>
              </v:shape>
              <v:shape id="_x0000_s4939" style="position:absolute;left:1408;top:2076;width:91;height:67" coordsize="91,67" path="m46,l91,34,46,67,,34,46,xe" fillcolor="navy" strokecolor="navy">
                <v:path arrowok="t"/>
              </v:shape>
              <v:shape id="_x0000_s4940" style="position:absolute;left:1408;top:2076;width:91;height:67" coordsize="91,67" path="m46,l91,34,46,67,,34,46,xe" fillcolor="navy" strokecolor="navy">
                <v:path arrowok="t"/>
              </v:shape>
              <v:shape id="_x0000_s4941" style="position:absolute;left:1408;top:2076;width:91;height:67" coordsize="91,67" path="m46,l91,34,46,67,,34,46,xe" fillcolor="navy" strokecolor="navy">
                <v:path arrowok="t"/>
              </v:shape>
              <v:shape id="_x0000_s4942" style="position:absolute;left:1408;top:2065;width:91;height:67" coordsize="91,67" path="m46,l91,33,46,67,,33,46,xe" fillcolor="navy" strokecolor="navy">
                <v:path arrowok="t"/>
              </v:shape>
              <v:shape id="_x0000_s4943" style="position:absolute;left:1408;top:2065;width:91;height:67" coordsize="91,67" path="m46,l91,33,46,67,,33,46,xe" fillcolor="navy" strokecolor="navy">
                <v:path arrowok="t"/>
              </v:shape>
              <v:shape id="_x0000_s4944" style="position:absolute;left:1408;top:2065;width:91;height:67" coordsize="91,67" path="m46,l91,33,46,67,,33,46,xe" fillcolor="navy" strokecolor="navy">
                <v:path arrowok="t"/>
              </v:shape>
              <v:shape id="_x0000_s4945" style="position:absolute;left:1408;top:2065;width:91;height:67" coordsize="91,67" path="m46,l91,33,46,67,,33,46,xe" fillcolor="navy" strokecolor="navy">
                <v:path arrowok="t"/>
              </v:shape>
              <v:shape id="_x0000_s4946" style="position:absolute;left:1408;top:2054;width:91;height:67" coordsize="91,67" path="m46,l91,33,46,67,,33,46,xe" fillcolor="navy" strokecolor="navy">
                <v:path arrowok="t"/>
              </v:shape>
              <v:shape id="_x0000_s4947" style="position:absolute;left:1408;top:2054;width:91;height:67" coordsize="91,67" path="m46,l91,33,46,67,,33,46,xe" fillcolor="navy" strokecolor="navy">
                <v:path arrowok="t"/>
              </v:shape>
              <v:shape id="_x0000_s4948" style="position:absolute;left:1408;top:2054;width:91;height:67" coordsize="91,67" path="m46,l91,33,46,67,,33,46,xe" fillcolor="navy" strokecolor="navy">
                <v:path arrowok="t"/>
              </v:shape>
              <v:shape id="_x0000_s4949" style="position:absolute;left:1408;top:2054;width:91;height:67" coordsize="91,67" path="m46,l91,33,46,67,,33,46,xe" fillcolor="navy" strokecolor="navy">
                <v:path arrowok="t"/>
              </v:shape>
              <v:shape id="_x0000_s4950" style="position:absolute;left:1408;top:2043;width:91;height:67" coordsize="91,67" path="m46,l91,33,46,67,,33,46,xe" fillcolor="navy" strokecolor="navy">
                <v:path arrowok="t"/>
              </v:shape>
              <v:shape id="_x0000_s4951" style="position:absolute;left:1408;top:2043;width:91;height:67" coordsize="91,67" path="m46,l91,33,46,67,,33,46,xe" fillcolor="navy" strokecolor="navy">
                <v:path arrowok="t"/>
              </v:shape>
              <v:shape id="_x0000_s4952" style="position:absolute;left:1408;top:2043;width:91;height:67" coordsize="91,67" path="m46,l91,33,46,67,,33,46,xe" fillcolor="navy" strokecolor="navy">
                <v:path arrowok="t"/>
              </v:shape>
              <v:shape id="_x0000_s4953" style="position:absolute;left:1408;top:2043;width:91;height:67" coordsize="91,67" path="m46,l91,33,46,67,,33,46,xe" fillcolor="navy" strokecolor="navy">
                <v:path arrowok="t"/>
              </v:shape>
              <v:shape id="_x0000_s4954" style="position:absolute;left:1408;top:2043;width:91;height:67" coordsize="91,67" path="m46,l91,33,46,67,,33,46,xe" fillcolor="navy" strokecolor="navy">
                <v:path arrowok="t"/>
              </v:shape>
              <v:shape id="_x0000_s4955" style="position:absolute;left:1408;top:2043;width:91;height:67" coordsize="91,67" path="m46,l91,33,46,67,,33,46,xe" fillcolor="navy" strokecolor="navy">
                <v:path arrowok="t"/>
              </v:shape>
              <v:shape id="_x0000_s4956" style="position:absolute;left:1408;top:2043;width:91;height:67" coordsize="91,67" path="m46,l91,33,46,67,,33,46,xe" fillcolor="navy" strokecolor="navy">
                <v:path arrowok="t"/>
              </v:shape>
              <v:shape id="_x0000_s4957" style="position:absolute;left:1408;top:2043;width:91;height:67" coordsize="91,67" path="m46,l91,33,46,67,,33,46,xe" fillcolor="navy" strokecolor="navy">
                <v:path arrowok="t"/>
              </v:shape>
              <v:shape id="_x0000_s4958" style="position:absolute;left:1408;top:2032;width:91;height:66" coordsize="91,66" path="m46,l91,33,46,66,,33,46,xe" fillcolor="navy" strokecolor="navy">
                <v:path arrowok="t"/>
              </v:shape>
              <v:shape id="_x0000_s4959" style="position:absolute;left:1408;top:2032;width:91;height:66" coordsize="91,66" path="m46,l91,33,46,66,,33,46,xe" fillcolor="navy" strokecolor="navy">
                <v:path arrowok="t"/>
              </v:shape>
              <v:shape id="_x0000_s4960" style="position:absolute;left:1408;top:2021;width:91;height:66" coordsize="91,66" path="m46,l91,33,46,66,,33,46,xe" fillcolor="navy" strokecolor="navy">
                <v:path arrowok="t"/>
              </v:shape>
              <v:shape id="_x0000_s4961" style="position:absolute;left:1408;top:2021;width:91;height:66" coordsize="91,66" path="m46,l91,33,46,66,,33,46,xe" fillcolor="navy" strokecolor="navy">
                <v:path arrowok="t"/>
              </v:shape>
              <v:shape id="_x0000_s4962" style="position:absolute;left:1408;top:2021;width:91;height:66" coordsize="91,66" path="m46,l91,33,46,66,,33,46,xe" fillcolor="navy" strokecolor="navy">
                <v:path arrowok="t"/>
              </v:shape>
              <v:shape id="_x0000_s4963" style="position:absolute;left:1408;top:2021;width:91;height:66" coordsize="91,66" path="m46,l91,33,46,66,,33,46,xe" fillcolor="navy" strokecolor="navy">
                <v:path arrowok="t"/>
              </v:shape>
              <v:shape id="_x0000_s4964" style="position:absolute;left:1408;top:2010;width:91;height:66" coordsize="91,66" path="m46,l91,33,46,66,,33,46,xe" fillcolor="navy" strokecolor="navy">
                <v:path arrowok="t"/>
              </v:shape>
              <v:shape id="_x0000_s4965" style="position:absolute;left:1408;top:1999;width:91;height:66" coordsize="91,66" path="m46,l91,33,46,66,,33,46,xe" fillcolor="navy" strokecolor="navy">
                <v:path arrowok="t"/>
              </v:shape>
              <v:shape id="_x0000_s4966" style="position:absolute;left:1408;top:1988;width:91;height:66" coordsize="91,66" path="m46,l91,33,46,66,,33,46,xe" fillcolor="navy" strokecolor="navy">
                <v:path arrowok="t"/>
              </v:shape>
              <v:shape id="_x0000_s4967" style="position:absolute;left:1408;top:1966;width:91;height:66" coordsize="91,66" path="m46,l91,33,46,66,,33,46,xe" fillcolor="navy" strokecolor="navy">
                <v:path arrowok="t"/>
              </v:shape>
              <v:shape id="_x0000_s4968" style="position:absolute;left:1408;top:1955;width:91;height:66" coordsize="91,66" path="m46,l91,33,46,66,,33,46,xe" fillcolor="navy" strokecolor="navy">
                <v:path arrowok="t"/>
              </v:shape>
              <v:shape id="_x0000_s4969" style="position:absolute;left:1408;top:1955;width:91;height:66" coordsize="91,66" path="m46,l91,33,46,66,,33,46,xe" fillcolor="navy" strokecolor="navy">
                <v:path arrowok="t"/>
              </v:shape>
              <v:shape id="_x0000_s4970" style="position:absolute;left:1408;top:1944;width:91;height:66" coordsize="91,66" path="m46,l91,33,46,66,,33,46,xe" fillcolor="navy" strokecolor="navy">
                <v:path arrowok="t"/>
              </v:shape>
            </v:group>
            <v:group id="_x0000_s5172" style="position:absolute;left:1408;top:1458;width:500;height:939" coordorigin="1408,1458" coordsize="500,939">
              <v:shape id="_x0000_s4972" style="position:absolute;left:1408;top:1944;width:91;height:66" coordsize="91,66" path="m46,l91,33,46,66,,33,46,xe" fillcolor="navy" strokecolor="navy">
                <v:path arrowok="t"/>
              </v:shape>
              <v:shape id="_x0000_s4973" style="position:absolute;left:1408;top:1933;width:91;height:66" coordsize="91,66" path="m46,l91,33,46,66,,33,46,xe" fillcolor="navy" strokecolor="navy">
                <v:path arrowok="t"/>
              </v:shape>
              <v:shape id="_x0000_s4974" style="position:absolute;left:1408;top:1933;width:91;height:66" coordsize="91,66" path="m46,l91,33,46,66,,33,46,xe" fillcolor="navy" strokecolor="navy">
                <v:path arrowok="t"/>
              </v:shape>
              <v:shape id="_x0000_s4975" style="position:absolute;left:1408;top:1922;width:91;height:66" coordsize="91,66" path="m46,l91,33,46,66,,33,46,xe" fillcolor="navy" strokecolor="navy">
                <v:path arrowok="t"/>
              </v:shape>
              <v:shape id="_x0000_s4976" style="position:absolute;left:1408;top:1889;width:91;height:66" coordsize="91,66" path="m46,l91,33,46,66,,33,46,xe" fillcolor="navy" strokecolor="navy">
                <v:path arrowok="t"/>
              </v:shape>
              <v:shape id="_x0000_s4977" style="position:absolute;left:1408;top:1867;width:91;height:66" coordsize="91,66" path="m46,l91,33,46,66,,33,46,xe" fillcolor="navy" strokecolor="navy">
                <v:path arrowok="t"/>
              </v:shape>
              <v:shape id="_x0000_s4978" style="position:absolute;left:1408;top:1844;width:91;height:67" coordsize="91,67" path="m46,l91,34,46,67,,34,46,xe" fillcolor="navy" strokecolor="navy">
                <v:path arrowok="t"/>
              </v:shape>
              <v:shape id="_x0000_s4979" style="position:absolute;left:1408;top:1778;width:91;height:66" coordsize="91,66" path="m46,l91,33,46,66,,33,46,xe" fillcolor="navy" strokecolor="navy">
                <v:path arrowok="t"/>
              </v:shape>
              <v:shape id="_x0000_s4980" style="position:absolute;left:1408;top:1756;width:91;height:66" coordsize="91,66" path="m46,l91,33,46,66,,33,46,xe" fillcolor="navy" strokecolor="navy">
                <v:path arrowok="t"/>
              </v:shape>
              <v:shape id="_x0000_s4981" style="position:absolute;left:1408;top:1745;width:91;height:66" coordsize="91,66" path="m46,l91,33,46,66,,33,46,xe" fillcolor="navy" strokecolor="navy">
                <v:path arrowok="t"/>
              </v:shape>
              <v:shape id="_x0000_s4982" style="position:absolute;left:1605;top:2330;width:91;height:67" coordsize="91,67" path="m46,l91,34,46,67,,34,46,xe" fillcolor="navy" strokecolor="navy">
                <v:path arrowok="t"/>
              </v:shape>
              <v:shape id="_x0000_s4983" style="position:absolute;left:1605;top:2308;width:91;height:67" coordsize="91,67" path="m46,l91,33,46,67,,33,46,xe" fillcolor="navy" strokecolor="navy">
                <v:path arrowok="t"/>
              </v:shape>
              <v:shape id="_x0000_s4984" style="position:absolute;left:1605;top:2308;width:91;height:67" coordsize="91,67" path="m46,l91,33,46,67,,33,46,xe" fillcolor="navy" strokecolor="navy">
                <v:path arrowok="t"/>
              </v:shape>
              <v:shape id="_x0000_s4985" style="position:absolute;left:1605;top:2308;width:91;height:67" coordsize="91,67" path="m46,l91,33,46,67,,33,46,xe" fillcolor="navy" strokecolor="navy">
                <v:path arrowok="t"/>
              </v:shape>
              <v:shape id="_x0000_s4986" style="position:absolute;left:1605;top:2308;width:91;height:67" coordsize="91,67" path="m46,l91,33,46,67,,33,46,xe" fillcolor="navy" strokecolor="navy">
                <v:path arrowok="t"/>
              </v:shape>
              <v:shape id="_x0000_s4987" style="position:absolute;left:1605;top:2308;width:91;height:67" coordsize="91,67" path="m46,l91,33,46,67,,33,46,xe" fillcolor="navy" strokecolor="navy">
                <v:path arrowok="t"/>
              </v:shape>
              <v:shape id="_x0000_s4988" style="position:absolute;left:1605;top:2297;width:91;height:67" coordsize="91,67" path="m46,l91,33,46,67,,33,46,xe" fillcolor="navy" strokecolor="navy">
                <v:path arrowok="t"/>
              </v:shape>
              <v:shape id="_x0000_s4989" style="position:absolute;left:1605;top:2297;width:91;height:67" coordsize="91,67" path="m46,l91,33,46,67,,33,46,xe" fillcolor="navy" strokecolor="navy">
                <v:path arrowok="t"/>
              </v:shape>
              <v:shape id="_x0000_s4990" style="position:absolute;left:1605;top:2286;width:91;height:66" coordsize="91,66" path="m46,l91,33,46,66,,33,46,xe" fillcolor="navy" strokecolor="navy">
                <v:path arrowok="t"/>
              </v:shape>
              <v:shape id="_x0000_s4991" style="position:absolute;left:1605;top:2286;width:91;height:66" coordsize="91,66" path="m46,l91,33,46,66,,33,46,xe" fillcolor="navy" strokecolor="navy">
                <v:path arrowok="t"/>
              </v:shape>
              <v:shape id="_x0000_s4992" style="position:absolute;left:1605;top:2275;width:91;height:66" coordsize="91,66" path="m46,l91,33,46,66,,33,46,xe" fillcolor="navy" strokecolor="navy">
                <v:path arrowok="t"/>
              </v:shape>
              <v:shape id="_x0000_s4993" style="position:absolute;left:1605;top:2275;width:91;height:66" coordsize="91,66" path="m46,l91,33,46,66,,33,46,xe" fillcolor="navy" strokecolor="navy">
                <v:path arrowok="t"/>
              </v:shape>
              <v:shape id="_x0000_s4994" style="position:absolute;left:1605;top:2264;width:91;height:66" coordsize="91,66" path="m46,l91,33,46,66,,33,46,xe" fillcolor="navy" strokecolor="navy">
                <v:path arrowok="t"/>
              </v:shape>
              <v:shape id="_x0000_s4995" style="position:absolute;left:1605;top:2264;width:91;height:66" coordsize="91,66" path="m46,l91,33,46,66,,33,46,xe" fillcolor="navy" strokecolor="navy">
                <v:path arrowok="t"/>
              </v:shape>
              <v:shape id="_x0000_s4996" style="position:absolute;left:1605;top:2264;width:91;height:66" coordsize="91,66" path="m46,l91,33,46,66,,33,46,xe" fillcolor="navy" strokecolor="navy">
                <v:path arrowok="t"/>
              </v:shape>
              <v:shape id="_x0000_s4997" style="position:absolute;left:1605;top:2253;width:91;height:66" coordsize="91,66" path="m46,l91,33,46,66,,33,46,xe" fillcolor="navy" strokecolor="navy">
                <v:path arrowok="t"/>
              </v:shape>
              <v:shape id="_x0000_s4998" style="position:absolute;left:1605;top:2253;width:91;height:66" coordsize="91,66" path="m46,l91,33,46,66,,33,46,xe" fillcolor="navy" strokecolor="navy">
                <v:path arrowok="t"/>
              </v:shape>
              <v:shape id="_x0000_s4999" style="position:absolute;left:1605;top:2253;width:91;height:66" coordsize="91,66" path="m46,l91,33,46,66,,33,46,xe" fillcolor="navy" strokecolor="navy">
                <v:path arrowok="t"/>
              </v:shape>
              <v:shape id="_x0000_s5000" style="position:absolute;left:1605;top:2253;width:91;height:66" coordsize="91,66" path="m46,l91,33,46,66,,33,46,xe" fillcolor="navy" strokecolor="navy">
                <v:path arrowok="t"/>
              </v:shape>
              <v:shape id="_x0000_s5001" style="position:absolute;left:1605;top:2242;width:91;height:66" coordsize="91,66" path="m46,l91,33,46,66,,33,46,xe" fillcolor="navy" strokecolor="navy">
                <v:path arrowok="t"/>
              </v:shape>
              <v:shape id="_x0000_s5002" style="position:absolute;left:1605;top:2242;width:91;height:66" coordsize="91,66" path="m46,l91,33,46,66,,33,46,xe" fillcolor="navy" strokecolor="navy">
                <v:path arrowok="t"/>
              </v:shape>
              <v:shape id="_x0000_s5003" style="position:absolute;left:1605;top:2242;width:91;height:66" coordsize="91,66" path="m46,l91,33,46,66,,33,46,xe" fillcolor="navy" strokecolor="navy">
                <v:path arrowok="t"/>
              </v:shape>
              <v:shape id="_x0000_s5004" style="position:absolute;left:1605;top:2242;width:91;height:66" coordsize="91,66" path="m46,l91,33,46,66,,33,46,xe" fillcolor="navy" strokecolor="navy">
                <v:path arrowok="t"/>
              </v:shape>
              <v:shape id="_x0000_s5005" style="position:absolute;left:1605;top:2242;width:91;height:66" coordsize="91,66" path="m46,l91,33,46,66,,33,46,xe" fillcolor="navy" strokecolor="navy">
                <v:path arrowok="t"/>
              </v:shape>
              <v:shape id="_x0000_s5006" style="position:absolute;left:1605;top:2242;width:91;height:66" coordsize="91,66" path="m46,l91,33,46,66,,33,46,xe" fillcolor="navy" strokecolor="navy">
                <v:path arrowok="t"/>
              </v:shape>
              <v:shape id="_x0000_s5007" style="position:absolute;left:1605;top:2242;width:91;height:66" coordsize="91,66" path="m46,l91,33,46,66,,33,46,xe" fillcolor="navy" strokecolor="navy">
                <v:path arrowok="t"/>
              </v:shape>
              <v:shape id="_x0000_s5008" style="position:absolute;left:1605;top:2242;width:91;height:66" coordsize="91,66" path="m46,l91,33,46,66,,33,46,xe" fillcolor="navy" strokecolor="navy">
                <v:path arrowok="t"/>
              </v:shape>
              <v:shape id="_x0000_s5009" style="position:absolute;left:1605;top:2231;width:91;height:66" coordsize="91,66" path="m46,l91,33,46,66,,33,46,xe" fillcolor="navy" strokecolor="navy">
                <v:path arrowok="t"/>
              </v:shape>
              <v:shape id="_x0000_s5010" style="position:absolute;left:1605;top:2231;width:91;height:66" coordsize="91,66" path="m46,l91,33,46,66,,33,46,xe" fillcolor="navy" strokecolor="navy">
                <v:path arrowok="t"/>
              </v:shape>
              <v:shape id="_x0000_s5011" style="position:absolute;left:1605;top:2231;width:91;height:66" coordsize="91,66" path="m46,l91,33,46,66,,33,46,xe" fillcolor="navy" strokecolor="navy">
                <v:path arrowok="t"/>
              </v:shape>
              <v:shape id="_x0000_s5012" style="position:absolute;left:1605;top:2231;width:91;height:66" coordsize="91,66" path="m46,l91,33,46,66,,33,46,xe" fillcolor="navy" strokecolor="navy">
                <v:path arrowok="t"/>
              </v:shape>
              <v:shape id="_x0000_s5013" style="position:absolute;left:1605;top:2220;width:91;height:66" coordsize="91,66" path="m46,l91,33,46,66,,33,46,xe" fillcolor="navy" strokecolor="navy">
                <v:path arrowok="t"/>
              </v:shape>
              <v:shape id="_x0000_s5014" style="position:absolute;left:1605;top:2220;width:91;height:66" coordsize="91,66" path="m46,l91,33,46,66,,33,46,xe" fillcolor="navy" strokecolor="navy">
                <v:path arrowok="t"/>
              </v:shape>
              <v:shape id="_x0000_s5015" style="position:absolute;left:1605;top:2220;width:91;height:66" coordsize="91,66" path="m46,l91,33,46,66,,33,46,xe" fillcolor="navy" strokecolor="navy">
                <v:path arrowok="t"/>
              </v:shape>
              <v:shape id="_x0000_s5016" style="position:absolute;left:1605;top:2209;width:91;height:66" coordsize="91,66" path="m46,l91,33,46,66,,33,46,xe" fillcolor="navy" strokecolor="navy">
                <v:path arrowok="t"/>
              </v:shape>
              <v:shape id="_x0000_s5017" style="position:absolute;left:1605;top:2209;width:91;height:66" coordsize="91,66" path="m46,l91,33,46,66,,33,46,xe" fillcolor="navy" strokecolor="navy">
                <v:path arrowok="t"/>
              </v:shape>
              <v:shape id="_x0000_s5018" style="position:absolute;left:1605;top:2209;width:91;height:66" coordsize="91,66" path="m46,l91,33,46,66,,33,46,xe" fillcolor="navy" strokecolor="navy">
                <v:path arrowok="t"/>
              </v:shape>
              <v:shape id="_x0000_s5019" style="position:absolute;left:1605;top:2198;width:91;height:66" coordsize="91,66" path="m46,l91,33,46,66,,33,46,xe" fillcolor="navy" strokecolor="navy">
                <v:path arrowok="t"/>
              </v:shape>
              <v:shape id="_x0000_s5020" style="position:absolute;left:1605;top:2198;width:91;height:66" coordsize="91,66" path="m46,l91,33,46,66,,33,46,xe" fillcolor="navy" strokecolor="navy">
                <v:path arrowok="t"/>
              </v:shape>
              <v:shape id="_x0000_s5021" style="position:absolute;left:1605;top:2187;width:91;height:66" coordsize="91,66" path="m46,l91,33,46,66,,33,46,xe" fillcolor="navy" strokecolor="navy">
                <v:path arrowok="t"/>
              </v:shape>
              <v:shape id="_x0000_s5022" style="position:absolute;left:1605;top:2187;width:91;height:66" coordsize="91,66" path="m46,l91,33,46,66,,33,46,xe" fillcolor="navy" strokecolor="navy">
                <v:path arrowok="t"/>
              </v:shape>
              <v:shape id="_x0000_s5023" style="position:absolute;left:1605;top:2187;width:91;height:66" coordsize="91,66" path="m46,l91,33,46,66,,33,46,xe" fillcolor="navy" strokecolor="navy">
                <v:path arrowok="t"/>
              </v:shape>
              <v:shape id="_x0000_s5024" style="position:absolute;left:1605;top:2187;width:91;height:66" coordsize="91,66" path="m46,l91,33,46,66,,33,46,xe" fillcolor="navy" strokecolor="navy">
                <v:path arrowok="t"/>
              </v:shape>
              <v:shape id="_x0000_s5025" style="position:absolute;left:1605;top:2176;width:91;height:66" coordsize="91,66" path="m46,l91,33,46,66,,33,46,xe" fillcolor="navy" strokecolor="navy">
                <v:path arrowok="t"/>
              </v:shape>
              <v:shape id="_x0000_s5026" style="position:absolute;left:1605;top:2176;width:91;height:66" coordsize="91,66" path="m46,l91,33,46,66,,33,46,xe" fillcolor="navy" strokecolor="navy">
                <v:path arrowok="t"/>
              </v:shape>
              <v:shape id="_x0000_s5027" style="position:absolute;left:1605;top:2176;width:91;height:66" coordsize="91,66" path="m46,l91,33,46,66,,33,46,xe" fillcolor="navy" strokecolor="navy">
                <v:path arrowok="t"/>
              </v:shape>
              <v:shape id="_x0000_s5028" style="position:absolute;left:1605;top:2176;width:91;height:66" coordsize="91,66" path="m46,l91,33,46,66,,33,46,xe" fillcolor="navy" strokecolor="navy">
                <v:path arrowok="t"/>
              </v:shape>
              <v:shape id="_x0000_s5029" style="position:absolute;left:1605;top:2165;width:91;height:66" coordsize="91,66" path="m46,l91,33,46,66,,33,46,xe" fillcolor="navy" strokecolor="navy">
                <v:path arrowok="t"/>
              </v:shape>
              <v:shape id="_x0000_s5030" style="position:absolute;left:1605;top:2165;width:91;height:66" coordsize="91,66" path="m46,l91,33,46,66,,33,46,xe" fillcolor="navy" strokecolor="navy">
                <v:path arrowok="t"/>
              </v:shape>
              <v:shape id="_x0000_s5031" style="position:absolute;left:1605;top:2165;width:91;height:66" coordsize="91,66" path="m46,l91,33,46,66,,33,46,xe" fillcolor="navy" strokecolor="navy">
                <v:path arrowok="t"/>
              </v:shape>
              <v:shape id="_x0000_s5032" style="position:absolute;left:1605;top:2165;width:91;height:66" coordsize="91,66" path="m46,l91,33,46,66,,33,46,xe" fillcolor="navy" strokecolor="navy">
                <v:path arrowok="t"/>
              </v:shape>
              <v:shape id="_x0000_s5033" style="position:absolute;left:1605;top:2165;width:91;height:66" coordsize="91,66" path="m46,l91,33,46,66,,33,46,xe" fillcolor="navy" strokecolor="navy">
                <v:path arrowok="t"/>
              </v:shape>
              <v:shape id="_x0000_s5034" style="position:absolute;left:1605;top:2165;width:91;height:66" coordsize="91,66" path="m46,l91,33,46,66,,33,46,xe" fillcolor="navy" strokecolor="navy">
                <v:path arrowok="t"/>
              </v:shape>
              <v:shape id="_x0000_s5035" style="position:absolute;left:1605;top:2165;width:91;height:66" coordsize="91,66" path="m46,l91,33,46,66,,33,46,xe" fillcolor="navy" strokecolor="navy">
                <v:path arrowok="t"/>
              </v:shape>
              <v:shape id="_x0000_s5036" style="position:absolute;left:1605;top:2165;width:91;height:66" coordsize="91,66" path="m46,l91,33,46,66,,33,46,xe" fillcolor="navy" strokecolor="navy">
                <v:path arrowok="t"/>
              </v:shape>
              <v:shape id="_x0000_s5037" style="position:absolute;left:1605;top:2165;width:91;height:66" coordsize="91,66" path="m46,l91,33,46,66,,33,46,xe" fillcolor="navy" strokecolor="navy">
                <v:path arrowok="t"/>
              </v:shape>
              <v:shape id="_x0000_s5038" style="position:absolute;left:1605;top:2154;width:91;height:66" coordsize="91,66" path="m46,l91,33,46,66,,33,46,xe" fillcolor="navy" strokecolor="navy">
                <v:path arrowok="t"/>
              </v:shape>
              <v:shape id="_x0000_s5039" style="position:absolute;left:1605;top:2154;width:91;height:66" coordsize="91,66" path="m46,l91,33,46,66,,33,46,xe" fillcolor="navy" strokecolor="navy">
                <v:path arrowok="t"/>
              </v:shape>
              <v:shape id="_x0000_s5040" style="position:absolute;left:1605;top:2154;width:91;height:66" coordsize="91,66" path="m46,l91,33,46,66,,33,46,xe" fillcolor="navy" strokecolor="navy">
                <v:path arrowok="t"/>
              </v:shape>
              <v:shape id="_x0000_s5041" style="position:absolute;left:1605;top:2143;width:91;height:66" coordsize="91,66" path="m46,l91,33,46,66,,33,46,xe" fillcolor="navy" strokecolor="navy">
                <v:path arrowok="t"/>
              </v:shape>
              <v:shape id="_x0000_s5042" style="position:absolute;left:1605;top:2143;width:91;height:66" coordsize="91,66" path="m46,l91,33,46,66,,33,46,xe" fillcolor="navy" strokecolor="navy">
                <v:path arrowok="t"/>
              </v:shape>
              <v:shape id="_x0000_s5043" style="position:absolute;left:1605;top:2143;width:91;height:66" coordsize="91,66" path="m46,l91,33,46,66,,33,46,xe" fillcolor="navy" strokecolor="navy">
                <v:path arrowok="t"/>
              </v:shape>
              <v:shape id="_x0000_s5044" style="position:absolute;left:1605;top:2143;width:91;height:66" coordsize="91,66" path="m46,l91,33,46,66,,33,46,xe" fillcolor="navy" strokecolor="navy">
                <v:path arrowok="t"/>
              </v:shape>
              <v:shape id="_x0000_s5045" style="position:absolute;left:1605;top:2143;width:91;height:66" coordsize="91,66" path="m46,l91,33,46,66,,33,46,xe" fillcolor="navy" strokecolor="navy">
                <v:path arrowok="t"/>
              </v:shape>
              <v:shape id="_x0000_s5046" style="position:absolute;left:1605;top:2132;width:91;height:66" coordsize="91,66" path="m46,l91,33,46,66,,33,46,xe" fillcolor="navy" strokecolor="navy">
                <v:path arrowok="t"/>
              </v:shape>
              <v:shape id="_x0000_s5047" style="position:absolute;left:1605;top:2132;width:91;height:66" coordsize="91,66" path="m46,l91,33,46,66,,33,46,xe" fillcolor="navy" strokecolor="navy">
                <v:path arrowok="t"/>
              </v:shape>
              <v:shape id="_x0000_s5048" style="position:absolute;left:1605;top:2132;width:91;height:66" coordsize="91,66" path="m46,l91,33,46,66,,33,46,xe" fillcolor="navy" strokecolor="navy">
                <v:path arrowok="t"/>
              </v:shape>
              <v:shape id="_x0000_s5049" style="position:absolute;left:1605;top:2132;width:91;height:66" coordsize="91,66" path="m46,l91,33,46,66,,33,46,xe" fillcolor="navy" strokecolor="navy">
                <v:path arrowok="t"/>
              </v:shape>
              <v:shape id="_x0000_s5050" style="position:absolute;left:1605;top:2132;width:91;height:66" coordsize="91,66" path="m46,l91,33,46,66,,33,46,xe" fillcolor="navy" strokecolor="navy">
                <v:path arrowok="t"/>
              </v:shape>
              <v:shape id="_x0000_s5051" style="position:absolute;left:1605;top:2132;width:91;height:66" coordsize="91,66" path="m46,l91,33,46,66,,33,46,xe" fillcolor="navy" strokecolor="navy">
                <v:path arrowok="t"/>
              </v:shape>
              <v:shape id="_x0000_s5052" style="position:absolute;left:1605;top:2121;width:91;height:66" coordsize="91,66" path="m46,l91,33,46,66,,33,46,xe" fillcolor="navy" strokecolor="navy">
                <v:path arrowok="t"/>
              </v:shape>
              <v:shape id="_x0000_s5053" style="position:absolute;left:1605;top:2121;width:91;height:66" coordsize="91,66" path="m46,l91,33,46,66,,33,46,xe" fillcolor="navy" strokecolor="navy">
                <v:path arrowok="t"/>
              </v:shape>
              <v:shape id="_x0000_s5054" style="position:absolute;left:1605;top:2121;width:91;height:66" coordsize="91,66" path="m46,l91,33,46,66,,33,46,xe" fillcolor="navy" strokecolor="navy">
                <v:path arrowok="t"/>
              </v:shape>
              <v:shape id="_x0000_s5055" style="position:absolute;left:1605;top:2121;width:91;height:66" coordsize="91,66" path="m46,l91,33,46,66,,33,46,xe" fillcolor="navy" strokecolor="navy">
                <v:path arrowok="t"/>
              </v:shape>
              <v:shape id="_x0000_s5056" style="position:absolute;left:1605;top:2121;width:91;height:66" coordsize="91,66" path="m46,l91,33,46,66,,33,46,xe" fillcolor="navy" strokecolor="navy">
                <v:path arrowok="t"/>
              </v:shape>
              <v:shape id="_x0000_s5057" style="position:absolute;left:1605;top:2121;width:91;height:66" coordsize="91,66" path="m46,l91,33,46,66,,33,46,xe" fillcolor="navy" strokecolor="navy">
                <v:path arrowok="t"/>
              </v:shape>
              <v:shape id="_x0000_s5058" style="position:absolute;left:1605;top:2121;width:91;height:66" coordsize="91,66" path="m46,l91,33,46,66,,33,46,xe" fillcolor="navy" strokecolor="navy">
                <v:path arrowok="t"/>
              </v:shape>
              <v:shape id="_x0000_s5059" style="position:absolute;left:1605;top:2110;width:91;height:66" coordsize="91,66" path="m46,l91,33,46,66,,33,46,xe" fillcolor="navy" strokecolor="navy">
                <v:path arrowok="t"/>
              </v:shape>
              <v:shape id="_x0000_s5060" style="position:absolute;left:1605;top:2110;width:91;height:66" coordsize="91,66" path="m46,l91,33,46,66,,33,46,xe" fillcolor="navy" strokecolor="navy">
                <v:path arrowok="t"/>
              </v:shape>
              <v:shape id="_x0000_s5061" style="position:absolute;left:1605;top:2110;width:91;height:66" coordsize="91,66" path="m46,l91,33,46,66,,33,46,xe" fillcolor="navy" strokecolor="navy">
                <v:path arrowok="t"/>
              </v:shape>
              <v:shape id="_x0000_s5062" style="position:absolute;left:1605;top:2110;width:91;height:66" coordsize="91,66" path="m46,l91,33,46,66,,33,46,xe" fillcolor="navy" strokecolor="navy">
                <v:path arrowok="t"/>
              </v:shape>
              <v:shape id="_x0000_s5063" style="position:absolute;left:1605;top:2098;width:91;height:67" coordsize="91,67" path="m46,l91,34,46,67,,34,46,xe" fillcolor="navy" strokecolor="navy">
                <v:path arrowok="t"/>
              </v:shape>
              <v:shape id="_x0000_s5064" style="position:absolute;left:1605;top:2087;width:91;height:67" coordsize="91,67" path="m46,l91,34,46,67,,34,46,xe" fillcolor="navy" strokecolor="navy">
                <v:path arrowok="t"/>
              </v:shape>
              <v:shape id="_x0000_s5065" style="position:absolute;left:1605;top:2087;width:91;height:67" coordsize="91,67" path="m46,l91,34,46,67,,34,46,xe" fillcolor="navy" strokecolor="navy">
                <v:path arrowok="t"/>
              </v:shape>
              <v:shape id="_x0000_s5066" style="position:absolute;left:1605;top:2076;width:91;height:67" coordsize="91,67" path="m46,l91,34,46,67,,34,46,xe" fillcolor="navy" strokecolor="navy">
                <v:path arrowok="t"/>
              </v:shape>
              <v:shape id="_x0000_s5067" style="position:absolute;left:1605;top:2076;width:91;height:67" coordsize="91,67" path="m46,l91,34,46,67,,34,46,xe" fillcolor="navy" strokecolor="navy">
                <v:path arrowok="t"/>
              </v:shape>
              <v:shape id="_x0000_s5068" style="position:absolute;left:1605;top:2076;width:91;height:67" coordsize="91,67" path="m46,l91,34,46,67,,34,46,xe" fillcolor="navy" strokecolor="navy">
                <v:path arrowok="t"/>
              </v:shape>
              <v:shape id="_x0000_s5069" style="position:absolute;left:1605;top:2076;width:91;height:67" coordsize="91,67" path="m46,l91,34,46,67,,34,46,xe" fillcolor="navy" strokecolor="navy">
                <v:path arrowok="t"/>
              </v:shape>
              <v:shape id="_x0000_s5070" style="position:absolute;left:1605;top:2076;width:91;height:67" coordsize="91,67" path="m46,l91,34,46,67,,34,46,xe" fillcolor="navy" strokecolor="navy">
                <v:path arrowok="t"/>
              </v:shape>
              <v:shape id="_x0000_s5071" style="position:absolute;left:1605;top:2065;width:91;height:67" coordsize="91,67" path="m46,l91,33,46,67,,33,46,xe" fillcolor="navy" strokecolor="navy">
                <v:path arrowok="t"/>
              </v:shape>
              <v:shape id="_x0000_s5072" style="position:absolute;left:1605;top:2065;width:91;height:67" coordsize="91,67" path="m46,l91,33,46,67,,33,46,xe" fillcolor="navy" strokecolor="navy">
                <v:path arrowok="t"/>
              </v:shape>
              <v:shape id="_x0000_s5073" style="position:absolute;left:1605;top:2065;width:91;height:67" coordsize="91,67" path="m46,l91,33,46,67,,33,46,xe" fillcolor="navy" strokecolor="navy">
                <v:path arrowok="t"/>
              </v:shape>
              <v:shape id="_x0000_s5074" style="position:absolute;left:1605;top:2065;width:91;height:67" coordsize="91,67" path="m46,l91,33,46,67,,33,46,xe" fillcolor="navy" strokecolor="navy">
                <v:path arrowok="t"/>
              </v:shape>
              <v:shape id="_x0000_s5075" style="position:absolute;left:1605;top:2065;width:91;height:67" coordsize="91,67" path="m46,l91,33,46,67,,33,46,xe" fillcolor="navy" strokecolor="navy">
                <v:path arrowok="t"/>
              </v:shape>
              <v:shape id="_x0000_s5076" style="position:absolute;left:1605;top:2065;width:91;height:67" coordsize="91,67" path="m46,l91,33,46,67,,33,46,xe" fillcolor="navy" strokecolor="navy">
                <v:path arrowok="t"/>
              </v:shape>
              <v:shape id="_x0000_s5077" style="position:absolute;left:1605;top:2054;width:91;height:67" coordsize="91,67" path="m46,l91,33,46,67,,33,46,xe" fillcolor="navy" strokecolor="navy">
                <v:path arrowok="t"/>
              </v:shape>
              <v:shape id="_x0000_s5078" style="position:absolute;left:1605;top:2054;width:91;height:67" coordsize="91,67" path="m46,l91,33,46,67,,33,46,xe" fillcolor="navy" strokecolor="navy">
                <v:path arrowok="t"/>
              </v:shape>
              <v:shape id="_x0000_s5079" style="position:absolute;left:1605;top:2043;width:91;height:67" coordsize="91,67" path="m46,l91,33,46,67,,33,46,xe" fillcolor="navy" strokecolor="navy">
                <v:path arrowok="t"/>
              </v:shape>
              <v:shape id="_x0000_s5080" style="position:absolute;left:1605;top:2043;width:91;height:67" coordsize="91,67" path="m46,l91,33,46,67,,33,46,xe" fillcolor="navy" strokecolor="navy">
                <v:path arrowok="t"/>
              </v:shape>
              <v:shape id="_x0000_s5081" style="position:absolute;left:1605;top:2043;width:91;height:67" coordsize="91,67" path="m46,l91,33,46,67,,33,46,xe" fillcolor="navy" strokecolor="navy">
                <v:path arrowok="t"/>
              </v:shape>
              <v:shape id="_x0000_s5082" style="position:absolute;left:1605;top:2032;width:91;height:66" coordsize="91,66" path="m46,l91,33,46,66,,33,46,xe" fillcolor="navy" strokecolor="navy">
                <v:path arrowok="t"/>
              </v:shape>
              <v:shape id="_x0000_s5083" style="position:absolute;left:1605;top:2032;width:91;height:66" coordsize="91,66" path="m46,l91,33,46,66,,33,46,xe" fillcolor="navy" strokecolor="navy">
                <v:path arrowok="t"/>
              </v:shape>
              <v:shape id="_x0000_s5084" style="position:absolute;left:1605;top:2032;width:91;height:66" coordsize="91,66" path="m46,l91,33,46,66,,33,46,xe" fillcolor="navy" strokecolor="navy">
                <v:path arrowok="t"/>
              </v:shape>
              <v:shape id="_x0000_s5085" style="position:absolute;left:1605;top:2032;width:91;height:66" coordsize="91,66" path="m46,l91,33,46,66,,33,46,xe" fillcolor="navy" strokecolor="navy">
                <v:path arrowok="t"/>
              </v:shape>
              <v:shape id="_x0000_s5086" style="position:absolute;left:1605;top:2021;width:91;height:66" coordsize="91,66" path="m46,l91,33,46,66,,33,46,xe" fillcolor="navy" strokecolor="navy">
                <v:path arrowok="t"/>
              </v:shape>
              <v:shape id="_x0000_s5087" style="position:absolute;left:1605;top:2021;width:91;height:66" coordsize="91,66" path="m46,l91,33,46,66,,33,46,xe" fillcolor="navy" strokecolor="navy">
                <v:path arrowok="t"/>
              </v:shape>
              <v:shape id="_x0000_s5088" style="position:absolute;left:1605;top:1999;width:91;height:66" coordsize="91,66" path="m46,l91,33,46,66,,33,46,xe" fillcolor="navy" strokecolor="navy">
                <v:path arrowok="t"/>
              </v:shape>
              <v:shape id="_x0000_s5089" style="position:absolute;left:1605;top:1988;width:91;height:66" coordsize="91,66" path="m46,l91,33,46,66,,33,46,xe" fillcolor="navy" strokecolor="navy">
                <v:path arrowok="t"/>
              </v:shape>
              <v:shape id="_x0000_s5090" style="position:absolute;left:1605;top:1966;width:91;height:66" coordsize="91,66" path="m46,l91,33,46,66,,33,46,xe" fillcolor="navy" strokecolor="navy">
                <v:path arrowok="t"/>
              </v:shape>
              <v:shape id="_x0000_s5091" style="position:absolute;left:1605;top:1966;width:91;height:66" coordsize="91,66" path="m46,l91,33,46,66,,33,46,xe" fillcolor="navy" strokecolor="navy">
                <v:path arrowok="t"/>
              </v:shape>
              <v:shape id="_x0000_s5092" style="position:absolute;left:1605;top:1966;width:91;height:66" coordsize="91,66" path="m46,l91,33,46,66,,33,46,xe" fillcolor="navy" strokecolor="navy">
                <v:path arrowok="t"/>
              </v:shape>
              <v:shape id="_x0000_s5093" style="position:absolute;left:1605;top:1966;width:91;height:66" coordsize="91,66" path="m46,l91,33,46,66,,33,46,xe" fillcolor="navy" strokecolor="navy">
                <v:path arrowok="t"/>
              </v:shape>
              <v:shape id="_x0000_s5094" style="position:absolute;left:1605;top:1966;width:91;height:66" coordsize="91,66" path="m46,l91,33,46,66,,33,46,xe" fillcolor="navy" strokecolor="navy">
                <v:path arrowok="t"/>
              </v:shape>
              <v:shape id="_x0000_s5095" style="position:absolute;left:1605;top:1955;width:91;height:66" coordsize="91,66" path="m46,l91,33,46,66,,33,46,xe" fillcolor="navy" strokecolor="navy">
                <v:path arrowok="t"/>
              </v:shape>
              <v:shape id="_x0000_s5096" style="position:absolute;left:1605;top:1933;width:91;height:66" coordsize="91,66" path="m46,l91,33,46,66,,33,46,xe" fillcolor="navy" strokecolor="navy">
                <v:path arrowok="t"/>
              </v:shape>
              <v:shape id="_x0000_s5097" style="position:absolute;left:1605;top:1933;width:91;height:66" coordsize="91,66" path="m46,l91,33,46,66,,33,46,xe" fillcolor="navy" strokecolor="navy">
                <v:path arrowok="t"/>
              </v:shape>
              <v:shape id="_x0000_s5098" style="position:absolute;left:1605;top:1889;width:91;height:66" coordsize="91,66" path="m46,l91,33,46,66,,33,46,xe" fillcolor="navy" strokecolor="navy">
                <v:path arrowok="t"/>
              </v:shape>
              <v:shape id="_x0000_s5099" style="position:absolute;left:1605;top:1878;width:91;height:66" coordsize="91,66" path="m46,l91,33,46,66,,33,46,xe" fillcolor="navy" strokecolor="navy">
                <v:path arrowok="t"/>
              </v:shape>
              <v:shape id="_x0000_s5100" style="position:absolute;left:1605;top:1878;width:91;height:66" coordsize="91,66" path="m46,l91,33,46,66,,33,46,xe" fillcolor="navy" strokecolor="navy">
                <v:path arrowok="t"/>
              </v:shape>
              <v:shape id="_x0000_s5101" style="position:absolute;left:1605;top:1867;width:91;height:66" coordsize="91,66" path="m46,l91,33,46,66,,33,46,xe" fillcolor="navy" strokecolor="navy">
                <v:path arrowok="t"/>
              </v:shape>
              <v:shape id="_x0000_s5102" style="position:absolute;left:1605;top:1855;width:91;height:67" coordsize="91,67" path="m46,l91,34,46,67,,34,46,xe" fillcolor="navy" strokecolor="navy">
                <v:path arrowok="t"/>
              </v:shape>
              <v:shape id="_x0000_s5103" style="position:absolute;left:1605;top:1844;width:91;height:67" coordsize="91,67" path="m46,l91,34,46,67,,34,46,xe" fillcolor="navy" strokecolor="navy">
                <v:path arrowok="t"/>
              </v:shape>
              <v:shape id="_x0000_s5104" style="position:absolute;left:1605;top:1800;width:91;height:67" coordsize="91,67" path="m46,l91,33,46,67,,33,46,xe" fillcolor="navy" strokecolor="navy">
                <v:path arrowok="t"/>
              </v:shape>
              <v:shape id="_x0000_s5105" style="position:absolute;left:1605;top:1789;width:91;height:66" coordsize="91,66" path="m46,l91,33,46,66,,33,46,xe" fillcolor="navy" strokecolor="navy">
                <v:path arrowok="t"/>
              </v:shape>
              <v:shape id="_x0000_s5106" style="position:absolute;left:1605;top:1778;width:91;height:66" coordsize="91,66" path="m46,l91,33,46,66,,33,46,xe" fillcolor="navy" strokecolor="navy">
                <v:path arrowok="t"/>
              </v:shape>
              <v:shape id="_x0000_s5107" style="position:absolute;left:1605;top:1756;width:91;height:66" coordsize="91,66" path="m46,l91,33,46,66,,33,46,xe" fillcolor="navy" strokecolor="navy">
                <v:path arrowok="t"/>
              </v:shape>
              <v:shape id="_x0000_s5108" style="position:absolute;left:1605;top:1734;width:91;height:66" coordsize="91,66" path="m46,l91,33,46,66,,33,46,xe" fillcolor="navy" strokecolor="navy">
                <v:path arrowok="t"/>
              </v:shape>
              <v:shape id="_x0000_s5109" style="position:absolute;left:1605;top:1723;width:91;height:66" coordsize="91,66" path="m46,l91,33,46,66,,33,46,xe" fillcolor="navy" strokecolor="navy">
                <v:path arrowok="t"/>
              </v:shape>
              <v:shape id="_x0000_s5110" style="position:absolute;left:1605;top:1723;width:91;height:66" coordsize="91,66" path="m46,l91,33,46,66,,33,46,xe" fillcolor="navy" strokecolor="navy">
                <v:path arrowok="t"/>
              </v:shape>
              <v:shape id="_x0000_s5111" style="position:absolute;left:1605;top:1458;width:91;height:66" coordsize="91,66" path="m46,l91,33,46,66,,33,46,xe" fillcolor="navy" strokecolor="navy">
                <v:path arrowok="t"/>
              </v:shape>
              <v:shape id="_x0000_s5112" style="position:absolute;left:1817;top:2308;width:91;height:67" coordsize="91,67" path="m46,l91,33,46,67,,33,46,xe" fillcolor="navy" strokecolor="navy">
                <v:path arrowok="t"/>
              </v:shape>
              <v:shape id="_x0000_s5113" style="position:absolute;left:1817;top:2264;width:91;height:66" coordsize="91,66" path="m46,l91,33,46,66,,33,46,xe" fillcolor="navy" strokecolor="navy">
                <v:path arrowok="t"/>
              </v:shape>
              <v:shape id="_x0000_s5114" style="position:absolute;left:1817;top:2253;width:91;height:66" coordsize="91,66" path="m46,l91,33,46,66,,33,46,xe" fillcolor="navy" strokecolor="navy">
                <v:path arrowok="t"/>
              </v:shape>
              <v:shape id="_x0000_s5115" style="position:absolute;left:1817;top:2253;width:91;height:66" coordsize="91,66" path="m46,l91,33,46,66,,33,46,xe" fillcolor="navy" strokecolor="navy">
                <v:path arrowok="t"/>
              </v:shape>
              <v:shape id="_x0000_s5116" style="position:absolute;left:1817;top:2242;width:91;height:66" coordsize="91,66" path="m46,l91,33,46,66,,33,46,xe" fillcolor="navy" strokecolor="navy">
                <v:path arrowok="t"/>
              </v:shape>
              <v:shape id="_x0000_s5117" style="position:absolute;left:1817;top:2242;width:91;height:66" coordsize="91,66" path="m46,l91,33,46,66,,33,46,xe" fillcolor="navy" strokecolor="navy">
                <v:path arrowok="t"/>
              </v:shape>
              <v:shape id="_x0000_s5118" style="position:absolute;left:1817;top:2209;width:91;height:66" coordsize="91,66" path="m46,l91,33,46,66,,33,46,xe" fillcolor="navy" strokecolor="navy">
                <v:path arrowok="t"/>
              </v:shape>
              <v:shape id="_x0000_s5119" style="position:absolute;left:1817;top:2209;width:91;height:66" coordsize="91,66" path="m46,l91,33,46,66,,33,46,xe" fillcolor="navy" strokecolor="navy">
                <v:path arrowok="t"/>
              </v:shape>
              <v:shape id="_x0000_s5120" style="position:absolute;left:1817;top:2198;width:91;height:66" coordsize="91,66" path="m46,l91,33,46,66,,33,46,xe" fillcolor="navy" strokecolor="navy">
                <v:path arrowok="t"/>
              </v:shape>
              <v:shape id="_x0000_s5121" style="position:absolute;left:1817;top:2198;width:91;height:66" coordsize="91,66" path="m46,l91,33,46,66,,33,46,xe" fillcolor="navy" strokecolor="navy">
                <v:path arrowok="t"/>
              </v:shape>
              <v:shape id="_x0000_s5122" style="position:absolute;left:1817;top:2187;width:91;height:66" coordsize="91,66" path="m46,l91,33,46,66,,33,46,xe" fillcolor="navy" strokecolor="navy">
                <v:path arrowok="t"/>
              </v:shape>
              <v:shape id="_x0000_s5123" style="position:absolute;left:1817;top:2187;width:91;height:66" coordsize="91,66" path="m46,l91,33,46,66,,33,46,xe" fillcolor="navy" strokecolor="navy">
                <v:path arrowok="t"/>
              </v:shape>
              <v:shape id="_x0000_s5124" style="position:absolute;left:1817;top:2187;width:91;height:66" coordsize="91,66" path="m46,l91,33,46,66,,33,46,xe" fillcolor="navy" strokecolor="navy">
                <v:path arrowok="t"/>
              </v:shape>
              <v:shape id="_x0000_s5125" style="position:absolute;left:1817;top:2187;width:91;height:66" coordsize="91,66" path="m46,l91,33,46,66,,33,46,xe" fillcolor="navy" strokecolor="navy">
                <v:path arrowok="t"/>
              </v:shape>
              <v:shape id="_x0000_s5126" style="position:absolute;left:1817;top:2176;width:91;height:66" coordsize="91,66" path="m46,l91,33,46,66,,33,46,xe" fillcolor="navy" strokecolor="navy">
                <v:path arrowok="t"/>
              </v:shape>
              <v:shape id="_x0000_s5127" style="position:absolute;left:1817;top:2176;width:91;height:66" coordsize="91,66" path="m46,l91,33,46,66,,33,46,xe" fillcolor="navy" strokecolor="navy">
                <v:path arrowok="t"/>
              </v:shape>
              <v:shape id="_x0000_s5128" style="position:absolute;left:1817;top:2176;width:91;height:66" coordsize="91,66" path="m46,l91,33,46,66,,33,46,xe" fillcolor="navy" strokecolor="navy">
                <v:path arrowok="t"/>
              </v:shape>
              <v:shape id="_x0000_s5129" style="position:absolute;left:1817;top:2176;width:91;height:66" coordsize="91,66" path="m46,l91,33,46,66,,33,46,xe" fillcolor="navy" strokecolor="navy">
                <v:path arrowok="t"/>
              </v:shape>
              <v:shape id="_x0000_s5130" style="position:absolute;left:1817;top:2176;width:91;height:66" coordsize="91,66" path="m46,l91,33,46,66,,33,46,xe" fillcolor="navy" strokecolor="navy">
                <v:path arrowok="t"/>
              </v:shape>
              <v:shape id="_x0000_s5131" style="position:absolute;left:1817;top:2165;width:91;height:66" coordsize="91,66" path="m46,l91,33,46,66,,33,46,xe" fillcolor="navy" strokecolor="navy">
                <v:path arrowok="t"/>
              </v:shape>
              <v:shape id="_x0000_s5132" style="position:absolute;left:1817;top:2165;width:91;height:66" coordsize="91,66" path="m46,l91,33,46,66,,33,46,xe" fillcolor="navy" strokecolor="navy">
                <v:path arrowok="t"/>
              </v:shape>
              <v:shape id="_x0000_s5133" style="position:absolute;left:1817;top:2165;width:91;height:66" coordsize="91,66" path="m46,l91,33,46,66,,33,46,xe" fillcolor="navy" strokecolor="navy">
                <v:path arrowok="t"/>
              </v:shape>
              <v:shape id="_x0000_s5134" style="position:absolute;left:1817;top:2154;width:91;height:66" coordsize="91,66" path="m46,l91,33,46,66,,33,46,xe" fillcolor="navy" strokecolor="navy">
                <v:path arrowok="t"/>
              </v:shape>
              <v:shape id="_x0000_s5135" style="position:absolute;left:1817;top:2143;width:91;height:66" coordsize="91,66" path="m46,l91,33,46,66,,33,46,xe" fillcolor="navy" strokecolor="navy">
                <v:path arrowok="t"/>
              </v:shape>
              <v:shape id="_x0000_s5136" style="position:absolute;left:1817;top:2143;width:91;height:66" coordsize="91,66" path="m46,l91,33,46,66,,33,46,xe" fillcolor="navy" strokecolor="navy">
                <v:path arrowok="t"/>
              </v:shape>
              <v:shape id="_x0000_s5137" style="position:absolute;left:1817;top:2143;width:91;height:66" coordsize="91,66" path="m46,l91,33,46,66,,33,46,xe" fillcolor="navy" strokecolor="navy">
                <v:path arrowok="t"/>
              </v:shape>
              <v:shape id="_x0000_s5138" style="position:absolute;left:1817;top:2121;width:91;height:66" coordsize="91,66" path="m46,l91,33,46,66,,33,46,xe" fillcolor="navy" strokecolor="navy">
                <v:path arrowok="t"/>
              </v:shape>
              <v:shape id="_x0000_s5139" style="position:absolute;left:1817;top:2121;width:91;height:66" coordsize="91,66" path="m46,l91,33,46,66,,33,46,xe" fillcolor="navy" strokecolor="navy">
                <v:path arrowok="t"/>
              </v:shape>
              <v:shape id="_x0000_s5140" style="position:absolute;left:1817;top:2121;width:91;height:66" coordsize="91,66" path="m46,l91,33,46,66,,33,46,xe" fillcolor="navy" strokecolor="navy">
                <v:path arrowok="t"/>
              </v:shape>
              <v:shape id="_x0000_s5141" style="position:absolute;left:1817;top:2110;width:91;height:66" coordsize="91,66" path="m46,l91,33,46,66,,33,46,xe" fillcolor="navy" strokecolor="navy">
                <v:path arrowok="t"/>
              </v:shape>
              <v:shape id="_x0000_s5142" style="position:absolute;left:1817;top:2110;width:91;height:66" coordsize="91,66" path="m46,l91,33,46,66,,33,46,xe" fillcolor="navy" strokecolor="navy">
                <v:path arrowok="t"/>
              </v:shape>
              <v:shape id="_x0000_s5143" style="position:absolute;left:1817;top:2110;width:91;height:66" coordsize="91,66" path="m46,l91,33,46,66,,33,46,xe" fillcolor="navy" strokecolor="navy">
                <v:path arrowok="t"/>
              </v:shape>
              <v:shape id="_x0000_s5144" style="position:absolute;left:1817;top:2098;width:91;height:67" coordsize="91,67" path="m46,l91,34,46,67,,34,46,xe" fillcolor="navy" strokecolor="navy">
                <v:path arrowok="t"/>
              </v:shape>
              <v:shape id="_x0000_s5145" style="position:absolute;left:1817;top:2098;width:91;height:67" coordsize="91,67" path="m46,l91,34,46,67,,34,46,xe" fillcolor="navy" strokecolor="navy">
                <v:path arrowok="t"/>
              </v:shape>
              <v:shape id="_x0000_s5146" style="position:absolute;left:1817;top:2098;width:91;height:67" coordsize="91,67" path="m46,l91,34,46,67,,34,46,xe" fillcolor="navy" strokecolor="navy">
                <v:path arrowok="t"/>
              </v:shape>
              <v:shape id="_x0000_s5147" style="position:absolute;left:1817;top:2098;width:91;height:67" coordsize="91,67" path="m46,l91,34,46,67,,34,46,xe" fillcolor="navy" strokecolor="navy">
                <v:path arrowok="t"/>
              </v:shape>
              <v:shape id="_x0000_s5148" style="position:absolute;left:1817;top:2098;width:91;height:67" coordsize="91,67" path="m46,l91,34,46,67,,34,46,xe" fillcolor="navy" strokecolor="navy">
                <v:path arrowok="t"/>
              </v:shape>
              <v:shape id="_x0000_s5149" style="position:absolute;left:1817;top:2087;width:91;height:67" coordsize="91,67" path="m46,l91,34,46,67,,34,46,xe" fillcolor="navy" strokecolor="navy">
                <v:path arrowok="t"/>
              </v:shape>
              <v:shape id="_x0000_s5150" style="position:absolute;left:1817;top:2087;width:91;height:67" coordsize="91,67" path="m46,l91,34,46,67,,34,46,xe" fillcolor="navy" strokecolor="navy">
                <v:path arrowok="t"/>
              </v:shape>
              <v:shape id="_x0000_s5151" style="position:absolute;left:1817;top:2087;width:91;height:67" coordsize="91,67" path="m46,l91,34,46,67,,34,46,xe" fillcolor="navy" strokecolor="navy">
                <v:path arrowok="t"/>
              </v:shape>
              <v:shape id="_x0000_s5152" style="position:absolute;left:1817;top:2087;width:91;height:67" coordsize="91,67" path="m46,l91,34,46,67,,34,46,xe" fillcolor="navy" strokecolor="navy">
                <v:path arrowok="t"/>
              </v:shape>
              <v:shape id="_x0000_s5153" style="position:absolute;left:1817;top:2087;width:91;height:67" coordsize="91,67" path="m46,l91,34,46,67,,34,46,xe" fillcolor="navy" strokecolor="navy">
                <v:path arrowok="t"/>
              </v:shape>
              <v:shape id="_x0000_s5154" style="position:absolute;left:1817;top:2076;width:91;height:67" coordsize="91,67" path="m46,l91,34,46,67,,34,46,xe" fillcolor="navy" strokecolor="navy">
                <v:path arrowok="t"/>
              </v:shape>
              <v:shape id="_x0000_s5155" style="position:absolute;left:1817;top:2076;width:91;height:67" coordsize="91,67" path="m46,l91,34,46,67,,34,46,xe" fillcolor="navy" strokecolor="navy">
                <v:path arrowok="t"/>
              </v:shape>
              <v:shape id="_x0000_s5156" style="position:absolute;left:1817;top:2065;width:91;height:67" coordsize="91,67" path="m46,l91,33,46,67,,33,46,xe" fillcolor="navy" strokecolor="navy">
                <v:path arrowok="t"/>
              </v:shape>
              <v:shape id="_x0000_s5157" style="position:absolute;left:1817;top:2054;width:91;height:67" coordsize="91,67" path="m46,l91,33,46,67,,33,46,xe" fillcolor="navy" strokecolor="navy">
                <v:path arrowok="t"/>
              </v:shape>
              <v:shape id="_x0000_s5158" style="position:absolute;left:1817;top:2054;width:91;height:67" coordsize="91,67" path="m46,l91,33,46,67,,33,46,xe" fillcolor="navy" strokecolor="navy">
                <v:path arrowok="t"/>
              </v:shape>
              <v:shape id="_x0000_s5159" style="position:absolute;left:1817;top:2054;width:91;height:67" coordsize="91,67" path="m46,l91,33,46,67,,33,46,xe" fillcolor="navy" strokecolor="navy">
                <v:path arrowok="t"/>
              </v:shape>
              <v:shape id="_x0000_s5160" style="position:absolute;left:1817;top:2043;width:91;height:67" coordsize="91,67" path="m46,l91,33,46,67,,33,46,xe" fillcolor="navy" strokecolor="navy">
                <v:path arrowok="t"/>
              </v:shape>
              <v:shape id="_x0000_s5161" style="position:absolute;left:1817;top:2043;width:91;height:67" coordsize="91,67" path="m46,l91,33,46,67,,33,46,xe" fillcolor="navy" strokecolor="navy">
                <v:path arrowok="t"/>
              </v:shape>
              <v:shape id="_x0000_s5162" style="position:absolute;left:1817;top:2043;width:91;height:67" coordsize="91,67" path="m46,l91,33,46,67,,33,46,xe" fillcolor="navy" strokecolor="navy">
                <v:path arrowok="t"/>
              </v:shape>
              <v:shape id="_x0000_s5163" style="position:absolute;left:1817;top:2043;width:91;height:67" coordsize="91,67" path="m46,l91,33,46,67,,33,46,xe" fillcolor="navy" strokecolor="navy">
                <v:path arrowok="t"/>
              </v:shape>
              <v:shape id="_x0000_s5164" style="position:absolute;left:1817;top:2021;width:91;height:66" coordsize="91,66" path="m46,l91,33,46,66,,33,46,xe" fillcolor="navy" strokecolor="navy">
                <v:path arrowok="t"/>
              </v:shape>
              <v:shape id="_x0000_s5165" style="position:absolute;left:1817;top:2021;width:91;height:66" coordsize="91,66" path="m46,l91,33,46,66,,33,46,xe" fillcolor="navy" strokecolor="navy">
                <v:path arrowok="t"/>
              </v:shape>
              <v:shape id="_x0000_s5166" style="position:absolute;left:1817;top:2021;width:91;height:66" coordsize="91,66" path="m46,l91,33,46,66,,33,46,xe" fillcolor="navy" strokecolor="navy">
                <v:path arrowok="t"/>
              </v:shape>
              <v:shape id="_x0000_s5167" style="position:absolute;left:1817;top:2021;width:91;height:66" coordsize="91,66" path="m46,l91,33,46,66,,33,46,xe" fillcolor="navy" strokecolor="navy">
                <v:path arrowok="t"/>
              </v:shape>
              <v:shape id="_x0000_s5168" style="position:absolute;left:1817;top:2010;width:91;height:66" coordsize="91,66" path="m46,l91,33,46,66,,33,46,xe" fillcolor="navy" strokecolor="navy">
                <v:path arrowok="t"/>
              </v:shape>
              <v:shape id="_x0000_s5169" style="position:absolute;left:1817;top:2010;width:91;height:66" coordsize="91,66" path="m46,l91,33,46,66,,33,46,xe" fillcolor="navy" strokecolor="navy">
                <v:path arrowok="t"/>
              </v:shape>
              <v:shape id="_x0000_s5170" style="position:absolute;left:1817;top:1999;width:91;height:66" coordsize="91,66" path="m46,l91,33,46,66,,33,46,xe" fillcolor="navy" strokecolor="navy">
                <v:path arrowok="t"/>
              </v:shape>
              <v:shape id="_x0000_s5171" style="position:absolute;left:1817;top:1988;width:91;height:66" coordsize="91,66" path="m46,l91,33,46,66,,33,46,xe" fillcolor="navy" strokecolor="navy">
                <v:path arrowok="t"/>
              </v:shape>
            </v:group>
            <v:group id="_x0000_s5373" style="position:absolute;left:1817;top:1447;width:712;height:894" coordorigin="1817,1447" coordsize="712,894">
              <v:shape id="_x0000_s5173" style="position:absolute;left:1817;top:1988;width:91;height:66" coordsize="91,66" path="m46,l91,33,46,66,,33,46,xe" fillcolor="navy" strokecolor="navy">
                <v:path arrowok="t"/>
              </v:shape>
              <v:shape id="_x0000_s5174" style="position:absolute;left:1817;top:1977;width:91;height:66" coordsize="91,66" path="m46,l91,33,46,66,,33,46,xe" fillcolor="navy" strokecolor="navy">
                <v:path arrowok="t"/>
              </v:shape>
              <v:shape id="_x0000_s5175" style="position:absolute;left:1817;top:1977;width:91;height:66" coordsize="91,66" path="m46,l91,33,46,66,,33,46,xe" fillcolor="navy" strokecolor="navy">
                <v:path arrowok="t"/>
              </v:shape>
              <v:shape id="_x0000_s5176" style="position:absolute;left:1817;top:1966;width:91;height:66" coordsize="91,66" path="m46,l91,33,46,66,,33,46,xe" fillcolor="navy" strokecolor="navy">
                <v:path arrowok="t"/>
              </v:shape>
              <v:shape id="_x0000_s5177" style="position:absolute;left:1817;top:1966;width:91;height:66" coordsize="91,66" path="m46,l91,33,46,66,,33,46,xe" fillcolor="navy" strokecolor="navy">
                <v:path arrowok="t"/>
              </v:shape>
              <v:shape id="_x0000_s5178" style="position:absolute;left:1817;top:1966;width:91;height:66" coordsize="91,66" path="m46,l91,33,46,66,,33,46,xe" fillcolor="navy" strokecolor="navy">
                <v:path arrowok="t"/>
              </v:shape>
              <v:shape id="_x0000_s5179" style="position:absolute;left:1817;top:1966;width:91;height:66" coordsize="91,66" path="m46,l91,33,46,66,,33,46,xe" fillcolor="navy" strokecolor="navy">
                <v:path arrowok="t"/>
              </v:shape>
              <v:shape id="_x0000_s5180" style="position:absolute;left:1817;top:1955;width:91;height:66" coordsize="91,66" path="m46,l91,33,46,66,,33,46,xe" fillcolor="navy" strokecolor="navy">
                <v:path arrowok="t"/>
              </v:shape>
              <v:shape id="_x0000_s5181" style="position:absolute;left:1817;top:1944;width:91;height:66" coordsize="91,66" path="m46,l91,33,46,66,,33,46,xe" fillcolor="navy" strokecolor="navy">
                <v:path arrowok="t"/>
              </v:shape>
              <v:shape id="_x0000_s5182" style="position:absolute;left:1817;top:1933;width:91;height:66" coordsize="91,66" path="m46,l91,33,46,66,,33,46,xe" fillcolor="navy" strokecolor="navy">
                <v:path arrowok="t"/>
              </v:shape>
              <v:shape id="_x0000_s5183" style="position:absolute;left:1817;top:1933;width:91;height:66" coordsize="91,66" path="m46,l91,33,46,66,,33,46,xe" fillcolor="navy" strokecolor="navy">
                <v:path arrowok="t"/>
              </v:shape>
              <v:shape id="_x0000_s5184" style="position:absolute;left:1817;top:1933;width:91;height:66" coordsize="91,66" path="m46,l91,33,46,66,,33,46,xe" fillcolor="navy" strokecolor="navy">
                <v:path arrowok="t"/>
              </v:shape>
              <v:shape id="_x0000_s5185" style="position:absolute;left:1817;top:1922;width:91;height:66" coordsize="91,66" path="m46,l91,33,46,66,,33,46,xe" fillcolor="navy" strokecolor="navy">
                <v:path arrowok="t"/>
              </v:shape>
              <v:shape id="_x0000_s5186" style="position:absolute;left:1817;top:1922;width:91;height:66" coordsize="91,66" path="m46,l91,33,46,66,,33,46,xe" fillcolor="navy" strokecolor="navy">
                <v:path arrowok="t"/>
              </v:shape>
              <v:shape id="_x0000_s5187" style="position:absolute;left:1817;top:1900;width:91;height:66" coordsize="91,66" path="m46,l91,33,46,66,,33,46,xe" fillcolor="navy" strokecolor="navy">
                <v:path arrowok="t"/>
              </v:shape>
              <v:shape id="_x0000_s5188" style="position:absolute;left:1817;top:1878;width:91;height:66" coordsize="91,66" path="m46,l91,33,46,66,,33,46,xe" fillcolor="navy" strokecolor="navy">
                <v:path arrowok="t"/>
              </v:shape>
              <v:shape id="_x0000_s5189" style="position:absolute;left:1817;top:1878;width:91;height:66" coordsize="91,66" path="m46,l91,33,46,66,,33,46,xe" fillcolor="navy" strokecolor="navy">
                <v:path arrowok="t"/>
              </v:shape>
              <v:shape id="_x0000_s5190" style="position:absolute;left:1817;top:1855;width:91;height:67" coordsize="91,67" path="m46,l91,34,46,67,,34,46,xe" fillcolor="navy" strokecolor="navy">
                <v:path arrowok="t"/>
              </v:shape>
              <v:shape id="_x0000_s5191" style="position:absolute;left:1817;top:1833;width:91;height:67" coordsize="91,67" path="m46,l91,34,46,67,,34,46,xe" fillcolor="navy" strokecolor="navy">
                <v:path arrowok="t"/>
              </v:shape>
              <v:shape id="_x0000_s5192" style="position:absolute;left:1817;top:1822;width:91;height:67" coordsize="91,67" path="m46,l91,33,46,67,,33,46,xe" fillcolor="navy" strokecolor="navy">
                <v:path arrowok="t"/>
              </v:shape>
              <v:shape id="_x0000_s5193" style="position:absolute;left:1817;top:1778;width:91;height:66" coordsize="91,66" path="m46,l91,33,46,66,,33,46,xe" fillcolor="navy" strokecolor="navy">
                <v:path arrowok="t"/>
              </v:shape>
              <v:shape id="_x0000_s5194" style="position:absolute;left:1817;top:1756;width:91;height:66" coordsize="91,66" path="m46,l91,33,46,66,,33,46,xe" fillcolor="navy" strokecolor="navy">
                <v:path arrowok="t"/>
              </v:shape>
              <v:shape id="_x0000_s5195" style="position:absolute;left:1817;top:1745;width:91;height:66" coordsize="91,66" path="m46,l91,33,46,66,,33,46,xe" fillcolor="navy" strokecolor="navy">
                <v:path arrowok="t"/>
              </v:shape>
              <v:shape id="_x0000_s5196" style="position:absolute;left:1817;top:1734;width:91;height:66" coordsize="91,66" path="m46,l91,33,46,66,,33,46,xe" fillcolor="navy" strokecolor="navy">
                <v:path arrowok="t"/>
              </v:shape>
              <v:shape id="_x0000_s5197" style="position:absolute;left:1817;top:1679;width:91;height:66" coordsize="91,66" path="m46,l91,33,46,66,,33,46,xe" fillcolor="navy" strokecolor="navy">
                <v:path arrowok="t"/>
              </v:shape>
              <v:shape id="_x0000_s5198" style="position:absolute;left:1817;top:1502;width:91;height:66" coordsize="91,66" path="m46,l91,33,46,66,,33,46,xe" fillcolor="navy" strokecolor="navy">
                <v:path arrowok="t"/>
              </v:shape>
              <v:shape id="_x0000_s5199" style="position:absolute;left:2029;top:2275;width:91;height:66" coordsize="91,66" path="m46,l91,33,46,66,,33,46,xe" fillcolor="navy" strokecolor="navy">
                <v:path arrowok="t"/>
              </v:shape>
              <v:shape id="_x0000_s5200" style="position:absolute;left:2029;top:2264;width:91;height:66" coordsize="91,66" path="m46,l91,33,46,66,,33,46,xe" fillcolor="navy" strokecolor="navy">
                <v:path arrowok="t"/>
              </v:shape>
              <v:shape id="_x0000_s5201" style="position:absolute;left:2029;top:2242;width:91;height:66" coordsize="91,66" path="m46,l91,33,46,66,,33,46,xe" fillcolor="navy" strokecolor="navy">
                <v:path arrowok="t"/>
              </v:shape>
              <v:shape id="_x0000_s5202" style="position:absolute;left:2029;top:2220;width:91;height:66" coordsize="91,66" path="m46,l91,33,46,66,,33,46,xe" fillcolor="navy" strokecolor="navy">
                <v:path arrowok="t"/>
              </v:shape>
              <v:shape id="_x0000_s5203" style="position:absolute;left:2029;top:2209;width:91;height:66" coordsize="91,66" path="m46,l91,33,46,66,,33,46,xe" fillcolor="navy" strokecolor="navy">
                <v:path arrowok="t"/>
              </v:shape>
              <v:shape id="_x0000_s5204" style="position:absolute;left:2029;top:2198;width:91;height:66" coordsize="91,66" path="m46,l91,33,46,66,,33,46,xe" fillcolor="navy" strokecolor="navy">
                <v:path arrowok="t"/>
              </v:shape>
              <v:shape id="_x0000_s5205" style="position:absolute;left:2029;top:2198;width:91;height:66" coordsize="91,66" path="m46,l91,33,46,66,,33,46,xe" fillcolor="navy" strokecolor="navy">
                <v:path arrowok="t"/>
              </v:shape>
              <v:shape id="_x0000_s5206" style="position:absolute;left:2029;top:2187;width:91;height:66" coordsize="91,66" path="m46,l91,33,46,66,,33,46,xe" fillcolor="navy" strokecolor="navy">
                <v:path arrowok="t"/>
              </v:shape>
              <v:shape id="_x0000_s5207" style="position:absolute;left:2029;top:2187;width:91;height:66" coordsize="91,66" path="m46,l91,33,46,66,,33,46,xe" fillcolor="navy" strokecolor="navy">
                <v:path arrowok="t"/>
              </v:shape>
              <v:shape id="_x0000_s5208" style="position:absolute;left:2029;top:2187;width:91;height:66" coordsize="91,66" path="m46,l91,33,46,66,,33,46,xe" fillcolor="navy" strokecolor="navy">
                <v:path arrowok="t"/>
              </v:shape>
              <v:shape id="_x0000_s5209" style="position:absolute;left:2029;top:2176;width:91;height:66" coordsize="91,66" path="m46,l91,33,46,66,,33,46,xe" fillcolor="navy" strokecolor="navy">
                <v:path arrowok="t"/>
              </v:shape>
              <v:shape id="_x0000_s5210" style="position:absolute;left:2029;top:2165;width:91;height:66" coordsize="91,66" path="m46,l91,33,46,66,,33,46,xe" fillcolor="navy" strokecolor="navy">
                <v:path arrowok="t"/>
              </v:shape>
              <v:shape id="_x0000_s5211" style="position:absolute;left:2029;top:2154;width:91;height:66" coordsize="91,66" path="m46,l91,33,46,66,,33,46,xe" fillcolor="navy" strokecolor="navy">
                <v:path arrowok="t"/>
              </v:shape>
              <v:shape id="_x0000_s5212" style="position:absolute;left:2029;top:2143;width:91;height:66" coordsize="91,66" path="m46,l91,33,46,66,,33,46,xe" fillcolor="navy" strokecolor="navy">
                <v:path arrowok="t"/>
              </v:shape>
              <v:shape id="_x0000_s5213" style="position:absolute;left:2029;top:2132;width:91;height:66" coordsize="91,66" path="m46,l91,33,46,66,,33,46,xe" fillcolor="navy" strokecolor="navy">
                <v:path arrowok="t"/>
              </v:shape>
              <v:shape id="_x0000_s5214" style="position:absolute;left:2029;top:2132;width:91;height:66" coordsize="91,66" path="m46,l91,33,46,66,,33,46,xe" fillcolor="navy" strokecolor="navy">
                <v:path arrowok="t"/>
              </v:shape>
              <v:shape id="_x0000_s5215" style="position:absolute;left:2029;top:2121;width:91;height:66" coordsize="91,66" path="m46,l91,33,46,66,,33,46,xe" fillcolor="navy" strokecolor="navy">
                <v:path arrowok="t"/>
              </v:shape>
              <v:shape id="_x0000_s5216" style="position:absolute;left:2029;top:2121;width:91;height:66" coordsize="91,66" path="m46,l91,33,46,66,,33,46,xe" fillcolor="navy" strokecolor="navy">
                <v:path arrowok="t"/>
              </v:shape>
              <v:shape id="_x0000_s5217" style="position:absolute;left:2029;top:2121;width:91;height:66" coordsize="91,66" path="m46,l91,33,46,66,,33,46,xe" fillcolor="navy" strokecolor="navy">
                <v:path arrowok="t"/>
              </v:shape>
              <v:shape id="_x0000_s5218" style="position:absolute;left:2029;top:2121;width:91;height:66" coordsize="91,66" path="m46,l91,33,46,66,,33,46,xe" fillcolor="navy" strokecolor="navy">
                <v:path arrowok="t"/>
              </v:shape>
              <v:shape id="_x0000_s5219" style="position:absolute;left:2029;top:2121;width:91;height:66" coordsize="91,66" path="m46,l91,33,46,66,,33,46,xe" fillcolor="navy" strokecolor="navy">
                <v:path arrowok="t"/>
              </v:shape>
              <v:shape id="_x0000_s5220" style="position:absolute;left:2029;top:2121;width:91;height:66" coordsize="91,66" path="m46,l91,33,46,66,,33,46,xe" fillcolor="navy" strokecolor="navy">
                <v:path arrowok="t"/>
              </v:shape>
              <v:shape id="_x0000_s5221" style="position:absolute;left:2029;top:2098;width:91;height:67" coordsize="91,67" path="m46,l91,34,46,67,,34,46,xe" fillcolor="navy" strokecolor="navy">
                <v:path arrowok="t"/>
              </v:shape>
              <v:shape id="_x0000_s5222" style="position:absolute;left:2029;top:2076;width:91;height:67" coordsize="91,67" path="m46,l91,34,46,67,,34,46,xe" fillcolor="navy" strokecolor="navy">
                <v:path arrowok="t"/>
              </v:shape>
              <v:shape id="_x0000_s5223" style="position:absolute;left:2029;top:2076;width:91;height:67" coordsize="91,67" path="m46,l91,34,46,67,,34,46,xe" fillcolor="navy" strokecolor="navy">
                <v:path arrowok="t"/>
              </v:shape>
              <v:shape id="_x0000_s5224" style="position:absolute;left:2029;top:2076;width:91;height:67" coordsize="91,67" path="m46,l91,34,46,67,,34,46,xe" fillcolor="navy" strokecolor="navy">
                <v:path arrowok="t"/>
              </v:shape>
              <v:shape id="_x0000_s5225" style="position:absolute;left:2029;top:2076;width:91;height:67" coordsize="91,67" path="m46,l91,34,46,67,,34,46,xe" fillcolor="navy" strokecolor="navy">
                <v:path arrowok="t"/>
              </v:shape>
              <v:shape id="_x0000_s5226" style="position:absolute;left:2029;top:2076;width:91;height:67" coordsize="91,67" path="m46,l91,34,46,67,,34,46,xe" fillcolor="navy" strokecolor="navy">
                <v:path arrowok="t"/>
              </v:shape>
              <v:shape id="_x0000_s5227" style="position:absolute;left:2029;top:2065;width:91;height:67" coordsize="91,67" path="m46,l91,33,46,67,,33,46,xe" fillcolor="navy" strokecolor="navy">
                <v:path arrowok="t"/>
              </v:shape>
              <v:shape id="_x0000_s5228" style="position:absolute;left:2029;top:2054;width:91;height:67" coordsize="91,67" path="m46,l91,33,46,67,,33,46,xe" fillcolor="navy" strokecolor="navy">
                <v:path arrowok="t"/>
              </v:shape>
              <v:shape id="_x0000_s5229" style="position:absolute;left:2029;top:2054;width:91;height:67" coordsize="91,67" path="m46,l91,33,46,67,,33,46,xe" fillcolor="navy" strokecolor="navy">
                <v:path arrowok="t"/>
              </v:shape>
              <v:shape id="_x0000_s5230" style="position:absolute;left:2029;top:2043;width:91;height:67" coordsize="91,67" path="m46,l91,33,46,67,,33,46,xe" fillcolor="navy" strokecolor="navy">
                <v:path arrowok="t"/>
              </v:shape>
              <v:shape id="_x0000_s5231" style="position:absolute;left:2029;top:2032;width:91;height:66" coordsize="91,66" path="m46,l91,33,46,66,,33,46,xe" fillcolor="navy" strokecolor="navy">
                <v:path arrowok="t"/>
              </v:shape>
              <v:shape id="_x0000_s5232" style="position:absolute;left:2029;top:2021;width:91;height:66" coordsize="91,66" path="m46,l91,33,46,66,,33,46,xe" fillcolor="navy" strokecolor="navy">
                <v:path arrowok="t"/>
              </v:shape>
              <v:shape id="_x0000_s5233" style="position:absolute;left:2029;top:2010;width:91;height:66" coordsize="91,66" path="m46,l91,33,46,66,,33,46,xe" fillcolor="navy" strokecolor="navy">
                <v:path arrowok="t"/>
              </v:shape>
              <v:shape id="_x0000_s5234" style="position:absolute;left:2029;top:1999;width:91;height:66" coordsize="91,66" path="m46,l91,33,46,66,,33,46,xe" fillcolor="navy" strokecolor="navy">
                <v:path arrowok="t"/>
              </v:shape>
              <v:shape id="_x0000_s5235" style="position:absolute;left:2029;top:1999;width:91;height:66" coordsize="91,66" path="m46,l91,33,46,66,,33,46,xe" fillcolor="navy" strokecolor="navy">
                <v:path arrowok="t"/>
              </v:shape>
              <v:shape id="_x0000_s5236" style="position:absolute;left:2029;top:1999;width:91;height:66" coordsize="91,66" path="m46,l91,33,46,66,,33,46,xe" fillcolor="navy" strokecolor="navy">
                <v:path arrowok="t"/>
              </v:shape>
              <v:shape id="_x0000_s5237" style="position:absolute;left:2029;top:1999;width:91;height:66" coordsize="91,66" path="m46,l91,33,46,66,,33,46,xe" fillcolor="navy" strokecolor="navy">
                <v:path arrowok="t"/>
              </v:shape>
              <v:shape id="_x0000_s5238" style="position:absolute;left:2029;top:1999;width:91;height:66" coordsize="91,66" path="m46,l91,33,46,66,,33,46,xe" fillcolor="navy" strokecolor="navy">
                <v:path arrowok="t"/>
              </v:shape>
              <v:shape id="_x0000_s5239" style="position:absolute;left:2029;top:1988;width:91;height:66" coordsize="91,66" path="m46,l91,33,46,66,,33,46,xe" fillcolor="navy" strokecolor="navy">
                <v:path arrowok="t"/>
              </v:shape>
              <v:shape id="_x0000_s5240" style="position:absolute;left:2029;top:1977;width:91;height:66" coordsize="91,66" path="m46,l91,33,46,66,,33,46,xe" fillcolor="navy" strokecolor="navy">
                <v:path arrowok="t"/>
              </v:shape>
              <v:shape id="_x0000_s5241" style="position:absolute;left:2029;top:1977;width:91;height:66" coordsize="91,66" path="m46,l91,33,46,66,,33,46,xe" fillcolor="navy" strokecolor="navy">
                <v:path arrowok="t"/>
              </v:shape>
              <v:shape id="_x0000_s5242" style="position:absolute;left:2029;top:1977;width:91;height:66" coordsize="91,66" path="m46,l91,33,46,66,,33,46,xe" fillcolor="navy" strokecolor="navy">
                <v:path arrowok="t"/>
              </v:shape>
              <v:shape id="_x0000_s5243" style="position:absolute;left:2029;top:1966;width:91;height:66" coordsize="91,66" path="m46,l91,33,46,66,,33,46,xe" fillcolor="navy" strokecolor="navy">
                <v:path arrowok="t"/>
              </v:shape>
              <v:shape id="_x0000_s5244" style="position:absolute;left:2029;top:1966;width:91;height:66" coordsize="91,66" path="m46,l91,33,46,66,,33,46,xe" fillcolor="navy" strokecolor="navy">
                <v:path arrowok="t"/>
              </v:shape>
              <v:shape id="_x0000_s5245" style="position:absolute;left:2029;top:1955;width:91;height:66" coordsize="91,66" path="m46,l91,33,46,66,,33,46,xe" fillcolor="navy" strokecolor="navy">
                <v:path arrowok="t"/>
              </v:shape>
              <v:shape id="_x0000_s5246" style="position:absolute;left:2029;top:1955;width:91;height:66" coordsize="91,66" path="m46,l91,33,46,66,,33,46,xe" fillcolor="navy" strokecolor="navy">
                <v:path arrowok="t"/>
              </v:shape>
              <v:shape id="_x0000_s5247" style="position:absolute;left:2029;top:1955;width:91;height:66" coordsize="91,66" path="m46,l91,33,46,66,,33,46,xe" fillcolor="navy" strokecolor="navy">
                <v:path arrowok="t"/>
              </v:shape>
              <v:shape id="_x0000_s5248" style="position:absolute;left:2029;top:1944;width:91;height:66" coordsize="91,66" path="m46,l91,33,46,66,,33,46,xe" fillcolor="navy" strokecolor="navy">
                <v:path arrowok="t"/>
              </v:shape>
              <v:shape id="_x0000_s5249" style="position:absolute;left:2029;top:1944;width:91;height:66" coordsize="91,66" path="m46,l91,33,46,66,,33,46,xe" fillcolor="navy" strokecolor="navy">
                <v:path arrowok="t"/>
              </v:shape>
              <v:shape id="_x0000_s5250" style="position:absolute;left:2029;top:1944;width:91;height:66" coordsize="91,66" path="m46,l91,33,46,66,,33,46,xe" fillcolor="navy" strokecolor="navy">
                <v:path arrowok="t"/>
              </v:shape>
              <v:shape id="_x0000_s5251" style="position:absolute;left:2029;top:1922;width:91;height:66" coordsize="91,66" path="m46,l91,33,46,66,,33,46,xe" fillcolor="navy" strokecolor="navy">
                <v:path arrowok="t"/>
              </v:shape>
              <v:shape id="_x0000_s5252" style="position:absolute;left:2029;top:1922;width:91;height:66" coordsize="91,66" path="m46,l91,33,46,66,,33,46,xe" fillcolor="navy" strokecolor="navy">
                <v:path arrowok="t"/>
              </v:shape>
              <v:shape id="_x0000_s5253" style="position:absolute;left:2029;top:1922;width:91;height:66" coordsize="91,66" path="m46,l91,33,46,66,,33,46,xe" fillcolor="navy" strokecolor="navy">
                <v:path arrowok="t"/>
              </v:shape>
              <v:shape id="_x0000_s5254" style="position:absolute;left:2029;top:1911;width:91;height:66" coordsize="91,66" path="m46,l91,33,46,66,,33,46,xe" fillcolor="navy" strokecolor="navy">
                <v:path arrowok="t"/>
              </v:shape>
              <v:shape id="_x0000_s5255" style="position:absolute;left:2029;top:1900;width:91;height:66" coordsize="91,66" path="m46,l91,33,46,66,,33,46,xe" fillcolor="navy" strokecolor="navy">
                <v:path arrowok="t"/>
              </v:shape>
              <v:shape id="_x0000_s5256" style="position:absolute;left:2029;top:1900;width:91;height:66" coordsize="91,66" path="m46,l91,33,46,66,,33,46,xe" fillcolor="navy" strokecolor="navy">
                <v:path arrowok="t"/>
              </v:shape>
              <v:shape id="_x0000_s5257" style="position:absolute;left:2029;top:1900;width:91;height:66" coordsize="91,66" path="m46,l91,33,46,66,,33,46,xe" fillcolor="navy" strokecolor="navy">
                <v:path arrowok="t"/>
              </v:shape>
              <v:shape id="_x0000_s5258" style="position:absolute;left:2029;top:1900;width:91;height:66" coordsize="91,66" path="m46,l91,33,46,66,,33,46,xe" fillcolor="navy" strokecolor="navy">
                <v:path arrowok="t"/>
              </v:shape>
              <v:shape id="_x0000_s5259" style="position:absolute;left:2029;top:1878;width:91;height:66" coordsize="91,66" path="m46,l91,33,46,66,,33,46,xe" fillcolor="navy" strokecolor="navy">
                <v:path arrowok="t"/>
              </v:shape>
              <v:shape id="_x0000_s5260" style="position:absolute;left:2029;top:1855;width:91;height:67" coordsize="91,67" path="m46,l91,34,46,67,,34,46,xe" fillcolor="navy" strokecolor="navy">
                <v:path arrowok="t"/>
              </v:shape>
              <v:shape id="_x0000_s5261" style="position:absolute;left:2029;top:1833;width:91;height:67" coordsize="91,67" path="m46,l91,34,46,67,,34,46,xe" fillcolor="navy" strokecolor="navy">
                <v:path arrowok="t"/>
              </v:shape>
              <v:shape id="_x0000_s5262" style="position:absolute;left:2029;top:1822;width:91;height:67" coordsize="91,67" path="m46,l91,33,46,67,,33,46,xe" fillcolor="navy" strokecolor="navy">
                <v:path arrowok="t"/>
              </v:shape>
              <v:shape id="_x0000_s5263" style="position:absolute;left:2029;top:1800;width:91;height:67" coordsize="91,67" path="m46,l91,33,46,67,,33,46,xe" fillcolor="navy" strokecolor="navy">
                <v:path arrowok="t"/>
              </v:shape>
              <v:shape id="_x0000_s5264" style="position:absolute;left:2029;top:1789;width:91;height:66" coordsize="91,66" path="m46,l91,33,46,66,,33,46,xe" fillcolor="navy" strokecolor="navy">
                <v:path arrowok="t"/>
              </v:shape>
              <v:shape id="_x0000_s5265" style="position:absolute;left:2029;top:1734;width:91;height:66" coordsize="91,66" path="m46,l91,33,46,66,,33,46,xe" fillcolor="navy" strokecolor="navy">
                <v:path arrowok="t"/>
              </v:shape>
              <v:shape id="_x0000_s5266" style="position:absolute;left:2226;top:2253;width:91;height:66" coordsize="91,66" path="m46,l91,33,46,66,,33,46,xe" fillcolor="navy" strokecolor="navy">
                <v:path arrowok="t"/>
              </v:shape>
              <v:shape id="_x0000_s5267" style="position:absolute;left:2226;top:2242;width:91;height:66" coordsize="91,66" path="m46,l91,33,46,66,,33,46,xe" fillcolor="navy" strokecolor="navy">
                <v:path arrowok="t"/>
              </v:shape>
              <v:shape id="_x0000_s5268" style="position:absolute;left:2226;top:2231;width:91;height:66" coordsize="91,66" path="m46,l91,33,46,66,,33,46,xe" fillcolor="navy" strokecolor="navy">
                <v:path arrowok="t"/>
              </v:shape>
              <v:shape id="_x0000_s5269" style="position:absolute;left:2226;top:2231;width:91;height:66" coordsize="91,66" path="m46,l91,33,46,66,,33,46,xe" fillcolor="navy" strokecolor="navy">
                <v:path arrowok="t"/>
              </v:shape>
              <v:shape id="_x0000_s5270" style="position:absolute;left:2226;top:2220;width:91;height:66" coordsize="91,66" path="m46,l91,33,46,66,,33,46,xe" fillcolor="navy" strokecolor="navy">
                <v:path arrowok="t"/>
              </v:shape>
              <v:shape id="_x0000_s5271" style="position:absolute;left:2226;top:2209;width:91;height:66" coordsize="91,66" path="m46,l91,33,46,66,,33,46,xe" fillcolor="navy" strokecolor="navy">
                <v:path arrowok="t"/>
              </v:shape>
              <v:shape id="_x0000_s5272" style="position:absolute;left:2226;top:2187;width:91;height:66" coordsize="91,66" path="m46,l91,33,46,66,,33,46,xe" fillcolor="navy" strokecolor="navy">
                <v:path arrowok="t"/>
              </v:shape>
              <v:shape id="_x0000_s5273" style="position:absolute;left:2226;top:2187;width:91;height:66" coordsize="91,66" path="m46,l91,33,46,66,,33,46,xe" fillcolor="navy" strokecolor="navy">
                <v:path arrowok="t"/>
              </v:shape>
              <v:shape id="_x0000_s5274" style="position:absolute;left:2226;top:2187;width:91;height:66" coordsize="91,66" path="m46,l91,33,46,66,,33,46,xe" fillcolor="navy" strokecolor="navy">
                <v:path arrowok="t"/>
              </v:shape>
              <v:shape id="_x0000_s5275" style="position:absolute;left:2226;top:2143;width:91;height:66" coordsize="91,66" path="m46,l91,33,46,66,,33,46,xe" fillcolor="navy" strokecolor="navy">
                <v:path arrowok="t"/>
              </v:shape>
              <v:shape id="_x0000_s5276" style="position:absolute;left:2226;top:2143;width:91;height:66" coordsize="91,66" path="m46,l91,33,46,66,,33,46,xe" fillcolor="navy" strokecolor="navy">
                <v:path arrowok="t"/>
              </v:shape>
              <v:shape id="_x0000_s5277" style="position:absolute;left:2226;top:2132;width:91;height:66" coordsize="91,66" path="m46,l91,33,46,66,,33,46,xe" fillcolor="navy" strokecolor="navy">
                <v:path arrowok="t"/>
              </v:shape>
              <v:shape id="_x0000_s5278" style="position:absolute;left:2226;top:2121;width:91;height:66" coordsize="91,66" path="m46,l91,33,46,66,,33,46,xe" fillcolor="navy" strokecolor="navy">
                <v:path arrowok="t"/>
              </v:shape>
              <v:shape id="_x0000_s5279" style="position:absolute;left:2226;top:2121;width:91;height:66" coordsize="91,66" path="m46,l91,33,46,66,,33,46,xe" fillcolor="navy" strokecolor="navy">
                <v:path arrowok="t"/>
              </v:shape>
              <v:shape id="_x0000_s5280" style="position:absolute;left:2226;top:2110;width:91;height:66" coordsize="91,66" path="m46,l91,33,46,66,,33,46,xe" fillcolor="navy" strokecolor="navy">
                <v:path arrowok="t"/>
              </v:shape>
              <v:shape id="_x0000_s5281" style="position:absolute;left:2226;top:2098;width:91;height:67" coordsize="91,67" path="m46,l91,34,46,67,,34,46,xe" fillcolor="navy" strokecolor="navy">
                <v:path arrowok="t"/>
              </v:shape>
              <v:shape id="_x0000_s5282" style="position:absolute;left:2226;top:2098;width:91;height:67" coordsize="91,67" path="m46,l91,34,46,67,,34,46,xe" fillcolor="navy" strokecolor="navy">
                <v:path arrowok="t"/>
              </v:shape>
              <v:shape id="_x0000_s5283" style="position:absolute;left:2226;top:2098;width:91;height:67" coordsize="91,67" path="m46,l91,34,46,67,,34,46,xe" fillcolor="navy" strokecolor="navy">
                <v:path arrowok="t"/>
              </v:shape>
              <v:shape id="_x0000_s5284" style="position:absolute;left:2226;top:2098;width:91;height:67" coordsize="91,67" path="m46,l91,34,46,67,,34,46,xe" fillcolor="navy" strokecolor="navy">
                <v:path arrowok="t"/>
              </v:shape>
              <v:shape id="_x0000_s5285" style="position:absolute;left:2226;top:2065;width:91;height:67" coordsize="91,67" path="m46,l91,33,46,67,,33,46,xe" fillcolor="navy" strokecolor="navy">
                <v:path arrowok="t"/>
              </v:shape>
              <v:shape id="_x0000_s5286" style="position:absolute;left:2226;top:2065;width:91;height:67" coordsize="91,67" path="m46,l91,33,46,67,,33,46,xe" fillcolor="navy" strokecolor="navy">
                <v:path arrowok="t"/>
              </v:shape>
              <v:shape id="_x0000_s5287" style="position:absolute;left:2226;top:2054;width:91;height:67" coordsize="91,67" path="m46,l91,33,46,67,,33,46,xe" fillcolor="navy" strokecolor="navy">
                <v:path arrowok="t"/>
              </v:shape>
              <v:shape id="_x0000_s5288" style="position:absolute;left:2226;top:2054;width:91;height:67" coordsize="91,67" path="m46,l91,33,46,67,,33,46,xe" fillcolor="navy" strokecolor="navy">
                <v:path arrowok="t"/>
              </v:shape>
              <v:shape id="_x0000_s5289" style="position:absolute;left:2226;top:2032;width:91;height:66" coordsize="91,66" path="m46,l91,33,46,66,,33,46,xe" fillcolor="navy" strokecolor="navy">
                <v:path arrowok="t"/>
              </v:shape>
              <v:shape id="_x0000_s5290" style="position:absolute;left:2226;top:2032;width:91;height:66" coordsize="91,66" path="m46,l91,33,46,66,,33,46,xe" fillcolor="navy" strokecolor="navy">
                <v:path arrowok="t"/>
              </v:shape>
              <v:shape id="_x0000_s5291" style="position:absolute;left:2226;top:2010;width:91;height:66" coordsize="91,66" path="m46,l91,33,46,66,,33,46,xe" fillcolor="navy" strokecolor="navy">
                <v:path arrowok="t"/>
              </v:shape>
              <v:shape id="_x0000_s5292" style="position:absolute;left:2226;top:1988;width:91;height:66" coordsize="91,66" path="m46,l91,33,46,66,,33,46,xe" fillcolor="navy" strokecolor="navy">
                <v:path arrowok="t"/>
              </v:shape>
              <v:shape id="_x0000_s5293" style="position:absolute;left:2226;top:1988;width:91;height:66" coordsize="91,66" path="m46,l91,33,46,66,,33,46,xe" fillcolor="navy" strokecolor="navy">
                <v:path arrowok="t"/>
              </v:shape>
              <v:shape id="_x0000_s5294" style="position:absolute;left:2226;top:1977;width:91;height:66" coordsize="91,66" path="m46,l91,33,46,66,,33,46,xe" fillcolor="navy" strokecolor="navy">
                <v:path arrowok="t"/>
              </v:shape>
              <v:shape id="_x0000_s5295" style="position:absolute;left:2226;top:1977;width:91;height:66" coordsize="91,66" path="m46,l91,33,46,66,,33,46,xe" fillcolor="navy" strokecolor="navy">
                <v:path arrowok="t"/>
              </v:shape>
              <v:shape id="_x0000_s5296" style="position:absolute;left:2226;top:1933;width:91;height:66" coordsize="91,66" path="m46,l91,33,46,66,,33,46,xe" fillcolor="navy" strokecolor="navy">
                <v:path arrowok="t"/>
              </v:shape>
              <v:shape id="_x0000_s5297" style="position:absolute;left:2226;top:1922;width:91;height:66" coordsize="91,66" path="m46,l91,33,46,66,,33,46,xe" fillcolor="navy" strokecolor="navy">
                <v:path arrowok="t"/>
              </v:shape>
              <v:shape id="_x0000_s5298" style="position:absolute;left:2226;top:1922;width:91;height:66" coordsize="91,66" path="m46,l91,33,46,66,,33,46,xe" fillcolor="navy" strokecolor="navy">
                <v:path arrowok="t"/>
              </v:shape>
              <v:shape id="_x0000_s5299" style="position:absolute;left:2226;top:1900;width:91;height:66" coordsize="91,66" path="m46,l91,33,46,66,,33,46,xe" fillcolor="navy" strokecolor="navy">
                <v:path arrowok="t"/>
              </v:shape>
              <v:shape id="_x0000_s5300" style="position:absolute;left:2226;top:1889;width:91;height:66" coordsize="91,66" path="m46,l91,33,46,66,,33,46,xe" fillcolor="navy" strokecolor="navy">
                <v:path arrowok="t"/>
              </v:shape>
              <v:shape id="_x0000_s5301" style="position:absolute;left:2226;top:1889;width:91;height:66" coordsize="91,66" path="m46,l91,33,46,66,,33,46,xe" fillcolor="navy" strokecolor="navy">
                <v:path arrowok="t"/>
              </v:shape>
              <v:shape id="_x0000_s5302" style="position:absolute;left:2226;top:1878;width:91;height:66" coordsize="91,66" path="m46,l91,33,46,66,,33,46,xe" fillcolor="navy" strokecolor="navy">
                <v:path arrowok="t"/>
              </v:shape>
              <v:shape id="_x0000_s5303" style="position:absolute;left:2226;top:1867;width:91;height:66" coordsize="91,66" path="m46,l91,33,46,66,,33,46,xe" fillcolor="navy" strokecolor="navy">
                <v:path arrowok="t"/>
              </v:shape>
              <v:shape id="_x0000_s5304" style="position:absolute;left:2226;top:1867;width:91;height:66" coordsize="91,66" path="m46,l91,33,46,66,,33,46,xe" fillcolor="navy" strokecolor="navy">
                <v:path arrowok="t"/>
              </v:shape>
              <v:shape id="_x0000_s5305" style="position:absolute;left:2226;top:1855;width:91;height:67" coordsize="91,67" path="m46,l91,34,46,67,,34,46,xe" fillcolor="navy" strokecolor="navy">
                <v:path arrowok="t"/>
              </v:shape>
              <v:shape id="_x0000_s5306" style="position:absolute;left:2226;top:1855;width:91;height:67" coordsize="91,67" path="m46,l91,34,46,67,,34,46,xe" fillcolor="navy" strokecolor="navy">
                <v:path arrowok="t"/>
              </v:shape>
              <v:shape id="_x0000_s5307" style="position:absolute;left:2226;top:1855;width:91;height:67" coordsize="91,67" path="m46,l91,34,46,67,,34,46,xe" fillcolor="navy" strokecolor="navy">
                <v:path arrowok="t"/>
              </v:shape>
              <v:shape id="_x0000_s5308" style="position:absolute;left:2226;top:1844;width:91;height:67" coordsize="91,67" path="m46,l91,34,46,67,,34,46,xe" fillcolor="navy" strokecolor="navy">
                <v:path arrowok="t"/>
              </v:shape>
              <v:shape id="_x0000_s5309" style="position:absolute;left:2226;top:1844;width:91;height:67" coordsize="91,67" path="m46,l91,34,46,67,,34,46,xe" fillcolor="navy" strokecolor="navy">
                <v:path arrowok="t"/>
              </v:shape>
              <v:shape id="_x0000_s5310" style="position:absolute;left:2226;top:1822;width:91;height:67" coordsize="91,67" path="m46,l91,33,46,67,,33,46,xe" fillcolor="navy" strokecolor="navy">
                <v:path arrowok="t"/>
              </v:shape>
              <v:shape id="_x0000_s5311" style="position:absolute;left:2226;top:1811;width:91;height:67" coordsize="91,67" path="m46,l91,33,46,67,,33,46,xe" fillcolor="navy" strokecolor="navy">
                <v:path arrowok="t"/>
              </v:shape>
              <v:shape id="_x0000_s5312" style="position:absolute;left:2226;top:1800;width:91;height:67" coordsize="91,67" path="m46,l91,33,46,67,,33,46,xe" fillcolor="navy" strokecolor="navy">
                <v:path arrowok="t"/>
              </v:shape>
              <v:shape id="_x0000_s5313" style="position:absolute;left:2226;top:1789;width:91;height:66" coordsize="91,66" path="m46,l91,33,46,66,,33,46,xe" fillcolor="navy" strokecolor="navy">
                <v:path arrowok="t"/>
              </v:shape>
              <v:shape id="_x0000_s5314" style="position:absolute;left:2226;top:1778;width:91;height:66" coordsize="91,66" path="m46,l91,33,46,66,,33,46,xe" fillcolor="navy" strokecolor="navy">
                <v:path arrowok="t"/>
              </v:shape>
              <v:shape id="_x0000_s5315" style="position:absolute;left:2226;top:1767;width:91;height:66" coordsize="91,66" path="m46,l91,33,46,66,,33,46,xe" fillcolor="navy" strokecolor="navy">
                <v:path arrowok="t"/>
              </v:shape>
              <v:shape id="_x0000_s5316" style="position:absolute;left:2226;top:1756;width:91;height:66" coordsize="91,66" path="m46,l91,33,46,66,,33,46,xe" fillcolor="navy" strokecolor="navy">
                <v:path arrowok="t"/>
              </v:shape>
              <v:shape id="_x0000_s5317" style="position:absolute;left:2226;top:1579;width:91;height:67" coordsize="91,67" path="m46,l91,34,46,67,,34,46,xe" fillcolor="navy" strokecolor="navy">
                <v:path arrowok="t"/>
              </v:shape>
              <v:shape id="_x0000_s5318" style="position:absolute;left:2226;top:1447;width:91;height:66" coordsize="91,66" path="m46,l91,33,46,66,,33,46,xe" fillcolor="navy" strokecolor="navy">
                <v:path arrowok="t"/>
              </v:shape>
              <v:shape id="_x0000_s5319" style="position:absolute;left:2438;top:2220;width:91;height:66" coordsize="91,66" path="m46,l91,33,46,66,,33,46,xe" fillcolor="navy" strokecolor="navy">
                <v:path arrowok="t"/>
              </v:shape>
              <v:shape id="_x0000_s5320" style="position:absolute;left:2438;top:2209;width:91;height:66" coordsize="91,66" path="m46,l91,33,46,66,,33,46,xe" fillcolor="navy" strokecolor="navy">
                <v:path arrowok="t"/>
              </v:shape>
              <v:shape id="_x0000_s5321" style="position:absolute;left:2438;top:2165;width:91;height:66" coordsize="91,66" path="m46,l91,33,46,66,,33,46,xe" fillcolor="navy" strokecolor="navy">
                <v:path arrowok="t"/>
              </v:shape>
              <v:shape id="_x0000_s5322" style="position:absolute;left:2438;top:2143;width:91;height:66" coordsize="91,66" path="m46,l91,33,46,66,,33,46,xe" fillcolor="navy" strokecolor="navy">
                <v:path arrowok="t"/>
              </v:shape>
              <v:shape id="_x0000_s5323" style="position:absolute;left:2438;top:2132;width:91;height:66" coordsize="91,66" path="m46,l91,33,46,66,,33,46,xe" fillcolor="navy" strokecolor="navy">
                <v:path arrowok="t"/>
              </v:shape>
              <v:shape id="_x0000_s5324" style="position:absolute;left:2438;top:2121;width:91;height:66" coordsize="91,66" path="m46,l91,33,46,66,,33,46,xe" fillcolor="navy" strokecolor="navy">
                <v:path arrowok="t"/>
              </v:shape>
              <v:shape id="_x0000_s5325" style="position:absolute;left:2438;top:2110;width:91;height:66" coordsize="91,66" path="m46,l91,33,46,66,,33,46,xe" fillcolor="navy" strokecolor="navy">
                <v:path arrowok="t"/>
              </v:shape>
              <v:shape id="_x0000_s5326" style="position:absolute;left:2438;top:2098;width:91;height:67" coordsize="91,67" path="m46,l91,34,46,67,,34,46,xe" fillcolor="navy" strokecolor="navy">
                <v:path arrowok="t"/>
              </v:shape>
              <v:shape id="_x0000_s5327" style="position:absolute;left:2438;top:2087;width:91;height:67" coordsize="91,67" path="m46,l91,34,46,67,,34,46,xe" fillcolor="navy" strokecolor="navy">
                <v:path arrowok="t"/>
              </v:shape>
              <v:shape id="_x0000_s5328" style="position:absolute;left:2438;top:2065;width:91;height:67" coordsize="91,67" path="m46,l91,33,46,67,,33,46,xe" fillcolor="navy" strokecolor="navy">
                <v:path arrowok="t"/>
              </v:shape>
              <v:shape id="_x0000_s5329" style="position:absolute;left:2438;top:2065;width:91;height:67" coordsize="91,67" path="m46,l91,33,46,67,,33,46,xe" fillcolor="navy" strokecolor="navy">
                <v:path arrowok="t"/>
              </v:shape>
              <v:shape id="_x0000_s5330" style="position:absolute;left:2438;top:2043;width:91;height:67" coordsize="91,67" path="m46,l91,33,46,67,,33,46,xe" fillcolor="navy" strokecolor="navy">
                <v:path arrowok="t"/>
              </v:shape>
              <v:shape id="_x0000_s5331" style="position:absolute;left:2438;top:2043;width:91;height:67" coordsize="91,67" path="m46,l91,33,46,67,,33,46,xe" fillcolor="navy" strokecolor="navy">
                <v:path arrowok="t"/>
              </v:shape>
              <v:shape id="_x0000_s5332" style="position:absolute;left:2438;top:2032;width:91;height:66" coordsize="91,66" path="m46,l91,33,46,66,,33,46,xe" fillcolor="navy" strokecolor="navy">
                <v:path arrowok="t"/>
              </v:shape>
              <v:shape id="_x0000_s5333" style="position:absolute;left:2438;top:2021;width:91;height:66" coordsize="91,66" path="m46,l91,33,46,66,,33,46,xe" fillcolor="navy" strokecolor="navy">
                <v:path arrowok="t"/>
              </v:shape>
              <v:shape id="_x0000_s5334" style="position:absolute;left:2438;top:2021;width:91;height:66" coordsize="91,66" path="m46,l91,33,46,66,,33,46,xe" fillcolor="navy" strokecolor="navy">
                <v:path arrowok="t"/>
              </v:shape>
              <v:shape id="_x0000_s5335" style="position:absolute;left:2438;top:2021;width:91;height:66" coordsize="91,66" path="m46,l91,33,46,66,,33,46,xe" fillcolor="navy" strokecolor="navy">
                <v:path arrowok="t"/>
              </v:shape>
              <v:shape id="_x0000_s5336" style="position:absolute;left:2438;top:2010;width:91;height:66" coordsize="91,66" path="m46,l91,33,46,66,,33,46,xe" fillcolor="navy" strokecolor="navy">
                <v:path arrowok="t"/>
              </v:shape>
              <v:shape id="_x0000_s5337" style="position:absolute;left:2438;top:1999;width:91;height:66" coordsize="91,66" path="m46,l91,33,46,66,,33,46,xe" fillcolor="navy" strokecolor="navy">
                <v:path arrowok="t"/>
              </v:shape>
              <v:shape id="_x0000_s5338" style="position:absolute;left:2438;top:1999;width:91;height:66" coordsize="91,66" path="m46,l91,33,46,66,,33,46,xe" fillcolor="navy" strokecolor="navy">
                <v:path arrowok="t"/>
              </v:shape>
              <v:shape id="_x0000_s5339" style="position:absolute;left:2438;top:1988;width:91;height:66" coordsize="91,66" path="m46,l91,33,46,66,,33,46,xe" fillcolor="navy" strokecolor="navy">
                <v:path arrowok="t"/>
              </v:shape>
              <v:shape id="_x0000_s5340" style="position:absolute;left:2438;top:1977;width:91;height:66" coordsize="91,66" path="m46,l91,33,46,66,,33,46,xe" fillcolor="navy" strokecolor="navy">
                <v:path arrowok="t"/>
              </v:shape>
              <v:shape id="_x0000_s5341" style="position:absolute;left:2438;top:1966;width:91;height:66" coordsize="91,66" path="m46,l91,33,46,66,,33,46,xe" fillcolor="navy" strokecolor="navy">
                <v:path arrowok="t"/>
              </v:shape>
              <v:shape id="_x0000_s5342" style="position:absolute;left:2438;top:1944;width:91;height:66" coordsize="91,66" path="m46,l91,33,46,66,,33,46,xe" fillcolor="navy" strokecolor="navy">
                <v:path arrowok="t"/>
              </v:shape>
              <v:shape id="_x0000_s5343" style="position:absolute;left:2438;top:1933;width:91;height:66" coordsize="91,66" path="m46,l91,33,46,66,,33,46,xe" fillcolor="navy" strokecolor="navy">
                <v:path arrowok="t"/>
              </v:shape>
              <v:shape id="_x0000_s5344" style="position:absolute;left:2438;top:1933;width:91;height:66" coordsize="91,66" path="m46,l91,33,46,66,,33,46,xe" fillcolor="navy" strokecolor="navy">
                <v:path arrowok="t"/>
              </v:shape>
              <v:shape id="_x0000_s5345" style="position:absolute;left:2438;top:1922;width:91;height:66" coordsize="91,66" path="m46,l91,33,46,66,,33,46,xe" fillcolor="navy" strokecolor="navy">
                <v:path arrowok="t"/>
              </v:shape>
              <v:shape id="_x0000_s5346" style="position:absolute;left:2438;top:1922;width:91;height:66" coordsize="91,66" path="m46,l91,33,46,66,,33,46,xe" fillcolor="navy" strokecolor="navy">
                <v:path arrowok="t"/>
              </v:shape>
              <v:shape id="_x0000_s5347" style="position:absolute;left:2438;top:1911;width:91;height:66" coordsize="91,66" path="m46,l91,33,46,66,,33,46,xe" fillcolor="navy" strokecolor="navy">
                <v:path arrowok="t"/>
              </v:shape>
              <v:shape id="_x0000_s5348" style="position:absolute;left:2438;top:1911;width:91;height:66" coordsize="91,66" path="m46,l91,33,46,66,,33,46,xe" fillcolor="navy" strokecolor="navy">
                <v:path arrowok="t"/>
              </v:shape>
              <v:shape id="_x0000_s5349" style="position:absolute;left:2438;top:1900;width:91;height:66" coordsize="91,66" path="m46,l91,33,46,66,,33,46,xe" fillcolor="navy" strokecolor="navy">
                <v:path arrowok="t"/>
              </v:shape>
              <v:shape id="_x0000_s5350" style="position:absolute;left:2438;top:1900;width:91;height:66" coordsize="91,66" path="m46,l91,33,46,66,,33,46,xe" fillcolor="navy" strokecolor="navy">
                <v:path arrowok="t"/>
              </v:shape>
              <v:shape id="_x0000_s5351" style="position:absolute;left:2438;top:1889;width:91;height:66" coordsize="91,66" path="m46,l91,33,46,66,,33,46,xe" fillcolor="navy" strokecolor="navy">
                <v:path arrowok="t"/>
              </v:shape>
              <v:shape id="_x0000_s5352" style="position:absolute;left:2438;top:1889;width:91;height:66" coordsize="91,66" path="m46,l91,33,46,66,,33,46,xe" fillcolor="navy" strokecolor="navy">
                <v:path arrowok="t"/>
              </v:shape>
              <v:shape id="_x0000_s5353" style="position:absolute;left:2438;top:1878;width:91;height:66" coordsize="91,66" path="m46,l91,33,46,66,,33,46,xe" fillcolor="navy" strokecolor="navy">
                <v:path arrowok="t"/>
              </v:shape>
              <v:shape id="_x0000_s5354" style="position:absolute;left:2438;top:1878;width:91;height:66" coordsize="91,66" path="m46,l91,33,46,66,,33,46,xe" fillcolor="navy" strokecolor="navy">
                <v:path arrowok="t"/>
              </v:shape>
              <v:shape id="_x0000_s5355" style="position:absolute;left:2438;top:1867;width:91;height:66" coordsize="91,66" path="m46,l91,33,46,66,,33,46,xe" fillcolor="navy" strokecolor="navy">
                <v:path arrowok="t"/>
              </v:shape>
              <v:shape id="_x0000_s5356" style="position:absolute;left:2438;top:1867;width:91;height:66" coordsize="91,66" path="m46,l91,33,46,66,,33,46,xe" fillcolor="navy" strokecolor="navy">
                <v:path arrowok="t"/>
              </v:shape>
              <v:shape id="_x0000_s5357" style="position:absolute;left:2438;top:1855;width:91;height:67" coordsize="91,67" path="m46,l91,34,46,67,,34,46,xe" fillcolor="navy" strokecolor="navy">
                <v:path arrowok="t"/>
              </v:shape>
              <v:shape id="_x0000_s5358" style="position:absolute;left:2438;top:1844;width:91;height:67" coordsize="91,67" path="m46,l91,34,46,67,,34,46,xe" fillcolor="navy" strokecolor="navy">
                <v:path arrowok="t"/>
              </v:shape>
              <v:shape id="_x0000_s5359" style="position:absolute;left:2438;top:1844;width:91;height:67" coordsize="91,67" path="m46,l91,34,46,67,,34,46,xe" fillcolor="navy" strokecolor="navy">
                <v:path arrowok="t"/>
              </v:shape>
              <v:shape id="_x0000_s5360" style="position:absolute;left:2438;top:1833;width:91;height:67" coordsize="91,67" path="m46,l91,34,46,67,,34,46,xe" fillcolor="navy" strokecolor="navy">
                <v:path arrowok="t"/>
              </v:shape>
              <v:shape id="_x0000_s5361" style="position:absolute;left:2438;top:1833;width:91;height:67" coordsize="91,67" path="m46,l91,34,46,67,,34,46,xe" fillcolor="navy" strokecolor="navy">
                <v:path arrowok="t"/>
              </v:shape>
              <v:shape id="_x0000_s5362" style="position:absolute;left:2438;top:1833;width:91;height:67" coordsize="91,67" path="m46,l91,34,46,67,,34,46,xe" fillcolor="navy" strokecolor="navy">
                <v:path arrowok="t"/>
              </v:shape>
              <v:shape id="_x0000_s5363" style="position:absolute;left:2438;top:1811;width:91;height:67" coordsize="91,67" path="m46,l91,33,46,67,,33,46,xe" fillcolor="navy" strokecolor="navy">
                <v:path arrowok="t"/>
              </v:shape>
              <v:shape id="_x0000_s5364" style="position:absolute;left:2438;top:1811;width:91;height:67" coordsize="91,67" path="m46,l91,33,46,67,,33,46,xe" fillcolor="navy" strokecolor="navy">
                <v:path arrowok="t"/>
              </v:shape>
              <v:shape id="_x0000_s5365" style="position:absolute;left:2438;top:1800;width:91;height:67" coordsize="91,67" path="m46,l91,33,46,67,,33,46,xe" fillcolor="navy" strokecolor="navy">
                <v:path arrowok="t"/>
              </v:shape>
              <v:shape id="_x0000_s5366" style="position:absolute;left:2438;top:1767;width:91;height:66" coordsize="91,66" path="m46,l91,33,46,66,,33,46,xe" fillcolor="navy" strokecolor="navy">
                <v:path arrowok="t"/>
              </v:shape>
              <v:shape id="_x0000_s5367" style="position:absolute;left:2438;top:1756;width:91;height:66" coordsize="91,66" path="m46,l91,33,46,66,,33,46,xe" fillcolor="navy" strokecolor="navy">
                <v:path arrowok="t"/>
              </v:shape>
              <v:shape id="_x0000_s5368" style="position:absolute;left:2438;top:1723;width:91;height:66" coordsize="91,66" path="m46,l91,33,46,66,,33,46,xe" fillcolor="navy" strokecolor="navy">
                <v:path arrowok="t"/>
              </v:shape>
              <v:shape id="_x0000_s5369" style="position:absolute;left:2438;top:1690;width:91;height:66" coordsize="91,66" path="m46,l91,33,46,66,,33,46,xe" fillcolor="navy" strokecolor="navy">
                <v:path arrowok="t"/>
              </v:shape>
              <v:shape id="_x0000_s5370" style="position:absolute;left:2438;top:1635;width:91;height:66" coordsize="91,66" path="m46,l91,33,46,66,,33,46,xe" fillcolor="navy" strokecolor="navy">
                <v:path arrowok="t"/>
              </v:shape>
              <v:shape id="_x0000_s5371" style="position:absolute;left:2438;top:1613;width:91;height:66" coordsize="91,66" path="m46,l91,33,46,66,,33,46,xe" fillcolor="navy" strokecolor="navy">
                <v:path arrowok="t"/>
              </v:shape>
              <v:shape id="_x0000_s5372" style="position:absolute;left:2438;top:1613;width:91;height:66" coordsize="91,66" path="m46,l91,33,46,66,,33,46,xe" fillcolor="navy" strokecolor="navy">
                <v:path arrowok="t"/>
              </v:shape>
            </v:group>
            <v:group id="_x0000_s5574" style="position:absolute;left:2635;top:1347;width:712;height:994" coordorigin="2635,1347" coordsize="712,994">
              <v:shape id="_x0000_s5374" style="position:absolute;left:2635;top:2165;width:91;height:66" coordsize="91,66" path="m45,l91,33,45,66,,33,45,xe" fillcolor="navy" strokecolor="navy">
                <v:path arrowok="t"/>
              </v:shape>
              <v:shape id="_x0000_s5375" style="position:absolute;left:2635;top:2154;width:91;height:66" coordsize="91,66" path="m45,l91,33,45,66,,33,45,xe" fillcolor="navy" strokecolor="navy">
                <v:path arrowok="t"/>
              </v:shape>
              <v:shape id="_x0000_s5376" style="position:absolute;left:2635;top:2143;width:91;height:66" coordsize="91,66" path="m45,l91,33,45,66,,33,45,xe" fillcolor="navy" strokecolor="navy">
                <v:path arrowok="t"/>
              </v:shape>
              <v:shape id="_x0000_s5377" style="position:absolute;left:2635;top:2132;width:91;height:66" coordsize="91,66" path="m45,l91,33,45,66,,33,45,xe" fillcolor="navy" strokecolor="navy">
                <v:path arrowok="t"/>
              </v:shape>
              <v:shape id="_x0000_s5378" style="position:absolute;left:2635;top:2132;width:91;height:66" coordsize="91,66" path="m45,l91,33,45,66,,33,45,xe" fillcolor="navy" strokecolor="navy">
                <v:path arrowok="t"/>
              </v:shape>
              <v:shape id="_x0000_s5379" style="position:absolute;left:2635;top:2110;width:91;height:66" coordsize="91,66" path="m45,l91,33,45,66,,33,45,xe" fillcolor="navy" strokecolor="navy">
                <v:path arrowok="t"/>
              </v:shape>
              <v:shape id="_x0000_s5380" style="position:absolute;left:2635;top:2098;width:91;height:67" coordsize="91,67" path="m45,l91,34,45,67,,34,45,xe" fillcolor="navy" strokecolor="navy">
                <v:path arrowok="t"/>
              </v:shape>
              <v:shape id="_x0000_s5381" style="position:absolute;left:2635;top:2087;width:91;height:67" coordsize="91,67" path="m45,l91,34,45,67,,34,45,xe" fillcolor="navy" strokecolor="navy">
                <v:path arrowok="t"/>
              </v:shape>
              <v:shape id="_x0000_s5382" style="position:absolute;left:2635;top:2076;width:91;height:67" coordsize="91,67" path="m45,l91,34,45,67,,34,45,xe" fillcolor="navy" strokecolor="navy">
                <v:path arrowok="t"/>
              </v:shape>
              <v:shape id="_x0000_s5383" style="position:absolute;left:2635;top:2065;width:91;height:67" coordsize="91,67" path="m45,l91,33,45,67,,33,45,xe" fillcolor="navy" strokecolor="navy">
                <v:path arrowok="t"/>
              </v:shape>
              <v:shape id="_x0000_s5384" style="position:absolute;left:2635;top:2065;width:91;height:67" coordsize="91,67" path="m45,l91,33,45,67,,33,45,xe" fillcolor="navy" strokecolor="navy">
                <v:path arrowok="t"/>
              </v:shape>
              <v:shape id="_x0000_s5385" style="position:absolute;left:2635;top:2065;width:91;height:67" coordsize="91,67" path="m45,l91,33,45,67,,33,45,xe" fillcolor="navy" strokecolor="navy">
                <v:path arrowok="t"/>
              </v:shape>
              <v:shape id="_x0000_s5386" style="position:absolute;left:2635;top:2054;width:91;height:67" coordsize="91,67" path="m45,l91,33,45,67,,33,45,xe" fillcolor="navy" strokecolor="navy">
                <v:path arrowok="t"/>
              </v:shape>
              <v:shape id="_x0000_s5387" style="position:absolute;left:2635;top:2054;width:91;height:67" coordsize="91,67" path="m45,l91,33,45,67,,33,45,xe" fillcolor="navy" strokecolor="navy">
                <v:path arrowok="t"/>
              </v:shape>
              <v:shape id="_x0000_s5388" style="position:absolute;left:2635;top:2021;width:91;height:66" coordsize="91,66" path="m45,l91,33,45,66,,33,45,xe" fillcolor="navy" strokecolor="navy">
                <v:path arrowok="t"/>
              </v:shape>
              <v:shape id="_x0000_s5389" style="position:absolute;left:2635;top:2010;width:91;height:66" coordsize="91,66" path="m45,l91,33,45,66,,33,45,xe" fillcolor="navy" strokecolor="navy">
                <v:path arrowok="t"/>
              </v:shape>
              <v:shape id="_x0000_s5390" style="position:absolute;left:2635;top:1999;width:91;height:66" coordsize="91,66" path="m45,l91,33,45,66,,33,45,xe" fillcolor="navy" strokecolor="navy">
                <v:path arrowok="t"/>
              </v:shape>
              <v:shape id="_x0000_s5391" style="position:absolute;left:2635;top:1999;width:91;height:66" coordsize="91,66" path="m45,l91,33,45,66,,33,45,xe" fillcolor="navy" strokecolor="navy">
                <v:path arrowok="t"/>
              </v:shape>
              <v:shape id="_x0000_s5392" style="position:absolute;left:2635;top:1988;width:91;height:66" coordsize="91,66" path="m45,l91,33,45,66,,33,45,xe" fillcolor="navy" strokecolor="navy">
                <v:path arrowok="t"/>
              </v:shape>
              <v:shape id="_x0000_s5393" style="position:absolute;left:2635;top:1988;width:91;height:66" coordsize="91,66" path="m45,l91,33,45,66,,33,45,xe" fillcolor="navy" strokecolor="navy">
                <v:path arrowok="t"/>
              </v:shape>
              <v:shape id="_x0000_s5394" style="position:absolute;left:2635;top:1977;width:91;height:66" coordsize="91,66" path="m45,l91,33,45,66,,33,45,xe" fillcolor="navy" strokecolor="navy">
                <v:path arrowok="t"/>
              </v:shape>
              <v:shape id="_x0000_s5395" style="position:absolute;left:2635;top:1966;width:91;height:66" coordsize="91,66" path="m45,l91,33,45,66,,33,45,xe" fillcolor="navy" strokecolor="navy">
                <v:path arrowok="t"/>
              </v:shape>
              <v:shape id="_x0000_s5396" style="position:absolute;left:2635;top:1966;width:91;height:66" coordsize="91,66" path="m45,l91,33,45,66,,33,45,xe" fillcolor="navy" strokecolor="navy">
                <v:path arrowok="t"/>
              </v:shape>
              <v:shape id="_x0000_s5397" style="position:absolute;left:2635;top:1966;width:91;height:66" coordsize="91,66" path="m45,l91,33,45,66,,33,45,xe" fillcolor="navy" strokecolor="navy">
                <v:path arrowok="t"/>
              </v:shape>
              <v:shape id="_x0000_s5398" style="position:absolute;left:2635;top:1944;width:91;height:66" coordsize="91,66" path="m45,l91,33,45,66,,33,45,xe" fillcolor="navy" strokecolor="navy">
                <v:path arrowok="t"/>
              </v:shape>
              <v:shape id="_x0000_s5399" style="position:absolute;left:2635;top:1944;width:91;height:66" coordsize="91,66" path="m45,l91,33,45,66,,33,45,xe" fillcolor="navy" strokecolor="navy">
                <v:path arrowok="t"/>
              </v:shape>
              <v:shape id="_x0000_s5400" style="position:absolute;left:2635;top:1944;width:91;height:66" coordsize="91,66" path="m45,l91,33,45,66,,33,45,xe" fillcolor="navy" strokecolor="navy">
                <v:path arrowok="t"/>
              </v:shape>
              <v:shape id="_x0000_s5401" style="position:absolute;left:2635;top:1944;width:91;height:66" coordsize="91,66" path="m45,l91,33,45,66,,33,45,xe" fillcolor="navy" strokecolor="navy">
                <v:path arrowok="t"/>
              </v:shape>
              <v:shape id="_x0000_s5402" style="position:absolute;left:2635;top:1944;width:91;height:66" coordsize="91,66" path="m45,l91,33,45,66,,33,45,xe" fillcolor="navy" strokecolor="navy">
                <v:path arrowok="t"/>
              </v:shape>
              <v:shape id="_x0000_s5403" style="position:absolute;left:2635;top:1944;width:91;height:66" coordsize="91,66" path="m45,l91,33,45,66,,33,45,xe" fillcolor="navy" strokecolor="navy">
                <v:path arrowok="t"/>
              </v:shape>
              <v:shape id="_x0000_s5404" style="position:absolute;left:2635;top:1944;width:91;height:66" coordsize="91,66" path="m45,l91,33,45,66,,33,45,xe" fillcolor="navy" strokecolor="navy">
                <v:path arrowok="t"/>
              </v:shape>
              <v:shape id="_x0000_s5405" style="position:absolute;left:2635;top:1933;width:91;height:66" coordsize="91,66" path="m45,l91,33,45,66,,33,45,xe" fillcolor="navy" strokecolor="navy">
                <v:path arrowok="t"/>
              </v:shape>
              <v:shape id="_x0000_s5406" style="position:absolute;left:2635;top:1933;width:91;height:66" coordsize="91,66" path="m45,l91,33,45,66,,33,45,xe" fillcolor="navy" strokecolor="navy">
                <v:path arrowok="t"/>
              </v:shape>
              <v:shape id="_x0000_s5407" style="position:absolute;left:2635;top:1933;width:91;height:66" coordsize="91,66" path="m45,l91,33,45,66,,33,45,xe" fillcolor="navy" strokecolor="navy">
                <v:path arrowok="t"/>
              </v:shape>
              <v:shape id="_x0000_s5408" style="position:absolute;left:2635;top:1922;width:91;height:66" coordsize="91,66" path="m45,l91,33,45,66,,33,45,xe" fillcolor="navy" strokecolor="navy">
                <v:path arrowok="t"/>
              </v:shape>
              <v:shape id="_x0000_s5409" style="position:absolute;left:2635;top:1922;width:91;height:66" coordsize="91,66" path="m45,l91,33,45,66,,33,45,xe" fillcolor="navy" strokecolor="navy">
                <v:path arrowok="t"/>
              </v:shape>
              <v:shape id="_x0000_s5410" style="position:absolute;left:2635;top:1922;width:91;height:66" coordsize="91,66" path="m45,l91,33,45,66,,33,45,xe" fillcolor="navy" strokecolor="navy">
                <v:path arrowok="t"/>
              </v:shape>
              <v:shape id="_x0000_s5411" style="position:absolute;left:2635;top:1911;width:91;height:66" coordsize="91,66" path="m45,l91,33,45,66,,33,45,xe" fillcolor="navy" strokecolor="navy">
                <v:path arrowok="t"/>
              </v:shape>
              <v:shape id="_x0000_s5412" style="position:absolute;left:2635;top:1900;width:91;height:66" coordsize="91,66" path="m45,l91,33,45,66,,33,45,xe" fillcolor="navy" strokecolor="navy">
                <v:path arrowok="t"/>
              </v:shape>
              <v:shape id="_x0000_s5413" style="position:absolute;left:2635;top:1889;width:91;height:66" coordsize="91,66" path="m45,l91,33,45,66,,33,45,xe" fillcolor="navy" strokecolor="navy">
                <v:path arrowok="t"/>
              </v:shape>
              <v:shape id="_x0000_s5414" style="position:absolute;left:2635;top:1878;width:91;height:66" coordsize="91,66" path="m45,l91,33,45,66,,33,45,xe" fillcolor="navy" strokecolor="navy">
                <v:path arrowok="t"/>
              </v:shape>
              <v:shape id="_x0000_s5415" style="position:absolute;left:2635;top:1878;width:91;height:66" coordsize="91,66" path="m45,l91,33,45,66,,33,45,xe" fillcolor="navy" strokecolor="navy">
                <v:path arrowok="t"/>
              </v:shape>
              <v:shape id="_x0000_s5416" style="position:absolute;left:2635;top:1867;width:91;height:66" coordsize="91,66" path="m45,l91,33,45,66,,33,45,xe" fillcolor="navy" strokecolor="navy">
                <v:path arrowok="t"/>
              </v:shape>
              <v:shape id="_x0000_s5417" style="position:absolute;left:2635;top:1867;width:91;height:66" coordsize="91,66" path="m45,l91,33,45,66,,33,45,xe" fillcolor="navy" strokecolor="navy">
                <v:path arrowok="t"/>
              </v:shape>
              <v:shape id="_x0000_s5418" style="position:absolute;left:2635;top:1855;width:91;height:67" coordsize="91,67" path="m45,l91,34,45,67,,34,45,xe" fillcolor="navy" strokecolor="navy">
                <v:path arrowok="t"/>
              </v:shape>
              <v:shape id="_x0000_s5419" style="position:absolute;left:2635;top:1844;width:91;height:67" coordsize="91,67" path="m45,l91,34,45,67,,34,45,xe" fillcolor="navy" strokecolor="navy">
                <v:path arrowok="t"/>
              </v:shape>
              <v:shape id="_x0000_s5420" style="position:absolute;left:2635;top:1833;width:91;height:67" coordsize="91,67" path="m45,l91,34,45,67,,34,45,xe" fillcolor="navy" strokecolor="navy">
                <v:path arrowok="t"/>
              </v:shape>
              <v:shape id="_x0000_s5421" style="position:absolute;left:2635;top:1833;width:91;height:67" coordsize="91,67" path="m45,l91,34,45,67,,34,45,xe" fillcolor="navy" strokecolor="navy">
                <v:path arrowok="t"/>
              </v:shape>
              <v:shape id="_x0000_s5422" style="position:absolute;left:2635;top:1833;width:91;height:67" coordsize="91,67" path="m45,l91,34,45,67,,34,45,xe" fillcolor="navy" strokecolor="navy">
                <v:path arrowok="t"/>
              </v:shape>
              <v:shape id="_x0000_s5423" style="position:absolute;left:2635;top:1833;width:91;height:67" coordsize="91,67" path="m45,l91,34,45,67,,34,45,xe" fillcolor="navy" strokecolor="navy">
                <v:path arrowok="t"/>
              </v:shape>
              <v:shape id="_x0000_s5424" style="position:absolute;left:2635;top:1822;width:91;height:67" coordsize="91,67" path="m45,l91,33,45,67,,33,45,xe" fillcolor="navy" strokecolor="navy">
                <v:path arrowok="t"/>
              </v:shape>
              <v:shape id="_x0000_s5425" style="position:absolute;left:2635;top:1822;width:91;height:67" coordsize="91,67" path="m45,l91,33,45,67,,33,45,xe" fillcolor="navy" strokecolor="navy">
                <v:path arrowok="t"/>
              </v:shape>
              <v:shape id="_x0000_s5426" style="position:absolute;left:2635;top:1811;width:91;height:67" coordsize="91,67" path="m45,l91,33,45,67,,33,45,xe" fillcolor="navy" strokecolor="navy">
                <v:path arrowok="t"/>
              </v:shape>
              <v:shape id="_x0000_s5427" style="position:absolute;left:2635;top:1811;width:91;height:67" coordsize="91,67" path="m45,l91,33,45,67,,33,45,xe" fillcolor="navy" strokecolor="navy">
                <v:path arrowok="t"/>
              </v:shape>
              <v:shape id="_x0000_s5428" style="position:absolute;left:2635;top:1811;width:91;height:67" coordsize="91,67" path="m45,l91,33,45,67,,33,45,xe" fillcolor="navy" strokecolor="navy">
                <v:path arrowok="t"/>
              </v:shape>
              <v:shape id="_x0000_s5429" style="position:absolute;left:2635;top:1811;width:91;height:67" coordsize="91,67" path="m45,l91,33,45,67,,33,45,xe" fillcolor="navy" strokecolor="navy">
                <v:path arrowok="t"/>
              </v:shape>
              <v:shape id="_x0000_s5430" style="position:absolute;left:2635;top:1800;width:91;height:67" coordsize="91,67" path="m45,l91,33,45,67,,33,45,xe" fillcolor="navy" strokecolor="navy">
                <v:path arrowok="t"/>
              </v:shape>
              <v:shape id="_x0000_s5431" style="position:absolute;left:2635;top:1800;width:91;height:67" coordsize="91,67" path="m45,l91,33,45,67,,33,45,xe" fillcolor="navy" strokecolor="navy">
                <v:path arrowok="t"/>
              </v:shape>
              <v:shape id="_x0000_s5432" style="position:absolute;left:2635;top:1778;width:91;height:66" coordsize="91,66" path="m45,l91,33,45,66,,33,45,xe" fillcolor="navy" strokecolor="navy">
                <v:path arrowok="t"/>
              </v:shape>
              <v:shape id="_x0000_s5433" style="position:absolute;left:2635;top:1767;width:91;height:66" coordsize="91,66" path="m45,l91,33,45,66,,33,45,xe" fillcolor="navy" strokecolor="navy">
                <v:path arrowok="t"/>
              </v:shape>
              <v:shape id="_x0000_s5434" style="position:absolute;left:2635;top:1745;width:91;height:66" coordsize="91,66" path="m45,l91,33,45,66,,33,45,xe" fillcolor="navy" strokecolor="navy">
                <v:path arrowok="t"/>
              </v:shape>
              <v:shape id="_x0000_s5435" style="position:absolute;left:2635;top:1734;width:91;height:66" coordsize="91,66" path="m45,l91,33,45,66,,33,45,xe" fillcolor="navy" strokecolor="navy">
                <v:path arrowok="t"/>
              </v:shape>
              <v:shape id="_x0000_s5436" style="position:absolute;left:2635;top:1734;width:91;height:66" coordsize="91,66" path="m45,l91,33,45,66,,33,45,xe" fillcolor="navy" strokecolor="navy">
                <v:path arrowok="t"/>
              </v:shape>
              <v:shape id="_x0000_s5437" style="position:absolute;left:2635;top:1723;width:91;height:66" coordsize="91,66" path="m45,l91,33,45,66,,33,45,xe" fillcolor="navy" strokecolor="navy">
                <v:path arrowok="t"/>
              </v:shape>
              <v:shape id="_x0000_s5438" style="position:absolute;left:2635;top:1712;width:91;height:66" coordsize="91,66" path="m45,l91,33,45,66,,33,45,xe" fillcolor="navy" strokecolor="navy">
                <v:path arrowok="t"/>
              </v:shape>
              <v:shape id="_x0000_s5439" style="position:absolute;left:2635;top:1712;width:91;height:66" coordsize="91,66" path="m45,l91,33,45,66,,33,45,xe" fillcolor="navy" strokecolor="navy">
                <v:path arrowok="t"/>
              </v:shape>
              <v:shape id="_x0000_s5440" style="position:absolute;left:2635;top:1690;width:91;height:66" coordsize="91,66" path="m45,l91,33,45,66,,33,45,xe" fillcolor="navy" strokecolor="navy">
                <v:path arrowok="t"/>
              </v:shape>
              <v:shape id="_x0000_s5441" style="position:absolute;left:2635;top:1679;width:91;height:66" coordsize="91,66" path="m45,l91,33,45,66,,33,45,xe" fillcolor="navy" strokecolor="navy">
                <v:path arrowok="t"/>
              </v:shape>
              <v:shape id="_x0000_s5442" style="position:absolute;left:2635;top:1668;width:91;height:66" coordsize="91,66" path="m45,l91,33,45,66,,33,45,xe" fillcolor="navy" strokecolor="navy">
                <v:path arrowok="t"/>
              </v:shape>
              <v:shape id="_x0000_s5443" style="position:absolute;left:2635;top:1635;width:91;height:66" coordsize="91,66" path="m45,l91,33,45,66,,33,45,xe" fillcolor="navy" strokecolor="navy">
                <v:path arrowok="t"/>
              </v:shape>
              <v:shape id="_x0000_s5444" style="position:absolute;left:2635;top:1613;width:91;height:66" coordsize="91,66" path="m45,l91,33,45,66,,33,45,xe" fillcolor="navy" strokecolor="navy">
                <v:path arrowok="t"/>
              </v:shape>
              <v:shape id="_x0000_s5445" style="position:absolute;left:2635;top:1601;width:91;height:67" coordsize="91,67" path="m45,l91,34,45,67,,34,45,xe" fillcolor="navy" strokecolor="navy">
                <v:path arrowok="t"/>
              </v:shape>
              <v:shape id="_x0000_s5446" style="position:absolute;left:2847;top:2165;width:91;height:66" coordsize="91,66" path="m45,l91,33,45,66,,33,45,xe" fillcolor="navy" strokecolor="navy">
                <v:path arrowok="t"/>
              </v:shape>
              <v:shape id="_x0000_s5447" style="position:absolute;left:2847;top:2143;width:91;height:66" coordsize="91,66" path="m45,l91,33,45,66,,33,45,xe" fillcolor="navy" strokecolor="navy">
                <v:path arrowok="t"/>
              </v:shape>
              <v:shape id="_x0000_s5448" style="position:absolute;left:2847;top:2121;width:91;height:66" coordsize="91,66" path="m45,l91,33,45,66,,33,45,xe" fillcolor="navy" strokecolor="navy">
                <v:path arrowok="t"/>
              </v:shape>
              <v:shape id="_x0000_s5449" style="position:absolute;left:2847;top:2121;width:91;height:66" coordsize="91,66" path="m45,l91,33,45,66,,33,45,xe" fillcolor="navy" strokecolor="navy">
                <v:path arrowok="t"/>
              </v:shape>
              <v:shape id="_x0000_s5450" style="position:absolute;left:2847;top:2121;width:91;height:66" coordsize="91,66" path="m45,l91,33,45,66,,33,45,xe" fillcolor="navy" strokecolor="navy">
                <v:path arrowok="t"/>
              </v:shape>
              <v:shape id="_x0000_s5451" style="position:absolute;left:2847;top:2098;width:91;height:67" coordsize="91,67" path="m45,l91,34,45,67,,34,45,xe" fillcolor="navy" strokecolor="navy">
                <v:path arrowok="t"/>
              </v:shape>
              <v:shape id="_x0000_s5452" style="position:absolute;left:2847;top:2087;width:91;height:67" coordsize="91,67" path="m45,l91,34,45,67,,34,45,xe" fillcolor="navy" strokecolor="navy">
                <v:path arrowok="t"/>
              </v:shape>
              <v:shape id="_x0000_s5453" style="position:absolute;left:2847;top:2087;width:91;height:67" coordsize="91,67" path="m45,l91,34,45,67,,34,45,xe" fillcolor="navy" strokecolor="navy">
                <v:path arrowok="t"/>
              </v:shape>
              <v:shape id="_x0000_s5454" style="position:absolute;left:2847;top:2076;width:91;height:67" coordsize="91,67" path="m45,l91,34,45,67,,34,45,xe" fillcolor="navy" strokecolor="navy">
                <v:path arrowok="t"/>
              </v:shape>
              <v:shape id="_x0000_s5455" style="position:absolute;left:2847;top:2065;width:91;height:67" coordsize="91,67" path="m45,l91,33,45,67,,33,45,xe" fillcolor="navy" strokecolor="navy">
                <v:path arrowok="t"/>
              </v:shape>
              <v:shape id="_x0000_s5456" style="position:absolute;left:2847;top:2054;width:91;height:67" coordsize="91,67" path="m45,l91,33,45,67,,33,45,xe" fillcolor="navy" strokecolor="navy">
                <v:path arrowok="t"/>
              </v:shape>
              <v:shape id="_x0000_s5457" style="position:absolute;left:2847;top:2054;width:91;height:67" coordsize="91,67" path="m45,l91,33,45,67,,33,45,xe" fillcolor="navy" strokecolor="navy">
                <v:path arrowok="t"/>
              </v:shape>
              <v:shape id="_x0000_s5458" style="position:absolute;left:2847;top:2032;width:91;height:66" coordsize="91,66" path="m45,l91,33,45,66,,33,45,xe" fillcolor="navy" strokecolor="navy">
                <v:path arrowok="t"/>
              </v:shape>
              <v:shape id="_x0000_s5459" style="position:absolute;left:2847;top:2021;width:91;height:66" coordsize="91,66" path="m45,l91,33,45,66,,33,45,xe" fillcolor="navy" strokecolor="navy">
                <v:path arrowok="t"/>
              </v:shape>
              <v:shape id="_x0000_s5460" style="position:absolute;left:2847;top:2010;width:91;height:66" coordsize="91,66" path="m45,l91,33,45,66,,33,45,xe" fillcolor="navy" strokecolor="navy">
                <v:path arrowok="t"/>
              </v:shape>
              <v:shape id="_x0000_s5461" style="position:absolute;left:2847;top:1999;width:91;height:66" coordsize="91,66" path="m45,l91,33,45,66,,33,45,xe" fillcolor="navy" strokecolor="navy">
                <v:path arrowok="t"/>
              </v:shape>
              <v:shape id="_x0000_s5462" style="position:absolute;left:2847;top:1999;width:91;height:66" coordsize="91,66" path="m45,l91,33,45,66,,33,45,xe" fillcolor="navy" strokecolor="navy">
                <v:path arrowok="t"/>
              </v:shape>
              <v:shape id="_x0000_s5463" style="position:absolute;left:2847;top:1999;width:91;height:66" coordsize="91,66" path="m45,l91,33,45,66,,33,45,xe" fillcolor="navy" strokecolor="navy">
                <v:path arrowok="t"/>
              </v:shape>
              <v:shape id="_x0000_s5464" style="position:absolute;left:2847;top:1999;width:91;height:66" coordsize="91,66" path="m45,l91,33,45,66,,33,45,xe" fillcolor="navy" strokecolor="navy">
                <v:path arrowok="t"/>
              </v:shape>
              <v:shape id="_x0000_s5465" style="position:absolute;left:2847;top:1999;width:91;height:66" coordsize="91,66" path="m45,l91,33,45,66,,33,45,xe" fillcolor="navy" strokecolor="navy">
                <v:path arrowok="t"/>
              </v:shape>
              <v:shape id="_x0000_s5466" style="position:absolute;left:2847;top:1977;width:91;height:66" coordsize="91,66" path="m45,l91,33,45,66,,33,45,xe" fillcolor="navy" strokecolor="navy">
                <v:path arrowok="t"/>
              </v:shape>
              <v:shape id="_x0000_s5467" style="position:absolute;left:2847;top:1966;width:91;height:66" coordsize="91,66" path="m45,l91,33,45,66,,33,45,xe" fillcolor="navy" strokecolor="navy">
                <v:path arrowok="t"/>
              </v:shape>
              <v:shape id="_x0000_s5468" style="position:absolute;left:2847;top:1966;width:91;height:66" coordsize="91,66" path="m45,l91,33,45,66,,33,45,xe" fillcolor="navy" strokecolor="navy">
                <v:path arrowok="t"/>
              </v:shape>
              <v:shape id="_x0000_s5469" style="position:absolute;left:2847;top:1966;width:91;height:66" coordsize="91,66" path="m45,l91,33,45,66,,33,45,xe" fillcolor="navy" strokecolor="navy">
                <v:path arrowok="t"/>
              </v:shape>
              <v:shape id="_x0000_s5470" style="position:absolute;left:2847;top:1966;width:91;height:66" coordsize="91,66" path="m45,l91,33,45,66,,33,45,xe" fillcolor="navy" strokecolor="navy">
                <v:path arrowok="t"/>
              </v:shape>
              <v:shape id="_x0000_s5471" style="position:absolute;left:2847;top:1955;width:91;height:66" coordsize="91,66" path="m45,l91,33,45,66,,33,45,xe" fillcolor="navy" strokecolor="navy">
                <v:path arrowok="t"/>
              </v:shape>
              <v:shape id="_x0000_s5472" style="position:absolute;left:2847;top:1955;width:91;height:66" coordsize="91,66" path="m45,l91,33,45,66,,33,45,xe" fillcolor="navy" strokecolor="navy">
                <v:path arrowok="t"/>
              </v:shape>
              <v:shape id="_x0000_s5473" style="position:absolute;left:2847;top:1955;width:91;height:66" coordsize="91,66" path="m45,l91,33,45,66,,33,45,xe" fillcolor="navy" strokecolor="navy">
                <v:path arrowok="t"/>
              </v:shape>
              <v:shape id="_x0000_s5474" style="position:absolute;left:2847;top:1955;width:91;height:66" coordsize="91,66" path="m45,l91,33,45,66,,33,45,xe" fillcolor="navy" strokecolor="navy">
                <v:path arrowok="t"/>
              </v:shape>
              <v:shape id="_x0000_s5475" style="position:absolute;left:2847;top:1944;width:91;height:66" coordsize="91,66" path="m45,l91,33,45,66,,33,45,xe" fillcolor="navy" strokecolor="navy">
                <v:path arrowok="t"/>
              </v:shape>
              <v:shape id="_x0000_s5476" style="position:absolute;left:2847;top:1944;width:91;height:66" coordsize="91,66" path="m45,l91,33,45,66,,33,45,xe" fillcolor="navy" strokecolor="navy">
                <v:path arrowok="t"/>
              </v:shape>
              <v:shape id="_x0000_s5477" style="position:absolute;left:2847;top:1944;width:91;height:66" coordsize="91,66" path="m45,l91,33,45,66,,33,45,xe" fillcolor="navy" strokecolor="navy">
                <v:path arrowok="t"/>
              </v:shape>
              <v:shape id="_x0000_s5478" style="position:absolute;left:2847;top:1944;width:91;height:66" coordsize="91,66" path="m45,l91,33,45,66,,33,45,xe" fillcolor="navy" strokecolor="navy">
                <v:path arrowok="t"/>
              </v:shape>
              <v:shape id="_x0000_s5479" style="position:absolute;left:2847;top:1933;width:91;height:66" coordsize="91,66" path="m45,l91,33,45,66,,33,45,xe" fillcolor="navy" strokecolor="navy">
                <v:path arrowok="t"/>
              </v:shape>
              <v:shape id="_x0000_s5480" style="position:absolute;left:2847;top:1922;width:91;height:66" coordsize="91,66" path="m45,l91,33,45,66,,33,45,xe" fillcolor="navy" strokecolor="navy">
                <v:path arrowok="t"/>
              </v:shape>
              <v:shape id="_x0000_s5481" style="position:absolute;left:2847;top:1922;width:91;height:66" coordsize="91,66" path="m45,l91,33,45,66,,33,45,xe" fillcolor="navy" strokecolor="navy">
                <v:path arrowok="t"/>
              </v:shape>
              <v:shape id="_x0000_s5482" style="position:absolute;left:2847;top:1911;width:91;height:66" coordsize="91,66" path="m45,l91,33,45,66,,33,45,xe" fillcolor="navy" strokecolor="navy">
                <v:path arrowok="t"/>
              </v:shape>
              <v:shape id="_x0000_s5483" style="position:absolute;left:2847;top:1900;width:91;height:66" coordsize="91,66" path="m45,l91,33,45,66,,33,45,xe" fillcolor="navy" strokecolor="navy">
                <v:path arrowok="t"/>
              </v:shape>
              <v:shape id="_x0000_s5484" style="position:absolute;left:2847;top:1878;width:91;height:66" coordsize="91,66" path="m45,l91,33,45,66,,33,45,xe" fillcolor="navy" strokecolor="navy">
                <v:path arrowok="t"/>
              </v:shape>
              <v:shape id="_x0000_s5485" style="position:absolute;left:2847;top:1867;width:91;height:66" coordsize="91,66" path="m45,l91,33,45,66,,33,45,xe" fillcolor="navy" strokecolor="navy">
                <v:path arrowok="t"/>
              </v:shape>
              <v:shape id="_x0000_s5486" style="position:absolute;left:2847;top:1867;width:91;height:66" coordsize="91,66" path="m45,l91,33,45,66,,33,45,xe" fillcolor="navy" strokecolor="navy">
                <v:path arrowok="t"/>
              </v:shape>
              <v:shape id="_x0000_s5487" style="position:absolute;left:2847;top:1867;width:91;height:66" coordsize="91,66" path="m45,l91,33,45,66,,33,45,xe" fillcolor="navy" strokecolor="navy">
                <v:path arrowok="t"/>
              </v:shape>
              <v:shape id="_x0000_s5488" style="position:absolute;left:2847;top:1855;width:91;height:67" coordsize="91,67" path="m45,l91,34,45,67,,34,45,xe" fillcolor="navy" strokecolor="navy">
                <v:path arrowok="t"/>
              </v:shape>
              <v:shape id="_x0000_s5489" style="position:absolute;left:2847;top:1855;width:91;height:67" coordsize="91,67" path="m45,l91,34,45,67,,34,45,xe" fillcolor="navy" strokecolor="navy">
                <v:path arrowok="t"/>
              </v:shape>
              <v:shape id="_x0000_s5490" style="position:absolute;left:2847;top:1855;width:91;height:67" coordsize="91,67" path="m45,l91,34,45,67,,34,45,xe" fillcolor="navy" strokecolor="navy">
                <v:path arrowok="t"/>
              </v:shape>
              <v:shape id="_x0000_s5491" style="position:absolute;left:2847;top:1855;width:91;height:67" coordsize="91,67" path="m45,l91,34,45,67,,34,45,xe" fillcolor="navy" strokecolor="navy">
                <v:path arrowok="t"/>
              </v:shape>
              <v:shape id="_x0000_s5492" style="position:absolute;left:2847;top:1844;width:91;height:67" coordsize="91,67" path="m45,l91,34,45,67,,34,45,xe" fillcolor="navy" strokecolor="navy">
                <v:path arrowok="t"/>
              </v:shape>
              <v:shape id="_x0000_s5493" style="position:absolute;left:2847;top:1833;width:91;height:67" coordsize="91,67" path="m45,l91,34,45,67,,34,45,xe" fillcolor="navy" strokecolor="navy">
                <v:path arrowok="t"/>
              </v:shape>
              <v:shape id="_x0000_s5494" style="position:absolute;left:2847;top:1822;width:91;height:67" coordsize="91,67" path="m45,l91,33,45,67,,33,45,xe" fillcolor="navy" strokecolor="navy">
                <v:path arrowok="t"/>
              </v:shape>
              <v:shape id="_x0000_s5495" style="position:absolute;left:2847;top:1822;width:91;height:67" coordsize="91,67" path="m45,l91,33,45,67,,33,45,xe" fillcolor="navy" strokecolor="navy">
                <v:path arrowok="t"/>
              </v:shape>
              <v:shape id="_x0000_s5496" style="position:absolute;left:2847;top:1822;width:91;height:67" coordsize="91,67" path="m45,l91,33,45,67,,33,45,xe" fillcolor="navy" strokecolor="navy">
                <v:path arrowok="t"/>
              </v:shape>
              <v:shape id="_x0000_s5497" style="position:absolute;left:2847;top:1822;width:91;height:67" coordsize="91,67" path="m45,l91,33,45,67,,33,45,xe" fillcolor="navy" strokecolor="navy">
                <v:path arrowok="t"/>
              </v:shape>
              <v:shape id="_x0000_s5498" style="position:absolute;left:2847;top:1822;width:91;height:67" coordsize="91,67" path="m45,l91,33,45,67,,33,45,xe" fillcolor="navy" strokecolor="navy">
                <v:path arrowok="t"/>
              </v:shape>
              <v:shape id="_x0000_s5499" style="position:absolute;left:2847;top:1778;width:91;height:66" coordsize="91,66" path="m45,l91,33,45,66,,33,45,xe" fillcolor="navy" strokecolor="navy">
                <v:path arrowok="t"/>
              </v:shape>
              <v:shape id="_x0000_s5500" style="position:absolute;left:2847;top:1778;width:91;height:66" coordsize="91,66" path="m45,l91,33,45,66,,33,45,xe" fillcolor="navy" strokecolor="navy">
                <v:path arrowok="t"/>
              </v:shape>
              <v:shape id="_x0000_s5501" style="position:absolute;left:2847;top:1778;width:91;height:66" coordsize="91,66" path="m45,l91,33,45,66,,33,45,xe" fillcolor="navy" strokecolor="navy">
                <v:path arrowok="t"/>
              </v:shape>
              <v:shape id="_x0000_s5502" style="position:absolute;left:2847;top:1756;width:91;height:66" coordsize="91,66" path="m45,l91,33,45,66,,33,45,xe" fillcolor="navy" strokecolor="navy">
                <v:path arrowok="t"/>
              </v:shape>
              <v:shape id="_x0000_s5503" style="position:absolute;left:2847;top:1756;width:91;height:66" coordsize="91,66" path="m45,l91,33,45,66,,33,45,xe" fillcolor="navy" strokecolor="navy">
                <v:path arrowok="t"/>
              </v:shape>
              <v:shape id="_x0000_s5504" style="position:absolute;left:2847;top:1756;width:91;height:66" coordsize="91,66" path="m45,l91,33,45,66,,33,45,xe" fillcolor="navy" strokecolor="navy">
                <v:path arrowok="t"/>
              </v:shape>
              <v:shape id="_x0000_s5505" style="position:absolute;left:2847;top:1756;width:91;height:66" coordsize="91,66" path="m45,l91,33,45,66,,33,45,xe" fillcolor="navy" strokecolor="navy">
                <v:path arrowok="t"/>
              </v:shape>
              <v:shape id="_x0000_s5506" style="position:absolute;left:2847;top:1745;width:91;height:66" coordsize="91,66" path="m45,l91,33,45,66,,33,45,xe" fillcolor="navy" strokecolor="navy">
                <v:path arrowok="t"/>
              </v:shape>
              <v:shape id="_x0000_s5507" style="position:absolute;left:2847;top:1734;width:91;height:66" coordsize="91,66" path="m45,l91,33,45,66,,33,45,xe" fillcolor="navy" strokecolor="navy">
                <v:path arrowok="t"/>
              </v:shape>
              <v:shape id="_x0000_s5508" style="position:absolute;left:2847;top:1734;width:91;height:66" coordsize="91,66" path="m45,l91,33,45,66,,33,45,xe" fillcolor="navy" strokecolor="navy">
                <v:path arrowok="t"/>
              </v:shape>
              <v:shape id="_x0000_s5509" style="position:absolute;left:2847;top:1723;width:91;height:66" coordsize="91,66" path="m45,l91,33,45,66,,33,45,xe" fillcolor="navy" strokecolor="navy">
                <v:path arrowok="t"/>
              </v:shape>
              <v:shape id="_x0000_s5510" style="position:absolute;left:2847;top:1712;width:91;height:66" coordsize="91,66" path="m45,l91,33,45,66,,33,45,xe" fillcolor="navy" strokecolor="navy">
                <v:path arrowok="t"/>
              </v:shape>
              <v:shape id="_x0000_s5511" style="position:absolute;left:2847;top:1701;width:91;height:66" coordsize="91,66" path="m45,l91,33,45,66,,33,45,xe" fillcolor="navy" strokecolor="navy">
                <v:path arrowok="t"/>
              </v:shape>
              <v:shape id="_x0000_s5512" style="position:absolute;left:2847;top:1690;width:91;height:66" coordsize="91,66" path="m45,l91,33,45,66,,33,45,xe" fillcolor="navy" strokecolor="navy">
                <v:path arrowok="t"/>
              </v:shape>
              <v:shape id="_x0000_s5513" style="position:absolute;left:2847;top:1679;width:91;height:66" coordsize="91,66" path="m45,l91,33,45,66,,33,45,xe" fillcolor="navy" strokecolor="navy">
                <v:path arrowok="t"/>
              </v:shape>
              <v:shape id="_x0000_s5514" style="position:absolute;left:2847;top:1679;width:91;height:66" coordsize="91,66" path="m45,l91,33,45,66,,33,45,xe" fillcolor="navy" strokecolor="navy">
                <v:path arrowok="t"/>
              </v:shape>
              <v:shape id="_x0000_s5515" style="position:absolute;left:2847;top:1579;width:91;height:67" coordsize="91,67" path="m45,l91,34,45,67,,34,45,xe" fillcolor="navy" strokecolor="navy">
                <v:path arrowok="t"/>
              </v:shape>
              <v:shape id="_x0000_s5516" style="position:absolute;left:2847;top:1579;width:91;height:67" coordsize="91,67" path="m45,l91,34,45,67,,34,45,xe" fillcolor="navy" strokecolor="navy">
                <v:path arrowok="t"/>
              </v:shape>
              <v:shape id="_x0000_s5517" style="position:absolute;left:2847;top:1480;width:91;height:66" coordsize="91,66" path="m45,l91,33,45,66,,33,45,xe" fillcolor="navy" strokecolor="navy">
                <v:path arrowok="t"/>
              </v:shape>
              <v:shape id="_x0000_s5518" style="position:absolute;left:2847;top:1414;width:91;height:66" coordsize="91,66" path="m45,l91,33,45,66,,33,45,xe" fillcolor="navy" strokecolor="navy">
                <v:path arrowok="t"/>
              </v:shape>
              <v:shape id="_x0000_s5519" style="position:absolute;left:2847;top:1403;width:91;height:66" coordsize="91,66" path="m45,l91,33,45,66,,33,45,xe" fillcolor="navy" strokecolor="navy">
                <v:path arrowok="t"/>
              </v:shape>
              <v:shape id="_x0000_s5520" style="position:absolute;left:2847;top:1370;width:91;height:66" coordsize="91,66" path="m45,l91,33,45,66,,33,45,xe" fillcolor="navy" strokecolor="navy">
                <v:path arrowok="t"/>
              </v:shape>
              <v:shape id="_x0000_s5521" style="position:absolute;left:2847;top:1347;width:91;height:67" coordsize="91,67" path="m45,l91,34,45,67,,34,45,xe" fillcolor="navy" strokecolor="navy">
                <v:path arrowok="t"/>
              </v:shape>
              <v:shape id="_x0000_s5522" style="position:absolute;left:3059;top:2209;width:91;height:66" coordsize="91,66" path="m45,l91,33,45,66,,33,45,xe" fillcolor="navy" strokecolor="navy">
                <v:path arrowok="t"/>
              </v:shape>
              <v:shape id="_x0000_s5523" style="position:absolute;left:3059;top:2176;width:91;height:66" coordsize="91,66" path="m45,l91,33,45,66,,33,45,xe" fillcolor="navy" strokecolor="navy">
                <v:path arrowok="t"/>
              </v:shape>
              <v:shape id="_x0000_s5524" style="position:absolute;left:3059;top:2165;width:91;height:66" coordsize="91,66" path="m45,l91,33,45,66,,33,45,xe" fillcolor="navy" strokecolor="navy">
                <v:path arrowok="t"/>
              </v:shape>
              <v:shape id="_x0000_s5525" style="position:absolute;left:3059;top:2110;width:91;height:66" coordsize="91,66" path="m45,l91,33,45,66,,33,45,xe" fillcolor="navy" strokecolor="navy">
                <v:path arrowok="t"/>
              </v:shape>
              <v:shape id="_x0000_s5526" style="position:absolute;left:3059;top:2087;width:91;height:67" coordsize="91,67" path="m45,l91,34,45,67,,34,45,xe" fillcolor="navy" strokecolor="navy">
                <v:path arrowok="t"/>
              </v:shape>
              <v:shape id="_x0000_s5527" style="position:absolute;left:3059;top:2065;width:91;height:67" coordsize="91,67" path="m45,l91,33,45,67,,33,45,xe" fillcolor="navy" strokecolor="navy">
                <v:path arrowok="t"/>
              </v:shape>
              <v:shape id="_x0000_s5528" style="position:absolute;left:3059;top:2065;width:91;height:67" coordsize="91,67" path="m45,l91,33,45,67,,33,45,xe" fillcolor="navy" strokecolor="navy">
                <v:path arrowok="t"/>
              </v:shape>
              <v:shape id="_x0000_s5529" style="position:absolute;left:3059;top:2043;width:91;height:67" coordsize="91,67" path="m45,l91,33,45,67,,33,45,xe" fillcolor="navy" strokecolor="navy">
                <v:path arrowok="t"/>
              </v:shape>
              <v:shape id="_x0000_s5530" style="position:absolute;left:3059;top:2043;width:91;height:67" coordsize="91,67" path="m45,l91,33,45,67,,33,45,xe" fillcolor="navy" strokecolor="navy">
                <v:path arrowok="t"/>
              </v:shape>
              <v:shape id="_x0000_s5531" style="position:absolute;left:3059;top:2021;width:91;height:66" coordsize="91,66" path="m45,l91,33,45,66,,33,45,xe" fillcolor="navy" strokecolor="navy">
                <v:path arrowok="t"/>
              </v:shape>
              <v:shape id="_x0000_s5532" style="position:absolute;left:3059;top:2021;width:91;height:66" coordsize="91,66" path="m45,l91,33,45,66,,33,45,xe" fillcolor="navy" strokecolor="navy">
                <v:path arrowok="t"/>
              </v:shape>
              <v:shape id="_x0000_s5533" style="position:absolute;left:3059;top:2021;width:91;height:66" coordsize="91,66" path="m45,l91,33,45,66,,33,45,xe" fillcolor="navy" strokecolor="navy">
                <v:path arrowok="t"/>
              </v:shape>
              <v:shape id="_x0000_s5534" style="position:absolute;left:3059;top:1999;width:91;height:66" coordsize="91,66" path="m45,l91,33,45,66,,33,45,xe" fillcolor="navy" strokecolor="navy">
                <v:path arrowok="t"/>
              </v:shape>
              <v:shape id="_x0000_s5535" style="position:absolute;left:3059;top:1977;width:91;height:66" coordsize="91,66" path="m45,l91,33,45,66,,33,45,xe" fillcolor="navy" strokecolor="navy">
                <v:path arrowok="t"/>
              </v:shape>
              <v:shape id="_x0000_s5536" style="position:absolute;left:3059;top:1966;width:91;height:66" coordsize="91,66" path="m45,l91,33,45,66,,33,45,xe" fillcolor="navy" strokecolor="navy">
                <v:path arrowok="t"/>
              </v:shape>
              <v:shape id="_x0000_s5537" style="position:absolute;left:3059;top:1955;width:91;height:66" coordsize="91,66" path="m45,l91,33,45,66,,33,45,xe" fillcolor="navy" strokecolor="navy">
                <v:path arrowok="t"/>
              </v:shape>
              <v:shape id="_x0000_s5538" style="position:absolute;left:3059;top:1944;width:91;height:66" coordsize="91,66" path="m45,l91,33,45,66,,33,45,xe" fillcolor="navy" strokecolor="navy">
                <v:path arrowok="t"/>
              </v:shape>
              <v:shape id="_x0000_s5539" style="position:absolute;left:3059;top:1933;width:91;height:66" coordsize="91,66" path="m45,l91,33,45,66,,33,45,xe" fillcolor="navy" strokecolor="navy">
                <v:path arrowok="t"/>
              </v:shape>
              <v:shape id="_x0000_s5540" style="position:absolute;left:3059;top:1922;width:91;height:66" coordsize="91,66" path="m45,l91,33,45,66,,33,45,xe" fillcolor="navy" strokecolor="navy">
                <v:path arrowok="t"/>
              </v:shape>
              <v:shape id="_x0000_s5541" style="position:absolute;left:3059;top:1922;width:91;height:66" coordsize="91,66" path="m45,l91,33,45,66,,33,45,xe" fillcolor="navy" strokecolor="navy">
                <v:path arrowok="t"/>
              </v:shape>
              <v:shape id="_x0000_s5542" style="position:absolute;left:3059;top:1922;width:91;height:66" coordsize="91,66" path="m45,l91,33,45,66,,33,45,xe" fillcolor="navy" strokecolor="navy">
                <v:path arrowok="t"/>
              </v:shape>
              <v:shape id="_x0000_s5543" style="position:absolute;left:3059;top:1878;width:91;height:66" coordsize="91,66" path="m45,l91,33,45,66,,33,45,xe" fillcolor="navy" strokecolor="navy">
                <v:path arrowok="t"/>
              </v:shape>
              <v:shape id="_x0000_s5544" style="position:absolute;left:3059;top:1855;width:91;height:67" coordsize="91,67" path="m45,l91,34,45,67,,34,45,xe" fillcolor="navy" strokecolor="navy">
                <v:path arrowok="t"/>
              </v:shape>
              <v:shape id="_x0000_s5545" style="position:absolute;left:3059;top:1855;width:91;height:67" coordsize="91,67" path="m45,l91,34,45,67,,34,45,xe" fillcolor="navy" strokecolor="navy">
                <v:path arrowok="t"/>
              </v:shape>
              <v:shape id="_x0000_s5546" style="position:absolute;left:3059;top:1855;width:91;height:67" coordsize="91,67" path="m45,l91,34,45,67,,34,45,xe" fillcolor="navy" strokecolor="navy">
                <v:path arrowok="t"/>
              </v:shape>
              <v:shape id="_x0000_s5547" style="position:absolute;left:3059;top:1822;width:91;height:67" coordsize="91,67" path="m45,l91,33,45,67,,33,45,xe" fillcolor="navy" strokecolor="navy">
                <v:path arrowok="t"/>
              </v:shape>
              <v:shape id="_x0000_s5548" style="position:absolute;left:3059;top:1778;width:91;height:66" coordsize="91,66" path="m45,l91,33,45,66,,33,45,xe" fillcolor="navy" strokecolor="navy">
                <v:path arrowok="t"/>
              </v:shape>
              <v:shape id="_x0000_s5549" style="position:absolute;left:3059;top:1778;width:91;height:66" coordsize="91,66" path="m45,l91,33,45,66,,33,45,xe" fillcolor="navy" strokecolor="navy">
                <v:path arrowok="t"/>
              </v:shape>
              <v:shape id="_x0000_s5550" style="position:absolute;left:3059;top:1734;width:91;height:66" coordsize="91,66" path="m45,l91,33,45,66,,33,45,xe" fillcolor="navy" strokecolor="navy">
                <v:path arrowok="t"/>
              </v:shape>
              <v:shape id="_x0000_s5551" style="position:absolute;left:3059;top:1734;width:91;height:66" coordsize="91,66" path="m45,l91,33,45,66,,33,45,xe" fillcolor="navy" strokecolor="navy">
                <v:path arrowok="t"/>
              </v:shape>
              <v:shape id="_x0000_s5552" style="position:absolute;left:3059;top:1723;width:91;height:66" coordsize="91,66" path="m45,l91,33,45,66,,33,45,xe" fillcolor="navy" strokecolor="navy">
                <v:path arrowok="t"/>
              </v:shape>
              <v:shape id="_x0000_s5553" style="position:absolute;left:3059;top:1712;width:91;height:66" coordsize="91,66" path="m45,l91,33,45,66,,33,45,xe" fillcolor="navy" strokecolor="navy">
                <v:path arrowok="t"/>
              </v:shape>
              <v:shape id="_x0000_s5554" style="position:absolute;left:3059;top:1690;width:91;height:66" coordsize="91,66" path="m45,l91,33,45,66,,33,45,xe" fillcolor="navy" strokecolor="navy">
                <v:path arrowok="t"/>
              </v:shape>
              <v:shape id="_x0000_s5555" style="position:absolute;left:3059;top:1679;width:91;height:66" coordsize="91,66" path="m45,l91,33,45,66,,33,45,xe" fillcolor="navy" strokecolor="navy">
                <v:path arrowok="t"/>
              </v:shape>
              <v:shape id="_x0000_s5556" style="position:absolute;left:3059;top:1635;width:91;height:66" coordsize="91,66" path="m45,l91,33,45,66,,33,45,xe" fillcolor="navy" strokecolor="navy">
                <v:path arrowok="t"/>
              </v:shape>
              <v:shape id="_x0000_s5557" style="position:absolute;left:3059;top:1635;width:91;height:66" coordsize="91,66" path="m45,l91,33,45,66,,33,45,xe" fillcolor="navy" strokecolor="navy">
                <v:path arrowok="t"/>
              </v:shape>
              <v:shape id="_x0000_s5558" style="position:absolute;left:3059;top:1601;width:91;height:67" coordsize="91,67" path="m45,l91,34,45,67,,34,45,xe" fillcolor="navy" strokecolor="navy">
                <v:path arrowok="t"/>
              </v:shape>
              <v:shape id="_x0000_s5559" style="position:absolute;left:3059;top:1601;width:91;height:67" coordsize="91,67" path="m45,l91,34,45,67,,34,45,xe" fillcolor="navy" strokecolor="navy">
                <v:path arrowok="t"/>
              </v:shape>
              <v:shape id="_x0000_s5560" style="position:absolute;left:3059;top:1590;width:91;height:67" coordsize="91,67" path="m45,l91,34,45,67,,34,45,xe" fillcolor="navy" strokecolor="navy">
                <v:path arrowok="t"/>
              </v:shape>
              <v:shape id="_x0000_s5561" style="position:absolute;left:3059;top:1546;width:91;height:67" coordsize="91,67" path="m45,l91,33,45,67,,33,45,xe" fillcolor="navy" strokecolor="navy">
                <v:path arrowok="t"/>
              </v:shape>
              <v:shape id="_x0000_s5562" style="position:absolute;left:3059;top:1347;width:91;height:67" coordsize="91,67" path="m45,l91,34,45,67,,34,45,xe" fillcolor="navy" strokecolor="navy">
                <v:path arrowok="t"/>
              </v:shape>
              <v:shape id="_x0000_s5563" style="position:absolute;left:3256;top:2275;width:91;height:66" coordsize="91,66" path="m45,l91,33,45,66,,33,45,xe" fillcolor="navy" strokecolor="navy">
                <v:path arrowok="t"/>
              </v:shape>
              <v:shape id="_x0000_s5564" style="position:absolute;left:3256;top:2198;width:91;height:66" coordsize="91,66" path="m45,l91,33,45,66,,33,45,xe" fillcolor="navy" strokecolor="navy">
                <v:path arrowok="t"/>
              </v:shape>
              <v:shape id="_x0000_s5565" style="position:absolute;left:3256;top:2065;width:91;height:67" coordsize="91,67" path="m45,l91,33,45,67,,33,45,xe" fillcolor="navy" strokecolor="navy">
                <v:path arrowok="t"/>
              </v:shape>
              <v:shape id="_x0000_s5566" style="position:absolute;left:3256;top:2054;width:91;height:67" coordsize="91,67" path="m45,l91,33,45,67,,33,45,xe" fillcolor="navy" strokecolor="navy">
                <v:path arrowok="t"/>
              </v:shape>
              <v:shape id="_x0000_s5567" style="position:absolute;left:3256;top:2054;width:91;height:67" coordsize="91,67" path="m45,l91,33,45,67,,33,45,xe" fillcolor="navy" strokecolor="navy">
                <v:path arrowok="t"/>
              </v:shape>
              <v:shape id="_x0000_s5568" style="position:absolute;left:3256;top:2032;width:91;height:66" coordsize="91,66" path="m45,l91,33,45,66,,33,45,xe" fillcolor="navy" strokecolor="navy">
                <v:path arrowok="t"/>
              </v:shape>
              <v:shape id="_x0000_s5569" style="position:absolute;left:3256;top:1966;width:91;height:66" coordsize="91,66" path="m45,l91,33,45,66,,33,45,xe" fillcolor="navy" strokecolor="navy">
                <v:path arrowok="t"/>
              </v:shape>
              <v:shape id="_x0000_s5570" style="position:absolute;left:3256;top:1944;width:91;height:66" coordsize="91,66" path="m45,l91,33,45,66,,33,45,xe" fillcolor="navy" strokecolor="navy">
                <v:path arrowok="t"/>
              </v:shape>
              <v:shape id="_x0000_s5571" style="position:absolute;left:3256;top:1911;width:91;height:66" coordsize="91,66" path="m45,l91,33,45,66,,33,45,xe" fillcolor="navy" strokecolor="navy">
                <v:path arrowok="t"/>
              </v:shape>
              <v:shape id="_x0000_s5572" style="position:absolute;left:3256;top:1900;width:91;height:66" coordsize="91,66" path="m45,l91,33,45,66,,33,45,xe" fillcolor="navy" strokecolor="navy">
                <v:path arrowok="t"/>
              </v:shape>
              <v:shape id="_x0000_s5573" style="position:absolute;left:3256;top:1900;width:91;height:66" coordsize="91,66" path="m45,l91,33,45,66,,33,45,xe" fillcolor="navy" strokecolor="navy">
                <v:path arrowok="t"/>
              </v:shape>
            </v:group>
            <v:shape id="_x0000_s5575" style="position:absolute;left:3256;top:1900;width:91;height:66" coordsize="91,66" path="m45,l91,33,45,66,,33,45,xe" fillcolor="navy" strokecolor="navy">
              <v:path arrowok="t"/>
            </v:shape>
            <v:shape id="_x0000_s5576" style="position:absolute;left:3256;top:1867;width:91;height:66" coordsize="91,66" path="m45,l91,33,45,66,,33,45,xe" fillcolor="navy" strokecolor="navy">
              <v:path arrowok="t"/>
            </v:shape>
            <v:shape id="_x0000_s5577" style="position:absolute;left:3256;top:1867;width:91;height:66" coordsize="91,66" path="m45,l91,33,45,66,,33,45,xe" fillcolor="navy" strokecolor="navy">
              <v:path arrowok="t"/>
            </v:shape>
            <v:shape id="_x0000_s5578" style="position:absolute;left:3256;top:1855;width:91;height:67" coordsize="91,67" path="m45,l91,34,45,67,,34,45,xe" fillcolor="navy" strokecolor="navy">
              <v:path arrowok="t"/>
            </v:shape>
            <v:shape id="_x0000_s5579" style="position:absolute;left:3256;top:1855;width:91;height:67" coordsize="91,67" path="m45,l91,34,45,67,,34,45,xe" fillcolor="navy" strokecolor="navy">
              <v:path arrowok="t"/>
            </v:shape>
            <v:shape id="_x0000_s5580" style="position:absolute;left:3256;top:1855;width:91;height:67" coordsize="91,67" path="m45,l91,34,45,67,,34,45,xe" fillcolor="navy" strokecolor="navy">
              <v:path arrowok="t"/>
            </v:shape>
            <v:shape id="_x0000_s5581" style="position:absolute;left:3256;top:1822;width:91;height:67" coordsize="91,67" path="m45,l91,33,45,67,,33,45,xe" fillcolor="navy" strokecolor="navy">
              <v:path arrowok="t"/>
            </v:shape>
            <v:shape id="_x0000_s5582" style="position:absolute;left:3256;top:1800;width:91;height:67" coordsize="91,67" path="m45,l91,33,45,67,,33,45,xe" fillcolor="navy" strokecolor="navy">
              <v:path arrowok="t"/>
            </v:shape>
            <v:shape id="_x0000_s5583" style="position:absolute;left:3256;top:1789;width:91;height:66" coordsize="91,66" path="m45,l91,33,45,66,,33,45,xe" fillcolor="navy" strokecolor="navy">
              <v:path arrowok="t"/>
            </v:shape>
            <v:shape id="_x0000_s5584" style="position:absolute;left:3256;top:1789;width:91;height:66" coordsize="91,66" path="m45,l91,33,45,66,,33,45,xe" fillcolor="navy" strokecolor="navy">
              <v:path arrowok="t"/>
            </v:shape>
            <v:shape id="_x0000_s5585" style="position:absolute;left:3256;top:1778;width:91;height:66" coordsize="91,66" path="m45,l91,33,45,66,,33,45,xe" fillcolor="navy" strokecolor="navy">
              <v:path arrowok="t"/>
            </v:shape>
            <v:shape id="_x0000_s5586" style="position:absolute;left:3256;top:1756;width:91;height:66" coordsize="91,66" path="m45,l91,33,45,66,,33,45,xe" fillcolor="navy" strokecolor="navy">
              <v:path arrowok="t"/>
            </v:shape>
            <v:shape id="_x0000_s5587" style="position:absolute;left:3256;top:1756;width:91;height:66" coordsize="91,66" path="m45,l91,33,45,66,,33,45,xe" fillcolor="navy" strokecolor="navy">
              <v:path arrowok="t"/>
            </v:shape>
            <v:shape id="_x0000_s5588" style="position:absolute;left:3256;top:1756;width:91;height:66" coordsize="91,66" path="m45,l91,33,45,66,,33,45,xe" fillcolor="navy" strokecolor="navy">
              <v:path arrowok="t"/>
            </v:shape>
            <v:shape id="_x0000_s5589" style="position:absolute;left:3256;top:1701;width:91;height:66" coordsize="91,66" path="m45,l91,33,45,66,,33,45,xe" fillcolor="navy" strokecolor="navy">
              <v:path arrowok="t"/>
            </v:shape>
            <v:shape id="_x0000_s5590" style="position:absolute;left:3256;top:1601;width:91;height:67" coordsize="91,67" path="m45,l91,34,45,67,,34,45,xe" fillcolor="navy" strokecolor="navy">
              <v:path arrowok="t"/>
            </v:shape>
            <v:shape id="_x0000_s5591" style="position:absolute;left:3256;top:1590;width:91;height:67" coordsize="91,67" path="m45,l91,34,45,67,,34,45,xe" fillcolor="navy" strokecolor="navy">
              <v:path arrowok="t"/>
            </v:shape>
            <v:shape id="_x0000_s5592" style="position:absolute;left:3256;top:1546;width:91;height:67" coordsize="91,67" path="m45,l91,33,45,67,,33,45,xe" fillcolor="navy" strokecolor="navy">
              <v:path arrowok="t"/>
            </v:shape>
            <v:shape id="_x0000_s5593" style="position:absolute;left:3256;top:1425;width:91;height:66" coordsize="91,66" path="m45,l91,33,45,66,,33,45,xe" fillcolor="navy" strokecolor="navy">
              <v:path arrowok="t"/>
            </v:shape>
            <v:shape id="_x0000_s5594" style="position:absolute;left:3256;top:1425;width:91;height:66" coordsize="91,66" path="m45,l91,33,45,66,,33,45,xe" fillcolor="navy" strokecolor="navy">
              <v:path arrowok="t"/>
            </v:shape>
            <v:shape id="_x0000_s5595" style="position:absolute;left:3256;top:1336;width:91;height:67" coordsize="91,67" path="m45,l91,34,45,67,,34,45,xe" fillcolor="navy" strokecolor="navy">
              <v:path arrowok="t"/>
            </v:shape>
            <v:shape id="_x0000_s5596" style="position:absolute;left:3468;top:2054;width:91;height:67" coordsize="91,67" path="m45,l91,33,45,67,,33,45,xe" fillcolor="navy" strokecolor="navy">
              <v:path arrowok="t"/>
            </v:shape>
            <v:shape id="_x0000_s5597" style="position:absolute;left:3468;top:1988;width:91;height:66" coordsize="91,66" path="m45,l91,33,45,66,,33,45,xe" fillcolor="navy" strokecolor="navy">
              <v:path arrowok="t"/>
            </v:shape>
            <v:shape id="_x0000_s5598" style="position:absolute;left:3468;top:1955;width:91;height:66" coordsize="91,66" path="m45,l91,33,45,66,,33,45,xe" fillcolor="navy" strokecolor="navy">
              <v:path arrowok="t"/>
            </v:shape>
            <v:shape id="_x0000_s5599" style="position:absolute;left:3468;top:1900;width:91;height:66" coordsize="91,66" path="m45,l91,33,45,66,,33,45,xe" fillcolor="navy" strokecolor="navy">
              <v:path arrowok="t"/>
            </v:shape>
            <v:shape id="_x0000_s5600" style="position:absolute;left:3468;top:1833;width:91;height:67" coordsize="91,67" path="m45,l91,34,45,67,,34,45,xe" fillcolor="navy" strokecolor="navy">
              <v:path arrowok="t"/>
            </v:shape>
            <v:shape id="_x0000_s5601" style="position:absolute;left:3468;top:1800;width:91;height:67" coordsize="91,67" path="m45,l91,33,45,67,,33,45,xe" fillcolor="navy" strokecolor="navy">
              <v:path arrowok="t"/>
            </v:shape>
            <v:shape id="_x0000_s5602" style="position:absolute;left:3468;top:1767;width:91;height:66" coordsize="91,66" path="m45,l91,33,45,66,,33,45,xe" fillcolor="navy" strokecolor="navy">
              <v:path arrowok="t"/>
            </v:shape>
            <v:shape id="_x0000_s5603" style="position:absolute;left:3468;top:1734;width:91;height:66" coordsize="91,66" path="m45,l91,33,45,66,,33,45,xe" fillcolor="navy" strokecolor="navy">
              <v:path arrowok="t"/>
            </v:shape>
            <v:shape id="_x0000_s5604" style="position:absolute;left:3468;top:1701;width:91;height:66" coordsize="91,66" path="m45,l91,33,45,66,,33,45,xe" fillcolor="navy" strokecolor="navy">
              <v:path arrowok="t"/>
            </v:shape>
            <v:shape id="_x0000_s5605" style="position:absolute;left:3468;top:1557;width:91;height:67" coordsize="91,67" path="m45,l91,33,45,67,,33,45,xe" fillcolor="navy" strokecolor="navy">
              <v:path arrowok="t"/>
            </v:shape>
            <v:shape id="_x0000_s5606" style="position:absolute;left:3468;top:1557;width:91;height:67" coordsize="91,67" path="m45,l91,33,45,67,,33,45,xe" fillcolor="navy" strokecolor="navy">
              <v:path arrowok="t"/>
            </v:shape>
            <v:shape id="_x0000_s5607" style="position:absolute;left:3468;top:1557;width:91;height:67" coordsize="91,67" path="m45,l91,33,45,67,,33,45,xe" fillcolor="navy" strokecolor="navy">
              <v:path arrowok="t"/>
            </v:shape>
            <v:shape id="_x0000_s5608" style="position:absolute;left:3468;top:1513;width:91;height:66" coordsize="91,66" path="m45,l91,33,45,66,,33,45,xe" fillcolor="navy" strokecolor="navy">
              <v:path arrowok="t"/>
            </v:shape>
            <v:shape id="_x0000_s5609" style="position:absolute;left:3468;top:1502;width:91;height:66" coordsize="91,66" path="m45,l91,33,45,66,,33,45,xe" fillcolor="navy" strokecolor="navy">
              <v:path arrowok="t"/>
            </v:shape>
            <v:shape id="_x0000_s5610" style="position:absolute;left:3468;top:1502;width:91;height:66" coordsize="91,66" path="m45,l91,33,45,66,,33,45,xe" fillcolor="navy" strokecolor="navy">
              <v:path arrowok="t"/>
            </v:shape>
            <v:shape id="_x0000_s5611" style="position:absolute;left:3468;top:1502;width:91;height:66" coordsize="91,66" path="m45,l91,33,45,66,,33,45,xe" fillcolor="navy" strokecolor="navy">
              <v:path arrowok="t"/>
            </v:shape>
            <v:shape id="_x0000_s5612" style="position:absolute;left:3468;top:1370;width:91;height:66" coordsize="91,66" path="m45,l91,33,45,66,,33,45,xe" fillcolor="navy" strokecolor="navy">
              <v:path arrowok="t"/>
            </v:shape>
            <v:shape id="_x0000_s5613" style="position:absolute;left:3468;top:1336;width:91;height:67" coordsize="91,67" path="m45,l91,34,45,67,,34,45,xe" fillcolor="navy" strokecolor="navy">
              <v:path arrowok="t"/>
            </v:shape>
            <v:shape id="_x0000_s5614" style="position:absolute;left:3468;top:1204;width:91;height:66" coordsize="91,66" path="m45,l91,33,45,66,,33,45,xe" fillcolor="navy" strokecolor="navy">
              <v:path arrowok="t"/>
            </v:shape>
            <v:shape id="_x0000_s5615" style="position:absolute;left:3665;top:1966;width:91;height:66" coordsize="91,66" path="m45,l91,33,45,66,,33,45,xe" fillcolor="navy" strokecolor="navy">
              <v:path arrowok="t"/>
            </v:shape>
            <v:shape id="_x0000_s5616" style="position:absolute;left:3665;top:1756;width:91;height:66" coordsize="91,66" path="m45,l91,33,45,66,,33,45,xe" fillcolor="navy" strokecolor="navy">
              <v:path arrowok="t"/>
            </v:shape>
            <v:shape id="_x0000_s5617" style="position:absolute;left:3665;top:1712;width:91;height:66" coordsize="91,66" path="m45,l91,33,45,66,,33,45,xe" fillcolor="navy" strokecolor="navy">
              <v:path arrowok="t"/>
            </v:shape>
            <v:shape id="_x0000_s5618" style="position:absolute;left:3665;top:1701;width:91;height:66" coordsize="91,66" path="m45,l91,33,45,66,,33,45,xe" fillcolor="navy" strokecolor="navy">
              <v:path arrowok="t"/>
            </v:shape>
            <v:shape id="_x0000_s5619" style="position:absolute;left:3665;top:1657;width:91;height:66" coordsize="91,66" path="m45,l91,33,45,66,,33,45,xe" fillcolor="navy" strokecolor="navy">
              <v:path arrowok="t"/>
            </v:shape>
            <v:shape id="_x0000_s5620" style="position:absolute;left:3665;top:1613;width:91;height:66" coordsize="91,66" path="m45,l91,33,45,66,,33,45,xe" fillcolor="navy" strokecolor="navy">
              <v:path arrowok="t"/>
            </v:shape>
            <v:shape id="_x0000_s5621" style="position:absolute;left:3665;top:1557;width:91;height:67" coordsize="91,67" path="m45,l91,33,45,67,,33,45,xe" fillcolor="navy" strokecolor="navy">
              <v:path arrowok="t"/>
            </v:shape>
            <v:shape id="_x0000_s5622" style="position:absolute;left:3665;top:1524;width:91;height:66" coordsize="91,66" path="m45,l91,33,45,66,,33,45,xe" fillcolor="navy" strokecolor="navy">
              <v:path arrowok="t"/>
            </v:shape>
            <v:shape id="_x0000_s5623" style="position:absolute;left:3665;top:1392;width:91;height:66" coordsize="91,66" path="m45,l91,33,45,66,,33,45,xe" fillcolor="navy" strokecolor="navy">
              <v:path arrowok="t"/>
            </v:shape>
            <v:shape id="_x0000_s5624" style="position:absolute;left:3665;top:1358;width:91;height:67" coordsize="91,67" path="m45,l91,34,45,67,,34,45,xe" fillcolor="navy" strokecolor="navy">
              <v:path arrowok="t"/>
            </v:shape>
            <v:shape id="_x0000_s5625" style="position:absolute;left:3665;top:1171;width:91;height:66" coordsize="91,66" path="m45,l91,33,45,66,,33,45,xe" fillcolor="navy" strokecolor="navy">
              <v:path arrowok="t"/>
            </v:shape>
            <v:shape id="_x0000_s5626" style="position:absolute;left:3877;top:2165;width:91;height:66" coordsize="91,66" path="m45,l91,33,45,66,,33,45,xe" fillcolor="navy" strokecolor="navy">
              <v:path arrowok="t"/>
            </v:shape>
            <v:shape id="_x0000_s5627" style="position:absolute;left:3877;top:1999;width:91;height:66" coordsize="91,66" path="m45,l91,33,45,66,,33,45,xe" fillcolor="navy" strokecolor="navy">
              <v:path arrowok="t"/>
            </v:shape>
            <v:shape id="_x0000_s5628" style="position:absolute;left:3877;top:1911;width:91;height:66" coordsize="91,66" path="m45,l91,33,45,66,,33,45,xe" fillcolor="navy" strokecolor="navy">
              <v:path arrowok="t"/>
            </v:shape>
            <v:shape id="_x0000_s5629" style="position:absolute;left:3877;top:1900;width:91;height:66" coordsize="91,66" path="m45,l91,33,45,66,,33,45,xe" fillcolor="navy" strokecolor="navy">
              <v:path arrowok="t"/>
            </v:shape>
            <v:shape id="_x0000_s5630" style="position:absolute;left:3877;top:1900;width:91;height:66" coordsize="91,66" path="m45,l91,33,45,66,,33,45,xe" fillcolor="navy" strokecolor="navy">
              <v:path arrowok="t"/>
            </v:shape>
            <v:shape id="_x0000_s5631" style="position:absolute;left:3877;top:1822;width:91;height:67" coordsize="91,67" path="m45,l91,33,45,67,,33,45,xe" fillcolor="navy" strokecolor="navy">
              <v:path arrowok="t"/>
            </v:shape>
            <v:shape id="_x0000_s5632" style="position:absolute;left:3877;top:1822;width:91;height:67" coordsize="91,67" path="m45,l91,33,45,67,,33,45,xe" fillcolor="navy" strokecolor="navy">
              <v:path arrowok="t"/>
            </v:shape>
            <v:shape id="_x0000_s5633" style="position:absolute;left:3877;top:1811;width:91;height:67" coordsize="91,67" path="m45,l91,33,45,67,,33,45,xe" fillcolor="navy" strokecolor="navy">
              <v:path arrowok="t"/>
            </v:shape>
            <v:shape id="_x0000_s5634" style="position:absolute;left:3877;top:1767;width:91;height:66" coordsize="91,66" path="m45,l91,33,45,66,,33,45,xe" fillcolor="navy" strokecolor="navy">
              <v:path arrowok="t"/>
            </v:shape>
            <v:shape id="_x0000_s5635" style="position:absolute;left:3877;top:1756;width:91;height:66" coordsize="91,66" path="m45,l91,33,45,66,,33,45,xe" fillcolor="navy" strokecolor="navy">
              <v:path arrowok="t"/>
            </v:shape>
            <v:shape id="_x0000_s5636" style="position:absolute;left:3877;top:1701;width:91;height:66" coordsize="91,66" path="m45,l91,33,45,66,,33,45,xe" fillcolor="navy" strokecolor="navy">
              <v:path arrowok="t"/>
            </v:shape>
            <v:shape id="_x0000_s5637" style="position:absolute;left:3877;top:1690;width:91;height:66" coordsize="91,66" path="m45,l91,33,45,66,,33,45,xe" fillcolor="navy" strokecolor="navy">
              <v:path arrowok="t"/>
            </v:shape>
            <v:shape id="_x0000_s5638" style="position:absolute;left:3877;top:1679;width:91;height:66" coordsize="91,66" path="m45,l91,33,45,66,,33,45,xe" fillcolor="navy" strokecolor="navy">
              <v:path arrowok="t"/>
            </v:shape>
            <v:shape id="_x0000_s5639" style="position:absolute;left:3877;top:1657;width:91;height:66" coordsize="91,66" path="m45,l91,33,45,66,,33,45,xe" fillcolor="navy" strokecolor="navy">
              <v:path arrowok="t"/>
            </v:shape>
            <v:shape id="_x0000_s5640" style="position:absolute;left:3877;top:1624;width:91;height:66" coordsize="91,66" path="m45,l91,33,45,66,,33,45,xe" fillcolor="navy" strokecolor="navy">
              <v:path arrowok="t"/>
            </v:shape>
            <v:shape id="_x0000_s5641" style="position:absolute;left:3877;top:1590;width:91;height:67" coordsize="91,67" path="m45,l91,34,45,67,,34,45,xe" fillcolor="navy" strokecolor="navy">
              <v:path arrowok="t"/>
            </v:shape>
            <v:shape id="_x0000_s5642" style="position:absolute;left:3877;top:1579;width:91;height:67" coordsize="91,67" path="m45,l91,34,45,67,,34,45,xe" fillcolor="navy" strokecolor="navy">
              <v:path arrowok="t"/>
            </v:shape>
            <v:shape id="_x0000_s5643" style="position:absolute;left:3877;top:1480;width:91;height:66" coordsize="91,66" path="m45,l91,33,45,66,,33,45,xe" fillcolor="navy" strokecolor="navy">
              <v:path arrowok="t"/>
            </v:shape>
            <v:shape id="_x0000_s5644" style="position:absolute;left:3877;top:1480;width:91;height:66" coordsize="91,66" path="m45,l91,33,45,66,,33,45,xe" fillcolor="navy" strokecolor="navy">
              <v:path arrowok="t"/>
            </v:shape>
            <v:shape id="_x0000_s5645" style="position:absolute;left:3877;top:1469;width:91;height:66" coordsize="91,66" path="m45,l91,33,45,66,,33,45,xe" fillcolor="navy" strokecolor="navy">
              <v:path arrowok="t"/>
            </v:shape>
            <v:shape id="_x0000_s5646" style="position:absolute;left:3877;top:1458;width:91;height:66" coordsize="91,66" path="m45,l91,33,45,66,,33,45,xe" fillcolor="navy" strokecolor="navy">
              <v:path arrowok="t"/>
            </v:shape>
            <v:shape id="_x0000_s5647" style="position:absolute;left:3877;top:1458;width:91;height:66" coordsize="91,66" path="m45,l91,33,45,66,,33,45,xe" fillcolor="navy" strokecolor="navy">
              <v:path arrowok="t"/>
            </v:shape>
            <v:shape id="_x0000_s5648" style="position:absolute;left:3877;top:1447;width:91;height:66" coordsize="91,66" path="m45,l91,33,45,66,,33,45,xe" fillcolor="navy" strokecolor="navy">
              <v:path arrowok="t"/>
            </v:shape>
            <v:shape id="_x0000_s5649" style="position:absolute;left:3877;top:1425;width:91;height:66" coordsize="91,66" path="m45,l91,33,45,66,,33,45,xe" fillcolor="navy" strokecolor="navy">
              <v:path arrowok="t"/>
            </v:shape>
            <v:shape id="_x0000_s5650" style="position:absolute;left:3877;top:1381;width:91;height:66" coordsize="91,66" path="m45,l91,33,45,66,,33,45,xe" fillcolor="navy" strokecolor="navy">
              <v:path arrowok="t"/>
            </v:shape>
            <v:shape id="_x0000_s5651" style="position:absolute;left:3877;top:1370;width:91;height:66" coordsize="91,66" path="m45,l91,33,45,66,,33,45,xe" fillcolor="navy" strokecolor="navy">
              <v:path arrowok="t"/>
            </v:shape>
            <v:shape id="_x0000_s5652" style="position:absolute;left:3877;top:1358;width:91;height:67" coordsize="91,67" path="m45,l91,34,45,67,,34,45,xe" fillcolor="navy" strokecolor="navy">
              <v:path arrowok="t"/>
            </v:shape>
            <v:shape id="_x0000_s5653" style="position:absolute;left:3877;top:928;width:91;height:66" coordsize="91,66" path="m45,l91,33,45,66,,33,45,xe" fillcolor="navy" strokecolor="navy">
              <v:path arrowok="t"/>
            </v:shape>
            <v:shape id="_x0000_s5654" style="position:absolute;left:4089;top:2143;width:91;height:66" coordsize="91,66" path="m45,l91,33,45,66,,33,45,xe" fillcolor="navy" strokecolor="navy">
              <v:path arrowok="t"/>
            </v:shape>
            <v:shape id="_x0000_s5655" style="position:absolute;left:4089;top:1855;width:91;height:67" coordsize="91,67" path="m45,l91,34,45,67,,34,45,xe" fillcolor="navy" strokecolor="navy">
              <v:path arrowok="t"/>
            </v:shape>
            <v:shape id="_x0000_s5656" style="position:absolute;left:4089;top:1767;width:91;height:66" coordsize="91,66" path="m45,l91,33,45,66,,33,45,xe" fillcolor="navy" strokecolor="navy">
              <v:path arrowok="t"/>
            </v:shape>
            <v:shape id="_x0000_s5657" style="position:absolute;left:4089;top:1734;width:91;height:66" coordsize="91,66" path="m45,l91,33,45,66,,33,45,xe" fillcolor="navy" strokecolor="navy">
              <v:path arrowok="t"/>
            </v:shape>
            <v:shape id="_x0000_s5658" style="position:absolute;left:4089;top:1701;width:91;height:66" coordsize="91,66" path="m45,l91,33,45,66,,33,45,xe" fillcolor="navy" strokecolor="navy">
              <v:path arrowok="t"/>
            </v:shape>
            <v:shape id="_x0000_s5659" style="position:absolute;left:4089;top:1679;width:91;height:66" coordsize="91,66" path="m45,l91,33,45,66,,33,45,xe" fillcolor="navy" strokecolor="navy">
              <v:path arrowok="t"/>
            </v:shape>
            <v:shape id="_x0000_s5660" style="position:absolute;left:4089;top:1668;width:91;height:66" coordsize="91,66" path="m45,l91,33,45,66,,33,45,xe" fillcolor="navy" strokecolor="navy">
              <v:path arrowok="t"/>
            </v:shape>
            <v:shape id="_x0000_s5661" style="position:absolute;left:4089;top:1635;width:91;height:66" coordsize="91,66" path="m45,l91,33,45,66,,33,45,xe" fillcolor="navy" strokecolor="navy">
              <v:path arrowok="t"/>
            </v:shape>
            <v:shape id="_x0000_s5662" style="position:absolute;left:4089;top:1624;width:91;height:66" coordsize="91,66" path="m45,l91,33,45,66,,33,45,xe" fillcolor="navy" strokecolor="navy">
              <v:path arrowok="t"/>
            </v:shape>
            <v:shape id="_x0000_s5663" style="position:absolute;left:4089;top:1524;width:91;height:66" coordsize="91,66" path="m45,l91,33,45,66,,33,45,xe" fillcolor="navy" strokecolor="navy">
              <v:path arrowok="t"/>
            </v:shape>
            <v:shape id="_x0000_s5664" style="position:absolute;left:4089;top:1513;width:91;height:66" coordsize="91,66" path="m45,l91,33,45,66,,33,45,xe" fillcolor="navy" strokecolor="navy">
              <v:path arrowok="t"/>
            </v:shape>
            <v:shape id="_x0000_s5665" style="position:absolute;left:4089;top:1502;width:91;height:66" coordsize="91,66" path="m45,l91,33,45,66,,33,45,xe" fillcolor="navy" strokecolor="navy">
              <v:path arrowok="t"/>
            </v:shape>
            <v:shape id="_x0000_s5666" style="position:absolute;left:4089;top:1436;width:91;height:66" coordsize="91,66" path="m45,l91,33,45,66,,33,45,xe" fillcolor="navy" strokecolor="navy">
              <v:path arrowok="t"/>
            </v:shape>
            <v:shape id="_x0000_s5667" style="position:absolute;left:4089;top:1436;width:91;height:66" coordsize="91,66" path="m45,l91,33,45,66,,33,45,xe" fillcolor="navy" strokecolor="navy">
              <v:path arrowok="t"/>
            </v:shape>
            <v:shape id="_x0000_s5668" style="position:absolute;left:4089;top:1436;width:91;height:66" coordsize="91,66" path="m45,l91,33,45,66,,33,45,xe" fillcolor="navy" strokecolor="navy">
              <v:path arrowok="t"/>
            </v:shape>
            <v:shape id="_x0000_s5669" style="position:absolute;left:4089;top:1414;width:91;height:66" coordsize="91,66" path="m45,l91,33,45,66,,33,45,xe" fillcolor="navy" strokecolor="navy">
              <v:path arrowok="t"/>
            </v:shape>
            <v:shape id="_x0000_s5670" style="position:absolute;left:4089;top:1358;width:91;height:67" coordsize="91,67" path="m45,l91,34,45,67,,34,45,xe" fillcolor="navy" strokecolor="navy">
              <v:path arrowok="t"/>
            </v:shape>
            <v:shape id="_x0000_s5671" style="position:absolute;left:4089;top:1336;width:91;height:67" coordsize="91,67" path="m45,l91,34,45,67,,34,45,xe" fillcolor="navy" strokecolor="navy">
              <v:path arrowok="t"/>
            </v:shape>
            <v:shape id="_x0000_s5672" style="position:absolute;left:4089;top:1314;width:91;height:67" coordsize="91,67" path="m45,l91,33,45,67,,33,45,xe" fillcolor="navy" strokecolor="navy">
              <v:path arrowok="t"/>
            </v:shape>
            <v:shape id="_x0000_s5673" style="position:absolute;left:4089;top:1226;width:91;height:66" coordsize="91,66" path="m45,l91,33,45,66,,33,45,xe" fillcolor="navy" strokecolor="navy">
              <v:path arrowok="t"/>
            </v:shape>
            <v:shape id="_x0000_s5674" style="position:absolute;left:4286;top:2021;width:91;height:66" coordsize="91,66" path="m45,l91,33,45,66,,33,45,xe" fillcolor="navy" strokecolor="navy">
              <v:path arrowok="t"/>
            </v:shape>
            <v:shape id="_x0000_s5675" style="position:absolute;left:4286;top:1889;width:91;height:66" coordsize="91,66" path="m45,l91,33,45,66,,33,45,xe" fillcolor="navy" strokecolor="navy">
              <v:path arrowok="t"/>
            </v:shape>
            <v:shape id="_x0000_s5676" style="position:absolute;left:4286;top:1844;width:91;height:67" coordsize="91,67" path="m45,l91,34,45,67,,34,45,xe" fillcolor="navy" strokecolor="navy">
              <v:path arrowok="t"/>
            </v:shape>
            <v:shape id="_x0000_s5677" style="position:absolute;left:4286;top:1800;width:91;height:67" coordsize="91,67" path="m45,l91,33,45,67,,33,45,xe" fillcolor="navy" strokecolor="navy">
              <v:path arrowok="t"/>
            </v:shape>
            <v:shape id="_x0000_s5678" style="position:absolute;left:4286;top:1679;width:91;height:66" coordsize="91,66" path="m45,l91,33,45,66,,33,45,xe" fillcolor="navy" strokecolor="navy">
              <v:path arrowok="t"/>
            </v:shape>
            <v:shape id="_x0000_s5679" style="position:absolute;left:4286;top:1679;width:91;height:66" coordsize="91,66" path="m45,l91,33,45,66,,33,45,xe" fillcolor="navy" strokecolor="navy">
              <v:path arrowok="t"/>
            </v:shape>
            <v:shape id="_x0000_s5680" style="position:absolute;left:4286;top:1635;width:91;height:66" coordsize="91,66" path="m45,l91,33,45,66,,33,45,xe" fillcolor="navy" strokecolor="navy">
              <v:path arrowok="t"/>
            </v:shape>
            <v:shape id="_x0000_s5681" style="position:absolute;left:4286;top:1557;width:91;height:67" coordsize="91,67" path="m45,l91,33,45,67,,33,45,xe" fillcolor="navy" strokecolor="navy">
              <v:path arrowok="t"/>
            </v:shape>
            <v:shape id="_x0000_s5682" style="position:absolute;left:4286;top:1557;width:91;height:67" coordsize="91,67" path="m45,l91,33,45,67,,33,45,xe" fillcolor="navy" strokecolor="navy">
              <v:path arrowok="t"/>
            </v:shape>
            <v:shape id="_x0000_s5683" style="position:absolute;left:4286;top:1458;width:91;height:66" coordsize="91,66" path="m45,l91,33,45,66,,33,45,xe" fillcolor="navy" strokecolor="navy">
              <v:path arrowok="t"/>
            </v:shape>
            <v:shape id="_x0000_s5684" style="position:absolute;left:4286;top:1447;width:91;height:66" coordsize="91,66" path="m45,l91,33,45,66,,33,45,xe" fillcolor="navy" strokecolor="navy">
              <v:path arrowok="t"/>
            </v:shape>
            <v:shape id="_x0000_s5685" style="position:absolute;left:4286;top:1370;width:91;height:66" coordsize="91,66" path="m45,l91,33,45,66,,33,45,xe" fillcolor="navy" strokecolor="navy">
              <v:path arrowok="t"/>
            </v:shape>
            <v:shape id="_x0000_s5686" style="position:absolute;left:4286;top:1358;width:91;height:67" coordsize="91,67" path="m45,l91,34,45,67,,34,45,xe" fillcolor="navy" strokecolor="navy">
              <v:path arrowok="t"/>
            </v:shape>
            <v:shape id="_x0000_s5687" style="position:absolute;left:4286;top:817;width:91;height:67" coordsize="91,67" path="m45,l91,33,45,67,,33,45,xe" fillcolor="navy" strokecolor="navy">
              <v:path arrowok="t"/>
            </v:shape>
            <v:shape id="_x0000_s5688" style="position:absolute;left:4498;top:1822;width:91;height:67" coordsize="91,67" path="m45,l91,33,45,67,,33,45,xe" fillcolor="navy" strokecolor="navy">
              <v:path arrowok="t"/>
            </v:shape>
            <v:shape id="_x0000_s5689" style="position:absolute;left:4498;top:1778;width:91;height:66" coordsize="91,66" path="m45,l91,33,45,66,,33,45,xe" fillcolor="navy" strokecolor="navy">
              <v:path arrowok="t"/>
            </v:shape>
            <v:shape id="_x0000_s5690" style="position:absolute;left:4498;top:1756;width:91;height:66" coordsize="91,66" path="m45,l91,33,45,66,,33,45,xe" fillcolor="navy" strokecolor="navy">
              <v:path arrowok="t"/>
            </v:shape>
            <v:shape id="_x0000_s5691" style="position:absolute;left:4498;top:1657;width:91;height:66" coordsize="91,66" path="m45,l91,33,45,66,,33,45,xe" fillcolor="navy" strokecolor="navy">
              <v:path arrowok="t"/>
            </v:shape>
            <v:shape id="_x0000_s5692" style="position:absolute;left:4498;top:1513;width:91;height:66" coordsize="91,66" path="m45,l91,33,45,66,,33,45,xe" fillcolor="navy" strokecolor="navy">
              <v:path arrowok="t"/>
            </v:shape>
            <v:shape id="_x0000_s5693" style="position:absolute;left:4498;top:1458;width:91;height:66" coordsize="91,66" path="m45,l91,33,45,66,,33,45,xe" fillcolor="navy" strokecolor="navy">
              <v:path arrowok="t"/>
            </v:shape>
            <v:shape id="_x0000_s5694" style="position:absolute;left:4498;top:1447;width:91;height:66" coordsize="91,66" path="m45,l91,33,45,66,,33,45,xe" fillcolor="navy" strokecolor="navy">
              <v:path arrowok="t"/>
            </v:shape>
            <v:shape id="_x0000_s5695" style="position:absolute;left:4498;top:1403;width:91;height:66" coordsize="91,66" path="m45,l91,33,45,66,,33,45,xe" fillcolor="navy" strokecolor="navy">
              <v:path arrowok="t"/>
            </v:shape>
            <v:shape id="_x0000_s5696" style="position:absolute;left:4498;top:1370;width:91;height:66" coordsize="91,66" path="m45,l91,33,45,66,,33,45,xe" fillcolor="navy" strokecolor="navy">
              <v:path arrowok="t"/>
            </v:shape>
            <v:shape id="_x0000_s5697" style="position:absolute;left:4498;top:1370;width:91;height:66" coordsize="91,66" path="m45,l91,33,45,66,,33,45,xe" fillcolor="navy" strokecolor="navy">
              <v:path arrowok="t"/>
            </v:shape>
            <v:shape id="_x0000_s5698" style="position:absolute;left:4498;top:1370;width:91;height:66" coordsize="91,66" path="m45,l91,33,45,66,,33,45,xe" fillcolor="navy" strokecolor="navy">
              <v:path arrowok="t"/>
            </v:shape>
            <v:shape id="_x0000_s5699" style="position:absolute;left:4498;top:1115;width:91;height:67" coordsize="91,67" path="m45,l91,34,45,67,,34,45,xe" fillcolor="navy" strokecolor="navy">
              <v:path arrowok="t"/>
            </v:shape>
            <v:shape id="_x0000_s5700" style="position:absolute;left:4695;top:1977;width:90;height:66" coordsize="90,66" path="m45,l90,33,45,66,,33,45,xe" fillcolor="navy" strokecolor="navy">
              <v:path arrowok="t"/>
            </v:shape>
            <v:shape id="_x0000_s5701" style="position:absolute;left:4695;top:1767;width:90;height:66" coordsize="90,66" path="m45,l90,33,45,66,,33,45,xe" fillcolor="navy" strokecolor="navy">
              <v:path arrowok="t"/>
            </v:shape>
            <v:shape id="_x0000_s5702" style="position:absolute;left:4695;top:1679;width:90;height:66" coordsize="90,66" path="m45,l90,33,45,66,,33,45,xe" fillcolor="navy" strokecolor="navy">
              <v:path arrowok="t"/>
            </v:shape>
            <v:shape id="_x0000_s5703" style="position:absolute;left:4695;top:1281;width:90;height:66" coordsize="90,66" path="m45,l90,33,45,66,,33,45,xe" fillcolor="navy" strokecolor="navy">
              <v:path arrowok="t"/>
            </v:shape>
            <v:shape id="_x0000_s5704" style="position:absolute;left:4907;top:1800;width:90;height:67" coordsize="90,67" path="m45,l90,33,45,67,,33,45,xe" fillcolor="navy" strokecolor="navy">
              <v:path arrowok="t"/>
            </v:shape>
            <v:shape id="_x0000_s5705" style="position:absolute;left:4907;top:1723;width:90;height:66" coordsize="90,66" path="m45,l90,33,45,66,,33,45,xe" fillcolor="navy" strokecolor="navy">
              <v:path arrowok="t"/>
            </v:shape>
            <v:shape id="_x0000_s5706" style="position:absolute;left:4907;top:1635;width:90;height:66" coordsize="90,66" path="m45,l90,33,45,66,,33,45,xe" fillcolor="navy" strokecolor="navy">
              <v:path arrowok="t"/>
            </v:shape>
            <v:shape id="_x0000_s5707" style="position:absolute;left:4907;top:1513;width:90;height:66" coordsize="90,66" path="m45,l90,33,45,66,,33,45,xe" fillcolor="navy" strokecolor="navy">
              <v:path arrowok="t"/>
            </v:shape>
            <v:shape id="_x0000_s5708" style="position:absolute;left:4907;top:1491;width:90;height:66" coordsize="90,66" path="m45,l90,33,45,66,,33,45,xe" fillcolor="navy" strokecolor="navy">
              <v:path arrowok="t"/>
            </v:shape>
            <v:shape id="_x0000_s5709" style="position:absolute;left:4907;top:1480;width:90;height:66" coordsize="90,66" path="m45,l90,33,45,66,,33,45,xe" fillcolor="navy" strokecolor="navy">
              <v:path arrowok="t"/>
            </v:shape>
            <v:shape id="_x0000_s5710" style="position:absolute;left:4907;top:1447;width:90;height:66" coordsize="90,66" path="m45,l90,33,45,66,,33,45,xe" fillcolor="navy" strokecolor="navy">
              <v:path arrowok="t"/>
            </v:shape>
            <v:shape id="_x0000_s5711" style="position:absolute;left:4907;top:1425;width:90;height:66" coordsize="90,66" path="m45,l90,33,45,66,,33,45,xe" fillcolor="navy" strokecolor="navy">
              <v:path arrowok="t"/>
            </v:shape>
            <v:shape id="_x0000_s5712" style="position:absolute;left:4907;top:1325;width:90;height:67" coordsize="90,67" path="m45,l90,33,45,67,,33,45,xe" fillcolor="navy" strokecolor="navy">
              <v:path arrowok="t"/>
            </v:shape>
            <v:shape id="_x0000_s5713" style="position:absolute;left:4907;top:1160;width:90;height:66" coordsize="90,66" path="m45,l90,33,45,66,,33,45,xe" fillcolor="navy" strokecolor="navy">
              <v:path arrowok="t"/>
            </v:shape>
            <v:shape id="_x0000_s5714" style="position:absolute;left:4907;top:1138;width:90;height:66" coordsize="90,66" path="m45,l90,33,45,66,,33,45,xe" fillcolor="navy" strokecolor="navy">
              <v:path arrowok="t"/>
            </v:shape>
            <v:shape id="_x0000_s5715" style="position:absolute;left:4907;top:1127;width:90;height:66" coordsize="90,66" path="m45,l90,33,45,66,,33,45,xe" fillcolor="navy" strokecolor="navy">
              <v:path arrowok="t"/>
            </v:shape>
            <v:shape id="_x0000_s5716" style="position:absolute;left:4907;top:806;width:90;height:67" coordsize="90,67" path="m45,l90,33,45,67,,33,45,xe" fillcolor="navy" strokecolor="navy">
              <v:path arrowok="t"/>
            </v:shape>
            <v:shape id="_x0000_s5717" style="position:absolute;left:5119;top:1590;width:91;height:67" coordsize="91,67" path="m45,l91,34,45,67,,34,45,xe" fillcolor="navy" strokecolor="navy">
              <v:path arrowok="t"/>
            </v:shape>
            <v:shape id="_x0000_s5718" style="position:absolute;left:5316;top:1104;width:90;height:67" coordsize="90,67" path="m45,l90,34,45,67,,34,45,xe" fillcolor="navy" strokecolor="navy">
              <v:path arrowok="t"/>
            </v:shape>
            <v:shape id="_x0000_s5719" style="position:absolute;left:5528;top:1922;width:90;height:66" coordsize="90,66" path="m45,l90,33,45,66,,33,45,xe" fillcolor="navy" strokecolor="navy">
              <v:path arrowok="t"/>
            </v:shape>
            <v:shape id="_x0000_s5720" style="position:absolute;left:5528;top:1646;width:90;height:66" coordsize="90,66" path="m45,l90,33,45,66,,33,45,xe" fillcolor="navy" strokecolor="navy">
              <v:path arrowok="t"/>
            </v:shape>
            <v:shape id="_x0000_s5721" style="position:absolute;left:5528;top:994;width:90;height:66" coordsize="90,66" path="m45,l90,33,45,66,,33,45,xe" fillcolor="navy" strokecolor="navy">
              <v:path arrowok="t"/>
            </v:shape>
            <v:shape id="_x0000_s5722" style="position:absolute;left:5724;top:1325;width:91;height:67" coordsize="91,67" path="m46,l91,33,46,67,,33,46,xe" fillcolor="navy" strokecolor="navy">
              <v:path arrowok="t"/>
            </v:shape>
            <v:shape id="_x0000_s5723" style="position:absolute;left:5936;top:1568;width:91;height:67" coordsize="91,67" path="m46,l91,33,46,67,,33,46,xe" fillcolor="navy" strokecolor="navy">
              <v:path arrowok="t"/>
            </v:shape>
            <v:line id="_x0000_s5724" style="position:absolute;flip:y" from="1045,1171" to="5982,2330" strokeweight="1.5pt"/>
            <v:rect id="_x0000_s5725" style="position:absolute;left:1443;top:155;width:4457;height:480;mso-wrap-style:none" filled="f" stroked="f">
              <v:textbox style="mso-fit-shape-to-text:t" inset="0,0,0,0">
                <w:txbxContent>
                  <w:p w:rsidR="00704D1B" w:rsidRPr="002F30FD" w:rsidRDefault="00704D1B">
                    <w:pPr>
                      <w:rPr>
                        <w:u w:val="single"/>
                      </w:rPr>
                    </w:pPr>
                    <w:r w:rsidRPr="002F30FD">
                      <w:rPr>
                        <w:b/>
                        <w:bCs/>
                        <w:color w:val="000000"/>
                        <w:sz w:val="14"/>
                        <w:szCs w:val="14"/>
                        <w:u w:val="single"/>
                      </w:rPr>
                      <w:t>Relación entre el número de docentes y la cantidad de alumnos por escuela</w:t>
                    </w:r>
                  </w:p>
                </w:txbxContent>
              </v:textbox>
            </v:rect>
            <v:rect id="_x0000_s5727" style="position:absolute;left:6103;top:353;width:102;height:240;mso-wrap-style:none" filled="f" stroked="f">
              <v:textbox style="mso-fit-shape-to-text:t" inset="0,0,0,0">
                <w:txbxContent>
                  <w:p w:rsidR="00704D1B" w:rsidRDefault="00704D1B">
                    <w:r>
                      <w:rPr>
                        <w:rFonts w:ascii="Arial" w:hAnsi="Arial" w:cs="Arial"/>
                        <w:color w:val="000000"/>
                        <w:sz w:val="14"/>
                        <w:szCs w:val="14"/>
                        <w:lang w:val="en-US"/>
                      </w:rPr>
                      <w:t>R</w:t>
                    </w:r>
                  </w:p>
                </w:txbxContent>
              </v:textbox>
            </v:rect>
            <v:rect id="_x0000_s5728" style="position:absolute;left:6239;top:331;width:56;height:240;mso-wrap-style:none" filled="f" stroked="f">
              <v:textbox style="mso-fit-shape-to-text:t" inset="0,0,0,0">
                <w:txbxContent>
                  <w:p w:rsidR="00704D1B" w:rsidRDefault="00704D1B">
                    <w:r>
                      <w:rPr>
                        <w:rFonts w:ascii="Arial" w:hAnsi="Arial" w:cs="Arial"/>
                        <w:color w:val="000000"/>
                        <w:sz w:val="10"/>
                        <w:szCs w:val="10"/>
                        <w:lang w:val="en-US"/>
                      </w:rPr>
                      <w:t>2</w:t>
                    </w:r>
                  </w:p>
                </w:txbxContent>
              </v:textbox>
            </v:rect>
            <v:rect id="_x0000_s5729" style="position:absolute;left:6315;top:353;width:588;height:480;mso-wrap-style:none" filled="f" stroked="f">
              <v:textbox style="mso-fit-shape-to-text:t" inset="0,0,0,0">
                <w:txbxContent>
                  <w:p w:rsidR="00704D1B" w:rsidRDefault="00704D1B">
                    <w:r>
                      <w:rPr>
                        <w:rFonts w:ascii="Arial" w:hAnsi="Arial" w:cs="Arial"/>
                        <w:color w:val="000000"/>
                        <w:sz w:val="14"/>
                        <w:szCs w:val="14"/>
                        <w:lang w:val="en-US"/>
                      </w:rPr>
                      <w:t xml:space="preserve"> = 0,7583</w:t>
                    </w:r>
                  </w:p>
                </w:txbxContent>
              </v:textbox>
            </v:rect>
            <v:rect id="_x0000_s5730" style="position:absolute;left:575;top:2341;width:78;height:240;mso-wrap-style:none" filled="f" stroked="f">
              <v:textbox style="mso-fit-shape-to-text:t" inset="0,0,0,0">
                <w:txbxContent>
                  <w:p w:rsidR="00704D1B" w:rsidRDefault="00704D1B">
                    <w:r>
                      <w:rPr>
                        <w:rFonts w:ascii="Arial" w:hAnsi="Arial" w:cs="Arial"/>
                        <w:color w:val="000000"/>
                        <w:sz w:val="14"/>
                        <w:szCs w:val="14"/>
                        <w:lang w:val="en-US"/>
                      </w:rPr>
                      <w:t>0</w:t>
                    </w:r>
                  </w:p>
                </w:txbxContent>
              </v:textbox>
            </v:rect>
            <v:rect id="_x0000_s5731" style="position:absolute;left:363;top:2043;width:234;height:480;mso-wrap-style:none" filled="f" stroked="f">
              <v:textbox style="mso-fit-shape-to-text:t" inset="0,0,0,0">
                <w:txbxContent>
                  <w:p w:rsidR="00704D1B" w:rsidRDefault="00704D1B">
                    <w:r>
                      <w:rPr>
                        <w:rFonts w:ascii="Arial" w:hAnsi="Arial" w:cs="Arial"/>
                        <w:color w:val="000000"/>
                        <w:sz w:val="14"/>
                        <w:szCs w:val="14"/>
                        <w:lang w:val="en-US"/>
                      </w:rPr>
                      <w:t>200</w:t>
                    </w:r>
                  </w:p>
                </w:txbxContent>
              </v:textbox>
            </v:rect>
            <v:rect id="_x0000_s5732" style="position:absolute;left:363;top:1745;width:234;height:480;mso-wrap-style:none" filled="f" stroked="f">
              <v:textbox style="mso-fit-shape-to-text:t" inset="0,0,0,0">
                <w:txbxContent>
                  <w:p w:rsidR="00704D1B" w:rsidRDefault="00704D1B">
                    <w:r>
                      <w:rPr>
                        <w:rFonts w:ascii="Arial" w:hAnsi="Arial" w:cs="Arial"/>
                        <w:color w:val="000000"/>
                        <w:sz w:val="14"/>
                        <w:szCs w:val="14"/>
                        <w:lang w:val="en-US"/>
                      </w:rPr>
                      <w:t>400</w:t>
                    </w:r>
                  </w:p>
                </w:txbxContent>
              </v:textbox>
            </v:rect>
            <v:rect id="_x0000_s5733" style="position:absolute;left:363;top:1458;width:234;height:480;mso-wrap-style:none" filled="f" stroked="f">
              <v:textbox style="mso-fit-shape-to-text:t" inset="0,0,0,0">
                <w:txbxContent>
                  <w:p w:rsidR="00704D1B" w:rsidRDefault="00704D1B">
                    <w:r>
                      <w:rPr>
                        <w:rFonts w:ascii="Arial" w:hAnsi="Arial" w:cs="Arial"/>
                        <w:color w:val="000000"/>
                        <w:sz w:val="14"/>
                        <w:szCs w:val="14"/>
                        <w:lang w:val="en-US"/>
                      </w:rPr>
                      <w:t>600</w:t>
                    </w:r>
                  </w:p>
                </w:txbxContent>
              </v:textbox>
            </v:rect>
            <v:rect id="_x0000_s5734" style="position:absolute;left:363;top:1160;width:234;height:480;mso-wrap-style:none" filled="f" stroked="f">
              <v:textbox style="mso-fit-shape-to-text:t" inset="0,0,0,0">
                <w:txbxContent>
                  <w:p w:rsidR="00704D1B" w:rsidRDefault="00704D1B">
                    <w:r>
                      <w:rPr>
                        <w:rFonts w:ascii="Arial" w:hAnsi="Arial" w:cs="Arial"/>
                        <w:color w:val="000000"/>
                        <w:sz w:val="14"/>
                        <w:szCs w:val="14"/>
                        <w:lang w:val="en-US"/>
                      </w:rPr>
                      <w:t>800</w:t>
                    </w:r>
                  </w:p>
                </w:txbxContent>
              </v:textbox>
            </v:rect>
            <v:rect id="_x0000_s5735" style="position:absolute;left:257;top:861;width:312;height:480;mso-wrap-style:none" filled="f" stroked="f">
              <v:textbox style="mso-fit-shape-to-text:t" inset="0,0,0,0">
                <w:txbxContent>
                  <w:p w:rsidR="00704D1B" w:rsidRDefault="00704D1B">
                    <w:r>
                      <w:rPr>
                        <w:rFonts w:ascii="Arial" w:hAnsi="Arial" w:cs="Arial"/>
                        <w:color w:val="000000"/>
                        <w:sz w:val="14"/>
                        <w:szCs w:val="14"/>
                        <w:lang w:val="en-US"/>
                      </w:rPr>
                      <w:t>1000</w:t>
                    </w:r>
                  </w:p>
                </w:txbxContent>
              </v:textbox>
            </v:rect>
            <v:rect id="_x0000_s5736" style="position:absolute;left:257;top:563;width:312;height:480;mso-wrap-style:none" filled="f" stroked="f">
              <v:textbox style="mso-fit-shape-to-text:t" inset="0,0,0,0">
                <w:txbxContent>
                  <w:p w:rsidR="00704D1B" w:rsidRDefault="00704D1B">
                    <w:r>
                      <w:rPr>
                        <w:rFonts w:ascii="Arial" w:hAnsi="Arial" w:cs="Arial"/>
                        <w:color w:val="000000"/>
                        <w:sz w:val="14"/>
                        <w:szCs w:val="14"/>
                        <w:lang w:val="en-US"/>
                      </w:rPr>
                      <w:t>1200</w:t>
                    </w:r>
                  </w:p>
                </w:txbxContent>
              </v:textbox>
            </v:rect>
            <v:rect id="_x0000_s5737" style="position:absolute;left:787;top:2551;width:78;height:240;mso-wrap-style:none" filled="f" stroked="f">
              <v:textbox style="mso-fit-shape-to-text:t" inset="0,0,0,0">
                <w:txbxContent>
                  <w:p w:rsidR="00704D1B" w:rsidRDefault="00704D1B">
                    <w:r>
                      <w:rPr>
                        <w:rFonts w:ascii="Arial" w:hAnsi="Arial" w:cs="Arial"/>
                        <w:color w:val="000000"/>
                        <w:sz w:val="14"/>
                        <w:szCs w:val="14"/>
                        <w:lang w:val="en-US"/>
                      </w:rPr>
                      <w:t>0</w:t>
                    </w:r>
                  </w:p>
                </w:txbxContent>
              </v:textbox>
            </v:rect>
            <v:rect id="_x0000_s5738" style="position:absolute;left:1817;top:2551;width:78;height:240;mso-wrap-style:none" filled="f" stroked="f">
              <v:textbox style="mso-fit-shape-to-text:t" inset="0,0,0,0">
                <w:txbxContent>
                  <w:p w:rsidR="00704D1B" w:rsidRDefault="00704D1B">
                    <w:r>
                      <w:rPr>
                        <w:rFonts w:ascii="Arial" w:hAnsi="Arial" w:cs="Arial"/>
                        <w:color w:val="000000"/>
                        <w:sz w:val="14"/>
                        <w:szCs w:val="14"/>
                        <w:lang w:val="en-US"/>
                      </w:rPr>
                      <w:t>5</w:t>
                    </w:r>
                  </w:p>
                </w:txbxContent>
              </v:textbox>
            </v:rect>
            <v:rect id="_x0000_s5739" style="position:absolute;left:2786;top:2551;width:156;height:480;mso-wrap-style:none" filled="f" stroked="f">
              <v:textbox style="mso-fit-shape-to-text:t" inset="0,0,0,0">
                <w:txbxContent>
                  <w:p w:rsidR="00704D1B" w:rsidRDefault="00704D1B">
                    <w:r>
                      <w:rPr>
                        <w:rFonts w:ascii="Arial" w:hAnsi="Arial" w:cs="Arial"/>
                        <w:color w:val="000000"/>
                        <w:sz w:val="14"/>
                        <w:szCs w:val="14"/>
                        <w:lang w:val="en-US"/>
                      </w:rPr>
                      <w:t>10</w:t>
                    </w:r>
                  </w:p>
                </w:txbxContent>
              </v:textbox>
            </v:rect>
            <v:rect id="_x0000_s5740" style="position:absolute;left:3816;top:2551;width:156;height:480;mso-wrap-style:none" filled="f" stroked="f">
              <v:textbox style="mso-fit-shape-to-text:t" inset="0,0,0,0">
                <w:txbxContent>
                  <w:p w:rsidR="00704D1B" w:rsidRDefault="00704D1B">
                    <w:r>
                      <w:rPr>
                        <w:rFonts w:ascii="Arial" w:hAnsi="Arial" w:cs="Arial"/>
                        <w:color w:val="000000"/>
                        <w:sz w:val="14"/>
                        <w:szCs w:val="14"/>
                        <w:lang w:val="en-US"/>
                      </w:rPr>
                      <w:t>15</w:t>
                    </w:r>
                  </w:p>
                </w:txbxContent>
              </v:textbox>
            </v:rect>
            <v:rect id="_x0000_s5741" style="position:absolute;left:4846;top:2551;width:156;height:480;mso-wrap-style:none" filled="f" stroked="f">
              <v:textbox style="mso-fit-shape-to-text:t" inset="0,0,0,0">
                <w:txbxContent>
                  <w:p w:rsidR="00704D1B" w:rsidRDefault="00704D1B">
                    <w:r>
                      <w:rPr>
                        <w:rFonts w:ascii="Arial" w:hAnsi="Arial" w:cs="Arial"/>
                        <w:color w:val="000000"/>
                        <w:sz w:val="14"/>
                        <w:szCs w:val="14"/>
                        <w:lang w:val="en-US"/>
                      </w:rPr>
                      <w:t>20</w:t>
                    </w:r>
                  </w:p>
                </w:txbxContent>
              </v:textbox>
            </v:rect>
            <v:rect id="_x0000_s5742" style="position:absolute;left:5876;top:2551;width:156;height:480;mso-wrap-style:none" filled="f" stroked="f">
              <v:textbox style="mso-fit-shape-to-text:t" inset="0,0,0,0">
                <w:txbxContent>
                  <w:p w:rsidR="00704D1B" w:rsidRDefault="00704D1B">
                    <w:r>
                      <w:rPr>
                        <w:rFonts w:ascii="Arial" w:hAnsi="Arial" w:cs="Arial"/>
                        <w:color w:val="000000"/>
                        <w:sz w:val="14"/>
                        <w:szCs w:val="14"/>
                        <w:lang w:val="en-US"/>
                      </w:rPr>
                      <w:t>25</w:t>
                    </w:r>
                  </w:p>
                </w:txbxContent>
              </v:textbox>
            </v:rect>
            <v:rect id="_x0000_s5743" style="position:absolute;left:6906;top:2551;width:156;height:480;mso-wrap-style:none" filled="f" stroked="f">
              <v:textbox style="mso-fit-shape-to-text:t" inset="0,0,0,0">
                <w:txbxContent>
                  <w:p w:rsidR="00704D1B" w:rsidRDefault="00704D1B">
                    <w:r>
                      <w:rPr>
                        <w:rFonts w:ascii="Arial" w:hAnsi="Arial" w:cs="Arial"/>
                        <w:color w:val="000000"/>
                        <w:sz w:val="14"/>
                        <w:szCs w:val="14"/>
                        <w:lang w:val="en-US"/>
                      </w:rPr>
                      <w:t>30</w:t>
                    </w:r>
                  </w:p>
                </w:txbxContent>
              </v:textbox>
            </v:rect>
            <v:rect id="_x0000_s5744" style="position:absolute;left:76;top:55;width:7208;height:2828" filled="f" strokeweight="0"/>
            <w10:anchorlock/>
          </v:group>
        </w:pict>
      </w:r>
    </w:p>
    <w:p w:rsidR="001E7BB4" w:rsidRPr="007930B0" w:rsidRDefault="002F30FD" w:rsidP="002F30FD">
      <w:pPr>
        <w:pStyle w:val="H4G"/>
        <w:rPr>
          <w:lang w:val="es-ES"/>
        </w:rPr>
      </w:pPr>
      <w:r w:rsidRPr="007930B0">
        <w:rPr>
          <w:lang w:val="es-ES"/>
        </w:rPr>
        <w:tab/>
      </w:r>
      <w:r w:rsidRPr="007930B0">
        <w:rPr>
          <w:lang w:val="es-ES"/>
        </w:rPr>
        <w:tab/>
      </w:r>
      <w:r w:rsidR="001E7BB4" w:rsidRPr="007930B0">
        <w:rPr>
          <w:lang w:val="es-ES"/>
        </w:rPr>
        <w:t>Recursos del Estado asignados al sector de la educación</w:t>
      </w:r>
    </w:p>
    <w:p w:rsidR="001E7BB4" w:rsidRPr="007930B0" w:rsidRDefault="001E7BB4" w:rsidP="0068666F">
      <w:pPr>
        <w:pStyle w:val="SingleTxtG"/>
        <w:rPr>
          <w:lang w:val="es-ES"/>
        </w:rPr>
      </w:pPr>
      <w:r w:rsidRPr="007930B0">
        <w:rPr>
          <w:lang w:val="es-ES"/>
        </w:rPr>
        <w:t>472.</w:t>
      </w:r>
      <w:r w:rsidRPr="007930B0">
        <w:rPr>
          <w:lang w:val="es-ES"/>
        </w:rPr>
        <w:tab/>
        <w:t>En lo que respecta a la parte de los recursos del Estado asignados al sector de la educación, dicha tasa tuvo un incremento de 2 puntos en relación con 2006. En 2007 fue de 14,04%, es decir, 3,5 puntos por debajo de la meta fijada por el PNDSE para 2010. Este aumento se produjo tras la caída de 2 puntos registrada entre 2005 y 2006.</w:t>
      </w:r>
    </w:p>
    <w:p w:rsidR="001E7BB4" w:rsidRPr="007930B0" w:rsidRDefault="001E7BB4" w:rsidP="0068666F">
      <w:pPr>
        <w:pStyle w:val="SingleTxtG"/>
        <w:rPr>
          <w:lang w:val="es-ES"/>
        </w:rPr>
      </w:pPr>
      <w:r w:rsidRPr="007930B0">
        <w:rPr>
          <w:lang w:val="es-ES"/>
        </w:rPr>
        <w:t>473.</w:t>
      </w:r>
      <w:r w:rsidRPr="007930B0">
        <w:rPr>
          <w:lang w:val="es-ES"/>
        </w:rPr>
        <w:tab/>
        <w:t>En el cuadro siguiente figura una sinopsis de los diferentes indicadores mencionados en este documento, su evolución entre 2001 y 2007 y los valores meta.</w:t>
      </w:r>
    </w:p>
    <w:p w:rsidR="001E7BB4" w:rsidRPr="007930B0" w:rsidRDefault="002F30FD" w:rsidP="002F30FD">
      <w:pPr>
        <w:pStyle w:val="H23G"/>
        <w:rPr>
          <w:lang w:val="es-ES"/>
        </w:rPr>
      </w:pPr>
      <w:r w:rsidRPr="007930B0">
        <w:rPr>
          <w:lang w:val="es-ES"/>
        </w:rPr>
        <w:tab/>
      </w:r>
      <w:r w:rsidRPr="007930B0">
        <w:rPr>
          <w:lang w:val="es-ES"/>
        </w:rPr>
        <w:tab/>
      </w:r>
      <w:r w:rsidR="001E7BB4" w:rsidRPr="007930B0">
        <w:rPr>
          <w:lang w:val="es-ES"/>
        </w:rPr>
        <w:t>Cuadro de síntesis</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1175"/>
        <w:gridCol w:w="2536"/>
        <w:gridCol w:w="741"/>
        <w:gridCol w:w="741"/>
        <w:gridCol w:w="741"/>
        <w:gridCol w:w="741"/>
        <w:gridCol w:w="741"/>
        <w:gridCol w:w="741"/>
        <w:gridCol w:w="741"/>
        <w:gridCol w:w="741"/>
      </w:tblGrid>
      <w:tr w:rsidR="001614C7" w:rsidRPr="007930B0">
        <w:trPr>
          <w:trHeight w:val="315"/>
          <w:tblHeader/>
        </w:trPr>
        <w:tc>
          <w:tcPr>
            <w:tcW w:w="1175" w:type="dxa"/>
            <w:vMerge w:val="restart"/>
            <w:tcBorders>
              <w:top w:val="single" w:sz="4" w:space="0" w:color="auto"/>
              <w:bottom w:val="single" w:sz="12" w:space="0" w:color="auto"/>
            </w:tcBorders>
            <w:shd w:val="clear" w:color="000000" w:fill="auto"/>
            <w:noWrap/>
            <w:tcMar>
              <w:top w:w="15" w:type="dxa"/>
              <w:left w:w="15" w:type="dxa"/>
              <w:bottom w:w="0" w:type="dxa"/>
              <w:right w:w="15" w:type="dxa"/>
            </w:tcMar>
            <w:vAlign w:val="bottom"/>
          </w:tcPr>
          <w:p w:rsidR="001E7BB4" w:rsidRPr="007930B0" w:rsidRDefault="001E7BB4" w:rsidP="002F30FD">
            <w:pPr>
              <w:spacing w:before="80" w:after="80" w:line="200" w:lineRule="exact"/>
              <w:ind w:right="113"/>
              <w:rPr>
                <w:i/>
                <w:sz w:val="16"/>
              </w:rPr>
            </w:pPr>
            <w:r w:rsidRPr="007930B0">
              <w:rPr>
                <w:i/>
                <w:sz w:val="16"/>
              </w:rPr>
              <w:t>Componentes</w:t>
            </w:r>
          </w:p>
        </w:tc>
        <w:tc>
          <w:tcPr>
            <w:tcW w:w="2536" w:type="dxa"/>
            <w:vMerge w:val="restart"/>
            <w:tcBorders>
              <w:top w:val="single" w:sz="4" w:space="0" w:color="auto"/>
              <w:bottom w:val="single" w:sz="12" w:space="0" w:color="auto"/>
            </w:tcBorders>
            <w:shd w:val="clear" w:color="000000" w:fill="auto"/>
            <w:vAlign w:val="bottom"/>
          </w:tcPr>
          <w:p w:rsidR="001E7BB4" w:rsidRPr="007930B0" w:rsidRDefault="001E7BB4" w:rsidP="00A62881">
            <w:pPr>
              <w:spacing w:before="80" w:after="80" w:line="200" w:lineRule="exact"/>
              <w:ind w:right="113"/>
              <w:rPr>
                <w:i/>
                <w:sz w:val="16"/>
              </w:rPr>
            </w:pPr>
            <w:r w:rsidRPr="007930B0">
              <w:rPr>
                <w:i/>
                <w:sz w:val="16"/>
              </w:rPr>
              <w:t>Indicadores</w:t>
            </w:r>
          </w:p>
        </w:tc>
        <w:tc>
          <w:tcPr>
            <w:tcW w:w="4446" w:type="dxa"/>
            <w:gridSpan w:val="6"/>
            <w:tcBorders>
              <w:top w:val="single" w:sz="4" w:space="0" w:color="auto"/>
              <w:bottom w:val="single" w:sz="4" w:space="0" w:color="auto"/>
              <w:right w:val="single" w:sz="24" w:space="0" w:color="FFFFFF"/>
            </w:tcBorders>
            <w:shd w:val="clear" w:color="000000" w:fill="auto"/>
            <w:noWrap/>
            <w:tcMar>
              <w:top w:w="15" w:type="dxa"/>
              <w:left w:w="15" w:type="dxa"/>
              <w:bottom w:w="0" w:type="dxa"/>
              <w:right w:w="15" w:type="dxa"/>
            </w:tcMar>
            <w:vAlign w:val="bottom"/>
          </w:tcPr>
          <w:p w:rsidR="001E7BB4" w:rsidRPr="007930B0" w:rsidRDefault="001E7BB4" w:rsidP="001614C7">
            <w:pPr>
              <w:spacing w:before="80" w:after="80" w:line="200" w:lineRule="exact"/>
              <w:ind w:right="113"/>
              <w:jc w:val="center"/>
              <w:rPr>
                <w:i/>
                <w:sz w:val="16"/>
              </w:rPr>
            </w:pPr>
            <w:r w:rsidRPr="007930B0">
              <w:rPr>
                <w:i/>
                <w:sz w:val="16"/>
              </w:rPr>
              <w:t>Evolución</w:t>
            </w:r>
          </w:p>
        </w:tc>
        <w:tc>
          <w:tcPr>
            <w:tcW w:w="1482" w:type="dxa"/>
            <w:gridSpan w:val="2"/>
            <w:tcBorders>
              <w:top w:val="single" w:sz="4" w:space="0" w:color="auto"/>
              <w:left w:val="single" w:sz="24" w:space="0" w:color="FFFFFF"/>
              <w:bottom w:val="single" w:sz="4" w:space="0" w:color="auto"/>
            </w:tcBorders>
            <w:shd w:val="clear" w:color="000000" w:fill="auto"/>
            <w:noWrap/>
            <w:tcMar>
              <w:top w:w="15" w:type="dxa"/>
              <w:left w:w="15" w:type="dxa"/>
              <w:bottom w:w="0" w:type="dxa"/>
              <w:right w:w="15" w:type="dxa"/>
            </w:tcMar>
            <w:vAlign w:val="bottom"/>
          </w:tcPr>
          <w:p w:rsidR="001E7BB4" w:rsidRPr="007930B0" w:rsidRDefault="001E7BB4" w:rsidP="001614C7">
            <w:pPr>
              <w:spacing w:before="80" w:after="80" w:line="200" w:lineRule="exact"/>
              <w:ind w:right="113"/>
              <w:jc w:val="center"/>
              <w:rPr>
                <w:i/>
                <w:sz w:val="16"/>
              </w:rPr>
            </w:pPr>
            <w:r w:rsidRPr="007930B0">
              <w:rPr>
                <w:i/>
                <w:sz w:val="16"/>
              </w:rPr>
              <w:t>Valores meta</w:t>
            </w:r>
          </w:p>
        </w:tc>
      </w:tr>
      <w:tr w:rsidR="002F30FD" w:rsidRPr="007930B0">
        <w:trPr>
          <w:trHeight w:val="315"/>
          <w:tblHeader/>
        </w:trPr>
        <w:tc>
          <w:tcPr>
            <w:tcW w:w="1175" w:type="dxa"/>
            <w:vMerge/>
            <w:tcBorders>
              <w:top w:val="nil"/>
              <w:bottom w:val="single" w:sz="12" w:space="0" w:color="auto"/>
            </w:tcBorders>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rPr>
                <w:sz w:val="18"/>
              </w:rPr>
            </w:pPr>
          </w:p>
        </w:tc>
        <w:tc>
          <w:tcPr>
            <w:tcW w:w="2536" w:type="dxa"/>
            <w:vMerge/>
            <w:tcBorders>
              <w:top w:val="nil"/>
              <w:bottom w:val="single" w:sz="12" w:space="0" w:color="auto"/>
            </w:tcBorders>
            <w:shd w:val="clear" w:color="000000" w:fill="auto"/>
            <w:vAlign w:val="bottom"/>
          </w:tcPr>
          <w:p w:rsidR="001E7BB4" w:rsidRPr="007930B0" w:rsidRDefault="001E7BB4" w:rsidP="00A62881">
            <w:pPr>
              <w:spacing w:before="40" w:after="40" w:line="220" w:lineRule="exact"/>
              <w:ind w:right="113"/>
              <w:rPr>
                <w:sz w:val="18"/>
              </w:rPr>
            </w:pPr>
          </w:p>
        </w:tc>
        <w:tc>
          <w:tcPr>
            <w:tcW w:w="741" w:type="dxa"/>
            <w:tcBorders>
              <w:top w:val="single" w:sz="4" w:space="0" w:color="auto"/>
              <w:bottom w:val="single" w:sz="12" w:space="0" w:color="auto"/>
            </w:tcBorders>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i/>
                <w:sz w:val="16"/>
                <w:szCs w:val="16"/>
              </w:rPr>
            </w:pPr>
            <w:r w:rsidRPr="007930B0">
              <w:rPr>
                <w:i/>
                <w:sz w:val="16"/>
                <w:szCs w:val="16"/>
              </w:rPr>
              <w:t>2001/02</w:t>
            </w:r>
          </w:p>
        </w:tc>
        <w:tc>
          <w:tcPr>
            <w:tcW w:w="741" w:type="dxa"/>
            <w:tcBorders>
              <w:top w:val="single" w:sz="4" w:space="0" w:color="auto"/>
              <w:bottom w:val="single" w:sz="12" w:space="0" w:color="auto"/>
            </w:tcBorders>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i/>
                <w:sz w:val="16"/>
                <w:szCs w:val="16"/>
              </w:rPr>
            </w:pPr>
            <w:r w:rsidRPr="007930B0">
              <w:rPr>
                <w:i/>
                <w:sz w:val="16"/>
                <w:szCs w:val="16"/>
              </w:rPr>
              <w:t>2002/03</w:t>
            </w:r>
          </w:p>
        </w:tc>
        <w:tc>
          <w:tcPr>
            <w:tcW w:w="741" w:type="dxa"/>
            <w:tcBorders>
              <w:top w:val="single" w:sz="4" w:space="0" w:color="auto"/>
              <w:bottom w:val="single" w:sz="12" w:space="0" w:color="auto"/>
            </w:tcBorders>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i/>
                <w:sz w:val="16"/>
                <w:szCs w:val="16"/>
              </w:rPr>
            </w:pPr>
            <w:r w:rsidRPr="007930B0">
              <w:rPr>
                <w:i/>
                <w:sz w:val="16"/>
                <w:szCs w:val="16"/>
              </w:rPr>
              <w:t>2003/04</w:t>
            </w:r>
          </w:p>
        </w:tc>
        <w:tc>
          <w:tcPr>
            <w:tcW w:w="741" w:type="dxa"/>
            <w:tcBorders>
              <w:top w:val="single" w:sz="4" w:space="0" w:color="auto"/>
              <w:bottom w:val="single" w:sz="12" w:space="0" w:color="auto"/>
            </w:tcBorders>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i/>
                <w:sz w:val="16"/>
                <w:szCs w:val="16"/>
              </w:rPr>
            </w:pPr>
            <w:r w:rsidRPr="007930B0">
              <w:rPr>
                <w:i/>
                <w:sz w:val="16"/>
                <w:szCs w:val="16"/>
              </w:rPr>
              <w:t>2004/05</w:t>
            </w:r>
          </w:p>
        </w:tc>
        <w:tc>
          <w:tcPr>
            <w:tcW w:w="741" w:type="dxa"/>
            <w:tcBorders>
              <w:top w:val="single" w:sz="4" w:space="0" w:color="auto"/>
              <w:bottom w:val="single" w:sz="12" w:space="0" w:color="auto"/>
            </w:tcBorders>
            <w:shd w:val="clear" w:color="000000" w:fill="auto"/>
            <w:vAlign w:val="bottom"/>
          </w:tcPr>
          <w:p w:rsidR="001E7BB4" w:rsidRPr="007930B0" w:rsidRDefault="001E7BB4" w:rsidP="002F30FD">
            <w:pPr>
              <w:spacing w:before="40" w:after="40" w:line="220" w:lineRule="exact"/>
              <w:ind w:right="113"/>
              <w:jc w:val="right"/>
              <w:rPr>
                <w:i/>
                <w:sz w:val="16"/>
                <w:szCs w:val="16"/>
              </w:rPr>
            </w:pPr>
            <w:r w:rsidRPr="007930B0">
              <w:rPr>
                <w:i/>
                <w:sz w:val="16"/>
                <w:szCs w:val="16"/>
              </w:rPr>
              <w:t>2005/06</w:t>
            </w:r>
          </w:p>
        </w:tc>
        <w:tc>
          <w:tcPr>
            <w:tcW w:w="741" w:type="dxa"/>
            <w:tcBorders>
              <w:top w:val="single" w:sz="4" w:space="0" w:color="auto"/>
              <w:bottom w:val="single" w:sz="12" w:space="0" w:color="auto"/>
              <w:right w:val="single" w:sz="24" w:space="0" w:color="FFFFFF"/>
            </w:tcBorders>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i/>
                <w:sz w:val="16"/>
                <w:szCs w:val="16"/>
              </w:rPr>
            </w:pPr>
            <w:r w:rsidRPr="007930B0">
              <w:rPr>
                <w:i/>
                <w:sz w:val="16"/>
                <w:szCs w:val="16"/>
              </w:rPr>
              <w:t>2006/07</w:t>
            </w:r>
          </w:p>
        </w:tc>
        <w:tc>
          <w:tcPr>
            <w:tcW w:w="741" w:type="dxa"/>
            <w:tcBorders>
              <w:top w:val="single" w:sz="4" w:space="0" w:color="auto"/>
              <w:left w:val="single" w:sz="24" w:space="0" w:color="FFFFFF"/>
              <w:bottom w:val="single" w:sz="12" w:space="0" w:color="auto"/>
            </w:tcBorders>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i/>
                <w:sz w:val="16"/>
                <w:szCs w:val="16"/>
              </w:rPr>
            </w:pPr>
            <w:r w:rsidRPr="007930B0">
              <w:rPr>
                <w:i/>
                <w:sz w:val="16"/>
                <w:szCs w:val="16"/>
              </w:rPr>
              <w:t>2005</w:t>
            </w:r>
          </w:p>
        </w:tc>
        <w:tc>
          <w:tcPr>
            <w:tcW w:w="741" w:type="dxa"/>
            <w:tcBorders>
              <w:top w:val="single" w:sz="4" w:space="0" w:color="auto"/>
              <w:bottom w:val="single" w:sz="12" w:space="0" w:color="auto"/>
            </w:tcBorders>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i/>
                <w:sz w:val="16"/>
                <w:szCs w:val="16"/>
              </w:rPr>
            </w:pPr>
            <w:r w:rsidRPr="007930B0">
              <w:rPr>
                <w:i/>
                <w:sz w:val="16"/>
                <w:szCs w:val="16"/>
              </w:rPr>
              <w:t>2010</w:t>
            </w:r>
          </w:p>
        </w:tc>
      </w:tr>
      <w:tr w:rsidR="002F30FD" w:rsidRPr="007930B0">
        <w:trPr>
          <w:trHeight w:val="315"/>
        </w:trPr>
        <w:tc>
          <w:tcPr>
            <w:tcW w:w="1175" w:type="dxa"/>
            <w:tcBorders>
              <w:top w:val="single" w:sz="12" w:space="0" w:color="auto"/>
            </w:tcBorders>
            <w:shd w:val="clear" w:color="000000" w:fill="auto"/>
            <w:noWrap/>
            <w:tcMar>
              <w:top w:w="15" w:type="dxa"/>
              <w:left w:w="15" w:type="dxa"/>
              <w:bottom w:w="0" w:type="dxa"/>
              <w:right w:w="15" w:type="dxa"/>
            </w:tcMar>
          </w:tcPr>
          <w:p w:rsidR="001E7BB4" w:rsidRPr="007930B0" w:rsidRDefault="001E7BB4" w:rsidP="002F30FD">
            <w:pPr>
              <w:spacing w:before="40" w:after="40" w:line="220" w:lineRule="exact"/>
              <w:ind w:right="113"/>
              <w:rPr>
                <w:b/>
                <w:i/>
                <w:sz w:val="18"/>
              </w:rPr>
            </w:pPr>
            <w:r w:rsidRPr="007930B0">
              <w:rPr>
                <w:b/>
                <w:i/>
                <w:sz w:val="18"/>
              </w:rPr>
              <w:t>Primaria</w:t>
            </w:r>
          </w:p>
        </w:tc>
        <w:tc>
          <w:tcPr>
            <w:tcW w:w="2536" w:type="dxa"/>
            <w:tcBorders>
              <w:top w:val="single" w:sz="12" w:space="0" w:color="auto"/>
            </w:tcBorders>
            <w:shd w:val="clear" w:color="000000" w:fill="auto"/>
            <w:vAlign w:val="bottom"/>
          </w:tcPr>
          <w:p w:rsidR="001E7BB4" w:rsidRPr="007930B0" w:rsidRDefault="001E7BB4" w:rsidP="00A62881">
            <w:pPr>
              <w:spacing w:before="40" w:after="40" w:line="220" w:lineRule="exact"/>
              <w:ind w:right="113"/>
              <w:rPr>
                <w:sz w:val="18"/>
              </w:rPr>
            </w:pPr>
          </w:p>
        </w:tc>
        <w:tc>
          <w:tcPr>
            <w:tcW w:w="741" w:type="dxa"/>
            <w:tcBorders>
              <w:top w:val="single" w:sz="12" w:space="0" w:color="auto"/>
            </w:tcBorders>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tcBorders>
              <w:top w:val="single" w:sz="12" w:space="0" w:color="auto"/>
            </w:tcBorders>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tcBorders>
              <w:top w:val="single" w:sz="12" w:space="0" w:color="auto"/>
            </w:tcBorders>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tcBorders>
              <w:top w:val="single" w:sz="12" w:space="0" w:color="auto"/>
            </w:tcBorders>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tcBorders>
              <w:top w:val="single" w:sz="12" w:space="0" w:color="auto"/>
            </w:tcBorders>
            <w:shd w:val="clear" w:color="000000" w:fill="auto"/>
            <w:vAlign w:val="bottom"/>
          </w:tcPr>
          <w:p w:rsidR="001E7BB4" w:rsidRPr="007930B0" w:rsidRDefault="001E7BB4" w:rsidP="002F30FD">
            <w:pPr>
              <w:spacing w:before="40" w:after="40" w:line="220" w:lineRule="exact"/>
              <w:ind w:right="113"/>
              <w:jc w:val="right"/>
              <w:rPr>
                <w:sz w:val="18"/>
              </w:rPr>
            </w:pPr>
          </w:p>
        </w:tc>
        <w:tc>
          <w:tcPr>
            <w:tcW w:w="741" w:type="dxa"/>
            <w:tcBorders>
              <w:top w:val="single" w:sz="12" w:space="0" w:color="auto"/>
            </w:tcBorders>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tcBorders>
              <w:top w:val="single" w:sz="12" w:space="0" w:color="auto"/>
            </w:tcBorders>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tcBorders>
              <w:top w:val="single" w:sz="12" w:space="0" w:color="auto"/>
            </w:tcBorders>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r>
      <w:tr w:rsidR="002F30FD" w:rsidRPr="007930B0">
        <w:trPr>
          <w:trHeight w:val="255"/>
        </w:trPr>
        <w:tc>
          <w:tcPr>
            <w:tcW w:w="1175" w:type="dxa"/>
            <w:shd w:val="clear" w:color="000000" w:fill="auto"/>
            <w:noWrap/>
            <w:tcMar>
              <w:top w:w="15" w:type="dxa"/>
              <w:left w:w="15" w:type="dxa"/>
              <w:bottom w:w="0" w:type="dxa"/>
              <w:right w:w="15" w:type="dxa"/>
            </w:tcMar>
          </w:tcPr>
          <w:p w:rsidR="001E7BB4" w:rsidRPr="007930B0" w:rsidRDefault="001E7BB4" w:rsidP="002F30FD">
            <w:pPr>
              <w:spacing w:before="40" w:after="40" w:line="220" w:lineRule="exact"/>
              <w:ind w:right="113"/>
              <w:rPr>
                <w:b/>
                <w:sz w:val="18"/>
              </w:rPr>
            </w:pPr>
            <w:r w:rsidRPr="007930B0">
              <w:rPr>
                <w:b/>
                <w:sz w:val="18"/>
              </w:rPr>
              <w:t>Acceso</w:t>
            </w:r>
          </w:p>
        </w:tc>
        <w:tc>
          <w:tcPr>
            <w:tcW w:w="2536" w:type="dxa"/>
            <w:shd w:val="clear" w:color="000000" w:fill="auto"/>
            <w:noWrap/>
            <w:tcMar>
              <w:top w:w="15" w:type="dxa"/>
              <w:left w:w="15" w:type="dxa"/>
              <w:bottom w:w="0" w:type="dxa"/>
              <w:right w:w="15" w:type="dxa"/>
            </w:tcMar>
            <w:vAlign w:val="bottom"/>
          </w:tcPr>
          <w:p w:rsidR="001E7BB4" w:rsidRPr="007930B0" w:rsidRDefault="001E7BB4" w:rsidP="00A62881">
            <w:pPr>
              <w:spacing w:before="40" w:after="40" w:line="220" w:lineRule="exact"/>
              <w:ind w:right="113"/>
              <w:rPr>
                <w:sz w:val="18"/>
              </w:rPr>
            </w:pPr>
            <w:r w:rsidRPr="007930B0">
              <w:rPr>
                <w:sz w:val="18"/>
              </w:rPr>
              <w:t>Tasa bruta de escolarización (ambos sexos)</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88,7</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89,9</w:t>
            </w: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96</w:t>
            </w:r>
          </w:p>
        </w:tc>
        <w:tc>
          <w:tcPr>
            <w:tcW w:w="741" w:type="dxa"/>
            <w:shd w:val="clear" w:color="000000" w:fill="auto"/>
            <w:vAlign w:val="bottom"/>
          </w:tcPr>
          <w:p w:rsidR="001E7BB4" w:rsidRPr="007930B0" w:rsidRDefault="001E7BB4" w:rsidP="002F30FD">
            <w:pPr>
              <w:spacing w:before="40" w:after="40" w:line="220" w:lineRule="exact"/>
              <w:ind w:right="113"/>
              <w:jc w:val="right"/>
              <w:rPr>
                <w:sz w:val="18"/>
              </w:rPr>
            </w:pPr>
            <w:r w:rsidRPr="007930B0">
              <w:rPr>
                <w:sz w:val="18"/>
              </w:rPr>
              <w:t>95,1</w:t>
            </w: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96,9</w:t>
            </w: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97,9</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91</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95</w:t>
            </w:r>
          </w:p>
        </w:tc>
      </w:tr>
      <w:tr w:rsidR="002F30FD" w:rsidRPr="007930B0">
        <w:trPr>
          <w:trHeight w:val="255"/>
        </w:trPr>
        <w:tc>
          <w:tcPr>
            <w:tcW w:w="1175" w:type="dxa"/>
            <w:tcBorders>
              <w:bottom w:val="nil"/>
            </w:tcBorders>
            <w:shd w:val="clear" w:color="000000" w:fill="auto"/>
            <w:noWrap/>
            <w:tcMar>
              <w:top w:w="15" w:type="dxa"/>
              <w:left w:w="15" w:type="dxa"/>
              <w:bottom w:w="0" w:type="dxa"/>
              <w:right w:w="15" w:type="dxa"/>
            </w:tcMar>
          </w:tcPr>
          <w:p w:rsidR="001E7BB4" w:rsidRPr="007930B0" w:rsidRDefault="001E7BB4" w:rsidP="002F30FD">
            <w:pPr>
              <w:spacing w:before="40" w:after="40" w:line="220" w:lineRule="exact"/>
              <w:ind w:right="113"/>
              <w:rPr>
                <w:sz w:val="18"/>
              </w:rPr>
            </w:pPr>
          </w:p>
        </w:tc>
        <w:tc>
          <w:tcPr>
            <w:tcW w:w="2536" w:type="dxa"/>
            <w:tcBorders>
              <w:bottom w:val="nil"/>
            </w:tcBorders>
            <w:shd w:val="clear" w:color="000000" w:fill="auto"/>
            <w:noWrap/>
            <w:tcMar>
              <w:top w:w="15" w:type="dxa"/>
              <w:left w:w="15" w:type="dxa"/>
              <w:bottom w:w="0" w:type="dxa"/>
              <w:right w:w="15" w:type="dxa"/>
            </w:tcMar>
            <w:vAlign w:val="bottom"/>
          </w:tcPr>
          <w:p w:rsidR="001E7BB4" w:rsidRPr="007930B0" w:rsidRDefault="001E7BB4" w:rsidP="00A62881">
            <w:pPr>
              <w:spacing w:before="40" w:after="40" w:line="220" w:lineRule="exact"/>
              <w:ind w:right="113"/>
              <w:rPr>
                <w:sz w:val="18"/>
              </w:rPr>
            </w:pPr>
            <w:r w:rsidRPr="007930B0">
              <w:rPr>
                <w:sz w:val="18"/>
              </w:rPr>
              <w:t>Porcentaje de niñas</w:t>
            </w:r>
          </w:p>
        </w:tc>
        <w:tc>
          <w:tcPr>
            <w:tcW w:w="741" w:type="dxa"/>
            <w:tcBorders>
              <w:bottom w:val="nil"/>
            </w:tcBorders>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48,8</w:t>
            </w:r>
          </w:p>
        </w:tc>
        <w:tc>
          <w:tcPr>
            <w:tcW w:w="741" w:type="dxa"/>
            <w:tcBorders>
              <w:bottom w:val="nil"/>
            </w:tcBorders>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49,2</w:t>
            </w:r>
          </w:p>
        </w:tc>
        <w:tc>
          <w:tcPr>
            <w:tcW w:w="741" w:type="dxa"/>
            <w:tcBorders>
              <w:bottom w:val="nil"/>
            </w:tcBorders>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49,4</w:t>
            </w:r>
          </w:p>
        </w:tc>
        <w:tc>
          <w:tcPr>
            <w:tcW w:w="741" w:type="dxa"/>
            <w:tcBorders>
              <w:bottom w:val="nil"/>
            </w:tcBorders>
            <w:shd w:val="clear" w:color="000000" w:fill="auto"/>
            <w:vAlign w:val="bottom"/>
          </w:tcPr>
          <w:p w:rsidR="001E7BB4" w:rsidRPr="007930B0" w:rsidRDefault="001E7BB4" w:rsidP="002F30FD">
            <w:pPr>
              <w:spacing w:before="40" w:after="40" w:line="220" w:lineRule="exact"/>
              <w:ind w:right="113"/>
              <w:jc w:val="right"/>
              <w:rPr>
                <w:sz w:val="18"/>
              </w:rPr>
            </w:pPr>
            <w:r w:rsidRPr="007930B0">
              <w:rPr>
                <w:sz w:val="18"/>
              </w:rPr>
              <w:t>49,9</w:t>
            </w:r>
          </w:p>
        </w:tc>
        <w:tc>
          <w:tcPr>
            <w:tcW w:w="741" w:type="dxa"/>
            <w:tcBorders>
              <w:bottom w:val="nil"/>
            </w:tcBorders>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49,8</w:t>
            </w:r>
          </w:p>
        </w:tc>
        <w:tc>
          <w:tcPr>
            <w:tcW w:w="741" w:type="dxa"/>
            <w:tcBorders>
              <w:bottom w:val="nil"/>
            </w:tcBorders>
            <w:shd w:val="clear" w:color="000000" w:fill="auto"/>
            <w:tcMar>
              <w:top w:w="15" w:type="dxa"/>
              <w:left w:w="15" w:type="dxa"/>
              <w:bottom w:w="0" w:type="dxa"/>
              <w:right w:w="15" w:type="dxa"/>
            </w:tcMar>
            <w:vAlign w:val="bottom"/>
          </w:tcPr>
          <w:p w:rsidR="001E7BB4" w:rsidRPr="007930B0" w:rsidRDefault="00555E78" w:rsidP="002F30FD">
            <w:pPr>
              <w:spacing w:before="40" w:after="40" w:line="220" w:lineRule="exact"/>
              <w:ind w:right="113"/>
              <w:jc w:val="right"/>
              <w:rPr>
                <w:sz w:val="18"/>
              </w:rPr>
            </w:pPr>
            <w:r w:rsidRPr="007930B0">
              <w:rPr>
                <w:sz w:val="18"/>
              </w:rPr>
              <w:t>50,</w:t>
            </w:r>
            <w:r w:rsidR="001E7BB4" w:rsidRPr="007930B0">
              <w:rPr>
                <w:sz w:val="18"/>
              </w:rPr>
              <w:t>0</w:t>
            </w:r>
          </w:p>
        </w:tc>
        <w:tc>
          <w:tcPr>
            <w:tcW w:w="741" w:type="dxa"/>
            <w:tcBorders>
              <w:bottom w:val="nil"/>
            </w:tcBorders>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48</w:t>
            </w:r>
          </w:p>
        </w:tc>
        <w:tc>
          <w:tcPr>
            <w:tcW w:w="741" w:type="dxa"/>
            <w:tcBorders>
              <w:bottom w:val="nil"/>
            </w:tcBorders>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50</w:t>
            </w:r>
          </w:p>
        </w:tc>
      </w:tr>
      <w:tr w:rsidR="002F30FD" w:rsidRPr="007930B0">
        <w:trPr>
          <w:trHeight w:val="255"/>
        </w:trPr>
        <w:tc>
          <w:tcPr>
            <w:tcW w:w="1175" w:type="dxa"/>
            <w:tcBorders>
              <w:top w:val="nil"/>
              <w:bottom w:val="nil"/>
            </w:tcBorders>
            <w:shd w:val="clear" w:color="000000" w:fill="auto"/>
            <w:noWrap/>
            <w:tcMar>
              <w:top w:w="15" w:type="dxa"/>
              <w:left w:w="15" w:type="dxa"/>
              <w:bottom w:w="0" w:type="dxa"/>
              <w:right w:w="15" w:type="dxa"/>
            </w:tcMar>
          </w:tcPr>
          <w:p w:rsidR="001E7BB4" w:rsidRPr="007930B0" w:rsidRDefault="001E7BB4" w:rsidP="002F30FD">
            <w:pPr>
              <w:spacing w:before="40" w:after="40" w:line="220" w:lineRule="exact"/>
              <w:ind w:right="113"/>
              <w:rPr>
                <w:sz w:val="18"/>
              </w:rPr>
            </w:pPr>
          </w:p>
        </w:tc>
        <w:tc>
          <w:tcPr>
            <w:tcW w:w="2536" w:type="dxa"/>
            <w:tcBorders>
              <w:top w:val="nil"/>
              <w:bottom w:val="nil"/>
            </w:tcBorders>
            <w:shd w:val="clear" w:color="000000" w:fill="auto"/>
            <w:noWrap/>
            <w:tcMar>
              <w:top w:w="15" w:type="dxa"/>
              <w:left w:w="15" w:type="dxa"/>
              <w:bottom w:w="0" w:type="dxa"/>
              <w:right w:w="15" w:type="dxa"/>
            </w:tcMar>
            <w:vAlign w:val="bottom"/>
          </w:tcPr>
          <w:p w:rsidR="001E7BB4" w:rsidRPr="007930B0" w:rsidRDefault="001E7BB4" w:rsidP="00A62881">
            <w:pPr>
              <w:spacing w:before="40" w:after="40" w:line="220" w:lineRule="exact"/>
              <w:ind w:right="113"/>
              <w:rPr>
                <w:sz w:val="18"/>
              </w:rPr>
            </w:pPr>
            <w:r w:rsidRPr="007930B0">
              <w:rPr>
                <w:sz w:val="18"/>
              </w:rPr>
              <w:t>Acceso a 1º de primaria (ambos sexos)</w:t>
            </w:r>
          </w:p>
        </w:tc>
        <w:tc>
          <w:tcPr>
            <w:tcW w:w="741" w:type="dxa"/>
            <w:tcBorders>
              <w:top w:val="nil"/>
              <w:bottom w:val="nil"/>
            </w:tcBorders>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117,3</w:t>
            </w:r>
          </w:p>
        </w:tc>
        <w:tc>
          <w:tcPr>
            <w:tcW w:w="741" w:type="dxa"/>
            <w:tcBorders>
              <w:top w:val="nil"/>
              <w:bottom w:val="nil"/>
            </w:tcBorders>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110,3</w:t>
            </w:r>
          </w:p>
        </w:tc>
        <w:tc>
          <w:tcPr>
            <w:tcW w:w="741" w:type="dxa"/>
            <w:tcBorders>
              <w:top w:val="nil"/>
              <w:bottom w:val="nil"/>
            </w:tcBorders>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108,8</w:t>
            </w:r>
          </w:p>
        </w:tc>
        <w:tc>
          <w:tcPr>
            <w:tcW w:w="741" w:type="dxa"/>
            <w:tcBorders>
              <w:top w:val="nil"/>
              <w:bottom w:val="nil"/>
            </w:tcBorders>
            <w:shd w:val="clear" w:color="000000" w:fill="auto"/>
            <w:vAlign w:val="bottom"/>
          </w:tcPr>
          <w:p w:rsidR="001E7BB4" w:rsidRPr="007930B0" w:rsidRDefault="001E7BB4" w:rsidP="002F30FD">
            <w:pPr>
              <w:spacing w:before="40" w:after="40" w:line="220" w:lineRule="exact"/>
              <w:ind w:right="113"/>
              <w:jc w:val="right"/>
              <w:rPr>
                <w:sz w:val="18"/>
              </w:rPr>
            </w:pPr>
            <w:r w:rsidRPr="007930B0">
              <w:rPr>
                <w:sz w:val="18"/>
              </w:rPr>
              <w:t>115,9</w:t>
            </w:r>
          </w:p>
        </w:tc>
        <w:tc>
          <w:tcPr>
            <w:tcW w:w="741" w:type="dxa"/>
            <w:tcBorders>
              <w:top w:val="nil"/>
              <w:bottom w:val="nil"/>
            </w:tcBorders>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119,4</w:t>
            </w:r>
          </w:p>
        </w:tc>
        <w:tc>
          <w:tcPr>
            <w:tcW w:w="741" w:type="dxa"/>
            <w:tcBorders>
              <w:top w:val="nil"/>
              <w:bottom w:val="nil"/>
            </w:tcBorders>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119,7</w:t>
            </w:r>
          </w:p>
        </w:tc>
        <w:tc>
          <w:tcPr>
            <w:tcW w:w="741" w:type="dxa"/>
            <w:tcBorders>
              <w:top w:val="nil"/>
              <w:bottom w:val="nil"/>
            </w:tcBorders>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100</w:t>
            </w:r>
          </w:p>
        </w:tc>
        <w:tc>
          <w:tcPr>
            <w:tcW w:w="741" w:type="dxa"/>
            <w:tcBorders>
              <w:top w:val="nil"/>
              <w:bottom w:val="nil"/>
            </w:tcBorders>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100</w:t>
            </w:r>
          </w:p>
        </w:tc>
      </w:tr>
      <w:tr w:rsidR="002F30FD" w:rsidRPr="007930B0">
        <w:trPr>
          <w:trHeight w:val="255"/>
        </w:trPr>
        <w:tc>
          <w:tcPr>
            <w:tcW w:w="1175" w:type="dxa"/>
            <w:tcBorders>
              <w:top w:val="nil"/>
            </w:tcBorders>
            <w:shd w:val="clear" w:color="000000" w:fill="auto"/>
            <w:noWrap/>
            <w:tcMar>
              <w:top w:w="15" w:type="dxa"/>
              <w:left w:w="15" w:type="dxa"/>
              <w:bottom w:w="0" w:type="dxa"/>
              <w:right w:w="15" w:type="dxa"/>
            </w:tcMar>
          </w:tcPr>
          <w:p w:rsidR="001E7BB4" w:rsidRPr="007930B0" w:rsidRDefault="001E7BB4" w:rsidP="002F30FD">
            <w:pPr>
              <w:spacing w:before="40" w:after="40" w:line="220" w:lineRule="exact"/>
              <w:ind w:right="113"/>
              <w:rPr>
                <w:sz w:val="18"/>
              </w:rPr>
            </w:pPr>
          </w:p>
        </w:tc>
        <w:tc>
          <w:tcPr>
            <w:tcW w:w="2536" w:type="dxa"/>
            <w:tcBorders>
              <w:top w:val="nil"/>
            </w:tcBorders>
            <w:shd w:val="clear" w:color="000000" w:fill="auto"/>
            <w:noWrap/>
            <w:tcMar>
              <w:top w:w="15" w:type="dxa"/>
              <w:left w:w="15" w:type="dxa"/>
              <w:bottom w:w="0" w:type="dxa"/>
              <w:right w:w="15" w:type="dxa"/>
            </w:tcMar>
            <w:vAlign w:val="bottom"/>
          </w:tcPr>
          <w:p w:rsidR="001E7BB4" w:rsidRPr="007930B0" w:rsidRDefault="001E7BB4" w:rsidP="00A62881">
            <w:pPr>
              <w:spacing w:before="40" w:after="40" w:line="220" w:lineRule="exact"/>
              <w:ind w:right="113"/>
              <w:rPr>
                <w:sz w:val="18"/>
              </w:rPr>
            </w:pPr>
            <w:r w:rsidRPr="007930B0">
              <w:rPr>
                <w:sz w:val="18"/>
              </w:rPr>
              <w:t>Retención escolar (ambos sexos)</w:t>
            </w:r>
          </w:p>
        </w:tc>
        <w:tc>
          <w:tcPr>
            <w:tcW w:w="741" w:type="dxa"/>
            <w:tcBorders>
              <w:top w:val="nil"/>
            </w:tcBorders>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45,1</w:t>
            </w:r>
          </w:p>
        </w:tc>
        <w:tc>
          <w:tcPr>
            <w:tcW w:w="741" w:type="dxa"/>
            <w:tcBorders>
              <w:top w:val="nil"/>
            </w:tcBorders>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47,3</w:t>
            </w:r>
          </w:p>
        </w:tc>
        <w:tc>
          <w:tcPr>
            <w:tcW w:w="741" w:type="dxa"/>
            <w:tcBorders>
              <w:top w:val="nil"/>
            </w:tcBorders>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40,2</w:t>
            </w:r>
          </w:p>
        </w:tc>
        <w:tc>
          <w:tcPr>
            <w:tcW w:w="741" w:type="dxa"/>
            <w:tcBorders>
              <w:top w:val="nil"/>
            </w:tcBorders>
            <w:shd w:val="clear" w:color="000000" w:fill="auto"/>
            <w:vAlign w:val="bottom"/>
          </w:tcPr>
          <w:p w:rsidR="001E7BB4" w:rsidRPr="007930B0" w:rsidRDefault="001E7BB4" w:rsidP="002F30FD">
            <w:pPr>
              <w:spacing w:before="40" w:after="40" w:line="220" w:lineRule="exact"/>
              <w:ind w:right="113"/>
              <w:jc w:val="right"/>
              <w:rPr>
                <w:sz w:val="18"/>
              </w:rPr>
            </w:pPr>
            <w:r w:rsidRPr="007930B0">
              <w:rPr>
                <w:sz w:val="18"/>
              </w:rPr>
              <w:t>44</w:t>
            </w:r>
          </w:p>
        </w:tc>
        <w:tc>
          <w:tcPr>
            <w:tcW w:w="741" w:type="dxa"/>
            <w:tcBorders>
              <w:top w:val="nil"/>
            </w:tcBorders>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43,3</w:t>
            </w:r>
          </w:p>
        </w:tc>
        <w:tc>
          <w:tcPr>
            <w:tcW w:w="741" w:type="dxa"/>
            <w:tcBorders>
              <w:top w:val="nil"/>
            </w:tcBorders>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tcBorders>
              <w:top w:val="nil"/>
            </w:tcBorders>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67</w:t>
            </w:r>
          </w:p>
        </w:tc>
        <w:tc>
          <w:tcPr>
            <w:tcW w:w="741" w:type="dxa"/>
            <w:tcBorders>
              <w:top w:val="nil"/>
            </w:tcBorders>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78</w:t>
            </w:r>
          </w:p>
        </w:tc>
      </w:tr>
      <w:tr w:rsidR="002F30FD" w:rsidRPr="007930B0">
        <w:trPr>
          <w:trHeight w:val="255"/>
        </w:trPr>
        <w:tc>
          <w:tcPr>
            <w:tcW w:w="1175" w:type="dxa"/>
            <w:shd w:val="clear" w:color="000000" w:fill="auto"/>
            <w:noWrap/>
            <w:tcMar>
              <w:top w:w="15" w:type="dxa"/>
              <w:left w:w="15" w:type="dxa"/>
              <w:bottom w:w="0" w:type="dxa"/>
              <w:right w:w="15" w:type="dxa"/>
            </w:tcMar>
          </w:tcPr>
          <w:p w:rsidR="001E7BB4" w:rsidRPr="007930B0" w:rsidRDefault="001E7BB4" w:rsidP="002F30FD">
            <w:pPr>
              <w:spacing w:before="40" w:after="40" w:line="220" w:lineRule="exact"/>
              <w:ind w:right="113"/>
              <w:rPr>
                <w:sz w:val="18"/>
              </w:rPr>
            </w:pPr>
          </w:p>
        </w:tc>
        <w:tc>
          <w:tcPr>
            <w:tcW w:w="2536" w:type="dxa"/>
            <w:shd w:val="clear" w:color="000000" w:fill="auto"/>
            <w:noWrap/>
            <w:tcMar>
              <w:top w:w="15" w:type="dxa"/>
              <w:left w:w="15" w:type="dxa"/>
              <w:bottom w:w="0" w:type="dxa"/>
              <w:right w:w="15" w:type="dxa"/>
            </w:tcMar>
            <w:vAlign w:val="bottom"/>
          </w:tcPr>
          <w:p w:rsidR="001E7BB4" w:rsidRPr="007930B0" w:rsidRDefault="001E7BB4" w:rsidP="00A62881">
            <w:pPr>
              <w:spacing w:before="40" w:after="40" w:line="220" w:lineRule="exact"/>
              <w:ind w:right="113"/>
              <w:rPr>
                <w:sz w:val="18"/>
              </w:rPr>
            </w:pPr>
            <w:r w:rsidRPr="007930B0">
              <w:rPr>
                <w:sz w:val="18"/>
              </w:rPr>
              <w:t xml:space="preserve">Escuelas completas </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16,5</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17,2</w:t>
            </w: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18,4</w:t>
            </w:r>
          </w:p>
        </w:tc>
        <w:tc>
          <w:tcPr>
            <w:tcW w:w="741" w:type="dxa"/>
            <w:shd w:val="clear" w:color="000000" w:fill="auto"/>
            <w:vAlign w:val="bottom"/>
          </w:tcPr>
          <w:p w:rsidR="001E7BB4" w:rsidRPr="007930B0" w:rsidRDefault="001E7BB4" w:rsidP="002F30FD">
            <w:pPr>
              <w:spacing w:before="40" w:after="40" w:line="220" w:lineRule="exact"/>
              <w:ind w:right="113"/>
              <w:jc w:val="right"/>
              <w:rPr>
                <w:sz w:val="18"/>
              </w:rPr>
            </w:pPr>
            <w:r w:rsidRPr="007930B0">
              <w:rPr>
                <w:sz w:val="18"/>
              </w:rPr>
              <w:t>18,7</w:t>
            </w: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19,5</w:t>
            </w: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20.8</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45</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100</w:t>
            </w:r>
          </w:p>
        </w:tc>
      </w:tr>
      <w:tr w:rsidR="002F30FD" w:rsidRPr="007930B0">
        <w:trPr>
          <w:trHeight w:val="255"/>
        </w:trPr>
        <w:tc>
          <w:tcPr>
            <w:tcW w:w="1175" w:type="dxa"/>
            <w:shd w:val="clear" w:color="000000" w:fill="auto"/>
            <w:noWrap/>
            <w:tcMar>
              <w:top w:w="15" w:type="dxa"/>
              <w:left w:w="15" w:type="dxa"/>
              <w:bottom w:w="0" w:type="dxa"/>
              <w:right w:w="15" w:type="dxa"/>
            </w:tcMar>
          </w:tcPr>
          <w:p w:rsidR="001E7BB4" w:rsidRPr="007930B0" w:rsidRDefault="001E7BB4" w:rsidP="002F30FD">
            <w:pPr>
              <w:spacing w:before="40" w:after="40" w:line="220" w:lineRule="exact"/>
              <w:ind w:right="113"/>
              <w:rPr>
                <w:b/>
                <w:sz w:val="18"/>
              </w:rPr>
            </w:pPr>
            <w:r w:rsidRPr="007930B0">
              <w:rPr>
                <w:b/>
                <w:sz w:val="18"/>
              </w:rPr>
              <w:t>Calidad</w:t>
            </w:r>
          </w:p>
        </w:tc>
        <w:tc>
          <w:tcPr>
            <w:tcW w:w="2536" w:type="dxa"/>
            <w:shd w:val="clear" w:color="000000" w:fill="auto"/>
            <w:noWrap/>
            <w:tcMar>
              <w:top w:w="15" w:type="dxa"/>
              <w:left w:w="15" w:type="dxa"/>
              <w:bottom w:w="0" w:type="dxa"/>
              <w:right w:w="15" w:type="dxa"/>
            </w:tcMar>
            <w:vAlign w:val="bottom"/>
          </w:tcPr>
          <w:p w:rsidR="001E7BB4" w:rsidRPr="007930B0" w:rsidRDefault="001E7BB4" w:rsidP="00A62881">
            <w:pPr>
              <w:spacing w:before="40" w:after="40" w:line="220" w:lineRule="exact"/>
              <w:ind w:right="113"/>
              <w:rPr>
                <w:sz w:val="18"/>
              </w:rPr>
            </w:pPr>
            <w:r w:rsidRPr="007930B0">
              <w:rPr>
                <w:sz w:val="18"/>
              </w:rPr>
              <w:t>Tasa de repetición</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14,7</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15,9</w:t>
            </w: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15,8</w:t>
            </w:r>
          </w:p>
        </w:tc>
        <w:tc>
          <w:tcPr>
            <w:tcW w:w="741" w:type="dxa"/>
            <w:shd w:val="clear" w:color="000000" w:fill="auto"/>
            <w:vAlign w:val="bottom"/>
          </w:tcPr>
          <w:p w:rsidR="001E7BB4" w:rsidRPr="007930B0" w:rsidRDefault="001E7BB4" w:rsidP="002F30FD">
            <w:pPr>
              <w:spacing w:before="40" w:after="40" w:line="220" w:lineRule="exact"/>
              <w:ind w:right="113"/>
              <w:jc w:val="right"/>
              <w:rPr>
                <w:sz w:val="18"/>
              </w:rPr>
            </w:pPr>
            <w:r w:rsidRPr="007930B0">
              <w:rPr>
                <w:sz w:val="18"/>
              </w:rPr>
              <w:t>10,1</w:t>
            </w: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10,2</w:t>
            </w: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3.4</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9</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7</w:t>
            </w:r>
          </w:p>
        </w:tc>
      </w:tr>
      <w:tr w:rsidR="002F30FD" w:rsidRPr="007930B0">
        <w:trPr>
          <w:trHeight w:val="255"/>
        </w:trPr>
        <w:tc>
          <w:tcPr>
            <w:tcW w:w="1175" w:type="dxa"/>
            <w:shd w:val="clear" w:color="000000" w:fill="auto"/>
            <w:noWrap/>
            <w:tcMar>
              <w:top w:w="15" w:type="dxa"/>
              <w:left w:w="15" w:type="dxa"/>
              <w:bottom w:w="0" w:type="dxa"/>
              <w:right w:w="15" w:type="dxa"/>
            </w:tcMar>
          </w:tcPr>
          <w:p w:rsidR="001E7BB4" w:rsidRPr="007930B0" w:rsidRDefault="001E7BB4" w:rsidP="002F30FD">
            <w:pPr>
              <w:spacing w:before="40" w:after="40" w:line="220" w:lineRule="exact"/>
              <w:ind w:right="113"/>
              <w:rPr>
                <w:sz w:val="18"/>
              </w:rPr>
            </w:pPr>
          </w:p>
        </w:tc>
        <w:tc>
          <w:tcPr>
            <w:tcW w:w="2536" w:type="dxa"/>
            <w:shd w:val="clear" w:color="000000" w:fill="auto"/>
            <w:noWrap/>
            <w:tcMar>
              <w:top w:w="15" w:type="dxa"/>
              <w:left w:w="15" w:type="dxa"/>
              <w:bottom w:w="0" w:type="dxa"/>
              <w:right w:w="15" w:type="dxa"/>
            </w:tcMar>
            <w:vAlign w:val="bottom"/>
          </w:tcPr>
          <w:p w:rsidR="001E7BB4" w:rsidRPr="007930B0" w:rsidRDefault="001E7BB4" w:rsidP="00A62881">
            <w:pPr>
              <w:spacing w:before="40" w:after="40" w:line="220" w:lineRule="exact"/>
              <w:ind w:right="113"/>
              <w:rPr>
                <w:sz w:val="18"/>
              </w:rPr>
            </w:pPr>
            <w:r w:rsidRPr="007930B0">
              <w:rPr>
                <w:sz w:val="18"/>
              </w:rPr>
              <w:t>Proporción alumnos/maestros</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39</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41</w:t>
            </w: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42,5</w:t>
            </w:r>
          </w:p>
        </w:tc>
        <w:tc>
          <w:tcPr>
            <w:tcW w:w="741" w:type="dxa"/>
            <w:shd w:val="clear" w:color="000000" w:fill="auto"/>
            <w:vAlign w:val="bottom"/>
          </w:tcPr>
          <w:p w:rsidR="001E7BB4" w:rsidRPr="007930B0" w:rsidRDefault="001E7BB4" w:rsidP="002F30FD">
            <w:pPr>
              <w:spacing w:before="40" w:after="40" w:line="220" w:lineRule="exact"/>
              <w:ind w:right="113"/>
              <w:jc w:val="right"/>
              <w:rPr>
                <w:sz w:val="18"/>
              </w:rPr>
            </w:pPr>
            <w:r w:rsidRPr="007930B0">
              <w:rPr>
                <w:sz w:val="18"/>
              </w:rPr>
              <w:t>43,3</w:t>
            </w: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44</w:t>
            </w: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47</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44</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40</w:t>
            </w:r>
          </w:p>
        </w:tc>
      </w:tr>
      <w:tr w:rsidR="002F30FD" w:rsidRPr="007930B0">
        <w:trPr>
          <w:trHeight w:val="255"/>
        </w:trPr>
        <w:tc>
          <w:tcPr>
            <w:tcW w:w="1175" w:type="dxa"/>
            <w:shd w:val="clear" w:color="000000" w:fill="auto"/>
            <w:noWrap/>
            <w:tcMar>
              <w:top w:w="15" w:type="dxa"/>
              <w:left w:w="15" w:type="dxa"/>
              <w:bottom w:w="0" w:type="dxa"/>
              <w:right w:w="15" w:type="dxa"/>
            </w:tcMar>
          </w:tcPr>
          <w:p w:rsidR="001E7BB4" w:rsidRPr="007930B0" w:rsidRDefault="001E7BB4" w:rsidP="002F30FD">
            <w:pPr>
              <w:spacing w:before="40" w:after="40" w:line="220" w:lineRule="exact"/>
              <w:ind w:right="113"/>
              <w:rPr>
                <w:sz w:val="18"/>
              </w:rPr>
            </w:pPr>
          </w:p>
        </w:tc>
        <w:tc>
          <w:tcPr>
            <w:tcW w:w="2536" w:type="dxa"/>
            <w:shd w:val="clear" w:color="000000" w:fill="auto"/>
            <w:noWrap/>
            <w:tcMar>
              <w:top w:w="15" w:type="dxa"/>
              <w:left w:w="15" w:type="dxa"/>
              <w:bottom w:w="0" w:type="dxa"/>
              <w:right w:w="15" w:type="dxa"/>
            </w:tcMar>
            <w:vAlign w:val="bottom"/>
          </w:tcPr>
          <w:p w:rsidR="001E7BB4" w:rsidRPr="007930B0" w:rsidRDefault="001E7BB4" w:rsidP="00A62881">
            <w:pPr>
              <w:spacing w:before="40" w:after="40" w:line="220" w:lineRule="exact"/>
              <w:ind w:right="113"/>
              <w:rPr>
                <w:sz w:val="18"/>
              </w:rPr>
            </w:pPr>
            <w:r w:rsidRPr="007930B0">
              <w:rPr>
                <w:sz w:val="18"/>
              </w:rPr>
              <w:t>Tasa de adquisición</w:t>
            </w:r>
          </w:p>
        </w:tc>
        <w:tc>
          <w:tcPr>
            <w:tcW w:w="741" w:type="dxa"/>
            <w:shd w:val="clear" w:color="000000" w:fill="auto"/>
            <w:noWrap/>
            <w:tcMar>
              <w:top w:w="15" w:type="dxa"/>
              <w:left w:w="15" w:type="dxa"/>
              <w:bottom w:w="0" w:type="dxa"/>
              <w:right w:w="15" w:type="dxa"/>
            </w:tcMar>
            <w:vAlign w:val="bottom"/>
          </w:tcPr>
          <w:p w:rsidR="001E7BB4" w:rsidRPr="007930B0" w:rsidRDefault="00A62881" w:rsidP="002F30FD">
            <w:pPr>
              <w:spacing w:before="40" w:after="40" w:line="220" w:lineRule="exact"/>
              <w:ind w:right="113"/>
              <w:jc w:val="right"/>
              <w:rPr>
                <w:sz w:val="18"/>
              </w:rPr>
            </w:pPr>
            <w:r>
              <w:rPr>
                <w:sz w:val="18"/>
              </w:rPr>
              <w:t>n.a.</w:t>
            </w:r>
          </w:p>
        </w:tc>
        <w:tc>
          <w:tcPr>
            <w:tcW w:w="741" w:type="dxa"/>
            <w:shd w:val="clear" w:color="000000" w:fill="auto"/>
            <w:noWrap/>
            <w:tcMar>
              <w:top w:w="15" w:type="dxa"/>
              <w:left w:w="15" w:type="dxa"/>
              <w:bottom w:w="0" w:type="dxa"/>
              <w:right w:w="15" w:type="dxa"/>
            </w:tcMar>
            <w:vAlign w:val="bottom"/>
          </w:tcPr>
          <w:p w:rsidR="001E7BB4" w:rsidRPr="007930B0" w:rsidRDefault="00A62881" w:rsidP="002F30FD">
            <w:pPr>
              <w:spacing w:before="40" w:after="40" w:line="220" w:lineRule="exact"/>
              <w:ind w:right="113"/>
              <w:jc w:val="right"/>
              <w:rPr>
                <w:sz w:val="18"/>
              </w:rPr>
            </w:pPr>
            <w:r>
              <w:rPr>
                <w:sz w:val="18"/>
              </w:rPr>
              <w:t>n.a.</w:t>
            </w:r>
          </w:p>
        </w:tc>
        <w:tc>
          <w:tcPr>
            <w:tcW w:w="741" w:type="dxa"/>
            <w:shd w:val="clear" w:color="000000" w:fill="auto"/>
            <w:tcMar>
              <w:top w:w="15" w:type="dxa"/>
              <w:left w:w="15" w:type="dxa"/>
              <w:bottom w:w="0" w:type="dxa"/>
              <w:right w:w="15" w:type="dxa"/>
            </w:tcMar>
            <w:vAlign w:val="bottom"/>
          </w:tcPr>
          <w:p w:rsidR="001E7BB4" w:rsidRPr="007930B0" w:rsidRDefault="00A62881" w:rsidP="002F30FD">
            <w:pPr>
              <w:spacing w:before="40" w:after="40" w:line="220" w:lineRule="exact"/>
              <w:ind w:right="113"/>
              <w:jc w:val="right"/>
              <w:rPr>
                <w:sz w:val="18"/>
              </w:rPr>
            </w:pPr>
            <w:r>
              <w:rPr>
                <w:sz w:val="18"/>
              </w:rPr>
              <w:t>n.a.</w:t>
            </w:r>
          </w:p>
        </w:tc>
        <w:tc>
          <w:tcPr>
            <w:tcW w:w="741" w:type="dxa"/>
            <w:shd w:val="clear" w:color="000000" w:fill="auto"/>
            <w:vAlign w:val="bottom"/>
          </w:tcPr>
          <w:p w:rsidR="001E7BB4" w:rsidRPr="007930B0" w:rsidRDefault="00A62881" w:rsidP="002F30FD">
            <w:pPr>
              <w:spacing w:before="40" w:after="40" w:line="220" w:lineRule="exact"/>
              <w:ind w:right="113"/>
              <w:jc w:val="right"/>
              <w:rPr>
                <w:sz w:val="18"/>
              </w:rPr>
            </w:pPr>
            <w:r>
              <w:rPr>
                <w:sz w:val="18"/>
              </w:rPr>
              <w:t>n.a.</w:t>
            </w:r>
          </w:p>
        </w:tc>
        <w:tc>
          <w:tcPr>
            <w:tcW w:w="741" w:type="dxa"/>
            <w:shd w:val="clear" w:color="000000" w:fill="auto"/>
            <w:tcMar>
              <w:top w:w="15" w:type="dxa"/>
              <w:left w:w="15" w:type="dxa"/>
              <w:bottom w:w="0" w:type="dxa"/>
              <w:right w:w="15" w:type="dxa"/>
            </w:tcMar>
            <w:vAlign w:val="bottom"/>
          </w:tcPr>
          <w:p w:rsidR="001E7BB4" w:rsidRPr="007930B0" w:rsidRDefault="00A62881" w:rsidP="002F30FD">
            <w:pPr>
              <w:spacing w:before="40" w:after="40" w:line="220" w:lineRule="exact"/>
              <w:ind w:right="113"/>
              <w:jc w:val="right"/>
              <w:rPr>
                <w:sz w:val="18"/>
              </w:rPr>
            </w:pPr>
            <w:r>
              <w:rPr>
                <w:sz w:val="18"/>
              </w:rPr>
              <w:t>n.a.</w:t>
            </w:r>
          </w:p>
        </w:tc>
        <w:tc>
          <w:tcPr>
            <w:tcW w:w="741" w:type="dxa"/>
            <w:shd w:val="clear" w:color="000000" w:fill="auto"/>
            <w:tcMar>
              <w:top w:w="15" w:type="dxa"/>
              <w:left w:w="15" w:type="dxa"/>
              <w:bottom w:w="0" w:type="dxa"/>
              <w:right w:w="15" w:type="dxa"/>
            </w:tcMar>
            <w:vAlign w:val="bottom"/>
          </w:tcPr>
          <w:p w:rsidR="001E7BB4" w:rsidRPr="007930B0" w:rsidRDefault="00A62881" w:rsidP="002F30FD">
            <w:pPr>
              <w:spacing w:before="40" w:after="40" w:line="220" w:lineRule="exact"/>
              <w:ind w:right="113"/>
              <w:jc w:val="right"/>
              <w:rPr>
                <w:sz w:val="18"/>
              </w:rPr>
            </w:pPr>
            <w:r>
              <w:rPr>
                <w:sz w:val="18"/>
              </w:rPr>
              <w:t>n.a.</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45</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70</w:t>
            </w:r>
          </w:p>
        </w:tc>
      </w:tr>
      <w:tr w:rsidR="002F30FD" w:rsidRPr="007930B0">
        <w:trPr>
          <w:trHeight w:val="315"/>
        </w:trPr>
        <w:tc>
          <w:tcPr>
            <w:tcW w:w="1175" w:type="dxa"/>
            <w:shd w:val="clear" w:color="000000" w:fill="auto"/>
            <w:noWrap/>
            <w:tcMar>
              <w:top w:w="15" w:type="dxa"/>
              <w:left w:w="15" w:type="dxa"/>
              <w:bottom w:w="0" w:type="dxa"/>
              <w:right w:w="15" w:type="dxa"/>
            </w:tcMar>
          </w:tcPr>
          <w:p w:rsidR="001E7BB4" w:rsidRPr="007930B0" w:rsidRDefault="001E7BB4" w:rsidP="002F30FD">
            <w:pPr>
              <w:spacing w:before="40" w:after="40" w:line="220" w:lineRule="exact"/>
              <w:ind w:right="113"/>
              <w:rPr>
                <w:b/>
                <w:i/>
                <w:sz w:val="18"/>
              </w:rPr>
            </w:pPr>
            <w:r w:rsidRPr="007930B0">
              <w:rPr>
                <w:b/>
                <w:i/>
                <w:sz w:val="18"/>
              </w:rPr>
              <w:t>Secundaria</w:t>
            </w:r>
          </w:p>
        </w:tc>
        <w:tc>
          <w:tcPr>
            <w:tcW w:w="2536" w:type="dxa"/>
            <w:shd w:val="clear" w:color="000000" w:fill="auto"/>
            <w:vAlign w:val="bottom"/>
          </w:tcPr>
          <w:p w:rsidR="001E7BB4" w:rsidRPr="007930B0" w:rsidRDefault="001E7BB4" w:rsidP="00A62881">
            <w:pPr>
              <w:spacing w:before="40" w:after="40" w:line="220" w:lineRule="exact"/>
              <w:ind w:right="113"/>
              <w:rPr>
                <w:sz w:val="18"/>
              </w:rPr>
            </w:pP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shd w:val="clear" w:color="000000" w:fill="auto"/>
            <w:vAlign w:val="bottom"/>
          </w:tcPr>
          <w:p w:rsidR="001E7BB4" w:rsidRPr="007930B0" w:rsidRDefault="001E7BB4" w:rsidP="002F30FD">
            <w:pPr>
              <w:spacing w:before="40" w:after="40" w:line="220" w:lineRule="exact"/>
              <w:ind w:right="113"/>
              <w:jc w:val="right"/>
              <w:rPr>
                <w:sz w:val="18"/>
              </w:rPr>
            </w:pP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r>
      <w:tr w:rsidR="002F30FD" w:rsidRPr="007930B0">
        <w:trPr>
          <w:trHeight w:val="255"/>
        </w:trPr>
        <w:tc>
          <w:tcPr>
            <w:tcW w:w="1175" w:type="dxa"/>
            <w:shd w:val="clear" w:color="000000" w:fill="auto"/>
            <w:noWrap/>
            <w:tcMar>
              <w:top w:w="15" w:type="dxa"/>
              <w:left w:w="15" w:type="dxa"/>
              <w:bottom w:w="0" w:type="dxa"/>
              <w:right w:w="15" w:type="dxa"/>
            </w:tcMar>
          </w:tcPr>
          <w:p w:rsidR="001E7BB4" w:rsidRPr="007930B0" w:rsidRDefault="001E7BB4" w:rsidP="002F30FD">
            <w:pPr>
              <w:spacing w:before="40" w:after="40" w:line="220" w:lineRule="exact"/>
              <w:ind w:right="113"/>
              <w:rPr>
                <w:b/>
                <w:sz w:val="18"/>
              </w:rPr>
            </w:pPr>
            <w:r w:rsidRPr="007930B0">
              <w:rPr>
                <w:b/>
                <w:sz w:val="18"/>
              </w:rPr>
              <w:t>Acceso</w:t>
            </w:r>
          </w:p>
        </w:tc>
        <w:tc>
          <w:tcPr>
            <w:tcW w:w="2536" w:type="dxa"/>
            <w:shd w:val="clear" w:color="000000" w:fill="auto"/>
            <w:noWrap/>
            <w:tcMar>
              <w:top w:w="15" w:type="dxa"/>
              <w:left w:w="15" w:type="dxa"/>
              <w:bottom w:w="0" w:type="dxa"/>
              <w:right w:w="15" w:type="dxa"/>
            </w:tcMar>
            <w:vAlign w:val="bottom"/>
          </w:tcPr>
          <w:p w:rsidR="001E7BB4" w:rsidRPr="007930B0" w:rsidRDefault="001E7BB4" w:rsidP="00A62881">
            <w:pPr>
              <w:spacing w:before="40" w:after="40" w:line="220" w:lineRule="exact"/>
              <w:ind w:right="113"/>
              <w:rPr>
                <w:sz w:val="18"/>
              </w:rPr>
            </w:pPr>
            <w:r w:rsidRPr="007930B0">
              <w:rPr>
                <w:sz w:val="18"/>
              </w:rPr>
              <w:t>Nuevos alumnos en 1º de secundaria</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16 380</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19 232</w:t>
            </w: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19 494</w:t>
            </w:r>
          </w:p>
        </w:tc>
        <w:tc>
          <w:tcPr>
            <w:tcW w:w="741" w:type="dxa"/>
            <w:shd w:val="clear" w:color="000000" w:fill="auto"/>
            <w:vAlign w:val="bottom"/>
          </w:tcPr>
          <w:p w:rsidR="001E7BB4" w:rsidRPr="007930B0" w:rsidRDefault="001E7BB4" w:rsidP="002F30FD">
            <w:pPr>
              <w:spacing w:before="40" w:after="40" w:line="220" w:lineRule="exact"/>
              <w:ind w:right="113"/>
              <w:jc w:val="right"/>
              <w:rPr>
                <w:sz w:val="18"/>
              </w:rPr>
            </w:pPr>
            <w:r w:rsidRPr="007930B0">
              <w:rPr>
                <w:sz w:val="18"/>
              </w:rPr>
              <w:t>18 555</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18 301</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21488</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25 000</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37 000</w:t>
            </w:r>
          </w:p>
        </w:tc>
      </w:tr>
      <w:tr w:rsidR="002F30FD" w:rsidRPr="007930B0">
        <w:trPr>
          <w:trHeight w:val="255"/>
        </w:trPr>
        <w:tc>
          <w:tcPr>
            <w:tcW w:w="1175" w:type="dxa"/>
            <w:shd w:val="clear" w:color="000000" w:fill="auto"/>
            <w:noWrap/>
            <w:tcMar>
              <w:top w:w="15" w:type="dxa"/>
              <w:left w:w="15" w:type="dxa"/>
              <w:bottom w:w="0" w:type="dxa"/>
              <w:right w:w="15" w:type="dxa"/>
            </w:tcMar>
          </w:tcPr>
          <w:p w:rsidR="001E7BB4" w:rsidRPr="007930B0" w:rsidRDefault="001E7BB4" w:rsidP="002F30FD">
            <w:pPr>
              <w:spacing w:before="40" w:after="40" w:line="220" w:lineRule="exact"/>
              <w:ind w:right="113"/>
              <w:rPr>
                <w:sz w:val="18"/>
              </w:rPr>
            </w:pPr>
          </w:p>
        </w:tc>
        <w:tc>
          <w:tcPr>
            <w:tcW w:w="2536" w:type="dxa"/>
            <w:shd w:val="clear" w:color="000000" w:fill="auto"/>
            <w:noWrap/>
            <w:tcMar>
              <w:top w:w="15" w:type="dxa"/>
              <w:left w:w="15" w:type="dxa"/>
              <w:bottom w:w="0" w:type="dxa"/>
              <w:right w:w="15" w:type="dxa"/>
            </w:tcMar>
            <w:vAlign w:val="bottom"/>
          </w:tcPr>
          <w:p w:rsidR="001E7BB4" w:rsidRPr="007930B0" w:rsidRDefault="001E7BB4" w:rsidP="00A62881">
            <w:pPr>
              <w:spacing w:before="40" w:after="40" w:line="220" w:lineRule="exact"/>
              <w:ind w:right="113"/>
              <w:rPr>
                <w:sz w:val="18"/>
              </w:rPr>
            </w:pPr>
            <w:r w:rsidRPr="007930B0">
              <w:rPr>
                <w:sz w:val="18"/>
              </w:rPr>
              <w:t>Tasa de transición efectiva a 1º de secundaria</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52,8</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64</w:t>
            </w: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61,7</w:t>
            </w:r>
          </w:p>
        </w:tc>
        <w:tc>
          <w:tcPr>
            <w:tcW w:w="741" w:type="dxa"/>
            <w:shd w:val="clear" w:color="000000" w:fill="auto"/>
            <w:vAlign w:val="bottom"/>
          </w:tcPr>
          <w:p w:rsidR="001E7BB4" w:rsidRPr="007930B0" w:rsidRDefault="001E7BB4" w:rsidP="002F30FD">
            <w:pPr>
              <w:spacing w:before="40" w:after="40" w:line="220" w:lineRule="exact"/>
              <w:ind w:right="113"/>
              <w:jc w:val="right"/>
              <w:rPr>
                <w:sz w:val="18"/>
              </w:rPr>
            </w:pPr>
            <w:r w:rsidRPr="007930B0">
              <w:rPr>
                <w:sz w:val="18"/>
              </w:rPr>
              <w:t>61,1</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56,8</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49,3</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50</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50</w:t>
            </w:r>
          </w:p>
        </w:tc>
      </w:tr>
      <w:tr w:rsidR="002F30FD" w:rsidRPr="007930B0">
        <w:trPr>
          <w:trHeight w:val="270"/>
        </w:trPr>
        <w:tc>
          <w:tcPr>
            <w:tcW w:w="1175" w:type="dxa"/>
            <w:shd w:val="clear" w:color="000000" w:fill="auto"/>
            <w:noWrap/>
            <w:tcMar>
              <w:top w:w="15" w:type="dxa"/>
              <w:left w:w="15" w:type="dxa"/>
              <w:bottom w:w="0" w:type="dxa"/>
              <w:right w:w="15" w:type="dxa"/>
            </w:tcMar>
          </w:tcPr>
          <w:p w:rsidR="001E7BB4" w:rsidRPr="007930B0" w:rsidRDefault="001E7BB4" w:rsidP="002F30FD">
            <w:pPr>
              <w:spacing w:before="40" w:after="40" w:line="220" w:lineRule="exact"/>
              <w:ind w:right="113"/>
              <w:rPr>
                <w:sz w:val="18"/>
              </w:rPr>
            </w:pPr>
          </w:p>
        </w:tc>
        <w:tc>
          <w:tcPr>
            <w:tcW w:w="2536" w:type="dxa"/>
            <w:shd w:val="clear" w:color="000000" w:fill="auto"/>
            <w:noWrap/>
            <w:tcMar>
              <w:top w:w="15" w:type="dxa"/>
              <w:left w:w="15" w:type="dxa"/>
              <w:bottom w:w="0" w:type="dxa"/>
              <w:right w:w="15" w:type="dxa"/>
            </w:tcMar>
            <w:vAlign w:val="bottom"/>
          </w:tcPr>
          <w:p w:rsidR="001E7BB4" w:rsidRPr="007930B0" w:rsidRDefault="001E7BB4" w:rsidP="00A62881">
            <w:pPr>
              <w:spacing w:before="40" w:after="40" w:line="220" w:lineRule="exact"/>
              <w:ind w:right="113"/>
              <w:rPr>
                <w:sz w:val="18"/>
              </w:rPr>
            </w:pPr>
            <w:r w:rsidRPr="007930B0">
              <w:rPr>
                <w:sz w:val="18"/>
              </w:rPr>
              <w:t>Porcentaje de niñas en el primer ciclo</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43,3</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44,9</w:t>
            </w: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45,4</w:t>
            </w:r>
          </w:p>
        </w:tc>
        <w:tc>
          <w:tcPr>
            <w:tcW w:w="741" w:type="dxa"/>
            <w:shd w:val="clear" w:color="000000" w:fill="auto"/>
            <w:vAlign w:val="bottom"/>
          </w:tcPr>
          <w:p w:rsidR="001E7BB4" w:rsidRPr="007930B0" w:rsidRDefault="001E7BB4" w:rsidP="002F30FD">
            <w:pPr>
              <w:spacing w:before="40" w:after="40" w:line="220" w:lineRule="exact"/>
              <w:ind w:right="113"/>
              <w:jc w:val="right"/>
              <w:rPr>
                <w:sz w:val="18"/>
              </w:rPr>
            </w:pPr>
            <w:r w:rsidRPr="007930B0">
              <w:rPr>
                <w:sz w:val="18"/>
              </w:rPr>
              <w:t>46,5</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45,8</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44,5</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50</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50</w:t>
            </w:r>
          </w:p>
        </w:tc>
      </w:tr>
      <w:tr w:rsidR="002F30FD" w:rsidRPr="007930B0">
        <w:trPr>
          <w:trHeight w:val="255"/>
        </w:trPr>
        <w:tc>
          <w:tcPr>
            <w:tcW w:w="1175" w:type="dxa"/>
            <w:shd w:val="clear" w:color="000000" w:fill="auto"/>
            <w:noWrap/>
            <w:tcMar>
              <w:top w:w="15" w:type="dxa"/>
              <w:left w:w="15" w:type="dxa"/>
              <w:bottom w:w="0" w:type="dxa"/>
              <w:right w:w="15" w:type="dxa"/>
            </w:tcMar>
          </w:tcPr>
          <w:p w:rsidR="001E7BB4" w:rsidRPr="007930B0" w:rsidRDefault="001E7BB4" w:rsidP="002F30FD">
            <w:pPr>
              <w:spacing w:before="40" w:after="40" w:line="220" w:lineRule="exact"/>
              <w:ind w:right="113"/>
              <w:rPr>
                <w:b/>
                <w:sz w:val="18"/>
              </w:rPr>
            </w:pPr>
            <w:r w:rsidRPr="007930B0">
              <w:rPr>
                <w:b/>
                <w:sz w:val="18"/>
              </w:rPr>
              <w:t>Calidad</w:t>
            </w:r>
          </w:p>
        </w:tc>
        <w:tc>
          <w:tcPr>
            <w:tcW w:w="2536" w:type="dxa"/>
            <w:shd w:val="clear" w:color="000000" w:fill="auto"/>
            <w:noWrap/>
            <w:tcMar>
              <w:top w:w="15" w:type="dxa"/>
              <w:left w:w="15" w:type="dxa"/>
              <w:bottom w:w="0" w:type="dxa"/>
              <w:right w:w="15" w:type="dxa"/>
            </w:tcMar>
            <w:vAlign w:val="bottom"/>
          </w:tcPr>
          <w:p w:rsidR="001E7BB4" w:rsidRPr="007930B0" w:rsidRDefault="001E7BB4" w:rsidP="00A62881">
            <w:pPr>
              <w:spacing w:before="40" w:after="40" w:line="220" w:lineRule="exact"/>
              <w:ind w:right="113"/>
              <w:rPr>
                <w:sz w:val="18"/>
              </w:rPr>
            </w:pPr>
            <w:r w:rsidRPr="007930B0">
              <w:rPr>
                <w:sz w:val="18"/>
              </w:rPr>
              <w:t>Proporción total alumnos/profesores</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26,7</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28</w:t>
            </w: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29,6</w:t>
            </w:r>
          </w:p>
        </w:tc>
        <w:tc>
          <w:tcPr>
            <w:tcW w:w="741" w:type="dxa"/>
            <w:shd w:val="clear" w:color="000000" w:fill="auto"/>
            <w:vAlign w:val="bottom"/>
          </w:tcPr>
          <w:p w:rsidR="001E7BB4" w:rsidRPr="007930B0" w:rsidRDefault="001E7BB4" w:rsidP="002F30FD">
            <w:pPr>
              <w:spacing w:before="40" w:after="40" w:line="220" w:lineRule="exact"/>
              <w:ind w:right="113"/>
              <w:jc w:val="right"/>
              <w:rPr>
                <w:sz w:val="18"/>
              </w:rPr>
            </w:pPr>
            <w:r w:rsidRPr="007930B0">
              <w:rPr>
                <w:sz w:val="18"/>
              </w:rPr>
              <w:t>26,6</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26,8</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26.9</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33,3</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31</w:t>
            </w:r>
          </w:p>
        </w:tc>
      </w:tr>
      <w:tr w:rsidR="002F30FD" w:rsidRPr="007930B0">
        <w:trPr>
          <w:trHeight w:val="270"/>
        </w:trPr>
        <w:tc>
          <w:tcPr>
            <w:tcW w:w="1175" w:type="dxa"/>
            <w:shd w:val="clear" w:color="000000" w:fill="auto"/>
            <w:noWrap/>
            <w:tcMar>
              <w:top w:w="15" w:type="dxa"/>
              <w:left w:w="15" w:type="dxa"/>
              <w:bottom w:w="0" w:type="dxa"/>
              <w:right w:w="15" w:type="dxa"/>
            </w:tcMar>
          </w:tcPr>
          <w:p w:rsidR="001E7BB4" w:rsidRPr="007930B0" w:rsidRDefault="001E7BB4" w:rsidP="002F30FD">
            <w:pPr>
              <w:spacing w:before="40" w:after="40" w:line="220" w:lineRule="exact"/>
              <w:ind w:right="113"/>
              <w:rPr>
                <w:sz w:val="18"/>
              </w:rPr>
            </w:pPr>
          </w:p>
        </w:tc>
        <w:tc>
          <w:tcPr>
            <w:tcW w:w="2536" w:type="dxa"/>
            <w:shd w:val="clear" w:color="000000" w:fill="auto"/>
            <w:noWrap/>
            <w:tcMar>
              <w:top w:w="15" w:type="dxa"/>
              <w:left w:w="15" w:type="dxa"/>
              <w:bottom w:w="0" w:type="dxa"/>
              <w:right w:w="15" w:type="dxa"/>
            </w:tcMar>
            <w:vAlign w:val="bottom"/>
          </w:tcPr>
          <w:p w:rsidR="001E7BB4" w:rsidRPr="007930B0" w:rsidRDefault="001E7BB4" w:rsidP="00A62881">
            <w:pPr>
              <w:spacing w:before="40" w:after="40" w:line="220" w:lineRule="exact"/>
              <w:ind w:right="113"/>
              <w:rPr>
                <w:sz w:val="18"/>
              </w:rPr>
            </w:pPr>
            <w:r w:rsidRPr="007930B0">
              <w:rPr>
                <w:sz w:val="18"/>
              </w:rPr>
              <w:t>Tasa de repetición en el primer ciclo</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15,9</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14,2</w:t>
            </w: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13,6</w:t>
            </w:r>
          </w:p>
        </w:tc>
        <w:tc>
          <w:tcPr>
            <w:tcW w:w="741" w:type="dxa"/>
            <w:shd w:val="clear" w:color="000000" w:fill="auto"/>
            <w:vAlign w:val="bottom"/>
          </w:tcPr>
          <w:p w:rsidR="001E7BB4" w:rsidRPr="007930B0" w:rsidRDefault="001E7BB4" w:rsidP="002F30FD">
            <w:pPr>
              <w:spacing w:before="40" w:after="40" w:line="220" w:lineRule="exact"/>
              <w:ind w:right="113"/>
              <w:jc w:val="right"/>
              <w:rPr>
                <w:sz w:val="18"/>
              </w:rPr>
            </w:pPr>
            <w:r w:rsidRPr="007930B0">
              <w:rPr>
                <w:sz w:val="18"/>
              </w:rPr>
              <w:t>14,7</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12,9</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9.3</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11</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7</w:t>
            </w:r>
          </w:p>
        </w:tc>
      </w:tr>
      <w:tr w:rsidR="002F30FD" w:rsidRPr="007930B0">
        <w:trPr>
          <w:trHeight w:val="270"/>
        </w:trPr>
        <w:tc>
          <w:tcPr>
            <w:tcW w:w="1175" w:type="dxa"/>
            <w:shd w:val="clear" w:color="000000" w:fill="auto"/>
            <w:noWrap/>
            <w:tcMar>
              <w:top w:w="15" w:type="dxa"/>
              <w:left w:w="15" w:type="dxa"/>
              <w:bottom w:w="0" w:type="dxa"/>
              <w:right w:w="15" w:type="dxa"/>
            </w:tcMar>
          </w:tcPr>
          <w:p w:rsidR="001E7BB4" w:rsidRPr="007930B0" w:rsidRDefault="001E7BB4" w:rsidP="002F30FD">
            <w:pPr>
              <w:spacing w:before="40" w:after="40" w:line="220" w:lineRule="exact"/>
              <w:ind w:right="113"/>
              <w:rPr>
                <w:sz w:val="18"/>
              </w:rPr>
            </w:pPr>
          </w:p>
        </w:tc>
        <w:tc>
          <w:tcPr>
            <w:tcW w:w="2536" w:type="dxa"/>
            <w:shd w:val="clear" w:color="000000" w:fill="auto"/>
            <w:noWrap/>
            <w:tcMar>
              <w:top w:w="15" w:type="dxa"/>
              <w:left w:w="15" w:type="dxa"/>
              <w:bottom w:w="0" w:type="dxa"/>
              <w:right w:w="15" w:type="dxa"/>
            </w:tcMar>
            <w:vAlign w:val="bottom"/>
          </w:tcPr>
          <w:p w:rsidR="001E7BB4" w:rsidRPr="007930B0" w:rsidRDefault="001E7BB4" w:rsidP="00A62881">
            <w:pPr>
              <w:spacing w:before="40" w:after="40" w:line="220" w:lineRule="exact"/>
              <w:ind w:right="113"/>
              <w:rPr>
                <w:sz w:val="18"/>
              </w:rPr>
            </w:pPr>
            <w:r w:rsidRPr="007930B0">
              <w:rPr>
                <w:sz w:val="18"/>
              </w:rPr>
              <w:t>Tasa de repetición en el segundo ciclo</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18,6</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16,9</w:t>
            </w: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14,2</w:t>
            </w:r>
          </w:p>
        </w:tc>
        <w:tc>
          <w:tcPr>
            <w:tcW w:w="741" w:type="dxa"/>
            <w:shd w:val="clear" w:color="000000" w:fill="auto"/>
            <w:vAlign w:val="bottom"/>
          </w:tcPr>
          <w:p w:rsidR="001E7BB4" w:rsidRPr="007930B0" w:rsidRDefault="001E7BB4" w:rsidP="002F30FD">
            <w:pPr>
              <w:spacing w:before="40" w:after="40" w:line="220" w:lineRule="exact"/>
              <w:ind w:right="113"/>
              <w:jc w:val="right"/>
              <w:rPr>
                <w:sz w:val="18"/>
              </w:rPr>
            </w:pPr>
            <w:r w:rsidRPr="007930B0">
              <w:rPr>
                <w:sz w:val="18"/>
              </w:rPr>
              <w:t>14,9</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14,2</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6</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7</w:t>
            </w:r>
          </w:p>
        </w:tc>
      </w:tr>
      <w:tr w:rsidR="002F30FD" w:rsidRPr="007930B0">
        <w:trPr>
          <w:trHeight w:val="255"/>
        </w:trPr>
        <w:tc>
          <w:tcPr>
            <w:tcW w:w="1175" w:type="dxa"/>
            <w:shd w:val="clear" w:color="000000" w:fill="auto"/>
            <w:noWrap/>
            <w:tcMar>
              <w:top w:w="15" w:type="dxa"/>
              <w:left w:w="15" w:type="dxa"/>
              <w:bottom w:w="0" w:type="dxa"/>
              <w:right w:w="15" w:type="dxa"/>
            </w:tcMar>
          </w:tcPr>
          <w:p w:rsidR="001E7BB4" w:rsidRPr="007930B0" w:rsidRDefault="001E7BB4" w:rsidP="002F30FD">
            <w:pPr>
              <w:spacing w:before="40" w:after="40" w:line="220" w:lineRule="exact"/>
              <w:ind w:right="113"/>
              <w:rPr>
                <w:sz w:val="18"/>
              </w:rPr>
            </w:pPr>
          </w:p>
        </w:tc>
        <w:tc>
          <w:tcPr>
            <w:tcW w:w="2536" w:type="dxa"/>
            <w:shd w:val="clear" w:color="000000" w:fill="auto"/>
            <w:noWrap/>
            <w:tcMar>
              <w:top w:w="15" w:type="dxa"/>
              <w:left w:w="15" w:type="dxa"/>
              <w:bottom w:w="0" w:type="dxa"/>
              <w:right w:w="15" w:type="dxa"/>
            </w:tcMar>
            <w:vAlign w:val="bottom"/>
          </w:tcPr>
          <w:p w:rsidR="001E7BB4" w:rsidRPr="007930B0" w:rsidRDefault="001E7BB4" w:rsidP="00A62881">
            <w:pPr>
              <w:spacing w:before="40" w:after="40" w:line="220" w:lineRule="exact"/>
              <w:ind w:right="113"/>
              <w:rPr>
                <w:sz w:val="18"/>
              </w:rPr>
            </w:pPr>
            <w:r w:rsidRPr="007930B0">
              <w:rPr>
                <w:sz w:val="18"/>
              </w:rPr>
              <w:t>Porcentaje de alumnos de las ramas científicas</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74,1</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70,7</w:t>
            </w: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73,7</w:t>
            </w:r>
          </w:p>
        </w:tc>
        <w:tc>
          <w:tcPr>
            <w:tcW w:w="741" w:type="dxa"/>
            <w:shd w:val="clear" w:color="000000" w:fill="auto"/>
            <w:vAlign w:val="bottom"/>
          </w:tcPr>
          <w:p w:rsidR="001E7BB4" w:rsidRPr="007930B0" w:rsidRDefault="001E7BB4" w:rsidP="002F30FD">
            <w:pPr>
              <w:spacing w:before="40" w:after="40" w:line="220" w:lineRule="exact"/>
              <w:ind w:right="113"/>
              <w:jc w:val="right"/>
              <w:rPr>
                <w:sz w:val="18"/>
              </w:rPr>
            </w:pPr>
            <w:r w:rsidRPr="007930B0">
              <w:rPr>
                <w:sz w:val="18"/>
              </w:rPr>
              <w:t>74,4</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73,1</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74</w:t>
            </w:r>
          </w:p>
        </w:tc>
        <w:tc>
          <w:tcPr>
            <w:tcW w:w="741" w:type="dxa"/>
            <w:shd w:val="clear" w:color="000000" w:fill="auto"/>
            <w:noWrap/>
            <w:tcMar>
              <w:top w:w="15" w:type="dxa"/>
              <w:left w:w="15" w:type="dxa"/>
              <w:bottom w:w="0" w:type="dxa"/>
              <w:right w:w="15" w:type="dxa"/>
            </w:tcMar>
            <w:vAlign w:val="bottom"/>
          </w:tcPr>
          <w:p w:rsidR="001E7BB4" w:rsidRPr="007930B0" w:rsidRDefault="00A62881" w:rsidP="002F30FD">
            <w:pPr>
              <w:spacing w:before="40" w:after="40" w:line="220" w:lineRule="exact"/>
              <w:ind w:right="113"/>
              <w:jc w:val="right"/>
              <w:rPr>
                <w:sz w:val="18"/>
              </w:rPr>
            </w:pPr>
            <w:r>
              <w:rPr>
                <w:sz w:val="18"/>
              </w:rPr>
              <w:t>n.a.</w:t>
            </w:r>
          </w:p>
        </w:tc>
      </w:tr>
      <w:tr w:rsidR="002F30FD" w:rsidRPr="007930B0">
        <w:trPr>
          <w:trHeight w:val="255"/>
        </w:trPr>
        <w:tc>
          <w:tcPr>
            <w:tcW w:w="1175" w:type="dxa"/>
            <w:shd w:val="clear" w:color="000000" w:fill="auto"/>
            <w:noWrap/>
            <w:tcMar>
              <w:top w:w="15" w:type="dxa"/>
              <w:left w:w="15" w:type="dxa"/>
              <w:bottom w:w="0" w:type="dxa"/>
              <w:right w:w="15" w:type="dxa"/>
            </w:tcMar>
          </w:tcPr>
          <w:p w:rsidR="001E7BB4" w:rsidRPr="007930B0" w:rsidRDefault="001E7BB4" w:rsidP="002F30FD">
            <w:pPr>
              <w:spacing w:before="40" w:after="40" w:line="220" w:lineRule="exact"/>
              <w:ind w:right="113"/>
              <w:rPr>
                <w:sz w:val="18"/>
              </w:rPr>
            </w:pPr>
          </w:p>
        </w:tc>
        <w:tc>
          <w:tcPr>
            <w:tcW w:w="2536" w:type="dxa"/>
            <w:shd w:val="clear" w:color="000000" w:fill="auto"/>
            <w:noWrap/>
            <w:tcMar>
              <w:top w:w="15" w:type="dxa"/>
              <w:left w:w="15" w:type="dxa"/>
              <w:bottom w:w="0" w:type="dxa"/>
              <w:right w:w="15" w:type="dxa"/>
            </w:tcMar>
            <w:vAlign w:val="bottom"/>
          </w:tcPr>
          <w:p w:rsidR="001E7BB4" w:rsidRPr="007930B0" w:rsidRDefault="001E7BB4" w:rsidP="00A62881">
            <w:pPr>
              <w:spacing w:before="40" w:after="40" w:line="220" w:lineRule="exact"/>
              <w:ind w:right="113"/>
              <w:rPr>
                <w:sz w:val="18"/>
              </w:rPr>
            </w:pPr>
            <w:r w:rsidRPr="007930B0">
              <w:rPr>
                <w:sz w:val="18"/>
              </w:rPr>
              <w:t>Porcentaje de alumnos de la rama matemática</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25</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25,6</w:t>
            </w: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22,9</w:t>
            </w:r>
          </w:p>
        </w:tc>
        <w:tc>
          <w:tcPr>
            <w:tcW w:w="741" w:type="dxa"/>
            <w:shd w:val="clear" w:color="000000" w:fill="auto"/>
            <w:vAlign w:val="bottom"/>
          </w:tcPr>
          <w:p w:rsidR="001E7BB4" w:rsidRPr="007930B0" w:rsidRDefault="001E7BB4" w:rsidP="002F30FD">
            <w:pPr>
              <w:spacing w:before="40" w:after="40" w:line="220" w:lineRule="exact"/>
              <w:ind w:right="113"/>
              <w:jc w:val="right"/>
              <w:rPr>
                <w:sz w:val="18"/>
              </w:rPr>
            </w:pPr>
            <w:r w:rsidRPr="007930B0">
              <w:rPr>
                <w:sz w:val="18"/>
              </w:rPr>
              <w:t>24,3</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23,8</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50</w:t>
            </w:r>
          </w:p>
        </w:tc>
        <w:tc>
          <w:tcPr>
            <w:tcW w:w="741" w:type="dxa"/>
            <w:shd w:val="clear" w:color="000000" w:fill="auto"/>
            <w:noWrap/>
            <w:tcMar>
              <w:top w:w="15" w:type="dxa"/>
              <w:left w:w="15" w:type="dxa"/>
              <w:bottom w:w="0" w:type="dxa"/>
              <w:right w:w="15" w:type="dxa"/>
            </w:tcMar>
            <w:vAlign w:val="bottom"/>
          </w:tcPr>
          <w:p w:rsidR="001E7BB4" w:rsidRPr="007930B0" w:rsidRDefault="00A62881" w:rsidP="002F30FD">
            <w:pPr>
              <w:spacing w:before="40" w:after="40" w:line="220" w:lineRule="exact"/>
              <w:ind w:right="113"/>
              <w:jc w:val="right"/>
              <w:rPr>
                <w:sz w:val="18"/>
              </w:rPr>
            </w:pPr>
            <w:r>
              <w:rPr>
                <w:sz w:val="18"/>
              </w:rPr>
              <w:t>n.a.</w:t>
            </w:r>
          </w:p>
        </w:tc>
      </w:tr>
      <w:tr w:rsidR="002F30FD" w:rsidRPr="007930B0">
        <w:trPr>
          <w:trHeight w:val="315"/>
        </w:trPr>
        <w:tc>
          <w:tcPr>
            <w:tcW w:w="1175" w:type="dxa"/>
            <w:shd w:val="clear" w:color="000000" w:fill="auto"/>
            <w:noWrap/>
            <w:tcMar>
              <w:top w:w="15" w:type="dxa"/>
              <w:left w:w="15" w:type="dxa"/>
              <w:bottom w:w="0" w:type="dxa"/>
              <w:right w:w="15" w:type="dxa"/>
            </w:tcMar>
          </w:tcPr>
          <w:p w:rsidR="001E7BB4" w:rsidRPr="007930B0" w:rsidRDefault="001E7BB4" w:rsidP="002F30FD">
            <w:pPr>
              <w:spacing w:before="40" w:after="40" w:line="220" w:lineRule="exact"/>
              <w:ind w:right="113"/>
              <w:rPr>
                <w:b/>
                <w:i/>
                <w:sz w:val="18"/>
              </w:rPr>
            </w:pPr>
            <w:r w:rsidRPr="007930B0">
              <w:rPr>
                <w:b/>
                <w:i/>
                <w:sz w:val="18"/>
              </w:rPr>
              <w:t>Técnica</w:t>
            </w:r>
          </w:p>
        </w:tc>
        <w:tc>
          <w:tcPr>
            <w:tcW w:w="2536" w:type="dxa"/>
            <w:shd w:val="clear" w:color="000000" w:fill="auto"/>
            <w:noWrap/>
            <w:tcMar>
              <w:top w:w="15" w:type="dxa"/>
              <w:left w:w="15" w:type="dxa"/>
              <w:bottom w:w="0" w:type="dxa"/>
              <w:right w:w="15" w:type="dxa"/>
            </w:tcMar>
            <w:vAlign w:val="bottom"/>
          </w:tcPr>
          <w:p w:rsidR="001E7BB4" w:rsidRPr="007930B0" w:rsidRDefault="001E7BB4" w:rsidP="00A62881">
            <w:pPr>
              <w:spacing w:before="40" w:after="40" w:line="220" w:lineRule="exact"/>
              <w:ind w:right="113"/>
              <w:rPr>
                <w:sz w:val="18"/>
              </w:rPr>
            </w:pP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shd w:val="clear" w:color="000000" w:fill="auto"/>
            <w:vAlign w:val="bottom"/>
          </w:tcPr>
          <w:p w:rsidR="001E7BB4" w:rsidRPr="007930B0" w:rsidRDefault="001E7BB4" w:rsidP="002F30FD">
            <w:pPr>
              <w:spacing w:before="40" w:after="40" w:line="220" w:lineRule="exact"/>
              <w:ind w:right="113"/>
              <w:jc w:val="right"/>
              <w:rPr>
                <w:sz w:val="18"/>
              </w:rPr>
            </w:pP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r>
      <w:tr w:rsidR="002F30FD" w:rsidRPr="007930B0">
        <w:trPr>
          <w:trHeight w:val="315"/>
        </w:trPr>
        <w:tc>
          <w:tcPr>
            <w:tcW w:w="1175" w:type="dxa"/>
            <w:shd w:val="clear" w:color="000000" w:fill="auto"/>
            <w:noWrap/>
            <w:tcMar>
              <w:top w:w="15" w:type="dxa"/>
              <w:left w:w="15" w:type="dxa"/>
              <w:bottom w:w="0" w:type="dxa"/>
              <w:right w:w="15" w:type="dxa"/>
            </w:tcMar>
          </w:tcPr>
          <w:p w:rsidR="001E7BB4" w:rsidRPr="007930B0" w:rsidRDefault="001E7BB4" w:rsidP="002F30FD">
            <w:pPr>
              <w:spacing w:before="40" w:after="40" w:line="220" w:lineRule="exact"/>
              <w:ind w:right="113"/>
              <w:rPr>
                <w:sz w:val="18"/>
              </w:rPr>
            </w:pPr>
          </w:p>
        </w:tc>
        <w:tc>
          <w:tcPr>
            <w:tcW w:w="2536" w:type="dxa"/>
            <w:shd w:val="clear" w:color="000000" w:fill="auto"/>
            <w:noWrap/>
            <w:tcMar>
              <w:top w:w="15" w:type="dxa"/>
              <w:left w:w="15" w:type="dxa"/>
              <w:bottom w:w="0" w:type="dxa"/>
              <w:right w:w="15" w:type="dxa"/>
            </w:tcMar>
            <w:vAlign w:val="bottom"/>
          </w:tcPr>
          <w:p w:rsidR="001E7BB4" w:rsidRPr="007930B0" w:rsidRDefault="001E7BB4" w:rsidP="00A62881">
            <w:pPr>
              <w:spacing w:before="40" w:after="40" w:line="220" w:lineRule="exact"/>
              <w:ind w:right="113"/>
              <w:rPr>
                <w:sz w:val="18"/>
              </w:rPr>
            </w:pPr>
            <w:r w:rsidRPr="007930B0">
              <w:rPr>
                <w:sz w:val="18"/>
              </w:rPr>
              <w:t>Tasa de inserción total de los egresados</w:t>
            </w:r>
          </w:p>
        </w:tc>
        <w:tc>
          <w:tcPr>
            <w:tcW w:w="741" w:type="dxa"/>
            <w:shd w:val="clear" w:color="000000" w:fill="auto"/>
            <w:noWrap/>
            <w:tcMar>
              <w:top w:w="15" w:type="dxa"/>
              <w:left w:w="15" w:type="dxa"/>
              <w:bottom w:w="0" w:type="dxa"/>
              <w:right w:w="15" w:type="dxa"/>
            </w:tcMar>
            <w:vAlign w:val="bottom"/>
          </w:tcPr>
          <w:p w:rsidR="001E7BB4" w:rsidRPr="007930B0" w:rsidRDefault="00A62881" w:rsidP="002F30FD">
            <w:pPr>
              <w:spacing w:before="40" w:after="40" w:line="220" w:lineRule="exact"/>
              <w:ind w:right="113"/>
              <w:jc w:val="right"/>
              <w:rPr>
                <w:sz w:val="18"/>
              </w:rPr>
            </w:pPr>
            <w:r>
              <w:rPr>
                <w:sz w:val="18"/>
              </w:rPr>
              <w:t>n.a.</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41,2</w:t>
            </w:r>
          </w:p>
        </w:tc>
        <w:tc>
          <w:tcPr>
            <w:tcW w:w="741" w:type="dxa"/>
            <w:shd w:val="clear" w:color="000000" w:fill="auto"/>
            <w:tcMar>
              <w:top w:w="15" w:type="dxa"/>
              <w:left w:w="15" w:type="dxa"/>
              <w:bottom w:w="0" w:type="dxa"/>
              <w:right w:w="15" w:type="dxa"/>
            </w:tcMar>
            <w:vAlign w:val="bottom"/>
          </w:tcPr>
          <w:p w:rsidR="001E7BB4" w:rsidRPr="007930B0" w:rsidRDefault="00A62881" w:rsidP="002F30FD">
            <w:pPr>
              <w:spacing w:before="40" w:after="40" w:line="220" w:lineRule="exact"/>
              <w:ind w:right="113"/>
              <w:jc w:val="right"/>
              <w:rPr>
                <w:sz w:val="18"/>
              </w:rPr>
            </w:pPr>
            <w:r>
              <w:rPr>
                <w:sz w:val="18"/>
              </w:rPr>
              <w:t>n.a.</w:t>
            </w:r>
          </w:p>
        </w:tc>
        <w:tc>
          <w:tcPr>
            <w:tcW w:w="741" w:type="dxa"/>
            <w:shd w:val="clear" w:color="000000" w:fill="auto"/>
            <w:vAlign w:val="bottom"/>
          </w:tcPr>
          <w:p w:rsidR="001E7BB4" w:rsidRPr="007930B0" w:rsidRDefault="001E7BB4" w:rsidP="002F30FD">
            <w:pPr>
              <w:spacing w:before="40" w:after="40" w:line="220" w:lineRule="exact"/>
              <w:ind w:right="113"/>
              <w:jc w:val="right"/>
              <w:rPr>
                <w:sz w:val="18"/>
              </w:rPr>
            </w:pPr>
            <w:r w:rsidRPr="007930B0">
              <w:rPr>
                <w:sz w:val="18"/>
              </w:rPr>
              <w:t>51</w:t>
            </w:r>
          </w:p>
        </w:tc>
        <w:tc>
          <w:tcPr>
            <w:tcW w:w="741" w:type="dxa"/>
            <w:shd w:val="clear" w:color="000000" w:fill="auto"/>
            <w:tcMar>
              <w:top w:w="15" w:type="dxa"/>
              <w:left w:w="15" w:type="dxa"/>
              <w:bottom w:w="0" w:type="dxa"/>
              <w:right w:w="15" w:type="dxa"/>
            </w:tcMar>
            <w:vAlign w:val="bottom"/>
          </w:tcPr>
          <w:p w:rsidR="001E7BB4" w:rsidRPr="007930B0" w:rsidRDefault="00A62881" w:rsidP="002F30FD">
            <w:pPr>
              <w:spacing w:before="40" w:after="40" w:line="220" w:lineRule="exact"/>
              <w:ind w:right="113"/>
              <w:jc w:val="right"/>
              <w:rPr>
                <w:sz w:val="18"/>
              </w:rPr>
            </w:pPr>
            <w:r>
              <w:rPr>
                <w:sz w:val="18"/>
              </w:rPr>
              <w:t>n.a.</w:t>
            </w:r>
          </w:p>
        </w:tc>
        <w:tc>
          <w:tcPr>
            <w:tcW w:w="741" w:type="dxa"/>
            <w:shd w:val="clear" w:color="000000" w:fill="auto"/>
            <w:tcMar>
              <w:top w:w="15" w:type="dxa"/>
              <w:left w:w="15" w:type="dxa"/>
              <w:bottom w:w="0" w:type="dxa"/>
              <w:right w:w="15" w:type="dxa"/>
            </w:tcMar>
            <w:vAlign w:val="bottom"/>
          </w:tcPr>
          <w:p w:rsidR="001E7BB4" w:rsidRPr="007930B0" w:rsidRDefault="00A62881" w:rsidP="002F30FD">
            <w:pPr>
              <w:spacing w:before="40" w:after="40" w:line="220" w:lineRule="exact"/>
              <w:ind w:right="113"/>
              <w:jc w:val="right"/>
              <w:rPr>
                <w:sz w:val="18"/>
              </w:rPr>
            </w:pPr>
            <w:r>
              <w:rPr>
                <w:sz w:val="18"/>
              </w:rPr>
              <w:t>n.a.</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60</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r>
      <w:tr w:rsidR="002F30FD" w:rsidRPr="007930B0">
        <w:trPr>
          <w:trHeight w:val="315"/>
        </w:trPr>
        <w:tc>
          <w:tcPr>
            <w:tcW w:w="1175" w:type="dxa"/>
            <w:shd w:val="clear" w:color="000000" w:fill="auto"/>
            <w:noWrap/>
            <w:tcMar>
              <w:top w:w="15" w:type="dxa"/>
              <w:left w:w="15" w:type="dxa"/>
              <w:bottom w:w="0" w:type="dxa"/>
              <w:right w:w="15" w:type="dxa"/>
            </w:tcMar>
          </w:tcPr>
          <w:p w:rsidR="001E7BB4" w:rsidRPr="007930B0" w:rsidRDefault="001E7BB4" w:rsidP="002F30FD">
            <w:pPr>
              <w:spacing w:before="40" w:after="40" w:line="220" w:lineRule="exact"/>
              <w:ind w:right="113"/>
              <w:rPr>
                <w:sz w:val="18"/>
              </w:rPr>
            </w:pPr>
          </w:p>
        </w:tc>
        <w:tc>
          <w:tcPr>
            <w:tcW w:w="2536" w:type="dxa"/>
            <w:shd w:val="clear" w:color="000000" w:fill="auto"/>
            <w:noWrap/>
            <w:tcMar>
              <w:top w:w="15" w:type="dxa"/>
              <w:left w:w="15" w:type="dxa"/>
              <w:bottom w:w="0" w:type="dxa"/>
              <w:right w:w="15" w:type="dxa"/>
            </w:tcMar>
            <w:vAlign w:val="bottom"/>
          </w:tcPr>
          <w:p w:rsidR="001E7BB4" w:rsidRPr="007930B0" w:rsidRDefault="001E7BB4" w:rsidP="00A62881">
            <w:pPr>
              <w:spacing w:before="40" w:after="40" w:line="220" w:lineRule="exact"/>
              <w:ind w:right="113"/>
              <w:rPr>
                <w:sz w:val="18"/>
              </w:rPr>
            </w:pPr>
            <w:r w:rsidRPr="007930B0">
              <w:rPr>
                <w:sz w:val="18"/>
              </w:rPr>
              <w:t>Tasa de inserción de los egresados de las nuevas modalidades</w:t>
            </w:r>
          </w:p>
        </w:tc>
        <w:tc>
          <w:tcPr>
            <w:tcW w:w="741" w:type="dxa"/>
            <w:shd w:val="clear" w:color="000000" w:fill="auto"/>
            <w:noWrap/>
            <w:tcMar>
              <w:top w:w="15" w:type="dxa"/>
              <w:left w:w="15" w:type="dxa"/>
              <w:bottom w:w="0" w:type="dxa"/>
              <w:right w:w="15" w:type="dxa"/>
            </w:tcMar>
            <w:vAlign w:val="bottom"/>
          </w:tcPr>
          <w:p w:rsidR="001E7BB4" w:rsidRPr="007930B0" w:rsidRDefault="00A62881" w:rsidP="002F30FD">
            <w:pPr>
              <w:spacing w:before="40" w:after="40" w:line="220" w:lineRule="exact"/>
              <w:ind w:right="113"/>
              <w:jc w:val="right"/>
              <w:rPr>
                <w:sz w:val="18"/>
              </w:rPr>
            </w:pPr>
            <w:r>
              <w:rPr>
                <w:sz w:val="18"/>
              </w:rPr>
              <w:t>n.a.</w:t>
            </w:r>
          </w:p>
        </w:tc>
        <w:tc>
          <w:tcPr>
            <w:tcW w:w="741" w:type="dxa"/>
            <w:shd w:val="clear" w:color="000000" w:fill="auto"/>
            <w:noWrap/>
            <w:tcMar>
              <w:top w:w="15" w:type="dxa"/>
              <w:left w:w="15" w:type="dxa"/>
              <w:bottom w:w="0" w:type="dxa"/>
              <w:right w:w="15" w:type="dxa"/>
            </w:tcMar>
            <w:vAlign w:val="bottom"/>
          </w:tcPr>
          <w:p w:rsidR="001E7BB4" w:rsidRPr="007930B0" w:rsidRDefault="00A62881" w:rsidP="002F30FD">
            <w:pPr>
              <w:spacing w:before="40" w:after="40" w:line="220" w:lineRule="exact"/>
              <w:ind w:right="113"/>
              <w:jc w:val="right"/>
              <w:rPr>
                <w:sz w:val="18"/>
              </w:rPr>
            </w:pPr>
            <w:r>
              <w:rPr>
                <w:sz w:val="18"/>
              </w:rPr>
              <w:t>n.a.</w:t>
            </w:r>
          </w:p>
        </w:tc>
        <w:tc>
          <w:tcPr>
            <w:tcW w:w="741" w:type="dxa"/>
            <w:shd w:val="clear" w:color="000000" w:fill="auto"/>
            <w:tcMar>
              <w:top w:w="15" w:type="dxa"/>
              <w:left w:w="15" w:type="dxa"/>
              <w:bottom w:w="0" w:type="dxa"/>
              <w:right w:w="15" w:type="dxa"/>
            </w:tcMar>
            <w:vAlign w:val="bottom"/>
          </w:tcPr>
          <w:p w:rsidR="001E7BB4" w:rsidRPr="007930B0" w:rsidRDefault="00A62881" w:rsidP="002F30FD">
            <w:pPr>
              <w:spacing w:before="40" w:after="40" w:line="220" w:lineRule="exact"/>
              <w:ind w:right="113"/>
              <w:jc w:val="right"/>
              <w:rPr>
                <w:sz w:val="18"/>
              </w:rPr>
            </w:pPr>
            <w:r>
              <w:rPr>
                <w:sz w:val="18"/>
              </w:rPr>
              <w:t>n.a.</w:t>
            </w:r>
          </w:p>
        </w:tc>
        <w:tc>
          <w:tcPr>
            <w:tcW w:w="741" w:type="dxa"/>
            <w:shd w:val="clear" w:color="000000" w:fill="auto"/>
            <w:vAlign w:val="bottom"/>
          </w:tcPr>
          <w:p w:rsidR="001E7BB4" w:rsidRPr="007930B0" w:rsidRDefault="001E7BB4" w:rsidP="002F30FD">
            <w:pPr>
              <w:spacing w:before="40" w:after="40" w:line="220" w:lineRule="exact"/>
              <w:ind w:right="113"/>
              <w:jc w:val="right"/>
              <w:rPr>
                <w:sz w:val="18"/>
              </w:rPr>
            </w:pPr>
            <w:r w:rsidRPr="007930B0">
              <w:rPr>
                <w:sz w:val="18"/>
              </w:rPr>
              <w:t>60</w:t>
            </w: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70</w:t>
            </w:r>
          </w:p>
        </w:tc>
        <w:tc>
          <w:tcPr>
            <w:tcW w:w="741" w:type="dxa"/>
            <w:shd w:val="clear" w:color="000000" w:fill="auto"/>
            <w:tcMar>
              <w:top w:w="15" w:type="dxa"/>
              <w:left w:w="15" w:type="dxa"/>
              <w:bottom w:w="0" w:type="dxa"/>
              <w:right w:w="15" w:type="dxa"/>
            </w:tcMar>
            <w:vAlign w:val="bottom"/>
          </w:tcPr>
          <w:p w:rsidR="001E7BB4" w:rsidRPr="007930B0" w:rsidRDefault="00A62881" w:rsidP="002F30FD">
            <w:pPr>
              <w:spacing w:before="40" w:after="40" w:line="220" w:lineRule="exact"/>
              <w:ind w:right="113"/>
              <w:jc w:val="right"/>
              <w:rPr>
                <w:sz w:val="18"/>
              </w:rPr>
            </w:pPr>
            <w:r>
              <w:rPr>
                <w:sz w:val="18"/>
              </w:rPr>
              <w:t>n.a.</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80</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r>
      <w:tr w:rsidR="002F30FD" w:rsidRPr="007930B0">
        <w:trPr>
          <w:trHeight w:val="255"/>
        </w:trPr>
        <w:tc>
          <w:tcPr>
            <w:tcW w:w="1175" w:type="dxa"/>
            <w:shd w:val="clear" w:color="000000" w:fill="auto"/>
            <w:noWrap/>
            <w:tcMar>
              <w:top w:w="15" w:type="dxa"/>
              <w:left w:w="15" w:type="dxa"/>
              <w:bottom w:w="0" w:type="dxa"/>
              <w:right w:w="15" w:type="dxa"/>
            </w:tcMar>
          </w:tcPr>
          <w:p w:rsidR="001E7BB4" w:rsidRPr="007930B0" w:rsidRDefault="001E7BB4" w:rsidP="002F30FD">
            <w:pPr>
              <w:spacing w:before="40" w:after="40" w:line="220" w:lineRule="exact"/>
              <w:ind w:right="113"/>
              <w:rPr>
                <w:sz w:val="18"/>
              </w:rPr>
            </w:pPr>
          </w:p>
        </w:tc>
        <w:tc>
          <w:tcPr>
            <w:tcW w:w="2536" w:type="dxa"/>
            <w:shd w:val="clear" w:color="000000" w:fill="auto"/>
            <w:noWrap/>
            <w:tcMar>
              <w:top w:w="15" w:type="dxa"/>
              <w:left w:w="15" w:type="dxa"/>
              <w:bottom w:w="0" w:type="dxa"/>
              <w:right w:w="15" w:type="dxa"/>
            </w:tcMar>
            <w:vAlign w:val="bottom"/>
          </w:tcPr>
          <w:p w:rsidR="001E7BB4" w:rsidRPr="007930B0" w:rsidRDefault="001E7BB4" w:rsidP="00A62881">
            <w:pPr>
              <w:spacing w:before="40" w:after="40" w:line="220" w:lineRule="exact"/>
              <w:ind w:right="113"/>
              <w:rPr>
                <w:sz w:val="18"/>
              </w:rPr>
            </w:pPr>
            <w:r w:rsidRPr="007930B0">
              <w:rPr>
                <w:sz w:val="18"/>
              </w:rPr>
              <w:t>Número de aprendices formados</w:t>
            </w:r>
          </w:p>
        </w:tc>
        <w:tc>
          <w:tcPr>
            <w:tcW w:w="741" w:type="dxa"/>
            <w:shd w:val="clear" w:color="000000" w:fill="auto"/>
            <w:noWrap/>
            <w:tcMar>
              <w:top w:w="15" w:type="dxa"/>
              <w:left w:w="15" w:type="dxa"/>
              <w:bottom w:w="0" w:type="dxa"/>
              <w:right w:w="15" w:type="dxa"/>
            </w:tcMar>
            <w:vAlign w:val="bottom"/>
          </w:tcPr>
          <w:p w:rsidR="001E7BB4" w:rsidRPr="007930B0" w:rsidRDefault="00A62881" w:rsidP="002F30FD">
            <w:pPr>
              <w:spacing w:before="40" w:after="40" w:line="220" w:lineRule="exact"/>
              <w:ind w:right="113"/>
              <w:jc w:val="right"/>
              <w:rPr>
                <w:sz w:val="18"/>
              </w:rPr>
            </w:pPr>
            <w:r>
              <w:rPr>
                <w:sz w:val="18"/>
              </w:rPr>
              <w:t>n.a.</w:t>
            </w:r>
          </w:p>
        </w:tc>
        <w:tc>
          <w:tcPr>
            <w:tcW w:w="741" w:type="dxa"/>
            <w:shd w:val="clear" w:color="000000" w:fill="auto"/>
            <w:noWrap/>
            <w:tcMar>
              <w:top w:w="15" w:type="dxa"/>
              <w:left w:w="15" w:type="dxa"/>
              <w:bottom w:w="0" w:type="dxa"/>
              <w:right w:w="15" w:type="dxa"/>
            </w:tcMar>
            <w:vAlign w:val="bottom"/>
          </w:tcPr>
          <w:p w:rsidR="001E7BB4" w:rsidRPr="007930B0" w:rsidRDefault="00A62881" w:rsidP="002F30FD">
            <w:pPr>
              <w:spacing w:before="40" w:after="40" w:line="220" w:lineRule="exact"/>
              <w:ind w:right="113"/>
              <w:jc w:val="right"/>
              <w:rPr>
                <w:sz w:val="18"/>
              </w:rPr>
            </w:pPr>
            <w:r>
              <w:rPr>
                <w:sz w:val="18"/>
              </w:rPr>
              <w:t>n.a.</w:t>
            </w:r>
          </w:p>
        </w:tc>
        <w:tc>
          <w:tcPr>
            <w:tcW w:w="741" w:type="dxa"/>
            <w:shd w:val="clear" w:color="000000" w:fill="auto"/>
            <w:tcMar>
              <w:top w:w="15" w:type="dxa"/>
              <w:left w:w="15" w:type="dxa"/>
              <w:bottom w:w="0" w:type="dxa"/>
              <w:right w:w="15" w:type="dxa"/>
            </w:tcMar>
            <w:vAlign w:val="bottom"/>
          </w:tcPr>
          <w:p w:rsidR="001E7BB4" w:rsidRPr="007930B0" w:rsidRDefault="00A62881" w:rsidP="002F30FD">
            <w:pPr>
              <w:spacing w:before="40" w:after="40" w:line="220" w:lineRule="exact"/>
              <w:ind w:right="113"/>
              <w:jc w:val="right"/>
              <w:rPr>
                <w:sz w:val="18"/>
              </w:rPr>
            </w:pPr>
            <w:r>
              <w:rPr>
                <w:sz w:val="18"/>
              </w:rPr>
              <w:t>n.a.</w:t>
            </w:r>
          </w:p>
        </w:tc>
        <w:tc>
          <w:tcPr>
            <w:tcW w:w="741" w:type="dxa"/>
            <w:shd w:val="clear" w:color="000000" w:fill="auto"/>
            <w:vAlign w:val="bottom"/>
          </w:tcPr>
          <w:p w:rsidR="001E7BB4" w:rsidRPr="007930B0" w:rsidRDefault="001E7BB4" w:rsidP="002F30FD">
            <w:pPr>
              <w:spacing w:before="40" w:after="40" w:line="220" w:lineRule="exact"/>
              <w:ind w:right="113"/>
              <w:jc w:val="right"/>
              <w:rPr>
                <w:sz w:val="18"/>
              </w:rPr>
            </w:pPr>
            <w:r w:rsidRPr="007930B0">
              <w:rPr>
                <w:sz w:val="18"/>
              </w:rPr>
              <w:t>83</w:t>
            </w: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101</w:t>
            </w:r>
          </w:p>
        </w:tc>
        <w:tc>
          <w:tcPr>
            <w:tcW w:w="741" w:type="dxa"/>
            <w:shd w:val="clear" w:color="000000" w:fill="auto"/>
            <w:tcMar>
              <w:top w:w="15" w:type="dxa"/>
              <w:left w:w="15" w:type="dxa"/>
              <w:bottom w:w="0" w:type="dxa"/>
              <w:right w:w="15" w:type="dxa"/>
            </w:tcMar>
            <w:vAlign w:val="bottom"/>
          </w:tcPr>
          <w:p w:rsidR="001E7BB4" w:rsidRPr="007930B0" w:rsidRDefault="00A62881" w:rsidP="002F30FD">
            <w:pPr>
              <w:spacing w:before="40" w:after="40" w:line="220" w:lineRule="exact"/>
              <w:ind w:right="113"/>
              <w:jc w:val="right"/>
              <w:rPr>
                <w:sz w:val="18"/>
              </w:rPr>
            </w:pPr>
            <w:r>
              <w:rPr>
                <w:sz w:val="18"/>
              </w:rPr>
              <w:t>n.a.</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200</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500</w:t>
            </w:r>
          </w:p>
        </w:tc>
      </w:tr>
      <w:tr w:rsidR="002F30FD" w:rsidRPr="007930B0">
        <w:trPr>
          <w:trHeight w:val="315"/>
        </w:trPr>
        <w:tc>
          <w:tcPr>
            <w:tcW w:w="1175" w:type="dxa"/>
            <w:shd w:val="clear" w:color="000000" w:fill="auto"/>
            <w:noWrap/>
            <w:tcMar>
              <w:top w:w="15" w:type="dxa"/>
              <w:left w:w="15" w:type="dxa"/>
              <w:bottom w:w="0" w:type="dxa"/>
              <w:right w:w="15" w:type="dxa"/>
            </w:tcMar>
          </w:tcPr>
          <w:p w:rsidR="001E7BB4" w:rsidRPr="007930B0" w:rsidRDefault="001E7BB4" w:rsidP="002F30FD">
            <w:pPr>
              <w:spacing w:before="40" w:after="40" w:line="220" w:lineRule="exact"/>
              <w:ind w:right="113"/>
              <w:rPr>
                <w:sz w:val="18"/>
              </w:rPr>
            </w:pPr>
          </w:p>
        </w:tc>
        <w:tc>
          <w:tcPr>
            <w:tcW w:w="2536" w:type="dxa"/>
            <w:shd w:val="clear" w:color="000000" w:fill="auto"/>
            <w:noWrap/>
            <w:tcMar>
              <w:top w:w="15" w:type="dxa"/>
              <w:left w:w="15" w:type="dxa"/>
              <w:bottom w:w="0" w:type="dxa"/>
              <w:right w:w="15" w:type="dxa"/>
            </w:tcMar>
            <w:vAlign w:val="bottom"/>
          </w:tcPr>
          <w:p w:rsidR="001E7BB4" w:rsidRPr="007930B0" w:rsidRDefault="001E7BB4" w:rsidP="00A62881">
            <w:pPr>
              <w:spacing w:before="40" w:after="40" w:line="220" w:lineRule="exact"/>
              <w:ind w:right="113"/>
              <w:rPr>
                <w:sz w:val="18"/>
              </w:rPr>
            </w:pPr>
            <w:r w:rsidRPr="007930B0">
              <w:rPr>
                <w:sz w:val="18"/>
              </w:rPr>
              <w:t>Porcentaje de contribución de los empleadores al presupuesto de FTP</w:t>
            </w:r>
          </w:p>
        </w:tc>
        <w:tc>
          <w:tcPr>
            <w:tcW w:w="741" w:type="dxa"/>
            <w:shd w:val="clear" w:color="000000" w:fill="auto"/>
            <w:noWrap/>
            <w:tcMar>
              <w:top w:w="15" w:type="dxa"/>
              <w:left w:w="15" w:type="dxa"/>
              <w:bottom w:w="0" w:type="dxa"/>
              <w:right w:w="15" w:type="dxa"/>
            </w:tcMar>
            <w:vAlign w:val="bottom"/>
          </w:tcPr>
          <w:p w:rsidR="001E7BB4" w:rsidRPr="007930B0" w:rsidRDefault="00A62881" w:rsidP="002F30FD">
            <w:pPr>
              <w:spacing w:before="40" w:after="40" w:line="220" w:lineRule="exact"/>
              <w:ind w:right="113"/>
              <w:jc w:val="right"/>
              <w:rPr>
                <w:sz w:val="18"/>
              </w:rPr>
            </w:pPr>
            <w:r>
              <w:rPr>
                <w:sz w:val="18"/>
              </w:rPr>
              <w:t>n.a.</w:t>
            </w:r>
          </w:p>
        </w:tc>
        <w:tc>
          <w:tcPr>
            <w:tcW w:w="741" w:type="dxa"/>
            <w:shd w:val="clear" w:color="000000" w:fill="auto"/>
            <w:noWrap/>
            <w:tcMar>
              <w:top w:w="15" w:type="dxa"/>
              <w:left w:w="15" w:type="dxa"/>
              <w:bottom w:w="0" w:type="dxa"/>
              <w:right w:w="15" w:type="dxa"/>
            </w:tcMar>
            <w:vAlign w:val="bottom"/>
          </w:tcPr>
          <w:p w:rsidR="001E7BB4" w:rsidRPr="007930B0" w:rsidRDefault="00A62881" w:rsidP="002F30FD">
            <w:pPr>
              <w:spacing w:before="40" w:after="40" w:line="220" w:lineRule="exact"/>
              <w:ind w:right="113"/>
              <w:jc w:val="right"/>
              <w:rPr>
                <w:sz w:val="18"/>
              </w:rPr>
            </w:pPr>
            <w:r>
              <w:rPr>
                <w:sz w:val="18"/>
              </w:rPr>
              <w:t>n.a.</w:t>
            </w:r>
          </w:p>
        </w:tc>
        <w:tc>
          <w:tcPr>
            <w:tcW w:w="741" w:type="dxa"/>
            <w:shd w:val="clear" w:color="000000" w:fill="auto"/>
            <w:tcMar>
              <w:top w:w="15" w:type="dxa"/>
              <w:left w:w="15" w:type="dxa"/>
              <w:bottom w:w="0" w:type="dxa"/>
              <w:right w:w="15" w:type="dxa"/>
            </w:tcMar>
            <w:vAlign w:val="bottom"/>
          </w:tcPr>
          <w:p w:rsidR="001E7BB4" w:rsidRPr="007930B0" w:rsidRDefault="00A62881" w:rsidP="002F30FD">
            <w:pPr>
              <w:spacing w:before="40" w:after="40" w:line="220" w:lineRule="exact"/>
              <w:ind w:right="113"/>
              <w:jc w:val="right"/>
              <w:rPr>
                <w:sz w:val="18"/>
              </w:rPr>
            </w:pPr>
            <w:r>
              <w:rPr>
                <w:sz w:val="18"/>
              </w:rPr>
              <w:t>n.a.</w:t>
            </w:r>
          </w:p>
        </w:tc>
        <w:tc>
          <w:tcPr>
            <w:tcW w:w="741" w:type="dxa"/>
            <w:shd w:val="clear" w:color="000000" w:fill="auto"/>
            <w:vAlign w:val="bottom"/>
          </w:tcPr>
          <w:p w:rsidR="001E7BB4" w:rsidRPr="007930B0" w:rsidRDefault="001E7BB4" w:rsidP="002F30FD">
            <w:pPr>
              <w:spacing w:before="40" w:after="40" w:line="220" w:lineRule="exact"/>
              <w:ind w:right="113"/>
              <w:jc w:val="right"/>
              <w:rPr>
                <w:sz w:val="18"/>
              </w:rPr>
            </w:pPr>
            <w:r w:rsidRPr="007930B0">
              <w:rPr>
                <w:sz w:val="18"/>
              </w:rPr>
              <w:t>12</w:t>
            </w: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12</w:t>
            </w: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21</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20</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r>
      <w:tr w:rsidR="002F30FD" w:rsidRPr="007930B0">
        <w:trPr>
          <w:trHeight w:val="315"/>
        </w:trPr>
        <w:tc>
          <w:tcPr>
            <w:tcW w:w="1175" w:type="dxa"/>
            <w:tcBorders>
              <w:bottom w:val="nil"/>
            </w:tcBorders>
            <w:shd w:val="clear" w:color="000000" w:fill="auto"/>
            <w:noWrap/>
            <w:tcMar>
              <w:top w:w="15" w:type="dxa"/>
              <w:left w:w="15" w:type="dxa"/>
              <w:bottom w:w="0" w:type="dxa"/>
              <w:right w:w="15" w:type="dxa"/>
            </w:tcMar>
          </w:tcPr>
          <w:p w:rsidR="001E7BB4" w:rsidRPr="007930B0" w:rsidRDefault="001E7BB4" w:rsidP="002F30FD">
            <w:pPr>
              <w:spacing w:before="40" w:after="40" w:line="220" w:lineRule="exact"/>
              <w:ind w:right="113"/>
              <w:rPr>
                <w:b/>
                <w:i/>
                <w:sz w:val="18"/>
              </w:rPr>
            </w:pPr>
            <w:r w:rsidRPr="007930B0">
              <w:rPr>
                <w:b/>
                <w:i/>
                <w:sz w:val="18"/>
              </w:rPr>
              <w:t>Superior</w:t>
            </w:r>
          </w:p>
        </w:tc>
        <w:tc>
          <w:tcPr>
            <w:tcW w:w="2536" w:type="dxa"/>
            <w:tcBorders>
              <w:bottom w:val="nil"/>
            </w:tcBorders>
            <w:shd w:val="clear" w:color="000000" w:fill="auto"/>
            <w:noWrap/>
            <w:tcMar>
              <w:top w:w="15" w:type="dxa"/>
              <w:left w:w="15" w:type="dxa"/>
              <w:bottom w:w="0" w:type="dxa"/>
              <w:right w:w="15" w:type="dxa"/>
            </w:tcMar>
            <w:vAlign w:val="bottom"/>
          </w:tcPr>
          <w:p w:rsidR="001E7BB4" w:rsidRPr="007930B0" w:rsidRDefault="001E7BB4" w:rsidP="00A62881">
            <w:pPr>
              <w:spacing w:before="40" w:after="40" w:line="220" w:lineRule="exact"/>
              <w:ind w:right="113"/>
              <w:rPr>
                <w:sz w:val="18"/>
              </w:rPr>
            </w:pPr>
          </w:p>
        </w:tc>
        <w:tc>
          <w:tcPr>
            <w:tcW w:w="741" w:type="dxa"/>
            <w:tcBorders>
              <w:bottom w:val="nil"/>
            </w:tcBorders>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tcBorders>
              <w:bottom w:val="nil"/>
            </w:tcBorders>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tcBorders>
              <w:bottom w:val="nil"/>
            </w:tcBorders>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tcBorders>
              <w:bottom w:val="nil"/>
            </w:tcBorders>
            <w:shd w:val="clear" w:color="000000" w:fill="auto"/>
            <w:vAlign w:val="bottom"/>
          </w:tcPr>
          <w:p w:rsidR="001E7BB4" w:rsidRPr="007930B0" w:rsidRDefault="001E7BB4" w:rsidP="002F30FD">
            <w:pPr>
              <w:spacing w:before="40" w:after="40" w:line="220" w:lineRule="exact"/>
              <w:ind w:right="113"/>
              <w:jc w:val="right"/>
              <w:rPr>
                <w:sz w:val="18"/>
              </w:rPr>
            </w:pPr>
          </w:p>
        </w:tc>
        <w:tc>
          <w:tcPr>
            <w:tcW w:w="741" w:type="dxa"/>
            <w:tcBorders>
              <w:bottom w:val="nil"/>
            </w:tcBorders>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tcBorders>
              <w:bottom w:val="nil"/>
            </w:tcBorders>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tcBorders>
              <w:bottom w:val="nil"/>
            </w:tcBorders>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tcBorders>
              <w:bottom w:val="nil"/>
            </w:tcBorders>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r>
      <w:tr w:rsidR="002F30FD" w:rsidRPr="007930B0">
        <w:trPr>
          <w:trHeight w:val="255"/>
        </w:trPr>
        <w:tc>
          <w:tcPr>
            <w:tcW w:w="1175" w:type="dxa"/>
            <w:tcBorders>
              <w:top w:val="nil"/>
              <w:bottom w:val="nil"/>
            </w:tcBorders>
            <w:shd w:val="clear" w:color="000000" w:fill="auto"/>
            <w:noWrap/>
            <w:tcMar>
              <w:top w:w="15" w:type="dxa"/>
              <w:left w:w="15" w:type="dxa"/>
              <w:bottom w:w="0" w:type="dxa"/>
              <w:right w:w="15" w:type="dxa"/>
            </w:tcMar>
          </w:tcPr>
          <w:p w:rsidR="001E7BB4" w:rsidRPr="007930B0" w:rsidRDefault="001E7BB4" w:rsidP="002F30FD">
            <w:pPr>
              <w:spacing w:before="40" w:after="40" w:line="220" w:lineRule="exact"/>
              <w:ind w:right="113"/>
              <w:rPr>
                <w:sz w:val="18"/>
              </w:rPr>
            </w:pPr>
          </w:p>
        </w:tc>
        <w:tc>
          <w:tcPr>
            <w:tcW w:w="2536" w:type="dxa"/>
            <w:tcBorders>
              <w:top w:val="nil"/>
              <w:bottom w:val="nil"/>
            </w:tcBorders>
            <w:shd w:val="clear" w:color="000000" w:fill="auto"/>
            <w:noWrap/>
            <w:tcMar>
              <w:top w:w="15" w:type="dxa"/>
              <w:left w:w="15" w:type="dxa"/>
              <w:bottom w:w="0" w:type="dxa"/>
              <w:right w:w="15" w:type="dxa"/>
            </w:tcMar>
            <w:vAlign w:val="bottom"/>
          </w:tcPr>
          <w:p w:rsidR="001E7BB4" w:rsidRPr="007930B0" w:rsidRDefault="001E7BB4" w:rsidP="00A62881">
            <w:pPr>
              <w:spacing w:before="40" w:after="40" w:line="220" w:lineRule="exact"/>
              <w:ind w:right="113"/>
              <w:rPr>
                <w:sz w:val="18"/>
              </w:rPr>
            </w:pPr>
            <w:r w:rsidRPr="007930B0">
              <w:rPr>
                <w:sz w:val="18"/>
              </w:rPr>
              <w:t>Eficacia interna</w:t>
            </w:r>
          </w:p>
        </w:tc>
        <w:tc>
          <w:tcPr>
            <w:tcW w:w="741" w:type="dxa"/>
            <w:tcBorders>
              <w:top w:val="nil"/>
              <w:bottom w:val="nil"/>
            </w:tcBorders>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23</w:t>
            </w:r>
          </w:p>
        </w:tc>
        <w:tc>
          <w:tcPr>
            <w:tcW w:w="741" w:type="dxa"/>
            <w:tcBorders>
              <w:top w:val="nil"/>
              <w:bottom w:val="nil"/>
            </w:tcBorders>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24</w:t>
            </w:r>
          </w:p>
        </w:tc>
        <w:tc>
          <w:tcPr>
            <w:tcW w:w="741" w:type="dxa"/>
            <w:tcBorders>
              <w:top w:val="nil"/>
              <w:bottom w:val="nil"/>
            </w:tcBorders>
            <w:shd w:val="clear" w:color="000000" w:fill="auto"/>
            <w:tcMar>
              <w:top w:w="15" w:type="dxa"/>
              <w:left w:w="15" w:type="dxa"/>
              <w:bottom w:w="0" w:type="dxa"/>
              <w:right w:w="15" w:type="dxa"/>
            </w:tcMar>
            <w:vAlign w:val="bottom"/>
          </w:tcPr>
          <w:p w:rsidR="001E7BB4" w:rsidRPr="007930B0" w:rsidRDefault="00A62881" w:rsidP="002F30FD">
            <w:pPr>
              <w:spacing w:before="40" w:after="40" w:line="220" w:lineRule="exact"/>
              <w:ind w:right="113"/>
              <w:jc w:val="right"/>
              <w:rPr>
                <w:sz w:val="18"/>
              </w:rPr>
            </w:pPr>
            <w:r>
              <w:rPr>
                <w:sz w:val="18"/>
              </w:rPr>
              <w:t>n.a.</w:t>
            </w:r>
          </w:p>
        </w:tc>
        <w:tc>
          <w:tcPr>
            <w:tcW w:w="741" w:type="dxa"/>
            <w:tcBorders>
              <w:top w:val="nil"/>
              <w:bottom w:val="nil"/>
            </w:tcBorders>
            <w:shd w:val="clear" w:color="000000" w:fill="auto"/>
            <w:vAlign w:val="bottom"/>
          </w:tcPr>
          <w:p w:rsidR="001E7BB4" w:rsidRPr="007930B0" w:rsidRDefault="001E7BB4" w:rsidP="002F30FD">
            <w:pPr>
              <w:spacing w:before="40" w:after="40" w:line="220" w:lineRule="exact"/>
              <w:ind w:right="113"/>
              <w:jc w:val="right"/>
              <w:rPr>
                <w:sz w:val="18"/>
              </w:rPr>
            </w:pPr>
          </w:p>
        </w:tc>
        <w:tc>
          <w:tcPr>
            <w:tcW w:w="741" w:type="dxa"/>
            <w:tcBorders>
              <w:top w:val="nil"/>
              <w:bottom w:val="nil"/>
            </w:tcBorders>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36</w:t>
            </w:r>
          </w:p>
        </w:tc>
        <w:tc>
          <w:tcPr>
            <w:tcW w:w="741" w:type="dxa"/>
            <w:tcBorders>
              <w:top w:val="nil"/>
              <w:bottom w:val="nil"/>
            </w:tcBorders>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31</w:t>
            </w:r>
          </w:p>
        </w:tc>
        <w:tc>
          <w:tcPr>
            <w:tcW w:w="741" w:type="dxa"/>
            <w:tcBorders>
              <w:top w:val="nil"/>
              <w:bottom w:val="nil"/>
            </w:tcBorders>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29</w:t>
            </w:r>
          </w:p>
        </w:tc>
        <w:tc>
          <w:tcPr>
            <w:tcW w:w="741" w:type="dxa"/>
            <w:tcBorders>
              <w:top w:val="nil"/>
              <w:bottom w:val="nil"/>
            </w:tcBorders>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60</w:t>
            </w:r>
          </w:p>
        </w:tc>
      </w:tr>
      <w:tr w:rsidR="002F30FD" w:rsidRPr="007930B0">
        <w:trPr>
          <w:trHeight w:val="255"/>
        </w:trPr>
        <w:tc>
          <w:tcPr>
            <w:tcW w:w="1175" w:type="dxa"/>
            <w:tcBorders>
              <w:top w:val="nil"/>
            </w:tcBorders>
            <w:shd w:val="clear" w:color="000000" w:fill="auto"/>
            <w:noWrap/>
            <w:tcMar>
              <w:top w:w="15" w:type="dxa"/>
              <w:left w:w="15" w:type="dxa"/>
              <w:bottom w:w="0" w:type="dxa"/>
              <w:right w:w="15" w:type="dxa"/>
            </w:tcMar>
          </w:tcPr>
          <w:p w:rsidR="001E7BB4" w:rsidRPr="007930B0" w:rsidRDefault="001E7BB4" w:rsidP="007D6F39">
            <w:pPr>
              <w:keepNext/>
              <w:spacing w:before="40" w:after="40" w:line="220" w:lineRule="exact"/>
              <w:ind w:right="113"/>
              <w:rPr>
                <w:sz w:val="18"/>
              </w:rPr>
            </w:pPr>
          </w:p>
        </w:tc>
        <w:tc>
          <w:tcPr>
            <w:tcW w:w="2536" w:type="dxa"/>
            <w:tcBorders>
              <w:top w:val="nil"/>
            </w:tcBorders>
            <w:shd w:val="clear" w:color="000000" w:fill="auto"/>
            <w:noWrap/>
            <w:tcMar>
              <w:top w:w="15" w:type="dxa"/>
              <w:left w:w="15" w:type="dxa"/>
              <w:bottom w:w="0" w:type="dxa"/>
              <w:right w:w="15" w:type="dxa"/>
            </w:tcMar>
            <w:vAlign w:val="bottom"/>
          </w:tcPr>
          <w:p w:rsidR="001E7BB4" w:rsidRPr="007930B0" w:rsidRDefault="001E7BB4" w:rsidP="007D6F39">
            <w:pPr>
              <w:keepNext/>
              <w:spacing w:before="40" w:after="40" w:line="220" w:lineRule="exact"/>
              <w:ind w:right="113"/>
              <w:rPr>
                <w:sz w:val="18"/>
              </w:rPr>
            </w:pPr>
            <w:r w:rsidRPr="007930B0">
              <w:rPr>
                <w:sz w:val="18"/>
              </w:rPr>
              <w:t>Porcentaje de carreras profesionales (</w:t>
            </w:r>
            <w:r w:rsidRPr="007930B0">
              <w:t>*</w:t>
            </w:r>
            <w:r w:rsidRPr="007930B0">
              <w:rPr>
                <w:sz w:val="18"/>
              </w:rPr>
              <w:t>)</w:t>
            </w:r>
          </w:p>
        </w:tc>
        <w:tc>
          <w:tcPr>
            <w:tcW w:w="741" w:type="dxa"/>
            <w:tcBorders>
              <w:top w:val="nil"/>
            </w:tcBorders>
            <w:shd w:val="clear" w:color="000000" w:fill="auto"/>
            <w:noWrap/>
            <w:tcMar>
              <w:top w:w="15" w:type="dxa"/>
              <w:left w:w="15" w:type="dxa"/>
              <w:bottom w:w="0" w:type="dxa"/>
              <w:right w:w="15" w:type="dxa"/>
            </w:tcMar>
            <w:vAlign w:val="bottom"/>
          </w:tcPr>
          <w:p w:rsidR="001E7BB4" w:rsidRPr="007930B0" w:rsidRDefault="00A62881" w:rsidP="007D6F39">
            <w:pPr>
              <w:keepNext/>
              <w:spacing w:before="40" w:after="40" w:line="220" w:lineRule="exact"/>
              <w:ind w:right="113"/>
              <w:jc w:val="right"/>
              <w:rPr>
                <w:sz w:val="18"/>
              </w:rPr>
            </w:pPr>
            <w:r>
              <w:rPr>
                <w:sz w:val="18"/>
              </w:rPr>
              <w:t>n.a.</w:t>
            </w:r>
          </w:p>
        </w:tc>
        <w:tc>
          <w:tcPr>
            <w:tcW w:w="741" w:type="dxa"/>
            <w:tcBorders>
              <w:top w:val="nil"/>
            </w:tcBorders>
            <w:shd w:val="clear" w:color="000000" w:fill="auto"/>
            <w:noWrap/>
            <w:tcMar>
              <w:top w:w="15" w:type="dxa"/>
              <w:left w:w="15" w:type="dxa"/>
              <w:bottom w:w="0" w:type="dxa"/>
              <w:right w:w="15" w:type="dxa"/>
            </w:tcMar>
            <w:vAlign w:val="bottom"/>
          </w:tcPr>
          <w:p w:rsidR="001E7BB4" w:rsidRPr="007930B0" w:rsidRDefault="001E7BB4" w:rsidP="007D6F39">
            <w:pPr>
              <w:keepNext/>
              <w:spacing w:before="40" w:after="40" w:line="220" w:lineRule="exact"/>
              <w:ind w:right="113"/>
              <w:jc w:val="right"/>
              <w:rPr>
                <w:sz w:val="18"/>
              </w:rPr>
            </w:pPr>
            <w:r w:rsidRPr="007930B0">
              <w:rPr>
                <w:sz w:val="18"/>
              </w:rPr>
              <w:t>14,6</w:t>
            </w:r>
          </w:p>
        </w:tc>
        <w:tc>
          <w:tcPr>
            <w:tcW w:w="741" w:type="dxa"/>
            <w:tcBorders>
              <w:top w:val="nil"/>
            </w:tcBorders>
            <w:shd w:val="clear" w:color="000000" w:fill="auto"/>
            <w:tcMar>
              <w:top w:w="15" w:type="dxa"/>
              <w:left w:w="15" w:type="dxa"/>
              <w:bottom w:w="0" w:type="dxa"/>
              <w:right w:w="15" w:type="dxa"/>
            </w:tcMar>
            <w:vAlign w:val="bottom"/>
          </w:tcPr>
          <w:p w:rsidR="001E7BB4" w:rsidRPr="007930B0" w:rsidRDefault="001E7BB4" w:rsidP="007D6F39">
            <w:pPr>
              <w:keepNext/>
              <w:spacing w:before="40" w:after="40" w:line="220" w:lineRule="exact"/>
              <w:ind w:right="113"/>
              <w:jc w:val="right"/>
              <w:rPr>
                <w:sz w:val="18"/>
              </w:rPr>
            </w:pPr>
            <w:r w:rsidRPr="007930B0">
              <w:rPr>
                <w:sz w:val="18"/>
              </w:rPr>
              <w:t>14,6</w:t>
            </w:r>
          </w:p>
        </w:tc>
        <w:tc>
          <w:tcPr>
            <w:tcW w:w="741" w:type="dxa"/>
            <w:tcBorders>
              <w:top w:val="nil"/>
            </w:tcBorders>
            <w:shd w:val="clear" w:color="000000" w:fill="auto"/>
            <w:vAlign w:val="bottom"/>
          </w:tcPr>
          <w:p w:rsidR="001E7BB4" w:rsidRPr="007930B0" w:rsidRDefault="001E7BB4" w:rsidP="007D6F39">
            <w:pPr>
              <w:keepNext/>
              <w:spacing w:before="40" w:after="40" w:line="220" w:lineRule="exact"/>
              <w:ind w:right="113"/>
              <w:jc w:val="right"/>
              <w:rPr>
                <w:sz w:val="18"/>
              </w:rPr>
            </w:pPr>
            <w:r w:rsidRPr="007930B0">
              <w:rPr>
                <w:sz w:val="18"/>
              </w:rPr>
              <w:t>14,7</w:t>
            </w:r>
          </w:p>
        </w:tc>
        <w:tc>
          <w:tcPr>
            <w:tcW w:w="741" w:type="dxa"/>
            <w:tcBorders>
              <w:top w:val="nil"/>
            </w:tcBorders>
            <w:shd w:val="clear" w:color="000000" w:fill="auto"/>
            <w:tcMar>
              <w:top w:w="15" w:type="dxa"/>
              <w:left w:w="15" w:type="dxa"/>
              <w:bottom w:w="0" w:type="dxa"/>
              <w:right w:w="15" w:type="dxa"/>
            </w:tcMar>
            <w:vAlign w:val="bottom"/>
          </w:tcPr>
          <w:p w:rsidR="001E7BB4" w:rsidRPr="007930B0" w:rsidRDefault="001E7BB4" w:rsidP="007D6F39">
            <w:pPr>
              <w:keepNext/>
              <w:spacing w:before="40" w:after="40" w:line="220" w:lineRule="exact"/>
              <w:ind w:right="113"/>
              <w:jc w:val="right"/>
              <w:rPr>
                <w:sz w:val="18"/>
              </w:rPr>
            </w:pPr>
            <w:r w:rsidRPr="007930B0">
              <w:rPr>
                <w:sz w:val="18"/>
              </w:rPr>
              <w:t>3</w:t>
            </w:r>
          </w:p>
        </w:tc>
        <w:tc>
          <w:tcPr>
            <w:tcW w:w="741" w:type="dxa"/>
            <w:tcBorders>
              <w:top w:val="nil"/>
            </w:tcBorders>
            <w:shd w:val="clear" w:color="000000" w:fill="auto"/>
            <w:tcMar>
              <w:top w:w="15" w:type="dxa"/>
              <w:left w:w="15" w:type="dxa"/>
              <w:bottom w:w="0" w:type="dxa"/>
              <w:right w:w="15" w:type="dxa"/>
            </w:tcMar>
            <w:vAlign w:val="bottom"/>
          </w:tcPr>
          <w:p w:rsidR="001E7BB4" w:rsidRPr="007930B0" w:rsidRDefault="001E7BB4" w:rsidP="007D6F39">
            <w:pPr>
              <w:keepNext/>
              <w:spacing w:before="40" w:after="40" w:line="220" w:lineRule="exact"/>
              <w:ind w:right="113"/>
              <w:jc w:val="right"/>
              <w:rPr>
                <w:sz w:val="18"/>
              </w:rPr>
            </w:pPr>
            <w:r w:rsidRPr="007930B0">
              <w:rPr>
                <w:sz w:val="18"/>
              </w:rPr>
              <w:t>4</w:t>
            </w:r>
          </w:p>
        </w:tc>
        <w:tc>
          <w:tcPr>
            <w:tcW w:w="741" w:type="dxa"/>
            <w:tcBorders>
              <w:top w:val="nil"/>
            </w:tcBorders>
            <w:shd w:val="clear" w:color="000000" w:fill="auto"/>
            <w:noWrap/>
            <w:tcMar>
              <w:top w:w="15" w:type="dxa"/>
              <w:left w:w="15" w:type="dxa"/>
              <w:bottom w:w="0" w:type="dxa"/>
              <w:right w:w="15" w:type="dxa"/>
            </w:tcMar>
            <w:vAlign w:val="bottom"/>
          </w:tcPr>
          <w:p w:rsidR="001E7BB4" w:rsidRPr="007930B0" w:rsidRDefault="001E7BB4" w:rsidP="007D6F39">
            <w:pPr>
              <w:keepNext/>
              <w:spacing w:before="40" w:after="40" w:line="220" w:lineRule="exact"/>
              <w:ind w:right="113"/>
              <w:jc w:val="right"/>
              <w:rPr>
                <w:sz w:val="18"/>
              </w:rPr>
            </w:pPr>
            <w:r w:rsidRPr="007930B0">
              <w:rPr>
                <w:sz w:val="18"/>
              </w:rPr>
              <w:t>15</w:t>
            </w:r>
          </w:p>
        </w:tc>
        <w:tc>
          <w:tcPr>
            <w:tcW w:w="741" w:type="dxa"/>
            <w:tcBorders>
              <w:top w:val="nil"/>
            </w:tcBorders>
            <w:shd w:val="clear" w:color="000000" w:fill="auto"/>
            <w:noWrap/>
            <w:tcMar>
              <w:top w:w="15" w:type="dxa"/>
              <w:left w:w="15" w:type="dxa"/>
              <w:bottom w:w="0" w:type="dxa"/>
              <w:right w:w="15" w:type="dxa"/>
            </w:tcMar>
            <w:vAlign w:val="bottom"/>
          </w:tcPr>
          <w:p w:rsidR="001E7BB4" w:rsidRPr="007930B0" w:rsidRDefault="001E7BB4" w:rsidP="007D6F39">
            <w:pPr>
              <w:keepNext/>
              <w:spacing w:before="40" w:after="40" w:line="220" w:lineRule="exact"/>
              <w:ind w:right="113"/>
              <w:jc w:val="right"/>
              <w:rPr>
                <w:sz w:val="18"/>
              </w:rPr>
            </w:pPr>
          </w:p>
        </w:tc>
      </w:tr>
      <w:tr w:rsidR="002F30FD" w:rsidRPr="007930B0">
        <w:trPr>
          <w:trHeight w:val="315"/>
        </w:trPr>
        <w:tc>
          <w:tcPr>
            <w:tcW w:w="1175" w:type="dxa"/>
            <w:shd w:val="clear" w:color="000000" w:fill="auto"/>
            <w:noWrap/>
            <w:tcMar>
              <w:top w:w="15" w:type="dxa"/>
              <w:left w:w="15" w:type="dxa"/>
              <w:bottom w:w="0" w:type="dxa"/>
              <w:right w:w="15" w:type="dxa"/>
            </w:tcMar>
          </w:tcPr>
          <w:p w:rsidR="001E7BB4" w:rsidRPr="007930B0" w:rsidRDefault="001E7BB4" w:rsidP="002F30FD">
            <w:pPr>
              <w:spacing w:before="40" w:after="40" w:line="220" w:lineRule="exact"/>
              <w:ind w:right="113"/>
              <w:rPr>
                <w:b/>
                <w:sz w:val="18"/>
              </w:rPr>
            </w:pPr>
            <w:r w:rsidRPr="007930B0">
              <w:rPr>
                <w:b/>
                <w:sz w:val="18"/>
              </w:rPr>
              <w:t>Gestión</w:t>
            </w:r>
          </w:p>
        </w:tc>
        <w:tc>
          <w:tcPr>
            <w:tcW w:w="2536" w:type="dxa"/>
            <w:shd w:val="clear" w:color="000000" w:fill="auto"/>
            <w:noWrap/>
            <w:tcMar>
              <w:top w:w="15" w:type="dxa"/>
              <w:left w:w="15" w:type="dxa"/>
              <w:bottom w:w="0" w:type="dxa"/>
              <w:right w:w="15" w:type="dxa"/>
            </w:tcMar>
            <w:vAlign w:val="bottom"/>
          </w:tcPr>
          <w:p w:rsidR="001E7BB4" w:rsidRPr="007930B0" w:rsidRDefault="001E7BB4" w:rsidP="00A62881">
            <w:pPr>
              <w:spacing w:before="40" w:after="40" w:line="220" w:lineRule="exact"/>
              <w:ind w:right="113"/>
              <w:rPr>
                <w:sz w:val="18"/>
              </w:rPr>
            </w:pP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shd w:val="clear" w:color="000000" w:fill="auto"/>
            <w:vAlign w:val="bottom"/>
          </w:tcPr>
          <w:p w:rsidR="001E7BB4" w:rsidRPr="007930B0" w:rsidRDefault="001E7BB4" w:rsidP="002F30FD">
            <w:pPr>
              <w:spacing w:before="40" w:after="40" w:line="220" w:lineRule="exact"/>
              <w:ind w:right="113"/>
              <w:jc w:val="right"/>
              <w:rPr>
                <w:sz w:val="18"/>
              </w:rPr>
            </w:pP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r>
      <w:tr w:rsidR="002F30FD" w:rsidRPr="007930B0">
        <w:trPr>
          <w:trHeight w:val="495"/>
        </w:trPr>
        <w:tc>
          <w:tcPr>
            <w:tcW w:w="1175" w:type="dxa"/>
            <w:shd w:val="clear" w:color="000000" w:fill="auto"/>
            <w:noWrap/>
            <w:tcMar>
              <w:top w:w="15" w:type="dxa"/>
              <w:left w:w="15" w:type="dxa"/>
              <w:bottom w:w="0" w:type="dxa"/>
              <w:right w:w="15" w:type="dxa"/>
            </w:tcMar>
          </w:tcPr>
          <w:p w:rsidR="001E7BB4" w:rsidRPr="007930B0" w:rsidRDefault="001E7BB4" w:rsidP="002F30FD">
            <w:pPr>
              <w:spacing w:before="40" w:after="40" w:line="220" w:lineRule="exact"/>
              <w:ind w:right="113"/>
              <w:rPr>
                <w:sz w:val="18"/>
              </w:rPr>
            </w:pPr>
          </w:p>
        </w:tc>
        <w:tc>
          <w:tcPr>
            <w:tcW w:w="2536" w:type="dxa"/>
            <w:shd w:val="clear" w:color="000000" w:fill="auto"/>
            <w:tcMar>
              <w:top w:w="15" w:type="dxa"/>
              <w:left w:w="15" w:type="dxa"/>
              <w:bottom w:w="0" w:type="dxa"/>
              <w:right w:w="15" w:type="dxa"/>
            </w:tcMar>
            <w:vAlign w:val="bottom"/>
          </w:tcPr>
          <w:p w:rsidR="001E7BB4" w:rsidRPr="007930B0" w:rsidRDefault="001E7BB4" w:rsidP="00A62881">
            <w:pPr>
              <w:spacing w:before="40" w:after="40" w:line="220" w:lineRule="exact"/>
              <w:ind w:right="113"/>
              <w:rPr>
                <w:sz w:val="18"/>
              </w:rPr>
            </w:pPr>
            <w:r w:rsidRPr="007930B0">
              <w:rPr>
                <w:sz w:val="18"/>
              </w:rPr>
              <w:t>Relación número de docentes número de alumnos/escuela</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81</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82</w:t>
            </w: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78,3</w:t>
            </w:r>
          </w:p>
        </w:tc>
        <w:tc>
          <w:tcPr>
            <w:tcW w:w="741" w:type="dxa"/>
            <w:shd w:val="clear" w:color="000000" w:fill="auto"/>
            <w:vAlign w:val="bottom"/>
          </w:tcPr>
          <w:p w:rsidR="001E7BB4" w:rsidRPr="007930B0" w:rsidRDefault="001E7BB4" w:rsidP="002F30FD">
            <w:pPr>
              <w:spacing w:before="40" w:after="40" w:line="220" w:lineRule="exact"/>
              <w:ind w:right="113"/>
              <w:jc w:val="right"/>
              <w:rPr>
                <w:sz w:val="18"/>
              </w:rPr>
            </w:pPr>
            <w:r w:rsidRPr="007930B0">
              <w:rPr>
                <w:sz w:val="18"/>
              </w:rPr>
              <w:t>82,3</w:t>
            </w: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78</w:t>
            </w: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76</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85</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p>
        </w:tc>
      </w:tr>
      <w:tr w:rsidR="002F30FD" w:rsidRPr="007930B0">
        <w:trPr>
          <w:trHeight w:val="495"/>
        </w:trPr>
        <w:tc>
          <w:tcPr>
            <w:tcW w:w="1175" w:type="dxa"/>
            <w:shd w:val="clear" w:color="000000" w:fill="auto"/>
            <w:noWrap/>
            <w:tcMar>
              <w:top w:w="15" w:type="dxa"/>
              <w:left w:w="15" w:type="dxa"/>
              <w:bottom w:w="0" w:type="dxa"/>
              <w:right w:w="15" w:type="dxa"/>
            </w:tcMar>
          </w:tcPr>
          <w:p w:rsidR="001E7BB4" w:rsidRPr="007930B0" w:rsidRDefault="001E7BB4" w:rsidP="002F30FD">
            <w:pPr>
              <w:spacing w:before="40" w:after="40" w:line="220" w:lineRule="exact"/>
              <w:ind w:right="113"/>
              <w:rPr>
                <w:sz w:val="18"/>
              </w:rPr>
            </w:pPr>
          </w:p>
        </w:tc>
        <w:tc>
          <w:tcPr>
            <w:tcW w:w="2536" w:type="dxa"/>
            <w:shd w:val="clear" w:color="000000" w:fill="auto"/>
            <w:tcMar>
              <w:top w:w="15" w:type="dxa"/>
              <w:left w:w="15" w:type="dxa"/>
              <w:bottom w:w="0" w:type="dxa"/>
              <w:right w:w="15" w:type="dxa"/>
            </w:tcMar>
            <w:vAlign w:val="bottom"/>
          </w:tcPr>
          <w:p w:rsidR="001E7BB4" w:rsidRPr="007930B0" w:rsidRDefault="001E7BB4" w:rsidP="00A62881">
            <w:pPr>
              <w:spacing w:before="40" w:after="40" w:line="220" w:lineRule="exact"/>
              <w:ind w:right="113"/>
              <w:rPr>
                <w:sz w:val="18"/>
              </w:rPr>
            </w:pPr>
            <w:r w:rsidRPr="007930B0">
              <w:rPr>
                <w:sz w:val="18"/>
              </w:rPr>
              <w:t>Porcentaje de recursos del Estado asignados a la educación</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13,9</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16,2</w:t>
            </w: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16,7</w:t>
            </w:r>
          </w:p>
        </w:tc>
        <w:tc>
          <w:tcPr>
            <w:tcW w:w="741" w:type="dxa"/>
            <w:shd w:val="clear" w:color="000000" w:fill="auto"/>
            <w:vAlign w:val="bottom"/>
          </w:tcPr>
          <w:p w:rsidR="001E7BB4" w:rsidRPr="007930B0" w:rsidRDefault="001E7BB4" w:rsidP="002F30FD">
            <w:pPr>
              <w:spacing w:before="40" w:after="40" w:line="220" w:lineRule="exact"/>
              <w:ind w:right="113"/>
              <w:jc w:val="right"/>
              <w:rPr>
                <w:sz w:val="18"/>
              </w:rPr>
            </w:pPr>
            <w:r w:rsidRPr="007930B0">
              <w:rPr>
                <w:sz w:val="18"/>
              </w:rPr>
              <w:t>14</w:t>
            </w: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12</w:t>
            </w:r>
          </w:p>
        </w:tc>
        <w:tc>
          <w:tcPr>
            <w:tcW w:w="741" w:type="dxa"/>
            <w:shd w:val="clear" w:color="000000" w:fill="auto"/>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14.04</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14,9</w:t>
            </w:r>
          </w:p>
        </w:tc>
        <w:tc>
          <w:tcPr>
            <w:tcW w:w="741" w:type="dxa"/>
            <w:shd w:val="clear" w:color="000000" w:fill="auto"/>
            <w:noWrap/>
            <w:tcMar>
              <w:top w:w="15" w:type="dxa"/>
              <w:left w:w="15" w:type="dxa"/>
              <w:bottom w:w="0" w:type="dxa"/>
              <w:right w:w="15" w:type="dxa"/>
            </w:tcMar>
            <w:vAlign w:val="bottom"/>
          </w:tcPr>
          <w:p w:rsidR="001E7BB4" w:rsidRPr="007930B0" w:rsidRDefault="001E7BB4" w:rsidP="002F30FD">
            <w:pPr>
              <w:spacing w:before="40" w:after="40" w:line="220" w:lineRule="exact"/>
              <w:ind w:right="113"/>
              <w:jc w:val="right"/>
              <w:rPr>
                <w:sz w:val="18"/>
              </w:rPr>
            </w:pPr>
            <w:r w:rsidRPr="007930B0">
              <w:rPr>
                <w:sz w:val="18"/>
              </w:rPr>
              <w:t>17,5</w:t>
            </w:r>
          </w:p>
        </w:tc>
      </w:tr>
    </w:tbl>
    <w:p w:rsidR="001E7BB4" w:rsidRPr="007930B0" w:rsidRDefault="001E7BB4" w:rsidP="00555E78">
      <w:pPr>
        <w:pStyle w:val="H4G"/>
        <w:rPr>
          <w:lang w:val="es-ES"/>
        </w:rPr>
      </w:pPr>
      <w:r w:rsidRPr="007930B0">
        <w:rPr>
          <w:lang w:val="es-ES"/>
        </w:rPr>
        <w:tab/>
      </w:r>
      <w:r w:rsidRPr="007930B0">
        <w:rPr>
          <w:lang w:val="es-ES"/>
        </w:rPr>
        <w:tab/>
        <w:t>Balance de ejecución física</w:t>
      </w:r>
    </w:p>
    <w:p w:rsidR="001E7BB4" w:rsidRPr="007930B0" w:rsidRDefault="001E7BB4" w:rsidP="0068666F">
      <w:pPr>
        <w:pStyle w:val="SingleTxtG"/>
        <w:rPr>
          <w:lang w:val="es-ES"/>
        </w:rPr>
      </w:pPr>
      <w:r w:rsidRPr="007930B0">
        <w:rPr>
          <w:lang w:val="es-ES"/>
        </w:rPr>
        <w:t>474.</w:t>
      </w:r>
      <w:r w:rsidRPr="007930B0">
        <w:rPr>
          <w:lang w:val="es-ES"/>
        </w:rPr>
        <w:tab/>
        <w:t>A nivel general, de las 221 tareas programadas en el marco del Plan de Acción del PNDSE para el año 2007, 127 ya se realizaron o se están ejecutando (95 realizadas y 32 en curso) y 94 no se han llevado a cabo.</w:t>
      </w:r>
    </w:p>
    <w:tbl>
      <w:tblPr>
        <w:tblW w:w="7371" w:type="dxa"/>
        <w:tblInd w:w="1134"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2479"/>
        <w:gridCol w:w="1223"/>
        <w:gridCol w:w="1223"/>
        <w:gridCol w:w="1223"/>
        <w:gridCol w:w="1223"/>
      </w:tblGrid>
      <w:tr w:rsidR="001E7BB4" w:rsidRPr="007930B0">
        <w:trPr>
          <w:trHeight w:val="255"/>
          <w:tblHeader/>
        </w:trPr>
        <w:tc>
          <w:tcPr>
            <w:tcW w:w="2479" w:type="dxa"/>
            <w:tcBorders>
              <w:top w:val="single" w:sz="4" w:space="0" w:color="auto"/>
              <w:bottom w:val="single" w:sz="12" w:space="0" w:color="auto"/>
            </w:tcBorders>
            <w:shd w:val="clear" w:color="auto" w:fill="auto"/>
            <w:noWrap/>
            <w:tcMar>
              <w:top w:w="13" w:type="dxa"/>
              <w:left w:w="13" w:type="dxa"/>
              <w:bottom w:w="0" w:type="dxa"/>
              <w:right w:w="13" w:type="dxa"/>
            </w:tcMar>
            <w:vAlign w:val="bottom"/>
          </w:tcPr>
          <w:p w:rsidR="001E7BB4" w:rsidRPr="007930B0" w:rsidRDefault="001E7BB4" w:rsidP="009B4410">
            <w:pPr>
              <w:spacing w:before="80" w:after="80" w:line="200" w:lineRule="exact"/>
              <w:ind w:right="113"/>
              <w:rPr>
                <w:i/>
                <w:sz w:val="16"/>
              </w:rPr>
            </w:pPr>
            <w:r w:rsidRPr="007930B0">
              <w:rPr>
                <w:i/>
                <w:sz w:val="16"/>
              </w:rPr>
              <w:t>Componente</w:t>
            </w:r>
          </w:p>
        </w:tc>
        <w:tc>
          <w:tcPr>
            <w:tcW w:w="1223" w:type="dxa"/>
            <w:tcBorders>
              <w:top w:val="single" w:sz="4" w:space="0" w:color="auto"/>
              <w:bottom w:val="single" w:sz="12" w:space="0" w:color="auto"/>
            </w:tcBorders>
            <w:shd w:val="clear" w:color="auto" w:fill="auto"/>
            <w:noWrap/>
            <w:tcMar>
              <w:top w:w="13" w:type="dxa"/>
              <w:left w:w="13" w:type="dxa"/>
              <w:bottom w:w="0" w:type="dxa"/>
              <w:right w:w="13" w:type="dxa"/>
            </w:tcMar>
            <w:vAlign w:val="bottom"/>
          </w:tcPr>
          <w:p w:rsidR="001E7BB4" w:rsidRPr="007930B0" w:rsidRDefault="00D93676" w:rsidP="009B4410">
            <w:pPr>
              <w:spacing w:before="80" w:after="80" w:line="200" w:lineRule="exact"/>
              <w:ind w:right="113"/>
              <w:jc w:val="right"/>
              <w:rPr>
                <w:i/>
                <w:sz w:val="16"/>
              </w:rPr>
            </w:pPr>
            <w:r>
              <w:rPr>
                <w:i/>
                <w:sz w:val="16"/>
              </w:rPr>
              <w:t>Número de</w:t>
            </w:r>
            <w:r>
              <w:rPr>
                <w:i/>
                <w:sz w:val="16"/>
              </w:rPr>
              <w:br/>
              <w:t>actividades</w:t>
            </w:r>
            <w:r>
              <w:rPr>
                <w:i/>
                <w:sz w:val="16"/>
              </w:rPr>
              <w:br/>
            </w:r>
            <w:r w:rsidR="001E7BB4" w:rsidRPr="007930B0">
              <w:rPr>
                <w:i/>
                <w:sz w:val="16"/>
              </w:rPr>
              <w:t>programadas</w:t>
            </w:r>
          </w:p>
        </w:tc>
        <w:tc>
          <w:tcPr>
            <w:tcW w:w="1223" w:type="dxa"/>
            <w:tcBorders>
              <w:top w:val="single" w:sz="4" w:space="0" w:color="auto"/>
              <w:bottom w:val="single" w:sz="12" w:space="0" w:color="auto"/>
            </w:tcBorders>
            <w:shd w:val="clear" w:color="auto" w:fill="auto"/>
            <w:noWrap/>
            <w:tcMar>
              <w:top w:w="13" w:type="dxa"/>
              <w:left w:w="13" w:type="dxa"/>
              <w:bottom w:w="0" w:type="dxa"/>
              <w:right w:w="13" w:type="dxa"/>
            </w:tcMar>
            <w:vAlign w:val="bottom"/>
          </w:tcPr>
          <w:p w:rsidR="001E7BB4" w:rsidRPr="007930B0" w:rsidRDefault="00D93676" w:rsidP="009B4410">
            <w:pPr>
              <w:spacing w:before="80" w:after="80" w:line="200" w:lineRule="exact"/>
              <w:ind w:right="113"/>
              <w:jc w:val="right"/>
              <w:rPr>
                <w:i/>
                <w:sz w:val="16"/>
              </w:rPr>
            </w:pPr>
            <w:r>
              <w:rPr>
                <w:i/>
                <w:sz w:val="16"/>
              </w:rPr>
              <w:t>Número de</w:t>
            </w:r>
            <w:r>
              <w:rPr>
                <w:i/>
                <w:sz w:val="16"/>
              </w:rPr>
              <w:br/>
              <w:t>actividades</w:t>
            </w:r>
            <w:r>
              <w:rPr>
                <w:i/>
                <w:sz w:val="16"/>
              </w:rPr>
              <w:br/>
            </w:r>
            <w:r w:rsidR="001E7BB4" w:rsidRPr="007930B0">
              <w:rPr>
                <w:i/>
                <w:sz w:val="16"/>
              </w:rPr>
              <w:t>realizadas</w:t>
            </w:r>
          </w:p>
        </w:tc>
        <w:tc>
          <w:tcPr>
            <w:tcW w:w="1223" w:type="dxa"/>
            <w:tcBorders>
              <w:top w:val="single" w:sz="4" w:space="0" w:color="auto"/>
              <w:bottom w:val="single" w:sz="12" w:space="0" w:color="auto"/>
            </w:tcBorders>
            <w:shd w:val="clear" w:color="auto" w:fill="auto"/>
            <w:noWrap/>
            <w:tcMar>
              <w:top w:w="13" w:type="dxa"/>
              <w:left w:w="13" w:type="dxa"/>
              <w:bottom w:w="0" w:type="dxa"/>
              <w:right w:w="13" w:type="dxa"/>
            </w:tcMar>
            <w:vAlign w:val="bottom"/>
          </w:tcPr>
          <w:p w:rsidR="001E7BB4" w:rsidRPr="007930B0" w:rsidRDefault="001E7BB4" w:rsidP="009B4410">
            <w:pPr>
              <w:spacing w:before="80" w:after="80" w:line="200" w:lineRule="exact"/>
              <w:ind w:right="113"/>
              <w:jc w:val="right"/>
              <w:rPr>
                <w:i/>
                <w:sz w:val="16"/>
              </w:rPr>
            </w:pPr>
            <w:r w:rsidRPr="007930B0">
              <w:rPr>
                <w:i/>
                <w:sz w:val="16"/>
              </w:rPr>
              <w:t>Número de actividades en vías de ejecución</w:t>
            </w:r>
          </w:p>
        </w:tc>
        <w:tc>
          <w:tcPr>
            <w:tcW w:w="1223" w:type="dxa"/>
            <w:tcBorders>
              <w:top w:val="single" w:sz="4" w:space="0" w:color="auto"/>
              <w:bottom w:val="single" w:sz="12" w:space="0" w:color="auto"/>
              <w:right w:val="nil"/>
            </w:tcBorders>
            <w:shd w:val="clear" w:color="auto" w:fill="auto"/>
            <w:noWrap/>
            <w:tcMar>
              <w:top w:w="13" w:type="dxa"/>
              <w:left w:w="13" w:type="dxa"/>
              <w:bottom w:w="0" w:type="dxa"/>
              <w:right w:w="13" w:type="dxa"/>
            </w:tcMar>
            <w:vAlign w:val="bottom"/>
          </w:tcPr>
          <w:p w:rsidR="001E7BB4" w:rsidRPr="007930B0" w:rsidRDefault="001E7BB4" w:rsidP="009B4410">
            <w:pPr>
              <w:spacing w:before="80" w:after="80" w:line="200" w:lineRule="exact"/>
              <w:ind w:right="113"/>
              <w:jc w:val="right"/>
              <w:rPr>
                <w:i/>
                <w:sz w:val="16"/>
              </w:rPr>
            </w:pPr>
            <w:r w:rsidRPr="007930B0">
              <w:rPr>
                <w:i/>
                <w:sz w:val="16"/>
              </w:rPr>
              <w:t>Número de actividades no realizadas</w:t>
            </w:r>
          </w:p>
        </w:tc>
      </w:tr>
      <w:tr w:rsidR="001E7BB4" w:rsidRPr="007930B0">
        <w:trPr>
          <w:trHeight w:val="255"/>
        </w:trPr>
        <w:tc>
          <w:tcPr>
            <w:tcW w:w="2479" w:type="dxa"/>
            <w:tcBorders>
              <w:top w:val="single" w:sz="12" w:space="0" w:color="auto"/>
              <w:bottom w:val="nil"/>
            </w:tcBorders>
            <w:shd w:val="clear" w:color="auto" w:fill="auto"/>
            <w:noWrap/>
            <w:tcMar>
              <w:top w:w="13" w:type="dxa"/>
              <w:left w:w="13" w:type="dxa"/>
              <w:bottom w:w="0" w:type="dxa"/>
              <w:right w:w="13" w:type="dxa"/>
            </w:tcMar>
          </w:tcPr>
          <w:p w:rsidR="001E7BB4" w:rsidRPr="007930B0" w:rsidRDefault="001E7BB4" w:rsidP="009B4410">
            <w:pPr>
              <w:spacing w:before="40" w:after="40" w:line="220" w:lineRule="exact"/>
              <w:ind w:right="113"/>
              <w:rPr>
                <w:sz w:val="18"/>
              </w:rPr>
            </w:pPr>
            <w:r w:rsidRPr="007930B0">
              <w:rPr>
                <w:sz w:val="18"/>
              </w:rPr>
              <w:t>Gestión y dirección</w:t>
            </w:r>
          </w:p>
        </w:tc>
        <w:tc>
          <w:tcPr>
            <w:tcW w:w="1223" w:type="dxa"/>
            <w:tcBorders>
              <w:top w:val="single" w:sz="12" w:space="0" w:color="auto"/>
              <w:bottom w:val="nil"/>
            </w:tcBorders>
            <w:shd w:val="clear" w:color="auto" w:fill="auto"/>
            <w:noWrap/>
            <w:tcMar>
              <w:top w:w="13" w:type="dxa"/>
              <w:left w:w="13" w:type="dxa"/>
              <w:bottom w:w="0" w:type="dxa"/>
              <w:right w:w="13" w:type="dxa"/>
            </w:tcMar>
            <w:vAlign w:val="bottom"/>
          </w:tcPr>
          <w:p w:rsidR="001E7BB4" w:rsidRPr="007930B0" w:rsidRDefault="001E7BB4" w:rsidP="009B4410">
            <w:pPr>
              <w:spacing w:before="40" w:after="40" w:line="220" w:lineRule="exact"/>
              <w:ind w:right="113"/>
              <w:jc w:val="right"/>
              <w:rPr>
                <w:sz w:val="18"/>
              </w:rPr>
            </w:pPr>
            <w:r w:rsidRPr="007930B0">
              <w:rPr>
                <w:sz w:val="18"/>
              </w:rPr>
              <w:t>52</w:t>
            </w:r>
          </w:p>
        </w:tc>
        <w:tc>
          <w:tcPr>
            <w:tcW w:w="1223" w:type="dxa"/>
            <w:tcBorders>
              <w:top w:val="single" w:sz="12" w:space="0" w:color="auto"/>
              <w:bottom w:val="nil"/>
            </w:tcBorders>
            <w:shd w:val="clear" w:color="auto" w:fill="auto"/>
            <w:noWrap/>
            <w:tcMar>
              <w:top w:w="13" w:type="dxa"/>
              <w:left w:w="13" w:type="dxa"/>
              <w:bottom w:w="0" w:type="dxa"/>
              <w:right w:w="13" w:type="dxa"/>
            </w:tcMar>
            <w:vAlign w:val="bottom"/>
          </w:tcPr>
          <w:p w:rsidR="001E7BB4" w:rsidRPr="007930B0" w:rsidRDefault="001E7BB4" w:rsidP="009B4410">
            <w:pPr>
              <w:spacing w:before="40" w:after="40" w:line="220" w:lineRule="exact"/>
              <w:ind w:right="113"/>
              <w:jc w:val="right"/>
              <w:rPr>
                <w:sz w:val="18"/>
              </w:rPr>
            </w:pPr>
            <w:r w:rsidRPr="007930B0">
              <w:rPr>
                <w:sz w:val="18"/>
              </w:rPr>
              <w:t>29</w:t>
            </w:r>
          </w:p>
        </w:tc>
        <w:tc>
          <w:tcPr>
            <w:tcW w:w="1223" w:type="dxa"/>
            <w:tcBorders>
              <w:top w:val="single" w:sz="12" w:space="0" w:color="auto"/>
              <w:bottom w:val="nil"/>
            </w:tcBorders>
            <w:shd w:val="clear" w:color="auto" w:fill="auto"/>
            <w:noWrap/>
            <w:tcMar>
              <w:top w:w="13" w:type="dxa"/>
              <w:left w:w="13" w:type="dxa"/>
              <w:bottom w:w="0" w:type="dxa"/>
              <w:right w:w="13" w:type="dxa"/>
            </w:tcMar>
            <w:vAlign w:val="bottom"/>
          </w:tcPr>
          <w:p w:rsidR="001E7BB4" w:rsidRPr="007930B0" w:rsidRDefault="001E7BB4" w:rsidP="009B4410">
            <w:pPr>
              <w:spacing w:before="40" w:after="40" w:line="220" w:lineRule="exact"/>
              <w:ind w:right="113"/>
              <w:jc w:val="right"/>
              <w:rPr>
                <w:sz w:val="18"/>
              </w:rPr>
            </w:pPr>
            <w:r w:rsidRPr="007930B0">
              <w:rPr>
                <w:sz w:val="18"/>
              </w:rPr>
              <w:t>7</w:t>
            </w:r>
          </w:p>
        </w:tc>
        <w:tc>
          <w:tcPr>
            <w:tcW w:w="1223" w:type="dxa"/>
            <w:tcBorders>
              <w:top w:val="single" w:sz="12" w:space="0" w:color="auto"/>
              <w:bottom w:val="nil"/>
            </w:tcBorders>
            <w:shd w:val="clear" w:color="auto" w:fill="auto"/>
            <w:noWrap/>
            <w:tcMar>
              <w:top w:w="13" w:type="dxa"/>
              <w:left w:w="13" w:type="dxa"/>
              <w:bottom w:w="0" w:type="dxa"/>
              <w:right w:w="13" w:type="dxa"/>
            </w:tcMar>
            <w:vAlign w:val="bottom"/>
          </w:tcPr>
          <w:p w:rsidR="001E7BB4" w:rsidRPr="007930B0" w:rsidRDefault="001E7BB4" w:rsidP="009B4410">
            <w:pPr>
              <w:spacing w:before="40" w:after="40" w:line="220" w:lineRule="exact"/>
              <w:ind w:right="113"/>
              <w:jc w:val="right"/>
              <w:rPr>
                <w:sz w:val="18"/>
              </w:rPr>
            </w:pPr>
            <w:r w:rsidRPr="007930B0">
              <w:rPr>
                <w:sz w:val="18"/>
              </w:rPr>
              <w:t>16</w:t>
            </w:r>
          </w:p>
        </w:tc>
      </w:tr>
      <w:tr w:rsidR="001E7BB4" w:rsidRPr="007930B0">
        <w:trPr>
          <w:trHeight w:val="255"/>
        </w:trPr>
        <w:tc>
          <w:tcPr>
            <w:tcW w:w="2479" w:type="dxa"/>
            <w:tcBorders>
              <w:top w:val="nil"/>
            </w:tcBorders>
            <w:shd w:val="clear" w:color="auto" w:fill="auto"/>
            <w:noWrap/>
            <w:tcMar>
              <w:top w:w="13" w:type="dxa"/>
              <w:left w:w="13" w:type="dxa"/>
              <w:bottom w:w="0" w:type="dxa"/>
              <w:right w:w="13" w:type="dxa"/>
            </w:tcMar>
          </w:tcPr>
          <w:p w:rsidR="001E7BB4" w:rsidRPr="007930B0" w:rsidRDefault="001E7BB4" w:rsidP="009B4410">
            <w:pPr>
              <w:spacing w:before="40" w:after="40" w:line="220" w:lineRule="exact"/>
              <w:ind w:right="113"/>
              <w:rPr>
                <w:sz w:val="18"/>
              </w:rPr>
            </w:pPr>
            <w:r w:rsidRPr="007930B0">
              <w:rPr>
                <w:sz w:val="18"/>
              </w:rPr>
              <w:t>Calidad</w:t>
            </w:r>
          </w:p>
        </w:tc>
        <w:tc>
          <w:tcPr>
            <w:tcW w:w="1223" w:type="dxa"/>
            <w:tcBorders>
              <w:top w:val="nil"/>
            </w:tcBorders>
            <w:shd w:val="clear" w:color="auto" w:fill="auto"/>
            <w:noWrap/>
            <w:tcMar>
              <w:top w:w="13" w:type="dxa"/>
              <w:left w:w="13" w:type="dxa"/>
              <w:bottom w:w="0" w:type="dxa"/>
              <w:right w:w="13" w:type="dxa"/>
            </w:tcMar>
            <w:vAlign w:val="bottom"/>
          </w:tcPr>
          <w:p w:rsidR="001E7BB4" w:rsidRPr="007930B0" w:rsidRDefault="001E7BB4" w:rsidP="009B4410">
            <w:pPr>
              <w:spacing w:before="40" w:after="40" w:line="220" w:lineRule="exact"/>
              <w:ind w:right="113"/>
              <w:jc w:val="right"/>
              <w:rPr>
                <w:sz w:val="18"/>
              </w:rPr>
            </w:pPr>
            <w:r w:rsidRPr="007930B0">
              <w:rPr>
                <w:sz w:val="18"/>
              </w:rPr>
              <w:t>69</w:t>
            </w:r>
          </w:p>
        </w:tc>
        <w:tc>
          <w:tcPr>
            <w:tcW w:w="1223" w:type="dxa"/>
            <w:tcBorders>
              <w:top w:val="nil"/>
            </w:tcBorders>
            <w:shd w:val="clear" w:color="auto" w:fill="auto"/>
            <w:noWrap/>
            <w:tcMar>
              <w:top w:w="13" w:type="dxa"/>
              <w:left w:w="13" w:type="dxa"/>
              <w:bottom w:w="0" w:type="dxa"/>
              <w:right w:w="13" w:type="dxa"/>
            </w:tcMar>
            <w:vAlign w:val="bottom"/>
          </w:tcPr>
          <w:p w:rsidR="001E7BB4" w:rsidRPr="007930B0" w:rsidRDefault="001E7BB4" w:rsidP="009B4410">
            <w:pPr>
              <w:spacing w:before="40" w:after="40" w:line="220" w:lineRule="exact"/>
              <w:ind w:right="113"/>
              <w:jc w:val="right"/>
              <w:rPr>
                <w:sz w:val="18"/>
              </w:rPr>
            </w:pPr>
            <w:r w:rsidRPr="007930B0">
              <w:rPr>
                <w:sz w:val="18"/>
              </w:rPr>
              <w:t>32</w:t>
            </w:r>
          </w:p>
        </w:tc>
        <w:tc>
          <w:tcPr>
            <w:tcW w:w="1223" w:type="dxa"/>
            <w:tcBorders>
              <w:top w:val="nil"/>
            </w:tcBorders>
            <w:shd w:val="clear" w:color="auto" w:fill="auto"/>
            <w:noWrap/>
            <w:tcMar>
              <w:top w:w="13" w:type="dxa"/>
              <w:left w:w="13" w:type="dxa"/>
              <w:bottom w:w="0" w:type="dxa"/>
              <w:right w:w="13" w:type="dxa"/>
            </w:tcMar>
            <w:vAlign w:val="bottom"/>
          </w:tcPr>
          <w:p w:rsidR="001E7BB4" w:rsidRPr="007930B0" w:rsidRDefault="001E7BB4" w:rsidP="009B4410">
            <w:pPr>
              <w:spacing w:before="40" w:after="40" w:line="220" w:lineRule="exact"/>
              <w:ind w:right="113"/>
              <w:jc w:val="right"/>
              <w:rPr>
                <w:sz w:val="18"/>
              </w:rPr>
            </w:pPr>
            <w:r w:rsidRPr="007930B0">
              <w:rPr>
                <w:sz w:val="18"/>
              </w:rPr>
              <w:t>9</w:t>
            </w:r>
          </w:p>
        </w:tc>
        <w:tc>
          <w:tcPr>
            <w:tcW w:w="1223" w:type="dxa"/>
            <w:tcBorders>
              <w:top w:val="nil"/>
            </w:tcBorders>
            <w:shd w:val="clear" w:color="auto" w:fill="auto"/>
            <w:noWrap/>
            <w:tcMar>
              <w:top w:w="13" w:type="dxa"/>
              <w:left w:w="13" w:type="dxa"/>
              <w:bottom w:w="0" w:type="dxa"/>
              <w:right w:w="13" w:type="dxa"/>
            </w:tcMar>
            <w:vAlign w:val="bottom"/>
          </w:tcPr>
          <w:p w:rsidR="001E7BB4" w:rsidRPr="007930B0" w:rsidRDefault="001E7BB4" w:rsidP="009B4410">
            <w:pPr>
              <w:spacing w:before="40" w:after="40" w:line="220" w:lineRule="exact"/>
              <w:ind w:right="113"/>
              <w:jc w:val="right"/>
              <w:rPr>
                <w:sz w:val="18"/>
              </w:rPr>
            </w:pPr>
            <w:r w:rsidRPr="007930B0">
              <w:rPr>
                <w:sz w:val="18"/>
              </w:rPr>
              <w:t>28</w:t>
            </w:r>
          </w:p>
        </w:tc>
      </w:tr>
      <w:tr w:rsidR="001E7BB4" w:rsidRPr="007930B0">
        <w:trPr>
          <w:trHeight w:val="255"/>
        </w:trPr>
        <w:tc>
          <w:tcPr>
            <w:tcW w:w="2479" w:type="dxa"/>
            <w:shd w:val="clear" w:color="auto" w:fill="auto"/>
            <w:noWrap/>
            <w:tcMar>
              <w:top w:w="13" w:type="dxa"/>
              <w:left w:w="13" w:type="dxa"/>
              <w:bottom w:w="0" w:type="dxa"/>
              <w:right w:w="13" w:type="dxa"/>
            </w:tcMar>
          </w:tcPr>
          <w:p w:rsidR="001E7BB4" w:rsidRPr="007930B0" w:rsidRDefault="001E7BB4" w:rsidP="009B4410">
            <w:pPr>
              <w:spacing w:before="40" w:after="40" w:line="220" w:lineRule="exact"/>
              <w:ind w:right="113"/>
              <w:rPr>
                <w:sz w:val="18"/>
              </w:rPr>
            </w:pPr>
            <w:r w:rsidRPr="007930B0">
              <w:rPr>
                <w:sz w:val="18"/>
              </w:rPr>
              <w:t>Acceso y equidad</w:t>
            </w:r>
          </w:p>
        </w:tc>
        <w:tc>
          <w:tcPr>
            <w:tcW w:w="1223" w:type="dxa"/>
            <w:shd w:val="clear" w:color="auto" w:fill="auto"/>
            <w:noWrap/>
            <w:tcMar>
              <w:top w:w="13" w:type="dxa"/>
              <w:left w:w="13" w:type="dxa"/>
              <w:bottom w:w="0" w:type="dxa"/>
              <w:right w:w="13" w:type="dxa"/>
            </w:tcMar>
            <w:vAlign w:val="bottom"/>
          </w:tcPr>
          <w:p w:rsidR="001E7BB4" w:rsidRPr="007930B0" w:rsidRDefault="001E7BB4" w:rsidP="009B4410">
            <w:pPr>
              <w:spacing w:before="40" w:after="40" w:line="220" w:lineRule="exact"/>
              <w:ind w:right="113"/>
              <w:jc w:val="right"/>
              <w:rPr>
                <w:sz w:val="18"/>
              </w:rPr>
            </w:pPr>
            <w:r w:rsidRPr="007930B0">
              <w:rPr>
                <w:sz w:val="18"/>
              </w:rPr>
              <w:t>42</w:t>
            </w:r>
          </w:p>
        </w:tc>
        <w:tc>
          <w:tcPr>
            <w:tcW w:w="1223" w:type="dxa"/>
            <w:shd w:val="clear" w:color="auto" w:fill="auto"/>
            <w:noWrap/>
            <w:tcMar>
              <w:top w:w="13" w:type="dxa"/>
              <w:left w:w="13" w:type="dxa"/>
              <w:bottom w:w="0" w:type="dxa"/>
              <w:right w:w="13" w:type="dxa"/>
            </w:tcMar>
            <w:vAlign w:val="bottom"/>
          </w:tcPr>
          <w:p w:rsidR="001E7BB4" w:rsidRPr="007930B0" w:rsidRDefault="001E7BB4" w:rsidP="009B4410">
            <w:pPr>
              <w:spacing w:before="40" w:after="40" w:line="220" w:lineRule="exact"/>
              <w:ind w:right="113"/>
              <w:jc w:val="right"/>
              <w:rPr>
                <w:sz w:val="18"/>
              </w:rPr>
            </w:pPr>
            <w:r w:rsidRPr="007930B0">
              <w:rPr>
                <w:sz w:val="18"/>
              </w:rPr>
              <w:t>15</w:t>
            </w:r>
          </w:p>
        </w:tc>
        <w:tc>
          <w:tcPr>
            <w:tcW w:w="1223" w:type="dxa"/>
            <w:shd w:val="clear" w:color="auto" w:fill="auto"/>
            <w:noWrap/>
            <w:tcMar>
              <w:top w:w="13" w:type="dxa"/>
              <w:left w:w="13" w:type="dxa"/>
              <w:bottom w:w="0" w:type="dxa"/>
              <w:right w:w="13" w:type="dxa"/>
            </w:tcMar>
            <w:vAlign w:val="bottom"/>
          </w:tcPr>
          <w:p w:rsidR="001E7BB4" w:rsidRPr="007930B0" w:rsidRDefault="001E7BB4" w:rsidP="009B4410">
            <w:pPr>
              <w:spacing w:before="40" w:after="40" w:line="220" w:lineRule="exact"/>
              <w:ind w:right="113"/>
              <w:jc w:val="right"/>
              <w:rPr>
                <w:sz w:val="18"/>
              </w:rPr>
            </w:pPr>
            <w:r w:rsidRPr="007930B0">
              <w:rPr>
                <w:sz w:val="18"/>
              </w:rPr>
              <w:t>11</w:t>
            </w:r>
          </w:p>
        </w:tc>
        <w:tc>
          <w:tcPr>
            <w:tcW w:w="1223" w:type="dxa"/>
            <w:shd w:val="clear" w:color="auto" w:fill="auto"/>
            <w:noWrap/>
            <w:tcMar>
              <w:top w:w="13" w:type="dxa"/>
              <w:left w:w="13" w:type="dxa"/>
              <w:bottom w:w="0" w:type="dxa"/>
              <w:right w:w="13" w:type="dxa"/>
            </w:tcMar>
            <w:vAlign w:val="bottom"/>
          </w:tcPr>
          <w:p w:rsidR="001E7BB4" w:rsidRPr="007930B0" w:rsidRDefault="001E7BB4" w:rsidP="009B4410">
            <w:pPr>
              <w:spacing w:before="40" w:after="40" w:line="220" w:lineRule="exact"/>
              <w:ind w:right="113"/>
              <w:jc w:val="right"/>
              <w:rPr>
                <w:sz w:val="18"/>
              </w:rPr>
            </w:pPr>
            <w:r w:rsidRPr="007930B0">
              <w:rPr>
                <w:sz w:val="18"/>
              </w:rPr>
              <w:t>16</w:t>
            </w:r>
          </w:p>
        </w:tc>
      </w:tr>
      <w:tr w:rsidR="001E7BB4" w:rsidRPr="007930B0">
        <w:trPr>
          <w:trHeight w:val="255"/>
        </w:trPr>
        <w:tc>
          <w:tcPr>
            <w:tcW w:w="2479" w:type="dxa"/>
            <w:tcBorders>
              <w:bottom w:val="single" w:sz="4" w:space="0" w:color="auto"/>
            </w:tcBorders>
            <w:shd w:val="clear" w:color="auto" w:fill="auto"/>
            <w:noWrap/>
            <w:tcMar>
              <w:top w:w="13" w:type="dxa"/>
              <w:left w:w="13" w:type="dxa"/>
              <w:bottom w:w="0" w:type="dxa"/>
              <w:right w:w="13" w:type="dxa"/>
            </w:tcMar>
          </w:tcPr>
          <w:p w:rsidR="001E7BB4" w:rsidRPr="007930B0" w:rsidRDefault="001E7BB4" w:rsidP="009B4410">
            <w:pPr>
              <w:spacing w:before="40" w:after="40" w:line="220" w:lineRule="exact"/>
              <w:ind w:right="113"/>
              <w:rPr>
                <w:sz w:val="18"/>
              </w:rPr>
            </w:pPr>
            <w:r w:rsidRPr="007930B0">
              <w:rPr>
                <w:sz w:val="18"/>
              </w:rPr>
              <w:t>FTP y Enseñanza superior</w:t>
            </w:r>
          </w:p>
        </w:tc>
        <w:tc>
          <w:tcPr>
            <w:tcW w:w="1223" w:type="dxa"/>
            <w:tcBorders>
              <w:bottom w:val="single" w:sz="4" w:space="0" w:color="auto"/>
            </w:tcBorders>
            <w:shd w:val="clear" w:color="auto" w:fill="auto"/>
            <w:noWrap/>
            <w:tcMar>
              <w:top w:w="13" w:type="dxa"/>
              <w:left w:w="13" w:type="dxa"/>
              <w:bottom w:w="0" w:type="dxa"/>
              <w:right w:w="13" w:type="dxa"/>
            </w:tcMar>
            <w:vAlign w:val="bottom"/>
          </w:tcPr>
          <w:p w:rsidR="001E7BB4" w:rsidRPr="007930B0" w:rsidRDefault="001E7BB4" w:rsidP="009B4410">
            <w:pPr>
              <w:spacing w:before="40" w:after="40" w:line="220" w:lineRule="exact"/>
              <w:ind w:right="113"/>
              <w:jc w:val="right"/>
              <w:rPr>
                <w:sz w:val="18"/>
              </w:rPr>
            </w:pPr>
            <w:r w:rsidRPr="007930B0">
              <w:rPr>
                <w:sz w:val="18"/>
              </w:rPr>
              <w:t>58</w:t>
            </w:r>
          </w:p>
        </w:tc>
        <w:tc>
          <w:tcPr>
            <w:tcW w:w="1223" w:type="dxa"/>
            <w:tcBorders>
              <w:bottom w:val="single" w:sz="4" w:space="0" w:color="auto"/>
            </w:tcBorders>
            <w:shd w:val="clear" w:color="auto" w:fill="auto"/>
            <w:noWrap/>
            <w:tcMar>
              <w:top w:w="13" w:type="dxa"/>
              <w:left w:w="13" w:type="dxa"/>
              <w:bottom w:w="0" w:type="dxa"/>
              <w:right w:w="13" w:type="dxa"/>
            </w:tcMar>
            <w:vAlign w:val="bottom"/>
          </w:tcPr>
          <w:p w:rsidR="001E7BB4" w:rsidRPr="007930B0" w:rsidRDefault="001E7BB4" w:rsidP="009B4410">
            <w:pPr>
              <w:spacing w:before="40" w:after="40" w:line="220" w:lineRule="exact"/>
              <w:ind w:right="113"/>
              <w:jc w:val="right"/>
              <w:rPr>
                <w:sz w:val="18"/>
              </w:rPr>
            </w:pPr>
            <w:r w:rsidRPr="007930B0">
              <w:rPr>
                <w:sz w:val="18"/>
              </w:rPr>
              <w:t>19</w:t>
            </w:r>
          </w:p>
        </w:tc>
        <w:tc>
          <w:tcPr>
            <w:tcW w:w="1223" w:type="dxa"/>
            <w:tcBorders>
              <w:bottom w:val="single" w:sz="4" w:space="0" w:color="auto"/>
            </w:tcBorders>
            <w:shd w:val="clear" w:color="auto" w:fill="auto"/>
            <w:noWrap/>
            <w:tcMar>
              <w:top w:w="13" w:type="dxa"/>
              <w:left w:w="13" w:type="dxa"/>
              <w:bottom w:w="0" w:type="dxa"/>
              <w:right w:w="13" w:type="dxa"/>
            </w:tcMar>
            <w:vAlign w:val="bottom"/>
          </w:tcPr>
          <w:p w:rsidR="001E7BB4" w:rsidRPr="007930B0" w:rsidRDefault="001E7BB4" w:rsidP="009B4410">
            <w:pPr>
              <w:spacing w:before="40" w:after="40" w:line="220" w:lineRule="exact"/>
              <w:ind w:right="113"/>
              <w:jc w:val="right"/>
              <w:rPr>
                <w:sz w:val="18"/>
              </w:rPr>
            </w:pPr>
            <w:r w:rsidRPr="007930B0">
              <w:rPr>
                <w:sz w:val="18"/>
              </w:rPr>
              <w:t>5</w:t>
            </w:r>
          </w:p>
        </w:tc>
        <w:tc>
          <w:tcPr>
            <w:tcW w:w="1223" w:type="dxa"/>
            <w:tcBorders>
              <w:bottom w:val="single" w:sz="4" w:space="0" w:color="auto"/>
            </w:tcBorders>
            <w:shd w:val="clear" w:color="auto" w:fill="auto"/>
            <w:noWrap/>
            <w:tcMar>
              <w:top w:w="13" w:type="dxa"/>
              <w:left w:w="13" w:type="dxa"/>
              <w:bottom w:w="0" w:type="dxa"/>
              <w:right w:w="13" w:type="dxa"/>
            </w:tcMar>
            <w:vAlign w:val="bottom"/>
          </w:tcPr>
          <w:p w:rsidR="001E7BB4" w:rsidRPr="007930B0" w:rsidRDefault="001E7BB4" w:rsidP="009B4410">
            <w:pPr>
              <w:spacing w:before="40" w:after="40" w:line="220" w:lineRule="exact"/>
              <w:ind w:right="113"/>
              <w:jc w:val="right"/>
              <w:rPr>
                <w:sz w:val="18"/>
              </w:rPr>
            </w:pPr>
            <w:r w:rsidRPr="007930B0">
              <w:rPr>
                <w:sz w:val="18"/>
              </w:rPr>
              <w:t>34</w:t>
            </w:r>
          </w:p>
        </w:tc>
      </w:tr>
      <w:tr w:rsidR="001E7BB4" w:rsidRPr="007930B0">
        <w:trPr>
          <w:trHeight w:val="255"/>
        </w:trPr>
        <w:tc>
          <w:tcPr>
            <w:tcW w:w="2479" w:type="dxa"/>
            <w:tcBorders>
              <w:top w:val="single" w:sz="4" w:space="0" w:color="auto"/>
              <w:bottom w:val="single" w:sz="12" w:space="0" w:color="auto"/>
            </w:tcBorders>
            <w:shd w:val="clear" w:color="auto" w:fill="auto"/>
            <w:noWrap/>
            <w:tcMar>
              <w:top w:w="13" w:type="dxa"/>
              <w:left w:w="13" w:type="dxa"/>
              <w:bottom w:w="0" w:type="dxa"/>
              <w:right w:w="13" w:type="dxa"/>
            </w:tcMar>
          </w:tcPr>
          <w:p w:rsidR="001E7BB4" w:rsidRPr="007930B0" w:rsidRDefault="001E7BB4" w:rsidP="009B4410">
            <w:pPr>
              <w:spacing w:before="80" w:after="80" w:line="220" w:lineRule="exact"/>
              <w:ind w:left="284" w:right="113"/>
              <w:rPr>
                <w:b/>
                <w:sz w:val="18"/>
              </w:rPr>
            </w:pPr>
            <w:r w:rsidRPr="007930B0">
              <w:rPr>
                <w:b/>
                <w:sz w:val="18"/>
              </w:rPr>
              <w:t>Total</w:t>
            </w:r>
          </w:p>
        </w:tc>
        <w:tc>
          <w:tcPr>
            <w:tcW w:w="1223" w:type="dxa"/>
            <w:tcBorders>
              <w:top w:val="single" w:sz="4" w:space="0" w:color="auto"/>
              <w:bottom w:val="single" w:sz="12" w:space="0" w:color="auto"/>
            </w:tcBorders>
            <w:shd w:val="clear" w:color="auto" w:fill="auto"/>
            <w:noWrap/>
            <w:tcMar>
              <w:top w:w="13" w:type="dxa"/>
              <w:left w:w="13" w:type="dxa"/>
              <w:bottom w:w="0" w:type="dxa"/>
              <w:right w:w="13" w:type="dxa"/>
            </w:tcMar>
            <w:vAlign w:val="bottom"/>
          </w:tcPr>
          <w:p w:rsidR="001E7BB4" w:rsidRPr="007930B0" w:rsidRDefault="001E7BB4" w:rsidP="009B4410">
            <w:pPr>
              <w:spacing w:before="80" w:after="80" w:line="220" w:lineRule="exact"/>
              <w:ind w:right="113"/>
              <w:jc w:val="right"/>
              <w:rPr>
                <w:b/>
                <w:sz w:val="18"/>
              </w:rPr>
            </w:pPr>
            <w:r w:rsidRPr="007930B0">
              <w:rPr>
                <w:b/>
                <w:sz w:val="18"/>
              </w:rPr>
              <w:t>221</w:t>
            </w:r>
          </w:p>
        </w:tc>
        <w:tc>
          <w:tcPr>
            <w:tcW w:w="1223" w:type="dxa"/>
            <w:tcBorders>
              <w:top w:val="single" w:sz="4" w:space="0" w:color="auto"/>
              <w:bottom w:val="single" w:sz="12" w:space="0" w:color="auto"/>
            </w:tcBorders>
            <w:shd w:val="clear" w:color="auto" w:fill="auto"/>
            <w:noWrap/>
            <w:tcMar>
              <w:top w:w="13" w:type="dxa"/>
              <w:left w:w="13" w:type="dxa"/>
              <w:bottom w:w="0" w:type="dxa"/>
              <w:right w:w="13" w:type="dxa"/>
            </w:tcMar>
            <w:vAlign w:val="bottom"/>
          </w:tcPr>
          <w:p w:rsidR="001E7BB4" w:rsidRPr="007930B0" w:rsidRDefault="001E7BB4" w:rsidP="009B4410">
            <w:pPr>
              <w:spacing w:before="80" w:after="80" w:line="220" w:lineRule="exact"/>
              <w:ind w:right="113"/>
              <w:jc w:val="right"/>
              <w:rPr>
                <w:b/>
                <w:sz w:val="18"/>
              </w:rPr>
            </w:pPr>
            <w:r w:rsidRPr="007930B0">
              <w:rPr>
                <w:b/>
                <w:sz w:val="18"/>
              </w:rPr>
              <w:t>95</w:t>
            </w:r>
          </w:p>
        </w:tc>
        <w:tc>
          <w:tcPr>
            <w:tcW w:w="1223" w:type="dxa"/>
            <w:tcBorders>
              <w:top w:val="single" w:sz="4" w:space="0" w:color="auto"/>
              <w:bottom w:val="single" w:sz="12" w:space="0" w:color="auto"/>
            </w:tcBorders>
            <w:shd w:val="clear" w:color="auto" w:fill="auto"/>
            <w:noWrap/>
            <w:tcMar>
              <w:top w:w="13" w:type="dxa"/>
              <w:left w:w="13" w:type="dxa"/>
              <w:bottom w:w="0" w:type="dxa"/>
              <w:right w:w="13" w:type="dxa"/>
            </w:tcMar>
            <w:vAlign w:val="bottom"/>
          </w:tcPr>
          <w:p w:rsidR="001E7BB4" w:rsidRPr="007930B0" w:rsidRDefault="001E7BB4" w:rsidP="009B4410">
            <w:pPr>
              <w:spacing w:before="80" w:after="80" w:line="220" w:lineRule="exact"/>
              <w:ind w:right="113"/>
              <w:jc w:val="right"/>
              <w:rPr>
                <w:b/>
                <w:sz w:val="18"/>
              </w:rPr>
            </w:pPr>
            <w:r w:rsidRPr="007930B0">
              <w:rPr>
                <w:b/>
                <w:sz w:val="18"/>
              </w:rPr>
              <w:t>32</w:t>
            </w:r>
          </w:p>
        </w:tc>
        <w:tc>
          <w:tcPr>
            <w:tcW w:w="1223" w:type="dxa"/>
            <w:tcBorders>
              <w:top w:val="single" w:sz="4" w:space="0" w:color="auto"/>
              <w:bottom w:val="single" w:sz="12" w:space="0" w:color="auto"/>
            </w:tcBorders>
            <w:shd w:val="clear" w:color="auto" w:fill="auto"/>
            <w:noWrap/>
            <w:tcMar>
              <w:top w:w="13" w:type="dxa"/>
              <w:left w:w="13" w:type="dxa"/>
              <w:bottom w:w="0" w:type="dxa"/>
              <w:right w:w="13" w:type="dxa"/>
            </w:tcMar>
            <w:vAlign w:val="bottom"/>
          </w:tcPr>
          <w:p w:rsidR="001E7BB4" w:rsidRPr="007930B0" w:rsidRDefault="001E7BB4" w:rsidP="009B4410">
            <w:pPr>
              <w:spacing w:before="80" w:after="80" w:line="220" w:lineRule="exact"/>
              <w:ind w:right="113"/>
              <w:jc w:val="right"/>
              <w:rPr>
                <w:b/>
                <w:sz w:val="18"/>
              </w:rPr>
            </w:pPr>
            <w:r w:rsidRPr="007930B0">
              <w:rPr>
                <w:b/>
                <w:sz w:val="18"/>
              </w:rPr>
              <w:t>94</w:t>
            </w:r>
          </w:p>
        </w:tc>
      </w:tr>
    </w:tbl>
    <w:p w:rsidR="001E7BB4" w:rsidRPr="007930B0" w:rsidRDefault="001E7BB4" w:rsidP="009B4410">
      <w:pPr>
        <w:pStyle w:val="SingleTxtG"/>
        <w:spacing w:before="240"/>
        <w:rPr>
          <w:lang w:val="es-ES"/>
        </w:rPr>
      </w:pPr>
      <w:r w:rsidRPr="007930B0">
        <w:rPr>
          <w:lang w:val="es-ES"/>
        </w:rPr>
        <w:t>475.</w:t>
      </w:r>
      <w:r w:rsidRPr="007930B0">
        <w:rPr>
          <w:lang w:val="es-ES"/>
        </w:rPr>
        <w:tab/>
        <w:t>A continuación se presenta el balance de los logros por subcomponente del programa, para cada categoría de actividades: adquisición de equipos, obras de construcción, capacitación, asistencia técnica y financiación (Fondo de apoyo).</w:t>
      </w:r>
    </w:p>
    <w:p w:rsidR="001E7BB4" w:rsidRPr="007930B0" w:rsidRDefault="001E7BB4" w:rsidP="009B4410">
      <w:pPr>
        <w:pStyle w:val="H23G"/>
        <w:rPr>
          <w:lang w:val="es-ES"/>
        </w:rPr>
      </w:pPr>
      <w:r w:rsidRPr="007930B0">
        <w:rPr>
          <w:lang w:val="es-ES"/>
        </w:rPr>
        <w:tab/>
      </w:r>
      <w:r w:rsidRPr="007930B0">
        <w:rPr>
          <w:lang w:val="es-ES"/>
        </w:rPr>
        <w:tab/>
        <w:t>Componente A: Fortalecimiento de la gestión administrativa, financiera y pedagógica</w:t>
      </w:r>
    </w:p>
    <w:p w:rsidR="001E7BB4" w:rsidRPr="007930B0" w:rsidRDefault="001E7BB4" w:rsidP="0068666F">
      <w:pPr>
        <w:pStyle w:val="SingleTxtG"/>
        <w:rPr>
          <w:lang w:val="es-ES"/>
        </w:rPr>
      </w:pPr>
      <w:r w:rsidRPr="007930B0">
        <w:rPr>
          <w:lang w:val="es-ES"/>
        </w:rPr>
        <w:t>476.</w:t>
      </w:r>
      <w:r w:rsidRPr="007930B0">
        <w:rPr>
          <w:lang w:val="es-ES"/>
        </w:rPr>
        <w:tab/>
        <w:t>De las 52 actividades programadas en relación con este componente, 29 ya se realizaron, 7 se están ejecutando y 16 no han comenzado aún. Los principales logros en lo que respecta a este componente son:</w:t>
      </w:r>
    </w:p>
    <w:p w:rsidR="001E7BB4" w:rsidRPr="007930B0" w:rsidRDefault="001E7BB4" w:rsidP="009B4410">
      <w:pPr>
        <w:pStyle w:val="SingleTxtG"/>
        <w:ind w:firstLine="567"/>
        <w:rPr>
          <w:lang w:val="es-ES"/>
        </w:rPr>
      </w:pPr>
      <w:r w:rsidRPr="007930B0">
        <w:rPr>
          <w:lang w:val="es-ES"/>
        </w:rPr>
        <w:t>a)</w:t>
      </w:r>
      <w:r w:rsidRPr="007930B0">
        <w:rPr>
          <w:lang w:val="es-ES"/>
        </w:rPr>
        <w:tab/>
      </w:r>
      <w:r w:rsidRPr="007930B0">
        <w:rPr>
          <w:i/>
          <w:lang w:val="es-ES"/>
        </w:rPr>
        <w:t>En materia de adquisición de equipos, en los primeros nueve meses del año 2007 se registró, en particular, la adquisición efectiva de equipos de computadora para las Direcciones Regionales de Educación Nacional y las Inspecciones Departamentales de Educación Nacional (79 configuraciones informáticas, 11 fotocopiadoras, 7 máquinas de fax, etc.), la adquisición del mobiliario de las oficinas (101 escritorios, 11 mesas de reunión, 90 armarios, 280 sillas, etc. ), la adquisición de dos servidores (DSSP y DPEF) y la convocatoria a licitación para la adquisición de equipos, muebles y aparatos de aire acondicionado para la Dirección de Recursos Humanos;</w:t>
      </w:r>
    </w:p>
    <w:p w:rsidR="001E7BB4" w:rsidRPr="007930B0" w:rsidRDefault="001E7BB4" w:rsidP="009B4410">
      <w:pPr>
        <w:pStyle w:val="SingleTxtG"/>
        <w:ind w:firstLine="567"/>
        <w:rPr>
          <w:lang w:val="es-ES"/>
        </w:rPr>
      </w:pPr>
      <w:r w:rsidRPr="007930B0">
        <w:rPr>
          <w:lang w:val="es-ES"/>
        </w:rPr>
        <w:t>b)</w:t>
      </w:r>
      <w:r w:rsidRPr="007930B0">
        <w:rPr>
          <w:lang w:val="es-ES"/>
        </w:rPr>
        <w:tab/>
      </w:r>
      <w:r w:rsidRPr="007930B0">
        <w:rPr>
          <w:i/>
          <w:lang w:val="es-ES"/>
        </w:rPr>
        <w:t>En materia de obras de construcción, cabe señalar la recepción de ocho Inspecciones Departamentales de Educación Nacional (construidas), la rehabilitación de dos Direcciones Regionales de Educación Nacional y del centro técnico de exámenes de la ENI (Escuela Normal Nacional) y el acondicionamiento del subsuelo de la Dirección de Recursos Humanos como sala de archivos;</w:t>
      </w:r>
    </w:p>
    <w:p w:rsidR="001E7BB4" w:rsidRPr="007930B0" w:rsidRDefault="001E7BB4" w:rsidP="009B4410">
      <w:pPr>
        <w:pStyle w:val="SingleTxtG"/>
        <w:ind w:firstLine="567"/>
        <w:rPr>
          <w:lang w:val="es-ES"/>
        </w:rPr>
      </w:pPr>
      <w:r w:rsidRPr="007930B0">
        <w:rPr>
          <w:lang w:val="es-ES"/>
        </w:rPr>
        <w:t>c)</w:t>
      </w:r>
      <w:r w:rsidRPr="007930B0">
        <w:rPr>
          <w:lang w:val="es-ES"/>
        </w:rPr>
        <w:tab/>
      </w:r>
      <w:r w:rsidRPr="007930B0">
        <w:rPr>
          <w:i/>
          <w:lang w:val="es-ES"/>
        </w:rPr>
        <w:t xml:space="preserve">En materia de capacitación, el programa financió, durante el período que abarca el presente informe, la capacitación en el extranjero de 29 funcionarios administrativos de la Educación, la capacitación a nivel nacional de 15 personas en la gestión informatizada de los exámenes, la organización de un taller disciplinario para la elaboración de criterios de evaluación en las inspecciones pedagógicas y administrativas, la capacitación de los representantes de las diferentes estructuras del Ministerio de Educación Nacional sobre los nuevos procedimientos de organización de la capacitación permanente, y la organización de varias actividades de capacitación sobre el ensayo de los planes de acción en las tres </w:t>
      </w:r>
      <w:r w:rsidRPr="007930B0">
        <w:rPr>
          <w:iCs/>
          <w:lang w:val="es-ES"/>
        </w:rPr>
        <w:t>wilayas</w:t>
      </w:r>
      <w:r w:rsidRPr="007930B0">
        <w:rPr>
          <w:i/>
          <w:lang w:val="es-ES"/>
        </w:rPr>
        <w:t xml:space="preserve"> piloto (Hodh Charghi, Trarza y Adrar);</w:t>
      </w:r>
    </w:p>
    <w:p w:rsidR="001E7BB4" w:rsidRPr="007930B0" w:rsidRDefault="001E7BB4" w:rsidP="009B4410">
      <w:pPr>
        <w:pStyle w:val="SingleTxtG"/>
        <w:ind w:firstLine="567"/>
        <w:rPr>
          <w:lang w:val="es-ES"/>
        </w:rPr>
      </w:pPr>
      <w:r w:rsidRPr="007930B0">
        <w:rPr>
          <w:lang w:val="es-ES"/>
        </w:rPr>
        <w:t>d)</w:t>
      </w:r>
      <w:r w:rsidRPr="007930B0">
        <w:rPr>
          <w:lang w:val="es-ES"/>
        </w:rPr>
        <w:tab/>
      </w:r>
      <w:r w:rsidRPr="007930B0">
        <w:rPr>
          <w:i/>
          <w:lang w:val="es-ES"/>
        </w:rPr>
        <w:t>En materia de asistencia técnica cabe señalar el lanzamiento de la encuesta sobre trazabilidad del gasto público en educación (la encuesta ya se realizó y se están analizando los resultados), el diseño de herramientas de programación y seguimiento de la capacitación permanente, la organización de la auditoría de los estados financieros de los créditos de la AIF, y el diseño de una aplicación que permite regionalizar la base de datos para la gestión del examen de ingreso a primer año de educación secundaria. Además, se firmó el contrato para la creación del Sistema de Información para la Gestión de la Educación y se definió el alcance del apoyo técnico para la automatización de los archivos de la Dirección de Recursos Humanos.</w:t>
      </w:r>
    </w:p>
    <w:p w:rsidR="001E7BB4" w:rsidRPr="007930B0" w:rsidRDefault="001E7BB4" w:rsidP="009B4410">
      <w:pPr>
        <w:pStyle w:val="H23G"/>
        <w:rPr>
          <w:lang w:val="es-ES"/>
        </w:rPr>
      </w:pPr>
      <w:r w:rsidRPr="007930B0">
        <w:rPr>
          <w:lang w:val="es-ES"/>
        </w:rPr>
        <w:tab/>
      </w:r>
      <w:r w:rsidRPr="007930B0">
        <w:rPr>
          <w:lang w:val="es-ES"/>
        </w:rPr>
        <w:tab/>
        <w:t>Componente B: Mejora de la calidad y la eficacia de las enseñanzas primaria y secundaria</w:t>
      </w:r>
    </w:p>
    <w:p w:rsidR="001E7BB4" w:rsidRPr="007930B0" w:rsidRDefault="001E7BB4" w:rsidP="0068666F">
      <w:pPr>
        <w:pStyle w:val="SingleTxtG"/>
        <w:rPr>
          <w:lang w:val="es-ES"/>
        </w:rPr>
      </w:pPr>
      <w:r w:rsidRPr="007930B0">
        <w:rPr>
          <w:lang w:val="es-ES"/>
        </w:rPr>
        <w:t>477.</w:t>
      </w:r>
      <w:r w:rsidRPr="007930B0">
        <w:rPr>
          <w:lang w:val="es-ES"/>
        </w:rPr>
        <w:tab/>
        <w:t>De las 69 actividades programadas en el marco de este componente, 32 se llevaron a cabo, 9 están en curso y 28 aún no han comenzado. Los principales logros en relación con este componente son:</w:t>
      </w:r>
    </w:p>
    <w:p w:rsidR="001E7BB4" w:rsidRPr="007930B0" w:rsidRDefault="001E7BB4" w:rsidP="009B4410">
      <w:pPr>
        <w:pStyle w:val="SingleTxtG"/>
        <w:ind w:firstLine="567"/>
        <w:rPr>
          <w:lang w:val="es-ES"/>
        </w:rPr>
      </w:pPr>
      <w:r w:rsidRPr="007930B0">
        <w:rPr>
          <w:lang w:val="es-ES"/>
        </w:rPr>
        <w:t>a)</w:t>
      </w:r>
      <w:r w:rsidRPr="007930B0">
        <w:rPr>
          <w:lang w:val="es-ES"/>
        </w:rPr>
        <w:tab/>
        <w:t>En materia de adquisición de equipos, se destaca, en particular: 1) la adquisición de equipos de computadora para las ENI (44 configuraciones informáticas, 14 impresoras, etc.) y el equipamiento del laboratorio de lenguas de la ENI de Aioun; 2) la adquisición de equipos de computadora y de proyección (18 CI, 12 fotocopiadoras, 2 televisores, etc.), equipos varios y muebles de oficina (18 escritorios, 100 pupitres, 340 sillas, 5 aparatos de aire acondicionado, etc.) para los centros de formación de la primera infancia; 3) la adquisición de 1.408.000 libros de texto y guías escolares de enseñanza primaria y 733.600 libros de texto del primer ciclo de enseñanza secundaria para cubrir las necesidades de 8 títulos; 4) la adquisición y distribución de útiles de gestión pedagógica y administrativa y material didáctico para la enseñanza secundaria (1.600 juegos de geometría); 5) la adquisición de equipos para la Unidad central de acreditación y supervisión a nivel de la primera infancia; 6) la adquisición de juguetes y pupitres para los jardines de infantes de los Centros de Recursos piloto; y 7) la adquisición de equipo para el laboratorio de la ENS. Además, se lanzaron varios pedidos de ofertas para la adquisición de una colección bibliográfica para la ENS (17.400 libros), la edición/impresión de 1.747.000 libros de texto de enseñanza primaria, la adquisición de equipos y colecciones bibliográficas para las bibliotecas de las ENI, la adquisición de libros de ciencias para el segundo ciclo de enseñanza secundaria (133.753 textos) y la adquisición de documentos para la biblioteca del Centro de Formación de la Primera Infancia;</w:t>
      </w:r>
    </w:p>
    <w:p w:rsidR="001E7BB4" w:rsidRPr="007930B0" w:rsidRDefault="001E7BB4" w:rsidP="009B4410">
      <w:pPr>
        <w:pStyle w:val="SingleTxtG"/>
        <w:ind w:firstLine="567"/>
        <w:rPr>
          <w:lang w:val="es-ES"/>
        </w:rPr>
      </w:pPr>
      <w:r w:rsidRPr="007930B0">
        <w:rPr>
          <w:lang w:val="es-ES"/>
        </w:rPr>
        <w:t>b)</w:t>
      </w:r>
      <w:r w:rsidRPr="007930B0">
        <w:rPr>
          <w:lang w:val="es-ES"/>
        </w:rPr>
        <w:tab/>
        <w:t>En materia de obras de construcción, se destaca la construcción de aulas, un laboratorio y una sala de Internet en la ENS, la recepción de 15 laboratorios y 8 bibliotecas en las instituciones de enseñanza secundaria, la construcción del Centro Nacional de Formación de la Primera Infancia de Nuakchot y la terminación de varios centros de recursos para la primera infancia;</w:t>
      </w:r>
    </w:p>
    <w:p w:rsidR="001E7BB4" w:rsidRPr="007930B0" w:rsidRDefault="001E7BB4" w:rsidP="009B4410">
      <w:pPr>
        <w:pStyle w:val="SingleTxtG"/>
        <w:ind w:firstLine="567"/>
        <w:rPr>
          <w:lang w:val="es-ES"/>
        </w:rPr>
      </w:pPr>
      <w:r w:rsidRPr="007930B0">
        <w:rPr>
          <w:lang w:val="es-ES"/>
        </w:rPr>
        <w:t>c)</w:t>
      </w:r>
      <w:r w:rsidRPr="007930B0">
        <w:rPr>
          <w:lang w:val="es-ES"/>
        </w:rPr>
        <w:tab/>
        <w:t>En materia de capacitación, el programa financió, durante los primeros nueve meses del año 2007, la capacitación de los directores y los profesores de práctica en las ENI, la formación de bibliotecarios y la organización de un taller sobre los nuevos genios de las bibliotecas, la formación de cinco CP recientemente contratados, la capacitación de profesores de cuarto año de enseñanza secundaria en los nuevos programas, la capacitación de profesores encargados de laboratorios y la formación de responsables de los Centros de Recursos y divisiones regionales de la infancia del Centro Nacional de Formación de la Primera Infancia. Cabe destacar que el reciclaje lingüístico en la ENI se vio favorecido por la movilización de asistencia técnica;</w:t>
      </w:r>
    </w:p>
    <w:p w:rsidR="001E7BB4" w:rsidRPr="007930B0" w:rsidRDefault="001E7BB4" w:rsidP="009B4410">
      <w:pPr>
        <w:pStyle w:val="SingleTxtG"/>
        <w:ind w:firstLine="567"/>
        <w:rPr>
          <w:lang w:val="es-ES"/>
        </w:rPr>
      </w:pPr>
      <w:r w:rsidRPr="007930B0">
        <w:rPr>
          <w:lang w:val="es-ES"/>
        </w:rPr>
        <w:t>d)</w:t>
      </w:r>
      <w:r w:rsidRPr="007930B0">
        <w:rPr>
          <w:lang w:val="es-ES"/>
        </w:rPr>
        <w:tab/>
        <w:t>En materia de asistencia técnica, cabe mencionar en particular la contratación de asistencia técnica (hermanamiento) para respaldar la reestructuración de las ENI y la continuación del apoyo técnico para el fortalecimiento de los equipos de investigación en MG/GG.</w:t>
      </w:r>
    </w:p>
    <w:p w:rsidR="001E7BB4" w:rsidRPr="007930B0" w:rsidRDefault="001E7BB4" w:rsidP="009B4410">
      <w:pPr>
        <w:pStyle w:val="H23G"/>
        <w:rPr>
          <w:lang w:val="es-ES"/>
        </w:rPr>
      </w:pPr>
      <w:r w:rsidRPr="007930B0">
        <w:rPr>
          <w:lang w:val="es-ES"/>
        </w:rPr>
        <w:tab/>
      </w:r>
      <w:r w:rsidRPr="007930B0">
        <w:rPr>
          <w:lang w:val="es-ES"/>
        </w:rPr>
        <w:tab/>
        <w:t>Componente C: Mejora del acceso y la equidad en las enseñanzas primaria y secundaria</w:t>
      </w:r>
    </w:p>
    <w:p w:rsidR="001E7BB4" w:rsidRPr="007930B0" w:rsidRDefault="001E7BB4" w:rsidP="0068666F">
      <w:pPr>
        <w:pStyle w:val="SingleTxtG"/>
        <w:rPr>
          <w:lang w:val="es-ES"/>
        </w:rPr>
      </w:pPr>
      <w:r w:rsidRPr="007930B0">
        <w:rPr>
          <w:lang w:val="es-ES"/>
        </w:rPr>
        <w:t>478.</w:t>
      </w:r>
      <w:r w:rsidRPr="007930B0">
        <w:rPr>
          <w:lang w:val="es-ES"/>
        </w:rPr>
        <w:tab/>
        <w:t>En lo que respecta a este componente, se realizaron 15 actividades de las 42 programadas. Once actividades están en curso de ejecución y 16 aún no han comenzado. Los principales logros en relación con este componente son:</w:t>
      </w:r>
    </w:p>
    <w:p w:rsidR="001E7BB4" w:rsidRPr="007930B0" w:rsidRDefault="001E7BB4" w:rsidP="009B4410">
      <w:pPr>
        <w:pStyle w:val="SingleTxtG"/>
        <w:ind w:firstLine="567"/>
        <w:rPr>
          <w:lang w:val="es-ES"/>
        </w:rPr>
      </w:pPr>
      <w:r w:rsidRPr="007930B0">
        <w:rPr>
          <w:lang w:val="es-ES"/>
        </w:rPr>
        <w:t>a)</w:t>
      </w:r>
      <w:r w:rsidRPr="007930B0">
        <w:rPr>
          <w:lang w:val="es-ES"/>
        </w:rPr>
        <w:tab/>
        <w:t>En materia de adquisición de equipos, la puesta en práctica del Plan de Acción de 2007 permitió, en particular, adquirir material didáctico básico, muebles para el equipamiento (en curso) de las aulas (20.000 pupitres), víveres y equipos para las cantinas escolares, y equipos (recibidos) destinados a los talleres del Centro de Formación Profesional de Mahadras (de costura, peluquería, restauración, informática);</w:t>
      </w:r>
    </w:p>
    <w:p w:rsidR="001E7BB4" w:rsidRPr="007930B0" w:rsidRDefault="001E7BB4" w:rsidP="009B4410">
      <w:pPr>
        <w:pStyle w:val="SingleTxtG"/>
        <w:ind w:firstLine="567"/>
        <w:rPr>
          <w:lang w:val="es-ES"/>
        </w:rPr>
      </w:pPr>
      <w:r w:rsidRPr="007930B0">
        <w:rPr>
          <w:lang w:val="es-ES"/>
        </w:rPr>
        <w:t>b)</w:t>
      </w:r>
      <w:r w:rsidRPr="007930B0">
        <w:rPr>
          <w:lang w:val="es-ES"/>
        </w:rPr>
        <w:tab/>
        <w:t>En materia de obras de construcción, la ejecución del Plan de Acción de 2007 permitió: 1) la finalización (recepción) de 265 aulas, 42 cercas, 36 oficinas de director y 93 letrinas en escuelas primarias, así como en 10 institutos del primer ciclo de enseñanza secundaria (46 SDC) y en 4 institutos del segundo ciclo, y 2) el inicio de la construcción de 125 aulas, 8 cercas, 91 letrinas y 44 oficinas de director en la enseñanza primaria y en 3 nuevos institutos del segundo ciclo de enseñanza secundaria;</w:t>
      </w:r>
    </w:p>
    <w:p w:rsidR="001E7BB4" w:rsidRPr="007930B0" w:rsidRDefault="001E7BB4" w:rsidP="009B4410">
      <w:pPr>
        <w:pStyle w:val="SingleTxtG"/>
        <w:ind w:firstLine="567"/>
        <w:rPr>
          <w:lang w:val="es-ES"/>
        </w:rPr>
      </w:pPr>
      <w:r w:rsidRPr="007930B0">
        <w:rPr>
          <w:lang w:val="es-ES"/>
        </w:rPr>
        <w:t>c)</w:t>
      </w:r>
      <w:r w:rsidRPr="007930B0">
        <w:rPr>
          <w:lang w:val="es-ES"/>
        </w:rPr>
        <w:tab/>
        <w:t>En materia de asistencia técnica, se destaca el comienzo de la auditoría técnica de las aulas en la enseñanza primaria.</w:t>
      </w:r>
    </w:p>
    <w:p w:rsidR="001E7BB4" w:rsidRPr="007930B0" w:rsidRDefault="001E7BB4" w:rsidP="009B4410">
      <w:pPr>
        <w:pStyle w:val="H23G"/>
        <w:rPr>
          <w:lang w:val="es-ES"/>
        </w:rPr>
      </w:pPr>
      <w:r w:rsidRPr="007930B0">
        <w:rPr>
          <w:lang w:val="es-ES"/>
        </w:rPr>
        <w:tab/>
      </w:r>
      <w:r w:rsidRPr="007930B0">
        <w:rPr>
          <w:lang w:val="es-ES"/>
        </w:rPr>
        <w:tab/>
        <w:t>Componente D: Mejora de la eficacia y la pertinencia de la FTP y de la enseñanza superior</w:t>
      </w:r>
    </w:p>
    <w:p w:rsidR="001E7BB4" w:rsidRPr="007930B0" w:rsidRDefault="001E7BB4" w:rsidP="0068666F">
      <w:pPr>
        <w:pStyle w:val="SingleTxtG"/>
        <w:rPr>
          <w:lang w:val="es-ES"/>
        </w:rPr>
      </w:pPr>
      <w:r w:rsidRPr="007930B0">
        <w:rPr>
          <w:lang w:val="es-ES"/>
        </w:rPr>
        <w:t>479.</w:t>
      </w:r>
      <w:r w:rsidRPr="007930B0">
        <w:rPr>
          <w:lang w:val="es-ES"/>
        </w:rPr>
        <w:tab/>
        <w:t>De las 58 actividades programadas en relación con este componente, 19 ya se ejecutaron, 5 se están llevando a cabo y 34 no se realizaron. Los principales logros en lo que respecta a este componente son:</w:t>
      </w:r>
    </w:p>
    <w:p w:rsidR="001E7BB4" w:rsidRPr="007930B0" w:rsidRDefault="001E7BB4" w:rsidP="009B4410">
      <w:pPr>
        <w:pStyle w:val="SingleTxtG"/>
        <w:ind w:firstLine="567"/>
        <w:rPr>
          <w:lang w:val="es-ES"/>
        </w:rPr>
      </w:pPr>
      <w:r w:rsidRPr="007930B0">
        <w:rPr>
          <w:lang w:val="es-ES"/>
        </w:rPr>
        <w:t>a)</w:t>
      </w:r>
      <w:r w:rsidRPr="007930B0">
        <w:rPr>
          <w:lang w:val="es-ES"/>
        </w:rPr>
        <w:tab/>
        <w:t xml:space="preserve">En materia de equipos, los principales logros durante el período que abarca el presente informe fueron la adquisición de equipos de computadora para la Universidad de Nuakchot (60 configuraciones informáticas, 5 impresoras, 5 servidores, 2 fotocopiadoras, etc.), la adquisición de equipos para las carreras profesionales de la universidad (410 computadoras, 5 computadoras portátiles, 4 fotocopiadoras, etc.), la adquisición de equipos y mobiliario para la Universidad de Nuakchot (17 escritorios, 55 mesas de computadora, 70 sillas, etc.) y la adquisición de 4 lotes de equipo para los talleres de mecánica, electricidad, electrónica e informática de las instituciones de FTP. Además, se acaba de llamar a una licitación para la compra de equipo de laboratorio para la enseñanza superior técnica; </w:t>
      </w:r>
    </w:p>
    <w:p w:rsidR="001E7BB4" w:rsidRPr="007930B0" w:rsidRDefault="001E7BB4" w:rsidP="009B4410">
      <w:pPr>
        <w:pStyle w:val="SingleTxtG"/>
        <w:ind w:firstLine="567"/>
        <w:rPr>
          <w:lang w:val="es-ES"/>
        </w:rPr>
      </w:pPr>
      <w:r w:rsidRPr="007930B0">
        <w:rPr>
          <w:lang w:val="es-ES"/>
        </w:rPr>
        <w:t>b)</w:t>
      </w:r>
      <w:r w:rsidRPr="007930B0">
        <w:rPr>
          <w:lang w:val="es-ES"/>
        </w:rPr>
        <w:tab/>
        <w:t>En el ámbito de la construcción, se destaca el inicio de las obras de construcción del Instituto Superior de Enseñanza Tecnológica de Rosso y la rehabilitación de varias instituciones de FTP. Cabe señalar a este respecto que la empresa encargada de los estudios arquitectónicos del futuro campus de la Universidad de Nuakchot acaba de presentar el Anteproyecto resumido de dichos estudios;</w:t>
      </w:r>
    </w:p>
    <w:p w:rsidR="001E7BB4" w:rsidRPr="007930B0" w:rsidRDefault="001E7BB4" w:rsidP="009B4410">
      <w:pPr>
        <w:pStyle w:val="SingleTxtG"/>
        <w:ind w:firstLine="567"/>
        <w:rPr>
          <w:lang w:val="es-ES"/>
        </w:rPr>
      </w:pPr>
      <w:r w:rsidRPr="007930B0">
        <w:rPr>
          <w:lang w:val="es-ES"/>
        </w:rPr>
        <w:t>c)</w:t>
      </w:r>
      <w:r w:rsidRPr="007930B0">
        <w:rPr>
          <w:lang w:val="es-ES"/>
        </w:rPr>
        <w:tab/>
        <w:t>En materia de capacitación, se realizaron las siguientes actividades: la organización de un viaje de estudios en beneficio del equipo del Fondo Nacional de Apoyo a la Investigación Científica, la financiación de un viaje de estudios para la implantación del sistema de Licenciatura, Maestría y Doctorado, la formación de diez jefes de servicio para las instituciones de FTP, la organización de una actividad de capacitación local en el marco de un hermanamiento en ingeniería de capacitación, y la formación pedagógica y técnica de los docentes de FTP;</w:t>
      </w:r>
    </w:p>
    <w:p w:rsidR="001E7BB4" w:rsidRPr="007930B0" w:rsidRDefault="001E7BB4" w:rsidP="009B4410">
      <w:pPr>
        <w:pStyle w:val="SingleTxtG"/>
        <w:ind w:firstLine="567"/>
        <w:rPr>
          <w:lang w:val="es-ES"/>
        </w:rPr>
      </w:pPr>
      <w:r w:rsidRPr="007930B0">
        <w:rPr>
          <w:lang w:val="es-ES"/>
        </w:rPr>
        <w:t>d)</w:t>
      </w:r>
      <w:r w:rsidRPr="007930B0">
        <w:rPr>
          <w:lang w:val="es-ES"/>
        </w:rPr>
        <w:tab/>
        <w:t>En materia de asistencia técnica, cabe citar, en particular, la implementación de un hermanamiento en ingeniería de capacitación en beneficio de las instituciones de FTP; la publicación, por parte del Instituto Nacional de Promoción de la Formación Técnica y Profesional, del informe de la encuesta anual sobre la inserción de los egresados de la FTP en 2004; la finalización del estudio sobre las nuevas modalidades de capacitación; el inicio del proceso de movilización de asistencia técnica en materia de ingeniería para el Fondo Autónomo de Promoción de la Formación Técnica y Profesional y la movilización de apoyo técnico para los estudios arquitectónicos y técnicos del Campus Universitario de Nuakchot;</w:t>
      </w:r>
    </w:p>
    <w:p w:rsidR="001E7BB4" w:rsidRPr="007930B0" w:rsidRDefault="001E7BB4" w:rsidP="009B4410">
      <w:pPr>
        <w:pStyle w:val="SingleTxtG"/>
        <w:ind w:firstLine="567"/>
        <w:rPr>
          <w:lang w:val="es-ES"/>
        </w:rPr>
      </w:pPr>
      <w:r w:rsidRPr="007930B0">
        <w:rPr>
          <w:lang w:val="es-ES"/>
        </w:rPr>
        <w:t>e)</w:t>
      </w:r>
      <w:r w:rsidRPr="007930B0">
        <w:rPr>
          <w:lang w:val="es-ES"/>
        </w:rPr>
        <w:tab/>
        <w:t>En lo que respecta a los fondos de apoyo, el Fondo Autónomo de Promoción de la FTP y el Fondo Nacional de Apoyo a la Investigación Científica continuaron con sus actividades normales. En este contexto se presentaron 82 solicitudes ante el Fondo Autónomo de Promoción de la FTP, de las cuales 51 fueron aprobadas. Los proyectos de investigación que respalda el Fondo Nacional de Apoyo a la Investigación Científica avanzan en condiciones aceptables.</w:t>
      </w:r>
    </w:p>
    <w:p w:rsidR="001E7BB4" w:rsidRPr="007930B0" w:rsidRDefault="001E7BB4" w:rsidP="009B4410">
      <w:pPr>
        <w:pStyle w:val="H23G"/>
        <w:rPr>
          <w:lang w:val="es-ES"/>
        </w:rPr>
      </w:pPr>
      <w:r w:rsidRPr="007930B0">
        <w:rPr>
          <w:lang w:val="es-ES"/>
        </w:rPr>
        <w:tab/>
      </w:r>
      <w:r w:rsidRPr="007930B0">
        <w:rPr>
          <w:lang w:val="es-ES"/>
        </w:rPr>
        <w:tab/>
        <w:t>Efectos prácticos de la política de igualdad de acceso y promoción de la alfabetización</w:t>
      </w:r>
    </w:p>
    <w:p w:rsidR="001E7BB4" w:rsidRPr="007930B0" w:rsidRDefault="001E7BB4" w:rsidP="009B4410">
      <w:pPr>
        <w:pStyle w:val="H4G"/>
        <w:rPr>
          <w:lang w:val="es-ES"/>
        </w:rPr>
      </w:pPr>
      <w:r w:rsidRPr="007930B0">
        <w:rPr>
          <w:lang w:val="es-ES"/>
        </w:rPr>
        <w:tab/>
      </w:r>
      <w:r w:rsidRPr="007930B0">
        <w:rPr>
          <w:lang w:val="es-ES"/>
        </w:rPr>
        <w:tab/>
        <w:t>Proporción hombres/mujeres en las actividades destinadas a promover la alfabetización</w:t>
      </w:r>
    </w:p>
    <w:p w:rsidR="001E7BB4" w:rsidRPr="007930B0" w:rsidRDefault="001E7BB4" w:rsidP="0068666F">
      <w:pPr>
        <w:pStyle w:val="SingleTxtG"/>
        <w:rPr>
          <w:lang w:val="es-ES"/>
        </w:rPr>
      </w:pPr>
      <w:r w:rsidRPr="007930B0">
        <w:rPr>
          <w:lang w:val="es-ES"/>
        </w:rPr>
        <w:t>480.</w:t>
      </w:r>
      <w:r w:rsidRPr="007930B0">
        <w:rPr>
          <w:lang w:val="es-ES"/>
        </w:rPr>
        <w:tab/>
        <w:t>Las políticas de educación han permitido reducir el analfabetismo, que ha disminuido claramente al pasar de 70% en 1988 a 54,7% en 2000 y a 39,4% en 2004.</w:t>
      </w:r>
    </w:p>
    <w:p w:rsidR="001E7BB4" w:rsidRPr="007930B0" w:rsidRDefault="001E7BB4" w:rsidP="009B4410">
      <w:pPr>
        <w:pStyle w:val="Bullet1G"/>
        <w:rPr>
          <w:lang w:val="es-ES"/>
        </w:rPr>
      </w:pPr>
      <w:r w:rsidRPr="007930B0">
        <w:rPr>
          <w:lang w:val="es-ES"/>
        </w:rPr>
        <w:t>La encuesta EPCV 2004 revela que 56,7% de los mauritanos de más de 15 años están alfabetizados;</w:t>
      </w:r>
    </w:p>
    <w:p w:rsidR="001E7BB4" w:rsidRPr="007930B0" w:rsidRDefault="001E7BB4" w:rsidP="009B4410">
      <w:pPr>
        <w:pStyle w:val="Bullet1G"/>
        <w:rPr>
          <w:lang w:val="es-ES"/>
        </w:rPr>
      </w:pPr>
      <w:r w:rsidRPr="007930B0">
        <w:rPr>
          <w:lang w:val="es-ES"/>
        </w:rPr>
        <w:t>Las disparidades en materia de alfabetización varían según el sexo, la edad, el lugar de residencia y los grupos socioeconómicos;</w:t>
      </w:r>
    </w:p>
    <w:p w:rsidR="001E7BB4" w:rsidRPr="007930B0" w:rsidRDefault="001E7BB4" w:rsidP="009B4410">
      <w:pPr>
        <w:pStyle w:val="Bullet1G"/>
        <w:rPr>
          <w:lang w:val="es-ES"/>
        </w:rPr>
      </w:pPr>
      <w:r w:rsidRPr="007930B0">
        <w:rPr>
          <w:lang w:val="es-ES"/>
        </w:rPr>
        <w:t>La tasa de alfabetización de los hombres supera en 17 puntos a la de las mujeres: el 64,6% de los hombres están alfabetizados frente al 47,5% de las mujeres.</w:t>
      </w:r>
    </w:p>
    <w:p w:rsidR="001E7BB4" w:rsidRPr="007930B0" w:rsidRDefault="001E7BB4" w:rsidP="0068666F">
      <w:pPr>
        <w:pStyle w:val="SingleTxtG"/>
        <w:rPr>
          <w:lang w:val="es-ES"/>
        </w:rPr>
      </w:pPr>
      <w:r w:rsidRPr="007930B0">
        <w:rPr>
          <w:lang w:val="es-ES"/>
        </w:rPr>
        <w:t>481.</w:t>
      </w:r>
      <w:r w:rsidRPr="007930B0">
        <w:rPr>
          <w:lang w:val="es-ES"/>
        </w:rPr>
        <w:tab/>
        <w:t xml:space="preserve">Las diferencias entre los sexos son mucho más marcadas en los segmentos de mayor edad: la tasa de alfabetización es dos veces más elevada en los hombres de 45 o más años de edad, que en las mujeres del mismo grupo etario. </w:t>
      </w:r>
    </w:p>
    <w:p w:rsidR="001E7BB4" w:rsidRPr="007930B0" w:rsidRDefault="001E7BB4" w:rsidP="00CC3B6E">
      <w:pPr>
        <w:pStyle w:val="SingleTxtG"/>
        <w:rPr>
          <w:lang w:val="es-ES"/>
        </w:rPr>
      </w:pPr>
      <w:r w:rsidRPr="007930B0">
        <w:rPr>
          <w:lang w:val="es-ES"/>
        </w:rPr>
        <w:t>482.</w:t>
      </w:r>
      <w:r w:rsidRPr="007930B0">
        <w:rPr>
          <w:lang w:val="es-ES"/>
        </w:rPr>
        <w:tab/>
        <w:t xml:space="preserve">La disparidad entre hombres y mujeres se observa también entre el medio urbano y el medio rural: es más marcada en el medio rural </w:t>
      </w:r>
      <w:r w:rsidR="00CC3B6E" w:rsidRPr="007930B0">
        <w:rPr>
          <w:lang w:val="es-ES"/>
        </w:rPr>
        <w:t>—</w:t>
      </w:r>
      <w:r w:rsidRPr="007930B0">
        <w:rPr>
          <w:lang w:val="es-ES"/>
        </w:rPr>
        <w:t>36,7% de mujeres alfabetizadas frente a un 51,8% de hombres.</w:t>
      </w:r>
    </w:p>
    <w:p w:rsidR="001E7BB4" w:rsidRPr="007930B0" w:rsidRDefault="001E7BB4" w:rsidP="0068666F">
      <w:pPr>
        <w:pStyle w:val="SingleTxtG"/>
        <w:rPr>
          <w:lang w:val="es-ES"/>
        </w:rPr>
      </w:pPr>
      <w:r w:rsidRPr="007930B0">
        <w:rPr>
          <w:lang w:val="es-ES"/>
        </w:rPr>
        <w:t>483.</w:t>
      </w:r>
      <w:r w:rsidRPr="007930B0">
        <w:rPr>
          <w:lang w:val="es-ES"/>
        </w:rPr>
        <w:tab/>
        <w:t xml:space="preserve">La disparidad entre hombres y mujeres se mantiene en el interior de cada </w:t>
      </w:r>
      <w:r w:rsidR="00CD15B7" w:rsidRPr="007930B0">
        <w:rPr>
          <w:i/>
          <w:lang w:val="es-ES"/>
        </w:rPr>
        <w:t>wilaya</w:t>
      </w:r>
      <w:r w:rsidRPr="007930B0">
        <w:rPr>
          <w:lang w:val="es-ES"/>
        </w:rPr>
        <w:t xml:space="preserve">. En efecto, en las </w:t>
      </w:r>
      <w:r w:rsidRPr="007930B0">
        <w:rPr>
          <w:i/>
          <w:iCs/>
          <w:lang w:val="es-ES"/>
        </w:rPr>
        <w:t>wilayas</w:t>
      </w:r>
      <w:r w:rsidRPr="007930B0">
        <w:rPr>
          <w:lang w:val="es-ES"/>
        </w:rPr>
        <w:t xml:space="preserve"> de Hodh El Gharbi, Trarza y Assaba se registran las diferencias más importantes (entre hombres y mujeres): 20, 18 y 17 puntos respectivamente a favor de los hombres. La diferencia más pequeña entre los sexos se registra en Dakhlet Nuadhibu, con una brecha de 8,5 puntos a favor de los hombres.</w:t>
      </w:r>
    </w:p>
    <w:p w:rsidR="001E7BB4" w:rsidRPr="007930B0" w:rsidRDefault="001E7BB4" w:rsidP="009B4410">
      <w:pPr>
        <w:pStyle w:val="H4G"/>
        <w:rPr>
          <w:lang w:val="es-ES"/>
        </w:rPr>
      </w:pPr>
      <w:r w:rsidRPr="007930B0">
        <w:rPr>
          <w:lang w:val="es-ES"/>
        </w:rPr>
        <w:tab/>
      </w:r>
      <w:r w:rsidRPr="007930B0">
        <w:rPr>
          <w:lang w:val="es-ES"/>
        </w:rPr>
        <w:tab/>
        <w:t>Grupos vulnerables y desfavorecidos</w:t>
      </w:r>
    </w:p>
    <w:p w:rsidR="001E7BB4" w:rsidRPr="007930B0" w:rsidRDefault="001E7BB4" w:rsidP="0068666F">
      <w:pPr>
        <w:pStyle w:val="SingleTxtG"/>
        <w:rPr>
          <w:lang w:val="es-ES"/>
        </w:rPr>
      </w:pPr>
      <w:r w:rsidRPr="007930B0">
        <w:rPr>
          <w:lang w:val="es-ES"/>
        </w:rPr>
        <w:t>484.</w:t>
      </w:r>
      <w:r w:rsidRPr="007930B0">
        <w:rPr>
          <w:lang w:val="es-ES"/>
        </w:rPr>
        <w:tab/>
        <w:t>En el perfil de los grupos más vulnerables se siguen observando algunas características recurrentes: la posición económica de los padres, la situación geográfica de la familia y el sexo del niño.</w:t>
      </w:r>
    </w:p>
    <w:p w:rsidR="001E7BB4" w:rsidRPr="007930B0" w:rsidRDefault="001E7BB4" w:rsidP="0068666F">
      <w:pPr>
        <w:pStyle w:val="SingleTxtG"/>
        <w:rPr>
          <w:lang w:val="es-ES"/>
        </w:rPr>
      </w:pPr>
      <w:r w:rsidRPr="007930B0">
        <w:rPr>
          <w:lang w:val="es-ES"/>
        </w:rPr>
        <w:t>485.</w:t>
      </w:r>
      <w:r w:rsidRPr="007930B0">
        <w:rPr>
          <w:lang w:val="es-ES"/>
        </w:rPr>
        <w:tab/>
        <w:t>En efecto, es un hecho establecido que los niños provenientes de familias muy pobres y/o que viven en el medio rural a menudo se ven obligados a participar en la economía familiar, en detrimento de sus estudios, los que terminan abandonando.</w:t>
      </w:r>
    </w:p>
    <w:p w:rsidR="001E7BB4" w:rsidRPr="007930B0" w:rsidRDefault="001E7BB4" w:rsidP="0068666F">
      <w:pPr>
        <w:pStyle w:val="SingleTxtG"/>
        <w:rPr>
          <w:lang w:val="es-ES"/>
        </w:rPr>
      </w:pPr>
      <w:r w:rsidRPr="007930B0">
        <w:rPr>
          <w:lang w:val="es-ES"/>
        </w:rPr>
        <w:t>486.</w:t>
      </w:r>
      <w:r w:rsidRPr="007930B0">
        <w:rPr>
          <w:lang w:val="es-ES"/>
        </w:rPr>
        <w:tab/>
        <w:t>Asimismo, las niñas del medio rural están más expuestas al fenómeno de la deserción debido a la mayor influencia que ejerce en ese medio la sicología social, que las relega al papel de amas de casa.</w:t>
      </w:r>
    </w:p>
    <w:p w:rsidR="001E7BB4" w:rsidRPr="007930B0" w:rsidRDefault="001E7BB4" w:rsidP="0068666F">
      <w:pPr>
        <w:pStyle w:val="SingleTxtG"/>
        <w:rPr>
          <w:lang w:val="es-ES"/>
        </w:rPr>
      </w:pPr>
      <w:r w:rsidRPr="007930B0">
        <w:rPr>
          <w:lang w:val="es-ES"/>
        </w:rPr>
        <w:t>487.</w:t>
      </w:r>
      <w:r w:rsidRPr="007930B0">
        <w:rPr>
          <w:lang w:val="es-ES"/>
        </w:rPr>
        <w:tab/>
        <w:t>A nivel nacional cabe señalar que en 2007 la proporción de hombres/mujeres que cursaban estudios superiores era del orden del 72% frente al 28%; a pesar de la menor representación del género femenino, hay que destacar que esta cifra aumentó 2 puntos con respecto a 2006. Asimismo, entre los grupos vulnerables debe tenerse en cuenta a los niños cuya escuela queda muy lejos del lugar de residencia habitual de los padres.</w:t>
      </w:r>
    </w:p>
    <w:p w:rsidR="001E7BB4" w:rsidRPr="007930B0" w:rsidRDefault="001E7BB4" w:rsidP="0068666F">
      <w:pPr>
        <w:pStyle w:val="SingleTxtG"/>
        <w:rPr>
          <w:lang w:val="es-ES"/>
        </w:rPr>
      </w:pPr>
      <w:r w:rsidRPr="007930B0">
        <w:rPr>
          <w:lang w:val="es-ES"/>
        </w:rPr>
        <w:t>488.</w:t>
      </w:r>
      <w:r w:rsidRPr="007930B0">
        <w:rPr>
          <w:lang w:val="es-ES"/>
        </w:rPr>
        <w:tab/>
        <w:t xml:space="preserve">Según un estudio, </w:t>
      </w:r>
      <w:r w:rsidR="00CC3B6E" w:rsidRPr="007930B0">
        <w:rPr>
          <w:lang w:val="es-ES"/>
        </w:rPr>
        <w:t>"</w:t>
      </w:r>
      <w:r w:rsidRPr="007930B0">
        <w:rPr>
          <w:lang w:val="es-ES"/>
        </w:rPr>
        <w:t>Del análisis de los datos disponibles resulta que el 18,3% de los alumnos de primer año de enseñanza primaria fueron escolarizados en 2003 en una escuela que no les ofreció la posibilidad de continuar sus estudios a nivel local. Los resultados de la EPCV 2004 dejan entrever un peso significativo de la proximidad de la escuela en la retención escolar. La probabilidad de que los niños que viven a menos de 45 minutos de la escuela terminen el ciclo primario es de 66,3%. Disminuye a 51,1% en el caso de los niños que viven a más de 45 minutos. Esta encuesta reveló también que los motivos principales de deserción para el 37,5% de los niños que abandonaron la escuela antes de terminar el ciclo primario estaban relacionados con la oferta escolar: 17% estaban vinculadas a la ausencia de oferta y 20,5% a una o</w:t>
      </w:r>
      <w:r w:rsidR="00704D1B">
        <w:rPr>
          <w:lang w:val="es-ES"/>
        </w:rPr>
        <w:t>ferta inadecuada</w:t>
      </w:r>
      <w:r w:rsidR="00CC3B6E" w:rsidRPr="007930B0">
        <w:rPr>
          <w:lang w:val="es-ES"/>
        </w:rPr>
        <w:t>"</w:t>
      </w:r>
      <w:r w:rsidRPr="007930B0">
        <w:rPr>
          <w:rStyle w:val="FootnoteReference"/>
          <w:lang w:val="es-ES"/>
        </w:rPr>
        <w:footnoteReference w:id="40"/>
      </w:r>
      <w:r w:rsidR="00704D1B">
        <w:rPr>
          <w:lang w:val="es-ES"/>
        </w:rPr>
        <w:t>.</w:t>
      </w:r>
    </w:p>
    <w:p w:rsidR="001E7BB4" w:rsidRPr="007930B0" w:rsidRDefault="001E7BB4" w:rsidP="0068666F">
      <w:pPr>
        <w:pStyle w:val="SingleTxtG"/>
        <w:rPr>
          <w:lang w:val="es-ES"/>
        </w:rPr>
      </w:pPr>
      <w:r w:rsidRPr="007930B0">
        <w:rPr>
          <w:lang w:val="es-ES"/>
        </w:rPr>
        <w:t>489.</w:t>
      </w:r>
      <w:r w:rsidRPr="007930B0">
        <w:rPr>
          <w:lang w:val="es-ES"/>
        </w:rPr>
        <w:tab/>
        <w:t xml:space="preserve">Según el mismo estudio, </w:t>
      </w:r>
      <w:r w:rsidR="00CC3B6E" w:rsidRPr="007930B0">
        <w:rPr>
          <w:lang w:val="es-ES"/>
        </w:rPr>
        <w:t>"</w:t>
      </w:r>
      <w:r w:rsidRPr="007930B0">
        <w:rPr>
          <w:lang w:val="es-ES"/>
        </w:rPr>
        <w:t>En lo que se refiere a la demanda, surge de la EPCV que las características socioeconómicas del niño tienen un impacto significativo en las posibilidades de culminación de la escuela primaria. Si la familia del niño pertenece al 40% más pobre, su probabilidad de terminar el ciclo primario es en promedio de 49,3%. Esta tasa sube a 76,1% cuando la familia del niño pertenece al 20% más rico.</w:t>
      </w:r>
      <w:r w:rsidR="00CC3B6E" w:rsidRPr="007930B0">
        <w:rPr>
          <w:lang w:val="es-ES"/>
        </w:rPr>
        <w:t>"</w:t>
      </w:r>
    </w:p>
    <w:p w:rsidR="001E7BB4" w:rsidRPr="007930B0" w:rsidRDefault="001E7BB4" w:rsidP="00704D1B">
      <w:pPr>
        <w:pStyle w:val="H4G"/>
        <w:rPr>
          <w:lang w:val="es-ES"/>
        </w:rPr>
      </w:pPr>
      <w:r w:rsidRPr="007930B0">
        <w:rPr>
          <w:lang w:val="es-ES"/>
        </w:rPr>
        <w:tab/>
      </w:r>
      <w:r w:rsidRPr="007930B0">
        <w:rPr>
          <w:lang w:val="es-ES"/>
        </w:rPr>
        <w:tab/>
        <w:t>Medidas adoptadas o que se adoptarán para garantizar a todos la igualdad de acceso en todos los niveles de la enseñanza</w:t>
      </w:r>
      <w:r w:rsidRPr="007930B0">
        <w:rPr>
          <w:rStyle w:val="FootnoteReference"/>
          <w:i w:val="0"/>
          <w:lang w:val="es-ES"/>
        </w:rPr>
        <w:footnoteReference w:id="41"/>
      </w:r>
    </w:p>
    <w:p w:rsidR="001E7BB4" w:rsidRPr="007930B0" w:rsidRDefault="001E7BB4" w:rsidP="0068666F">
      <w:pPr>
        <w:pStyle w:val="SingleTxtG"/>
        <w:rPr>
          <w:lang w:val="es-ES"/>
        </w:rPr>
      </w:pPr>
      <w:r w:rsidRPr="007930B0">
        <w:rPr>
          <w:lang w:val="es-ES"/>
        </w:rPr>
        <w:t>490.</w:t>
      </w:r>
      <w:r w:rsidRPr="007930B0">
        <w:rPr>
          <w:lang w:val="es-ES"/>
        </w:rPr>
        <w:tab/>
        <w:t>El marco reglamentario expuesto precedentemente se complementa con medidas e iniciativas a favor de los docentes y sobre todo dirigidas a las poblaciones más vulnerables.</w:t>
      </w:r>
    </w:p>
    <w:p w:rsidR="001E7BB4" w:rsidRPr="007930B0" w:rsidRDefault="009B4410" w:rsidP="009B4410">
      <w:pPr>
        <w:pStyle w:val="H23G"/>
        <w:rPr>
          <w:lang w:val="es-ES"/>
        </w:rPr>
      </w:pPr>
      <w:bookmarkStart w:id="35" w:name="_Toc181177821"/>
      <w:bookmarkStart w:id="36" w:name="_Toc182650979"/>
      <w:r w:rsidRPr="007930B0">
        <w:rPr>
          <w:lang w:val="es-ES"/>
        </w:rPr>
        <w:tab/>
      </w:r>
      <w:r w:rsidRPr="007930B0">
        <w:rPr>
          <w:lang w:val="es-ES"/>
        </w:rPr>
        <w:tab/>
      </w:r>
      <w:r w:rsidR="001E7BB4" w:rsidRPr="007930B0">
        <w:rPr>
          <w:lang w:val="es-ES"/>
        </w:rPr>
        <w:t>Aumento de la capacidad de acogida</w:t>
      </w:r>
      <w:bookmarkEnd w:id="35"/>
      <w:bookmarkEnd w:id="36"/>
    </w:p>
    <w:p w:rsidR="001E7BB4" w:rsidRPr="007930B0" w:rsidRDefault="001E7BB4" w:rsidP="0068666F">
      <w:pPr>
        <w:pStyle w:val="SingleTxtG"/>
        <w:rPr>
          <w:lang w:val="es-ES"/>
        </w:rPr>
      </w:pPr>
      <w:r w:rsidRPr="007930B0">
        <w:rPr>
          <w:lang w:val="es-ES"/>
        </w:rPr>
        <w:t>491.</w:t>
      </w:r>
      <w:r w:rsidRPr="007930B0">
        <w:rPr>
          <w:lang w:val="es-ES"/>
        </w:rPr>
        <w:tab/>
        <w:t>El aumento de la capacidad de acogida de las instituciones se presenta de la siguiente manera:</w:t>
      </w:r>
    </w:p>
    <w:p w:rsidR="001E7BB4" w:rsidRPr="007930B0" w:rsidRDefault="001E7BB4" w:rsidP="009B4410">
      <w:pPr>
        <w:pStyle w:val="Bullet1G"/>
        <w:rPr>
          <w:lang w:val="es-ES"/>
        </w:rPr>
      </w:pPr>
      <w:r w:rsidRPr="007930B0">
        <w:rPr>
          <w:lang w:val="es-ES"/>
        </w:rPr>
        <w:t>La ampliación de la red de enseñanza primaria, en particular en el medio rural, refleja la voluntad política de reducir las disparidades y permite acercar la escuela al niño. La implementación del PNDSE (examen de mitad de período del PNDSE, abril de 2005) prevé un programa de construcción de más de 2.000 aulas, que está por terminar, y la re</w:t>
      </w:r>
      <w:r w:rsidR="009B4410" w:rsidRPr="007930B0">
        <w:rPr>
          <w:lang w:val="es-ES"/>
        </w:rPr>
        <w:t>habilitación de varias escuelas.</w:t>
      </w:r>
    </w:p>
    <w:p w:rsidR="001E7BB4" w:rsidRPr="007930B0" w:rsidRDefault="001E7BB4" w:rsidP="009B4410">
      <w:pPr>
        <w:pStyle w:val="Bullet1G"/>
        <w:rPr>
          <w:lang w:val="es-ES"/>
        </w:rPr>
      </w:pPr>
      <w:r w:rsidRPr="007930B0">
        <w:rPr>
          <w:lang w:val="es-ES"/>
        </w:rPr>
        <w:t xml:space="preserve">El reagrupamiento de algunas escuelas de estructura frágil para constituir escuelas de ciclo completo que ofrezcan a los niños una continuidad pedagógica hasta el final del ciclo iniciado. Esta medida fue muy difícil de aplicar en algunas regiones debido a sus particularidades políticas. Sin embargo, en los lugares donde fue posible aplicarla, se registraron resultados importantes en términos de retención escolar y un mejor aprovechamiento de los recursos, </w:t>
      </w:r>
      <w:r w:rsidR="009B4410" w:rsidRPr="007930B0">
        <w:rPr>
          <w:lang w:val="es-ES"/>
        </w:rPr>
        <w:t>sobre todo del personal docente.</w:t>
      </w:r>
    </w:p>
    <w:p w:rsidR="001E7BB4" w:rsidRPr="007930B0" w:rsidRDefault="001E7BB4" w:rsidP="009B4410">
      <w:pPr>
        <w:pStyle w:val="Bullet1G"/>
        <w:rPr>
          <w:lang w:val="es-ES"/>
        </w:rPr>
      </w:pPr>
      <w:r w:rsidRPr="007930B0">
        <w:rPr>
          <w:lang w:val="es-ES"/>
        </w:rPr>
        <w:t>La creación de institutos de enseñanza secundaria de proximidad (la construcción de 45 institutos en el marco del PNDSE) para evitar que los alumnos dejen de estudiar tras finalizar el ciclo primario, lo que sucede muy a menudo cuando los niños deben alejarse de sus familias para continuar sus estudios secundarios en otra parte. Este fenómeno es aún más acentuado en el caso de las niñas. En las localidades pequeñas, el número de alumnos es tan reducido que no es posible abrir un instituto de proximidad; se asignan medios de transporte, por ejemplo minibuses, a los comités locales de padres para que lleven a las niñas a los institutos de enseñanza.</w:t>
      </w:r>
    </w:p>
    <w:p w:rsidR="001E7BB4" w:rsidRPr="007930B0" w:rsidRDefault="009B4410" w:rsidP="009B4410">
      <w:pPr>
        <w:pStyle w:val="H23G"/>
        <w:rPr>
          <w:lang w:val="es-ES"/>
        </w:rPr>
      </w:pPr>
      <w:bookmarkStart w:id="37" w:name="_Toc181177822"/>
      <w:bookmarkStart w:id="38" w:name="_Toc182650980"/>
      <w:r w:rsidRPr="007930B0">
        <w:rPr>
          <w:lang w:val="es-ES"/>
        </w:rPr>
        <w:tab/>
      </w:r>
      <w:r w:rsidRPr="007930B0">
        <w:rPr>
          <w:lang w:val="es-ES"/>
        </w:rPr>
        <w:tab/>
      </w:r>
      <w:r w:rsidR="001E7BB4" w:rsidRPr="007930B0">
        <w:rPr>
          <w:lang w:val="es-ES"/>
        </w:rPr>
        <w:t xml:space="preserve">Aumento del número de </w:t>
      </w:r>
      <w:bookmarkEnd w:id="37"/>
      <w:bookmarkEnd w:id="38"/>
      <w:r w:rsidR="001E7BB4" w:rsidRPr="007930B0">
        <w:rPr>
          <w:lang w:val="es-ES"/>
        </w:rPr>
        <w:t>docentes</w:t>
      </w:r>
    </w:p>
    <w:p w:rsidR="001E7BB4" w:rsidRPr="007930B0" w:rsidRDefault="001E7BB4" w:rsidP="0068666F">
      <w:pPr>
        <w:pStyle w:val="SingleTxtG"/>
        <w:rPr>
          <w:lang w:val="es-ES"/>
        </w:rPr>
      </w:pPr>
      <w:r w:rsidRPr="007930B0">
        <w:rPr>
          <w:lang w:val="es-ES"/>
        </w:rPr>
        <w:t>492.</w:t>
      </w:r>
      <w:r w:rsidRPr="007930B0">
        <w:rPr>
          <w:lang w:val="es-ES"/>
        </w:rPr>
        <w:tab/>
        <w:t>Se ha contratado a auxiliares (jubilados y graduados en situación de desempleo) para hacer frente a la necesidad de docentes creada por el aumento del número de escuelas e institutos de enseñanza, y acercar lo más posible la infraestructura a los estudiantes. Esta contratación no afecta en absoluto las previsiones del Programa nacional desarrollo del sector de la enseñanza (600 maestros y 150 profesores por año de 2001 a 2005 y desde 2006 hasta 2010 para llevar el número de profesores a 250 por año).</w:t>
      </w:r>
    </w:p>
    <w:p w:rsidR="001E7BB4" w:rsidRPr="007930B0" w:rsidRDefault="009B4410" w:rsidP="009B4410">
      <w:pPr>
        <w:pStyle w:val="H23G"/>
        <w:rPr>
          <w:lang w:val="es-ES"/>
        </w:rPr>
      </w:pPr>
      <w:r w:rsidRPr="007930B0">
        <w:rPr>
          <w:lang w:val="es-ES"/>
        </w:rPr>
        <w:tab/>
      </w:r>
      <w:r w:rsidRPr="007930B0">
        <w:rPr>
          <w:lang w:val="es-ES"/>
        </w:rPr>
        <w:tab/>
      </w:r>
      <w:r w:rsidR="001E7BB4" w:rsidRPr="007930B0">
        <w:rPr>
          <w:lang w:val="es-ES"/>
        </w:rPr>
        <w:t>Primas de estímulo</w:t>
      </w:r>
    </w:p>
    <w:p w:rsidR="001E7BB4" w:rsidRPr="007930B0" w:rsidRDefault="001E7BB4" w:rsidP="0068666F">
      <w:pPr>
        <w:pStyle w:val="SingleTxtG"/>
        <w:rPr>
          <w:lang w:val="es-ES"/>
        </w:rPr>
      </w:pPr>
      <w:r w:rsidRPr="007930B0">
        <w:rPr>
          <w:lang w:val="es-ES"/>
        </w:rPr>
        <w:t>493.</w:t>
      </w:r>
      <w:r w:rsidRPr="007930B0">
        <w:rPr>
          <w:lang w:val="es-ES"/>
        </w:rPr>
        <w:tab/>
        <w:t xml:space="preserve">Se han establecido </w:t>
      </w:r>
      <w:r w:rsidRPr="007930B0">
        <w:rPr>
          <w:b/>
          <w:lang w:val="es-ES"/>
        </w:rPr>
        <w:t>primas de lejanía</w:t>
      </w:r>
      <w:r w:rsidRPr="007930B0">
        <w:rPr>
          <w:lang w:val="es-ES"/>
        </w:rPr>
        <w:t xml:space="preserve"> para alentar a los docentes a que acepten trabajar en las zonas más alejadas del país. Se constató que las escuelas primarias y las instituciones de enseñanza de las zonas más aisladas registraban las tasas de inasistencia más altas y que la finalización de los programas era allí dos veces menor que en las demás regiones urbanas. Más del 40% de los maestros y profesores perciben estas primas de lejanía.</w:t>
      </w:r>
    </w:p>
    <w:p w:rsidR="001E7BB4" w:rsidRPr="007930B0" w:rsidRDefault="001E7BB4" w:rsidP="0068666F">
      <w:pPr>
        <w:pStyle w:val="SingleTxtG"/>
        <w:rPr>
          <w:lang w:val="es-ES"/>
        </w:rPr>
      </w:pPr>
      <w:r w:rsidRPr="007930B0">
        <w:rPr>
          <w:lang w:val="es-ES"/>
        </w:rPr>
        <w:t>494.</w:t>
      </w:r>
      <w:r w:rsidRPr="007930B0">
        <w:rPr>
          <w:lang w:val="es-ES"/>
        </w:rPr>
        <w:tab/>
        <w:t xml:space="preserve">Se instauró una </w:t>
      </w:r>
      <w:r w:rsidR="00CC3B6E" w:rsidRPr="007930B0">
        <w:rPr>
          <w:lang w:val="es-ES"/>
        </w:rPr>
        <w:t>"</w:t>
      </w:r>
      <w:r w:rsidRPr="007930B0">
        <w:rPr>
          <w:b/>
          <w:lang w:val="es-ES"/>
        </w:rPr>
        <w:t>prima de tiza</w:t>
      </w:r>
      <w:r w:rsidR="00CC3B6E" w:rsidRPr="007930B0">
        <w:rPr>
          <w:lang w:val="es-ES"/>
        </w:rPr>
        <w:t>"</w:t>
      </w:r>
      <w:r w:rsidRPr="007930B0">
        <w:rPr>
          <w:lang w:val="es-ES"/>
        </w:rPr>
        <w:t xml:space="preserve"> para los docentes que sólo se dedican a enseñar. Esta prima de tiza apunta a alentar a los docentes a que permanezcan en las aulas y a frenar la avalancha hacia los cargos administrativos (Director de estudios, Inspector general). El monto de esta prima es igual a la remuneración por función que percibe un director de estudios, y superior a la que recibe un inspector general. </w:t>
      </w:r>
    </w:p>
    <w:p w:rsidR="001E7BB4" w:rsidRPr="007930B0" w:rsidRDefault="001E7BB4" w:rsidP="0068666F">
      <w:pPr>
        <w:pStyle w:val="SingleTxtG"/>
        <w:rPr>
          <w:lang w:val="es-ES"/>
        </w:rPr>
      </w:pPr>
      <w:r w:rsidRPr="007930B0">
        <w:rPr>
          <w:lang w:val="es-ES"/>
        </w:rPr>
        <w:t>495.</w:t>
      </w:r>
      <w:r w:rsidRPr="007930B0">
        <w:rPr>
          <w:lang w:val="es-ES"/>
        </w:rPr>
        <w:tab/>
        <w:t xml:space="preserve">Ambas primas, tanto la de lejanía como la de tiza, se pagan únicamente contra la presentación de un certificado de asistencia regular firmado por el Director de la escuela o persona a cargo de la institución. Las inasistencias de maestros y profesores han disminuido considerablemente como resultado de estas medidas. Esto ha contribuido al aumento de la tasa de finalización de los programas y a la mejora de la calidad de las clases dictadas. </w:t>
      </w:r>
    </w:p>
    <w:p w:rsidR="001E7BB4" w:rsidRPr="007930B0" w:rsidRDefault="001E7BB4" w:rsidP="0068666F">
      <w:pPr>
        <w:pStyle w:val="SingleTxtG"/>
        <w:rPr>
          <w:lang w:val="es-ES"/>
        </w:rPr>
      </w:pPr>
      <w:r w:rsidRPr="007930B0">
        <w:rPr>
          <w:lang w:val="es-ES"/>
        </w:rPr>
        <w:t>496.</w:t>
      </w:r>
      <w:r w:rsidRPr="007930B0">
        <w:rPr>
          <w:lang w:val="es-ES"/>
        </w:rPr>
        <w:tab/>
        <w:t>La generalización del Enfoque por Competencias (APC) ha hecho que las prácticas pedagógicas sean más atractivas para los alumnos, quienes a veces consideraban que algunos cursos eran demasiado teóricos y muy aburridos.</w:t>
      </w:r>
    </w:p>
    <w:p w:rsidR="001E7BB4" w:rsidRPr="007930B0" w:rsidRDefault="001E7BB4" w:rsidP="0068666F">
      <w:pPr>
        <w:pStyle w:val="SingleTxtG"/>
        <w:rPr>
          <w:lang w:val="es-ES"/>
        </w:rPr>
      </w:pPr>
      <w:r w:rsidRPr="007930B0">
        <w:rPr>
          <w:lang w:val="es-ES"/>
        </w:rPr>
        <w:t>497.</w:t>
      </w:r>
      <w:r w:rsidRPr="007930B0">
        <w:rPr>
          <w:lang w:val="es-ES"/>
        </w:rPr>
        <w:tab/>
        <w:t>Todos los docentes de enseñanza primaria y del primer ciclo de enseñanza secundaria se han formado sobre la base de este enfoque.</w:t>
      </w:r>
    </w:p>
    <w:p w:rsidR="001E7BB4" w:rsidRPr="007930B0" w:rsidRDefault="009B4410" w:rsidP="009B4410">
      <w:pPr>
        <w:pStyle w:val="H23G"/>
        <w:rPr>
          <w:lang w:val="es-ES"/>
        </w:rPr>
      </w:pPr>
      <w:bookmarkStart w:id="39" w:name="_Toc181177823"/>
      <w:bookmarkStart w:id="40" w:name="_Toc182650981"/>
      <w:r w:rsidRPr="007930B0">
        <w:rPr>
          <w:lang w:val="es-ES"/>
        </w:rPr>
        <w:tab/>
      </w:r>
      <w:r w:rsidRPr="007930B0">
        <w:rPr>
          <w:lang w:val="es-ES"/>
        </w:rPr>
        <w:tab/>
      </w:r>
      <w:r w:rsidR="001E7BB4" w:rsidRPr="007930B0">
        <w:rPr>
          <w:lang w:val="es-ES"/>
        </w:rPr>
        <w:t>Escolarización de las niñas</w:t>
      </w:r>
      <w:bookmarkEnd w:id="39"/>
      <w:bookmarkEnd w:id="40"/>
    </w:p>
    <w:p w:rsidR="001E7BB4" w:rsidRPr="007930B0" w:rsidRDefault="001E7BB4" w:rsidP="0068666F">
      <w:pPr>
        <w:pStyle w:val="SingleTxtG"/>
        <w:rPr>
          <w:lang w:val="es-ES"/>
        </w:rPr>
      </w:pPr>
      <w:r w:rsidRPr="007930B0">
        <w:rPr>
          <w:lang w:val="es-ES"/>
        </w:rPr>
        <w:t>498.</w:t>
      </w:r>
      <w:r w:rsidRPr="007930B0">
        <w:rPr>
          <w:lang w:val="es-ES"/>
        </w:rPr>
        <w:tab/>
        <w:t xml:space="preserve">En coordinación con el Ministerio encargado de la mujer y el niño, se otorgan </w:t>
      </w:r>
      <w:r w:rsidRPr="007930B0">
        <w:rPr>
          <w:b/>
          <w:lang w:val="es-ES"/>
        </w:rPr>
        <w:t>premios para recompensar a las niñas que se destacan</w:t>
      </w:r>
      <w:r w:rsidRPr="007930B0">
        <w:rPr>
          <w:lang w:val="es-ES"/>
        </w:rPr>
        <w:t xml:space="preserve"> en los diferentes exámenes nacionales.</w:t>
      </w:r>
      <w:r w:rsidR="00CC3B6E" w:rsidRPr="007930B0">
        <w:rPr>
          <w:lang w:val="es-ES"/>
        </w:rPr>
        <w:t xml:space="preserve"> </w:t>
      </w:r>
    </w:p>
    <w:p w:rsidR="001E7BB4" w:rsidRPr="007930B0" w:rsidRDefault="001E7BB4" w:rsidP="0068666F">
      <w:pPr>
        <w:pStyle w:val="SingleTxtG"/>
        <w:rPr>
          <w:lang w:val="es-ES"/>
        </w:rPr>
      </w:pPr>
      <w:r w:rsidRPr="007930B0">
        <w:rPr>
          <w:lang w:val="es-ES"/>
        </w:rPr>
        <w:t>499.</w:t>
      </w:r>
      <w:r w:rsidRPr="007930B0">
        <w:rPr>
          <w:lang w:val="es-ES"/>
        </w:rPr>
        <w:tab/>
        <w:t xml:space="preserve">Se presta apoyo a las comunidades mediante el </w:t>
      </w:r>
      <w:r w:rsidRPr="007930B0">
        <w:rPr>
          <w:b/>
          <w:lang w:val="es-ES"/>
        </w:rPr>
        <w:t>pago de la vivienda</w:t>
      </w:r>
      <w:r w:rsidRPr="007930B0">
        <w:rPr>
          <w:lang w:val="es-ES"/>
        </w:rPr>
        <w:t xml:space="preserve"> y el </w:t>
      </w:r>
      <w:r w:rsidRPr="007930B0">
        <w:rPr>
          <w:b/>
          <w:lang w:val="es-ES"/>
        </w:rPr>
        <w:t xml:space="preserve">alojamiento </w:t>
      </w:r>
      <w:r w:rsidRPr="007930B0">
        <w:rPr>
          <w:lang w:val="es-ES"/>
        </w:rPr>
        <w:t>de las niñas desplazadas y la creación de actividades generadoras de ingresos para las Asociaciones de Madres Educadoras (huertas, pequeños comercios, talleres de costura, peluquerías, etc.)</w:t>
      </w:r>
    </w:p>
    <w:p w:rsidR="001E7BB4" w:rsidRPr="007930B0" w:rsidRDefault="001E7BB4" w:rsidP="0068666F">
      <w:pPr>
        <w:pStyle w:val="SingleTxtG"/>
        <w:rPr>
          <w:lang w:val="es-ES"/>
        </w:rPr>
      </w:pPr>
      <w:r w:rsidRPr="007930B0">
        <w:rPr>
          <w:lang w:val="es-ES"/>
        </w:rPr>
        <w:t>500.</w:t>
      </w:r>
      <w:r w:rsidRPr="007930B0">
        <w:rPr>
          <w:lang w:val="es-ES"/>
        </w:rPr>
        <w:tab/>
        <w:t xml:space="preserve">Se </w:t>
      </w:r>
      <w:r w:rsidRPr="007930B0">
        <w:rPr>
          <w:b/>
          <w:lang w:val="es-ES"/>
        </w:rPr>
        <w:t xml:space="preserve">difunden </w:t>
      </w:r>
      <w:r w:rsidR="0095166A" w:rsidRPr="007930B0">
        <w:rPr>
          <w:b/>
          <w:lang w:val="es-ES"/>
        </w:rPr>
        <w:t>eslóganes</w:t>
      </w:r>
      <w:r w:rsidRPr="007930B0">
        <w:rPr>
          <w:lang w:val="es-ES"/>
        </w:rPr>
        <w:t xml:space="preserve"> (calendarios, cuadernos) </w:t>
      </w:r>
      <w:r w:rsidRPr="007930B0">
        <w:rPr>
          <w:b/>
          <w:lang w:val="es-ES"/>
        </w:rPr>
        <w:t>a favor de la escolarización de las niñas</w:t>
      </w:r>
      <w:r w:rsidRPr="007930B0">
        <w:rPr>
          <w:lang w:val="es-ES"/>
        </w:rPr>
        <w:t xml:space="preserve"> por parte de mujeres modelo. Además de estos </w:t>
      </w:r>
      <w:r w:rsidR="0095166A" w:rsidRPr="007930B0">
        <w:rPr>
          <w:lang w:val="es-ES"/>
        </w:rPr>
        <w:t>eslóganes</w:t>
      </w:r>
      <w:r w:rsidRPr="007930B0">
        <w:rPr>
          <w:lang w:val="es-ES"/>
        </w:rPr>
        <w:t>, al final de cada año escolar el Ministerio organiza un encuentro en el que reúne a las niñas premiadas por las composiciones de fin de año de cada institución con mujeres que ejercen altos cargos o que han tenido éxito en su vida profesional (médicas, profesoras, directoras, abogadas, etc.). Estos encuentros apuntan a mostrar a las niñas que el éxito es posible aun para las niñas provenientes de medios poco favorables.</w:t>
      </w:r>
    </w:p>
    <w:p w:rsidR="001E7BB4" w:rsidRPr="007930B0" w:rsidRDefault="001E7BB4" w:rsidP="0068666F">
      <w:pPr>
        <w:pStyle w:val="SingleTxtG"/>
        <w:rPr>
          <w:lang w:val="es-ES"/>
        </w:rPr>
      </w:pPr>
      <w:r w:rsidRPr="007930B0">
        <w:rPr>
          <w:lang w:val="es-ES"/>
        </w:rPr>
        <w:t>501.</w:t>
      </w:r>
      <w:r w:rsidRPr="007930B0">
        <w:rPr>
          <w:lang w:val="es-ES"/>
        </w:rPr>
        <w:tab/>
        <w:t>Todas estas medidas, cuyo objetivo es lograr una mayor equidad, han permitido alcanzar la paridad entre niñas y varones en la enseñanza primaria. Además, el porcentaje de niñas en la enseñanza secundaria no ha dejado de au</w:t>
      </w:r>
      <w:r w:rsidR="00315B1E">
        <w:rPr>
          <w:lang w:val="es-ES"/>
        </w:rPr>
        <w:t>mentar: en 2005 estaba cerca de </w:t>
      </w:r>
      <w:r w:rsidRPr="007930B0">
        <w:rPr>
          <w:lang w:val="es-ES"/>
        </w:rPr>
        <w:t xml:space="preserve">45%. </w:t>
      </w:r>
    </w:p>
    <w:p w:rsidR="001E7BB4" w:rsidRPr="007930B0" w:rsidRDefault="001E7BB4" w:rsidP="0068666F">
      <w:pPr>
        <w:pStyle w:val="SingleTxtG"/>
        <w:rPr>
          <w:lang w:val="es-ES"/>
        </w:rPr>
      </w:pPr>
      <w:r w:rsidRPr="007930B0">
        <w:rPr>
          <w:lang w:val="es-ES"/>
        </w:rPr>
        <w:t>502.</w:t>
      </w:r>
      <w:r w:rsidRPr="007930B0">
        <w:rPr>
          <w:lang w:val="es-ES"/>
        </w:rPr>
        <w:tab/>
      </w:r>
      <w:r w:rsidRPr="007930B0">
        <w:rPr>
          <w:b/>
          <w:lang w:val="es-ES"/>
        </w:rPr>
        <w:t xml:space="preserve">Se otorgan becas </w:t>
      </w:r>
      <w:r w:rsidRPr="007930B0">
        <w:rPr>
          <w:lang w:val="es-ES"/>
        </w:rPr>
        <w:t>por razones pedagógicas</w:t>
      </w:r>
      <w:r w:rsidRPr="007930B0">
        <w:rPr>
          <w:b/>
          <w:lang w:val="es-ES"/>
        </w:rPr>
        <w:t xml:space="preserve"> a todos los alumnos desplazados</w:t>
      </w:r>
      <w:r w:rsidRPr="007930B0">
        <w:rPr>
          <w:lang w:val="es-ES"/>
        </w:rPr>
        <w:t xml:space="preserve"> y </w:t>
      </w:r>
      <w:r w:rsidRPr="007930B0">
        <w:rPr>
          <w:b/>
          <w:lang w:val="es-ES"/>
        </w:rPr>
        <w:t>se da prioridad a las niñas</w:t>
      </w:r>
      <w:r w:rsidRPr="007930B0">
        <w:rPr>
          <w:lang w:val="es-ES"/>
        </w:rPr>
        <w:t>. Esta medida fue acompañada de la formación de profesores polivalentes para el primer ciclo, lo que permite abarcar todas las disciplinas enseñadas con un mínimo de profesores.</w:t>
      </w:r>
    </w:p>
    <w:p w:rsidR="001E7BB4" w:rsidRPr="007930B0" w:rsidRDefault="00BF1009" w:rsidP="00BF1009">
      <w:pPr>
        <w:pStyle w:val="H23G"/>
        <w:rPr>
          <w:lang w:val="es-ES"/>
        </w:rPr>
      </w:pPr>
      <w:bookmarkStart w:id="41" w:name="_Toc181177824"/>
      <w:bookmarkStart w:id="42" w:name="_Toc182650982"/>
      <w:r w:rsidRPr="007930B0">
        <w:rPr>
          <w:lang w:val="es-ES"/>
        </w:rPr>
        <w:tab/>
      </w:r>
      <w:r w:rsidRPr="007930B0">
        <w:rPr>
          <w:lang w:val="es-ES"/>
        </w:rPr>
        <w:tab/>
      </w:r>
      <w:r w:rsidR="001E7BB4" w:rsidRPr="007930B0">
        <w:rPr>
          <w:lang w:val="es-ES"/>
        </w:rPr>
        <w:t>Eliminación de la repetición</w:t>
      </w:r>
      <w:bookmarkEnd w:id="41"/>
      <w:bookmarkEnd w:id="42"/>
    </w:p>
    <w:p w:rsidR="001E7BB4" w:rsidRPr="007930B0" w:rsidRDefault="001E7BB4" w:rsidP="0068666F">
      <w:pPr>
        <w:pStyle w:val="SingleTxtG"/>
        <w:rPr>
          <w:lang w:val="es-ES"/>
        </w:rPr>
      </w:pPr>
      <w:r w:rsidRPr="007930B0">
        <w:rPr>
          <w:lang w:val="es-ES"/>
        </w:rPr>
        <w:t>503.</w:t>
      </w:r>
      <w:r w:rsidRPr="007930B0">
        <w:rPr>
          <w:lang w:val="es-ES"/>
        </w:rPr>
        <w:tab/>
        <w:t>En la enseñanza primaria se suprimió la repetición entre primer año y cuarto año. Esto permitió reducir el número de alumnos que tienden a abandonar la escuela después de varios fracasos escolares. Se sigue estudiando la posibilidad de rebajar el costo de la escolarización para los padres.</w:t>
      </w:r>
    </w:p>
    <w:p w:rsidR="001E7BB4" w:rsidRPr="007930B0" w:rsidRDefault="001E7BB4" w:rsidP="0068666F">
      <w:pPr>
        <w:pStyle w:val="SingleTxtG"/>
        <w:rPr>
          <w:lang w:val="es-ES"/>
        </w:rPr>
      </w:pPr>
      <w:r w:rsidRPr="007930B0">
        <w:rPr>
          <w:lang w:val="es-ES"/>
        </w:rPr>
        <w:t>504.</w:t>
      </w:r>
      <w:r w:rsidRPr="007930B0">
        <w:rPr>
          <w:lang w:val="es-ES"/>
        </w:rPr>
        <w:tab/>
        <w:t>Se reguló la transición de la enseñanza primaria a la secundaria para permitir cierta fluidez entre los dos ciclos. El objetivo es lograr que el mayor número posible de alumnos pase al primer ciclo de enseñanza secundaria, ciclo que se prolonga con un año adicional y culmina con el BEPC (diploma de final del primer ciclo). La obtención de este diploma ofrece muchas oportunidades de acceder a la vida activa a través de concursos abiertos para estos diplomados, o de inscribirse en escuelas profesionales. La revalorización de este diploma ha motivado a muchos alumnos a continuar sus estudios hasta finalizar el primer ciclo de enseñanza secundaria.</w:t>
      </w:r>
    </w:p>
    <w:p w:rsidR="001E7BB4" w:rsidRPr="007930B0" w:rsidRDefault="00907617" w:rsidP="00907617">
      <w:pPr>
        <w:pStyle w:val="H23G"/>
        <w:rPr>
          <w:lang w:val="es-ES"/>
        </w:rPr>
      </w:pPr>
      <w:bookmarkStart w:id="43" w:name="_Toc181177825"/>
      <w:bookmarkStart w:id="44" w:name="_Toc182650983"/>
      <w:r w:rsidRPr="007930B0">
        <w:rPr>
          <w:lang w:val="es-ES"/>
        </w:rPr>
        <w:tab/>
      </w:r>
      <w:r w:rsidRPr="007930B0">
        <w:rPr>
          <w:lang w:val="es-ES"/>
        </w:rPr>
        <w:tab/>
      </w:r>
      <w:r w:rsidR="001E7BB4" w:rsidRPr="007930B0">
        <w:rPr>
          <w:lang w:val="es-ES"/>
        </w:rPr>
        <w:t>Comedores escolares</w:t>
      </w:r>
      <w:bookmarkEnd w:id="43"/>
      <w:bookmarkEnd w:id="44"/>
    </w:p>
    <w:p w:rsidR="001E7BB4" w:rsidRPr="007930B0" w:rsidRDefault="001E7BB4" w:rsidP="0068666F">
      <w:pPr>
        <w:pStyle w:val="SingleTxtG"/>
        <w:rPr>
          <w:lang w:val="es-ES"/>
        </w:rPr>
      </w:pPr>
      <w:r w:rsidRPr="007930B0">
        <w:rPr>
          <w:lang w:val="es-ES"/>
        </w:rPr>
        <w:t>505.</w:t>
      </w:r>
      <w:r w:rsidRPr="007930B0">
        <w:rPr>
          <w:lang w:val="es-ES"/>
        </w:rPr>
        <w:tab/>
        <w:t>Los comedores escolares se han generalizado en todas las escuelas rurales. Esto ha alentado a los padres a mantener a sus hijos en la escuela aunque sea por el simple motivo de asegurarles la alimentación los días laborables.</w:t>
      </w:r>
    </w:p>
    <w:p w:rsidR="001E7BB4" w:rsidRPr="007930B0" w:rsidRDefault="001E7BB4" w:rsidP="00FF10B7">
      <w:pPr>
        <w:pStyle w:val="SingleTxtG"/>
        <w:rPr>
          <w:lang w:val="es-ES"/>
        </w:rPr>
      </w:pPr>
      <w:r w:rsidRPr="007930B0">
        <w:rPr>
          <w:lang w:val="es-ES"/>
        </w:rPr>
        <w:t>506.</w:t>
      </w:r>
      <w:r w:rsidRPr="007930B0">
        <w:rPr>
          <w:lang w:val="es-ES"/>
        </w:rPr>
        <w:tab/>
        <w:t>El Programa País, del Gobierno y el Programa Mundial de Alimentos (PMA), Actividad Básica</w:t>
      </w:r>
      <w:r w:rsidR="00FF10B7" w:rsidRPr="007930B0">
        <w:rPr>
          <w:lang w:val="es-ES"/>
        </w:rPr>
        <w:t xml:space="preserve"> Nº </w:t>
      </w:r>
      <w:r w:rsidRPr="007930B0">
        <w:rPr>
          <w:lang w:val="es-ES"/>
        </w:rPr>
        <w:t>1/2003-2008, permitió alcanzar la meta de 1.136 comedores en 2005 para 95.030 beneficiarios. Se preveía elevar ese número a 164.000 en 2008 pero habida cuenta de la reducción de la contribución del PMA, esta cifra se redujo a más de 130.000. Este programa, cofinanciado por el PMA, es ejecutado por la Dirección de Comedores y Nutrición Escolar bajo la supervisión del Ministerio de Educación Nacional. Ya se han definido los parámetros de una estrategia nacional en materia de alimentación escolar.</w:t>
      </w:r>
    </w:p>
    <w:p w:rsidR="001E7BB4" w:rsidRPr="007930B0" w:rsidRDefault="00907617" w:rsidP="00907617">
      <w:pPr>
        <w:pStyle w:val="H23G"/>
        <w:rPr>
          <w:lang w:val="es-ES"/>
        </w:rPr>
      </w:pPr>
      <w:r w:rsidRPr="007930B0">
        <w:rPr>
          <w:lang w:val="es-ES"/>
        </w:rPr>
        <w:tab/>
      </w:r>
      <w:r w:rsidRPr="007930B0">
        <w:rPr>
          <w:lang w:val="es-ES"/>
        </w:rPr>
        <w:tab/>
      </w:r>
      <w:r w:rsidR="001E7BB4" w:rsidRPr="007930B0">
        <w:rPr>
          <w:lang w:val="es-ES"/>
        </w:rPr>
        <w:t>Contribución de la FTP</w:t>
      </w:r>
    </w:p>
    <w:p w:rsidR="001E7BB4" w:rsidRPr="007930B0" w:rsidRDefault="001E7BB4" w:rsidP="0068666F">
      <w:pPr>
        <w:pStyle w:val="SingleTxtG"/>
        <w:rPr>
          <w:lang w:val="es-ES"/>
        </w:rPr>
      </w:pPr>
      <w:r w:rsidRPr="007930B0">
        <w:rPr>
          <w:lang w:val="es-ES"/>
        </w:rPr>
        <w:t>507.</w:t>
      </w:r>
      <w:r w:rsidRPr="007930B0">
        <w:rPr>
          <w:lang w:val="es-ES"/>
        </w:rPr>
        <w:tab/>
        <w:t>El PNDSE ha incluido en su estrategia el papel de la formación técnica y profesional con el fin de mejorar la competitividad de las empresas. La formación técnica y profesional constituye un factor determinante de la empleabilidad de los jóvenes y la movilidad de los adultos. En este contexto, la FTP en Mauritania se ha visto favorecida por una estrategia de desarrollo para el período 2001-2010, que coloca la satisfacción de la demanda de personal calificado de la economía en la base de toda la política de capacitación. El objetivo es lograr que el mecanismo de la FTP sea capaz de responder a las necesidades de las personas y de las empresas. Este objetivo está estructurado en torno a los siguientes ejes: 1) fortalecimiento de la orientación de la FTP en función de la demanda; 2) mejora de la calidad, la pertinencia y la eficacia de la FTP; 3) fortalecimiento y adaptación de la capacidad y la índole de la oferta de capacitación de la FTP, y 4) reconfiguración del marco institucional.</w:t>
      </w:r>
    </w:p>
    <w:p w:rsidR="001E7BB4" w:rsidRPr="007930B0" w:rsidRDefault="001E7BB4" w:rsidP="0068666F">
      <w:pPr>
        <w:pStyle w:val="SingleTxtG"/>
        <w:rPr>
          <w:lang w:val="es-ES"/>
        </w:rPr>
      </w:pPr>
      <w:r w:rsidRPr="007930B0">
        <w:rPr>
          <w:lang w:val="es-ES"/>
        </w:rPr>
        <w:t>508.</w:t>
      </w:r>
      <w:r w:rsidRPr="007930B0">
        <w:rPr>
          <w:lang w:val="es-ES"/>
        </w:rPr>
        <w:tab/>
        <w:t xml:space="preserve">Con el fin de reforzar la orientación de la FTP en función de la demanda, en junio de 2002 se creó el Fondo Autónomo de Promoción de la Formación Técnica y Profesional. Se trata de un mecanismo de financiación regulado por la demanda, cuyo principal cometido es alentar a las empresas privadas mauritanas a participar en la creación de modalidades de formación técnica y profesional que respondan a sus necesidades en materia de capacitación mediante una asistencia financiera parcial. </w:t>
      </w:r>
    </w:p>
    <w:p w:rsidR="001E7BB4" w:rsidRPr="007930B0" w:rsidRDefault="001E7BB4" w:rsidP="0068666F">
      <w:pPr>
        <w:pStyle w:val="SingleTxtG"/>
        <w:rPr>
          <w:lang w:val="es-ES"/>
        </w:rPr>
      </w:pPr>
      <w:r w:rsidRPr="007930B0">
        <w:rPr>
          <w:lang w:val="es-ES"/>
        </w:rPr>
        <w:t xml:space="preserve">509. </w:t>
      </w:r>
      <w:r w:rsidRPr="007930B0">
        <w:rPr>
          <w:lang w:val="es-ES"/>
        </w:rPr>
        <w:tab/>
        <w:t>El Fondo Autónomo de Promoción de la FTP es administrado por un Comité de asignación de recursos financieros compuesto por cinco representantes del Estado y cinco del sector privado. El Presidente y el Vicepresidente del CAF son elegidos por períodos de dos años y representan en forma alternada al Estado y al sector privado.</w:t>
      </w:r>
    </w:p>
    <w:p w:rsidR="001E7BB4" w:rsidRPr="007930B0" w:rsidRDefault="001E7BB4" w:rsidP="0068666F">
      <w:pPr>
        <w:pStyle w:val="SingleTxtG"/>
        <w:rPr>
          <w:lang w:val="es-ES"/>
        </w:rPr>
      </w:pPr>
      <w:r w:rsidRPr="007930B0">
        <w:rPr>
          <w:lang w:val="es-ES"/>
        </w:rPr>
        <w:t>510.</w:t>
      </w:r>
      <w:r w:rsidRPr="007930B0">
        <w:rPr>
          <w:lang w:val="es-ES"/>
        </w:rPr>
        <w:tab/>
        <w:t>Las modalidades de capacitación en colaboración con la empresa (Alternancia y Aprendizaje), que favorecen la inserción y garantizan una relación estrecha y continua entre la capacitación y las necesidades de la economía, son las modalidades de formación preferidas del Fondo Autónomo de Promoción de la FTP, que financia también la capacitación permanente de los empleados y los empleadores y la formación para el empleo por cuenta propia destinada a los nuevos empresarios.</w:t>
      </w:r>
    </w:p>
    <w:p w:rsidR="001E7BB4" w:rsidRPr="007930B0" w:rsidRDefault="001E7BB4" w:rsidP="0068666F">
      <w:pPr>
        <w:pStyle w:val="SingleTxtG"/>
        <w:rPr>
          <w:lang w:val="es-ES"/>
        </w:rPr>
      </w:pPr>
      <w:r w:rsidRPr="007930B0">
        <w:rPr>
          <w:lang w:val="es-ES"/>
        </w:rPr>
        <w:t>511.</w:t>
      </w:r>
      <w:r w:rsidRPr="007930B0">
        <w:rPr>
          <w:lang w:val="es-ES"/>
        </w:rPr>
        <w:tab/>
        <w:t>El Fondo funciona bajo la égida del Instituto Nacional de Promoción de la Formación Técnica y Profesional, que se encarga de su secretaría y su gestión operacional.</w:t>
      </w:r>
    </w:p>
    <w:p w:rsidR="001E7BB4" w:rsidRPr="007930B0" w:rsidRDefault="001E7BB4" w:rsidP="0068666F">
      <w:pPr>
        <w:pStyle w:val="SingleTxtG"/>
        <w:rPr>
          <w:lang w:val="es-ES"/>
        </w:rPr>
      </w:pPr>
      <w:r w:rsidRPr="007930B0">
        <w:rPr>
          <w:lang w:val="es-ES"/>
        </w:rPr>
        <w:t>512.</w:t>
      </w:r>
      <w:r w:rsidRPr="007930B0">
        <w:rPr>
          <w:lang w:val="es-ES"/>
        </w:rPr>
        <w:tab/>
        <w:t xml:space="preserve">Desde que comenzó a funcionar en enero de 2004 y hasta el presente, el Fondo Autónomo de Promoción de la FTP ha aprobado la financiación de 200 actividades de capacitación con una duración total de 25.109 horas, en provecho de </w:t>
      </w:r>
      <w:r w:rsidRPr="007930B0">
        <w:rPr>
          <w:b/>
          <w:lang w:val="es-ES"/>
        </w:rPr>
        <w:t>3.854 beneficiarios</w:t>
      </w:r>
      <w:r w:rsidRPr="007930B0">
        <w:rPr>
          <w:lang w:val="es-ES"/>
        </w:rPr>
        <w:t xml:space="preserve"> de los sectores formal e informal. El costo global de estas actividades asciende a 213.825.309 UM, de las cuales 173.657.356 UM han sido sufragadas por el Fondo y el resto ha corrido por cuenta de las empresas.</w:t>
      </w:r>
    </w:p>
    <w:p w:rsidR="001E7BB4" w:rsidRPr="007930B0" w:rsidRDefault="001E7BB4" w:rsidP="0068666F">
      <w:pPr>
        <w:pStyle w:val="SingleTxtG"/>
        <w:rPr>
          <w:lang w:val="es-ES"/>
        </w:rPr>
      </w:pPr>
      <w:r w:rsidRPr="007930B0">
        <w:rPr>
          <w:lang w:val="es-ES"/>
        </w:rPr>
        <w:t>513.</w:t>
      </w:r>
      <w:r w:rsidRPr="007930B0">
        <w:rPr>
          <w:lang w:val="es-ES"/>
        </w:rPr>
        <w:tab/>
        <w:t>La acción del Fondo Autónomo de Promoción de la FTP ha impulsado cambios importantes, a nivel de las empresas y de las instituciones de formación, en lo que respecta a la manera de percibir, concebir y administrar la capacitación. Ello se ha traducido en una mejora notable de la apertura de las instituciones de formación a las empresas y una renovación del interés de las empresas en la capacitación.</w:t>
      </w:r>
    </w:p>
    <w:p w:rsidR="001E7BB4" w:rsidRPr="007930B0" w:rsidRDefault="001E7BB4" w:rsidP="00907617">
      <w:pPr>
        <w:pStyle w:val="H4G"/>
        <w:rPr>
          <w:lang w:val="es-ES"/>
        </w:rPr>
      </w:pPr>
      <w:r w:rsidRPr="007930B0">
        <w:rPr>
          <w:lang w:val="es-ES"/>
        </w:rPr>
        <w:tab/>
      </w:r>
      <w:r w:rsidRPr="007930B0">
        <w:rPr>
          <w:lang w:val="es-ES"/>
        </w:rPr>
        <w:tab/>
        <w:t>Medidas de promoción de las lenguas (maternas)</w:t>
      </w:r>
    </w:p>
    <w:p w:rsidR="001E7BB4" w:rsidRPr="007930B0" w:rsidRDefault="001E7BB4" w:rsidP="0068666F">
      <w:pPr>
        <w:pStyle w:val="SingleTxtG"/>
        <w:rPr>
          <w:lang w:val="es-ES"/>
        </w:rPr>
      </w:pPr>
      <w:r w:rsidRPr="007930B0">
        <w:rPr>
          <w:lang w:val="es-ES"/>
        </w:rPr>
        <w:t>514.</w:t>
      </w:r>
      <w:r w:rsidRPr="007930B0">
        <w:rPr>
          <w:lang w:val="es-ES"/>
        </w:rPr>
        <w:tab/>
        <w:t>Las lenguas nacionales reconocidas por la Constitución de Mauritania son cuatro: árabe (idioma oficial), pulaar, soninké y wolof (lenguas nacionales). Con excepción del árabe, la experiencia en la enseñanza de las otras lenguas se remonta apenas a principios de los años ochenta.</w:t>
      </w:r>
    </w:p>
    <w:p w:rsidR="001E7BB4" w:rsidRPr="007930B0" w:rsidRDefault="001E7BB4" w:rsidP="0068666F">
      <w:pPr>
        <w:pStyle w:val="SingleTxtG"/>
        <w:rPr>
          <w:lang w:val="es-ES"/>
        </w:rPr>
      </w:pPr>
      <w:r w:rsidRPr="007930B0">
        <w:rPr>
          <w:lang w:val="es-ES"/>
        </w:rPr>
        <w:t>515.</w:t>
      </w:r>
      <w:r w:rsidRPr="007930B0">
        <w:rPr>
          <w:lang w:val="es-ES"/>
        </w:rPr>
        <w:tab/>
        <w:t>En esa experiencia se destacan algunas fechas clave:</w:t>
      </w:r>
    </w:p>
    <w:p w:rsidR="001E7BB4" w:rsidRPr="007930B0" w:rsidRDefault="001E7BB4" w:rsidP="00907617">
      <w:pPr>
        <w:pStyle w:val="Bullet1G"/>
        <w:rPr>
          <w:lang w:val="es-ES"/>
        </w:rPr>
      </w:pPr>
      <w:r w:rsidRPr="007930B0">
        <w:rPr>
          <w:b/>
          <w:lang w:val="es-ES"/>
        </w:rPr>
        <w:t>1979</w:t>
      </w:r>
      <w:r w:rsidRPr="007930B0">
        <w:rPr>
          <w:lang w:val="es-ES"/>
        </w:rPr>
        <w:t>. Creación del Instituto de Lenguas Nacionales (Decreto</w:t>
      </w:r>
      <w:r w:rsidR="00FF10B7" w:rsidRPr="007930B0">
        <w:rPr>
          <w:lang w:val="es-ES"/>
        </w:rPr>
        <w:t xml:space="preserve"> Nº</w:t>
      </w:r>
      <w:r w:rsidRPr="007930B0">
        <w:rPr>
          <w:lang w:val="es-ES"/>
        </w:rPr>
        <w:t xml:space="preserve"> 79.348/PG/MFS de 10</w:t>
      </w:r>
      <w:r w:rsidR="00D93676">
        <w:rPr>
          <w:lang w:val="es-ES"/>
        </w:rPr>
        <w:t xml:space="preserve"> de diciembre de </w:t>
      </w:r>
      <w:r w:rsidRPr="007930B0">
        <w:rPr>
          <w:lang w:val="es-ES"/>
        </w:rPr>
        <w:t xml:space="preserve">1979) con el fin de </w:t>
      </w:r>
      <w:r w:rsidR="00CC3B6E" w:rsidRPr="007930B0">
        <w:rPr>
          <w:lang w:val="es-ES"/>
        </w:rPr>
        <w:t>"</w:t>
      </w:r>
      <w:r w:rsidRPr="007930B0">
        <w:rPr>
          <w:lang w:val="es-ES"/>
        </w:rPr>
        <w:t>crear un sistema educativo que garantice la independencia cultural, en el que el árabe sea la lengua unitaria hablada por todos los mauritanos, y que esté fundado en los siguientes principios: oficialización de todas las lenguas nacionales, transcripción de las lenguas pulaar, soninke y wolof en caracteres latinos, creación de un Instituto de Lenguas Nacionales, enseñanza en nuestras lenguas nacionales, que, con el tiempo, deberán ofrecer las mismas oportunidades que el árabe</w:t>
      </w:r>
      <w:r w:rsidR="00CC3B6E" w:rsidRPr="007930B0">
        <w:rPr>
          <w:lang w:val="es-ES"/>
        </w:rPr>
        <w:t>"</w:t>
      </w:r>
      <w:r w:rsidRPr="007930B0">
        <w:rPr>
          <w:lang w:val="es-ES"/>
        </w:rPr>
        <w:t>;</w:t>
      </w:r>
    </w:p>
    <w:p w:rsidR="001E7BB4" w:rsidRPr="007930B0" w:rsidRDefault="001E7BB4" w:rsidP="00CC3B6E">
      <w:pPr>
        <w:pStyle w:val="Bullet1G"/>
        <w:rPr>
          <w:lang w:val="es-ES"/>
        </w:rPr>
      </w:pPr>
      <w:r w:rsidRPr="007930B0">
        <w:rPr>
          <w:b/>
          <w:lang w:val="es-ES"/>
        </w:rPr>
        <w:t>1982-1983</w:t>
      </w:r>
      <w:r w:rsidRPr="007930B0">
        <w:rPr>
          <w:lang w:val="es-ES"/>
        </w:rPr>
        <w:t xml:space="preserve">. Inauguración de clases experimentales </w:t>
      </w:r>
      <w:r w:rsidR="00CC3B6E" w:rsidRPr="007930B0">
        <w:rPr>
          <w:lang w:val="es-ES"/>
        </w:rPr>
        <w:t xml:space="preserve">– </w:t>
      </w:r>
      <w:r w:rsidRPr="007930B0">
        <w:rPr>
          <w:lang w:val="es-ES"/>
        </w:rPr>
        <w:t>una vez capacitados los maestros, elaborado el material didáctico y preparadas las terminologías adecuadas, en las clases experimentales se sigue enseñando exclusivamente en la lengua nacional (materna);</w:t>
      </w:r>
    </w:p>
    <w:p w:rsidR="001E7BB4" w:rsidRPr="007930B0" w:rsidRDefault="001E7BB4" w:rsidP="00907617">
      <w:pPr>
        <w:pStyle w:val="Bullet1G"/>
        <w:rPr>
          <w:lang w:val="es-ES"/>
        </w:rPr>
      </w:pPr>
      <w:r w:rsidRPr="007930B0">
        <w:rPr>
          <w:b/>
          <w:lang w:val="es-ES"/>
        </w:rPr>
        <w:t>1988</w:t>
      </w:r>
      <w:r w:rsidRPr="007930B0">
        <w:rPr>
          <w:lang w:val="es-ES"/>
        </w:rPr>
        <w:t>. Este año marca la llegada a sexto año de primaria de las primeras promociones de estudiantes en lenguas nacionales. Al pasar al primer ciclo de la enseñanza secundaria, se planteaba el problema de la falta de oferta en materia de continuidad pedagógica. Se ideó entonces una solución intermedia que consistía en incorporar a las dos ramas existentes (arabófona y bilingüe), a elección de los padres, a todos los alumnos provenientes de las clases experimentales que accedían al primer año del primer ciclo de enseñanza secundaria; los alumnos de las clases inferiores resultaron de hecho favorecidos por una reorientación de la enseñanza con la introducción del árabe o el francés desde el tercer año de primaria, en función de la lengua elegida;</w:t>
      </w:r>
    </w:p>
    <w:p w:rsidR="001E7BB4" w:rsidRPr="007930B0" w:rsidRDefault="001E7BB4" w:rsidP="00907617">
      <w:pPr>
        <w:pStyle w:val="Bullet1G"/>
        <w:rPr>
          <w:lang w:val="es-ES"/>
        </w:rPr>
      </w:pPr>
      <w:r w:rsidRPr="007930B0">
        <w:rPr>
          <w:b/>
          <w:lang w:val="es-ES"/>
        </w:rPr>
        <w:t>1999</w:t>
      </w:r>
      <w:r w:rsidRPr="007930B0">
        <w:rPr>
          <w:lang w:val="es-ES"/>
        </w:rPr>
        <w:t xml:space="preserve">. Es el año de la última reforma que introdujo la unificación del sistema educativo y la aplicación del mecanismo de supresión por la vía de la extinción del sistema de ramas. El efecto inmediato de la </w:t>
      </w:r>
      <w:r w:rsidR="00FF10B7" w:rsidRPr="007930B0">
        <w:rPr>
          <w:lang w:val="es-ES"/>
        </w:rPr>
        <w:t>Ley Nº</w:t>
      </w:r>
      <w:r w:rsidR="00FF10B7" w:rsidRPr="007930B0">
        <w:rPr>
          <w:b/>
          <w:lang w:val="es-ES"/>
        </w:rPr>
        <w:t xml:space="preserve"> 99-</w:t>
      </w:r>
      <w:r w:rsidRPr="007930B0">
        <w:rPr>
          <w:b/>
          <w:lang w:val="es-ES"/>
        </w:rPr>
        <w:t>012</w:t>
      </w:r>
      <w:r w:rsidRPr="007930B0">
        <w:rPr>
          <w:lang w:val="es-ES"/>
        </w:rPr>
        <w:t xml:space="preserve"> en la política de lenguas nacionales fue la supresión del Instituto de Lenguas Nacionales y su sustitución por el Departamento de Lenguas Nacionales y Lingüística, que depende directamente de la Facultad de Ciencias Humanas.</w:t>
      </w:r>
    </w:p>
    <w:p w:rsidR="001E7BB4" w:rsidRPr="007930B0" w:rsidRDefault="001E7BB4" w:rsidP="0068666F">
      <w:pPr>
        <w:pStyle w:val="SingleTxtG"/>
        <w:rPr>
          <w:lang w:val="es-ES"/>
        </w:rPr>
      </w:pPr>
      <w:r w:rsidRPr="007930B0">
        <w:rPr>
          <w:lang w:val="es-ES"/>
        </w:rPr>
        <w:t>516.</w:t>
      </w:r>
      <w:r w:rsidRPr="007930B0">
        <w:rPr>
          <w:lang w:val="es-ES"/>
        </w:rPr>
        <w:tab/>
        <w:t xml:space="preserve">En materia de asistencia, cabe destacar el apoyo financiero cada vez mayor que prestaba el Estado mauritano al extinto Instituto de Lenguas Nacionales, cuyo presupuesto, que al momento de su creación en 1979 había sido de </w:t>
      </w:r>
      <w:r w:rsidRPr="007930B0">
        <w:rPr>
          <w:b/>
          <w:lang w:val="es-ES"/>
        </w:rPr>
        <w:t>16.500.000 UM</w:t>
      </w:r>
      <w:r w:rsidRPr="007930B0">
        <w:rPr>
          <w:lang w:val="es-ES"/>
        </w:rPr>
        <w:t xml:space="preserve">, en 1999, año de su supresión, ascendía a </w:t>
      </w:r>
      <w:r w:rsidRPr="007930B0">
        <w:rPr>
          <w:b/>
          <w:lang w:val="es-ES"/>
        </w:rPr>
        <w:t>38.129.290,59 UM</w:t>
      </w:r>
      <w:r w:rsidRPr="007930B0">
        <w:rPr>
          <w:lang w:val="es-ES"/>
        </w:rPr>
        <w:t>.</w:t>
      </w:r>
    </w:p>
    <w:p w:rsidR="001E7BB4" w:rsidRPr="007930B0" w:rsidRDefault="001E7BB4" w:rsidP="00907617">
      <w:pPr>
        <w:pStyle w:val="H23G"/>
        <w:rPr>
          <w:lang w:val="es-ES"/>
        </w:rPr>
      </w:pPr>
      <w:r w:rsidRPr="007930B0">
        <w:rPr>
          <w:lang w:val="es-ES"/>
        </w:rPr>
        <w:tab/>
      </w:r>
      <w:r w:rsidRPr="007930B0">
        <w:rPr>
          <w:lang w:val="es-ES"/>
        </w:rPr>
        <w:tab/>
        <w:t>Situación económica del personal docente (UNESCO, 5 de octubre de 1966)</w:t>
      </w:r>
    </w:p>
    <w:p w:rsidR="001E7BB4" w:rsidRPr="007930B0" w:rsidRDefault="001E7BB4" w:rsidP="00907617">
      <w:pPr>
        <w:pStyle w:val="H4G"/>
        <w:rPr>
          <w:lang w:val="es-ES"/>
        </w:rPr>
      </w:pPr>
      <w:r w:rsidRPr="007930B0">
        <w:rPr>
          <w:lang w:val="es-ES"/>
        </w:rPr>
        <w:tab/>
      </w:r>
      <w:r w:rsidRPr="007930B0">
        <w:rPr>
          <w:lang w:val="es-ES"/>
        </w:rPr>
        <w:tab/>
        <w:t>Remuneración en relación con la de otros funcionarios</w:t>
      </w:r>
    </w:p>
    <w:p w:rsidR="001E7BB4" w:rsidRPr="007930B0" w:rsidRDefault="001E7BB4" w:rsidP="0068666F">
      <w:pPr>
        <w:pStyle w:val="SingleTxtG"/>
        <w:rPr>
          <w:lang w:val="es-ES"/>
        </w:rPr>
      </w:pPr>
      <w:r w:rsidRPr="007930B0">
        <w:rPr>
          <w:lang w:val="es-ES"/>
        </w:rPr>
        <w:t>517.</w:t>
      </w:r>
      <w:r w:rsidRPr="007930B0">
        <w:rPr>
          <w:lang w:val="es-ES"/>
        </w:rPr>
        <w:tab/>
        <w:t>En el cuadro siguiente se detallan los sueldos percibidos en la Educación Nacional de Mauritania.</w:t>
      </w:r>
    </w:p>
    <w:p w:rsidR="001E7BB4" w:rsidRPr="007930B0" w:rsidRDefault="00907617" w:rsidP="00907617">
      <w:pPr>
        <w:pStyle w:val="H23G"/>
        <w:rPr>
          <w:lang w:val="es-ES"/>
        </w:rPr>
      </w:pPr>
      <w:r w:rsidRPr="007930B0">
        <w:rPr>
          <w:lang w:val="es-ES"/>
        </w:rPr>
        <w:tab/>
      </w:r>
      <w:r w:rsidRPr="007930B0">
        <w:rPr>
          <w:lang w:val="es-ES"/>
        </w:rPr>
        <w:tab/>
      </w:r>
      <w:r w:rsidR="001E7BB4" w:rsidRPr="007930B0">
        <w:rPr>
          <w:lang w:val="es-ES"/>
        </w:rPr>
        <w:t>Índices del personal de la Educación Nacional por cuerpo</w:t>
      </w:r>
      <w:r w:rsidR="001E7BB4" w:rsidRPr="007930B0">
        <w:rPr>
          <w:rStyle w:val="FootnoteReference"/>
          <w:b w:val="0"/>
          <w:lang w:val="es-ES"/>
        </w:rPr>
        <w:footnoteReference w:id="42"/>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66"/>
        <w:gridCol w:w="584"/>
        <w:gridCol w:w="552"/>
        <w:gridCol w:w="552"/>
        <w:gridCol w:w="552"/>
        <w:gridCol w:w="552"/>
        <w:gridCol w:w="552"/>
        <w:gridCol w:w="552"/>
        <w:gridCol w:w="552"/>
        <w:gridCol w:w="552"/>
        <w:gridCol w:w="552"/>
        <w:gridCol w:w="552"/>
      </w:tblGrid>
      <w:tr w:rsidR="001E7BB4" w:rsidRPr="007930B0">
        <w:trPr>
          <w:tblHeader/>
        </w:trPr>
        <w:tc>
          <w:tcPr>
            <w:tcW w:w="1266" w:type="dxa"/>
            <w:tcBorders>
              <w:top w:val="single" w:sz="4" w:space="0" w:color="auto"/>
              <w:bottom w:val="single" w:sz="12" w:space="0" w:color="auto"/>
            </w:tcBorders>
            <w:shd w:val="clear" w:color="auto" w:fill="auto"/>
            <w:vAlign w:val="bottom"/>
          </w:tcPr>
          <w:p w:rsidR="001E7BB4" w:rsidRPr="007930B0" w:rsidRDefault="001E7BB4" w:rsidP="00907617">
            <w:pPr>
              <w:spacing w:before="80" w:after="80" w:line="200" w:lineRule="exact"/>
              <w:ind w:right="113"/>
              <w:rPr>
                <w:i/>
                <w:sz w:val="16"/>
              </w:rPr>
            </w:pPr>
            <w:r w:rsidRPr="007930B0">
              <w:rPr>
                <w:i/>
                <w:sz w:val="16"/>
              </w:rPr>
              <w:t>Categoría</w:t>
            </w:r>
          </w:p>
        </w:tc>
        <w:tc>
          <w:tcPr>
            <w:tcW w:w="584" w:type="dxa"/>
            <w:tcBorders>
              <w:top w:val="single" w:sz="4" w:space="0" w:color="auto"/>
              <w:bottom w:val="single" w:sz="12" w:space="0" w:color="auto"/>
            </w:tcBorders>
            <w:shd w:val="clear" w:color="auto" w:fill="auto"/>
            <w:vAlign w:val="bottom"/>
          </w:tcPr>
          <w:p w:rsidR="001E7BB4" w:rsidRPr="007930B0" w:rsidRDefault="001E7BB4" w:rsidP="00907617">
            <w:pPr>
              <w:spacing w:before="80" w:after="80" w:line="200" w:lineRule="exact"/>
              <w:ind w:right="113"/>
              <w:jc w:val="right"/>
              <w:rPr>
                <w:i/>
                <w:sz w:val="16"/>
              </w:rPr>
            </w:pPr>
            <w:r w:rsidRPr="007930B0">
              <w:rPr>
                <w:i/>
                <w:sz w:val="16"/>
              </w:rPr>
              <w:t>1</w:t>
            </w:r>
          </w:p>
        </w:tc>
        <w:tc>
          <w:tcPr>
            <w:tcW w:w="552" w:type="dxa"/>
            <w:tcBorders>
              <w:top w:val="single" w:sz="4" w:space="0" w:color="auto"/>
              <w:bottom w:val="single" w:sz="12" w:space="0" w:color="auto"/>
            </w:tcBorders>
            <w:shd w:val="clear" w:color="auto" w:fill="auto"/>
            <w:vAlign w:val="bottom"/>
          </w:tcPr>
          <w:p w:rsidR="001E7BB4" w:rsidRPr="007930B0" w:rsidRDefault="001E7BB4" w:rsidP="00907617">
            <w:pPr>
              <w:spacing w:before="80" w:after="80" w:line="200" w:lineRule="exact"/>
              <w:ind w:right="113"/>
              <w:jc w:val="right"/>
              <w:rPr>
                <w:i/>
                <w:sz w:val="16"/>
              </w:rPr>
            </w:pPr>
            <w:r w:rsidRPr="007930B0">
              <w:rPr>
                <w:i/>
                <w:sz w:val="16"/>
              </w:rPr>
              <w:t>2</w:t>
            </w:r>
          </w:p>
        </w:tc>
        <w:tc>
          <w:tcPr>
            <w:tcW w:w="552" w:type="dxa"/>
            <w:tcBorders>
              <w:top w:val="single" w:sz="4" w:space="0" w:color="auto"/>
              <w:bottom w:val="single" w:sz="12" w:space="0" w:color="auto"/>
            </w:tcBorders>
            <w:shd w:val="clear" w:color="auto" w:fill="auto"/>
            <w:vAlign w:val="bottom"/>
          </w:tcPr>
          <w:p w:rsidR="001E7BB4" w:rsidRPr="007930B0" w:rsidRDefault="001E7BB4" w:rsidP="00907617">
            <w:pPr>
              <w:spacing w:before="80" w:after="80" w:line="200" w:lineRule="exact"/>
              <w:ind w:right="113"/>
              <w:jc w:val="right"/>
              <w:rPr>
                <w:i/>
                <w:sz w:val="16"/>
              </w:rPr>
            </w:pPr>
            <w:r w:rsidRPr="007930B0">
              <w:rPr>
                <w:i/>
                <w:sz w:val="16"/>
              </w:rPr>
              <w:t>3</w:t>
            </w:r>
          </w:p>
        </w:tc>
        <w:tc>
          <w:tcPr>
            <w:tcW w:w="552" w:type="dxa"/>
            <w:tcBorders>
              <w:top w:val="single" w:sz="4" w:space="0" w:color="auto"/>
              <w:bottom w:val="single" w:sz="12" w:space="0" w:color="auto"/>
            </w:tcBorders>
            <w:shd w:val="clear" w:color="auto" w:fill="auto"/>
            <w:vAlign w:val="bottom"/>
          </w:tcPr>
          <w:p w:rsidR="001E7BB4" w:rsidRPr="007930B0" w:rsidRDefault="001E7BB4" w:rsidP="00907617">
            <w:pPr>
              <w:spacing w:before="80" w:after="80" w:line="200" w:lineRule="exact"/>
              <w:ind w:right="113"/>
              <w:jc w:val="right"/>
              <w:rPr>
                <w:i/>
                <w:sz w:val="16"/>
              </w:rPr>
            </w:pPr>
            <w:r w:rsidRPr="007930B0">
              <w:rPr>
                <w:i/>
                <w:sz w:val="16"/>
              </w:rPr>
              <w:t>4</w:t>
            </w:r>
          </w:p>
        </w:tc>
        <w:tc>
          <w:tcPr>
            <w:tcW w:w="552" w:type="dxa"/>
            <w:tcBorders>
              <w:top w:val="single" w:sz="4" w:space="0" w:color="auto"/>
              <w:bottom w:val="single" w:sz="12" w:space="0" w:color="auto"/>
            </w:tcBorders>
            <w:shd w:val="clear" w:color="auto" w:fill="auto"/>
            <w:vAlign w:val="bottom"/>
          </w:tcPr>
          <w:p w:rsidR="001E7BB4" w:rsidRPr="007930B0" w:rsidRDefault="001E7BB4" w:rsidP="00907617">
            <w:pPr>
              <w:spacing w:before="80" w:after="80" w:line="200" w:lineRule="exact"/>
              <w:ind w:right="113"/>
              <w:jc w:val="right"/>
              <w:rPr>
                <w:i/>
                <w:sz w:val="16"/>
              </w:rPr>
            </w:pPr>
            <w:r w:rsidRPr="007930B0">
              <w:rPr>
                <w:i/>
                <w:sz w:val="16"/>
              </w:rPr>
              <w:t>5</w:t>
            </w:r>
          </w:p>
        </w:tc>
        <w:tc>
          <w:tcPr>
            <w:tcW w:w="552" w:type="dxa"/>
            <w:tcBorders>
              <w:top w:val="single" w:sz="4" w:space="0" w:color="auto"/>
              <w:bottom w:val="single" w:sz="12" w:space="0" w:color="auto"/>
            </w:tcBorders>
            <w:shd w:val="clear" w:color="auto" w:fill="auto"/>
            <w:vAlign w:val="bottom"/>
          </w:tcPr>
          <w:p w:rsidR="001E7BB4" w:rsidRPr="007930B0" w:rsidRDefault="001E7BB4" w:rsidP="00907617">
            <w:pPr>
              <w:spacing w:before="80" w:after="80" w:line="200" w:lineRule="exact"/>
              <w:ind w:right="113"/>
              <w:jc w:val="right"/>
              <w:rPr>
                <w:i/>
                <w:sz w:val="16"/>
              </w:rPr>
            </w:pPr>
            <w:r w:rsidRPr="007930B0">
              <w:rPr>
                <w:i/>
                <w:sz w:val="16"/>
              </w:rPr>
              <w:t>6</w:t>
            </w:r>
          </w:p>
        </w:tc>
        <w:tc>
          <w:tcPr>
            <w:tcW w:w="552" w:type="dxa"/>
            <w:tcBorders>
              <w:top w:val="single" w:sz="4" w:space="0" w:color="auto"/>
              <w:bottom w:val="single" w:sz="12" w:space="0" w:color="auto"/>
            </w:tcBorders>
            <w:shd w:val="clear" w:color="auto" w:fill="auto"/>
            <w:vAlign w:val="bottom"/>
          </w:tcPr>
          <w:p w:rsidR="001E7BB4" w:rsidRPr="007930B0" w:rsidRDefault="001E7BB4" w:rsidP="00907617">
            <w:pPr>
              <w:spacing w:before="80" w:after="80" w:line="200" w:lineRule="exact"/>
              <w:ind w:right="113"/>
              <w:jc w:val="right"/>
              <w:rPr>
                <w:i/>
                <w:sz w:val="16"/>
              </w:rPr>
            </w:pPr>
            <w:r w:rsidRPr="007930B0">
              <w:rPr>
                <w:i/>
                <w:sz w:val="16"/>
              </w:rPr>
              <w:t>7</w:t>
            </w:r>
          </w:p>
        </w:tc>
        <w:tc>
          <w:tcPr>
            <w:tcW w:w="552" w:type="dxa"/>
            <w:tcBorders>
              <w:top w:val="single" w:sz="4" w:space="0" w:color="auto"/>
              <w:bottom w:val="single" w:sz="12" w:space="0" w:color="auto"/>
            </w:tcBorders>
            <w:shd w:val="clear" w:color="auto" w:fill="auto"/>
            <w:vAlign w:val="bottom"/>
          </w:tcPr>
          <w:p w:rsidR="001E7BB4" w:rsidRPr="007930B0" w:rsidRDefault="001E7BB4" w:rsidP="00907617">
            <w:pPr>
              <w:spacing w:before="80" w:after="80" w:line="200" w:lineRule="exact"/>
              <w:ind w:right="113"/>
              <w:jc w:val="right"/>
              <w:rPr>
                <w:i/>
                <w:sz w:val="16"/>
              </w:rPr>
            </w:pPr>
            <w:r w:rsidRPr="007930B0">
              <w:rPr>
                <w:i/>
                <w:sz w:val="16"/>
              </w:rPr>
              <w:t>8</w:t>
            </w:r>
          </w:p>
        </w:tc>
        <w:tc>
          <w:tcPr>
            <w:tcW w:w="552" w:type="dxa"/>
            <w:tcBorders>
              <w:top w:val="single" w:sz="4" w:space="0" w:color="auto"/>
              <w:bottom w:val="single" w:sz="12" w:space="0" w:color="auto"/>
            </w:tcBorders>
            <w:shd w:val="clear" w:color="auto" w:fill="auto"/>
            <w:vAlign w:val="bottom"/>
          </w:tcPr>
          <w:p w:rsidR="001E7BB4" w:rsidRPr="007930B0" w:rsidRDefault="001E7BB4" w:rsidP="00907617">
            <w:pPr>
              <w:spacing w:before="80" w:after="80" w:line="200" w:lineRule="exact"/>
              <w:ind w:right="113"/>
              <w:jc w:val="right"/>
              <w:rPr>
                <w:i/>
                <w:sz w:val="16"/>
              </w:rPr>
            </w:pPr>
            <w:r w:rsidRPr="007930B0">
              <w:rPr>
                <w:i/>
                <w:sz w:val="16"/>
              </w:rPr>
              <w:t>9</w:t>
            </w:r>
          </w:p>
        </w:tc>
        <w:tc>
          <w:tcPr>
            <w:tcW w:w="552" w:type="dxa"/>
            <w:tcBorders>
              <w:top w:val="single" w:sz="4" w:space="0" w:color="auto"/>
              <w:bottom w:val="single" w:sz="12" w:space="0" w:color="auto"/>
            </w:tcBorders>
            <w:shd w:val="clear" w:color="auto" w:fill="auto"/>
            <w:vAlign w:val="bottom"/>
          </w:tcPr>
          <w:p w:rsidR="001E7BB4" w:rsidRPr="007930B0" w:rsidRDefault="001E7BB4" w:rsidP="00907617">
            <w:pPr>
              <w:spacing w:before="80" w:after="80" w:line="200" w:lineRule="exact"/>
              <w:ind w:right="113"/>
              <w:jc w:val="right"/>
              <w:rPr>
                <w:i/>
                <w:sz w:val="16"/>
              </w:rPr>
            </w:pPr>
            <w:r w:rsidRPr="007930B0">
              <w:rPr>
                <w:i/>
                <w:sz w:val="16"/>
              </w:rPr>
              <w:t>10</w:t>
            </w:r>
          </w:p>
        </w:tc>
        <w:tc>
          <w:tcPr>
            <w:tcW w:w="552" w:type="dxa"/>
            <w:tcBorders>
              <w:top w:val="single" w:sz="4" w:space="0" w:color="auto"/>
              <w:bottom w:val="single" w:sz="12" w:space="0" w:color="auto"/>
            </w:tcBorders>
            <w:shd w:val="clear" w:color="auto" w:fill="auto"/>
            <w:vAlign w:val="bottom"/>
          </w:tcPr>
          <w:p w:rsidR="001E7BB4" w:rsidRPr="007930B0" w:rsidRDefault="001E7BB4" w:rsidP="00907617">
            <w:pPr>
              <w:spacing w:before="80" w:after="80" w:line="200" w:lineRule="exact"/>
              <w:ind w:right="113"/>
              <w:jc w:val="right"/>
              <w:rPr>
                <w:i/>
                <w:sz w:val="16"/>
              </w:rPr>
            </w:pPr>
            <w:r w:rsidRPr="007930B0">
              <w:rPr>
                <w:i/>
                <w:sz w:val="16"/>
              </w:rPr>
              <w:t>11</w:t>
            </w:r>
          </w:p>
        </w:tc>
      </w:tr>
      <w:tr w:rsidR="001E7BB4" w:rsidRPr="007930B0">
        <w:tc>
          <w:tcPr>
            <w:tcW w:w="1266" w:type="dxa"/>
            <w:tcBorders>
              <w:top w:val="single" w:sz="12" w:space="0" w:color="auto"/>
            </w:tcBorders>
            <w:shd w:val="clear" w:color="auto" w:fill="auto"/>
          </w:tcPr>
          <w:p w:rsidR="001E7BB4" w:rsidRPr="007930B0" w:rsidRDefault="001E7BB4" w:rsidP="00907617">
            <w:pPr>
              <w:spacing w:before="40" w:after="40" w:line="220" w:lineRule="exact"/>
              <w:ind w:right="113"/>
              <w:rPr>
                <w:sz w:val="18"/>
              </w:rPr>
            </w:pPr>
            <w:r w:rsidRPr="007930B0">
              <w:rPr>
                <w:sz w:val="18"/>
              </w:rPr>
              <w:t>Prof Ens. Sup. A1</w:t>
            </w:r>
          </w:p>
        </w:tc>
        <w:tc>
          <w:tcPr>
            <w:tcW w:w="584" w:type="dxa"/>
            <w:tcBorders>
              <w:top w:val="single" w:sz="12" w:space="0" w:color="auto"/>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1 350</w:t>
            </w:r>
          </w:p>
        </w:tc>
        <w:tc>
          <w:tcPr>
            <w:tcW w:w="552" w:type="dxa"/>
            <w:tcBorders>
              <w:top w:val="single" w:sz="12" w:space="0" w:color="auto"/>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1 400</w:t>
            </w:r>
          </w:p>
        </w:tc>
        <w:tc>
          <w:tcPr>
            <w:tcW w:w="552" w:type="dxa"/>
            <w:tcBorders>
              <w:top w:val="single" w:sz="12" w:space="0" w:color="auto"/>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1 450</w:t>
            </w:r>
          </w:p>
        </w:tc>
        <w:tc>
          <w:tcPr>
            <w:tcW w:w="552" w:type="dxa"/>
            <w:tcBorders>
              <w:top w:val="single" w:sz="12" w:space="0" w:color="auto"/>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1 500</w:t>
            </w:r>
          </w:p>
        </w:tc>
        <w:tc>
          <w:tcPr>
            <w:tcW w:w="552" w:type="dxa"/>
            <w:tcBorders>
              <w:top w:val="single" w:sz="12" w:space="0" w:color="auto"/>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1 550</w:t>
            </w:r>
          </w:p>
        </w:tc>
        <w:tc>
          <w:tcPr>
            <w:tcW w:w="552" w:type="dxa"/>
            <w:tcBorders>
              <w:top w:val="single" w:sz="12" w:space="0" w:color="auto"/>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1 600</w:t>
            </w:r>
          </w:p>
        </w:tc>
        <w:tc>
          <w:tcPr>
            <w:tcW w:w="552" w:type="dxa"/>
            <w:tcBorders>
              <w:top w:val="single" w:sz="12" w:space="0" w:color="auto"/>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1 650</w:t>
            </w:r>
          </w:p>
        </w:tc>
        <w:tc>
          <w:tcPr>
            <w:tcW w:w="552" w:type="dxa"/>
            <w:tcBorders>
              <w:top w:val="single" w:sz="12" w:space="0" w:color="auto"/>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1 700</w:t>
            </w:r>
          </w:p>
        </w:tc>
        <w:tc>
          <w:tcPr>
            <w:tcW w:w="552" w:type="dxa"/>
            <w:tcBorders>
              <w:top w:val="single" w:sz="12" w:space="0" w:color="auto"/>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1 750</w:t>
            </w:r>
          </w:p>
        </w:tc>
        <w:tc>
          <w:tcPr>
            <w:tcW w:w="552" w:type="dxa"/>
            <w:tcBorders>
              <w:top w:val="single" w:sz="12" w:space="0" w:color="auto"/>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1 800</w:t>
            </w:r>
          </w:p>
        </w:tc>
        <w:tc>
          <w:tcPr>
            <w:tcW w:w="552" w:type="dxa"/>
            <w:tcBorders>
              <w:top w:val="single" w:sz="12" w:space="0" w:color="auto"/>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1 850</w:t>
            </w:r>
          </w:p>
        </w:tc>
      </w:tr>
      <w:tr w:rsidR="001E7BB4" w:rsidRPr="007930B0">
        <w:tc>
          <w:tcPr>
            <w:tcW w:w="1266" w:type="dxa"/>
            <w:shd w:val="clear" w:color="auto" w:fill="auto"/>
          </w:tcPr>
          <w:p w:rsidR="001E7BB4" w:rsidRPr="007930B0" w:rsidRDefault="001E7BB4" w:rsidP="00907617">
            <w:pPr>
              <w:spacing w:before="40" w:after="40" w:line="220" w:lineRule="exact"/>
              <w:ind w:right="113"/>
              <w:rPr>
                <w:sz w:val="18"/>
              </w:rPr>
            </w:pPr>
            <w:r w:rsidRPr="007930B0">
              <w:rPr>
                <w:sz w:val="18"/>
              </w:rPr>
              <w:t>A2</w:t>
            </w:r>
          </w:p>
        </w:tc>
        <w:tc>
          <w:tcPr>
            <w:tcW w:w="584"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1 200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1 250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1 300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1 350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1 400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1 450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1 500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1 550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1 600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1 650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1 700</w:t>
            </w:r>
          </w:p>
        </w:tc>
      </w:tr>
      <w:tr w:rsidR="001E7BB4" w:rsidRPr="007930B0">
        <w:tc>
          <w:tcPr>
            <w:tcW w:w="1266" w:type="dxa"/>
            <w:tcBorders>
              <w:bottom w:val="nil"/>
            </w:tcBorders>
            <w:shd w:val="clear" w:color="auto" w:fill="auto"/>
          </w:tcPr>
          <w:p w:rsidR="001E7BB4" w:rsidRPr="007930B0" w:rsidRDefault="001E7BB4" w:rsidP="00907617">
            <w:pPr>
              <w:spacing w:before="40" w:after="40" w:line="220" w:lineRule="exact"/>
              <w:ind w:right="113"/>
              <w:rPr>
                <w:sz w:val="18"/>
              </w:rPr>
            </w:pPr>
            <w:r w:rsidRPr="007930B0">
              <w:rPr>
                <w:sz w:val="18"/>
              </w:rPr>
              <w:t>A3</w:t>
            </w:r>
          </w:p>
        </w:tc>
        <w:tc>
          <w:tcPr>
            <w:tcW w:w="584" w:type="dxa"/>
            <w:tcBorders>
              <w:bottom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1 100</w:t>
            </w:r>
          </w:p>
        </w:tc>
        <w:tc>
          <w:tcPr>
            <w:tcW w:w="552" w:type="dxa"/>
            <w:tcBorders>
              <w:bottom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1 150</w:t>
            </w:r>
          </w:p>
        </w:tc>
        <w:tc>
          <w:tcPr>
            <w:tcW w:w="552" w:type="dxa"/>
            <w:tcBorders>
              <w:bottom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1 200</w:t>
            </w:r>
          </w:p>
        </w:tc>
        <w:tc>
          <w:tcPr>
            <w:tcW w:w="552" w:type="dxa"/>
            <w:tcBorders>
              <w:bottom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1 250</w:t>
            </w:r>
          </w:p>
        </w:tc>
        <w:tc>
          <w:tcPr>
            <w:tcW w:w="552" w:type="dxa"/>
            <w:tcBorders>
              <w:bottom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1 300</w:t>
            </w:r>
          </w:p>
        </w:tc>
        <w:tc>
          <w:tcPr>
            <w:tcW w:w="552" w:type="dxa"/>
            <w:tcBorders>
              <w:bottom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1 350</w:t>
            </w:r>
          </w:p>
        </w:tc>
        <w:tc>
          <w:tcPr>
            <w:tcW w:w="552" w:type="dxa"/>
            <w:tcBorders>
              <w:bottom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1 400</w:t>
            </w:r>
          </w:p>
        </w:tc>
        <w:tc>
          <w:tcPr>
            <w:tcW w:w="552" w:type="dxa"/>
            <w:tcBorders>
              <w:bottom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1 450</w:t>
            </w:r>
          </w:p>
        </w:tc>
        <w:tc>
          <w:tcPr>
            <w:tcW w:w="552" w:type="dxa"/>
            <w:tcBorders>
              <w:bottom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1 500</w:t>
            </w:r>
          </w:p>
        </w:tc>
        <w:tc>
          <w:tcPr>
            <w:tcW w:w="552" w:type="dxa"/>
            <w:tcBorders>
              <w:bottom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1 550</w:t>
            </w:r>
          </w:p>
        </w:tc>
        <w:tc>
          <w:tcPr>
            <w:tcW w:w="552" w:type="dxa"/>
            <w:tcBorders>
              <w:bottom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1 600</w:t>
            </w:r>
          </w:p>
        </w:tc>
      </w:tr>
      <w:tr w:rsidR="001E7BB4" w:rsidRPr="007930B0">
        <w:tc>
          <w:tcPr>
            <w:tcW w:w="1266" w:type="dxa"/>
            <w:tcBorders>
              <w:top w:val="nil"/>
              <w:bottom w:val="nil"/>
            </w:tcBorders>
            <w:shd w:val="clear" w:color="auto" w:fill="auto"/>
          </w:tcPr>
          <w:p w:rsidR="001E7BB4" w:rsidRPr="007930B0" w:rsidRDefault="001E7BB4" w:rsidP="00907617">
            <w:pPr>
              <w:spacing w:before="40" w:after="40" w:line="220" w:lineRule="exact"/>
              <w:ind w:right="113"/>
              <w:rPr>
                <w:sz w:val="18"/>
              </w:rPr>
            </w:pPr>
            <w:r w:rsidRPr="007930B0">
              <w:rPr>
                <w:sz w:val="18"/>
              </w:rPr>
              <w:t>A4</w:t>
            </w:r>
          </w:p>
        </w:tc>
        <w:tc>
          <w:tcPr>
            <w:tcW w:w="584" w:type="dxa"/>
            <w:tcBorders>
              <w:top w:val="nil"/>
              <w:bottom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1 010</w:t>
            </w:r>
          </w:p>
        </w:tc>
        <w:tc>
          <w:tcPr>
            <w:tcW w:w="552" w:type="dxa"/>
            <w:tcBorders>
              <w:top w:val="nil"/>
              <w:bottom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1 060</w:t>
            </w:r>
          </w:p>
        </w:tc>
        <w:tc>
          <w:tcPr>
            <w:tcW w:w="552" w:type="dxa"/>
            <w:tcBorders>
              <w:top w:val="nil"/>
              <w:bottom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1 110</w:t>
            </w:r>
          </w:p>
        </w:tc>
        <w:tc>
          <w:tcPr>
            <w:tcW w:w="552" w:type="dxa"/>
            <w:tcBorders>
              <w:top w:val="nil"/>
              <w:bottom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1 160</w:t>
            </w:r>
          </w:p>
        </w:tc>
        <w:tc>
          <w:tcPr>
            <w:tcW w:w="552" w:type="dxa"/>
            <w:tcBorders>
              <w:top w:val="nil"/>
              <w:bottom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1 210</w:t>
            </w:r>
          </w:p>
        </w:tc>
        <w:tc>
          <w:tcPr>
            <w:tcW w:w="552" w:type="dxa"/>
            <w:tcBorders>
              <w:top w:val="nil"/>
              <w:bottom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1 260</w:t>
            </w:r>
          </w:p>
        </w:tc>
        <w:tc>
          <w:tcPr>
            <w:tcW w:w="552" w:type="dxa"/>
            <w:tcBorders>
              <w:top w:val="nil"/>
              <w:bottom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1 310</w:t>
            </w:r>
          </w:p>
        </w:tc>
        <w:tc>
          <w:tcPr>
            <w:tcW w:w="552" w:type="dxa"/>
            <w:tcBorders>
              <w:top w:val="nil"/>
              <w:bottom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1 360</w:t>
            </w:r>
          </w:p>
        </w:tc>
        <w:tc>
          <w:tcPr>
            <w:tcW w:w="552" w:type="dxa"/>
            <w:tcBorders>
              <w:top w:val="nil"/>
              <w:bottom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1 410</w:t>
            </w:r>
          </w:p>
        </w:tc>
        <w:tc>
          <w:tcPr>
            <w:tcW w:w="552" w:type="dxa"/>
            <w:tcBorders>
              <w:top w:val="nil"/>
              <w:bottom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1 460</w:t>
            </w:r>
          </w:p>
        </w:tc>
        <w:tc>
          <w:tcPr>
            <w:tcW w:w="552" w:type="dxa"/>
            <w:tcBorders>
              <w:top w:val="nil"/>
              <w:bottom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1 510</w:t>
            </w:r>
          </w:p>
        </w:tc>
      </w:tr>
      <w:tr w:rsidR="001E7BB4" w:rsidRPr="007930B0">
        <w:tc>
          <w:tcPr>
            <w:tcW w:w="1266" w:type="dxa"/>
            <w:tcBorders>
              <w:top w:val="nil"/>
            </w:tcBorders>
            <w:shd w:val="clear" w:color="auto" w:fill="auto"/>
          </w:tcPr>
          <w:p w:rsidR="001E7BB4" w:rsidRPr="007930B0" w:rsidRDefault="001E7BB4" w:rsidP="00907617">
            <w:pPr>
              <w:spacing w:before="40" w:after="40" w:line="220" w:lineRule="exact"/>
              <w:ind w:right="113"/>
              <w:rPr>
                <w:sz w:val="18"/>
              </w:rPr>
            </w:pPr>
            <w:r w:rsidRPr="007930B0">
              <w:rPr>
                <w:sz w:val="18"/>
              </w:rPr>
              <w:t>Prof. Agregado</w:t>
            </w:r>
          </w:p>
        </w:tc>
        <w:tc>
          <w:tcPr>
            <w:tcW w:w="584" w:type="dxa"/>
            <w:tcBorders>
              <w:top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950</w:t>
            </w:r>
          </w:p>
        </w:tc>
        <w:tc>
          <w:tcPr>
            <w:tcW w:w="552" w:type="dxa"/>
            <w:tcBorders>
              <w:top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990</w:t>
            </w:r>
          </w:p>
        </w:tc>
        <w:tc>
          <w:tcPr>
            <w:tcW w:w="552" w:type="dxa"/>
            <w:tcBorders>
              <w:top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1 040</w:t>
            </w:r>
          </w:p>
        </w:tc>
        <w:tc>
          <w:tcPr>
            <w:tcW w:w="552" w:type="dxa"/>
            <w:tcBorders>
              <w:top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1 110</w:t>
            </w:r>
          </w:p>
        </w:tc>
        <w:tc>
          <w:tcPr>
            <w:tcW w:w="552" w:type="dxa"/>
            <w:tcBorders>
              <w:top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1 200</w:t>
            </w:r>
          </w:p>
        </w:tc>
        <w:tc>
          <w:tcPr>
            <w:tcW w:w="552" w:type="dxa"/>
            <w:tcBorders>
              <w:top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1 270</w:t>
            </w:r>
          </w:p>
        </w:tc>
        <w:tc>
          <w:tcPr>
            <w:tcW w:w="552" w:type="dxa"/>
            <w:tcBorders>
              <w:top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1 330</w:t>
            </w:r>
          </w:p>
        </w:tc>
        <w:tc>
          <w:tcPr>
            <w:tcW w:w="552" w:type="dxa"/>
            <w:tcBorders>
              <w:top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1 410</w:t>
            </w:r>
          </w:p>
        </w:tc>
        <w:tc>
          <w:tcPr>
            <w:tcW w:w="552" w:type="dxa"/>
            <w:tcBorders>
              <w:top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1 450</w:t>
            </w:r>
          </w:p>
        </w:tc>
        <w:tc>
          <w:tcPr>
            <w:tcW w:w="552" w:type="dxa"/>
            <w:tcBorders>
              <w:top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1 475</w:t>
            </w:r>
          </w:p>
        </w:tc>
        <w:tc>
          <w:tcPr>
            <w:tcW w:w="552" w:type="dxa"/>
            <w:tcBorders>
              <w:top w:val="nil"/>
            </w:tcBorders>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1 500</w:t>
            </w:r>
          </w:p>
        </w:tc>
      </w:tr>
      <w:tr w:rsidR="001E7BB4" w:rsidRPr="007930B0">
        <w:tc>
          <w:tcPr>
            <w:tcW w:w="1266" w:type="dxa"/>
            <w:shd w:val="clear" w:color="auto" w:fill="auto"/>
          </w:tcPr>
          <w:p w:rsidR="001E7BB4" w:rsidRPr="007930B0" w:rsidRDefault="001E7BB4" w:rsidP="00907617">
            <w:pPr>
              <w:spacing w:before="40" w:after="40" w:line="220" w:lineRule="exact"/>
              <w:ind w:right="113"/>
              <w:rPr>
                <w:sz w:val="18"/>
              </w:rPr>
            </w:pPr>
            <w:r w:rsidRPr="007930B0">
              <w:rPr>
                <w:sz w:val="18"/>
              </w:rPr>
              <w:t>Prof. Enseñanza Secundaria primer ciclo</w:t>
            </w:r>
          </w:p>
        </w:tc>
        <w:tc>
          <w:tcPr>
            <w:tcW w:w="584"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810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890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970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1 050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1 130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1 200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1 270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1 350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1 400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1 425</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1 450</w:t>
            </w:r>
          </w:p>
        </w:tc>
      </w:tr>
      <w:tr w:rsidR="001E7BB4" w:rsidRPr="007930B0">
        <w:tc>
          <w:tcPr>
            <w:tcW w:w="1266" w:type="dxa"/>
            <w:shd w:val="clear" w:color="auto" w:fill="auto"/>
          </w:tcPr>
          <w:p w:rsidR="001E7BB4" w:rsidRPr="007930B0" w:rsidRDefault="001E7BB4" w:rsidP="00907617">
            <w:pPr>
              <w:spacing w:before="40" w:after="40" w:line="220" w:lineRule="exact"/>
              <w:ind w:right="113"/>
              <w:rPr>
                <w:sz w:val="18"/>
              </w:rPr>
            </w:pPr>
            <w:r w:rsidRPr="007930B0">
              <w:rPr>
                <w:sz w:val="18"/>
              </w:rPr>
              <w:t>Prof. Enseñanza Secundaria segundo ciclo</w:t>
            </w:r>
          </w:p>
        </w:tc>
        <w:tc>
          <w:tcPr>
            <w:tcW w:w="584"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650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730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820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900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950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1 000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1 080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1 150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1 180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1 220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1 250</w:t>
            </w:r>
          </w:p>
        </w:tc>
      </w:tr>
      <w:tr w:rsidR="001E7BB4" w:rsidRPr="007930B0">
        <w:tc>
          <w:tcPr>
            <w:tcW w:w="1266" w:type="dxa"/>
            <w:shd w:val="clear" w:color="auto" w:fill="auto"/>
          </w:tcPr>
          <w:p w:rsidR="001E7BB4" w:rsidRPr="007930B0" w:rsidRDefault="001E7BB4" w:rsidP="00907617">
            <w:pPr>
              <w:spacing w:before="40" w:after="40" w:line="220" w:lineRule="exact"/>
              <w:ind w:right="113"/>
              <w:rPr>
                <w:sz w:val="18"/>
              </w:rPr>
            </w:pPr>
            <w:r w:rsidRPr="007930B0">
              <w:rPr>
                <w:sz w:val="18"/>
              </w:rPr>
              <w:t>Maestro</w:t>
            </w:r>
          </w:p>
        </w:tc>
        <w:tc>
          <w:tcPr>
            <w:tcW w:w="584"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560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600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650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700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750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800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850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900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960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1 020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1 100</w:t>
            </w:r>
          </w:p>
        </w:tc>
      </w:tr>
      <w:tr w:rsidR="001E7BB4" w:rsidRPr="007930B0">
        <w:tc>
          <w:tcPr>
            <w:tcW w:w="1266" w:type="dxa"/>
            <w:shd w:val="clear" w:color="auto" w:fill="auto"/>
          </w:tcPr>
          <w:p w:rsidR="001E7BB4" w:rsidRPr="007930B0" w:rsidRDefault="001E7BB4" w:rsidP="00907617">
            <w:pPr>
              <w:spacing w:before="40" w:after="40" w:line="220" w:lineRule="exact"/>
              <w:ind w:right="113"/>
              <w:rPr>
                <w:sz w:val="18"/>
              </w:rPr>
            </w:pPr>
            <w:r w:rsidRPr="007930B0">
              <w:rPr>
                <w:sz w:val="18"/>
              </w:rPr>
              <w:t>Maestro Adjunto</w:t>
            </w:r>
          </w:p>
        </w:tc>
        <w:tc>
          <w:tcPr>
            <w:tcW w:w="584"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400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460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500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540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580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620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660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720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760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800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850</w:t>
            </w:r>
          </w:p>
        </w:tc>
      </w:tr>
      <w:tr w:rsidR="001E7BB4" w:rsidRPr="007930B0">
        <w:tc>
          <w:tcPr>
            <w:tcW w:w="1266" w:type="dxa"/>
            <w:shd w:val="clear" w:color="auto" w:fill="auto"/>
          </w:tcPr>
          <w:p w:rsidR="001E7BB4" w:rsidRPr="007930B0" w:rsidRDefault="001E7BB4" w:rsidP="00907617">
            <w:pPr>
              <w:spacing w:before="40" w:after="40" w:line="220" w:lineRule="exact"/>
              <w:ind w:right="113"/>
              <w:rPr>
                <w:sz w:val="18"/>
              </w:rPr>
            </w:pPr>
            <w:r w:rsidRPr="007930B0">
              <w:rPr>
                <w:sz w:val="18"/>
              </w:rPr>
              <w:t>Instructor</w:t>
            </w:r>
          </w:p>
        </w:tc>
        <w:tc>
          <w:tcPr>
            <w:tcW w:w="584"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300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330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360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390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420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450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480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520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550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570</w:t>
            </w:r>
          </w:p>
        </w:tc>
        <w:tc>
          <w:tcPr>
            <w:tcW w:w="552" w:type="dxa"/>
            <w:shd w:val="clear" w:color="auto" w:fill="auto"/>
            <w:vAlign w:val="bottom"/>
          </w:tcPr>
          <w:p w:rsidR="001E7BB4" w:rsidRPr="007930B0" w:rsidRDefault="001E7BB4" w:rsidP="00907617">
            <w:pPr>
              <w:spacing w:before="40" w:after="40" w:line="220" w:lineRule="exact"/>
              <w:ind w:right="113"/>
              <w:jc w:val="right"/>
              <w:rPr>
                <w:sz w:val="18"/>
              </w:rPr>
            </w:pPr>
            <w:r w:rsidRPr="007930B0">
              <w:rPr>
                <w:sz w:val="18"/>
              </w:rPr>
              <w:t>600</w:t>
            </w:r>
          </w:p>
        </w:tc>
      </w:tr>
    </w:tbl>
    <w:p w:rsidR="001E7BB4" w:rsidRPr="007930B0" w:rsidRDefault="001E7BB4" w:rsidP="00907617">
      <w:pPr>
        <w:pStyle w:val="H4G"/>
        <w:rPr>
          <w:lang w:val="es-ES"/>
        </w:rPr>
      </w:pPr>
      <w:r w:rsidRPr="007930B0">
        <w:rPr>
          <w:lang w:val="es-ES"/>
        </w:rPr>
        <w:tab/>
      </w:r>
      <w:r w:rsidRPr="007930B0">
        <w:rPr>
          <w:lang w:val="es-ES"/>
        </w:rPr>
        <w:tab/>
        <w:t>Medidas adoptadas o previstas para mejorar el nivel de vida de los docentes</w:t>
      </w:r>
    </w:p>
    <w:p w:rsidR="001E7BB4" w:rsidRPr="007930B0" w:rsidRDefault="00907617" w:rsidP="0068666F">
      <w:pPr>
        <w:pStyle w:val="SingleTxtG"/>
        <w:rPr>
          <w:lang w:val="es-ES"/>
        </w:rPr>
      </w:pPr>
      <w:r w:rsidRPr="007930B0">
        <w:rPr>
          <w:lang w:val="es-ES"/>
        </w:rPr>
        <w:t>518.</w:t>
      </w:r>
      <w:r w:rsidRPr="007930B0">
        <w:rPr>
          <w:lang w:val="es-ES"/>
        </w:rPr>
        <w:tab/>
        <w:t xml:space="preserve">En el </w:t>
      </w:r>
      <w:r w:rsidRPr="007930B0">
        <w:rPr>
          <w:b/>
          <w:lang w:val="es-ES"/>
        </w:rPr>
        <w:t>D</w:t>
      </w:r>
      <w:r w:rsidR="001E7BB4" w:rsidRPr="007930B0">
        <w:rPr>
          <w:b/>
          <w:lang w:val="es-ES"/>
        </w:rPr>
        <w:t>ecreto 2007-029/PM</w:t>
      </w:r>
      <w:r w:rsidR="001E7BB4" w:rsidRPr="007930B0">
        <w:rPr>
          <w:lang w:val="es-ES"/>
        </w:rPr>
        <w:t>, de 19 de enero de 2007, que modificó el valor del punto del índice, aumentó las pensiones y modificó algunas disposiciones del decreto 2006-003, de 20 de enero de 2006, se estableció lo siguiente:</w:t>
      </w:r>
    </w:p>
    <w:p w:rsidR="001E7BB4" w:rsidRPr="007930B0" w:rsidRDefault="001E7BB4" w:rsidP="00315B1E">
      <w:pPr>
        <w:pStyle w:val="Bullet1G"/>
        <w:rPr>
          <w:lang w:val="es-ES"/>
        </w:rPr>
      </w:pPr>
      <w:r w:rsidRPr="007930B0">
        <w:rPr>
          <w:b/>
          <w:lang w:val="es-ES"/>
        </w:rPr>
        <w:t>Artículo 1</w:t>
      </w:r>
      <w:r w:rsidRPr="007930B0">
        <w:rPr>
          <w:lang w:val="es-ES"/>
        </w:rPr>
        <w:t xml:space="preserve">: </w:t>
      </w:r>
      <w:r w:rsidR="00CC3B6E" w:rsidRPr="007930B0">
        <w:rPr>
          <w:lang w:val="es-ES"/>
        </w:rPr>
        <w:t>"</w:t>
      </w:r>
      <w:r w:rsidRPr="007930B0">
        <w:rPr>
          <w:lang w:val="es-ES"/>
        </w:rPr>
        <w:t xml:space="preserve">Los docentes funcionarios titulares en servicio en el Ministerio de educación primaria y secundaria (Educación Nacional) y que ejercen efectivamente la docencia en clase, gozarán, durante el año escolar (nueve meses de doce), de una </w:t>
      </w:r>
      <w:r w:rsidRPr="007930B0">
        <w:rPr>
          <w:b/>
          <w:lang w:val="es-ES"/>
        </w:rPr>
        <w:t>prima mensual de tiza</w:t>
      </w:r>
      <w:r w:rsidRPr="007930B0">
        <w:rPr>
          <w:lang w:val="es-ES"/>
        </w:rPr>
        <w:t>, libre de impuestos, de 5.000 ouguiyas</w:t>
      </w:r>
      <w:r w:rsidR="00CC3B6E" w:rsidRPr="007930B0">
        <w:rPr>
          <w:lang w:val="es-ES"/>
        </w:rPr>
        <w:t>"</w:t>
      </w:r>
      <w:r w:rsidRPr="007930B0">
        <w:rPr>
          <w:lang w:val="es-ES"/>
        </w:rPr>
        <w:t>;</w:t>
      </w:r>
    </w:p>
    <w:p w:rsidR="001E7BB4" w:rsidRPr="007930B0" w:rsidRDefault="001E7BB4" w:rsidP="00CB20BA">
      <w:pPr>
        <w:pStyle w:val="Bullet1G"/>
        <w:rPr>
          <w:lang w:val="es-ES"/>
        </w:rPr>
      </w:pPr>
      <w:r w:rsidRPr="007930B0">
        <w:rPr>
          <w:b/>
          <w:lang w:val="es-ES"/>
        </w:rPr>
        <w:t>Artículo 6</w:t>
      </w:r>
      <w:r w:rsidRPr="007930B0">
        <w:rPr>
          <w:lang w:val="es-ES"/>
        </w:rPr>
        <w:t xml:space="preserve">: </w:t>
      </w:r>
      <w:r w:rsidR="00CC3B6E" w:rsidRPr="007930B0">
        <w:rPr>
          <w:lang w:val="es-ES"/>
        </w:rPr>
        <w:t>"</w:t>
      </w:r>
      <w:r w:rsidRPr="007930B0">
        <w:rPr>
          <w:lang w:val="es-ES"/>
        </w:rPr>
        <w:t xml:space="preserve">Los profesores de la enseñanza superior gozarán de una </w:t>
      </w:r>
      <w:r w:rsidRPr="007930B0">
        <w:rPr>
          <w:b/>
          <w:lang w:val="es-ES"/>
        </w:rPr>
        <w:t>prima de investigación</w:t>
      </w:r>
      <w:r w:rsidRPr="007930B0">
        <w:rPr>
          <w:lang w:val="es-ES"/>
        </w:rPr>
        <w:t xml:space="preserve"> y una </w:t>
      </w:r>
      <w:r w:rsidRPr="007930B0">
        <w:rPr>
          <w:b/>
          <w:lang w:val="es-ES"/>
        </w:rPr>
        <w:t>prima de orientación</w:t>
      </w:r>
      <w:r w:rsidRPr="007930B0">
        <w:rPr>
          <w:lang w:val="es-ES"/>
        </w:rPr>
        <w:t>, de conformidad con los cuadros que figuran en los anexos II-6 y II-7</w:t>
      </w:r>
      <w:r w:rsidR="00CC3B6E" w:rsidRPr="007930B0">
        <w:rPr>
          <w:lang w:val="es-ES"/>
        </w:rPr>
        <w:t>"</w:t>
      </w:r>
      <w:r w:rsidRPr="007930B0">
        <w:rPr>
          <w:lang w:val="es-ES"/>
        </w:rPr>
        <w:t>;</w:t>
      </w:r>
    </w:p>
    <w:p w:rsidR="001E7BB4" w:rsidRPr="007930B0" w:rsidRDefault="001E7BB4" w:rsidP="00CB20BA">
      <w:pPr>
        <w:pStyle w:val="Bullet1G"/>
        <w:rPr>
          <w:lang w:val="es-ES"/>
        </w:rPr>
      </w:pPr>
      <w:r w:rsidRPr="007930B0">
        <w:rPr>
          <w:b/>
          <w:lang w:val="es-ES"/>
        </w:rPr>
        <w:t>Artículo 7</w:t>
      </w:r>
      <w:r w:rsidRPr="007930B0">
        <w:rPr>
          <w:lang w:val="es-ES"/>
        </w:rPr>
        <w:t xml:space="preserve">: </w:t>
      </w:r>
      <w:r w:rsidR="00CC3B6E" w:rsidRPr="007930B0">
        <w:rPr>
          <w:lang w:val="es-ES"/>
        </w:rPr>
        <w:t>"</w:t>
      </w:r>
      <w:r w:rsidRPr="007930B0">
        <w:rPr>
          <w:lang w:val="es-ES"/>
        </w:rPr>
        <w:t xml:space="preserve">La </w:t>
      </w:r>
      <w:r w:rsidRPr="007930B0">
        <w:rPr>
          <w:b/>
          <w:lang w:val="es-ES"/>
        </w:rPr>
        <w:t>prima de sujeción</w:t>
      </w:r>
      <w:r w:rsidRPr="007930B0">
        <w:rPr>
          <w:lang w:val="es-ES"/>
        </w:rPr>
        <w:t xml:space="preserve">, la </w:t>
      </w:r>
      <w:r w:rsidRPr="007930B0">
        <w:rPr>
          <w:b/>
          <w:lang w:val="es-ES"/>
        </w:rPr>
        <w:t>prima de estímulo</w:t>
      </w:r>
      <w:r w:rsidRPr="007930B0">
        <w:rPr>
          <w:lang w:val="es-ES"/>
        </w:rPr>
        <w:t xml:space="preserve"> y la </w:t>
      </w:r>
      <w:r w:rsidRPr="007930B0">
        <w:rPr>
          <w:b/>
          <w:lang w:val="es-ES"/>
        </w:rPr>
        <w:t>prima de orientación</w:t>
      </w:r>
      <w:r w:rsidRPr="007930B0">
        <w:rPr>
          <w:lang w:val="es-ES"/>
        </w:rPr>
        <w:t xml:space="preserve"> previstas para los profesores de la enseñanza superior solo se otorgarán a los que ejerzan efectivamente en instituciones de enseñanza superior y serán pagadas en su totalidad por esas instituciones</w:t>
      </w:r>
      <w:r w:rsidR="00CC3B6E" w:rsidRPr="007930B0">
        <w:rPr>
          <w:lang w:val="es-ES"/>
        </w:rPr>
        <w:t>"</w:t>
      </w:r>
      <w:r w:rsidRPr="007930B0">
        <w:rPr>
          <w:lang w:val="es-ES"/>
        </w:rPr>
        <w:t>;</w:t>
      </w:r>
    </w:p>
    <w:p w:rsidR="001E7BB4" w:rsidRPr="007930B0" w:rsidRDefault="001E7BB4" w:rsidP="00CB20BA">
      <w:pPr>
        <w:pStyle w:val="Bullet1G"/>
        <w:rPr>
          <w:lang w:val="es-ES"/>
        </w:rPr>
      </w:pPr>
      <w:r w:rsidRPr="007930B0">
        <w:rPr>
          <w:b/>
          <w:lang w:val="es-ES"/>
        </w:rPr>
        <w:t>Artículo 8</w:t>
      </w:r>
      <w:r w:rsidRPr="007930B0">
        <w:rPr>
          <w:lang w:val="es-ES"/>
        </w:rPr>
        <w:t xml:space="preserve">: </w:t>
      </w:r>
      <w:r w:rsidR="00CC3B6E" w:rsidRPr="007930B0">
        <w:rPr>
          <w:lang w:val="es-ES"/>
        </w:rPr>
        <w:t>"</w:t>
      </w:r>
      <w:r w:rsidRPr="007930B0">
        <w:rPr>
          <w:lang w:val="es-ES"/>
        </w:rPr>
        <w:t>Las clases dictadas por los profesores de la enseñanza superior que no estén comprendidas en sus obligaciones reglamentarias serán remuneradas por las instituciones de enseñanza superior conforme a la tarifa horaria contemplada en la escala prevista en el anexo II-8</w:t>
      </w:r>
      <w:r w:rsidR="00CC3B6E" w:rsidRPr="007930B0">
        <w:rPr>
          <w:lang w:val="es-ES"/>
        </w:rPr>
        <w:t>"</w:t>
      </w:r>
      <w:r w:rsidRPr="007930B0">
        <w:rPr>
          <w:lang w:val="es-ES"/>
        </w:rPr>
        <w:t>.</w:t>
      </w:r>
    </w:p>
    <w:p w:rsidR="001E7BB4" w:rsidRPr="007930B0" w:rsidRDefault="001E7BB4" w:rsidP="00CB20BA">
      <w:pPr>
        <w:pStyle w:val="H23G"/>
        <w:rPr>
          <w:lang w:val="es-ES"/>
        </w:rPr>
      </w:pPr>
      <w:r w:rsidRPr="007930B0">
        <w:rPr>
          <w:lang w:val="es-ES"/>
        </w:rPr>
        <w:tab/>
      </w:r>
      <w:r w:rsidRPr="007930B0">
        <w:rPr>
          <w:lang w:val="es-ES"/>
        </w:rPr>
        <w:tab/>
        <w:t>Proporción de instituciones de enseñanza (todos los niveles) no creadas o administradas por el Estado</w:t>
      </w:r>
    </w:p>
    <w:p w:rsidR="001E7BB4" w:rsidRPr="007930B0" w:rsidRDefault="001E7BB4" w:rsidP="0068666F">
      <w:pPr>
        <w:pStyle w:val="SingleTxtG"/>
        <w:rPr>
          <w:lang w:val="es-ES"/>
        </w:rPr>
      </w:pPr>
      <w:r w:rsidRPr="007930B0">
        <w:rPr>
          <w:lang w:val="es-ES"/>
        </w:rPr>
        <w:t>519.</w:t>
      </w:r>
      <w:r w:rsidRPr="007930B0">
        <w:rPr>
          <w:lang w:val="es-ES"/>
        </w:rPr>
        <w:tab/>
        <w:t xml:space="preserve">Las instituciones privadas en Mauritania se rigen por la resolución 81-212, relativa al estatuto de </w:t>
      </w:r>
      <w:r w:rsidR="00FF10B7" w:rsidRPr="007930B0">
        <w:rPr>
          <w:lang w:val="es-ES"/>
        </w:rPr>
        <w:t>la enseñanza privada, y por el D</w:t>
      </w:r>
      <w:r w:rsidRPr="007930B0">
        <w:rPr>
          <w:lang w:val="es-ES"/>
        </w:rPr>
        <w:t>ecreto</w:t>
      </w:r>
      <w:r w:rsidR="00FF10B7" w:rsidRPr="007930B0">
        <w:rPr>
          <w:lang w:val="es-ES"/>
        </w:rPr>
        <w:t xml:space="preserve"> Nº</w:t>
      </w:r>
      <w:r w:rsidRPr="007930B0">
        <w:rPr>
          <w:lang w:val="es-ES"/>
        </w:rPr>
        <w:t xml:space="preserve"> 82-015, de 12 de febrero de 1982, sobre las condiciones de apertura y control de las instituciones de enseñanza privada.</w:t>
      </w:r>
    </w:p>
    <w:p w:rsidR="001E7BB4" w:rsidRPr="007930B0" w:rsidRDefault="001E7BB4" w:rsidP="0068666F">
      <w:pPr>
        <w:pStyle w:val="SingleTxtG"/>
        <w:rPr>
          <w:lang w:val="es-ES"/>
        </w:rPr>
      </w:pPr>
      <w:r w:rsidRPr="007930B0">
        <w:rPr>
          <w:lang w:val="es-ES"/>
        </w:rPr>
        <w:t>520.</w:t>
      </w:r>
      <w:r w:rsidRPr="007930B0">
        <w:rPr>
          <w:lang w:val="es-ES"/>
        </w:rPr>
        <w:tab/>
        <w:t xml:space="preserve">Según el </w:t>
      </w:r>
      <w:r w:rsidRPr="00D93676">
        <w:rPr>
          <w:b/>
          <w:lang w:val="es-ES"/>
        </w:rPr>
        <w:t>artículo 3</w:t>
      </w:r>
      <w:r w:rsidRPr="007930B0">
        <w:rPr>
          <w:lang w:val="es-ES"/>
        </w:rPr>
        <w:t xml:space="preserve"> de la resolución, </w:t>
      </w:r>
      <w:r w:rsidR="00CC3B6E" w:rsidRPr="007930B0">
        <w:rPr>
          <w:lang w:val="es-ES"/>
        </w:rPr>
        <w:t>"</w:t>
      </w:r>
      <w:r w:rsidRPr="007930B0">
        <w:rPr>
          <w:lang w:val="es-ES"/>
        </w:rPr>
        <w:t>se consideran instituciones de enseñanza privada, las instituciones creadas por iniciativa privada, individual o colectiva, con el fin de enseñar de manera permanente, directa o por correspondencia, y en forma conjunta, a por lo menos seis niños o personas adultas</w:t>
      </w:r>
      <w:r w:rsidR="00CC3B6E" w:rsidRPr="007930B0">
        <w:rPr>
          <w:lang w:val="es-ES"/>
        </w:rPr>
        <w:t>"</w:t>
      </w:r>
      <w:r w:rsidRPr="007930B0">
        <w:rPr>
          <w:lang w:val="es-ES"/>
        </w:rPr>
        <w:t xml:space="preserve">. </w:t>
      </w:r>
    </w:p>
    <w:p w:rsidR="001E7BB4" w:rsidRPr="007930B0" w:rsidRDefault="001E7BB4" w:rsidP="0068666F">
      <w:pPr>
        <w:pStyle w:val="SingleTxtG"/>
        <w:rPr>
          <w:lang w:val="es-ES"/>
        </w:rPr>
      </w:pPr>
      <w:r w:rsidRPr="007930B0">
        <w:rPr>
          <w:lang w:val="es-ES"/>
        </w:rPr>
        <w:t>521.</w:t>
      </w:r>
      <w:r w:rsidRPr="007930B0">
        <w:rPr>
          <w:lang w:val="es-ES"/>
        </w:rPr>
        <w:tab/>
        <w:t>La enseñanza privada abarca todos los ciclos educativos, con excepción del superior</w:t>
      </w:r>
      <w:r w:rsidRPr="007930B0">
        <w:rPr>
          <w:rStyle w:val="FootnoteReference"/>
          <w:lang w:val="es-ES"/>
        </w:rPr>
        <w:footnoteReference w:id="43"/>
      </w:r>
      <w:r w:rsidRPr="007930B0">
        <w:rPr>
          <w:lang w:val="es-ES"/>
        </w:rPr>
        <w:t>: la enseñanza primaria, la secundaria y la formación técnica y profesional, sin olvidar las instituciones que dictan cursos de recuperación, cursos nocturnos o preparan para exámenes (</w:t>
      </w:r>
      <w:r w:rsidRPr="00D93676">
        <w:rPr>
          <w:b/>
          <w:lang w:val="es-ES"/>
        </w:rPr>
        <w:t>artículos 4 y 5</w:t>
      </w:r>
      <w:r w:rsidRPr="007930B0">
        <w:rPr>
          <w:lang w:val="es-ES"/>
        </w:rPr>
        <w:t xml:space="preserve"> de la resolución).</w:t>
      </w:r>
    </w:p>
    <w:p w:rsidR="001E7BB4" w:rsidRPr="007930B0" w:rsidRDefault="001E7BB4" w:rsidP="0068666F">
      <w:pPr>
        <w:pStyle w:val="SingleTxtG"/>
        <w:rPr>
          <w:lang w:val="es-ES"/>
        </w:rPr>
      </w:pPr>
      <w:r w:rsidRPr="007930B0">
        <w:rPr>
          <w:lang w:val="es-ES"/>
        </w:rPr>
        <w:t>522.</w:t>
      </w:r>
      <w:r w:rsidRPr="007930B0">
        <w:rPr>
          <w:lang w:val="es-ES"/>
        </w:rPr>
        <w:tab/>
        <w:t>No se consideran instituciones privadas los jardines de infantes, las guarderías, las Mahadras y las instituciones creadas por asociaciones culturales o religiosas, reconocidas por el Estado, y en las que se enseña en forma gratuita (</w:t>
      </w:r>
      <w:r w:rsidRPr="00D93676">
        <w:rPr>
          <w:b/>
          <w:lang w:val="es-ES"/>
        </w:rPr>
        <w:t>artículo 6</w:t>
      </w:r>
      <w:r w:rsidRPr="007930B0">
        <w:rPr>
          <w:lang w:val="es-ES"/>
        </w:rPr>
        <w:t xml:space="preserve"> de la resolución).</w:t>
      </w:r>
    </w:p>
    <w:p w:rsidR="001E7BB4" w:rsidRPr="007930B0" w:rsidRDefault="001E7BB4" w:rsidP="0068666F">
      <w:pPr>
        <w:pStyle w:val="SingleTxtG"/>
        <w:rPr>
          <w:lang w:val="es-ES"/>
        </w:rPr>
      </w:pPr>
      <w:r w:rsidRPr="007930B0">
        <w:rPr>
          <w:lang w:val="es-ES"/>
        </w:rPr>
        <w:t>523.</w:t>
      </w:r>
      <w:r w:rsidRPr="007930B0">
        <w:rPr>
          <w:lang w:val="es-ES"/>
        </w:rPr>
        <w:tab/>
        <w:t>La apertura de una institución privada está sujeta a la aprobación del Ministro del Interior y del ministro competente en el ámbito de la formación de que se trate (</w:t>
      </w:r>
      <w:r w:rsidRPr="00D93676">
        <w:rPr>
          <w:b/>
          <w:lang w:val="es-ES"/>
        </w:rPr>
        <w:t>artículos 2, 3 y 4</w:t>
      </w:r>
      <w:r w:rsidRPr="007930B0">
        <w:rPr>
          <w:lang w:val="es-ES"/>
        </w:rPr>
        <w:t xml:space="preserve"> del decreto 82-015). Se hace efectiva mediante la entrega a las autoridades competentes de un informe llamado de apertura. La dirección de enseñanza privada registró, para el año escolar 2006/07, 178 instituciones de enseñanza primaria en todo el territorio nacional.</w:t>
      </w:r>
    </w:p>
    <w:p w:rsidR="001E7BB4" w:rsidRPr="007930B0" w:rsidRDefault="001E7BB4" w:rsidP="0068666F">
      <w:pPr>
        <w:pStyle w:val="SingleTxtG"/>
        <w:rPr>
          <w:lang w:val="es-ES"/>
        </w:rPr>
      </w:pPr>
      <w:r w:rsidRPr="007930B0">
        <w:rPr>
          <w:lang w:val="es-ES"/>
        </w:rPr>
        <w:t>524.</w:t>
      </w:r>
      <w:r w:rsidRPr="007930B0">
        <w:rPr>
          <w:lang w:val="es-ES"/>
        </w:rPr>
        <w:tab/>
        <w:t>Para el año escolar 2007/08 se entregaron 172 informes de apertura; esta cifra es provisional, ya que hay otras 45 escuelas que están de hecho funcionando y que no han entregado sus informes.</w:t>
      </w:r>
    </w:p>
    <w:p w:rsidR="001E7BB4" w:rsidRPr="007930B0" w:rsidRDefault="001E7BB4" w:rsidP="0068666F">
      <w:pPr>
        <w:pStyle w:val="SingleTxtG"/>
        <w:rPr>
          <w:lang w:val="es-ES"/>
        </w:rPr>
      </w:pPr>
      <w:r w:rsidRPr="007930B0">
        <w:rPr>
          <w:lang w:val="es-ES"/>
        </w:rPr>
        <w:t>525.</w:t>
      </w:r>
      <w:r w:rsidRPr="007930B0">
        <w:rPr>
          <w:lang w:val="es-ES"/>
        </w:rPr>
        <w:tab/>
        <w:t>En el año escolar 2006/07, de un total de 239 instituciones, la proporción de instituciones privadas de enseñanza secundaria fue de 95, frente a 82 en el año escolar 2005/06. El número de profesores de la enseñanza privada en el mismo período pasó de 484 a 1.132, mientras que en la enseñanza pública pasó de 3.105 a 2.932.</w:t>
      </w:r>
    </w:p>
    <w:p w:rsidR="001E7BB4" w:rsidRPr="007930B0" w:rsidRDefault="001E7BB4" w:rsidP="00CB20BA">
      <w:pPr>
        <w:pStyle w:val="H23G"/>
        <w:rPr>
          <w:lang w:val="es-ES"/>
        </w:rPr>
      </w:pPr>
      <w:r w:rsidRPr="007930B0">
        <w:rPr>
          <w:lang w:val="es-ES"/>
        </w:rPr>
        <w:tab/>
      </w:r>
      <w:r w:rsidRPr="007930B0">
        <w:rPr>
          <w:lang w:val="es-ES"/>
        </w:rPr>
        <w:tab/>
        <w:t>Evaluación de la conformidad de las leyes, reglamentos y prácticas con el espíritu del artículo 13</w:t>
      </w:r>
    </w:p>
    <w:p w:rsidR="001E7BB4" w:rsidRPr="007930B0" w:rsidRDefault="001E7BB4" w:rsidP="0068666F">
      <w:pPr>
        <w:pStyle w:val="SingleTxtG"/>
        <w:rPr>
          <w:lang w:val="es-ES"/>
        </w:rPr>
      </w:pPr>
      <w:r w:rsidRPr="007930B0">
        <w:rPr>
          <w:lang w:val="es-ES"/>
        </w:rPr>
        <w:t>526.</w:t>
      </w:r>
      <w:r w:rsidRPr="007930B0">
        <w:rPr>
          <w:lang w:val="es-ES"/>
        </w:rPr>
        <w:tab/>
        <w:t>El entorno legislativo y reglamentario mauritano respeta en su totalidad la letra del artículo 13.</w:t>
      </w:r>
    </w:p>
    <w:p w:rsidR="001E7BB4" w:rsidRPr="007930B0" w:rsidRDefault="001E7BB4" w:rsidP="0068666F">
      <w:pPr>
        <w:pStyle w:val="SingleTxtG"/>
        <w:rPr>
          <w:lang w:val="es-ES"/>
        </w:rPr>
      </w:pPr>
      <w:r w:rsidRPr="007930B0">
        <w:rPr>
          <w:lang w:val="es-ES"/>
        </w:rPr>
        <w:t>527.</w:t>
      </w:r>
      <w:r w:rsidRPr="007930B0">
        <w:rPr>
          <w:lang w:val="es-ES"/>
        </w:rPr>
        <w:tab/>
        <w:t>No obstante, la introducción de mejoras en algunas de sus disposiciones lo harían más congruente con el espíritu del texto mencionado.</w:t>
      </w:r>
    </w:p>
    <w:p w:rsidR="001E7BB4" w:rsidRPr="007930B0" w:rsidRDefault="001E7BB4" w:rsidP="0068666F">
      <w:pPr>
        <w:pStyle w:val="SingleTxtG"/>
        <w:rPr>
          <w:lang w:val="es-ES"/>
        </w:rPr>
      </w:pPr>
      <w:r w:rsidRPr="007930B0">
        <w:rPr>
          <w:lang w:val="es-ES"/>
        </w:rPr>
        <w:t>528.</w:t>
      </w:r>
      <w:r w:rsidRPr="007930B0">
        <w:rPr>
          <w:lang w:val="es-ES"/>
        </w:rPr>
        <w:tab/>
        <w:t xml:space="preserve">Se han tomado medidas importantes para eliminar de los programas de estudios y de los libros de texto toda idea o imagen que pueda trasmitir estereotipos de cualquier naturaleza: comunitaria, tribal, religiosa o sexista. </w:t>
      </w:r>
    </w:p>
    <w:p w:rsidR="001E7BB4" w:rsidRPr="007930B0" w:rsidRDefault="001E7BB4" w:rsidP="0068666F">
      <w:pPr>
        <w:pStyle w:val="SingleTxtG"/>
        <w:rPr>
          <w:lang w:val="es-ES"/>
        </w:rPr>
      </w:pPr>
      <w:r w:rsidRPr="007930B0">
        <w:rPr>
          <w:lang w:val="es-ES"/>
        </w:rPr>
        <w:t>529.</w:t>
      </w:r>
      <w:r w:rsidRPr="007930B0">
        <w:rPr>
          <w:lang w:val="es-ES"/>
        </w:rPr>
        <w:tab/>
        <w:t xml:space="preserve">En lo que respecta a la política de promoción de las lenguas nacionales, la enseñanza de dichas lenguas como parte de la educación básica permitirá reforzar las disposiciones del artículo 12 de la </w:t>
      </w:r>
      <w:r w:rsidR="00384889" w:rsidRPr="007930B0">
        <w:rPr>
          <w:lang w:val="es-ES"/>
        </w:rPr>
        <w:t>Ley</w:t>
      </w:r>
      <w:r w:rsidRPr="007930B0">
        <w:rPr>
          <w:lang w:val="es-ES"/>
        </w:rPr>
        <w:t xml:space="preserve"> </w:t>
      </w:r>
      <w:r w:rsidR="00D93676">
        <w:rPr>
          <w:lang w:val="es-ES"/>
        </w:rPr>
        <w:t xml:space="preserve">Nº </w:t>
      </w:r>
      <w:r w:rsidRPr="007930B0">
        <w:rPr>
          <w:lang w:val="es-ES"/>
        </w:rPr>
        <w:t>99-012, de 26 de abril de 1999, que creó el Departamento de Lenguas Nacionales en la universidad, en sustitución del Instituto de Lenguas Nacionales.</w:t>
      </w:r>
    </w:p>
    <w:p w:rsidR="001E7BB4" w:rsidRPr="007930B0" w:rsidRDefault="001E7BB4" w:rsidP="00CB20BA">
      <w:pPr>
        <w:pStyle w:val="H23G"/>
        <w:rPr>
          <w:lang w:val="es-ES"/>
        </w:rPr>
      </w:pPr>
      <w:r w:rsidRPr="007930B0">
        <w:rPr>
          <w:lang w:val="es-ES"/>
        </w:rPr>
        <w:tab/>
      </w:r>
      <w:r w:rsidRPr="007930B0">
        <w:rPr>
          <w:lang w:val="es-ES"/>
        </w:rPr>
        <w:tab/>
        <w:t>Papel que puede desempeñar la asistencia internacional para hacer efectivo el ejercicio del derecho enunciado en el artículo 13</w:t>
      </w:r>
    </w:p>
    <w:p w:rsidR="001E7BB4" w:rsidRPr="007930B0" w:rsidRDefault="001E7BB4" w:rsidP="0068666F">
      <w:pPr>
        <w:pStyle w:val="SingleTxtG"/>
        <w:rPr>
          <w:lang w:val="es-ES"/>
        </w:rPr>
      </w:pPr>
      <w:r w:rsidRPr="007930B0">
        <w:rPr>
          <w:lang w:val="es-ES"/>
        </w:rPr>
        <w:t>530.</w:t>
      </w:r>
      <w:r w:rsidRPr="007930B0">
        <w:rPr>
          <w:lang w:val="es-ES"/>
        </w:rPr>
        <w:tab/>
        <w:t>La asistencia internacional desempeña un papel complementario y de apoyo muy importante en el desarrollo del sector educativo mauritano.</w:t>
      </w:r>
    </w:p>
    <w:p w:rsidR="001E7BB4" w:rsidRPr="007930B0" w:rsidRDefault="001E7BB4" w:rsidP="0068666F">
      <w:pPr>
        <w:pStyle w:val="SingleTxtG"/>
        <w:rPr>
          <w:lang w:val="es-ES"/>
        </w:rPr>
      </w:pPr>
      <w:r w:rsidRPr="007930B0">
        <w:rPr>
          <w:lang w:val="es-ES"/>
        </w:rPr>
        <w:t>531.</w:t>
      </w:r>
      <w:r w:rsidRPr="007930B0">
        <w:rPr>
          <w:lang w:val="es-ES"/>
        </w:rPr>
        <w:tab/>
        <w:t xml:space="preserve">Su contribución al Plan de Acción de 2007 para el sector de la educación representa aproximadamente el </w:t>
      </w:r>
      <w:r w:rsidRPr="007930B0">
        <w:rPr>
          <w:b/>
          <w:lang w:val="es-ES"/>
        </w:rPr>
        <w:t>75%</w:t>
      </w:r>
      <w:r w:rsidRPr="007930B0">
        <w:rPr>
          <w:lang w:val="es-ES"/>
        </w:rPr>
        <w:t xml:space="preserve"> del presupuesto total (es decir, </w:t>
      </w:r>
      <w:r w:rsidRPr="007930B0">
        <w:rPr>
          <w:b/>
          <w:lang w:val="es-ES"/>
        </w:rPr>
        <w:t>13.639.110.994 UM</w:t>
      </w:r>
      <w:r w:rsidRPr="007930B0">
        <w:rPr>
          <w:lang w:val="es-ES"/>
        </w:rPr>
        <w:t xml:space="preserve">), y de ese 75%, el </w:t>
      </w:r>
      <w:r w:rsidRPr="007930B0">
        <w:rPr>
          <w:b/>
          <w:lang w:val="es-ES"/>
        </w:rPr>
        <w:t>32%</w:t>
      </w:r>
      <w:r w:rsidRPr="007930B0">
        <w:rPr>
          <w:lang w:val="es-ES"/>
        </w:rPr>
        <w:t xml:space="preserve"> está destinado al componente </w:t>
      </w:r>
      <w:r w:rsidR="00CC3B6E" w:rsidRPr="007930B0">
        <w:rPr>
          <w:lang w:val="es-ES"/>
        </w:rPr>
        <w:t>"</w:t>
      </w:r>
      <w:r w:rsidRPr="007930B0">
        <w:rPr>
          <w:lang w:val="es-ES"/>
        </w:rPr>
        <w:t>acceso</w:t>
      </w:r>
      <w:r w:rsidR="00CC3B6E" w:rsidRPr="007930B0">
        <w:rPr>
          <w:lang w:val="es-ES"/>
        </w:rPr>
        <w:t>"</w:t>
      </w:r>
      <w:r w:rsidRPr="007930B0">
        <w:rPr>
          <w:lang w:val="es-ES"/>
        </w:rPr>
        <w:t xml:space="preserve"> y el 30% al componente </w:t>
      </w:r>
      <w:r w:rsidR="00CC3B6E" w:rsidRPr="007930B0">
        <w:rPr>
          <w:lang w:val="es-ES"/>
        </w:rPr>
        <w:t>"</w:t>
      </w:r>
      <w:r w:rsidRPr="007930B0">
        <w:rPr>
          <w:lang w:val="es-ES"/>
        </w:rPr>
        <w:t>calidad</w:t>
      </w:r>
      <w:r w:rsidR="00CC3B6E" w:rsidRPr="007930B0">
        <w:rPr>
          <w:lang w:val="es-ES"/>
        </w:rPr>
        <w:t>"</w:t>
      </w:r>
      <w:r w:rsidRPr="007930B0">
        <w:rPr>
          <w:lang w:val="es-ES"/>
        </w:rPr>
        <w:t>.</w:t>
      </w:r>
    </w:p>
    <w:p w:rsidR="001E7BB4" w:rsidRPr="007930B0" w:rsidRDefault="001E7BB4" w:rsidP="00315B1E">
      <w:pPr>
        <w:pStyle w:val="SingleTxtG"/>
        <w:rPr>
          <w:lang w:val="es-ES"/>
        </w:rPr>
      </w:pPr>
      <w:r w:rsidRPr="007930B0">
        <w:rPr>
          <w:lang w:val="es-ES"/>
        </w:rPr>
        <w:t>532.</w:t>
      </w:r>
      <w:r w:rsidRPr="007930B0">
        <w:rPr>
          <w:lang w:val="es-ES"/>
        </w:rPr>
        <w:tab/>
        <w:t>Un aumento importante de estas dos partidas debería permitir alcanzar con mayor eficacia los objetivos del PNDSE que apuntan, para 2010, a una tasa bruta de escolarización de 100% en la enseñanza primaria y de 40% en la enseñanza secundaria, una mejora considerable en la tasa de retención escolar (70% en la enseñanza primaria para 2010) y una mejora en el aprendizaje (tasa de adquisición media en 5</w:t>
      </w:r>
      <w:r w:rsidR="00315B1E">
        <w:rPr>
          <w:lang w:val="es-ES"/>
        </w:rPr>
        <w:t>º</w:t>
      </w:r>
      <w:r w:rsidRPr="007930B0">
        <w:rPr>
          <w:lang w:val="es-ES"/>
        </w:rPr>
        <w:t xml:space="preserve"> AF de 50% para 2010).</w:t>
      </w:r>
    </w:p>
    <w:p w:rsidR="001E7BB4" w:rsidRPr="007930B0" w:rsidRDefault="001E7BB4" w:rsidP="00CB20BA">
      <w:pPr>
        <w:pStyle w:val="H1G"/>
        <w:rPr>
          <w:lang w:val="es-ES"/>
        </w:rPr>
      </w:pPr>
      <w:r w:rsidRPr="007930B0">
        <w:rPr>
          <w:lang w:val="es-ES"/>
        </w:rPr>
        <w:tab/>
      </w:r>
      <w:r w:rsidRPr="007930B0">
        <w:rPr>
          <w:lang w:val="es-ES"/>
        </w:rPr>
        <w:tab/>
        <w:t>Artículo 15</w:t>
      </w:r>
      <w:r w:rsidRPr="007930B0">
        <w:rPr>
          <w:lang w:val="es-ES"/>
        </w:rPr>
        <w:br/>
        <w:t>Medidas legislativas y de otra índole adoptadas para asegurar el ejercicio del derecho de toda persona a participar en la vida cultural de su elección</w:t>
      </w:r>
    </w:p>
    <w:p w:rsidR="001E7BB4" w:rsidRPr="007930B0" w:rsidRDefault="001E7BB4" w:rsidP="0068666F">
      <w:pPr>
        <w:pStyle w:val="SingleTxtG"/>
        <w:rPr>
          <w:lang w:val="es-ES"/>
        </w:rPr>
      </w:pPr>
      <w:r w:rsidRPr="007930B0">
        <w:rPr>
          <w:lang w:val="es-ES"/>
        </w:rPr>
        <w:t>533.</w:t>
      </w:r>
      <w:r w:rsidRPr="007930B0">
        <w:rPr>
          <w:lang w:val="es-ES"/>
        </w:rPr>
        <w:tab/>
        <w:t>La Constitución mauritana garantiza a todas las personas el ejercicio del derecho a participar en la vida cultural de su elección, en particular la liber</w:t>
      </w:r>
      <w:r w:rsidR="00CB20BA" w:rsidRPr="007930B0">
        <w:rPr>
          <w:lang w:val="es-ES"/>
        </w:rPr>
        <w:t xml:space="preserve">tad de creación artística (art. </w:t>
      </w:r>
      <w:r w:rsidRPr="007930B0">
        <w:rPr>
          <w:lang w:val="es-ES"/>
        </w:rPr>
        <w:t>10).</w:t>
      </w:r>
    </w:p>
    <w:p w:rsidR="001E7BB4" w:rsidRPr="007930B0" w:rsidRDefault="001E7BB4" w:rsidP="0068666F">
      <w:pPr>
        <w:pStyle w:val="SingleTxtG"/>
        <w:rPr>
          <w:lang w:val="es-ES"/>
        </w:rPr>
      </w:pPr>
      <w:r w:rsidRPr="007930B0">
        <w:rPr>
          <w:lang w:val="es-ES"/>
        </w:rPr>
        <w:t>534.</w:t>
      </w:r>
      <w:r w:rsidRPr="007930B0">
        <w:rPr>
          <w:lang w:val="es-ES"/>
        </w:rPr>
        <w:tab/>
        <w:t>En ese marco, todos los grupos comunitarios nacionales contribuyen al desarrollo de la cultura nacional mediante la expresión de su especificidad cultural, y nada prohíbe, ni en la legislación ni en los hechos, el desarrollo de la vida cultural que cada cual elija.</w:t>
      </w:r>
    </w:p>
    <w:p w:rsidR="001E7BB4" w:rsidRPr="007930B0" w:rsidRDefault="001E7BB4" w:rsidP="00CB20BA">
      <w:pPr>
        <w:pStyle w:val="H23G"/>
        <w:rPr>
          <w:lang w:val="es-ES"/>
        </w:rPr>
      </w:pPr>
      <w:r w:rsidRPr="007930B0">
        <w:rPr>
          <w:lang w:val="es-ES"/>
        </w:rPr>
        <w:tab/>
      </w:r>
      <w:r w:rsidRPr="007930B0">
        <w:rPr>
          <w:lang w:val="es-ES"/>
        </w:rPr>
        <w:tab/>
        <w:t>Fondos disponibles para favorecer el desarrollo de la cultura y la participación de todos en la vida cultural, incluida la asistencia pública o la iniciativa privada</w:t>
      </w:r>
    </w:p>
    <w:p w:rsidR="001E7BB4" w:rsidRPr="007930B0" w:rsidRDefault="001E7BB4" w:rsidP="0068666F">
      <w:pPr>
        <w:pStyle w:val="SingleTxtG"/>
        <w:rPr>
          <w:lang w:val="es-ES"/>
        </w:rPr>
      </w:pPr>
      <w:r w:rsidRPr="007930B0">
        <w:rPr>
          <w:lang w:val="es-ES"/>
        </w:rPr>
        <w:t>535.</w:t>
      </w:r>
      <w:r w:rsidRPr="007930B0">
        <w:rPr>
          <w:lang w:val="es-ES"/>
        </w:rPr>
        <w:tab/>
        <w:t xml:space="preserve">Además del presupuesto anual que asigna el Estado al departamento de cultura en general, y los fondos por valor de 7,5 millones de dólares de los Estados Unidos liberados recientemente con cargo al proyecto </w:t>
      </w:r>
      <w:r w:rsidR="00CC3B6E" w:rsidRPr="007930B0">
        <w:rPr>
          <w:lang w:val="es-ES"/>
        </w:rPr>
        <w:t>"</w:t>
      </w:r>
      <w:r w:rsidRPr="007930B0">
        <w:rPr>
          <w:lang w:val="es-ES"/>
        </w:rPr>
        <w:t>Patrimonio y creatividad al servicio del desarrollo sostenible en Mauritania</w:t>
      </w:r>
      <w:r w:rsidR="00CC3B6E" w:rsidRPr="007930B0">
        <w:rPr>
          <w:lang w:val="es-ES"/>
        </w:rPr>
        <w:t>"</w:t>
      </w:r>
      <w:r w:rsidRPr="007930B0">
        <w:rPr>
          <w:lang w:val="es-ES"/>
        </w:rPr>
        <w:t xml:space="preserve">, financiado por la Cooperación Española en beneficio de las </w:t>
      </w:r>
      <w:r w:rsidRPr="007930B0">
        <w:rPr>
          <w:i/>
          <w:iCs/>
          <w:lang w:val="es-ES"/>
        </w:rPr>
        <w:t>wilayas</w:t>
      </w:r>
      <w:r w:rsidRPr="007930B0">
        <w:rPr>
          <w:lang w:val="es-ES"/>
        </w:rPr>
        <w:t xml:space="preserve"> de Nuakchot, Adrar y Aioun, no existen otros fondos disponibles para financiar los distintos programas del departamento de cultura. </w:t>
      </w:r>
    </w:p>
    <w:p w:rsidR="001E7BB4" w:rsidRPr="007930B0" w:rsidRDefault="001E7BB4" w:rsidP="00CB20BA">
      <w:pPr>
        <w:pStyle w:val="H23G"/>
        <w:rPr>
          <w:lang w:val="es-ES"/>
        </w:rPr>
      </w:pPr>
      <w:r w:rsidRPr="007930B0">
        <w:rPr>
          <w:lang w:val="es-ES"/>
        </w:rPr>
        <w:tab/>
      </w:r>
      <w:r w:rsidRPr="007930B0">
        <w:rPr>
          <w:lang w:val="es-ES"/>
        </w:rPr>
        <w:tab/>
        <w:t>Infraestructura institucional creada para aplicar las medidas destinadas a promover la participación de todos en la cultura</w:t>
      </w:r>
    </w:p>
    <w:p w:rsidR="001E7BB4" w:rsidRPr="007930B0" w:rsidRDefault="001E7BB4" w:rsidP="0068666F">
      <w:pPr>
        <w:pStyle w:val="SingleTxtG"/>
        <w:rPr>
          <w:lang w:val="es-ES"/>
        </w:rPr>
      </w:pPr>
      <w:r w:rsidRPr="007930B0">
        <w:rPr>
          <w:lang w:val="es-ES"/>
        </w:rPr>
        <w:t>536.</w:t>
      </w:r>
      <w:r w:rsidRPr="007930B0">
        <w:rPr>
          <w:lang w:val="es-ES"/>
        </w:rPr>
        <w:tab/>
        <w:t xml:space="preserve">Se han creado varias instituciones con miras a asegurar el pleno goce de los derechos culturales. </w:t>
      </w:r>
    </w:p>
    <w:p w:rsidR="001E7BB4" w:rsidRPr="007930B0" w:rsidRDefault="001E7BB4" w:rsidP="0068666F">
      <w:pPr>
        <w:pStyle w:val="SingleTxtG"/>
        <w:rPr>
          <w:lang w:val="es-ES"/>
        </w:rPr>
      </w:pPr>
      <w:r w:rsidRPr="007930B0">
        <w:rPr>
          <w:lang w:val="es-ES"/>
        </w:rPr>
        <w:t>537.</w:t>
      </w:r>
      <w:r w:rsidRPr="007930B0">
        <w:rPr>
          <w:lang w:val="es-ES"/>
        </w:rPr>
        <w:tab/>
        <w:t xml:space="preserve">Ellas son: </w:t>
      </w:r>
    </w:p>
    <w:p w:rsidR="001E7BB4" w:rsidRPr="007930B0" w:rsidRDefault="001E7BB4" w:rsidP="00CB20BA">
      <w:pPr>
        <w:pStyle w:val="H4G"/>
        <w:rPr>
          <w:lang w:val="es-ES"/>
        </w:rPr>
      </w:pPr>
      <w:r w:rsidRPr="007930B0">
        <w:rPr>
          <w:lang w:val="es-ES"/>
        </w:rPr>
        <w:tab/>
      </w:r>
      <w:r w:rsidRPr="007930B0">
        <w:rPr>
          <w:lang w:val="es-ES"/>
        </w:rPr>
        <w:tab/>
        <w:t>La Dirección del Patrimonio Cultural del Ministerio a cargo de la cultura</w:t>
      </w:r>
    </w:p>
    <w:p w:rsidR="001E7BB4" w:rsidRPr="007930B0" w:rsidRDefault="001E7BB4" w:rsidP="0068666F">
      <w:pPr>
        <w:pStyle w:val="SingleTxtG"/>
        <w:rPr>
          <w:lang w:val="es-ES"/>
        </w:rPr>
      </w:pPr>
      <w:r w:rsidRPr="007930B0">
        <w:rPr>
          <w:lang w:val="es-ES"/>
        </w:rPr>
        <w:t>538.</w:t>
      </w:r>
      <w:r w:rsidRPr="007930B0">
        <w:rPr>
          <w:lang w:val="es-ES"/>
        </w:rPr>
        <w:tab/>
        <w:t>La Dirección del Patrimonio Cultural se encarga de:</w:t>
      </w:r>
    </w:p>
    <w:p w:rsidR="001E7BB4" w:rsidRPr="007930B0" w:rsidRDefault="001E7BB4" w:rsidP="00CB20BA">
      <w:pPr>
        <w:pStyle w:val="Bullet1G"/>
        <w:rPr>
          <w:lang w:val="es-ES"/>
        </w:rPr>
      </w:pPr>
      <w:r w:rsidRPr="007930B0">
        <w:rPr>
          <w:lang w:val="es-ES"/>
        </w:rPr>
        <w:t xml:space="preserve">Velar por la aplicación de las disposiciones legislativas y reglamentarias que se refieren al conocimiento y la protección del patrimonio cultural; </w:t>
      </w:r>
    </w:p>
    <w:p w:rsidR="001E7BB4" w:rsidRPr="007930B0" w:rsidRDefault="001E7BB4" w:rsidP="00CB20BA">
      <w:pPr>
        <w:pStyle w:val="Bullet1G"/>
        <w:rPr>
          <w:lang w:val="es-ES"/>
        </w:rPr>
      </w:pPr>
      <w:r w:rsidRPr="007930B0">
        <w:rPr>
          <w:lang w:val="es-ES"/>
        </w:rPr>
        <w:t xml:space="preserve">Asegurar y ocuparse de que se haga el inventario, la recolección y la clasificación de los elementos representativos del patrimonio material e inmaterial, con vistas a protegerlo y ponerlo a disposición del público; </w:t>
      </w:r>
    </w:p>
    <w:p w:rsidR="001E7BB4" w:rsidRPr="007930B0" w:rsidRDefault="001E7BB4" w:rsidP="00CB20BA">
      <w:pPr>
        <w:pStyle w:val="Bullet1G"/>
        <w:rPr>
          <w:lang w:val="es-ES"/>
        </w:rPr>
      </w:pPr>
      <w:r w:rsidRPr="007930B0">
        <w:rPr>
          <w:lang w:val="es-ES"/>
        </w:rPr>
        <w:t>Velar por el estado de conservación de los sitios y monumentos históricos y hacer que los organismos especializados realicen los trabajos de restauración necesarios.</w:t>
      </w:r>
    </w:p>
    <w:p w:rsidR="001E7BB4" w:rsidRPr="007930B0" w:rsidRDefault="00CB20BA" w:rsidP="00CB20BA">
      <w:pPr>
        <w:pStyle w:val="H23G"/>
        <w:rPr>
          <w:lang w:val="es-ES"/>
        </w:rPr>
      </w:pPr>
      <w:r w:rsidRPr="007930B0">
        <w:rPr>
          <w:lang w:val="es-ES"/>
        </w:rPr>
        <w:tab/>
      </w:r>
      <w:r w:rsidRPr="007930B0">
        <w:rPr>
          <w:lang w:val="es-ES"/>
        </w:rPr>
        <w:tab/>
      </w:r>
      <w:r w:rsidR="001E7BB4" w:rsidRPr="007930B0">
        <w:rPr>
          <w:lang w:val="es-ES"/>
        </w:rPr>
        <w:t>Competencias</w:t>
      </w:r>
    </w:p>
    <w:p w:rsidR="001E7BB4" w:rsidRPr="007930B0" w:rsidRDefault="001E7BB4" w:rsidP="0068666F">
      <w:pPr>
        <w:pStyle w:val="SingleTxtG"/>
        <w:rPr>
          <w:lang w:val="es-ES"/>
        </w:rPr>
      </w:pPr>
      <w:r w:rsidRPr="007930B0">
        <w:rPr>
          <w:lang w:val="es-ES"/>
        </w:rPr>
        <w:t>539.</w:t>
      </w:r>
      <w:r w:rsidRPr="007930B0">
        <w:rPr>
          <w:lang w:val="es-ES"/>
        </w:rPr>
        <w:tab/>
        <w:t xml:space="preserve">La Dirección del Patrimonio Cultural fomenta el desarrollo de la cultura mediante la organización de diversas manifestaciones, entre ellas las siguientes: </w:t>
      </w:r>
    </w:p>
    <w:p w:rsidR="001E7BB4" w:rsidRPr="007930B0" w:rsidRDefault="001E7BB4" w:rsidP="00CB20BA">
      <w:pPr>
        <w:pStyle w:val="Bullet1G"/>
        <w:rPr>
          <w:lang w:val="es-ES"/>
        </w:rPr>
      </w:pPr>
      <w:r w:rsidRPr="007930B0">
        <w:rPr>
          <w:lang w:val="es-ES"/>
        </w:rPr>
        <w:t>Premio de poesía: en árabe, hassanya, pulaar, soninké y wolof;</w:t>
      </w:r>
    </w:p>
    <w:p w:rsidR="001E7BB4" w:rsidRPr="007930B0" w:rsidRDefault="001E7BB4" w:rsidP="00CB20BA">
      <w:pPr>
        <w:pStyle w:val="Bullet1G"/>
        <w:rPr>
          <w:lang w:val="es-ES"/>
        </w:rPr>
      </w:pPr>
      <w:r w:rsidRPr="007930B0">
        <w:rPr>
          <w:lang w:val="es-ES"/>
        </w:rPr>
        <w:t>Premio de artes plásticas;</w:t>
      </w:r>
    </w:p>
    <w:p w:rsidR="001E7BB4" w:rsidRPr="007930B0" w:rsidRDefault="001E7BB4" w:rsidP="00CB20BA">
      <w:pPr>
        <w:pStyle w:val="Bullet1G"/>
        <w:rPr>
          <w:lang w:val="es-ES"/>
        </w:rPr>
      </w:pPr>
      <w:r w:rsidRPr="007930B0">
        <w:rPr>
          <w:lang w:val="es-ES"/>
        </w:rPr>
        <w:t>Premio de arte musical;</w:t>
      </w:r>
    </w:p>
    <w:p w:rsidR="001E7BB4" w:rsidRPr="007930B0" w:rsidRDefault="001E7BB4" w:rsidP="00CB20BA">
      <w:pPr>
        <w:pStyle w:val="Bullet1G"/>
        <w:rPr>
          <w:lang w:val="es-ES"/>
        </w:rPr>
      </w:pPr>
      <w:r w:rsidRPr="007930B0">
        <w:rPr>
          <w:lang w:val="es-ES"/>
        </w:rPr>
        <w:t>Temporada cultural de Nuakchot;</w:t>
      </w:r>
    </w:p>
    <w:p w:rsidR="001E7BB4" w:rsidRPr="007930B0" w:rsidRDefault="001E7BB4" w:rsidP="00CB20BA">
      <w:pPr>
        <w:pStyle w:val="Bullet1G"/>
        <w:rPr>
          <w:lang w:val="es-ES"/>
        </w:rPr>
      </w:pPr>
      <w:r w:rsidRPr="007930B0">
        <w:rPr>
          <w:lang w:val="es-ES"/>
        </w:rPr>
        <w:t>Jornadas dedicadas a la lectura pública;</w:t>
      </w:r>
    </w:p>
    <w:p w:rsidR="001E7BB4" w:rsidRPr="007930B0" w:rsidRDefault="001E7BB4" w:rsidP="00CB20BA">
      <w:pPr>
        <w:pStyle w:val="Bullet1G"/>
        <w:rPr>
          <w:lang w:val="es-ES"/>
        </w:rPr>
      </w:pPr>
      <w:r w:rsidRPr="007930B0">
        <w:rPr>
          <w:lang w:val="es-ES"/>
        </w:rPr>
        <w:t>Fondo de apoyo a la valorización del patrimonio;</w:t>
      </w:r>
    </w:p>
    <w:p w:rsidR="001E7BB4" w:rsidRPr="007930B0" w:rsidRDefault="001E7BB4" w:rsidP="00CB20BA">
      <w:pPr>
        <w:pStyle w:val="Bullet1G"/>
        <w:rPr>
          <w:lang w:val="es-ES"/>
        </w:rPr>
      </w:pPr>
      <w:r w:rsidRPr="007930B0">
        <w:rPr>
          <w:lang w:val="es-ES"/>
        </w:rPr>
        <w:t>Edición, en colaboración con la Cooperación Francesa, de fascículos sobre el patrimonio mauritano (hombres de letras, vestimenta y peinados, muebles tradicionales, etc.).</w:t>
      </w:r>
    </w:p>
    <w:p w:rsidR="001E7BB4" w:rsidRPr="007930B0" w:rsidRDefault="001E7BB4" w:rsidP="00CB20BA">
      <w:pPr>
        <w:pStyle w:val="H4G"/>
        <w:rPr>
          <w:lang w:val="es-ES"/>
        </w:rPr>
      </w:pPr>
      <w:r w:rsidRPr="007930B0">
        <w:rPr>
          <w:lang w:val="es-ES"/>
        </w:rPr>
        <w:tab/>
      </w:r>
      <w:r w:rsidRPr="007930B0">
        <w:rPr>
          <w:lang w:val="es-ES"/>
        </w:rPr>
        <w:tab/>
        <w:t>Oficina Nacional de Museos</w:t>
      </w:r>
    </w:p>
    <w:p w:rsidR="001E7BB4" w:rsidRPr="007930B0" w:rsidRDefault="001E7BB4" w:rsidP="0068666F">
      <w:pPr>
        <w:pStyle w:val="SingleTxtG"/>
        <w:rPr>
          <w:lang w:val="es-ES"/>
        </w:rPr>
      </w:pPr>
      <w:r w:rsidRPr="007930B0">
        <w:rPr>
          <w:lang w:val="es-ES"/>
        </w:rPr>
        <w:t>540.</w:t>
      </w:r>
      <w:r w:rsidRPr="007930B0">
        <w:rPr>
          <w:lang w:val="es-ES"/>
        </w:rPr>
        <w:tab/>
        <w:t xml:space="preserve">Por su especificidad científica y técnica, el museo constituye la piedra angular de cualquier medida de conservación y valorización del patrimonio cultural. </w:t>
      </w:r>
    </w:p>
    <w:p w:rsidR="001E7BB4" w:rsidRPr="007930B0" w:rsidRDefault="001E7BB4" w:rsidP="0068666F">
      <w:pPr>
        <w:pStyle w:val="SingleTxtG"/>
        <w:rPr>
          <w:lang w:val="es-ES"/>
        </w:rPr>
      </w:pPr>
      <w:r w:rsidRPr="007930B0">
        <w:rPr>
          <w:lang w:val="es-ES"/>
        </w:rPr>
        <w:t>541.</w:t>
      </w:r>
      <w:r w:rsidRPr="007930B0">
        <w:rPr>
          <w:lang w:val="es-ES"/>
        </w:rPr>
        <w:tab/>
        <w:t>Habida cuenta de la riqueza de nuestro patrimonio cultural, material e inmaterial, resulta indispensable contar con un marco adecuado para organizar, conservar y promover los museos.</w:t>
      </w:r>
    </w:p>
    <w:p w:rsidR="001E7BB4" w:rsidRPr="007930B0" w:rsidRDefault="001E7BB4" w:rsidP="0068666F">
      <w:pPr>
        <w:pStyle w:val="SingleTxtG"/>
        <w:rPr>
          <w:lang w:val="es-ES"/>
        </w:rPr>
      </w:pPr>
      <w:r w:rsidRPr="007930B0">
        <w:rPr>
          <w:lang w:val="es-ES"/>
        </w:rPr>
        <w:t>542.</w:t>
      </w:r>
      <w:r w:rsidRPr="007930B0">
        <w:rPr>
          <w:lang w:val="es-ES"/>
        </w:rPr>
        <w:tab/>
        <w:t>Es en este marco que se inscribe la creación de la Oficina Nacional de Museos, cuyo cometido principal es fomentar la instauración de museos en todo el país, incluso museos especializados.</w:t>
      </w:r>
    </w:p>
    <w:p w:rsidR="001E7BB4" w:rsidRPr="007930B0" w:rsidRDefault="001E7BB4" w:rsidP="0068666F">
      <w:pPr>
        <w:pStyle w:val="SingleTxtG"/>
        <w:rPr>
          <w:lang w:val="es-ES"/>
        </w:rPr>
      </w:pPr>
      <w:r w:rsidRPr="007930B0">
        <w:rPr>
          <w:lang w:val="es-ES"/>
        </w:rPr>
        <w:t>543.</w:t>
      </w:r>
      <w:r w:rsidRPr="007930B0">
        <w:rPr>
          <w:lang w:val="es-ES"/>
        </w:rPr>
        <w:tab/>
        <w:t xml:space="preserve">De esta manera todas nuestras </w:t>
      </w:r>
      <w:r w:rsidRPr="007930B0">
        <w:rPr>
          <w:i/>
          <w:iCs/>
          <w:lang w:val="es-ES"/>
        </w:rPr>
        <w:t>wilayas</w:t>
      </w:r>
      <w:r w:rsidRPr="007930B0">
        <w:rPr>
          <w:lang w:val="es-ES"/>
        </w:rPr>
        <w:t xml:space="preserve"> tienen la posibilidad de participar plenamente en la revalorización de nuestro patrimonio cultural.</w:t>
      </w:r>
    </w:p>
    <w:p w:rsidR="001E7BB4" w:rsidRPr="007930B0" w:rsidRDefault="00CB20BA" w:rsidP="00CB20BA">
      <w:pPr>
        <w:pStyle w:val="H23G"/>
        <w:rPr>
          <w:lang w:val="es-ES"/>
        </w:rPr>
      </w:pPr>
      <w:r w:rsidRPr="007930B0">
        <w:rPr>
          <w:lang w:val="es-ES"/>
        </w:rPr>
        <w:tab/>
      </w:r>
      <w:r w:rsidRPr="007930B0">
        <w:rPr>
          <w:lang w:val="es-ES"/>
        </w:rPr>
        <w:tab/>
      </w:r>
      <w:r w:rsidR="001E7BB4" w:rsidRPr="007930B0">
        <w:rPr>
          <w:lang w:val="es-ES"/>
        </w:rPr>
        <w:t>Cometidos</w:t>
      </w:r>
    </w:p>
    <w:p w:rsidR="001E7BB4" w:rsidRPr="007930B0" w:rsidRDefault="001E7BB4" w:rsidP="0068666F">
      <w:pPr>
        <w:pStyle w:val="SingleTxtG"/>
        <w:rPr>
          <w:lang w:val="es-ES"/>
        </w:rPr>
      </w:pPr>
      <w:r w:rsidRPr="007930B0">
        <w:rPr>
          <w:lang w:val="es-ES"/>
        </w:rPr>
        <w:t>544.</w:t>
      </w:r>
      <w:r w:rsidRPr="007930B0">
        <w:rPr>
          <w:lang w:val="es-ES"/>
        </w:rPr>
        <w:tab/>
        <w:t>La Oficina Nacional de Museos tiene los siguientes cometidos:</w:t>
      </w:r>
    </w:p>
    <w:p w:rsidR="001E7BB4" w:rsidRPr="007930B0" w:rsidRDefault="001E7BB4" w:rsidP="00CB20BA">
      <w:pPr>
        <w:pStyle w:val="Bullet1G"/>
        <w:rPr>
          <w:lang w:val="es-ES"/>
        </w:rPr>
      </w:pPr>
      <w:r w:rsidRPr="007930B0">
        <w:rPr>
          <w:lang w:val="es-ES"/>
        </w:rPr>
        <w:t>Poner a disposición del público los elementos del patrimonio cultural, en particular mediante exposiciones, conferencias, simposios, publicaciones, revistas, folletos, material audiovisual, etc.;</w:t>
      </w:r>
    </w:p>
    <w:p w:rsidR="001E7BB4" w:rsidRPr="007930B0" w:rsidRDefault="001E7BB4" w:rsidP="00CB20BA">
      <w:pPr>
        <w:pStyle w:val="Bullet1G"/>
        <w:rPr>
          <w:lang w:val="es-ES"/>
        </w:rPr>
      </w:pPr>
      <w:r w:rsidRPr="007930B0">
        <w:rPr>
          <w:lang w:val="es-ES"/>
        </w:rPr>
        <w:t xml:space="preserve">Crear y administrar museos en todo el territorio nacional; </w:t>
      </w:r>
    </w:p>
    <w:p w:rsidR="001E7BB4" w:rsidRPr="007930B0" w:rsidRDefault="001E7BB4" w:rsidP="00CB20BA">
      <w:pPr>
        <w:pStyle w:val="Bullet1G"/>
        <w:rPr>
          <w:lang w:val="es-ES"/>
        </w:rPr>
      </w:pPr>
      <w:r w:rsidRPr="007930B0">
        <w:rPr>
          <w:lang w:val="es-ES"/>
        </w:rPr>
        <w:t>Promover y apoyar el desarrollo de los museos, incluidos los museos especializados;</w:t>
      </w:r>
    </w:p>
    <w:p w:rsidR="001E7BB4" w:rsidRPr="007930B0" w:rsidRDefault="001E7BB4" w:rsidP="00CB20BA">
      <w:pPr>
        <w:pStyle w:val="Bullet1G"/>
        <w:rPr>
          <w:lang w:val="es-ES"/>
        </w:rPr>
      </w:pPr>
      <w:r w:rsidRPr="007930B0">
        <w:rPr>
          <w:lang w:val="es-ES"/>
        </w:rPr>
        <w:t>Coleccionar, restaurar y conservar objetos museológicos;</w:t>
      </w:r>
    </w:p>
    <w:p w:rsidR="001E7BB4" w:rsidRPr="007930B0" w:rsidRDefault="001E7BB4" w:rsidP="00CB20BA">
      <w:pPr>
        <w:pStyle w:val="Bullet1G"/>
        <w:rPr>
          <w:lang w:val="es-ES"/>
        </w:rPr>
      </w:pPr>
      <w:r w:rsidRPr="007930B0">
        <w:rPr>
          <w:lang w:val="es-ES"/>
        </w:rPr>
        <w:t>Contribuir a valorizar el patrimonio cultural por las vías apropiadas;</w:t>
      </w:r>
    </w:p>
    <w:p w:rsidR="001E7BB4" w:rsidRPr="007930B0" w:rsidRDefault="001E7BB4" w:rsidP="00CB20BA">
      <w:pPr>
        <w:pStyle w:val="Bullet1G"/>
        <w:rPr>
          <w:lang w:val="es-ES"/>
        </w:rPr>
      </w:pPr>
      <w:r w:rsidRPr="007930B0">
        <w:rPr>
          <w:lang w:val="es-ES"/>
        </w:rPr>
        <w:t>Elaborar y poner en marcha una política de capacitación en las diversas ciencias museológicas en beneficio del personal que trabaja en el sector de los museos;</w:t>
      </w:r>
    </w:p>
    <w:p w:rsidR="001E7BB4" w:rsidRPr="007930B0" w:rsidRDefault="001E7BB4" w:rsidP="00CB20BA">
      <w:pPr>
        <w:pStyle w:val="Bullet1G"/>
        <w:rPr>
          <w:lang w:val="es-ES"/>
        </w:rPr>
      </w:pPr>
      <w:r w:rsidRPr="007930B0">
        <w:rPr>
          <w:lang w:val="es-ES"/>
        </w:rPr>
        <w:t>Contribuir al enraizamiento y el respeto del patrimonio cultural nacional en el espíritu de los jóvenes, especialmente mediante visitas escolares a los museos;</w:t>
      </w:r>
    </w:p>
    <w:p w:rsidR="001E7BB4" w:rsidRPr="007930B0" w:rsidRDefault="001E7BB4" w:rsidP="00CB20BA">
      <w:pPr>
        <w:pStyle w:val="Bullet1G"/>
        <w:rPr>
          <w:lang w:val="es-ES"/>
        </w:rPr>
      </w:pPr>
      <w:r w:rsidRPr="007930B0">
        <w:rPr>
          <w:lang w:val="es-ES"/>
        </w:rPr>
        <w:t>Entablar relaciones de colaboración con instituciones internacionales especializadas en las mismas esferas de actividad;</w:t>
      </w:r>
    </w:p>
    <w:p w:rsidR="001E7BB4" w:rsidRPr="007930B0" w:rsidRDefault="001E7BB4" w:rsidP="00CB20BA">
      <w:pPr>
        <w:pStyle w:val="Bullet1G"/>
        <w:rPr>
          <w:lang w:val="es-ES"/>
        </w:rPr>
      </w:pPr>
      <w:r w:rsidRPr="007930B0">
        <w:rPr>
          <w:lang w:val="es-ES"/>
        </w:rPr>
        <w:t xml:space="preserve">Fomentar el mecenazgo en el ámbito de la construcción y la administración de museos. </w:t>
      </w:r>
    </w:p>
    <w:p w:rsidR="001E7BB4" w:rsidRPr="007930B0" w:rsidRDefault="001E7BB4" w:rsidP="0068666F">
      <w:pPr>
        <w:pStyle w:val="SingleTxtG"/>
        <w:rPr>
          <w:lang w:val="es-ES"/>
        </w:rPr>
      </w:pPr>
      <w:r w:rsidRPr="007930B0">
        <w:rPr>
          <w:lang w:val="es-ES"/>
        </w:rPr>
        <w:t>545.</w:t>
      </w:r>
      <w:r w:rsidRPr="007930B0">
        <w:rPr>
          <w:lang w:val="es-ES"/>
        </w:rPr>
        <w:tab/>
        <w:t>Cabe mencionar asimismo:</w:t>
      </w:r>
    </w:p>
    <w:p w:rsidR="001E7BB4" w:rsidRPr="007930B0" w:rsidRDefault="001E7BB4" w:rsidP="00CB20BA">
      <w:pPr>
        <w:pStyle w:val="Bullet1G"/>
        <w:rPr>
          <w:lang w:val="es-ES"/>
        </w:rPr>
      </w:pPr>
      <w:r w:rsidRPr="007930B0">
        <w:rPr>
          <w:lang w:val="es-ES"/>
        </w:rPr>
        <w:t xml:space="preserve">El proyecto de creación de un museo de la música mauritana en Nema; </w:t>
      </w:r>
    </w:p>
    <w:p w:rsidR="001E7BB4" w:rsidRPr="007930B0" w:rsidRDefault="001E7BB4" w:rsidP="00CB20BA">
      <w:pPr>
        <w:pStyle w:val="Bullet1G"/>
        <w:rPr>
          <w:lang w:val="es-ES"/>
        </w:rPr>
      </w:pPr>
      <w:r w:rsidRPr="007930B0">
        <w:rPr>
          <w:lang w:val="es-ES"/>
        </w:rPr>
        <w:t>La creación de un museo de agricultura en Kaedi;</w:t>
      </w:r>
    </w:p>
    <w:p w:rsidR="001E7BB4" w:rsidRPr="007930B0" w:rsidRDefault="001E7BB4" w:rsidP="00CB20BA">
      <w:pPr>
        <w:pStyle w:val="Bullet1G"/>
        <w:rPr>
          <w:lang w:val="es-ES"/>
        </w:rPr>
      </w:pPr>
      <w:r w:rsidRPr="007930B0">
        <w:rPr>
          <w:lang w:val="es-ES"/>
        </w:rPr>
        <w:t>La introducción de las lenguas nacionales en el museo;</w:t>
      </w:r>
    </w:p>
    <w:p w:rsidR="001E7BB4" w:rsidRPr="007930B0" w:rsidRDefault="001E7BB4" w:rsidP="00CB20BA">
      <w:pPr>
        <w:pStyle w:val="Bullet1G"/>
        <w:rPr>
          <w:lang w:val="es-ES"/>
        </w:rPr>
      </w:pPr>
      <w:r w:rsidRPr="007930B0">
        <w:rPr>
          <w:lang w:val="es-ES"/>
        </w:rPr>
        <w:t>La recolección de instrumentos en el valle.</w:t>
      </w:r>
    </w:p>
    <w:p w:rsidR="001E7BB4" w:rsidRPr="007930B0" w:rsidRDefault="001E7BB4" w:rsidP="00CB20BA">
      <w:pPr>
        <w:pStyle w:val="H4G"/>
        <w:rPr>
          <w:lang w:val="es-ES"/>
        </w:rPr>
      </w:pPr>
      <w:r w:rsidRPr="007930B0">
        <w:rPr>
          <w:lang w:val="es-ES"/>
        </w:rPr>
        <w:tab/>
      </w:r>
      <w:r w:rsidRPr="007930B0">
        <w:rPr>
          <w:lang w:val="es-ES"/>
        </w:rPr>
        <w:tab/>
        <w:t xml:space="preserve">Biblioteca Nacional </w:t>
      </w:r>
    </w:p>
    <w:p w:rsidR="001E7BB4" w:rsidRPr="007930B0" w:rsidRDefault="001E7BB4" w:rsidP="0068666F">
      <w:pPr>
        <w:pStyle w:val="SingleTxtG"/>
        <w:rPr>
          <w:lang w:val="es-ES"/>
        </w:rPr>
      </w:pPr>
      <w:r w:rsidRPr="007930B0">
        <w:rPr>
          <w:lang w:val="es-ES"/>
        </w:rPr>
        <w:t>546.</w:t>
      </w:r>
      <w:r w:rsidRPr="007930B0">
        <w:rPr>
          <w:lang w:val="es-ES"/>
        </w:rPr>
        <w:tab/>
        <w:t xml:space="preserve">La Biblioteca Nacional y de Lectura Pública es una institución pública de carácter administrativo, dotada de personería jurídica y autonomía financiera. </w:t>
      </w:r>
    </w:p>
    <w:p w:rsidR="001E7BB4" w:rsidRPr="007930B0" w:rsidRDefault="00CB20BA" w:rsidP="00CB20BA">
      <w:pPr>
        <w:pStyle w:val="H23G"/>
        <w:rPr>
          <w:lang w:val="es-ES"/>
        </w:rPr>
      </w:pPr>
      <w:r w:rsidRPr="007930B0">
        <w:rPr>
          <w:lang w:val="es-ES"/>
        </w:rPr>
        <w:tab/>
      </w:r>
      <w:r w:rsidRPr="007930B0">
        <w:rPr>
          <w:lang w:val="es-ES"/>
        </w:rPr>
        <w:tab/>
      </w:r>
      <w:r w:rsidR="001E7BB4" w:rsidRPr="007930B0">
        <w:rPr>
          <w:lang w:val="es-ES"/>
        </w:rPr>
        <w:t>Cometidos</w:t>
      </w:r>
    </w:p>
    <w:p w:rsidR="001E7BB4" w:rsidRPr="007930B0" w:rsidRDefault="001E7BB4" w:rsidP="0068666F">
      <w:pPr>
        <w:pStyle w:val="SingleTxtG"/>
        <w:rPr>
          <w:lang w:val="es-ES"/>
        </w:rPr>
      </w:pPr>
      <w:r w:rsidRPr="007930B0">
        <w:rPr>
          <w:lang w:val="es-ES"/>
        </w:rPr>
        <w:t>547.</w:t>
      </w:r>
      <w:r w:rsidRPr="007930B0">
        <w:rPr>
          <w:lang w:val="es-ES"/>
        </w:rPr>
        <w:tab/>
        <w:t>La Biblioteca Nacional tiene varios cometidos:</w:t>
      </w:r>
    </w:p>
    <w:p w:rsidR="001E7BB4" w:rsidRPr="007930B0" w:rsidRDefault="001E7BB4" w:rsidP="00CB20BA">
      <w:pPr>
        <w:pStyle w:val="Bullet1G"/>
        <w:rPr>
          <w:lang w:val="es-ES"/>
        </w:rPr>
      </w:pPr>
      <w:r w:rsidRPr="007930B0">
        <w:rPr>
          <w:lang w:val="es-ES"/>
        </w:rPr>
        <w:t xml:space="preserve">Adquirir, conservar y poner a disposición de los usuarios toda la producción nacional impresa y lo esencial de la civilización escrita; </w:t>
      </w:r>
    </w:p>
    <w:p w:rsidR="001E7BB4" w:rsidRPr="007930B0" w:rsidRDefault="001E7BB4" w:rsidP="00CB20BA">
      <w:pPr>
        <w:pStyle w:val="Bullet1G"/>
        <w:rPr>
          <w:lang w:val="es-ES"/>
        </w:rPr>
      </w:pPr>
      <w:r w:rsidRPr="007930B0">
        <w:rPr>
          <w:lang w:val="es-ES"/>
        </w:rPr>
        <w:t xml:space="preserve">Al reunir ese material, dar prioridad a la producción literaria extranjera relacionada con Mauritania y a la documentación de referencia; </w:t>
      </w:r>
    </w:p>
    <w:p w:rsidR="001E7BB4" w:rsidRPr="007930B0" w:rsidRDefault="001E7BB4" w:rsidP="00CB20BA">
      <w:pPr>
        <w:pStyle w:val="Bullet1G"/>
        <w:rPr>
          <w:lang w:val="es-ES"/>
        </w:rPr>
      </w:pPr>
      <w:r w:rsidRPr="007930B0">
        <w:rPr>
          <w:lang w:val="es-ES"/>
        </w:rPr>
        <w:t>Asegurar el depósito legal de las ediciones nacionales;</w:t>
      </w:r>
    </w:p>
    <w:p w:rsidR="001E7BB4" w:rsidRPr="007930B0" w:rsidRDefault="001E7BB4" w:rsidP="00CB20BA">
      <w:pPr>
        <w:pStyle w:val="Bullet1G"/>
        <w:rPr>
          <w:lang w:val="es-ES"/>
        </w:rPr>
      </w:pPr>
      <w:r w:rsidRPr="007930B0">
        <w:rPr>
          <w:lang w:val="es-ES"/>
        </w:rPr>
        <w:t>Acrecentar y enriquecer sus colecciones mediante compra, donación y canje;</w:t>
      </w:r>
    </w:p>
    <w:p w:rsidR="001E7BB4" w:rsidRPr="007930B0" w:rsidRDefault="001E7BB4" w:rsidP="00CB20BA">
      <w:pPr>
        <w:pStyle w:val="Bullet1G"/>
        <w:rPr>
          <w:lang w:val="es-ES"/>
        </w:rPr>
      </w:pPr>
      <w:r w:rsidRPr="007930B0">
        <w:rPr>
          <w:lang w:val="es-ES"/>
        </w:rPr>
        <w:t>Elaborar y difundir una bibliografía nacional;</w:t>
      </w:r>
      <w:r w:rsidR="00CC3B6E" w:rsidRPr="007930B0">
        <w:rPr>
          <w:lang w:val="es-ES"/>
        </w:rPr>
        <w:t xml:space="preserve"> </w:t>
      </w:r>
    </w:p>
    <w:p w:rsidR="001E7BB4" w:rsidRPr="007930B0" w:rsidRDefault="001E7BB4" w:rsidP="00CB20BA">
      <w:pPr>
        <w:pStyle w:val="Bullet1G"/>
        <w:rPr>
          <w:lang w:val="es-ES"/>
        </w:rPr>
      </w:pPr>
      <w:r w:rsidRPr="007930B0">
        <w:rPr>
          <w:lang w:val="es-ES"/>
        </w:rPr>
        <w:t xml:space="preserve">Organizar y participar en manifestaciones culturales, como exposiciones, ferias, etc.; </w:t>
      </w:r>
    </w:p>
    <w:p w:rsidR="001E7BB4" w:rsidRPr="007930B0" w:rsidRDefault="001E7BB4" w:rsidP="00CB20BA">
      <w:pPr>
        <w:pStyle w:val="Bullet1G"/>
        <w:rPr>
          <w:lang w:val="es-ES"/>
        </w:rPr>
      </w:pPr>
      <w:r w:rsidRPr="007930B0">
        <w:rPr>
          <w:lang w:val="es-ES"/>
        </w:rPr>
        <w:t xml:space="preserve">Encomendar la preparación de un catálogo de las colecciones conforme a las leyes en vigor en ese ámbito; </w:t>
      </w:r>
    </w:p>
    <w:p w:rsidR="001E7BB4" w:rsidRPr="007930B0" w:rsidRDefault="001E7BB4" w:rsidP="00CB20BA">
      <w:pPr>
        <w:pStyle w:val="Bullet1G"/>
        <w:rPr>
          <w:lang w:val="es-ES"/>
        </w:rPr>
      </w:pPr>
      <w:r w:rsidRPr="007930B0">
        <w:rPr>
          <w:lang w:val="es-ES"/>
        </w:rPr>
        <w:t>Contribuir a la difusión del conocimiento mediante la creación de bibliotecas regionales;</w:t>
      </w:r>
    </w:p>
    <w:p w:rsidR="001E7BB4" w:rsidRPr="007930B0" w:rsidRDefault="001E7BB4" w:rsidP="00CB20BA">
      <w:pPr>
        <w:pStyle w:val="Bullet1G"/>
        <w:rPr>
          <w:lang w:val="es-ES"/>
        </w:rPr>
      </w:pPr>
      <w:r w:rsidRPr="007930B0">
        <w:rPr>
          <w:lang w:val="es-ES"/>
        </w:rPr>
        <w:t xml:space="preserve">Ayudar a investigadores y estudiantes, facilitándoles el acceso a las colecciones y proporcionándoles el asesoramiento necesario; </w:t>
      </w:r>
    </w:p>
    <w:p w:rsidR="001E7BB4" w:rsidRPr="007930B0" w:rsidRDefault="001E7BB4" w:rsidP="00CB20BA">
      <w:pPr>
        <w:pStyle w:val="Bullet1G"/>
        <w:rPr>
          <w:lang w:val="es-ES"/>
        </w:rPr>
      </w:pPr>
      <w:r w:rsidRPr="007930B0">
        <w:rPr>
          <w:lang w:val="es-ES"/>
        </w:rPr>
        <w:t xml:space="preserve">Vigilar, estimular y coordinar las políticas relativas al fomento de la lectura pública y a la reunión de los datos estadísticos necesarios para la evaluación de dichas políticas, y asegurar la supervisión técnica de las bibliotecas y las </w:t>
      </w:r>
      <w:r w:rsidR="00CC3B6E" w:rsidRPr="007930B0">
        <w:rPr>
          <w:lang w:val="es-ES"/>
        </w:rPr>
        <w:t>"</w:t>
      </w:r>
      <w:r w:rsidRPr="007930B0">
        <w:rPr>
          <w:lang w:val="es-ES"/>
        </w:rPr>
        <w:t>casas del libro</w:t>
      </w:r>
      <w:r w:rsidR="00CC3B6E" w:rsidRPr="007930B0">
        <w:rPr>
          <w:lang w:val="es-ES"/>
        </w:rPr>
        <w:t>"</w:t>
      </w:r>
      <w:r w:rsidRPr="007930B0">
        <w:rPr>
          <w:lang w:val="es-ES"/>
        </w:rPr>
        <w:t>;</w:t>
      </w:r>
    </w:p>
    <w:p w:rsidR="001E7BB4" w:rsidRPr="007930B0" w:rsidRDefault="001E7BB4" w:rsidP="00CB20BA">
      <w:pPr>
        <w:pStyle w:val="Bullet1G"/>
        <w:rPr>
          <w:lang w:val="es-ES"/>
        </w:rPr>
      </w:pPr>
      <w:r w:rsidRPr="007930B0">
        <w:rPr>
          <w:lang w:val="es-ES"/>
        </w:rPr>
        <w:t>Introducir técnicas de innovación, edición, distribución y promoción del libro en Mauritania y en el extranjero y contribuir especialmente, de manera significativa, al desarrollo de editoriales y bibliotecas comerciales, así como a la introducción de tecnologías nuevas, además de los estudios y trabajos de investigación sobre la lectura y la economía del libro;</w:t>
      </w:r>
    </w:p>
    <w:p w:rsidR="001E7BB4" w:rsidRPr="007930B0" w:rsidRDefault="001E7BB4" w:rsidP="00CB20BA">
      <w:pPr>
        <w:pStyle w:val="Bullet1G"/>
        <w:rPr>
          <w:lang w:val="es-ES"/>
        </w:rPr>
      </w:pPr>
      <w:r w:rsidRPr="007930B0">
        <w:rPr>
          <w:lang w:val="es-ES"/>
        </w:rPr>
        <w:t>Supervisar las actividades relativas a la lectura pública con miras a su promoción en todo el territorio nacional;</w:t>
      </w:r>
    </w:p>
    <w:p w:rsidR="001E7BB4" w:rsidRPr="007930B0" w:rsidRDefault="001E7BB4" w:rsidP="00CB20BA">
      <w:pPr>
        <w:pStyle w:val="Bullet1G"/>
        <w:rPr>
          <w:lang w:val="es-ES"/>
        </w:rPr>
      </w:pPr>
      <w:r w:rsidRPr="007930B0">
        <w:rPr>
          <w:lang w:val="es-ES"/>
        </w:rPr>
        <w:t>Implementar técnicas modernas de organización y administración en la Biblioteca Nacional y en las bibliotecas regionales y locales;</w:t>
      </w:r>
    </w:p>
    <w:p w:rsidR="001E7BB4" w:rsidRPr="007930B0" w:rsidRDefault="001E7BB4" w:rsidP="00CB20BA">
      <w:pPr>
        <w:pStyle w:val="Bullet1G"/>
        <w:rPr>
          <w:lang w:val="es-ES"/>
        </w:rPr>
      </w:pPr>
      <w:r w:rsidRPr="007930B0">
        <w:rPr>
          <w:lang w:val="es-ES"/>
        </w:rPr>
        <w:t xml:space="preserve">Programar y coordinar las actividades organizadas por las bibliotecas públicas; </w:t>
      </w:r>
    </w:p>
    <w:p w:rsidR="001E7BB4" w:rsidRPr="007930B0" w:rsidRDefault="001E7BB4" w:rsidP="00CB20BA">
      <w:pPr>
        <w:pStyle w:val="Bullet1G"/>
        <w:rPr>
          <w:lang w:val="es-ES"/>
        </w:rPr>
      </w:pPr>
      <w:r w:rsidRPr="007930B0">
        <w:rPr>
          <w:lang w:val="es-ES"/>
        </w:rPr>
        <w:t>Mejorar la preparación del personal de la institución mediante actividades de capacitación específicas;</w:t>
      </w:r>
    </w:p>
    <w:p w:rsidR="001E7BB4" w:rsidRPr="007930B0" w:rsidRDefault="001E7BB4" w:rsidP="00CB20BA">
      <w:pPr>
        <w:pStyle w:val="Bullet1G"/>
        <w:rPr>
          <w:lang w:val="es-ES"/>
        </w:rPr>
      </w:pPr>
      <w:r w:rsidRPr="007930B0">
        <w:rPr>
          <w:lang w:val="es-ES"/>
        </w:rPr>
        <w:t xml:space="preserve">Entablar relaciones de colaboración con instituciones subregionales, regionales e internacionales. </w:t>
      </w:r>
    </w:p>
    <w:p w:rsidR="001E7BB4" w:rsidRPr="007930B0" w:rsidRDefault="001E7BB4" w:rsidP="00CB20BA">
      <w:pPr>
        <w:pStyle w:val="H4G"/>
        <w:rPr>
          <w:lang w:val="es-ES"/>
        </w:rPr>
      </w:pPr>
      <w:r w:rsidRPr="007930B0">
        <w:rPr>
          <w:lang w:val="es-ES"/>
        </w:rPr>
        <w:tab/>
      </w:r>
      <w:r w:rsidRPr="007930B0">
        <w:rPr>
          <w:lang w:val="es-ES"/>
        </w:rPr>
        <w:tab/>
        <w:t>Fundación Nacional para la preservación de las ciudades antiguas de Mauritania</w:t>
      </w:r>
    </w:p>
    <w:p w:rsidR="001E7BB4" w:rsidRPr="007930B0" w:rsidRDefault="001E7BB4" w:rsidP="0068666F">
      <w:pPr>
        <w:pStyle w:val="SingleTxtG"/>
        <w:rPr>
          <w:lang w:val="es-ES"/>
        </w:rPr>
      </w:pPr>
      <w:r w:rsidRPr="007930B0">
        <w:rPr>
          <w:lang w:val="es-ES"/>
        </w:rPr>
        <w:t>548.</w:t>
      </w:r>
      <w:r w:rsidRPr="007930B0">
        <w:rPr>
          <w:lang w:val="es-ES"/>
        </w:rPr>
        <w:tab/>
        <w:t xml:space="preserve">El cometido de la Fundación es preservar a las ciudades antiguas que han sido declaradas parte del patrimonio mundial y poner en marcha, coordinar y ejecutar programas para su conservación y para la protección de su patrimonio. </w:t>
      </w:r>
    </w:p>
    <w:p w:rsidR="001E7BB4" w:rsidRPr="007930B0" w:rsidRDefault="001E7BB4" w:rsidP="00CB20BA">
      <w:pPr>
        <w:pStyle w:val="H4G"/>
        <w:rPr>
          <w:lang w:val="es-ES"/>
        </w:rPr>
      </w:pPr>
      <w:r w:rsidRPr="007930B0">
        <w:rPr>
          <w:lang w:val="es-ES"/>
        </w:rPr>
        <w:tab/>
      </w:r>
      <w:r w:rsidRPr="007930B0">
        <w:rPr>
          <w:lang w:val="es-ES"/>
        </w:rPr>
        <w:tab/>
        <w:t>Instituto Mauritano de Investigación Científica</w:t>
      </w:r>
    </w:p>
    <w:p w:rsidR="001E7BB4" w:rsidRPr="007930B0" w:rsidRDefault="001E7BB4" w:rsidP="0068666F">
      <w:pPr>
        <w:pStyle w:val="SingleTxtG"/>
        <w:rPr>
          <w:lang w:val="es-ES"/>
        </w:rPr>
      </w:pPr>
      <w:r w:rsidRPr="007930B0">
        <w:rPr>
          <w:lang w:val="es-ES"/>
        </w:rPr>
        <w:t>549.</w:t>
      </w:r>
      <w:r w:rsidRPr="007930B0">
        <w:rPr>
          <w:lang w:val="es-ES"/>
        </w:rPr>
        <w:tab/>
        <w:t>El Instituto Mauritano de Investigación Científica es un organismo público de carácter administrativo, cuyo objeto es científico, cultural y técnico. Sus cometidos son, en particular:</w:t>
      </w:r>
    </w:p>
    <w:p w:rsidR="001E7BB4" w:rsidRPr="007930B0" w:rsidRDefault="001E7BB4" w:rsidP="00CB20BA">
      <w:pPr>
        <w:pStyle w:val="SingleTxtG"/>
        <w:ind w:firstLine="567"/>
        <w:rPr>
          <w:lang w:val="es-ES"/>
        </w:rPr>
      </w:pPr>
      <w:r w:rsidRPr="007930B0">
        <w:rPr>
          <w:lang w:val="es-ES"/>
        </w:rPr>
        <w:t>a)</w:t>
      </w:r>
      <w:r w:rsidRPr="007930B0">
        <w:rPr>
          <w:lang w:val="es-ES"/>
        </w:rPr>
        <w:tab/>
        <w:t>Promover, organizar y coordinar la investigación científica en todas las ramas de las ciencias humanas;</w:t>
      </w:r>
    </w:p>
    <w:p w:rsidR="001E7BB4" w:rsidRPr="007930B0" w:rsidRDefault="001E7BB4" w:rsidP="00CB20BA">
      <w:pPr>
        <w:pStyle w:val="SingleTxtG"/>
        <w:ind w:firstLine="567"/>
        <w:rPr>
          <w:lang w:val="es-ES"/>
        </w:rPr>
      </w:pPr>
      <w:r w:rsidRPr="007930B0">
        <w:rPr>
          <w:lang w:val="es-ES"/>
        </w:rPr>
        <w:t>b)</w:t>
      </w:r>
      <w:r w:rsidRPr="007930B0">
        <w:rPr>
          <w:lang w:val="es-ES"/>
        </w:rPr>
        <w:tab/>
        <w:t>Emprender todas las tareas relacionadas con la investigación,</w:t>
      </w:r>
      <w:r w:rsidR="00CC3B6E" w:rsidRPr="007930B0">
        <w:rPr>
          <w:lang w:val="es-ES"/>
        </w:rPr>
        <w:t xml:space="preserve"> </w:t>
      </w:r>
      <w:r w:rsidRPr="007930B0">
        <w:rPr>
          <w:lang w:val="es-ES"/>
        </w:rPr>
        <w:t>la protección, la restauración, la valorización y la difusión de los documentos que tengan un valor científico o artístico, así como de los manuscritos, el material impreso, los documentos audiovisuales, cualquiera sea su soporte, las obras artísticas, etc.;</w:t>
      </w:r>
    </w:p>
    <w:p w:rsidR="001E7BB4" w:rsidRPr="007930B0" w:rsidRDefault="001E7BB4" w:rsidP="00CB20BA">
      <w:pPr>
        <w:pStyle w:val="SingleTxtG"/>
        <w:ind w:firstLine="567"/>
        <w:rPr>
          <w:lang w:val="es-ES"/>
        </w:rPr>
      </w:pPr>
      <w:r w:rsidRPr="007930B0">
        <w:rPr>
          <w:lang w:val="es-ES"/>
        </w:rPr>
        <w:t>c)</w:t>
      </w:r>
      <w:r w:rsidRPr="007930B0">
        <w:rPr>
          <w:lang w:val="es-ES"/>
        </w:rPr>
        <w:tab/>
        <w:t>Impulsar todos los estudios e investigaciones y tomar todas las medidas que permitan conocer mejor, enriquecer, conservar, valorizar y difundir el patrimonio cultural, físico y científico nacional;</w:t>
      </w:r>
    </w:p>
    <w:p w:rsidR="001E7BB4" w:rsidRPr="007930B0" w:rsidRDefault="001E7BB4" w:rsidP="00CB20BA">
      <w:pPr>
        <w:pStyle w:val="SingleTxtG"/>
        <w:ind w:firstLine="567"/>
        <w:rPr>
          <w:lang w:val="es-ES"/>
        </w:rPr>
      </w:pPr>
      <w:r w:rsidRPr="007930B0">
        <w:rPr>
          <w:lang w:val="es-ES"/>
        </w:rPr>
        <w:t>d)</w:t>
      </w:r>
      <w:r w:rsidRPr="007930B0">
        <w:rPr>
          <w:lang w:val="es-ES"/>
        </w:rPr>
        <w:tab/>
        <w:t>Favorecer la capacitación, el reciclaje y el perfeccionamiento de los investigadores nacionales o eventualmente extranjeros en el ámbito de las ciencias humanas.</w:t>
      </w:r>
    </w:p>
    <w:p w:rsidR="001E7BB4" w:rsidRPr="007930B0" w:rsidRDefault="001E7BB4" w:rsidP="00CB20BA">
      <w:pPr>
        <w:pStyle w:val="H4G"/>
        <w:rPr>
          <w:lang w:val="es-ES"/>
        </w:rPr>
      </w:pPr>
      <w:r w:rsidRPr="007930B0">
        <w:rPr>
          <w:lang w:val="es-ES"/>
        </w:rPr>
        <w:tab/>
      </w:r>
      <w:r w:rsidRPr="007930B0">
        <w:rPr>
          <w:lang w:val="es-ES"/>
        </w:rPr>
        <w:tab/>
        <w:t>Delegaciones Regionales de Cultura y Comunicación</w:t>
      </w:r>
    </w:p>
    <w:p w:rsidR="001E7BB4" w:rsidRPr="007930B0" w:rsidRDefault="001E7BB4" w:rsidP="0068666F">
      <w:pPr>
        <w:pStyle w:val="SingleTxtG"/>
        <w:rPr>
          <w:lang w:val="es-ES"/>
        </w:rPr>
      </w:pPr>
      <w:r w:rsidRPr="007930B0">
        <w:rPr>
          <w:lang w:val="es-ES"/>
        </w:rPr>
        <w:t>550.</w:t>
      </w:r>
      <w:r w:rsidRPr="007930B0">
        <w:rPr>
          <w:lang w:val="es-ES"/>
        </w:rPr>
        <w:tab/>
        <w:t>La Delegación Regional es el órgano operacional que representa al Ministerio de Cultura en el plano regional y que está en contacto diario y directo con la población. Por ello, constituye una entidad técnico-administrativa en la que está representado el conjunto de las direcciones del Ministerio.</w:t>
      </w:r>
    </w:p>
    <w:p w:rsidR="001E7BB4" w:rsidRPr="007930B0" w:rsidRDefault="001E7BB4" w:rsidP="0068666F">
      <w:pPr>
        <w:pStyle w:val="SingleTxtG"/>
        <w:rPr>
          <w:lang w:val="es-ES"/>
        </w:rPr>
      </w:pPr>
      <w:r w:rsidRPr="007930B0">
        <w:rPr>
          <w:lang w:val="es-ES"/>
        </w:rPr>
        <w:t>551.</w:t>
      </w:r>
      <w:r w:rsidRPr="007930B0">
        <w:rPr>
          <w:lang w:val="es-ES"/>
        </w:rPr>
        <w:tab/>
        <w:t>La función esencial de la Delegación Regional es, en gran parte, ejecutar, bajo la autoridad del Wali, las tareas administrativas, técnicas y de promoción, de conformidad con las directrices y los programas generales establecidos por el Ministerio y sus direcciones sobre la base de las orientaciones y políticas del Gobierno en las esferas de la cultura y la comunicación.</w:t>
      </w:r>
    </w:p>
    <w:p w:rsidR="001E7BB4" w:rsidRPr="007930B0" w:rsidRDefault="001E7BB4" w:rsidP="0068666F">
      <w:pPr>
        <w:pStyle w:val="SingleTxtG"/>
        <w:rPr>
          <w:lang w:val="es-ES"/>
        </w:rPr>
      </w:pPr>
      <w:r w:rsidRPr="007930B0">
        <w:rPr>
          <w:lang w:val="es-ES"/>
        </w:rPr>
        <w:t>552.</w:t>
      </w:r>
      <w:r w:rsidRPr="007930B0">
        <w:rPr>
          <w:lang w:val="es-ES"/>
        </w:rPr>
        <w:tab/>
        <w:t xml:space="preserve">Por su parte, la Delegación Regional debe transmitir al Ministerio las propuestas emanadas del contexto local que sean susceptibles de enriquecer y orientar el programa de acción general del departamento, o de contribuir a la concepción de una nueva política que tenga en cuenta las preocupaciones concretas de la población. </w:t>
      </w:r>
    </w:p>
    <w:p w:rsidR="001E7BB4" w:rsidRPr="007930B0" w:rsidRDefault="001E7BB4" w:rsidP="0068666F">
      <w:pPr>
        <w:pStyle w:val="SingleTxtG"/>
        <w:rPr>
          <w:lang w:val="es-ES"/>
        </w:rPr>
      </w:pPr>
      <w:r w:rsidRPr="007930B0">
        <w:rPr>
          <w:lang w:val="es-ES"/>
        </w:rPr>
        <w:t>553.</w:t>
      </w:r>
      <w:r w:rsidRPr="007930B0">
        <w:rPr>
          <w:lang w:val="es-ES"/>
        </w:rPr>
        <w:tab/>
        <w:t>En el marco de esta función, y bajo la autoridad del Wali, la Delegación Regional organiza, controla y promueve las asociaciones, y al mismo tiempo asegura el funcionamiento de las actividades culturales y socioeducativas, disponiendo de las instalaciones y estructuras comprendidas en su ámbito de competencia.</w:t>
      </w:r>
    </w:p>
    <w:p w:rsidR="001E7BB4" w:rsidRPr="007930B0" w:rsidRDefault="00CB20BA" w:rsidP="00CB20BA">
      <w:pPr>
        <w:pStyle w:val="H23G"/>
        <w:rPr>
          <w:lang w:val="es-ES"/>
        </w:rPr>
      </w:pPr>
      <w:r w:rsidRPr="007930B0">
        <w:rPr>
          <w:lang w:val="es-ES"/>
        </w:rPr>
        <w:tab/>
      </w:r>
      <w:r w:rsidRPr="007930B0">
        <w:rPr>
          <w:lang w:val="es-ES"/>
        </w:rPr>
        <w:tab/>
      </w:r>
      <w:r w:rsidR="001E7BB4" w:rsidRPr="007930B0">
        <w:rPr>
          <w:lang w:val="es-ES"/>
        </w:rPr>
        <w:t>Cometidos</w:t>
      </w:r>
    </w:p>
    <w:p w:rsidR="001E7BB4" w:rsidRPr="007930B0" w:rsidRDefault="001E7BB4" w:rsidP="0068666F">
      <w:pPr>
        <w:pStyle w:val="SingleTxtG"/>
        <w:rPr>
          <w:lang w:val="es-ES"/>
        </w:rPr>
      </w:pPr>
      <w:r w:rsidRPr="007930B0">
        <w:rPr>
          <w:lang w:val="es-ES"/>
        </w:rPr>
        <w:t>554.</w:t>
      </w:r>
      <w:r w:rsidRPr="007930B0">
        <w:rPr>
          <w:lang w:val="es-ES"/>
        </w:rPr>
        <w:tab/>
        <w:t xml:space="preserve">Los cometidos de la Delegación Regional son múltiples: </w:t>
      </w:r>
    </w:p>
    <w:p w:rsidR="001E7BB4" w:rsidRPr="007930B0" w:rsidRDefault="001E7BB4" w:rsidP="00CB20BA">
      <w:pPr>
        <w:pStyle w:val="Bullet1G"/>
        <w:rPr>
          <w:lang w:val="es-ES"/>
        </w:rPr>
      </w:pPr>
      <w:r w:rsidRPr="007930B0">
        <w:rPr>
          <w:lang w:val="es-ES"/>
        </w:rPr>
        <w:t>Animar la escena local mediante la organización periódica de manifestaciones culturales en beneficio del público;</w:t>
      </w:r>
    </w:p>
    <w:p w:rsidR="001E7BB4" w:rsidRPr="007930B0" w:rsidRDefault="001E7BB4" w:rsidP="00CB20BA">
      <w:pPr>
        <w:pStyle w:val="Bullet1G"/>
        <w:rPr>
          <w:lang w:val="es-ES"/>
        </w:rPr>
      </w:pPr>
      <w:r w:rsidRPr="007930B0">
        <w:rPr>
          <w:lang w:val="es-ES"/>
        </w:rPr>
        <w:t>Organizar y supervisar las organizaciones existentes, y promover</w:t>
      </w:r>
      <w:r w:rsidR="00CC3B6E" w:rsidRPr="007930B0">
        <w:rPr>
          <w:lang w:val="es-ES"/>
        </w:rPr>
        <w:t xml:space="preserve"> </w:t>
      </w:r>
      <w:r w:rsidRPr="007930B0">
        <w:rPr>
          <w:lang w:val="es-ES"/>
        </w:rPr>
        <w:t>la creación de nuevas entidades;</w:t>
      </w:r>
    </w:p>
    <w:p w:rsidR="001E7BB4" w:rsidRPr="007930B0" w:rsidRDefault="001E7BB4" w:rsidP="00CB20BA">
      <w:pPr>
        <w:pStyle w:val="Bullet1G"/>
        <w:rPr>
          <w:lang w:val="es-ES"/>
        </w:rPr>
      </w:pPr>
      <w:r w:rsidRPr="007930B0">
        <w:rPr>
          <w:lang w:val="es-ES"/>
        </w:rPr>
        <w:t xml:space="preserve">Censar, preservar y conservar los distintos elementos del patrimonio ubicado en el territorio de la </w:t>
      </w:r>
      <w:r w:rsidRPr="007930B0">
        <w:rPr>
          <w:i/>
          <w:iCs/>
          <w:lang w:val="es-ES"/>
        </w:rPr>
        <w:t>wilaya</w:t>
      </w:r>
      <w:r w:rsidRPr="007930B0">
        <w:rPr>
          <w:lang w:val="es-ES"/>
        </w:rPr>
        <w:t>;</w:t>
      </w:r>
    </w:p>
    <w:p w:rsidR="001E7BB4" w:rsidRPr="007930B0" w:rsidRDefault="001E7BB4" w:rsidP="00CB20BA">
      <w:pPr>
        <w:pStyle w:val="Bullet1G"/>
        <w:rPr>
          <w:lang w:val="es-ES"/>
        </w:rPr>
      </w:pPr>
      <w:r w:rsidRPr="007930B0">
        <w:rPr>
          <w:lang w:val="es-ES"/>
        </w:rPr>
        <w:t>Descubrir e insertar nuevos talentos en las profesiones culturales que se</w:t>
      </w:r>
      <w:r w:rsidR="00CC3B6E" w:rsidRPr="007930B0">
        <w:rPr>
          <w:lang w:val="es-ES"/>
        </w:rPr>
        <w:t xml:space="preserve"> </w:t>
      </w:r>
      <w:r w:rsidRPr="007930B0">
        <w:rPr>
          <w:lang w:val="es-ES"/>
        </w:rPr>
        <w:t>ejercen a nivel nacional;</w:t>
      </w:r>
    </w:p>
    <w:p w:rsidR="001E7BB4" w:rsidRPr="007930B0" w:rsidRDefault="001E7BB4" w:rsidP="00CB20BA">
      <w:pPr>
        <w:pStyle w:val="Bullet1G"/>
        <w:rPr>
          <w:lang w:val="es-ES"/>
        </w:rPr>
      </w:pPr>
      <w:r w:rsidRPr="007930B0">
        <w:rPr>
          <w:lang w:val="es-ES"/>
        </w:rPr>
        <w:t xml:space="preserve">Apoyar las bibliotecas públicas en el plano técnico; </w:t>
      </w:r>
    </w:p>
    <w:p w:rsidR="001E7BB4" w:rsidRPr="007930B0" w:rsidRDefault="001E7BB4" w:rsidP="00CB20BA">
      <w:pPr>
        <w:pStyle w:val="Bullet1G"/>
        <w:rPr>
          <w:lang w:val="es-ES"/>
        </w:rPr>
      </w:pPr>
      <w:r w:rsidRPr="007930B0">
        <w:rPr>
          <w:lang w:val="es-ES"/>
        </w:rPr>
        <w:t xml:space="preserve">Contribuir a la ejecución y la promoción de programas del libro, de lectura y de lucha contra el analfabetismo. </w:t>
      </w:r>
    </w:p>
    <w:p w:rsidR="001E7BB4" w:rsidRPr="007930B0" w:rsidRDefault="001E7BB4" w:rsidP="00CB20BA">
      <w:pPr>
        <w:pStyle w:val="H23G"/>
        <w:rPr>
          <w:lang w:val="es-ES"/>
        </w:rPr>
      </w:pPr>
      <w:r w:rsidRPr="007930B0">
        <w:rPr>
          <w:lang w:val="es-ES"/>
        </w:rPr>
        <w:tab/>
      </w:r>
      <w:r w:rsidRPr="007930B0">
        <w:rPr>
          <w:lang w:val="es-ES"/>
        </w:rPr>
        <w:tab/>
        <w:t xml:space="preserve">Promoción de la identidad cultural como factor de aprecio mutuo entre las personas, los grupos, las naciones y las regiones </w:t>
      </w:r>
    </w:p>
    <w:p w:rsidR="001E7BB4" w:rsidRPr="007930B0" w:rsidRDefault="001E7BB4" w:rsidP="0068666F">
      <w:pPr>
        <w:pStyle w:val="SingleTxtG"/>
        <w:rPr>
          <w:lang w:val="es-ES"/>
        </w:rPr>
      </w:pPr>
      <w:r w:rsidRPr="007930B0">
        <w:rPr>
          <w:lang w:val="es-ES"/>
        </w:rPr>
        <w:t>555.</w:t>
      </w:r>
      <w:r w:rsidRPr="007930B0">
        <w:rPr>
          <w:lang w:val="es-ES"/>
        </w:rPr>
        <w:tab/>
        <w:t>La promoción de la identidad cultural constituye uno de los ejes</w:t>
      </w:r>
      <w:r w:rsidR="00CC3B6E" w:rsidRPr="007930B0">
        <w:rPr>
          <w:lang w:val="es-ES"/>
        </w:rPr>
        <w:t xml:space="preserve"> </w:t>
      </w:r>
      <w:r w:rsidRPr="007930B0">
        <w:rPr>
          <w:lang w:val="es-ES"/>
        </w:rPr>
        <w:t xml:space="preserve">fundamentales de la política del Gobierno, que tiende a garantizar a todos los grupos étnicos la promoción de sus respectivas culturas. Esto se traduce en el acceso de los diferentes grupos étnicos, sin discriminación alguna, a los medios de difusión oficiales (radio, televisión, periódicos) y a la prensa independiente, de manera de asegurar una amplia difusión de las culturas nacionales. </w:t>
      </w:r>
    </w:p>
    <w:p w:rsidR="001E7BB4" w:rsidRPr="007930B0" w:rsidRDefault="001E7BB4" w:rsidP="00CB20BA">
      <w:pPr>
        <w:pStyle w:val="H23G"/>
        <w:rPr>
          <w:lang w:val="es-ES"/>
        </w:rPr>
      </w:pPr>
      <w:r w:rsidRPr="007930B0">
        <w:rPr>
          <w:lang w:val="es-ES"/>
        </w:rPr>
        <w:tab/>
      </w:r>
      <w:r w:rsidRPr="007930B0">
        <w:rPr>
          <w:lang w:val="es-ES"/>
        </w:rPr>
        <w:tab/>
        <w:t>Medidas destinadas a ayudar a los grupos étnicos, las minorías y las poblaciones indígenas a tomar conciencia de su legado cultural y a aprovecharlo</w:t>
      </w:r>
    </w:p>
    <w:p w:rsidR="001E7BB4" w:rsidRPr="007930B0" w:rsidRDefault="001E7BB4" w:rsidP="0068666F">
      <w:pPr>
        <w:pStyle w:val="SingleTxtG"/>
        <w:rPr>
          <w:lang w:val="es-ES"/>
        </w:rPr>
      </w:pPr>
      <w:r w:rsidRPr="007930B0">
        <w:rPr>
          <w:lang w:val="es-ES"/>
        </w:rPr>
        <w:t>556.</w:t>
      </w:r>
      <w:r w:rsidRPr="007930B0">
        <w:rPr>
          <w:lang w:val="es-ES"/>
        </w:rPr>
        <w:tab/>
        <w:t>Todos los grupos étnicos (maures, halpulaar, soninké y wolof) gozan de las mismas facilidades para tomar conciencia de su legado cultural y aprovecharlo.</w:t>
      </w:r>
    </w:p>
    <w:p w:rsidR="001E7BB4" w:rsidRPr="007930B0" w:rsidRDefault="001E7BB4" w:rsidP="00CB20BA">
      <w:pPr>
        <w:pStyle w:val="H23G"/>
        <w:rPr>
          <w:lang w:val="es-ES"/>
        </w:rPr>
      </w:pPr>
      <w:r w:rsidRPr="007930B0">
        <w:rPr>
          <w:lang w:val="es-ES"/>
        </w:rPr>
        <w:tab/>
      </w:r>
      <w:r w:rsidRPr="007930B0">
        <w:rPr>
          <w:lang w:val="es-ES"/>
        </w:rPr>
        <w:tab/>
        <w:t xml:space="preserve">Papel de los medios de información y comunicación como factores de fomento de la participación en la vida cultural </w:t>
      </w:r>
    </w:p>
    <w:p w:rsidR="001E7BB4" w:rsidRPr="007930B0" w:rsidRDefault="001E7BB4" w:rsidP="0068666F">
      <w:pPr>
        <w:pStyle w:val="SingleTxtG"/>
        <w:rPr>
          <w:lang w:val="es-ES"/>
        </w:rPr>
      </w:pPr>
      <w:r w:rsidRPr="007930B0">
        <w:rPr>
          <w:lang w:val="es-ES"/>
        </w:rPr>
        <w:t>557.</w:t>
      </w:r>
      <w:r w:rsidRPr="007930B0">
        <w:rPr>
          <w:lang w:val="es-ES"/>
        </w:rPr>
        <w:tab/>
        <w:t>Los medios de información y comunicación constituyen factores de fomento de la participación de todas las personas en la vida cultural, ya que se puede acceder a ellos sin discriminación (medios públicos y privados).</w:t>
      </w:r>
    </w:p>
    <w:p w:rsidR="001E7BB4" w:rsidRPr="007930B0" w:rsidRDefault="001E7BB4" w:rsidP="00FA1F90">
      <w:pPr>
        <w:pStyle w:val="H23G"/>
        <w:rPr>
          <w:lang w:val="es-ES"/>
        </w:rPr>
      </w:pPr>
      <w:r w:rsidRPr="007930B0">
        <w:rPr>
          <w:lang w:val="es-ES"/>
        </w:rPr>
        <w:tab/>
      </w:r>
      <w:r w:rsidRPr="007930B0">
        <w:rPr>
          <w:lang w:val="es-ES"/>
        </w:rPr>
        <w:tab/>
        <w:t xml:space="preserve">Protección y conservación del patrimonio cultural de la humanidad </w:t>
      </w:r>
    </w:p>
    <w:p w:rsidR="001E7BB4" w:rsidRPr="007930B0" w:rsidRDefault="001E7BB4" w:rsidP="0068666F">
      <w:pPr>
        <w:pStyle w:val="SingleTxtG"/>
        <w:rPr>
          <w:lang w:val="es-ES"/>
        </w:rPr>
      </w:pPr>
      <w:r w:rsidRPr="007930B0">
        <w:rPr>
          <w:lang w:val="es-ES"/>
        </w:rPr>
        <w:t>558.</w:t>
      </w:r>
      <w:r w:rsidRPr="007930B0">
        <w:rPr>
          <w:lang w:val="es-ES"/>
        </w:rPr>
        <w:tab/>
        <w:t xml:space="preserve">La protección y conservación del patrimonio cultural de la humanidad es una prioridad nacional en Mauritania. </w:t>
      </w:r>
    </w:p>
    <w:p w:rsidR="001E7BB4" w:rsidRPr="007930B0" w:rsidRDefault="001E7BB4" w:rsidP="0068666F">
      <w:pPr>
        <w:pStyle w:val="SingleTxtG"/>
        <w:rPr>
          <w:lang w:val="es-ES"/>
        </w:rPr>
      </w:pPr>
      <w:r w:rsidRPr="007930B0">
        <w:rPr>
          <w:lang w:val="es-ES"/>
        </w:rPr>
        <w:t>559.</w:t>
      </w:r>
      <w:r w:rsidRPr="007930B0">
        <w:rPr>
          <w:lang w:val="es-ES"/>
        </w:rPr>
        <w:tab/>
        <w:t>En efecto, los poderes públicos, con el apoyo de los diversos asociados, en particular la UNESCO, trabajan para preservar a las ciudades antiguas (Oualata, Chinguitti, Tichitt y Ouadane), que son parte del patrimonio cultural de la humanidad.</w:t>
      </w:r>
    </w:p>
    <w:p w:rsidR="001E7BB4" w:rsidRPr="007930B0" w:rsidRDefault="001E7BB4" w:rsidP="0068666F">
      <w:pPr>
        <w:pStyle w:val="SingleTxtG"/>
        <w:rPr>
          <w:lang w:val="es-ES"/>
        </w:rPr>
      </w:pPr>
      <w:r w:rsidRPr="007930B0">
        <w:rPr>
          <w:lang w:val="es-ES"/>
        </w:rPr>
        <w:t>560.</w:t>
      </w:r>
      <w:r w:rsidRPr="007930B0">
        <w:rPr>
          <w:lang w:val="es-ES"/>
        </w:rPr>
        <w:tab/>
        <w:t>Asimismo, los manuscritos antiguos y las obras públicas (mezquitas y mahadras) son objeto de una protección particular en el marco de la política de preservación del patrimonio cultural.</w:t>
      </w:r>
    </w:p>
    <w:p w:rsidR="001E7BB4" w:rsidRPr="007930B0" w:rsidRDefault="001E7BB4" w:rsidP="00FA1F90">
      <w:pPr>
        <w:pStyle w:val="H23G"/>
        <w:rPr>
          <w:lang w:val="es-ES"/>
        </w:rPr>
      </w:pPr>
      <w:r w:rsidRPr="007930B0">
        <w:rPr>
          <w:lang w:val="es-ES"/>
        </w:rPr>
        <w:tab/>
      </w:r>
      <w:r w:rsidRPr="007930B0">
        <w:rPr>
          <w:lang w:val="es-ES"/>
        </w:rPr>
        <w:tab/>
        <w:t xml:space="preserve">Legislación que protege la libertad de creación y producción cultural, en particular la libertad de difundir los resultados de esas actividades y las restricciones o limitaciones eventuales a esa libertad. </w:t>
      </w:r>
    </w:p>
    <w:p w:rsidR="00315B1E" w:rsidRDefault="001E7BB4" w:rsidP="0068666F">
      <w:pPr>
        <w:pStyle w:val="SingleTxtG"/>
        <w:rPr>
          <w:lang w:val="es-ES"/>
        </w:rPr>
      </w:pPr>
      <w:r w:rsidRPr="007930B0">
        <w:rPr>
          <w:lang w:val="es-ES"/>
        </w:rPr>
        <w:t>561.</w:t>
      </w:r>
      <w:r w:rsidRPr="007930B0">
        <w:rPr>
          <w:lang w:val="es-ES"/>
        </w:rPr>
        <w:tab/>
        <w:t xml:space="preserve">La libertad de creación y producción cultural está protegida por la Constitución en su artículo 10, que dispone que el Estado garantiza a todos los ciudadanos las libertades públicas e individuales, en particular </w:t>
      </w:r>
      <w:r w:rsidR="00CC3B6E" w:rsidRPr="007930B0">
        <w:rPr>
          <w:lang w:val="es-ES"/>
        </w:rPr>
        <w:t>"</w:t>
      </w:r>
      <w:r w:rsidRPr="007930B0">
        <w:rPr>
          <w:lang w:val="es-ES"/>
        </w:rPr>
        <w:t>la libertad de creación intelectual, artística y científica</w:t>
      </w:r>
      <w:r w:rsidR="00CC3B6E" w:rsidRPr="007930B0">
        <w:rPr>
          <w:lang w:val="es-ES"/>
        </w:rPr>
        <w:t>"</w:t>
      </w:r>
      <w:r w:rsidRPr="007930B0">
        <w:rPr>
          <w:lang w:val="es-ES"/>
        </w:rPr>
        <w:t>.</w:t>
      </w:r>
    </w:p>
    <w:p w:rsidR="001E7BB4" w:rsidRPr="007930B0" w:rsidRDefault="00315B1E" w:rsidP="00315B1E">
      <w:pPr>
        <w:pStyle w:val="HChG"/>
      </w:pPr>
      <w:r>
        <w:br w:type="page"/>
      </w:r>
      <w:r w:rsidR="00FA1F90" w:rsidRPr="007930B0">
        <w:tab/>
        <w:t>IV.</w:t>
      </w:r>
      <w:r w:rsidR="001E7BB4" w:rsidRPr="007930B0">
        <w:tab/>
        <w:t>Conclusión</w:t>
      </w:r>
    </w:p>
    <w:p w:rsidR="001E7BB4" w:rsidRPr="007930B0" w:rsidRDefault="001E7BB4" w:rsidP="0068666F">
      <w:pPr>
        <w:pStyle w:val="SingleTxtG"/>
        <w:rPr>
          <w:lang w:val="es-ES"/>
        </w:rPr>
      </w:pPr>
      <w:r w:rsidRPr="007930B0">
        <w:rPr>
          <w:lang w:val="es-ES"/>
        </w:rPr>
        <w:t>562.</w:t>
      </w:r>
      <w:r w:rsidRPr="007930B0">
        <w:rPr>
          <w:lang w:val="es-ES"/>
        </w:rPr>
        <w:tab/>
        <w:t>La República Islámica de Mauritania, a pesar de la crisis económica y financiera mundial y de su condición de país pobre muy endeudado, despliega enormes esfuerzos para garantizar el pleno goce de los derechos económicos, sociales y culturales.</w:t>
      </w:r>
    </w:p>
    <w:p w:rsidR="001E7BB4" w:rsidRPr="007930B0" w:rsidRDefault="001E7BB4" w:rsidP="0068666F">
      <w:pPr>
        <w:pStyle w:val="SingleTxtG"/>
        <w:rPr>
          <w:lang w:val="es-ES"/>
        </w:rPr>
      </w:pPr>
      <w:r w:rsidRPr="007930B0">
        <w:rPr>
          <w:lang w:val="es-ES"/>
        </w:rPr>
        <w:t>563.</w:t>
      </w:r>
      <w:r w:rsidRPr="007930B0">
        <w:rPr>
          <w:lang w:val="es-ES"/>
        </w:rPr>
        <w:tab/>
        <w:t xml:space="preserve">En tal sentido, trabaja desde hace algunos años, a través de la aplicación del Marco estratégico de lucha contra la pobreza, para reducir la pobreza y poner en práctica programas sociales y económicos en el territorio nacional, con el apoyo de los asociados para el desarrollo y con el propósito de lograr, para 2015, que el 17% de su población viva por encima de la línea de pobreza y alcanzar así, por la misma vía, los Objetivos de Desarrollo del Milenio. </w:t>
      </w:r>
    </w:p>
    <w:p w:rsidR="001E7BB4" w:rsidRPr="007930B0" w:rsidRDefault="001E7BB4" w:rsidP="0068666F">
      <w:pPr>
        <w:pStyle w:val="SingleTxtG"/>
        <w:rPr>
          <w:lang w:val="es-ES"/>
        </w:rPr>
      </w:pPr>
      <w:r w:rsidRPr="007930B0">
        <w:rPr>
          <w:lang w:val="es-ES"/>
        </w:rPr>
        <w:t>564.</w:t>
      </w:r>
      <w:r w:rsidRPr="007930B0">
        <w:rPr>
          <w:lang w:val="es-ES"/>
        </w:rPr>
        <w:tab/>
        <w:t>En el plano cultural, la diversidad multiétnica que constituye un logro importante para el pueblo mauritano, pueblo musulmán, árabe y africano, requiere medios y estrategias que permitan a las personas gozar de su propia cultura en un espacio democrático.</w:t>
      </w:r>
    </w:p>
    <w:p w:rsidR="001E7BB4" w:rsidRPr="007930B0" w:rsidRDefault="001E7BB4" w:rsidP="0068666F">
      <w:pPr>
        <w:pStyle w:val="SingleTxtG"/>
        <w:rPr>
          <w:lang w:val="es-ES"/>
        </w:rPr>
      </w:pPr>
      <w:r w:rsidRPr="007930B0">
        <w:rPr>
          <w:lang w:val="es-ES"/>
        </w:rPr>
        <w:t>565.</w:t>
      </w:r>
      <w:r w:rsidRPr="007930B0">
        <w:rPr>
          <w:lang w:val="es-ES"/>
        </w:rPr>
        <w:tab/>
        <w:t xml:space="preserve">A esos efectos, los poderes públicos ofrecen infraestructura (estructuras, instituciones, medios de difusión y otras formas de apoyo) y promulgan leyes que garantizan el respeto de la cultura de los no ciudadanos. </w:t>
      </w:r>
    </w:p>
    <w:p w:rsidR="001E7BB4" w:rsidRPr="007930B0" w:rsidRDefault="001E7BB4" w:rsidP="0068666F">
      <w:pPr>
        <w:pStyle w:val="SingleTxtG"/>
        <w:rPr>
          <w:lang w:val="es-ES"/>
        </w:rPr>
      </w:pPr>
      <w:r w:rsidRPr="007930B0">
        <w:rPr>
          <w:lang w:val="es-ES"/>
        </w:rPr>
        <w:t>566.</w:t>
      </w:r>
      <w:r w:rsidRPr="007930B0">
        <w:rPr>
          <w:lang w:val="es-ES"/>
        </w:rPr>
        <w:tab/>
        <w:t>Sin embargo, nuestro país sigue estando convencido de que la contribución de la cooperación internacional en los planos económico, social y cultural es importante para garantizar la aplicación efectiva de las disposiciones del Pacto.</w:t>
      </w:r>
    </w:p>
    <w:p w:rsidR="001E7BB4" w:rsidRPr="007930B0" w:rsidRDefault="001E7BB4" w:rsidP="0068666F">
      <w:pPr>
        <w:pStyle w:val="SingleTxtG"/>
        <w:rPr>
          <w:lang w:val="es-ES"/>
        </w:rPr>
      </w:pPr>
      <w:r w:rsidRPr="007930B0">
        <w:rPr>
          <w:lang w:val="es-ES"/>
        </w:rPr>
        <w:t>567.</w:t>
      </w:r>
      <w:r w:rsidRPr="007930B0">
        <w:rPr>
          <w:lang w:val="es-ES"/>
        </w:rPr>
        <w:tab/>
        <w:t>Subsisten dificultades para el logro de este objetivo, que requiere medios importantes. A pesar de todo, nuestro país mantiene su adhesión a los ideales y valores consagrados en el Pacto Internacional de Derechos Económicos, Sociales y Culturales.</w:t>
      </w:r>
    </w:p>
    <w:p w:rsidR="001E7BB4" w:rsidRPr="007930B0" w:rsidRDefault="00FA1F90" w:rsidP="00D93676">
      <w:pPr>
        <w:spacing w:before="240"/>
        <w:jc w:val="center"/>
        <w:rPr>
          <w:u w:val="single"/>
        </w:rPr>
      </w:pPr>
      <w:r w:rsidRPr="007930B0">
        <w:rPr>
          <w:u w:val="single"/>
        </w:rPr>
        <w:tab/>
      </w:r>
      <w:r w:rsidRPr="007930B0">
        <w:rPr>
          <w:u w:val="single"/>
        </w:rPr>
        <w:tab/>
      </w:r>
      <w:r w:rsidRPr="007930B0">
        <w:rPr>
          <w:u w:val="single"/>
        </w:rPr>
        <w:tab/>
      </w:r>
    </w:p>
    <w:p w:rsidR="003F1FDA" w:rsidRPr="007930B0" w:rsidRDefault="003F1FDA" w:rsidP="003F1FDA"/>
    <w:sectPr w:rsidR="003F1FDA" w:rsidRPr="007930B0" w:rsidSect="00F86D2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187D" w:rsidRDefault="0045187D">
      <w:r>
        <w:separator/>
      </w:r>
    </w:p>
  </w:endnote>
  <w:endnote w:type="continuationSeparator" w:id="0">
    <w:p w:rsidR="0045187D" w:rsidRDefault="00451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D1B" w:rsidRPr="003F1FDA" w:rsidRDefault="00704D1B" w:rsidP="00F86D21">
    <w:pPr>
      <w:pStyle w:val="Footer"/>
      <w:tabs>
        <w:tab w:val="right" w:pos="9638"/>
      </w:tabs>
      <w:rPr>
        <w:szCs w:val="16"/>
      </w:rPr>
    </w:pPr>
    <w:r w:rsidRPr="00F86D21">
      <w:rPr>
        <w:b/>
        <w:sz w:val="18"/>
      </w:rPr>
      <w:fldChar w:fldCharType="begin"/>
    </w:r>
    <w:r w:rsidRPr="00F86D21">
      <w:rPr>
        <w:b/>
        <w:sz w:val="18"/>
      </w:rPr>
      <w:instrText xml:space="preserve"> PAGE  \* MERGEFORMAT </w:instrText>
    </w:r>
    <w:r w:rsidRPr="00F86D21">
      <w:rPr>
        <w:b/>
        <w:sz w:val="18"/>
      </w:rPr>
      <w:fldChar w:fldCharType="separate"/>
    </w:r>
    <w:r w:rsidR="0083775A">
      <w:rPr>
        <w:b/>
        <w:noProof/>
        <w:sz w:val="18"/>
      </w:rPr>
      <w:t>30</w:t>
    </w:r>
    <w:r w:rsidRPr="00F86D21">
      <w:rPr>
        <w:b/>
        <w:sz w:val="18"/>
      </w:rPr>
      <w:fldChar w:fldCharType="end"/>
    </w:r>
    <w:r>
      <w:rPr>
        <w:sz w:val="18"/>
      </w:rPr>
      <w:tab/>
    </w:r>
    <w:r>
      <w:rPr>
        <w:szCs w:val="16"/>
      </w:rPr>
      <w:t>GE.11-43178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D1B" w:rsidRPr="00F86D21" w:rsidRDefault="00704D1B" w:rsidP="00F86D21">
    <w:pPr>
      <w:pStyle w:val="Footer"/>
      <w:tabs>
        <w:tab w:val="right" w:pos="9638"/>
      </w:tabs>
      <w:rPr>
        <w:b/>
        <w:sz w:val="18"/>
      </w:rPr>
    </w:pPr>
    <w:r>
      <w:rPr>
        <w:szCs w:val="16"/>
      </w:rPr>
      <w:t>GE.11-43178  (EXT)</w:t>
    </w:r>
    <w:r>
      <w:tab/>
    </w:r>
    <w:r w:rsidRPr="00F86D21">
      <w:rPr>
        <w:b/>
        <w:sz w:val="18"/>
      </w:rPr>
      <w:fldChar w:fldCharType="begin"/>
    </w:r>
    <w:r w:rsidRPr="00F86D21">
      <w:rPr>
        <w:b/>
        <w:sz w:val="18"/>
      </w:rPr>
      <w:instrText xml:space="preserve"> PAGE  \* MERGEFORMAT </w:instrText>
    </w:r>
    <w:r w:rsidRPr="00F86D21">
      <w:rPr>
        <w:b/>
        <w:sz w:val="18"/>
      </w:rPr>
      <w:fldChar w:fldCharType="separate"/>
    </w:r>
    <w:r w:rsidR="0083775A">
      <w:rPr>
        <w:b/>
        <w:noProof/>
        <w:sz w:val="18"/>
      </w:rPr>
      <w:t>29</w:t>
    </w:r>
    <w:r w:rsidRPr="00F86D2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D1B" w:rsidRPr="00F86D21" w:rsidRDefault="00704D1B">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GE.11-43178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187D" w:rsidRPr="001075E9" w:rsidRDefault="0045187D" w:rsidP="001075E9">
      <w:pPr>
        <w:tabs>
          <w:tab w:val="right" w:pos="2155"/>
        </w:tabs>
        <w:spacing w:after="80" w:line="240" w:lineRule="auto"/>
        <w:ind w:left="680"/>
        <w:rPr>
          <w:u w:val="single"/>
        </w:rPr>
      </w:pPr>
      <w:r>
        <w:rPr>
          <w:u w:val="single"/>
        </w:rPr>
        <w:tab/>
      </w:r>
    </w:p>
  </w:footnote>
  <w:footnote w:type="continuationSeparator" w:id="0">
    <w:p w:rsidR="0045187D" w:rsidRDefault="0045187D">
      <w:r>
        <w:continuationSeparator/>
      </w:r>
    </w:p>
  </w:footnote>
  <w:footnote w:id="1">
    <w:p w:rsidR="00704D1B" w:rsidRPr="003F1FDA" w:rsidRDefault="00704D1B">
      <w:pPr>
        <w:pStyle w:val="FootnoteText"/>
      </w:pPr>
      <w:r>
        <w:tab/>
      </w:r>
      <w:r w:rsidRPr="003F1FDA">
        <w:rPr>
          <w:rStyle w:val="FootnoteReference"/>
          <w:sz w:val="20"/>
          <w:vertAlign w:val="baseline"/>
        </w:rPr>
        <w:t>*</w:t>
      </w:r>
      <w:r>
        <w:rPr>
          <w:sz w:val="20"/>
        </w:rPr>
        <w:tab/>
      </w:r>
      <w:r>
        <w:t>Con arreglo a la información transmitida a los Estados partes acerca de la publicación de sus informes, el presente documento no fue objeto de revisión editorial antes de ser enviado a los servicios de traducción de las Naciones Unidas</w:t>
      </w:r>
      <w:r w:rsidRPr="00334B9B">
        <w:t>.</w:t>
      </w:r>
    </w:p>
  </w:footnote>
  <w:footnote w:id="2">
    <w:p w:rsidR="00704D1B" w:rsidRDefault="00704D1B" w:rsidP="00451FD8">
      <w:pPr>
        <w:pStyle w:val="FootnoteText"/>
      </w:pPr>
      <w:r>
        <w:rPr>
          <w:noProof/>
        </w:rPr>
        <w:tab/>
      </w:r>
      <w:r w:rsidRPr="00451FD8">
        <w:rPr>
          <w:rStyle w:val="FootnoteReference"/>
        </w:rPr>
        <w:footnoteRef/>
      </w:r>
      <w:r>
        <w:rPr>
          <w:noProof/>
        </w:rPr>
        <w:tab/>
        <w:t>Marco estratégico de lucha contra la pobreza</w:t>
      </w:r>
      <w:r>
        <w:t>, 2001.</w:t>
      </w:r>
    </w:p>
  </w:footnote>
  <w:footnote w:id="3">
    <w:p w:rsidR="00704D1B" w:rsidRDefault="00704D1B" w:rsidP="00451FD8">
      <w:pPr>
        <w:pStyle w:val="FootnoteText"/>
      </w:pPr>
      <w:r>
        <w:rPr>
          <w:noProof/>
        </w:rPr>
        <w:tab/>
      </w:r>
      <w:r w:rsidRPr="00451FD8">
        <w:rPr>
          <w:rStyle w:val="FootnoteReference"/>
        </w:rPr>
        <w:footnoteRef/>
      </w:r>
      <w:r>
        <w:rPr>
          <w:noProof/>
        </w:rPr>
        <w:tab/>
        <w:t>Marco presupuestario a mediano plazo en el ámbito de la s</w:t>
      </w:r>
      <w:r>
        <w:rPr>
          <w:bCs/>
        </w:rPr>
        <w:t>alud, 2001.</w:t>
      </w:r>
    </w:p>
  </w:footnote>
  <w:footnote w:id="4">
    <w:p w:rsidR="00704D1B" w:rsidRDefault="00704D1B" w:rsidP="008D14BD">
      <w:pPr>
        <w:pStyle w:val="FootnoteText"/>
      </w:pPr>
      <w:r>
        <w:tab/>
      </w:r>
      <w:r w:rsidRPr="008D14BD">
        <w:rPr>
          <w:rStyle w:val="FootnoteReference"/>
        </w:rPr>
        <w:footnoteRef/>
      </w:r>
      <w:r>
        <w:tab/>
        <w:t>Evaluación del PDSAS, 2004.</w:t>
      </w:r>
    </w:p>
  </w:footnote>
  <w:footnote w:id="5">
    <w:p w:rsidR="00704D1B" w:rsidRDefault="00704D1B" w:rsidP="00F13F04">
      <w:pPr>
        <w:pStyle w:val="FootnoteText"/>
      </w:pPr>
      <w:r>
        <w:tab/>
      </w:r>
      <w:r w:rsidRPr="00F13F04">
        <w:rPr>
          <w:rStyle w:val="FootnoteReference"/>
        </w:rPr>
        <w:footnoteRef/>
      </w:r>
      <w:r>
        <w:tab/>
        <w:t>Salud y Pobreza en Mauritania, 2004.</w:t>
      </w:r>
    </w:p>
  </w:footnote>
  <w:footnote w:id="6">
    <w:p w:rsidR="00704D1B" w:rsidRDefault="00704D1B" w:rsidP="00F13F04">
      <w:pPr>
        <w:pStyle w:val="FootnoteText"/>
      </w:pPr>
      <w:r>
        <w:tab/>
      </w:r>
      <w:r w:rsidRPr="00F13F04">
        <w:rPr>
          <w:rStyle w:val="FootnoteReference"/>
        </w:rPr>
        <w:footnoteRef/>
      </w:r>
      <w:r>
        <w:tab/>
        <w:t>EDSM (2001), VIH en mujeres embarazadas (2001), Encuesta nacional de salud mental (2003), EMIP (2004).</w:t>
      </w:r>
    </w:p>
  </w:footnote>
  <w:footnote w:id="7">
    <w:p w:rsidR="00704D1B" w:rsidRDefault="00704D1B" w:rsidP="00F13F04">
      <w:pPr>
        <w:pStyle w:val="FootnoteText"/>
      </w:pPr>
      <w:r>
        <w:tab/>
      </w:r>
      <w:r w:rsidRPr="00F13F04">
        <w:rPr>
          <w:rStyle w:val="FootnoteReference"/>
        </w:rPr>
        <w:footnoteRef/>
      </w:r>
      <w:r>
        <w:tab/>
        <w:t>EDSM, 2001.</w:t>
      </w:r>
    </w:p>
  </w:footnote>
  <w:footnote w:id="8">
    <w:p w:rsidR="00704D1B" w:rsidRDefault="00704D1B" w:rsidP="00F13F04">
      <w:pPr>
        <w:pStyle w:val="FootnoteText"/>
      </w:pPr>
      <w:r>
        <w:tab/>
      </w:r>
      <w:r w:rsidRPr="00F13F04">
        <w:rPr>
          <w:rStyle w:val="FootnoteReference"/>
        </w:rPr>
        <w:footnoteRef/>
      </w:r>
      <w:r>
        <w:tab/>
        <w:t>EMIP, 2004.</w:t>
      </w:r>
    </w:p>
  </w:footnote>
  <w:footnote w:id="9">
    <w:p w:rsidR="00704D1B" w:rsidRDefault="00704D1B" w:rsidP="00F13F04">
      <w:pPr>
        <w:pStyle w:val="FootnoteText"/>
      </w:pPr>
      <w:r>
        <w:tab/>
      </w:r>
      <w:r w:rsidRPr="00F13F04">
        <w:rPr>
          <w:rStyle w:val="FootnoteReference"/>
        </w:rPr>
        <w:footnoteRef/>
      </w:r>
      <w:r>
        <w:tab/>
        <w:t xml:space="preserve">Plan Estratégico de la </w:t>
      </w:r>
      <w:r>
        <w:rPr>
          <w:color w:val="000000"/>
        </w:rPr>
        <w:t>Alianza para hacer retroceder el paludismo.</w:t>
      </w:r>
    </w:p>
  </w:footnote>
  <w:footnote w:id="10">
    <w:p w:rsidR="00704D1B" w:rsidRDefault="00704D1B" w:rsidP="00F13F04">
      <w:pPr>
        <w:pStyle w:val="FootnoteText"/>
      </w:pPr>
      <w:r>
        <w:tab/>
      </w:r>
      <w:r w:rsidRPr="00F13F04">
        <w:rPr>
          <w:rStyle w:val="FootnoteReference"/>
        </w:rPr>
        <w:footnoteRef/>
      </w:r>
      <w:r>
        <w:tab/>
        <w:t xml:space="preserve">Boletín Nº 04 del </w:t>
      </w:r>
      <w:r>
        <w:rPr>
          <w:noProof/>
        </w:rPr>
        <w:t>Centro Nacional de Higiene</w:t>
      </w:r>
      <w:r>
        <w:t>, noviembre de 2004.</w:t>
      </w:r>
    </w:p>
  </w:footnote>
  <w:footnote w:id="11">
    <w:p w:rsidR="00704D1B" w:rsidRDefault="00704D1B" w:rsidP="00F13F04">
      <w:pPr>
        <w:pStyle w:val="FootnoteText"/>
      </w:pPr>
      <w:r>
        <w:tab/>
      </w:r>
      <w:r w:rsidRPr="00F13F04">
        <w:rPr>
          <w:rStyle w:val="FootnoteReference"/>
        </w:rPr>
        <w:footnoteRef/>
      </w:r>
      <w:r>
        <w:tab/>
        <w:t>Encuesta sobre el VIH en mujeres embarazadas, 2001.</w:t>
      </w:r>
    </w:p>
  </w:footnote>
  <w:footnote w:id="12">
    <w:p w:rsidR="00704D1B" w:rsidRDefault="00704D1B" w:rsidP="00F13F04">
      <w:pPr>
        <w:pStyle w:val="FootnoteText"/>
      </w:pPr>
      <w:r>
        <w:tab/>
      </w:r>
      <w:r w:rsidRPr="00F13F04">
        <w:rPr>
          <w:rStyle w:val="FootnoteReference"/>
        </w:rPr>
        <w:footnoteRef/>
      </w:r>
      <w:r>
        <w:tab/>
        <w:t>EDSM, 2001.</w:t>
      </w:r>
    </w:p>
  </w:footnote>
  <w:footnote w:id="13">
    <w:p w:rsidR="00704D1B" w:rsidRDefault="00704D1B" w:rsidP="00F13F04">
      <w:pPr>
        <w:pStyle w:val="FootnoteText"/>
      </w:pPr>
      <w:r>
        <w:tab/>
      </w:r>
      <w:r w:rsidRPr="00F13F04">
        <w:rPr>
          <w:rStyle w:val="FootnoteReference"/>
        </w:rPr>
        <w:footnoteRef/>
      </w:r>
      <w:r>
        <w:tab/>
        <w:t>Encuestas sobre la anemia, 2000 y 2004.</w:t>
      </w:r>
    </w:p>
  </w:footnote>
  <w:footnote w:id="14">
    <w:p w:rsidR="00704D1B" w:rsidRDefault="00704D1B" w:rsidP="00F13F04">
      <w:pPr>
        <w:pStyle w:val="FootnoteText"/>
      </w:pPr>
      <w:r>
        <w:tab/>
      </w:r>
      <w:r w:rsidRPr="00F13F04">
        <w:rPr>
          <w:rStyle w:val="FootnoteReference"/>
        </w:rPr>
        <w:footnoteRef/>
      </w:r>
      <w:r>
        <w:tab/>
        <w:t xml:space="preserve">EDSM, 2001. </w:t>
      </w:r>
    </w:p>
  </w:footnote>
  <w:footnote w:id="15">
    <w:p w:rsidR="00704D1B" w:rsidRDefault="00704D1B" w:rsidP="00F13F04">
      <w:pPr>
        <w:pStyle w:val="FootnoteText"/>
      </w:pPr>
      <w:r>
        <w:tab/>
      </w:r>
      <w:r w:rsidRPr="00F13F04">
        <w:rPr>
          <w:rStyle w:val="FootnoteReference"/>
        </w:rPr>
        <w:footnoteRef/>
      </w:r>
      <w:r>
        <w:tab/>
        <w:t>Anuario de estadísticas sanitarias, 2003.</w:t>
      </w:r>
    </w:p>
  </w:footnote>
  <w:footnote w:id="16">
    <w:p w:rsidR="00704D1B" w:rsidRDefault="00704D1B" w:rsidP="00F13F04">
      <w:pPr>
        <w:pStyle w:val="FootnoteText"/>
      </w:pPr>
      <w:r>
        <w:tab/>
      </w:r>
      <w:r w:rsidRPr="00F13F04">
        <w:rPr>
          <w:rStyle w:val="FootnoteReference"/>
        </w:rPr>
        <w:footnoteRef/>
      </w:r>
      <w:r>
        <w:tab/>
        <w:t>EDSM, 2001.</w:t>
      </w:r>
    </w:p>
  </w:footnote>
  <w:footnote w:id="17">
    <w:p w:rsidR="00704D1B" w:rsidRDefault="00704D1B" w:rsidP="00F13F04">
      <w:pPr>
        <w:pStyle w:val="FootnoteText"/>
      </w:pPr>
      <w:r>
        <w:tab/>
      </w:r>
      <w:r w:rsidRPr="00F13F04">
        <w:rPr>
          <w:rStyle w:val="FootnoteReference"/>
        </w:rPr>
        <w:footnoteRef/>
      </w:r>
      <w:r>
        <w:tab/>
        <w:t xml:space="preserve">Encuesta nacional sobre la ceguera, </w:t>
      </w:r>
      <w:r>
        <w:rPr>
          <w:noProof/>
        </w:rPr>
        <w:t>Programa nacional de lucha contra la ceguera</w:t>
      </w:r>
      <w:r>
        <w:t>, 2003.</w:t>
      </w:r>
    </w:p>
  </w:footnote>
  <w:footnote w:id="18">
    <w:p w:rsidR="00704D1B" w:rsidRDefault="00704D1B" w:rsidP="00F13F04">
      <w:pPr>
        <w:pStyle w:val="FootnoteText"/>
      </w:pPr>
      <w:r>
        <w:tab/>
      </w:r>
      <w:r w:rsidRPr="00F13F04">
        <w:rPr>
          <w:rStyle w:val="FootnoteReference"/>
        </w:rPr>
        <w:footnoteRef/>
      </w:r>
      <w:r>
        <w:tab/>
        <w:t>Informe sobre la vigilancia epidemiológica en 2002.</w:t>
      </w:r>
    </w:p>
  </w:footnote>
  <w:footnote w:id="19">
    <w:p w:rsidR="00704D1B" w:rsidRDefault="00704D1B" w:rsidP="00F13F04">
      <w:pPr>
        <w:pStyle w:val="FootnoteText"/>
      </w:pPr>
      <w:r>
        <w:tab/>
      </w:r>
      <w:r w:rsidRPr="00F13F04">
        <w:rPr>
          <w:rStyle w:val="FootnoteReference"/>
        </w:rPr>
        <w:footnoteRef/>
      </w:r>
      <w:r>
        <w:tab/>
        <w:t>Estudio sobre el cáncer en Mauritania, N.A.B., 2004.</w:t>
      </w:r>
    </w:p>
  </w:footnote>
  <w:footnote w:id="20">
    <w:p w:rsidR="00704D1B" w:rsidRDefault="00704D1B" w:rsidP="00F13F04">
      <w:pPr>
        <w:pStyle w:val="FootnoteText"/>
      </w:pPr>
      <w:r>
        <w:tab/>
      </w:r>
      <w:r w:rsidRPr="00F13F04">
        <w:rPr>
          <w:rStyle w:val="FootnoteReference"/>
        </w:rPr>
        <w:footnoteRef/>
      </w:r>
      <w:r>
        <w:tab/>
        <w:t>Estudio sobre los accidentes de tránsito en Trarza, A.T., 2004.</w:t>
      </w:r>
    </w:p>
  </w:footnote>
  <w:footnote w:id="21">
    <w:p w:rsidR="00704D1B" w:rsidRDefault="00704D1B" w:rsidP="00F13F04">
      <w:pPr>
        <w:pStyle w:val="FootnoteText"/>
      </w:pPr>
      <w:r>
        <w:tab/>
      </w:r>
      <w:r w:rsidRPr="00F13F04">
        <w:rPr>
          <w:rStyle w:val="FootnoteReference"/>
        </w:rPr>
        <w:footnoteRef/>
      </w:r>
      <w:r>
        <w:tab/>
        <w:t>Encuesta nacional de salud mental (2003).</w:t>
      </w:r>
    </w:p>
  </w:footnote>
  <w:footnote w:id="22">
    <w:p w:rsidR="00704D1B" w:rsidRDefault="00704D1B" w:rsidP="00F13F04">
      <w:pPr>
        <w:pStyle w:val="FootnoteText"/>
      </w:pPr>
      <w:r>
        <w:tab/>
      </w:r>
      <w:r w:rsidRPr="00F13F04">
        <w:rPr>
          <w:rStyle w:val="FootnoteReference"/>
        </w:rPr>
        <w:footnoteRef/>
      </w:r>
      <w:r>
        <w:tab/>
        <w:t>Encuesta de salud bucodentaria en Nuakchot y Aioun, 2001.</w:t>
      </w:r>
    </w:p>
  </w:footnote>
  <w:footnote w:id="23">
    <w:p w:rsidR="00704D1B" w:rsidRDefault="00704D1B" w:rsidP="00F13F04">
      <w:pPr>
        <w:pStyle w:val="FootnoteText"/>
      </w:pPr>
      <w:r>
        <w:tab/>
      </w:r>
      <w:r w:rsidRPr="00F13F04">
        <w:rPr>
          <w:rStyle w:val="FootnoteReference"/>
        </w:rPr>
        <w:footnoteRef/>
      </w:r>
      <w:r>
        <w:tab/>
        <w:t>Estudio sobre los accidentes del trabajo en el sector de la manipulación de carga, A.C.S., 2004.</w:t>
      </w:r>
    </w:p>
  </w:footnote>
  <w:footnote w:id="24">
    <w:p w:rsidR="00704D1B" w:rsidRDefault="00704D1B" w:rsidP="00F13F04">
      <w:pPr>
        <w:pStyle w:val="FootnoteText"/>
      </w:pPr>
      <w:r>
        <w:tab/>
      </w:r>
      <w:r w:rsidRPr="00F13F04">
        <w:rPr>
          <w:rStyle w:val="FootnoteReference"/>
        </w:rPr>
        <w:footnoteRef/>
      </w:r>
      <w:r>
        <w:tab/>
        <w:t>Anuario de estadísticas sanitarias, 2003.</w:t>
      </w:r>
    </w:p>
  </w:footnote>
  <w:footnote w:id="25">
    <w:p w:rsidR="00704D1B" w:rsidRDefault="00704D1B" w:rsidP="00F13F04">
      <w:pPr>
        <w:pStyle w:val="FootnoteText"/>
      </w:pPr>
      <w:r>
        <w:tab/>
      </w:r>
      <w:r w:rsidRPr="00F13F04">
        <w:rPr>
          <w:rStyle w:val="FootnoteReference"/>
        </w:rPr>
        <w:footnoteRef/>
      </w:r>
      <w:r>
        <w:tab/>
        <w:t>Informe de evaluación del PDSAS, 2004, e informes específicos de actividades a nivel regional y a nivel hospitalario central.</w:t>
      </w:r>
    </w:p>
  </w:footnote>
  <w:footnote w:id="26">
    <w:p w:rsidR="00704D1B" w:rsidRDefault="00704D1B" w:rsidP="00F13F04">
      <w:pPr>
        <w:pStyle w:val="FootnoteText"/>
      </w:pPr>
      <w:r>
        <w:tab/>
      </w:r>
      <w:r w:rsidRPr="00F13F04">
        <w:rPr>
          <w:rStyle w:val="FootnoteReference"/>
        </w:rPr>
        <w:footnoteRef/>
      </w:r>
      <w:r>
        <w:tab/>
        <w:t>EPCV 2000.</w:t>
      </w:r>
    </w:p>
  </w:footnote>
  <w:footnote w:id="27">
    <w:p w:rsidR="00704D1B" w:rsidRDefault="00704D1B" w:rsidP="00F13F04">
      <w:pPr>
        <w:pStyle w:val="FootnoteText"/>
      </w:pPr>
      <w:r>
        <w:tab/>
      </w:r>
      <w:r w:rsidRPr="00F13F04">
        <w:rPr>
          <w:rStyle w:val="FootnoteReference"/>
        </w:rPr>
        <w:footnoteRef/>
      </w:r>
      <w:r>
        <w:tab/>
        <w:t>Salud y pobreza, 2000.</w:t>
      </w:r>
    </w:p>
  </w:footnote>
  <w:footnote w:id="28">
    <w:p w:rsidR="00704D1B" w:rsidRDefault="00704D1B" w:rsidP="00F13F04">
      <w:pPr>
        <w:pStyle w:val="FootnoteText"/>
      </w:pPr>
      <w:r>
        <w:tab/>
      </w:r>
      <w:r w:rsidRPr="00F13F04">
        <w:rPr>
          <w:rStyle w:val="FootnoteReference"/>
        </w:rPr>
        <w:footnoteRef/>
      </w:r>
      <w:r>
        <w:tab/>
        <w:t>RDPS (Examen de los gastos públicos de salud), 2001.</w:t>
      </w:r>
    </w:p>
  </w:footnote>
  <w:footnote w:id="29">
    <w:p w:rsidR="00704D1B" w:rsidRDefault="00704D1B" w:rsidP="00F13F04">
      <w:pPr>
        <w:pStyle w:val="FootnoteText"/>
      </w:pPr>
      <w:r>
        <w:tab/>
      </w:r>
      <w:r w:rsidRPr="00F13F04">
        <w:rPr>
          <w:rStyle w:val="FootnoteReference"/>
        </w:rPr>
        <w:footnoteRef/>
      </w:r>
      <w:r>
        <w:tab/>
        <w:t>RDPS, 2004.</w:t>
      </w:r>
    </w:p>
  </w:footnote>
  <w:footnote w:id="30">
    <w:p w:rsidR="00704D1B" w:rsidRDefault="00704D1B" w:rsidP="00F13F04">
      <w:pPr>
        <w:pStyle w:val="FootnoteText"/>
      </w:pPr>
      <w:r>
        <w:tab/>
      </w:r>
      <w:r w:rsidRPr="00F13F04">
        <w:rPr>
          <w:rStyle w:val="FootnoteReference"/>
        </w:rPr>
        <w:footnoteRef/>
      </w:r>
      <w:r>
        <w:tab/>
        <w:t>Informe de la reunión sobre institucionalización de la medicina tradicional, 2004.</w:t>
      </w:r>
    </w:p>
  </w:footnote>
  <w:footnote w:id="31">
    <w:p w:rsidR="00704D1B" w:rsidRDefault="00704D1B" w:rsidP="00F13F04">
      <w:pPr>
        <w:pStyle w:val="FootnoteText"/>
        <w:rPr>
          <w:lang w:val="es-ES_tradnl"/>
        </w:rPr>
      </w:pPr>
      <w:r>
        <w:rPr>
          <w:lang w:val="es-ES_tradnl"/>
        </w:rPr>
        <w:tab/>
      </w:r>
      <w:r w:rsidRPr="00F13F04">
        <w:rPr>
          <w:rStyle w:val="FootnoteReference"/>
        </w:rPr>
        <w:footnoteRef/>
      </w:r>
      <w:r>
        <w:rPr>
          <w:lang w:val="es-ES_tradnl"/>
        </w:rPr>
        <w:tab/>
        <w:t xml:space="preserve">Estudio de casos sobre la articulación entre el segundo ciclo de enseñanza secundaria y la enseñanza superior, realizado por M. M. SOUMARE Oumar (Dir. Enseñanza Secundaria) y THIAM Djiby (experto en educación), para la ADEA (Asociación para el Desarrollo de la Educación en África) con miras a la bienal 2008 de la educación en África. </w:t>
      </w:r>
    </w:p>
  </w:footnote>
  <w:footnote w:id="32">
    <w:p w:rsidR="00704D1B" w:rsidRDefault="00704D1B" w:rsidP="00F13F04">
      <w:pPr>
        <w:pStyle w:val="FootnoteText"/>
      </w:pPr>
      <w:r>
        <w:rPr>
          <w:lang w:val="es-ES_tradnl"/>
        </w:rPr>
        <w:tab/>
      </w:r>
      <w:r w:rsidRPr="00F13F04">
        <w:rPr>
          <w:rStyle w:val="FootnoteReference"/>
        </w:rPr>
        <w:footnoteRef/>
      </w:r>
      <w:r>
        <w:rPr>
          <w:lang w:val="es-ES_tradnl"/>
        </w:rPr>
        <w:tab/>
        <w:t>Estudio de casos sobre la articulación entre el segundo ciclo de enseñanza secundaria y la enseñanza superior, realizado por M .M. SOUMARE Oumar (Dir. Enseñanza Secundaria) y THIAM Djiby (experto en educación), por encargo de la ADEA con miras a la bienal 2008 de la educación en África.</w:t>
      </w:r>
    </w:p>
  </w:footnote>
  <w:footnote w:id="33">
    <w:p w:rsidR="00704D1B" w:rsidRDefault="00704D1B" w:rsidP="00F13F04">
      <w:pPr>
        <w:pStyle w:val="FootnoteText"/>
      </w:pPr>
      <w:r>
        <w:tab/>
      </w:r>
      <w:r w:rsidRPr="00F13F04">
        <w:rPr>
          <w:rStyle w:val="FootnoteReference"/>
        </w:rPr>
        <w:footnoteRef/>
      </w:r>
      <w:r>
        <w:tab/>
      </w:r>
      <w:r w:rsidR="00CC7CB3" w:rsidRPr="00CC7CB3">
        <w:rPr>
          <w:i/>
        </w:rPr>
        <w:t>Ibi</w:t>
      </w:r>
      <w:r w:rsidRPr="00CC7CB3">
        <w:rPr>
          <w:i/>
        </w:rPr>
        <w:t>d</w:t>
      </w:r>
      <w:r w:rsidRPr="00334B9B">
        <w:rPr>
          <w:i/>
        </w:rPr>
        <w:t>.</w:t>
      </w:r>
    </w:p>
  </w:footnote>
  <w:footnote w:id="34">
    <w:p w:rsidR="00704D1B" w:rsidRDefault="00704D1B" w:rsidP="00F13F04">
      <w:pPr>
        <w:pStyle w:val="FootnoteText"/>
        <w:rPr>
          <w:lang w:val="es-ES_tradnl"/>
        </w:rPr>
      </w:pPr>
      <w:r>
        <w:rPr>
          <w:lang w:val="es-ES_tradnl"/>
        </w:rPr>
        <w:tab/>
      </w:r>
      <w:r w:rsidRPr="00F13F04">
        <w:rPr>
          <w:rStyle w:val="FootnoteReference"/>
        </w:rPr>
        <w:footnoteRef/>
      </w:r>
      <w:r>
        <w:rPr>
          <w:lang w:val="es-ES_tradnl"/>
        </w:rPr>
        <w:tab/>
        <w:t xml:space="preserve">Estudio de casos sobre la articulación entre el segundo ciclo de enseñanza secundaria y la enseñanza superior, realizado por M. M. SOUMARE Oumar (Dir. Enseñanza Secundaria) y THIAM Djiby (experto en educación), por encargo de la ADEA con miras a la bienal 2008 de la educación en África. </w:t>
      </w:r>
    </w:p>
  </w:footnote>
  <w:footnote w:id="35">
    <w:p w:rsidR="00704D1B" w:rsidRDefault="00704D1B" w:rsidP="00F13F04">
      <w:pPr>
        <w:pStyle w:val="FootnoteText"/>
      </w:pPr>
      <w:r>
        <w:tab/>
      </w:r>
      <w:r w:rsidRPr="00F13F04">
        <w:rPr>
          <w:rStyle w:val="FootnoteReference"/>
        </w:rPr>
        <w:footnoteRef/>
      </w:r>
      <w:r>
        <w:tab/>
        <w:t xml:space="preserve">Los datos estadísticos provienen en su totalidad del proyecto de informe sobre la aplicación del Plan de Acción de 2007 del </w:t>
      </w:r>
      <w:r>
        <w:rPr>
          <w:noProof/>
        </w:rPr>
        <w:t>Programa nacional de desarrollo del sector de la enseñanza</w:t>
      </w:r>
      <w:r w:rsidRPr="00731FEE">
        <w:t xml:space="preserve"> (PNDSE 2001/10).</w:t>
      </w:r>
    </w:p>
  </w:footnote>
  <w:footnote w:id="36">
    <w:p w:rsidR="00704D1B" w:rsidRDefault="00704D1B" w:rsidP="00F13F04">
      <w:pPr>
        <w:pStyle w:val="FootnoteText"/>
      </w:pPr>
      <w:r>
        <w:tab/>
      </w:r>
      <w:r w:rsidRPr="00F13F04">
        <w:rPr>
          <w:rStyle w:val="FootnoteReference"/>
        </w:rPr>
        <w:footnoteRef/>
      </w:r>
      <w:r>
        <w:tab/>
        <w:t>Escuelas públicas.</w:t>
      </w:r>
    </w:p>
  </w:footnote>
  <w:footnote w:id="37">
    <w:p w:rsidR="00704D1B" w:rsidRDefault="00704D1B" w:rsidP="00F13F04">
      <w:pPr>
        <w:pStyle w:val="FootnoteText"/>
      </w:pPr>
      <w:r>
        <w:tab/>
      </w:r>
      <w:r w:rsidRPr="00F13F04">
        <w:rPr>
          <w:rStyle w:val="FootnoteReference"/>
        </w:rPr>
        <w:footnoteRef/>
      </w:r>
      <w:r>
        <w:tab/>
        <w:t xml:space="preserve">El método seudolongitudinal da una tasa más elevada </w:t>
      </w:r>
      <w:r w:rsidRPr="00334B9B">
        <w:t xml:space="preserve">(76%), a causa del fuerte descenso de las tasas de repetición entre 2006 y 2007, lo que condujo a un aumento excepcional de las tasas de promoción. </w:t>
      </w:r>
      <w:r w:rsidRPr="00731FEE">
        <w:t xml:space="preserve">En efecto, la tasa calculada con este método no refleja la situación real de la retención del sistema, es por ello que se utilizó el método longitudinal. </w:t>
      </w:r>
    </w:p>
  </w:footnote>
  <w:footnote w:id="38">
    <w:p w:rsidR="00704D1B" w:rsidRDefault="00704D1B" w:rsidP="00F13F04">
      <w:pPr>
        <w:pStyle w:val="FootnoteText"/>
      </w:pPr>
      <w:r>
        <w:tab/>
      </w:r>
      <w:r w:rsidRPr="00F13F04">
        <w:rPr>
          <w:rStyle w:val="FootnoteReference"/>
        </w:rPr>
        <w:footnoteRef/>
      </w:r>
      <w:r>
        <w:tab/>
        <w:t>Este importe difiere del que fue validado en la revisión de diciembre de 2006 (</w:t>
      </w:r>
      <w:r>
        <w:rPr>
          <w:rtl/>
        </w:rPr>
        <w:t>13.123.168.716</w:t>
      </w:r>
      <w:r>
        <w:t xml:space="preserve"> UM, es decir, una diferencia de </w:t>
      </w:r>
      <w:r>
        <w:rPr>
          <w:rtl/>
        </w:rPr>
        <w:t>515</w:t>
      </w:r>
      <w:r>
        <w:t>.</w:t>
      </w:r>
      <w:r>
        <w:rPr>
          <w:rtl/>
        </w:rPr>
        <w:t>942</w:t>
      </w:r>
      <w:r>
        <w:t>.</w:t>
      </w:r>
      <w:r>
        <w:rPr>
          <w:rtl/>
        </w:rPr>
        <w:t>277</w:t>
      </w:r>
      <w:r>
        <w:t xml:space="preserve"> UM). Esta diferencia se justifica por la ejecución, en el marco de la nueva reestructura del sector, de actividades que no estaban previstas en la versión inicial del Plan de Acción de 2007. Cabe citar como ejemplo la organización del censo-examen de docentes, la adquisición de carteras y suministros para los alumnos y los docentes, y la adquisición de pupitres</w:t>
      </w:r>
      <w:r w:rsidRPr="00334B9B">
        <w:t>.</w:t>
      </w:r>
    </w:p>
  </w:footnote>
  <w:footnote w:id="39">
    <w:p w:rsidR="00704D1B" w:rsidRDefault="00704D1B" w:rsidP="00F13F04">
      <w:pPr>
        <w:pStyle w:val="FootnoteText"/>
      </w:pPr>
      <w:r>
        <w:tab/>
      </w:r>
      <w:r w:rsidRPr="00F13F04">
        <w:rPr>
          <w:rStyle w:val="FootnoteReference"/>
        </w:rPr>
        <w:footnoteRef/>
      </w:r>
      <w:r>
        <w:tab/>
        <w:t>Solamente en la enseñanza pública.</w:t>
      </w:r>
    </w:p>
  </w:footnote>
  <w:footnote w:id="40">
    <w:p w:rsidR="00704D1B" w:rsidRDefault="00704D1B" w:rsidP="00F13F04">
      <w:pPr>
        <w:pStyle w:val="FootnoteText"/>
      </w:pPr>
      <w:r>
        <w:rPr>
          <w:lang w:val="es-ES_tradnl"/>
        </w:rPr>
        <w:tab/>
      </w:r>
      <w:r w:rsidRPr="00F13F04">
        <w:rPr>
          <w:rStyle w:val="FootnoteReference"/>
        </w:rPr>
        <w:footnoteRef/>
      </w:r>
      <w:r>
        <w:rPr>
          <w:lang w:val="es-ES_tradnl"/>
        </w:rPr>
        <w:tab/>
        <w:t>Estudio de casos sobre la articulación entre el segundo ciclo de enseñanza secundaria y la enseñanza superior, realizado por M. M. SOUMARE Oumar y THIAM Djiby, por encargo de la ADEA con miras a la bienal 2008 de la educación en África.</w:t>
      </w:r>
    </w:p>
  </w:footnote>
  <w:footnote w:id="41">
    <w:p w:rsidR="00704D1B" w:rsidRDefault="00704D1B" w:rsidP="00F13F04">
      <w:pPr>
        <w:pStyle w:val="FootnoteText"/>
      </w:pPr>
      <w:r>
        <w:tab/>
      </w:r>
      <w:r w:rsidRPr="00F13F04">
        <w:rPr>
          <w:rStyle w:val="FootnoteReference"/>
        </w:rPr>
        <w:footnoteRef/>
      </w:r>
      <w:r>
        <w:tab/>
      </w:r>
      <w:r w:rsidR="00D93676" w:rsidRPr="00D93676">
        <w:rPr>
          <w:i/>
        </w:rPr>
        <w:t>Ibi</w:t>
      </w:r>
      <w:r w:rsidRPr="00D93676">
        <w:rPr>
          <w:i/>
        </w:rPr>
        <w:t>d</w:t>
      </w:r>
      <w:r w:rsidRPr="00334B9B">
        <w:t>.</w:t>
      </w:r>
    </w:p>
  </w:footnote>
  <w:footnote w:id="42">
    <w:p w:rsidR="00704D1B" w:rsidRDefault="00704D1B" w:rsidP="00F13F04">
      <w:pPr>
        <w:pStyle w:val="FootnoteText"/>
      </w:pPr>
      <w:r>
        <w:tab/>
      </w:r>
      <w:r w:rsidRPr="00F13F04">
        <w:rPr>
          <w:rStyle w:val="FootnoteReference"/>
        </w:rPr>
        <w:footnoteRef/>
      </w:r>
      <w:r>
        <w:tab/>
      </w:r>
      <w:r w:rsidRPr="00334B9B">
        <w:t xml:space="preserve">Los </w:t>
      </w:r>
      <w:r>
        <w:t>índices de los inspectores de la enseñanza primaria son variables.</w:t>
      </w:r>
    </w:p>
  </w:footnote>
  <w:footnote w:id="43">
    <w:p w:rsidR="00704D1B" w:rsidRDefault="00704D1B" w:rsidP="00F13F04">
      <w:pPr>
        <w:pStyle w:val="FootnoteText"/>
      </w:pPr>
      <w:r>
        <w:rPr>
          <w:noProof/>
        </w:rPr>
        <w:tab/>
      </w:r>
      <w:r w:rsidRPr="00F13F04">
        <w:rPr>
          <w:rStyle w:val="FootnoteReference"/>
        </w:rPr>
        <w:footnoteRef/>
      </w:r>
      <w:r>
        <w:rPr>
          <w:noProof/>
        </w:rPr>
        <w:tab/>
        <w:t>Será necesario actualizar los textos para reflejar el proceso de liberalización que se inició en la enseñanza superior.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D1B" w:rsidRPr="00F86D21" w:rsidRDefault="00704D1B">
    <w:pPr>
      <w:pStyle w:val="Header"/>
    </w:pPr>
    <w:r>
      <w:t>E/C.12/MRT/1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D1B" w:rsidRPr="00F86D21" w:rsidRDefault="00704D1B" w:rsidP="00F86D21">
    <w:pPr>
      <w:pStyle w:val="Header"/>
      <w:jc w:val="right"/>
    </w:pPr>
    <w:r>
      <w:t>E/C.12/MRT/1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0CC7"/>
    <w:rsid w:val="0005220E"/>
    <w:rsid w:val="0006163E"/>
    <w:rsid w:val="00085A52"/>
    <w:rsid w:val="0008650D"/>
    <w:rsid w:val="00087230"/>
    <w:rsid w:val="000949F2"/>
    <w:rsid w:val="000B57E7"/>
    <w:rsid w:val="000F09DF"/>
    <w:rsid w:val="000F60AE"/>
    <w:rsid w:val="000F61B2"/>
    <w:rsid w:val="00106542"/>
    <w:rsid w:val="001075E9"/>
    <w:rsid w:val="001614C7"/>
    <w:rsid w:val="00180183"/>
    <w:rsid w:val="00196389"/>
    <w:rsid w:val="001C7A89"/>
    <w:rsid w:val="001E21D7"/>
    <w:rsid w:val="001E7BB4"/>
    <w:rsid w:val="001F60AC"/>
    <w:rsid w:val="00220D7F"/>
    <w:rsid w:val="00231133"/>
    <w:rsid w:val="0023692B"/>
    <w:rsid w:val="002428EB"/>
    <w:rsid w:val="00245838"/>
    <w:rsid w:val="002A2EFC"/>
    <w:rsid w:val="002D16F0"/>
    <w:rsid w:val="002D2BBC"/>
    <w:rsid w:val="002D42B6"/>
    <w:rsid w:val="002D5AAC"/>
    <w:rsid w:val="002F30FD"/>
    <w:rsid w:val="00301299"/>
    <w:rsid w:val="003121D9"/>
    <w:rsid w:val="00313431"/>
    <w:rsid w:val="00315B1E"/>
    <w:rsid w:val="00322004"/>
    <w:rsid w:val="003338D5"/>
    <w:rsid w:val="003402C2"/>
    <w:rsid w:val="00381C24"/>
    <w:rsid w:val="00384889"/>
    <w:rsid w:val="003958D0"/>
    <w:rsid w:val="003C3B9E"/>
    <w:rsid w:val="003D064D"/>
    <w:rsid w:val="003D66DA"/>
    <w:rsid w:val="003F1FDA"/>
    <w:rsid w:val="0041031F"/>
    <w:rsid w:val="004153AB"/>
    <w:rsid w:val="00420414"/>
    <w:rsid w:val="004207F3"/>
    <w:rsid w:val="0045187D"/>
    <w:rsid w:val="00451FD8"/>
    <w:rsid w:val="00454E07"/>
    <w:rsid w:val="00472D5E"/>
    <w:rsid w:val="004B19F2"/>
    <w:rsid w:val="0050108D"/>
    <w:rsid w:val="005016AF"/>
    <w:rsid w:val="005076AF"/>
    <w:rsid w:val="0052159C"/>
    <w:rsid w:val="00523357"/>
    <w:rsid w:val="005322D8"/>
    <w:rsid w:val="005361CB"/>
    <w:rsid w:val="005425EA"/>
    <w:rsid w:val="00544157"/>
    <w:rsid w:val="00555E78"/>
    <w:rsid w:val="00572E19"/>
    <w:rsid w:val="00575A80"/>
    <w:rsid w:val="005F0B42"/>
    <w:rsid w:val="00637894"/>
    <w:rsid w:val="0064421C"/>
    <w:rsid w:val="00651E5B"/>
    <w:rsid w:val="00656AC0"/>
    <w:rsid w:val="0068666F"/>
    <w:rsid w:val="006B0B85"/>
    <w:rsid w:val="006F0205"/>
    <w:rsid w:val="006F35EE"/>
    <w:rsid w:val="00704D1B"/>
    <w:rsid w:val="00710CF8"/>
    <w:rsid w:val="0071105A"/>
    <w:rsid w:val="00716C6F"/>
    <w:rsid w:val="007464CC"/>
    <w:rsid w:val="00770F28"/>
    <w:rsid w:val="007930B0"/>
    <w:rsid w:val="007A69A5"/>
    <w:rsid w:val="007B20B8"/>
    <w:rsid w:val="007D43BE"/>
    <w:rsid w:val="007D53FA"/>
    <w:rsid w:val="007D6339"/>
    <w:rsid w:val="007D6F39"/>
    <w:rsid w:val="00802199"/>
    <w:rsid w:val="008043F0"/>
    <w:rsid w:val="00830923"/>
    <w:rsid w:val="00834B71"/>
    <w:rsid w:val="0083775A"/>
    <w:rsid w:val="0086445C"/>
    <w:rsid w:val="008A08D7"/>
    <w:rsid w:val="008C7B4E"/>
    <w:rsid w:val="008D14BD"/>
    <w:rsid w:val="00906890"/>
    <w:rsid w:val="00907617"/>
    <w:rsid w:val="0095166A"/>
    <w:rsid w:val="00951972"/>
    <w:rsid w:val="00962949"/>
    <w:rsid w:val="009A0B49"/>
    <w:rsid w:val="009B4410"/>
    <w:rsid w:val="009E78C4"/>
    <w:rsid w:val="00A00CB2"/>
    <w:rsid w:val="00A500CE"/>
    <w:rsid w:val="00A62881"/>
    <w:rsid w:val="00A917B3"/>
    <w:rsid w:val="00AA188E"/>
    <w:rsid w:val="00AA2D26"/>
    <w:rsid w:val="00AA5AA3"/>
    <w:rsid w:val="00AB4B51"/>
    <w:rsid w:val="00AB4EB2"/>
    <w:rsid w:val="00B10CC7"/>
    <w:rsid w:val="00B56B34"/>
    <w:rsid w:val="00B62458"/>
    <w:rsid w:val="00B6350A"/>
    <w:rsid w:val="00BA3D9C"/>
    <w:rsid w:val="00BA3E16"/>
    <w:rsid w:val="00BC161C"/>
    <w:rsid w:val="00BD33EE"/>
    <w:rsid w:val="00BF1009"/>
    <w:rsid w:val="00C03DBF"/>
    <w:rsid w:val="00C45BC5"/>
    <w:rsid w:val="00C60F0C"/>
    <w:rsid w:val="00C805C9"/>
    <w:rsid w:val="00CA1679"/>
    <w:rsid w:val="00CB20BA"/>
    <w:rsid w:val="00CC3B6E"/>
    <w:rsid w:val="00CC4653"/>
    <w:rsid w:val="00CC7CB3"/>
    <w:rsid w:val="00CD15B7"/>
    <w:rsid w:val="00CD6BF2"/>
    <w:rsid w:val="00CE34F5"/>
    <w:rsid w:val="00D21153"/>
    <w:rsid w:val="00D52F35"/>
    <w:rsid w:val="00D57FCC"/>
    <w:rsid w:val="00D63E49"/>
    <w:rsid w:val="00D738F9"/>
    <w:rsid w:val="00D90138"/>
    <w:rsid w:val="00D93676"/>
    <w:rsid w:val="00D97076"/>
    <w:rsid w:val="00DB44A9"/>
    <w:rsid w:val="00E022EA"/>
    <w:rsid w:val="00E73F76"/>
    <w:rsid w:val="00E831D3"/>
    <w:rsid w:val="00EA0D9F"/>
    <w:rsid w:val="00EA35D6"/>
    <w:rsid w:val="00EA70FC"/>
    <w:rsid w:val="00EF1360"/>
    <w:rsid w:val="00EF3220"/>
    <w:rsid w:val="00F13F04"/>
    <w:rsid w:val="00F16097"/>
    <w:rsid w:val="00F33585"/>
    <w:rsid w:val="00F4158E"/>
    <w:rsid w:val="00F71072"/>
    <w:rsid w:val="00F86D21"/>
    <w:rsid w:val="00FA1457"/>
    <w:rsid w:val="00FA1F90"/>
    <w:rsid w:val="00FB6CD8"/>
    <w:rsid w:val="00FC74A2"/>
    <w:rsid w:val="00FD2EF7"/>
    <w:rsid w:val="00FF10B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ity"/>
  <w:shapeDefaults>
    <o:shapedefaults v:ext="edit" spidmax="6146"/>
    <o:shapelayout v:ext="edit">
      <o:idmap v:ext="edit" data="1,3,4,5"/>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57FCC"/>
  </w:style>
  <w:style w:type="character" w:styleId="FootnoteReference">
    <w:name w:val="footnote reference"/>
    <w:aliases w:val="4_G"/>
    <w:rsid w:val="00D57FCC"/>
    <w:rPr>
      <w:rFonts w:ascii="Times New Roman" w:hAnsi="Times New Roman"/>
      <w:sz w:val="18"/>
      <w:vertAlign w:val="superscript"/>
    </w:rPr>
  </w:style>
  <w:style w:type="paragraph" w:customStyle="1" w:styleId="HMG">
    <w:name w:val="_ H __M_G"/>
    <w:basedOn w:val="Normal"/>
    <w:next w:val="Normal"/>
    <w:rsid w:val="00D57FCC"/>
    <w:pPr>
      <w:keepNext/>
      <w:keepLines/>
      <w:tabs>
        <w:tab w:val="right" w:pos="851"/>
      </w:tabs>
      <w:suppressAutoHyphens/>
      <w:spacing w:before="240" w:after="240" w:line="360" w:lineRule="exact"/>
      <w:ind w:left="1134" w:right="1134" w:hanging="1134"/>
    </w:pPr>
    <w:rPr>
      <w:b/>
      <w:sz w:val="34"/>
      <w:lang w:val="en-GB" w:eastAsia="en-US"/>
    </w:rPr>
  </w:style>
  <w:style w:type="paragraph" w:customStyle="1" w:styleId="HChG">
    <w:name w:val="_ H _Ch_G"/>
    <w:basedOn w:val="Normal"/>
    <w:next w:val="Normal"/>
    <w:rsid w:val="00D57FCC"/>
    <w:pPr>
      <w:keepNext/>
      <w:keepLines/>
      <w:tabs>
        <w:tab w:val="right" w:pos="851"/>
      </w:tabs>
      <w:suppressAutoHyphens/>
      <w:spacing w:before="360" w:after="240" w:line="300" w:lineRule="exact"/>
      <w:ind w:left="1134" w:right="1134" w:hanging="1134"/>
    </w:pPr>
    <w:rPr>
      <w:b/>
      <w:sz w:val="28"/>
      <w:lang w:val="en-GB" w:eastAsia="en-US"/>
    </w:rPr>
  </w:style>
  <w:style w:type="character" w:customStyle="1" w:styleId="SingleTxtGChar">
    <w:name w:val="_ Single Txt_G Char"/>
    <w:link w:val="SingleTxtG"/>
    <w:rsid w:val="00231133"/>
    <w:rPr>
      <w:lang w:val="en-GB" w:eastAsia="en-US" w:bidi="ar-SA"/>
    </w:rPr>
  </w:style>
  <w:style w:type="character" w:customStyle="1" w:styleId="FootnoteTextChar">
    <w:name w:val="Footnote Text Char"/>
    <w:aliases w:val="5_G Char"/>
    <w:link w:val="FootnoteText"/>
    <w:rsid w:val="005425EA"/>
    <w:rPr>
      <w:sz w:val="18"/>
      <w:lang w:val="es-ES" w:eastAsia="es-ES" w:bidi="ar-SA"/>
    </w:rPr>
  </w:style>
  <w:style w:type="paragraph" w:customStyle="1" w:styleId="H1G">
    <w:name w:val="_ H_1_G"/>
    <w:basedOn w:val="Normal"/>
    <w:next w:val="Normal"/>
    <w:rsid w:val="00D57FCC"/>
    <w:pPr>
      <w:keepNext/>
      <w:keepLines/>
      <w:tabs>
        <w:tab w:val="right" w:pos="851"/>
      </w:tabs>
      <w:suppressAutoHyphens/>
      <w:spacing w:before="360" w:after="240" w:line="270" w:lineRule="exact"/>
      <w:ind w:left="1134" w:right="1134" w:hanging="1134"/>
    </w:pPr>
    <w:rPr>
      <w:b/>
      <w:sz w:val="24"/>
      <w:lang w:val="en-GB" w:eastAsia="en-US"/>
    </w:rPr>
  </w:style>
  <w:style w:type="paragraph" w:customStyle="1" w:styleId="H23G">
    <w:name w:val="_ H_2/3_G"/>
    <w:basedOn w:val="Normal"/>
    <w:next w:val="Normal"/>
    <w:rsid w:val="00D57FCC"/>
    <w:pPr>
      <w:keepNext/>
      <w:keepLines/>
      <w:tabs>
        <w:tab w:val="right" w:pos="851"/>
      </w:tabs>
      <w:suppressAutoHyphens/>
      <w:spacing w:before="240" w:after="120" w:line="240" w:lineRule="exact"/>
      <w:ind w:left="1134" w:right="1134" w:hanging="1134"/>
    </w:pPr>
    <w:rPr>
      <w:b/>
      <w:lang w:val="en-GB" w:eastAsia="en-US"/>
    </w:rPr>
  </w:style>
  <w:style w:type="paragraph" w:customStyle="1" w:styleId="H4G">
    <w:name w:val="_ H_4_G"/>
    <w:basedOn w:val="Normal"/>
    <w:next w:val="Normal"/>
    <w:rsid w:val="00D57FCC"/>
    <w:pPr>
      <w:keepNext/>
      <w:keepLines/>
      <w:tabs>
        <w:tab w:val="right" w:pos="851"/>
      </w:tabs>
      <w:suppressAutoHyphens/>
      <w:spacing w:before="240" w:after="120" w:line="240" w:lineRule="exact"/>
      <w:ind w:left="1134" w:right="1134" w:hanging="1134"/>
    </w:pPr>
    <w:rPr>
      <w:i/>
      <w:lang w:val="en-GB" w:eastAsia="en-US"/>
    </w:rPr>
  </w:style>
  <w:style w:type="paragraph" w:customStyle="1" w:styleId="H56G">
    <w:name w:val="_ H_5/6_G"/>
    <w:basedOn w:val="Normal"/>
    <w:next w:val="Normal"/>
    <w:rsid w:val="00D57FCC"/>
    <w:pPr>
      <w:keepNext/>
      <w:keepLines/>
      <w:tabs>
        <w:tab w:val="right" w:pos="851"/>
      </w:tabs>
      <w:suppressAutoHyphens/>
      <w:spacing w:before="240" w:after="120" w:line="240" w:lineRule="exact"/>
      <w:ind w:left="1134" w:right="1134" w:hanging="1134"/>
    </w:pPr>
    <w:rPr>
      <w:lang w:val="en-GB" w:eastAsia="en-US"/>
    </w:rPr>
  </w:style>
  <w:style w:type="paragraph" w:styleId="Header">
    <w:name w:val="header"/>
    <w:aliases w:val="6_G"/>
    <w:basedOn w:val="Normal"/>
    <w:rsid w:val="00D57FCC"/>
    <w:pPr>
      <w:pBdr>
        <w:bottom w:val="single" w:sz="4" w:space="4" w:color="auto"/>
      </w:pBdr>
      <w:suppressAutoHyphens/>
      <w:spacing w:line="240" w:lineRule="auto"/>
    </w:pPr>
    <w:rPr>
      <w:b/>
      <w:sz w:val="18"/>
      <w:lang w:val="en-GB" w:eastAsia="en-US"/>
    </w:rPr>
  </w:style>
  <w:style w:type="paragraph" w:customStyle="1" w:styleId="SingleTxtG">
    <w:name w:val="_ Single Txt_G"/>
    <w:basedOn w:val="Normal"/>
    <w:link w:val="SingleTxtGChar"/>
    <w:rsid w:val="00D57FCC"/>
    <w:pPr>
      <w:suppressAutoHyphens/>
      <w:spacing w:after="120"/>
      <w:ind w:left="1134" w:right="1134"/>
      <w:jc w:val="both"/>
    </w:pPr>
    <w:rPr>
      <w:lang w:val="en-GB" w:eastAsia="en-US"/>
    </w:rPr>
  </w:style>
  <w:style w:type="paragraph" w:customStyle="1" w:styleId="SMG">
    <w:name w:val="__S_M_G"/>
    <w:basedOn w:val="Normal"/>
    <w:next w:val="Normal"/>
    <w:rsid w:val="00D57FCC"/>
    <w:pPr>
      <w:keepNext/>
      <w:keepLines/>
      <w:suppressAutoHyphens/>
      <w:spacing w:before="240" w:after="240" w:line="420" w:lineRule="exact"/>
      <w:ind w:left="1134" w:right="1134"/>
    </w:pPr>
    <w:rPr>
      <w:b/>
      <w:sz w:val="40"/>
      <w:lang w:val="en-GB" w:eastAsia="en-US"/>
    </w:rPr>
  </w:style>
  <w:style w:type="paragraph" w:customStyle="1" w:styleId="SLG">
    <w:name w:val="__S_L_G"/>
    <w:basedOn w:val="Normal"/>
    <w:next w:val="Normal"/>
    <w:rsid w:val="00D57FCC"/>
    <w:pPr>
      <w:keepNext/>
      <w:keepLines/>
      <w:suppressAutoHyphens/>
      <w:spacing w:before="240" w:after="240" w:line="580" w:lineRule="exact"/>
      <w:ind w:left="1134" w:right="1134"/>
    </w:pPr>
    <w:rPr>
      <w:b/>
      <w:sz w:val="56"/>
      <w:lang w:val="en-GB" w:eastAsia="en-US"/>
    </w:rPr>
  </w:style>
  <w:style w:type="paragraph" w:customStyle="1" w:styleId="SSG">
    <w:name w:val="__S_S_G"/>
    <w:basedOn w:val="Normal"/>
    <w:next w:val="Normal"/>
    <w:rsid w:val="00D57FCC"/>
    <w:pPr>
      <w:keepNext/>
      <w:keepLines/>
      <w:suppressAutoHyphens/>
      <w:spacing w:before="240" w:after="240" w:line="300" w:lineRule="exact"/>
      <w:ind w:left="1134" w:right="1134"/>
    </w:pPr>
    <w:rPr>
      <w:b/>
      <w:sz w:val="28"/>
      <w:lang w:val="en-GB" w:eastAsia="en-US"/>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D57FCC"/>
    <w:pPr>
      <w:keepNext/>
      <w:keepLines/>
      <w:suppressAutoHyphens/>
      <w:spacing w:before="240" w:after="240" w:line="420" w:lineRule="exact"/>
      <w:ind w:left="1134" w:right="1134"/>
    </w:pPr>
    <w:rPr>
      <w:b/>
      <w:sz w:val="40"/>
      <w:lang w:val="en-GB" w:eastAsia="en-US"/>
    </w:rPr>
  </w:style>
  <w:style w:type="paragraph" w:styleId="FootnoteText">
    <w:name w:val="footnote text"/>
    <w:aliases w:val="5_G"/>
    <w:basedOn w:val="Normal"/>
    <w:link w:val="FootnoteTextChar"/>
    <w:rsid w:val="00313431"/>
    <w:pPr>
      <w:tabs>
        <w:tab w:val="right" w:pos="1021"/>
      </w:tabs>
      <w:spacing w:line="220" w:lineRule="exact"/>
      <w:ind w:left="1134" w:right="1134" w:hanging="1134"/>
    </w:pPr>
    <w:rPr>
      <w:sz w:val="18"/>
    </w:rPr>
  </w:style>
  <w:style w:type="table" w:styleId="TableGrid">
    <w:name w:val="Table Grid"/>
    <w:basedOn w:val="TableNormal"/>
    <w:semiHidden/>
    <w:rsid w:val="00D57FC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313431"/>
    <w:pPr>
      <w:numPr>
        <w:numId w:val="1"/>
      </w:numPr>
    </w:pPr>
  </w:style>
  <w:style w:type="numbering" w:styleId="1ai">
    <w:name w:val="Outline List 1"/>
    <w:basedOn w:val="NoList"/>
    <w:semiHidden/>
    <w:rsid w:val="00313431"/>
    <w:pPr>
      <w:numPr>
        <w:numId w:val="2"/>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3"/>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D57FCC"/>
    <w:rPr>
      <w:color w:val="auto"/>
      <w:u w:val="none"/>
    </w:rPr>
  </w:style>
  <w:style w:type="character" w:styleId="FollowedHyperlink">
    <w:name w:val="FollowedHyperlink"/>
    <w:semiHidden/>
    <w:rsid w:val="00D57FCC"/>
    <w:rPr>
      <w:color w:val="auto"/>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4"/>
      </w:numPr>
    </w:pPr>
  </w:style>
  <w:style w:type="paragraph" w:styleId="ListNumber2">
    <w:name w:val="List Number 2"/>
    <w:basedOn w:val="Normal"/>
    <w:semiHidden/>
    <w:rsid w:val="00313431"/>
    <w:pPr>
      <w:numPr>
        <w:numId w:val="5"/>
      </w:numPr>
    </w:pPr>
  </w:style>
  <w:style w:type="paragraph" w:styleId="ListNumber3">
    <w:name w:val="List Number 3"/>
    <w:basedOn w:val="Normal"/>
    <w:semiHidden/>
    <w:rsid w:val="00313431"/>
    <w:pPr>
      <w:numPr>
        <w:numId w:val="6"/>
      </w:numPr>
    </w:pPr>
  </w:style>
  <w:style w:type="paragraph" w:styleId="ListNumber4">
    <w:name w:val="List Number 4"/>
    <w:basedOn w:val="Normal"/>
    <w:semiHidden/>
    <w:rsid w:val="00313431"/>
    <w:pPr>
      <w:numPr>
        <w:numId w:val="7"/>
      </w:numPr>
    </w:pPr>
  </w:style>
  <w:style w:type="paragraph" w:styleId="ListNumber5">
    <w:name w:val="List Number 5"/>
    <w:basedOn w:val="Normal"/>
    <w:semiHidden/>
    <w:rsid w:val="00313431"/>
    <w:pPr>
      <w:numPr>
        <w:numId w:val="8"/>
      </w:numPr>
    </w:pPr>
  </w:style>
  <w:style w:type="paragraph" w:styleId="ListBullet">
    <w:name w:val="List Bullet"/>
    <w:basedOn w:val="Normal"/>
    <w:semiHidden/>
    <w:rsid w:val="00313431"/>
    <w:pPr>
      <w:numPr>
        <w:numId w:val="9"/>
      </w:numPr>
    </w:pPr>
  </w:style>
  <w:style w:type="paragraph" w:styleId="ListBullet2">
    <w:name w:val="List Bullet 2"/>
    <w:basedOn w:val="Normal"/>
    <w:semiHidden/>
    <w:rsid w:val="00313431"/>
    <w:pPr>
      <w:numPr>
        <w:numId w:val="10"/>
      </w:numPr>
    </w:pPr>
  </w:style>
  <w:style w:type="paragraph" w:styleId="ListBullet3">
    <w:name w:val="List Bullet 3"/>
    <w:basedOn w:val="Normal"/>
    <w:semiHidden/>
    <w:rsid w:val="00313431"/>
    <w:pPr>
      <w:numPr>
        <w:numId w:val="11"/>
      </w:numPr>
    </w:pPr>
  </w:style>
  <w:style w:type="paragraph" w:styleId="ListBullet4">
    <w:name w:val="List Bullet 4"/>
    <w:basedOn w:val="Normal"/>
    <w:semiHidden/>
    <w:rsid w:val="00313431"/>
    <w:pPr>
      <w:numPr>
        <w:numId w:val="12"/>
      </w:numPr>
    </w:pPr>
  </w:style>
  <w:style w:type="paragraph" w:styleId="ListBullet5">
    <w:name w:val="List Bullet 5"/>
    <w:basedOn w:val="Normal"/>
    <w:semiHidden/>
    <w:rsid w:val="00313431"/>
    <w:pPr>
      <w:numPr>
        <w:numId w:val="13"/>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D57FCC"/>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D57FCC"/>
    <w:pPr>
      <w:numPr>
        <w:numId w:val="14"/>
      </w:numPr>
      <w:suppressAutoHyphens/>
      <w:spacing w:after="120"/>
      <w:ind w:right="1134"/>
      <w:jc w:val="both"/>
    </w:pPr>
    <w:rPr>
      <w:lang w:val="en-GB" w:eastAsia="en-US"/>
    </w:rPr>
  </w:style>
  <w:style w:type="paragraph" w:customStyle="1" w:styleId="Bullet2G">
    <w:name w:val="_Bullet 2_G"/>
    <w:basedOn w:val="Normal"/>
    <w:rsid w:val="00D57FCC"/>
    <w:pPr>
      <w:numPr>
        <w:numId w:val="15"/>
      </w:numPr>
      <w:suppressAutoHyphens/>
      <w:spacing w:after="120"/>
      <w:ind w:right="1134"/>
      <w:jc w:val="both"/>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E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Template>
  <TotalTime>9</TotalTime>
  <Pages>1</Pages>
  <Words>46821</Words>
  <Characters>266881</Characters>
  <Application>Microsoft Office Word</Application>
  <DocSecurity>4</DocSecurity>
  <Lines>2224</Lines>
  <Paragraphs>626</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313076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TimurLeng</dc:creator>
  <cp:keywords/>
  <dc:description/>
  <cp:lastModifiedBy>CSD</cp:lastModifiedBy>
  <cp:revision>4</cp:revision>
  <cp:lastPrinted>2011-11-29T12:17:00Z</cp:lastPrinted>
  <dcterms:created xsi:type="dcterms:W3CDTF">2011-11-30T08:42:00Z</dcterms:created>
  <dcterms:modified xsi:type="dcterms:W3CDTF">2011-11-30T08:49:00Z</dcterms:modified>
</cp:coreProperties>
</file>