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90"/>
        </w:tabs>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1737ª sesión</w:t>
      </w:r>
    </w:p>
    <w:p w:rsidR="00000000" w:rsidRDefault="00000000">
      <w:r>
        <w:t>Celebrada en la Sede, Nueva York, el viernes 26 de marzo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 xml:space="preserve">Sra. Medina Quiroga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40 del Pacto (</w:t>
      </w:r>
      <w:r>
        <w:rPr>
          <w:i/>
        </w:rPr>
        <w:t>continuación</w:t>
      </w:r>
      <w:r>
        <w:t>)</w:t>
      </w:r>
    </w:p>
    <w:p w:rsidR="00000000" w:rsidRDefault="00000000">
      <w:pPr>
        <w:pStyle w:val="SingleTxt"/>
        <w:rPr>
          <w:i/>
        </w:rPr>
      </w:pPr>
      <w:r>
        <w:rPr>
          <w:i/>
        </w:rPr>
        <w:t>Cuarto informe periódico del Canadá</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Examen de los informes presentados por los </w:t>
      </w:r>
      <w:r>
        <w:br/>
        <w:t xml:space="preserve">Estados Partes de conformidad con el artículo 40 </w:t>
      </w:r>
      <w:r>
        <w:br/>
        <w:t xml:space="preserve">del Pacto </w:t>
      </w:r>
      <w:r>
        <w:rPr>
          <w:b w:val="0"/>
          <w:i/>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Cuarto informe periódico del Canadá</w:t>
      </w: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 </w:t>
      </w:r>
      <w:r>
        <w:rPr>
          <w:i w:val="0"/>
        </w:rPr>
        <w:t>(CCPR/C/103/Add.5)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Por invitación de la Presidenta, la Sra. Beckton, el Sr. Deslauriers, la Sra. Fry, el Sr. Hynes, el Sr. Th</w:t>
      </w:r>
      <w:r>
        <w:t>é</w:t>
      </w:r>
      <w:r>
        <w:t>rien, el Sr. Tsai y el Sr. Watts (Canadá), toman asiento como participantes a la mesa del Comité.</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Fry</w:t>
      </w:r>
      <w:r>
        <w:t xml:space="preserve"> (Canadá) dice que el Canadá es una sociedad diversa que tiene dos idiomas oficiales, 100 grupos étnicos y una importante población indígena. Es una federación con diez provincias y dos territorios, y tiene una división constitucional de poderes. Cada j</w:t>
      </w:r>
      <w:r>
        <w:t>u</w:t>
      </w:r>
      <w:r>
        <w:t>risdicción tiene una carta de derechos humanos o cód</w:t>
      </w:r>
      <w:r>
        <w:t>i</w:t>
      </w:r>
      <w:r>
        <w:t>go que se aplican al sector privado y público, y en los que se estipulan recursos efectivos y obligatorios para las víctimas de la discriminación, en tanto los acuerdos federales y provinciales forman la base de un marco socioeconómico común diseñado para satisfacer las n</w:t>
      </w:r>
      <w:r>
        <w:t>e</w:t>
      </w:r>
      <w:r>
        <w:t>cesidades de una sociedad en rápida evolución. No obstante, habida cuenta de que la legislación no gara</w:t>
      </w:r>
      <w:r>
        <w:t>n</w:t>
      </w:r>
      <w:r>
        <w:t>tiza el goce de facto de los derechos civiles y políticos, debe verse acompañada de una infraestructura de pol</w:t>
      </w:r>
      <w:r>
        <w:t>í</w:t>
      </w:r>
      <w:r>
        <w:t>ticas y programas públicos y asociaciones con la soci</w:t>
      </w:r>
      <w:r>
        <w:t>e</w:t>
      </w:r>
      <w:r>
        <w:t>dad civil, las organizaciones no gubernamentales, el sector privado y las instituciones que la respalde. Por ejemplo, las medidas gubernamentales para luchar contra los delitos motivados por el odio, incluido el establecimiento de una Fundación Canadiense de Rel</w:t>
      </w:r>
      <w:r>
        <w:t>a</w:t>
      </w:r>
      <w:r>
        <w:t>ciones Raciales, la convocatoria de una mesa redonda nacional para elaborar una estrategia amplia sobre esa cuestión, el mejoramiento del entrenamiento de la pol</w:t>
      </w:r>
      <w:r>
        <w:t>i</w:t>
      </w:r>
      <w:r>
        <w:t>cía, las campañas educativas, el apoyo a las medidas comunitarias y el fortalecimiento de la legislación en consulta con las provincias y los territorios. La rápida difusión de la propaganda del odio en la Internet es un problema que exige soluciones internas e internaci</w:t>
      </w:r>
      <w:r>
        <w:t>o</w:t>
      </w:r>
      <w:r>
        <w:t>nales creativas.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spacing w:val="2"/>
        </w:rPr>
        <w:t>Recientemente, el Gobierno aprobó una estrategia nacional sobre la seguridad de la comunidad y la pr</w:t>
      </w:r>
      <w:r>
        <w:rPr>
          <w:spacing w:val="2"/>
        </w:rPr>
        <w:t>e</w:t>
      </w:r>
      <w:r>
        <w:rPr>
          <w:spacing w:val="2"/>
        </w:rPr>
        <w:t>vención del delito basada en el principio de que los d</w:t>
      </w:r>
      <w:r>
        <w:rPr>
          <w:spacing w:val="2"/>
        </w:rPr>
        <w:t>e</w:t>
      </w:r>
      <w:r>
        <w:rPr>
          <w:spacing w:val="2"/>
        </w:rPr>
        <w:t>litos se pueden prevenir si se abordan sus causas fund</w:t>
      </w:r>
      <w:r>
        <w:rPr>
          <w:spacing w:val="2"/>
        </w:rPr>
        <w:t>a</w:t>
      </w:r>
      <w:r>
        <w:rPr>
          <w:spacing w:val="2"/>
        </w:rPr>
        <w:t>mentales. Mediante la estrategia se financiaron asoci</w:t>
      </w:r>
      <w:r>
        <w:rPr>
          <w:spacing w:val="2"/>
        </w:rPr>
        <w:t>a</w:t>
      </w:r>
      <w:r>
        <w:rPr>
          <w:spacing w:val="2"/>
        </w:rPr>
        <w:t>ciones encaminadas a encontrar soluciones en el plano local y se incluyeron las cuestiones de la seguridad de la mujer, de los indígenas y los jóvenes entre sus priorid</w:t>
      </w:r>
      <w:r>
        <w:rPr>
          <w:spacing w:val="2"/>
        </w:rPr>
        <w:t>a</w:t>
      </w:r>
      <w:r>
        <w:rPr>
          <w:spacing w:val="2"/>
        </w:rPr>
        <w:t>des. Se abordó la cuestión de la violencia contra la mujer y se intensificaron las condenas por acecho, se fortaleció el control de armas, la penalización de la mutilación g</w:t>
      </w:r>
      <w:r>
        <w:rPr>
          <w:spacing w:val="2"/>
        </w:rPr>
        <w:t>e</w:t>
      </w:r>
      <w:r>
        <w:rPr>
          <w:spacing w:val="2"/>
        </w:rPr>
        <w:t>nital femenina, se limitó la utilización de las historias clínicas como evidencia contra los demandantes en los casos de agresión sexual y se excluyó la ebriedad como defensa en esos casos. El Gobierno ha puesto en marcha una iniciativa renovada sobre la violencia en la familia y se están elaborando programas de características esp</w:t>
      </w:r>
      <w:r>
        <w:rPr>
          <w:spacing w:val="2"/>
        </w:rPr>
        <w:t>e</w:t>
      </w:r>
      <w:r>
        <w:rPr>
          <w:spacing w:val="2"/>
        </w:rPr>
        <w:t>ciales para las comunidades culturales y étnicas donde podría ser difícil abo</w:t>
      </w:r>
      <w:r>
        <w:rPr>
          <w:spacing w:val="2"/>
        </w:rPr>
        <w:t>r</w:t>
      </w:r>
      <w:r>
        <w:rPr>
          <w:spacing w:val="2"/>
        </w:rPr>
        <w:t>dar la cuestión de la violencia</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Derecho a la libre determinación y derecho de las personas a pertenecer a minorías (artículos 1 y 27 del Pacto)</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Presidenta</w:t>
      </w:r>
      <w:r>
        <w:t xml:space="preserve"> lee las preguntas relacionadas con los artículos 1 y 27 del Pacto: aplicación del derecho a la libre determinación con respecto a los pueblos ind</w:t>
      </w:r>
      <w:r>
        <w:t>í</w:t>
      </w:r>
      <w:r>
        <w:t>genas; el resultado de las apelaciones al Tribunal S</w:t>
      </w:r>
      <w:r>
        <w:t>u</w:t>
      </w:r>
      <w:r>
        <w:t>premo sobre la interpretación de la sección 35 de la Ley constitucional; la negociación a nivel federal de un marco de política para la aplicación del derecho al g</w:t>
      </w:r>
      <w:r>
        <w:t>o</w:t>
      </w:r>
      <w:r>
        <w:t>bierno autónomo, incluidos tratados con rango const</w:t>
      </w:r>
      <w:r>
        <w:t>i</w:t>
      </w:r>
      <w:r>
        <w:t>tucional; la labor de la Comisión sobre reivindicaci</w:t>
      </w:r>
      <w:r>
        <w:t>o</w:t>
      </w:r>
      <w:r>
        <w:t>nes particulares de los indios; los litigios presentados a la Comisión, incluido el caso del grupo del Lago Lub</w:t>
      </w:r>
      <w:r>
        <w:t>i</w:t>
      </w:r>
      <w:r>
        <w:t>con; la aplicación de las recomendaciones que figuran en el informe final de la Real Comisión sobre los pu</w:t>
      </w:r>
      <w:r>
        <w:t>e</w:t>
      </w:r>
      <w:r>
        <w:t>blos indígenas; y las recomendaciones y los cambios de políticas en el sistema de justicia, resultado de la i</w:t>
      </w:r>
      <w:r>
        <w:t>n</w:t>
      </w:r>
      <w:r>
        <w:t>vestigación sobre la administración de justicia en los medios autóctonos.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rPr>
          <w:spacing w:val="2"/>
        </w:rPr>
      </w:pPr>
      <w:r>
        <w:rPr>
          <w:b/>
          <w:spacing w:val="2"/>
        </w:rPr>
        <w:t>La Sra. Fry</w:t>
      </w:r>
      <w:r>
        <w:rPr>
          <w:spacing w:val="2"/>
        </w:rPr>
        <w:t xml:space="preserve"> (Canadá) dice que el Gobierno ha afirmado que la libre determinación se aplica por igual a todas las colectividades, indígenas y no indígenas, co</w:t>
      </w:r>
      <w:r>
        <w:rPr>
          <w:spacing w:val="2"/>
        </w:rPr>
        <w:t>n</w:t>
      </w:r>
      <w:r>
        <w:rPr>
          <w:spacing w:val="2"/>
        </w:rPr>
        <w:t>siderados pueblos con arreglo al derecho internacional. En el caso de los pueblos indígenas que viven en los Estados democráticos existentes, el Gobierno reconoce el derecho a la libre determinación sobre la base del re</w:t>
      </w:r>
      <w:r>
        <w:rPr>
          <w:spacing w:val="2"/>
        </w:rPr>
        <w:t>s</w:t>
      </w:r>
      <w:r>
        <w:rPr>
          <w:spacing w:val="2"/>
        </w:rPr>
        <w:t>peto a la integridad política, constitucional y territorial de los Estados de que se trate. La política del Gobierno en esa esfera se basa en el supuesto de que los pueblos indígenas tienen derecho a gobernarse y decidir acerca de las cuestiones que afectan a sus comunidades. Esa política se podría aplicar mediante mecanismos de g</w:t>
      </w:r>
      <w:r>
        <w:rPr>
          <w:spacing w:val="2"/>
        </w:rPr>
        <w:t>o</w:t>
      </w:r>
      <w:r>
        <w:rPr>
          <w:spacing w:val="2"/>
        </w:rPr>
        <w:t>bierno autónomo para las comunidades autóctonas o mediante mecanismos de administración pública, como se hizo con el nuevo territorio de Nunavut, que tendrá un Gobierno abierto y representativo donde todos los res</w:t>
      </w:r>
      <w:r>
        <w:rPr>
          <w:spacing w:val="2"/>
        </w:rPr>
        <w:t>i</w:t>
      </w:r>
      <w:r>
        <w:rPr>
          <w:spacing w:val="2"/>
        </w:rPr>
        <w:t>dentes pueden votar y postularse como candidatos a las elecciones y donde el idioma inuit, inuktitut, será un idioma de trabajo del Gobie</w:t>
      </w:r>
      <w:r>
        <w:rPr>
          <w:spacing w:val="2"/>
        </w:rPr>
        <w:t>r</w:t>
      </w:r>
      <w:r>
        <w:rPr>
          <w:spacing w:val="2"/>
        </w:rPr>
        <w:t>no.</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La Real Comisión sobre los pueblos indígenas presentó su informe final en noviembre de 1996. La respuesta del Gobierno, Aunando Esfuerzos: Plan de Acción para los pueblos autóctonos del Canadá, c</w:t>
      </w:r>
      <w:r>
        <w:t>o</w:t>
      </w:r>
      <w:r>
        <w:t>menzó con una declaración de reconciliación en la que se reconocieron los errores y las injusticias del pasado, se expresó una visión de un futuro compartido para los pueblos autóctonos y no autóctonos y se estableció un marco para la adopción de medidas concertadas.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El Sr. Watts</w:t>
      </w:r>
      <w:r>
        <w:t xml:space="preserve"> (Canadá) dice que el Gobierno ya no delega autoridad legislativa a los grupos autóctonos. Se considera que las provincias y los territorios son partes necesarias en las negociaciones, y que es posible proteger los mecanismos de gobierno autónomo en virtud de la Constitución. Esos mecanismos se basan en una serie de principios, a saber: el derecho inherente a la libre determinación es uno de los derechos de los indígenas reconocidos en la Constitución; el gobierno autónomo se debe ejercer en el marco de la Constit</w:t>
      </w:r>
      <w:r>
        <w:t>u</w:t>
      </w:r>
      <w:r>
        <w:t>ción canadiense en vigor; el reconocimiento del g</w:t>
      </w:r>
      <w:r>
        <w:t>o</w:t>
      </w:r>
      <w:r>
        <w:t>bierno autónomo no implica soberanía en el sentido internacional y los indios mantienen su condición de ciudadanos del Canadá y de la provincia o territorio que habitan; la Carta de Derechos y Libertades del C</w:t>
      </w:r>
      <w:r>
        <w:t>a</w:t>
      </w:r>
      <w:r>
        <w:t>nadá se sigue aplicando; las leyes federales, provinci</w:t>
      </w:r>
      <w:r>
        <w:t>a</w:t>
      </w:r>
      <w:r>
        <w:t>les, territoriales y autóctonas deben guardar relación; algunas leyes federales, como el Código Penal, tienen precedencia sobre las disposiciones relacionadas con el gobierno autónomo; los intereses de todos los can</w:t>
      </w:r>
      <w:r>
        <w:t>a</w:t>
      </w:r>
      <w:r>
        <w:t>dienses se tomarán en cuenta al negociar esos mec</w:t>
      </w:r>
      <w:r>
        <w:t>a</w:t>
      </w:r>
      <w:r>
        <w:t>nismos; y el Gobierno está dispuesto a concertar acue</w:t>
      </w:r>
      <w:r>
        <w:t>r</w:t>
      </w:r>
      <w:r>
        <w:t>dos que respondan a las necesidades de cada grupo i</w:t>
      </w:r>
      <w:r>
        <w:t>n</w:t>
      </w:r>
      <w:r>
        <w:t>dígena. La jurisdicción indígena abarca las cuestiones relacionadas con la cultura, el Gobierno y las instit</w:t>
      </w:r>
      <w:r>
        <w:t>u</w:t>
      </w:r>
      <w:r>
        <w:t>ciones características de cada grupo. En las esferas que no son estrictamente internas, el Gobierno federal o provincial sigue siendo la principal autoridad legislat</w:t>
      </w:r>
      <w:r>
        <w:t>i</w:t>
      </w:r>
      <w:r>
        <w:t>va, y sus leyes prevalecen en caso de conflicto con la ley indígena. Entre esas esferas se incluye el divorcio, la administración de justicia, la protección del medio ambiente, la gestión de las pesquerías, la defensa y las relaciones exteriores. Las disposiciones relacionadas con el gobierno autónomo podrían entrar en vigor m</w:t>
      </w:r>
      <w:r>
        <w:t>e</w:t>
      </w:r>
      <w:r>
        <w:t>diante diversos mecanismos, incluidos nuevos tratados, adiciones a los tratados existentes y acuerdos de recl</w:t>
      </w:r>
      <w:r>
        <w:t>a</w:t>
      </w:r>
      <w:r>
        <w:t>mación de tierras.</w:t>
      </w:r>
    </w:p>
    <w:p w:rsidR="00000000" w:rsidRDefault="00000000">
      <w:pPr>
        <w:pStyle w:val="DualTxt"/>
        <w:numPr>
          <w:ilvl w:val="0"/>
          <w:numId w:val="1"/>
        </w:numPr>
        <w:tabs>
          <w:tab w:val="clear" w:pos="960"/>
          <w:tab w:val="left" w:pos="965"/>
        </w:tabs>
      </w:pPr>
      <w:r>
        <w:t>La Comisión sobre reivindicaciones particulares de los indios desempeña dos funciones principales, a saber: realiza investigaciones y actúa como mediador. El Ministerio de Asuntos Indígenas se ocupa de adoptar medidas sobre la base del informe de la Comisión. La dependencia de reivindicaciones particulares del M</w:t>
      </w:r>
      <w:r>
        <w:t>i</w:t>
      </w:r>
      <w:r>
        <w:t>nisterio de Asuntos Indígenas es la única dependencia del Gobierno que está bajo el constante escrutinio de una comisión de investigación. La Comisión, a pedido de una Primera Nación, investiga las reivindicaciones que según el Gobierno no revelan ninguna obligación jurídica pendiente. También realiza investigaciones p</w:t>
      </w:r>
      <w:r>
        <w:t>ú</w:t>
      </w:r>
      <w:r>
        <w:t>blicas de los criterios de indemnización que se aplic</w:t>
      </w:r>
      <w:r>
        <w:t>a</w:t>
      </w:r>
      <w:r>
        <w:t>rán en caso de que las partes no lleguen a un acuerdo. Presta servicios de mediación y de solución de contr</w:t>
      </w:r>
      <w:r>
        <w:t>o</w:t>
      </w:r>
      <w:r>
        <w:t>versias y puede desempeñarse como tercera parte en las negociaci</w:t>
      </w:r>
      <w:r>
        <w:t>o</w:t>
      </w:r>
      <w:r>
        <w:t>nes.</w:t>
      </w:r>
    </w:p>
    <w:p w:rsidR="00000000" w:rsidRDefault="00000000">
      <w:pPr>
        <w:pStyle w:val="DualTxt"/>
        <w:numPr>
          <w:ilvl w:val="0"/>
          <w:numId w:val="1"/>
        </w:numPr>
        <w:tabs>
          <w:tab w:val="clear" w:pos="960"/>
          <w:tab w:val="left" w:pos="965"/>
        </w:tabs>
        <w:rPr>
          <w:w w:val="100"/>
        </w:rPr>
      </w:pPr>
      <w:r>
        <w:rPr>
          <w:w w:val="100"/>
        </w:rPr>
        <w:t>La Comisión no ha participado en el arreglo del caso del grupo indio del Lago Lubicon. El grupo indio señaló que su prioridad actual era seguir adelante trata</w:t>
      </w:r>
      <w:r>
        <w:rPr>
          <w:w w:val="100"/>
        </w:rPr>
        <w:t>n</w:t>
      </w:r>
      <w:r>
        <w:rPr>
          <w:w w:val="100"/>
        </w:rPr>
        <w:t>do de llegar a un acuerdo. El Gobierno se comprometió a entablar negociaciones sobre un acuerdo de gobierno autónomo en una fecha que se habría de co</w:t>
      </w:r>
      <w:r>
        <w:rPr>
          <w:w w:val="100"/>
        </w:rPr>
        <w:t>n</w:t>
      </w:r>
      <w:r>
        <w:rPr>
          <w:w w:val="100"/>
        </w:rPr>
        <w:t>venir.</w:t>
      </w:r>
    </w:p>
    <w:p w:rsidR="00000000" w:rsidRDefault="00000000">
      <w:pPr>
        <w:pStyle w:val="DualTxt"/>
        <w:numPr>
          <w:ilvl w:val="0"/>
          <w:numId w:val="1"/>
        </w:numPr>
        <w:tabs>
          <w:tab w:val="clear" w:pos="960"/>
          <w:tab w:val="left" w:pos="965"/>
        </w:tabs>
      </w:pPr>
      <w:r>
        <w:t>Aunando Esfuerzos, la respuesta del Gobierno a las recomendaciones que figuran en el informe final de la Real Comisión sobre los pueblos indígenas, es un enfoque a largo plazo que producirá beneficios espec</w:t>
      </w:r>
      <w:r>
        <w:t>í</w:t>
      </w:r>
      <w:r>
        <w:t>ficos y mensurables a corto plazo y sirve de marco para la adopción de medidas concertadas por parte de los gobiernos federal, indígena, territorial y provincial, el sector privado y los canadienses, en general. El pr</w:t>
      </w:r>
      <w:r>
        <w:t>o</w:t>
      </w:r>
      <w:r>
        <w:t>grama tiene cuatro objetivos fundamentales, a saber: renovar las asociaciones entre el Gobierno y el pueblo indígena, fortalecer la gestión pública de los indígenas, desarrollar una nueva relación fiscal y apoyar a las c</w:t>
      </w:r>
      <w:r>
        <w:t>o</w:t>
      </w:r>
      <w:r>
        <w:t>munidades, los pueblos y las economías fuertes. El G</w:t>
      </w:r>
      <w:r>
        <w:t>o</w:t>
      </w:r>
      <w:r>
        <w:t>bierno ha presentado sus disculpas a las víctimas de malos tratos físicos y sexuales en los internados y ha prometido aportar 350 millones de dólares para la el</w:t>
      </w:r>
      <w:r>
        <w:t>a</w:t>
      </w:r>
      <w:r>
        <w:t>boración de una estrategia de recuperación. Con ese fin, se creó la Fundación de recuperación del indígena como una empresa sin fines de lucro administrada por los indígenas que prestará asistencia y financiará d</w:t>
      </w:r>
      <w:r>
        <w:t>e</w:t>
      </w:r>
      <w:r>
        <w:t>terminados proyectos comunitarios de recuperación que complementarán, pero no repetirán, los programas existentes.</w:t>
      </w:r>
    </w:p>
    <w:p w:rsidR="00000000" w:rsidRDefault="00000000">
      <w:pPr>
        <w:pStyle w:val="DualTxt"/>
        <w:numPr>
          <w:ilvl w:val="0"/>
          <w:numId w:val="1"/>
        </w:numPr>
        <w:tabs>
          <w:tab w:val="clear" w:pos="960"/>
          <w:tab w:val="left" w:pos="965"/>
        </w:tabs>
      </w:pPr>
      <w:r>
        <w:t>Otras iniciativas del Plan de Acción Aunando E</w:t>
      </w:r>
      <w:r>
        <w:t>s</w:t>
      </w:r>
      <w:r>
        <w:t>fuerzos incluyen la aplicación acelerada de una nueva política de vivienda, la asignación de recursos adici</w:t>
      </w:r>
      <w:r>
        <w:t>o</w:t>
      </w:r>
      <w:r>
        <w:t>nales para los servicios de agua y aguas residuales en las comunidades de las Primeras Naciones y el mej</w:t>
      </w:r>
      <w:r>
        <w:t>o</w:t>
      </w:r>
      <w:r>
        <w:t>ramiento de la vida de los niños indígenas. El Gobierno se centra en la salud, la seguridad pública y la educ</w:t>
      </w:r>
      <w:r>
        <w:t>a</w:t>
      </w:r>
      <w:r>
        <w:t>ción, el desarrollo económico, el respeto de los idi</w:t>
      </w:r>
      <w:r>
        <w:t>o</w:t>
      </w:r>
      <w:r>
        <w:t>mas, la herencia y la cultura indígenas y los problemas que tienen los Métis, las poblaciones autóctonas fuera de las reservas y de las zonas urb</w:t>
      </w:r>
      <w:r>
        <w:t>a</w:t>
      </w:r>
      <w:r>
        <w:t>nas.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Sra. Beckton </w:t>
      </w:r>
      <w:r>
        <w:t>(Canadá) dice que el Tribunal Supremo emitió diversos fallos importantes que escl</w:t>
      </w:r>
      <w:r>
        <w:t>a</w:t>
      </w:r>
      <w:r>
        <w:t>recieron la sección 35 de la Ley Constitucional (Con</w:t>
      </w:r>
      <w:r>
        <w:t>s</w:t>
      </w:r>
      <w:r>
        <w:t>titution Act), en la que se reconocen los derechos ind</w:t>
      </w:r>
      <w:r>
        <w:t>í</w:t>
      </w:r>
      <w:r>
        <w:t>genas existentes y los adquiridos en virtud de tratados. En tres casos en 1996 el Tribunal falló que para est</w:t>
      </w:r>
      <w:r>
        <w:t>a</w:t>
      </w:r>
      <w:r>
        <w:t>blecer un derecho indígena, un grupo indígena debía establecer que, en momentos del primer contacto con los europeos, la actividad reivindicada como derecho era parte integral de su cultura específica. El Tribunal también falló que, si un grupo autóctono podía establ</w:t>
      </w:r>
      <w:r>
        <w:t>e</w:t>
      </w:r>
      <w:r>
        <w:t>cer que en momentos de fijarse la soberanía ocupaba exclusivamente un territorio con el cual mantenía una conexión sustancial, tenía derecho a utilizar exclus</w:t>
      </w:r>
      <w:r>
        <w:t>i</w:t>
      </w:r>
      <w:r>
        <w:t>vamente y a ocupar esas tierras. Aunque en la se</w:t>
      </w:r>
      <w:r>
        <w:t>c</w:t>
      </w:r>
      <w:r>
        <w:t>ción 35 no se reglamentan las derogaciones de los d</w:t>
      </w:r>
      <w:r>
        <w:t>e</w:t>
      </w:r>
      <w:r>
        <w:t>rechos indígenas existentes adquiridos en virtud de tratados, el Tribunal confirmó que el Estado podía i</w:t>
      </w:r>
      <w:r>
        <w:t>n</w:t>
      </w:r>
      <w:r>
        <w:t>terferir con los derechos indígenas, incluida la reivi</w:t>
      </w:r>
      <w:r>
        <w:t>n</w:t>
      </w:r>
      <w:r>
        <w:t>dicación territorial, siempre y cuando esa interferencia se justificara en cumplimiento de un objetivo legislat</w:t>
      </w:r>
      <w:r>
        <w:t>i</w:t>
      </w:r>
      <w:r>
        <w:t>vo, obligatorio y susta</w:t>
      </w:r>
      <w:r>
        <w:t>n</w:t>
      </w:r>
      <w:r>
        <w:t>tivo.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Manitoba examinó exhaustivamente el informe relacionado con la investigación sobre la administr</w:t>
      </w:r>
      <w:r>
        <w:t>a</w:t>
      </w:r>
      <w:r>
        <w:t>ción de la justicia en los medios autóctonos. La posib</w:t>
      </w:r>
      <w:r>
        <w:t>i</w:t>
      </w:r>
      <w:r>
        <w:t>lidad de establecer un sistema de justicia de los nativos con una carta por separado y, posiblemente, un código penal diferente que excedía, al parecer, la autoridad l</w:t>
      </w:r>
      <w:r>
        <w:t>e</w:t>
      </w:r>
      <w:r>
        <w:t>gislativa de Manitoba. Por consiguiente, las autorid</w:t>
      </w:r>
      <w:r>
        <w:t>a</w:t>
      </w:r>
      <w:r>
        <w:t>des procuraron encontrar la forma de que el sistema actual se adaptara más a las necesidades de la pobl</w:t>
      </w:r>
      <w:r>
        <w:t>a</w:t>
      </w:r>
      <w:r>
        <w:t>ción autóctona. Mediante las negociaciones celebradas con diversos consejos tribales y grupos indígenas, se determinaron las cuestiones judiciales como un el</w:t>
      </w:r>
      <w:r>
        <w:t>e</w:t>
      </w:r>
      <w:r>
        <w:t>mento fundamental en el proceso y se hicieron esfue</w:t>
      </w:r>
      <w:r>
        <w:t>r</w:t>
      </w:r>
      <w:r>
        <w:t>zos para intensificar el control autóctono mediante una serie de programas en los que se incluye la estrategia de justicia autóctona que consiste en un tribunal de magistrados autóctonos y trabajadores judiciales de la comunidad; un programa de trabajadores judiciales i</w:t>
      </w:r>
      <w:r>
        <w:t>n</w:t>
      </w:r>
      <w:r>
        <w:t>dígenas; y un comité de justicia de los jóvenes indíg</w:t>
      </w:r>
      <w:r>
        <w:t>e</w:t>
      </w:r>
      <w:r>
        <w:t>nas. En el plano federal, se estableció una estrategia de justicia autóctona como un programa comunitario de 51 acuerdos que afectan a 69 comunid</w:t>
      </w:r>
      <w:r>
        <w:t>a</w:t>
      </w:r>
      <w:r>
        <w:t>des.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de los extranjeros (artículo 13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b/>
        </w:rPr>
        <w:t xml:space="preserve">La Presidenta </w:t>
      </w:r>
      <w:r>
        <w:t>lee las preguntas relacionadas con el artículo 13 del Pacto: derecho a la representación de las personas que buscan asilo; aplicación del derecho a revisión judicial de órdenes de expulsión; y protección contra la tortura y los tratos inhumanos con arreglo a la nueva ley de extradición propuesta (proyecto de ley C-40)</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Sr. Thérien</w:t>
      </w:r>
      <w:r>
        <w:t xml:space="preserve"> (Canadá) dice que en virtud de la ley de inmigración canadiense, las personas que buscan asilo tienen derecho a obtener los servicios de un ab</w:t>
      </w:r>
      <w:r>
        <w:t>o</w:t>
      </w:r>
      <w:r>
        <w:t>gado o de otro asesor por cuenta propia. En la práctica, aunque no tienen derecho a recibir asistencia jurídica gratuita, se les proporciona con cargo a fondos feder</w:t>
      </w:r>
      <w:r>
        <w:t>a</w:t>
      </w:r>
      <w:r>
        <w:t>les destinados a la educación terciaria y a los progr</w:t>
      </w:r>
      <w:r>
        <w:t>a</w:t>
      </w:r>
      <w:r>
        <w:t>mas de salud.</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Sr. Tsai</w:t>
      </w:r>
      <w:r>
        <w:t xml:space="preserve"> (Canadá) dice que los tribunales fed</w:t>
      </w:r>
      <w:r>
        <w:t>e</w:t>
      </w:r>
      <w:r>
        <w:t>rales pueden revisar las órdenes de expulsión sol</w:t>
      </w:r>
      <w:r>
        <w:t>a</w:t>
      </w:r>
      <w:r>
        <w:t>mente si se les autoriza en los casos en que el dema</w:t>
      </w:r>
      <w:r>
        <w:t>n</w:t>
      </w:r>
      <w:r>
        <w:t>dante tenga una causa que se pueda defender. Sin e</w:t>
      </w:r>
      <w:r>
        <w:t>m</w:t>
      </w:r>
      <w:r>
        <w:t>bargo, el Gobierno considera que los demandantes ti</w:t>
      </w:r>
      <w:r>
        <w:t>e</w:t>
      </w:r>
      <w:r>
        <w:t>nen pleno acceso a los tribunales canadienses. Muchos de los casos presentados a los tribunales federales se relacionan con inmigrantes o personas que buscan as</w:t>
      </w:r>
      <w:r>
        <w:t>i</w:t>
      </w:r>
      <w:r>
        <w:t>lo, la mayoría de los cuales pueden, de hecho, ejercer su derecho a impugnar una orden de expulsión. Las ó</w:t>
      </w:r>
      <w:r>
        <w:t>r</w:t>
      </w:r>
      <w:r>
        <w:t>denes de expulsión no se pueden ejecutar hasta que se adopte una medida con respecto a la apelación y, con frecuencia, los casos se oyen durante la noche y los f</w:t>
      </w:r>
      <w:r>
        <w:t>i</w:t>
      </w:r>
      <w:r>
        <w:t>nes de semana. Aunque los fallos de los tribunales se limitan a cuestiones jurídicas y de jurisdicción, los fundamentos para revertir una orden de expulsión son a</w:t>
      </w:r>
      <w:r>
        <w:t>m</w:t>
      </w:r>
      <w:r>
        <w:t>plios e incluyen el error fáctico claro.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La Sra. Beckton </w:t>
      </w:r>
      <w:r>
        <w:t>(Canadá) dice que la nueva ley de extradición propuesta (proyecto de ley C-40) e</w:t>
      </w:r>
      <w:r>
        <w:t>n</w:t>
      </w:r>
      <w:r>
        <w:t>mendaría la legislación de extradición del Canadá. El proceso de extradición tiene dos etapas, a saber: en primer lugar, un magistrado canadiense examina la evidencia y determina si el hecho por el cual se pide la extradición constituye un delito en el Canadá. Si el magistrado decide que la persona debe ser extraditada, se remite el caso al Ministro de Justicia quien decide si debe ser entregado a la luz de la legislación pertinente, los tratados aplicables y la Carta de Derechos y Libe</w:t>
      </w:r>
      <w:r>
        <w:t>r</w:t>
      </w:r>
      <w:r>
        <w:t>tades del Canadá. Esa persona tiene derecho a hacer presentaciones al Ministro con respecto a esa dec</w:t>
      </w:r>
      <w:r>
        <w:t>i</w:t>
      </w:r>
      <w:r>
        <w:t>sión.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A diferencia de la legislación en vigor, el pr</w:t>
      </w:r>
      <w:r>
        <w:t>o</w:t>
      </w:r>
      <w:r>
        <w:t>yecto de ley C-40 contiene disposiciones detalladas con respecto a las razones para rechazar un pedido de e</w:t>
      </w:r>
      <w:r>
        <w:t>x</w:t>
      </w:r>
      <w:r>
        <w:t>tradición. En particular, se puede rechazar la extrad</w:t>
      </w:r>
      <w:r>
        <w:t>i</w:t>
      </w:r>
      <w:r>
        <w:t>ción si la entrega de la persona es injusta u opresiva o si el pedido se ha formulado con el fin de enjuiciar o castigar a una persona por motivos de raza, religión, nacionalidad, origen étnico, idioma, color, opinión p</w:t>
      </w:r>
      <w:r>
        <w:t>o</w:t>
      </w:r>
      <w:r>
        <w:t>lítica, sexo, orientación sexual, edad, discapacidad mental o física o situación. El Tribunal Supremo falló que sería inconstitucional que el Ministro de Justicia ordenara la entrega de una persona si las circunstancias que debía enfrentar en el otro Estado eran inaceptables o conmocionarían la conciencia de los canadienses. La decisión del Ministro de Justicia sigue sujeta a la rev</w:t>
      </w:r>
      <w:r>
        <w:t>i</w:t>
      </w:r>
      <w:r>
        <w:t>sión judicial que haga la corte de apelación pertinente y, posiblemente, el Tribunal Supremo.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Marco constitucional y jurídico en que se aplica el Pacto (artículo 2 del Pacto)</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Presidenta</w:t>
      </w:r>
      <w:r>
        <w:t xml:space="preserve"> lee las preguntas relacionadas con el artículo 2 del Pacto: efectos de la revisión constit</w:t>
      </w:r>
      <w:r>
        <w:t>u</w:t>
      </w:r>
      <w:r>
        <w:t>cional de 1997 sobre la situación del Pacto en el der</w:t>
      </w:r>
      <w:r>
        <w:t>e</w:t>
      </w:r>
      <w:r>
        <w:t>cho canadiense; la aplicación del Pacto y las opiniones del Comité por el Tribunal Supremo y los tribunales de primera instancia; la preparación de informes con arr</w:t>
      </w:r>
      <w:r>
        <w:t>e</w:t>
      </w:r>
      <w:r>
        <w:t>glo al Pacto y el seguimiento de las observaciones f</w:t>
      </w:r>
      <w:r>
        <w:t>i</w:t>
      </w:r>
      <w:r>
        <w:t>nales del Comité con arreglo al artículo 40 y las op</w:t>
      </w:r>
      <w:r>
        <w:t>i</w:t>
      </w:r>
      <w:r>
        <w:t>niones con arreglo al Protocolo Facultativo, en part</w:t>
      </w:r>
      <w:r>
        <w:t>i</w:t>
      </w:r>
      <w:r>
        <w:t>cular por parte de los gobiernos provinciales; las e</w:t>
      </w:r>
      <w:r>
        <w:t>n</w:t>
      </w:r>
      <w:r>
        <w:t>miendas propuestas a la Ley de Derechos Humanos del Canadá; y el r</w:t>
      </w:r>
      <w:r>
        <w:t>e</w:t>
      </w:r>
      <w:r>
        <w:t>sultado de esas propuestas.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rPr>
          <w:spacing w:val="2"/>
        </w:rPr>
      </w:pPr>
      <w:r>
        <w:rPr>
          <w:b/>
          <w:spacing w:val="2"/>
        </w:rPr>
        <w:t>La Sra. Fry</w:t>
      </w:r>
      <w:r>
        <w:rPr>
          <w:spacing w:val="2"/>
        </w:rPr>
        <w:t xml:space="preserve"> (Canadá) dice que los informes del Canadá presentados de conformidad con los instrume</w:t>
      </w:r>
      <w:r>
        <w:rPr>
          <w:spacing w:val="2"/>
        </w:rPr>
        <w:t>n</w:t>
      </w:r>
      <w:r>
        <w:rPr>
          <w:spacing w:val="2"/>
        </w:rPr>
        <w:t>tos internacionales de derechos humanos, incluido el Pacto, son preparados en estrecha cooperación con las autoridades provinciales y territoriales. Cada nivel de gobierno (federal, provincial y territorial) prepara sus propias presentaciones. Desde 1976, el Comité Perm</w:t>
      </w:r>
      <w:r>
        <w:rPr>
          <w:spacing w:val="2"/>
        </w:rPr>
        <w:t>a</w:t>
      </w:r>
      <w:r>
        <w:rPr>
          <w:spacing w:val="2"/>
        </w:rPr>
        <w:t>nente de Funcionarios de Derechos Humanos, integrado por representantes de todas las jurisdicciones canadie</w:t>
      </w:r>
      <w:r>
        <w:rPr>
          <w:spacing w:val="2"/>
        </w:rPr>
        <w:t>n</w:t>
      </w:r>
      <w:r>
        <w:rPr>
          <w:spacing w:val="2"/>
        </w:rPr>
        <w:t>ses, se reúne dos veces al año para examinar los info</w:t>
      </w:r>
      <w:r>
        <w:rPr>
          <w:spacing w:val="2"/>
        </w:rPr>
        <w:t>r</w:t>
      </w:r>
      <w:r>
        <w:rPr>
          <w:spacing w:val="2"/>
        </w:rPr>
        <w:t>mes que el Canadá presenta a los órganos de derechos humanos y el seguimiento de las observaciones finales pertinentes de los comités, las que también se transmiten a los gobiernos provinciales y territ</w:t>
      </w:r>
      <w:r>
        <w:rPr>
          <w:spacing w:val="2"/>
        </w:rPr>
        <w:t>o</w:t>
      </w:r>
      <w:r>
        <w:rPr>
          <w:spacing w:val="2"/>
        </w:rPr>
        <w:t>riales.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Para preparar el cuarto informe periódico del p</w:t>
      </w:r>
      <w:r>
        <w:t>a</w:t>
      </w:r>
      <w:r>
        <w:t>ís, se invitó a más de 250 organizaciones no gubern</w:t>
      </w:r>
      <w:r>
        <w:t>a</w:t>
      </w:r>
      <w:r>
        <w:t>mentales del Canadá a que presentaran comentarios al Gobierno y al Comité de Derechos Humanos acerca del cumplimiento del Pacto por parte del Canadá. En 1986 el Comité Permanente adoptó directrices para que las provincias respondieran a las comunicaciones con arr</w:t>
      </w:r>
      <w:r>
        <w:t>e</w:t>
      </w:r>
      <w:r>
        <w:t>glo al Primer Protocolo Facultativo del Pacto. En esas directrices se establece que las provincias, en consulta con el Gobierno federal, son las encargadas de preparar las presentaciones relacionadas con las comunicaciones relativas a sus respectivas jurisdi</w:t>
      </w:r>
      <w:r>
        <w:t>c</w:t>
      </w:r>
      <w:r>
        <w:t>ciones.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Al referirse a las preguntas 11 y 12, la oradora d</w:t>
      </w:r>
      <w:r>
        <w:t>i</w:t>
      </w:r>
      <w:r>
        <w:t>ce que las enmiendas realizadas recientemente a la Ley de derechos humanos han mejorado la estructura del Tribunal. La Comisión de Derechos Humanos puede presentar su informe directamente al Parlamento, y ello subraya su independencia del Gobierno. A su vez, el Tribunal de Derechos Humanos también presenta un informe directo al Parlamento independientemente del de la Comisión. El sistema vela por que los fallos del Tribunal sean independientes, ya que, con frecuencia la Comisión es parte de las denuncias. Finalmente, en 1996 se enmendó la ley de derechos humanos para prohibir la discriminación sobre la base de la orient</w:t>
      </w:r>
      <w:r>
        <w:t>a</w:t>
      </w:r>
      <w:r>
        <w:t>ción s</w:t>
      </w:r>
      <w:r>
        <w:t>e</w:t>
      </w:r>
      <w:r>
        <w:t>xual.</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Beckton</w:t>
      </w:r>
      <w:r>
        <w:t xml:space="preserve"> (Canadá) dice con respecto a las preguntas 8 y 9 que las escuelas confesionales en Qu</w:t>
      </w:r>
      <w:r>
        <w:t>e</w:t>
      </w:r>
      <w:r>
        <w:t>bec y Manitoba sólo se pueden financiar con fondos provenientes del sector privado. El derecho internaci</w:t>
      </w:r>
      <w:r>
        <w:t>o</w:t>
      </w:r>
      <w:r>
        <w:t>nal no se aplica en forma independiente en el Canadá y los tribunales han afirmado que las obligaciones co</w:t>
      </w:r>
      <w:r>
        <w:t>n</w:t>
      </w:r>
      <w:r>
        <w:t>traídas en virtud de tratados están incorporadas en la Carta de Derechos y Libertades del Canadá. No ob</w:t>
      </w:r>
      <w:r>
        <w:t>s</w:t>
      </w:r>
      <w:r>
        <w:t>tante, la importancia del Pacto en la orientación de los fallos de los tribunales es c</w:t>
      </w:r>
      <w:r>
        <w:t>a</w:t>
      </w:r>
      <w:r>
        <w:t>da vez mayor.</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Fry</w:t>
      </w:r>
      <w:r>
        <w:t xml:space="preserve"> (Canadá), en respuesta a la pregu</w:t>
      </w:r>
      <w:r>
        <w:t>n</w:t>
      </w:r>
      <w:r>
        <w:t>ta 13, dice que en el sitio en la Web del Gobierno del Canadá figuran los textos de todos los informes peri</w:t>
      </w:r>
      <w:r>
        <w:t>ó</w:t>
      </w:r>
      <w:r>
        <w:t>dicos y las observaciones finales del Comité. Asimi</w:t>
      </w:r>
      <w:r>
        <w:t>s</w:t>
      </w:r>
      <w:r>
        <w:t>mo, el presente informe se ha distribuido a organiz</w:t>
      </w:r>
      <w:r>
        <w:t>a</w:t>
      </w:r>
      <w:r>
        <w:t>ciones no gubernamentales, bibliotecas, la Comisión de Derechos Humanos y la oficina del defensor del pu</w:t>
      </w:r>
      <w:r>
        <w:t>e</w:t>
      </w:r>
      <w:r>
        <w:t>blo. Mediante la educación en la esfera de los derechos humanos y de la legislación específica del Canadá se difunde información con respecto al Pacto. Los agentes de policía, los magistrados y los abogados reciben c</w:t>
      </w:r>
      <w:r>
        <w:t>a</w:t>
      </w:r>
      <w:r>
        <w:t>pacitación especial en la esfera de los derechos hum</w:t>
      </w:r>
      <w:r>
        <w:t>a</w:t>
      </w:r>
      <w:r>
        <w:t>nos. Las consultas celebradas con organizaciones no gubernamentales en la preparación del informe también han contribuido a difundir información s</w:t>
      </w:r>
      <w:r>
        <w:t>o</w:t>
      </w:r>
      <w:r>
        <w:t>bre el Pacto.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Con respecto a las preguntas 14 y 15, la oradora dice que la igualdad de género está consagrada en la Carta de Derechos y Libertades, junto con la preve</w:t>
      </w:r>
      <w:r>
        <w:t>n</w:t>
      </w:r>
      <w:r>
        <w:t>ción de la discriminación. En ese contexto, la igualdad se interpreta como igualdad de resultados y, por cons</w:t>
      </w:r>
      <w:r>
        <w:t>i</w:t>
      </w:r>
      <w:r>
        <w:t>guiente, se han adoptado medidas positivas para co</w:t>
      </w:r>
      <w:r>
        <w:t>n</w:t>
      </w:r>
      <w:r>
        <w:t>trarrestar las ventajas históricas. Al formular políticas, se debe tener en cuenta la diferente repercusión de las decisiones en los hombres y las mujeres y, por lo tanto, la elaboración de políticas está vinculada a la aplic</w:t>
      </w:r>
      <w:r>
        <w:t>a</w:t>
      </w:r>
      <w:r>
        <w:t>ción de la Plataforma de Acción de Beijing. Aún queda mucho por hacer y, lamentablemente, el análisis sobre la base del género no es aún automático. El Canadá ha procurado hacer participar a la mujer en la vida política y mejorar su acceso a cargos electivos, mediante la adopción de medidas tales como el acceso igualitario a los fondos de campaña en la presentación de las cand</w:t>
      </w:r>
      <w:r>
        <w:t>i</w:t>
      </w:r>
      <w:r>
        <w:t>daturas. Debido a esas dificultades se han adoptado medidas para nombrar a la mujer en puestos de la a</w:t>
      </w:r>
      <w:r>
        <w:t>d</w:t>
      </w:r>
      <w:r>
        <w:t>ministración pública. En la actualidad, hay 60 mujeres en la Cámara de los Comunes y 31 han sido nombradas en el Senado. Sin embargo, las mujeres aún están poco representadas. Se han fijado objetivos en la legislación federal sobre el empleo equitativo para lograr el equil</w:t>
      </w:r>
      <w:r>
        <w:t>i</w:t>
      </w:r>
      <w:r>
        <w:t>brio de género.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Con respecto a la discriminación en materia de sueldos en la política, a nivel federal se estipula igual remuneración por trabajo igual. El Gobierno ya ha p</w:t>
      </w:r>
      <w:r>
        <w:t>a</w:t>
      </w:r>
      <w:r>
        <w:t>gado 1.000 millones de dólares canadienses para saldar las r</w:t>
      </w:r>
      <w:r>
        <w:t>e</w:t>
      </w:r>
      <w:r>
        <w:t>clamaciones de discriminación en materia de suel-dos, aunque prefiere negociar los acuerdos. Es neces</w:t>
      </w:r>
      <w:r>
        <w:t>a</w:t>
      </w:r>
      <w:r>
        <w:t>rio esclarecer las leyes con respecto a la igualdad de las remuner</w:t>
      </w:r>
      <w:r>
        <w:t>a</w:t>
      </w:r>
      <w:r>
        <w:t>ciones.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Con respecto a la pregunta 16, el propósito orig</w:t>
      </w:r>
      <w:r>
        <w:t>i</w:t>
      </w:r>
      <w:r>
        <w:t>nal de eximir a la Ley de asuntos indios (Indian Act) de las exigencias de la Ley de derechos humanos del C</w:t>
      </w:r>
      <w:r>
        <w:t>a</w:t>
      </w:r>
      <w:r>
        <w:t>nadá ha sido asegurar que la Comisión de Derechos Humanos no interfiera en la jurisdicción interna de los grupos indígenas. No obstante, desde que se introdujo por primera vez la exención, la Comisión ha encontr</w:t>
      </w:r>
      <w:r>
        <w:t>a</w:t>
      </w:r>
      <w:r>
        <w:t>do fundamentos para aceptar los desafíos de las activ</w:t>
      </w:r>
      <w:r>
        <w:t>i</w:t>
      </w:r>
      <w:r>
        <w:t>dades de los grupos. Durante el próximo examen de la Ley de derechos humanos, un grupo independiente examinará todas sus exenciones, incluida la de la Ley de asuntos indios. Habida cuenta de que se restablecen los nuevos poderes de los pueblos de la Primera Nación mediante el proceso de gobierno autónomo indígena, es muy importante decidir si la legislación de derechos humanos se debe aplicar a esa forma de gobierno.</w:t>
      </w:r>
    </w:p>
    <w:p w:rsidR="00000000" w:rsidRDefault="00000000">
      <w:pPr>
        <w:pStyle w:val="DualTxt"/>
        <w:numPr>
          <w:ilvl w:val="0"/>
          <w:numId w:val="5"/>
        </w:numPr>
      </w:pPr>
      <w:r>
        <w:rPr>
          <w:b/>
        </w:rPr>
        <w:t>La Sra. Beckton</w:t>
      </w:r>
      <w:r>
        <w:t xml:space="preserve"> (Canadá), en respuesta a la pr</w:t>
      </w:r>
      <w:r>
        <w:t>e</w:t>
      </w:r>
      <w:r>
        <w:t>gunta 17, dice que la Carta de Derechos y Libertades del Canadá es el instrumento principal para proteger la libertad de opinión de las personas. En la Carta se est</w:t>
      </w:r>
      <w:r>
        <w:t>a</w:t>
      </w:r>
      <w:r>
        <w:t>blece claramente la protección de las opiniones discr</w:t>
      </w:r>
      <w:r>
        <w:t>e</w:t>
      </w:r>
      <w:r>
        <w:t>pantes, y se protegen todas las formas de expresión, i</w:t>
      </w:r>
      <w:r>
        <w:t>n</w:t>
      </w:r>
      <w:r>
        <w:t>cluido el odio y la utilización de la obscenidad. En la Ley también se reglamenta la libre corriente de info</w:t>
      </w:r>
      <w:r>
        <w:t>r</w:t>
      </w:r>
      <w:r>
        <w:t>mación, pero los tribunales han fijado parámetros el</w:t>
      </w:r>
      <w:r>
        <w:t>e</w:t>
      </w:r>
      <w:r>
        <w:t>vados para determinar si la información interfiere con otros derechos.</w:t>
      </w:r>
    </w:p>
    <w:p w:rsidR="00000000" w:rsidRDefault="00000000">
      <w:pPr>
        <w:pStyle w:val="DualTxt"/>
        <w:numPr>
          <w:ilvl w:val="0"/>
          <w:numId w:val="5"/>
        </w:numPr>
      </w:pPr>
      <w:r>
        <w:rPr>
          <w:b/>
        </w:rPr>
        <w:t>La Sra. Fry</w:t>
      </w:r>
      <w:r>
        <w:t xml:space="preserve"> (Canadá), en respuesta a la pregunta 19, dice que la Carta de Derechos y Libertades protege los derechos del idioma oficial. Esas protecciones se complementan aún más con la Ley federal de idiomas oficiales, que también apoya al idioma de las comun</w:t>
      </w:r>
      <w:r>
        <w:t>i</w:t>
      </w:r>
      <w:r>
        <w:t>dades minoritarias. Con arreglo a la Constitución, las provincias y los territorios tienen determinadas respo</w:t>
      </w:r>
      <w:r>
        <w:t>n</w:t>
      </w:r>
      <w:r>
        <w:t>sabilidades con respecto a los idiomas oficiales. Por ejemplo, ellos son los encargados de impartir educ</w:t>
      </w:r>
      <w:r>
        <w:t>a</w:t>
      </w:r>
      <w:r>
        <w:t>ción en los idiomas de las minorías cuando se justif</w:t>
      </w:r>
      <w:r>
        <w:t>i</w:t>
      </w:r>
      <w:r>
        <w:t>que. Además, todos tienen derecho a utilizar el inglés y el francés en la legislatura y los tribunales de Quebec, New Brunswick y Manitoba, y en esas provincias las leyes se deben pr</w:t>
      </w:r>
      <w:r>
        <w:t>o</w:t>
      </w:r>
      <w:r>
        <w:t>mulgar en los dos idiomas.</w:t>
      </w:r>
    </w:p>
    <w:p w:rsidR="00000000" w:rsidRDefault="00000000">
      <w:pPr>
        <w:pStyle w:val="DualTxt"/>
        <w:numPr>
          <w:ilvl w:val="0"/>
          <w:numId w:val="5"/>
        </w:numPr>
      </w:pPr>
      <w:r>
        <w:rPr>
          <w:b/>
        </w:rPr>
        <w:t>El Sr. Deslauries</w:t>
      </w:r>
      <w:r>
        <w:t xml:space="preserve"> (Canadá), en relación con la ley del idioma de Quebec, dice que en Quebec todos los ciudadanos tienen el mismo derecho con arreglo a la Carta de Quebec y a la Carta de Derechos y Libertades del Canadá. Se prohíbe la discriminación por motivos de idioma y todas las minorías étnicas tienen derecho a disfrutar de su cultura. Las leyes y reglamentos se p</w:t>
      </w:r>
      <w:r>
        <w:t>u</w:t>
      </w:r>
      <w:r>
        <w:t>blican en francés e inglés, que tienen la misma categ</w:t>
      </w:r>
      <w:r>
        <w:t>o</w:t>
      </w:r>
      <w:r>
        <w:t>ría y se pueden utilizar en los procesos penales. La c</w:t>
      </w:r>
      <w:r>
        <w:t>o</w:t>
      </w:r>
      <w:r>
        <w:t>munidad de habla inglesa de Quebec tiene derecho a un sistema cabal de educación pública y a recibir servicios sociales y atención de la salud en inglés. Las comun</w:t>
      </w:r>
      <w:r>
        <w:t>i</w:t>
      </w:r>
      <w:r>
        <w:t>dades en que el inglés es el idioma de la mayoría pu</w:t>
      </w:r>
      <w:r>
        <w:t>e</w:t>
      </w:r>
      <w:r>
        <w:t>den elegir el bilingüismo y, de esa forma, utilizar inglés en el Gobierno municipal. La comunidad de habla i</w:t>
      </w:r>
      <w:r>
        <w:t>n</w:t>
      </w:r>
      <w:r>
        <w:t>glesa tiene sus propias cadenas de radio y televisión e instituciones culturales, que tienen derecho a recibir f</w:t>
      </w:r>
      <w:r>
        <w:t>i</w:t>
      </w:r>
      <w:r>
        <w:t>nanciación del G</w:t>
      </w:r>
      <w:r>
        <w:t>o</w:t>
      </w:r>
      <w:r>
        <w:t>bierno.</w:t>
      </w:r>
    </w:p>
    <w:p w:rsidR="00000000" w:rsidRDefault="00000000">
      <w:pPr>
        <w:pStyle w:val="DualTxt"/>
        <w:numPr>
          <w:ilvl w:val="0"/>
          <w:numId w:val="5"/>
        </w:numPr>
      </w:pPr>
      <w:r>
        <w:rPr>
          <w:b/>
        </w:rPr>
        <w:t>El Sr. Hynes</w:t>
      </w:r>
      <w:r>
        <w:t xml:space="preserve"> (Canadá), en respuesta a la pregu</w:t>
      </w:r>
      <w:r>
        <w:t>n</w:t>
      </w:r>
      <w:r>
        <w:t>ta 18, dice que el informe de la Comisión de Derechos Humanos de Ontario sobre racismo sistemático en el sistema de justicia penal se ha enviado a 500 magistr</w:t>
      </w:r>
      <w:r>
        <w:t>a</w:t>
      </w:r>
      <w:r>
        <w:t>dos para que presenten observaciones al respecto. A partir del 1° de enero de 1999, se han establecido nu</w:t>
      </w:r>
      <w:r>
        <w:t>e</w:t>
      </w:r>
      <w:r>
        <w:t>vas normas con respecto a la dependencia especial de investigaciones. Constituye una falta de conducta el hecho de no cumplir con esas normas. Con arreglo a las nuevas normas, los jefes de policía deben notificar a la dependencia especial de investigaciones si hay inc</w:t>
      </w:r>
      <w:r>
        <w:t>i</w:t>
      </w:r>
      <w:r>
        <w:t>dentes y se debe separar del cargo a los agentes respo</w:t>
      </w:r>
      <w:r>
        <w:t>n</w:t>
      </w:r>
      <w:r>
        <w:t>sables. Los agentes tienen derecho a recibir los serv</w:t>
      </w:r>
      <w:r>
        <w:t>i</w:t>
      </w:r>
      <w:r>
        <w:t>cios de un asesor y se les debe entrevistar dentro de las 24 horas de ocurrido el incidente. Además, se ha tripl</w:t>
      </w:r>
      <w:r>
        <w:t>i</w:t>
      </w:r>
      <w:r>
        <w:t>cado el presupuesto para las investigaciones. También se ha llevado a cabo una revisión del Crown Training and Policy Manual. Las recomendaciones principales, que están casi listas para ser aplicadas, se refieren al ejercicio del poder discrecional de la fiscalía en los c</w:t>
      </w:r>
      <w:r>
        <w:t>a</w:t>
      </w:r>
      <w:r>
        <w:t>sos de concesión de libertad bajo fianza.</w:t>
      </w:r>
    </w:p>
    <w:p w:rsidR="00000000" w:rsidRDefault="00000000">
      <w:pPr>
        <w:pStyle w:val="DualTxt"/>
        <w:numPr>
          <w:ilvl w:val="0"/>
          <w:numId w:val="5"/>
        </w:numPr>
      </w:pPr>
      <w:r>
        <w:rPr>
          <w:b/>
        </w:rPr>
        <w:t>La Sra. Evatt</w:t>
      </w:r>
      <w:r>
        <w:t xml:space="preserve"> dice que, aunque en el informe no se aborda el artículo 1 del Pacto en detalle, la Sra. Fry ha examinado el derecho indígena al gobierno autón</w:t>
      </w:r>
      <w:r>
        <w:t>o</w:t>
      </w:r>
      <w:r>
        <w:t>mo en el contexto de la libre determinación. Le inter</w:t>
      </w:r>
      <w:r>
        <w:t>e</w:t>
      </w:r>
      <w:r>
        <w:t>saría conocer la distinción que el Canadá hace entre l</w:t>
      </w:r>
      <w:r>
        <w:t>i</w:t>
      </w:r>
      <w:r>
        <w:t>bre determinación y gobierno autónomo. La Real C</w:t>
      </w:r>
      <w:r>
        <w:t>o</w:t>
      </w:r>
      <w:r>
        <w:t>misión sobre los pueblos indígenas ha recomendado al Gobierno que reconozca que el derecho a la libre d</w:t>
      </w:r>
      <w:r>
        <w:t>e</w:t>
      </w:r>
      <w:r>
        <w:t>terminación le corresponde a los pueblos indígenas y que velen por que tengan título de propiedad sobre la tierra y recursos suficientes para el gobierno autónomo. Quisiera saber cuál de las recomendaciones específicas de la Real Comisión se ha aplicado.</w:t>
      </w:r>
    </w:p>
    <w:p w:rsidR="00000000" w:rsidRDefault="00000000">
      <w:pPr>
        <w:pStyle w:val="DualTxt"/>
        <w:numPr>
          <w:ilvl w:val="0"/>
          <w:numId w:val="5"/>
        </w:numPr>
      </w:pPr>
      <w:r>
        <w:t>Con respecto a los extranjeros y a los refugiados, aún no queda claro si hay que tener en cuenta una pos</w:t>
      </w:r>
      <w:r>
        <w:t>i</w:t>
      </w:r>
      <w:r>
        <w:t>ble violación de los derechos consagrados en el Pacto cuando se decide la repatriación de una persona que solicita la condición de refugiado. De manera similar, desea saber si las personas que serán deportadas pu</w:t>
      </w:r>
      <w:r>
        <w:t>e</w:t>
      </w:r>
      <w:r>
        <w:t>den argumentar la violación de sus derechos con arr</w:t>
      </w:r>
      <w:r>
        <w:t>e</w:t>
      </w:r>
      <w:r>
        <w:t>glo al Pacto, y en cuánto tiempo se puede reconocer a los refugiados el derecho a la residencia permanente, documentos de viaje, y cuándo pueden reunirse con sus familias.</w:t>
      </w:r>
    </w:p>
    <w:p w:rsidR="00000000" w:rsidRDefault="00000000">
      <w:pPr>
        <w:pStyle w:val="DualTxt"/>
        <w:numPr>
          <w:ilvl w:val="0"/>
          <w:numId w:val="5"/>
        </w:numPr>
      </w:pPr>
      <w:r>
        <w:t>Con respecto a las obligaciones internacionales, la oradora pregunta si el Parlamento participa en el proceso de presentación de informes en el plano inte</w:t>
      </w:r>
      <w:r>
        <w:t>r</w:t>
      </w:r>
      <w:r>
        <w:t>nacional y si es competencia de los poderes legislativo y ejecutivo velar por el cumplimiento del Pacto. El Comité está interesado en saber en qué estriba la dif</w:t>
      </w:r>
      <w:r>
        <w:t>e</w:t>
      </w:r>
      <w:r>
        <w:t>rencia entre las protecciones contempladas en la Carta de Derechos y Libertades y las del Pacto, y la función de la Comisión de Derechos Humanos en el cumpl</w:t>
      </w:r>
      <w:r>
        <w:t>i</w:t>
      </w:r>
      <w:r>
        <w:t>miento de los tratados internacionales.</w:t>
      </w:r>
    </w:p>
    <w:p w:rsidR="00000000" w:rsidRDefault="00000000">
      <w:pPr>
        <w:pStyle w:val="DualTxt"/>
        <w:numPr>
          <w:ilvl w:val="0"/>
          <w:numId w:val="5"/>
        </w:numPr>
      </w:pPr>
      <w:r>
        <w:t>Sobre la cuestión de los derechos de la mujer, la oradora quiere saber hasta qué punto la diferencia entre los recursos económicos del hombre y la mujer afecta su capacidad de gozar en pie de igualdad de sus der</w:t>
      </w:r>
      <w:r>
        <w:t>e</w:t>
      </w:r>
      <w:r>
        <w:t>chos, y si el programa “Impugnaciones judiciales” se aplica a la mujer. El Comité desea saber qué medidas se han adoptado para garantizar la igualdad de la mujer indígena, si se examina la discriminación por motivos de sexo que tiene lugar con arreglo a la Ley de asuntos indios y si la Real Comisión ha formulado recomend</w:t>
      </w:r>
      <w:r>
        <w:t>a</w:t>
      </w:r>
      <w:r>
        <w:t>ciones específicas en esa esfera. Finalmente, desea s</w:t>
      </w:r>
      <w:r>
        <w:t>a</w:t>
      </w:r>
      <w:r>
        <w:t>ber el número de mujeres y de miembros indígenas del Senado.</w:t>
      </w:r>
    </w:p>
    <w:p w:rsidR="00000000" w:rsidRDefault="00000000">
      <w:pPr>
        <w:pStyle w:val="DualTxt"/>
        <w:numPr>
          <w:ilvl w:val="0"/>
          <w:numId w:val="5"/>
        </w:numPr>
      </w:pPr>
      <w:r>
        <w:rPr>
          <w:b/>
        </w:rPr>
        <w:t>El Sr. Scheinin</w:t>
      </w:r>
      <w:r>
        <w:t xml:space="preserve"> dice que el enfoque utilizado por el Canadá para reconciliar el derecho a la libre dete</w:t>
      </w:r>
      <w:r>
        <w:t>r</w:t>
      </w:r>
      <w:r>
        <w:t>minación de todos los pueblos con la integridad territ</w:t>
      </w:r>
      <w:r>
        <w:t>o</w:t>
      </w:r>
      <w:r>
        <w:t>rial de los Estados podría servir de modelo para otros países. La Real Comisión sobre los pueblos indígenas ha subrayado acertadamente que la cuestión de la libre determinación y del gobierno autónomo existen en el Canadá, pero el informe se refiere solamente al gobie</w:t>
      </w:r>
      <w:r>
        <w:t>r</w:t>
      </w:r>
      <w:r>
        <w:t>no autónomo y no aborda de ninguna manera la cue</w:t>
      </w:r>
      <w:r>
        <w:t>s</w:t>
      </w:r>
      <w:r>
        <w:t>tión del artículo 1 del Pacto. Desea saber si es política del Gobierno del Canadá que los pueblos indígenas abandonen sus derechos a la tierra y los recursos para concertar acuerdos en virtud de tratados, ya que incluso los nuevos tratados contienen una cláusula de extinción o de conversión.</w:t>
      </w:r>
    </w:p>
    <w:p w:rsidR="00000000" w:rsidRDefault="00000000">
      <w:pPr>
        <w:pStyle w:val="DualTxt"/>
        <w:numPr>
          <w:ilvl w:val="0"/>
          <w:numId w:val="5"/>
        </w:numPr>
      </w:pPr>
      <w:r>
        <w:t>El lento avance en resolver las cuestiones de la tierra y los recursos es motivo de preocupación y existe el peligro de que muchos pueblos indígenas se extingan si no se logran soluciones al respecto. El orador desea saber si se está progresando en la aplicación de las r</w:t>
      </w:r>
      <w:r>
        <w:t>e</w:t>
      </w:r>
      <w:r>
        <w:t>comendaciones formuladas por la Real Comisión sobre los pueblos indígenas para resolver esas cuestiones como la base para la libre determinación y el gobierno autónomo. Como ejemplo de la cuestión de la extinción se señala el caso del grupo del Lago Lubicon. Quiere saber si ese grupo ha logrado obtener derechos más amplios. La ciudadanía indígena es un aspecto impo</w:t>
      </w:r>
      <w:r>
        <w:t>r</w:t>
      </w:r>
      <w:r>
        <w:t>tante de la libre determinación. Habida cuenta de que la Ley de asuntos indios aún rige la ciudadanía en dive</w:t>
      </w:r>
      <w:r>
        <w:t>r</w:t>
      </w:r>
      <w:r>
        <w:t>sos territorios indígenas, desea saber qué medida se están adoptando para eliminar cualquier elemento de discriminación por motivos de sexo en esa Ley.</w:t>
      </w:r>
    </w:p>
    <w:p w:rsidR="00000000" w:rsidRDefault="00000000">
      <w:pPr>
        <w:pStyle w:val="DualTxt"/>
        <w:numPr>
          <w:ilvl w:val="0"/>
          <w:numId w:val="5"/>
        </w:numPr>
      </w:pPr>
      <w:r>
        <w:t>A la luz de la información de que el Gobierno del Canadá ha argumentado en los Tribunales de que los intereses en materia de seguridad nacional y la preve</w:t>
      </w:r>
      <w:r>
        <w:t>n</w:t>
      </w:r>
      <w:r>
        <w:t>ción del delito pueden prevalecer sobre temores muy documentados de tortura o malos tratos como cons</w:t>
      </w:r>
      <w:r>
        <w:t>e</w:t>
      </w:r>
      <w:r>
        <w:t>cuencia de la deportación, el orador quiere saber si el Gobierno del Canadá cumple sus obligaciones contra</w:t>
      </w:r>
      <w:r>
        <w:t>í</w:t>
      </w:r>
      <w:r>
        <w:t>das en virtud del derecho internacional con respecto a la deportación de los extranjeros, o si lo ha dejado l</w:t>
      </w:r>
      <w:r>
        <w:t>i</w:t>
      </w:r>
      <w:r>
        <w:t>brado a las autoridades judiciales. También desea saber si en el futuro el Gobierno del Canadá respetará los p</w:t>
      </w:r>
      <w:r>
        <w:t>e</w:t>
      </w:r>
      <w:r>
        <w:t>didos de que se adopten medidas provisionales de pr</w:t>
      </w:r>
      <w:r>
        <w:t>o</w:t>
      </w:r>
      <w:r>
        <w:t>tección en relación con los casos de deportación o e</w:t>
      </w:r>
      <w:r>
        <w:t>x</w:t>
      </w:r>
      <w:r>
        <w:t>tradición. La información recibida de la Comisión Int</w:t>
      </w:r>
      <w:r>
        <w:t>e</w:t>
      </w:r>
      <w:r>
        <w:t>ramericana de Derechos Humanos y del Comité contra la Tortura es motivo de preocupación.</w:t>
      </w:r>
    </w:p>
    <w:p w:rsidR="00000000" w:rsidRDefault="00000000">
      <w:pPr>
        <w:pStyle w:val="DualTxt"/>
        <w:numPr>
          <w:ilvl w:val="0"/>
          <w:numId w:val="5"/>
        </w:numPr>
      </w:pPr>
      <w:r>
        <w:rPr>
          <w:b/>
        </w:rPr>
        <w:t>El Sr. Wieruszewski</w:t>
      </w:r>
      <w:r>
        <w:t xml:space="preserve"> dice que el informe conti</w:t>
      </w:r>
      <w:r>
        <w:t>e</w:t>
      </w:r>
      <w:r>
        <w:t>ne muy poca información sobre el artículo 1. Solicita información sobre las dificultades principales del G</w:t>
      </w:r>
      <w:r>
        <w:t>o</w:t>
      </w:r>
      <w:r>
        <w:t>bierno del Canadá con respecto a la libre determinación de los pueblos indígenas y desea saber las medidas e</w:t>
      </w:r>
      <w:r>
        <w:t>s</w:t>
      </w:r>
      <w:r>
        <w:t>pecíficas que se están adoptando para mejorar la situ</w:t>
      </w:r>
      <w:r>
        <w:t>a</w:t>
      </w:r>
      <w:r>
        <w:t>ción. El Comité desea saber por qué no se han aplicado las recomendaciones formuladas por la Real Comisión sobre los pueblos indígenas de forma tal que mejoraran la situación de esas poblaciones y qué repercusión ha tenido en Ontario la Declaración de relación política (párr. 607) sobre el desarrollo económico y la gestión de recursos en la comunidad autóctona. También pr</w:t>
      </w:r>
      <w:r>
        <w:t>e</w:t>
      </w:r>
      <w:r>
        <w:t>gunta en qué medida la Comisión de Derechos Hum</w:t>
      </w:r>
      <w:r>
        <w:t>a</w:t>
      </w:r>
      <w:r>
        <w:t>nos del Canadá constituye un recurso efectivo y su</w:t>
      </w:r>
      <w:r>
        <w:t>s</w:t>
      </w:r>
      <w:r>
        <w:t>tantivo para las violaciones de los derechos humanos y la frecuencia con que utiliza sus facultades discreci</w:t>
      </w:r>
      <w:r>
        <w:t>o</w:t>
      </w:r>
      <w:r>
        <w:t>nales para detener nuevas actuaciones judiciales sobre reclamaciones.</w:t>
      </w:r>
    </w:p>
    <w:p w:rsidR="00000000" w:rsidRDefault="00000000">
      <w:pPr>
        <w:pStyle w:val="DualTxt"/>
        <w:numPr>
          <w:ilvl w:val="0"/>
          <w:numId w:val="5"/>
        </w:numPr>
        <w:rPr>
          <w:spacing w:val="2"/>
        </w:rPr>
      </w:pPr>
      <w:r>
        <w:rPr>
          <w:b/>
          <w:spacing w:val="2"/>
        </w:rPr>
        <w:t>El Sr. Klein</w:t>
      </w:r>
      <w:r>
        <w:rPr>
          <w:spacing w:val="2"/>
        </w:rPr>
        <w:t xml:space="preserve"> dice que la declaración formulada por la Comisión de Derechos Humanos del Canadá en el p</w:t>
      </w:r>
      <w:r>
        <w:rPr>
          <w:spacing w:val="2"/>
        </w:rPr>
        <w:t>á</w:t>
      </w:r>
      <w:r>
        <w:rPr>
          <w:spacing w:val="2"/>
        </w:rPr>
        <w:t>rrafo 279 del informe, en el sentido de que “la situación de los pueblos indígenas sigue siendo el problema más acuciante en materia de derechos humanos a que se e</w:t>
      </w:r>
      <w:r>
        <w:rPr>
          <w:spacing w:val="2"/>
        </w:rPr>
        <w:t>n</w:t>
      </w:r>
      <w:r>
        <w:rPr>
          <w:spacing w:val="2"/>
        </w:rPr>
        <w:t>frentan los canadienses”, parece ser una evaluación real de la situación con respecto a los pueblos indígenas. Es alentador observar que el Canadá está preparado para abordar la cuestión en el marco de la libre determin</w:t>
      </w:r>
      <w:r>
        <w:rPr>
          <w:spacing w:val="2"/>
        </w:rPr>
        <w:t>a</w:t>
      </w:r>
      <w:r>
        <w:rPr>
          <w:spacing w:val="2"/>
        </w:rPr>
        <w:t>ción; no obstante, es necesario desarrollar los elementos de ese concepto y ponerlo en práctica. El orador solicita más información sobe los fallos del Tribunal Supremo con respecto a las razones de fuerza mayor para limitar los derechos de los pueblos indígenas, y desea saber en qué medida se han tenido en cuenta los artículos 1 y 27 del Pacto al presentar esas razones.</w:t>
      </w:r>
    </w:p>
    <w:p w:rsidR="00000000" w:rsidRDefault="00000000">
      <w:pPr>
        <w:pStyle w:val="DualTxt"/>
        <w:numPr>
          <w:ilvl w:val="0"/>
          <w:numId w:val="5"/>
        </w:numPr>
      </w:pPr>
      <w:r>
        <w:t>Sobre la base de la información presentada, al p</w:t>
      </w:r>
      <w:r>
        <w:t>a</w:t>
      </w:r>
      <w:r>
        <w:t>recer, el plan de salud y transferencia social canadiense no es un verdadero equivalente del plan de asistencia del Canadá, al que había sustituido. El Sr. Klein desea saber si la revocación del plan ha tenido efectos neg</w:t>
      </w:r>
      <w:r>
        <w:t>a</w:t>
      </w:r>
      <w:r>
        <w:t>tivos en el goce de derechos civiles y políticos, como los que se establecen en los artículos 23 y 24 del Pacto. Con respecto a la cuestión de los recursos, aunque en el párrafo 3 del artículo 2 del Pacto no se exige que se interponga un recurso judicial por denuncia de viol</w:t>
      </w:r>
      <w:r>
        <w:t>a</w:t>
      </w:r>
      <w:r>
        <w:t>ciones de los derechos humanos, y se puede considerar a la Comisión de Derechos Humanos del Canadá una “autoridad competente” en virtud de ese artículo, el orador desea saber cuáles son las ventajas de que la Comisión se ocupe de esas denuncias y qué tiene pr</w:t>
      </w:r>
      <w:r>
        <w:t>e</w:t>
      </w:r>
      <w:r>
        <w:t>visto hacer el Gobierno del Canadá para desarrollar la posibilidad de un recurso judicial.</w:t>
      </w:r>
    </w:p>
    <w:p w:rsidR="00000000" w:rsidRDefault="00000000">
      <w:pPr>
        <w:pStyle w:val="DualTxt"/>
        <w:numPr>
          <w:ilvl w:val="0"/>
          <w:numId w:val="6"/>
        </w:numPr>
      </w:pPr>
      <w:r>
        <w:t xml:space="preserve">En el párrafo 53 del informe se hace referencia a las observaciones </w:t>
      </w:r>
      <w:r>
        <w:rPr>
          <w:i/>
        </w:rPr>
        <w:t>in obiter</w:t>
      </w:r>
      <w:r>
        <w:t xml:space="preserve"> de los tribunales acerca de la extradición de una persona a otro país en el que pu</w:t>
      </w:r>
      <w:r>
        <w:t>e</w:t>
      </w:r>
      <w:r>
        <w:t>de ser torturada lo que violaría la Carta de Derechos y Libertades del Canadá. El Comité desea saber si es cierto que el Gobierno del Canadá expulsa o extradita a personas a pesar de ese riesgo cuando están en juego los intereses en materia de seguridad nacional. A ju</w:t>
      </w:r>
      <w:r>
        <w:t>z</w:t>
      </w:r>
      <w:r>
        <w:t>gar por los fallos recientes del Tribunal Supremo esa podría ser la situación. Para finalizar, el Comité desea saber si la complicidad del Estado es un prerrequisito para determinar la existencia de un riesgo de persec</w:t>
      </w:r>
      <w:r>
        <w:t>u</w:t>
      </w:r>
      <w:r>
        <w:t>ción o tortura en otro país.</w:t>
      </w:r>
    </w:p>
    <w:p w:rsidR="00000000" w:rsidRDefault="00000000">
      <w:pPr>
        <w:pStyle w:val="DualTxt"/>
        <w:numPr>
          <w:ilvl w:val="0"/>
          <w:numId w:val="6"/>
        </w:numPr>
      </w:pPr>
      <w:r>
        <w:rPr>
          <w:b/>
        </w:rPr>
        <w:t>Lord Colville</w:t>
      </w:r>
      <w:r>
        <w:t xml:space="preserve"> dice que, al parecer, con arreglo a la Ley Nunavit, los habitantes tendrían derecho a la minería y a la pesca en su territorio y que el Acuerdo Definitivo de las Primeras Naciones incluiría los der</w:t>
      </w:r>
      <w:r>
        <w:t>e</w:t>
      </w:r>
      <w:r>
        <w:t>chos a la tierra y los recursos para los indios del Yukon. Desea saber qué se está haciendo acerca de los territorios más antiguos que han logrado la libre dete</w:t>
      </w:r>
      <w:r>
        <w:t>r</w:t>
      </w:r>
      <w:r>
        <w:t>minación con anterioridad y, en muchos casos, no se le concedieron los derechos al disfrute de los recursos naturales, por lo cual sus posibilidades de sobrevivir se han visto muy disminuidas. En el caso de Quebec, au</w:t>
      </w:r>
      <w:r>
        <w:t>n</w:t>
      </w:r>
      <w:r>
        <w:t>que cabe la posibilidad de que los grupos indígenas participen en las negociaciones por separado si surge la cuestión de la secesión, no podrán hacerlo en pie de igualdad a menos que tengan competencia económica.</w:t>
      </w:r>
    </w:p>
    <w:p w:rsidR="00000000" w:rsidRDefault="00000000">
      <w:pPr>
        <w:pStyle w:val="DualTxt"/>
        <w:numPr>
          <w:ilvl w:val="0"/>
          <w:numId w:val="6"/>
        </w:numPr>
      </w:pPr>
      <w:r>
        <w:t>El orador no cree que la Comisión de Derechos Humanos del Canadá y las comisiones provinciales de derechos humanos constituyan un recurso efectivo s</w:t>
      </w:r>
      <w:r>
        <w:t>e</w:t>
      </w:r>
      <w:r>
        <w:t>gún lo solicitado en el párrafo 3 del artículo 2 del Pacto debido a la acumulación de casos y a que las denuncias de los particulares no pueden ser llevadas a los trib</w:t>
      </w:r>
      <w:r>
        <w:t>u</w:t>
      </w:r>
      <w:r>
        <w:t>nales sin el apoyo de la comisión pertinente.</w:t>
      </w:r>
    </w:p>
    <w:p w:rsidR="00000000" w:rsidRDefault="00000000">
      <w:pPr>
        <w:pStyle w:val="DualTxt"/>
        <w:numPr>
          <w:ilvl w:val="0"/>
          <w:numId w:val="6"/>
        </w:numPr>
      </w:pPr>
      <w:r>
        <w:rPr>
          <w:b/>
        </w:rPr>
        <w:t>La Sra. Chanet</w:t>
      </w:r>
      <w:r>
        <w:t xml:space="preserve"> dice que, habida cuenta de que en el informe se examina la aplicación de la Carta de Derechos y Libertades del Canadá en lugar del Pacto, incluso se hace referencia al Pacto como instrumento de interpretación de la Carta del Canadá, dicho informe no se ajusta a las directrices del Comité. Está de acue</w:t>
      </w:r>
      <w:r>
        <w:t>r</w:t>
      </w:r>
      <w:r>
        <w:t>do en que la Comisión de Derechos Humanos del C</w:t>
      </w:r>
      <w:r>
        <w:t>a</w:t>
      </w:r>
      <w:r>
        <w:t>nadá no constituye un recurso efectivo porque actúa como mecanismo de selección de las denuncias. En Quebec la situación es diferente, ya que los particulares pueden directamente recurrir a los tribunales para d</w:t>
      </w:r>
      <w:r>
        <w:t>e</w:t>
      </w:r>
      <w:r>
        <w:t>nunciar las violaciones de los derechos humanos.</w:t>
      </w:r>
    </w:p>
    <w:p w:rsidR="00000000" w:rsidRDefault="00000000">
      <w:pPr>
        <w:pStyle w:val="DualTxt"/>
        <w:numPr>
          <w:ilvl w:val="0"/>
          <w:numId w:val="6"/>
        </w:numPr>
      </w:pPr>
      <w:r>
        <w:t>No hay igualdad plena en el Canadá en relación con el nivel de garantía, especialmente para los pueblos indígenas, los extranjeros y los refugiados. Con re</w:t>
      </w:r>
      <w:r>
        <w:t>s</w:t>
      </w:r>
      <w:r>
        <w:t>pecto a los pueblos indígenas, al parecer en los acue</w:t>
      </w:r>
      <w:r>
        <w:t>r</w:t>
      </w:r>
      <w:r>
        <w:t>dos concertados con los pueblos de los Territorios del Noroeste y el Inuit, los derechos de esos pueblos a la tierra y los recursos se ven continuamente socavados, y eso es una forma de dejar de lado la cuestión de la libre determinación. Es necesario esclarecer la cuestión.</w:t>
      </w:r>
    </w:p>
    <w:p w:rsidR="00000000" w:rsidRDefault="00000000">
      <w:pPr>
        <w:pStyle w:val="DualTxt"/>
        <w:numPr>
          <w:ilvl w:val="0"/>
          <w:numId w:val="6"/>
        </w:numPr>
      </w:pPr>
      <w:r>
        <w:t>Al parecer se puede detener a los refugiados y a los extranjeros por períodos indefinidos, habida cuenta de que en la Ley de inmigración no se contempla la d</w:t>
      </w:r>
      <w:r>
        <w:t>u</w:t>
      </w:r>
      <w:r>
        <w:t>ración de la detención o el hecho de recurrir a un m</w:t>
      </w:r>
      <w:r>
        <w:t>a</w:t>
      </w:r>
      <w:r>
        <w:t>gistrado, y, en algunos casos, la detención tiene lugar en las cárceles. La oradora desea saber qué función d</w:t>
      </w:r>
      <w:r>
        <w:t>e</w:t>
      </w:r>
      <w:r>
        <w:t>sempeñan los jueces y qué garantía tienen los presos. También pregunta si hay casos en los que el Gobierno del Canadá extradita o expulsa a las personas a países donde se los puede someter a tortura y si prevé conc</w:t>
      </w:r>
      <w:r>
        <w:t>e</w:t>
      </w:r>
      <w:r>
        <w:t>der pedidos para la adopción de medidas provisionales de protección.</w:t>
      </w:r>
    </w:p>
    <w:p w:rsidR="00000000" w:rsidRDefault="00000000">
      <w:pPr>
        <w:pStyle w:val="DualTxt"/>
        <w:numPr>
          <w:ilvl w:val="0"/>
          <w:numId w:val="6"/>
        </w:numPr>
      </w:pPr>
      <w:r>
        <w:rPr>
          <w:b/>
        </w:rPr>
        <w:t>La Sra. Gaitán de Pombo</w:t>
      </w:r>
      <w:r>
        <w:t xml:space="preserve"> solicita más inform</w:t>
      </w:r>
      <w:r>
        <w:t>a</w:t>
      </w:r>
      <w:r>
        <w:t>ción sobre la nueva relación entre el Gobierno del C</w:t>
      </w:r>
      <w:r>
        <w:t>a</w:t>
      </w:r>
      <w:r>
        <w:t>nadá y los pueblos indígenas y sobre el progreso que estos pueblos lograron en relación con sus reivindic</w:t>
      </w:r>
      <w:r>
        <w:t>a</w:t>
      </w:r>
      <w:r>
        <w:t>ciones territoriales desde la publicación del informe de la Real Comisión sobre los pueblos indígenas en 1996.</w:t>
      </w:r>
    </w:p>
    <w:p w:rsidR="00000000" w:rsidRDefault="00000000">
      <w:pPr>
        <w:pStyle w:val="DualTxt"/>
        <w:numPr>
          <w:ilvl w:val="0"/>
          <w:numId w:val="6"/>
        </w:numPr>
        <w:suppressAutoHyphens/>
        <w:rPr>
          <w:spacing w:val="2"/>
          <w:w w:val="101"/>
        </w:rPr>
      </w:pPr>
      <w:r>
        <w:rPr>
          <w:b/>
        </w:rPr>
        <w:t>El Sr. Ando</w:t>
      </w:r>
      <w:r>
        <w:t xml:space="preserve">, refiriéndose a la cuestión de la libre determinación, dice que cuando se recibe una </w:t>
      </w:r>
      <w:r>
        <w:rPr>
          <w:spacing w:val="-2"/>
        </w:rPr>
        <w:t>comunicación particular del Canadá, como es el caso del grupo del Lago Lubicon, se plantea la cuestión de si está comprendida en el artículo 1 o 27 del Pacto. Habida cuenta de que el Protocolo Facultativo no permite a los grupos presentar reclamaciones, el Comité ha decidido abordar esa cuestión con arreglo al artículo 27, sobre las minorías. Desea saber exactamente lo que el Canadá entiende por libre determinación dado que, según el informe, parece tener un significado particular. Sería útil saber la posición de los gobiernos federal y provincial en los casos en que la legislación tradicional de grupos indígenas es contraria a las disposiciones del Pacto</w:t>
      </w:r>
      <w:r>
        <w:rPr>
          <w:spacing w:val="-2"/>
          <w:w w:val="101"/>
        </w:rPr>
        <w:t>.</w:t>
      </w:r>
    </w:p>
    <w:p w:rsidR="00000000" w:rsidRDefault="00000000">
      <w:pPr>
        <w:pStyle w:val="DualTxt"/>
        <w:numPr>
          <w:ilvl w:val="0"/>
          <w:numId w:val="6"/>
        </w:numPr>
      </w:pPr>
      <w:r>
        <w:t>En el párrafo 197 del informe se hace referencia al problema de la violencia de las sectas contra las mujeres y los niños en el Canadá. Se agradecería rec</w:t>
      </w:r>
      <w:r>
        <w:t>i</w:t>
      </w:r>
      <w:r>
        <w:t>bir más información sobre esa cuestión. Con respecto a la legislación sobre el idioma de Quebec, en el informe se mencionan las restricciones a la publicidad en otros idiomas que no sea el francés y la obligatoriedad de utilizar el francés en los locales escolares (párrs. 497 y 498). Habida cuenta de que la fecha del informe es abril de 1997, sería útil saber cómo ha evolucionado la situación. En su presentación la Sra. Fry ha mencion</w:t>
      </w:r>
      <w:r>
        <w:t>a</w:t>
      </w:r>
      <w:r>
        <w:t>do una enmienda reciente a la Ley de derechos hum</w:t>
      </w:r>
      <w:r>
        <w:t>a</w:t>
      </w:r>
      <w:r>
        <w:t>nos del Canadá mediante la creación de un pequeño Tribunal de derechos humanos con carácter permane</w:t>
      </w:r>
      <w:r>
        <w:t>n</w:t>
      </w:r>
      <w:r>
        <w:t>te. No queda claro si es el mismo Tribunal que se me</w:t>
      </w:r>
      <w:r>
        <w:t>n</w:t>
      </w:r>
      <w:r>
        <w:t>ciona en el párrafo 270 del informe y, de no ser así, el Comité agradecería que se presentara información acerca de la competencia de jurisdicción y la relación con otros tribunales.</w:t>
      </w:r>
    </w:p>
    <w:p w:rsidR="00000000" w:rsidRDefault="00000000">
      <w:pPr>
        <w:pStyle w:val="DualTxt"/>
        <w:numPr>
          <w:ilvl w:val="0"/>
          <w:numId w:val="6"/>
        </w:numPr>
      </w:pPr>
      <w:r>
        <w:rPr>
          <w:b/>
        </w:rPr>
        <w:t>El Sr. Amor</w:t>
      </w:r>
      <w:r>
        <w:t xml:space="preserve"> dice que en la actualidad el concepto de libre determinación es motivo de amplias deliber</w:t>
      </w:r>
      <w:r>
        <w:t>a</w:t>
      </w:r>
      <w:r>
        <w:t>ciones en el plano internacional y, al parecer, tiene una connotación especial en el Canadá. Según el informe, es dinámico y funcional y su contenido y alcance pu</w:t>
      </w:r>
      <w:r>
        <w:t>e</w:t>
      </w:r>
      <w:r>
        <w:t>den variar en circunstancias diferentes. Se agradecería que se esclareciera aún más la cuestión. En el Canadá, al parecer, la libre determinación no incluye la sober</w:t>
      </w:r>
      <w:r>
        <w:t>a</w:t>
      </w:r>
      <w:r>
        <w:t>nía sobre los recursos naturales, lo que priva a los gr</w:t>
      </w:r>
      <w:r>
        <w:t>u</w:t>
      </w:r>
      <w:r>
        <w:t>pos interesados de suficiente poder de negociación para lograr plenamente la libre determinación. Sobre la cuestión de la tierra, los indígenas pueden obtener el título de propiedad de la tierra si presentan pruebas de derechos ancestrales. No obstante, se debe partir del supuesto de propiedad indígena a menos que se presenten pruebas en contrario. La cuestión de la pru</w:t>
      </w:r>
      <w:r>
        <w:t>e</w:t>
      </w:r>
      <w:r>
        <w:t>ba es importante porque no es particularmente simple establecerla y porque la inversión de la carga de la prueba podría ser una forma de evadir esa cuestión fund</w:t>
      </w:r>
      <w:r>
        <w:t>a</w:t>
      </w:r>
      <w:r>
        <w:t>mental.</w:t>
      </w:r>
    </w:p>
    <w:p w:rsidR="00000000" w:rsidRDefault="00000000">
      <w:pPr>
        <w:pStyle w:val="DualTxt"/>
        <w:numPr>
          <w:ilvl w:val="0"/>
          <w:numId w:val="6"/>
        </w:numPr>
      </w:pPr>
      <w:r>
        <w:t>El Comité agradecería recibir información sobre si la jurisprudencia ha establecido criterios precisos p</w:t>
      </w:r>
      <w:r>
        <w:t>a</w:t>
      </w:r>
      <w:r>
        <w:t>ra conceder o denegar el asilo, y si esos criterios se i</w:t>
      </w:r>
      <w:r>
        <w:t>n</w:t>
      </w:r>
      <w:r>
        <w:t>terpretan en forma flexible o rígida. Con respecto a la cuestión de la libertad de religión en relación con alg</w:t>
      </w:r>
      <w:r>
        <w:t>u</w:t>
      </w:r>
      <w:r>
        <w:t>nas nuevas religiones y grupos, sería interesante saber cuál ha sido el seguimiento judicial del caso de la O</w:t>
      </w:r>
      <w:r>
        <w:t>r</w:t>
      </w:r>
      <w:r>
        <w:t>den del Templo Solar. Además, con respecto a la dif</w:t>
      </w:r>
      <w:r>
        <w:t>u</w:t>
      </w:r>
      <w:r>
        <w:t>sión de la cuestión en los medios cuando se utiliza la libertad de prensa para agrupar todos los tipos de min</w:t>
      </w:r>
      <w:r>
        <w:t>o</w:t>
      </w:r>
      <w:r>
        <w:t>rías y religiones como sectas en sentido peyorativo, se corre el riesgo de que haya persecución religiosa. Por otra parte, si bien en el Canadá se garantiza el d</w:t>
      </w:r>
      <w:r>
        <w:t>e</w:t>
      </w:r>
      <w:r>
        <w:t>recho a la enseñanza religiosa, algunas minorías p</w:t>
      </w:r>
      <w:r>
        <w:t>o</w:t>
      </w:r>
      <w:r>
        <w:t>drían utilizar ese derecho para adoctrinamiento político o para difundir el oscurantismo religioso. Sería útil s</w:t>
      </w:r>
      <w:r>
        <w:t>a</w:t>
      </w:r>
      <w:r>
        <w:t>ber si las autoridades pueden supervisar ese tipo de e</w:t>
      </w:r>
      <w:r>
        <w:t>n</w:t>
      </w:r>
      <w:r>
        <w:t>señanza para garantizar que no se abuse de la libertad de r</w:t>
      </w:r>
      <w:r>
        <w:t>e</w:t>
      </w:r>
      <w:r>
        <w:t>ligión.</w:t>
      </w:r>
    </w:p>
    <w:p w:rsidR="00000000" w:rsidRDefault="00000000">
      <w:pPr>
        <w:pStyle w:val="DualTxt"/>
        <w:numPr>
          <w:ilvl w:val="0"/>
          <w:numId w:val="6"/>
        </w:numPr>
      </w:pPr>
      <w:r>
        <w:t>Para finalizar, los derechos de las mujeres a veces son restringidos en nombre de la libertad de religión y sería útil saber si las autoridades del Canadá prevén adoptar medidas para proteger a la mujer de algunos excesos de celo religioso. Además, en el caso de alg</w:t>
      </w:r>
      <w:r>
        <w:t>u</w:t>
      </w:r>
      <w:r>
        <w:t>nas minorías religiosas que viven en el Canadá, no queda claro si la condición personal de la mujer se d</w:t>
      </w:r>
      <w:r>
        <w:t>e</w:t>
      </w:r>
      <w:r>
        <w:t>fine por su religión o por ley canadiense, especialmente con respecto a los derechos de sucesión.</w:t>
      </w:r>
    </w:p>
    <w:p w:rsidR="00000000" w:rsidRDefault="00000000">
      <w:pPr>
        <w:pStyle w:val="DualTxt"/>
        <w:numPr>
          <w:ilvl w:val="0"/>
          <w:numId w:val="6"/>
        </w:numPr>
      </w:pPr>
      <w:r>
        <w:rPr>
          <w:b/>
        </w:rPr>
        <w:t>El Sr. Zakhia</w:t>
      </w:r>
      <w:r>
        <w:t xml:space="preserve"> dice que en los países donde la igualdad entre el hombre y la mujer es verdadera, como los países escandinavos, se reconoce oficialmente el principio de igualdad. Desea saber si el Canadá tiene una política sobre la igualdad del hombre y de la mujer. Sería útil saber si las organizaciones no gubername</w:t>
      </w:r>
      <w:r>
        <w:t>n</w:t>
      </w:r>
      <w:r>
        <w:t>tales pueden intervenir en los tribunales en relación con las violaciones de los derechos humanos, ya que con frecuencia constituyen un recurso muy efectivo.</w:t>
      </w:r>
    </w:p>
    <w:p w:rsidR="00000000" w:rsidRDefault="00000000">
      <w:pPr>
        <w:pStyle w:val="DualTxt"/>
        <w:numPr>
          <w:ilvl w:val="0"/>
          <w:numId w:val="6"/>
        </w:numPr>
      </w:pPr>
      <w:r>
        <w:t>Se ha informado al Comité de que el Gobierno de Ontario ha reducido el presupuesto para los servicios sociales básicos. En consecuencia, se han cerrado v</w:t>
      </w:r>
      <w:r>
        <w:t>a</w:t>
      </w:r>
      <w:r>
        <w:t>rios hospitales públicos y en los hospitales de la iglesia católica se prestan algunos servicios. El orador expresa su preocupación acerca del efecto de la medida en d</w:t>
      </w:r>
      <w:r>
        <w:t>e</w:t>
      </w:r>
      <w:r>
        <w:t>terminados derechos de la mujer. Finalmente, no queda claro el motivo por el cual el Gobierno de Ontario no ha realizado una investigación pública de la muerte de Dudley George, a pesar de que los tribunales y organ</w:t>
      </w:r>
      <w:r>
        <w:t>i</w:t>
      </w:r>
      <w:r>
        <w:t>zaciones nacionales e internacionales lo han solicitado.</w:t>
      </w:r>
    </w:p>
    <w:p w:rsidR="00000000" w:rsidRDefault="00000000">
      <w:pPr>
        <w:pStyle w:val="DualTxt"/>
        <w:numPr>
          <w:ilvl w:val="0"/>
          <w:numId w:val="6"/>
        </w:numPr>
      </w:pPr>
      <w:r>
        <w:rPr>
          <w:b/>
        </w:rPr>
        <w:t>El Sr. Solari Irigoyen</w:t>
      </w:r>
      <w:r>
        <w:t xml:space="preserve"> reitera la preocupación de que el informe parece basarse en la Carta de Derechos Humanos del Canadá y no en el Pacto. Sería útil saber la posición del Gobierno con respecto a la muerte de Dudley George ya que existen temores de que haya s</w:t>
      </w:r>
      <w:r>
        <w:t>i</w:t>
      </w:r>
      <w:r>
        <w:t>do una ejecución sumaria y, al parecer, los indígenas involucrados no portaban armas. Se ha informado al Comité de que un testigo indio fue detenido menos de una hora antes de formular su declaración, lo que ha intimidado a otros testigos. Asimismo, la familia de George ha recibido amenazas. El Comité desea saber el grado de exactitud de esa información.</w:t>
      </w:r>
    </w:p>
    <w:p w:rsidR="00000000" w:rsidRDefault="00000000">
      <w:pPr>
        <w:pStyle w:val="DualTxt"/>
        <w:numPr>
          <w:ilvl w:val="0"/>
          <w:numId w:val="6"/>
        </w:numPr>
      </w:pPr>
      <w:r>
        <w:t>El Comité también agradecería recibir inform</w:t>
      </w:r>
      <w:r>
        <w:t>a</w:t>
      </w:r>
      <w:r>
        <w:t>ción sobre la posición del Gobierno federal con re</w:t>
      </w:r>
      <w:r>
        <w:t>s</w:t>
      </w:r>
      <w:r>
        <w:t>pecto al referéndum de la independencia de Quebec, específicamente, si es neutral o adopta la posición de que Quebec debe seguir formando parte del Canadá. Finalmente, el Comité agradecería recibir información sobre el resultado de la investigación de la particip</w:t>
      </w:r>
      <w:r>
        <w:t>a</w:t>
      </w:r>
      <w:r>
        <w:t>ción de soldados canadienses en abusos durante la m</w:t>
      </w:r>
      <w:r>
        <w:t>i</w:t>
      </w:r>
      <w:r>
        <w:t>sión de la ONUSOM II en Somalia, en 1993. Se sabe que el regimiento implicado ya no existe, pero se debe suministrar información sobre lo acontecido a los so</w:t>
      </w:r>
      <w:r>
        <w:t>l</w:t>
      </w:r>
      <w:r>
        <w:t>dados que participaron en el hecho.</w:t>
      </w:r>
    </w:p>
    <w:p w:rsidR="00000000" w:rsidRDefault="00000000">
      <w:pPr>
        <w:pStyle w:val="DualTxt"/>
        <w:numPr>
          <w:ilvl w:val="0"/>
          <w:numId w:val="6"/>
        </w:numPr>
      </w:pPr>
      <w:r>
        <w:rPr>
          <w:b/>
        </w:rPr>
        <w:t>El Sr. Lallah</w:t>
      </w:r>
      <w:r>
        <w:t xml:space="preserve"> dice que apoya las observaciones realizadas sobre la libre determinación en el contexto del artículo 27 del Pacto y subraya que, en el caso del derecho de los indígenas a la libre determinación, es muy importante considerar el artículo 27 del Pacto en relación con el artículo 1, dado que la forma de vida indígena es parte de su cultura y está estrechamente vinculada a la utilización de la tierra y los recursos. Con respecto al caso Kindler, a que se hace referencia en el párrafo 41 del informe, no está claro si el Canadá cambiará su política de extradición para no extraditar a las personas que están sujetas a la pena capital en su propio país. Es necesario recibir más información al respecto.</w:t>
      </w:r>
    </w:p>
    <w:p w:rsidR="00000000" w:rsidRDefault="00000000">
      <w:pPr>
        <w:pStyle w:val="DualTxt"/>
        <w:numPr>
          <w:ilvl w:val="0"/>
          <w:numId w:val="6"/>
        </w:numPr>
      </w:pPr>
      <w:r>
        <w:t>Según la Sra. Fry, las Comisiones de Derechos Humanos federal y provincial presentan informes al Parlamento. Sería útil recibir más información sobre el éxito de ese tipo de medidas y si ello promueve los d</w:t>
      </w:r>
      <w:r>
        <w:t>e</w:t>
      </w:r>
      <w:r>
        <w:t>rechos humanos o, por el contrario, actúa en detrimento de ellos. El informe contiene estadísticas sobre denu</w:t>
      </w:r>
      <w:r>
        <w:t>n</w:t>
      </w:r>
      <w:r>
        <w:t>cias en el caso de la provincia de Quebec, pero no se mencionan los resultados. El Comité agradecería rec</w:t>
      </w:r>
      <w:r>
        <w:t>i</w:t>
      </w:r>
      <w:r>
        <w:t>bir más detalles al respecto.</w:t>
      </w:r>
    </w:p>
    <w:p w:rsidR="00000000" w:rsidRDefault="00000000">
      <w:pPr>
        <w:pStyle w:val="DualTxt"/>
        <w:numPr>
          <w:ilvl w:val="0"/>
          <w:numId w:val="6"/>
        </w:numPr>
      </w:pPr>
      <w:r>
        <w:rPr>
          <w:b/>
        </w:rPr>
        <w:t>El Sr. Pocar</w:t>
      </w:r>
      <w:r>
        <w:t xml:space="preserve"> dice que está de acuerdo en que en el informe no se hace referencia suficiente al Pacto, s</w:t>
      </w:r>
      <w:r>
        <w:t>i</w:t>
      </w:r>
      <w:r>
        <w:t>no por el contrario se demuestra cómo se aplican los derechos en relación con la Carta del Canadá. Hay d</w:t>
      </w:r>
      <w:r>
        <w:t>i</w:t>
      </w:r>
      <w:r>
        <w:t>ferencias importantes entre la Carta y el Pacto, por ejemplo, con respecto a la definición de tortura. El e</w:t>
      </w:r>
      <w:r>
        <w:t>s</w:t>
      </w:r>
      <w:r>
        <w:t>tado que presenta el informe debe explicar si las no</w:t>
      </w:r>
      <w:r>
        <w:t>r</w:t>
      </w:r>
      <w:r>
        <w:t>mas canadienses son compatibles con las normas inte</w:t>
      </w:r>
      <w:r>
        <w:t>r</w:t>
      </w:r>
      <w:r>
        <w:t>nacionales sobre la tortura.</w:t>
      </w:r>
    </w:p>
    <w:p w:rsidR="00000000" w:rsidRDefault="00000000">
      <w:pPr>
        <w:pStyle w:val="DualTxt"/>
        <w:numPr>
          <w:ilvl w:val="0"/>
          <w:numId w:val="6"/>
        </w:numPr>
      </w:pPr>
      <w:r>
        <w:rPr>
          <w:b/>
        </w:rPr>
        <w:t>El Sr. Kretzmer</w:t>
      </w:r>
      <w:r>
        <w:t xml:space="preserve"> dice que, debido al hincapié que se hace en el informe en la Carta del Canadá y no en el Pacto, no queda claro con qué seriedad el Estado Parte toma en cuenta sus obligaciones específicas con arreglo al Pacto, especialmente en relación con los artículos 2, 26 y 18. Hay discriminación entre las confesiones rel</w:t>
      </w:r>
      <w:r>
        <w:t>i</w:t>
      </w:r>
      <w:r>
        <w:t>giosas en la enseñanza porque otorgan privilegios e</w:t>
      </w:r>
      <w:r>
        <w:t>s</w:t>
      </w:r>
      <w:r>
        <w:t>peciales a dos religiones, la católica romana y la pr</w:t>
      </w:r>
      <w:r>
        <w:t>o</w:t>
      </w:r>
      <w:r>
        <w:t>testante, con arreglo a la Carta del Canadá. Ahora el Canadá es una sociedad multiétnica y es posible que una posición de esa índole sea contraria a sus oblig</w:t>
      </w:r>
      <w:r>
        <w:t>a</w:t>
      </w:r>
      <w:r>
        <w:t>ciones con arreglo al Pacto.</w:t>
      </w:r>
    </w:p>
    <w:p w:rsidR="00000000" w:rsidRDefault="00000000">
      <w:pPr>
        <w:pStyle w:val="DualTxt"/>
        <w:tabs>
          <w:tab w:val="clear" w:pos="480"/>
        </w:tabs>
      </w:pPr>
      <w:r>
        <w:rPr>
          <w:i/>
        </w:rPr>
        <w:t>Se levanta la sesión a las 13.00 horas.</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NO&gt;&gt;N0044442S&lt;&lt;ODS JOB NO&gt;&gt;</w:t>
      </w:r>
    </w:p>
    <w:p w:rsidR="00000000" w:rsidRDefault="00000000">
      <w:pPr>
        <w:pStyle w:val="CommentText"/>
      </w:pPr>
      <w:r>
        <w:t>&lt;&lt;ODS DOC SYMBOL1&gt;&gt;CCPR/C/SR.1737&lt;&lt;ODS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0044442s.doc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0044442s.doc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00-44442 (S)</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*0044442*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CCPR/C/SR.1737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CCPR/C/SR.1737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/C/SR.1737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18 de junio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521F4"/>
    <w:multiLevelType w:val="singleLevel"/>
    <w:tmpl w:val="CD42187E"/>
    <w:lvl w:ilvl="0">
      <w:start w:val="12"/>
      <w:numFmt w:val="decimal"/>
      <w:lvlRestart w:val="0"/>
      <w:lvlText w:val="%1."/>
      <w:lvlJc w:val="left"/>
      <w:pPr>
        <w:tabs>
          <w:tab w:val="num" w:pos="475"/>
        </w:tabs>
        <w:ind w:left="0" w:firstLine="0"/>
      </w:pPr>
      <w:rPr>
        <w:b w:val="0"/>
        <w:i w:val="0"/>
        <w:spacing w:val="0"/>
        <w:w w:val="100"/>
      </w:rPr>
    </w:lvl>
  </w:abstractNum>
  <w:abstractNum w:abstractNumId="1">
    <w:nsid w:val="25375590"/>
    <w:multiLevelType w:val="singleLevel"/>
    <w:tmpl w:val="581EF7E2"/>
    <w:lvl w:ilvl="0">
      <w:start w:val="28"/>
      <w:numFmt w:val="decimal"/>
      <w:lvlRestart w:val="0"/>
      <w:lvlText w:val="%1."/>
      <w:lvlJc w:val="left"/>
      <w:pPr>
        <w:tabs>
          <w:tab w:val="num" w:pos="475"/>
        </w:tabs>
        <w:ind w:left="0" w:firstLine="0"/>
      </w:pPr>
      <w:rPr>
        <w:spacing w:val="0"/>
        <w:w w:val="100"/>
      </w:rPr>
    </w:lvl>
  </w:abstractNum>
  <w:abstractNum w:abstractNumId="2">
    <w:nsid w:val="25B26312"/>
    <w:multiLevelType w:val="singleLevel"/>
    <w:tmpl w:val="6770B2B0"/>
    <w:lvl w:ilvl="0">
      <w:start w:val="42"/>
      <w:numFmt w:val="decimal"/>
      <w:lvlRestart w:val="0"/>
      <w:lvlText w:val="%1."/>
      <w:lvlJc w:val="left"/>
      <w:pPr>
        <w:tabs>
          <w:tab w:val="num" w:pos="475"/>
        </w:tabs>
        <w:ind w:left="0" w:firstLine="0"/>
      </w:pPr>
      <w:rPr>
        <w:b w:val="0"/>
        <w:i w:val="0"/>
        <w:spacing w:val="0"/>
        <w:w w:val="100"/>
      </w:rPr>
    </w:lvl>
  </w:abstractNum>
  <w:abstractNum w:abstractNumId="3">
    <w:nsid w:val="3D4C5416"/>
    <w:multiLevelType w:val="singleLevel"/>
    <w:tmpl w:val="6770B2B0"/>
    <w:lvl w:ilvl="0">
      <w:start w:val="42"/>
      <w:numFmt w:val="decimal"/>
      <w:lvlRestart w:val="0"/>
      <w:lvlText w:val="%1."/>
      <w:lvlJc w:val="left"/>
      <w:pPr>
        <w:tabs>
          <w:tab w:val="num" w:pos="475"/>
        </w:tabs>
        <w:ind w:left="0" w:firstLine="0"/>
      </w:pPr>
      <w:rPr>
        <w:b w:val="0"/>
        <w:i w:val="0"/>
        <w:spacing w:val="0"/>
        <w:w w:val="100"/>
      </w:rPr>
    </w:lvl>
  </w:abstractNum>
  <w:abstractNum w:abstractNumId="4">
    <w:nsid w:val="5C980F61"/>
    <w:multiLevelType w:val="singleLevel"/>
    <w:tmpl w:val="3C52A586"/>
    <w:lvl w:ilvl="0">
      <w:start w:val="12"/>
      <w:numFmt w:val="decimal"/>
      <w:lvlRestart w:val="0"/>
      <w:lvlText w:val="%1."/>
      <w:lvlJc w:val="left"/>
      <w:pPr>
        <w:tabs>
          <w:tab w:val="num" w:pos="475"/>
        </w:tabs>
        <w:ind w:left="0" w:firstLine="0"/>
      </w:pPr>
      <w:rPr>
        <w:b w:val="0"/>
        <w:i w:val="0"/>
        <w:spacing w:val="0"/>
        <w:w w:val="100"/>
      </w:rPr>
    </w:lvl>
  </w:abstractNum>
  <w:abstractNum w:abstractNumId="5">
    <w:nsid w:val="5CB26E7D"/>
    <w:multiLevelType w:val="singleLevel"/>
    <w:tmpl w:val="59AEEAAE"/>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0"/>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4/2001 15:38:25"/>
    <w:docVar w:name="DocCategory" w:val="SROthers"/>
    <w:docVar w:name="DocType" w:val="Final"/>
    <w:docVar w:name="JobNo" w:val="0044442S"/>
    <w:docVar w:name="OandT" w:val="LLANOS"/>
    <w:docVar w:name="Symbol1" w:val="CCPR/C/SR.17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TotalTime>
  <Pages>11</Pages>
  <Words>6762</Words>
  <Characters>38545</Characters>
  <Application>Microsoft Office Word</Application>
  <DocSecurity>4</DocSecurity>
  <Lines>321</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47335</CharactersWithSpaces>
  <SharedDoc>false</SharedDoc>
  <HLinks>
    <vt:vector size="6" baseType="variant">
      <vt:variant>
        <vt:i4>4522087</vt:i4>
      </vt:variant>
      <vt:variant>
        <vt:i4>47974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Llanos, Martha</dc:creator>
  <cp:keywords/>
  <dc:description/>
  <cp:lastModifiedBy>Echevarriarza, Elizabeth</cp:lastModifiedBy>
  <cp:revision>57</cp:revision>
  <cp:lastPrinted>2001-06-15T17:16:00Z</cp:lastPrinted>
  <dcterms:created xsi:type="dcterms:W3CDTF">2001-04-18T14:38:00Z</dcterms:created>
  <dcterms:modified xsi:type="dcterms:W3CDTF">2001-06-15T17:17:00Z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0044442</vt:lpwstr>
  </property>
  <property fmtid="{D5CDD505-2E9C-101B-9397-08002B2CF9AE}" pid="3" name="Symbol1">
    <vt:lpwstr>CCPR/C/SR.1737</vt:lpwstr>
  </property>
  <property fmtid="{D5CDD505-2E9C-101B-9397-08002B2CF9AE}" pid="4" name="Symbol2">
    <vt:lpwstr/>
  </property>
  <property fmtid="{D5CDD505-2E9C-101B-9397-08002B2CF9AE}" pid="5" name="Translator">
    <vt:lpwstr/>
  </property>
  <property fmtid="{D5CDD505-2E9C-101B-9397-08002B2CF9AE}" pid="6" name="Operator">
    <vt:lpwstr>LLANOS</vt:lpwstr>
  </property>
  <property fmtid="{D5CDD505-2E9C-101B-9397-08002B2CF9AE}" pid="7" name="DraftPages">
    <vt:lpwstr> </vt:lpwstr>
  </property>
  <property fmtid="{D5CDD505-2E9C-101B-9397-08002B2CF9AE}" pid="8" name="Comment">
    <vt:lpwstr/>
  </property>
</Properties>
</file>