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4D7955" w:rsidRDefault="00C40431">
            <w:pPr>
              <w:spacing w:line="240" w:lineRule="atLeast"/>
              <w:jc w:val="right"/>
              <w:rPr>
                <w:sz w:val="20"/>
                <w:szCs w:val="21"/>
              </w:rPr>
            </w:pPr>
            <w:r>
              <w:rPr>
                <w:rFonts w:hint="eastAsia"/>
                <w:sz w:val="40"/>
                <w:szCs w:val="40"/>
              </w:rPr>
              <w:t>CCPR</w:t>
            </w:r>
            <w:r w:rsidRPr="002D3D9F">
              <w:rPr>
                <w:sz w:val="20"/>
              </w:rPr>
              <w:t>/</w:t>
            </w:r>
            <w:r w:rsidR="004D7955" w:rsidRPr="004D7955">
              <w:rPr>
                <w:sz w:val="20"/>
              </w:rPr>
              <w:t>C/BIH/CO/2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4D7955" w:rsidRPr="004D7955">
              <w:rPr>
                <w:sz w:val="20"/>
              </w:rPr>
              <w:t>General</w:t>
            </w:r>
          </w:p>
          <w:p w:rsidR="00C40431" w:rsidRPr="002D3D9F" w:rsidRDefault="004D7955">
            <w:pPr>
              <w:spacing w:line="240" w:lineRule="atLeast"/>
              <w:rPr>
                <w:rFonts w:hint="eastAsia"/>
                <w:sz w:val="20"/>
              </w:rPr>
            </w:pPr>
            <w:r>
              <w:rPr>
                <w:rFonts w:hint="eastAsia"/>
                <w:sz w:val="20"/>
              </w:rPr>
              <w:t xml:space="preserve">13 </w:t>
            </w:r>
            <w:r w:rsidRPr="004D7955">
              <w:rPr>
                <w:sz w:val="20"/>
              </w:rPr>
              <w:t>November</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8103CF">
      <w:pPr>
        <w:pStyle w:val="HChGC"/>
        <w:spacing w:before="560"/>
        <w:rPr>
          <w:rFonts w:hint="eastAsia"/>
        </w:rPr>
      </w:pPr>
      <w:r>
        <w:tab/>
      </w:r>
      <w:r>
        <w:tab/>
      </w:r>
      <w:r w:rsidR="004D7955" w:rsidRPr="008103CF">
        <w:rPr>
          <w:rFonts w:hint="eastAsia"/>
          <w:spacing w:val="4"/>
        </w:rPr>
        <w:t>人权事务委员会在第</w:t>
      </w:r>
      <w:r w:rsidR="00ED11A7" w:rsidRPr="008103CF">
        <w:rPr>
          <w:rFonts w:hint="eastAsia"/>
          <w:spacing w:val="4"/>
        </w:rPr>
        <w:t>一</w:t>
      </w:r>
      <w:r w:rsidR="00ED11A7" w:rsidRPr="008103CF">
        <w:rPr>
          <w:rFonts w:ascii="SimSun" w:hAnsi="SimSun" w:hint="eastAsia"/>
          <w:spacing w:val="4"/>
        </w:rPr>
        <w:t>〇</w:t>
      </w:r>
      <w:r w:rsidR="00ED11A7" w:rsidRPr="008103CF">
        <w:rPr>
          <w:rFonts w:hint="eastAsia"/>
          <w:spacing w:val="4"/>
        </w:rPr>
        <w:t>六</w:t>
      </w:r>
      <w:r w:rsidR="004D7955" w:rsidRPr="008103CF">
        <w:rPr>
          <w:rFonts w:hint="eastAsia"/>
          <w:spacing w:val="4"/>
        </w:rPr>
        <w:t>届会议</w:t>
      </w:r>
      <w:r w:rsidR="004D7955" w:rsidRPr="008103CF">
        <w:rPr>
          <w:rFonts w:hint="eastAsia"/>
          <w:spacing w:val="4"/>
        </w:rPr>
        <w:t>(2012</w:t>
      </w:r>
      <w:r w:rsidR="004D7955" w:rsidRPr="008103CF">
        <w:rPr>
          <w:rFonts w:hint="eastAsia"/>
          <w:spacing w:val="4"/>
        </w:rPr>
        <w:t>年</w:t>
      </w:r>
      <w:r w:rsidR="004D7955" w:rsidRPr="008103CF">
        <w:rPr>
          <w:rFonts w:hint="eastAsia"/>
          <w:spacing w:val="4"/>
        </w:rPr>
        <w:t>10</w:t>
      </w:r>
      <w:r w:rsidR="004D7955" w:rsidRPr="008103CF">
        <w:rPr>
          <w:rFonts w:hint="eastAsia"/>
          <w:spacing w:val="4"/>
        </w:rPr>
        <w:t>月</w:t>
      </w:r>
      <w:r w:rsidR="004D7955" w:rsidRPr="008103CF">
        <w:rPr>
          <w:rFonts w:hint="eastAsia"/>
          <w:spacing w:val="4"/>
        </w:rPr>
        <w:t>15</w:t>
      </w:r>
      <w:r w:rsidR="004D7955" w:rsidRPr="008103CF">
        <w:rPr>
          <w:rFonts w:hint="eastAsia"/>
          <w:spacing w:val="4"/>
        </w:rPr>
        <w:t>日至</w:t>
      </w:r>
      <w:r w:rsidR="004D7955" w:rsidRPr="008103CF">
        <w:rPr>
          <w:rFonts w:hint="eastAsia"/>
          <w:spacing w:val="4"/>
        </w:rPr>
        <w:t>11</w:t>
      </w:r>
      <w:r w:rsidR="004D7955" w:rsidRPr="004D7955">
        <w:rPr>
          <w:rFonts w:hint="eastAsia"/>
        </w:rPr>
        <w:t>月</w:t>
      </w:r>
      <w:r w:rsidR="004D7955" w:rsidRPr="004D7955">
        <w:rPr>
          <w:rFonts w:hint="eastAsia"/>
        </w:rPr>
        <w:t>2</w:t>
      </w:r>
      <w:r w:rsidR="004D7955" w:rsidRPr="004D7955">
        <w:rPr>
          <w:rFonts w:hint="eastAsia"/>
        </w:rPr>
        <w:t>日</w:t>
      </w:r>
      <w:r w:rsidR="004D7955" w:rsidRPr="004D7955">
        <w:rPr>
          <w:rFonts w:hint="eastAsia"/>
        </w:rPr>
        <w:t>)</w:t>
      </w:r>
      <w:r w:rsidR="00E7526B">
        <w:rPr>
          <w:rFonts w:hint="eastAsia"/>
        </w:rPr>
        <w:t>上就波斯尼亚和黑塞哥维那第二次定期报告通过</w:t>
      </w:r>
      <w:r w:rsidR="004D7955" w:rsidRPr="004D7955">
        <w:rPr>
          <w:rFonts w:hint="eastAsia"/>
        </w:rPr>
        <w:t>的结论性意见</w:t>
      </w:r>
    </w:p>
    <w:p w:rsidR="004D7955" w:rsidRDefault="004D7955" w:rsidP="004D7955">
      <w:pPr>
        <w:pStyle w:val="SingleTxtGC"/>
        <w:rPr>
          <w:rFonts w:hint="eastAsia"/>
        </w:rPr>
      </w:pPr>
      <w:r>
        <w:rPr>
          <w:rFonts w:hint="eastAsia"/>
        </w:rPr>
        <w:t xml:space="preserve">1.  </w:t>
      </w:r>
      <w:r>
        <w:rPr>
          <w:rFonts w:hint="eastAsia"/>
        </w:rPr>
        <w:t>委员会在</w:t>
      </w:r>
      <w:r>
        <w:rPr>
          <w:rFonts w:hint="eastAsia"/>
        </w:rPr>
        <w:t>2012</w:t>
      </w:r>
      <w:r>
        <w:rPr>
          <w:rFonts w:hint="eastAsia"/>
        </w:rPr>
        <w:t>年</w:t>
      </w:r>
      <w:r>
        <w:rPr>
          <w:rFonts w:hint="eastAsia"/>
        </w:rPr>
        <w:t>10</w:t>
      </w:r>
      <w:r>
        <w:rPr>
          <w:rFonts w:hint="eastAsia"/>
        </w:rPr>
        <w:t>月</w:t>
      </w:r>
      <w:r>
        <w:rPr>
          <w:rFonts w:hint="eastAsia"/>
        </w:rPr>
        <w:t>22</w:t>
      </w:r>
      <w:r>
        <w:rPr>
          <w:rFonts w:hint="eastAsia"/>
        </w:rPr>
        <w:t>日至</w:t>
      </w:r>
      <w:r>
        <w:rPr>
          <w:rFonts w:hint="eastAsia"/>
        </w:rPr>
        <w:t>23</w:t>
      </w:r>
      <w:r>
        <w:rPr>
          <w:rFonts w:hint="eastAsia"/>
        </w:rPr>
        <w:t>日举行的第</w:t>
      </w:r>
      <w:r>
        <w:rPr>
          <w:rFonts w:hint="eastAsia"/>
        </w:rPr>
        <w:t>2934</w:t>
      </w:r>
      <w:r>
        <w:rPr>
          <w:rFonts w:hint="eastAsia"/>
        </w:rPr>
        <w:t>和</w:t>
      </w:r>
      <w:r>
        <w:rPr>
          <w:rFonts w:hint="eastAsia"/>
        </w:rPr>
        <w:t>2935</w:t>
      </w:r>
      <w:r>
        <w:rPr>
          <w:rFonts w:hint="eastAsia"/>
        </w:rPr>
        <w:t>次会议</w:t>
      </w:r>
      <w:r>
        <w:rPr>
          <w:rFonts w:hint="eastAsia"/>
        </w:rPr>
        <w:t>(CCPR/C/SR.2934</w:t>
      </w:r>
      <w:r>
        <w:rPr>
          <w:rFonts w:hint="eastAsia"/>
        </w:rPr>
        <w:t>和</w:t>
      </w:r>
      <w:r>
        <w:rPr>
          <w:rFonts w:hint="eastAsia"/>
        </w:rPr>
        <w:t>CCPR/C/SR.2935)</w:t>
      </w:r>
      <w:r>
        <w:rPr>
          <w:rFonts w:hint="eastAsia"/>
        </w:rPr>
        <w:t>上审议了波斯尼亚和黑塞哥维那提交的第二次定期报告</w:t>
      </w:r>
      <w:r>
        <w:rPr>
          <w:rFonts w:hint="eastAsia"/>
        </w:rPr>
        <w:t>(CCPR/C/BIH/2)</w:t>
      </w:r>
      <w:r>
        <w:rPr>
          <w:rFonts w:hint="eastAsia"/>
        </w:rPr>
        <w:t>。委员会在</w:t>
      </w:r>
      <w:r>
        <w:rPr>
          <w:rFonts w:hint="eastAsia"/>
        </w:rPr>
        <w:t>2012</w:t>
      </w:r>
      <w:r>
        <w:rPr>
          <w:rFonts w:hint="eastAsia"/>
        </w:rPr>
        <w:t>年</w:t>
      </w:r>
      <w:r>
        <w:rPr>
          <w:rFonts w:hint="eastAsia"/>
        </w:rPr>
        <w:t>10</w:t>
      </w:r>
      <w:r>
        <w:rPr>
          <w:rFonts w:hint="eastAsia"/>
        </w:rPr>
        <w:t>月</w:t>
      </w:r>
      <w:r>
        <w:rPr>
          <w:rFonts w:hint="eastAsia"/>
        </w:rPr>
        <w:t>31</w:t>
      </w:r>
      <w:r>
        <w:rPr>
          <w:rFonts w:hint="eastAsia"/>
        </w:rPr>
        <w:t>日举行的第</w:t>
      </w:r>
      <w:r>
        <w:rPr>
          <w:rFonts w:hint="eastAsia"/>
        </w:rPr>
        <w:t>2945</w:t>
      </w:r>
      <w:r>
        <w:rPr>
          <w:rFonts w:hint="eastAsia"/>
        </w:rPr>
        <w:t>次会议</w:t>
      </w:r>
      <w:r>
        <w:rPr>
          <w:rFonts w:hint="eastAsia"/>
        </w:rPr>
        <w:t>(CCPR/C/SR.2945)</w:t>
      </w:r>
      <w:r>
        <w:rPr>
          <w:rFonts w:hint="eastAsia"/>
        </w:rPr>
        <w:t>上通过了以下结论性意见。</w:t>
      </w:r>
    </w:p>
    <w:p w:rsidR="004D7955" w:rsidRDefault="004D7955" w:rsidP="00893D78">
      <w:pPr>
        <w:pStyle w:val="H1GC"/>
        <w:rPr>
          <w:rFonts w:hint="eastAsia"/>
        </w:rPr>
      </w:pPr>
      <w:r>
        <w:rPr>
          <w:rFonts w:hint="eastAsia"/>
        </w:rPr>
        <w:tab/>
        <w:t>A.</w:t>
      </w:r>
      <w:r>
        <w:rPr>
          <w:rFonts w:hint="eastAsia"/>
        </w:rPr>
        <w:tab/>
      </w:r>
      <w:r>
        <w:rPr>
          <w:rFonts w:hint="eastAsia"/>
        </w:rPr>
        <w:t>导言</w:t>
      </w:r>
    </w:p>
    <w:p w:rsidR="004D7955" w:rsidRDefault="004D7955" w:rsidP="004D7955">
      <w:pPr>
        <w:pStyle w:val="SingleTxtGC"/>
        <w:rPr>
          <w:rFonts w:hint="eastAsia"/>
        </w:rPr>
      </w:pPr>
      <w:r>
        <w:rPr>
          <w:rFonts w:hint="eastAsia"/>
        </w:rPr>
        <w:t xml:space="preserve">2.  </w:t>
      </w:r>
      <w:r>
        <w:rPr>
          <w:rFonts w:hint="eastAsia"/>
        </w:rPr>
        <w:t>委员会欢迎波斯尼亚和黑塞哥维那提交的第二次定期报告及其中所载信息。委员会赞赏有机会与缔约国高级别代表团就缔约国在所报告期间为落实《公约》条款所采取措施重新进行建设性对话。委员会感谢缔约国对问题清单所做书面答复</w:t>
      </w:r>
      <w:r>
        <w:rPr>
          <w:rFonts w:hint="eastAsia"/>
        </w:rPr>
        <w:t>(CCPR/BIH/Q/2/Add.1)</w:t>
      </w:r>
      <w:r>
        <w:rPr>
          <w:rFonts w:hint="eastAsia"/>
        </w:rPr>
        <w:t>及代表团作的口头补充答复。</w:t>
      </w:r>
    </w:p>
    <w:p w:rsidR="004D7955" w:rsidRDefault="004D7955" w:rsidP="00893D78">
      <w:pPr>
        <w:pStyle w:val="H1GC"/>
        <w:rPr>
          <w:rFonts w:hint="eastAsia"/>
        </w:rPr>
      </w:pPr>
      <w:r>
        <w:rPr>
          <w:rFonts w:hint="eastAsia"/>
        </w:rPr>
        <w:tab/>
        <w:t>B.</w:t>
      </w:r>
      <w:r>
        <w:rPr>
          <w:rFonts w:hint="eastAsia"/>
        </w:rPr>
        <w:tab/>
      </w:r>
      <w:r>
        <w:rPr>
          <w:rFonts w:hint="eastAsia"/>
        </w:rPr>
        <w:t>积极方面</w:t>
      </w:r>
    </w:p>
    <w:p w:rsidR="004D7955" w:rsidRDefault="004D7955" w:rsidP="004D7955">
      <w:pPr>
        <w:pStyle w:val="SingleTxtGC"/>
        <w:rPr>
          <w:rFonts w:hint="eastAsia"/>
        </w:rPr>
      </w:pPr>
      <w:r>
        <w:rPr>
          <w:rFonts w:hint="eastAsia"/>
        </w:rPr>
        <w:t xml:space="preserve">3.  </w:t>
      </w:r>
      <w:r>
        <w:rPr>
          <w:rFonts w:hint="eastAsia"/>
        </w:rPr>
        <w:t>委员会欢迎缔约国做出以下立法和其它步骤：</w:t>
      </w:r>
    </w:p>
    <w:p w:rsidR="004D7955" w:rsidRDefault="004D7955" w:rsidP="00893D78">
      <w:pPr>
        <w:pStyle w:val="SingleTxtGC"/>
        <w:numPr>
          <w:ilvl w:val="0"/>
          <w:numId w:val="39"/>
        </w:numPr>
        <w:tabs>
          <w:tab w:val="clear" w:pos="2426"/>
          <w:tab w:val="left" w:pos="2427"/>
        </w:tabs>
        <w:rPr>
          <w:rFonts w:hint="eastAsia"/>
        </w:rPr>
      </w:pPr>
      <w:r>
        <w:rPr>
          <w:rFonts w:hint="eastAsia"/>
        </w:rPr>
        <w:t>2009</w:t>
      </w:r>
      <w:r>
        <w:rPr>
          <w:rFonts w:hint="eastAsia"/>
        </w:rPr>
        <w:t>年颁布《禁止歧视法》；</w:t>
      </w:r>
    </w:p>
    <w:p w:rsidR="004D7955" w:rsidRDefault="004D7955" w:rsidP="00893D78">
      <w:pPr>
        <w:pStyle w:val="SingleTxtGC"/>
        <w:numPr>
          <w:ilvl w:val="0"/>
          <w:numId w:val="39"/>
        </w:numPr>
        <w:tabs>
          <w:tab w:val="clear" w:pos="2426"/>
          <w:tab w:val="left" w:pos="2427"/>
        </w:tabs>
        <w:rPr>
          <w:rFonts w:hint="eastAsia"/>
        </w:rPr>
      </w:pPr>
      <w:r>
        <w:rPr>
          <w:rFonts w:hint="eastAsia"/>
        </w:rPr>
        <w:t>2008</w:t>
      </w:r>
      <w:r>
        <w:rPr>
          <w:rFonts w:hint="eastAsia"/>
        </w:rPr>
        <w:t>年议会通过关于打击家庭暴力的决议</w:t>
      </w:r>
      <w:r>
        <w:rPr>
          <w:rFonts w:hint="eastAsia"/>
        </w:rPr>
        <w:t>(</w:t>
      </w:r>
      <w:r>
        <w:rPr>
          <w:rFonts w:hint="eastAsia"/>
        </w:rPr>
        <w:t>波斯尼亚和黑塞哥维那第</w:t>
      </w:r>
      <w:r>
        <w:rPr>
          <w:rFonts w:hint="eastAsia"/>
        </w:rPr>
        <w:t>15/08</w:t>
      </w:r>
      <w:r>
        <w:rPr>
          <w:rFonts w:hint="eastAsia"/>
        </w:rPr>
        <w:t>号政府公告</w:t>
      </w:r>
      <w:r>
        <w:rPr>
          <w:rFonts w:hint="eastAsia"/>
        </w:rPr>
        <w:t>)</w:t>
      </w:r>
      <w:r>
        <w:rPr>
          <w:rFonts w:hint="eastAsia"/>
        </w:rPr>
        <w:t>；</w:t>
      </w:r>
    </w:p>
    <w:p w:rsidR="004D7955" w:rsidRDefault="004D7955" w:rsidP="00893D78">
      <w:pPr>
        <w:pStyle w:val="SingleTxtGC"/>
        <w:numPr>
          <w:ilvl w:val="0"/>
          <w:numId w:val="39"/>
        </w:numPr>
        <w:tabs>
          <w:tab w:val="clear" w:pos="2426"/>
          <w:tab w:val="left" w:pos="2427"/>
        </w:tabs>
        <w:rPr>
          <w:rFonts w:hint="eastAsia"/>
        </w:rPr>
      </w:pPr>
      <w:r>
        <w:rPr>
          <w:rFonts w:hint="eastAsia"/>
        </w:rPr>
        <w:t>2008</w:t>
      </w:r>
      <w:r>
        <w:rPr>
          <w:rFonts w:hint="eastAsia"/>
        </w:rPr>
        <w:t>年通过“起诉战争罪国家战略”；</w:t>
      </w:r>
    </w:p>
    <w:p w:rsidR="004D7955" w:rsidRDefault="004D7955" w:rsidP="00893D78">
      <w:pPr>
        <w:pStyle w:val="SingleTxtGC"/>
        <w:numPr>
          <w:ilvl w:val="0"/>
          <w:numId w:val="39"/>
        </w:numPr>
        <w:tabs>
          <w:tab w:val="clear" w:pos="2426"/>
          <w:tab w:val="left" w:pos="2427"/>
        </w:tabs>
        <w:rPr>
          <w:rFonts w:hint="eastAsia"/>
        </w:rPr>
      </w:pPr>
      <w:r>
        <w:rPr>
          <w:rFonts w:hint="eastAsia"/>
        </w:rPr>
        <w:t>2010</w:t>
      </w:r>
      <w:r>
        <w:rPr>
          <w:rFonts w:hint="eastAsia"/>
        </w:rPr>
        <w:t>年通过实施附件</w:t>
      </w:r>
      <w:r>
        <w:rPr>
          <w:rFonts w:hint="eastAsia"/>
        </w:rPr>
        <w:t>7</w:t>
      </w:r>
      <w:r>
        <w:rPr>
          <w:rFonts w:hint="eastAsia"/>
        </w:rPr>
        <w:t>修订战略</w:t>
      </w:r>
      <w:r>
        <w:rPr>
          <w:rFonts w:hint="eastAsia"/>
        </w:rPr>
        <w:t>(</w:t>
      </w:r>
      <w:r>
        <w:rPr>
          <w:rFonts w:hint="eastAsia"/>
        </w:rPr>
        <w:t>“难民和国内流离失所者回返框架方案”</w:t>
      </w:r>
      <w:r>
        <w:rPr>
          <w:rFonts w:hint="eastAsia"/>
        </w:rPr>
        <w:t>)</w:t>
      </w:r>
      <w:r>
        <w:rPr>
          <w:rFonts w:hint="eastAsia"/>
        </w:rPr>
        <w:t>。</w:t>
      </w:r>
    </w:p>
    <w:p w:rsidR="004D7955" w:rsidRDefault="008103CF" w:rsidP="004D7955">
      <w:pPr>
        <w:pStyle w:val="SingleTxtGC"/>
        <w:rPr>
          <w:rFonts w:hint="eastAsia"/>
        </w:rPr>
      </w:pPr>
      <w:r>
        <w:br w:type="page"/>
      </w:r>
      <w:r w:rsidR="004D7955">
        <w:rPr>
          <w:rFonts w:hint="eastAsia"/>
        </w:rPr>
        <w:t xml:space="preserve">4.  </w:t>
      </w:r>
      <w:r w:rsidR="004D7955">
        <w:rPr>
          <w:rFonts w:hint="eastAsia"/>
        </w:rPr>
        <w:t>委员会欢迎缔约国批准以下国际文书：</w:t>
      </w:r>
    </w:p>
    <w:p w:rsidR="004D7955" w:rsidRDefault="004D7955" w:rsidP="00893D78">
      <w:pPr>
        <w:pStyle w:val="SingleTxtGC"/>
        <w:numPr>
          <w:ilvl w:val="0"/>
          <w:numId w:val="41"/>
        </w:numPr>
        <w:tabs>
          <w:tab w:val="clear" w:pos="2426"/>
          <w:tab w:val="left" w:pos="2427"/>
        </w:tabs>
        <w:rPr>
          <w:rFonts w:hint="eastAsia"/>
        </w:rPr>
      </w:pPr>
      <w:r>
        <w:rPr>
          <w:rFonts w:hint="eastAsia"/>
        </w:rPr>
        <w:t>2012</w:t>
      </w:r>
      <w:r>
        <w:rPr>
          <w:rFonts w:hint="eastAsia"/>
        </w:rPr>
        <w:t>年</w:t>
      </w:r>
      <w:r>
        <w:rPr>
          <w:rFonts w:hint="eastAsia"/>
        </w:rPr>
        <w:t>3</w:t>
      </w:r>
      <w:r>
        <w:rPr>
          <w:rFonts w:hint="eastAsia"/>
        </w:rPr>
        <w:t>月</w:t>
      </w:r>
      <w:r>
        <w:rPr>
          <w:rFonts w:hint="eastAsia"/>
        </w:rPr>
        <w:t>30</w:t>
      </w:r>
      <w:r>
        <w:rPr>
          <w:rFonts w:hint="eastAsia"/>
        </w:rPr>
        <w:t>日，《保护所有人免遭强迫失踪国际公约》；</w:t>
      </w:r>
    </w:p>
    <w:p w:rsidR="004D7955" w:rsidRDefault="004D7955" w:rsidP="00893D78">
      <w:pPr>
        <w:pStyle w:val="SingleTxtGC"/>
        <w:numPr>
          <w:ilvl w:val="0"/>
          <w:numId w:val="41"/>
        </w:numPr>
        <w:tabs>
          <w:tab w:val="clear" w:pos="2426"/>
          <w:tab w:val="left" w:pos="2427"/>
        </w:tabs>
        <w:rPr>
          <w:rFonts w:hint="eastAsia"/>
        </w:rPr>
      </w:pPr>
      <w:r>
        <w:rPr>
          <w:rFonts w:hint="eastAsia"/>
        </w:rPr>
        <w:t>2010</w:t>
      </w:r>
      <w:r>
        <w:rPr>
          <w:rFonts w:hint="eastAsia"/>
        </w:rPr>
        <w:t>年</w:t>
      </w:r>
      <w:r>
        <w:rPr>
          <w:rFonts w:hint="eastAsia"/>
        </w:rPr>
        <w:t>3</w:t>
      </w:r>
      <w:r>
        <w:rPr>
          <w:rFonts w:hint="eastAsia"/>
        </w:rPr>
        <w:t>月</w:t>
      </w:r>
      <w:r>
        <w:rPr>
          <w:rFonts w:hint="eastAsia"/>
        </w:rPr>
        <w:t>12</w:t>
      </w:r>
      <w:r>
        <w:rPr>
          <w:rFonts w:hint="eastAsia"/>
        </w:rPr>
        <w:t>日，《残疾人权利公约》及其《任择议定书》；</w:t>
      </w:r>
    </w:p>
    <w:p w:rsidR="004D7955" w:rsidRDefault="004D7955" w:rsidP="00893D78">
      <w:pPr>
        <w:pStyle w:val="SingleTxtGC"/>
        <w:numPr>
          <w:ilvl w:val="0"/>
          <w:numId w:val="41"/>
        </w:numPr>
        <w:tabs>
          <w:tab w:val="clear" w:pos="2426"/>
          <w:tab w:val="left" w:pos="2427"/>
        </w:tabs>
        <w:rPr>
          <w:rFonts w:hint="eastAsia"/>
        </w:rPr>
      </w:pPr>
      <w:r>
        <w:rPr>
          <w:rFonts w:hint="eastAsia"/>
        </w:rPr>
        <w:t>2012</w:t>
      </w:r>
      <w:r>
        <w:rPr>
          <w:rFonts w:hint="eastAsia"/>
        </w:rPr>
        <w:t>年</w:t>
      </w:r>
      <w:r>
        <w:rPr>
          <w:rFonts w:hint="eastAsia"/>
        </w:rPr>
        <w:t>1</w:t>
      </w:r>
      <w:r>
        <w:rPr>
          <w:rFonts w:hint="eastAsia"/>
        </w:rPr>
        <w:t>月</w:t>
      </w:r>
      <w:r>
        <w:rPr>
          <w:rFonts w:hint="eastAsia"/>
        </w:rPr>
        <w:t>18</w:t>
      </w:r>
      <w:r>
        <w:rPr>
          <w:rFonts w:hint="eastAsia"/>
        </w:rPr>
        <w:t>日，《经济、社会、文化权利国际公约任择议定书》；</w:t>
      </w:r>
    </w:p>
    <w:p w:rsidR="004D7955" w:rsidRDefault="004D7955" w:rsidP="00893D78">
      <w:pPr>
        <w:pStyle w:val="SingleTxtGC"/>
        <w:numPr>
          <w:ilvl w:val="0"/>
          <w:numId w:val="41"/>
        </w:numPr>
        <w:tabs>
          <w:tab w:val="clear" w:pos="2426"/>
          <w:tab w:val="left" w:pos="2427"/>
        </w:tabs>
        <w:rPr>
          <w:rFonts w:hint="eastAsia"/>
        </w:rPr>
      </w:pPr>
      <w:r>
        <w:rPr>
          <w:rFonts w:hint="eastAsia"/>
        </w:rPr>
        <w:t>2008</w:t>
      </w:r>
      <w:r>
        <w:rPr>
          <w:rFonts w:hint="eastAsia"/>
        </w:rPr>
        <w:t>年</w:t>
      </w:r>
      <w:r>
        <w:rPr>
          <w:rFonts w:hint="eastAsia"/>
        </w:rPr>
        <w:t>10</w:t>
      </w:r>
      <w:r>
        <w:rPr>
          <w:rFonts w:hint="eastAsia"/>
        </w:rPr>
        <w:t>月</w:t>
      </w:r>
      <w:r>
        <w:rPr>
          <w:rFonts w:hint="eastAsia"/>
        </w:rPr>
        <w:t>24</w:t>
      </w:r>
      <w:r>
        <w:rPr>
          <w:rFonts w:hint="eastAsia"/>
        </w:rPr>
        <w:t>日，《禁止酷刑及其他残忍、不人道或有辱人格的待遇或处罚公约任择议定书》。</w:t>
      </w:r>
    </w:p>
    <w:p w:rsidR="004D7955" w:rsidRDefault="004D7955" w:rsidP="00893D78">
      <w:pPr>
        <w:pStyle w:val="H1GC"/>
        <w:rPr>
          <w:rFonts w:hint="eastAsia"/>
        </w:rPr>
      </w:pPr>
      <w:r>
        <w:rPr>
          <w:rFonts w:hint="eastAsia"/>
        </w:rPr>
        <w:tab/>
        <w:t>C.</w:t>
      </w:r>
      <w:r>
        <w:rPr>
          <w:rFonts w:hint="eastAsia"/>
        </w:rPr>
        <w:tab/>
      </w:r>
      <w:r>
        <w:rPr>
          <w:rFonts w:hint="eastAsia"/>
        </w:rPr>
        <w:t>要关注事项和建议</w:t>
      </w:r>
    </w:p>
    <w:p w:rsidR="004D7955" w:rsidRDefault="004D7955" w:rsidP="004D7955">
      <w:pPr>
        <w:pStyle w:val="SingleTxtGC"/>
        <w:rPr>
          <w:rFonts w:hint="eastAsia"/>
        </w:rPr>
      </w:pPr>
      <w:r>
        <w:rPr>
          <w:rFonts w:hint="eastAsia"/>
        </w:rPr>
        <w:t xml:space="preserve">5.  </w:t>
      </w:r>
      <w:r>
        <w:rPr>
          <w:rFonts w:hint="eastAsia"/>
        </w:rPr>
        <w:t>委员会注意到监察员办公室被增进和保护人权国家机构国际协调委员会给予“</w:t>
      </w:r>
      <w:r>
        <w:rPr>
          <w:rFonts w:hint="eastAsia"/>
        </w:rPr>
        <w:t>A</w:t>
      </w:r>
      <w:r>
        <w:rPr>
          <w:rFonts w:hint="eastAsia"/>
        </w:rPr>
        <w:t>”级资格认证，且缔约国准备指定该办公室为《禁止酷刑公约任择议定书》下防止酷刑的国家机制，同时委员会感到关切的是，该办公室缺乏财务自主性，近期削减财政威胁到办公室全面履行在缔约国增进和保护人权的任务</w:t>
      </w:r>
      <w:r>
        <w:rPr>
          <w:rFonts w:hint="eastAsia"/>
        </w:rPr>
        <w:t>(</w:t>
      </w:r>
      <w:r>
        <w:rPr>
          <w:rFonts w:hint="eastAsia"/>
        </w:rPr>
        <w:t>第二条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缔约国应进一步努力，确保监察员办公室享有财务自主性，并为其提供与其额外任务相应的充分的资金和人力。</w:t>
      </w:r>
    </w:p>
    <w:p w:rsidR="004D7955" w:rsidRDefault="004D7955" w:rsidP="004D7955">
      <w:pPr>
        <w:pStyle w:val="SingleTxtGC"/>
        <w:rPr>
          <w:rFonts w:hint="eastAsia"/>
        </w:rPr>
      </w:pPr>
      <w:r>
        <w:t xml:space="preserve">6.  </w:t>
      </w:r>
      <w:r>
        <w:rPr>
          <w:rFonts w:hint="eastAsia"/>
        </w:rPr>
        <w:t>委员会回顾以前的建议</w:t>
      </w:r>
      <w:r>
        <w:t>(CCPR/C/BIH/CO/1,</w:t>
      </w:r>
      <w:r w:rsidR="00893D78">
        <w:rPr>
          <w:rFonts w:hint="eastAsia"/>
        </w:rPr>
        <w:t xml:space="preserve"> </w:t>
      </w:r>
      <w:r>
        <w:rPr>
          <w:rFonts w:hint="eastAsia"/>
        </w:rPr>
        <w:t>第</w:t>
      </w:r>
      <w:r>
        <w:t>8</w:t>
      </w:r>
      <w:r>
        <w:rPr>
          <w:rFonts w:hint="eastAsia"/>
        </w:rPr>
        <w:t>段</w:t>
      </w:r>
      <w:r>
        <w:t>)</w:t>
      </w:r>
      <w:r>
        <w:rPr>
          <w:rFonts w:hint="eastAsia"/>
        </w:rPr>
        <w:t>，表示遗憾的是，缔约国《宪法》和《选举法》仍然排斥不属于缔约国“主要组成民族”的人，即波斯尼亚族人、克族人和塞族人不得当选人民议会议员及波斯尼亚和黑塞哥维那三方主席。委员会特别感到遗憾的是，尽管委员会以前提出了建议，欧洲人权法院在</w:t>
      </w:r>
      <w:r>
        <w:t>2009</w:t>
      </w:r>
      <w:r>
        <w:rPr>
          <w:rFonts w:hint="eastAsia"/>
        </w:rPr>
        <w:t>年</w:t>
      </w:r>
      <w:r>
        <w:t>12</w:t>
      </w:r>
      <w:r>
        <w:rPr>
          <w:rFonts w:hint="eastAsia"/>
        </w:rPr>
        <w:t>月</w:t>
      </w:r>
      <w:r>
        <w:t>22</w:t>
      </w:r>
      <w:r>
        <w:rPr>
          <w:rFonts w:hint="eastAsia"/>
        </w:rPr>
        <w:t>日就“</w:t>
      </w:r>
      <w:r>
        <w:t>Dervo Sejdić</w:t>
      </w:r>
      <w:r>
        <w:rPr>
          <w:rFonts w:hint="eastAsia"/>
        </w:rPr>
        <w:t>和</w:t>
      </w:r>
      <w:r>
        <w:t>Jakob Finci</w:t>
      </w:r>
      <w:r>
        <w:rPr>
          <w:rFonts w:hint="eastAsia"/>
        </w:rPr>
        <w:t>”案</w:t>
      </w:r>
      <w:r>
        <w:t>(</w:t>
      </w:r>
      <w:r>
        <w:rPr>
          <w:rFonts w:hint="eastAsia"/>
        </w:rPr>
        <w:t>第</w:t>
      </w:r>
      <w:r>
        <w:t>27996/06</w:t>
      </w:r>
      <w:r>
        <w:rPr>
          <w:rFonts w:hint="eastAsia"/>
        </w:rPr>
        <w:t>和</w:t>
      </w:r>
      <w:r>
        <w:t>34836/06</w:t>
      </w:r>
      <w:r>
        <w:rPr>
          <w:rFonts w:hint="eastAsia"/>
        </w:rPr>
        <w:t>号申请</w:t>
      </w:r>
      <w:r>
        <w:t>)</w:t>
      </w:r>
      <w:r>
        <w:rPr>
          <w:rFonts w:hint="eastAsia"/>
        </w:rPr>
        <w:t>做出裁决，但宪法修订工作停滞不前，法律继续排斥属于某些群体的公民参与</w:t>
      </w:r>
      <w:r>
        <w:t>2010</w:t>
      </w:r>
      <w:r>
        <w:rPr>
          <w:rFonts w:hint="eastAsia"/>
        </w:rPr>
        <w:t>年</w:t>
      </w:r>
      <w:r>
        <w:t>10</w:t>
      </w:r>
      <w:r>
        <w:rPr>
          <w:rFonts w:hint="eastAsia"/>
        </w:rPr>
        <w:t>月的选举</w:t>
      </w:r>
      <w:r>
        <w:rPr>
          <w:rFonts w:hint="eastAsia"/>
        </w:rPr>
        <w:t>(</w:t>
      </w:r>
      <w:r>
        <w:rPr>
          <w:rFonts w:hint="eastAsia"/>
        </w:rPr>
        <w:t>第二、二十五和二十六条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 xml:space="preserve">(CCPR/C/BIH/CO/1, </w:t>
      </w:r>
      <w:r w:rsidRPr="009E4025">
        <w:rPr>
          <w:rFonts w:eastAsia="SimHei" w:hint="eastAsia"/>
        </w:rPr>
        <w:t>第</w:t>
      </w:r>
      <w:r w:rsidRPr="009E4025">
        <w:rPr>
          <w:rFonts w:eastAsia="SimHei" w:hint="eastAsia"/>
        </w:rPr>
        <w:t>8</w:t>
      </w:r>
      <w:r w:rsidRPr="009E4025">
        <w:rPr>
          <w:rFonts w:eastAsia="SimHei" w:hint="eastAsia"/>
        </w:rPr>
        <w:t>段</w:t>
      </w:r>
      <w:r w:rsidRPr="009E4025">
        <w:rPr>
          <w:rFonts w:eastAsia="SimHei" w:hint="eastAsia"/>
        </w:rPr>
        <w:t>)</w:t>
      </w:r>
      <w:r w:rsidRPr="009E4025">
        <w:rPr>
          <w:rFonts w:eastAsia="SimHei" w:hint="eastAsia"/>
        </w:rPr>
        <w:t>，即缔约国应通过一种选举制度，保障所有公民不分种族均平等享有《公约》第二十五条规定的权利。在这方面，委员会建议缔约国紧急修订《宪法》和《选举法》，取消歧视某些族群公民不许他们参加选举的条款。</w:t>
      </w:r>
    </w:p>
    <w:p w:rsidR="004D7955" w:rsidRDefault="004D7955" w:rsidP="004D7955">
      <w:pPr>
        <w:pStyle w:val="SingleTxtGC"/>
        <w:rPr>
          <w:rFonts w:hint="eastAsia"/>
        </w:rPr>
      </w:pPr>
      <w:r>
        <w:rPr>
          <w:rFonts w:hint="eastAsia"/>
        </w:rPr>
        <w:t xml:space="preserve">7.  </w:t>
      </w:r>
      <w:r>
        <w:rPr>
          <w:rFonts w:hint="eastAsia"/>
        </w:rPr>
        <w:t>委员会赞赏缔约国努力处理战争罪案件，如实施了《战争罪国家起诉战略》，同时继续对起诉进展较慢感到关切，特别是与性暴力有关的战争罪，并且对此类罪行受害者缺乏支助。委员会还感到关切的是，缔约国未努力统一各实体关于战争犯罪的判例，各实体法院使用的是前南斯拉夫社会主义共和国联盟过时的《刑法》，这部法律没有定义反人类罪、领导责任、性奴役和强迫怀孕等犯罪。委员会感到关切的是，这可能影响到各实体在判刑方面的一致性</w:t>
      </w:r>
      <w:r>
        <w:rPr>
          <w:rFonts w:hint="eastAsia"/>
        </w:rPr>
        <w:t>(</w:t>
      </w:r>
      <w:r>
        <w:rPr>
          <w:rFonts w:hint="eastAsia"/>
        </w:rPr>
        <w:t>第二和十四条</w:t>
      </w:r>
      <w:r>
        <w:rPr>
          <w:rFonts w:hint="eastAsia"/>
        </w:rPr>
        <w:t>)</w:t>
      </w:r>
      <w:r>
        <w:rPr>
          <w:rFonts w:hint="eastAsia"/>
        </w:rPr>
        <w:t>。</w:t>
      </w:r>
    </w:p>
    <w:p w:rsidR="004D7955" w:rsidRPr="009E4025" w:rsidRDefault="008103CF" w:rsidP="004D7955">
      <w:pPr>
        <w:pStyle w:val="SingleTxtGC"/>
        <w:rPr>
          <w:rFonts w:eastAsia="SimHei" w:hint="eastAsia"/>
        </w:rPr>
      </w:pPr>
      <w:r>
        <w:rPr>
          <w:rFonts w:eastAsia="SimHei"/>
        </w:rPr>
        <w:br w:type="page"/>
      </w:r>
      <w:r w:rsidR="004D7955" w:rsidRPr="009E4025">
        <w:rPr>
          <w:rFonts w:eastAsia="SimHei" w:hint="eastAsia"/>
        </w:rPr>
        <w:t>缔约国应加快起诉战争犯罪案件。缔约国也应继续为性暴力受害者提供充分的心理支持，特别是在审理期间。此外，缔约国应确保各实体司法机构强力推进统一关于战争罪判例的工作，不要按照前南斯拉夫社会主义共和国联盟过时的《刑法》起诉战争罪，因为这部法律不承认某些罪行为反人类罪。</w:t>
      </w:r>
    </w:p>
    <w:p w:rsidR="004D7955" w:rsidRDefault="004D7955" w:rsidP="004D7955">
      <w:pPr>
        <w:pStyle w:val="SingleTxtGC"/>
        <w:rPr>
          <w:rFonts w:hint="eastAsia"/>
        </w:rPr>
      </w:pPr>
      <w:r>
        <w:rPr>
          <w:rFonts w:hint="eastAsia"/>
        </w:rPr>
        <w:t xml:space="preserve">8.  </w:t>
      </w:r>
      <w:r>
        <w:rPr>
          <w:rFonts w:hint="eastAsia"/>
        </w:rPr>
        <w:t>委员会感到关注的是，缔约国尚未通过旨在确保战争的平民受害者包括性暴力幸存者诉诸司法的《过渡期司法战略》。委员会还感到关切的是，缔约国没有通过一份关于酷刑受害者和战争平民受害者权利的法律草案，以确保缔约国内所有战争平民受害者平等地获得社会福利。委员会进一步回顾以前的建议</w:t>
      </w:r>
      <w:r>
        <w:rPr>
          <w:rFonts w:hint="eastAsia"/>
        </w:rPr>
        <w:t>(CCPR/C/BIH/CO/1,</w:t>
      </w:r>
      <w:r w:rsidR="00ED11A7">
        <w:rPr>
          <w:rFonts w:hint="eastAsia"/>
        </w:rPr>
        <w:t xml:space="preserve"> </w:t>
      </w:r>
      <w:r>
        <w:rPr>
          <w:rFonts w:hint="eastAsia"/>
        </w:rPr>
        <w:t>第</w:t>
      </w:r>
      <w:r>
        <w:rPr>
          <w:rFonts w:hint="eastAsia"/>
        </w:rPr>
        <w:t>15</w:t>
      </w:r>
      <w:r>
        <w:rPr>
          <w:rFonts w:hint="eastAsia"/>
        </w:rPr>
        <w:t>段</w:t>
      </w:r>
      <w:r w:rsidR="00ED11A7">
        <w:rPr>
          <w:rFonts w:hint="eastAsia"/>
        </w:rPr>
        <w:t>)</w:t>
      </w:r>
      <w:r>
        <w:rPr>
          <w:rFonts w:hint="eastAsia"/>
        </w:rPr>
        <w:t>并继续关注各实体和其下各州</w:t>
      </w:r>
      <w:r>
        <w:rPr>
          <w:rFonts w:hint="eastAsia"/>
        </w:rPr>
        <w:t>(</w:t>
      </w:r>
      <w:r>
        <w:rPr>
          <w:rFonts w:hint="eastAsia"/>
        </w:rPr>
        <w:t>区</w:t>
      </w:r>
      <w:r>
        <w:rPr>
          <w:rFonts w:hint="eastAsia"/>
        </w:rPr>
        <w:t>)</w:t>
      </w:r>
      <w:r>
        <w:rPr>
          <w:rFonts w:hint="eastAsia"/>
        </w:rPr>
        <w:t>战争平民受害者获得的人身残疾补贴远远低于老兵补贴的问题</w:t>
      </w:r>
      <w:r>
        <w:rPr>
          <w:rFonts w:hint="eastAsia"/>
        </w:rPr>
        <w:t>(</w:t>
      </w:r>
      <w:r>
        <w:rPr>
          <w:rFonts w:hint="eastAsia"/>
        </w:rPr>
        <w:t>第二、七和二十六条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缔约国应采取切实措施确保性暴力和酷刑幸存者能够伸张正义和获得赔偿。此外，委员会重申以前的建议</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15</w:t>
      </w:r>
      <w:r w:rsidRPr="009E4025">
        <w:rPr>
          <w:rFonts w:eastAsia="SimHei" w:hint="eastAsia"/>
        </w:rPr>
        <w:t>段</w:t>
      </w:r>
      <w:r w:rsidRPr="009E4025">
        <w:rPr>
          <w:rFonts w:eastAsia="SimHei" w:hint="eastAsia"/>
        </w:rPr>
        <w:t>)</w:t>
      </w:r>
      <w:r w:rsidRPr="009E4025">
        <w:rPr>
          <w:rFonts w:eastAsia="SimHei" w:hint="eastAsia"/>
        </w:rPr>
        <w:t>，敦促缔约国统一各实体和州之间的残疾补贴，从而调整平民受害者的人身残疾补贴，确保其与退伍老兵的人身残疾补贴相一致。</w:t>
      </w:r>
    </w:p>
    <w:p w:rsidR="004D7955" w:rsidRDefault="004D7955" w:rsidP="004D7955">
      <w:pPr>
        <w:pStyle w:val="SingleTxtGC"/>
        <w:rPr>
          <w:rFonts w:hint="eastAsia"/>
        </w:rPr>
      </w:pPr>
      <w:r>
        <w:rPr>
          <w:rFonts w:hint="eastAsia"/>
        </w:rPr>
        <w:t xml:space="preserve">9.  </w:t>
      </w:r>
      <w:r>
        <w:rPr>
          <w:rFonts w:hint="eastAsia"/>
        </w:rPr>
        <w:t>委员会重申以前的建议</w:t>
      </w:r>
      <w:r>
        <w:rPr>
          <w:rFonts w:hint="eastAsia"/>
        </w:rPr>
        <w:t>(CCPR/C/BIH/CO/1,</w:t>
      </w:r>
      <w:r w:rsidR="00ED11A7">
        <w:rPr>
          <w:rFonts w:hint="eastAsia"/>
        </w:rPr>
        <w:t xml:space="preserve"> </w:t>
      </w:r>
      <w:r>
        <w:rPr>
          <w:rFonts w:hint="eastAsia"/>
        </w:rPr>
        <w:t>第</w:t>
      </w:r>
      <w:r>
        <w:rPr>
          <w:rFonts w:hint="eastAsia"/>
        </w:rPr>
        <w:t>14</w:t>
      </w:r>
      <w:r>
        <w:rPr>
          <w:rFonts w:hint="eastAsia"/>
        </w:rPr>
        <w:t>段</w:t>
      </w:r>
      <w:r>
        <w:rPr>
          <w:rFonts w:hint="eastAsia"/>
        </w:rPr>
        <w:t>)</w:t>
      </w:r>
      <w:r>
        <w:rPr>
          <w:rFonts w:hint="eastAsia"/>
        </w:rPr>
        <w:t>，对</w:t>
      </w:r>
      <w:r>
        <w:rPr>
          <w:rFonts w:hint="eastAsia"/>
        </w:rPr>
        <w:t>1992</w:t>
      </w:r>
      <w:r>
        <w:rPr>
          <w:rFonts w:hint="eastAsia"/>
        </w:rPr>
        <w:t>至</w:t>
      </w:r>
      <w:r>
        <w:rPr>
          <w:rFonts w:hint="eastAsia"/>
        </w:rPr>
        <w:t>1995</w:t>
      </w:r>
      <w:r>
        <w:rPr>
          <w:rFonts w:hint="eastAsia"/>
        </w:rPr>
        <w:t>年武装冲突期间失踪人员寻找工作进展缓慢感到遗憾。委员会对削减失踪人员机构预算感到关切，这对该机构履行任务具有不利影响</w:t>
      </w:r>
      <w:r>
        <w:rPr>
          <w:rFonts w:hint="eastAsia"/>
        </w:rPr>
        <w:t>(</w:t>
      </w:r>
      <w:r>
        <w:rPr>
          <w:rFonts w:hint="eastAsia"/>
        </w:rPr>
        <w:t>第二、六和七条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14</w:t>
      </w:r>
      <w:r w:rsidRPr="009E4025">
        <w:rPr>
          <w:rFonts w:eastAsia="SimHei" w:hint="eastAsia"/>
        </w:rPr>
        <w:t>段</w:t>
      </w:r>
      <w:r w:rsidRPr="009E4025">
        <w:rPr>
          <w:rFonts w:eastAsia="SimHei" w:hint="eastAsia"/>
        </w:rPr>
        <w:t>)</w:t>
      </w:r>
      <w:r w:rsidRPr="009E4025">
        <w:rPr>
          <w:rFonts w:eastAsia="SimHei" w:hint="eastAsia"/>
        </w:rPr>
        <w:t>，建议缔约国应加快调查关于失踪人员的所有未决案件。此外，缔约国应采取一切必要措施，确保失踪人员机构得到充分的资金，能够充分履行任务，以尽快解决这些案件。缔约国在挖掘尸体时还应继续为失踪人员家属提供充分的心理支持。</w:t>
      </w:r>
    </w:p>
    <w:p w:rsidR="004D7955" w:rsidRDefault="004D7955" w:rsidP="004D7955">
      <w:pPr>
        <w:pStyle w:val="SingleTxtGC"/>
        <w:rPr>
          <w:rFonts w:hint="eastAsia"/>
        </w:rPr>
      </w:pPr>
      <w:r>
        <w:rPr>
          <w:rFonts w:hint="eastAsia"/>
        </w:rPr>
        <w:t xml:space="preserve">10.  </w:t>
      </w:r>
      <w:r>
        <w:rPr>
          <w:rFonts w:hint="eastAsia"/>
        </w:rPr>
        <w:t>委员会回顾以前的建议</w:t>
      </w:r>
      <w:r>
        <w:rPr>
          <w:rFonts w:hint="eastAsia"/>
        </w:rPr>
        <w:t>(CCPR/C/BIH/CO/1,</w:t>
      </w:r>
      <w:r w:rsidR="00ED11A7">
        <w:rPr>
          <w:rFonts w:hint="eastAsia"/>
        </w:rPr>
        <w:t xml:space="preserve"> </w:t>
      </w:r>
      <w:r>
        <w:rPr>
          <w:rFonts w:hint="eastAsia"/>
        </w:rPr>
        <w:t>第</w:t>
      </w:r>
      <w:r>
        <w:rPr>
          <w:rFonts w:hint="eastAsia"/>
        </w:rPr>
        <w:t>11</w:t>
      </w:r>
      <w:r>
        <w:rPr>
          <w:rFonts w:hint="eastAsia"/>
        </w:rPr>
        <w:t>段</w:t>
      </w:r>
      <w:r>
        <w:rPr>
          <w:rFonts w:hint="eastAsia"/>
        </w:rPr>
        <w:t>)</w:t>
      </w:r>
      <w:r>
        <w:rPr>
          <w:rFonts w:hint="eastAsia"/>
        </w:rPr>
        <w:t>，感到遗憾的是，尽管《选举法》规定了比例制度，要求各政党至少提名</w:t>
      </w:r>
      <w:r>
        <w:rPr>
          <w:rFonts w:hint="eastAsia"/>
        </w:rPr>
        <w:t>30%</w:t>
      </w:r>
      <w:r>
        <w:rPr>
          <w:rFonts w:hint="eastAsia"/>
        </w:rPr>
        <w:t>的女性候选人，并出台鼓励措施，由议会为在议会中有女性代表的政党提供资助，但是，立法和政府各级行政机构中女性比例仍然不足</w:t>
      </w:r>
      <w:r>
        <w:rPr>
          <w:rFonts w:hint="eastAsia"/>
        </w:rPr>
        <w:t>(</w:t>
      </w:r>
      <w:r>
        <w:rPr>
          <w:rFonts w:hint="eastAsia"/>
        </w:rPr>
        <w:t>第二、三和二十六条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11</w:t>
      </w:r>
      <w:r w:rsidRPr="009E4025">
        <w:rPr>
          <w:rFonts w:eastAsia="SimHei" w:hint="eastAsia"/>
        </w:rPr>
        <w:t>段</w:t>
      </w:r>
      <w:r w:rsidR="00ED11A7" w:rsidRPr="009E4025">
        <w:rPr>
          <w:rFonts w:eastAsia="SimHei" w:hint="eastAsia"/>
        </w:rPr>
        <w:t>)</w:t>
      </w:r>
      <w:r w:rsidRPr="009E4025">
        <w:rPr>
          <w:rFonts w:eastAsia="SimHei" w:hint="eastAsia"/>
        </w:rPr>
        <w:t>，即缔约国应强化努力，提高妇女参与公共部门水平，采取适当的临时性特殊措施，落实《公约》条款。</w:t>
      </w:r>
    </w:p>
    <w:p w:rsidR="004D7955" w:rsidRDefault="004D7955" w:rsidP="004D7955">
      <w:pPr>
        <w:pStyle w:val="SingleTxtGC"/>
        <w:rPr>
          <w:rFonts w:hint="eastAsia"/>
        </w:rPr>
      </w:pPr>
      <w:r>
        <w:rPr>
          <w:rFonts w:hint="eastAsia"/>
        </w:rPr>
        <w:t xml:space="preserve">11.  </w:t>
      </w:r>
      <w:r>
        <w:rPr>
          <w:rFonts w:hint="eastAsia"/>
        </w:rPr>
        <w:t>委员会注意到缔约国在努力重建和翻新监禁场所，以改善条件，同时感到关切的是，拘押中心和监狱过度拥挤仍然是缔约国面临的问题。委员会还关注有监狱囚犯间暴力事件的报告</w:t>
      </w:r>
      <w:r>
        <w:rPr>
          <w:rFonts w:hint="eastAsia"/>
        </w:rPr>
        <w:t>(</w:t>
      </w:r>
      <w:r>
        <w:rPr>
          <w:rFonts w:hint="eastAsia"/>
        </w:rPr>
        <w:t>第六和十条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采取紧急措施，解决拘押中心和监狱过度拥挤问题，包括更多采取替代惩罚形式，如电子监控、假释和社区服务。缔约国应采取切实措施防止囚犯间暴力事件。在这方面，缔约国应继续确保所有囚犯间暴力案件包括致人死亡案件得到充分调查，起诉肇事人员，并给予适当的处罚。</w:t>
      </w:r>
    </w:p>
    <w:p w:rsidR="004D7955" w:rsidRDefault="004D7955" w:rsidP="004D7955">
      <w:pPr>
        <w:pStyle w:val="SingleTxtGC"/>
        <w:rPr>
          <w:rFonts w:hint="eastAsia"/>
        </w:rPr>
      </w:pPr>
      <w:r>
        <w:rPr>
          <w:rFonts w:hint="eastAsia"/>
        </w:rPr>
        <w:t xml:space="preserve">12.  </w:t>
      </w:r>
      <w:r>
        <w:rPr>
          <w:rFonts w:hint="eastAsia"/>
        </w:rPr>
        <w:t>委员会感到关切的是，在波斯尼亚和黑塞哥维那联邦适用的《卫士及其家人权利法》第</w:t>
      </w:r>
      <w:r>
        <w:rPr>
          <w:rFonts w:hint="eastAsia"/>
        </w:rPr>
        <w:t>21</w:t>
      </w:r>
      <w:r>
        <w:rPr>
          <w:rFonts w:hint="eastAsia"/>
        </w:rPr>
        <w:t>条规定，失踪人员家属要获得或持续领取按月补贴，必须在该法生效后两年内启动程序，宣布失踪人员死亡。此外，委员会感到关切的是，在塞族共和国，市级法院在评估根据《战争平民受害者保护法》第</w:t>
      </w:r>
      <w:r>
        <w:rPr>
          <w:rFonts w:hint="eastAsia"/>
        </w:rPr>
        <w:t>25</w:t>
      </w:r>
      <w:r>
        <w:rPr>
          <w:rFonts w:hint="eastAsia"/>
        </w:rPr>
        <w:t>条和《行政诉讼法》第</w:t>
      </w:r>
      <w:r>
        <w:rPr>
          <w:rFonts w:hint="eastAsia"/>
        </w:rPr>
        <w:t>190</w:t>
      </w:r>
      <w:r>
        <w:rPr>
          <w:rFonts w:hint="eastAsia"/>
        </w:rPr>
        <w:t>条提出的残疾补贴申请时，要求家属提供死亡证明作为证据，证明其亲人遭受了强迫失踪。委员会感到关切的是，这种做法根据《公约》第二、六和七条是有问题的，因为在做出努力加以寻找时，即假定失踪人员和被强迫失踪者已死</w:t>
      </w:r>
      <w:r>
        <w:rPr>
          <w:rFonts w:hint="eastAsia"/>
        </w:rPr>
        <w:t>(</w:t>
      </w:r>
      <w:r>
        <w:rPr>
          <w:rFonts w:hint="eastAsia"/>
        </w:rPr>
        <w:t>第二、六和七条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缔约国应废除在失踪案件中要求赔偿权利取决于家属愿意宣布家庭成员死亡的规定。缔约国应确保任何赔偿或其它形式的纠正充分体现侵权行为和所造成伤害的严重性。</w:t>
      </w:r>
    </w:p>
    <w:p w:rsidR="004D7955" w:rsidRDefault="004D7955" w:rsidP="004D7955">
      <w:pPr>
        <w:pStyle w:val="SingleTxtGC"/>
        <w:rPr>
          <w:rFonts w:hint="eastAsia"/>
        </w:rPr>
      </w:pPr>
      <w:r>
        <w:rPr>
          <w:rFonts w:hint="eastAsia"/>
        </w:rPr>
        <w:t xml:space="preserve">13.  </w:t>
      </w:r>
      <w:r>
        <w:rPr>
          <w:rFonts w:hint="eastAsia"/>
        </w:rPr>
        <w:t>委员会注意到缔约国努力为本国的战争罪证人提供保护，例如在检察官办公室设立了证人起诉股，同时委员会感到关注的是，各实体在得到移交的战争罪案件后，普遍存在证人支持方案实施不足的问题，如缺乏充分的心理支持，让证人在法庭内外直接面对被告。委员会感到关切的是，这会影响证人在审理期间作证的意愿</w:t>
      </w:r>
      <w:r>
        <w:rPr>
          <w:rFonts w:hint="eastAsia"/>
        </w:rPr>
        <w:t>(</w:t>
      </w:r>
      <w:r>
        <w:rPr>
          <w:rFonts w:hint="eastAsia"/>
        </w:rPr>
        <w:t>第六和十四条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采取切实措施，提高证人保护方案的效力，以确保充分保护证人。缔约国还应确保在移交战争罪时，各实体中证人继续获得充分的心理支持。缔约国应进一步确保当局充分调查涉嫌恐吓证人的案件，结束阻碍在缔约国实体层面起诉战争罪行的恐惧文化。</w:t>
      </w:r>
    </w:p>
    <w:p w:rsidR="004D7955" w:rsidRDefault="004D7955" w:rsidP="004D7955">
      <w:pPr>
        <w:pStyle w:val="SingleTxtGC"/>
        <w:rPr>
          <w:rFonts w:hint="eastAsia"/>
        </w:rPr>
      </w:pPr>
      <w:r>
        <w:rPr>
          <w:rFonts w:hint="eastAsia"/>
        </w:rPr>
        <w:t xml:space="preserve">14.  </w:t>
      </w:r>
      <w:r>
        <w:rPr>
          <w:rFonts w:hint="eastAsia"/>
        </w:rPr>
        <w:t>委员会赞赏缔约国努力保护人员不被驱回的权利，感到关切的是，因国家安全为由被驱逐者仅凭国家安全机关的随意决定就遭受无限期拘押。委员会还感到关切的是，由行政当局下令的寻求庇护者向法庭提交的申诉不具有暂时中止效力，相关国际组织和机构提供的关于来源国的情况也没有得到充分的考虑</w:t>
      </w:r>
      <w:r>
        <w:rPr>
          <w:rFonts w:hint="eastAsia"/>
        </w:rPr>
        <w:t>(</w:t>
      </w:r>
      <w:r>
        <w:rPr>
          <w:rFonts w:hint="eastAsia"/>
        </w:rPr>
        <w:t>第七、九和十条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修改规定对因国家安全理由遭到驱逐者进行拘押的法律，确保充分的法律安全保障，不使这些人受到无限期拘押。在这方面，缔约国也应考虑引进其它监督办法，取代无限期拘押。缔约国还应确保，在有关遣返的所有案件中，一切对法庭的上诉均有暂时中止的效力，主管行政和司法机关要对关于来源国状况的一切相关信息给予应有的考虑。</w:t>
      </w:r>
    </w:p>
    <w:p w:rsidR="004D7955" w:rsidRDefault="004D7955" w:rsidP="004D7955">
      <w:pPr>
        <w:pStyle w:val="SingleTxtGC"/>
        <w:rPr>
          <w:rFonts w:hint="eastAsia"/>
        </w:rPr>
      </w:pPr>
      <w:r>
        <w:rPr>
          <w:rFonts w:hint="eastAsia"/>
        </w:rPr>
        <w:t xml:space="preserve">15.  </w:t>
      </w:r>
      <w:r>
        <w:rPr>
          <w:rFonts w:hint="eastAsia"/>
        </w:rPr>
        <w:t>委员会回顾以前的建议</w:t>
      </w:r>
      <w:r>
        <w:rPr>
          <w:rFonts w:hint="eastAsia"/>
        </w:rPr>
        <w:t>(CCPR/C/BIH/CO/1,</w:t>
      </w:r>
      <w:r w:rsidR="00ED11A7">
        <w:rPr>
          <w:rFonts w:hint="eastAsia"/>
        </w:rPr>
        <w:t xml:space="preserve"> </w:t>
      </w:r>
      <w:r>
        <w:rPr>
          <w:rFonts w:hint="eastAsia"/>
        </w:rPr>
        <w:t>第</w:t>
      </w:r>
      <w:r>
        <w:rPr>
          <w:rFonts w:hint="eastAsia"/>
        </w:rPr>
        <w:t>18</w:t>
      </w:r>
      <w:r>
        <w:rPr>
          <w:rFonts w:hint="eastAsia"/>
        </w:rPr>
        <w:t>段</w:t>
      </w:r>
      <w:r>
        <w:rPr>
          <w:rFonts w:hint="eastAsia"/>
        </w:rPr>
        <w:t>)</w:t>
      </w:r>
      <w:r>
        <w:rPr>
          <w:rFonts w:hint="eastAsia"/>
        </w:rPr>
        <w:t>，继续对法律中保持《刑事诉讼法》第</w:t>
      </w:r>
      <w:r>
        <w:rPr>
          <w:rFonts w:hint="eastAsia"/>
        </w:rPr>
        <w:t>132(d)</w:t>
      </w:r>
      <w:r>
        <w:rPr>
          <w:rFonts w:hint="eastAsia"/>
        </w:rPr>
        <w:t>条感到关切，这一条规定，对于刑事犯罪嫌疑人，如果所指控罪行可处以</w:t>
      </w:r>
      <w:r>
        <w:rPr>
          <w:rFonts w:hint="eastAsia"/>
        </w:rPr>
        <w:t>10</w:t>
      </w:r>
      <w:r>
        <w:rPr>
          <w:rFonts w:hint="eastAsia"/>
        </w:rPr>
        <w:t>年以上监禁，则仅凭法官认定有公共安全或财产安全理由对其处以审前拘押，就可将其收押</w:t>
      </w:r>
      <w:r>
        <w:rPr>
          <w:rFonts w:hint="eastAsia"/>
        </w:rPr>
        <w:t>(</w:t>
      </w:r>
      <w:r>
        <w:rPr>
          <w:rFonts w:hint="eastAsia"/>
        </w:rPr>
        <w:t>第九条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 xml:space="preserve">(CCPR/C/BIH/CO/1, </w:t>
      </w:r>
      <w:r w:rsidRPr="009E4025">
        <w:rPr>
          <w:rFonts w:eastAsia="SimHei" w:hint="eastAsia"/>
        </w:rPr>
        <w:t>第</w:t>
      </w:r>
      <w:r w:rsidRPr="009E4025">
        <w:rPr>
          <w:rFonts w:eastAsia="SimHei" w:hint="eastAsia"/>
        </w:rPr>
        <w:t>18</w:t>
      </w:r>
      <w:r w:rsidRPr="009E4025">
        <w:rPr>
          <w:rFonts w:eastAsia="SimHei" w:hint="eastAsia"/>
        </w:rPr>
        <w:t>段</w:t>
      </w:r>
      <w:r w:rsidRPr="009E4025">
        <w:rPr>
          <w:rFonts w:eastAsia="SimHei" w:hint="eastAsia"/>
        </w:rPr>
        <w:t>)</w:t>
      </w:r>
      <w:r w:rsidRPr="009E4025">
        <w:rPr>
          <w:rFonts w:eastAsia="SimHei" w:hint="eastAsia"/>
        </w:rPr>
        <w:t>，建议缔约国应考虑取消以缔约国《刑事诉讼法》中定义不当的公共安全或财产安全概念作为下令对被视为公共安全或财产威胁的个人进行审前拘押理由的做法。</w:t>
      </w:r>
    </w:p>
    <w:p w:rsidR="004D7955" w:rsidRDefault="004D7955" w:rsidP="004D7955">
      <w:pPr>
        <w:pStyle w:val="SingleTxtGC"/>
        <w:rPr>
          <w:rFonts w:hint="eastAsia"/>
        </w:rPr>
      </w:pPr>
      <w:r>
        <w:rPr>
          <w:rFonts w:hint="eastAsia"/>
        </w:rPr>
        <w:t xml:space="preserve">16.  </w:t>
      </w:r>
      <w:r>
        <w:rPr>
          <w:rFonts w:hint="eastAsia"/>
        </w:rPr>
        <w:t>委员会回顾以前的意见</w:t>
      </w:r>
      <w:r>
        <w:rPr>
          <w:rFonts w:hint="eastAsia"/>
        </w:rPr>
        <w:t>(CCPR/C/BIH/CO/1,</w:t>
      </w:r>
      <w:r w:rsidR="00ED11A7">
        <w:rPr>
          <w:rFonts w:hint="eastAsia"/>
        </w:rPr>
        <w:t xml:space="preserve"> </w:t>
      </w:r>
      <w:r>
        <w:rPr>
          <w:rFonts w:hint="eastAsia"/>
        </w:rPr>
        <w:t>第</w:t>
      </w:r>
      <w:r>
        <w:rPr>
          <w:rFonts w:hint="eastAsia"/>
        </w:rPr>
        <w:t>20</w:t>
      </w:r>
      <w:r>
        <w:rPr>
          <w:rFonts w:hint="eastAsia"/>
        </w:rPr>
        <w:t>和</w:t>
      </w:r>
      <w:r>
        <w:rPr>
          <w:rFonts w:hint="eastAsia"/>
        </w:rPr>
        <w:t>21</w:t>
      </w:r>
      <w:r>
        <w:rPr>
          <w:rFonts w:hint="eastAsia"/>
        </w:rPr>
        <w:t>段</w:t>
      </w:r>
      <w:r>
        <w:rPr>
          <w:rFonts w:hint="eastAsia"/>
        </w:rPr>
        <w:t>)</w:t>
      </w:r>
      <w:r>
        <w:rPr>
          <w:rFonts w:hint="eastAsia"/>
        </w:rPr>
        <w:t>，继续对大量难民、回返者和国内流离失所者尚未得到安置并继续居住在集体安置中心感到关切</w:t>
      </w:r>
      <w:r>
        <w:rPr>
          <w:rFonts w:hint="eastAsia"/>
        </w:rPr>
        <w:t>(</w:t>
      </w:r>
      <w:r>
        <w:rPr>
          <w:rFonts w:hint="eastAsia"/>
        </w:rPr>
        <w:t>第十二条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委员会重申以前的建议</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20</w:t>
      </w:r>
      <w:r w:rsidRPr="009E4025">
        <w:rPr>
          <w:rFonts w:eastAsia="SimHei" w:hint="eastAsia"/>
        </w:rPr>
        <w:t>和</w:t>
      </w:r>
      <w:r w:rsidRPr="009E4025">
        <w:rPr>
          <w:rFonts w:eastAsia="SimHei" w:hint="eastAsia"/>
        </w:rPr>
        <w:t>21</w:t>
      </w:r>
      <w:r w:rsidRPr="009E4025">
        <w:rPr>
          <w:rFonts w:eastAsia="SimHei" w:hint="eastAsia"/>
        </w:rPr>
        <w:t>段</w:t>
      </w:r>
      <w:r w:rsidRPr="009E4025">
        <w:rPr>
          <w:rFonts w:eastAsia="SimHei" w:hint="eastAsia"/>
        </w:rPr>
        <w:t>)</w:t>
      </w:r>
      <w:r w:rsidRPr="009E4025">
        <w:rPr>
          <w:rFonts w:eastAsia="SimHei" w:hint="eastAsia"/>
        </w:rPr>
        <w:t>，建议缔约国应加快努力，安置和送回难民、回返者和国内流离失所者，以逐步完全消除集体安置中心。在这方面，缔约国应继续采取切实措施，为集体安置中心的居民提供充足的替代住房，并为可持续回返和安置创造必要条件。</w:t>
      </w:r>
    </w:p>
    <w:p w:rsidR="004D7955" w:rsidRDefault="004D7955" w:rsidP="004D7955">
      <w:pPr>
        <w:pStyle w:val="SingleTxtGC"/>
        <w:rPr>
          <w:rFonts w:hint="eastAsia"/>
        </w:rPr>
      </w:pPr>
      <w:r>
        <w:rPr>
          <w:rFonts w:hint="eastAsia"/>
        </w:rPr>
        <w:t xml:space="preserve">17.  </w:t>
      </w:r>
      <w:r>
        <w:rPr>
          <w:rFonts w:hint="eastAsia"/>
        </w:rPr>
        <w:t>委员会重申以前的意见</w:t>
      </w:r>
      <w:r>
        <w:rPr>
          <w:rFonts w:hint="eastAsia"/>
        </w:rPr>
        <w:t>(CCPR/C/BIH/CO/1,</w:t>
      </w:r>
      <w:r w:rsidR="00ED11A7">
        <w:rPr>
          <w:rFonts w:hint="eastAsia"/>
        </w:rPr>
        <w:t xml:space="preserve"> </w:t>
      </w:r>
      <w:r>
        <w:rPr>
          <w:rFonts w:hint="eastAsia"/>
        </w:rPr>
        <w:t>第</w:t>
      </w:r>
      <w:r>
        <w:rPr>
          <w:rFonts w:hint="eastAsia"/>
        </w:rPr>
        <w:t>22</w:t>
      </w:r>
      <w:r>
        <w:rPr>
          <w:rFonts w:hint="eastAsia"/>
        </w:rPr>
        <w:t>段</w:t>
      </w:r>
      <w:r>
        <w:rPr>
          <w:rFonts w:hint="eastAsia"/>
        </w:rPr>
        <w:t>)</w:t>
      </w:r>
      <w:r>
        <w:rPr>
          <w:rFonts w:hint="eastAsia"/>
        </w:rPr>
        <w:t>，并关切地注意到，在新生儿登记和颁发出生证明方面存在挑战，特别是对罗姆人，从而影响到他们获得健康保险、社会保障、教育和其它基本权利</w:t>
      </w:r>
      <w:r>
        <w:rPr>
          <w:rFonts w:hint="eastAsia"/>
        </w:rPr>
        <w:t>(</w:t>
      </w:r>
      <w:r>
        <w:rPr>
          <w:rFonts w:hint="eastAsia"/>
        </w:rPr>
        <w:t>第十六和二十四条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22</w:t>
      </w:r>
      <w:r w:rsidRPr="009E4025">
        <w:rPr>
          <w:rFonts w:eastAsia="SimHei" w:hint="eastAsia"/>
        </w:rPr>
        <w:t>段</w:t>
      </w:r>
      <w:r w:rsidR="00ED11A7" w:rsidRPr="009E4025">
        <w:rPr>
          <w:rFonts w:eastAsia="SimHei" w:hint="eastAsia"/>
        </w:rPr>
        <w:t>)</w:t>
      </w:r>
      <w:r w:rsidRPr="009E4025">
        <w:rPr>
          <w:rFonts w:eastAsia="SimHei" w:hint="eastAsia"/>
        </w:rPr>
        <w:t>，建议缔约国应进一步努力改进新生儿登记和颁发出生证明的工作，特别是在罗姆人中间，采取适当干预，如开展提高意识方案，以改变关于新生儿登记和出生证明必要性的观念。</w:t>
      </w:r>
    </w:p>
    <w:p w:rsidR="004D7955" w:rsidRDefault="004D7955" w:rsidP="004D7955">
      <w:pPr>
        <w:pStyle w:val="SingleTxtGC"/>
        <w:rPr>
          <w:rFonts w:hint="eastAsia"/>
        </w:rPr>
      </w:pPr>
      <w:r>
        <w:rPr>
          <w:rFonts w:hint="eastAsia"/>
        </w:rPr>
        <w:t xml:space="preserve">18.  </w:t>
      </w:r>
      <w:r>
        <w:rPr>
          <w:rFonts w:hint="eastAsia"/>
        </w:rPr>
        <w:t>委员会感到遗憾的是，有报告称，负责调查媒体不当行为和仇恨言论案件等工作的通信管理局不具有独立性，受到经济和政治方面的压力，这一点也为缔约国所承认</w:t>
      </w:r>
      <w:r>
        <w:rPr>
          <w:rFonts w:hint="eastAsia"/>
        </w:rPr>
        <w:t>(</w:t>
      </w:r>
      <w:r>
        <w:rPr>
          <w:rFonts w:hint="eastAsia"/>
        </w:rPr>
        <w:t>第十九条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委员会回顾关于见解和言论自由的第</w:t>
      </w:r>
      <w:r w:rsidRPr="009E4025">
        <w:rPr>
          <w:rFonts w:eastAsia="SimHei" w:hint="eastAsia"/>
        </w:rPr>
        <w:t>34</w:t>
      </w:r>
      <w:r w:rsidRPr="009E4025">
        <w:rPr>
          <w:rFonts w:eastAsia="SimHei" w:hint="eastAsia"/>
        </w:rPr>
        <w:t>号一般性意见</w:t>
      </w:r>
      <w:r w:rsidRPr="009E4025">
        <w:rPr>
          <w:rFonts w:eastAsia="SimHei" w:hint="eastAsia"/>
        </w:rPr>
        <w:t>(2011</w:t>
      </w:r>
      <w:r w:rsidRPr="009E4025">
        <w:rPr>
          <w:rFonts w:eastAsia="SimHei" w:hint="eastAsia"/>
        </w:rPr>
        <w:t>年</w:t>
      </w:r>
      <w:r w:rsidRPr="009E4025">
        <w:rPr>
          <w:rFonts w:eastAsia="SimHei" w:hint="eastAsia"/>
        </w:rPr>
        <w:t>)</w:t>
      </w:r>
      <w:r w:rsidRPr="009E4025">
        <w:rPr>
          <w:rFonts w:eastAsia="SimHei" w:hint="eastAsia"/>
        </w:rPr>
        <w:t>，敦促缔约国确保通信管理局的独立性得到充分尊重。因此，缔约国应停止一切对通信管理局工作施加影响的行为，确保管理局不受任何外部人员或机构影响而独立履行任务。</w:t>
      </w:r>
    </w:p>
    <w:p w:rsidR="004D7955" w:rsidRDefault="004D7955" w:rsidP="004D7955">
      <w:pPr>
        <w:pStyle w:val="SingleTxtGC"/>
        <w:rPr>
          <w:rFonts w:hint="eastAsia"/>
        </w:rPr>
      </w:pPr>
      <w:r>
        <w:rPr>
          <w:rFonts w:hint="eastAsia"/>
        </w:rPr>
        <w:t xml:space="preserve">19.  </w:t>
      </w:r>
      <w:r>
        <w:rPr>
          <w:rFonts w:hint="eastAsia"/>
        </w:rPr>
        <w:t>委员会感到关切的是，有报告称，在普里耶多尔市，言论和集会自由受到限制，</w:t>
      </w:r>
      <w:r>
        <w:rPr>
          <w:rFonts w:hint="eastAsia"/>
        </w:rPr>
        <w:t>2012</w:t>
      </w:r>
      <w:r>
        <w:rPr>
          <w:rFonts w:hint="eastAsia"/>
        </w:rPr>
        <w:t>年</w:t>
      </w:r>
      <w:r>
        <w:rPr>
          <w:rFonts w:hint="eastAsia"/>
        </w:rPr>
        <w:t>5</w:t>
      </w:r>
      <w:r>
        <w:rPr>
          <w:rFonts w:hint="eastAsia"/>
        </w:rPr>
        <w:t>月</w:t>
      </w:r>
      <w:r>
        <w:rPr>
          <w:rFonts w:hint="eastAsia"/>
        </w:rPr>
        <w:t>9</w:t>
      </w:r>
      <w:r>
        <w:rPr>
          <w:rFonts w:hint="eastAsia"/>
        </w:rPr>
        <w:t>日，该市市长禁止当地非政府组织举办大屠杀二十周年公共纪念活动。委员会感到关切的是，有报告称，当地公开宣告，任何不遵守禁令并对奥马斯卡发生的犯罪使用“种族灭绝”说法的行为将受到起诉</w:t>
      </w:r>
      <w:r>
        <w:rPr>
          <w:rFonts w:hint="eastAsia"/>
        </w:rPr>
        <w:t>(</w:t>
      </w:r>
      <w:r>
        <w:rPr>
          <w:rFonts w:hint="eastAsia"/>
        </w:rPr>
        <w:t>第十九和二十</w:t>
      </w:r>
      <w:r w:rsidR="00965957">
        <w:rPr>
          <w:rFonts w:hint="eastAsia"/>
        </w:rPr>
        <w:t>一</w:t>
      </w:r>
      <w:r>
        <w:rPr>
          <w:rFonts w:hint="eastAsia"/>
        </w:rPr>
        <w:t>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缔约国应确保限制言论和集会自由要符合《公约》第十九和二十一条中的限制性规定。在这方面，缔约国应对</w:t>
      </w:r>
      <w:r w:rsidRPr="009E4025">
        <w:rPr>
          <w:rFonts w:eastAsia="SimHei" w:hint="eastAsia"/>
        </w:rPr>
        <w:t>2012</w:t>
      </w:r>
      <w:r w:rsidRPr="009E4025">
        <w:rPr>
          <w:rFonts w:eastAsia="SimHei" w:hint="eastAsia"/>
        </w:rPr>
        <w:t>年</w:t>
      </w:r>
      <w:r w:rsidRPr="009E4025">
        <w:rPr>
          <w:rFonts w:eastAsia="SimHei" w:hint="eastAsia"/>
        </w:rPr>
        <w:t>5</w:t>
      </w:r>
      <w:r w:rsidRPr="009E4025">
        <w:rPr>
          <w:rFonts w:eastAsia="SimHei" w:hint="eastAsia"/>
        </w:rPr>
        <w:t>月关于普里耶多尔市纪念活动禁令的合法性进行调查。</w:t>
      </w:r>
    </w:p>
    <w:p w:rsidR="004D7955" w:rsidRDefault="004D7955" w:rsidP="004D7955">
      <w:pPr>
        <w:pStyle w:val="SingleTxtGC"/>
      </w:pPr>
      <w:r>
        <w:rPr>
          <w:rFonts w:hint="eastAsia"/>
        </w:rPr>
        <w:t xml:space="preserve">20.  </w:t>
      </w:r>
      <w:r>
        <w:rPr>
          <w:rFonts w:hint="eastAsia"/>
        </w:rPr>
        <w:t>委员会欢迎缔约国努力起诉仇恨言论行为和实施种族主义攻击行为，特别是对罗姆人的上述行为，同时对持续有种族主义攻击行为的报告感到关切。委员会还关注没有专门法律禁止设立煽动仇恨和开展种族主义宣传的组织</w:t>
      </w:r>
      <w:r>
        <w:rPr>
          <w:rFonts w:hint="eastAsia"/>
        </w:rPr>
        <w:t>(</w:t>
      </w:r>
      <w:r>
        <w:rPr>
          <w:rFonts w:hint="eastAsia"/>
        </w:rPr>
        <w:t>第二、十九、二十、二十二和二十七条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缔约国应进一步努力消除仇恨言论和种族主义攻击行为，特别是针对罗姆人的上述行为，开展宣传活动，以宣传尊重人权和宽容多样性。缔约国也应进一步努力确保被指控的种族主义攻击肇事者受到全面调查和起诉，如被定罪则要受到适当的处罚，并对受害者进行充分赔偿。此外，缔约国应颁布一项法律，禁止组建立足于宣传和传播仇恨言论和种族主义宣传的组织。</w:t>
      </w:r>
    </w:p>
    <w:p w:rsidR="004D7955" w:rsidRDefault="004D7955" w:rsidP="004D7955">
      <w:pPr>
        <w:pStyle w:val="SingleTxtGC"/>
        <w:rPr>
          <w:rFonts w:hint="eastAsia"/>
        </w:rPr>
      </w:pPr>
      <w:r>
        <w:rPr>
          <w:rFonts w:hint="eastAsia"/>
        </w:rPr>
        <w:t xml:space="preserve">21.  </w:t>
      </w:r>
      <w:r>
        <w:rPr>
          <w:rFonts w:hint="eastAsia"/>
        </w:rPr>
        <w:t>委员会回顾以前的建议</w:t>
      </w:r>
      <w:r>
        <w:rPr>
          <w:rFonts w:hint="eastAsia"/>
        </w:rPr>
        <w:t>(CCPR/C/BIH/CO/1,</w:t>
      </w:r>
      <w:r w:rsidR="00ED11A7">
        <w:rPr>
          <w:rFonts w:hint="eastAsia"/>
        </w:rPr>
        <w:t xml:space="preserve"> </w:t>
      </w:r>
      <w:r>
        <w:rPr>
          <w:rFonts w:hint="eastAsia"/>
        </w:rPr>
        <w:t>第</w:t>
      </w:r>
      <w:r>
        <w:rPr>
          <w:rFonts w:hint="eastAsia"/>
        </w:rPr>
        <w:t>24</w:t>
      </w:r>
      <w:r>
        <w:rPr>
          <w:rFonts w:hint="eastAsia"/>
        </w:rPr>
        <w:t>段</w:t>
      </w:r>
      <w:r>
        <w:rPr>
          <w:rFonts w:hint="eastAsia"/>
        </w:rPr>
        <w:t>)</w:t>
      </w:r>
      <w:r>
        <w:rPr>
          <w:rFonts w:hint="eastAsia"/>
        </w:rPr>
        <w:t>，重申对罗姆人受到事实上歧视的关切。委员会特别关切的是，罗姆儿童继续面临单一种族学校的隔离制度，也缺少以本族语言接受教育的机会。委员会还关注罗姆人在获得住房、保健、就业和参加公共事务管理方面的指标较差</w:t>
      </w:r>
      <w:r>
        <w:rPr>
          <w:rFonts w:hint="eastAsia"/>
        </w:rPr>
        <w:t>(</w:t>
      </w:r>
      <w:r>
        <w:rPr>
          <w:rFonts w:hint="eastAsia"/>
        </w:rPr>
        <w:t>第二十六和二十七条</w:t>
      </w:r>
      <w:r>
        <w:rPr>
          <w:rFonts w:hint="eastAsia"/>
        </w:rPr>
        <w:t>)</w:t>
      </w:r>
      <w:r>
        <w:rPr>
          <w:rFonts w:hint="eastAsia"/>
        </w:rPr>
        <w:t>。</w:t>
      </w:r>
    </w:p>
    <w:p w:rsidR="004D7955" w:rsidRPr="009E4025" w:rsidRDefault="004D7955" w:rsidP="004D7955">
      <w:pPr>
        <w:pStyle w:val="SingleTxtGC"/>
        <w:rPr>
          <w:rFonts w:eastAsia="SimHei" w:hint="eastAsia"/>
        </w:rPr>
      </w:pPr>
      <w:r w:rsidRPr="009E4025">
        <w:rPr>
          <w:rFonts w:eastAsia="SimHei" w:hint="eastAsia"/>
        </w:rPr>
        <w:t>委员会重申以前的结论性意见</w:t>
      </w:r>
      <w:r w:rsidRPr="009E4025">
        <w:rPr>
          <w:rFonts w:eastAsia="SimHei" w:hint="eastAsia"/>
        </w:rPr>
        <w:t>(CCPR/C/BIH/CO/1,</w:t>
      </w:r>
      <w:r w:rsidR="00ED11A7" w:rsidRPr="009E4025">
        <w:rPr>
          <w:rFonts w:eastAsia="SimHei" w:hint="eastAsia"/>
        </w:rPr>
        <w:t xml:space="preserve"> </w:t>
      </w:r>
      <w:r w:rsidRPr="009E4025">
        <w:rPr>
          <w:rFonts w:eastAsia="SimHei" w:hint="eastAsia"/>
        </w:rPr>
        <w:t>第</w:t>
      </w:r>
      <w:r w:rsidRPr="009E4025">
        <w:rPr>
          <w:rFonts w:eastAsia="SimHei" w:hint="eastAsia"/>
        </w:rPr>
        <w:t>24</w:t>
      </w:r>
      <w:r w:rsidRPr="009E4025">
        <w:rPr>
          <w:rFonts w:eastAsia="SimHei" w:hint="eastAsia"/>
        </w:rPr>
        <w:t>段</w:t>
      </w:r>
      <w:r w:rsidRPr="009E4025">
        <w:rPr>
          <w:rFonts w:eastAsia="SimHei" w:hint="eastAsia"/>
        </w:rPr>
        <w:t>)</w:t>
      </w:r>
      <w:r w:rsidRPr="009E4025">
        <w:rPr>
          <w:rFonts w:eastAsia="SimHei" w:hint="eastAsia"/>
        </w:rPr>
        <w:t>，即缔约国应采取必要措施落实罗姆人在《保护少数民族权利法》下受到保护的言语和教育权利。缔约国应进一步努力，确保罗姆儿童能以母语接受教育。缔约国还应采取切实措施改进罗姆人在获得住房、保健、就业和参与公共事务管理方面的权利。</w:t>
      </w:r>
    </w:p>
    <w:p w:rsidR="004D7955" w:rsidRDefault="004D7955" w:rsidP="004D7955">
      <w:pPr>
        <w:pStyle w:val="SingleTxtGC"/>
        <w:rPr>
          <w:rFonts w:hint="eastAsia"/>
        </w:rPr>
      </w:pPr>
      <w:r>
        <w:rPr>
          <w:rFonts w:hint="eastAsia"/>
        </w:rPr>
        <w:t xml:space="preserve">22.  </w:t>
      </w:r>
      <w:r>
        <w:rPr>
          <w:rFonts w:hint="eastAsia"/>
        </w:rPr>
        <w:t>缔约国应广泛传播《公约》及其两项《任择议定书》、第二次定期报告、就委员会问题清单所提供的书面答复及本结论性意见，以提高司法、立法和行政当局、民间社会和在该国开展活动的非政府组织及普通公众的意识。委员会还建议将报告及结论性意见翻译成缔约国其它官方语文。委员会还请缔约国在准备第三次定期报告时与民间社会和非政府组织进行广泛协商。</w:t>
      </w:r>
    </w:p>
    <w:p w:rsidR="004D7955" w:rsidRDefault="004D7955" w:rsidP="004D7955">
      <w:pPr>
        <w:pStyle w:val="SingleTxtGC"/>
        <w:rPr>
          <w:rFonts w:hint="eastAsia"/>
        </w:rPr>
      </w:pPr>
      <w:r>
        <w:rPr>
          <w:rFonts w:hint="eastAsia"/>
        </w:rPr>
        <w:t xml:space="preserve">23.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款，缔约国应在一年内提供落实第</w:t>
      </w:r>
      <w:r>
        <w:rPr>
          <w:rFonts w:hint="eastAsia"/>
        </w:rPr>
        <w:t>6</w:t>
      </w:r>
      <w:r>
        <w:rPr>
          <w:rFonts w:hint="eastAsia"/>
        </w:rPr>
        <w:t>、</w:t>
      </w:r>
      <w:r>
        <w:rPr>
          <w:rFonts w:hint="eastAsia"/>
        </w:rPr>
        <w:t>7</w:t>
      </w:r>
      <w:r>
        <w:rPr>
          <w:rFonts w:hint="eastAsia"/>
        </w:rPr>
        <w:t>和</w:t>
      </w:r>
      <w:r>
        <w:rPr>
          <w:rFonts w:hint="eastAsia"/>
        </w:rPr>
        <w:t>12</w:t>
      </w:r>
      <w:r>
        <w:rPr>
          <w:rFonts w:hint="eastAsia"/>
        </w:rPr>
        <w:t>段中委员会建议情况的相关信息。</w:t>
      </w:r>
    </w:p>
    <w:p w:rsidR="004D7955" w:rsidRDefault="004D7955" w:rsidP="004D7955">
      <w:pPr>
        <w:pStyle w:val="SingleTxtGC"/>
      </w:pPr>
      <w:r>
        <w:rPr>
          <w:rFonts w:hint="eastAsia"/>
        </w:rPr>
        <w:t xml:space="preserve">24.  </w:t>
      </w:r>
      <w:r>
        <w:rPr>
          <w:rFonts w:hint="eastAsia"/>
        </w:rPr>
        <w:t>委员会请缔约国在应于</w:t>
      </w:r>
      <w:r>
        <w:rPr>
          <w:rFonts w:hint="eastAsia"/>
        </w:rPr>
        <w:t>2016</w:t>
      </w:r>
      <w:r>
        <w:rPr>
          <w:rFonts w:hint="eastAsia"/>
        </w:rPr>
        <w:t>年</w:t>
      </w:r>
      <w:r>
        <w:rPr>
          <w:rFonts w:hint="eastAsia"/>
        </w:rPr>
        <w:t>10</w:t>
      </w:r>
      <w:r>
        <w:rPr>
          <w:rFonts w:hint="eastAsia"/>
        </w:rPr>
        <w:t>月</w:t>
      </w:r>
      <w:r>
        <w:rPr>
          <w:rFonts w:hint="eastAsia"/>
        </w:rPr>
        <w:t>31</w:t>
      </w:r>
      <w:r>
        <w:rPr>
          <w:rFonts w:hint="eastAsia"/>
        </w:rPr>
        <w:t>日提交的下一次定期报告中提供关于委员会建议及整个《公约》的具体和最新信息。</w:t>
      </w:r>
    </w:p>
    <w:p w:rsidR="00C40431" w:rsidRDefault="00C40431" w:rsidP="00D159B2">
      <w:pPr>
        <w:pStyle w:val="SingleTxtGC"/>
        <w:rPr>
          <w:rFonts w:hint="eastAsia"/>
        </w:rPr>
      </w:pPr>
    </w:p>
    <w:p w:rsidR="00893D78" w:rsidRPr="002D6A9C" w:rsidRDefault="00893D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93D78" w:rsidRDefault="00893D78" w:rsidP="00D159B2">
      <w:pPr>
        <w:pStyle w:val="SingleTxtGC"/>
        <w:rPr>
          <w:rFonts w:hint="eastAsia"/>
        </w:rPr>
      </w:pPr>
    </w:p>
    <w:sectPr w:rsidR="00893D7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0AF" w:rsidRPr="000F217F" w:rsidRDefault="001760AF"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1760AF" w:rsidRPr="000F217F" w:rsidRDefault="001760AF"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470" w:rsidRPr="004D7955" w:rsidRDefault="00B90470"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A60D2">
      <w:rPr>
        <w:rStyle w:val="PageNumber"/>
        <w:noProof/>
      </w:rPr>
      <w:t>6</w:t>
    </w:r>
    <w:r>
      <w:rPr>
        <w:rStyle w:val="PageNumber"/>
      </w:rPr>
      <w:fldChar w:fldCharType="end"/>
    </w:r>
    <w:r>
      <w:rPr>
        <w:rStyle w:val="PageNumber"/>
        <w:rFonts w:eastAsia="SimSun" w:hint="eastAsia"/>
        <w:lang w:eastAsia="zh-CN"/>
      </w:rPr>
      <w:tab/>
    </w:r>
    <w:r w:rsidRPr="004D7955">
      <w:rPr>
        <w:rFonts w:eastAsia="SimSun"/>
      </w:rPr>
      <w:t>GE.12-47618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470" w:rsidRDefault="00B90470">
    <w:pPr>
      <w:pStyle w:val="Footer"/>
      <w:tabs>
        <w:tab w:val="right" w:pos="9639"/>
      </w:tabs>
    </w:pPr>
    <w:r w:rsidRPr="004D7955">
      <w:rPr>
        <w:rFonts w:eastAsia="SimSun"/>
      </w:rPr>
      <w:t>GE.12-47618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A60D2">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470" w:rsidRPr="0061164F" w:rsidRDefault="00B90470"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47618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291112</w:t>
    </w:r>
    <w:r>
      <w:rPr>
        <w:rFonts w:eastAsia="SimSun"/>
        <w:sz w:val="20"/>
        <w:lang w:eastAsia="zh-CN"/>
      </w:rPr>
      <w:tab/>
    </w:r>
    <w:r>
      <w:rPr>
        <w:rFonts w:eastAsia="SimSun" w:hint="eastAsia"/>
        <w:sz w:val="20"/>
        <w:lang w:eastAsia="zh-CN"/>
      </w:rPr>
      <w:t>301112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0AF" w:rsidRPr="00052154" w:rsidRDefault="001760A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760AF" w:rsidRPr="00052154" w:rsidRDefault="001760A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470" w:rsidRPr="004D7955" w:rsidRDefault="00B90470">
    <w:pPr>
      <w:pStyle w:val="Header"/>
    </w:pPr>
    <w:r w:rsidRPr="004D7955">
      <w:t>CCPR/C/BIH/CO/2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470" w:rsidRPr="004D7955" w:rsidRDefault="00B90470">
    <w:pPr>
      <w:pStyle w:val="Header"/>
      <w:jc w:val="right"/>
    </w:pPr>
    <w:r w:rsidRPr="004D7955">
      <w:t>CCPR/C/BIH/CO/2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2ED3413"/>
    <w:multiLevelType w:val="hybridMultilevel"/>
    <w:tmpl w:val="16ECC680"/>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F4A1181"/>
    <w:multiLevelType w:val="hybridMultilevel"/>
    <w:tmpl w:val="744AD9EC"/>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2AE345B"/>
    <w:multiLevelType w:val="hybridMultilevel"/>
    <w:tmpl w:val="191231CA"/>
    <w:lvl w:ilvl="0" w:tplc="12A47FA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486423B"/>
    <w:multiLevelType w:val="hybridMultilevel"/>
    <w:tmpl w:val="BED0CE26"/>
    <w:lvl w:ilvl="0" w:tplc="AFD2803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7"/>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9"/>
  </w:num>
  <w:num w:numId="23">
    <w:abstractNumId w:val="10"/>
  </w:num>
  <w:num w:numId="24">
    <w:abstractNumId w:val="16"/>
  </w:num>
  <w:num w:numId="25">
    <w:abstractNumId w:val="22"/>
  </w:num>
  <w:num w:numId="26">
    <w:abstractNumId w:val="18"/>
  </w:num>
  <w:num w:numId="27">
    <w:abstractNumId w:val="15"/>
  </w:num>
  <w:num w:numId="28">
    <w:abstractNumId w:val="19"/>
  </w:num>
  <w:num w:numId="29">
    <w:abstractNumId w:val="10"/>
  </w:num>
  <w:num w:numId="30">
    <w:abstractNumId w:val="16"/>
  </w:num>
  <w:num w:numId="31">
    <w:abstractNumId w:val="25"/>
  </w:num>
  <w:num w:numId="32">
    <w:abstractNumId w:val="22"/>
  </w:num>
  <w:num w:numId="33">
    <w:abstractNumId w:val="18"/>
  </w:num>
  <w:num w:numId="34">
    <w:abstractNumId w:val="15"/>
  </w:num>
  <w:num w:numId="35">
    <w:abstractNumId w:val="19"/>
  </w:num>
  <w:num w:numId="36">
    <w:abstractNumId w:val="10"/>
  </w:num>
  <w:num w:numId="37">
    <w:abstractNumId w:val="16"/>
  </w:num>
  <w:num w:numId="38">
    <w:abstractNumId w:val="25"/>
  </w:num>
  <w:num w:numId="39">
    <w:abstractNumId w:val="11"/>
  </w:num>
  <w:num w:numId="40">
    <w:abstractNumId w:val="21"/>
  </w:num>
  <w:num w:numId="41">
    <w:abstractNumId w:val="14"/>
  </w:num>
  <w:num w:numId="42">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955"/>
    <w:rsid w:val="00051474"/>
    <w:rsid w:val="00052154"/>
    <w:rsid w:val="00056B0A"/>
    <w:rsid w:val="000848DB"/>
    <w:rsid w:val="00086AFE"/>
    <w:rsid w:val="000F217F"/>
    <w:rsid w:val="001039BC"/>
    <w:rsid w:val="0014292A"/>
    <w:rsid w:val="00161576"/>
    <w:rsid w:val="001760AF"/>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B09E6"/>
    <w:rsid w:val="003C6A6A"/>
    <w:rsid w:val="003D1840"/>
    <w:rsid w:val="003F3E54"/>
    <w:rsid w:val="003F67C5"/>
    <w:rsid w:val="00463CF0"/>
    <w:rsid w:val="004841B8"/>
    <w:rsid w:val="00497733"/>
    <w:rsid w:val="004A27CA"/>
    <w:rsid w:val="004D1555"/>
    <w:rsid w:val="004D79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94689"/>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85A54"/>
    <w:rsid w:val="006A719B"/>
    <w:rsid w:val="006B33D0"/>
    <w:rsid w:val="006B6E2A"/>
    <w:rsid w:val="006C2B4D"/>
    <w:rsid w:val="006D3DFA"/>
    <w:rsid w:val="006D537E"/>
    <w:rsid w:val="007022E6"/>
    <w:rsid w:val="00721ADC"/>
    <w:rsid w:val="007337FF"/>
    <w:rsid w:val="007759F2"/>
    <w:rsid w:val="007802C5"/>
    <w:rsid w:val="007B11DF"/>
    <w:rsid w:val="007B5B8A"/>
    <w:rsid w:val="007E1E0A"/>
    <w:rsid w:val="007F57CE"/>
    <w:rsid w:val="007F6142"/>
    <w:rsid w:val="008103CF"/>
    <w:rsid w:val="0082020C"/>
    <w:rsid w:val="008351FB"/>
    <w:rsid w:val="00840AD2"/>
    <w:rsid w:val="0086574C"/>
    <w:rsid w:val="00867AE0"/>
    <w:rsid w:val="00877885"/>
    <w:rsid w:val="008926BF"/>
    <w:rsid w:val="00893D78"/>
    <w:rsid w:val="008A29C7"/>
    <w:rsid w:val="008A2C66"/>
    <w:rsid w:val="008B7C42"/>
    <w:rsid w:val="008D08D4"/>
    <w:rsid w:val="008F1659"/>
    <w:rsid w:val="008F2A5F"/>
    <w:rsid w:val="00924464"/>
    <w:rsid w:val="00935148"/>
    <w:rsid w:val="009353BD"/>
    <w:rsid w:val="00964A61"/>
    <w:rsid w:val="00965957"/>
    <w:rsid w:val="00983FE7"/>
    <w:rsid w:val="00997F66"/>
    <w:rsid w:val="009E4025"/>
    <w:rsid w:val="00A02B21"/>
    <w:rsid w:val="00A13418"/>
    <w:rsid w:val="00A3593C"/>
    <w:rsid w:val="00A37913"/>
    <w:rsid w:val="00A50BDC"/>
    <w:rsid w:val="00A53684"/>
    <w:rsid w:val="00A956E4"/>
    <w:rsid w:val="00AC0B2D"/>
    <w:rsid w:val="00AC56DE"/>
    <w:rsid w:val="00AE6BDB"/>
    <w:rsid w:val="00AF26E4"/>
    <w:rsid w:val="00B408DE"/>
    <w:rsid w:val="00B75594"/>
    <w:rsid w:val="00B90470"/>
    <w:rsid w:val="00C1716A"/>
    <w:rsid w:val="00C21A92"/>
    <w:rsid w:val="00C40431"/>
    <w:rsid w:val="00C51697"/>
    <w:rsid w:val="00C63BB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346E"/>
    <w:rsid w:val="00E04759"/>
    <w:rsid w:val="00E52100"/>
    <w:rsid w:val="00E7526B"/>
    <w:rsid w:val="00E9545F"/>
    <w:rsid w:val="00E9599A"/>
    <w:rsid w:val="00E97B28"/>
    <w:rsid w:val="00EA55AB"/>
    <w:rsid w:val="00EA60D2"/>
    <w:rsid w:val="00EB791E"/>
    <w:rsid w:val="00EC1754"/>
    <w:rsid w:val="00ED11A7"/>
    <w:rsid w:val="00ED4038"/>
    <w:rsid w:val="00EE03AE"/>
    <w:rsid w:val="00F01AE0"/>
    <w:rsid w:val="00F039D0"/>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857</Words>
  <Characters>4886</Characters>
  <Application>Microsoft Office Word</Application>
  <DocSecurity>4</DocSecurity>
  <Lines>40</Lines>
  <Paragraphs>11</Paragraphs>
  <ScaleCrop>false</ScaleCrop>
  <Company>CSD</Company>
  <LinksUpToDate>false</LinksUpToDate>
  <CharactersWithSpaces>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4</cp:revision>
  <cp:lastPrinted>2012-11-30T09:47:00Z</cp:lastPrinted>
  <dcterms:created xsi:type="dcterms:W3CDTF">2012-11-30T09:47:00Z</dcterms:created>
  <dcterms:modified xsi:type="dcterms:W3CDTF">2012-11-30T09:47:00Z</dcterms:modified>
</cp:coreProperties>
</file>