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414-м заседании,</w:t>
      </w:r>
    </w:p>
    <w:p w:rsidR="00000000" w:rsidRDefault="00000000">
      <w:r>
        <w:t>состоявшемся в Центральных учреждениях, Нью-Йорк, в среду, 27 января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г-жа Гонсалес</w:t>
      </w: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затем</w:t>
      </w:r>
      <w:r>
        <w:t>:</w:t>
      </w:r>
      <w:r>
        <w:tab/>
        <w:t>г-жа Шёпп-Шиллинг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затем</w:t>
      </w:r>
      <w:r>
        <w:t>:</w:t>
      </w:r>
      <w:r>
        <w:tab/>
        <w:t>г-жа Гонсалес (Председатель)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 xml:space="preserve">Первоначальный доклад Лихтенштейна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25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Первоначальный доклад Лихтенштейна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(CEDAW/C/LIE/1)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места за ст</w:t>
      </w:r>
      <w:r>
        <w:t>о</w:t>
      </w:r>
      <w:r>
        <w:t>лом Комитета занимают г</w:t>
      </w:r>
      <w:r>
        <w:noBreakHyphen/>
        <w:t>жа Фриче и г</w:t>
      </w:r>
      <w:r>
        <w:noBreakHyphen/>
        <w:t>н Венавезер (Лихте</w:t>
      </w:r>
      <w:r>
        <w:t>н</w:t>
      </w:r>
      <w:r>
        <w:t>штейн).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Фриче</w:t>
      </w:r>
      <w:r>
        <w:t xml:space="preserve"> (Лихтенштейн), отвечая на в</w:t>
      </w:r>
      <w:r>
        <w:t>о</w:t>
      </w:r>
      <w:r>
        <w:t>просы членов Комитета, сообщает, что Комиссия по равноправию мужчин и женщин была официально распущена, после того как все ее члены, за искл</w:t>
      </w:r>
      <w:r>
        <w:t>ю</w:t>
      </w:r>
      <w:r>
        <w:t>чением председателя, в 1992 году подали в отста</w:t>
      </w:r>
      <w:r>
        <w:t>в</w:t>
      </w:r>
      <w:r>
        <w:t>ку. В 1994 году она была официально воссоздана, а в настоящее время в ее состав входит восемь чл</w:t>
      </w:r>
      <w:r>
        <w:t>е</w:t>
      </w:r>
      <w:r>
        <w:t>нов (трое мужчин и пятеро женщин) и руководитель Бюро по равноправию, который выполняет функции консультанта. Комиссия помогает правительству в целом и не подчинена какому-то министерству. Ее мандат будет официально закреплен в статье 18 н</w:t>
      </w:r>
      <w:r>
        <w:t>о</w:t>
      </w:r>
      <w:r>
        <w:t>вого Закона о равноправии. В статье 19 Закона б</w:t>
      </w:r>
      <w:r>
        <w:t>у</w:t>
      </w:r>
      <w:r>
        <w:t>дет закреплен мандат Бюро по равноправию, кот</w:t>
      </w:r>
      <w:r>
        <w:t>о</w:t>
      </w:r>
      <w:r>
        <w:t>рое было учреждено в 1996 году и напрямую связ</w:t>
      </w:r>
      <w:r>
        <w:t>а</w:t>
      </w:r>
      <w:r>
        <w:t>но с Министерством по делам семьи и равноправия. Закон о равноправии позволит женщинам обр</w:t>
      </w:r>
      <w:r>
        <w:t>а</w:t>
      </w:r>
      <w:r>
        <w:t>щаться с жалобами в национальные суды, которые занимаются проблемами труда на частных мер</w:t>
      </w:r>
      <w:r>
        <w:t>о</w:t>
      </w:r>
      <w:r>
        <w:t>приятиях, или в Административный суд, который занимается вопросами труда в государственном секторе. Кроме того, Закон устанавливает соглас</w:t>
      </w:r>
      <w:r>
        <w:t>и</w:t>
      </w:r>
      <w:r>
        <w:t>тельную процедуру в качестве обязательного перв</w:t>
      </w:r>
      <w:r>
        <w:t>о</w:t>
      </w:r>
      <w:r>
        <w:t>го этапа, предшествующего подаче официальной жалобы в суд.</w:t>
      </w:r>
    </w:p>
    <w:p w:rsidR="00000000" w:rsidRDefault="00000000">
      <w:pPr>
        <w:pStyle w:val="DualTxt"/>
      </w:pPr>
      <w:r>
        <w:t>3.</w:t>
      </w:r>
      <w:r>
        <w:tab/>
        <w:t>Жалобы и предложения, касающиеся действий национальной администрации, поступают омбу</w:t>
      </w:r>
      <w:r>
        <w:t>д</w:t>
      </w:r>
      <w:r>
        <w:t>смену, который препровождает их на рассмотрение в соответствующее министерство; кроме того, он консультирует в юридических вопросах. В качестве консультанта омбудсмен участвует в работе Коми</w:t>
      </w:r>
      <w:r>
        <w:t>с</w:t>
      </w:r>
      <w:r>
        <w:t>сии по равноправию мужчин и женщин, однако п</w:t>
      </w:r>
      <w:r>
        <w:t>о</w:t>
      </w:r>
      <w:r>
        <w:t>сле учреждения Бюро по равенству многие жалобы н</w:t>
      </w:r>
      <w:r>
        <w:t>а</w:t>
      </w:r>
      <w:r>
        <w:t>правляются непосредственно в Бюро.</w:t>
      </w:r>
    </w:p>
    <w:p w:rsidR="00000000" w:rsidRDefault="00000000">
      <w:pPr>
        <w:pStyle w:val="DualTxt"/>
      </w:pPr>
      <w:r>
        <w:t>4.</w:t>
      </w:r>
      <w:r>
        <w:tab/>
        <w:t>В соответствии со сроком, установленным О</w:t>
      </w:r>
      <w:r>
        <w:t>т</w:t>
      </w:r>
      <w:r>
        <w:t>делом по улучшению положения женщин в ноябре 1997 года, Лихтенштейн представил предварител</w:t>
      </w:r>
      <w:r>
        <w:t>ь</w:t>
      </w:r>
      <w:r>
        <w:t>ный ответ с проектом плана действий по осущест</w:t>
      </w:r>
      <w:r>
        <w:t>в</w:t>
      </w:r>
      <w:r>
        <w:t>лению Пекинской платформы действий. В мае 1998 года правительство утвердило документацию по национальным стратегиям и рассмотрело вс</w:t>
      </w:r>
      <w:r>
        <w:t>е</w:t>
      </w:r>
      <w:r>
        <w:t>объемлющий комплекс мер по осуществлению Платформы действий. К процессу ее осуществления привлечены все министерства, работа которых к</w:t>
      </w:r>
      <w:r>
        <w:t>о</w:t>
      </w:r>
      <w:r>
        <w:t>ординируется и контролируется Министерством по делам семьи и равноправия. Реализация итогов П</w:t>
      </w:r>
      <w:r>
        <w:t>е</w:t>
      </w:r>
      <w:r>
        <w:t>кинской конференции — немаловажная составля</w:t>
      </w:r>
      <w:r>
        <w:t>ю</w:t>
      </w:r>
      <w:r>
        <w:t>щая политики Лихтенштейна по женской проблем</w:t>
      </w:r>
      <w:r>
        <w:t>а</w:t>
      </w:r>
      <w:r>
        <w:t>тике, и осуществление Платформы будет предметом ежегодн</w:t>
      </w:r>
      <w:r>
        <w:t>о</w:t>
      </w:r>
      <w:r>
        <w:t>го обзора.</w:t>
      </w:r>
    </w:p>
    <w:p w:rsidR="00000000" w:rsidRDefault="00000000">
      <w:pPr>
        <w:pStyle w:val="DualTxt"/>
      </w:pPr>
      <w:r>
        <w:t>5.</w:t>
      </w:r>
      <w:r>
        <w:tab/>
        <w:t>Конвенция опубликована в Лихтенштейне, а ее текст на немецком языке направлен всем женским организациям для дальнейшего распространения. Он экспонировался на последней промышле</w:t>
      </w:r>
      <w:r>
        <w:t>н</w:t>
      </w:r>
      <w:r>
        <w:t>но-торговой выставке, и ему было посвящено нескол</w:t>
      </w:r>
      <w:r>
        <w:t>ь</w:t>
      </w:r>
      <w:r>
        <w:t>ко правительственных пресс-релизов. Будут ра</w:t>
      </w:r>
      <w:r>
        <w:t>с</w:t>
      </w:r>
      <w:r>
        <w:t>пространены и материалы об итогах рассмотрения Комитетом первоначального доклада Лихтенште</w:t>
      </w:r>
      <w:r>
        <w:t>й</w:t>
      </w:r>
      <w:r>
        <w:t>на.</w:t>
      </w:r>
    </w:p>
    <w:p w:rsidR="00000000" w:rsidRDefault="00000000">
      <w:pPr>
        <w:pStyle w:val="DualTxt"/>
      </w:pPr>
      <w:r>
        <w:t>6.</w:t>
      </w:r>
      <w:r>
        <w:tab/>
        <w:t>Следует проводить различие между внебра</w:t>
      </w:r>
      <w:r>
        <w:t>ч</w:t>
      </w:r>
      <w:r>
        <w:t>ными детьми и д</w:t>
      </w:r>
      <w:r>
        <w:t>е</w:t>
      </w:r>
      <w:r>
        <w:t>тьми матерей-одиночек («мать-одиночка» означает женщину овдовевшую, разл</w:t>
      </w:r>
      <w:r>
        <w:t>у</w:t>
      </w:r>
      <w:r>
        <w:t>ченную с супругом или разведенную). Правител</w:t>
      </w:r>
      <w:r>
        <w:t>ь</w:t>
      </w:r>
      <w:r>
        <w:t>ство уделяет особое внимание положению мат</w:t>
      </w:r>
      <w:r>
        <w:t>е</w:t>
      </w:r>
      <w:r>
        <w:t>рей-одиночек, наладив систему поддержки, которая предусматривает: выплату пособия на каждого р</w:t>
      </w:r>
      <w:r>
        <w:t>е</w:t>
      </w:r>
      <w:r>
        <w:t>бенка, независимо от семейного состояния; выплату алиментов отцом ребенка, причем их размер зав</w:t>
      </w:r>
      <w:r>
        <w:t>и</w:t>
      </w:r>
      <w:r>
        <w:t>сит от доходов отца (в будущем появится также и такой вариант, когда размер алиментов будет опр</w:t>
      </w:r>
      <w:r>
        <w:t>е</w:t>
      </w:r>
      <w:r>
        <w:t>деляться по добровольному соглашению между р</w:t>
      </w:r>
      <w:r>
        <w:t>о</w:t>
      </w:r>
      <w:r>
        <w:t>дителями ребенка); выплату государственных до</w:t>
      </w:r>
      <w:r>
        <w:t>п</w:t>
      </w:r>
      <w:r>
        <w:t>лат, когда алиментов недостаточно; субсидирование жилищной платы в размере 350–1000 долл. США, в зависимости от финансового положения соответс</w:t>
      </w:r>
      <w:r>
        <w:t>т</w:t>
      </w:r>
      <w:r>
        <w:t>вующего лица; выплату дополнительных пособий на ребенка в размере около 50 долл. США для од</w:t>
      </w:r>
      <w:r>
        <w:t>и</w:t>
      </w:r>
      <w:r>
        <w:t>ноких родителей. В Ландтаге рассматривается се</w:t>
      </w:r>
      <w:r>
        <w:t>й</w:t>
      </w:r>
      <w:r>
        <w:t>час предложение о том, чтобы использовать п</w:t>
      </w:r>
      <w:r>
        <w:t>о</w:t>
      </w:r>
      <w:r>
        <w:t>средника, который помогал бы разводящимся парам определять порядок совместного содержания ими своих д</w:t>
      </w:r>
      <w:r>
        <w:t>е</w:t>
      </w:r>
      <w:r>
        <w:t>тей.</w:t>
      </w:r>
    </w:p>
    <w:p w:rsidR="00000000" w:rsidRDefault="00000000">
      <w:pPr>
        <w:pStyle w:val="DualTxt"/>
      </w:pPr>
      <w:r>
        <w:t>7.</w:t>
      </w:r>
      <w:r>
        <w:tab/>
        <w:t>Желающим отдать ребенка в учреждение по уходу за детьми долго ждать не приходится. Бол</w:t>
      </w:r>
      <w:r>
        <w:t>ь</w:t>
      </w:r>
      <w:r>
        <w:t>шинство заявлений на детский сад подается лиц</w:t>
      </w:r>
      <w:r>
        <w:t>а</w:t>
      </w:r>
      <w:r>
        <w:t>ми, работающими по найму — полный или непо</w:t>
      </w:r>
      <w:r>
        <w:t>л</w:t>
      </w:r>
      <w:r>
        <w:t>ный рабочий день.</w:t>
      </w:r>
    </w:p>
    <w:p w:rsidR="00000000" w:rsidRDefault="00000000">
      <w:pPr>
        <w:pStyle w:val="DualTxt"/>
      </w:pPr>
      <w:r>
        <w:t>8.</w:t>
      </w:r>
      <w:r>
        <w:tab/>
        <w:t>В 1998 году правительство выделило около 600 000 долл. США в порядке финансовой помощи неправительственным организациям, занимающи</w:t>
      </w:r>
      <w:r>
        <w:t>м</w:t>
      </w:r>
      <w:r>
        <w:t>ся защитой прав женщин.</w:t>
      </w:r>
    </w:p>
    <w:p w:rsidR="00000000" w:rsidRDefault="00000000">
      <w:pPr>
        <w:pStyle w:val="DualTxt"/>
      </w:pPr>
      <w:r>
        <w:t>9.</w:t>
      </w:r>
      <w:r>
        <w:tab/>
        <w:t>В соответствии с Конституционным законом 1992 года Верховный суд рассмотрел шесть дел о дискриминации по половому признаку в таких о</w:t>
      </w:r>
      <w:r>
        <w:t>б</w:t>
      </w:r>
      <w:r>
        <w:t>ластях, как алименты, налоги, социальное обесп</w:t>
      </w:r>
      <w:r>
        <w:t>е</w:t>
      </w:r>
      <w:r>
        <w:t>чение и гражданство. Благодаря некоторым реш</w:t>
      </w:r>
      <w:r>
        <w:t>е</w:t>
      </w:r>
      <w:r>
        <w:t>ниям Суда ускорилось принятие поправок к соо</w:t>
      </w:r>
      <w:r>
        <w:t>т</w:t>
      </w:r>
      <w:r>
        <w:t>ветствующему законод</w:t>
      </w:r>
      <w:r>
        <w:t>а</w:t>
      </w:r>
      <w:r>
        <w:t>тельству.</w:t>
      </w:r>
    </w:p>
    <w:p w:rsidR="00000000" w:rsidRDefault="00000000">
      <w:pPr>
        <w:pStyle w:val="DualTxt"/>
      </w:pPr>
      <w:r>
        <w:t>10.</w:t>
      </w:r>
      <w:r>
        <w:tab/>
        <w:t>Всем иностранцам, временно или постоянно проживающим в Лихтенштейне, предоставляются права, гарантируемые им международными догов</w:t>
      </w:r>
      <w:r>
        <w:t>о</w:t>
      </w:r>
      <w:r>
        <w:t>рами, в которых участвует Лихтенштейн, а также соответствующими положениями внутреннего зак</w:t>
      </w:r>
      <w:r>
        <w:t>о</w:t>
      </w:r>
      <w:r>
        <w:t>нодательства Лихтенштейна. Граждане гос</w:t>
      </w:r>
      <w:r>
        <w:t>у</w:t>
      </w:r>
      <w:r>
        <w:t>дарств — участников Соглашения о Европейском экономическом пространстве (ЕЭП) пользуются т</w:t>
      </w:r>
      <w:r>
        <w:t>а</w:t>
      </w:r>
      <w:r>
        <w:t>ким же статусом, как и граждане Лихтенштейна, за исключением политических прав. Иностранцам из стран, не принадлежащих к ЕЭП, не полагаются стипендии, ссуды или иные виды финансовой п</w:t>
      </w:r>
      <w:r>
        <w:t>о</w:t>
      </w:r>
      <w:r>
        <w:t>мощи, если они проживают в Лихтенштейне менее пяти лет, а из стран, с которыми у Лихтенштейна имеются взаимные соглашения, — двух лет. Н</w:t>
      </w:r>
      <w:r>
        <w:t>а</w:t>
      </w:r>
      <w:r>
        <w:t>чальное и среднее образование является обязател</w:t>
      </w:r>
      <w:r>
        <w:t>ь</w:t>
      </w:r>
      <w:r>
        <w:t>ным и бесплатным для всех учащихся; для детей, для которых немецкий язык не родной, предусмо</w:t>
      </w:r>
      <w:r>
        <w:t>т</w:t>
      </w:r>
      <w:r>
        <w:t>рено специальное обуч</w:t>
      </w:r>
      <w:r>
        <w:t>е</w:t>
      </w:r>
      <w:r>
        <w:t>ние.</w:t>
      </w:r>
    </w:p>
    <w:p w:rsidR="00000000" w:rsidRDefault="00000000">
      <w:pPr>
        <w:pStyle w:val="DualTxt"/>
      </w:pPr>
      <w:r>
        <w:t>11.</w:t>
      </w:r>
      <w:r>
        <w:tab/>
        <w:t>В декабре 1996 года общая численность нас</w:t>
      </w:r>
      <w:r>
        <w:t>е</w:t>
      </w:r>
      <w:r>
        <w:t>ления Лихтенштейна составляла 31 143 человека, из них 51,3 процента — женщины. Коэффициент ро</w:t>
      </w:r>
      <w:r>
        <w:t>ж</w:t>
      </w:r>
      <w:r>
        <w:t>даемости в Лихтенштейне, который в 1997 году равнялся 1,3 процента, сопоставим с аналогичными коэффициентами в других европейских странах. В 1997 году на домохозяйство приходилось в среднем 3,4 человека. Одиннадцать общин, на которые стр</w:t>
      </w:r>
      <w:r>
        <w:t>а</w:t>
      </w:r>
      <w:r>
        <w:t>на поделена в административном отношении, св</w:t>
      </w:r>
      <w:r>
        <w:t>е</w:t>
      </w:r>
      <w:r>
        <w:t>дены в два избирательных округа: Оберланд и У</w:t>
      </w:r>
      <w:r>
        <w:t>н</w:t>
      </w:r>
      <w:r>
        <w:t>терланд, — за которыми в Ландтаге закреплено 15 и 10 мест соответственно. Созданы специальные к</w:t>
      </w:r>
      <w:r>
        <w:t>о</w:t>
      </w:r>
      <w:r>
        <w:t>миссии, следящие за проведением и исходом выб</w:t>
      </w:r>
      <w:r>
        <w:t>о</w:t>
      </w:r>
      <w:r>
        <w:t>ров.</w:t>
      </w:r>
    </w:p>
    <w:p w:rsidR="00000000" w:rsidRDefault="00000000">
      <w:pPr>
        <w:pStyle w:val="DualTxt"/>
      </w:pPr>
      <w:r>
        <w:t>12.</w:t>
      </w:r>
      <w:r>
        <w:tab/>
        <w:t>Данных, которые показывали бы факты нас</w:t>
      </w:r>
      <w:r>
        <w:t>и</w:t>
      </w:r>
      <w:r>
        <w:t>лия в отношении только представительниц женск</w:t>
      </w:r>
      <w:r>
        <w:t>о</w:t>
      </w:r>
      <w:r>
        <w:t xml:space="preserve">го пола, не имеется; кроме того, не обо всех таких </w:t>
      </w:r>
      <w:r>
        <w:br/>
      </w:r>
    </w:p>
    <w:p w:rsidR="00000000" w:rsidRDefault="00000000">
      <w:pPr>
        <w:pStyle w:val="DualTxt"/>
      </w:pPr>
      <w:r>
        <w:br w:type="column"/>
        <w:t>правонарушениях сообщается. Неправительстве</w:t>
      </w:r>
      <w:r>
        <w:t>н</w:t>
      </w:r>
      <w:r>
        <w:t>ная организация «Сеть информации и связи для женщин» (ИНФРА) создала «Женский дом», кот</w:t>
      </w:r>
      <w:r>
        <w:t>о</w:t>
      </w:r>
      <w:r>
        <w:t>рый получает солидную финансовую помощь от правительства. Поскольку это единственный же</w:t>
      </w:r>
      <w:r>
        <w:t>н</w:t>
      </w:r>
      <w:r>
        <w:t>ский приют в регионе, многие из его обитател</w:t>
      </w:r>
      <w:r>
        <w:t>ь</w:t>
      </w:r>
      <w:r>
        <w:t>ниц — выходцы из соседних стран. Многие женщ</w:t>
      </w:r>
      <w:r>
        <w:t>и</w:t>
      </w:r>
      <w:r>
        <w:t>ны вместе со своими детьми остаются в приюте н</w:t>
      </w:r>
      <w:r>
        <w:t>а</w:t>
      </w:r>
      <w:r>
        <w:t>долго.</w:t>
      </w:r>
    </w:p>
    <w:p w:rsidR="00000000" w:rsidRDefault="00000000">
      <w:pPr>
        <w:pStyle w:val="DualTxt"/>
      </w:pPr>
      <w:r>
        <w:t>13.</w:t>
      </w:r>
      <w:r>
        <w:tab/>
        <w:t>Ныне действующее в Лихтенштейне законод</w:t>
      </w:r>
      <w:r>
        <w:t>а</w:t>
      </w:r>
      <w:r>
        <w:t>тельство не содержит определения дискриминации по половому признаку, однако в статье 1 нового З</w:t>
      </w:r>
      <w:r>
        <w:t>а</w:t>
      </w:r>
      <w:r>
        <w:t>кона о равноправии будет содержаться определение дискриминации по половому признаку в сфере тр</w:t>
      </w:r>
      <w:r>
        <w:t>у</w:t>
      </w:r>
      <w:r>
        <w:t>да. Применительно к международным договорам в Лихтенштейне действует унитарная система, в с</w:t>
      </w:r>
      <w:r>
        <w:t>о</w:t>
      </w:r>
      <w:r>
        <w:t>ответствии с которой определение такой дискрим</w:t>
      </w:r>
      <w:r>
        <w:t>и</w:t>
      </w:r>
      <w:r>
        <w:t>нации, содержащееся в статье 1 Конвенции, имеет непосредственное действие в правовой системе Лихтенштейна.</w:t>
      </w:r>
    </w:p>
    <w:p w:rsidR="00000000" w:rsidRDefault="00000000">
      <w:pPr>
        <w:pStyle w:val="DualTxt"/>
      </w:pPr>
      <w:r>
        <w:t>14.</w:t>
      </w:r>
      <w:r>
        <w:tab/>
        <w:t>ИНФРА издала брошюру под названием «С</w:t>
      </w:r>
      <w:r>
        <w:t>о</w:t>
      </w:r>
      <w:r>
        <w:t>жительство без брачного свидетельства», в которой указывается, в чем права женщины, сожительс</w:t>
      </w:r>
      <w:r>
        <w:t>т</w:t>
      </w:r>
      <w:r>
        <w:t>вующей с мужчиной без оформления брака, отл</w:t>
      </w:r>
      <w:r>
        <w:t>и</w:t>
      </w:r>
      <w:r>
        <w:t>чаются от прав замужней женщины. Брошюра р</w:t>
      </w:r>
      <w:r>
        <w:t>е</w:t>
      </w:r>
      <w:r>
        <w:t>комендует супружеским парам заключать письме</w:t>
      </w:r>
      <w:r>
        <w:t>н</w:t>
      </w:r>
      <w:r>
        <w:t>ное соглашение, особенно если женщина занимае</w:t>
      </w:r>
      <w:r>
        <w:t>т</w:t>
      </w:r>
      <w:r>
        <w:t>ся опл</w:t>
      </w:r>
      <w:r>
        <w:t>а</w:t>
      </w:r>
      <w:r>
        <w:t>чиваемым трудом.</w:t>
      </w:r>
    </w:p>
    <w:p w:rsidR="00000000" w:rsidRDefault="00000000">
      <w:pPr>
        <w:pStyle w:val="DualTxt"/>
      </w:pPr>
      <w:r>
        <w:t>15.</w:t>
      </w:r>
      <w:r>
        <w:tab/>
        <w:t>Вопрос о том, является ли обязательное кв</w:t>
      </w:r>
      <w:r>
        <w:t>о</w:t>
      </w:r>
      <w:r>
        <w:t>тирование (а если да, то в каких ситуациях) надл</w:t>
      </w:r>
      <w:r>
        <w:t>е</w:t>
      </w:r>
      <w:r>
        <w:t>жащим средством поощрения прав женщин, являе</w:t>
      </w:r>
      <w:r>
        <w:t>т</w:t>
      </w:r>
      <w:r>
        <w:t>ся в Лихтенштейне предметом политических деб</w:t>
      </w:r>
      <w:r>
        <w:t>а</w:t>
      </w:r>
      <w:r>
        <w:t>тов. В тех случаях, когда на государственные дол</w:t>
      </w:r>
      <w:r>
        <w:t>ж</w:t>
      </w:r>
      <w:r>
        <w:t>ности претендуют кандидаты обоих полов, обл</w:t>
      </w:r>
      <w:r>
        <w:t>а</w:t>
      </w:r>
      <w:r>
        <w:t>дающие одинаковой квалификацией, а женщины в данном ведомстве недопредставлены, предпочтение отдается кандидатам женского пола. Закон о равн</w:t>
      </w:r>
      <w:r>
        <w:t>о</w:t>
      </w:r>
      <w:r>
        <w:t>правии уполномочивает правительство оказывать финансовую поддержку частным предприятиям, чтобы содействовать им в улучшении положения женщин.</w:t>
      </w:r>
    </w:p>
    <w:p w:rsidR="00000000" w:rsidRDefault="00000000">
      <w:pPr>
        <w:pStyle w:val="DualTxt"/>
      </w:pPr>
      <w:r>
        <w:t>16.</w:t>
      </w:r>
      <w:r>
        <w:tab/>
        <w:t>Что касается образования, то сейчас осущес</w:t>
      </w:r>
      <w:r>
        <w:t>т</w:t>
      </w:r>
      <w:r>
        <w:t>вляется обзор учебных программ, призванный ус</w:t>
      </w:r>
      <w:r>
        <w:t>т</w:t>
      </w:r>
      <w:r>
        <w:t>ранить гендерные стереотипы. Большое значение в этой связи будет иметь проведение в жизнь итогов работы Комиссии по содействию равным возмо</w:t>
      </w:r>
      <w:r>
        <w:t>ж</w:t>
      </w:r>
      <w:r>
        <w:t xml:space="preserve">ностям для девочек и женщин в сфере образования. </w:t>
      </w:r>
    </w:p>
    <w:p w:rsidR="00000000" w:rsidRDefault="00000000">
      <w:pPr>
        <w:pStyle w:val="DualTxt"/>
      </w:pPr>
      <w:r>
        <w:br w:type="column"/>
        <w:t>Положения лихтенштейнского законодательства о наследовании являются в гендерном отношении нейтральными и не приводят к дискриминации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17.</w:t>
      </w:r>
      <w:r>
        <w:tab/>
        <w:t>Необходимо развернуть политические дебаты с участием как мужчин, так и женщин для рассмо</w:t>
      </w:r>
      <w:r>
        <w:t>т</w:t>
      </w:r>
      <w:r>
        <w:t>рения проблемы насилия над женщинами. На отн</w:t>
      </w:r>
      <w:r>
        <w:t>о</w:t>
      </w:r>
      <w:r>
        <w:t>шение к роли правительства в этой связи повлияли вынесение Комитетом своей рекомендации общего характера № 19, принятие Генеральной Ассамблеей Декларации об искоренении насилия в отношении женщин, создание Комиссией по правам человека тематического механизма по данному вопросу и п</w:t>
      </w:r>
      <w:r>
        <w:t>о</w:t>
      </w:r>
      <w:r>
        <w:t>сещение Лихтенштейна Специальным докладчиком по вопросу о насилии в отношении женщин. Ож</w:t>
      </w:r>
      <w:r>
        <w:t>и</w:t>
      </w:r>
      <w:r>
        <w:t>дается, что принятие поправок к Уголовному коде</w:t>
      </w:r>
      <w:r>
        <w:t>к</w:t>
      </w:r>
      <w:r>
        <w:t>су и проекта закона о защите от насилия позволит установить уголовную ответственность за изнас</w:t>
      </w:r>
      <w:r>
        <w:t>и</w:t>
      </w:r>
      <w:r>
        <w:t>лование супруги супругом и за сексуальные домог</w:t>
      </w:r>
      <w:r>
        <w:t>а</w:t>
      </w:r>
      <w:r>
        <w:t>тельства на рабочем месте. По действующему зак</w:t>
      </w:r>
      <w:r>
        <w:t>о</w:t>
      </w:r>
      <w:r>
        <w:t>нодательству формы психологического и физич</w:t>
      </w:r>
      <w:r>
        <w:t>е</w:t>
      </w:r>
      <w:r>
        <w:t>ского насилия в быту подлежат наказанию в виде штрафов или тюремного заключения на срок до д</w:t>
      </w:r>
      <w:r>
        <w:t>е</w:t>
      </w:r>
      <w:r>
        <w:t>сяти лет. Проституция, если она практикуется в в</w:t>
      </w:r>
      <w:r>
        <w:t>ы</w:t>
      </w:r>
      <w:r>
        <w:t>зывающей для окружающих форме, признается преступлением, которое наказывается тюремным заключением на срок до двух лет. Существующий законопроект предусматривает смягчение этого н</w:t>
      </w:r>
      <w:r>
        <w:t>а</w:t>
      </w:r>
      <w:r>
        <w:t>казания до максимум шестимесячного тюремного заключения или уплаты штрафа.</w:t>
      </w:r>
    </w:p>
    <w:p w:rsidR="00000000" w:rsidRDefault="00000000">
      <w:pPr>
        <w:pStyle w:val="DualTxt"/>
      </w:pPr>
      <w:r>
        <w:t>18.</w:t>
      </w:r>
      <w:r>
        <w:tab/>
        <w:t>Отдельных данных о том, как в выборах и р</w:t>
      </w:r>
      <w:r>
        <w:t>е</w:t>
      </w:r>
      <w:r>
        <w:t>ферендумах участвуют именно женщины, не имее</w:t>
      </w:r>
      <w:r>
        <w:t>т</w:t>
      </w:r>
      <w:r>
        <w:t>ся, однако голосование является в принципе обяз</w:t>
      </w:r>
      <w:r>
        <w:t>а</w:t>
      </w:r>
      <w:r>
        <w:t>тельным и процент участия в таких мероприятиях неизменно высок. Что касается разочаровывающих результатов, достигнутых кандидатами женского пола на последних выборах в Ландтаг, то прав</w:t>
      </w:r>
      <w:r>
        <w:t>и</w:t>
      </w:r>
      <w:r>
        <w:t>тельство провело опрос, по итогам которого Коми</w:t>
      </w:r>
      <w:r>
        <w:t>с</w:t>
      </w:r>
      <w:r>
        <w:t>сия по равноправию женщин и мужчин и Бюро по равноправию выработали комплекс мер, оформив их в виде брошюры, опубликованной в сентябре 1998 года. Хотя информация о том, какие партии склонны поддерживать женщины более младших или старших возрастов, не имеется, за кандидатов женского пола больше готовы голосовать люди в возрасте от 35 до 49 лет. Поскольку политические партии не ведут списков своих членов, информации о численности женщин, состоящих в политических партиях Лихтенштейна, тоже не имеется. Система квот применяется в одной из трех политических партий. Различные неправительственные организ</w:t>
      </w:r>
      <w:r>
        <w:t>а</w:t>
      </w:r>
      <w:r>
        <w:t>ции организуют для общественности курсы пр</w:t>
      </w:r>
      <w:r>
        <w:t>о</w:t>
      </w:r>
      <w:r>
        <w:t>свещения в вопросах гражданственности, а прав</w:t>
      </w:r>
      <w:r>
        <w:t>и</w:t>
      </w:r>
      <w:r>
        <w:t>тельство организует аналогичные курсы для гос</w:t>
      </w:r>
      <w:r>
        <w:t>у</w:t>
      </w:r>
      <w:r>
        <w:t>дарственных служащих. Порядок престолонаследия определяется княжеской фамил</w:t>
      </w:r>
      <w:r>
        <w:t>и</w:t>
      </w:r>
      <w:r>
        <w:t>ей.</w:t>
      </w:r>
    </w:p>
    <w:p w:rsidR="00000000" w:rsidRDefault="00000000">
      <w:pPr>
        <w:pStyle w:val="DualTxt"/>
      </w:pPr>
      <w:r>
        <w:t>19.</w:t>
      </w:r>
      <w:r>
        <w:tab/>
        <w:t>Хотя в Лихтенштейне нет вузов, студенты, ж</w:t>
      </w:r>
      <w:r>
        <w:t>е</w:t>
      </w:r>
      <w:r>
        <w:t>лающие обучаться за границей, получают надлеж</w:t>
      </w:r>
      <w:r>
        <w:t>а</w:t>
      </w:r>
      <w:r>
        <w:t>щую финансовую помощь. Близ Лихтенштейна — много зарубежных вузов. Низкий процент женщин, желающих получить высшее образование, объясн</w:t>
      </w:r>
      <w:r>
        <w:t>я</w:t>
      </w:r>
      <w:r>
        <w:t>ется традиционными культурными устоями, и се</w:t>
      </w:r>
      <w:r>
        <w:t>й</w:t>
      </w:r>
      <w:r>
        <w:t>час правительство старается преодолеть эту пр</w:t>
      </w:r>
      <w:r>
        <w:t>о</w:t>
      </w:r>
      <w:r>
        <w:t>блему. При предоставлении стипендий и ссуд на образование дискриминации по половому признаку нет, а во внимание принимаются только финанс</w:t>
      </w:r>
      <w:r>
        <w:t>о</w:t>
      </w:r>
      <w:r>
        <w:t>вые обстоятельства за</w:t>
      </w:r>
      <w:r>
        <w:t>я</w:t>
      </w:r>
      <w:r>
        <w:t>вителя и его (ее) семьи.</w:t>
      </w:r>
    </w:p>
    <w:p w:rsidR="00000000" w:rsidRDefault="00000000">
      <w:pPr>
        <w:pStyle w:val="DualTxt"/>
      </w:pPr>
      <w:r>
        <w:t>20.</w:t>
      </w:r>
      <w:r>
        <w:tab/>
        <w:t>Ученичество представляет собой программу профессионального обучения, состоящую из пра</w:t>
      </w:r>
      <w:r>
        <w:t>к</w:t>
      </w:r>
      <w:r>
        <w:t>тического компонента, который организуется пре</w:t>
      </w:r>
      <w:r>
        <w:t>д</w:t>
      </w:r>
      <w:r>
        <w:t>приятиями, и теоретического компонента, который преподается в профессионально-технических уч</w:t>
      </w:r>
      <w:r>
        <w:t>и</w:t>
      </w:r>
      <w:r>
        <w:t>лищах. Ученичество длится от двух до четырех лет и может сочетаться с преподаванием учебной пр</w:t>
      </w:r>
      <w:r>
        <w:t>о</w:t>
      </w:r>
      <w:r>
        <w:t>граммы д</w:t>
      </w:r>
      <w:r>
        <w:t>о</w:t>
      </w:r>
      <w:r>
        <w:t>вузовского уровня.</w:t>
      </w:r>
    </w:p>
    <w:p w:rsidR="00000000" w:rsidRDefault="00000000">
      <w:pPr>
        <w:pStyle w:val="DualTxt"/>
      </w:pPr>
      <w:r>
        <w:t>21.</w:t>
      </w:r>
      <w:r>
        <w:tab/>
        <w:t>Что касается вопроса о гибких часах работы, то применительно к национальной администрации в апреле 1999 года вступит в силу указ, в котором предусматривается различный рабочий график как для женщин, так и для мужчин. Закон не запрещает ни одному из полов работать на условиях неполного рабочего времени, однако на некоторых предпр</w:t>
      </w:r>
      <w:r>
        <w:t>и</w:t>
      </w:r>
      <w:r>
        <w:t>ятиях действующие у них правила этого не допу</w:t>
      </w:r>
      <w:r>
        <w:t>с</w:t>
      </w:r>
      <w:r>
        <w:t>кают. Трудящимся, работающим на таких условиях, полагается страхование от безработицы и медици</w:t>
      </w:r>
      <w:r>
        <w:t>н</w:t>
      </w:r>
      <w:r>
        <w:t>ское страхование, а тем из них, кто получает опр</w:t>
      </w:r>
      <w:r>
        <w:t>е</w:t>
      </w:r>
      <w:r>
        <w:t>деленный годовой заработок, имеют право на уч</w:t>
      </w:r>
      <w:r>
        <w:t>а</w:t>
      </w:r>
      <w:r>
        <w:t>стие в пенсионном фонде.</w:t>
      </w:r>
    </w:p>
    <w:p w:rsidR="00000000" w:rsidRDefault="00000000">
      <w:pPr>
        <w:pStyle w:val="DualTxt"/>
      </w:pPr>
      <w:r>
        <w:t>22.</w:t>
      </w:r>
      <w:r>
        <w:tab/>
        <w:t>В результате состоявшегося в 1997 году пер</w:t>
      </w:r>
      <w:r>
        <w:t>е</w:t>
      </w:r>
      <w:r>
        <w:t>смотра Закона о труде были отменены все полож</w:t>
      </w:r>
      <w:r>
        <w:t>е</w:t>
      </w:r>
      <w:r>
        <w:t>ния, предусматривавшие особую защиту трудящи</w:t>
      </w:r>
      <w:r>
        <w:t>х</w:t>
      </w:r>
      <w:r>
        <w:t>ся-женщин, за исключением положений, касавши</w:t>
      </w:r>
      <w:r>
        <w:t>х</w:t>
      </w:r>
      <w:r>
        <w:t>ся беременных женщин и кормящих матерей. З</w:t>
      </w:r>
      <w:r>
        <w:t>а</w:t>
      </w:r>
      <w:r>
        <w:t>прет на ночной труд женщин распространяется только на матерей. Женщине, которая до береме</w:t>
      </w:r>
      <w:r>
        <w:t>н</w:t>
      </w:r>
      <w:r>
        <w:t>ности работала в ночную смену, должна быть пре</w:t>
      </w:r>
      <w:r>
        <w:t>д</w:t>
      </w:r>
      <w:r>
        <w:t>ложена сопоставимая работа в дневное время, или же ей полагаются выплаты в размере 80 процентов от ее предыдущего заработка. Кроме того, женщина не может быть уволена во время беременности или в течение 16 недель после родов. Предоставляется отпуск по беременности и родам продолжительн</w:t>
      </w:r>
      <w:r>
        <w:t>о</w:t>
      </w:r>
      <w:r>
        <w:t>стью 20 недель, после чего действующее законод</w:t>
      </w:r>
      <w:r>
        <w:t>а</w:t>
      </w:r>
      <w:r>
        <w:t>тельство допускает сейчас увол</w:t>
      </w:r>
      <w:r>
        <w:t>ь</w:t>
      </w:r>
      <w:r>
        <w:t>нение.</w:t>
      </w:r>
    </w:p>
    <w:p w:rsidR="00000000" w:rsidRDefault="00000000">
      <w:pPr>
        <w:pStyle w:val="DualTxt"/>
      </w:pPr>
      <w:r>
        <w:t>23.</w:t>
      </w:r>
      <w:r>
        <w:tab/>
        <w:t>Что касается принимавшихся мер по выдв</w:t>
      </w:r>
      <w:r>
        <w:t>и</w:t>
      </w:r>
      <w:r>
        <w:t>жению женщин на высокие должности, то в наци</w:t>
      </w:r>
      <w:r>
        <w:t>о</w:t>
      </w:r>
      <w:r>
        <w:t>нальной администрации есть несколько женщин, занимающих старшие посты и работающих на у</w:t>
      </w:r>
      <w:r>
        <w:t>с</w:t>
      </w:r>
      <w:r>
        <w:t>ловиях неполного рабочего времени. Руководство по повышению представленности и професси</w:t>
      </w:r>
      <w:r>
        <w:t>о</w:t>
      </w:r>
      <w:r>
        <w:t>нального статуса женщин на государственной службе призвано служить примером и для частных предприятий, разрабатывающих собственную пол</w:t>
      </w:r>
      <w:r>
        <w:t>и</w:t>
      </w:r>
      <w:r>
        <w:t>тику, оказывая тем самым далеко идущее благ</w:t>
      </w:r>
      <w:r>
        <w:t>о</w:t>
      </w:r>
      <w:r>
        <w:t>творное воздействие на положение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24.</w:t>
      </w:r>
      <w:r>
        <w:tab/>
        <w:t>Закон о равноправии обеспечивает юридич</w:t>
      </w:r>
      <w:r>
        <w:t>е</w:t>
      </w:r>
      <w:r>
        <w:t>скую защиту прав женщин и облегчает бремя док</w:t>
      </w:r>
      <w:r>
        <w:t>а</w:t>
      </w:r>
      <w:r>
        <w:t>зывания: пострадавшей нужно лишь аргументир</w:t>
      </w:r>
      <w:r>
        <w:t>о</w:t>
      </w:r>
      <w:r>
        <w:t>ванно изложить обстоятельства допущенной по о</w:t>
      </w:r>
      <w:r>
        <w:t>т</w:t>
      </w:r>
      <w:r>
        <w:t>ношению к ней дискриминации. После этого уже нанимателю необходимо доказать, что дискримин</w:t>
      </w:r>
      <w:r>
        <w:t>а</w:t>
      </w:r>
      <w:r>
        <w:t>ции, в которой его обвиняют, не было. Закон пред</w:t>
      </w:r>
      <w:r>
        <w:t>у</w:t>
      </w:r>
      <w:r>
        <w:t>сматривает также коллективные иски и защиту в случаях увольнения женщин, выступивших с обв</w:t>
      </w:r>
      <w:r>
        <w:t>и</w:t>
      </w:r>
      <w:r>
        <w:t>нениями.</w:t>
      </w:r>
    </w:p>
    <w:p w:rsidR="00000000" w:rsidRDefault="00000000">
      <w:pPr>
        <w:pStyle w:val="DualTxt"/>
      </w:pPr>
      <w:r>
        <w:t>25.</w:t>
      </w:r>
      <w:r>
        <w:tab/>
        <w:t>Закон о трудовом контракте гарантирует ра</w:t>
      </w:r>
      <w:r>
        <w:t>в</w:t>
      </w:r>
      <w:r>
        <w:t>ную плату за труд равной ценности. Кроме того, о</w:t>
      </w:r>
      <w:r>
        <w:t>б</w:t>
      </w:r>
      <w:r>
        <w:t>суждается понятие «труда равной ценности», пр</w:t>
      </w:r>
      <w:r>
        <w:t>и</w:t>
      </w:r>
      <w:r>
        <w:t>чем Лихтенштейн с большим вниманием следит за развитием событий в других странах, прежде всего в странах Евр</w:t>
      </w:r>
      <w:r>
        <w:t>о</w:t>
      </w:r>
      <w:r>
        <w:t>пейского союза.</w:t>
      </w:r>
    </w:p>
    <w:p w:rsidR="00000000" w:rsidRDefault="00000000">
      <w:pPr>
        <w:pStyle w:val="DualTxt"/>
      </w:pPr>
      <w:r>
        <w:t>26.</w:t>
      </w:r>
      <w:r>
        <w:tab/>
        <w:t>Действующая налоговая система не дает ник</w:t>
      </w:r>
      <w:r>
        <w:t>а</w:t>
      </w:r>
      <w:r>
        <w:t>ких преимуществ семьям, в которых один из род</w:t>
      </w:r>
      <w:r>
        <w:t>и</w:t>
      </w:r>
      <w:r>
        <w:t>телей занимается исключительно домашним хозя</w:t>
      </w:r>
      <w:r>
        <w:t>й</w:t>
      </w:r>
      <w:r>
        <w:t>ством. Вместе с тем подача супругами совместных налоговых деклараций открывает некоторые пр</w:t>
      </w:r>
      <w:r>
        <w:t>е</w:t>
      </w:r>
      <w:r>
        <w:t>имущества для женщин, оказавшихся в трудной с</w:t>
      </w:r>
      <w:r>
        <w:t>и</w:t>
      </w:r>
      <w:r>
        <w:t>туации, например женщин, разлученных с супругом или разведенных.</w:t>
      </w:r>
    </w:p>
    <w:p w:rsidR="00000000" w:rsidRDefault="00000000">
      <w:pPr>
        <w:pStyle w:val="DualTxt"/>
      </w:pPr>
      <w:r>
        <w:t>27.</w:t>
      </w:r>
      <w:r>
        <w:tab/>
        <w:t>Что касается пенсии, то общая цель недавнего введения новой пенсионной системы состояла в том, чтобы устранить все имеющиеся формы н</w:t>
      </w:r>
      <w:r>
        <w:t>е</w:t>
      </w:r>
      <w:r>
        <w:t>равноправия, включая дискриминацию по половому признаку. В ходе реформы пенсионной системы эта цель была достигнута за счет того, что пенсионное пособие разбивается между состоящими в браке лицами. Средний доход супружеской пары за годы, прожитые ею в браке, разбивается поровну между обоими супругами, давая тем самым необходимую защиту лицам, которые продолжительное время не работали по найму, получая за это заработок. И</w:t>
      </w:r>
      <w:r>
        <w:t>с</w:t>
      </w:r>
      <w:r>
        <w:t>числение пенсионного пособия вдовы (вдовца) пр</w:t>
      </w:r>
      <w:r>
        <w:t>о</w:t>
      </w:r>
      <w:r>
        <w:t>изводится из расчета условной пенсии, которая п</w:t>
      </w:r>
      <w:r>
        <w:t>о</w:t>
      </w:r>
      <w:r>
        <w:t>лагалась бы умершему супругу (супруге) на момент смерти. По Закону о разлучении супругов и разводе, который вступит в силу в апреле 1999 года, все н</w:t>
      </w:r>
      <w:r>
        <w:t>а</w:t>
      </w:r>
      <w:r>
        <w:t>житое в браке имущество, включая пенсионный фонд, будет распределяться поровну между супр</w:t>
      </w:r>
      <w:r>
        <w:t>у</w:t>
      </w:r>
      <w:r>
        <w:t>гами.</w:t>
      </w:r>
    </w:p>
    <w:p w:rsidR="00000000" w:rsidRDefault="00000000">
      <w:pPr>
        <w:pStyle w:val="DualTxt"/>
      </w:pPr>
      <w:r>
        <w:t>28.</w:t>
      </w:r>
      <w:r>
        <w:tab/>
        <w:t>Система народного здравоохранения гарант</w:t>
      </w:r>
      <w:r>
        <w:t>и</w:t>
      </w:r>
      <w:r>
        <w:t>рует возможность пользования службами планир</w:t>
      </w:r>
      <w:r>
        <w:t>о</w:t>
      </w:r>
      <w:r>
        <w:t>вания семьи. Центр материнства предоставляет женщинам во время и после беременности фина</w:t>
      </w:r>
      <w:r>
        <w:t>н</w:t>
      </w:r>
      <w:r>
        <w:t>совую помощь и консультации. Пользование усл</w:t>
      </w:r>
      <w:r>
        <w:t>у</w:t>
      </w:r>
      <w:r>
        <w:t>гами по планированию семьи и консультациями п</w:t>
      </w:r>
      <w:r>
        <w:t>о</w:t>
      </w:r>
      <w:r>
        <w:t>крывается медицинской страховкой. Расходы на приобретение контрацептивов обычно не покрыв</w:t>
      </w:r>
      <w:r>
        <w:t>а</w:t>
      </w:r>
      <w:r>
        <w:t>ются, однако юридических препятствий к пользов</w:t>
      </w:r>
      <w:r>
        <w:t>а</w:t>
      </w:r>
      <w:r>
        <w:t>нию ими не имеется.</w:t>
      </w:r>
    </w:p>
    <w:p w:rsidR="00000000" w:rsidRDefault="00000000">
      <w:pPr>
        <w:pStyle w:val="DualTxt"/>
      </w:pPr>
      <w:r>
        <w:t>29.</w:t>
      </w:r>
      <w:r>
        <w:tab/>
        <w:t>Аборт в Лихтенштейне разрешен законом в тех случаях, когда жизнь женщины находится в серье</w:t>
      </w:r>
      <w:r>
        <w:t>з</w:t>
      </w:r>
      <w:r>
        <w:t>ной опасности или если она не достигла 14-летнего возраста. Расходы на такие аборты покрываются системой здравоохранения. О фактах нелегальных абортов или абортов, приведших к смерти женщ</w:t>
      </w:r>
      <w:r>
        <w:t>и</w:t>
      </w:r>
      <w:r>
        <w:t>ны, в последние годы не сообщалось, однако можно предположить, что женщины выезжали для сове</w:t>
      </w:r>
      <w:r>
        <w:t>р</w:t>
      </w:r>
      <w:r>
        <w:t>шения аборта в соседние страны. По действующему законодательству лица, достигшие 25-летнего во</w:t>
      </w:r>
      <w:r>
        <w:t>з</w:t>
      </w:r>
      <w:r>
        <w:t>раста, могут пройти стер</w:t>
      </w:r>
      <w:r>
        <w:t>и</w:t>
      </w:r>
      <w:r>
        <w:t>лизацию.</w:t>
      </w:r>
    </w:p>
    <w:p w:rsidR="00000000" w:rsidRDefault="00000000">
      <w:pPr>
        <w:pStyle w:val="DualTxt"/>
      </w:pPr>
      <w:r>
        <w:t>30.</w:t>
      </w:r>
      <w:r>
        <w:tab/>
        <w:t>Специальным центром, который получает ф</w:t>
      </w:r>
      <w:r>
        <w:t>и</w:t>
      </w:r>
      <w:r>
        <w:t>нансовую помощь от правительства, проводятся информационно-просветительные кампании по проблеме ВИЧ/СПИДа. В этих кампаниях проп</w:t>
      </w:r>
      <w:r>
        <w:t>а</w:t>
      </w:r>
      <w:r>
        <w:t>гандируется пользование презервативами, и они способствовали более активному пользованию ко</w:t>
      </w:r>
      <w:r>
        <w:t>н</w:t>
      </w:r>
      <w:r>
        <w:t>трацептивами в целом. Для девочек в возрасте от 11 до 16 лет центр организует специальные занятия, призванные привить им нужные знания и чувство собственной значимости.</w:t>
      </w:r>
    </w:p>
    <w:p w:rsidR="00000000" w:rsidRDefault="00000000">
      <w:pPr>
        <w:pStyle w:val="DualTxt"/>
      </w:pPr>
      <w:r>
        <w:t>31.</w:t>
      </w:r>
      <w:r>
        <w:tab/>
        <w:t>Законодательство Лихтенштейна запрещает употребление наркотиков, однако это не приводит, как того хотелось бы, к культивированию среди м</w:t>
      </w:r>
      <w:r>
        <w:t>о</w:t>
      </w:r>
      <w:r>
        <w:t>лодежи здорового образа жизни. В 1998 году была проведена кампания по профилактике наркомании, призванная провести воспитательную работу среди населения в целом и заострить внимание не на н</w:t>
      </w:r>
      <w:r>
        <w:t>а</w:t>
      </w:r>
      <w:r>
        <w:t>казаниях, а на профилактике. Численность курил</w:t>
      </w:r>
      <w:r>
        <w:t>ь</w:t>
      </w:r>
      <w:r>
        <w:t>щиков среди мужчин и женщин в Лихтенштейне одинакова. Девушки обычно начинают курить, до</w:t>
      </w:r>
      <w:r>
        <w:t>с</w:t>
      </w:r>
      <w:r>
        <w:t>тигнув 16-летнего возраста. Потребление спиртных напитков и незаконных наркотиков, в частности Cannabis sativa, шире распространено среди му</w:t>
      </w:r>
      <w:r>
        <w:t>ж</w:t>
      </w:r>
      <w:r>
        <w:t>чин, тогда как женщины чаще прибегают к упо</w:t>
      </w:r>
      <w:r>
        <w:t>т</w:t>
      </w:r>
      <w:r>
        <w:t>реблению таких препаратов, как транквилизаторы, таблетки для похудания и сн</w:t>
      </w:r>
      <w:r>
        <w:t>о</w:t>
      </w:r>
      <w:r>
        <w:t>творное.</w:t>
      </w:r>
    </w:p>
    <w:p w:rsidR="00000000" w:rsidRDefault="00000000">
      <w:pPr>
        <w:pStyle w:val="DualTxt"/>
      </w:pPr>
      <w:r>
        <w:t>32.</w:t>
      </w:r>
      <w:r>
        <w:tab/>
        <w:t>Организуются программы реабилитации — как на амбулаторной основе, так и в порядке клин</w:t>
      </w:r>
      <w:r>
        <w:t>и</w:t>
      </w:r>
      <w:r>
        <w:t>ческой дезинтоксикационной терапии. Можно пройти лечение в соседних странах, с которыми у Лихтенштейна имеются соответствующие соглаш</w:t>
      </w:r>
      <w:r>
        <w:t>е</w:t>
      </w:r>
      <w:r>
        <w:t>ния. Неотъемлемой частью системы здравоохран</w:t>
      </w:r>
      <w:r>
        <w:t>е</w:t>
      </w:r>
      <w:r>
        <w:t>ния являются программы, рассчитанные на женщин пожилого возраста, причем больше внимания стало уделяться охране их психического здоровья.</w:t>
      </w:r>
    </w:p>
    <w:p w:rsidR="00000000" w:rsidRDefault="00000000">
      <w:pPr>
        <w:pStyle w:val="DualTxt"/>
      </w:pPr>
      <w:r>
        <w:t>33.</w:t>
      </w:r>
      <w:r>
        <w:tab/>
        <w:t>Родителям-одиночкам выплачивается допо</w:t>
      </w:r>
      <w:r>
        <w:t>л</w:t>
      </w:r>
      <w:r>
        <w:t>нительное детское пособие на каждого ребенка, н</w:t>
      </w:r>
      <w:r>
        <w:t>е</w:t>
      </w:r>
      <w:r>
        <w:t>зависимо то того, получают ли они при этом ал</w:t>
      </w:r>
      <w:r>
        <w:t>и</w:t>
      </w:r>
      <w:r>
        <w:t>менты. Размер ежемесячного пособия на ребенка определяется его возрастом.</w:t>
      </w:r>
    </w:p>
    <w:p w:rsidR="00000000" w:rsidRDefault="00000000">
      <w:pPr>
        <w:pStyle w:val="DualTxt"/>
      </w:pPr>
      <w:r>
        <w:t>34.</w:t>
      </w:r>
      <w:r>
        <w:tab/>
        <w:t>Учитывая небольшой размер страны и н</w:t>
      </w:r>
      <w:r>
        <w:t>е</w:t>
      </w:r>
      <w:r>
        <w:t>большую численность ее населения, Лихтенштейн не располагает, строго говоря, ни городами, ни сельскими районами. По все стране можно пр</w:t>
      </w:r>
      <w:r>
        <w:t>о</w:t>
      </w:r>
      <w:r>
        <w:t>ехать, пользуясь общественным транспортом, и м</w:t>
      </w:r>
      <w:r>
        <w:t>е</w:t>
      </w:r>
      <w:r>
        <w:t>жду различными ее районами нет диспропорций в наличии учебных заведений, медико-санитарных учреждений или рекреационных объектов. Кроме того, между «богатыми» и «бедными» районами страны нет большого разрыва, как нет резких ра</w:t>
      </w:r>
      <w:r>
        <w:t>з</w:t>
      </w:r>
      <w:r>
        <w:t>личий в уровне благосостояния и доходов ее нас</w:t>
      </w:r>
      <w:r>
        <w:t>е</w:t>
      </w:r>
      <w:r>
        <w:t>ления. Поэтому какие</w:t>
      </w:r>
      <w:r>
        <w:noBreakHyphen/>
        <w:t>то особые меры в этом отн</w:t>
      </w:r>
      <w:r>
        <w:t>о</w:t>
      </w:r>
      <w:r>
        <w:t>шении не требую</w:t>
      </w:r>
      <w:r>
        <w:t>т</w:t>
      </w:r>
      <w:r>
        <w:t>ся.</w:t>
      </w:r>
    </w:p>
    <w:p w:rsidR="00000000" w:rsidRDefault="00000000">
      <w:pPr>
        <w:pStyle w:val="DualTxt"/>
      </w:pPr>
      <w:r>
        <w:t>35.</w:t>
      </w:r>
      <w:r>
        <w:tab/>
        <w:t>Лихтенштейн учтет прозвучавшее предлож</w:t>
      </w:r>
      <w:r>
        <w:t>е</w:t>
      </w:r>
      <w:r>
        <w:t>ние о том, чтобы изменить различие в возрасте, при котором допускается усыновление (удочерение). Юридической дискриминации в том, что касается права наследования, нет, а в соответствии с прин</w:t>
      </w:r>
      <w:r>
        <w:t>я</w:t>
      </w:r>
      <w:r>
        <w:t>тым недавно Законом о разлучении супругов и ра</w:t>
      </w:r>
      <w:r>
        <w:t>з</w:t>
      </w:r>
      <w:r>
        <w:t>воде, от родителя, которому вверена забота о ребе</w:t>
      </w:r>
      <w:r>
        <w:t>н</w:t>
      </w:r>
      <w:r>
        <w:t>ке, требуется ежемесячная уплата ал</w:t>
      </w:r>
      <w:r>
        <w:t>и</w:t>
      </w:r>
      <w:r>
        <w:t>ментов.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i/>
        </w:rPr>
        <w:t>Председательское место занимает замест</w:t>
      </w:r>
      <w:r>
        <w:rPr>
          <w:i/>
        </w:rPr>
        <w:t>и</w:t>
      </w:r>
      <w:r>
        <w:rPr>
          <w:i/>
        </w:rPr>
        <w:t>тель Председателя г</w:t>
      </w:r>
      <w:r>
        <w:rPr>
          <w:i/>
        </w:rPr>
        <w:noBreakHyphen/>
        <w:t>жа Шёпп-Шиллинг.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Рюэль </w:t>
      </w:r>
      <w:r>
        <w:t>выражает надежду на то, что Лихтенштейн примет такие законы о равноправии, которые будут охватывать не только сферу труда, но и все сферы жизни. Принятие правил, регулиру</w:t>
      </w:r>
      <w:r>
        <w:t>ю</w:t>
      </w:r>
      <w:r>
        <w:t>щих родительский отпуск, помогло бы изменить отношение к тому, какую роль должен играть ка</w:t>
      </w:r>
      <w:r>
        <w:t>ж</w:t>
      </w:r>
      <w:r>
        <w:t>дый из полов. Правительству Лихтенштейна н</w:t>
      </w:r>
      <w:r>
        <w:t>а</w:t>
      </w:r>
      <w:r>
        <w:t>стоятельно предлагается использовать программы обязательного квотирования, чтобы на деле поо</w:t>
      </w:r>
      <w:r>
        <w:t>щ</w:t>
      </w:r>
      <w:r>
        <w:t>рять равенство. Вызывает озабоченность и сл</w:t>
      </w:r>
      <w:r>
        <w:t>е</w:t>
      </w:r>
      <w:r>
        <w:t>дующий аспект: хотя девушки чаще, чем юноши, поступают в вузы, они по</w:t>
      </w:r>
      <w:r>
        <w:noBreakHyphen/>
        <w:t>прежнему выбирают тр</w:t>
      </w:r>
      <w:r>
        <w:t>а</w:t>
      </w:r>
      <w:r>
        <w:t>диционные области занятий, что приводит к сегр</w:t>
      </w:r>
      <w:r>
        <w:t>е</w:t>
      </w:r>
      <w:r>
        <w:t>гации на рынке труда.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Хазелл</w:t>
      </w:r>
      <w:r>
        <w:t xml:space="preserve"> с озабоченностью отмечает те ответы, которые правительство дало на вопросы, заданные ею по поводу матерей-одиночек. Неп</w:t>
      </w:r>
      <w:r>
        <w:t>о</w:t>
      </w:r>
      <w:r>
        <w:t>нятно, почему нужно проводить различие между детьми, рожденными вне брака, и детьми, которые воспитываются вдовами, женщинами, разлученн</w:t>
      </w:r>
      <w:r>
        <w:t>ы</w:t>
      </w:r>
      <w:r>
        <w:t>ми с супругом, или разведенными матерями. Созд</w:t>
      </w:r>
      <w:r>
        <w:t>а</w:t>
      </w:r>
      <w:r>
        <w:t>ется впечатление, что женщины, которые решили воспитывать детей самостоятельно, несут един</w:t>
      </w:r>
      <w:r>
        <w:t>о</w:t>
      </w:r>
      <w:r>
        <w:t>личную ответственность за их благополучие, — а это самая настоящая дискр</w:t>
      </w:r>
      <w:r>
        <w:t>и</w:t>
      </w:r>
      <w:r>
        <w:t>минация.</w:t>
      </w:r>
    </w:p>
    <w:p w:rsidR="00000000" w:rsidRDefault="00000000">
      <w:pPr>
        <w:pStyle w:val="DualTxt"/>
      </w:pPr>
      <w:bookmarkStart w:id="1" w:name="TmpSave"/>
      <w:bookmarkEnd w:id="1"/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выражает неудовлетворение ответами, данными правительством на заданные ею вопросы. Трудно понять, как женщины в такой ра</w:t>
      </w:r>
      <w:r>
        <w:t>з</w:t>
      </w:r>
      <w:r>
        <w:t>витой стране, как Лихтенштейн, имеют те же пр</w:t>
      </w:r>
      <w:r>
        <w:t>о</w:t>
      </w:r>
      <w:r>
        <w:t>блемы, что и женщины в наименее развитых стр</w:t>
      </w:r>
      <w:r>
        <w:t>а</w:t>
      </w:r>
      <w:r>
        <w:t>нах.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>, ссылаясь на Руководство по п</w:t>
      </w:r>
      <w:r>
        <w:t>о</w:t>
      </w:r>
      <w:r>
        <w:t>вышению представленности и профессионального статуса женщин на государственной службе, н</w:t>
      </w:r>
      <w:r>
        <w:t>а</w:t>
      </w:r>
      <w:r>
        <w:t>стоятельно призывает правительство осуществлять аналогичную политику в отношении частного се</w:t>
      </w:r>
      <w:r>
        <w:t>к</w:t>
      </w:r>
      <w:r>
        <w:t>тора.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i/>
        </w:rPr>
        <w:t>Председательское место вновь занимает г</w:t>
      </w:r>
      <w:r>
        <w:rPr>
          <w:i/>
        </w:rPr>
        <w:noBreakHyphen/>
        <w:t>жа Гонсалес (Председатель).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Ачар</w:t>
      </w:r>
      <w:r>
        <w:t xml:space="preserve"> выражает признательность ли</w:t>
      </w:r>
      <w:r>
        <w:t>х</w:t>
      </w:r>
      <w:r>
        <w:t>тенштейнской делегации за ее отклик на заданные Комитетом вопросы.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Шёпп</w:t>
      </w:r>
      <w:r>
        <w:rPr>
          <w:b/>
        </w:rPr>
        <w:noBreakHyphen/>
        <w:t>Шиллинг</w:t>
      </w:r>
      <w:r>
        <w:t xml:space="preserve"> говорит, что хотела бы подробнее узнать о бюджете и штате сотрудников Бюро по равенству и омбудсмена. Что касается Р</w:t>
      </w:r>
      <w:r>
        <w:t>у</w:t>
      </w:r>
      <w:r>
        <w:t>ководства по повышению представленности и пр</w:t>
      </w:r>
      <w:r>
        <w:t>о</w:t>
      </w:r>
      <w:r>
        <w:t>фессионального статуса женщин на государстве</w:t>
      </w:r>
      <w:r>
        <w:t>н</w:t>
      </w:r>
      <w:r>
        <w:t>ной службе, то хорошо было бы узнать, носит ли оно обязательный или рекомендательный характер и предусматривает ли оно конкретные сроки и к</w:t>
      </w:r>
      <w:r>
        <w:t>о</w:t>
      </w:r>
      <w:r>
        <w:t>личественные показатели. Что касается ситуации с наследованием, то, судя по всему, хотя юридич</w:t>
      </w:r>
      <w:r>
        <w:t>е</w:t>
      </w:r>
      <w:r>
        <w:t>ской дискриминации нет, мужчины, как правило, получают в наследство больше, чем женщины. Пр</w:t>
      </w:r>
      <w:r>
        <w:t>а</w:t>
      </w:r>
      <w:r>
        <w:t>вительству следует и впредь проводить воспит</w:t>
      </w:r>
      <w:r>
        <w:t>а</w:t>
      </w:r>
      <w:r>
        <w:t>тельно-пропагандистскую работу в этой области.</w:t>
      </w:r>
    </w:p>
    <w:p w:rsidR="00000000" w:rsidRDefault="00000000">
      <w:pPr>
        <w:pStyle w:val="DualTxt"/>
      </w:pPr>
      <w:r>
        <w:t>44.</w:t>
      </w:r>
      <w:r>
        <w:tab/>
        <w:t>Отрадно слышать, что каждый человек, раб</w:t>
      </w:r>
      <w:r>
        <w:t>о</w:t>
      </w:r>
      <w:r>
        <w:t>тающий по найму, имеет медицинскую страховку, однако непонятно, на какие социальные пособия может рассчитывать человек, недостаточно труд</w:t>
      </w:r>
      <w:r>
        <w:t>о</w:t>
      </w:r>
      <w:r>
        <w:t>устроенный. Хотелось бы также узнать, каково ма</w:t>
      </w:r>
      <w:r>
        <w:t>к</w:t>
      </w:r>
      <w:r>
        <w:t>симальное число лет, отданных воспитанию ребе</w:t>
      </w:r>
      <w:r>
        <w:t>н</w:t>
      </w:r>
      <w:r>
        <w:t>ка, которое учитывается при расчете пособий по социальному обеспечению.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интересуется, проявляет ли княжеская династия необходимую гибкость для о</w:t>
      </w:r>
      <w:r>
        <w:t>т</w:t>
      </w:r>
      <w:r>
        <w:t>хода от патриархальных традиций.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дает государству-участнику выс</w:t>
      </w:r>
      <w:r>
        <w:t>о</w:t>
      </w:r>
      <w:r>
        <w:t>кую оценку за быстрое продвижение к равенству женщин.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Председатель</w:t>
      </w:r>
      <w:r>
        <w:t>, выступая в собственном кач</w:t>
      </w:r>
      <w:r>
        <w:t>е</w:t>
      </w:r>
      <w:r>
        <w:t>стве, приветствует заявление лихтенштейнской д</w:t>
      </w:r>
      <w:r>
        <w:t>е</w:t>
      </w:r>
      <w:r>
        <w:t>легации о том, что положения Гражданского кодекса о наследовании составлены в нейтральных с ге</w:t>
      </w:r>
      <w:r>
        <w:t>н</w:t>
      </w:r>
      <w:r>
        <w:t>дерной точки зрения формулировках и что прин</w:t>
      </w:r>
      <w:r>
        <w:t>и</w:t>
      </w:r>
      <w:r>
        <w:t>маются меры к изменению социальных и культу</w:t>
      </w:r>
      <w:r>
        <w:t>р</w:t>
      </w:r>
      <w:r>
        <w:t>ных устоев, определяющих поведение мужчин и женщин в Лихтенштейне. Что касается женской проституции, то Комитет придерживается того мнения, что правительствам следует вводить зак</w:t>
      </w:r>
      <w:r>
        <w:t>о</w:t>
      </w:r>
      <w:r>
        <w:t>нодательство, наказывающее не самих проституток, а клиентов, которые польз</w:t>
      </w:r>
      <w:r>
        <w:t>у</w:t>
      </w:r>
      <w:r>
        <w:t>ются их услугами.</w:t>
      </w:r>
    </w:p>
    <w:p w:rsidR="00000000" w:rsidRDefault="00000000">
      <w:pPr>
        <w:pStyle w:val="DualTxt"/>
      </w:pPr>
      <w:r>
        <w:t>48.</w:t>
      </w:r>
      <w:r>
        <w:tab/>
        <w:t>Выступая в качестве Председателя, оратор в</w:t>
      </w:r>
      <w:r>
        <w:t>ы</w:t>
      </w:r>
      <w:r>
        <w:t>ражает надежду, что правительство Лихтенштейна обеспечит самое широкое распространение резул</w:t>
      </w:r>
      <w:r>
        <w:t>ь</w:t>
      </w:r>
      <w:r>
        <w:t>татов своих консул</w:t>
      </w:r>
      <w:r>
        <w:t>ь</w:t>
      </w:r>
      <w:r>
        <w:t>таций с Комитетом.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Венавезер</w:t>
      </w:r>
      <w:r>
        <w:t xml:space="preserve"> (Лихтенштейн), отвечая на в</w:t>
      </w:r>
      <w:r>
        <w:t>о</w:t>
      </w:r>
      <w:r>
        <w:t>прос г</w:t>
      </w:r>
      <w:r>
        <w:noBreakHyphen/>
        <w:t>жи Хазелл, говорит, что не все внебрачные дети воспитываются матерями-одиночками, п</w:t>
      </w:r>
      <w:r>
        <w:t>о</w:t>
      </w:r>
      <w:r>
        <w:t>скольку такие дети могут совместно воспитываться родителями, официально свой брак не оформивш</w:t>
      </w:r>
      <w:r>
        <w:t>и</w:t>
      </w:r>
      <w:r>
        <w:t>ми. Кроме того, по действующему законодательству отец ребенка, рожденного вне брака, тоже обязан платить алименты.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16 ч. 50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NO&gt;&gt;N0224306R&lt;&lt;ODS JOB NO&gt;&gt;</w:t>
      </w:r>
    </w:p>
    <w:p w:rsidR="00000000" w:rsidRDefault="00000000">
      <w:pPr>
        <w:pStyle w:val="CommentText"/>
      </w:pPr>
      <w:r>
        <w:t>&lt;&lt;ODS DOC SYMBOL1&gt;&gt;CEDAW/C/SR.414&lt;&lt;ODS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02-24306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*0224306*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/C/SR.414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21 March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3/2005 23:31:34"/>
    <w:docVar w:name="DocCategory" w:val="SROthers"/>
    <w:docVar w:name="DocType" w:val="Final"/>
    <w:docVar w:name="JobNo" w:val="0224306R"/>
    <w:docVar w:name="OandT" w:val=" "/>
    <w:docVar w:name="Symbol1" w:val="CEDAW/C/SR.41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3433</Words>
  <Characters>19571</Characters>
  <Application>Microsoft Office Word</Application>
  <DocSecurity>4</DocSecurity>
  <Lines>163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24034</CharactersWithSpaces>
  <SharedDoc>false</SharedDoc>
  <HLinks>
    <vt:vector size="6" baseType="variant">
      <vt:variant>
        <vt:i4>4522087</vt:i4>
      </vt:variant>
      <vt:variant>
        <vt:i4>48730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Nadejda Kozlova</dc:creator>
  <cp:keywords/>
  <dc:description/>
  <cp:lastModifiedBy>Nadejda Kozlova</cp:lastModifiedBy>
  <cp:revision>5</cp:revision>
  <cp:lastPrinted>2005-03-18T21:44:00Z</cp:lastPrinted>
  <dcterms:created xsi:type="dcterms:W3CDTF">2005-03-18T21:44:00Z</dcterms:created>
  <dcterms:modified xsi:type="dcterms:W3CDTF">2005-03-18T21:50:00Z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0224306</vt:lpwstr>
  </property>
  <property fmtid="{D5CDD505-2E9C-101B-9397-08002B2CF9AE}" pid="3" name="Symbol1">
    <vt:lpwstr>CEDAW/C/SR.414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Kozlova</vt:lpwstr>
  </property>
</Properties>
</file>