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F31E6" w:rsidTr="00462E81">
        <w:trPr>
          <w:trHeight w:hRule="exact" w:val="851"/>
        </w:trPr>
        <w:tc>
          <w:tcPr>
            <w:tcW w:w="1276" w:type="dxa"/>
            <w:tcBorders>
              <w:bottom w:val="single" w:sz="4" w:space="0" w:color="auto"/>
            </w:tcBorders>
          </w:tcPr>
          <w:p w:rsidR="002D5AAC" w:rsidRPr="007F31E6" w:rsidRDefault="002D5AAC" w:rsidP="006F1BA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7F31E6" w:rsidRDefault="00BD33EE" w:rsidP="00462E81">
            <w:pPr>
              <w:spacing w:after="80" w:line="300" w:lineRule="exact"/>
              <w:rPr>
                <w:sz w:val="28"/>
              </w:rPr>
            </w:pPr>
            <w:r w:rsidRPr="007F31E6">
              <w:rPr>
                <w:sz w:val="28"/>
              </w:rPr>
              <w:t>Naciones Unidas</w:t>
            </w:r>
          </w:p>
        </w:tc>
        <w:tc>
          <w:tcPr>
            <w:tcW w:w="6073" w:type="dxa"/>
            <w:gridSpan w:val="2"/>
            <w:tcBorders>
              <w:bottom w:val="single" w:sz="4" w:space="0" w:color="auto"/>
            </w:tcBorders>
            <w:vAlign w:val="bottom"/>
          </w:tcPr>
          <w:p w:rsidR="002D5AAC" w:rsidRPr="007F31E6" w:rsidRDefault="006F1BA0" w:rsidP="006F1BA0">
            <w:pPr>
              <w:jc w:val="right"/>
            </w:pPr>
            <w:r w:rsidRPr="007F31E6">
              <w:rPr>
                <w:sz w:val="40"/>
              </w:rPr>
              <w:t>CAT</w:t>
            </w:r>
            <w:r w:rsidRPr="007F31E6">
              <w:t>/C/MRT/Q/2</w:t>
            </w:r>
          </w:p>
        </w:tc>
      </w:tr>
      <w:tr w:rsidR="002D5AAC" w:rsidRPr="007F31E6" w:rsidTr="00462E81">
        <w:trPr>
          <w:trHeight w:hRule="exact" w:val="2835"/>
        </w:trPr>
        <w:tc>
          <w:tcPr>
            <w:tcW w:w="1276" w:type="dxa"/>
            <w:tcBorders>
              <w:top w:val="single" w:sz="4" w:space="0" w:color="auto"/>
              <w:bottom w:val="single" w:sz="12" w:space="0" w:color="auto"/>
            </w:tcBorders>
          </w:tcPr>
          <w:p w:rsidR="002D5AAC" w:rsidRPr="007F31E6" w:rsidRDefault="00FD6905" w:rsidP="00462E81">
            <w:pPr>
              <w:spacing w:before="120"/>
              <w:jc w:val="center"/>
            </w:pPr>
            <w:r w:rsidRPr="007F31E6">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F31E6" w:rsidRDefault="00F94155" w:rsidP="00462E81">
            <w:pPr>
              <w:spacing w:before="120" w:line="360" w:lineRule="exact"/>
              <w:rPr>
                <w:b/>
                <w:sz w:val="34"/>
                <w:szCs w:val="34"/>
              </w:rPr>
            </w:pPr>
            <w:r w:rsidRPr="007F31E6">
              <w:rPr>
                <w:b/>
                <w:sz w:val="34"/>
                <w:szCs w:val="34"/>
              </w:rPr>
              <w:t xml:space="preserve">Convención contra </w:t>
            </w:r>
            <w:r w:rsidR="007021FF" w:rsidRPr="007F31E6">
              <w:rPr>
                <w:b/>
                <w:sz w:val="34"/>
                <w:szCs w:val="34"/>
              </w:rPr>
              <w:t xml:space="preserve">la </w:t>
            </w:r>
            <w:r w:rsidRPr="007F31E6">
              <w:rPr>
                <w:b/>
                <w:sz w:val="34"/>
                <w:szCs w:val="34"/>
              </w:rPr>
              <w:t>Tortura</w:t>
            </w:r>
            <w:r w:rsidR="00033EE1" w:rsidRPr="007F31E6">
              <w:rPr>
                <w:b/>
                <w:sz w:val="34"/>
                <w:szCs w:val="34"/>
              </w:rPr>
              <w:br/>
            </w:r>
            <w:r w:rsidRPr="007F31E6">
              <w:rPr>
                <w:b/>
                <w:sz w:val="34"/>
                <w:szCs w:val="34"/>
              </w:rPr>
              <w:t xml:space="preserve">y Otros </w:t>
            </w:r>
            <w:r w:rsidR="007021FF" w:rsidRPr="007F31E6">
              <w:rPr>
                <w:b/>
                <w:sz w:val="34"/>
                <w:szCs w:val="34"/>
              </w:rPr>
              <w:t xml:space="preserve">Tratos </w:t>
            </w:r>
            <w:r w:rsidRPr="007F31E6">
              <w:rPr>
                <w:b/>
                <w:sz w:val="34"/>
                <w:szCs w:val="34"/>
              </w:rPr>
              <w:t>o Penas Crueles,</w:t>
            </w:r>
            <w:r w:rsidRPr="007F31E6">
              <w:rPr>
                <w:b/>
                <w:sz w:val="34"/>
                <w:szCs w:val="34"/>
              </w:rPr>
              <w:br/>
              <w:t>Inhumanos o Degradantes</w:t>
            </w:r>
          </w:p>
        </w:tc>
        <w:tc>
          <w:tcPr>
            <w:tcW w:w="2813" w:type="dxa"/>
            <w:tcBorders>
              <w:top w:val="single" w:sz="4" w:space="0" w:color="auto"/>
              <w:bottom w:val="single" w:sz="12" w:space="0" w:color="auto"/>
            </w:tcBorders>
          </w:tcPr>
          <w:p w:rsidR="002D5AAC" w:rsidRPr="007F31E6" w:rsidRDefault="006F1BA0" w:rsidP="00462E81">
            <w:pPr>
              <w:spacing w:before="240"/>
            </w:pPr>
            <w:r w:rsidRPr="007F31E6">
              <w:t>Distr. general</w:t>
            </w:r>
          </w:p>
          <w:p w:rsidR="006F1BA0" w:rsidRPr="007F31E6" w:rsidRDefault="006F1BA0" w:rsidP="006F1BA0">
            <w:pPr>
              <w:spacing w:line="240" w:lineRule="exact"/>
            </w:pPr>
            <w:r w:rsidRPr="007F31E6">
              <w:t>3 de enero de 2018</w:t>
            </w:r>
          </w:p>
          <w:p w:rsidR="006F1BA0" w:rsidRPr="007F31E6" w:rsidRDefault="006F1BA0" w:rsidP="006F1BA0">
            <w:pPr>
              <w:spacing w:line="240" w:lineRule="exact"/>
            </w:pPr>
            <w:r w:rsidRPr="007F31E6">
              <w:t>Español</w:t>
            </w:r>
          </w:p>
          <w:p w:rsidR="006F1BA0" w:rsidRPr="007F31E6" w:rsidRDefault="006F1BA0" w:rsidP="006F1BA0">
            <w:pPr>
              <w:spacing w:line="240" w:lineRule="exact"/>
            </w:pPr>
            <w:r w:rsidRPr="007F31E6">
              <w:t>Original: francés</w:t>
            </w:r>
          </w:p>
          <w:p w:rsidR="006F1BA0" w:rsidRPr="007F31E6" w:rsidRDefault="006F1BA0" w:rsidP="006F1BA0">
            <w:pPr>
              <w:spacing w:line="240" w:lineRule="exact"/>
            </w:pPr>
            <w:r w:rsidRPr="007F31E6">
              <w:t>Español, francés e inglés únicamente</w:t>
            </w:r>
          </w:p>
        </w:tc>
      </w:tr>
    </w:tbl>
    <w:p w:rsidR="00505971" w:rsidRPr="007F31E6" w:rsidRDefault="00505971" w:rsidP="00004304">
      <w:pPr>
        <w:spacing w:before="120"/>
        <w:rPr>
          <w:b/>
          <w:sz w:val="24"/>
          <w:szCs w:val="24"/>
        </w:rPr>
      </w:pPr>
      <w:r w:rsidRPr="007F31E6">
        <w:rPr>
          <w:b/>
          <w:sz w:val="24"/>
          <w:szCs w:val="24"/>
        </w:rPr>
        <w:t>Comité contra la Tortura</w:t>
      </w:r>
    </w:p>
    <w:p w:rsidR="007F31E6" w:rsidRPr="007F31E6" w:rsidRDefault="007F31E6" w:rsidP="007F31E6">
      <w:pPr>
        <w:pStyle w:val="HChG"/>
      </w:pPr>
      <w:r w:rsidRPr="007F31E6">
        <w:tab/>
      </w:r>
      <w:r w:rsidRPr="007F31E6">
        <w:tab/>
        <w:t>Lista de cuestiones relativa al segundo informe periódico de Mauritania</w:t>
      </w:r>
      <w:r w:rsidRPr="007F31E6">
        <w:rPr>
          <w:rStyle w:val="Refdenotaalpie"/>
          <w:b w:val="0"/>
          <w:bCs/>
          <w:sz w:val="20"/>
          <w:vertAlign w:val="baseline"/>
        </w:rPr>
        <w:footnoteReference w:customMarkFollows="1" w:id="1"/>
        <w:t>*</w:t>
      </w:r>
    </w:p>
    <w:p w:rsidR="007F31E6" w:rsidRPr="007F31E6" w:rsidRDefault="007F31E6" w:rsidP="00AC5A89">
      <w:pPr>
        <w:pStyle w:val="H1G"/>
      </w:pPr>
      <w:r w:rsidRPr="007F31E6">
        <w:tab/>
      </w:r>
      <w:r w:rsidRPr="007F31E6">
        <w:tab/>
        <w:t>Información sobre el se</w:t>
      </w:r>
      <w:r w:rsidR="00AC5A89">
        <w:t xml:space="preserve">guimiento dado a algunas de las </w:t>
      </w:r>
      <w:r w:rsidRPr="007F31E6">
        <w:t>recomendaciones que figuran en las observaciones</w:t>
      </w:r>
      <w:r w:rsidR="00AC5A89">
        <w:br/>
      </w:r>
      <w:r w:rsidRPr="007F31E6">
        <w:t>finales</w:t>
      </w:r>
      <w:r w:rsidR="00AC5A89">
        <w:t xml:space="preserve"> </w:t>
      </w:r>
      <w:bookmarkStart w:id="0" w:name="_GoBack"/>
      <w:bookmarkEnd w:id="0"/>
      <w:r w:rsidRPr="007F31E6">
        <w:t>anteriores</w:t>
      </w:r>
    </w:p>
    <w:p w:rsidR="007F31E6" w:rsidRPr="007F31E6" w:rsidRDefault="007F31E6" w:rsidP="00214F68">
      <w:pPr>
        <w:pStyle w:val="SingleTxtG"/>
      </w:pPr>
      <w:r w:rsidRPr="007F31E6">
        <w:t>1.</w:t>
      </w:r>
      <w:r w:rsidRPr="007F31E6">
        <w:tab/>
        <w:t>En sus anteriores observaciones finales (véase CAT/C/MRT/CO/1, párr. 30)</w:t>
      </w:r>
      <w:r w:rsidRPr="007F31E6">
        <w:rPr>
          <w:rStyle w:val="Refdenotaalpie"/>
        </w:rPr>
        <w:footnoteReference w:id="2"/>
      </w:r>
      <w:r w:rsidRPr="007F31E6">
        <w:t xml:space="preserve">, el Comité pidió al Estado parte que le facilitara información sobre el seguimiento que hubiese dado a sus recomendaciones formuladas en los párrafos 10 c), </w:t>
      </w:r>
      <w:smartTag w:uri="urn:schemas-microsoft-com:office:smarttags" w:element="metricconverter">
        <w:smartTagPr>
          <w:attr w:name="ProductID" w:val="22 a"/>
        </w:smartTagPr>
        <w:r w:rsidRPr="007F31E6">
          <w:t>22 a</w:t>
        </w:r>
      </w:smartTag>
      <w:r w:rsidRPr="007F31E6">
        <w:t xml:space="preserve">) y b) y </w:t>
      </w:r>
      <w:smartTag w:uri="urn:schemas-microsoft-com:office:smarttags" w:element="metricconverter">
        <w:smartTagPr>
          <w:attr w:name="ProductID" w:val="18 a"/>
        </w:smartTagPr>
        <w:r w:rsidRPr="007F31E6">
          <w:t>18 a</w:t>
        </w:r>
      </w:smartTag>
      <w:r w:rsidRPr="007F31E6">
        <w:t>) de ese documento, relativas a: a) la abolición del plazo de detención de 15 días, prorrogable en dos ocasiones, en caso de atentado terrorista o contra la seguridad del Estado, y el refuerzo de las garantías jurídicas a las que tenían derecho los detenidos; b) la mejora de las condiciones de reclusión en todos sus establecimientos penitenciarios</w:t>
      </w:r>
      <w:r w:rsidR="00076442">
        <w:t>;</w:t>
      </w:r>
      <w:r w:rsidRPr="007F31E6">
        <w:t xml:space="preserve"> y c) la obligación de enjuiciar y sancionar a los autores de actos de tortura y malos tratos. El Comité lamenta que el Estado parte no haya proporcionado esa información, a pesar del recordatorio enviado el 7 de julio de 2014 por el Relator Especial para el seguimiento de las observaciones finales. Considera que las recomendaciones que figuran en los párrafos 10 c), </w:t>
      </w:r>
      <w:smartTag w:uri="urn:schemas-microsoft-com:office:smarttags" w:element="metricconverter">
        <w:smartTagPr>
          <w:attr w:name="ProductID" w:val="22 a"/>
        </w:smartTagPr>
        <w:r w:rsidRPr="007F31E6">
          <w:t>22 a</w:t>
        </w:r>
      </w:smartTag>
      <w:r w:rsidRPr="007F31E6">
        <w:t xml:space="preserve">) y b) y </w:t>
      </w:r>
      <w:smartTag w:uri="urn:schemas-microsoft-com:office:smarttags" w:element="metricconverter">
        <w:smartTagPr>
          <w:attr w:name="ProductID" w:val="18 a"/>
        </w:smartTagPr>
        <w:r w:rsidRPr="007F31E6">
          <w:t>18 a</w:t>
        </w:r>
      </w:smartTag>
      <w:r w:rsidRPr="007F31E6">
        <w:t>) de sus anteriores observaciones finales aún no se han aplica</w:t>
      </w:r>
      <w:r w:rsidR="00076442">
        <w:t>do plenamente (véanse los párrafos</w:t>
      </w:r>
      <w:r w:rsidR="00214F68">
        <w:t> </w:t>
      </w:r>
      <w:smartTag w:uri="urn:schemas-microsoft-com:office:smarttags" w:element="metricconverter">
        <w:smartTagPr>
          <w:attr w:name="ProductID" w:val="3 g"/>
        </w:smartTagPr>
        <w:r w:rsidRPr="007F31E6">
          <w:t>3 g</w:t>
        </w:r>
      </w:smartTag>
      <w:r w:rsidRPr="007F31E6">
        <w:t>), 16 c) y d) y 20 del presente documento).</w:t>
      </w:r>
    </w:p>
    <w:p w:rsidR="007F31E6" w:rsidRPr="007F31E6" w:rsidRDefault="007F31E6" w:rsidP="007F31E6">
      <w:pPr>
        <w:pStyle w:val="H23G"/>
      </w:pPr>
      <w:r w:rsidRPr="007F31E6">
        <w:tab/>
      </w:r>
      <w:r w:rsidRPr="007F31E6">
        <w:tab/>
        <w:t>Artículos 1 y 4</w:t>
      </w:r>
    </w:p>
    <w:p w:rsidR="007F31E6" w:rsidRPr="007F31E6" w:rsidRDefault="007F31E6" w:rsidP="00214F68">
      <w:pPr>
        <w:pStyle w:val="SingleTxtG"/>
      </w:pPr>
      <w:r w:rsidRPr="007F31E6">
        <w:t>2.</w:t>
      </w:r>
      <w:r w:rsidRPr="007F31E6">
        <w:tab/>
        <w:t xml:space="preserve">Habida cuenta de la aprobación, en 2015, de la nueva Ley de Lucha contra </w:t>
      </w:r>
      <w:smartTag w:uri="urn:schemas-microsoft-com:office:smarttags" w:element="PersonName">
        <w:smartTagPr>
          <w:attr w:name="ProductID" w:val="la Tortura"/>
        </w:smartTagPr>
        <w:r w:rsidRPr="007F31E6">
          <w:t>la Tortura</w:t>
        </w:r>
      </w:smartTag>
      <w:r w:rsidRPr="007F31E6">
        <w:t xml:space="preserve"> (Ley núm. 2015-033), que tipifica la tortura como delito y establece una definición de ese delito conforme al artículo 1 de la Convención, proporcionen información actualizada sobre la evolución del proceso de aprobación de los decretos de aplicación de la</w:t>
      </w:r>
      <w:r w:rsidR="00214F68">
        <w:t> </w:t>
      </w:r>
      <w:r w:rsidRPr="007F31E6">
        <w:t>Ley.</w:t>
      </w:r>
    </w:p>
    <w:p w:rsidR="007F31E6" w:rsidRPr="007F31E6" w:rsidRDefault="007F31E6" w:rsidP="007F31E6">
      <w:pPr>
        <w:pStyle w:val="H23G"/>
      </w:pPr>
      <w:r w:rsidRPr="007F31E6">
        <w:lastRenderedPageBreak/>
        <w:tab/>
      </w:r>
      <w:r w:rsidRPr="007F31E6">
        <w:tab/>
        <w:t>Artículo 2</w:t>
      </w:r>
      <w:r w:rsidRPr="007F31E6">
        <w:rPr>
          <w:rStyle w:val="Refdenotaalpie"/>
          <w:b w:val="0"/>
          <w:bCs/>
        </w:rPr>
        <w:footnoteReference w:id="3"/>
      </w:r>
    </w:p>
    <w:p w:rsidR="007F31E6" w:rsidRPr="007F31E6" w:rsidRDefault="007F31E6" w:rsidP="007F31E6">
      <w:pPr>
        <w:pStyle w:val="SingleTxtG"/>
      </w:pPr>
      <w:r w:rsidRPr="007F31E6">
        <w:t>3.</w:t>
      </w:r>
      <w:r w:rsidRPr="007F31E6">
        <w:tab/>
        <w:t>Teniendo en cuenta el artículo 4 de la nueva Ley de Lucha contra la Tortura, que consagra todas las salvaguardias fundamentales contra la tortura desde el instante en que tenga lugar la privación de libertad</w:t>
      </w:r>
      <w:r w:rsidRPr="007F31E6">
        <w:rPr>
          <w:rStyle w:val="Refdenotaalpie"/>
        </w:rPr>
        <w:footnoteReference w:id="4"/>
      </w:r>
      <w:r w:rsidRPr="007F31E6">
        <w:t>, indiquen las medidas adoptadas para:</w:t>
      </w:r>
    </w:p>
    <w:p w:rsidR="007F31E6" w:rsidRPr="007F31E6" w:rsidRDefault="007F31E6" w:rsidP="007F31E6">
      <w:pPr>
        <w:pStyle w:val="SingleTxtG"/>
      </w:pPr>
      <w:r w:rsidRPr="007F31E6">
        <w:tab/>
        <w:t>a)</w:t>
      </w:r>
      <w:r w:rsidRPr="007F31E6">
        <w:tab/>
        <w:t xml:space="preserve">Velar por la aplicación eficaz de la Ley de Lucha contra la Tortura, con miras a garantizar que prevalezca sobre las leyes más antiguas y más generales </w:t>
      </w:r>
      <w:r w:rsidRPr="007F31E6">
        <w:rPr>
          <w:i/>
        </w:rPr>
        <w:t>(</w:t>
      </w:r>
      <w:r w:rsidRPr="007F31E6">
        <w:rPr>
          <w:i/>
          <w:iCs/>
        </w:rPr>
        <w:t>lex specialis derogat legi generali</w:t>
      </w:r>
      <w:r w:rsidRPr="007F31E6">
        <w:rPr>
          <w:iCs/>
        </w:rPr>
        <w:t xml:space="preserve"> y</w:t>
      </w:r>
      <w:r w:rsidRPr="007F31E6">
        <w:rPr>
          <w:i/>
          <w:iCs/>
        </w:rPr>
        <w:t xml:space="preserve"> lex posterior derogat legi priori</w:t>
      </w:r>
      <w:r w:rsidRPr="007F31E6">
        <w:rPr>
          <w:i/>
        </w:rPr>
        <w:t>)</w:t>
      </w:r>
      <w:r w:rsidRPr="007F31E6">
        <w:t>, como recomendó el Relator Especial sobre la tortura y otros tratos o penas crueles, inhumanos o degradantes</w:t>
      </w:r>
      <w:r w:rsidRPr="007F31E6">
        <w:rPr>
          <w:rStyle w:val="Refdenotaalpie"/>
        </w:rPr>
        <w:footnoteReference w:id="5"/>
      </w:r>
      <w:r w:rsidRPr="007F31E6">
        <w:t>;</w:t>
      </w:r>
    </w:p>
    <w:p w:rsidR="007F31E6" w:rsidRPr="007F31E6" w:rsidRDefault="007F31E6" w:rsidP="00214F68">
      <w:pPr>
        <w:pStyle w:val="SingleTxtG"/>
      </w:pPr>
      <w:r w:rsidRPr="007F31E6">
        <w:tab/>
        <w:t>b)</w:t>
      </w:r>
      <w:r w:rsidRPr="007F31E6">
        <w:tab/>
        <w:t>Garantizar, en la práctica, el acceso a un abogado, desde el instante en que tenga lugar la privación de libertad y en condiciones de absoluta confidencialidad, a todos los detenidos</w:t>
      </w:r>
      <w:r w:rsidRPr="007F31E6">
        <w:rPr>
          <w:rStyle w:val="Refdenotaalpie"/>
        </w:rPr>
        <w:footnoteReference w:id="6"/>
      </w:r>
      <w:r w:rsidRPr="007F31E6">
        <w:t xml:space="preserve">, incluso a aquellos </w:t>
      </w:r>
      <w:r w:rsidR="00076442">
        <w:t xml:space="preserve">que lo están </w:t>
      </w:r>
      <w:r w:rsidRPr="007F31E6">
        <w:t>por delitos relacionados con actos de terrorismo y otros delitos contra la seguridad del Estado. Indiquen si el Estado parte tiene la intención de modificar las disposiciones legislativas que entran en conflicto con el tenor del artículo 4 de la Ley de Lucha contra la Tortura en relación con el acceso a un abogado, en particular el artículo 58 del Código de Procedimiento Penal, que dispone: i) que el acceso a un abogado solo sea posible después de la primera prórroga de la detención policial (que es de 48 horas o 72 horas para los delitos relacionados con los estupefacientes), previa autorización del fiscal, durante media hora y bajo la vigilancia de la policía judicial</w:t>
      </w:r>
      <w:r w:rsidR="00076442">
        <w:t>;</w:t>
      </w:r>
      <w:r w:rsidRPr="007F31E6">
        <w:t xml:space="preserve"> y ii)</w:t>
      </w:r>
      <w:r w:rsidR="00214F68">
        <w:t> </w:t>
      </w:r>
      <w:r w:rsidRPr="007F31E6">
        <w:t>que los sospechosos de actos terroristas no tengan derecho a asistencia letrada durante la totalidad de la detención preventiva</w:t>
      </w:r>
      <w:r w:rsidRPr="007F31E6">
        <w:rPr>
          <w:rStyle w:val="Refdenotaalpie"/>
        </w:rPr>
        <w:footnoteReference w:id="7"/>
      </w:r>
      <w:r w:rsidRPr="007F31E6">
        <w:t>;</w:t>
      </w:r>
    </w:p>
    <w:p w:rsidR="007F31E6" w:rsidRPr="007F31E6" w:rsidRDefault="007F31E6" w:rsidP="007F31E6">
      <w:pPr>
        <w:pStyle w:val="SingleTxtG"/>
        <w:rPr>
          <w:bCs/>
        </w:rPr>
      </w:pPr>
      <w:r w:rsidRPr="007F31E6">
        <w:tab/>
        <w:t>c)</w:t>
      </w:r>
      <w:r w:rsidRPr="007F31E6">
        <w:tab/>
        <w:t xml:space="preserve">Acelerar el proceso de adopción del decreto de aplicación de </w:t>
      </w:r>
      <w:smartTag w:uri="urn:schemas-microsoft-com:office:smarttags" w:element="PersonName">
        <w:smartTagPr>
          <w:attr w:name="ProductID" w:val="la Ley"/>
        </w:smartTagPr>
        <w:r w:rsidRPr="007F31E6">
          <w:t>la Ley</w:t>
        </w:r>
      </w:smartTag>
      <w:r w:rsidRPr="007F31E6">
        <w:t xml:space="preserve"> de Asistencia Letrada (Ley núm. 2015-030). Indiquen también las medidas contempladas para garantizar a los acusados indigentes el acceso a un abogado de oficio</w:t>
      </w:r>
      <w:r w:rsidRPr="007F31E6">
        <w:rPr>
          <w:rStyle w:val="Refdenotaalpie"/>
        </w:rPr>
        <w:footnoteReference w:id="8"/>
      </w:r>
      <w:r w:rsidRPr="007F31E6">
        <w:t>;</w:t>
      </w:r>
    </w:p>
    <w:p w:rsidR="007F31E6" w:rsidRPr="007F31E6" w:rsidRDefault="007F31E6" w:rsidP="007F31E6">
      <w:pPr>
        <w:pStyle w:val="SingleTxtG"/>
      </w:pPr>
      <w:r w:rsidRPr="007F31E6">
        <w:tab/>
        <w:t>d)</w:t>
      </w:r>
      <w:r w:rsidRPr="007F31E6">
        <w:tab/>
        <w:t>Velar por que todos los detenidos disfruten, en la práctica, del derecho a ponerse en contacto con una persona de su elección para informarla del lugar donde están detenidos desde el instante en que tenga lugar la privación de libertad. Especifiquen si sigue aplicándose la detención en régimen de incomunicación y según qué criterios;</w:t>
      </w:r>
    </w:p>
    <w:p w:rsidR="007F31E6" w:rsidRPr="007F31E6" w:rsidRDefault="007F31E6" w:rsidP="007F31E6">
      <w:pPr>
        <w:pStyle w:val="SingleTxtG"/>
      </w:pPr>
      <w:r w:rsidRPr="007F31E6">
        <w:tab/>
        <w:t>e)</w:t>
      </w:r>
      <w:r w:rsidRPr="007F31E6">
        <w:tab/>
        <w:t>Velar por que se informe a los detenidos de sus derechos, de los motivos de su detención y de los cargos que se les imputan;</w:t>
      </w:r>
    </w:p>
    <w:p w:rsidR="007F31E6" w:rsidRPr="007F31E6" w:rsidRDefault="007F31E6" w:rsidP="007F31E6">
      <w:pPr>
        <w:pStyle w:val="SingleTxtG"/>
      </w:pPr>
      <w:r w:rsidRPr="007F31E6">
        <w:tab/>
        <w:t>f)</w:t>
      </w:r>
      <w:r w:rsidRPr="007F31E6">
        <w:tab/>
        <w:t>Velar por que, desde el instante en que tenga lugar la privación de libertad, se informe a las personas detenidas de su posibilidad de pedir que se las someta a un examen, en condiciones de absoluta confidencialidad, a cargo de un médico independiente o de su elección, y por que dichas personas puedan ejercer ese derecho;</w:t>
      </w:r>
    </w:p>
    <w:p w:rsidR="007F31E6" w:rsidRPr="007F31E6" w:rsidRDefault="007F31E6" w:rsidP="007F31E6">
      <w:pPr>
        <w:pStyle w:val="SingleTxtG"/>
      </w:pPr>
      <w:r w:rsidRPr="007F31E6">
        <w:tab/>
        <w:t>g)</w:t>
      </w:r>
      <w:r w:rsidRPr="007F31E6">
        <w:tab/>
        <w:t>Introducir las modificaciones legislativas necesarias para garantizar que la duración máxima de la detención preventiva no supere las 48 horas, sean cuales sean las acusaciones formuladas</w:t>
      </w:r>
      <w:r w:rsidRPr="007F31E6">
        <w:rPr>
          <w:rStyle w:val="Refdenotaalpie"/>
        </w:rPr>
        <w:footnoteReference w:id="9"/>
      </w:r>
      <w:r w:rsidRPr="007F31E6">
        <w:t xml:space="preserve">. Especifiquen si la legalidad de la detención preventiva está sujeta a recurso </w:t>
      </w:r>
      <w:r w:rsidRPr="007F31E6">
        <w:rPr>
          <w:i/>
        </w:rPr>
        <w:t>(habeas corpus)</w:t>
      </w:r>
      <w:r w:rsidRPr="007F31E6">
        <w:t xml:space="preserve"> e indiquen, para el período transcurrido a partir de 2013, cuántas privaciones de libertad han sido declaradas ilegales o arbitrarias por los jueces;</w:t>
      </w:r>
    </w:p>
    <w:p w:rsidR="007F31E6" w:rsidRPr="007F31E6" w:rsidRDefault="007F31E6" w:rsidP="007F31E6">
      <w:pPr>
        <w:pStyle w:val="SingleTxtG"/>
      </w:pPr>
      <w:r w:rsidRPr="007F31E6">
        <w:lastRenderedPageBreak/>
        <w:tab/>
        <w:t>h)</w:t>
      </w:r>
      <w:r w:rsidRPr="007F31E6">
        <w:tab/>
        <w:t xml:space="preserve">Actualizar los registros para incluir en ellos la información mínima que exige el artículo 4 de </w:t>
      </w:r>
      <w:smartTag w:uri="urn:schemas-microsoft-com:office:smarttags" w:element="PersonName">
        <w:smartTagPr>
          <w:attr w:name="ProductID" w:val="la Ley"/>
        </w:smartTagPr>
        <w:r w:rsidRPr="007F31E6">
          <w:t>la Ley</w:t>
        </w:r>
      </w:smartTag>
      <w:r w:rsidRPr="007F31E6">
        <w:t xml:space="preserve"> de Lucha contra </w:t>
      </w:r>
      <w:smartTag w:uri="urn:schemas-microsoft-com:office:smarttags" w:element="PersonName">
        <w:smartTagPr>
          <w:attr w:name="ProductID" w:val="la Tortura"/>
        </w:smartTagPr>
        <w:r w:rsidRPr="007F31E6">
          <w:t>la Tortura</w:t>
        </w:r>
      </w:smartTag>
      <w:r w:rsidRPr="007F31E6">
        <w:t>, como lo recomendó el Relator Especial sobre la tortura</w:t>
      </w:r>
      <w:r w:rsidRPr="007F31E6">
        <w:rPr>
          <w:rStyle w:val="Refdenotaalpie"/>
        </w:rPr>
        <w:footnoteReference w:id="10"/>
      </w:r>
      <w:r w:rsidRPr="007F31E6">
        <w:t>.</w:t>
      </w:r>
    </w:p>
    <w:p w:rsidR="007F31E6" w:rsidRPr="007F31E6" w:rsidRDefault="007F31E6" w:rsidP="007F31E6">
      <w:pPr>
        <w:pStyle w:val="SingleTxtG"/>
      </w:pPr>
      <w:r w:rsidRPr="007F31E6">
        <w:t>4.</w:t>
      </w:r>
      <w:r w:rsidRPr="007F31E6">
        <w:tab/>
        <w:t>Teniendo en cuenta la promulgación, en 2015, de la ley por la que se estableció el mecanismo nacional de prevención (Ley núm. 2015-034)</w:t>
      </w:r>
      <w:r w:rsidRPr="007F31E6">
        <w:rPr>
          <w:rStyle w:val="Refdenotaalpie"/>
        </w:rPr>
        <w:footnoteReference w:id="11"/>
      </w:r>
      <w:r w:rsidRPr="007F31E6">
        <w:t xml:space="preserve"> y el nombramiento de los miembros del mecanismo por decreto el 20 de abril de 2016</w:t>
      </w:r>
      <w:r w:rsidRPr="007F31E6">
        <w:rPr>
          <w:rStyle w:val="Refdenotaalpie"/>
        </w:rPr>
        <w:footnoteReference w:id="12"/>
      </w:r>
      <w:r w:rsidRPr="007F31E6">
        <w:t>, indiquen las medidas adoptadas para:</w:t>
      </w:r>
    </w:p>
    <w:p w:rsidR="007F31E6" w:rsidRPr="007F31E6" w:rsidRDefault="007F31E6" w:rsidP="007F31E6">
      <w:pPr>
        <w:pStyle w:val="SingleTxtG"/>
      </w:pPr>
      <w:r w:rsidRPr="007F31E6">
        <w:tab/>
        <w:t>a)</w:t>
      </w:r>
      <w:r w:rsidRPr="007F31E6">
        <w:tab/>
        <w:t>Dotar de mayor transparencia al procedimiento de selección de los miembros y reforzar la independencia de ese organismo;</w:t>
      </w:r>
    </w:p>
    <w:p w:rsidR="007F31E6" w:rsidRPr="007F31E6" w:rsidRDefault="007F31E6" w:rsidP="007F31E6">
      <w:pPr>
        <w:pStyle w:val="SingleTxtG"/>
      </w:pPr>
      <w:r w:rsidRPr="007F31E6">
        <w:tab/>
        <w:t>b)</w:t>
      </w:r>
      <w:r w:rsidRPr="007F31E6">
        <w:tab/>
        <w:t>Velar por que el mecanismo nacional de prevención disponga de recursos suficientes para cumplir plenamente su mandato</w:t>
      </w:r>
      <w:r w:rsidRPr="007F31E6">
        <w:rPr>
          <w:rStyle w:val="Refdenotaalpie"/>
        </w:rPr>
        <w:footnoteReference w:id="13"/>
      </w:r>
      <w:r w:rsidRPr="007F31E6">
        <w:t>.</w:t>
      </w:r>
    </w:p>
    <w:p w:rsidR="007F31E6" w:rsidRPr="007F31E6" w:rsidRDefault="007F31E6" w:rsidP="007F31E6">
      <w:pPr>
        <w:pStyle w:val="SingleTxtG"/>
      </w:pPr>
      <w:r w:rsidRPr="007F31E6">
        <w:t>5.</w:t>
      </w:r>
      <w:r w:rsidRPr="007F31E6">
        <w:tab/>
        <w:t xml:space="preserve">En relación con las anteriores observaciones finales del Comité (párr. 13) y teniendo en cuenta la aprobación por el Senado, el 19 de junio de 2017, del nuevo proyecto de ley orgánica que regula la formación, la organización y el funcionamiento de </w:t>
      </w:r>
      <w:smartTag w:uri="urn:schemas-microsoft-com:office:smarttags" w:element="PersonName">
        <w:smartTagPr>
          <w:attr w:name="ProductID" w:val="la Comisi￳n Nacional"/>
        </w:smartTagPr>
        <w:r w:rsidRPr="007F31E6">
          <w:t>la Comisión Nacional</w:t>
        </w:r>
      </w:smartTag>
      <w:r w:rsidRPr="007F31E6">
        <w:t xml:space="preserve"> de Derechos Humanos:</w:t>
      </w:r>
    </w:p>
    <w:p w:rsidR="007F31E6" w:rsidRPr="007F31E6" w:rsidRDefault="007F31E6" w:rsidP="00076442">
      <w:pPr>
        <w:pStyle w:val="SingleTxtG"/>
      </w:pPr>
      <w:r w:rsidRPr="007F31E6">
        <w:tab/>
        <w:t>a)</w:t>
      </w:r>
      <w:r w:rsidRPr="007F31E6">
        <w:tab/>
        <w:t>Especifiquen si las modificaciones aplicadas a la ley fortalecen la independencia de la Comisión Nacional de Derechos Humanos</w:t>
      </w:r>
      <w:r w:rsidRPr="007F31E6">
        <w:rPr>
          <w:rStyle w:val="Refdenotaalpie"/>
        </w:rPr>
        <w:footnoteReference w:id="14"/>
      </w:r>
      <w:r w:rsidRPr="007F31E6">
        <w:t xml:space="preserve">. Indiquen también qué medidas se han adoptado para dar respuesta a las últimas recomendaciones del Subcomité de Acreditación de </w:t>
      </w:r>
      <w:smartTag w:uri="urn:schemas-microsoft-com:office:smarttags" w:element="PersonName">
        <w:smartTagPr>
          <w:attr w:name="ProductID" w:val="la Alianza Global"/>
        </w:smartTagPr>
        <w:smartTag w:uri="urn:schemas-microsoft-com:office:smarttags" w:element="PersonName">
          <w:smartTagPr>
            <w:attr w:name="ProductID" w:val="la Alianza"/>
          </w:smartTagPr>
          <w:r w:rsidRPr="007F31E6">
            <w:t>la Alianza</w:t>
          </w:r>
        </w:smartTag>
        <w:r w:rsidRPr="007F31E6">
          <w:t xml:space="preserve"> Global</w:t>
        </w:r>
      </w:smartTag>
      <w:r w:rsidRPr="007F31E6">
        <w:t xml:space="preserve"> de Instituciones Nacionales de Derechos Humanos;</w:t>
      </w:r>
    </w:p>
    <w:p w:rsidR="007F31E6" w:rsidRPr="007F31E6" w:rsidRDefault="007F31E6" w:rsidP="007F31E6">
      <w:pPr>
        <w:pStyle w:val="SingleTxtG"/>
      </w:pPr>
      <w:r w:rsidRPr="007F31E6">
        <w:tab/>
        <w:t>b)</w:t>
      </w:r>
      <w:r w:rsidRPr="007F31E6">
        <w:tab/>
        <w:t xml:space="preserve">Aporten ejemplos de recomendaciones formuladas por </w:t>
      </w:r>
      <w:smartTag w:uri="urn:schemas-microsoft-com:office:smarttags" w:element="PersonName">
        <w:smartTagPr>
          <w:attr w:name="ProductID" w:val="ヹ̀ム즸ಉಈ̾จ̾ǃЌ&#10;la Convenci￳nĹЊla Convenci￳n.ķЌ&#10;la Convenci￳nĭЌla Inspecci￳n GeneralᜀĥЊla LeyġЎla Rep￺blicağЊ &#10;la TorturatĚЌ) ProductIDBođЈ桀ヹ짰̽樜ヹ̀ムᒸ̾ಈ̾จ̾ĉЈᅀ̾ᄘ̾ąЈᅀ̾མ̾ŽЌ106 aŹЈ桀ヹ͆樜ヹ̀ム촸ߵ⑨̾뇘ߴꩀ̽űЌᢈ̾114 a1ŭЈ볠͈姨ಆ￈ࣜŨЌɀ庈ಆťА屠̷ŸŧЌ114 aླྀ̾ţЈ腐ߞ쓐ߴśЈ昀̶韘̾ŕЌ119 aམ̾őЈ桀ヹ̽樜ヹ̀ムⅨ̾촸ߵ뇘ߴจ̾ŉЌ♨̾ŸŋЎRO75 a̽ŇЈѸムθ̾+㫄ಎ우ಉłЈdeƿЌ廰̷ŸƹЈڬ᠎倠㿸ƵЈ桀ヹᐘ̾樜ヹ̀ム喀̷䮀̷ಈ̾จ̾ƭЌ￸ߺఊЊƯЈۈᡎ倠㿸ƫЈ桀ヹᓸ̾樜ヹ̀ムᅨ̾᝘̾ಈ̾จ̾ƣЌᔈ̾ŸƝЈᅀ̾ᄘ̾ƙЈᅀ̾ꢸಋƑЌ炘ࢴŸƓЌ箸ߞ119 a1ƏЈѸムθ̾⹴߷⾘߷ƊЈdeƇЌ쥨ಉ\ƁЌ濨ಊヺ嫀ಡヺಌǽЈ傌ಐ㭰ಎ뎨ಖǸЈ&#10;desdeǵЌ䰀̷ŸǷЎ莈ߞ俠⃐Key2鴰ǳЈ桀ヹᙈ̾樜ヹ̀ムᰰ̴䶀̷ಈ̾จ̾ǫЌ☘̾ŸǥЎẨ͋Key1ǡЈ߼ಌẨ͋ǙЌᒈ̾ŸǛЈᗨ̾췘˟œǗЈ桀ヹម̾樜ヹ̀ムᒸ̾ៈ̾ಈ̾จ̾ǏЌឨ̾ŸǉЈᅀ̾჈̾ǅЈ桀ヹ᠈̾樜ヹ̀ム᝘̾ᢨ̾ಈ̾จ̾ĽЌ᠘̾ŸĿЈᅀ̾ᄘ̾ĻЈ燘ࢴ樜ヹ̀ムจ̾ĳЌ믈ಖŸĭЌᕸ̾121 aĩЈ桀ヹᣨ̾樜ヹ̀ムៈ̾ᤘ̾ಈ̾จ̾ġЌ᣸̾ŸģЈᅀ̾ྸ̾ğЈ桀ヹᥘ̾樜ヹ̀ムᢨ̾ᦈ̾ಈ̾จ̾ėЌᥨ̾ŸđЈᅀ̾ഠ̾čЈ桀ヹᧈ̾樜ヹ̀ムᤘ̾᧸̾ಈ̾จ̾ąЌ᧘̾ŸćЈᅀ̾좠̽ăЈ桀ヹᨸ̾樜ヹ̀ムᦈ̾ᩨ̾ಈ̾จ̾ŻЌᩈ̾ŸŵЈᅀ̾ྸ̾űЈ桀ヹ᪨̾樜ヹ̀ム᧸̾᫘̾ಈ̾จ̾ũЌ᪸̾ŸūЈᅀ̾჈̾ŧЈ桀ヹᬘ̾樜ヹ̀ムᩨ̾ᭈ̾ಈ̾ꩀ̽şЌᬨ̾ŸřЈᅀ̾온̽ŕЈ桀ヹᮈ̾樜ヹ̀ム᫘̾᮸̾ಈ̾จ̾ōЌᮘ̾ŸŏЈᅀ̾࿸̾ŋЈ桀ヹ᯸̾樜ヹ̀ムᭈ̾ᰨ̾ಈ̾จ̾ŃЌᰈ̾ŸƽЈᅀ̾჈̾ƹЈ桀ヹᱨ̾樜ヹ̀ム᮸̾Ი̾ಈ̾จ̾ƱЌᱸ̾ŸƳЈᅀ̾ᄘ̾ƯЈ桀ヹ᳘̾樜ヹ̀ムᰨ̾ᴈ̾ಈ̾จ̾ƧЌ᳨̾ŸơЈᅀ̾ႈ̾ƝЈ桀ヹᵈ̾樜ヹ̀ムᲘ̾ᵸ̾ಈ̾จ̾ƕЌᵘ̾ŸƗЈᅀ̾შ̾ƓЈ桀ヹᶸ̾樜ヹ̀ムᴈ̾ᷨ̾ಈ̾จ̾ƋЌ᷈̾ŸƅЈᅀ̾჈̾ƁЈ桀ヹḨ̾樜ヹ̀ムᵸ̾Ṙ̾ಈ̾จ̾ǹЌḸ̾ŸǻЈᅀ̾ᄘ̾ǷЈ桀ヹẘ̾樜ヹ̀ムᷨ̾Ỉ̾ಈ̾จ̾ǯЌẨ̾ŸǩЈᅀ̾ᄘ̾ǥЈ桀ヹἈ̾樜ヹ̀ムṘ̾Ἰ̾ಈ̾จ̾ǝЌἘ̾ŸǟЈᅀ̾죘̽ǛЈ桀ヹὸ̾樜ヹ̀ムỈ̾딘ߴಈ̾จ̾ǓЌᾈ̾ŸǍЈᅀ̾ဨ̾ǉЌԁԀ䌮䂬铰忈ᝃ㈊ϬǄЈ踠̽踠̽﨤̸ǁЌᚄ́aǃЈ辘ⷸ̾ഀ̾allľЈꏬ̽뭸ಧಌ&#10;ĵЊC:\Documents and Settings\All Users\Escritorio&#10;ĨЈѸムθ̾&quot;畼̾̽ħЎe1̾ģЈ&#10;ěЌڸ߶\ĕЌ뿘̽༸̾đЈ桀ヹ↨̾樜ヹ̀ム⍈̾፨̾뇘ߴꩀ̽ĉЌ꼘̽\ċЊ借俠⃐㫪ၩ〫鴰̽ćЈ0HP DeskJet 3630 series뻯ſЌঈ̾\ŹЎヺ18 a߶̾ŵЈ桀ヹ퀈ߞ樜ヹ̀ム䱀̷옸ߴಈ̾ꩀ̽ŭЌ䙈ߟ▀ߟůЊ借俠⃐㫪ၩ〫鴰̽ūЈ桀ヹ聐ߞ樜ヹ̀ム딘ߴ⎘̾ಈ̾ꩀ̽ţЌ庀߶ŸŝЈ腐ߞ躘̶ŕЈ桀ヹ舘̶樜ヹ̀ムⅨ̾뇘ߴꩀ̽ōЌ㺠̷橐ߟŏЈ桀ヹ⋸̾樜ヹ̀ム⊸̾땘ߴಈ̾ꩀ̽ŇЈ桀ヹℸ̾樜ヹ̀ム⑨̾幀߶뇘ߴꩀ̽ƿЌⳀ̷ŸƹЈ嶰攁嶜攁嶄攁摠ಇ嵬攁ƱЈ桀ヹ⿸͇樜ヹ̀ムረ̾⏘̾뇘ߴꩀ̽ƩЌⒸ̾ŸƫЈᅀ̾지̽ƣЈƛЌ╈̾ŸƕЈᅀ̾໸̾ƍЈ㺔瑭⣇ᇒက❚떙腰̽屽:༠༔৴ƅЌ◘̾ŸƇЈᅀ̾ꨠ̽ǿЈᅀ̾ᄘ̾ǷЌ㾠̷ŸǱЈ腐ߞᎸ̾]ǩЈ´쀠߸侰߸몘߸ಘ뾠߸䚘߸傰ಐ㮸ಎ㱐ಎ㳨ಎಘಘಘಘಘಘಘಘ묈߸뮠߸밸߸볨߸붘߸빘߸뼈߸뒠ಖ땐ಖ똀ಖ뛀ಖ띰ಖ렰ಖ쁈߸샸߸솨߸쉘߸쌈߸쏈߸쑸߸씸߸엨߸욨߸읨߸젘߸죘߸즘߸쩈߸쫸߸쮨߸챨߸촘߸췈߸캈߸콈߸쿸߸킸߸텨߸툨߸틘߸페߸푈߸퓸߸햸߸홨߸휘߸퟈߸߸߸߸߸߸߸߸߸߸߸߸恨߼愘߼懈߼抈߼挸߼揨߼撘߼效߼旸߼暨߼杨߼栘߼棘߼榈߼橈߼櫸߼殨߼汨߼洘߼淈߼溈߼漸߼濨߼炨߼煘߼爘߼狈߼獸߼琸߼瓨߼疨߼癘߼眈߼瞸߼硸߼礨߼秘߼窈߼笸߼篨߼粨߼絘߼縈߼终߼罸߼耨߼胨߼膨߼艘߼茈߼菈߼蒈߼蔸߼藨߼蚨߼蝨߼蠘߼裈߼襸߼訨߼諘߼讈߼谸߼賨߼趘߼蹈߼軸߼辸߼選߼鄨߼釘߼鉰߼錠߼鏐߼钐߼镐߼阀߼雀߼靰߼頰߼飠߼馐߼驀߼髰߼鮠߼鱠߼鴐߼鷀߼麀߼齀߼鿰߼ꂠ߼ꅐ߼ꈀ߼ꊰ߼ꍠ߼ꐐ߼ꓐ߼ꖀ߼꘰߼꛰߼Ꞡ߼ꡠ߼ꤠ߼/]ČЎ諀ߟeconoce los nombres de las personas a las que ha enviado mensajes de correo electrónico recientemente. Esta operación se combina con las acciones asociadas a nombres de personas.1V/ŝЌᅾᤊ 䀀䀀䀀䀀 !&quot;#$%&amp;'()*+,-./0123456789:;&lt;=&gt;?@ABCDEFGHIJKLMNOPQRSTUVWXYZ[\]^_`abcdefghijklmnopqrstuvwxyz{|}~€‚ƒ„…†‡ˆ‰Š‹ŒŽ‘’“”•–—˜™š›œžŸ ¡¢£¤¥¦§¨©ª«¬­®¯°±²³´µ¶·¸¹º»¼½¾¿ÀÁÂÃÄÅÆÇÈÉÊËÌÍÎÏÐÑÒÓÔÕÖ×ØÙÚÛÜÝÞßàáâãäåæçèéêëìíîïðñòóôõö÷øùúûüýþÿࣜܡƻÜW̵ᒌƐ`` ￼ ᜀ翽＞‟ùVƋЈQueryInterfacen.11̀ƀЈ跸̽⼐̾ ̾ǿА孀̷\ǹЌ율ಉ\ǻЌ̴ᨘ넁;ǱЈrecomendacionesǮЈѸムθ̾?㧄̷㝀̷ǥЈdadoǦЈ಍æ༠ῐ̾ǝЈ因Қ⽠̾ⷸ̾allǘЈDescǕЌdǗЈᆐ癭愸̾⼐̾ǒЌ睋༠椸̾ǈЈ⸔眺ҔddÿE˥˔ãÐʰĲЈ⸔眺ҚddӣӓҖѥ҅ѽVĔЌၜ⸊ 䀀䀀䀀䀀 !&quot;#$%&amp;'()*+,-./0123456789:;&lt;=&gt;?@ABCDEFGHIJKLMNOPQRSTUVWXYZ[\]^_`abcdefghijklmnopqrstuvwxyz{|}~€‚ƒ„…†‡ˆ‰Š‹ŒŽ‘’“”•–—˜™š›œžŸ ¡¢£¤¥¦§¨©ª«¬­®¯°±²³´µ¶·¸¹º»¼½¾¿ÀÁÂÃÄÅÆÇÈÉÊËÌÍÎÏÐÑÒÓÔÕÖ×ØÙÚÛÜÝÞßàáâãäåæçèéêëìíîïðñòóôõö÷øùúûüýþÿࣜܡƻÜWͪᑷʼ`` ￼ ᜀ翽＞‟ùVVłЌᆢ᠊ऀ䀀䀀䀀䀀退⣰＞ἠ贜聱怀怀怀怀怀怀怀怀怀怀怀怀怀怀怀怀怀怀怀怀怀怀怀怀怀怀怀怀怀怀怀怀⣰♠゠䳐你猰晠ᰰ♠♠㡐䳐⣰㌰⣰䳐你你你你你你你你你你⣰⣰䳐䳐䳐䔠棰圐庰庰晠尰凰晠晠⮀䳐尰䳐痀庰晠你晠尰咀你提妠章尰凰凰♠䳐♠䳐䀀⮀䩀你䊐你䊐⣰䔠咀♠♠你♠硐咀䞰你䩀㡐䊐゠圐䊐提䞰䔠㵰⏐䳐⏐䳐怀你怀ᰰ你㌰耀䔠䔠㗀ꏐ咀Ằ麰怀凰怀怀ᰰᰰ㌰㌰㫠䀀耀㡐絰䊐Ằ猰怀㵰凰⮀♠你你䳐你䳐䊐㗀廀㗀⸐䳐㌰廀䀀㌰䙀⾠⾠⮀䧀䳐⅐⣰⾠㗀⸐眐眐眐䔠圐圐圐圐圐圐ꅀ庰尰尰尰尰⮀⮀⮀⮀晠庰晠晠晠晠晠䳐晠提提提提凰你咀䩀䩀䩀䩀䩀䩀渐䊐䊐䊐䊐䊐♠♠♠♠䞰咀䞰䞰䞰䞰䞰䙀䞰圐圐圐圐䔠你䔠ࣜܡƻÜW̵ᒌƐ`` ￼ ᜀ翽＞‟ùVVǨЌၱ⬊ 䀀䀀䀀䀀 !&quot;#$%&amp;'()*+,-./0123456789:;&lt;=&gt;?@ABCDEFGHIJKLMNOPQRSTUVWXYZ[\]^_`abcdefghijklmnopqrstuvwxyz{|}~€‚ƒ„…†‡ˆ‰Š‹ŒŽ‘’“”•–—˜™š›œžŸ ¡¢£¤¥¦§¨©ª«¬­®¯°±²³´µ¶·¸¹º»¼½¾¿ÀÁÂÃÄÅÆÇÈÉÊËÌÍÎÏÐÑÒÓÔÕÖ×ØÙÚÛÜÝÞßàáâãäåæçèéêëìíîïðñòóôõö÷øùúûüýþÿ怀怀怀怀怀怀怀怀怀怀怀怀怀怀怀怀怀怀怀怀怀怀怀怀怀怀怀怀怀怀怀怀⣰♠゠䳐你猰晠ᰰࣜܡƻÜW̵ᒌƐ`` ￼ ᜀ翽＞‟䳐尰䳐痀庰晠ù尰咀VĖЈᝨ㼁㦐̾ﻸ̽TagčЈក㼁㦸̾㥨̾＞ἠ贜ĈЈម㼁㧠̾㦐̾ĠĠĠĠćЈឰ㼁㨈̾㦸̾ððŰĂЈៈ㼁㨰̾㧠̾ððððŹЈ០㼁㩘̾㨈̾àĐàŠŴЈ៸㼁㪀̾㨰̾àÀàųЈ᠐㼁㪨̾㩘̾°ÀĀŮЈᠨ㼁㫐̾㪀̾ÐÐ ȀťЈᡀ㼁㫸̾㪨̾À`ŠĠŠЈᡘ㼁㬠̾㫐̾ĠÀ ÐşЈᡰ㼁㭈̾㫸̾ĀĀĀĀŚЈᢈ㼁㭰̾㬠̾İàİİőЈᢠ㼁㯠̾㭈̾ÐÐpp ŌЌ䮤㼀ዐߴ䚰̾瀈ߴ屡楍牣獯景〈ߴĀ䥗ӤE ŇЈ؈঍ﴠߝ㭰̾łЌ䈠̷蕘VƼЌሲĊ䀀䀀䀀䀀İ@＞ἠ蠼聱ÀÀÀÀÀÀÀÀÀÀÀÀÀÀÀÀÀÀÀÀÀÀÀÀÀÀÀÀÀÀÀÀ@PPÐÀ0PP@`@@0@pð° °°°°P`ÀàÀÀÀ °°ð°°P@PPppp@pp0@0°pP`@pp°pp`p0ÀÀP`ĀpPĀPàÀÀÀPP```ĀPĀ`P°À`°@P0PÀPp`À`PPPpp@@PPpÀÀÀp°°°°°°Ð°PPPP°ÀÀÀÀÀÀÀ°°°°° pppppp°ppppp0000pppppppİð)Ɛ`` ￼ ᜀ＞‟йMùĠĠVVǪЌၧ␊©䀀䀀䀀䀀ŐP＞ἠ贜聱ððððððððððððððððððððððððððððððððP`p  ðð@`p ÐP`PP          ``ÐÐÐ Đ°ÀÐàÀÀàà`Ð°ĀÐàÀàÀ °àÀĀÀ °pPp P   P  PPPà   ppP ÐpP ð ð` °Đ  `Ā `Ġð°ðð``°°p Đ`İp`Ððp Pp   P `ÐP Ð`ð  ``P° P``` ààà°°°°°°ĐÐÀÀÀÀ````àÐàààààÐààààà À       ÐPPPP       hiƐ`` ￼ ÿᜀ＞‟֙ù\VVĐЌ጗《¨!䀀䀀䀀䀀Ȑp＞ἠ蠼聱ŠŠŠŠŠŠŠŠŠŠŠŠŠŠŠŠŠŠŠŠŠŠŠŠŠŠŠŠŠŠŠŠpÐààŰŐ`àİppààààààààààİİİàƠĐĐİŀĐĀŀŀÀĠĀŰİŀĀŀĐàĀŀĐŠĐðĀ ÀÀààÐÀðÀààpÀŀàààà°°àÀĠÀÀ°°°ðŠàŠĀƐàààƠŠĀŠŠĀĀ àƐ°İŠ°Āpàààààİà°ðĀðpàŐŐŐĐĐĐĐĐĐƐİĐĐĐĐŀİŀŀŀŀŀİŀŀŀŀŀĀĐàààààààİÀÀÀÀÀàààààààðàààààÀÀŰ!-Ɛ`` ￼ ÿᜀ＞‟֍ùŀĀVƾЈ鲤߱䓀̾鰐߱䀀ƵЈѸムθ̾&quot;䓤̾䑰̾ ưЌヺьムヺθ̾䰄ベ䒸̾`` ƫЈ䒔̾䖀̾䐨̾ÀÀÀÀƦЈsegundoĀÐÐĀĀƝЈѸムθ̾*䖤̾䔰̾ ƘЌヺьムヺθ̾䰄ベ䕸̾Àð ƓЈ䕔̾䙀̾䓀̾@ƎЈinformeÀÀÀ ðƅЈѸムθ̾±肜߱䗰̾ ƀЌヺьムヺθ̾䰄ベ䘸̾ÀÀ ǻЈ䘔̾ﻸ̽䖀̾°°°°ǶЈAprobadatǭЈcontraria ᜀǨЈô঄ׄ঄঄՘঄٨঄۔঄VǤЌጆⴊ䀀䀀䀀䀀ð0＞ἠ贜聱0@P``  @@`p0@00``````````00pppP°pp@PpÀp`°@0@``@P`P`P@P`00`0``p`@P@``Pp`` ```@`PÀ``@À`@°@@`P@`À@ÀP@`0@````0P@@`p@`Pp@@@p`0@@0`P°pppp@@@@pp`PPPPPPPPPPP0000```````p`````pppĀ@ 5Ɛ`` ￼ ✀＞‟խùàÐVVĒЌህĊ¨䀀䀀䀀䀀°0＞ἠ補聱0 @p` ` 00`p0000PPPPPPPPPP00ppp@p`pp``pp@@`@p````ppP`P000pPPPP@PP0PP 0P PPPP0@0P`@`@@@@pP P@p``PÐ`0P  @@@PP@0@`0 PP`P0PP@Pp0P@p@@PPP0P@@P@ppppppp````@@@@ppppppp`PPPPPPPP@PPPP    PPPPPPPp`PPPP`P`hi Ɛ`` ￼ ✀뾄쀀＞‟эMù\cVƸЎā樀뀈ࢲ㐲¸º㎌ÀȪ䳠̾伊̾#休̾䗀&quot;F⍀伴̾⑸ペ̟ᦆ̟ᦆԉᦆ̠ᦆ''˴ᦆ̜ᦆ䲘̾䲠̾䲨̾S\JOSE ANTON\??\C:\Documents and Settings\Jose Antonio\Datos de programa\Microsoft\Office\Reciente\index.dat潤c߼㇐ⴸ〰㤰ⴷ牴摡䰮䭎܀궀߼기߼껠߼꾠߼0߼널߼ࢴ(cǕЍ䥈ߠ俠⃐㫪ၩ〫鴰䌯尺尀㄀글ⴸၿ䐀䍏䵕繅1䐀̀Ѐ꺾萸㚵칌ᒄ䐀漀挀甀洀攀渀琀猀 愀渀搀 匀攀琀琀椀渀最猀᠀䈀㄀글鬸ၾ䄀䱌单繅1⨀̀Ѐ꺾萸㚵칌ᒄ䄀氀氀 唀猀攀爀猀᠀昀㄀縀敋ፄ䐀呁协繄1一̀Ѐ꺾踸㚵칌ᒄ㠀䐀愀琀漀猀 搀攀 瀀爀漀最爀愀洀愀䀀桳汥㍬⸲汤ⱬ㈭㜱㔶᠀߸B(ĭЌ諠͂衸͂酠͂耸͂艈͂葘͂虨͂駈͂鯘͂鷨͂鿸͂VBůЌᆿጊࣜ䀀䀀䀀䀀跀 ＞ἠ贜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ᒌƐ`` ￼ ᜀ翽＞‟ù\VƕЈҫ粂喨̾軨̾屣㑴닰䞄枋቞烈ㄚ呐䉕覂ꏸ栞⡲fǸЈĀ뀈ࢲ徂¼¾廜ÄȪ因̾夊̾+天̾&gt;瀄繪*V胈繪褀ࢶЀ囜_ᦆNᦆ_ᦆᦆ&#10;&#10;Nᦆ\ᦆ嚘̾嚠̾嚨̾雘ࢶ鞈ࢶ顈ࢶ餈ࢶ馸ࢶ驨ࢶ\??\C:\Documents and Settings\Jose Antonio\Datos de programa\Microsoft\Office\Reciente\desktop.ini匮敨汬汃獡䥳普oࢴ폨ࢴ풨ࢴ하ࢴ䰈捯污穩摥敒潳牵散慎敭ࠀࢴࢴࢴࢴࢴࢴfĖЊC:\Documents and Settings\Jose Antonio\Menú InicioaĄЊ쾐ߠĀ뀈ࢲ憪¼¾愄ÄȪ媀̾岪̾&gt;瀄繪ಘJЀ处_ᦆNᦆ_ᦆᦆ&#10;&#10;Nᦆ\ᦆ娸̾婀̾婈̾쁈߸샸߸솨߸쉘߸쌈߸쏈߸\??\C:\Documents and Settings\Jose Antonio\Datos de programa\Microsoft\Office\Reciente\desktop.ini匮敨汬汃獡䥳普o߼감߼곀߼궀߼기߼껠߼)aƧЏ彨̾俠⃐㫪ၩ〫鴰䌯尺尀㄀글ⴸၿ䐀䍏䵕繅1䐀̀Ѐ꺾萸㚵ᒌ䐀漀挀甀洀攀渀琀猀 愀渀搀 匀攀琀琀椀渀最猀᠀䠀㄀☀䑌ၛ䨀协䅅繎1　̀Ѐ꺾ⴸ㙿ᒌ䨀漀猀攀 䄀渀琀漀渀椀漀᠀昀㄀縀饋ፘ䐀呁协繄1一̀Ѐ꺾ⴸ㙿ᒌ㠀䐀愀琀漀猀 搀攀 瀀爀漀最爀愀洀愀䀀桳汥㍬⸲汤ⱬ㈭㜱㔶᠀A))ǾЏ借俠⃐㫪ၩ〫鴰䌯尺尀㄀글ⴸၿ䐀䍏䵕繅1䐀̀Ѐ꺾萸㚵칌ᒄ䐀漀挀甀洀攀渀琀猀 愀渀搀 匀攀琀琀椀渀最猀᠀䠀㄀☀䑌ၛ䨀协䅅繎1　̀Ѐ꺾ⴸ㙿칌ᒄ䨀漀猀攀 䄀渀琀漀渀椀漀᠀昀㄀縀饋ፘ䐀呁协繄1一̀Ѐ꺾ⴸ㙿칌ᒄ㠀䐀愀琀漀猀 搀攀 瀀爀漀最爀愀洀愀䀀桳汥㍬⸲汤ⱬ㈭㜱㔶᠀))ǑЏ龜俠⃐㫪ၩ〫鴰䌯尺尀㄀글ⴸၿ䐀䍏䵕繅1䐀̀Ѐ꺾萸㚵ᒌ䐀漀挀甀洀攀渀琀猀 愀渀搀 匀攀琀琀椀渀最猀᠀䠀㄀☀䑌ၛ䨀协䅅繎1　̀Ѐ꺾ⴸ㙿ᒌ䨀漀猀攀 䄀渀琀漀渀椀漀᠀昀㄀縀饋ፘ䐀呁协繄1一̀Ѐ꺾ⴸ㙿ᒌ㠀䐀愀琀漀猀 搀攀 瀀爀漀最爀愀洀愀䀀桳汥㍬⸲汤ⱬ㈭㜱㔶᠀)ĨЎC:\Documents and Settings\Jose Antonio\Datos de programaĘЈᑌ癭慠̾⽠̾焐繪烰繪ėЈᇨ癭憈̾愸̾ĒЈᄸ癭憰̾慠̾ĉЈቀ癭暨̾憈̾ĄЈ㜿﯀̽āЊC:\WINDOWS1ŽЍ掐̾俠⃐㫪ၩ〫鴰䌯尺尀㄀글ⴸၿ䐀䍏䵕繅1䐀̀Ѐ꺾萸㚵ᒌ䐀漀挀甀洀攀渀琀猀 愀渀搀 匀攀琀琀椀渀最猀᠀䠀㄀☀䑌ၛ䨀协䅅繎1　̀Ѐ꺾ⴸ㙿ᒌ䨀漀猀攀 䄀渀琀漀渀椀漀᠀昀㄀縀饋ፘ䐀呁协繄1一̀Ѐ꺾ⴸ㙿ᒌ㠀䐀愀琀漀猀 搀攀 瀀爀漀最爀愀洀愀䀀桳汥㍬⸲汤ⱬ㈭㜱㔶᠀䈀㄀؀ㅁᑞ䴀䍉佒繓1⨀̀Ѐ꺾ⴸ㙿ᒌ䴀椀挀爀漀猀漀昀琀᠀ࠀ㵰ࡖ11ŌЍ攘̾俠⃐㫪ၩ〫鴰䌯尺尀㄀글ⴸၿ䐀䍏䵕繅1䐀̀Ѐ꺾萸㚵ᒌ䐀漀挀甀洀攀渀琀猀 愀渀搀 匀攀琀琀椀渀最猀᠀䠀㄀☀䑌ၛ䨀协䅅繎1　̀Ѐ꺾ⴸ㙿ᒌ䨀漀猀攀 䄀渀琀漀渀椀漀᠀昀㄀縀饋ፘ䐀呁协繄1一̀Ѐ꺾ⴸ㙿ᒌ㠀䐀愀琀漀猀 搀攀 瀀爀漀最爀愀洀愀䀀桳汥㍬⸲汤ⱬ㈭㜱㔶᠀䈀㄀؀ㅁᑞ䴀䍉佒繓1⨀̀Ѐ꺾ⴸ㙿ᒌ䴀椀挀爀漀猀漀昀琀᠀11ƟЍ俠⃐㫪ၩ〫鴰䌯尺尀㄀글ⴸၿ䐀䍏䵕繅1䐀̀Ѐ꺾萸㚵ᒌ䐀漀挀甀洀攀渀琀猀 愀渀搀 匀攀琀琀椀渀最猀᠀䠀㄀☀䑌ၛ䨀协䅅繎1　̀Ѐ꺾ⴸ㙿ᒌ䨀漀猀攀 䄀渀琀漀渀椀漀᠀昀㄀縀饋ፘ䐀呁协繄1一̀Ѐ꺾ⴸ㙿ᒌ㠀䐀愀琀漀猀 搀攀 瀀爀漀最爀愀洀愀䀀桳汥㍬⸲汤ⱬ㈭㜱㔶᠀䈀㄀؀ㅁᑞ䴀䍉佒繓1⨀̀Ѐ꺾ⴸ㙿ᒌ䴀椀挀爀漀猀漀昀琀᠀＀1ǮЈᏰ癭曐̾憰̾焐繪烰繪ǥЈᐠ癭書̾暨̾ǠЈᐈ癭绨̾曐̾ǟЈ؈ҩ甐̾쯠̾ǚЈdÈĬǗЎaddress̴8ǓЈƸ쀎삚샃&#10;@ 쀋쀍쀏쀂숏88ěЈƸ쀎삚샃&#10;@ 쀋쀍쀏쀂숏ࡔࡔࡔࡔࡔࡔࡔࡔ88ţЋ茐߱俠⃐㫪ၩ〫鴰䌯尺尀㄀글ⴸၿ䐀䍏䵕繅1䐀̀Ѐ꺾萸㚵ᒌ䐀漀挀甀洀攀渀琀猀 愀渀搀 匀攀琀琀椀渀最猀᠀䠀㄀☀䑌ၛ䨀协䅅繎1　̀Ѐ꺾ⴸ㙿ᒌ䨀漀猀攀 䄀渀琀漀渀椀漀᠀昀㄀縀饋ፘ䐀呁协繄1一̀Ѐ꺾ⴸ㙿ᒌ㠀䐀愀琀漀猀 搀攀 瀀爀漀最爀愀洀愀䀀桳汥㍬⸲汤ⱬ㈭㜱㔶᠀䈀㄀؀ㅁᑞ䴀䍉佒繓1⨀̀Ѐ꺾ⴸ㙿ᒌ䴀椀挀爀漀猀漀昀琀᠀㨀㄀漀㩊၊伀晦捩e␀̀Ѐ꾾昸㙔ꑌᒌ伀昀昀椀挀攀ᘀ琀߼&#10;8ƫЈ借俠⃐㫪ၩ〫鴰2.ᩴ幙䣓枍㌗먨ᩇ夃㽲䒧얉镕毾&amp;&#10;ƝЈ耬知췯覫䀀̾洨̾鎠̾浄̾浠̾浰̾Ш류͈&#10;̽꺾渄̾갷6졑᳜䥱:&amp;ǻЉ俠⃐㫪ၩ〫鴰䌯尺樀㄀က䐀捯浵湥獴愠摮匠瑥楴杮s䐀̀Ѐ¾᐀䐀漀挀甀洀攀渀琀猀 愀渀搀 匀攀琀琀椀渀最猀☀䰀㄀က䨀獯⁥湁潴楮o　̀Ѐ¾᐀䨀漀猀攀 䄀渀琀漀渀椀漀ᰀ娀㄀က䐀瑡獯搠⁥牰杯慲慭㨀̀Ѐ¾᐀䐀愀琀漀猀 搀攀 瀀爀漀最爀愀洀愀 䈀㄀က䴀捩潲潳瑦⨀̀Ѐ¾᐀䴀椀挀爀漀猀漀昀琀᠀䘀㄀က倀慬瑮汩慬sⰀ̀Ѐ¾᐀倀氀愀渀琀椀氀氀愀猀ᨀ):ĽЏ峘̾俠⃐㫪ၩ〫鴰䌯尺尀㄀글ⴸၿ䐀䍏䵕繅1䐀̀Ѐ꺾萸㚵칌ᒄ䐀漀挀甀洀攀渀琀猀 愀渀搀 匀攀琀琀椀渀最猀᠀䠀㄀☀䑌ၛ䨀协䅅繎1　̀Ѐ꺾ⴸ㙿칌ᒄ䨀漀猀攀 䄀渀琀漀渀椀漀᠀昀㄀縀饋ፘ䐀呁协繄1一̀Ѐ꺾ⴸ㙿칌ᒄ㠀䐀愀琀漀猀 搀攀 瀀爀漀最爀愀洀愀䀀桳汥㍬⸲汤ⱬ㈭㜱㔶᠀s)ĔЈ緬㝅㝇h䆻㝄ćЎFPerson.FactoidonŽЈncalrpcžЈ爈̾Ꚑߟ蔐߱誨ߞꝠ岤ᇏᆆꀀ吤ŵЈﶰӒｈ̽ﺠ̽allŰЈ푰̾犠̾蓘߱ůЈ᳄͋ﺠ̽牸̾ŪЌŦЈbC:\ARCHIV~1\ARCHIV~1\MICROS~1\VBA\VBA6\VBE6.DLL\3\WINDOWS\system32\Stdole2.tlb#OLE Automationࢴ狈ࢴ獸ࢴ琸ࢴŋЈ㢘ॉ珨̾땐͈e⠀̀ЀņЈ⇠ौ醐͆珀̾᠀ƽЈ^C:\ARCHIV~1\ARCHIV~1\MICROS~1\SMARTT~1\MOFL.DLL琼̾䀈āƬЈ؈Ҭ瓀̾텐̾ƫЈ憊훈̽璘̾ƦЈ̽뎨ߴ畘̾ƝЈፀ狺̾朠̾ƘЊ DirecciónƔЈ鳔̽瓨̾衈̾ƓЈsegundoƎЈDescƋЊバ\Documents and Settings\Jose Antonio\Escritorio\GINDOC\2018 ENERO\trab-2ಌǷЈ⸔眺Ҿddÿ˥'˔d=ʜ ǙЈ㫈ߠ:߮߮߮߮߮߮߮߮߮߮߮߮߮߮߮߮߮߮߮߮߮߮߮߮߮߮߮߮߮߮߮蘿߮類߮敖߮נּ߮ﰀ߮ﲰ߮ﵰ߮︰߮ﻠ߮ﾐ߮H߯Ĉ߯Ƹ߯ɸ̨߯߯Ϩ߯Ҩ߯՘߯؈߯ڸ߯ݸ߯ࠨ߯ࣨ߯ঘ߯ੈ߯ଈ߯ஸ߯ ĹЊ借俠⃐㫪ၩ〫鴰2.ᩴ幙䣓枍㌗먨ᩇ夃㽲䒧얉镕毾V1㢮謩䥍卍䍉ㅾ&gt;뻯㢮繚䰶蓛(Mi música獀敨汬㈳搮汬⴬㠲㤹5ĤЈ࿿.doc=ĢЌ\뎠͂嶢㋘܋䦠憒藧坄횦嶢㋘܋䦠憒藧坄횦밠͂ઝ䰛䙁꾤旒ઝ䰛䙁꾤旒䁀̈́汩撫됎䂯羛棵䡻뛢汩撫됎䂯羛棵䡻뛢䊸̈́᳾蟯凊乫皌盥銪表᳾蟯凊乫皌盥銪表刀=šЈName ŢЌヺьムヺθ̾䰄ベᩨࢳ䍏䵕 ŕЈѸムθ̾=丬̷筰̾ ŐЌヺьムヺθ̾䰄ベ箸̾㙿 ŋЈ箔̾籘̾ᩰࢳ昀㄀ņЈѸムθ̾@籼̾簈̾ ƽЌヺьムヺθ̾䰄ベ籐̾䴀䍉 ƴЈ簬̾ᓠಌ節̾爀漀猀漀ƳЈ&#10;LuchaƬЈѸムθ̾Fᔄಌ粸̾ ƫЌヺьムヺθ̾䰄ベᓘಌ ƢЈC:\Archivos de programa\Archivos comunes\Microsoft Shared\OFFICE11\MSO.DLL2\18-00097-trad.docƇЈ㘄̷伈̷剠̷0097ƂЈacǿЈ`C:\ARCHIV~1\ARCHIV~1\MICROS~1\SMARTT~1\FDATE.DLL{1}))\s?((A|a)(M|m))))eures,\.;:\s])6}ǦЈ偔皔膐̾書̾Ϭ ǝЌヺьムヺθ̾䰄ベ罐̾1 ǔЈ缬̾翰̾߀߻賨2ǓЈѸムθ̾v&#10;袤߱羠̾ ǎЌヺьムヺθ̾䰄ベ翨̾: ǁЈ翄̾襀߱罘̾-traļЌ㬰ࠁ껀ࡖľЌ䰯吧䥇䑎䍏$뻯㭕冰䰶貗GINDOCD1䰶磒〲㠱久ㅾ,뻯䰯吤䰶蓧2018 ENERO:1䰶貥牴扡㈭$뻯䰳牏䰶貥trab-2ġЊ\Documents and Settings\Jose Antonio\Escritorio\GINDOC\2018 ENERO\trab-2čЈ؈ҧ葨̾绨̾VĈЈ⌸̹ผvos de pผVƶЈ슄皮蒐̾膐̾ƭЈ슜皮蒸̾葨̾ƨЈ슴皮蓠̾蒐̾ƧЈ妃蔈̾蒸̾ƢЈ妃蔰̾蓠̾ƙЈ妃蕘̾蔈̾ƔЈ妃薀̾蔰̾ƓЈ妃薨̾蕘̾ƎЈ妃藐̾薀̾ƅЈ妃藸̾薨̾ƀЈ쀌皕蘠̾藐̾ǿЈ쁐皕蚘̾藸̾啈̾ǺЈ̽衈̾꣘̽ǱЈѸムθ̾뼌߶☐ߵǬЈ₴痟굘̾蘠̾ǫЈ憊蛨̾훰̽뻯㭕ǦЈ糐㝁蜐̾蛀̾䰶磒ǝЈ穌㝁ﭐ̽蛨̾018 ǘЌ⃸̾첸̾ǚЈѸムθ̾즔߶蝨̾ ǑЌヺьムヺθ̾䰄ベ螰̾ ǈЈ螌̾퀰̾준̸ǇЈѸムθ̾蠄̾쿠̾ǂЈsus飽6ĿЈѸムθ̾&#10;쥬߶̽ĺЈ☴ߵ畘̾虈̾ıЈѸムθ̾쥔߶鲰̽ĬЈ忈β됀͈Ԡ́ကīЈļ́굸ࡖ΅ĦЈ(@ÿ￣￁ﾀ缀㼈ᾀྀྀ܀̀℀　砀粀￁ėЈ(@ÿ￣￁ﾀ缀㼈ᾀྀྀ܀̀℀　砀粀￁ĄЈ(@ÿ￣￁ﾀ缀㼈ᾀྀྀ܀̀℀　砀粀￁&#10;ŵЈ嗨ࢲ牴扡㈭䰮䭎,뻯trab-2.LNK&#10;ůА/ūЈC:\WINDOWS\system32&quot;šЌힰ㜿Ȣϲ&quot;ŃЈC:\WINDOWS\system32ƹЌ䌨̈́̽VƻЌၐ儊vo䀀䀀䀀䀀osoft Office\OFFICE11;C:\WINDOWS\system32;C:\WINDOWS\system;C:\WINDOWS;.;C:\Archivos de programa\Microsoft Office\OFFICE11\;C:\WINDOWS\system32;C:\WINDOWS;C:\WINDOWS\System32\Wbem;C:\WINDOWS\system32\WindowsPowerShell\v1.0;C:\Archivos de programa\Skype\Phone\;C:\ArchiࣜܡƻÜWͪᑷʼ`` ￼ ᜀ翽＞‟head\Lù\VǡЌÊÌ軸̾˼C:\WINDOWS\WinSxS\x86_Microsoft.Windows.Common-Controls_6595b64144ccf1df_6.0.2600.6028_x-ww_61e65202\LǄЈᚘࢳLŸЈC:\Archivos de programaűЌC:\Documents and Settings\All Users\Datos de programaŦЎC:\Documents and Settings\Jose Antonio\Escritorio\GINDOC\2018 ENERO\trab-2\1713773S.docxL&#10;ŎЌ噸ሴሴꯍï⌁杅ꮉ崄誈ᳫᇉါ恈io3&#10;ŀЈ∥ఐH∴ఐɘ藴ӌ行ӌ衸ӌ袤ӌᅀ00H哠∴໰̀ƨ¨ᅀɌ0㺀̈́∴နƘ觸ӌ讐ӌ认ӌ许ӌÀᅀ͸L0咈J3ƍЏ賠ߠ俠⃐㫪ၩ〫鴰䌯尺樀㄀က䐀捯浵湥獴愠摮匠瑥楴杮s䐀̀Ѐ¾᐀䐀漀挀甀洀攀渀琀猀 愀渀搀 匀攀琀琀椀渀最猀☀䰀㄀က䨀獯⁥湁潴楮o　̀Ѐ¾᐀䨀漀猀攀 䄀渀琀漀渀椀漀ᰀ娀㄀က䐀瑡獯搠⁥牰杯慲慭㨀̀Ѐ¾᐀䐀愀琀漀猀 搀攀 瀀爀漀最爀愀洀愀 䈀㄀က䴀捩潲潳瑦⨀̀Ѐ¾᐀䴀椀挀爀漀猀漀昀琀᠀㨀㄀က伀晦捩e␀̀Ѐ¾᐀伀昀昀椀挀攀ᘀ䀀㄀က刀捥敩瑮e⠀̀Ѐ¾᐀刀攀挀椀攀渀琀攀᠀䘀㈀琀慲ⵢ⸲乌KⰀ̀Ѐ¾᐀琀爀愀戀ⴀ㈀⸀䰀一䬀ᨀ&#10;蹈߼LJǇЈ⌸睋⌈睋$怰̶װ̸᥀睋༠༠颌̾≼睋&#10;愠̶櫠̶ㆰߞװ̸᥀睋ཐ༠⌸睋⌈睋$怰̶쀈ࡔ᥀睋༠༠饀̾≼睋憘̶殀̶۰ߵ쀈ࡔ᥀睋ྌ༠餄̾≼睋$怰̶껐ࡖ᥀睋༠༠頔̾≼睋&#10;憘̶毐̶ㆰߞ껐ࡖ᥀睋ྌ༠饼̾≼睋$怰̶Š́᥀睋༠༠馸̾鉸̷錐̷鏀̷鑰̷锠̷闐̷隀̷靀̷韰̷颰̷饠̷騠̷髐̷駴̾鳰̷鶠̷鹐̷鼐̷鿀̷ꁰ̷ꄰ̷ꇠ̷ꊐ̷ꍐ̷ꐐ̷꓀̷ꕰ̷Ꞑ̷ꡀ̷꤀̷̷꧀ꩰ̷ꬠ̷ꯠ̷겐̷굀̷귰̷꺠̷꽐̷뀈̷$LŻЉ̽俠⃐㫪ၩ〫鴰䌯尺尀㄀글ⴸၿ䐀䍏䵕繅1䐀̀Ѐ꺾萸㚵ᒌ䐀漀挀甀洀攀渀琀猀 愀渀搀 匀攀琀琀椀渀最猀᠀䠀㄀☀䑌ၛ䨀协䅅繎1　̀Ѐ꺾ⴸ㙿ᒌ䨀漀猀攀 䄀渀琀漀渀椀漀᠀䐀㄀㘀鱌ႌ䔀䍓䥒織1Ⰰ̀Ѐ꺾ⴸ㙿鱌ᒌ䔀猀挀爀椀琀漀爀椀漀᠀,$ŗЏ俠⃐㫪ၩ〫鴰䌯尺尀㄀글ⴸၿ䐀䍏䵕繅1䐀̀Ѐ꺾萸㚵ᒌ䐀漀挀甀洀攀渀琀猀 愀渀搀 匀攀琀琀椀渀最猀᠀䠀㄀☀䑌ၛ䨀协䅅繎1　̀Ѐ꺾ⴸ㙿ᒌ䨀漀猀攀 䄀渀琀漀渀椀漀᠀䐀㄀㘀鱌ႌ䔀䍓䥒織1Ⰰ̀Ѐ꺾ⴸ㙿鱌ᒌ䔀猀挀爀椀琀漀爀椀漀᠀㨀㄀⼀❌ၔ䜀义佄C␀̀Ѐ喾뀻㙑靌ᒌ䜀䤀一䐀伀䌀ᘀⴀ,ƫЈ㇨ಌ쾀಍ಌ쑸಍묠ಧ鰠ಥಉಌಌಌಌಌಌಌ믰ಧ번ಧ뵈ಧ뷠ಧ빸ಧ뼸ಧ뿐ಧ쁸಍세಍쇨಍슘಍썈಍ƛЈ睋睋睋鴸̾¶嫰ಆⲀߠ܀̸X;噸ሴhc:pm睋鴸̾姠ಆƋЈ&quot;interdependientes1ƀЈ(符褨ߠǽЌ껀ࡖ͈9ǿЈ鸼̾鹪̾麈̾黶̾齨̾HP DeskJet 3630 seriesWindows NT x86C:\WINDOWS\System32\spool\DRIVERS\W32X86\3\mxdwdrv.dllC:\WINDOWS\System32\spool\DRIVERS\W32X86\3\hpdj_3630.gpdC:\WINDOWS\System32\spool\DRIVERS\W32X86\3\UniDrvUI.dll9ǆЈ¾*\CC:\Documents and Settings\Jose Antonio\Escritorio\GINDOC\2018 ENERO\trab-2\18-00097-trad.docīЈ鹿ࡔ濘繪Ϩꂼ̾熠繪焤繪焐繪烰繪煘繪焴繪烔繪烀繪걜繬걌繬갸繬ﾜကČЈѸムθ̾&lt;ㆄ̷㗠̷ċЈ:ĄЈGĆЈ䶐߭帐߭庨߭彀߭忘߭恸߭愸߭懸߭抐߭挨߭揨߭撨߭敘߭昈߭曈߭杸߭栨߭棨߭榘߭橘߭欈߭毈߭汸߭洸߭淨߭溘߭潈߭濸߭炸߭煨߭爘߭狈߭獸߭琨߭瓘߭疘߭癈߭相߭瞸߭硸߭礨߭秨߭窘߭筈߭簈߭粸߭絸߭縨߭绘߭罰߭耠߭胠߭膐߭艀߭苰߭莠߭葐߭蔐߭藀߭蚀߭蜰߭蟠߭袐߭襐߭訐߭諐߭讀߭谰߭賰߭趠߭蹐߭輀߭辰߭遰߭鄠߭釐߭銀߭錰߭鏰߭钠߭镐߭阀߭隰߭靰߭頰߭飠߭馐߭驐߭鬀߭鮰߭鱠߭鴐߭鷀߭鹰߭鼠߭鿐߭ꂐ߭ꅀ߭ꈀ߭ꋀ߭ꍰ߭ꐠ߭ꓠ߭ꖐ߭Ꙁ߭꛰߭Ʞ߭ꡰ߭ꤠ߭꧐߭ꪀ߭ꭀ߭꯰߭겠߭굠߭긠߭껐߭꾐߭끈߭냸߭놨߭뉘߭댘߭돈߭둸߭딨߭뗘߭뚈߭띈߭럸߭뢨߭류߭먘߭뫈߭뭸߭밨߭+GƿЈP殨ࢴ澐ࢴ贈ࢶ垘ࢲ呀̷ﾨ̽h̾ᬈࢳᮠࢳﶀࡔ︘ࡔﺰࡔ褰ࢶ览ࢶ詠ࢶ諸ࢶ讨ࢶ豘ࢶ蹸ࢶ輨ࢶ还ࢶ邈ࢶ鄸ࢶ釨ࢶ銘ࢶ鍘ࢶ鐈ࢶ钸ࢶ镸ࢶ阨ࢶ雘ࢶ鞈ࢶ顈ࢶ餈ࢶ馸ࢶ驨ࢶ鬨ࢶ鯘ࢶ鲘ࢶ鵈ࢶ鷸ࢶ麨ࢶ齀ࢶ爘ࢴ狈ࢴ獸ࢴ琸ࢴ瓨ࢴ疘ࢴ癈ࢴ相ࢴ瞨ࢴ硘ࢴ礈ࢴ禸ࢴ穨ࢴ笘ࢴ篈ࢴ籸ࢴ紨ࢴ緘ࢴ纈ࢴ缸ࢴ翸ࢴ肨ࢴ腨ࢴ舘ࢴ苈ࢴ荸ࢴ萨ࢴ蓘ࢴ薘ࢴ虈ࢴ蛸ࢴ螨ࢴ表ࢴ褘ࢴ览ࢴ詸ࢴ'+ƐЋ俠⃐㫪ၩ〫鴰䌯尺尀㄀글ⴸၿ䐀䍏䵕繅1䐀̀Ѐ꺾萸㚵칌ᒄ䐀漀挀甀洀攀渀琀猀 愀渀搀 匀攀琀琀椀渀最猀᠀䠀㄀☀䑌ၛ䨀协䅅繎1　̀Ѐ꺾ⴸ㙿칌ᒄ䨀漀猀攀 䄀渀琀漀渀椀漀᠀娀㄀글霸ᆵ䴀久义繉1䈀̀Ѐ꺾ⴸ㙿칌ᒄⰀ䴀攀渀切 䤀渀椀挀椀漀䀀桳汥㍬⸲汤ⱬ㈭㜱㘸᠀一啠'ǩЈ( Ѐÿÿÿ퇓ç᨟s쿒éÿÿÿÿÿÿÿÿÿÿÿÿ쟇àนଣ»ԕ쓅äÿÿÿÿÿÿÿÿÿÿ싂Üᬞလ·ᨩÒజÊต 벼Ýÿÿÿÿÿÿÿÿ节³ᴢఒ²㠳Ã趍ä䙀Îఐ´᜘뮻Úÿÿÿÿÿÿÿ蒅´⨴〺¯뒬æÿ솸ë䥇Á؉¦☪쓅ßÿÿÿÿÿÿÿ隟¿뒹ÛÙ낲­랹µ뺼ã䕇¿¡ㄾ 퓓æÿÿÿÿÿ﻾þè恩Uᴶᴻ♊䝗)閏·㭍È坘¢óÿÿÿÿö䵏=ᴹ⨭䬫-䡅(㍪潨&lt;频¿㵈»ਏ銉Ãùÿÿÿꊛ㬩 ᜶䀮&quot;琱N贽]佶型깣}릾ç䵕Àఎt龛Àýÿÿ潜d䈦(ᴿ䥅'鸹j멅窌=熨:욍벴ºꦮÙ༝x㈽뮼Ý粒þÿ煚a夭9⽏㽧蝦Iꪁu醳d鞼m³릱µÿ꺶Ù余䑉떶Üö赿笸Q䑞 䡽璘9躻c꫈엀¨É틑Ñÿÿ틗ò䑅ᘓa螅©Û輾b摪.喐솃튢²Ãß뚡ª﻾þÿÿÿ컋æ瑭¥䵏ÿ벲·筬B暨%몓ÅØ솨²æÿÿÿÿﯻý폏ï꺰ËÿÿÝ馨삳¤킭½릲µøÿÿÿÿÿÿÿÿÿÿÿÿÿÿÿÿÿÿÿÿÿÿÿÿŧЈ(@ÿ￣￁ﾀ缀㼈ᾀྀྀ܀̀℀　砀粀￁ŔЈ(@ÿ￣￁ﾀ缀㼈ᾀྀྀ܀̀℀　砀粀￁ŅЈ䱓ၓ鑓㰂ŃЌ炼眏͈̈́ӌ秠ӌ嶀ƾЈ⛐̴̽̾ƵА縬㝅텰̾ƱЈ2C:\ARCHIV~1\ARCHIV~1\MICROS~1\SMARTT~1\FPERSON.DLLƧЌC:\Documents and Settings\Jose Antonio\Mis documentosƔЈ“痟궀̾蚘̾ƓЈ‴痟있̾굘̾ƎЌ罐ߴ谨̾ƈЈ휐̽ ㇨ಌ쾀಍ಌ쑸಍묠ಧ鰠ಥಉಌಌಌಌಌಌಌ믰ಧ번ಧ뵈ಧ뷠ಧ빸ಧ뼸ಧ뿐ಧ쁸಍세಍쇨಍슘಍썈಍쐈಍윀಍잰಍졠಍줠಍짐಍ǵЈC:\Documents and Settings\All Users\Documentos\Mis imágenesǥЈ&gt;C:\WINDOWS\system32\Stdole2.tlbioǞЈ&gt;C:\WINDOWS\system32\Stdole2.tlboǓЌ̰༔Ѥ³҄҈߰'ĹЌ폸睌睌Ȅ̄\S༔༠뚋ˍ뀨̾᥀睋Ɉ́(Ɉ́じ߹脌̶胴̶Θ́Ġ退ĴÀ䘀0顎ㅖ絞䅼몞〉ﯩ壐༔㿀̴䑈ﱀࡔD十䍙sɈ́睏瓀̷疀̷瘰̷秀̷篠̷''ĖЋ借俠⃐㫪ၩ〫鴰䌯尺尀㄀글ⴸၿ䐀䍏䵕繅1䐀̀Ѐ꺾萸㚵칌ᒄ䐀漀挀甀洀攀渀琀猀 愀渀搀 匀攀琀琀椀渀最猀᠀䠀㄀☀䑌ၛ䨀协䅅繎1　̀Ѐ꺾ⴸ㙿칌ᒄ䨀漀猀攀 䄀渀琀漀渀椀漀᠀娀㄀글霸ᆵ䴀久义繉1䈀̀Ѐ꺾ⴸ㙿칌ᒄⰀ䴀攀渀切 䤀渀椀挀椀漀䀀桳汥㍬⸲汤ⱬ㈭㜱㘸᠀&#10;'ůЊC:\Documents and Settings\All Users\Documentos&#10;ŢЍ借俠⃐㫪ၩ〫鴰䌯尺㰀㄀㌀筌၅圀义佄南☀̀Ѐ꺾툸㚼칌ᒄ圀䤀一䐀伀圀匀ᘀœЈdC:\ARCHIV~1\ARCHIV~1\MICROS~1\SMARTT~1\FPERSON.DLL돜̾ŀЈdC:\ARCHIV~1\ARCHIV~1\MICROS~1\SMARTT~1\FPERSON.DLLƱЈMetConv.CMetActionƯЈfAcciones y reconocedores de etiquetas inteligentes especificados en archivos de descripción de listas.ƐЌC:\Documents and Settings\All Users\Documentos\Mis vídeosƀЈ$VerbCaptionFromID2ǹЈQueryInterfacèǶЈ剄ߡ辰ߞ덐ߴǭЈѸムθ̾=䐴̴螰ߞǨЈMRT&amp;ǥЉ借俠⃐㫪ၩ〫鴰䌯尺尀㄀글ⴸၿ䐀䍏䵕繅1䐀̀Ѐ꺾萸㚵칌ᒄ䐀漀挀甀洀攀渀琀猀 愀渀搀 匀攀琀琀椀渀最猀᠀䈀㄀글鬸ၾ䄀䱌单繅1⨀̀Ѐ꺾萸㚵칌ᒄ䄀氀氀 唀猀攀爀猀᠀娀㄀ꔀ㉊ᅟ䴀久义繉1䈀̀Ѐ꺾霸㚵칌ᒄⰀ䴀攀渀切 䤀渀椀挀椀漀䀀桳汥㍬⸲汤ⱬ㈭㜱㘸᠀&#10;&amp;ǃЎAcciones de nombres de personasf뻯&#10;ĵЈ࿿.dotĳЈ睋睋睋롸̾ê㒰ߞグ͇샘͈rB噸ሴȀ愀繭睋롸̾၀͋ģЈ㲀ݥᄸ͋릈͈(ĞЍ借俠⃐㫪ၩ〫鴰䌯尺尀㄀글ⴸၿ䐀䍏䵕繅1䐀̀Ѐ꺾萸㚵칌ᒄ䐀漀挀甀洀攀渀琀猀 愀渀搀 匀攀琀琀椀渀最猀᠀䈀㄀글鬸ၾ䄀䱌单繅1⨀̀Ѐ꺾萸㚵칌ᒄ䄀氀氀 唀猀攀爀猀᠀昀㄀縀敋ፄ䐀呁协繄1一̀Ѐ꺾踸㚵칌ᒄ㠀䐀愀琀漀猀 搀攀 瀀爀漀最爀愀洀愀䀀桳汥㍬⸲汤ⱬ㈭㜱㔶᠀(ŶЍ借俠⃐㫪ၩ〫鴰䌯尺㰀㄀㌀筌၅圀义佄南☀̀Ѐ꺾툸㚼칌ᒄ圀䤀一䐀伀圀匀ᘀ䀀㄀㄀Ꝍၥ猀獹整㍭2⠀̀Ѐ꺾툸㚼칌ᒄ猀礀猀琀攀洀㌀㈀᠀şЍ借俠⃐㫪ၩ〫鴰䌯尺㰀㄀㌀筌၅圀义佄南☀̀Ѐ꺾툸㚼칌ᒄ圀䤀一䐀伀圀匀ᘀ䀀㄀㄀Ꝍၥ猀獹整㍭2⠀̀Ѐ꺾툸㚼칌ᒄ猀礀猀琀攀洀㌀㈀᠀ ńЌヺьムヺθ̾䰄ベ반̾爸ߵ ƿЈ믴̾彐߼嗈߼ƺАel纘ߵdƶЈÂ殨ࢴ澐ࢴ贈ࢶ垘ࢲ呀̷ﾨ̽h̾ᬈࢳᮠࢳﶀࡔ︘ࡔﺰࡔ褰ࢶ览ࢶ詠ࢶ諸ࢶ讨ࢶ豘ࢶ蹸ࢶ輨ࢶ还ࢶ邈ࢶ鄸ࢶ釨ࢶ銘ࢶ鍘ࢶ鐈ࢶ钸ࢶ镸ࢶ阨ࢶ雘ࢶ鞈ࢶ顈ࢶ餈ࢶ馸ࢶ驨ࢶ鬨ࢶ鯘ࢶ鲘ࢶ鵈ࢶ鷸ࢶ麨ࢶ齀ࢶ爘ࢴ狈ࢴ獸ࢴ琸ࢴ瓨ࢴ疘ࢴ癈ࢴ相ࢴ瞨ࢴ硘ࢴ礈ࢴ禸ࢴ穨ࢴ笘ࢴ篈ࢴ籸ࢴ紨ࢴ緘ࢴ纈ࢴ缸ࢴ翸ࢴ肨ࢴ腨ࢴ舘ࢴ苈ࢴ荸ࢴ萨ࢴ蓘ࢴ薘ࢴ虈ࢴ蛸ࢴ螨ࢴ表ࢴ褘ࢴ览ࢴ詸ࢴ謨ࢴ诨ࢴ貘ࢴ赈ࢴ踈ࢴ躸ࢴ轨ࢴ逘ࢴ郈ࢴ醈ࢴ鉈ࢴ鋸ࢴ鎸ࢴ鑨ࢴ锨ࢴ闘ࢴ隘ࢴ靈ࢴ韸ࢴ風ࢴ饨ࢴ騘ࢴ髈ࢴ鮈ࢴ鱈ࢴ鳸ࢴ鶨ࢴ鹘ࢴ鼘ࢴ鿘ࢴꂈࢴꅈࢴꇸࢴꊨࢴꍘࢴꐈࢴ꓈ࢴꕸࢴ꘨ࢴꛨࢴꞘࢴꡘࢴ꤈ࢴꦸࢴꩨࢴ꬀ࢴꮘࢴ걈ࢴ곸ࢴ궨ࢴ깘ࢴ꼈ࢴ꿈ࢴ끸ࢴ넸ࢴ뇨ࢴ늨ࢴ던ࢴ됈ࢴ듈ࢴ땸ࢴ똨ࢴ뛘ࢴ래ࢴ롈ࢴ룸ࢴ릸ࢴ멨ࢴ묘ࢴ믘ࢴ벘ࢴ뵈ࢴ뷸ࢴ뺸ࢴ뽨ࢴ쀘ࢴ새ࢴ솈ࢴ숸ࢴ싸ࢴ쎨ࢴ쑘ࢴ씈ࢴ언ࢴ외ࢴ윸ࢴ쟨ࢴ좘ࢴ쥈ࢴ째ࢴ쪨ࢴ쭘ࢴ찈ࢴ첸ࢴ쵸ࢴ츸ࢴ컨ࢴ쾘ࢴ큘ࢴ턈ࢴ톸ࢴ퉸ࢴ팸ࢴ폨ࢴ풨ࢴ하ࢴ혈ࢴ횠ࢴ흐ࢴࢴࢴࢴࢴࢴedǒЈ뾈̾䰸̸뾐̾뾘̾뾠̾뾨̾뾰̾뾸̾뿀̾뿈̾뿐̾뿘̾뿠̾뿨̾뿰̾뿸̾쀀̾쀈̾쀐̾쀘̾쀠̾쀨̾쀰̾쀸̾쁀̾쁈̾쁐̾쁘̾쁠̾쁨̾쁰̾쁸̾삀̾삈̾삐̾삘̾삠̾삨̾산̾삸̾샀̾새̾샐̾샘̾샠̾샨̾샰̾샸̾섀̾섈̾섐̾섘̾선̾섨̾섰̾세̾셀̾셈̾셐̾션̾셠̾셨̾셰̾셸̾솀̾솈̾손̾솘̾솠̾솨̾솰̾솸̾쇀̾쇈̾쇐̾쇘̾쇠̾쇨̾쇰̾쇸̾숀̾숈̾숐̾수̾술̾숨̾숰̾숸̾쉀̾쉈̾쉐̾쉘̾쉠̾쉨̾쉰̾쉸̾슀̾슈̾슐̾슘̾*eũЍ俠⃐㫪ၩ〫鴰䌯尺尀㄀글ⴸၿ䐀䍏䵕繅1䐀̀Ѐ꺾萸㚵칌ᒄ䐀漀挀甀洀攀渀琀猀 愀渀搀 匀攀琀琀椀渀最猀᠀䠀㄀☀䑌ၛ䨀协䅅繎1　̀Ѐ꺾ⴸ㙿칌ᒄ䨀漀猀攀 䄀渀琀漀渀椀漀᠀瀀㄀☀䍌ᅜ䴀卉佄繃1㐀̀Ѐ꺾ⴸ㙿칌ᒄ䴀椀猀 搀漀挀甀洀攀渀琀漀猀᠀␀Ԁ؀䪾漀猀攀 䄀渀琀漀渀椀漀᠀**ŃЍ借俠⃐㫪ၩ〫鴰䌯尺尀㄀글ⴸၿ䐀䍏䵕繅1䐀̀Ѐ꺾萸㚵칌ᒄ䐀漀挀甀洀攀渀琀猀 愀渀搀 匀攀琀琀椀渀最猀᠀䠀㄀☀䑌ၛ䨀协䅅繎1　̀Ѐ꺾ⴸ㙿칌ᒄ䨀漀猀攀 䄀渀琀漀渀椀漀᠀瀀㄀☀䍌ᅜ䴀卉佄繃1㐀̀Ѐ꺾ⴸ㙿칌ᒄ䴀椀猀 搀漀挀甀洀攀渀琀漀猀᠀␀Ԁ؀䪾漀猀攀 䄀渀琀漀渀椀漀᠀**ƕЊꬸ̳egistry\Machine\Software\Classes\Drive\shellex\FolderExtensionsio:1䰯吧䥇䑎䍏$뻯㭕冰䰶貗GINDOCD1䰶磒〲㠱久ㅾ,뻯䰯吤䰶賨2018 ENERO:1䰶逰牴扡㈭$뻯䰳牏䰶逰trab-2߼*ǯЈҨ粂웸̾춠̾ǒЈ⁌痟쯠̾궀̾욘̾ǉЈ↔睋ⅰ睋槰̶잨̾本̶ﾰ粑Ǡ粒䊠6ῠ͋Ǵﰔ̸Ὲ͋Ὲ͋⅘睋잨̾⅄睋잨̾ℴ睋ℤ睋뼼睋뼬睋졌̾ӜҞ㸖췬篑ペꈩ酻꣒༠2ĬЈ⤰ߟ^쀠߸侰߸몘߸ಘ뾠߸䚘߸傰ಐ㮸ಎ㱐ಎ㳨ಎಘಘಘಘಘಘಘಘ묈߸뮠߸밸߸볨߸붘߸빘߸뼈߸뒠ಖ땐ಖ똀ಖ뛀ಖ띰ಖ렰ಖ쁈߸샸߸솨߸쉘߸쌈߸쏈߸쑸߸씸߸엨߸욨߸읨߸젘߸죘߸즘߸쩈߸쫸߸쮨߸챨߸촘߸췈߸캈߸콈߸쿸߸킸߸텨߸툨߸틘߸페߸푈߸퓸߸햸߸홨߸휘߸퟈߸߸߸߸߸߸߸߸߸߸߸߸恨߼愘߼懈߼抈߼挸߼揨߼撘߼效߼旸߼暨߼杨߼栘߼棘߼榈߼橈߼櫸߼殨߼汨߼72žЈh쀠߸侰߸몘߸ಘ뾠߸䚘߸傰ಐ㮸ಎ㱐ಎ㳨ಎಘಘಘಘಘಘಘಘ묈߸뮠߸밸߸볨߸붘߸빘߸뼈߸뒠ಖ땐ಖ똀ಖ뛀ಖ띰ಖ렰ಖ쁈߸샸߸솨߸쉘߸쌈߸쏈߸쑸߸씸߸엨߸욨߸읨߸젘߸죘߸즘߸쩈߸쫸߸쮨߸챨߸촘߸췈߸캈߸콈߸쿸߸킸߸텨߸툨߸틘߸페߸푈߸퓸߸햸߸홨߸휘߸퟈߸߸߸߸߸߸߸߸߸߸߸߸恨߼愘߼懈߼抈߼挸߼揨߼撘߼效߼旸߼暨߼杨߼栘߼棘߼榈߼橈߼櫸߼殨߼汨߼洘߼淈߼溈߼漸߼濨߼炨߼煘߼爘߼狈߼獸߼7ŇЈ혌̾朠̾있̾łЎ䠟辺䔍괥ᇐꢘᬶ̑l1䠴嵜䥍䥓䝍ㅾ0뻯㢮缯䰶蓎Mis imágenes$'뻯Jose AntonioƬЈᎀ狺텐̾̾ƫЌᚄ́aƥЈ辐繪. ᩴ幙䣓枍㌗먨ᩇ夃㽲䒧얉镕毾ƢЉ借俠⃐㫪ၩ〫鴰䌯尺堀㄀鼀之ᅳ䄀䍒䥈繖1䀀̀Ѐ꺾ꌸ㚵칌ᒄ䄀爀挀栀椀瘀漀猀 搀攀 瀀爀漀最爀愀洀愀᠀ƌЌ礀̾aƎЌÊÌ춰̾̌C:\WINDOWS\WinSxS\x86_Microsoft.Windows.Common-Controls_6595b64144ccf1df_6.0.2600.6028_x-ww_61e65202\ǭЎC:\Documents and Settings\All Users\Documentos\Mi música32ǝЈѸムθ̾*즼߶뉈ߴǘЌ借俠⃐㫪ၩ〫鴰2.ᩴ幙䣓枍㌗먨ᩇ夃㽲䒧얉镕毾\1㢮纂䥍䥓䝍ㅾD뻯㢮繭䰶蓛.Mis imágenes獀敨汬㈳搮汬⴬㠲㤹7 ǆЌヺьムヺθ̾䰄ベ퀨̾ ĹЈ퀄̾킀̾螸̾ĴЈѸムθ̾&#10;넜ߴ냐ߴĳЈ냴ߴ놸ߴ퀰̾ĮЈ(蝀̾餜6īЎC:\Archivos de programa\Microsoft Office\Office12\Wordcnvpxy.cnvROĕЈ憊璘̾처̾ĐД䆨́煐̾&amp;ČЉ̾俠⃐㫪ၩ〫鴰䌯尺尀㄀글ⴸၿ䐀䍏䵕繅1䐀̀Ѐ꺾萸㚵칌ᒄ䐀漀挀甀洀攀渀琀猀 愀渀搀 匀攀琀琀椀渀最猀᠀䈀㄀글鬸ၾ䄀䱌单繅1⨀̀Ѐ꺾萸㚵칌ᒄ䄀氀氀 唀猀攀爀猀᠀娀㄀ꔀ㉊ᅟ䴀久义繉1䈀̀Ѐ꺾霸㚵칌ᒄⰀ䴀攀渀切 䤀渀椀挀椀漀䀀桳汥㍬⸲汤ⱬ㈭㜱㘸᠀ఀ&amp;&amp;ŪЋ借俠⃐㫪ၩ〫鴰䌯尺尀㄀글ⴸၿ䐀䍏䵕繅1䐀̀Ѐ꺾萸㚵칌ᒄ䐀漀挀甀洀攀渀琀猀 愀渀搀 匀攀琀琀椀渀最猀᠀䈀㄀글鬸ၾ䄀䱌单繅1⨀̀Ѐ꺾萸㚵칌ᒄ䄀氀氀 唀猀攀爀猀᠀堀㄀글ᄸᆌ䐀䍏䵕繅1䀀̀Ѐ꺾霸㚵칌ᒄ⨀䐀漀挀甀洀攀渀琀漀猀䀀桳汥㍬⸲汤ⱬ㈭㜱㔸᠀&amp;&amp;ŀЈ耬知췯覫䀀爠̾퐐̾߯퐬̾푈̾푘̾Ѩ牰̾&#10;ᯨ͋꺾퓬̾㍬⸲㣋袙ﰧ&#10;&amp;ƞЎ\RPC Control\OLE4468D9E0C0074A538593CA159616&#10;ƍЈѸムθ̾ȵ헜̾뮘߬ƈЈ뮼߬뱘߬뭠߬ƇЈ;ƀЈ辴繪轸繪輨繪ᐌ繱쳈̾⊘̾쯘̾AźЈ䂰̈́wMdit20Wrock瑮呟灹獥⹝浸⁬Ң⠂ AƵЈ:urn:schemas-microsoft-com:office:smarttags#metricconverterƥЈspoolssƦЈ͈鿸͆̾뒈͂ƝЈ(@ÿ￣￁ﾀ缀㼈ᾀྀྀ܀̀℀　砀粀￁ƒЎ豨ߟkeKey1e2͈ ƎЈ GetTypeInfoCountOc&quot; ⎁А㜿㜿ୌá&quot;ǣЈ簰㝁̾̽ǞЈ窰㝁̾̾ǕЈ馠̾̾ǐЈ馼갨̾̾ǏЌᚄ́a&amp;ǉЉ뜘ࢲ俠⃐㫪ၩ〫鴰䌯尺尀㄀글ⴸၿ䐀䍏䵕繅1䐀̀Ѐ꺾萸㚵칌ᒄ䐀漀挀甀洀攀渀琀猀 愀渀搀 匀攀琀琀椀渀最猀᠀䈀㄀글鬸ၾ䄀䱌单繅1⨀̀Ѐ꺾萸㚵칌ᒄ䄀氀氀 唀猀攀爀猀᠀娀㄀ꔀ㉊ᅟ䴀久义繉1䈀̀Ѐ꺾霸㚵칌ᒄⰀ䴀攀渀切 䤀渀椀挀椀漀䀀桳汥㍬⸲汤ⱬ㈭㜱㘸᠀ఀ&amp;ħЈ借俠⃐㫪ၩ〫鴰2.ᩴ幙䣓枍㌗먨ᩇ夃㽲䒧얉镕毾X1㢮谑䥍噓䕄ㅾ@뻯㢮谑䰶蓛*Mis vídeos獀敨汬㈳搮汬⴬㠲㤹6ĒА፠狺처̾甐̾&#10;ĈЈ芈ߞȐ&#10;ſЌ덠㜿燈㝁㜿㜿鈠炼㝁"/>
        </w:smartTagPr>
        <w:r w:rsidRPr="007F31E6">
          <w:t>la Comisión Nacional</w:t>
        </w:r>
      </w:smartTag>
      <w:r w:rsidRPr="007F31E6">
        <w:t xml:space="preserve"> de Derechos Humanos en relación con la prevención de la tortura y los malos tratos y que las autoridades hayan aplicado durante el período transcurrido desde 2013.</w:t>
      </w:r>
    </w:p>
    <w:p w:rsidR="007F31E6" w:rsidRPr="007F31E6" w:rsidRDefault="007F31E6" w:rsidP="007F31E6">
      <w:pPr>
        <w:pStyle w:val="SingleTxtG"/>
      </w:pPr>
      <w:r w:rsidRPr="007F31E6">
        <w:t>6.</w:t>
      </w:r>
      <w:r w:rsidRPr="007F31E6">
        <w:tab/>
        <w:t>Describan las medidas adoptadas para garantizar que los defensores de los derechos humanos reciban una protección efectiva contra la intimidación, las amenazas y la detención arbitraria. Proporcionen datos estadísticos, correspondientes al período transcurrido a partir de 2013, sobre el número de denuncias de intimidación, hostigamiento o detención arbitraria presentadas por miembros de la sociedad civil y sobre el resultado de las investigaciones abiertas en relación con dichas denuncias, así como sobre las condenas dictadas y las penas impuestas en los casos que probablemente estén relacionados con sus actividades o con el hecho de haber denunciado violaciones de los derechos humanos.</w:t>
      </w:r>
    </w:p>
    <w:p w:rsidR="007F31E6" w:rsidRPr="007F31E6" w:rsidRDefault="007F31E6" w:rsidP="007F31E6">
      <w:pPr>
        <w:pStyle w:val="SingleTxtG"/>
      </w:pPr>
      <w:r w:rsidRPr="007F31E6">
        <w:t>7.</w:t>
      </w:r>
      <w:r w:rsidRPr="007F31E6">
        <w:tab/>
        <w:t>En relación con las anteriores observaciones finales del Comité (párr. 23) y la información proporcionada por el Estado parte</w:t>
      </w:r>
      <w:r w:rsidRPr="007F31E6">
        <w:rPr>
          <w:rStyle w:val="Refdenotaalpie"/>
        </w:rPr>
        <w:footnoteReference w:id="15"/>
      </w:r>
      <w:r w:rsidRPr="007F31E6">
        <w:t>, faciliten más datos sobre las medidas adoptadas para luchar contra la violencia por razón de género. Proporcionen, en particular, datos estadísticos anuales del período transcurrido a partir de 2013, desglosados por tipo de delito, sobre el número de denuncias presentadas y registradas por la policía, el número de denuncias de violencia por razón de género que han sido objeto de investigación y, de estas, el número de las que han dado lugar a procesamientos y condenas, y sobre las penas impuestas en cada caso</w:t>
      </w:r>
      <w:r w:rsidRPr="007F31E6">
        <w:rPr>
          <w:rStyle w:val="Refdenotaalpie"/>
        </w:rPr>
        <w:footnoteReference w:id="16"/>
      </w:r>
      <w:r w:rsidRPr="007F31E6">
        <w:t>.</w:t>
      </w:r>
    </w:p>
    <w:p w:rsidR="007F31E6" w:rsidRPr="007F31E6" w:rsidRDefault="007F31E6" w:rsidP="007F31E6">
      <w:pPr>
        <w:pStyle w:val="SingleTxtG"/>
      </w:pPr>
      <w:r w:rsidRPr="007F31E6">
        <w:t>8.</w:t>
      </w:r>
      <w:r w:rsidRPr="007F31E6">
        <w:tab/>
        <w:t xml:space="preserve">Teniendo en cuenta las anteriores observaciones finales del Comité (párr. 21) y la aprobación de </w:t>
      </w:r>
      <w:smartTag w:uri="urn:schemas-microsoft-com:office:smarttags" w:element="PersonName">
        <w:smartTagPr>
          <w:attr w:name="ProductID" w:val="la Ley"/>
        </w:smartTagPr>
        <w:r w:rsidRPr="007F31E6">
          <w:t>la Ley</w:t>
        </w:r>
      </w:smartTag>
      <w:r w:rsidRPr="007F31E6">
        <w:t xml:space="preserve"> núm. 2015-031, sobre la esclavitud, comenten las informaciones según las cuales un número elevado de agentes de la cadena judicial no emprenden investigaciones cuando se les denuncian casos de esclavitud. Dado que en la nueva ley sobre la esclavitud se penaliza a quienes no den seguimiento a una denuncia, indiquen el número de procesamientos por incumplimiento de esa obligación que ha habido a partir de la aprobación de la ley. A este respecto, proporcionen información actualizada, desglosada por edad, sexo y origen étnico de las víctimas, sobre el número de denuncias, investigaciones, procesamientos, condenas y penas impuestas en los casos de esclavitud, en el tiempo transcurrido desde el examen del informe anterior del Estado parte. Asimismo, indiquen, para cada año posterior a 2013, el número de investigaciones realizadas sobre esos casos que han dado lugar, de oficio, a procesamientos, y el número de víctimas que han obtenido reparación.</w:t>
      </w:r>
    </w:p>
    <w:p w:rsidR="007F31E6" w:rsidRPr="007F31E6" w:rsidRDefault="007F31E6" w:rsidP="007F31E6">
      <w:pPr>
        <w:pStyle w:val="H23G"/>
      </w:pPr>
      <w:r w:rsidRPr="007F31E6">
        <w:tab/>
      </w:r>
      <w:r w:rsidRPr="007F31E6">
        <w:tab/>
        <w:t>Artículo 3</w:t>
      </w:r>
    </w:p>
    <w:p w:rsidR="007F31E6" w:rsidRPr="007F31E6" w:rsidRDefault="007F31E6" w:rsidP="007F31E6">
      <w:pPr>
        <w:pStyle w:val="SingleTxtG"/>
      </w:pPr>
      <w:r w:rsidRPr="007F31E6">
        <w:t>9.</w:t>
      </w:r>
      <w:r w:rsidRPr="007F31E6">
        <w:tab/>
        <w:t>Teniendo en cuenta las anteriores observaciones finales del Comité (párr. 16) y la información aportada por el Estado parte en su informe</w:t>
      </w:r>
      <w:r w:rsidRPr="007F31E6">
        <w:rPr>
          <w:rStyle w:val="Refdenotaalpie"/>
        </w:rPr>
        <w:footnoteReference w:id="17"/>
      </w:r>
      <w:r w:rsidRPr="007F31E6">
        <w:t>, proporcionen, en relación con el período transcurrido a partir de 2013, datos desglosados por año sobre:</w:t>
      </w:r>
    </w:p>
    <w:p w:rsidR="007F31E6" w:rsidRPr="007F31E6" w:rsidRDefault="007F31E6" w:rsidP="007F31E6">
      <w:pPr>
        <w:pStyle w:val="SingleTxtG"/>
      </w:pPr>
      <w:r w:rsidRPr="007F31E6">
        <w:tab/>
        <w:t>a)</w:t>
      </w:r>
      <w:r w:rsidRPr="007F31E6">
        <w:tab/>
        <w:t>El número de recursos presentados contra decisiones de expulsión y el número de revocaciones de órdenes de devolución o expulsión que hayan dictado los tribunales sobre la base de que los solicitantes habían sufrido o corrían el riesgo sufrir torturas en caso de devolución o expulsión;</w:t>
      </w:r>
    </w:p>
    <w:p w:rsidR="007F31E6" w:rsidRPr="007F31E6" w:rsidRDefault="007F31E6" w:rsidP="007F31E6">
      <w:pPr>
        <w:pStyle w:val="SingleTxtG"/>
      </w:pPr>
      <w:r w:rsidRPr="007F31E6">
        <w:tab/>
        <w:t>b)</w:t>
      </w:r>
      <w:r w:rsidRPr="007F31E6">
        <w:tab/>
        <w:t>El porcentaje de casos en que se concedió asistencia jurídica gratuita a solicitantes de asilo y a personas sujetas a extradición o expulsión.</w:t>
      </w:r>
    </w:p>
    <w:p w:rsidR="007F31E6" w:rsidRPr="007F31E6" w:rsidRDefault="007F31E6" w:rsidP="007F31E6">
      <w:pPr>
        <w:pStyle w:val="SingleTxtG"/>
      </w:pPr>
      <w:r w:rsidRPr="007F31E6">
        <w:t>10.</w:t>
      </w:r>
      <w:r w:rsidRPr="007F31E6">
        <w:tab/>
        <w:t>Faciliten datos estadísticos correspondientes al período transcurrido a partir de 2013, desglosados por año y país de origen, sobre:</w:t>
      </w:r>
    </w:p>
    <w:p w:rsidR="007F31E6" w:rsidRPr="007F31E6" w:rsidRDefault="007F31E6" w:rsidP="007F31E6">
      <w:pPr>
        <w:pStyle w:val="SingleTxtG"/>
      </w:pPr>
      <w:r w:rsidRPr="007F31E6">
        <w:tab/>
        <w:t>a)</w:t>
      </w:r>
      <w:r w:rsidRPr="007F31E6">
        <w:tab/>
        <w:t>El número de solicitudes de asilo registradas;</w:t>
      </w:r>
    </w:p>
    <w:p w:rsidR="007F31E6" w:rsidRPr="007F31E6" w:rsidRDefault="007F31E6" w:rsidP="007F31E6">
      <w:pPr>
        <w:pStyle w:val="SingleTxtG"/>
      </w:pPr>
      <w:r w:rsidRPr="007F31E6">
        <w:tab/>
        <w:t>b)</w:t>
      </w:r>
      <w:r w:rsidRPr="007F31E6">
        <w:tab/>
        <w:t>El número de solicitudes de asilo o de reconocimiento de la condición de refugiado o de otras formas de protección humanitaria aprobadas;</w:t>
      </w:r>
    </w:p>
    <w:p w:rsidR="007F31E6" w:rsidRPr="007F31E6" w:rsidRDefault="007F31E6" w:rsidP="007F31E6">
      <w:pPr>
        <w:pStyle w:val="SingleTxtG"/>
      </w:pPr>
      <w:r w:rsidRPr="007F31E6">
        <w:tab/>
        <w:t>c)</w:t>
      </w:r>
      <w:r w:rsidRPr="007F31E6">
        <w:tab/>
        <w:t>El número de personas extraditadas, expulsadas o devueltas y sus países de destino.</w:t>
      </w:r>
    </w:p>
    <w:p w:rsidR="007F31E6" w:rsidRPr="007F31E6" w:rsidRDefault="007F31E6" w:rsidP="007F31E6">
      <w:pPr>
        <w:pStyle w:val="SingleTxtG"/>
      </w:pPr>
      <w:r w:rsidRPr="007F31E6">
        <w:t>11.</w:t>
      </w:r>
      <w:r w:rsidRPr="007F31E6">
        <w:tab/>
        <w:t>Comenten la información según la cual se expulsó al Senegal a migrantes en situación irregular</w:t>
      </w:r>
      <w:r w:rsidRPr="007F31E6">
        <w:rPr>
          <w:rStyle w:val="Refdenotaalpie"/>
        </w:rPr>
        <w:footnoteReference w:id="18"/>
      </w:r>
      <w:r w:rsidRPr="007F31E6">
        <w:t xml:space="preserve"> e indicar si las personas expulsadas tuvieron acceso a un procedimiento de recurso contra la decisión de expulsión. </w:t>
      </w:r>
    </w:p>
    <w:p w:rsidR="007F31E6" w:rsidRPr="007F31E6" w:rsidRDefault="007F31E6" w:rsidP="007F31E6">
      <w:pPr>
        <w:pStyle w:val="SingleTxtG"/>
      </w:pPr>
      <w:r w:rsidRPr="007F31E6">
        <w:t>12.</w:t>
      </w:r>
      <w:r w:rsidRPr="007F31E6">
        <w:tab/>
        <w:t>Indiquen también si se han abierto investigaciones, y con qué resultados, en relación con las denuncias de violencia, e incluso de disparos con munición real, infligida a pescadores extranjeros en buques mauritanos por la brigada encargada del control de extranjeros y los guardacostas de Mauritania.</w:t>
      </w:r>
    </w:p>
    <w:p w:rsidR="007F31E6" w:rsidRPr="007F31E6" w:rsidRDefault="007F31E6" w:rsidP="007F31E6">
      <w:pPr>
        <w:pStyle w:val="H23G"/>
      </w:pPr>
      <w:r w:rsidRPr="007F31E6">
        <w:tab/>
      </w:r>
      <w:r w:rsidRPr="007F31E6">
        <w:tab/>
        <w:t xml:space="preserve">Artículos </w:t>
      </w:r>
      <w:smartTag w:uri="urn:schemas-microsoft-com:office:smarttags" w:element="metricconverter">
        <w:smartTagPr>
          <w:attr w:name="ProductID" w:val="5 a"/>
        </w:smartTagPr>
        <w:r w:rsidRPr="007F31E6">
          <w:t>5 a</w:t>
        </w:r>
      </w:smartTag>
      <w:r w:rsidRPr="007F31E6">
        <w:t xml:space="preserve"> 9</w:t>
      </w:r>
    </w:p>
    <w:p w:rsidR="007F31E6" w:rsidRPr="007F31E6" w:rsidRDefault="007F31E6" w:rsidP="007F31E6">
      <w:pPr>
        <w:pStyle w:val="SingleTxtG"/>
      </w:pPr>
      <w:r w:rsidRPr="007F31E6">
        <w:t>13.</w:t>
      </w:r>
      <w:r w:rsidRPr="007F31E6">
        <w:tab/>
        <w:t>Indiquen si el Estado parte ha rechazado, por cualquier motivo, una petición formulada por otro Estado para la extradición de una persona sospechosa de haber cometido actos de tortura y si, en consecuencia, ha iniciado procedimientos penales contra esa persona. De ser así, informen sobre el curso y el resultado de esas actuaciones.</w:t>
      </w:r>
    </w:p>
    <w:p w:rsidR="007F31E6" w:rsidRPr="007F31E6" w:rsidRDefault="007F31E6" w:rsidP="007F31E6">
      <w:pPr>
        <w:pStyle w:val="H23G"/>
      </w:pPr>
      <w:r w:rsidRPr="007F31E6">
        <w:tab/>
      </w:r>
      <w:r w:rsidRPr="007F31E6">
        <w:tab/>
        <w:t>Artículo 10</w:t>
      </w:r>
    </w:p>
    <w:p w:rsidR="007F31E6" w:rsidRPr="007F31E6" w:rsidRDefault="007F31E6" w:rsidP="007F31E6">
      <w:pPr>
        <w:pStyle w:val="SingleTxtG"/>
        <w:rPr>
          <w:iCs/>
        </w:rPr>
      </w:pPr>
      <w:r w:rsidRPr="007F31E6">
        <w:rPr>
          <w:iCs/>
        </w:rPr>
        <w:t>14.</w:t>
      </w:r>
      <w:r w:rsidRPr="007F31E6">
        <w:rPr>
          <w:iCs/>
        </w:rPr>
        <w:tab/>
      </w:r>
      <w:r w:rsidRPr="007F31E6">
        <w:t>En relación con las anteriores observaciones finales del Comité (párr. 17) y la información aportada por el Estado parte en su informe</w:t>
      </w:r>
      <w:r w:rsidRPr="007F31E6">
        <w:rPr>
          <w:rStyle w:val="Refdenotaalpie"/>
        </w:rPr>
        <w:footnoteReference w:id="19"/>
      </w:r>
      <w:r w:rsidRPr="007F31E6">
        <w:t>, indiquen si toda persona susceptible de intervenir en la vigilancia, el interrogatorio o el tratamiento de las personas privadas de libertad recibe formación sobre las materias siguientes</w:t>
      </w:r>
      <w:r w:rsidRPr="007F31E6">
        <w:rPr>
          <w:rStyle w:val="Refdenotaalpie"/>
        </w:rPr>
        <w:footnoteReference w:id="20"/>
      </w:r>
      <w:r w:rsidRPr="007F31E6">
        <w:t>:</w:t>
      </w:r>
    </w:p>
    <w:p w:rsidR="007F31E6" w:rsidRPr="007F31E6" w:rsidRDefault="007F31E6" w:rsidP="007F31E6">
      <w:pPr>
        <w:pStyle w:val="SingleTxtG"/>
      </w:pPr>
      <w:r w:rsidRPr="007F31E6">
        <w:tab/>
        <w:t>a)</w:t>
      </w:r>
      <w:r w:rsidRPr="007F31E6">
        <w:tab/>
        <w:t xml:space="preserve">Las disposiciones de </w:t>
      </w:r>
      <w:smartTag w:uri="urn:schemas-microsoft-com:office:smarttags" w:element="PersonName">
        <w:smartTagPr>
          <w:attr w:name="ProductID" w:val="la Convenci￳n"/>
        </w:smartTagPr>
        <w:r w:rsidRPr="007F31E6">
          <w:t>la Convención</w:t>
        </w:r>
      </w:smartTag>
      <w:r w:rsidRPr="007F31E6">
        <w:t xml:space="preserve"> y de </w:t>
      </w:r>
      <w:smartTag w:uri="urn:schemas-microsoft-com:office:smarttags" w:element="PersonName">
        <w:smartTagPr>
          <w:attr w:name="ProductID" w:val="la Ley"/>
        </w:smartTagPr>
        <w:r w:rsidRPr="007F31E6">
          <w:t>la Ley</w:t>
        </w:r>
      </w:smartTag>
      <w:r w:rsidRPr="007F31E6">
        <w:t xml:space="preserve"> de Lucha contra </w:t>
      </w:r>
      <w:smartTag w:uri="urn:schemas-microsoft-com:office:smarttags" w:element="PersonName">
        <w:smartTagPr>
          <w:attr w:name="ProductID" w:val="la Tortura"/>
        </w:smartTagPr>
        <w:r w:rsidRPr="007F31E6">
          <w:t>la Tortura</w:t>
        </w:r>
      </w:smartTag>
      <w:r w:rsidRPr="007F31E6">
        <w:t>;</w:t>
      </w:r>
    </w:p>
    <w:p w:rsidR="007F31E6" w:rsidRPr="007F31E6" w:rsidRDefault="007F31E6" w:rsidP="007F31E6">
      <w:pPr>
        <w:pStyle w:val="SingleTxtG"/>
      </w:pPr>
      <w:r w:rsidRPr="007F31E6">
        <w:tab/>
        <w:t>b)</w:t>
      </w:r>
      <w:r w:rsidRPr="007F31E6">
        <w:tab/>
        <w:t>Las técnicas de investigación y contención no coercitivas, así como el principio según el cual únicamente debe hacerse uso de la fuerza como último recurso</w:t>
      </w:r>
      <w:r w:rsidRPr="007F31E6">
        <w:rPr>
          <w:rStyle w:val="Refdenotaalpie"/>
        </w:rPr>
        <w:footnoteReference w:id="21"/>
      </w:r>
      <w:r w:rsidRPr="007F31E6">
        <w:t>;</w:t>
      </w:r>
    </w:p>
    <w:p w:rsidR="007F31E6" w:rsidRPr="007F31E6" w:rsidRDefault="007F31E6" w:rsidP="007F31E6">
      <w:pPr>
        <w:pStyle w:val="SingleTxtG"/>
      </w:pPr>
      <w:r w:rsidRPr="007F31E6">
        <w:tab/>
        <w:t>c)</w:t>
      </w:r>
      <w:r w:rsidRPr="007F31E6">
        <w:tab/>
        <w:t>Las directrices de detección de señales de tortura y malos tratos inspiradas en las normas que figuran en el Manual para la investigación y documentación eficaces de la tortura y otros tratos o penas crueles, inhumanos o degradantes (Protocolo de Estambul)</w:t>
      </w:r>
      <w:r w:rsidRPr="007F31E6">
        <w:rPr>
          <w:rStyle w:val="Refdenotaalpie"/>
        </w:rPr>
        <w:footnoteReference w:id="22"/>
      </w:r>
      <w:r w:rsidRPr="007F31E6">
        <w:t>.</w:t>
      </w:r>
    </w:p>
    <w:p w:rsidR="007F31E6" w:rsidRPr="007F31E6" w:rsidRDefault="007F31E6" w:rsidP="007F31E6">
      <w:pPr>
        <w:pStyle w:val="H23G"/>
      </w:pPr>
      <w:r w:rsidRPr="007F31E6">
        <w:tab/>
      </w:r>
      <w:r w:rsidRPr="007F31E6">
        <w:tab/>
        <w:t>Artículo 11</w:t>
      </w:r>
    </w:p>
    <w:p w:rsidR="007F31E6" w:rsidRPr="007F31E6" w:rsidRDefault="007F31E6" w:rsidP="00F2237A">
      <w:pPr>
        <w:pStyle w:val="SingleTxtG"/>
      </w:pPr>
      <w:r w:rsidRPr="007F31E6">
        <w:t>15.</w:t>
      </w:r>
      <w:r w:rsidRPr="007F31E6">
        <w:tab/>
        <w:t>Teniendo en cuenta las anteriores observaciones finales del Comité (párr. 22) y la información según la cual a menudo se mantenía privados de libertad, en centros de reclusión no oficiales, a los sospechosos de terrorismo o delitos conexos para someterlos a interrogatorios</w:t>
      </w:r>
      <w:r w:rsidRPr="007F31E6">
        <w:rPr>
          <w:rStyle w:val="Refdenotaalpie"/>
        </w:rPr>
        <w:footnoteReference w:id="23"/>
      </w:r>
      <w:r w:rsidRPr="007F31E6">
        <w:t>, indiquen si se han abierto investigaciones sobre la presunta utilización de centros de reclusión no oficiales, como el sótano de la comisaría de policía del distrito 4 de Nuakchot. En caso afirmativo, informen sobre el resultado de esas investigaciones. Indiquen si el Estado ha abierto investigaciones sobre las denuncias de detención arbitraria del senador Mohamed Ould Ghadda, aprehendido en su domicilio el 10 de agosto de 2017, y de Mohamed Ould Isra</w:t>
      </w:r>
      <w:r w:rsidR="00076442">
        <w:t>ë</w:t>
      </w:r>
      <w:r w:rsidRPr="007F31E6">
        <w:t>l, extraditado a los Emiratos Árabes Unidos el 18 de febrero de</w:t>
      </w:r>
      <w:r w:rsidR="00F2237A">
        <w:t> </w:t>
      </w:r>
      <w:r w:rsidRPr="007F31E6">
        <w:t>2016 y recluido en lugar desconocido.</w:t>
      </w:r>
    </w:p>
    <w:p w:rsidR="007F31E6" w:rsidRPr="007F31E6" w:rsidRDefault="007F31E6" w:rsidP="007F31E6">
      <w:pPr>
        <w:pStyle w:val="SingleTxtG"/>
      </w:pPr>
      <w:r w:rsidRPr="007F31E6">
        <w:t>16.</w:t>
      </w:r>
      <w:r w:rsidRPr="007F31E6">
        <w:tab/>
        <w:t>Teniendo en cuenta las anteriores observaciones finales del Comité (párr. 22) y la información que contiene el informe del Estado parte</w:t>
      </w:r>
      <w:r w:rsidRPr="007F31E6">
        <w:rPr>
          <w:rStyle w:val="Refdenotaalpie"/>
        </w:rPr>
        <w:footnoteReference w:id="24"/>
      </w:r>
      <w:r w:rsidRPr="007F31E6">
        <w:t>, proporcionen, en relación con el período transcurrido a partir de 2013:</w:t>
      </w:r>
    </w:p>
    <w:p w:rsidR="007F31E6" w:rsidRPr="007F31E6" w:rsidRDefault="007F31E6" w:rsidP="007F31E6">
      <w:pPr>
        <w:pStyle w:val="SingleTxtG"/>
      </w:pPr>
      <w:r w:rsidRPr="007F31E6">
        <w:tab/>
        <w:t>a)</w:t>
      </w:r>
      <w:r w:rsidRPr="007F31E6">
        <w:tab/>
        <w:t>Datos estadísticos anuales, desglosados por centro de reclusión, sobre la capacidad de acogida y el índice de ocupación de todos los centros de reclusión, con indicación del número de presos preventivos y de condenados</w:t>
      </w:r>
      <w:r w:rsidRPr="007F31E6">
        <w:rPr>
          <w:rStyle w:val="Refdenotaalpie"/>
        </w:rPr>
        <w:footnoteReference w:id="25"/>
      </w:r>
      <w:r w:rsidRPr="007F31E6">
        <w:t>;</w:t>
      </w:r>
    </w:p>
    <w:p w:rsidR="007F31E6" w:rsidRPr="007F31E6" w:rsidRDefault="007F31E6" w:rsidP="007F31E6">
      <w:pPr>
        <w:pStyle w:val="SingleTxtG"/>
      </w:pPr>
      <w:r w:rsidRPr="007F31E6">
        <w:tab/>
        <w:t>b)</w:t>
      </w:r>
      <w:r w:rsidRPr="007F31E6">
        <w:tab/>
        <w:t>Información sobre las medidas adoptadas para asegurar la separación entre presos preventivos y condenados, entre menores y adultos y entre hombres y mujeres</w:t>
      </w:r>
      <w:r w:rsidRPr="007F31E6">
        <w:rPr>
          <w:rStyle w:val="Refdenotaalpie"/>
        </w:rPr>
        <w:footnoteReference w:id="26"/>
      </w:r>
      <w:r w:rsidRPr="007F31E6">
        <w:t>, así como datos sobre el número de lugares de privación de libertad en los que esa separación aún no es efectiva;</w:t>
      </w:r>
    </w:p>
    <w:p w:rsidR="007F31E6" w:rsidRPr="007F31E6" w:rsidRDefault="007F31E6" w:rsidP="007F31E6">
      <w:pPr>
        <w:pStyle w:val="SingleTxtG"/>
      </w:pPr>
      <w:r w:rsidRPr="007F31E6">
        <w:tab/>
        <w:t>c)</w:t>
      </w:r>
      <w:r w:rsidRPr="007F31E6">
        <w:tab/>
        <w:t>Información sobre las medidas adoptadas para prevenir el hacinamiento en los centros de reclusión, que presuntamente alcanza más del 150% en algunas cárceles;</w:t>
      </w:r>
    </w:p>
    <w:p w:rsidR="007F31E6" w:rsidRPr="007F31E6" w:rsidRDefault="007F31E6" w:rsidP="007F31E6">
      <w:pPr>
        <w:pStyle w:val="SingleTxtG"/>
      </w:pPr>
      <w:r w:rsidRPr="007F31E6">
        <w:tab/>
        <w:t>d)</w:t>
      </w:r>
      <w:r w:rsidRPr="007F31E6">
        <w:tab/>
        <w:t>Información sobre las medidas adoptadas para aumentar la cantidad y la calidad de la alimentación y el acceso al agua potable</w:t>
      </w:r>
      <w:r w:rsidRPr="007F31E6">
        <w:rPr>
          <w:rStyle w:val="Refdenotaalpie"/>
        </w:rPr>
        <w:footnoteReference w:id="27"/>
      </w:r>
      <w:r w:rsidRPr="007F31E6">
        <w:t xml:space="preserve"> en los establecimientos penitenciarios, particularmente en la prisión de Salahdine</w:t>
      </w:r>
      <w:r w:rsidRPr="007F31E6">
        <w:rPr>
          <w:rStyle w:val="Refdenotaalpie"/>
        </w:rPr>
        <w:footnoteReference w:id="28"/>
      </w:r>
      <w:r w:rsidRPr="007F31E6">
        <w:t>, y para mejorar las condiciones de salud e higiene</w:t>
      </w:r>
      <w:r w:rsidRPr="007F31E6">
        <w:rPr>
          <w:rStyle w:val="Refdenotaalpie"/>
        </w:rPr>
        <w:footnoteReference w:id="29"/>
      </w:r>
      <w:r w:rsidRPr="007F31E6">
        <w:t>, sobre todo los sistemas de ventilación</w:t>
      </w:r>
      <w:r w:rsidRPr="007F31E6">
        <w:rPr>
          <w:rStyle w:val="Refdenotaalpie"/>
        </w:rPr>
        <w:footnoteReference w:id="30"/>
      </w:r>
      <w:r w:rsidRPr="007F31E6">
        <w:t>;</w:t>
      </w:r>
    </w:p>
    <w:p w:rsidR="007F31E6" w:rsidRPr="007F31E6" w:rsidRDefault="007F31E6" w:rsidP="007F31E6">
      <w:pPr>
        <w:pStyle w:val="SingleTxtG"/>
      </w:pPr>
      <w:r w:rsidRPr="007F31E6">
        <w:tab/>
        <w:t>e)</w:t>
      </w:r>
      <w:r w:rsidRPr="007F31E6">
        <w:tab/>
        <w:t>Información sobre las medidas adoptadas para prestar atención médica adecuada en los establecimientos penitenciarios, en particular para aumentar el acceso a los medicamentos y el número de especialistas en psiquiatría y odontología</w:t>
      </w:r>
      <w:r w:rsidRPr="007F31E6">
        <w:rPr>
          <w:rStyle w:val="Refdenotaalpie"/>
        </w:rPr>
        <w:footnoteReference w:id="31"/>
      </w:r>
      <w:r w:rsidRPr="007F31E6">
        <w:t>;</w:t>
      </w:r>
    </w:p>
    <w:p w:rsidR="007F31E6" w:rsidRPr="007F31E6" w:rsidRDefault="007F31E6" w:rsidP="007F31E6">
      <w:pPr>
        <w:pStyle w:val="SingleTxtG"/>
      </w:pPr>
      <w:r w:rsidRPr="007F31E6">
        <w:tab/>
        <w:t>f)</w:t>
      </w:r>
      <w:r w:rsidRPr="007F31E6">
        <w:tab/>
        <w:t>Información sobre las medidas adoptadas para garantizar que todos los detenidos puedan disfrutar de al menos una hora de ejercicio físico al aire libre</w:t>
      </w:r>
      <w:r w:rsidRPr="007F31E6">
        <w:rPr>
          <w:rStyle w:val="Refdenotaalpie"/>
        </w:rPr>
        <w:footnoteReference w:id="32"/>
      </w:r>
      <w:r w:rsidRPr="007F31E6">
        <w:t>, sobre todo en la cárcel de Salahdine</w:t>
      </w:r>
      <w:r w:rsidRPr="007F31E6">
        <w:rPr>
          <w:rStyle w:val="Refdenotaalpie"/>
        </w:rPr>
        <w:footnoteReference w:id="33"/>
      </w:r>
      <w:r w:rsidRPr="007F31E6">
        <w:t>, y para poner en marcha un programa educativo en las cárceles y facilitar el acceso a la formación profesional, al trabajo y a las actividades recreativas y culturales</w:t>
      </w:r>
      <w:r w:rsidRPr="007F31E6">
        <w:rPr>
          <w:rStyle w:val="Refdenotaalpie"/>
        </w:rPr>
        <w:footnoteReference w:id="34"/>
      </w:r>
      <w:r w:rsidRPr="007F31E6">
        <w:t>.</w:t>
      </w:r>
    </w:p>
    <w:p w:rsidR="007F31E6" w:rsidRPr="007F31E6" w:rsidRDefault="007F31E6" w:rsidP="00F2237A">
      <w:pPr>
        <w:pStyle w:val="SingleTxtG"/>
        <w:keepNext/>
      </w:pPr>
      <w:r w:rsidRPr="007F31E6">
        <w:t>17.</w:t>
      </w:r>
      <w:r w:rsidRPr="007F31E6">
        <w:tab/>
        <w:t>Faciliten información correspondiente al período transcurrido desde 2013, desglosada por año, sobre:</w:t>
      </w:r>
    </w:p>
    <w:p w:rsidR="007F31E6" w:rsidRPr="007F31E6" w:rsidRDefault="007F31E6" w:rsidP="00076442">
      <w:pPr>
        <w:pStyle w:val="SingleTxtG"/>
      </w:pPr>
      <w:r w:rsidRPr="007F31E6">
        <w:tab/>
        <w:t>a)</w:t>
      </w:r>
      <w:r w:rsidRPr="007F31E6">
        <w:tab/>
        <w:t>Las medidas adoptadas para prevenir las agresiones entre presos, como las que tuvieron lugar en Dar Na</w:t>
      </w:r>
      <w:r w:rsidR="00076442">
        <w:t>ï</w:t>
      </w:r>
      <w:r w:rsidRPr="007F31E6">
        <w:t>m en 2015 y se saldaron con la muerte de dos personas, así como las medidas para prevenir la violación de ciertos reclusos con la connivencia de funcionarios de prisiones;</w:t>
      </w:r>
    </w:p>
    <w:p w:rsidR="007F31E6" w:rsidRPr="007F31E6" w:rsidRDefault="007F31E6" w:rsidP="007F31E6">
      <w:pPr>
        <w:pStyle w:val="SingleTxtG"/>
      </w:pPr>
      <w:r w:rsidRPr="007F31E6">
        <w:tab/>
        <w:t>b)</w:t>
      </w:r>
      <w:r w:rsidRPr="007F31E6">
        <w:tab/>
        <w:t>Las medidas adoptadas para establecer un cuerpo penitenciario especializado, con estatuto civil y en cuya composición entren mujeres, particularmente en las prisiones de mujeres. Indiquen también las medidas adoptadas para supervisar las situaciones de autogestión en las prisiones, a fin de prevenir los abusos y la corrupción;</w:t>
      </w:r>
    </w:p>
    <w:p w:rsidR="007F31E6" w:rsidRPr="007F31E6" w:rsidRDefault="007F31E6" w:rsidP="00076442">
      <w:pPr>
        <w:pStyle w:val="SingleTxtG"/>
      </w:pPr>
      <w:r w:rsidRPr="007F31E6">
        <w:tab/>
        <w:t>c)</w:t>
      </w:r>
      <w:r w:rsidRPr="007F31E6">
        <w:tab/>
        <w:t xml:space="preserve">El número de muertes de personas en centros de reclusión, indicando la causa de la muerte, y el número de investigaciones abiertas en relación con las muertes o incidentes de violencia y malos tratos ocurridos durante la reclusión o durante los traslados, así como el resultado de esas investigaciones, el número de fallecimientos o de casos de violencia atribuidos a agresiones cometidas por agentes del Estado, al uso excesivo de métodos de contención o a negligencia, los procedimientos penales incoados, las condenas dictadas y las sanciones penales y disciplinarias impuestas, indicando la duración de las penas de prisión. Indiquen, en particular, si se han abierto investigaciones, y con qué resultados, respecto a las denuncias de tortura y de malos tratos o negligencia que hayan causado la muerte de presos, atribuidas a agentes del Estado, en relación con: i) el recluso condenado núm. RP 0526, el recluso en prisión preventiva núm. 1547/2013 y el recluso en prisión preventiva núm. 0234/2013 en el complejo carcelario de Dar </w:t>
      </w:r>
      <w:r w:rsidR="00076442" w:rsidRPr="007F31E6">
        <w:t>Na</w:t>
      </w:r>
      <w:r w:rsidR="00076442">
        <w:t>ï</w:t>
      </w:r>
      <w:r w:rsidR="00076442" w:rsidRPr="007F31E6">
        <w:t>m</w:t>
      </w:r>
      <w:r w:rsidRPr="007F31E6">
        <w:t xml:space="preserve"> el 9 de noviembre de 2013; ii) Abdellahi Matalla Saleck y Moussa Bilal Biram; iii) un recluso con problemas cardíacos que falleció el 16 de marzo de 2015 en Dar </w:t>
      </w:r>
      <w:r w:rsidR="00076442" w:rsidRPr="007F31E6">
        <w:t>Na</w:t>
      </w:r>
      <w:r w:rsidR="00076442">
        <w:t>ï</w:t>
      </w:r>
      <w:r w:rsidR="00076442" w:rsidRPr="007F31E6">
        <w:t>m</w:t>
      </w:r>
      <w:r w:rsidRPr="007F31E6">
        <w:t>, después de que un médico le hubo administrado una inyección que le causó la muerte; iv) un recluso fallecido en 2014 en la prisión de Rosso, como consecuencia de una agresión física.</w:t>
      </w:r>
    </w:p>
    <w:p w:rsidR="007F31E6" w:rsidRPr="007F31E6" w:rsidRDefault="007F31E6" w:rsidP="007F31E6">
      <w:pPr>
        <w:pStyle w:val="SingleTxtG"/>
      </w:pPr>
      <w:r w:rsidRPr="007F31E6">
        <w:t>18.</w:t>
      </w:r>
      <w:r w:rsidRPr="007F31E6">
        <w:tab/>
        <w:t>A la luz de los informes según los cuales se recluía, en régimen de aislamiento durante largos períodos, a las personas condenadas por delitos de terrorismo</w:t>
      </w:r>
      <w:r w:rsidRPr="007F31E6">
        <w:rPr>
          <w:rStyle w:val="Refdenotaalpie"/>
        </w:rPr>
        <w:footnoteReference w:id="35"/>
      </w:r>
      <w:r w:rsidRPr="007F31E6">
        <w:t>, proporcionen información sobre la aplicación del régimen de aislamiento.</w:t>
      </w:r>
    </w:p>
    <w:p w:rsidR="007F31E6" w:rsidRPr="007F31E6" w:rsidRDefault="007F31E6" w:rsidP="007F31E6">
      <w:pPr>
        <w:pStyle w:val="H23G"/>
      </w:pPr>
      <w:r w:rsidRPr="007F31E6">
        <w:tab/>
      </w:r>
      <w:r w:rsidRPr="007F31E6">
        <w:tab/>
        <w:t>Artículos 12 y 13</w:t>
      </w:r>
    </w:p>
    <w:p w:rsidR="007F31E6" w:rsidRPr="007F31E6" w:rsidRDefault="007F31E6" w:rsidP="00076442">
      <w:pPr>
        <w:pStyle w:val="SingleTxtG"/>
      </w:pPr>
      <w:r w:rsidRPr="007F31E6">
        <w:t>19.</w:t>
      </w:r>
      <w:r w:rsidRPr="007F31E6">
        <w:tab/>
        <w:t>A la luz de las informaciones según las cuales se producen torturas y malos tratos en los servicios de policía y gendarmería</w:t>
      </w:r>
      <w:r w:rsidRPr="007F31E6">
        <w:rPr>
          <w:rStyle w:val="Refdenotaalpie"/>
        </w:rPr>
        <w:footnoteReference w:id="36"/>
      </w:r>
      <w:r w:rsidRPr="007F31E6">
        <w:t>, faciliten datos anuales a partir de 2013, desglosados por tipo de delito y por sexo, edad y origen étnico de las víctimas, sobre: a) el número de denuncias recibidas por los fiscales o cualquier otra autoridad competente, o de informes de investigación presentados, en relación con delitos tales como torturas o malos tratos, tentativa de cometer esos actos y complicidad o participación en ellos, presuntamente cometidos por agentes del orden o con el consentimiento expreso o tácito de esos agentes; b) el número de denuncias que han sido objeto de una investigación penal o disciplinaria; c) el número de denuncias que fueron sobreseídas; d) el número de denuncias que dieron lugar a enjuiciamientos; e) el número de denuncias que llevaron a la imposición de condenas, y f) las sanciones penales y disciplinarias aplicadas, indicando la duración de las penas de prisión. Indiquen, en particular, si se han abierto investigaciones, y con qué resultados, en relación con las denuncias de torturas y malos tratos: i) durante las detenciones y los interrogatorios de unas 20 personas en las inmediaciones del hospital Bouamatou en agosto y noviembre de 2016; ii) posteriores a la detención de 19 personas procedentes de las localidades de Kéké I, II y III, en el distrito de Tékane (región de Trarza), el 10 de abril de 2017; iii) sufridos por Yéro Abdoulaye Sow, detenido en el puesto de control del PK 25 de Nuakchot, el 16 de agosto de 2016</w:t>
      </w:r>
      <w:r w:rsidR="00076442">
        <w:t>;</w:t>
      </w:r>
      <w:r w:rsidRPr="007F31E6">
        <w:t xml:space="preserve"> y iv) sufridos por Mohamed Ould Haiba, que presuntamente fue golpeado de manera violenta en la calle, en Teyarett, en el distrito 1 de Nuakchot, y en la comisaría de Zaatar por un grupo de gendarmes.</w:t>
      </w:r>
    </w:p>
    <w:p w:rsidR="007F31E6" w:rsidRPr="007F31E6" w:rsidRDefault="007F31E6" w:rsidP="007F31E6">
      <w:pPr>
        <w:pStyle w:val="SingleTxtG"/>
      </w:pPr>
      <w:r w:rsidRPr="007F31E6">
        <w:t>20.</w:t>
      </w:r>
      <w:r w:rsidRPr="007F31E6">
        <w:tab/>
        <w:t>Teniendo en cuenta la información que figuraba en el informe del Estado parte</w:t>
      </w:r>
      <w:r w:rsidRPr="007F31E6">
        <w:rPr>
          <w:rStyle w:val="Refdenotaalpie"/>
        </w:rPr>
        <w:footnoteReference w:id="37"/>
      </w:r>
      <w:r w:rsidRPr="007F31E6">
        <w:t>, formulen observaciones sobre la información según la cual, en varios casos, los fiscales y jueces de instrucción no tomaron medida alguna para investigar las denuncias de tortura y malos tratos</w:t>
      </w:r>
      <w:r w:rsidRPr="007F31E6">
        <w:rPr>
          <w:rStyle w:val="Refdenotaalpie"/>
        </w:rPr>
        <w:footnoteReference w:id="38"/>
      </w:r>
      <w:r w:rsidRPr="007F31E6">
        <w:t xml:space="preserve">. A ese respecto, indiquen las medidas adoptadas por </w:t>
      </w:r>
      <w:smartTag w:uri="urn:schemas-microsoft-com:office:smarttags" w:element="PersonName">
        <w:smartTagPr>
          <w:attr w:name="ProductID" w:val="la Inspecci￳n General"/>
        </w:smartTagPr>
        <w:r w:rsidRPr="007F31E6">
          <w:t>la Inspección General</w:t>
        </w:r>
      </w:smartTag>
      <w:r w:rsidRPr="007F31E6">
        <w:t xml:space="preserve"> del Ministerio de Justicia para controlar y sancionar esas conductas indebidas. Expliquen también las medidas adoptadas para hacer frente a la injerencia del poder ejecutivo en las investigaciones, dado que el Presidente de </w:t>
      </w:r>
      <w:smartTag w:uri="urn:schemas-microsoft-com:office:smarttags" w:element="PersonName">
        <w:smartTagPr>
          <w:attr w:name="ProductID" w:val="la Rep￺blica"/>
        </w:smartTagPr>
        <w:r w:rsidRPr="007F31E6">
          <w:t>la República</w:t>
        </w:r>
      </w:smartTag>
      <w:r w:rsidRPr="007F31E6">
        <w:t xml:space="preserve"> y el Ministro de Justicia pueden designar jueces.</w:t>
      </w:r>
    </w:p>
    <w:p w:rsidR="007F31E6" w:rsidRPr="007F31E6" w:rsidRDefault="007F31E6" w:rsidP="007F31E6">
      <w:pPr>
        <w:pStyle w:val="SingleTxtG"/>
      </w:pPr>
      <w:r w:rsidRPr="007F31E6">
        <w:t>21.</w:t>
      </w:r>
      <w:r w:rsidRPr="007F31E6">
        <w:tab/>
        <w:t>Teniendo en cuenta las anteriores observaciones finales del Comité (párr. 19) y la información contenida en el informe del Estado parte</w:t>
      </w:r>
      <w:r w:rsidRPr="007F31E6">
        <w:rPr>
          <w:rStyle w:val="Refdenotaalpie"/>
        </w:rPr>
        <w:footnoteReference w:id="39"/>
      </w:r>
      <w:r w:rsidRPr="007F31E6">
        <w:t xml:space="preserve">, proporcionen información actualizada sobre las medidas adoptadas o previstas para modificar </w:t>
      </w:r>
      <w:smartTag w:uri="urn:schemas-microsoft-com:office:smarttags" w:element="PersonName">
        <w:smartTagPr>
          <w:attr w:name="ProductID" w:val="la Ley"/>
        </w:smartTagPr>
        <w:r w:rsidRPr="007F31E6">
          <w:t>la Ley</w:t>
        </w:r>
      </w:smartTag>
      <w:r w:rsidRPr="007F31E6">
        <w:t xml:space="preserve"> de Amnistía núm. 92-93 y para investigar las denuncias de tortura y malos tratos que presuntamente se produjeron durante el período conocido como “las cuestiones humanitarias pendientes” a finales de los años ochenta y principios de los noventa</w:t>
      </w:r>
      <w:r w:rsidRPr="007F31E6">
        <w:rPr>
          <w:rStyle w:val="Refdenotaalpie"/>
        </w:rPr>
        <w:footnoteReference w:id="40"/>
      </w:r>
      <w:r w:rsidRPr="007F31E6">
        <w:t>. Informen también sobre los procedimientos de recurso, la protección de las víctimas y sus familias, y las reparaciones obtenidas por las víctimas a día de hoy.</w:t>
      </w:r>
    </w:p>
    <w:p w:rsidR="007F31E6" w:rsidRPr="007F31E6" w:rsidRDefault="007F31E6" w:rsidP="007F31E6">
      <w:pPr>
        <w:pStyle w:val="SingleTxtG"/>
      </w:pPr>
      <w:r w:rsidRPr="007F31E6">
        <w:t>22.</w:t>
      </w:r>
      <w:r w:rsidRPr="007F31E6">
        <w:tab/>
        <w:t>Teniendo en cuenta las anteriores observaciones finales del Comité (párr. 22 e)) y la información contenida en el informe del Estado parte</w:t>
      </w:r>
      <w:r w:rsidRPr="007F31E6">
        <w:rPr>
          <w:rStyle w:val="Refdenotaalpie"/>
        </w:rPr>
        <w:footnoteReference w:id="41"/>
      </w:r>
      <w:r w:rsidRPr="007F31E6">
        <w:t>, indiquen las medidas previstas para garantizar la confidencialidad y la independencia del sistema de denuncias de tortura y malos tratos en los casos en que la víctima está privada de libertad</w:t>
      </w:r>
      <w:r w:rsidRPr="007F31E6">
        <w:rPr>
          <w:rStyle w:val="Refdenotaalpie"/>
        </w:rPr>
        <w:footnoteReference w:id="42"/>
      </w:r>
      <w:r w:rsidRPr="007F31E6">
        <w:t>. Indiquen también las medidas adoptadas para:</w:t>
      </w:r>
    </w:p>
    <w:p w:rsidR="007F31E6" w:rsidRPr="007F31E6" w:rsidRDefault="007F31E6" w:rsidP="007F31E6">
      <w:pPr>
        <w:pStyle w:val="SingleTxtG"/>
      </w:pPr>
      <w:r w:rsidRPr="007F31E6">
        <w:tab/>
        <w:t>a)</w:t>
      </w:r>
      <w:r w:rsidRPr="007F31E6">
        <w:tab/>
        <w:t>Que los detenidos puedan reunirse de forma totalmente confidencial con los fiscales o los jueces durante las visitas a los lugares de privación de libertad</w:t>
      </w:r>
      <w:r w:rsidRPr="007F31E6">
        <w:rPr>
          <w:rStyle w:val="Refdenotaalpie"/>
        </w:rPr>
        <w:footnoteReference w:id="43"/>
      </w:r>
      <w:r w:rsidRPr="007F31E6">
        <w:t>;</w:t>
      </w:r>
    </w:p>
    <w:p w:rsidR="007F31E6" w:rsidRPr="007F31E6" w:rsidRDefault="007F31E6" w:rsidP="007F31E6">
      <w:pPr>
        <w:pStyle w:val="SingleTxtG"/>
      </w:pPr>
      <w:r w:rsidRPr="007F31E6">
        <w:tab/>
        <w:t>b)</w:t>
      </w:r>
      <w:r w:rsidRPr="007F31E6">
        <w:tab/>
        <w:t>Que las denuncias de torturas y malos tratos sean admisibles en todas las fases del procedimiento judicial</w:t>
      </w:r>
      <w:r w:rsidRPr="007F31E6">
        <w:rPr>
          <w:rStyle w:val="Refdenotaalpie"/>
        </w:rPr>
        <w:footnoteReference w:id="44"/>
      </w:r>
      <w:r w:rsidRPr="007F31E6">
        <w:t>.</w:t>
      </w:r>
    </w:p>
    <w:p w:rsidR="007F31E6" w:rsidRPr="007F31E6" w:rsidRDefault="007F31E6" w:rsidP="007F31E6">
      <w:pPr>
        <w:pStyle w:val="SingleTxtG"/>
      </w:pPr>
      <w:r w:rsidRPr="007F31E6">
        <w:t>23.</w:t>
      </w:r>
      <w:r w:rsidRPr="007F31E6">
        <w:tab/>
        <w:t xml:space="preserve">A la vista del artículo 20 de la nueva Ley de Lucha contra </w:t>
      </w:r>
      <w:smartTag w:uri="urn:schemas-microsoft-com:office:smarttags" w:element="PersonName">
        <w:smartTagPr>
          <w:attr w:name="ProductID" w:val="la Tortura"/>
        </w:smartTagPr>
        <w:r w:rsidRPr="007F31E6">
          <w:t>la Tortura</w:t>
        </w:r>
      </w:smartTag>
      <w:r w:rsidRPr="007F31E6">
        <w:t>, informen sobre las medidas adoptadas mediante decreto para garantizar protección a las víctimas de actos de tortura y malos tratos, a los testigos o a las personas encargadas de la investigación y sus familiares, contra toda forma de intimidación o represalias como consecuencia de las denuncias presentadas.</w:t>
      </w:r>
    </w:p>
    <w:p w:rsidR="007F31E6" w:rsidRPr="007F31E6" w:rsidRDefault="007F31E6" w:rsidP="007F31E6">
      <w:pPr>
        <w:pStyle w:val="H23G"/>
      </w:pPr>
      <w:r w:rsidRPr="007F31E6">
        <w:tab/>
      </w:r>
      <w:r w:rsidRPr="007F31E6">
        <w:tab/>
        <w:t>Artículo 14</w:t>
      </w:r>
    </w:p>
    <w:p w:rsidR="007F31E6" w:rsidRPr="007F31E6" w:rsidRDefault="007F31E6" w:rsidP="007F31E6">
      <w:pPr>
        <w:pStyle w:val="SingleTxtG"/>
      </w:pPr>
      <w:r w:rsidRPr="007F31E6">
        <w:t>24.</w:t>
      </w:r>
      <w:r w:rsidRPr="007F31E6">
        <w:tab/>
        <w:t>En relación con las anteriores observaciones finales del Comité (párr. 20) y teniendo en cuenta los artículos 21 y 22 de la nueva Ley de Lucha contra la Tortura</w:t>
      </w:r>
      <w:r w:rsidRPr="007F31E6">
        <w:rPr>
          <w:rStyle w:val="Refdenotaalpie"/>
        </w:rPr>
        <w:footnoteReference w:id="45"/>
      </w:r>
      <w:r w:rsidRPr="007F31E6">
        <w:t>, proporcionen más información sobre las medidas encaminadas a asegurar que todas las víctimas de tortura y malos tratos obtengan los medios necesarios para que su rehabilitación sea lo más completa posible.</w:t>
      </w:r>
    </w:p>
    <w:p w:rsidR="007F31E6" w:rsidRPr="007F31E6" w:rsidRDefault="007F31E6" w:rsidP="00076442">
      <w:pPr>
        <w:pStyle w:val="SingleTxtG"/>
      </w:pPr>
      <w:r w:rsidRPr="007F31E6">
        <w:t>25.</w:t>
      </w:r>
      <w:r w:rsidRPr="007F31E6">
        <w:tab/>
        <w:t>Proporcionen datos estadísticos anuales sobre las medidas de reparación e indemnización, incluidas medidas de rehabilitación, ordenadas por los tribunales y facilitadas efectivamente a las víctimas de torturas o malos tratos y a sus familiares, en el tiempo transcurrido desde el examen del anterior informe periódico en 2013. Esas estadísticas deben incluir datos sobre: a) el número de solicitudes de indemnización presentadas al Estado en relación con torturas y malos tratos; b) el número de solicitudes que prescribieron por la inacción de los tribunales</w:t>
      </w:r>
      <w:r w:rsidR="00076442">
        <w:t>;</w:t>
      </w:r>
      <w:r w:rsidRPr="007F31E6">
        <w:t xml:space="preserve"> y c) el número de solicitudes aprobadas, junto con la cuantía de las indemnizaciones otorgadas en los casos en que las solicitudes prosperaron.</w:t>
      </w:r>
    </w:p>
    <w:p w:rsidR="007F31E6" w:rsidRPr="007F31E6" w:rsidRDefault="007F31E6" w:rsidP="007F31E6">
      <w:pPr>
        <w:pStyle w:val="H23G"/>
      </w:pPr>
      <w:r w:rsidRPr="007F31E6">
        <w:tab/>
      </w:r>
      <w:r w:rsidRPr="007F31E6">
        <w:tab/>
        <w:t>Artículo 15</w:t>
      </w:r>
    </w:p>
    <w:p w:rsidR="007F31E6" w:rsidRPr="007F31E6" w:rsidRDefault="007F31E6" w:rsidP="007F31E6">
      <w:pPr>
        <w:pStyle w:val="SingleTxtG"/>
      </w:pPr>
      <w:r w:rsidRPr="007F31E6">
        <w:t>26.</w:t>
      </w:r>
      <w:r w:rsidRPr="007F31E6">
        <w:tab/>
        <w:t xml:space="preserve">En relación con las anteriores observaciones finales del Comité (párr. 8 c)) y teniendo en cuenta el artículo 6 de la nueva Ley de Lucha contra </w:t>
      </w:r>
      <w:smartTag w:uri="urn:schemas-microsoft-com:office:smarttags" w:element="PersonName">
        <w:smartTagPr>
          <w:attr w:name="ProductID" w:val="la Tortura"/>
        </w:smartTagPr>
        <w:r w:rsidRPr="007F31E6">
          <w:t>la Tortura</w:t>
        </w:r>
      </w:smartTag>
      <w:r w:rsidRPr="007F31E6">
        <w:t>, describan las medidas adoptadas para garantizar que los tribunales den pleno efecto al principio de la inadmisibilidad de las pruebas obtenidas mediante tortura</w:t>
      </w:r>
      <w:r w:rsidRPr="007F31E6">
        <w:rPr>
          <w:rStyle w:val="Refdenotaalpie"/>
        </w:rPr>
        <w:footnoteReference w:id="46"/>
      </w:r>
      <w:r w:rsidRPr="007F31E6">
        <w:t>. Proporcionen, para el período transcurrido desde 2013, datos estadísticos sobre el número de casos en que los detenidos denunciaron que sus confesiones habían sido obtenidas mediante tortura, el número de esos casos en los que las confesiones se declararon inadmisibles, el número de denuncias que dieron lugar a investigaciones y los resultados obtenidos, incluidas las penas impuestas a las personas declaradas culpables de esos actos, si las hubiere, y las medidas de reparación e indemnización concedidas a las víctimas.</w:t>
      </w:r>
    </w:p>
    <w:p w:rsidR="007F31E6" w:rsidRPr="007F31E6" w:rsidRDefault="007F31E6" w:rsidP="007F31E6">
      <w:pPr>
        <w:pStyle w:val="H23G"/>
      </w:pPr>
      <w:r w:rsidRPr="007F31E6">
        <w:tab/>
      </w:r>
      <w:r w:rsidRPr="007F31E6">
        <w:tab/>
        <w:t>Artículo 16</w:t>
      </w:r>
    </w:p>
    <w:p w:rsidR="007F31E6" w:rsidRPr="007F31E6" w:rsidRDefault="007F31E6" w:rsidP="00076442">
      <w:pPr>
        <w:pStyle w:val="SingleTxtG"/>
      </w:pPr>
      <w:r w:rsidRPr="007F31E6">
        <w:t>27.</w:t>
      </w:r>
      <w:r w:rsidRPr="007F31E6">
        <w:tab/>
        <w:t>Teniendo en cuenta la información recibida por el Relator Especial sobre la tortura según la cual los agentes de la autoridad habían hecho excesivo uso de la fuerza y empleado métodos violentos para dispersar a los manifestantes</w:t>
      </w:r>
      <w:r w:rsidRPr="007F31E6">
        <w:rPr>
          <w:rStyle w:val="Refdenotaalpie"/>
        </w:rPr>
        <w:footnoteReference w:id="47"/>
      </w:r>
      <w:r w:rsidRPr="007F31E6">
        <w:t>, en particular durante las manifestaciones de enero de 2015 y junio de 2016, proporcionen datos, para el período transcurrido a partir de 2013, desglosados por tipo de delito y por sexo, grupo de edad y origen étnico de las víctimas, sobre: a) el número de denuncias recibidas por los fiscales o cualquier otra autoridad competente, o de informes de investigación presentados, sobre el uso excesivo de la fuerza por los agentes de la autoridad; b) el número de denuncias que fueron objeto de una investigación penal o disciplinaria; c) el número de denuncias que fueron sobreseídas; d) el número de denuncias que dieron lugar a enjuiciamientos; e) el número de denuncias que llevaron a la imposición de condenas</w:t>
      </w:r>
      <w:r w:rsidR="00076442">
        <w:t>;</w:t>
      </w:r>
      <w:r w:rsidRPr="007F31E6">
        <w:t xml:space="preserve"> y f) las sanciones penales y disciplinarias aplicadas, indicando la duración de las penas de prisión, las penas impuestas a las personas declaradas culpables de esos actos, si las hubiere, y las medidas de reparación e indemnización concedidas a las víctimas. Indiquen, en particular, si se han abierto investigaciones, y con qué resultados, sobre las denuncias de uso excesivo de la fuerza durante: i) la manifestación de varias organizaciones de derechos humanos en Nuakchot, en abril de 2017; </w:t>
      </w:r>
      <w:r w:rsidR="00076442">
        <w:t xml:space="preserve">y </w:t>
      </w:r>
      <w:r w:rsidRPr="007F31E6">
        <w:t>ii) las redadas masivas en los barrios de El Mina y Sebkha, en los distritos 5 y 6 de la capital, el 29 de febrero de 2016. Indiquen también las medidas previstas para garantizar que no se repitan esos abusos. Especifiquen si se han abierto investigaciones, y con qué resultados, en relación con las denuncias de tortura sufrida por personas detenidas en las manifestaciones contra las expulsiones celebradas en Nuakchot, en junio de 2016.</w:t>
      </w:r>
    </w:p>
    <w:p w:rsidR="007F31E6" w:rsidRPr="007F31E6" w:rsidRDefault="007F31E6" w:rsidP="007F31E6">
      <w:pPr>
        <w:pStyle w:val="SingleTxtG"/>
      </w:pPr>
      <w:r w:rsidRPr="007F31E6">
        <w:t>28.</w:t>
      </w:r>
      <w:r w:rsidRPr="007F31E6">
        <w:tab/>
        <w:t xml:space="preserve">Indiquen las medidas previstas para limitar la aplicación de la pena de muerte y velar por que todas las personas condenadas a muerte gocen de la protección establecida en </w:t>
      </w:r>
      <w:smartTag w:uri="urn:schemas-microsoft-com:office:smarttags" w:element="PersonName">
        <w:smartTagPr>
          <w:attr w:name="ProductID" w:val="la Convenci￳n. A"/>
        </w:smartTagPr>
        <w:r w:rsidRPr="007F31E6">
          <w:t>la Convención. A</w:t>
        </w:r>
      </w:smartTag>
      <w:r w:rsidRPr="007F31E6">
        <w:t xml:space="preserve"> este respecto, describan el régimen penitenciario aplicable a los condenados a muerte, incluida la reclusión en régimen de aislamiento y el uso de métodos de contención.</w:t>
      </w:r>
    </w:p>
    <w:p w:rsidR="007F31E6" w:rsidRPr="007F31E6" w:rsidRDefault="007F31E6" w:rsidP="007F31E6">
      <w:pPr>
        <w:pStyle w:val="SingleTxtG"/>
      </w:pPr>
      <w:r w:rsidRPr="007F31E6">
        <w:t>29.</w:t>
      </w:r>
      <w:r w:rsidRPr="007F31E6">
        <w:tab/>
        <w:t xml:space="preserve">En relación con las anteriores observaciones finales del Comité (párr. 20), indiquen las medidas previstas para modificar el Código Penal y eliminar las referencias a penas </w:t>
      </w:r>
      <w:r w:rsidRPr="007F31E6">
        <w:rPr>
          <w:i/>
        </w:rPr>
        <w:t>hudud</w:t>
      </w:r>
      <w:r w:rsidRPr="007F31E6">
        <w:t xml:space="preserve"> (amputación o flagelación)</w:t>
      </w:r>
      <w:r w:rsidRPr="007F31E6">
        <w:rPr>
          <w:rStyle w:val="Refdenotaalpie"/>
        </w:rPr>
        <w:footnoteReference w:id="48"/>
      </w:r>
      <w:r w:rsidRPr="007F31E6">
        <w:t xml:space="preserve">, al trabajo forzado o a la pena de </w:t>
      </w:r>
      <w:r w:rsidRPr="007F31E6">
        <w:rPr>
          <w:i/>
          <w:iCs/>
        </w:rPr>
        <w:t>qisas</w:t>
      </w:r>
      <w:r w:rsidRPr="007F31E6">
        <w:t>, que consagra la ley del talión en los casos de delitos violentos o vías de hecho y deja la sanción al arbitrio de la víctima, su familia o su clan.</w:t>
      </w:r>
    </w:p>
    <w:p w:rsidR="007F31E6" w:rsidRPr="007F31E6" w:rsidRDefault="007F31E6" w:rsidP="007F31E6">
      <w:pPr>
        <w:pStyle w:val="SingleTxtG"/>
      </w:pPr>
      <w:r w:rsidRPr="007F31E6">
        <w:t>30.</w:t>
      </w:r>
      <w:r w:rsidRPr="007F31E6">
        <w:tab/>
        <w:t>A la luz de la información proporcionada en el informe</w:t>
      </w:r>
      <w:r w:rsidRPr="007F31E6">
        <w:rPr>
          <w:rStyle w:val="Refdenotaalpie"/>
        </w:rPr>
        <w:footnoteReference w:id="49"/>
      </w:r>
      <w:r w:rsidRPr="007F31E6">
        <w:t xml:space="preserve"> según la cual el proyecto de código del niño tipifica como delito el castigo corporal, especifiquen si ese proyecto contiene una prohibición clara y explícita de los castigos corporales en todos los contextos y proporcionen información actualizada sobre el proceso de aprobación del proyecto. A la luz de las denuncias de que algunos miembros del personal del centro para jóvenes en conflicto con la ley administraban castigos corporales, indiquen si se han investigado esos actos y, de ser así, informen sobre su resultado. Proporcionen información sobre las medidas adoptadas para erradicar esas prácticas y alentar la utilización de métodos disciplinarios no violentos.</w:t>
      </w:r>
    </w:p>
    <w:p w:rsidR="007F31E6" w:rsidRPr="007F31E6" w:rsidRDefault="007F31E6" w:rsidP="007F31E6">
      <w:pPr>
        <w:pStyle w:val="H23G"/>
      </w:pPr>
      <w:r w:rsidRPr="007F31E6">
        <w:tab/>
      </w:r>
      <w:r w:rsidRPr="007F31E6">
        <w:tab/>
        <w:t>Otras cuestiones</w:t>
      </w:r>
    </w:p>
    <w:p w:rsidR="007F31E6" w:rsidRPr="007F31E6" w:rsidRDefault="007F31E6" w:rsidP="00076442">
      <w:pPr>
        <w:pStyle w:val="SingleTxtG"/>
      </w:pPr>
      <w:r w:rsidRPr="007F31E6">
        <w:t>3</w:t>
      </w:r>
      <w:r w:rsidR="00076442">
        <w:t>1</w:t>
      </w:r>
      <w:r w:rsidRPr="007F31E6">
        <w:t>.</w:t>
      </w:r>
      <w:r w:rsidRPr="007F31E6">
        <w:tab/>
        <w:t xml:space="preserve">Indiquen si el Estado parte está considerando la posibilidad de reconocer la competencia del Comité con arreglo a los artículos 20 y 22 de </w:t>
      </w:r>
      <w:smartTag w:uri="urn:schemas-microsoft-com:office:smarttags" w:element="PersonName">
        <w:smartTagPr>
          <w:attr w:name="ProductID" w:val="la Convenci￳n."/>
        </w:smartTagPr>
        <w:r w:rsidRPr="007F31E6">
          <w:t>la Convención.</w:t>
        </w:r>
      </w:smartTag>
    </w:p>
    <w:p w:rsidR="00AC611E" w:rsidRPr="007F31E6" w:rsidRDefault="007F31E6" w:rsidP="007F31E6">
      <w:pPr>
        <w:pStyle w:val="SingleTxtG"/>
        <w:suppressAutoHyphens/>
        <w:spacing w:before="240" w:after="0"/>
        <w:jc w:val="center"/>
        <w:rPr>
          <w:u w:val="single"/>
        </w:rPr>
      </w:pPr>
      <w:r w:rsidRPr="007F31E6">
        <w:rPr>
          <w:u w:val="single"/>
        </w:rPr>
        <w:tab/>
      </w:r>
      <w:r w:rsidRPr="007F31E6">
        <w:rPr>
          <w:u w:val="single"/>
        </w:rPr>
        <w:tab/>
      </w:r>
      <w:r w:rsidRPr="007F31E6">
        <w:rPr>
          <w:u w:val="single"/>
        </w:rPr>
        <w:tab/>
      </w:r>
    </w:p>
    <w:sectPr w:rsidR="00AC611E" w:rsidRPr="007F31E6" w:rsidSect="006F1B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48B" w:rsidRPr="00A312BC" w:rsidRDefault="0065448B" w:rsidP="00A312BC">
      <w:pPr>
        <w:pStyle w:val="Piedepgina"/>
      </w:pPr>
    </w:p>
  </w:endnote>
  <w:endnote w:type="continuationSeparator" w:id="0">
    <w:p w:rsidR="0065448B" w:rsidRPr="00A312BC" w:rsidRDefault="0065448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A0" w:rsidRPr="006F1BA0" w:rsidRDefault="006F1BA0" w:rsidP="006F1BA0">
    <w:pPr>
      <w:pStyle w:val="Piedepgina"/>
      <w:tabs>
        <w:tab w:val="right" w:pos="9638"/>
      </w:tabs>
    </w:pPr>
    <w:r w:rsidRPr="006F1BA0">
      <w:rPr>
        <w:b/>
        <w:sz w:val="18"/>
      </w:rPr>
      <w:fldChar w:fldCharType="begin"/>
    </w:r>
    <w:r w:rsidRPr="006F1BA0">
      <w:rPr>
        <w:b/>
        <w:sz w:val="18"/>
      </w:rPr>
      <w:instrText xml:space="preserve"> PAGE  \* MERGEFORMAT </w:instrText>
    </w:r>
    <w:r w:rsidRPr="006F1BA0">
      <w:rPr>
        <w:b/>
        <w:sz w:val="18"/>
      </w:rPr>
      <w:fldChar w:fldCharType="separate"/>
    </w:r>
    <w:r w:rsidR="006A1C66">
      <w:rPr>
        <w:b/>
        <w:noProof/>
        <w:sz w:val="18"/>
      </w:rPr>
      <w:t>2</w:t>
    </w:r>
    <w:r w:rsidRPr="006F1BA0">
      <w:rPr>
        <w:b/>
        <w:sz w:val="18"/>
      </w:rPr>
      <w:fldChar w:fldCharType="end"/>
    </w:r>
    <w:r>
      <w:rPr>
        <w:b/>
        <w:sz w:val="18"/>
      </w:rPr>
      <w:tab/>
    </w:r>
    <w:r>
      <w:t>GE.18-00097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A0" w:rsidRPr="006F1BA0" w:rsidRDefault="006F1BA0" w:rsidP="006F1BA0">
    <w:pPr>
      <w:pStyle w:val="Piedepgina"/>
      <w:tabs>
        <w:tab w:val="right" w:pos="9638"/>
      </w:tabs>
      <w:rPr>
        <w:b/>
        <w:sz w:val="18"/>
      </w:rPr>
    </w:pPr>
    <w:r>
      <w:t>GE.18-00097</w:t>
    </w:r>
    <w:r>
      <w:tab/>
    </w:r>
    <w:r w:rsidRPr="006F1BA0">
      <w:rPr>
        <w:b/>
        <w:sz w:val="18"/>
      </w:rPr>
      <w:fldChar w:fldCharType="begin"/>
    </w:r>
    <w:r w:rsidRPr="006F1BA0">
      <w:rPr>
        <w:b/>
        <w:sz w:val="18"/>
      </w:rPr>
      <w:instrText xml:space="preserve"> PAGE  \* MERGEFORMAT </w:instrText>
    </w:r>
    <w:r w:rsidRPr="006F1BA0">
      <w:rPr>
        <w:b/>
        <w:sz w:val="18"/>
      </w:rPr>
      <w:fldChar w:fldCharType="separate"/>
    </w:r>
    <w:r w:rsidR="006A1C66">
      <w:rPr>
        <w:b/>
        <w:noProof/>
        <w:sz w:val="18"/>
      </w:rPr>
      <w:t>9</w:t>
    </w:r>
    <w:r w:rsidRPr="006F1B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F1BA0" w:rsidRDefault="006F1BA0" w:rsidP="006F1BA0">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18-00097  (S)    230118    240118</w:t>
    </w:r>
    <w:r>
      <w:rPr>
        <w:sz w:val="20"/>
      </w:rPr>
      <w:br/>
    </w:r>
    <w:r w:rsidRPr="006F1BA0">
      <w:rPr>
        <w:rFonts w:ascii="C39T30Lfz" w:hAnsi="C39T30Lfz"/>
        <w:sz w:val="56"/>
      </w:rPr>
      <w:t></w:t>
    </w:r>
    <w:r w:rsidRPr="006F1BA0">
      <w:rPr>
        <w:rFonts w:ascii="C39T30Lfz" w:hAnsi="C39T30Lfz"/>
        <w:sz w:val="56"/>
      </w:rPr>
      <w:t></w:t>
    </w:r>
    <w:r w:rsidRPr="006F1BA0">
      <w:rPr>
        <w:rFonts w:ascii="C39T30Lfz" w:hAnsi="C39T30Lfz"/>
        <w:sz w:val="56"/>
      </w:rPr>
      <w:t></w:t>
    </w:r>
    <w:r w:rsidRPr="006F1BA0">
      <w:rPr>
        <w:rFonts w:ascii="C39T30Lfz" w:hAnsi="C39T30Lfz"/>
        <w:sz w:val="56"/>
      </w:rPr>
      <w:t></w:t>
    </w:r>
    <w:r w:rsidRPr="006F1BA0">
      <w:rPr>
        <w:rFonts w:ascii="C39T30Lfz" w:hAnsi="C39T30Lfz"/>
        <w:sz w:val="56"/>
      </w:rPr>
      <w:t></w:t>
    </w:r>
    <w:r w:rsidRPr="006F1BA0">
      <w:rPr>
        <w:rFonts w:ascii="C39T30Lfz" w:hAnsi="C39T30Lfz"/>
        <w:sz w:val="56"/>
      </w:rPr>
      <w:t></w:t>
    </w:r>
    <w:r w:rsidRPr="006F1BA0">
      <w:rPr>
        <w:rFonts w:ascii="C39T30Lfz" w:hAnsi="C39T30Lfz"/>
        <w:sz w:val="56"/>
      </w:rPr>
      <w:t></w:t>
    </w:r>
    <w:r w:rsidRPr="006F1BA0">
      <w:rPr>
        <w:rFonts w:ascii="C39T30Lfz" w:hAnsi="C39T30Lfz"/>
        <w:sz w:val="56"/>
      </w:rPr>
      <w:t></w:t>
    </w:r>
    <w:r w:rsidRPr="006F1BA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MRT/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RT/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48B" w:rsidRPr="001075E9" w:rsidRDefault="0065448B" w:rsidP="001075E9">
      <w:pPr>
        <w:tabs>
          <w:tab w:val="right" w:pos="2155"/>
        </w:tabs>
        <w:spacing w:after="80" w:line="240" w:lineRule="auto"/>
        <w:ind w:left="680"/>
        <w:rPr>
          <w:u w:val="single"/>
        </w:rPr>
      </w:pPr>
      <w:r>
        <w:rPr>
          <w:u w:val="single"/>
        </w:rPr>
        <w:tab/>
      </w:r>
    </w:p>
  </w:footnote>
  <w:footnote w:type="continuationSeparator" w:id="0">
    <w:p w:rsidR="0065448B" w:rsidRDefault="0065448B" w:rsidP="00407B78">
      <w:pPr>
        <w:tabs>
          <w:tab w:val="right" w:pos="2155"/>
        </w:tabs>
        <w:spacing w:after="80"/>
        <w:ind w:left="680"/>
        <w:rPr>
          <w:u w:val="single"/>
        </w:rPr>
      </w:pPr>
      <w:r>
        <w:rPr>
          <w:u w:val="single"/>
        </w:rPr>
        <w:tab/>
      </w:r>
    </w:p>
  </w:footnote>
  <w:footnote w:id="1">
    <w:p w:rsidR="007F31E6" w:rsidRPr="007F31E6" w:rsidRDefault="007F31E6" w:rsidP="007F31E6">
      <w:pPr>
        <w:pStyle w:val="Textonotapie"/>
        <w:rPr>
          <w:sz w:val="20"/>
        </w:rPr>
      </w:pPr>
      <w:r w:rsidRPr="007F31E6">
        <w:tab/>
      </w:r>
      <w:r w:rsidRPr="007F31E6">
        <w:rPr>
          <w:rStyle w:val="Refdenotaalpie"/>
          <w:sz w:val="20"/>
          <w:vertAlign w:val="baseline"/>
        </w:rPr>
        <w:t>*</w:t>
      </w:r>
      <w:r w:rsidRPr="007F31E6">
        <w:rPr>
          <w:rStyle w:val="Refdenotaalpie"/>
          <w:vertAlign w:val="baseline"/>
        </w:rPr>
        <w:tab/>
      </w:r>
      <w:r w:rsidRPr="007F31E6">
        <w:t>Aprobada por el Comité en su 62º período de sesiones (6 de noviembre a 6 de diciembre de 2017).</w:t>
      </w:r>
    </w:p>
  </w:footnote>
  <w:footnote w:id="2">
    <w:p w:rsidR="007F31E6" w:rsidRPr="007F31E6" w:rsidRDefault="007F31E6" w:rsidP="007F31E6">
      <w:pPr>
        <w:pStyle w:val="Textonotapie"/>
      </w:pPr>
      <w:r w:rsidRPr="007F31E6">
        <w:tab/>
      </w:r>
      <w:r w:rsidRPr="007F31E6">
        <w:rPr>
          <w:rStyle w:val="Refdenotaalpie"/>
        </w:rPr>
        <w:footnoteRef/>
      </w:r>
      <w:r w:rsidRPr="007F31E6">
        <w:tab/>
        <w:t>Salvo indicación contraria, los números de párrafo que figuran entre paréntesis se refieren a las anteriores observaciones finales aprobadas por el Comité.</w:t>
      </w:r>
    </w:p>
  </w:footnote>
  <w:footnote w:id="3">
    <w:p w:rsidR="007F31E6" w:rsidRPr="007F31E6" w:rsidRDefault="007F31E6" w:rsidP="007F31E6">
      <w:pPr>
        <w:pStyle w:val="Textonotapie"/>
      </w:pPr>
      <w:r w:rsidRPr="007F31E6">
        <w:tab/>
      </w:r>
      <w:r w:rsidRPr="007F31E6">
        <w:rPr>
          <w:rStyle w:val="Refdenotaalpie"/>
        </w:rPr>
        <w:footnoteRef/>
      </w:r>
      <w:r w:rsidRPr="007F31E6">
        <w:tab/>
        <w:t xml:space="preserve">Los temas que se tratan en relación con el artículo 2 también se pueden tratar en relación con otros artículos de </w:t>
      </w:r>
      <w:smartTag w:uri="urn:schemas-microsoft-com:office:smarttags" w:element="PersonName">
        <w:smartTagPr>
          <w:attr w:name="ProductID" w:val="la Convenci￳n"/>
        </w:smartTagPr>
        <w:r w:rsidRPr="007F31E6">
          <w:t>la Convención</w:t>
        </w:r>
      </w:smartTag>
      <w:r w:rsidRPr="007F31E6">
        <w:t>, en particular el artículo 16. Como se indica en el párrafo 3 de la observación general núm. 2 (2007) sobre la aplicación del artículo 2 por los Estados partes, la obligación de impedir los actos de tortura, estipulada en el artículo 2, tiene gran alcance. Las obligaciones de prevenir la tortura u otros tratos o penas crueles, inhumanos o degradantes previstas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la parte V de esta misma observación general.</w:t>
      </w:r>
    </w:p>
  </w:footnote>
  <w:footnote w:id="4">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CAT/C/MRT/2, párrs. 4 y 20.</w:t>
      </w:r>
    </w:p>
  </w:footnote>
  <w:footnote w:id="5">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A/HRC/34/54/Add.1, párr. 117 b), c) y d)</w:t>
      </w:r>
      <w:r w:rsidR="00214F68">
        <w:t>.</w:t>
      </w:r>
    </w:p>
  </w:footnote>
  <w:footnote w:id="6">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r>
      <w:r w:rsidRPr="007F31E6">
        <w:rPr>
          <w:i/>
          <w:iCs/>
        </w:rPr>
        <w:t>Ibid</w:t>
      </w:r>
      <w:r w:rsidRPr="007F31E6">
        <w:t xml:space="preserve">., párr. 119 b). </w:t>
      </w:r>
    </w:p>
  </w:footnote>
  <w:footnote w:id="7">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r>
      <w:r w:rsidRPr="007F31E6">
        <w:rPr>
          <w:i/>
          <w:iCs/>
        </w:rPr>
        <w:t>Ibid</w:t>
      </w:r>
      <w:r w:rsidRPr="007F31E6">
        <w:t xml:space="preserve">., párrs. </w:t>
      </w:r>
      <w:smartTag w:uri="urn:schemas-microsoft-com:office:smarttags" w:element="metricconverter">
        <w:smartTagPr>
          <w:attr w:name="ProductID" w:val="75 a"/>
        </w:smartTagPr>
        <w:r w:rsidRPr="007F31E6">
          <w:t>75 a</w:t>
        </w:r>
      </w:smartTag>
      <w:r w:rsidRPr="007F31E6">
        <w:t xml:space="preserve"> 79. </w:t>
      </w:r>
    </w:p>
  </w:footnote>
  <w:footnote w:id="8">
    <w:p w:rsidR="007F31E6" w:rsidRPr="007F31E6" w:rsidRDefault="007F31E6" w:rsidP="007F31E6">
      <w:pPr>
        <w:pStyle w:val="Textonotapie"/>
      </w:pPr>
      <w:r w:rsidRPr="007F31E6">
        <w:tab/>
      </w:r>
      <w:r w:rsidRPr="007F31E6">
        <w:rPr>
          <w:rStyle w:val="Refdenotaalpie"/>
        </w:rPr>
        <w:footnoteRef/>
      </w:r>
      <w:r w:rsidRPr="007F31E6">
        <w:tab/>
      </w:r>
      <w:r w:rsidRPr="007F31E6">
        <w:rPr>
          <w:i/>
          <w:iCs/>
        </w:rPr>
        <w:t>Ibid</w:t>
      </w:r>
      <w:r w:rsidRPr="007F31E6">
        <w:t>., párr. 80.</w:t>
      </w:r>
    </w:p>
  </w:footnote>
  <w:footnote w:id="9">
    <w:p w:rsidR="007F31E6" w:rsidRPr="007F31E6" w:rsidRDefault="007F31E6" w:rsidP="007F31E6">
      <w:pPr>
        <w:pStyle w:val="Textonotapie"/>
      </w:pPr>
      <w:r w:rsidRPr="007F31E6">
        <w:tab/>
      </w:r>
      <w:r w:rsidRPr="007F31E6">
        <w:rPr>
          <w:rStyle w:val="Refdenotaalpie"/>
        </w:rPr>
        <w:footnoteRef/>
      </w:r>
      <w:r w:rsidRPr="00AC5A89">
        <w:rPr>
          <w:lang w:val="en-US"/>
        </w:rPr>
        <w:t xml:space="preserve"> </w:t>
      </w:r>
      <w:r w:rsidRPr="00AC5A89">
        <w:rPr>
          <w:lang w:val="en-US"/>
        </w:rPr>
        <w:tab/>
        <w:t xml:space="preserve">Véanse CAT/C/MRT/CO/1, párr. </w:t>
      </w:r>
      <w:r w:rsidRPr="007F31E6">
        <w:t>10 c), y A/HRC/34/54/Add.1, párrs. 22 y 33.</w:t>
      </w:r>
    </w:p>
  </w:footnote>
  <w:footnote w:id="10">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A/HRC/34/54/Add.1, párrs.</w:t>
      </w:r>
      <w:r w:rsidR="00147D13">
        <w:t xml:space="preserve"> </w:t>
      </w:r>
      <w:r w:rsidRPr="007F31E6">
        <w:t xml:space="preserve">58 y </w:t>
      </w:r>
      <w:smartTag w:uri="urn:schemas-microsoft-com:office:smarttags" w:element="metricconverter">
        <w:smartTagPr>
          <w:attr w:name="ProductID" w:val="119 a"/>
        </w:smartTagPr>
        <w:r w:rsidRPr="007F31E6">
          <w:t>119 a</w:t>
        </w:r>
      </w:smartTag>
      <w:r w:rsidRPr="007F31E6">
        <w:t xml:space="preserve">). </w:t>
      </w:r>
    </w:p>
  </w:footnote>
  <w:footnote w:id="11">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CAT/C/MRT/2, párr. 58.</w:t>
      </w:r>
    </w:p>
  </w:footnote>
  <w:footnote w:id="12">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A/HRC/34/54/Add.1, párr. 10.</w:t>
      </w:r>
    </w:p>
  </w:footnote>
  <w:footnote w:id="13">
    <w:p w:rsidR="007F31E6" w:rsidRPr="00AC5A89" w:rsidRDefault="007F31E6" w:rsidP="007F31E6">
      <w:pPr>
        <w:pStyle w:val="Textonotapie"/>
        <w:rPr>
          <w:lang w:val="en-US"/>
        </w:rPr>
      </w:pPr>
      <w:r w:rsidRPr="007F31E6">
        <w:tab/>
      </w:r>
      <w:r w:rsidRPr="007F31E6">
        <w:rPr>
          <w:rStyle w:val="Refdenotaalpie"/>
        </w:rPr>
        <w:footnoteRef/>
      </w:r>
      <w:r w:rsidRPr="00AC5A89">
        <w:rPr>
          <w:lang w:val="en-US"/>
        </w:rPr>
        <w:t xml:space="preserve"> </w:t>
      </w:r>
      <w:r w:rsidRPr="00AC5A89">
        <w:rPr>
          <w:lang w:val="en-US"/>
        </w:rPr>
        <w:tab/>
      </w:r>
      <w:r w:rsidRPr="00AC5A89">
        <w:rPr>
          <w:i/>
          <w:iCs/>
          <w:lang w:val="en-US"/>
        </w:rPr>
        <w:t>Ibid</w:t>
      </w:r>
      <w:r w:rsidRPr="00AC5A89">
        <w:rPr>
          <w:lang w:val="en-US"/>
        </w:rPr>
        <w:t>.</w:t>
      </w:r>
    </w:p>
  </w:footnote>
  <w:footnote w:id="14">
    <w:p w:rsidR="007F31E6" w:rsidRPr="00AC5A89" w:rsidRDefault="007F31E6" w:rsidP="007F31E6">
      <w:pPr>
        <w:pStyle w:val="Textonotapie"/>
        <w:rPr>
          <w:lang w:val="en-US"/>
        </w:rPr>
      </w:pPr>
      <w:r w:rsidRPr="00AC5A89">
        <w:rPr>
          <w:lang w:val="en-US"/>
        </w:rPr>
        <w:tab/>
      </w:r>
      <w:r w:rsidRPr="007F31E6">
        <w:rPr>
          <w:rStyle w:val="Refdenotaalpie"/>
        </w:rPr>
        <w:footnoteRef/>
      </w:r>
      <w:r w:rsidRPr="00AC5A89">
        <w:rPr>
          <w:lang w:val="en-US"/>
        </w:rPr>
        <w:t xml:space="preserve"> </w:t>
      </w:r>
      <w:r w:rsidRPr="00AC5A89">
        <w:rPr>
          <w:lang w:val="en-US"/>
        </w:rPr>
        <w:tab/>
        <w:t xml:space="preserve">Véase CAT/C/MRT/2, párrs. 33 a 41. </w:t>
      </w:r>
    </w:p>
  </w:footnote>
  <w:footnote w:id="15">
    <w:p w:rsidR="007F31E6" w:rsidRPr="00AC5A89" w:rsidRDefault="007F31E6" w:rsidP="007F31E6">
      <w:pPr>
        <w:pStyle w:val="Textonotapie"/>
        <w:rPr>
          <w:lang w:val="en-US"/>
        </w:rPr>
      </w:pPr>
      <w:r w:rsidRPr="00AC5A89">
        <w:rPr>
          <w:lang w:val="en-US"/>
        </w:rPr>
        <w:tab/>
      </w:r>
      <w:r w:rsidRPr="007F31E6">
        <w:rPr>
          <w:rStyle w:val="Refdenotaalpie"/>
        </w:rPr>
        <w:footnoteRef/>
      </w:r>
      <w:r w:rsidRPr="00AC5A89">
        <w:rPr>
          <w:lang w:val="en-US"/>
        </w:rPr>
        <w:tab/>
      </w:r>
      <w:r w:rsidRPr="00AC5A89">
        <w:rPr>
          <w:i/>
          <w:iCs/>
          <w:lang w:val="en-US"/>
        </w:rPr>
        <w:t>Ibid</w:t>
      </w:r>
      <w:r w:rsidRPr="00AC5A89">
        <w:rPr>
          <w:lang w:val="en-US"/>
        </w:rPr>
        <w:t>., párrs. 138 a 140.</w:t>
      </w:r>
    </w:p>
  </w:footnote>
  <w:footnote w:id="16">
    <w:p w:rsidR="007F31E6" w:rsidRPr="00AC5A89" w:rsidRDefault="007F31E6" w:rsidP="007F31E6">
      <w:pPr>
        <w:pStyle w:val="Textonotapie"/>
        <w:rPr>
          <w:lang w:val="en-US"/>
        </w:rPr>
      </w:pPr>
      <w:r w:rsidRPr="00AC5A89">
        <w:rPr>
          <w:lang w:val="en-US"/>
        </w:rPr>
        <w:tab/>
      </w:r>
      <w:r w:rsidRPr="007F31E6">
        <w:rPr>
          <w:rStyle w:val="Refdenotaalpie"/>
        </w:rPr>
        <w:footnoteRef/>
      </w:r>
      <w:r w:rsidRPr="00AC5A89">
        <w:rPr>
          <w:lang w:val="en-US"/>
        </w:rPr>
        <w:tab/>
        <w:t xml:space="preserve">Véase CEDAW/C/MRT/CO/2-3, párr. 27. </w:t>
      </w:r>
    </w:p>
  </w:footnote>
  <w:footnote w:id="17">
    <w:p w:rsidR="007F31E6" w:rsidRPr="00AC5A89" w:rsidRDefault="007F31E6" w:rsidP="007F31E6">
      <w:pPr>
        <w:pStyle w:val="Textonotapie"/>
        <w:rPr>
          <w:lang w:val="en-US"/>
        </w:rPr>
      </w:pPr>
      <w:r w:rsidRPr="00AC5A89">
        <w:rPr>
          <w:lang w:val="en-US"/>
        </w:rPr>
        <w:tab/>
      </w:r>
      <w:r w:rsidRPr="007F31E6">
        <w:rPr>
          <w:rStyle w:val="Refdenotaalpie"/>
        </w:rPr>
        <w:footnoteRef/>
      </w:r>
      <w:r w:rsidRPr="00AC5A89">
        <w:rPr>
          <w:lang w:val="en-US"/>
        </w:rPr>
        <w:t xml:space="preserve"> </w:t>
      </w:r>
      <w:r w:rsidRPr="00AC5A89">
        <w:rPr>
          <w:lang w:val="en-US"/>
        </w:rPr>
        <w:tab/>
        <w:t>Véase CAT/C/MRT/2, párrs. 68 a 76.</w:t>
      </w:r>
    </w:p>
  </w:footnote>
  <w:footnote w:id="18">
    <w:p w:rsidR="007F31E6" w:rsidRPr="007F31E6" w:rsidRDefault="007F31E6" w:rsidP="007F31E6">
      <w:pPr>
        <w:pStyle w:val="Textonotapie"/>
      </w:pPr>
      <w:r w:rsidRPr="00AC5A89">
        <w:rPr>
          <w:lang w:val="en-US"/>
        </w:rPr>
        <w:tab/>
      </w:r>
      <w:r w:rsidRPr="007F31E6">
        <w:rPr>
          <w:rStyle w:val="Refdenotaalpie"/>
        </w:rPr>
        <w:footnoteRef/>
      </w:r>
      <w:r w:rsidRPr="007F31E6">
        <w:t xml:space="preserve"> </w:t>
      </w:r>
      <w:r w:rsidRPr="007F31E6">
        <w:tab/>
        <w:t>Véase A/HRC/34/54/Add.1, párr. 37.</w:t>
      </w:r>
    </w:p>
  </w:footnote>
  <w:footnote w:id="19">
    <w:p w:rsidR="007F31E6" w:rsidRPr="007F31E6" w:rsidRDefault="007F31E6" w:rsidP="007F31E6">
      <w:pPr>
        <w:pStyle w:val="Textonotapie"/>
      </w:pPr>
      <w:r w:rsidRPr="007F31E6">
        <w:tab/>
      </w:r>
      <w:r w:rsidRPr="007F31E6">
        <w:rPr>
          <w:rStyle w:val="Refdenotaalpie"/>
        </w:rPr>
        <w:footnoteRef/>
      </w:r>
      <w:r w:rsidRPr="00AC5A89">
        <w:rPr>
          <w:lang w:val="en-US"/>
        </w:rPr>
        <w:t xml:space="preserve"> </w:t>
      </w:r>
      <w:r w:rsidRPr="00AC5A89">
        <w:rPr>
          <w:lang w:val="en-US"/>
        </w:rPr>
        <w:tab/>
        <w:t>Véanse CAT/C/MRT/2, párrs.</w:t>
      </w:r>
      <w:r w:rsidR="00147D13" w:rsidRPr="00AC5A89">
        <w:rPr>
          <w:lang w:val="en-US"/>
        </w:rPr>
        <w:t xml:space="preserve"> </w:t>
      </w:r>
      <w:r w:rsidRPr="00AC5A89">
        <w:rPr>
          <w:lang w:val="en-US"/>
        </w:rPr>
        <w:t xml:space="preserve">77 a 79; A/HRC/16/17, párr. </w:t>
      </w:r>
      <w:r w:rsidRPr="007F31E6">
        <w:t>91.13, y A/HRC/34/54/Add.1, párr. 54.</w:t>
      </w:r>
    </w:p>
  </w:footnote>
  <w:footnote w:id="20">
    <w:p w:rsidR="007F31E6" w:rsidRPr="007F31E6" w:rsidRDefault="007F31E6" w:rsidP="007F31E6">
      <w:pPr>
        <w:pStyle w:val="Textonotapie"/>
      </w:pPr>
      <w:r w:rsidRPr="007F31E6">
        <w:tab/>
      </w:r>
      <w:r w:rsidRPr="007F31E6">
        <w:rPr>
          <w:rStyle w:val="Refdenotaalpie"/>
        </w:rPr>
        <w:footnoteRef/>
      </w:r>
      <w:r w:rsidRPr="00AC5A89">
        <w:rPr>
          <w:lang w:val="en-US"/>
        </w:rPr>
        <w:t xml:space="preserve"> </w:t>
      </w:r>
      <w:r w:rsidRPr="00AC5A89">
        <w:rPr>
          <w:lang w:val="en-US"/>
        </w:rPr>
        <w:tab/>
        <w:t xml:space="preserve">Véase A/HRC/WG.6/23/MRT/3, párr. </w:t>
      </w:r>
      <w:r w:rsidRPr="007F31E6">
        <w:t>62.</w:t>
      </w:r>
    </w:p>
  </w:footnote>
  <w:footnote w:id="21">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 xml:space="preserve">Véase A/HRC/34/54/Add.1, párr. </w:t>
      </w:r>
      <w:smartTag w:uri="urn:schemas-microsoft-com:office:smarttags" w:element="metricconverter">
        <w:smartTagPr>
          <w:attr w:name="ProductID" w:val="121 a"/>
        </w:smartTagPr>
        <w:r w:rsidRPr="007F31E6">
          <w:t>121 a</w:t>
        </w:r>
      </w:smartTag>
      <w:r w:rsidRPr="007F31E6">
        <w:t xml:space="preserve">) y b). </w:t>
      </w:r>
    </w:p>
  </w:footnote>
  <w:footnote w:id="22">
    <w:p w:rsidR="007F31E6" w:rsidRPr="007F31E6" w:rsidRDefault="007F31E6" w:rsidP="007F31E6">
      <w:pPr>
        <w:pStyle w:val="Textonotapie"/>
      </w:pPr>
      <w:r w:rsidRPr="007F31E6">
        <w:tab/>
      </w:r>
      <w:r w:rsidRPr="007F31E6">
        <w:rPr>
          <w:rStyle w:val="Refdenotaalpie"/>
        </w:rPr>
        <w:footnoteRef/>
      </w:r>
      <w:r w:rsidRPr="00AC5A89">
        <w:rPr>
          <w:lang w:val="en-US"/>
        </w:rPr>
        <w:t xml:space="preserve"> </w:t>
      </w:r>
      <w:r w:rsidRPr="00AC5A89">
        <w:rPr>
          <w:lang w:val="en-US"/>
        </w:rPr>
        <w:tab/>
        <w:t xml:space="preserve">Véase CCPR/C/MRT/CO/1, párr. </w:t>
      </w:r>
      <w:r w:rsidRPr="007F31E6">
        <w:t>14.</w:t>
      </w:r>
    </w:p>
  </w:footnote>
  <w:footnote w:id="23">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A/HRC/34/54/Add.1, párr. 23.</w:t>
      </w:r>
    </w:p>
  </w:footnote>
  <w:footnote w:id="24">
    <w:p w:rsidR="007F31E6" w:rsidRPr="00AC5A89" w:rsidRDefault="007F31E6" w:rsidP="007F31E6">
      <w:pPr>
        <w:pStyle w:val="Textonotapie"/>
        <w:rPr>
          <w:lang w:val="en-US"/>
        </w:rPr>
      </w:pPr>
      <w:r w:rsidRPr="007F31E6">
        <w:tab/>
      </w:r>
      <w:r w:rsidRPr="007F31E6">
        <w:rPr>
          <w:rStyle w:val="Refdenotaalpie"/>
        </w:rPr>
        <w:footnoteRef/>
      </w:r>
      <w:r w:rsidRPr="00AC5A89">
        <w:rPr>
          <w:lang w:val="en-US"/>
        </w:rPr>
        <w:tab/>
        <w:t xml:space="preserve">Véase CAT/C/MRT/2, párrs. </w:t>
      </w:r>
      <w:smartTag w:uri="urn:schemas-microsoft-com:office:smarttags" w:element="metricconverter">
        <w:smartTagPr>
          <w:attr w:name="ProductID" w:val="114 a"/>
        </w:smartTagPr>
        <w:r w:rsidRPr="00AC5A89">
          <w:rPr>
            <w:lang w:val="en-US"/>
          </w:rPr>
          <w:t>114 a</w:t>
        </w:r>
      </w:smartTag>
      <w:r w:rsidRPr="00AC5A89">
        <w:rPr>
          <w:lang w:val="en-US"/>
        </w:rPr>
        <w:t xml:space="preserve"> 135.</w:t>
      </w:r>
    </w:p>
  </w:footnote>
  <w:footnote w:id="25">
    <w:p w:rsidR="007F31E6" w:rsidRPr="007F31E6" w:rsidRDefault="007F31E6" w:rsidP="007F31E6">
      <w:pPr>
        <w:pStyle w:val="Textonotapie"/>
      </w:pPr>
      <w:r w:rsidRPr="00AC5A89">
        <w:rPr>
          <w:lang w:val="en-US"/>
        </w:rPr>
        <w:tab/>
      </w:r>
      <w:r w:rsidRPr="007F31E6">
        <w:rPr>
          <w:rStyle w:val="Refdenotaalpie"/>
        </w:rPr>
        <w:footnoteRef/>
      </w:r>
      <w:r w:rsidRPr="007F31E6">
        <w:t xml:space="preserve"> </w:t>
      </w:r>
      <w:r w:rsidRPr="007F31E6">
        <w:tab/>
        <w:t>Véase A/HRC/34/54/Add.1 párr. 44.</w:t>
      </w:r>
    </w:p>
  </w:footnote>
  <w:footnote w:id="26">
    <w:p w:rsidR="007F31E6" w:rsidRPr="007F31E6" w:rsidRDefault="007F31E6" w:rsidP="00076442">
      <w:pPr>
        <w:pStyle w:val="Textonotapie"/>
      </w:pPr>
      <w:r w:rsidRPr="007F31E6">
        <w:tab/>
      </w:r>
      <w:r w:rsidRPr="007F31E6">
        <w:rPr>
          <w:rStyle w:val="Refdenotaalpie"/>
        </w:rPr>
        <w:footnoteRef/>
      </w:r>
      <w:r w:rsidRPr="007F31E6">
        <w:tab/>
      </w:r>
      <w:r w:rsidRPr="007F31E6">
        <w:rPr>
          <w:i/>
          <w:iCs/>
        </w:rPr>
        <w:t>Ibid</w:t>
      </w:r>
      <w:r w:rsidRPr="007F31E6">
        <w:t xml:space="preserve">., párrs. 64, 65 y 118 </w:t>
      </w:r>
      <w:r w:rsidR="00076442">
        <w:t>e</w:t>
      </w:r>
      <w:r w:rsidRPr="007F31E6">
        <w:t xml:space="preserve">). </w:t>
      </w:r>
    </w:p>
  </w:footnote>
  <w:footnote w:id="27">
    <w:p w:rsidR="007F31E6" w:rsidRPr="00AC5A89" w:rsidRDefault="007F31E6" w:rsidP="007F31E6">
      <w:pPr>
        <w:pStyle w:val="Textonotapie"/>
        <w:rPr>
          <w:lang w:val="en-US"/>
        </w:rPr>
      </w:pPr>
      <w:r w:rsidRPr="007F31E6">
        <w:tab/>
      </w:r>
      <w:r w:rsidRPr="007F31E6">
        <w:rPr>
          <w:rStyle w:val="Refdenotaalpie"/>
        </w:rPr>
        <w:footnoteRef/>
      </w:r>
      <w:r w:rsidRPr="007F31E6">
        <w:tab/>
      </w:r>
      <w:r w:rsidRPr="007F31E6">
        <w:rPr>
          <w:i/>
          <w:iCs/>
        </w:rPr>
        <w:t>Ibid</w:t>
      </w:r>
      <w:r w:rsidRPr="007F31E6">
        <w:t xml:space="preserve">., párr. </w:t>
      </w:r>
      <w:r w:rsidRPr="00AC5A89">
        <w:rPr>
          <w:lang w:val="en-US"/>
        </w:rPr>
        <w:t>48.</w:t>
      </w:r>
    </w:p>
  </w:footnote>
  <w:footnote w:id="28">
    <w:p w:rsidR="007F31E6" w:rsidRPr="00AC5A89" w:rsidRDefault="007F31E6" w:rsidP="007F31E6">
      <w:pPr>
        <w:pStyle w:val="Textonotapie"/>
        <w:rPr>
          <w:lang w:val="en-US"/>
        </w:rPr>
      </w:pPr>
      <w:r w:rsidRPr="00AC5A89">
        <w:rPr>
          <w:lang w:val="en-US"/>
        </w:rPr>
        <w:tab/>
      </w:r>
      <w:r w:rsidRPr="007F31E6">
        <w:rPr>
          <w:rStyle w:val="Refdenotaalpie"/>
        </w:rPr>
        <w:footnoteRef/>
      </w:r>
      <w:r w:rsidRPr="00AC5A89">
        <w:rPr>
          <w:lang w:val="en-US"/>
        </w:rPr>
        <w:tab/>
      </w:r>
      <w:r w:rsidRPr="00AC5A89">
        <w:rPr>
          <w:i/>
          <w:iCs/>
          <w:lang w:val="en-US"/>
        </w:rPr>
        <w:t>Ibid</w:t>
      </w:r>
      <w:r w:rsidRPr="00AC5A89">
        <w:rPr>
          <w:lang w:val="en-US"/>
        </w:rPr>
        <w:t xml:space="preserve">., párr. 53. </w:t>
      </w:r>
    </w:p>
  </w:footnote>
  <w:footnote w:id="29">
    <w:p w:rsidR="007F31E6" w:rsidRPr="00AC5A89" w:rsidRDefault="007F31E6" w:rsidP="007F31E6">
      <w:pPr>
        <w:pStyle w:val="Textonotapie"/>
        <w:rPr>
          <w:lang w:val="en-US"/>
        </w:rPr>
      </w:pPr>
      <w:r w:rsidRPr="00AC5A89">
        <w:rPr>
          <w:lang w:val="en-US"/>
        </w:rPr>
        <w:tab/>
      </w:r>
      <w:r w:rsidRPr="007F31E6">
        <w:rPr>
          <w:rStyle w:val="Refdenotaalpie"/>
        </w:rPr>
        <w:footnoteRef/>
      </w:r>
      <w:r w:rsidRPr="00AC5A89">
        <w:rPr>
          <w:lang w:val="en-US"/>
        </w:rPr>
        <w:tab/>
      </w:r>
      <w:r w:rsidRPr="00AC5A89">
        <w:rPr>
          <w:i/>
          <w:iCs/>
          <w:lang w:val="en-US"/>
        </w:rPr>
        <w:t>Ibid</w:t>
      </w:r>
      <w:r w:rsidRPr="00AC5A89">
        <w:rPr>
          <w:lang w:val="en-US"/>
        </w:rPr>
        <w:t xml:space="preserve">., párr. 47. </w:t>
      </w:r>
    </w:p>
  </w:footnote>
  <w:footnote w:id="30">
    <w:p w:rsidR="007F31E6" w:rsidRPr="00AC5A89" w:rsidRDefault="007F31E6" w:rsidP="007F31E6">
      <w:pPr>
        <w:pStyle w:val="Textonotapie"/>
        <w:rPr>
          <w:lang w:val="en-US"/>
        </w:rPr>
      </w:pPr>
      <w:r w:rsidRPr="00AC5A89">
        <w:rPr>
          <w:lang w:val="en-US"/>
        </w:rPr>
        <w:tab/>
      </w:r>
      <w:r w:rsidRPr="007F31E6">
        <w:rPr>
          <w:rStyle w:val="Refdenotaalpie"/>
        </w:rPr>
        <w:footnoteRef/>
      </w:r>
      <w:r w:rsidRPr="00AC5A89">
        <w:rPr>
          <w:lang w:val="en-US"/>
        </w:rPr>
        <w:tab/>
      </w:r>
      <w:r w:rsidRPr="00AC5A89">
        <w:rPr>
          <w:i/>
          <w:iCs/>
          <w:lang w:val="en-US"/>
        </w:rPr>
        <w:t>Ibid</w:t>
      </w:r>
      <w:r w:rsidRPr="00AC5A89">
        <w:rPr>
          <w:lang w:val="en-US"/>
        </w:rPr>
        <w:t>., párr. 118 i).</w:t>
      </w:r>
    </w:p>
  </w:footnote>
  <w:footnote w:id="31">
    <w:p w:rsidR="007F31E6" w:rsidRPr="007F31E6" w:rsidRDefault="007F31E6" w:rsidP="007F31E6">
      <w:pPr>
        <w:pStyle w:val="Textonotapie"/>
      </w:pPr>
      <w:r w:rsidRPr="00AC5A89">
        <w:rPr>
          <w:lang w:val="en-US"/>
        </w:rPr>
        <w:tab/>
      </w:r>
      <w:r w:rsidRPr="007F31E6">
        <w:rPr>
          <w:rStyle w:val="Refdenotaalpie"/>
        </w:rPr>
        <w:footnoteRef/>
      </w:r>
      <w:r w:rsidRPr="007F31E6">
        <w:tab/>
      </w:r>
      <w:r w:rsidRPr="007F31E6">
        <w:rPr>
          <w:i/>
          <w:iCs/>
        </w:rPr>
        <w:t>Ibid</w:t>
      </w:r>
      <w:r w:rsidRPr="007F31E6">
        <w:t xml:space="preserve">., párr. </w:t>
      </w:r>
      <w:smartTag w:uri="urn:schemas-microsoft-com:office:smarttags" w:element="metricconverter">
        <w:smartTagPr>
          <w:attr w:name="ProductID" w:val="118 g"/>
        </w:smartTagPr>
        <w:r w:rsidRPr="007F31E6">
          <w:t>118 g</w:t>
        </w:r>
      </w:smartTag>
      <w:r w:rsidRPr="007F31E6">
        <w:t xml:space="preserve">) y h). </w:t>
      </w:r>
    </w:p>
  </w:footnote>
  <w:footnote w:id="32">
    <w:p w:rsidR="007F31E6" w:rsidRPr="007F31E6" w:rsidRDefault="007F31E6" w:rsidP="007F31E6">
      <w:pPr>
        <w:pStyle w:val="Textonotapie"/>
      </w:pPr>
      <w:r w:rsidRPr="007F31E6">
        <w:tab/>
      </w:r>
      <w:r w:rsidRPr="007F31E6">
        <w:rPr>
          <w:rStyle w:val="Refdenotaalpie"/>
        </w:rPr>
        <w:footnoteRef/>
      </w:r>
      <w:r w:rsidRPr="007F31E6">
        <w:tab/>
      </w:r>
      <w:r w:rsidRPr="007F31E6">
        <w:rPr>
          <w:i/>
          <w:iCs/>
        </w:rPr>
        <w:t>Ibid</w:t>
      </w:r>
      <w:r w:rsidRPr="007F31E6">
        <w:t xml:space="preserve">, párr. 49. </w:t>
      </w:r>
    </w:p>
  </w:footnote>
  <w:footnote w:id="33">
    <w:p w:rsidR="007F31E6" w:rsidRPr="007F31E6" w:rsidRDefault="007F31E6" w:rsidP="007F31E6">
      <w:pPr>
        <w:pStyle w:val="Textonotapie"/>
      </w:pPr>
      <w:r w:rsidRPr="007F31E6">
        <w:tab/>
      </w:r>
      <w:r w:rsidRPr="007F31E6">
        <w:rPr>
          <w:rStyle w:val="Refdenotaalpie"/>
        </w:rPr>
        <w:footnoteRef/>
      </w:r>
      <w:r w:rsidRPr="007F31E6">
        <w:tab/>
      </w:r>
      <w:r w:rsidRPr="007F31E6">
        <w:rPr>
          <w:i/>
          <w:iCs/>
        </w:rPr>
        <w:t>Ibid</w:t>
      </w:r>
      <w:r w:rsidRPr="007F31E6">
        <w:t xml:space="preserve">, párr. 53. </w:t>
      </w:r>
    </w:p>
  </w:footnote>
  <w:footnote w:id="34">
    <w:p w:rsidR="007F31E6" w:rsidRPr="007F31E6" w:rsidRDefault="007F31E6" w:rsidP="007F31E6">
      <w:pPr>
        <w:pStyle w:val="Textonotapie"/>
      </w:pPr>
      <w:r w:rsidRPr="007F31E6">
        <w:tab/>
      </w:r>
      <w:r w:rsidRPr="007F31E6">
        <w:rPr>
          <w:rStyle w:val="Refdenotaalpie"/>
        </w:rPr>
        <w:footnoteRef/>
      </w:r>
      <w:r w:rsidRPr="007F31E6">
        <w:tab/>
      </w:r>
      <w:r w:rsidRPr="007F31E6">
        <w:rPr>
          <w:i/>
          <w:iCs/>
        </w:rPr>
        <w:t>Ibid</w:t>
      </w:r>
      <w:r w:rsidRPr="007F31E6">
        <w:t xml:space="preserve">., párr. 50. </w:t>
      </w:r>
    </w:p>
  </w:footnote>
  <w:footnote w:id="35">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r>
      <w:r w:rsidRPr="007F31E6">
        <w:rPr>
          <w:i/>
          <w:iCs/>
        </w:rPr>
        <w:t>Ibid</w:t>
      </w:r>
      <w:r w:rsidRPr="007F31E6">
        <w:t>., párr. 25.</w:t>
      </w:r>
    </w:p>
  </w:footnote>
  <w:footnote w:id="36">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r>
      <w:r w:rsidRPr="007F31E6">
        <w:rPr>
          <w:i/>
          <w:iCs/>
        </w:rPr>
        <w:t>Ibid</w:t>
      </w:r>
      <w:r w:rsidRPr="007F31E6">
        <w:t xml:space="preserve">., párr. 18. </w:t>
      </w:r>
    </w:p>
  </w:footnote>
  <w:footnote w:id="37">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CAT/C/MRT/2, párrs. 13 y 18</w:t>
      </w:r>
      <w:r w:rsidR="00F2237A">
        <w:t>.</w:t>
      </w:r>
    </w:p>
  </w:footnote>
  <w:footnote w:id="38">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A/HRC/34/54/Add.1, párrs. 95 y 96.</w:t>
      </w:r>
    </w:p>
  </w:footnote>
  <w:footnote w:id="39">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 xml:space="preserve">Véase CAT/C/MRT/2, párr. 84. </w:t>
      </w:r>
    </w:p>
  </w:footnote>
  <w:footnote w:id="40">
    <w:p w:rsidR="007F31E6" w:rsidRPr="007F31E6" w:rsidRDefault="007F31E6" w:rsidP="007F31E6">
      <w:pPr>
        <w:pStyle w:val="Textonotapie"/>
      </w:pPr>
      <w:r w:rsidRPr="007F31E6">
        <w:tab/>
      </w:r>
      <w:r w:rsidRPr="007F31E6">
        <w:rPr>
          <w:rStyle w:val="Refdenotaalpie"/>
        </w:rPr>
        <w:footnoteRef/>
      </w:r>
      <w:r w:rsidRPr="00AC5A89">
        <w:rPr>
          <w:lang w:val="en-US"/>
        </w:rPr>
        <w:t xml:space="preserve"> </w:t>
      </w:r>
      <w:r w:rsidRPr="00AC5A89">
        <w:rPr>
          <w:lang w:val="en-US"/>
        </w:rPr>
        <w:tab/>
        <w:t xml:space="preserve">Véase A/HRC/34/54/Add.1, párrs. </w:t>
      </w:r>
      <w:r w:rsidRPr="007F31E6">
        <w:t xml:space="preserve">14 y </w:t>
      </w:r>
      <w:smartTag w:uri="urn:schemas-microsoft-com:office:smarttags" w:element="metricconverter">
        <w:smartTagPr>
          <w:attr w:name="ProductID" w:val="106 a"/>
        </w:smartTagPr>
        <w:r w:rsidRPr="007F31E6">
          <w:t>106 a</w:t>
        </w:r>
      </w:smartTag>
      <w:r w:rsidRPr="007F31E6">
        <w:t xml:space="preserve"> 109.</w:t>
      </w:r>
    </w:p>
  </w:footnote>
  <w:footnote w:id="41">
    <w:p w:rsidR="007F31E6" w:rsidRPr="007F31E6" w:rsidRDefault="007F31E6" w:rsidP="007F31E6">
      <w:pPr>
        <w:pStyle w:val="Textonotapie"/>
      </w:pPr>
      <w:r w:rsidRPr="007F31E6">
        <w:tab/>
      </w:r>
      <w:r w:rsidRPr="007F31E6">
        <w:rPr>
          <w:rStyle w:val="Refdenotaalpie"/>
        </w:rPr>
        <w:footnoteRef/>
      </w:r>
      <w:r w:rsidRPr="007F31E6">
        <w:t xml:space="preserve"> </w:t>
      </w:r>
      <w:r w:rsidRPr="007F31E6">
        <w:tab/>
        <w:t>Véase CAT/C/MRT/2, párr.</w:t>
      </w:r>
      <w:r w:rsidR="00147D13">
        <w:t xml:space="preserve"> </w:t>
      </w:r>
      <w:r w:rsidRPr="007F31E6">
        <w:t xml:space="preserve">132. </w:t>
      </w:r>
    </w:p>
  </w:footnote>
  <w:footnote w:id="42">
    <w:p w:rsidR="007F31E6" w:rsidRPr="007F31E6" w:rsidRDefault="007F31E6" w:rsidP="007F31E6">
      <w:pPr>
        <w:pStyle w:val="Textonotapie"/>
      </w:pPr>
      <w:r w:rsidRPr="007F31E6">
        <w:tab/>
      </w:r>
      <w:r w:rsidRPr="007F31E6">
        <w:rPr>
          <w:rStyle w:val="Refdenotaalpie"/>
        </w:rPr>
        <w:footnoteRef/>
      </w:r>
      <w:r w:rsidRPr="00AC5A89">
        <w:rPr>
          <w:lang w:val="en-US"/>
        </w:rPr>
        <w:tab/>
        <w:t xml:space="preserve">Véase A/HRC/34/54/Add.1, párrs. </w:t>
      </w:r>
      <w:r w:rsidRPr="007F31E6">
        <w:t xml:space="preserve">90 y 120 e). </w:t>
      </w:r>
    </w:p>
  </w:footnote>
  <w:footnote w:id="43">
    <w:p w:rsidR="007F31E6" w:rsidRPr="007F31E6" w:rsidRDefault="007F31E6" w:rsidP="007F31E6">
      <w:pPr>
        <w:pStyle w:val="Textonotapie"/>
      </w:pPr>
      <w:r w:rsidRPr="007F31E6">
        <w:tab/>
      </w:r>
      <w:r w:rsidRPr="007F31E6">
        <w:rPr>
          <w:rStyle w:val="Refdenotaalpie"/>
        </w:rPr>
        <w:footnoteRef/>
      </w:r>
      <w:r w:rsidRPr="007F31E6">
        <w:tab/>
      </w:r>
      <w:r w:rsidRPr="007F31E6">
        <w:rPr>
          <w:i/>
          <w:iCs/>
        </w:rPr>
        <w:t>Ibid</w:t>
      </w:r>
      <w:r w:rsidRPr="007F31E6">
        <w:t>., párr.</w:t>
      </w:r>
      <w:r w:rsidR="00147D13">
        <w:t xml:space="preserve"> </w:t>
      </w:r>
      <w:r w:rsidRPr="007F31E6">
        <w:t xml:space="preserve">120 e). </w:t>
      </w:r>
    </w:p>
  </w:footnote>
  <w:footnote w:id="44">
    <w:p w:rsidR="007F31E6" w:rsidRPr="007F31E6" w:rsidRDefault="007F31E6" w:rsidP="007F31E6">
      <w:pPr>
        <w:pStyle w:val="Textonotapie"/>
      </w:pPr>
      <w:r w:rsidRPr="007F31E6">
        <w:tab/>
      </w:r>
      <w:r w:rsidRPr="007F31E6">
        <w:rPr>
          <w:rStyle w:val="Refdenotaalpie"/>
        </w:rPr>
        <w:footnoteRef/>
      </w:r>
      <w:r w:rsidRPr="007F31E6">
        <w:tab/>
      </w:r>
      <w:r w:rsidRPr="007F31E6">
        <w:rPr>
          <w:i/>
          <w:iCs/>
        </w:rPr>
        <w:t>Ibid</w:t>
      </w:r>
      <w:r w:rsidRPr="007F31E6">
        <w:t xml:space="preserve">., párr. 120 b). </w:t>
      </w:r>
    </w:p>
  </w:footnote>
  <w:footnote w:id="45">
    <w:p w:rsidR="007F31E6" w:rsidRPr="00AC5A89" w:rsidRDefault="007F31E6" w:rsidP="007F31E6">
      <w:pPr>
        <w:pStyle w:val="Textonotapie"/>
        <w:rPr>
          <w:lang w:val="en-US"/>
        </w:rPr>
      </w:pPr>
      <w:r w:rsidRPr="007F31E6">
        <w:tab/>
      </w:r>
      <w:r w:rsidRPr="007F31E6">
        <w:rPr>
          <w:rStyle w:val="Refdenotaalpie"/>
        </w:rPr>
        <w:footnoteRef/>
      </w:r>
      <w:r w:rsidRPr="00AC5A89">
        <w:rPr>
          <w:lang w:val="en-US"/>
        </w:rPr>
        <w:tab/>
        <w:t>Véase CAT/C/MRT/2, párrs. 87 a 89.</w:t>
      </w:r>
    </w:p>
  </w:footnote>
  <w:footnote w:id="46">
    <w:p w:rsidR="007F31E6" w:rsidRPr="007F31E6" w:rsidRDefault="007F31E6" w:rsidP="007F31E6">
      <w:pPr>
        <w:pStyle w:val="Textonotapie"/>
      </w:pPr>
      <w:r w:rsidRPr="00AC5A89">
        <w:rPr>
          <w:lang w:val="en-US"/>
        </w:rPr>
        <w:tab/>
      </w:r>
      <w:r w:rsidRPr="007F31E6">
        <w:rPr>
          <w:rStyle w:val="Refdenotaalpie"/>
        </w:rPr>
        <w:footnoteRef/>
      </w:r>
      <w:r w:rsidRPr="007F31E6">
        <w:tab/>
        <w:t xml:space="preserve">Véase A/HRC/34/54/Add.1, párr. 120 d). </w:t>
      </w:r>
    </w:p>
  </w:footnote>
  <w:footnote w:id="47">
    <w:p w:rsidR="007F31E6" w:rsidRPr="00AC5A89" w:rsidRDefault="007F31E6" w:rsidP="007F31E6">
      <w:pPr>
        <w:pStyle w:val="Textonotapie"/>
        <w:rPr>
          <w:lang w:val="en-US"/>
        </w:rPr>
      </w:pPr>
      <w:r w:rsidRPr="007F31E6">
        <w:tab/>
      </w:r>
      <w:r w:rsidRPr="007F31E6">
        <w:rPr>
          <w:rStyle w:val="Refdenotaalpie"/>
        </w:rPr>
        <w:footnoteRef/>
      </w:r>
      <w:r w:rsidRPr="00AC5A89">
        <w:rPr>
          <w:lang w:val="en-US"/>
        </w:rPr>
        <w:tab/>
      </w:r>
      <w:r w:rsidRPr="00AC5A89">
        <w:rPr>
          <w:i/>
          <w:iCs/>
          <w:lang w:val="en-US"/>
        </w:rPr>
        <w:t>Ibid</w:t>
      </w:r>
      <w:r w:rsidRPr="00AC5A89">
        <w:rPr>
          <w:lang w:val="en-US"/>
        </w:rPr>
        <w:t xml:space="preserve">., párrs. </w:t>
      </w:r>
      <w:smartTag w:uri="urn:schemas-microsoft-com:office:smarttags" w:element="metricconverter">
        <w:smartTagPr>
          <w:attr w:name="ProductID" w:val="28 a"/>
        </w:smartTagPr>
        <w:r w:rsidRPr="00AC5A89">
          <w:rPr>
            <w:lang w:val="en-US"/>
          </w:rPr>
          <w:t>28 a</w:t>
        </w:r>
      </w:smartTag>
      <w:r w:rsidRPr="00AC5A89">
        <w:rPr>
          <w:lang w:val="en-US"/>
        </w:rPr>
        <w:t xml:space="preserve"> 30.</w:t>
      </w:r>
    </w:p>
  </w:footnote>
  <w:footnote w:id="48">
    <w:p w:rsidR="007F31E6" w:rsidRPr="007F31E6" w:rsidRDefault="007F31E6" w:rsidP="007F31E6">
      <w:pPr>
        <w:pStyle w:val="Textonotapie"/>
      </w:pPr>
      <w:r w:rsidRPr="00AC5A89">
        <w:rPr>
          <w:lang w:val="en-US"/>
        </w:rPr>
        <w:tab/>
      </w:r>
      <w:r w:rsidRPr="007F31E6">
        <w:rPr>
          <w:rStyle w:val="Refdenotaalpie"/>
        </w:rPr>
        <w:footnoteRef/>
      </w:r>
      <w:r w:rsidRPr="00AC5A89">
        <w:rPr>
          <w:lang w:val="en-US"/>
        </w:rPr>
        <w:tab/>
        <w:t xml:space="preserve">Véase CRC/C//MRT/CO/2, párrs. </w:t>
      </w:r>
      <w:r w:rsidRPr="007F31E6">
        <w:t xml:space="preserve">40 y 41. </w:t>
      </w:r>
    </w:p>
  </w:footnote>
  <w:footnote w:id="49">
    <w:p w:rsidR="007F31E6" w:rsidRPr="007F31E6" w:rsidRDefault="007F31E6" w:rsidP="007F31E6">
      <w:pPr>
        <w:pStyle w:val="Textonotapie"/>
      </w:pPr>
      <w:r w:rsidRPr="007F31E6">
        <w:tab/>
      </w:r>
      <w:r w:rsidRPr="007F31E6">
        <w:rPr>
          <w:rStyle w:val="Refdenotaalpie"/>
        </w:rPr>
        <w:footnoteRef/>
      </w:r>
      <w:r w:rsidRPr="007F31E6">
        <w:tab/>
        <w:t xml:space="preserve">Véase </w:t>
      </w:r>
      <w:r w:rsidRPr="007F31E6">
        <w:rPr>
          <w:szCs w:val="18"/>
          <w:lang w:eastAsia="en-GB"/>
        </w:rPr>
        <w:t>CAT/C/MRT/2, párrs. 143 y 144.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A0" w:rsidRPr="006F1BA0" w:rsidRDefault="006A1C66">
    <w:pPr>
      <w:pStyle w:val="Encabezado"/>
    </w:pPr>
    <w:r>
      <w:fldChar w:fldCharType="begin"/>
    </w:r>
    <w:r>
      <w:instrText xml:space="preserve"> TITLE  \* MERGEFORMAT </w:instrText>
    </w:r>
    <w:r>
      <w:fldChar w:fldCharType="separate"/>
    </w:r>
    <w:r>
      <w:t>CAT/C/MRT/Q/2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BA0" w:rsidRPr="006F1BA0" w:rsidRDefault="006A1C66" w:rsidP="006F1BA0">
    <w:pPr>
      <w:pStyle w:val="Encabezado"/>
      <w:jc w:val="right"/>
    </w:pPr>
    <w:r>
      <w:fldChar w:fldCharType="begin"/>
    </w:r>
    <w:r>
      <w:instrText xml:space="preserve"> TITLE  \* MERGEFORMAT </w:instrText>
    </w:r>
    <w:r>
      <w:fldChar w:fldCharType="separate"/>
    </w:r>
    <w:r>
      <w:t>CAT/C/MRT/Q/2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48B"/>
    <w:rsid w:val="00004304"/>
    <w:rsid w:val="00033EE1"/>
    <w:rsid w:val="00042B72"/>
    <w:rsid w:val="000558BD"/>
    <w:rsid w:val="000630B6"/>
    <w:rsid w:val="00076442"/>
    <w:rsid w:val="000B57E7"/>
    <w:rsid w:val="000B6373"/>
    <w:rsid w:val="000F09DF"/>
    <w:rsid w:val="000F61B2"/>
    <w:rsid w:val="001075E9"/>
    <w:rsid w:val="00147D13"/>
    <w:rsid w:val="00180183"/>
    <w:rsid w:val="0018024D"/>
    <w:rsid w:val="0018649F"/>
    <w:rsid w:val="00196389"/>
    <w:rsid w:val="001B3EF6"/>
    <w:rsid w:val="001C7A89"/>
    <w:rsid w:val="00214F68"/>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5448B"/>
    <w:rsid w:val="00681A10"/>
    <w:rsid w:val="006A1C66"/>
    <w:rsid w:val="006C2031"/>
    <w:rsid w:val="006D461A"/>
    <w:rsid w:val="006E7495"/>
    <w:rsid w:val="006F1BA0"/>
    <w:rsid w:val="006F35EE"/>
    <w:rsid w:val="007021FF"/>
    <w:rsid w:val="00712895"/>
    <w:rsid w:val="00740428"/>
    <w:rsid w:val="00757357"/>
    <w:rsid w:val="007A65A9"/>
    <w:rsid w:val="007F31E6"/>
    <w:rsid w:val="00825F8D"/>
    <w:rsid w:val="00834B71"/>
    <w:rsid w:val="00844557"/>
    <w:rsid w:val="0086445C"/>
    <w:rsid w:val="00894693"/>
    <w:rsid w:val="008A08D7"/>
    <w:rsid w:val="008B6909"/>
    <w:rsid w:val="00906890"/>
    <w:rsid w:val="00911BE4"/>
    <w:rsid w:val="00951972"/>
    <w:rsid w:val="009608F3"/>
    <w:rsid w:val="00A03A90"/>
    <w:rsid w:val="00A312BC"/>
    <w:rsid w:val="00A84021"/>
    <w:rsid w:val="00A917B3"/>
    <w:rsid w:val="00AB4B51"/>
    <w:rsid w:val="00AC5A89"/>
    <w:rsid w:val="00AC611E"/>
    <w:rsid w:val="00B10CC7"/>
    <w:rsid w:val="00B4174A"/>
    <w:rsid w:val="00B539E7"/>
    <w:rsid w:val="00B62458"/>
    <w:rsid w:val="00B72D1F"/>
    <w:rsid w:val="00BC6C8F"/>
    <w:rsid w:val="00BD33EE"/>
    <w:rsid w:val="00C106D6"/>
    <w:rsid w:val="00C60F0C"/>
    <w:rsid w:val="00C805C9"/>
    <w:rsid w:val="00C92939"/>
    <w:rsid w:val="00CA1679"/>
    <w:rsid w:val="00CB151C"/>
    <w:rsid w:val="00CE5A1A"/>
    <w:rsid w:val="00CF55F6"/>
    <w:rsid w:val="00D15555"/>
    <w:rsid w:val="00D33D63"/>
    <w:rsid w:val="00D8412A"/>
    <w:rsid w:val="00D90138"/>
    <w:rsid w:val="00E73F76"/>
    <w:rsid w:val="00EA2C9F"/>
    <w:rsid w:val="00ED0BDA"/>
    <w:rsid w:val="00EE7EDE"/>
    <w:rsid w:val="00EF1360"/>
    <w:rsid w:val="00EF3220"/>
    <w:rsid w:val="00F2237A"/>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8193"/>
    <o:shapelayout v:ext="edit">
      <o:idmap v:ext="edit" data="1"/>
    </o:shapelayout>
  </w:shapeDefaults>
  <w:decimalSymbol w:val=","/>
  <w:listSeparator w:val=";"/>
  <w14:docId w14:val="7BA7012C"/>
  <w15:docId w15:val="{2ED09EBB-38E4-423C-B025-B88525BC2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F31E6"/>
    <w:rPr>
      <w:sz w:val="18"/>
      <w:lang w:val="es-ES" w:eastAsia="es-ES"/>
    </w:rPr>
  </w:style>
  <w:style w:type="character" w:customStyle="1" w:styleId="SingleTxtGChar">
    <w:name w:val="_ Single Txt_G Char"/>
    <w:link w:val="SingleTxtG"/>
    <w:rsid w:val="007F31E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4080</Words>
  <Characters>22443</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CAT/C/MRT/Q/2</vt:lpstr>
    </vt:vector>
  </TitlesOfParts>
  <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CAT/C/MRT/Q/2</dc:title>
  <dc:subject/>
  <dc:creator>Juan-Carlos KOROL</dc:creator>
  <cp:keywords/>
  <cp:lastModifiedBy>Maria Luisa ZEBALLOS MORENO</cp:lastModifiedBy>
  <cp:revision>3</cp:revision>
  <cp:lastPrinted>2018-01-24T08:34:00Z</cp:lastPrinted>
  <dcterms:created xsi:type="dcterms:W3CDTF">2018-01-24T08:34:00Z</dcterms:created>
  <dcterms:modified xsi:type="dcterms:W3CDTF">2018-01-24T08:35:00Z</dcterms:modified>
</cp:coreProperties>
</file>