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CERD</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19.4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CERD/C/SR.1351</w:t>
                  </w:r>
                </w:p>
                <w:p w:rsidR="00000000" w:rsidRDefault="00000000">
                  <w:pPr>
                    <w:pStyle w:val="FootnoteText"/>
                    <w:widowControl/>
                    <w:tabs>
                      <w:tab w:val="left" w:pos="680"/>
                      <w:tab w:val="left" w:pos="1134"/>
                    </w:tabs>
                    <w:spacing w:after="120" w:line="240" w:lineRule="exact"/>
                    <w:rPr>
                      <w:sz w:val="22"/>
                      <w:lang w:val="en-US"/>
                    </w:rPr>
                  </w:pPr>
                  <w:r>
                    <w:rPr>
                      <w:sz w:val="22"/>
                      <w:lang w:val="en-US"/>
                    </w:rPr>
                    <w:t>23 Аugust 1999</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rPr>
                  </w:pPr>
                  <w:r>
                    <w:rPr>
                      <w:lang w:val="en-US"/>
                    </w:rPr>
                    <w:t>Original:</w:t>
                  </w:r>
                  <w:r>
                    <w:rPr>
                      <w:lang w:val="en-US"/>
                    </w:rPr>
                    <w:tab/>
                    <w:t>ENGLISH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444065927" r:id="rId8"/>
                    </w:object>
                  </w:r>
                </w:p>
              </w:txbxContent>
            </v:textbox>
          </v:shape>
        </w:pict>
      </w:r>
      <w:r>
        <w:rPr>
          <w:sz w:val="36"/>
        </w:rPr>
        <w:t>Международная конвенция</w:t>
      </w:r>
      <w:r>
        <w:rPr>
          <w:sz w:val="36"/>
        </w:rPr>
        <w:br/>
        <w:t>о ликвидации всех форм</w:t>
      </w:r>
      <w:r>
        <w:rPr>
          <w:sz w:val="36"/>
        </w:rPr>
        <w:br/>
        <w:t>расовой дискриминации</w:t>
      </w:r>
    </w:p>
    <w:p w:rsidR="00000000" w:rsidRDefault="00000000"/>
    <w:p w:rsidR="00000000" w:rsidRDefault="00000000">
      <w:pPr>
        <w:rPr>
          <w:lang w:val="en-US"/>
        </w:rPr>
      </w:pPr>
    </w:p>
    <w:p w:rsidR="00000000" w:rsidRDefault="00000000">
      <w:pPr>
        <w:spacing w:after="120"/>
        <w:rPr>
          <w:b/>
          <w:lang w:val="en-US"/>
        </w:rPr>
      </w:pPr>
      <w:r>
        <w:rPr>
          <w:rFonts w:ascii="Arial" w:hAnsi="Arial"/>
          <w:noProof/>
        </w:rPr>
        <w:pict>
          <v:line id="_x0000_s1031" style="position:absolute;z-index:4;mso-position-horizontal:absolute;mso-position-horizontal-relative:text;mso-position-vertical:absolute;mso-position-vertical-relative:text" from="-1.5pt,9.15pt" to="479.7pt,9.15pt" o:allowincell="f" strokeweight="3pt"/>
        </w:pict>
      </w:r>
    </w:p>
    <w:p w:rsidR="00000000" w:rsidRDefault="00000000">
      <w:pPr>
        <w:tabs>
          <w:tab w:val="center" w:pos="4678"/>
        </w:tabs>
        <w:suppressAutoHyphens/>
        <w:spacing w:before="240"/>
        <w:jc w:val="center"/>
        <w:rPr>
          <w:lang w:val="en-US"/>
        </w:rPr>
      </w:pPr>
      <w:r>
        <w:t>КОМИТЕТ ПО ЛИКВИДАЦИИ РАСОВОЙ ДИСКРИМИНАЦИИ</w:t>
      </w:r>
    </w:p>
    <w:p w:rsidR="00000000" w:rsidRDefault="00000000">
      <w:pPr>
        <w:tabs>
          <w:tab w:val="center" w:pos="4678"/>
        </w:tabs>
        <w:suppressAutoHyphens/>
        <w:jc w:val="center"/>
      </w:pPr>
      <w:r>
        <w:t>Пятьдесят пятая</w:t>
      </w:r>
      <w:r>
        <w:rPr>
          <w:lang w:val="en-US"/>
        </w:rPr>
        <w:t xml:space="preserve"> </w:t>
      </w:r>
      <w:r>
        <w:t>сессия</w:t>
      </w:r>
    </w:p>
    <w:p w:rsidR="00000000" w:rsidRDefault="00000000">
      <w:pPr>
        <w:tabs>
          <w:tab w:val="center" w:pos="4678"/>
        </w:tabs>
        <w:suppressAutoHyphens/>
        <w:jc w:val="center"/>
      </w:pPr>
      <w:r>
        <w:t>КРАТКИЙ ОТЧЕТ О 1351-м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 xml:space="preserve">в пятницу, </w:t>
      </w:r>
      <w:r>
        <w:rPr>
          <w:lang w:val="en-US"/>
        </w:rPr>
        <w:t>13</w:t>
      </w:r>
      <w:r>
        <w:t xml:space="preserve"> августа 1999 года, в 10 час. 00 мин.</w:t>
      </w:r>
    </w:p>
    <w:p w:rsidR="00000000" w:rsidRDefault="00000000">
      <w:pPr>
        <w:tabs>
          <w:tab w:val="clear" w:pos="680"/>
          <w:tab w:val="clear" w:pos="1134"/>
        </w:tabs>
        <w:suppressAutoHyphens/>
        <w:spacing w:line="240" w:lineRule="auto"/>
        <w:jc w:val="center"/>
      </w:pPr>
      <w:r>
        <w:rPr>
          <w:u w:val="single"/>
        </w:rPr>
        <w:t>Председатель</w:t>
      </w:r>
      <w:r>
        <w:rPr>
          <w:lang w:val="en-US"/>
        </w:rPr>
        <w:t xml:space="preserve">:   </w:t>
      </w:r>
      <w:r>
        <w:t>г-н АБУЛ-НАСР</w:t>
      </w:r>
    </w:p>
    <w:p w:rsidR="00000000" w:rsidRDefault="00000000">
      <w:pPr>
        <w:tabs>
          <w:tab w:val="clear" w:pos="680"/>
          <w:tab w:val="clear" w:pos="1134"/>
        </w:tabs>
        <w:suppressAutoHyphens/>
        <w:spacing w:line="240" w:lineRule="auto"/>
        <w:jc w:val="center"/>
      </w:pPr>
    </w:p>
    <w:p w:rsidR="00000000" w:rsidRDefault="00000000">
      <w:pPr>
        <w:tabs>
          <w:tab w:val="clear" w:pos="680"/>
          <w:tab w:val="clear" w:pos="1134"/>
          <w:tab w:val="right" w:pos="4678"/>
        </w:tabs>
        <w:suppressAutoHyphens/>
        <w:spacing w:line="240" w:lineRule="auto"/>
        <w:ind w:left="4162" w:hanging="4162"/>
        <w:jc w:val="center"/>
      </w:pPr>
      <w:r>
        <w:t>СОДЕРЖАНИЕ</w:t>
      </w:r>
    </w:p>
    <w:p w:rsidR="00000000" w:rsidRDefault="00000000">
      <w:pPr>
        <w:tabs>
          <w:tab w:val="clear" w:pos="680"/>
          <w:tab w:val="clear" w:pos="1134"/>
          <w:tab w:val="left" w:pos="794"/>
        </w:tabs>
        <w:suppressAutoHyphens/>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clear" w:pos="680"/>
          <w:tab w:val="clear" w:pos="1134"/>
          <w:tab w:val="left" w:pos="794"/>
        </w:tabs>
        <w:suppressAutoHyphens/>
        <w:spacing w:after="120" w:line="240" w:lineRule="auto"/>
      </w:pPr>
      <w:r>
        <w:tab/>
      </w:r>
      <w:r>
        <w:rPr>
          <w:u w:val="single"/>
        </w:rPr>
        <w:t>Двенадцатый–пятнадцатый периодические доклады Уругвая</w:t>
      </w:r>
      <w:r>
        <w:t xml:space="preserve"> (</w:t>
      </w:r>
      <w:r>
        <w:rPr>
          <w:u w:val="single"/>
        </w:rPr>
        <w:t>продолжение</w:t>
      </w:r>
      <w:r>
        <w:t>)</w:t>
      </w:r>
    </w:p>
    <w:p w:rsidR="00000000" w:rsidRDefault="00000000">
      <w:pPr>
        <w:tabs>
          <w:tab w:val="clear" w:pos="680"/>
          <w:tab w:val="clear" w:pos="1134"/>
          <w:tab w:val="left" w:pos="794"/>
        </w:tabs>
        <w:suppressAutoHyphens/>
        <w:spacing w:before="140" w:after="60" w:line="240" w:lineRule="auto"/>
      </w:pPr>
    </w:p>
    <w:p w:rsidR="00000000" w:rsidRDefault="00000000">
      <w:pPr>
        <w:tabs>
          <w:tab w:val="clear" w:pos="680"/>
          <w:tab w:val="clear" w:pos="1134"/>
          <w:tab w:val="left" w:pos="794"/>
        </w:tabs>
        <w:suppressAutoHyphens/>
        <w:spacing w:before="140" w:after="300" w:line="240" w:lineRule="auto"/>
      </w:pPr>
    </w:p>
    <w:p w:rsidR="00000000" w:rsidRDefault="00000000">
      <w:pPr>
        <w:tabs>
          <w:tab w:val="clear" w:pos="680"/>
          <w:tab w:val="clear" w:pos="1134"/>
          <w:tab w:val="left" w:pos="794"/>
        </w:tabs>
        <w:suppressAutoHyphens/>
        <w:spacing w:before="140" w:after="520" w:line="240" w:lineRule="auto"/>
      </w:pPr>
    </w:p>
    <w:p w:rsidR="00000000" w:rsidRDefault="00000000">
      <w:pPr>
        <w:tabs>
          <w:tab w:val="clear" w:pos="680"/>
          <w:tab w:val="clear" w:pos="1134"/>
          <w:tab w:val="left" w:pos="794"/>
        </w:tabs>
        <w:suppressAutoHyphens/>
        <w:spacing w:before="140" w:after="120" w:line="240" w:lineRule="auto"/>
      </w:pPr>
      <w:r>
        <w:rPr>
          <w:noProof/>
        </w:rPr>
        <w:pict>
          <v:line id="_x0000_s1037" style="position:absolute;z-index:5;mso-position-horizontal:absolute;mso-position-horizontal-relative:text;mso-position-vertical:absolute;mso-position-vertical-relative:text" from=".3pt,2.75pt" to="479.4pt,2.75pt" o:allowincell="f"/>
        </w:pict>
      </w:r>
      <w:r>
        <w:tab/>
        <w:t>В настоящий отчет могут вноситься поправки.</w:t>
      </w:r>
    </w:p>
    <w:p w:rsidR="00000000" w:rsidRDefault="00000000">
      <w:pPr>
        <w:tabs>
          <w:tab w:val="clear" w:pos="680"/>
          <w:tab w:val="clear" w:pos="1134"/>
          <w:tab w:val="left" w:pos="794"/>
        </w:tabs>
        <w:suppressAutoHyphens/>
        <w:spacing w:after="12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after="120" w:line="240" w:lineRule="auto"/>
      </w:pPr>
      <w:r>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pStyle w:val="BodyText3"/>
        <w:tabs>
          <w:tab w:val="clear" w:pos="680"/>
          <w:tab w:val="clear" w:pos="1134"/>
          <w:tab w:val="left" w:pos="794"/>
        </w:tabs>
        <w:suppressAutoHyphens/>
        <w:spacing w:line="240" w:lineRule="auto"/>
      </w:pPr>
      <w:r>
        <w:rPr>
          <w:noProof/>
        </w:rPr>
        <w:pict>
          <v:shape id="_x0000_s1039" type="#_x0000_t202" style="position:absolute;left:0;text-align:left;margin-left:-7.5pt;margin-top:17.55pt;width:138.9pt;height:43.8pt;z-index:6;mso-position-horizontal:absolute;mso-position-horizontal-relative:text;mso-position-vertical:absolute;mso-position-vertical-relative:text" o:allowincell="f" filled="f" stroked="f">
            <v:textbox>
              <w:txbxContent>
                <w:p w:rsidR="00000000" w:rsidRDefault="00000000">
                  <w:r>
                    <w:rPr>
                      <w:lang w:val="en-US"/>
                    </w:rPr>
                    <w:t xml:space="preserve">GE.99-43807 </w:t>
                  </w:r>
                </w:p>
              </w:txbxContent>
            </v:textbox>
          </v:shape>
        </w:pict>
      </w:r>
      <w:r>
        <w:br w:type="page"/>
        <w:t>Заседание открывается в 10 час. 05 мин.</w:t>
      </w:r>
    </w:p>
    <w:p w:rsidR="00000000" w:rsidRDefault="00000000">
      <w:pPr>
        <w:tabs>
          <w:tab w:val="clear" w:pos="680"/>
          <w:tab w:val="clear" w:pos="1134"/>
          <w:tab w:val="left" w:pos="794"/>
        </w:tabs>
        <w:suppressAutoHyphens/>
        <w:spacing w:line="240" w:lineRule="auto"/>
      </w:pPr>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ind w:left="794" w:hanging="794"/>
      </w:pPr>
      <w:r>
        <w:tab/>
      </w:r>
      <w:r>
        <w:rPr>
          <w:u w:val="single"/>
        </w:rPr>
        <w:t>Двенадцатый–пятнадцатый периодические доклады Уругвая</w:t>
      </w:r>
      <w:r>
        <w:t xml:space="preserve"> (</w:t>
      </w:r>
      <w:r>
        <w:rPr>
          <w:u w:val="single"/>
        </w:rPr>
        <w:t>продолжение</w:t>
      </w:r>
      <w:r>
        <w:t>) (CERD/C/338/Add.7; HRI/CORE/1/Add.9/Rev.1)</w:t>
      </w:r>
    </w:p>
    <w:p w:rsidR="00000000" w:rsidRDefault="00000000">
      <w:pPr>
        <w:tabs>
          <w:tab w:val="clear" w:pos="680"/>
          <w:tab w:val="clear" w:pos="1134"/>
          <w:tab w:val="left" w:pos="794"/>
        </w:tabs>
        <w:suppressAutoHyphens/>
        <w:spacing w:line="240" w:lineRule="auto"/>
      </w:pPr>
      <w:r>
        <w:t>1.</w:t>
      </w:r>
      <w:r>
        <w:tab/>
      </w:r>
      <w:r>
        <w:rPr>
          <w:u w:val="single"/>
        </w:rPr>
        <w:t>По приглашению Председателя члены делегации Уругвая вновь занимают места за столом Комитета</w:t>
      </w:r>
      <w:r>
        <w:t>.</w:t>
      </w:r>
    </w:p>
    <w:p w:rsidR="00000000" w:rsidRDefault="00000000">
      <w:pPr>
        <w:tabs>
          <w:tab w:val="clear" w:pos="680"/>
          <w:tab w:val="clear" w:pos="1134"/>
          <w:tab w:val="left" w:pos="794"/>
        </w:tabs>
        <w:suppressAutoHyphens/>
        <w:spacing w:line="240" w:lineRule="auto"/>
      </w:pPr>
      <w:r>
        <w:t>2.</w:t>
      </w:r>
      <w:r>
        <w:tab/>
      </w:r>
      <w:r>
        <w:rPr>
          <w:u w:val="single"/>
        </w:rPr>
        <w:t>Г-жа САДИК АЛИ</w:t>
      </w:r>
      <w:r>
        <w:t xml:space="preserve"> просит делегацию разъяснить причины того, почему, как отмечается в пункте 15 доклада Уругвая (CERD/C/338/Add.7), относительная доля детей и подростков среди взрослых лиц негроидной расы женского пола меньше в сравнении с их относительной долей в общем числе лиц негроидной расы мужского пола.</w:t>
      </w:r>
    </w:p>
    <w:p w:rsidR="00000000" w:rsidRDefault="00000000">
      <w:pPr>
        <w:tabs>
          <w:tab w:val="clear" w:pos="680"/>
          <w:tab w:val="clear" w:pos="1134"/>
          <w:tab w:val="left" w:pos="794"/>
        </w:tabs>
        <w:suppressAutoHyphens/>
        <w:spacing w:line="240" w:lineRule="auto"/>
      </w:pPr>
      <w:r>
        <w:t>3.</w:t>
      </w:r>
      <w:r>
        <w:tab/>
        <w:t>Было бы также интересно узнать, почему, в отличие от большинства других государств-участников, международные договоры в Уругвае пользуются более низким статусом, чем Конституция (пункт 26 доклада). Хотя государство-участник утверждает, что Уругвай находится в авангарде стран, принявших законодательные нормы, направленные на пресечение случаев проявления расовой дискриминации (пункт 33 доклада), статья 149 его Уголовного кодекса в полной мере не отвечает требованиям статьи 4 a), b) и c) Конвенции; имеются ли у правительства какие-либо планы для приведения Уголовного кодекса в более полное соответствие со статьей 4? Она была бы признательна, если бы делегация разъяснила два последних предложения в пункте 38; предоставила подробную информацию, касающуюся дел об антисемитизме, в связи с которыми государство принимало меры (пункт 41 доклада), включая установленные наказания; уточнила личность пострадавших в деле, упомянутом в пункте 42 доклада; и предоставила некоторую конкретную информацию о случаях проявления расизма в Уругвае, которых, по всей очевидности, немало.</w:t>
      </w:r>
    </w:p>
    <w:p w:rsidR="00000000" w:rsidRDefault="00000000">
      <w:pPr>
        <w:tabs>
          <w:tab w:val="clear" w:pos="680"/>
          <w:tab w:val="clear" w:pos="1134"/>
          <w:tab w:val="left" w:pos="794"/>
        </w:tabs>
        <w:suppressAutoHyphens/>
        <w:spacing w:line="240" w:lineRule="auto"/>
      </w:pPr>
      <w:r>
        <w:t>4.</w:t>
      </w:r>
      <w:r>
        <w:tab/>
        <w:t>В своей общей рекомендации XIX Комитет дал более широкое толкование статьи 3 Конвенции, чем Уругвай (пункты 60–61 доклада). Статья 3 запрещает расовую сегрегацию во всех странах, а не только в Южной Африке, причем это явление особенно актуально для Уругвая, где лица негроидной расы сталкиваются с серьезными проблемами в жилищной сфере. Она хотела бы знать, проводит ли правительство какую-либо жилищную политику в отношении этой группы населения и оказывают ли ей какую-либо помощь в сфере жилья частные работодатели. Неясно также, имеют ли термин "монголоиды", используемый в пункте 102, и термин "иностранные граждане из стран Ближнего Востока", использованный в пункте 74, одно и то же значение.</w:t>
      </w:r>
    </w:p>
    <w:p w:rsidR="00000000" w:rsidRDefault="00000000">
      <w:pPr>
        <w:tabs>
          <w:tab w:val="clear" w:pos="680"/>
          <w:tab w:val="clear" w:pos="1134"/>
          <w:tab w:val="left" w:pos="794"/>
        </w:tabs>
        <w:suppressAutoHyphens/>
        <w:spacing w:line="240" w:lineRule="auto"/>
      </w:pPr>
      <w:r>
        <w:t>5.</w:t>
      </w:r>
      <w:r>
        <w:tab/>
        <w:t>Особый интерес вызывает упоминание об образовательных аспектах правительственных программ по борьбе с безработицей. Следует высоко оценить тот факт, что в Уругвае существует система светского, бесплатного и обязательного образования, однако процент отсева представляется чрезмерно высоким. Каковы показатели в этой сфере и достаточную ли квалификацию имеют преподаватели? Ссылка на лиц, занятых в домашних хозяйствах без вознаграждения (пункт 8 доклада), позволяет констатировать, что правительство безусловно обладает полномочиями, для того чтобы положить конец такой эксплуатации.</w:t>
      </w:r>
    </w:p>
    <w:p w:rsidR="00000000" w:rsidRDefault="00000000">
      <w:pPr>
        <w:tabs>
          <w:tab w:val="clear" w:pos="680"/>
          <w:tab w:val="clear" w:pos="1134"/>
          <w:tab w:val="left" w:pos="794"/>
        </w:tabs>
        <w:suppressAutoHyphens/>
        <w:spacing w:line="240" w:lineRule="auto"/>
      </w:pPr>
      <w:r>
        <w:t>6.</w:t>
      </w:r>
      <w:r>
        <w:tab/>
      </w:r>
      <w:r>
        <w:rPr>
          <w:u w:val="single"/>
        </w:rPr>
        <w:t>Г-н ФЕРРЕРО КОСТА</w:t>
      </w:r>
      <w:r>
        <w:t xml:space="preserve"> обращает особое внимание на весьма интересные и полезные демографические статистические данные, представленные в различных частях доклада. Однако он отмечает, что в разбивке рас, приведенной в пункте 16, не упоминаются евреи, хотя в других местах в докладе правительство признает еврейскую общину в качестве отдельной общины.</w:t>
      </w:r>
    </w:p>
    <w:p w:rsidR="00000000" w:rsidRDefault="00000000">
      <w:pPr>
        <w:tabs>
          <w:tab w:val="clear" w:pos="680"/>
          <w:tab w:val="clear" w:pos="1134"/>
          <w:tab w:val="left" w:pos="794"/>
        </w:tabs>
        <w:suppressAutoHyphens/>
        <w:spacing w:line="240" w:lineRule="auto"/>
      </w:pPr>
      <w:r>
        <w:t>7.</w:t>
      </w:r>
      <w:r>
        <w:tab/>
        <w:t>В докладе говорится о двух философских школах в отношении иерархической связи внутригосударственного законодательства с международными договорами, участником которых является Уругвай: по мнению большинства, преимущественную силу имеет внутригосударственное законодательство (пункт 26); альтернативная же точка зрения сводится к тому, что договоры по правам человека имеют верховенство в случае конфликта (пункт 27). Он хотел бы более подробно узнать о доводах, лежащих в основе второй точки зрения, о любых делах, в связи с которыми суды занимали ту или иную позицию, и о мнении правительства по этому вопросу. Он отмечает процитированную в докладе формулировку статьи 8 Конституции, которую можно толковать весьма широко (пункт 36); если международные договоры не имеют верховенства над Конституцией, было бы крайне важно, чтобы Конституция в явно выраженной форме запретила расовую дискриминацию. Аналогичным образом важные последствия для осуществления Конвенции может также иметь вызывающий большой интерес "естественно правовой" подход в статье 72 Конституции (пункт 38 доклада), в соответствии с которым права не закреплены, но обеспечивается их защита, и он был бы признателен, если бы делегация представила более полную информацию о правовой подоплеке этой позиции.</w:t>
      </w:r>
    </w:p>
    <w:p w:rsidR="00000000" w:rsidRDefault="00000000">
      <w:pPr>
        <w:tabs>
          <w:tab w:val="clear" w:pos="680"/>
          <w:tab w:val="clear" w:pos="1134"/>
          <w:tab w:val="left" w:pos="794"/>
        </w:tabs>
        <w:suppressAutoHyphens/>
        <w:spacing w:line="240" w:lineRule="auto"/>
      </w:pPr>
      <w:r>
        <w:t>8.</w:t>
      </w:r>
      <w:r>
        <w:tab/>
        <w:t>Он хотел бы получить дополнительную информацию о расследованиях, проведенных специальной комиссией, созданной в целях выявления нацистских фондов в рамках международной финансовой системы (пункт 62 доклада), и выводах, достигнутых этой комиссией.</w:t>
      </w:r>
    </w:p>
    <w:p w:rsidR="00000000" w:rsidRDefault="00000000">
      <w:pPr>
        <w:tabs>
          <w:tab w:val="clear" w:pos="680"/>
          <w:tab w:val="clear" w:pos="1134"/>
          <w:tab w:val="left" w:pos="794"/>
        </w:tabs>
        <w:suppressAutoHyphens/>
        <w:spacing w:line="240" w:lineRule="auto"/>
      </w:pPr>
      <w:r>
        <w:t>9.</w:t>
      </w:r>
      <w:r>
        <w:tab/>
        <w:t>Хотя в докладе (пункт 63) утверждается, что представители различных рас, проживающих в стране, пользуются на равных де-юре и де-факто гражданскими и политическими правами, в других местах говорится, что лица негроидной расы находятся в маргинальном положении как в сфере занятости, так и образования: каким образом можно совместить эти два утверждения? Из нынешнего и представленных ранее докладов со всей очевидностью следует, что лица негроидной расы находятся в крайне неблагоприятном положении, поэтому было бы полезно узнать, какие меры приняло или планирует принять правительство для ликвидации дискриминации в отношении этой категории населения в соответствии с пунктом 2 статьи 2 и статьей 5 Конвенции. Он хотел бы более подробно узнать об ограничениях доступа лиц, принадлежащих к определенным этническим группам, в места общего пользования и какую позицию занимает правительство в отношении статьи 5 f) Конвенции.</w:t>
      </w:r>
    </w:p>
    <w:p w:rsidR="00000000" w:rsidRDefault="00000000">
      <w:pPr>
        <w:tabs>
          <w:tab w:val="clear" w:pos="680"/>
          <w:tab w:val="clear" w:pos="1134"/>
          <w:tab w:val="left" w:pos="794"/>
        </w:tabs>
        <w:suppressAutoHyphens/>
        <w:spacing w:line="240" w:lineRule="auto"/>
      </w:pPr>
      <w:r>
        <w:t>10.</w:t>
      </w:r>
      <w:r>
        <w:tab/>
      </w:r>
      <w:r>
        <w:rPr>
          <w:u w:val="single"/>
        </w:rPr>
        <w:t>Г-н ВАЛЕНСИЯ РОДРИГЕС</w:t>
      </w:r>
      <w:r>
        <w:t xml:space="preserve"> говорит, что ценные демографические статистические данные, представленные в докладе, со всей очевидностью свидетельствуют о том, что Уругвай является обществом, характеризующимся этническим разнообразием, из чего следует, что Конвенция для этой страны имеет особую актуальность. Хотя в целом конституционные гарантии надежны и на международные договоры можно непосредственно ссылаться в судах, он надеется, что будет доминировать позиция, изложенная в пункте 27 доклада, относительно статуса международных договоров в Уругвае. В пунктах 36–38 и 42 доклада говорится о весьма благоприятной обстановке для соблюдения прав человека в Уругвае, которую правительству следует стимулировать посредством активного поощрения терпимости и взаимопонимания между различными группами населения.</w:t>
      </w:r>
    </w:p>
    <w:p w:rsidR="00000000" w:rsidRDefault="00000000">
      <w:pPr>
        <w:tabs>
          <w:tab w:val="clear" w:pos="680"/>
          <w:tab w:val="clear" w:pos="1134"/>
          <w:tab w:val="left" w:pos="794"/>
        </w:tabs>
        <w:suppressAutoHyphens/>
        <w:spacing w:line="240" w:lineRule="auto"/>
      </w:pPr>
      <w:r>
        <w:t>11.</w:t>
      </w:r>
      <w:r>
        <w:tab/>
        <w:t>Была представлена полезная информация о правовых механизмах защиты прав человека, и было бы интересно узнать, имели ли место какие-либо случаи расовой дискриминации, связанные с применением средств защиты хабеас корпус или ампаро. Он также хотел бы узнать, принимало ли правительство какие-либо меры в соответствии со статьей 2 для исправления ситуации в случае проявления дискриминации в отношении лиц негроидной расы, представителей коренных народов и других групп меньшинств. Правительству следует разработать широкие программы с участием представителей этих меньшинств, для того чтобы улучшить условия их жизни.</w:t>
      </w:r>
    </w:p>
    <w:p w:rsidR="00000000" w:rsidRDefault="00000000">
      <w:pPr>
        <w:tabs>
          <w:tab w:val="clear" w:pos="680"/>
          <w:tab w:val="clear" w:pos="1134"/>
          <w:tab w:val="left" w:pos="794"/>
        </w:tabs>
        <w:suppressAutoHyphens/>
        <w:spacing w:line="240" w:lineRule="auto"/>
      </w:pPr>
      <w:r>
        <w:t>12.</w:t>
      </w:r>
      <w:r>
        <w:tab/>
        <w:t>Статья 149-бис Уголовного кодекса (пункт 33 доклада) лишь частично отвечает требованиям статьи 4 Конвенции, поскольку она не квалифицирует в явно выраженной форме уголовно наказуемыми организации, подстрекающие к расовой ненависти. Однако в других статьях Уголовного кодекса предусматриваются наказания за создание преступных ассоциаций (пункт 69 доклада). Правительству следует пересмотреть свое законодательство для обеспечения его соответствия статье 4.</w:t>
      </w:r>
    </w:p>
    <w:p w:rsidR="00000000" w:rsidRDefault="00000000">
      <w:pPr>
        <w:tabs>
          <w:tab w:val="clear" w:pos="680"/>
          <w:tab w:val="clear" w:pos="1134"/>
          <w:tab w:val="left" w:pos="794"/>
        </w:tabs>
        <w:suppressAutoHyphens/>
        <w:spacing w:line="240" w:lineRule="auto"/>
      </w:pPr>
      <w:r>
        <w:t>13.</w:t>
      </w:r>
      <w:r>
        <w:tab/>
        <w:t>В связи со статьей 5 сообщается о существовании положений, касающихся участия иностранцев в политической жизни страны (пункт 71 доклада); было бы желательно получить дополнительную информацию по этому вопросу.</w:t>
      </w:r>
    </w:p>
    <w:p w:rsidR="00000000" w:rsidRDefault="00000000">
      <w:pPr>
        <w:tabs>
          <w:tab w:val="clear" w:pos="680"/>
          <w:tab w:val="clear" w:pos="1134"/>
          <w:tab w:val="left" w:pos="794"/>
        </w:tabs>
        <w:suppressAutoHyphens/>
        <w:spacing w:line="240" w:lineRule="auto"/>
      </w:pPr>
      <w:r>
        <w:t>14.</w:t>
      </w:r>
      <w:r>
        <w:tab/>
        <w:t>В докладе имеется крайне интересный раздел, содержащий данные о занятости в разбивке по расовым группам. Доля занятых ниже среди лиц негроидной расы и коренных народов по сравнению с белым населением и в два раза меньше среди представителей меньшинств женского пола, что означает, что для исправления ситуации правительство должно учитывать в проводимой им политике гендерную проблематику.</w:t>
      </w:r>
    </w:p>
    <w:p w:rsidR="00000000" w:rsidRDefault="00000000">
      <w:pPr>
        <w:tabs>
          <w:tab w:val="clear" w:pos="680"/>
          <w:tab w:val="clear" w:pos="1134"/>
          <w:tab w:val="left" w:pos="794"/>
        </w:tabs>
        <w:suppressAutoHyphens/>
        <w:spacing w:line="240" w:lineRule="auto"/>
      </w:pPr>
      <w:r>
        <w:t>15.</w:t>
      </w:r>
      <w:r>
        <w:tab/>
        <w:t>Достойные высокой оценки результаты были достигнуты в сфере образования, и по сравнению с другими странами региона процент неграмотных в Уругвае довольно низок, однако он хотел бы узнать долю неграмотных среди лиц негроидной расы, коренных народов и других меньшинств. Делегацию просят предоставить дополнительную информацию о принимаемых правительством мерах для увеличения низкой, как сообщается, процентной доли лиц негроидной расы, завершающих школьное обучение (пункт 155). Несомненно были предприняты значительные шаги (пункт 161 и последующие пункты доклада) для обучения по вопросам, касающимся терпимости, взаимопонимания и осознания культурной самобытности меньшинств, в школах по всей стране.</w:t>
      </w:r>
    </w:p>
    <w:p w:rsidR="00000000" w:rsidRDefault="00000000">
      <w:pPr>
        <w:tabs>
          <w:tab w:val="clear" w:pos="680"/>
          <w:tab w:val="clear" w:pos="1134"/>
          <w:tab w:val="left" w:pos="794"/>
        </w:tabs>
        <w:suppressAutoHyphens/>
        <w:spacing w:line="240" w:lineRule="auto"/>
      </w:pPr>
      <w:r>
        <w:t>16.</w:t>
      </w:r>
      <w:r>
        <w:tab/>
        <w:t>Наконец, он хотел бы знать, рассматривались ли в судах какие-либо дела, связанные с отказом в доступе для лиц негроидной расы в места общего пользования и каковы их результаты.</w:t>
      </w:r>
    </w:p>
    <w:p w:rsidR="00000000" w:rsidRDefault="00000000">
      <w:pPr>
        <w:tabs>
          <w:tab w:val="clear" w:pos="680"/>
          <w:tab w:val="clear" w:pos="1134"/>
          <w:tab w:val="left" w:pos="794"/>
        </w:tabs>
        <w:suppressAutoHyphens/>
        <w:spacing w:line="240" w:lineRule="auto"/>
      </w:pPr>
      <w:r>
        <w:t>17.</w:t>
      </w:r>
      <w:r>
        <w:tab/>
      </w:r>
      <w:r>
        <w:rPr>
          <w:u w:val="single"/>
        </w:rPr>
        <w:t>Г-н ДЬЯКОНУ</w:t>
      </w:r>
      <w:r>
        <w:t xml:space="preserve"> высоко оценивает усилия, предпринятые в рамках специального обследования для сбора представленных в докладе статистических данных. Правительство само могло бы сделать на основе этих данных выводы, которые оказались бы весьма полезными для определения своих социально-экономических стратегий.</w:t>
      </w:r>
    </w:p>
    <w:p w:rsidR="00000000" w:rsidRDefault="00000000">
      <w:pPr>
        <w:tabs>
          <w:tab w:val="clear" w:pos="680"/>
          <w:tab w:val="clear" w:pos="1134"/>
          <w:tab w:val="left" w:pos="794"/>
        </w:tabs>
        <w:suppressAutoHyphens/>
        <w:spacing w:line="240" w:lineRule="auto"/>
      </w:pPr>
      <w:r>
        <w:t>18.</w:t>
      </w:r>
      <w:r>
        <w:tab/>
        <w:t>В следующем докладе необходимо уделить более пристальное внимание этническим и национальным группам, помимо еврейской общины, а не просто социальным группам. Что касается гражданства, то в пункте 77 доклада ничего не говорится о процедуре натурализации, и он хотел бы знать, существует ли какая-либо дискриминация в этой области. Он хотел бы также получить информацию о политике правительства, направленной на устранение различий в доступе к рынку труда, упоминаемых в пункте 100 доклада. Он отмечает, что образование бесплатно на всех уровнях, что является важным достижением, однако спрашивает, ведется ли преподавание только на испанском языке.</w:t>
      </w:r>
    </w:p>
    <w:p w:rsidR="00000000" w:rsidRDefault="00000000">
      <w:pPr>
        <w:tabs>
          <w:tab w:val="clear" w:pos="680"/>
          <w:tab w:val="clear" w:pos="1134"/>
          <w:tab w:val="left" w:pos="794"/>
        </w:tabs>
        <w:suppressAutoHyphens/>
        <w:spacing w:line="240" w:lineRule="auto"/>
      </w:pPr>
      <w:r>
        <w:t>19.</w:t>
      </w:r>
      <w:r>
        <w:tab/>
      </w:r>
      <w:r>
        <w:rPr>
          <w:u w:val="single"/>
        </w:rPr>
        <w:t>Г-н ЮТЦИС</w:t>
      </w:r>
      <w:r>
        <w:t xml:space="preserve"> говорит, что, хотя с момента представления предыдущих периодических докладов Уругвая прошло довольно много времени, власти этой страны продемонстрировали свою готовность поддерживать диалог с Комитетом.</w:t>
      </w:r>
    </w:p>
    <w:p w:rsidR="00000000" w:rsidRDefault="00000000">
      <w:pPr>
        <w:tabs>
          <w:tab w:val="clear" w:pos="680"/>
          <w:tab w:val="clear" w:pos="1134"/>
          <w:tab w:val="left" w:pos="794"/>
        </w:tabs>
        <w:suppressAutoHyphens/>
        <w:spacing w:line="240" w:lineRule="auto"/>
      </w:pPr>
      <w:r>
        <w:t>20.</w:t>
      </w:r>
      <w:r>
        <w:tab/>
        <w:t>Он хотел бы выслушать разъяснения в связи с утверждением о том, что Уругвай является однородным обществом и что существование меньшинств в том смысле, в каком это понятие используется во многих других странах, не признается. Он напоминает об обмене мнениями, который состоялся в апреле 1995 года, между министром иностранных дел и спикером палаты представителей, занимавшим эту должность в тот период, и который продемонстрировал, что определение, содержащееся в Декларации о правах лиц, принадлежащих к национальным или этническим, религиозным и языковым меньшинствам, истолковывается по-разному. По его мнению, Комитет определяет понятие меньшинства двояко. С одной стороны, используется субъективное определение, когда сама община считает себя меньшинством; другое толкование – объективное – связано с условиями, в которых оказываются члены определенной группы, и с тем, как они воспринимаются другими группами населения. В Уругвае же, как и в других странах, существуют явные расовые различия, характеризуемые цветом кожи и другими особенностями. В пункте 1 статьи 1 Конвенции не содержится четкого определения меньшинства, однако предусмотрена основа для понимания Комитетом возможностей существования ситуаций, которые могли бы рассматриваться как дискриминация в отношении того или иного меньшинства.</w:t>
      </w:r>
    </w:p>
    <w:p w:rsidR="00000000" w:rsidRDefault="00000000">
      <w:pPr>
        <w:tabs>
          <w:tab w:val="clear" w:pos="680"/>
          <w:tab w:val="clear" w:pos="1134"/>
          <w:tab w:val="left" w:pos="794"/>
        </w:tabs>
        <w:suppressAutoHyphens/>
        <w:spacing w:line="240" w:lineRule="auto"/>
      </w:pPr>
      <w:r>
        <w:t>21.</w:t>
      </w:r>
      <w:r>
        <w:tab/>
        <w:t>В связи с пунктом 72 доклада он интересуется, почему была выделена лишь еврейская община. Он уверен, что существуют данные других национальных переписей, на основе которых можно получить более полные сведения. Дополнительная информация об еврейской общине приводится в пунктах 41 и 62. Он отмечает, что в прошлом эта община подвергалась ужасным преследованиям, однако сейчас она обладает мощными международными ресурсами для действий, поэтому он хотел бы знать, почему отсутствует подробная информация о том внимании, которое уделяется лицам негроидной расы и другим группам населения.</w:t>
      </w:r>
    </w:p>
    <w:p w:rsidR="00000000" w:rsidRDefault="00000000">
      <w:pPr>
        <w:tabs>
          <w:tab w:val="clear" w:pos="680"/>
          <w:tab w:val="clear" w:pos="1134"/>
          <w:tab w:val="left" w:pos="794"/>
        </w:tabs>
        <w:suppressAutoHyphens/>
        <w:spacing w:line="240" w:lineRule="auto"/>
      </w:pPr>
      <w:r>
        <w:t>22.</w:t>
      </w:r>
      <w:r>
        <w:tab/>
        <w:t>В связи с правами на владение имуществом (пункты 82–85) и правом на труд (пункт 87 и последующие) следует иметь в виду разницу между провозглашением прав и свобод и способностью обеспечивать их на практике. В частности, нынешняя широко распространенная проблема безработицы, характерная для Латинской Америки в целом и для южной части этого континента особенно, может способствовать возникновению условий для дискриминации, для борьбы с которой государство должно быть готово принять необходимые меры.</w:t>
      </w:r>
    </w:p>
    <w:p w:rsidR="00000000" w:rsidRDefault="00000000">
      <w:pPr>
        <w:tabs>
          <w:tab w:val="clear" w:pos="680"/>
          <w:tab w:val="clear" w:pos="1134"/>
          <w:tab w:val="left" w:pos="794"/>
        </w:tabs>
        <w:suppressAutoHyphens/>
        <w:spacing w:line="240" w:lineRule="auto"/>
      </w:pPr>
      <w:r>
        <w:t>23.</w:t>
      </w:r>
      <w:r>
        <w:tab/>
      </w:r>
      <w:r>
        <w:rPr>
          <w:u w:val="single"/>
        </w:rPr>
        <w:t>Г-н де ГУТТ</w:t>
      </w:r>
      <w:r>
        <w:t xml:space="preserve"> говорит, что пятнадцатый периодический доклад является значительно более полным по своему характеру по сравнению с докладом, рассмотренным в 1991 году, и содержит ответы на многие из вопросов, поднятых Комитетом в то время. В пункте 13 приводится демографическая разбивка по расовой принадлежности, однако отсутствует конкретная информация о положении лиц негроидной расы, коренных народов и монголоидов в связи с такими вопросами, как образование и доступ к работе на государственной службе. В соответствии с пунктом 72 общие статистические данные о числе представителей каждой расы, занятых в различных сферах государственной службы, отсутствуют. Он хотел бы знать, почему не упоминается о положении других групп населения, помимо еврейской общины, особенно если учитывать, как это отмечается в докладе организации "СОС расизмо</w:t>
      </w:r>
      <w:r>
        <w:rPr>
          <w:lang w:val="en-US"/>
        </w:rPr>
        <w:t>/M</w:t>
      </w:r>
      <w:r>
        <w:t>ундо афро", что существуют факторы, о которых упоминал докладчик по стране и которые свидетельствуют о дискриминации в отношении лиц негроидной расы в таких сферах, как занятость, образование, здравоохранение и положение женщин. По всей видимости, в отличие от некоторых других латиноамериканских стран, в Уругвае не имеется специальной политики и правовых норм, направленных на защиту интересов лиц негроидной расы и коренных общин.</w:t>
      </w:r>
    </w:p>
    <w:p w:rsidR="00000000" w:rsidRDefault="00000000">
      <w:pPr>
        <w:tabs>
          <w:tab w:val="clear" w:pos="680"/>
          <w:tab w:val="clear" w:pos="1134"/>
          <w:tab w:val="left" w:pos="794"/>
        </w:tabs>
        <w:suppressAutoHyphens/>
        <w:spacing w:line="240" w:lineRule="auto"/>
      </w:pPr>
      <w:r>
        <w:t>24.</w:t>
      </w:r>
      <w:r>
        <w:tab/>
        <w:t>В связи с вопросом о применении положений международного права в рамках внутреннего законодательства (пункты 25–29 доклада) и очевидного отсутствия конкретного определения внутригосударственного статуса договоров он обращает внимание на сообщения о том, что суды все чаще ссылаются на международные договоры, поэтому он хотел бы ознакомиться с некоторыми примерами.</w:t>
      </w:r>
    </w:p>
    <w:p w:rsidR="00000000" w:rsidRDefault="00000000">
      <w:pPr>
        <w:tabs>
          <w:tab w:val="clear" w:pos="680"/>
          <w:tab w:val="clear" w:pos="1134"/>
          <w:tab w:val="left" w:pos="794"/>
        </w:tabs>
        <w:suppressAutoHyphens/>
        <w:spacing w:line="240" w:lineRule="auto"/>
      </w:pPr>
      <w:r>
        <w:t>25.</w:t>
      </w:r>
      <w:r>
        <w:tab/>
        <w:t>В отношении статьи 149 Уголовного кодекса (пункт 33) он спрашивает, может ли этот закон применяться против организаций и ассоциаций, а также отдельных граждан. Он хотел бы также знать, имели ли место какие-либо случаи, касающиеся применения процедуры ампаро в ситуациях, связанных с расовой дискриминацией.</w:t>
      </w:r>
    </w:p>
    <w:p w:rsidR="00000000" w:rsidRDefault="00000000">
      <w:pPr>
        <w:tabs>
          <w:tab w:val="clear" w:pos="680"/>
          <w:tab w:val="clear" w:pos="1134"/>
          <w:tab w:val="left" w:pos="794"/>
        </w:tabs>
        <w:suppressAutoHyphens/>
        <w:spacing w:line="240" w:lineRule="auto"/>
      </w:pPr>
      <w:r>
        <w:t>26.</w:t>
      </w:r>
      <w:r>
        <w:tab/>
      </w:r>
      <w:r>
        <w:rPr>
          <w:u w:val="single"/>
        </w:rPr>
        <w:t>Г</w:t>
      </w:r>
      <w:r>
        <w:rPr>
          <w:u w:val="single"/>
        </w:rPr>
        <w:noBreakHyphen/>
        <w:t>н БЕНТОН</w:t>
      </w:r>
      <w:r>
        <w:t>, ссылаясь на пункт 169 доклада, спрашивает, не проще ли было бы отзывать лицензию в случаях систематического отказа в доступе в клуб или на публичное представление лицам определенных рас.</w:t>
      </w:r>
    </w:p>
    <w:p w:rsidR="00000000" w:rsidRDefault="00000000">
      <w:pPr>
        <w:tabs>
          <w:tab w:val="clear" w:pos="680"/>
          <w:tab w:val="clear" w:pos="1134"/>
          <w:tab w:val="left" w:pos="794"/>
        </w:tabs>
        <w:suppressAutoHyphens/>
        <w:spacing w:line="240" w:lineRule="auto"/>
      </w:pPr>
      <w:r>
        <w:t>27.</w:t>
      </w:r>
      <w:r>
        <w:tab/>
      </w:r>
      <w:r>
        <w:rPr>
          <w:u w:val="single"/>
        </w:rPr>
        <w:t>Г</w:t>
      </w:r>
      <w:r>
        <w:rPr>
          <w:u w:val="single"/>
        </w:rPr>
        <w:noBreakHyphen/>
        <w:t>н ШАХИ</w:t>
      </w:r>
      <w:r>
        <w:t>, обращая внимание на содержащееся в пункте 70 утверждение о том, что каждый уругвайский гражданин является составной частью суверенной нации, говорит в этой связи, что, как и другие члены Комитета, он заметил упоминание в пункте 72 членов еврейской общины. По всей видимости, другие группы недопредставлены в парламенте, на государственной службе и в исполнительных органах власти, что требует позитивных действий со стороны правительства в защиту их интересов. Данные об уровнях безработицы, приведенные в таблицах в пункте 115, демонстрируют некоторые явные различия, например между мужчинами негроидной и европеоидной рас.</w:t>
      </w:r>
    </w:p>
    <w:p w:rsidR="00000000" w:rsidRDefault="00000000">
      <w:pPr>
        <w:tabs>
          <w:tab w:val="clear" w:pos="680"/>
          <w:tab w:val="clear" w:pos="1134"/>
          <w:tab w:val="left" w:pos="794"/>
        </w:tabs>
        <w:suppressAutoHyphens/>
        <w:spacing w:line="240" w:lineRule="auto"/>
      </w:pPr>
      <w:r>
        <w:t>28.</w:t>
      </w:r>
      <w:r>
        <w:tab/>
        <w:t xml:space="preserve">В связи со статьей 4 Конвенции он разделяет озабоченность, высказанную другими членами Комитета, по поводу недостатков уругвайского законодательства и также хотел бы задать вопросы, касающиеся, в частности, статьи 149 Уголовного кодекса. Наконец, в отношении пункта 169 доклада он полагает, что замечание г-на Бентона об отзыве лицензии могло бы явиться эффективной санкцией. </w:t>
      </w:r>
    </w:p>
    <w:p w:rsidR="00000000" w:rsidRDefault="00000000">
      <w:pPr>
        <w:tabs>
          <w:tab w:val="clear" w:pos="680"/>
          <w:tab w:val="clear" w:pos="1134"/>
          <w:tab w:val="left" w:pos="794"/>
        </w:tabs>
        <w:suppressAutoHyphens/>
        <w:spacing w:line="240" w:lineRule="auto"/>
      </w:pPr>
      <w:r>
        <w:t>29.</w:t>
      </w:r>
      <w:r>
        <w:tab/>
      </w:r>
      <w:r>
        <w:rPr>
          <w:u w:val="single"/>
        </w:rPr>
        <w:t>ПРЕДСЕДАТЕЛЬ</w:t>
      </w:r>
      <w:r>
        <w:t xml:space="preserve"> говорит, что он разделяет выраженную озабоченность по поводу отсутствия информации о представителях коренных народов и лицах африканского происхождения и шагов, предпринимаемых в защиту их интересов.</w:t>
      </w:r>
    </w:p>
    <w:p w:rsidR="00000000" w:rsidRDefault="00000000">
      <w:pPr>
        <w:tabs>
          <w:tab w:val="clear" w:pos="680"/>
          <w:tab w:val="clear" w:pos="1134"/>
          <w:tab w:val="left" w:pos="794"/>
        </w:tabs>
        <w:suppressAutoHyphens/>
        <w:spacing w:line="240" w:lineRule="auto"/>
      </w:pPr>
      <w:r>
        <w:t>30.</w:t>
      </w:r>
      <w:r>
        <w:tab/>
      </w:r>
      <w:r>
        <w:rPr>
          <w:u w:val="single"/>
        </w:rPr>
        <w:t>Г-н СЕМИНО</w:t>
      </w:r>
      <w:r>
        <w:t xml:space="preserve"> (Уругвай) говорит, что его делегация сделает все возможное для предоставления ответов на поднятые вопросы и устранения некоторого недопонимания, которое, возможно, возникло, в частности, из-за концептуальных и культурных различий. Например, уругвайское правительство утверждает, что в стране не существует меньшинств в том понимании, в каком существует община судетских немцев в Чешской Республике. Будет трудно доказать это, но, возможно, позиция Уругвая может быть полнее раскрыта в следующем периодическом докладе, в котором могут быть также рассмотрены любые другие темы, которые, как считает Комитет, недостаточно подробно освещены в нынешнем докладе и по которым требуется разъяснение. В этой связи классификация расовых групп, содержащихся в пункте 13 доклада, была представлена для того, чтобы в максимально возможной степени соответствовать руководящим принципам Комитета, однако она необязательно отражает те шаги, которые предприняли бы уругвайские власти для сбора такой информации. Под "монголоидами", упомянутыми в этом пункте, подразумеваются главным образом граждане китайского, японского и корейского происхождения. Данные о лицах европеоидной расы включают также лиц арабского происхождения, к которым в основном относятся христиане ливанского происхождения.</w:t>
      </w:r>
    </w:p>
    <w:p w:rsidR="00000000" w:rsidRDefault="00000000">
      <w:pPr>
        <w:tabs>
          <w:tab w:val="clear" w:pos="680"/>
          <w:tab w:val="clear" w:pos="1134"/>
          <w:tab w:val="left" w:pos="794"/>
        </w:tabs>
        <w:suppressAutoHyphens/>
        <w:spacing w:line="240" w:lineRule="auto"/>
      </w:pPr>
      <w:r>
        <w:t>31.</w:t>
      </w:r>
      <w:r>
        <w:tab/>
        <w:t>Пункт 43 доклада, который некоторые члены Комитета подвергли критики, возможно, сформулирован не совсем четко. В законодательстве действительно проводится различие между подстрекательством к психическому или физическому насилию по признакам расы, за что лица, признанные виновными, подлежат наказанию в виде лишения свободы на срок от 6 до 18 месяцев, и фактическим совершением актов насилия, за которые предусмотрены наказания в виде лишения свободы на срок от 6 до 24 месяцев. Организации и ассоциации, а также отдельные лица могут преследоваться в судебном порядке, и сам факт связи с какой-нибудь организацией при совершении уголовных актов может повлечь за собой наказание в виде лишения свободы на срок от 6 месяцев до 2–5 лет. Буквально накануне сообщалось о деле, возбужденном против группы лиц, которые угрожали евреям и пропагандировали расовую ненависть по Интернету. Было арестовано от 15 до 25 человек, которым было предъявлено обвинение по статье 150 Уголовного кодекса. Этот пример свидетельствует о решимости властей незамедлительно пресекать любые подобные проявления.</w:t>
      </w:r>
    </w:p>
    <w:p w:rsidR="00000000" w:rsidRDefault="00000000">
      <w:pPr>
        <w:tabs>
          <w:tab w:val="clear" w:pos="680"/>
          <w:tab w:val="clear" w:pos="1134"/>
          <w:tab w:val="left" w:pos="794"/>
        </w:tabs>
        <w:suppressAutoHyphens/>
        <w:spacing w:line="240" w:lineRule="auto"/>
      </w:pPr>
      <w:r>
        <w:t>32.</w:t>
      </w:r>
      <w:r>
        <w:tab/>
        <w:t xml:space="preserve">До сих пор не удалось установить личность лиц, ответственных за осквернение еврейского кладбища, о чем упоминается в пункте 41 доклада, и Центральный комитет еврейских организаций, направивший жалобу, считает это дело закрытым. В обоих случаях дискриминации, о которой говорится в пункте 43, соответствующие компании приняли санкции против своих сотрудников, оскорбивших лиц негроидной расы, а спортивный клуб "Клуб Нептуно" даже уволил виновного в этом сотрудника. </w:t>
      </w:r>
    </w:p>
    <w:p w:rsidR="00000000" w:rsidRDefault="00000000">
      <w:pPr>
        <w:tabs>
          <w:tab w:val="clear" w:pos="680"/>
          <w:tab w:val="clear" w:pos="1134"/>
          <w:tab w:val="left" w:pos="794"/>
        </w:tabs>
        <w:suppressAutoHyphens/>
        <w:spacing w:line="240" w:lineRule="auto"/>
      </w:pPr>
      <w:r>
        <w:t>33.</w:t>
      </w:r>
      <w:r>
        <w:tab/>
        <w:t xml:space="preserve">Отсутствует информация о том, как часто представители негроидной расы или коренных народов использовали средства правовой защиты хабеас корпус или ампаро в случаях, связанных с расовой дискриминацией. Делегация может лишь запросить такую информацию от судебной власти в Монтевидео, однако, поскольку в стране не имеется данных переписи о расовом составе, на основе протоколов судебных заседаний будет трудно установить расовую принадлежность лиц, ходатайствовавших о применении этих средств правовой защиты. </w:t>
      </w:r>
    </w:p>
    <w:p w:rsidR="00000000" w:rsidRDefault="00000000">
      <w:pPr>
        <w:tabs>
          <w:tab w:val="clear" w:pos="680"/>
          <w:tab w:val="clear" w:pos="1134"/>
          <w:tab w:val="left" w:pos="794"/>
        </w:tabs>
        <w:suppressAutoHyphens/>
        <w:spacing w:line="240" w:lineRule="auto"/>
      </w:pPr>
      <w:r>
        <w:t>34.</w:t>
      </w:r>
      <w:r>
        <w:tab/>
        <w:t>В связи с работой комиссии, созданной для расследования возможного существования фондов из нацистской Германии (пункт 62 доклада), можно констатировать, что после длительного расследования этот орган установил, что в период второй мировой войны нацисты не переводили в Уругвай деньги лиц еврейской национальности и что как Центральный комитет еврейских организаций, так и Всемирный еврейский конгресс выразили свое удовлетворение по поводу транспарентности банковской системы и усилий, предпринятых правительством, причем Уругвай оказался одной из первых стран, отреагировавших на их призыв.</w:t>
      </w:r>
    </w:p>
    <w:p w:rsidR="00000000" w:rsidRDefault="00000000">
      <w:pPr>
        <w:tabs>
          <w:tab w:val="clear" w:pos="680"/>
          <w:tab w:val="clear" w:pos="1134"/>
          <w:tab w:val="left" w:pos="794"/>
        </w:tabs>
        <w:suppressAutoHyphens/>
        <w:spacing w:after="200" w:line="240" w:lineRule="auto"/>
      </w:pPr>
      <w:r>
        <w:t>35.</w:t>
      </w:r>
      <w:r>
        <w:tab/>
        <w:t>Ряд членов Комитета подняли вопрос о политических правах, гарантируемых в соответствии со статьей 5 Конвенции. Участие лиц еврейской национальности в парламенте не имеет никакого отношения к расе или религии, а лишь означает, что представители еврейского народа стали членами основных политических партий, привлекших на свою сторону достаточное число голосов в рамках строго пропорциональной системы представительства в стране, что позволило им получить места в парламенте.</w:t>
      </w:r>
    </w:p>
    <w:p w:rsidR="00000000" w:rsidRDefault="00000000">
      <w:pPr>
        <w:tabs>
          <w:tab w:val="clear" w:pos="680"/>
          <w:tab w:val="clear" w:pos="1134"/>
          <w:tab w:val="left" w:pos="794"/>
        </w:tabs>
        <w:suppressAutoHyphens/>
        <w:spacing w:after="200" w:line="240" w:lineRule="auto"/>
      </w:pPr>
      <w:r>
        <w:t>36.</w:t>
      </w:r>
      <w:r>
        <w:tab/>
        <w:t>Организация "Мундо афро" отмечала недостаточное представительство лиц негроидной расы и коренных народов в парламенте, государственной администрации и правительстве, а также отсутствие среди членов профсоюзов лиц негроидной расы. Этот вопрос представляет интерес, поскольку профсоюзы в Уругвае абсолютно независимы от правительства и, как правило, критикуют его политику, однако сами они не считают, что положение чернокожих трудящихся вызывают особые проблемы. Что касается доступа к государственной службе, то президент Республики с 1915 по 1919 годы был представителем смешанной расы (метис); выдающийся армейский генерал в 50-х и 60-х годах прошлого века был индейцем, а в министерстве иностранных дел работают не только чернокожие швейцары, как утверждается, но также дипломаты </w:t>
      </w:r>
      <w:r>
        <w:noBreakHyphen/>
        <w:t xml:space="preserve"> представители негроидной расы и дипломаты-метисы. Сенатор, который недавно замещал президента Республики во время его зарубежной поездки, метис негритянского и индейского происхождения. Действительно, часть негритянского населения в стране находится в маргинальном положении, однако из этого не следует делать однозначного вывода. Есть также другие представители этой расы, достигшие высоких постов, включая административных работников и телевизионных ведущих. После кончины капитана уругвайской национальной футбольной команды африканского происхождения были организованы похороны с государственными почестями. Представители негроидной расы внесли значительный вклад в развитие культуры в стране, в частности искусства, танцев и музыки. </w:t>
      </w:r>
    </w:p>
    <w:p w:rsidR="00000000" w:rsidRDefault="00000000">
      <w:pPr>
        <w:tabs>
          <w:tab w:val="clear" w:pos="680"/>
          <w:tab w:val="clear" w:pos="1134"/>
          <w:tab w:val="left" w:pos="794"/>
        </w:tabs>
        <w:suppressAutoHyphens/>
        <w:spacing w:line="240" w:lineRule="auto"/>
      </w:pPr>
      <w:r>
        <w:t>37.</w:t>
      </w:r>
      <w:r>
        <w:tab/>
        <w:t>Иммиграционное законодательство, включавшее дискриминационные в расовом отношении положения, было принято в 90-х годах прошлого столетия и в настоящее время отменено. На рассмотрении парламента находится новый законопроект, не содержащий никаких дискриминационных положений. Процедура его принятия займет некоторое время, поскольку страна готовится к выборам, однако делегация направит экземпляр этого законопроекта Комитету для информации.</w:t>
      </w:r>
    </w:p>
    <w:p w:rsidR="00000000" w:rsidRDefault="00000000">
      <w:pPr>
        <w:tabs>
          <w:tab w:val="clear" w:pos="680"/>
          <w:tab w:val="clear" w:pos="1134"/>
          <w:tab w:val="left" w:pos="794"/>
        </w:tabs>
        <w:suppressAutoHyphens/>
        <w:spacing w:line="240" w:lineRule="auto"/>
      </w:pPr>
      <w:r>
        <w:t>38.</w:t>
      </w:r>
      <w:r>
        <w:tab/>
        <w:t>Правовые положения, касающиеся брачного возраста, были приняты в 1868 году: в то время общество допускало вступление женщин в брак в 12-летнем возрасте, когда они в физиологическом отношении были способны рожать детей. Безусловно, это устаревшее положение Гражданского кодекса необходимо изменить. Мнение Комитета будет доведено до сведения правительства. Однако на практике члены Комитета могут быть уверены в том, что в современном Уругвае в таком раннем возрасте никто в брак не вступает.</w:t>
      </w:r>
    </w:p>
    <w:p w:rsidR="00000000" w:rsidRDefault="00000000">
      <w:pPr>
        <w:tabs>
          <w:tab w:val="clear" w:pos="680"/>
          <w:tab w:val="clear" w:pos="1134"/>
          <w:tab w:val="left" w:pos="794"/>
        </w:tabs>
        <w:suppressAutoHyphens/>
        <w:spacing w:line="240" w:lineRule="auto"/>
      </w:pPr>
      <w:r>
        <w:t>39.</w:t>
      </w:r>
      <w:r>
        <w:tab/>
        <w:t>Право на владение имуществом не подлежит никаким ограничениям, хотя признается, что такое право является гипотетическим для тех, кто вообще не может позволить себе купить какую-либо собственность. Уругвай национализировал важнейшие системы публичного обслуживания и создал общегосударственный пенсионный фонд раньше многих европейских стран и раньше всех других латиноамериканских стран. Распределение богатств в Уругвае среди стран региона является наиболее справедливым, а доля проживающих за чертой бедности людей, составляющая 4%, признается самой низкой в регионе.</w:t>
      </w:r>
    </w:p>
    <w:p w:rsidR="00000000" w:rsidRDefault="00000000">
      <w:pPr>
        <w:tabs>
          <w:tab w:val="clear" w:pos="680"/>
          <w:tab w:val="clear" w:pos="1134"/>
          <w:tab w:val="left" w:pos="794"/>
        </w:tabs>
        <w:suppressAutoHyphens/>
        <w:spacing w:line="240" w:lineRule="auto"/>
      </w:pPr>
      <w:r>
        <w:t>40.</w:t>
      </w:r>
      <w:r>
        <w:tab/>
        <w:t>Приблизительно 65% уругвайцев проживают в собственных домах, и правительство проводит общую политику, направленную на поддержку граждан, которые находятся в неблагоприятном положении, независимо от цвета кожи, расовой или религиозной принадлежности, и которые желают приобрести жилье, в частности путем предоставления крупных ссуд. В результате этого жилищный фонд в стране, как правило, отличается хорошим качеством и в прошлые годы для семей, находящихся в неблагоприятном положении, были построены десятки тысяч жилых единиц. Часть жилищного фонда по-прежнему характеризуется низким качеством, главным образом в сельских районах, поэтому предпринимались активные усилия, направленные на улучшение ситуации в этих районах посредством строительства жилья и обеспечения коммунальных услуг. Однако доля населения, проживающего в таких условиях, в принципе очень низка, поскольку в сельской местности, которая используется в основном для животноводства и где практически отсутствует трудоемкое сельское хозяйство, почти никто не проживает. Значительная часть населения проживает в городских районах.</w:t>
      </w:r>
    </w:p>
    <w:p w:rsidR="00000000" w:rsidRDefault="00000000">
      <w:pPr>
        <w:tabs>
          <w:tab w:val="clear" w:pos="680"/>
          <w:tab w:val="clear" w:pos="1134"/>
          <w:tab w:val="left" w:pos="794"/>
        </w:tabs>
        <w:suppressAutoHyphens/>
        <w:spacing w:line="240" w:lineRule="auto"/>
      </w:pPr>
      <w:r>
        <w:t>41.</w:t>
      </w:r>
      <w:r>
        <w:tab/>
        <w:t>Статистика относительных доходов представителей негроидной и европеоидной рас может ввести в заблуждение. Тот факт, что представители негроидной расы обычно зарабатывают 60% от размера заработной платы белых работников, не означает, что чернокожий работник, выполняющий такую же работу, как и белый, получает меньшую заработную плату, а лишь отражает более общие различия в типах их занятости. По утверждению организации "Мундо афро", приблизительно 65% женщин негритянского происхождения работают на дому, однако, согласно Государственному статистическому управлению, эта цифра приближается к 30%. Лица, занятые в домашних хозяйствах в Уругвае, охвачены национальным пенсионным фондом, в который их работодатели обязаны делать взносы. Хотя сама по себе работа нелегка, ее ни в коем случае нельзя сравнивать с рабством.</w:t>
      </w:r>
    </w:p>
    <w:p w:rsidR="00000000" w:rsidRDefault="00000000">
      <w:pPr>
        <w:tabs>
          <w:tab w:val="clear" w:pos="680"/>
          <w:tab w:val="clear" w:pos="1134"/>
          <w:tab w:val="left" w:pos="794"/>
        </w:tabs>
        <w:suppressAutoHyphens/>
        <w:spacing w:line="240" w:lineRule="auto"/>
      </w:pPr>
      <w:r>
        <w:t>42.</w:t>
      </w:r>
      <w:r>
        <w:tab/>
        <w:t>С представителями коренных народов, на долю которых приходится 0,4% населения Уругвая, в повседневной жизни другие жители страны сталкиваются редко, однако в целом отношение к ним благоприятное. Название страны, названия всех ее рек и многие имена, которые даются уругвайским детям, взяты из языка народа гуарани, как и фамилии и имена многих выдающихся общественных деятелей.</w:t>
      </w:r>
    </w:p>
    <w:p w:rsidR="00000000" w:rsidRDefault="00000000">
      <w:pPr>
        <w:tabs>
          <w:tab w:val="clear" w:pos="680"/>
          <w:tab w:val="clear" w:pos="1134"/>
          <w:tab w:val="left" w:pos="794"/>
        </w:tabs>
        <w:suppressAutoHyphens/>
        <w:spacing w:line="240" w:lineRule="auto"/>
      </w:pPr>
      <w:r>
        <w:t>43.</w:t>
      </w:r>
      <w:r>
        <w:tab/>
        <w:t>Единственными ограничениями на свободу выбора места проживания являются экономические факторы, обусловленные рыночной экономикой. Например, арабы проживают во всех частях Монтевидео, как в престижных жилых районах, так и в менее зажиточных районах. В период военного диктаторского режима жители, главным образом негритянского происхождения, одного из городских кварталов – но не целого района, как утверждалось, – были действительно выселены. У делегации нет сведений о том, получили ли выселенные жильцы какие-либо обещания от правительства, однако она запросила такую информацию от властей в Монтевидео и в надлежащее время проинформирует об этом Комитет. В любом случае эти семьи были вынуждены покинуть живописный район и поселиться в других местах, однако белыми жителями вместо них этот квартал заселен не был. Он был разрушен, и этот участок земли по-прежнему пустует.</w:t>
      </w:r>
    </w:p>
    <w:p w:rsidR="00000000" w:rsidRDefault="00000000">
      <w:pPr>
        <w:tabs>
          <w:tab w:val="clear" w:pos="680"/>
          <w:tab w:val="clear" w:pos="1134"/>
          <w:tab w:val="left" w:pos="794"/>
        </w:tabs>
        <w:suppressAutoHyphens/>
        <w:spacing w:line="240" w:lineRule="auto"/>
      </w:pPr>
      <w:r>
        <w:t>44.</w:t>
      </w:r>
      <w:r>
        <w:tab/>
        <w:t>Правительство организовало в средних школах и в других заведениях информационную кампанию для ознакомления с положениями Конвенции, а с профессорско-преподавательским составом университета была достигнута договоренность о проведении курса лекций по правам человека, включая положения Конвенции, в национальной школе подготовки сотрудников полиции.</w:t>
      </w:r>
    </w:p>
    <w:p w:rsidR="00000000" w:rsidRDefault="00000000">
      <w:pPr>
        <w:tabs>
          <w:tab w:val="clear" w:pos="680"/>
          <w:tab w:val="clear" w:pos="1134"/>
          <w:tab w:val="left" w:pos="794"/>
        </w:tabs>
        <w:suppressAutoHyphens/>
        <w:spacing w:line="240" w:lineRule="auto"/>
      </w:pPr>
      <w:r>
        <w:t>45.</w:t>
      </w:r>
      <w:r>
        <w:tab/>
        <w:t>Что касается ратификации поправок к статье 8 Конвенции, то делегация доведет мнение Комитета до сведения правительства.</w:t>
      </w:r>
    </w:p>
    <w:p w:rsidR="00000000" w:rsidRDefault="00000000">
      <w:pPr>
        <w:tabs>
          <w:tab w:val="clear" w:pos="680"/>
          <w:tab w:val="clear" w:pos="1134"/>
          <w:tab w:val="left" w:pos="794"/>
        </w:tabs>
        <w:suppressAutoHyphens/>
        <w:spacing w:line="240" w:lineRule="auto"/>
      </w:pPr>
      <w:r>
        <w:t>46.</w:t>
      </w:r>
      <w:r>
        <w:tab/>
        <w:t>Жители, которые не могут позволить себе оплатить услуги адвоката, все же имеют возможность проконсультироваться с юристом, поскольку все студенты юридических факультетов в Уругвае обязаны в интересах общественного блага отрабатывать в отделах по правовым вопросам юридического факультета, которые работают круглосуточно. Отделы по правовым вопросам при судах также могут назначить юристов, услуги которых оплачивает государство, для защиты лиц, которые не могут позволить себе нанять защитника.</w:t>
      </w:r>
    </w:p>
    <w:p w:rsidR="00000000" w:rsidRDefault="00000000">
      <w:pPr>
        <w:tabs>
          <w:tab w:val="clear" w:pos="680"/>
          <w:tab w:val="clear" w:pos="1134"/>
          <w:tab w:val="left" w:pos="794"/>
        </w:tabs>
        <w:suppressAutoHyphens/>
        <w:spacing w:line="240" w:lineRule="auto"/>
      </w:pPr>
      <w:r>
        <w:t>47.</w:t>
      </w:r>
      <w:r>
        <w:tab/>
        <w:t xml:space="preserve">Для полного ответа на вопросы, касающиеся статьи 72 Конституции, потребуется разъяснить, каким образом эта статья толкуется судами, а также определить область ее применения. В некоторой степени Конституция Уругвая была создана по образцу Декларации независимости Соединенных Штатов Америки, где говорится о неотъемлемых правах, которыми наделены все люди их Творцом. В знак признания принципа разделения церкви и государства Конституция Уругвая просто содержит ссылку на "неотъемлемость" прав, что может означать, что жители страны наделены этими правами либо Богом, либо в силу естественных причин. В любом случае права человека предоставляются не на основании какого-либо документа, а существуют в силу рождения или зачатия. Статья 72 является одной из ключевых статей Конституции Уругвая; важнейшей особенностью этой статьи является ее гибкая формулировка, позволяющая судам наделять любое право, которое, как считается, вытекает из принципов естественного права, статусом неотъемлемого права по уругвайскому законодательству. Например, свобода на создание произведений искусств и авторское право, которые в Конституции не предусмотрены, признаются в силу толкования статьи 72. Благодаря гибкости статьи 72 специалисты в области конституционного и уголовного права регулярно ссылаются на нее в судах. </w:t>
      </w:r>
    </w:p>
    <w:p w:rsidR="00000000" w:rsidRDefault="00000000">
      <w:pPr>
        <w:tabs>
          <w:tab w:val="clear" w:pos="680"/>
          <w:tab w:val="clear" w:pos="1134"/>
          <w:tab w:val="left" w:pos="794"/>
        </w:tabs>
        <w:suppressAutoHyphens/>
        <w:spacing w:line="240" w:lineRule="auto"/>
      </w:pPr>
      <w:r>
        <w:t>48.</w:t>
      </w:r>
      <w:r>
        <w:tab/>
        <w:t xml:space="preserve">Процедура </w:t>
      </w:r>
      <w:r>
        <w:rPr>
          <w:u w:val="single"/>
        </w:rPr>
        <w:t>ампаро</w:t>
      </w:r>
      <w:r>
        <w:t>, описание которой приводится в пунктах 56–59 доклада и которая впервые появилась в Америке в мексиканской Конституции 1857 года, обеспечивает оперативное и эффективное средство защиты в случае открытых и вопиющих нарушений закона; эта процедура широко используется в уругвайских судах, и на нее часто ссылаются в тех случаях, когда другие оперативные средства для восстановления справедливости отсутствуют. Он сам принимал участие в разработке правительственного законопроекта о процедуре ампаро, который в конечном счете был принят парламентом.</w:t>
      </w:r>
    </w:p>
    <w:p w:rsidR="00000000" w:rsidRDefault="00000000">
      <w:pPr>
        <w:tabs>
          <w:tab w:val="clear" w:pos="680"/>
          <w:tab w:val="clear" w:pos="1134"/>
          <w:tab w:val="left" w:pos="794"/>
        </w:tabs>
        <w:suppressAutoHyphens/>
        <w:spacing w:line="240" w:lineRule="auto"/>
      </w:pPr>
      <w:r>
        <w:t>49.</w:t>
      </w:r>
      <w:r>
        <w:tab/>
        <w:t xml:space="preserve">В соответствии со статьей 332 Конституции судьи имеют возможность рассматривать дела, не охватываемые конкретно другими статьями. Прежде всего стоит отметить, что уругвайские законодатели не всезнающи и не могли предусмотреть все возможные случаи. Однако эту статью нельзя использовать в качестве предлога для изобретения новых правонарушений. Несколько лет назад двое кубинских иммигрантов объявили голодовку – ситуация, не предусмотренная в уругвайском законодательстве, за исключением упоминания о том, что человек, скончавшийся во время голодовки, считается покончившим жизнь самоубийством. Для того чтобы вынести решение по вышеупомянутому делу, на основании статьи 332 судья, который вел данное дело, имел возможность воспользоваться соответствующими законодательными положениями из аналогичных правовых систем, а именно из западных либеральных правовых систем, и общепризнанных учений. </w:t>
      </w:r>
    </w:p>
    <w:p w:rsidR="00000000" w:rsidRDefault="00000000">
      <w:pPr>
        <w:tabs>
          <w:tab w:val="clear" w:pos="680"/>
          <w:tab w:val="clear" w:pos="1134"/>
          <w:tab w:val="left" w:pos="794"/>
        </w:tabs>
        <w:suppressAutoHyphens/>
        <w:spacing w:line="240" w:lineRule="auto"/>
      </w:pPr>
      <w:r>
        <w:t>50.</w:t>
      </w:r>
      <w:r>
        <w:tab/>
        <w:t>В соответствии со статьей 7 Конституции всем лицам, проживающим в Уругвае, будь то гражданам или негражданам, независимо от расовой принадлежности или цвета кожи гарантируются определенные основные права, включая право на жизнь, свободу, безопасность личности, труд и владение имуществом. Действительно, Конституция не запрещает в явно выраженной форме расовую дискриминацию. Однако он считает, что перечисленные выше статьи имеют достаточно широкую сферу применения, что позволяет обеспечить необходимые гарантии.</w:t>
      </w:r>
    </w:p>
    <w:p w:rsidR="00000000" w:rsidRDefault="00000000">
      <w:pPr>
        <w:tabs>
          <w:tab w:val="clear" w:pos="680"/>
          <w:tab w:val="clear" w:pos="1134"/>
          <w:tab w:val="left" w:pos="794"/>
        </w:tabs>
        <w:suppressAutoHyphens/>
        <w:spacing w:line="240" w:lineRule="auto"/>
      </w:pPr>
      <w:r>
        <w:t>51.</w:t>
      </w:r>
      <w:r>
        <w:tab/>
        <w:t>Акты расовой дискриминации или подстрекательства к расовой ненависти квалифицируются в качестве публичного правонарушения, и государство должно проводить по ним расследования независимо от того, подал ли потерпевший официальную жалобу. По-иному дело обстоит с половыми преступлениями, когда, например, в интересах обеспечения неприкосновенности частной жизни расследование проводится только на основании официальной жалобы.</w:t>
      </w:r>
    </w:p>
    <w:p w:rsidR="00000000" w:rsidRDefault="00000000">
      <w:pPr>
        <w:tabs>
          <w:tab w:val="clear" w:pos="680"/>
          <w:tab w:val="clear" w:pos="1134"/>
          <w:tab w:val="left" w:pos="794"/>
        </w:tabs>
        <w:suppressAutoHyphens/>
        <w:spacing w:line="240" w:lineRule="auto"/>
      </w:pPr>
      <w:r>
        <w:t>52.</w:t>
      </w:r>
      <w:r>
        <w:tab/>
        <w:t>Переходя к вопросу о политике в области занятости, он отмечает, что, естественно, существуют различия в уровне занятости чернокожего и белого населения. Усилия правительства направлены на борьбу с нищетой в целом и обеспечение равных возможностей для всего населения. Согласно данным Организации Объединенных Наций по состоянию на июль 1999 года, за чертой бедности проживает 4% населения. Чернокожее население относится к категории уязвимого населения, поэтому реализация правительственных мер в таких областях, как жилье и объекты общего пользования, будет отвечать их интересам.</w:t>
      </w:r>
    </w:p>
    <w:p w:rsidR="00000000" w:rsidRDefault="00000000">
      <w:pPr>
        <w:tabs>
          <w:tab w:val="clear" w:pos="680"/>
          <w:tab w:val="clear" w:pos="1134"/>
          <w:tab w:val="left" w:pos="794"/>
        </w:tabs>
        <w:suppressAutoHyphens/>
        <w:spacing w:line="240" w:lineRule="auto"/>
      </w:pPr>
      <w:r>
        <w:t>53.</w:t>
      </w:r>
      <w:r>
        <w:tab/>
        <w:t xml:space="preserve">В связи с вопросом о свободном доступе к публичным местам он говорит, что за предупреждение дискриминации в таких публичных местах, как ночные клубы, кинотеатры и стадионы, ответственность несут муниципалитеты. В случае преднамеренного акта дискриминации владелец привлекается к судебной ответственности, а само учреждение закрывается. Насколько ему известно, подобных случаев немного, что, по его мнению, является хорошим признаком, поскольку пресса и неправительственные организации (НПО) оперативно сообщают о любых имевших место случаях дискриминации. Безусловно, как и в любом другом обществе, неизбежно находятся некоторые уругвайцы, которые с предубеждением относятся к лицам негроидной расы, евреям, баскам или даже лицам итальянского происхождения, к числу которых он относится, и сами по себе законы, процедура ампаро или Конвенция не могут за короткий срок изменить их взгляды. </w:t>
      </w:r>
    </w:p>
    <w:p w:rsidR="00000000" w:rsidRDefault="00000000">
      <w:pPr>
        <w:tabs>
          <w:tab w:val="clear" w:pos="680"/>
          <w:tab w:val="clear" w:pos="1134"/>
          <w:tab w:val="left" w:pos="794"/>
        </w:tabs>
        <w:suppressAutoHyphens/>
        <w:spacing w:line="240" w:lineRule="auto"/>
      </w:pPr>
      <w:r>
        <w:t>54.</w:t>
      </w:r>
      <w:r>
        <w:tab/>
        <w:t>Еще один момент, который необходимо упомянуть в связи с представительством негроидной расы на высших должностях, заключается в том, что доля чернокожего населения Уругвая весьма невелика. Из 5,9% населения, которое полностью или частично принадлежит к лицам негритянского этнического происхождения, лишь 30 000 человек, или 0,9% от общей численности населения, являются строго говоря лицами негроидной расы. С учетом того, что общая численность населения составляет свыше 3 млн. человек, безусловно, в любом конкретном месте можно столкнуться лишь с незначительным числом лиц негритянского происхождения. Ничто не препятствует приезду лиц негроидной расы в Уругвай, поэтому, возможно, в будущем их число увеличится.</w:t>
      </w:r>
    </w:p>
    <w:p w:rsidR="00000000" w:rsidRDefault="00000000">
      <w:pPr>
        <w:tabs>
          <w:tab w:val="clear" w:pos="680"/>
          <w:tab w:val="clear" w:pos="1134"/>
          <w:tab w:val="left" w:pos="794"/>
        </w:tabs>
        <w:suppressAutoHyphens/>
        <w:spacing w:line="240" w:lineRule="auto"/>
      </w:pPr>
      <w:r>
        <w:t>55.</w:t>
      </w:r>
      <w:r>
        <w:tab/>
        <w:t>Он не располагает подробной информацией о детской смертности или средней вероятной продолжительности жизни среди чернокожего или коренного населения, однако он позаботится о том, чтобы такая информация была включена в следующий доклад.</w:t>
      </w:r>
    </w:p>
    <w:p w:rsidR="00000000" w:rsidRDefault="00000000">
      <w:pPr>
        <w:tabs>
          <w:tab w:val="clear" w:pos="680"/>
          <w:tab w:val="clear" w:pos="1134"/>
          <w:tab w:val="left" w:pos="794"/>
        </w:tabs>
        <w:suppressAutoHyphens/>
        <w:spacing w:line="240" w:lineRule="auto"/>
      </w:pPr>
      <w:r>
        <w:t>56.</w:t>
      </w:r>
      <w:r>
        <w:tab/>
        <w:t>В связи с применимостью Конвенции в отношении внутригосударственного законодательства он отмечает, что этот вопрос носит чрезвычайно сложный характер и что его делегация представит подробное письменное разъяснение. Не существует какого-либо конкретного положения, предусматривающего, что международные договоры имеют верховенство над внутригосударственным законодательством или наоборот, поэтому решение по каждому конкретному делу принимает сам судья. Уругвай подписал, но еще не ратифицировал Римский статут Международного уголовного суда, поскольку его положения, касающиеся привлечения к уголовной ответственности главы государства, не соответствуют законодательству Уругвая.</w:t>
      </w:r>
    </w:p>
    <w:p w:rsidR="00000000" w:rsidRDefault="00000000">
      <w:pPr>
        <w:tabs>
          <w:tab w:val="clear" w:pos="680"/>
          <w:tab w:val="clear" w:pos="1134"/>
          <w:tab w:val="left" w:pos="794"/>
        </w:tabs>
        <w:suppressAutoHyphens/>
        <w:spacing w:line="240" w:lineRule="auto"/>
      </w:pPr>
      <w:r>
        <w:t>57.</w:t>
      </w:r>
      <w:r>
        <w:tab/>
        <w:t>Официальным языком в стране, а также языком обучения во всех школах является испанский язык. Безусловно, можно изучать другие языки, и, например, занятия ведутся также на итальянском, баскском и арабском языках.</w:t>
      </w:r>
    </w:p>
    <w:p w:rsidR="00000000" w:rsidRDefault="00000000">
      <w:pPr>
        <w:tabs>
          <w:tab w:val="clear" w:pos="680"/>
          <w:tab w:val="clear" w:pos="1134"/>
          <w:tab w:val="left" w:pos="794"/>
        </w:tabs>
        <w:suppressAutoHyphens/>
        <w:spacing w:line="240" w:lineRule="auto"/>
      </w:pPr>
      <w:r>
        <w:t>58.</w:t>
      </w:r>
      <w:r>
        <w:tab/>
        <w:t>Кандидатами на пост президента или вице-президента должны быть граждане Уругвая, т.е. лица, родившиеся в стране либо имеющие отца или мать, являющихся гражданами Уругвая. Что касается всех других высоких постов до Председателя Верховного суда включительно, то кандидатом также должен быть гражданин Уругвая. Уругвайское гражданство можно получить в том случае, если соответствующее лицо отвечает требованиям в отношении продолжительности проживания в стране и если была соблюдена необходимая процедура. В сфере социального обеспечения или трудового законодательства каких-либо различий между гражданами и негражданами не проводится.</w:t>
      </w:r>
    </w:p>
    <w:p w:rsidR="00000000" w:rsidRDefault="00000000">
      <w:pPr>
        <w:tabs>
          <w:tab w:val="clear" w:pos="680"/>
          <w:tab w:val="clear" w:pos="1134"/>
          <w:tab w:val="left" w:pos="794"/>
        </w:tabs>
        <w:suppressAutoHyphens/>
        <w:spacing w:line="240" w:lineRule="auto"/>
      </w:pPr>
      <w:r>
        <w:t>59.</w:t>
      </w:r>
      <w:r>
        <w:tab/>
        <w:t>Вопрос об определении понятия "группа меньшинства" является крайне сложным. Жители Уругвая из числа лиц негроидной расы и коренных народов являются уругвайцами: они обладают такими же культурными ценностями, носят такую же одежду и питаются такими же продуктами питания, что и остальное население. Они принадлежат к разным религиям или вообще не исповедуют никакой религии. Он не видит необходимости в проведении дифференциации между различными группами. Чернокожее и коренное население могут по своему усмотрению создавать собственные политические партии: одна такая партия была создана в 1937 году, однако ее деятельность была свернута из-за недостаточного проявляемого к ней интереса. Политическая партия, создаваемая по этническому принципу, например, партия, состоящая из лиц китайского или арабского происхождения, уругвайским традиционным ценностям чужда. Чернокожее население может свободно вступать в основные политические партии, хотя ни один из его представителей не был избран на высокие должности.</w:t>
      </w:r>
    </w:p>
    <w:p w:rsidR="00000000" w:rsidRDefault="00000000">
      <w:pPr>
        <w:tabs>
          <w:tab w:val="clear" w:pos="680"/>
          <w:tab w:val="clear" w:pos="1134"/>
          <w:tab w:val="left" w:pos="794"/>
        </w:tabs>
        <w:suppressAutoHyphens/>
        <w:spacing w:line="240" w:lineRule="auto"/>
      </w:pPr>
      <w:r>
        <w:t>60.</w:t>
      </w:r>
      <w:r>
        <w:tab/>
        <w:t>Члены Комитета по праву отметили тот факт, что в докладе приводится много информации о еврейском населении Уругвая и не очень много о чернокожем и коренном населении. Помощь в подготовке доклада оказала одна из еврейских организаций – Центральный комитет еврейских организаций. Возможно, организации чернокожего и коренного населения не проявили особого желания сотрудничать. Вполне вероятно, что память о Холокосте способствует тому, что еврейское население более остро реагирует на вопросы, касающиеся прав человека. Еврейское население полностью интегрировано в уругвайское общество, и в результатах переписи не указывается, например, является ли тот или иной человек евреем, протестантом, католиком или бехаистом.</w:t>
      </w:r>
    </w:p>
    <w:p w:rsidR="00000000" w:rsidRDefault="00000000">
      <w:pPr>
        <w:tabs>
          <w:tab w:val="clear" w:pos="680"/>
          <w:tab w:val="clear" w:pos="1134"/>
          <w:tab w:val="left" w:pos="794"/>
        </w:tabs>
        <w:suppressAutoHyphens/>
        <w:spacing w:line="240" w:lineRule="auto"/>
      </w:pPr>
      <w:r>
        <w:t>61.</w:t>
      </w:r>
      <w:r>
        <w:tab/>
        <w:t>Он также не располагает информацией о численности населения Уругвая итальянского и испанского происхождения. Третья часть населения является лицами итальянского происхождения, и существует также многочисленная испанская община, особенно в Монтевидео. Однако обе группы населения полностью интегрировались в уругвайское общество, в процветание которого они внесли ценный вклад.</w:t>
      </w:r>
    </w:p>
    <w:p w:rsidR="00000000" w:rsidRDefault="00000000">
      <w:pPr>
        <w:tabs>
          <w:tab w:val="clear" w:pos="680"/>
          <w:tab w:val="clear" w:pos="1134"/>
          <w:tab w:val="left" w:pos="794"/>
        </w:tabs>
        <w:suppressAutoHyphens/>
        <w:spacing w:line="240" w:lineRule="auto"/>
      </w:pPr>
      <w:r>
        <w:t>62.</w:t>
      </w:r>
      <w:r>
        <w:tab/>
      </w:r>
      <w:r>
        <w:rPr>
          <w:u w:val="single"/>
        </w:rPr>
        <w:t>ПРЕДСЕДАТЕЛЬ</w:t>
      </w:r>
      <w:r>
        <w:t xml:space="preserve"> говорит, что, хотя у него нет намерения приуменьшать страдания евреев, чернокожему населению также пришлось выстрадать очень многое на протяжении нескольких столетий рабства.</w:t>
      </w:r>
    </w:p>
    <w:p w:rsidR="00000000" w:rsidRDefault="00000000">
      <w:pPr>
        <w:tabs>
          <w:tab w:val="clear" w:pos="680"/>
          <w:tab w:val="clear" w:pos="1134"/>
          <w:tab w:val="left" w:pos="794"/>
        </w:tabs>
        <w:suppressAutoHyphens/>
        <w:spacing w:line="240" w:lineRule="auto"/>
      </w:pPr>
      <w:r>
        <w:t>63.</w:t>
      </w:r>
      <w:r>
        <w:tab/>
      </w:r>
      <w:r>
        <w:rPr>
          <w:u w:val="single"/>
        </w:rPr>
        <w:t>Г-н ВОЛЬФРУМ</w:t>
      </w:r>
      <w:r>
        <w:t xml:space="preserve"> отмечает, что, по всей видимости, уругвайская делегация недостаточно серьезно отреагировала на замечания Комитета, касающиеся африканской общины. Представитель говорил о чернокожих семьях, выселенных из своих домов, и подчеркнул, что участок по-прежнему свободен. По его мнению, это лишь означает, что людей выселили без каких-либо оснований и даже не позаботились о том, чтобы на этом месте было построено новое жилье лучшего качества.</w:t>
      </w:r>
    </w:p>
    <w:p w:rsidR="00000000" w:rsidRDefault="00000000">
      <w:pPr>
        <w:tabs>
          <w:tab w:val="clear" w:pos="680"/>
          <w:tab w:val="clear" w:pos="1134"/>
          <w:tab w:val="left" w:pos="794"/>
        </w:tabs>
        <w:suppressAutoHyphens/>
        <w:spacing w:line="240" w:lineRule="auto"/>
      </w:pPr>
      <w:r>
        <w:t>64.</w:t>
      </w:r>
      <w:r>
        <w:tab/>
      </w:r>
      <w:r>
        <w:rPr>
          <w:u w:val="single"/>
        </w:rPr>
        <w:t>Г-жа ЦОУ Дэцы</w:t>
      </w:r>
      <w:r>
        <w:t xml:space="preserve"> (Докладчик по стране) благодарит уругвайскую делегацию за ее готовность вести открытый диалог с Комитетом. Правительство Уругвая сделало очень многое для повышения жизненного уровня и утверждения принципа господства права, однако в уругвайском обществе по-прежнему имеются многочисленные случаи неравенства де-факто и примеры расовой дискриминации, особенно по отношению к чернокожему населению. Она выражает надежду на то, что в следующем периодическом докладе правительство представит более подробную информацию о положении чернокожего населения, а также более подробные сведения об осуществлении статьи 4 Конвенции, которая носит обязательный характер, включая возможные способы отражения положений этой статьи в Уголовном кодексе.</w:t>
      </w:r>
    </w:p>
    <w:p w:rsidR="00000000" w:rsidRDefault="00000000">
      <w:pPr>
        <w:tabs>
          <w:tab w:val="clear" w:pos="680"/>
          <w:tab w:val="clear" w:pos="1134"/>
          <w:tab w:val="left" w:pos="794"/>
        </w:tabs>
        <w:suppressAutoHyphens/>
        <w:spacing w:line="240" w:lineRule="auto"/>
      </w:pPr>
      <w:r>
        <w:t>65.</w:t>
      </w:r>
      <w:r>
        <w:tab/>
      </w:r>
      <w:r>
        <w:rPr>
          <w:u w:val="single"/>
        </w:rPr>
        <w:t>ПРЕДСЕДАТЕЛЬ</w:t>
      </w:r>
      <w:r>
        <w:t xml:space="preserve"> благодарит делегацию Уругвая за представленный ею доклад и ее сотрудничество с Комитетом.</w:t>
      </w:r>
    </w:p>
    <w:p w:rsidR="00000000" w:rsidRDefault="00000000">
      <w:pPr>
        <w:tabs>
          <w:tab w:val="clear" w:pos="680"/>
          <w:tab w:val="clear" w:pos="1134"/>
          <w:tab w:val="left" w:pos="794"/>
        </w:tabs>
        <w:suppressAutoHyphens/>
        <w:spacing w:line="240" w:lineRule="auto"/>
        <w:jc w:val="center"/>
      </w:pPr>
      <w:r>
        <w:rPr>
          <w:u w:val="single"/>
        </w:rPr>
        <w:t>Заседание закрывается в 13 час. 00 мин</w:t>
      </w:r>
      <w:r>
        <w:t>.</w:t>
      </w:r>
    </w:p>
    <w:p w:rsidR="00000000" w:rsidRDefault="00000000">
      <w:pPr>
        <w:tabs>
          <w:tab w:val="clear" w:pos="680"/>
          <w:tab w:val="clear" w:pos="1134"/>
          <w:tab w:val="left" w:pos="794"/>
        </w:tabs>
        <w:spacing w:line="240" w:lineRule="auto"/>
      </w:pPr>
    </w:p>
    <w:p w:rsidR="00000000" w:rsidRDefault="00000000">
      <w:pPr>
        <w:tabs>
          <w:tab w:val="clear" w:pos="680"/>
          <w:tab w:val="clear" w:pos="1134"/>
          <w:tab w:val="left" w:pos="794"/>
        </w:tabs>
        <w:suppressAutoHyphens/>
        <w:spacing w:line="240" w:lineRule="auto"/>
        <w:jc w:val="center"/>
        <w:rPr>
          <w:lang w:val="en-US"/>
        </w:rPr>
      </w:pP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CЕRD/C/SR.1351</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12</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CERD/C/SR.1351</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11</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158F5270"/>
    <w:multiLevelType w:val="singleLevel"/>
    <w:tmpl w:val="B67077EE"/>
    <w:lvl w:ilvl="0">
      <w:start w:val="6"/>
      <w:numFmt w:val="decimal"/>
      <w:lvlText w:val="%1."/>
      <w:lvlJc w:val="left"/>
      <w:pPr>
        <w:tabs>
          <w:tab w:val="num" w:pos="792"/>
        </w:tabs>
        <w:ind w:left="792" w:hanging="792"/>
      </w:pPr>
      <w:rPr>
        <w:rFonts w:hint="default"/>
      </w:rPr>
    </w:lvl>
  </w:abstractNum>
  <w:abstractNum w:abstractNumId="9">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0">
    <w:nsid w:val="2BC96880"/>
    <w:multiLevelType w:val="singleLevel"/>
    <w:tmpl w:val="99724B76"/>
    <w:lvl w:ilvl="0">
      <w:start w:val="5"/>
      <w:numFmt w:val="decimal"/>
      <w:lvlText w:val="%1."/>
      <w:legacy w:legacy="1" w:legacySpace="0" w:legacyIndent="360"/>
      <w:lvlJc w:val="left"/>
      <w:pPr>
        <w:ind w:left="360" w:hanging="360"/>
      </w:pPr>
    </w:lvl>
  </w:abstractNum>
  <w:abstractNum w:abstractNumId="11">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2">
    <w:nsid w:val="3B695861"/>
    <w:multiLevelType w:val="singleLevel"/>
    <w:tmpl w:val="41107302"/>
    <w:lvl w:ilvl="0">
      <w:start w:val="1"/>
      <w:numFmt w:val="decimal"/>
      <w:lvlText w:val="%1."/>
      <w:legacy w:legacy="1" w:legacySpace="0" w:legacyIndent="360"/>
      <w:lvlJc w:val="left"/>
      <w:pPr>
        <w:ind w:left="360" w:hanging="360"/>
      </w:pPr>
    </w:lvl>
  </w:abstractNum>
  <w:abstractNum w:abstractNumId="13">
    <w:nsid w:val="3BDB0039"/>
    <w:multiLevelType w:val="singleLevel"/>
    <w:tmpl w:val="5A7A886C"/>
    <w:lvl w:ilvl="0">
      <w:start w:val="2"/>
      <w:numFmt w:val="decimal"/>
      <w:lvlText w:val="%1."/>
      <w:legacy w:legacy="1" w:legacySpace="0" w:legacyIndent="360"/>
      <w:lvlJc w:val="left"/>
      <w:pPr>
        <w:ind w:left="360" w:hanging="360"/>
      </w:pPr>
    </w:lvl>
  </w:abstractNum>
  <w:abstractNum w:abstractNumId="14">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5">
    <w:nsid w:val="4B7512CC"/>
    <w:multiLevelType w:val="singleLevel"/>
    <w:tmpl w:val="95880084"/>
    <w:lvl w:ilvl="0">
      <w:start w:val="23"/>
      <w:numFmt w:val="bullet"/>
      <w:lvlText w:val="–"/>
      <w:lvlJc w:val="left"/>
      <w:pPr>
        <w:tabs>
          <w:tab w:val="num" w:pos="852"/>
        </w:tabs>
        <w:ind w:left="852" w:hanging="852"/>
      </w:pPr>
      <w:rPr>
        <w:rFonts w:hint="default"/>
      </w:rPr>
    </w:lvl>
  </w:abstractNum>
  <w:abstractNum w:abstractNumId="16">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7">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8">
    <w:nsid w:val="51892C76"/>
    <w:multiLevelType w:val="singleLevel"/>
    <w:tmpl w:val="5A7A886C"/>
    <w:lvl w:ilvl="0">
      <w:start w:val="2"/>
      <w:numFmt w:val="decimal"/>
      <w:lvlText w:val="%1."/>
      <w:legacy w:legacy="1" w:legacySpace="0" w:legacyIndent="360"/>
      <w:lvlJc w:val="left"/>
      <w:pPr>
        <w:ind w:left="360" w:hanging="360"/>
      </w:pPr>
    </w:lvl>
  </w:abstractNum>
  <w:abstractNum w:abstractNumId="19">
    <w:nsid w:val="52B36018"/>
    <w:multiLevelType w:val="singleLevel"/>
    <w:tmpl w:val="B13016EE"/>
    <w:lvl w:ilvl="0">
      <w:start w:val="3"/>
      <w:numFmt w:val="decimal"/>
      <w:lvlText w:val="%1."/>
      <w:legacy w:legacy="1" w:legacySpace="0" w:legacyIndent="360"/>
      <w:lvlJc w:val="left"/>
      <w:pPr>
        <w:ind w:left="360" w:hanging="360"/>
      </w:pPr>
    </w:lvl>
  </w:abstractNum>
  <w:abstractNum w:abstractNumId="20">
    <w:nsid w:val="59310656"/>
    <w:multiLevelType w:val="singleLevel"/>
    <w:tmpl w:val="99724B76"/>
    <w:lvl w:ilvl="0">
      <w:start w:val="5"/>
      <w:numFmt w:val="decimal"/>
      <w:lvlText w:val="%1."/>
      <w:legacy w:legacy="1" w:legacySpace="0" w:legacyIndent="360"/>
      <w:lvlJc w:val="left"/>
      <w:pPr>
        <w:ind w:left="360" w:hanging="360"/>
      </w:pPr>
    </w:lvl>
  </w:abstractNum>
  <w:abstractNum w:abstractNumId="21">
    <w:nsid w:val="73DF7076"/>
    <w:multiLevelType w:val="singleLevel"/>
    <w:tmpl w:val="80B62A3C"/>
    <w:lvl w:ilvl="0">
      <w:start w:val="23"/>
      <w:numFmt w:val="bullet"/>
      <w:lvlText w:val="-"/>
      <w:lvlJc w:val="left"/>
      <w:pPr>
        <w:tabs>
          <w:tab w:val="num" w:pos="792"/>
        </w:tabs>
        <w:ind w:left="792" w:hanging="792"/>
      </w:pPr>
      <w:rPr>
        <w:rFonts w:hint="default"/>
      </w:rPr>
    </w:lvl>
  </w:abstractNum>
  <w:abstractNum w:abstractNumId="22">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3"/>
  </w:num>
  <w:num w:numId="5">
    <w:abstractNumId w:val="6"/>
  </w:num>
  <w:num w:numId="6">
    <w:abstractNumId w:val="2"/>
  </w:num>
  <w:num w:numId="7">
    <w:abstractNumId w:val="10"/>
  </w:num>
  <w:num w:numId="8">
    <w:abstractNumId w:val="12"/>
  </w:num>
  <w:num w:numId="9">
    <w:abstractNumId w:val="18"/>
  </w:num>
  <w:num w:numId="10">
    <w:abstractNumId w:val="19"/>
  </w:num>
  <w:num w:numId="11">
    <w:abstractNumId w:val="22"/>
  </w:num>
  <w:num w:numId="12">
    <w:abstractNumId w:val="20"/>
  </w:num>
  <w:num w:numId="13">
    <w:abstractNumId w:val="20"/>
    <w:lvlOverride w:ilvl="0">
      <w:lvl w:ilvl="0">
        <w:start w:val="6"/>
        <w:numFmt w:val="decimal"/>
        <w:lvlText w:val="%1."/>
        <w:legacy w:legacy="1" w:legacySpace="0" w:legacyIndent="360"/>
        <w:lvlJc w:val="left"/>
        <w:pPr>
          <w:ind w:left="360" w:hanging="360"/>
        </w:pPr>
      </w:lvl>
    </w:lvlOverride>
  </w:num>
  <w:num w:numId="14">
    <w:abstractNumId w:val="4"/>
  </w:num>
  <w:num w:numId="15">
    <w:abstractNumId w:val="11"/>
  </w:num>
  <w:num w:numId="16">
    <w:abstractNumId w:val="16"/>
  </w:num>
  <w:num w:numId="17">
    <w:abstractNumId w:val="17"/>
  </w:num>
  <w:num w:numId="18">
    <w:abstractNumId w:val="3"/>
  </w:num>
  <w:num w:numId="19">
    <w:abstractNumId w:val="14"/>
  </w:num>
  <w:num w:numId="20">
    <w:abstractNumId w:val="9"/>
  </w:num>
  <w:num w:numId="21">
    <w:abstractNumId w:val="5"/>
  </w:num>
  <w:num w:numId="22">
    <w:abstractNumId w:val="8"/>
  </w:num>
  <w:num w:numId="23">
    <w:abstractNumId w:val="2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12</Pages>
  <Words>5837</Words>
  <Characters>33272</Characters>
  <Application>Microsoft Office Word</Application>
  <DocSecurity>4</DocSecurity>
  <Lines>277</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vt:lpstr>
      <vt:lpstr>ОРГАНИЗАЦИЯ</vt:lpstr>
    </vt:vector>
  </TitlesOfParts>
  <Company>ID+</Company>
  <LinksUpToDate>false</LinksUpToDate>
  <CharactersWithSpaces>40860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11</cp:revision>
  <cp:lastPrinted>2000-10-13T08:53:00Z</cp:lastPrinted>
  <dcterms:created xsi:type="dcterms:W3CDTF">2000-10-04T06:58:00Z</dcterms:created>
  <dcterms:modified xsi:type="dcterms:W3CDTF">2000-10-27T14:36:00Z</dcterms:modified>
</cp:coreProperties>
</file>