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02D" w:rsidRDefault="002B102D" w:rsidP="00B3215B">
      <w:pPr>
        <w:pStyle w:val="Release"/>
        <w:spacing w:line="60" w:lineRule="exact"/>
        <w:rPr>
          <w:sz w:val="6"/>
        </w:rPr>
        <w:sectPr w:rsidR="002B102D" w:rsidSect="002B102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2B102D">
      <w:pPr>
        <w:pStyle w:val="Release"/>
        <w:spacing w:line="60" w:lineRule="exact"/>
        <w:rPr>
          <w:sz w:val="6"/>
        </w:rPr>
      </w:pPr>
    </w:p>
    <w:p w:rsidR="00FC34A5" w:rsidRPr="00F316AE" w:rsidRDefault="00FC34A5" w:rsidP="00C310B1">
      <w:pPr>
        <w:tabs>
          <w:tab w:val="left" w:pos="1560"/>
        </w:tabs>
        <w:spacing w:before="120" w:after="60"/>
        <w:rPr>
          <w:rFonts w:eastAsia="SimHei" w:hint="eastAsia"/>
          <w:sz w:val="24"/>
          <w:szCs w:val="24"/>
        </w:rPr>
      </w:pPr>
      <w:r w:rsidRPr="00F316AE">
        <w:rPr>
          <w:rFonts w:eastAsia="SimHei" w:hint="eastAsia"/>
          <w:sz w:val="24"/>
          <w:szCs w:val="24"/>
        </w:rPr>
        <w:t>消除对妇女歧视委员会</w:t>
      </w:r>
    </w:p>
    <w:p w:rsidR="00FC34A5" w:rsidRPr="00F316AE" w:rsidRDefault="00FC34A5" w:rsidP="00C310B1">
      <w:pPr>
        <w:tabs>
          <w:tab w:val="left" w:pos="1560"/>
        </w:tabs>
        <w:spacing w:after="60"/>
        <w:rPr>
          <w:rFonts w:eastAsia="SimHei" w:hint="eastAsia"/>
          <w:szCs w:val="21"/>
        </w:rPr>
      </w:pPr>
      <w:r w:rsidRPr="00F316AE">
        <w:rPr>
          <w:rFonts w:eastAsia="SimHei" w:hint="eastAsia"/>
          <w:szCs w:val="21"/>
        </w:rPr>
        <w:t>第六十一届会议</w:t>
      </w:r>
    </w:p>
    <w:p w:rsidR="00FC34A5" w:rsidRPr="00F316AE" w:rsidRDefault="00FC34A5" w:rsidP="00C310B1">
      <w:pPr>
        <w:tabs>
          <w:tab w:val="left" w:pos="1560"/>
        </w:tabs>
        <w:spacing w:after="60"/>
        <w:rPr>
          <w:rFonts w:hint="eastAsia"/>
          <w:szCs w:val="21"/>
        </w:rPr>
      </w:pPr>
      <w:r w:rsidRPr="00F316AE">
        <w:rPr>
          <w:rFonts w:hint="eastAsia"/>
          <w:szCs w:val="21"/>
        </w:rPr>
        <w:t>2015</w:t>
      </w:r>
      <w:r w:rsidRPr="00F316AE">
        <w:rPr>
          <w:rFonts w:hint="eastAsia"/>
          <w:szCs w:val="21"/>
        </w:rPr>
        <w:t>年</w:t>
      </w:r>
      <w:r w:rsidRPr="00F316AE">
        <w:rPr>
          <w:rFonts w:hint="eastAsia"/>
          <w:szCs w:val="21"/>
        </w:rPr>
        <w:t>7</w:t>
      </w:r>
      <w:r w:rsidRPr="00F316AE">
        <w:rPr>
          <w:rFonts w:hint="eastAsia"/>
          <w:szCs w:val="21"/>
        </w:rPr>
        <w:t>月</w:t>
      </w:r>
      <w:r w:rsidRPr="00F316AE">
        <w:rPr>
          <w:rFonts w:hint="eastAsia"/>
          <w:szCs w:val="21"/>
        </w:rPr>
        <w:t>2</w:t>
      </w:r>
      <w:r w:rsidRPr="00F316AE">
        <w:rPr>
          <w:rFonts w:hint="eastAsia"/>
          <w:szCs w:val="21"/>
        </w:rPr>
        <w:t>日至</w:t>
      </w:r>
      <w:r w:rsidRPr="00F316AE">
        <w:rPr>
          <w:rFonts w:hint="eastAsia"/>
          <w:szCs w:val="21"/>
        </w:rPr>
        <w:t>24</w:t>
      </w:r>
      <w:r w:rsidRPr="00F316AE">
        <w:rPr>
          <w:rFonts w:hint="eastAsia"/>
          <w:szCs w:val="21"/>
        </w:rPr>
        <w:t>日</w:t>
      </w:r>
    </w:p>
    <w:p w:rsidR="00FC34A5" w:rsidRPr="00F316AE" w:rsidRDefault="00FC34A5" w:rsidP="00C310B1">
      <w:pPr>
        <w:tabs>
          <w:tab w:val="left" w:pos="1560"/>
        </w:tabs>
        <w:spacing w:after="60"/>
        <w:rPr>
          <w:rFonts w:hint="eastAsia"/>
        </w:rPr>
      </w:pPr>
      <w:r w:rsidRPr="00F316AE">
        <w:rPr>
          <w:rFonts w:hint="eastAsia"/>
        </w:rPr>
        <w:t>临时议程</w:t>
      </w:r>
      <w:r w:rsidRPr="00FC34A5">
        <w:rPr>
          <w:vertAlign w:val="superscript"/>
        </w:rPr>
        <w:t>*</w:t>
      </w:r>
      <w:r>
        <w:rPr>
          <w:rFonts w:hint="eastAsia"/>
        </w:rPr>
        <w:t xml:space="preserve"> </w:t>
      </w:r>
      <w:r w:rsidRPr="00F316AE">
        <w:rPr>
          <w:rFonts w:hint="eastAsia"/>
        </w:rPr>
        <w:t>项目</w:t>
      </w:r>
      <w:r w:rsidRPr="00F316AE">
        <w:t>4</w:t>
      </w:r>
    </w:p>
    <w:p w:rsidR="00FC34A5" w:rsidRPr="00F316AE" w:rsidRDefault="00FC34A5" w:rsidP="00C310B1">
      <w:pPr>
        <w:tabs>
          <w:tab w:val="left" w:pos="1560"/>
        </w:tabs>
        <w:spacing w:after="60"/>
        <w:rPr>
          <w:rFonts w:eastAsia="SimHei" w:hint="eastAsia"/>
          <w:szCs w:val="21"/>
        </w:rPr>
      </w:pPr>
      <w:r w:rsidRPr="00F316AE">
        <w:rPr>
          <w:rFonts w:eastAsia="SimHei" w:hAnsi="SimHei" w:hint="eastAsia"/>
        </w:rPr>
        <w:t>审议缔约国根据《消除对妇女一切形式</w:t>
      </w:r>
      <w:r w:rsidR="00B3215B">
        <w:rPr>
          <w:rFonts w:eastAsia="SimHei" w:hAnsi="SimHei"/>
        </w:rPr>
        <w:br/>
      </w:r>
      <w:r w:rsidRPr="00F316AE">
        <w:rPr>
          <w:rFonts w:eastAsia="SimHei" w:hAnsi="SimHei" w:hint="eastAsia"/>
        </w:rPr>
        <w:t>歧视公约》第</w:t>
      </w:r>
      <w:r w:rsidRPr="00F316AE">
        <w:rPr>
          <w:rFonts w:eastAsia="SimHei" w:hint="eastAsia"/>
        </w:rPr>
        <w:t>18</w:t>
      </w:r>
      <w:r w:rsidRPr="00F316AE">
        <w:rPr>
          <w:rFonts w:eastAsia="SimHei" w:hAnsi="SimHei" w:hint="eastAsia"/>
        </w:rPr>
        <w:t>条提交的报告</w:t>
      </w:r>
    </w:p>
    <w:p w:rsidR="00FC34A5" w:rsidRPr="00C310B1" w:rsidRDefault="00FC34A5" w:rsidP="00C310B1">
      <w:pPr>
        <w:tabs>
          <w:tab w:val="left" w:pos="1560"/>
        </w:tabs>
        <w:spacing w:line="120" w:lineRule="exact"/>
        <w:rPr>
          <w:rFonts w:eastAsia="SimHei" w:hint="eastAsia"/>
          <w:sz w:val="10"/>
          <w:szCs w:val="21"/>
        </w:rPr>
      </w:pPr>
    </w:p>
    <w:p w:rsidR="00C310B1" w:rsidRPr="00C310B1" w:rsidRDefault="00C310B1" w:rsidP="00C310B1">
      <w:pPr>
        <w:tabs>
          <w:tab w:val="left" w:pos="1560"/>
        </w:tabs>
        <w:spacing w:line="120" w:lineRule="exact"/>
        <w:rPr>
          <w:rFonts w:eastAsia="SimHei" w:hint="eastAsia"/>
          <w:sz w:val="10"/>
          <w:szCs w:val="21"/>
        </w:rPr>
      </w:pPr>
    </w:p>
    <w:p w:rsidR="00C310B1" w:rsidRPr="00C310B1" w:rsidRDefault="00C310B1" w:rsidP="00C310B1">
      <w:pPr>
        <w:tabs>
          <w:tab w:val="left" w:pos="1560"/>
        </w:tabs>
        <w:spacing w:line="120" w:lineRule="exact"/>
        <w:rPr>
          <w:rFonts w:eastAsia="SimHei" w:hint="eastAsia"/>
          <w:sz w:val="10"/>
          <w:szCs w:val="21"/>
        </w:rPr>
      </w:pPr>
    </w:p>
    <w:p w:rsidR="00FC34A5" w:rsidRPr="002A7D2C" w:rsidRDefault="00C310B1" w:rsidP="002A7D2C">
      <w:pPr>
        <w:pStyle w:val="HCh"/>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FC34A5" w:rsidRPr="002A7D2C">
        <w:rPr>
          <w:rFonts w:hint="eastAsia"/>
        </w:rPr>
        <w:t>与克罗地亚第四次和第五次合并定期报告有关的议题和问题清单</w:t>
      </w:r>
    </w:p>
    <w:p w:rsidR="002A7D2C" w:rsidRPr="002A7D2C" w:rsidRDefault="002A7D2C" w:rsidP="002A7D2C">
      <w:pPr>
        <w:pStyle w:val="HChGC"/>
        <w:keepNext w:val="0"/>
        <w:keepLines w:val="0"/>
        <w:tabs>
          <w:tab w:val="left" w:pos="1560"/>
        </w:tabs>
        <w:spacing w:before="0" w:after="0" w:line="120" w:lineRule="exact"/>
        <w:rPr>
          <w:rFonts w:hint="eastAsia"/>
          <w:sz w:val="10"/>
        </w:rPr>
      </w:pPr>
    </w:p>
    <w:p w:rsidR="002A7D2C" w:rsidRPr="002A7D2C" w:rsidRDefault="002A7D2C" w:rsidP="002A7D2C">
      <w:pPr>
        <w:pStyle w:val="HChGC"/>
        <w:keepNext w:val="0"/>
        <w:keepLines w:val="0"/>
        <w:tabs>
          <w:tab w:val="left" w:pos="1560"/>
        </w:tabs>
        <w:spacing w:before="0" w:after="0" w:line="120" w:lineRule="exact"/>
        <w:rPr>
          <w:rFonts w:hint="eastAsia"/>
          <w:sz w:val="10"/>
        </w:rPr>
      </w:pPr>
      <w:bookmarkStart w:id="1" w:name="TmpSave"/>
      <w:bookmarkEnd w:id="1"/>
    </w:p>
    <w:p w:rsidR="00FC34A5" w:rsidRPr="002A7D2C" w:rsidRDefault="00FC34A5" w:rsidP="002A7D2C">
      <w:pPr>
        <w:pStyle w:val="H23"/>
        <w:tabs>
          <w:tab w:val="left" w:pos="1560"/>
          <w:tab w:val="left" w:pos="1701"/>
        </w:tabs>
        <w:spacing w:after="140"/>
        <w:ind w:left="1134" w:right="1134"/>
        <w:rPr>
          <w:rFonts w:hint="eastAsia"/>
          <w:b/>
          <w:spacing w:val="0"/>
        </w:rPr>
      </w:pPr>
      <w:r w:rsidRPr="002A7D2C">
        <w:rPr>
          <w:rFonts w:hint="eastAsia"/>
          <w:b/>
          <w:spacing w:val="0"/>
        </w:rPr>
        <w:t>一般背景</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w:t>
      </w:r>
      <w:r w:rsidRPr="0039627F">
        <w:tab/>
      </w:r>
      <w:r w:rsidRPr="0039627F">
        <w:rPr>
          <w:rFonts w:hint="eastAsia"/>
        </w:rPr>
        <w:t>缔约国应于</w:t>
      </w:r>
      <w:r w:rsidRPr="0039627F">
        <w:t>2009</w:t>
      </w:r>
      <w:r w:rsidRPr="0039627F">
        <w:rPr>
          <w:rFonts w:hint="eastAsia"/>
        </w:rPr>
        <w:t>年</w:t>
      </w:r>
      <w:r w:rsidRPr="0039627F">
        <w:t>10</w:t>
      </w:r>
      <w:r w:rsidRPr="0039627F">
        <w:rPr>
          <w:rFonts w:hint="eastAsia"/>
        </w:rPr>
        <w:t>月提交报告，但是到</w:t>
      </w:r>
      <w:r w:rsidRPr="0039627F">
        <w:t>2013</w:t>
      </w:r>
      <w:r w:rsidRPr="0039627F">
        <w:rPr>
          <w:rFonts w:hint="eastAsia"/>
        </w:rPr>
        <w:t>年</w:t>
      </w:r>
      <w:r w:rsidRPr="0039627F">
        <w:t>9</w:t>
      </w:r>
      <w:r w:rsidRPr="0039627F">
        <w:rPr>
          <w:rFonts w:hint="eastAsia"/>
        </w:rPr>
        <w:t>月才收到报告。请解释推迟提交报告的原因，根据导言所述，该报告涵盖</w:t>
      </w:r>
      <w:r w:rsidRPr="0039627F">
        <w:t>2005</w:t>
      </w:r>
      <w:r w:rsidRPr="0039627F">
        <w:rPr>
          <w:rFonts w:hint="eastAsia"/>
        </w:rPr>
        <w:t>年至</w:t>
      </w:r>
      <w:r w:rsidRPr="0039627F">
        <w:t>2010</w:t>
      </w:r>
      <w:r w:rsidRPr="0039627F">
        <w:rPr>
          <w:rFonts w:hint="eastAsia"/>
        </w:rPr>
        <w:t>年期间</w:t>
      </w:r>
      <w:r w:rsidRPr="0039627F">
        <w:t xml:space="preserve"> </w:t>
      </w:r>
      <w:r>
        <w:t>(</w:t>
      </w:r>
      <w:hyperlink r:id="rId14" w:history="1">
        <w:r w:rsidRPr="00B3215B">
          <w:rPr>
            <w:rStyle w:val="Hyperlink"/>
          </w:rPr>
          <w:t>CEDAW/C/HRV/4-5</w:t>
        </w:r>
      </w:hyperlink>
      <w:r w:rsidRPr="0039627F">
        <w:rPr>
          <w:rFonts w:hint="eastAsia"/>
        </w:rPr>
        <w:t>，第</w:t>
      </w:r>
      <w:r w:rsidRPr="0039627F">
        <w:t>2</w:t>
      </w:r>
      <w:r w:rsidRPr="0039627F">
        <w:rPr>
          <w:rFonts w:hint="eastAsia"/>
        </w:rPr>
        <w:t>段</w:t>
      </w:r>
      <w:r>
        <w:t>)</w:t>
      </w:r>
      <w:r w:rsidRPr="0039627F">
        <w:rPr>
          <w:rFonts w:hint="eastAsia"/>
        </w:rPr>
        <w:t>。</w:t>
      </w:r>
      <w:r w:rsidRPr="00FC34A5">
        <w:rPr>
          <w:rStyle w:val="FootnoteReference"/>
        </w:rPr>
        <w:footnoteReference w:id="1"/>
      </w:r>
      <w:r w:rsidRPr="0039627F">
        <w:rPr>
          <w:rFonts w:hint="eastAsia"/>
        </w:rPr>
        <w:t xml:space="preserve"> </w:t>
      </w:r>
      <w:r w:rsidRPr="0039627F">
        <w:rPr>
          <w:rFonts w:hint="eastAsia"/>
        </w:rPr>
        <w:t>请提供最新资料和数据，介绍《公约》的执行情况。还请说明非政府组织，特别是妇女组织，参与编制报告过程的情况以及与它们进行磋商的性质和程度。</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立法和体制框架以及司法救助</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2.</w:t>
      </w:r>
      <w:r w:rsidRPr="0039627F">
        <w:tab/>
      </w:r>
      <w:r w:rsidRPr="0039627F">
        <w:rPr>
          <w:rFonts w:hint="eastAsia"/>
        </w:rPr>
        <w:t>请提供更多资料，介绍为快速、一致和有效地执行、监测和实施反歧视立法所出台的程序</w:t>
      </w:r>
      <w:r>
        <w:t>(</w:t>
      </w:r>
      <w:r w:rsidRPr="0039627F">
        <w:rPr>
          <w:rFonts w:hint="eastAsia"/>
        </w:rPr>
        <w:t>第</w:t>
      </w:r>
      <w:r w:rsidRPr="0039627F">
        <w:t>13</w:t>
      </w:r>
      <w:r w:rsidRPr="0039627F">
        <w:rPr>
          <w:rFonts w:hint="eastAsia"/>
        </w:rPr>
        <w:t>段</w:t>
      </w:r>
      <w:r>
        <w:t>)</w:t>
      </w:r>
      <w:r w:rsidRPr="0039627F">
        <w:rPr>
          <w:rFonts w:hint="eastAsia"/>
        </w:rPr>
        <w:t>，包括《反歧视法》、《性别平等法》和《劳动法》。</w:t>
      </w:r>
      <w:r w:rsidRPr="0039627F">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3.</w:t>
      </w:r>
      <w:r w:rsidRPr="0039627F">
        <w:tab/>
      </w:r>
      <w:r w:rsidRPr="0039627F">
        <w:rPr>
          <w:rFonts w:hint="eastAsia"/>
        </w:rPr>
        <w:t>请说明缔约国如何提高妇女对于《公约》及其《任择议定书》以及相关国家立法规定的自身权利的认识和了解，特别是那些处境最不利的群体，如农村妇女、少数民族妇女，以及特别是罗姆族妇女、迁徙妇女和年长妇女。</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提高妇女地位的国家机制</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4.</w:t>
      </w:r>
      <w:r w:rsidRPr="0039627F">
        <w:tab/>
      </w:r>
      <w:r w:rsidRPr="0039627F">
        <w:rPr>
          <w:rFonts w:hint="eastAsia"/>
        </w:rPr>
        <w:t>鉴于报告指出，由于经济衰退和国家总预算减少，性别平等办公室的财政资源减少</w:t>
      </w:r>
      <w:r>
        <w:t>(</w:t>
      </w:r>
      <w:r w:rsidRPr="0039627F">
        <w:rPr>
          <w:rFonts w:hint="eastAsia"/>
        </w:rPr>
        <w:t>第</w:t>
      </w:r>
      <w:r w:rsidRPr="0039627F">
        <w:t>15</w:t>
      </w:r>
      <w:r w:rsidRPr="0039627F">
        <w:rPr>
          <w:rFonts w:hint="eastAsia"/>
        </w:rPr>
        <w:t>段</w:t>
      </w:r>
      <w:r>
        <w:t>)</w:t>
      </w:r>
      <w:r w:rsidRPr="0039627F">
        <w:rPr>
          <w:rFonts w:hint="eastAsia"/>
        </w:rPr>
        <w:t>，请提供最新资料，介绍该办公室、性别平等监察员办公室以及县</w:t>
      </w:r>
      <w:r w:rsidRPr="0039627F">
        <w:t>/</w:t>
      </w:r>
      <w:r w:rsidRPr="0039627F">
        <w:rPr>
          <w:rFonts w:hint="eastAsia"/>
        </w:rPr>
        <w:t>地方性别平等委员会的人力和财政资源</w:t>
      </w:r>
      <w:r>
        <w:t>(</w:t>
      </w:r>
      <w:r w:rsidRPr="0039627F">
        <w:rPr>
          <w:rFonts w:hint="eastAsia"/>
        </w:rPr>
        <w:t>第</w:t>
      </w:r>
      <w:r w:rsidRPr="0039627F">
        <w:t>85</w:t>
      </w:r>
      <w:r w:rsidRPr="0039627F">
        <w:rPr>
          <w:rFonts w:hint="eastAsia"/>
        </w:rPr>
        <w:t>段</w:t>
      </w:r>
      <w:r>
        <w:t>)</w:t>
      </w:r>
      <w:r w:rsidRPr="0039627F">
        <w:rPr>
          <w:rFonts w:hint="eastAsia"/>
        </w:rPr>
        <w:t>。请解释在各个不同层面确保机构之间协调的机制。</w:t>
      </w:r>
      <w:r w:rsidRPr="0039627F">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5.</w:t>
      </w:r>
      <w:r w:rsidRPr="0039627F">
        <w:tab/>
      </w:r>
      <w:r w:rsidRPr="0039627F">
        <w:rPr>
          <w:rFonts w:hint="eastAsia"/>
        </w:rPr>
        <w:t>《性别平等法》规定，国家行政机构以及国家占主导的法人有义务采取促进性别平等的行动计划。它还呼吁地方和地区自治部门、拥有公权力的法人以及其他法人将实现性别平等的反歧视条款纳入其一般性法案</w:t>
      </w:r>
      <w:r>
        <w:t>(</w:t>
      </w:r>
      <w:r w:rsidRPr="0039627F">
        <w:rPr>
          <w:rFonts w:hint="eastAsia"/>
        </w:rPr>
        <w:t>第</w:t>
      </w:r>
      <w:r w:rsidRPr="0039627F">
        <w:t>90</w:t>
      </w:r>
      <w:r w:rsidRPr="0039627F">
        <w:rPr>
          <w:rFonts w:hint="eastAsia"/>
        </w:rPr>
        <w:t>段</w:t>
      </w:r>
      <w:r>
        <w:t>)</w:t>
      </w:r>
      <w:r w:rsidRPr="0039627F">
        <w:rPr>
          <w:rFonts w:hint="eastAsia"/>
        </w:rPr>
        <w:t>。请提供更多资料，介绍上述法案条款的执行情况。还请提供最新资料，介绍《</w:t>
      </w:r>
      <w:r w:rsidRPr="0039627F">
        <w:t>2011-2015</w:t>
      </w:r>
      <w:r w:rsidRPr="0039627F">
        <w:rPr>
          <w:rFonts w:hint="eastAsia"/>
        </w:rPr>
        <w:t>年国家促进性别平等政策》的执行进展情况及其打算解决的挑战。</w:t>
      </w:r>
      <w:r w:rsidRPr="0039627F">
        <w:t xml:space="preserve"> </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暂行特别措施</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6.</w:t>
      </w:r>
      <w:r w:rsidRPr="0039627F">
        <w:tab/>
      </w:r>
      <w:r w:rsidRPr="0039627F">
        <w:rPr>
          <w:rFonts w:hint="eastAsia"/>
        </w:rPr>
        <w:t>除了提供的通过鼓励妇女创业来增加妇女就业的暂行特别措施相关资料</w:t>
      </w:r>
      <w:r>
        <w:rPr>
          <w:rFonts w:hint="eastAsia"/>
        </w:rPr>
        <w:t>外</w:t>
      </w:r>
      <w:r>
        <w:t>(</w:t>
      </w:r>
      <w:r w:rsidRPr="0039627F">
        <w:rPr>
          <w:rFonts w:hint="eastAsia"/>
        </w:rPr>
        <w:t>第</w:t>
      </w:r>
      <w:r w:rsidRPr="0039627F">
        <w:t>96</w:t>
      </w:r>
      <w:r w:rsidRPr="0039627F">
        <w:rPr>
          <w:rFonts w:hint="eastAsia"/>
        </w:rPr>
        <w:t>、</w:t>
      </w:r>
      <w:r w:rsidRPr="0039627F">
        <w:t>180</w:t>
      </w:r>
      <w:r w:rsidRPr="0039627F">
        <w:rPr>
          <w:rFonts w:hint="eastAsia"/>
        </w:rPr>
        <w:t>和</w:t>
      </w:r>
      <w:r w:rsidRPr="0039627F">
        <w:t>181</w:t>
      </w:r>
      <w:r w:rsidRPr="0039627F">
        <w:rPr>
          <w:rFonts w:hint="eastAsia"/>
        </w:rPr>
        <w:t>段</w:t>
      </w:r>
      <w:r>
        <w:t>)</w:t>
      </w:r>
      <w:r w:rsidRPr="0039627F">
        <w:rPr>
          <w:rFonts w:hint="eastAsia"/>
        </w:rPr>
        <w:t>，请提供具体实例，说明在妇女代表不足或处于不利地位的《公约》其他领域，为加速实现实质性的性别平等所采取的暂行特别措施及其成果。</w:t>
      </w:r>
      <w:r w:rsidRPr="0039627F">
        <w:t xml:space="preserve"> </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陈规定型观念</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7.</w:t>
      </w:r>
      <w:r w:rsidRPr="0039627F">
        <w:tab/>
      </w:r>
      <w:r w:rsidRPr="0039627F">
        <w:rPr>
          <w:rFonts w:hint="eastAsia"/>
        </w:rPr>
        <w:t>根据性别平等监察员</w:t>
      </w:r>
      <w:r w:rsidRPr="0039627F">
        <w:t>2012</w:t>
      </w:r>
      <w:r w:rsidRPr="0039627F">
        <w:rPr>
          <w:rFonts w:hint="eastAsia"/>
        </w:rPr>
        <w:t>年的年度报告，媒体始终存在性别主义和性别陈规定型观念，妇女仍然被描述为性对象。请提供最新资料，介绍为消除媒体和广告中陈规定型的妇女形象所采取的措施。</w:t>
      </w:r>
      <w:r w:rsidRPr="0039627F">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8.</w:t>
      </w:r>
      <w:r w:rsidRPr="0039627F">
        <w:tab/>
      </w:r>
      <w:r w:rsidRPr="0039627F">
        <w:rPr>
          <w:rFonts w:hint="eastAsia"/>
        </w:rPr>
        <w:t>请提供更多资料，介绍为促进男女之间平等分担家庭责任所实施的具体措施，包括为增加休育儿假的父亲的数量所采取的措施，并提供有关以非全时工作形式休育儿假的母亲和父亲的数据</w:t>
      </w:r>
      <w:r>
        <w:t>(</w:t>
      </w:r>
      <w:r w:rsidRPr="0039627F">
        <w:rPr>
          <w:rFonts w:hint="eastAsia"/>
        </w:rPr>
        <w:t>第</w:t>
      </w:r>
      <w:r w:rsidRPr="0039627F">
        <w:t>164</w:t>
      </w:r>
      <w:r w:rsidRPr="0039627F">
        <w:rPr>
          <w:rFonts w:hint="eastAsia"/>
        </w:rPr>
        <w:t>段</w:t>
      </w:r>
      <w:r>
        <w:t>)</w:t>
      </w:r>
      <w:r w:rsidRPr="0039627F">
        <w:rPr>
          <w:rFonts w:hint="eastAsia"/>
        </w:rPr>
        <w:t>。</w:t>
      </w:r>
      <w:r w:rsidRPr="0039627F">
        <w:t xml:space="preserve"> </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暴力侵害妇女行为</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9.</w:t>
      </w:r>
      <w:r w:rsidRPr="0039627F">
        <w:tab/>
      </w:r>
      <w:r w:rsidRPr="0039627F">
        <w:rPr>
          <w:rFonts w:hint="eastAsia"/>
        </w:rPr>
        <w:t>请提供最新资料，介绍一切形式基于性别的暴力侵害妇女行为的普遍程度。请载入关于家庭暴力案件、报告的性骚扰和强奸、受害者与犯罪者之间关系、调查、起诉和定罪以及对犯罪者判刑的数据。</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10.</w:t>
      </w:r>
      <w:r w:rsidRPr="0039627F">
        <w:tab/>
      </w:r>
      <w:r w:rsidRPr="0039627F">
        <w:rPr>
          <w:rFonts w:hint="eastAsia"/>
        </w:rPr>
        <w:t>请说明实施新的《家庭法》</w:t>
      </w:r>
      <w:r>
        <w:t>(</w:t>
      </w:r>
      <w:r w:rsidRPr="0039627F">
        <w:t>2014</w:t>
      </w:r>
      <w:r w:rsidRPr="0039627F">
        <w:rPr>
          <w:rFonts w:hint="eastAsia"/>
        </w:rPr>
        <w:t>年</w:t>
      </w:r>
      <w:r>
        <w:t>)</w:t>
      </w:r>
      <w:r w:rsidRPr="0039627F">
        <w:rPr>
          <w:rFonts w:hint="eastAsia"/>
        </w:rPr>
        <w:t>、新的《刑法》</w:t>
      </w:r>
      <w:r>
        <w:t>(</w:t>
      </w:r>
      <w:r w:rsidRPr="0039627F">
        <w:t>2013</w:t>
      </w:r>
      <w:r w:rsidRPr="0039627F">
        <w:rPr>
          <w:rFonts w:hint="eastAsia"/>
        </w:rPr>
        <w:t>年</w:t>
      </w:r>
      <w:r>
        <w:t>)</w:t>
      </w:r>
      <w:r w:rsidRPr="0039627F">
        <w:rPr>
          <w:rFonts w:hint="eastAsia"/>
        </w:rPr>
        <w:t>、《防止家庭暴力法》</w:t>
      </w:r>
      <w:r>
        <w:t>(</w:t>
      </w:r>
      <w:r w:rsidRPr="0039627F">
        <w:t>2009</w:t>
      </w:r>
      <w:r w:rsidRPr="0039627F">
        <w:rPr>
          <w:rFonts w:hint="eastAsia"/>
        </w:rPr>
        <w:t>年</w:t>
      </w:r>
      <w:r>
        <w:t>)</w:t>
      </w:r>
      <w:r w:rsidRPr="0039627F">
        <w:rPr>
          <w:rFonts w:hint="eastAsia"/>
        </w:rPr>
        <w:t>和《免费法律援助法》</w:t>
      </w:r>
      <w:r>
        <w:t>(</w:t>
      </w:r>
      <w:r w:rsidRPr="0039627F">
        <w:t>2008</w:t>
      </w:r>
      <w:r w:rsidRPr="0039627F">
        <w:rPr>
          <w:rFonts w:hint="eastAsia"/>
        </w:rPr>
        <w:t>年</w:t>
      </w:r>
      <w:r>
        <w:t>)</w:t>
      </w:r>
      <w:r w:rsidRPr="0039627F">
        <w:rPr>
          <w:rFonts w:hint="eastAsia"/>
        </w:rPr>
        <w:t>仍然面临的挑战。特别是，请载入相关资料，介绍缔约国为确保所有县遭受基于性别的暴力行为的妇女获得包括法律援助和庇护所在内的适当支助与援助而正在采取的措施。还请说明以下方面的任何举措：对执法官员进行培训和能力建设，包括警官和法官、实施法律的公共机构的医生和官员；正确确认犯罪者并为遭受暴力的妇女提供及时保护以确保其安全。缔约国如何及时和有效保证受害者的安全，包括在刑事审判结束之后，以及如何保证追究罪犯的责任？</w:t>
      </w:r>
      <w:r w:rsidRPr="0039627F">
        <w:t xml:space="preserve"> </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冲突后情况下的妇女</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11.</w:t>
      </w:r>
      <w:r w:rsidRPr="0039627F">
        <w:tab/>
      </w:r>
      <w:r w:rsidRPr="0039627F">
        <w:rPr>
          <w:rFonts w:hint="eastAsia"/>
        </w:rPr>
        <w:t>请说明缔约国出台了哪些措施，确保战争时期暴力行为，特别是性暴力行为的受害妇女获得司法援助和赔偿，包括心理、医疗和其他支助和补偿。还请说明缔约国采取了哪些措施，解决战争对男子精神健康造成的后果，这种后果似乎是杀害女性行为的受害者数量增加的一个因素。</w:t>
      </w:r>
      <w:r w:rsidRPr="0039627F">
        <w:t xml:space="preserve"> </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贩运妇女和利用妇女卖淫营利</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12.</w:t>
      </w:r>
      <w:r w:rsidRPr="0039627F">
        <w:tab/>
      </w:r>
      <w:r w:rsidRPr="0039627F">
        <w:rPr>
          <w:rFonts w:hint="eastAsia"/>
        </w:rPr>
        <w:t>请评估打击人口贩运国家行动计划的成效</w:t>
      </w:r>
      <w:r>
        <w:t>(</w:t>
      </w:r>
      <w:r w:rsidRPr="0039627F">
        <w:rPr>
          <w:rFonts w:hint="eastAsia"/>
        </w:rPr>
        <w:t>第</w:t>
      </w:r>
      <w:r w:rsidRPr="0039627F">
        <w:t>67</w:t>
      </w:r>
      <w:r w:rsidRPr="0039627F">
        <w:rPr>
          <w:rFonts w:hint="eastAsia"/>
        </w:rPr>
        <w:t>段</w:t>
      </w:r>
      <w:r>
        <w:t>)</w:t>
      </w:r>
      <w:r w:rsidRPr="0039627F">
        <w:rPr>
          <w:rFonts w:hint="eastAsia"/>
        </w:rPr>
        <w:t>，并提供最新资料，介绍为防止贩运妇女和增加对受害者的保护所采取的措施。</w:t>
      </w:r>
      <w:r w:rsidRPr="0039627F">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13.</w:t>
      </w:r>
      <w:r w:rsidRPr="0039627F">
        <w:tab/>
      </w:r>
      <w:r w:rsidRPr="0039627F">
        <w:rPr>
          <w:rFonts w:hint="eastAsia"/>
        </w:rPr>
        <w:t>请评论缔约国卖淫行为普遍情况以及为防止对妇女和女童进行性剥削所采取的政策和措施。此外，请提供资料，介绍为支助希望脱离卖淫的妇女所计划和</w:t>
      </w:r>
      <w:r>
        <w:rPr>
          <w:rFonts w:hint="eastAsia"/>
        </w:rPr>
        <w:t>(</w:t>
      </w:r>
      <w:r w:rsidRPr="0039627F">
        <w:rPr>
          <w:rFonts w:hint="eastAsia"/>
        </w:rPr>
        <w:t>或</w:t>
      </w:r>
      <w:r>
        <w:rPr>
          <w:rFonts w:hint="eastAsia"/>
        </w:rPr>
        <w:t>)</w:t>
      </w:r>
      <w:r w:rsidRPr="0039627F">
        <w:rPr>
          <w:rFonts w:hint="eastAsia"/>
        </w:rPr>
        <w:t>采取的措施。还请解释是否已采取措施防止利用妇女卖淫营利和贩运妇女行为，包括通过减少对卖淫的需求。</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参与政治和公共生活</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14.</w:t>
      </w:r>
      <w:r w:rsidRPr="0039627F">
        <w:tab/>
      </w:r>
      <w:r w:rsidRPr="0039627F">
        <w:rPr>
          <w:rFonts w:hint="eastAsia"/>
        </w:rPr>
        <w:t>请提供最新数据，介绍妇女在政治和公共生活领域的代表情况，包括与最近的全国、县和地方选举相关的数据。请说明采取了哪些措施来解决增加公共、政治和经济生活中被任命到高级决策职位的妇女代表方面的挑战。请澄清已采取哪些措施，便利妇女进入外交事务领域的较高级别</w:t>
      </w:r>
      <w:r>
        <w:t>(</w:t>
      </w:r>
      <w:r w:rsidRPr="0039627F">
        <w:rPr>
          <w:rFonts w:hint="eastAsia"/>
        </w:rPr>
        <w:t>第</w:t>
      </w:r>
      <w:r w:rsidRPr="0039627F">
        <w:t>137</w:t>
      </w:r>
      <w:r w:rsidRPr="0039627F">
        <w:rPr>
          <w:rFonts w:hint="eastAsia"/>
        </w:rPr>
        <w:t>段</w:t>
      </w:r>
      <w:r>
        <w:t>)</w:t>
      </w:r>
      <w:r w:rsidRPr="0039627F">
        <w:rPr>
          <w:rFonts w:hint="eastAsia"/>
        </w:rPr>
        <w:t>。</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教育</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15.</w:t>
      </w:r>
      <w:r w:rsidRPr="0039627F">
        <w:tab/>
      </w:r>
      <w:r w:rsidRPr="0039627F">
        <w:rPr>
          <w:rFonts w:hint="eastAsia"/>
        </w:rPr>
        <w:t>请提供最新资料，介绍为解决中学入学率的巨大性别差异所采取的措施</w:t>
      </w:r>
      <w:r>
        <w:t>(</w:t>
      </w:r>
      <w:r w:rsidRPr="0039627F">
        <w:rPr>
          <w:rFonts w:hint="eastAsia"/>
        </w:rPr>
        <w:t>第</w:t>
      </w:r>
      <w:r w:rsidRPr="0039627F">
        <w:t>141</w:t>
      </w:r>
      <w:r w:rsidRPr="0039627F">
        <w:rPr>
          <w:rFonts w:hint="eastAsia"/>
        </w:rPr>
        <w:t>段</w:t>
      </w:r>
      <w:r>
        <w:t>)</w:t>
      </w:r>
      <w:r w:rsidRPr="0039627F">
        <w:rPr>
          <w:rFonts w:hint="eastAsia"/>
        </w:rPr>
        <w:t>。还请说明缔约国为促进男女教育和职业选择的多样化并解决全职教授群体中妇女代表不足问题所做的努力。</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就业</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16.</w:t>
      </w:r>
      <w:r w:rsidRPr="0039627F">
        <w:tab/>
      </w:r>
      <w:r w:rsidRPr="0039627F">
        <w:rPr>
          <w:rFonts w:hint="eastAsia"/>
        </w:rPr>
        <w:t>请提供资料，介绍采取了哪些具体措施，解决劳动力市场男女之间长期存在的职业隔离、失业妇女所占比率普遍较大以及性别工资差距问题</w:t>
      </w:r>
      <w:r>
        <w:t>(</w:t>
      </w:r>
      <w:r w:rsidRPr="0039627F">
        <w:rPr>
          <w:rFonts w:hint="eastAsia"/>
        </w:rPr>
        <w:t>第</w:t>
      </w:r>
      <w:r w:rsidRPr="0039627F">
        <w:t>155</w:t>
      </w:r>
      <w:r w:rsidRPr="0039627F">
        <w:rPr>
          <w:rFonts w:hint="eastAsia"/>
        </w:rPr>
        <w:t>段</w:t>
      </w:r>
      <w:r>
        <w:t>)</w:t>
      </w:r>
      <w:r w:rsidRPr="0039627F">
        <w:rPr>
          <w:rFonts w:hint="eastAsia"/>
        </w:rPr>
        <w:t>。还请载入最新资料，介绍计划对男女实行相同强制退休年龄的法律的通过情况</w:t>
      </w:r>
      <w:r>
        <w:t>(</w:t>
      </w:r>
      <w:r w:rsidRPr="0039627F">
        <w:rPr>
          <w:rFonts w:hint="eastAsia"/>
        </w:rPr>
        <w:t>第</w:t>
      </w:r>
      <w:r w:rsidRPr="0039627F">
        <w:t>162</w:t>
      </w:r>
      <w:r w:rsidRPr="0039627F">
        <w:rPr>
          <w:rFonts w:hint="eastAsia"/>
        </w:rPr>
        <w:t>段</w:t>
      </w:r>
      <w:r>
        <w:t>)</w:t>
      </w:r>
      <w:r w:rsidRPr="0039627F">
        <w:rPr>
          <w:rFonts w:hint="eastAsia"/>
        </w:rPr>
        <w:t>。</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保健</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17.</w:t>
      </w:r>
      <w:r w:rsidRPr="0039627F">
        <w:tab/>
      </w:r>
      <w:r w:rsidRPr="0039627F">
        <w:rPr>
          <w:rFonts w:hint="eastAsia"/>
        </w:rPr>
        <w:t>请提供最新资料，介绍采取了哪些措施，在学校课程中纳入适龄的性和生殖健康及权利教育，包括负责任的性行为内容，并促进使用避孕用品和防止性传播疾病扩散</w:t>
      </w:r>
      <w:r>
        <w:t>(</w:t>
      </w:r>
      <w:r w:rsidRPr="0039627F">
        <w:rPr>
          <w:rFonts w:hint="eastAsia"/>
        </w:rPr>
        <w:t>第</w:t>
      </w:r>
      <w:r w:rsidRPr="0039627F">
        <w:t>154</w:t>
      </w:r>
      <w:r w:rsidRPr="0039627F">
        <w:rPr>
          <w:rFonts w:hint="eastAsia"/>
        </w:rPr>
        <w:t>段</w:t>
      </w:r>
      <w:r>
        <w:t>)</w:t>
      </w:r>
      <w:r w:rsidRPr="0039627F">
        <w:rPr>
          <w:rFonts w:hint="eastAsia"/>
        </w:rPr>
        <w:t>。还请提供资料，介绍为加强避孕用品的提供和可负担性采取了哪些措施。另外，请解释缔约国如何处理新保守派活动给法律监管的安全药物流产造成的威胁，以及堕胎服务的获取因越来越多的医院决定仅出于医疗原因执行堕胎和越来越多的外科医生从良心上反对执行堕胎而受限的问题。</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农村妇女</w:t>
      </w:r>
      <w:r w:rsidRPr="0039627F">
        <w:rPr>
          <w:b/>
          <w:spacing w:val="0"/>
        </w:rPr>
        <w:t xml:space="preserve"> </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18.</w:t>
      </w:r>
      <w:r w:rsidRPr="0039627F">
        <w:tab/>
      </w:r>
      <w:r w:rsidRPr="0039627F">
        <w:rPr>
          <w:rFonts w:hint="eastAsia"/>
        </w:rPr>
        <w:t>请提供资料，介绍采取了哪些措施来改变丈夫在登记在案的农场、工匠、公司和合作社拥有人中居主导地位的传统和社会模式</w:t>
      </w:r>
      <w:r>
        <w:t>(</w:t>
      </w:r>
      <w:r w:rsidRPr="0039627F">
        <w:rPr>
          <w:rFonts w:hint="eastAsia"/>
        </w:rPr>
        <w:t>第</w:t>
      </w:r>
      <w:r w:rsidRPr="0039627F">
        <w:t>190</w:t>
      </w:r>
      <w:r w:rsidRPr="0039627F">
        <w:rPr>
          <w:rFonts w:hint="eastAsia"/>
        </w:rPr>
        <w:t>段</w:t>
      </w:r>
      <w:r>
        <w:t>)</w:t>
      </w:r>
      <w:r w:rsidRPr="0039627F">
        <w:rPr>
          <w:rFonts w:hint="eastAsia"/>
        </w:rPr>
        <w:t>。请说明已进行哪些努力，让农村妇女了解她们的权利，如财产权，并增加她们主张上述权利的权能。</w:t>
      </w:r>
    </w:p>
    <w:p w:rsidR="00FC34A5" w:rsidRPr="0039627F" w:rsidRDefault="00FC34A5" w:rsidP="00FC34A5">
      <w:pPr>
        <w:pStyle w:val="H23"/>
        <w:tabs>
          <w:tab w:val="left" w:pos="1560"/>
          <w:tab w:val="left" w:pos="1701"/>
        </w:tabs>
        <w:spacing w:after="140"/>
        <w:ind w:left="1134" w:right="1134"/>
        <w:rPr>
          <w:b/>
          <w:spacing w:val="0"/>
        </w:rPr>
      </w:pPr>
      <w:r w:rsidRPr="0039627F">
        <w:rPr>
          <w:rFonts w:hint="eastAsia"/>
          <w:b/>
          <w:spacing w:val="0"/>
        </w:rPr>
        <w:t>弱势妇女群体</w:t>
      </w:r>
    </w:p>
    <w:p w:rsidR="00FC34A5" w:rsidRPr="0039627F" w:rsidRDefault="00FC34A5" w:rsidP="00FC34A5">
      <w:pPr>
        <w:pStyle w:val="SingleTxt"/>
        <w:tabs>
          <w:tab w:val="clear" w:pos="1264"/>
          <w:tab w:val="clear" w:pos="1695"/>
          <w:tab w:val="clear" w:pos="5574"/>
          <w:tab w:val="left" w:pos="1560"/>
          <w:tab w:val="left" w:pos="1701"/>
        </w:tabs>
        <w:ind w:left="1134" w:right="1134"/>
      </w:pPr>
      <w:r w:rsidRPr="0039627F">
        <w:t>19.</w:t>
      </w:r>
      <w:r w:rsidRPr="0039627F">
        <w:tab/>
      </w:r>
      <w:r w:rsidRPr="0039627F">
        <w:rPr>
          <w:rFonts w:hint="eastAsia"/>
        </w:rPr>
        <w:t>请提供更多资料，介绍《罗姆族人融入社会十年行动计划》的执行情况</w:t>
      </w:r>
      <w:r>
        <w:t>(</w:t>
      </w:r>
      <w:r w:rsidRPr="0039627F">
        <w:rPr>
          <w:rFonts w:hint="eastAsia"/>
        </w:rPr>
        <w:t>第</w:t>
      </w:r>
      <w:r w:rsidRPr="0039627F">
        <w:t>35</w:t>
      </w:r>
      <w:r w:rsidRPr="0039627F">
        <w:rPr>
          <w:rFonts w:hint="eastAsia"/>
        </w:rPr>
        <w:t>段</w:t>
      </w:r>
      <w:r>
        <w:t>)</w:t>
      </w:r>
      <w:r w:rsidRPr="0039627F">
        <w:rPr>
          <w:rFonts w:hint="eastAsia"/>
        </w:rPr>
        <w:t>，以及为解决对罗姆族女孩和妇女的普遍歧视所采取的具体措施，特别是在教育、就业和获得保健系统领域。</w:t>
      </w:r>
      <w:r w:rsidRPr="0039627F">
        <w:t xml:space="preserve"> </w:t>
      </w:r>
    </w:p>
    <w:p w:rsidR="002B102D" w:rsidRDefault="00FC34A5" w:rsidP="00323F9D">
      <w:pPr>
        <w:pStyle w:val="SingleTxt"/>
        <w:tabs>
          <w:tab w:val="clear" w:pos="1264"/>
          <w:tab w:val="clear" w:pos="5574"/>
          <w:tab w:val="left" w:pos="1560"/>
        </w:tabs>
        <w:ind w:left="1134" w:right="1134"/>
        <w:rPr>
          <w:rFonts w:hint="eastAsia"/>
        </w:rPr>
      </w:pPr>
      <w:r w:rsidRPr="00F316AE">
        <w:t>20.</w:t>
      </w:r>
      <w:r w:rsidRPr="00F316AE">
        <w:tab/>
      </w:r>
      <w:r w:rsidRPr="00F316AE">
        <w:rPr>
          <w:rFonts w:hint="eastAsia"/>
        </w:rPr>
        <w:t>鉴于缔约国年长妇女大多数面临贫穷风险</w:t>
      </w:r>
      <w:r>
        <w:t>(</w:t>
      </w:r>
      <w:r w:rsidRPr="00F316AE">
        <w:rPr>
          <w:rFonts w:hint="eastAsia"/>
        </w:rPr>
        <w:t>第</w:t>
      </w:r>
      <w:r w:rsidRPr="00F316AE">
        <w:t>178</w:t>
      </w:r>
      <w:r w:rsidRPr="00F316AE">
        <w:rPr>
          <w:rFonts w:hint="eastAsia"/>
        </w:rPr>
        <w:t>段</w:t>
      </w:r>
      <w:r>
        <w:t>)</w:t>
      </w:r>
      <w:r w:rsidRPr="00F316AE">
        <w:rPr>
          <w:rFonts w:hint="eastAsia"/>
        </w:rPr>
        <w:t>，请提供最新资料，介绍采取了哪些措施来解决这些妇女的贫穷和对她们的社会排斥，特别是那些独自生活的年长妇女面临的此类问题</w:t>
      </w:r>
      <w:r>
        <w:t>(</w:t>
      </w:r>
      <w:r w:rsidRPr="00F316AE">
        <w:rPr>
          <w:rFonts w:hint="eastAsia"/>
        </w:rPr>
        <w:t>第</w:t>
      </w:r>
      <w:r w:rsidRPr="00F316AE">
        <w:t>72</w:t>
      </w:r>
      <w:r w:rsidRPr="00F316AE">
        <w:rPr>
          <w:rFonts w:hint="eastAsia"/>
        </w:rPr>
        <w:t>段</w:t>
      </w:r>
      <w:r>
        <w:t>)</w:t>
      </w:r>
      <w:r w:rsidRPr="00F316AE">
        <w:rPr>
          <w:rFonts w:hint="eastAsia"/>
        </w:rPr>
        <w:t>。</w:t>
      </w:r>
    </w:p>
    <w:p w:rsidR="00FC34A5" w:rsidRPr="00FC34A5" w:rsidRDefault="00FC34A5" w:rsidP="00323F9D">
      <w:pPr>
        <w:pStyle w:val="SingleTxt"/>
        <w:tabs>
          <w:tab w:val="clear" w:pos="1264"/>
          <w:tab w:val="clear" w:pos="5574"/>
          <w:tab w:val="left" w:pos="1560"/>
        </w:tabs>
        <w:ind w:left="1134" w:right="1134"/>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FC34A5" w:rsidRPr="00FC34A5" w:rsidSect="002B102D">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2T11:38:00Z" w:initials="Start">
    <w:p w:rsidR="002B102D" w:rsidRDefault="002B102D">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B3215B">
        <w:fldChar w:fldCharType="separate"/>
      </w:r>
      <w:r w:rsidR="00B3215B">
        <w:rPr>
          <w:rFonts w:hint="eastAsia"/>
          <w:noProof/>
        </w:rPr>
        <w:t>页</w:t>
      </w:r>
      <w:r w:rsidR="00B3215B">
        <w:rPr>
          <w:rFonts w:hint="eastAsia"/>
          <w:noProof/>
        </w:rPr>
        <w:t xml:space="preserve">: </w:t>
      </w:r>
      <w:r w:rsidR="00B3215B">
        <w:rPr>
          <w:noProof/>
        </w:rPr>
        <w:t>1</w:t>
      </w:r>
      <w:r w:rsidR="00B3215B">
        <w:rPr>
          <w:rFonts w:hint="eastAsia"/>
          <w:noProof/>
        </w:rPr>
        <w:br/>
      </w:r>
      <w:r>
        <w:fldChar w:fldCharType="end"/>
      </w:r>
      <w:r>
        <w:rPr>
          <w:rStyle w:val="CommentReference"/>
        </w:rPr>
        <w:annotationRef/>
      </w:r>
      <w:r>
        <w:t>&lt;&lt;ODS JOB NO&gt;&gt;N1463290C&lt;&lt;ODS JOB NO&gt;&gt;</w:t>
      </w:r>
    </w:p>
    <w:p w:rsidR="002B102D" w:rsidRDefault="002B102D">
      <w:pPr>
        <w:pStyle w:val="CommentText"/>
      </w:pPr>
      <w:r>
        <w:t>&lt;&lt;ODS DOC SYMBOL1&gt;&gt;CEDAW/C/HRV/Q/4-5&lt;&lt;ODS DOC SYMBOL1&gt;&gt;</w:t>
      </w:r>
    </w:p>
    <w:p w:rsidR="002B102D" w:rsidRDefault="002B102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9B7" w:rsidRDefault="002609B7">
      <w:r>
        <w:separator/>
      </w:r>
    </w:p>
  </w:endnote>
  <w:endnote w:type="continuationSeparator" w:id="0">
    <w:p w:rsidR="002609B7" w:rsidRDefault="002609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B102D" w:rsidTr="002B102D">
      <w:tblPrEx>
        <w:tblCellMar>
          <w:top w:w="0" w:type="dxa"/>
          <w:bottom w:w="0" w:type="dxa"/>
        </w:tblCellMar>
      </w:tblPrEx>
      <w:tc>
        <w:tcPr>
          <w:tcW w:w="5028" w:type="dxa"/>
          <w:shd w:val="clear" w:color="auto" w:fill="auto"/>
        </w:tcPr>
        <w:p w:rsidR="002B102D" w:rsidRPr="002B102D" w:rsidRDefault="002B102D" w:rsidP="002B102D">
          <w:pPr>
            <w:pStyle w:val="Footer"/>
            <w:jc w:val="right"/>
            <w:rPr>
              <w:b w:val="0"/>
              <w:w w:val="103"/>
              <w:sz w:val="14"/>
            </w:rPr>
          </w:pPr>
          <w:fldSimple w:instr=" DOCVARIABLE &quot;FooterJN&quot; \* MERGEFORMAT ">
            <w:r w:rsidR="00B3215B">
              <w:rPr>
                <w:b w:val="0"/>
                <w:w w:val="103"/>
                <w:sz w:val="14"/>
              </w:rPr>
              <w:t>14-64926 (C)</w:t>
            </w:r>
          </w:fldSimple>
        </w:p>
      </w:tc>
      <w:tc>
        <w:tcPr>
          <w:tcW w:w="5028" w:type="dxa"/>
          <w:shd w:val="clear" w:color="auto" w:fill="auto"/>
        </w:tcPr>
        <w:p w:rsidR="002B102D" w:rsidRPr="002B102D" w:rsidRDefault="002B102D" w:rsidP="002B102D">
          <w:pPr>
            <w:pStyle w:val="Footer"/>
            <w:jc w:val="left"/>
            <w:rPr>
              <w:w w:val="103"/>
            </w:rPr>
          </w:pPr>
          <w:r>
            <w:rPr>
              <w:w w:val="103"/>
            </w:rPr>
            <w:fldChar w:fldCharType="begin"/>
          </w:r>
          <w:r>
            <w:rPr>
              <w:w w:val="103"/>
            </w:rPr>
            <w:instrText xml:space="preserve"> PAGE  \* Arabic  \* MERGEFORMAT </w:instrText>
          </w:r>
          <w:r>
            <w:rPr>
              <w:w w:val="103"/>
            </w:rPr>
            <w:fldChar w:fldCharType="separate"/>
          </w:r>
          <w:r w:rsidR="00323F9D">
            <w:rPr>
              <w:w w:val="103"/>
            </w:rPr>
            <w:t>4</w:t>
          </w:r>
          <w:r>
            <w:rPr>
              <w:w w:val="103"/>
            </w:rPr>
            <w:fldChar w:fldCharType="end"/>
          </w:r>
          <w:r>
            <w:rPr>
              <w:w w:val="103"/>
            </w:rPr>
            <w:t>/</w:t>
          </w:r>
          <w:fldSimple w:instr=" NUMPAGES  \* Arabic  \* MERGEFORMAT ">
            <w:r w:rsidR="00323F9D">
              <w:rPr>
                <w:w w:val="103"/>
              </w:rPr>
              <w:t>4</w:t>
            </w:r>
          </w:fldSimple>
        </w:p>
      </w:tc>
    </w:tr>
  </w:tbl>
  <w:p w:rsidR="002B102D" w:rsidRPr="002B102D" w:rsidRDefault="002B102D" w:rsidP="002B102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B102D" w:rsidTr="002B102D">
      <w:tblPrEx>
        <w:tblCellMar>
          <w:top w:w="0" w:type="dxa"/>
          <w:bottom w:w="0" w:type="dxa"/>
        </w:tblCellMar>
      </w:tblPrEx>
      <w:tc>
        <w:tcPr>
          <w:tcW w:w="5028" w:type="dxa"/>
          <w:shd w:val="clear" w:color="auto" w:fill="auto"/>
        </w:tcPr>
        <w:p w:rsidR="002B102D" w:rsidRPr="002B102D" w:rsidRDefault="002B102D" w:rsidP="002B102D">
          <w:pPr>
            <w:pStyle w:val="Footer"/>
            <w:jc w:val="right"/>
          </w:pPr>
          <w:fldSimple w:instr=" PAGE  \* Arabic  \* MERGEFORMAT ">
            <w:r w:rsidR="00323F9D">
              <w:t>3</w:t>
            </w:r>
          </w:fldSimple>
          <w:r>
            <w:t>/</w:t>
          </w:r>
          <w:fldSimple w:instr=" NUMPAGES  \* Arabic  \* MERGEFORMAT ">
            <w:r w:rsidR="00323F9D">
              <w:t>4</w:t>
            </w:r>
          </w:fldSimple>
        </w:p>
      </w:tc>
      <w:tc>
        <w:tcPr>
          <w:tcW w:w="5028" w:type="dxa"/>
          <w:shd w:val="clear" w:color="auto" w:fill="auto"/>
        </w:tcPr>
        <w:p w:rsidR="002B102D" w:rsidRPr="002B102D" w:rsidRDefault="002B102D" w:rsidP="002B102D">
          <w:pPr>
            <w:pStyle w:val="Footer"/>
            <w:jc w:val="left"/>
            <w:rPr>
              <w:b w:val="0"/>
              <w:w w:val="103"/>
              <w:sz w:val="14"/>
            </w:rPr>
          </w:pPr>
          <w:fldSimple w:instr=" DOCVARIABLE &quot;FooterJN&quot; \* MERGEFORMAT ">
            <w:r w:rsidR="00B3215B">
              <w:rPr>
                <w:b w:val="0"/>
                <w:w w:val="103"/>
                <w:sz w:val="14"/>
              </w:rPr>
              <w:t>14-64926 (C)</w:t>
            </w:r>
          </w:fldSimple>
        </w:p>
      </w:tc>
    </w:tr>
  </w:tbl>
  <w:p w:rsidR="002B102D" w:rsidRPr="002B102D" w:rsidRDefault="002B102D" w:rsidP="002B102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28"/>
    </w:tblGrid>
    <w:tr w:rsidR="002B102D" w:rsidTr="002B102D">
      <w:tblPrEx>
        <w:tblCellMar>
          <w:top w:w="0" w:type="dxa"/>
          <w:bottom w:w="0" w:type="dxa"/>
        </w:tblCellMar>
      </w:tblPrEx>
      <w:tc>
        <w:tcPr>
          <w:tcW w:w="3686" w:type="dxa"/>
        </w:tcPr>
        <w:p w:rsidR="002B102D" w:rsidRDefault="008373B8" w:rsidP="002B102D">
          <w:pPr>
            <w:pStyle w:val="Release"/>
          </w:pPr>
          <w:r w:rsidRPr="008373B8">
            <w:t>14-64926 X (C)    090115    120115</w:t>
          </w:r>
          <w:r w:rsidR="002B102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45pt;margin-top:-71.85pt;width:60.85pt;height:57.85pt;z-index:1;mso-position-horizontal-relative:page;mso-position-vertical-relative:page" o:preferrelative="f" filled="t">
                <v:imagedata r:id="rId1" o:title="4-5Size =1Lang = C"/>
                <w10:wrap anchorx="page" anchory="page"/>
              </v:shape>
            </w:pict>
          </w:r>
        </w:p>
        <w:p w:rsidR="002B102D" w:rsidRPr="002B102D" w:rsidRDefault="002B102D" w:rsidP="002B102D">
          <w:pPr>
            <w:spacing w:before="80" w:line="210" w:lineRule="exact"/>
            <w:rPr>
              <w:rFonts w:ascii="Barcode 3 of 9 by request" w:hAnsi="Barcode 3 of 9 by request"/>
              <w:sz w:val="24"/>
            </w:rPr>
          </w:pPr>
          <w:r>
            <w:rPr>
              <w:rFonts w:ascii="Barcode 3 of 9 by request" w:hAnsi="Barcode 3 of 9 by request"/>
              <w:sz w:val="24"/>
            </w:rPr>
            <w:t>*1464926*</w:t>
          </w:r>
        </w:p>
      </w:tc>
      <w:tc>
        <w:tcPr>
          <w:tcW w:w="5028" w:type="dxa"/>
        </w:tcPr>
        <w:p w:rsidR="002B102D" w:rsidRDefault="002B102D" w:rsidP="002B102D">
          <w:pPr>
            <w:pStyle w:val="Footer"/>
            <w:jc w:val="right"/>
            <w:rPr>
              <w:b w:val="0"/>
              <w:sz w:val="21"/>
            </w:rPr>
          </w:pPr>
          <w:r>
            <w:rPr>
              <w:b w:val="0"/>
              <w:sz w:val="21"/>
            </w:rPr>
            <w:pict>
              <v:shape id="_x0000_i1026" type="#_x0000_t75" style="width:48.75pt;height:18pt">
                <v:imagedata r:id="rId2" o:title="recycle_Chinese"/>
              </v:shape>
            </w:pict>
          </w:r>
        </w:p>
      </w:tc>
    </w:tr>
  </w:tbl>
  <w:p w:rsidR="002B102D" w:rsidRPr="002B102D" w:rsidRDefault="002B102D" w:rsidP="002B102D">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9B7" w:rsidRPr="00FC34A5" w:rsidRDefault="002609B7" w:rsidP="00FC34A5">
      <w:pPr>
        <w:pStyle w:val="Footer"/>
        <w:spacing w:after="80"/>
        <w:ind w:left="792"/>
        <w:rPr>
          <w:sz w:val="16"/>
        </w:rPr>
      </w:pPr>
      <w:r w:rsidRPr="00FC34A5">
        <w:rPr>
          <w:sz w:val="16"/>
        </w:rPr>
        <w:t>__________________</w:t>
      </w:r>
    </w:p>
  </w:footnote>
  <w:footnote w:type="continuationSeparator" w:id="0">
    <w:p w:rsidR="002609B7" w:rsidRPr="00FC34A5" w:rsidRDefault="002609B7" w:rsidP="00FC34A5">
      <w:pPr>
        <w:pStyle w:val="Footer"/>
        <w:spacing w:after="80"/>
        <w:ind w:left="792"/>
        <w:rPr>
          <w:sz w:val="16"/>
        </w:rPr>
      </w:pPr>
      <w:r w:rsidRPr="00FC34A5">
        <w:rPr>
          <w:sz w:val="16"/>
        </w:rPr>
        <w:t>__________________</w:t>
      </w:r>
    </w:p>
  </w:footnote>
  <w:footnote w:id="1">
    <w:p w:rsidR="00FC34A5" w:rsidRDefault="00FC34A5" w:rsidP="00FC34A5">
      <w:pPr>
        <w:pStyle w:val="FootnoteText"/>
        <w:tabs>
          <w:tab w:val="clear" w:pos="418"/>
          <w:tab w:val="right" w:pos="1195"/>
          <w:tab w:val="left" w:pos="1264"/>
          <w:tab w:val="left" w:pos="1695"/>
          <w:tab w:val="left" w:pos="2126"/>
          <w:tab w:val="left" w:pos="2557"/>
        </w:tabs>
        <w:ind w:left="1264" w:right="1264" w:hanging="432"/>
      </w:pPr>
      <w:r>
        <w:tab/>
      </w:r>
      <w:r w:rsidRPr="00FC34A5">
        <w:rPr>
          <w:vertAlign w:val="superscript"/>
        </w:rPr>
        <w:t>*</w:t>
      </w:r>
      <w:r>
        <w:tab/>
      </w:r>
      <w:hyperlink r:id="rId1" w:history="1">
        <w:r w:rsidRPr="00B3215B">
          <w:rPr>
            <w:rStyle w:val="Hyperlink"/>
          </w:rPr>
          <w:t>CEDAW/C/61/1</w:t>
        </w:r>
      </w:hyperlink>
      <w:r>
        <w:rPr>
          <w:rFonts w:hint="eastAsia"/>
        </w:rPr>
        <w:t>。</w:t>
      </w:r>
    </w:p>
    <w:p w:rsidR="00FC34A5" w:rsidRDefault="00FC34A5" w:rsidP="00FC34A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rPr>
          <w:rFonts w:hint="eastAsia"/>
        </w:rPr>
        <w:tab/>
      </w:r>
      <w:r>
        <w:rPr>
          <w:rFonts w:hint="eastAsia"/>
        </w:rPr>
        <w:t>除非另作说明，段落编号系指缔约国第四次和第五次合并定期报告的编号。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2B102D" w:rsidTr="002B102D">
      <w:tblPrEx>
        <w:tblCellMar>
          <w:top w:w="0" w:type="dxa"/>
          <w:bottom w:w="0" w:type="dxa"/>
        </w:tblCellMar>
      </w:tblPrEx>
      <w:trPr>
        <w:trHeight w:hRule="exact" w:val="864"/>
      </w:trPr>
      <w:tc>
        <w:tcPr>
          <w:tcW w:w="4838" w:type="dxa"/>
          <w:shd w:val="clear" w:color="auto" w:fill="auto"/>
          <w:vAlign w:val="bottom"/>
        </w:tcPr>
        <w:p w:rsidR="002B102D" w:rsidRPr="002B102D" w:rsidRDefault="002B102D" w:rsidP="002B102D">
          <w:pPr>
            <w:pStyle w:val="Header"/>
            <w:spacing w:after="80"/>
            <w:jc w:val="left"/>
            <w:rPr>
              <w:b/>
              <w:sz w:val="17"/>
            </w:rPr>
          </w:pPr>
          <w:fldSimple w:instr=" DOCVARIABLE &quot;sss1&quot; \* MERGEFORMAT ">
            <w:r w:rsidR="00B3215B">
              <w:rPr>
                <w:b/>
                <w:sz w:val="17"/>
              </w:rPr>
              <w:t>CEDAW/C/HRV/Q/4-5</w:t>
            </w:r>
          </w:fldSimple>
        </w:p>
      </w:tc>
      <w:tc>
        <w:tcPr>
          <w:tcW w:w="5028" w:type="dxa"/>
          <w:shd w:val="clear" w:color="auto" w:fill="auto"/>
          <w:vAlign w:val="bottom"/>
        </w:tcPr>
        <w:p w:rsidR="002B102D" w:rsidRDefault="002B102D" w:rsidP="002B102D">
          <w:pPr>
            <w:pStyle w:val="Header"/>
          </w:pPr>
        </w:p>
      </w:tc>
    </w:tr>
  </w:tbl>
  <w:p w:rsidR="002B102D" w:rsidRPr="002B102D" w:rsidRDefault="002B102D" w:rsidP="002B102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2B102D" w:rsidTr="002B102D">
      <w:tblPrEx>
        <w:tblCellMar>
          <w:top w:w="0" w:type="dxa"/>
          <w:bottom w:w="0" w:type="dxa"/>
        </w:tblCellMar>
      </w:tblPrEx>
      <w:trPr>
        <w:trHeight w:hRule="exact" w:val="864"/>
      </w:trPr>
      <w:tc>
        <w:tcPr>
          <w:tcW w:w="4838" w:type="dxa"/>
          <w:shd w:val="clear" w:color="auto" w:fill="auto"/>
          <w:vAlign w:val="bottom"/>
        </w:tcPr>
        <w:p w:rsidR="002B102D" w:rsidRDefault="002B102D" w:rsidP="002B102D">
          <w:pPr>
            <w:pStyle w:val="Header"/>
          </w:pPr>
        </w:p>
      </w:tc>
      <w:tc>
        <w:tcPr>
          <w:tcW w:w="5028" w:type="dxa"/>
          <w:shd w:val="clear" w:color="auto" w:fill="auto"/>
          <w:vAlign w:val="bottom"/>
        </w:tcPr>
        <w:p w:rsidR="002B102D" w:rsidRPr="002B102D" w:rsidRDefault="002B102D" w:rsidP="002B102D">
          <w:pPr>
            <w:pStyle w:val="Header"/>
            <w:spacing w:after="80"/>
            <w:jc w:val="right"/>
            <w:rPr>
              <w:b/>
              <w:sz w:val="17"/>
            </w:rPr>
          </w:pPr>
          <w:fldSimple w:instr=" DOCVARIABLE &quot;sss1&quot; \* MERGEFORMAT ">
            <w:r w:rsidR="00B3215B">
              <w:rPr>
                <w:b/>
                <w:sz w:val="17"/>
              </w:rPr>
              <w:t>CEDAW/C/HRV/Q/4-5</w:t>
            </w:r>
          </w:fldSimple>
        </w:p>
      </w:tc>
    </w:tr>
  </w:tbl>
  <w:p w:rsidR="002B102D" w:rsidRPr="002B102D" w:rsidRDefault="002B102D" w:rsidP="002B102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2B102D" w:rsidTr="002B102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B102D" w:rsidRDefault="002B102D" w:rsidP="002B102D">
          <w:pPr>
            <w:pStyle w:val="Header"/>
            <w:spacing w:after="120"/>
          </w:pPr>
        </w:p>
      </w:tc>
      <w:tc>
        <w:tcPr>
          <w:tcW w:w="1872" w:type="dxa"/>
          <w:tcBorders>
            <w:bottom w:val="single" w:sz="4" w:space="0" w:color="auto"/>
          </w:tcBorders>
          <w:shd w:val="clear" w:color="auto" w:fill="auto"/>
          <w:vAlign w:val="bottom"/>
        </w:tcPr>
        <w:p w:rsidR="002B102D" w:rsidRPr="00CD7A2D" w:rsidRDefault="002B102D" w:rsidP="00CD7A2D">
          <w:pPr>
            <w:pStyle w:val="HCh"/>
            <w:tabs>
              <w:tab w:val="clear" w:pos="431"/>
            </w:tabs>
            <w:overflowPunct/>
            <w:adjustRightInd/>
            <w:snapToGrid/>
            <w:spacing w:after="80"/>
            <w:rPr>
              <w:rFonts w:eastAsia="SimSun"/>
              <w:snapToGrid/>
              <w:spacing w:val="40"/>
              <w:w w:val="96"/>
              <w:kern w:val="14"/>
            </w:rPr>
          </w:pPr>
          <w:r w:rsidRPr="00CD7A2D">
            <w:rPr>
              <w:rFonts w:eastAsia="SimSun" w:hint="eastAsia"/>
              <w:snapToGrid/>
              <w:spacing w:val="40"/>
              <w:w w:val="96"/>
              <w:kern w:val="14"/>
            </w:rPr>
            <w:t>联合国</w:t>
          </w:r>
        </w:p>
      </w:tc>
      <w:tc>
        <w:tcPr>
          <w:tcW w:w="245" w:type="dxa"/>
          <w:tcBorders>
            <w:bottom w:val="single" w:sz="4" w:space="0" w:color="auto"/>
          </w:tcBorders>
          <w:shd w:val="clear" w:color="auto" w:fill="auto"/>
          <w:vAlign w:val="bottom"/>
        </w:tcPr>
        <w:p w:rsidR="002B102D" w:rsidRDefault="002B102D" w:rsidP="002B102D">
          <w:pPr>
            <w:pStyle w:val="Header"/>
            <w:spacing w:after="120"/>
          </w:pPr>
        </w:p>
      </w:tc>
      <w:tc>
        <w:tcPr>
          <w:tcW w:w="6523" w:type="dxa"/>
          <w:gridSpan w:val="3"/>
          <w:tcBorders>
            <w:bottom w:val="single" w:sz="4" w:space="0" w:color="auto"/>
          </w:tcBorders>
          <w:shd w:val="clear" w:color="auto" w:fill="auto"/>
          <w:vAlign w:val="bottom"/>
        </w:tcPr>
        <w:p w:rsidR="002B102D" w:rsidRPr="002B102D" w:rsidRDefault="002B102D" w:rsidP="002B102D">
          <w:pPr>
            <w:spacing w:after="80" w:line="240" w:lineRule="auto"/>
            <w:jc w:val="right"/>
            <w:rPr>
              <w:position w:val="-4"/>
            </w:rPr>
          </w:pPr>
          <w:r>
            <w:rPr>
              <w:position w:val="-4"/>
              <w:sz w:val="40"/>
            </w:rPr>
            <w:t>CEDAW</w:t>
          </w:r>
          <w:r>
            <w:rPr>
              <w:position w:val="-4"/>
            </w:rPr>
            <w:t>/C/HRV/Q/4-5</w:t>
          </w:r>
        </w:p>
      </w:tc>
    </w:tr>
    <w:tr w:rsidR="002B102D" w:rsidRPr="002B102D" w:rsidTr="002B102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B102D" w:rsidRPr="002B102D" w:rsidRDefault="002B102D" w:rsidP="002B102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2B102D" w:rsidRPr="00CD7A2D" w:rsidRDefault="002B102D" w:rsidP="00CD7A2D">
          <w:pPr>
            <w:pStyle w:val="XLarge"/>
            <w:overflowPunct/>
            <w:adjustRightInd/>
            <w:snapToGrid/>
            <w:spacing w:before="109" w:after="140" w:line="400" w:lineRule="exact"/>
            <w:rPr>
              <w:snapToGrid/>
              <w:kern w:val="14"/>
              <w:sz w:val="34"/>
            </w:rPr>
          </w:pPr>
          <w:r w:rsidRPr="00CD7A2D">
            <w:rPr>
              <w:rFonts w:hint="eastAsia"/>
              <w:snapToGrid/>
              <w:kern w:val="14"/>
              <w:sz w:val="34"/>
            </w:rPr>
            <w:t>消除对妇女一切形式歧视公约</w:t>
          </w:r>
        </w:p>
      </w:tc>
      <w:tc>
        <w:tcPr>
          <w:tcW w:w="245" w:type="dxa"/>
          <w:tcBorders>
            <w:top w:val="single" w:sz="4" w:space="0" w:color="auto"/>
            <w:bottom w:val="single" w:sz="12" w:space="0" w:color="auto"/>
          </w:tcBorders>
          <w:shd w:val="clear" w:color="auto" w:fill="auto"/>
        </w:tcPr>
        <w:p w:rsidR="002B102D" w:rsidRPr="002B102D" w:rsidRDefault="002B102D" w:rsidP="002B102D">
          <w:pPr>
            <w:pStyle w:val="Header"/>
            <w:spacing w:before="109"/>
          </w:pPr>
        </w:p>
      </w:tc>
      <w:tc>
        <w:tcPr>
          <w:tcW w:w="3180" w:type="dxa"/>
          <w:gridSpan w:val="2"/>
          <w:tcBorders>
            <w:top w:val="single" w:sz="4" w:space="0" w:color="auto"/>
            <w:bottom w:val="single" w:sz="12" w:space="0" w:color="auto"/>
          </w:tcBorders>
          <w:shd w:val="clear" w:color="auto" w:fill="auto"/>
        </w:tcPr>
        <w:p w:rsidR="002B102D" w:rsidRDefault="002B102D" w:rsidP="002B102D">
          <w:pPr>
            <w:pStyle w:val="Distr"/>
          </w:pPr>
          <w:r>
            <w:t>Distr.: General</w:t>
          </w:r>
        </w:p>
        <w:p w:rsidR="002B102D" w:rsidRDefault="008373B8" w:rsidP="002B102D">
          <w:pPr>
            <w:pStyle w:val="Publication"/>
          </w:pPr>
          <w:r>
            <w:rPr>
              <w:rFonts w:hint="eastAsia"/>
            </w:rPr>
            <w:t>17</w:t>
          </w:r>
          <w:r w:rsidR="002B102D">
            <w:t xml:space="preserve"> November 2014</w:t>
          </w:r>
        </w:p>
        <w:p w:rsidR="002B102D" w:rsidRDefault="002B102D" w:rsidP="002B102D">
          <w:pPr>
            <w:spacing w:line="240" w:lineRule="exact"/>
          </w:pPr>
          <w:r>
            <w:t>Chinese</w:t>
          </w:r>
        </w:p>
        <w:p w:rsidR="002B102D" w:rsidRDefault="002B102D" w:rsidP="002B102D">
          <w:pPr>
            <w:pStyle w:val="Original"/>
          </w:pPr>
          <w:r>
            <w:t>Original: English</w:t>
          </w:r>
        </w:p>
        <w:p w:rsidR="002B102D" w:rsidRPr="002B102D" w:rsidRDefault="002B102D" w:rsidP="002B102D"/>
      </w:tc>
    </w:tr>
  </w:tbl>
  <w:p w:rsidR="002B102D" w:rsidRPr="002B102D" w:rsidRDefault="002B102D" w:rsidP="002B102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26*"/>
    <w:docVar w:name="CreationDt" w:val="12/01/2015 11:34:28"/>
    <w:docVar w:name="DocCategory" w:val="Doc"/>
    <w:docVar w:name="DocType" w:val="Final"/>
    <w:docVar w:name="FooterJN" w:val="14-64926 (C)"/>
    <w:docVar w:name="jobn" w:val="14-64926 (C)"/>
    <w:docVar w:name="jobnDT" w:val="14-64926 (C)   120115"/>
    <w:docVar w:name="jobnDTDT" w:val="14-64926 (C)   120115   120115"/>
    <w:docVar w:name="JobNo" w:val="1464926C"/>
    <w:docVar w:name="OandT" w:val="yanghua"/>
    <w:docVar w:name="PaperSize" w:val="Letter"/>
    <w:docVar w:name="sss1" w:val="CEDAW/C/HRV/Q/4-5"/>
    <w:docVar w:name="sss2" w:val="-"/>
    <w:docVar w:name="Symbol1" w:val="CEDAW/C/HRV/Q/4-5"/>
    <w:docVar w:name="Symbol2" w:val="-"/>
  </w:docVars>
  <w:rsids>
    <w:rsidRoot w:val="00431D14"/>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1928"/>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9B7"/>
    <w:rsid w:val="00260C62"/>
    <w:rsid w:val="00263B7B"/>
    <w:rsid w:val="00266257"/>
    <w:rsid w:val="00271BE6"/>
    <w:rsid w:val="0027454D"/>
    <w:rsid w:val="0027574F"/>
    <w:rsid w:val="00277AAE"/>
    <w:rsid w:val="00280671"/>
    <w:rsid w:val="002814F9"/>
    <w:rsid w:val="00282D17"/>
    <w:rsid w:val="00290382"/>
    <w:rsid w:val="002A4AEF"/>
    <w:rsid w:val="002A5E53"/>
    <w:rsid w:val="002A7D2C"/>
    <w:rsid w:val="002B102D"/>
    <w:rsid w:val="002B305F"/>
    <w:rsid w:val="002B564F"/>
    <w:rsid w:val="002B5F5D"/>
    <w:rsid w:val="002B62ED"/>
    <w:rsid w:val="002C2254"/>
    <w:rsid w:val="002C3BC9"/>
    <w:rsid w:val="002C54DB"/>
    <w:rsid w:val="002D039F"/>
    <w:rsid w:val="002D0694"/>
    <w:rsid w:val="002D0B62"/>
    <w:rsid w:val="002D4ACE"/>
    <w:rsid w:val="002D5503"/>
    <w:rsid w:val="002D65A8"/>
    <w:rsid w:val="002E0BA7"/>
    <w:rsid w:val="002E66D5"/>
    <w:rsid w:val="002F41E2"/>
    <w:rsid w:val="002F746E"/>
    <w:rsid w:val="003063F6"/>
    <w:rsid w:val="00320C99"/>
    <w:rsid w:val="00323F9D"/>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1D14"/>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2444"/>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551"/>
    <w:rsid w:val="005F1AAD"/>
    <w:rsid w:val="005F3273"/>
    <w:rsid w:val="005F34A3"/>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54DB"/>
    <w:rsid w:val="00666F57"/>
    <w:rsid w:val="006740A7"/>
    <w:rsid w:val="006767D5"/>
    <w:rsid w:val="00691524"/>
    <w:rsid w:val="006926DF"/>
    <w:rsid w:val="006A501A"/>
    <w:rsid w:val="006A654B"/>
    <w:rsid w:val="006B769C"/>
    <w:rsid w:val="006C4BB3"/>
    <w:rsid w:val="006D0FE0"/>
    <w:rsid w:val="006D4068"/>
    <w:rsid w:val="006E2924"/>
    <w:rsid w:val="006E7A26"/>
    <w:rsid w:val="006F04EF"/>
    <w:rsid w:val="006F2B3D"/>
    <w:rsid w:val="006F6A4F"/>
    <w:rsid w:val="006F761A"/>
    <w:rsid w:val="007016DF"/>
    <w:rsid w:val="007038D4"/>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5F96"/>
    <w:rsid w:val="00757193"/>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3B8"/>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D5639"/>
    <w:rsid w:val="00AF021F"/>
    <w:rsid w:val="00AF114B"/>
    <w:rsid w:val="00AF2A33"/>
    <w:rsid w:val="00AF4C2D"/>
    <w:rsid w:val="00B014C7"/>
    <w:rsid w:val="00B03EFA"/>
    <w:rsid w:val="00B16C8C"/>
    <w:rsid w:val="00B171E7"/>
    <w:rsid w:val="00B309DD"/>
    <w:rsid w:val="00B31E9D"/>
    <w:rsid w:val="00B3215B"/>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0B1"/>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D7A2D"/>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C34A5"/>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C34A5"/>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rsid w:val="001E5A51"/>
    <w:pPr>
      <w:tabs>
        <w:tab w:val="clear" w:pos="431"/>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Normal"/>
    <w:rsid w:val="00FC34A5"/>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Normal"/>
    <w:link w:val="HChGCChar"/>
    <w:rsid w:val="00FC34A5"/>
    <w:pPr>
      <w:keepNext/>
      <w:keepLines/>
      <w:tabs>
        <w:tab w:val="clear" w:pos="431"/>
        <w:tab w:val="right" w:pos="851"/>
      </w:tabs>
      <w:spacing w:before="360" w:after="240" w:line="400" w:lineRule="exact"/>
      <w:ind w:left="1134" w:right="1134" w:hanging="1134"/>
      <w:outlineLvl w:val="1"/>
    </w:pPr>
    <w:rPr>
      <w:rFonts w:eastAsia="SimHei"/>
      <w:sz w:val="28"/>
      <w:lang/>
    </w:rPr>
  </w:style>
  <w:style w:type="character" w:customStyle="1" w:styleId="HChGCChar">
    <w:name w:val="_ H _Ch_GC Char"/>
    <w:link w:val="HChGC"/>
    <w:rsid w:val="00FC34A5"/>
    <w:rPr>
      <w:rFonts w:eastAsia="SimHei"/>
      <w:snapToGrid/>
      <w:sz w:val="28"/>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HRV/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4</Pages>
  <Words>1371</Words>
  <Characters>1400</Characters>
  <Application>Microsoft Office Outlook</Application>
  <DocSecurity>4</DocSecurity>
  <Lines>70</Lines>
  <Paragraphs>36</Paragraphs>
  <ScaleCrop>false</ScaleCrop>
  <Company>United Nations</Company>
  <LinksUpToDate>false</LinksUpToDate>
  <CharactersWithSpaces>2735</CharactersWithSpaces>
  <SharedDoc>false</SharedDoc>
  <HLinks>
    <vt:vector size="12" baseType="variant">
      <vt:variant>
        <vt:i4>8061030</vt:i4>
      </vt:variant>
      <vt:variant>
        <vt:i4>0</vt:i4>
      </vt:variant>
      <vt:variant>
        <vt:i4>0</vt:i4>
      </vt:variant>
      <vt:variant>
        <vt:i4>5</vt:i4>
      </vt:variant>
      <vt:variant>
        <vt:lpwstr>http://undocs.org/ch/CEDAW/C/HRV/4</vt:lpwstr>
      </vt:variant>
      <vt:variant>
        <vt:lpwstr/>
      </vt:variant>
      <vt:variant>
        <vt:i4>4718602</vt:i4>
      </vt:variant>
      <vt:variant>
        <vt:i4>0</vt:i4>
      </vt:variant>
      <vt:variant>
        <vt:i4>0</vt:i4>
      </vt:variant>
      <vt:variant>
        <vt:i4>5</vt:i4>
      </vt:variant>
      <vt:variant>
        <vt:lpwstr>http://undocs.org/ch/CEDAW/C/61/1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Ctpu1</cp:lastModifiedBy>
  <cp:revision>14</cp:revision>
  <cp:lastPrinted>2015-01-12T10:38:00Z</cp:lastPrinted>
  <dcterms:created xsi:type="dcterms:W3CDTF">2015-01-12T08:42:00Z</dcterms:created>
  <dcterms:modified xsi:type="dcterms:W3CDTF">2015-01-12T14:22:00Z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1464926</vt:lpwstr>
  </property>
  <property fmtid="{D5CDD505-2E9C-101B-9397-08002B2CF9AE}" pid="3" name="ODSRefJobNo">
    <vt:lpwstr>1463290C</vt:lpwstr>
  </property>
  <property fmtid="{D5CDD505-2E9C-101B-9397-08002B2CF9AE}" pid="4" name="Symbol1">
    <vt:lpwstr>CEDAW/C/HRV/Q/4-5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26 November 2014</vt:lpwstr>
  </property>
  <property fmtid="{D5CDD505-2E9C-101B-9397-08002B2CF9AE}" pid="9" name="Original">
    <vt:lpwstr>English</vt:lpwstr>
  </property>
  <property fmtid="{D5CDD505-2E9C-101B-9397-08002B2CF9AE}" pid="10" name="Release Date">
    <vt:lpwstr>120115</vt:lpwstr>
  </property>
  <property fmtid="{D5CDD505-2E9C-101B-9397-08002B2CF9AE}" pid="11" name="Comment">
    <vt:lpwstr/>
  </property>
  <property fmtid="{D5CDD505-2E9C-101B-9397-08002B2CF9AE}" pid="12" name="DraftPages">
    <vt:lpwstr> </vt:lpwstr>
  </property>
  <property fmtid="{D5CDD505-2E9C-101B-9397-08002B2CF9AE}" pid="13" name="Operator">
    <vt:lpwstr>yanghua</vt:lpwstr>
  </property>
</Properties>
</file>