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29° período de sesiones</w:t>
      </w:r>
    </w:p>
    <w:p w:rsidR="00000000" w:rsidRDefault="00000000">
      <w:pPr>
        <w:spacing w:line="240" w:lineRule="auto"/>
        <w:rPr>
          <w:sz w:val="12"/>
        </w:rPr>
      </w:pPr>
    </w:p>
    <w:p w:rsidR="00000000" w:rsidRDefault="00000000">
      <w:pPr>
        <w:pStyle w:val="H23"/>
      </w:pPr>
      <w:r>
        <w:t>Acta resumida de la 619ª sesión</w:t>
      </w:r>
    </w:p>
    <w:p w:rsidR="00000000" w:rsidRDefault="00000000">
      <w:r>
        <w:t>Celebrada en la Sede, Nueva York, el miércoles 9 de julio de 2003,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Ferrer Gómez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w:t>
      </w:r>
      <w:r>
        <w:br/>
        <w:t>en virtud del artículo 18 de la Convención sobre la eliminación</w:t>
      </w:r>
      <w:r>
        <w:br/>
        <w:t>de todas las formas de discriminación contra la mujer (</w:t>
      </w:r>
      <w:r>
        <w:rPr>
          <w:i/>
        </w:rPr>
        <w:t>continuación</w:t>
      </w:r>
      <w:r>
        <w:t xml:space="preserve">)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 xml:space="preserve">Informes periódicos combinados inicial, segundo y tercero y cuarto informe </w:t>
      </w:r>
      <w:r>
        <w:tab/>
        <w:t>periódico de Costa Rica</w:t>
      </w: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clear" w:pos="360"/>
          <w:tab w:val="left" w:pos="475"/>
          <w:tab w:val="left" w:pos="965"/>
          <w:tab w:val="left" w:pos="1440"/>
          <w:tab w:val="left" w:pos="1915"/>
          <w:tab w:val="left" w:pos="2405"/>
          <w:tab w:val="left" w:pos="2880"/>
          <w:tab w:val="left" w:pos="3355"/>
        </w:tabs>
      </w:pPr>
      <w:r>
        <w:t xml:space="preserve">En ausencia de la Presidenta, la Sra. Ferrer Gómez, </w:t>
      </w:r>
      <w:r>
        <w:rPr>
          <w:spacing w:val="4"/>
        </w:rPr>
        <w:t>Vicepresidenta, asume la Presidencia</w:t>
      </w:r>
      <w: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10.15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left" w:pos="475"/>
          <w:tab w:val="left" w:pos="965"/>
          <w:tab w:val="left" w:pos="1440"/>
          <w:tab w:val="left" w:pos="1915"/>
          <w:tab w:val="left" w:pos="2405"/>
          <w:tab w:val="left" w:pos="2880"/>
          <w:tab w:val="left" w:pos="3355"/>
        </w:tabs>
        <w:rPr>
          <w:b w:val="0"/>
        </w:rPr>
      </w:pPr>
      <w:r>
        <w:t xml:space="preserve">Examen de los informes presentados por los Estados </w:t>
      </w:r>
      <w:r>
        <w:rPr>
          <w:spacing w:val="4"/>
        </w:rPr>
        <w:t>Partes en virtud del artículo 18 de la Convención sobre la eliminación de todas las formas de discriminación contra la mujer</w:t>
      </w:r>
      <w:r>
        <w:t xml:space="preserve">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ind w:left="475"/>
        <w:rPr>
          <w:i w:val="0"/>
        </w:rPr>
      </w:pPr>
      <w:r>
        <w:t xml:space="preserve">Informes periódicos combinados inicial, segundo y </w:t>
      </w:r>
      <w:r>
        <w:rPr>
          <w:spacing w:val="4"/>
        </w:rPr>
        <w:t>tercero y cuarto informe periódico de Costa</w:t>
      </w:r>
      <w:r>
        <w:t xml:space="preserve"> Rica </w:t>
      </w:r>
      <w:r>
        <w:rPr>
          <w:i w:val="0"/>
        </w:rPr>
        <w:t>(CEDAW/C/CRI/1-3 y CEDAW/C/CRI/4)</w:t>
      </w:r>
    </w:p>
    <w:p w:rsidR="00000000" w:rsidRDefault="00000000">
      <w:pPr>
        <w:pStyle w:val="DualTxt"/>
        <w:spacing w:after="0" w:line="120" w:lineRule="exact"/>
        <w:rPr>
          <w:sz w:val="10"/>
        </w:rPr>
      </w:pP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Por invitación de la Presidenta, la Sra. Britton (Costa Rica), toma asiento a la Mesa del Comité.</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La Sra. Britton</w:t>
      </w:r>
      <w:r>
        <w:t xml:space="preserve"> (Costa Rica) dice que la tardanza en la presentación de los informes requeridos en virtud de la Convención se debe básicamente al contexto p</w:t>
      </w:r>
      <w:r>
        <w:t>o</w:t>
      </w:r>
      <w:r>
        <w:t>lítico y social en Costa Rica durante el decenio de 1990, que no favoreció la ejecución de políticas p</w:t>
      </w:r>
      <w:r>
        <w:t>ú</w:t>
      </w:r>
      <w:r>
        <w:t>blicas con una dimensión de género. Sin embargo, es a partir de los compromisos asumidos en la Plataforma de Acción de Beijing en 1995 que se dan cambios si</w:t>
      </w:r>
      <w:r>
        <w:t>g</w:t>
      </w:r>
      <w:r>
        <w:t>nificativos mediante el fortalecimiento del mecanismo nacional para el adelanto de la mujer. El primer info</w:t>
      </w:r>
      <w:r>
        <w:t>r</w:t>
      </w:r>
      <w:r>
        <w:t>me de Costa Rica se elaboró en 1998, pero demoras en la tramitación y la acumulación de informes ante el Comité impidieron su examen oportuno. Las situaci</w:t>
      </w:r>
      <w:r>
        <w:t>o</w:t>
      </w:r>
      <w:r>
        <w:t>nes que impidieron la entrega oportuna de los informes han sido superadas y en el futuro no se prevé que haya impedime</w:t>
      </w:r>
      <w:r>
        <w:t>n</w:t>
      </w:r>
      <w:r>
        <w:t xml:space="preserve">tos en ese sentido. </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 estrategia nacional para la erradicación de la pobreza incluye dos programas dedicados específic</w:t>
      </w:r>
      <w:r>
        <w:t>a</w:t>
      </w:r>
      <w:r>
        <w:t>mente a las mujeres que encabezan hogares y a las m</w:t>
      </w:r>
      <w:r>
        <w:t>a</w:t>
      </w:r>
      <w:r>
        <w:t>dres adolescentes. El primer programa cuenta con un componente de educación y capacitación en el empleo. Para 2002, se habían beneficiado 19.094 mujeres y h</w:t>
      </w:r>
      <w:r>
        <w:t>a</w:t>
      </w:r>
      <w:r>
        <w:t>bían participado 467 mujeres indígenas. Durante su c</w:t>
      </w:r>
      <w:r>
        <w:t>a</w:t>
      </w:r>
      <w:r>
        <w:t>pacitación, que dura nueve meses, las mujeres reciben un incentivo económico. Los esfuerzos del Gobierno por aplicar la Convención a las mujeres indígenas se centran fundamentalmente en la educación y la salud. La Comisión Nacional de Asuntos Indígenas (CONAI) elaboró un plan para el desarrollo de las poblaciones indígenas que aún no se ha aplicado en su totalidad. Lamentablemente, el plan no contempla actividades específicas para las mujeres i</w:t>
      </w:r>
      <w:r>
        <w:t>n</w:t>
      </w:r>
      <w:r>
        <w:t>dígenas.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la Ley de Promoción de la Igualdad Social de la Mujer, aprobada en 1990, se declara que el Estado y sus instituciones tienen la obligación de velar por que las mujeres no sufran discriminación alguna por razón de su género. Se ha avanzado en cuanto a la incorpor</w:t>
      </w:r>
      <w:r>
        <w:t>a</w:t>
      </w:r>
      <w:r>
        <w:t>ción de la definición de discriminación en la Constit</w:t>
      </w:r>
      <w:r>
        <w:t>u</w:t>
      </w:r>
      <w:r>
        <w:t>ción Política y en la legislación nacional, aunque aún debe incorporarse explícitamente. El estudio pormen</w:t>
      </w:r>
      <w:r>
        <w:t>o</w:t>
      </w:r>
      <w:r>
        <w:t>rizado de la Convención no es parte del currículum de la Facultad de Derecho de la Universidad de Costa R</w:t>
      </w:r>
      <w:r>
        <w:t>i</w:t>
      </w:r>
      <w:r>
        <w:t>ca ni de las universidades privadas. Sin embargo, en 2002, el Instituto Nacional de las Mujeres (INAMU) suscribió un convenio con la Universidad de Costa R</w:t>
      </w:r>
      <w:r>
        <w:t>i</w:t>
      </w:r>
      <w:r>
        <w:t>ca que permitió desarrollar un curso sobre la Conve</w:t>
      </w:r>
      <w:r>
        <w:t>n</w:t>
      </w:r>
      <w:r>
        <w:t>ción en la Cát</w:t>
      </w:r>
      <w:r>
        <w:t>e</w:t>
      </w:r>
      <w:r>
        <w:t xml:space="preserve">dra de Derechos Humanos. </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cuanto a la situación de las refugiadas, Costa Rica se ha caracterizado por la apertura a los refugi</w:t>
      </w:r>
      <w:r>
        <w:t>a</w:t>
      </w:r>
      <w:r>
        <w:t xml:space="preserve">dos y por la concesión de asilo político de conformidad con los tratados internacionales de que es parte. Las personas refugiadas tienen la categoría de residentes temporales sin condiciones, es decir, no tienen ninguna restricción para trabajar, aunque tienen problemas para encontrar empleo. Según un decreto ejecutivo de 6 de junio de 2003, las personas con estatus de refugiadas no pueden regresar a su país de origen, motivo por el cual muchas procuran obtener el estatus de residente. </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Con respecto a la relación entre el Estado y la Iglesia Católica, según el artículo 75 de la Constitución en Costa Rica existe un “Estado confesional”: los fo</w:t>
      </w:r>
      <w:r>
        <w:t>n</w:t>
      </w:r>
      <w:r>
        <w:t>dos del Estado se transfieren a la iglesia para el mant</w:t>
      </w:r>
      <w:r>
        <w:t>e</w:t>
      </w:r>
      <w:r>
        <w:t>nimiento de la diócesis y un monto para gastos de los obispos, que se equipara a un salario. En 2003, la m</w:t>
      </w:r>
      <w:r>
        <w:t>a</w:t>
      </w:r>
      <w:r>
        <w:t>yoría de los diputados y diputadas cuestionó esas asi</w:t>
      </w:r>
      <w:r>
        <w:t>g</w:t>
      </w:r>
      <w:r>
        <w:t>naciones, y en el presupuesto actual se redujeron drá</w:t>
      </w:r>
      <w:r>
        <w:t>s</w:t>
      </w:r>
      <w:r>
        <w:t>ticamente. Ese movimiento dio continuación a un pr</w:t>
      </w:r>
      <w:r>
        <w:t>o</w:t>
      </w:r>
      <w:r>
        <w:t>ceso de separación entre el Estado y la Iglesia Católica, al menos en términos de apoyo presupuestario, que h</w:t>
      </w:r>
      <w:r>
        <w:t>a</w:t>
      </w:r>
      <w:r>
        <w:t>bía comenzado en 1993 cuando se eliminó la exoner</w:t>
      </w:r>
      <w:r>
        <w:t>a</w:t>
      </w:r>
      <w:r>
        <w:t>ción de impuestos a la Iglesia. El INAMU se enfrentó a la oposición abierta de algunos grupos religiosos co</w:t>
      </w:r>
      <w:r>
        <w:t>n</w:t>
      </w:r>
      <w:r>
        <w:t>servadores, incluido el Opus Dei, a algunos de sus pr</w:t>
      </w:r>
      <w:r>
        <w:t>o</w:t>
      </w:r>
      <w:r>
        <w:t>gramas en materia de sexualidad.</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cuanto a las actividades encaminadas a divu</w:t>
      </w:r>
      <w:r>
        <w:t>l</w:t>
      </w:r>
      <w:r>
        <w:t>gar la Convención, el INAMU revisó los módulos p</w:t>
      </w:r>
      <w:r>
        <w:t>e</w:t>
      </w:r>
      <w:r>
        <w:t>dagógicos para la Facultad de Derecho y prevé ofr</w:t>
      </w:r>
      <w:r>
        <w:t>e</w:t>
      </w:r>
      <w:r>
        <w:t>cerlos nuevamente. También podrían adoptarlos otras instituciones públicas del poder judicial, la Asamblea Legislativa, el Colegio de Abogados, el Colegio de P</w:t>
      </w:r>
      <w:r>
        <w:t>e</w:t>
      </w:r>
      <w:r>
        <w:t>riodistas, la Facultad de Educación, y las carreras de servicio o atención s</w:t>
      </w:r>
      <w:r>
        <w:t>o</w:t>
      </w:r>
      <w:r>
        <w:t>cial, entre otras.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lo tocante a la incorporación de los tratados internacionales en la legislación interna, el poder ej</w:t>
      </w:r>
      <w:r>
        <w:t>e</w:t>
      </w:r>
      <w:r>
        <w:t>cutivo puede presentar tratados internacionales ante la Asamblea Legislativa, que está facultada para apr</w:t>
      </w:r>
      <w:r>
        <w:t>o</w:t>
      </w:r>
      <w:r>
        <w:t>barlos. También está facultada para promulgar leyes e incorporar esos tratados en la legislación interna. La resistencia a incorporar la Convención directamente en la legislación interna obedece al desconocimiento de la sustancia, prejuicios sexistas y concepciones andr</w:t>
      </w:r>
      <w:r>
        <w:t>o</w:t>
      </w:r>
      <w:r>
        <w:t>céntricas del derecho. Sin embargo, la Convención ha influido en el derecho interno y se ha invocado con frecuencia en casos de discriminación. Los pronunci</w:t>
      </w:r>
      <w:r>
        <w:t>a</w:t>
      </w:r>
      <w:r>
        <w:t>mientos judiciales referidos al acoso sexual son escasos en los tribunales, aunque la Corte Suprema de Justicia ha dictaminado que constituye un trato discriminatorio. La Ley de hostigamiento sexual en el empleo y la d</w:t>
      </w:r>
      <w:r>
        <w:t>o</w:t>
      </w:r>
      <w:r>
        <w:t>cencia obliga a los empleadores a establecer un proc</w:t>
      </w:r>
      <w:r>
        <w:t>e</w:t>
      </w:r>
      <w:r>
        <w:t>dimiento interno adecuado y efectivo de esos casos que permita las denuncias, garantice su confidencialidad y sancione a los autores. Se establece la obligación de rendir información sobre los casos a las autoridades l</w:t>
      </w:r>
      <w:r>
        <w:t>a</w:t>
      </w:r>
      <w:r>
        <w:t>borales n</w:t>
      </w:r>
      <w:r>
        <w:t>a</w:t>
      </w:r>
      <w:r>
        <w:t>cionales.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lo que se refiere al acceso de la población de mujeres indígenas al sistema de justicia, el I Circuito Judicial de Limón, ubicado en Bribri, que atiende las zonas de mayor población indígena, cuenta con un ju</w:t>
      </w:r>
      <w:r>
        <w:t>z</w:t>
      </w:r>
      <w:r>
        <w:t>gado contravencional y de menor cuantía, una oficina de la defensa pública, una fiscalía, un médico forense y una policía administrativa. Los casos más graves se atienden en Limón, a poca distancia de Bribri, pero las apelaciones y cuestiones bajo la jurisdicción de la ju</w:t>
      </w:r>
      <w:r>
        <w:t>s</w:t>
      </w:r>
      <w:r>
        <w:t>ticia constitucional deben atenderse en San José, la c</w:t>
      </w:r>
      <w:r>
        <w:t>a</w:t>
      </w:r>
      <w:r>
        <w:t>pital. El poder judicial cuenta con un listado de inté</w:t>
      </w:r>
      <w:r>
        <w:t>r</w:t>
      </w:r>
      <w:r>
        <w:t>pretes autorizados en lenguas autóctonas, pero se rec</w:t>
      </w:r>
      <w:r>
        <w:t>u</w:t>
      </w:r>
      <w:r>
        <w:t>rre a sus servicios solamente de tres a cuatro veces al año.</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2003, 430 mujeres estaban privadas de libe</w:t>
      </w:r>
      <w:r>
        <w:t>r</w:t>
      </w:r>
      <w:r>
        <w:t xml:space="preserve">tad, que representan el 7% de la población penal. El país carece de legislación específica para las mujeres privadas de libertad, aunque el Ministerio de Justicia creó recientemente una casa cuna para albergar a hijos menores de 2 años de las madres presas. La mayoría de las presas cumplen sentencia por delitos relacionados con las drogas. El hacinamiento es un problema, pues la población penal rebasa la </w:t>
      </w:r>
      <w:r>
        <w:rPr>
          <w:spacing w:val="2"/>
        </w:rPr>
        <w:t>capacidad de la cárcel en un 45%. Las mujeres en reclusión tienen la posibilidad de presentar denuncias ante la Defensoría de la Mujer de la Defensoría de los Habita</w:t>
      </w:r>
      <w:r>
        <w:rPr>
          <w:spacing w:val="2"/>
        </w:rPr>
        <w:t>n</w:t>
      </w:r>
      <w:r>
        <w:rPr>
          <w:spacing w:val="2"/>
        </w:rPr>
        <w:t>tes</w:t>
      </w:r>
      <w:r>
        <w:t>.</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Desde 1994, el Plan Nacional para la Atención y la Prevención de la Violencia Intrafamiliar contempla un enfoque integrado que incluye los aspectos sociales, psicológicos, legales, educativos y médicos de la vi</w:t>
      </w:r>
      <w:r>
        <w:t>o</w:t>
      </w:r>
      <w:r>
        <w:t>lencia. En un primer momento, en la agenda política se consideraba que la violencia contra las mujeres era un problema de salud pública, pero ahora se considera que es una violación de sus derechos humanos con cons</w:t>
      </w:r>
      <w:r>
        <w:t>e</w:t>
      </w:r>
      <w:r>
        <w:t>cuencias en la salud pública. Hay falta de consenso político sobre la penalización de la violencia específ</w:t>
      </w:r>
      <w:r>
        <w:t>i</w:t>
      </w:r>
      <w:r>
        <w:t>camente contra la mujer, pues se considera discrim</w:t>
      </w:r>
      <w:r>
        <w:t>i</w:t>
      </w:r>
      <w:r>
        <w:t>natoria contra los hombres. El poder judicial ha creado fiscalías especializadas en violencia doméstica y del</w:t>
      </w:r>
      <w:r>
        <w:t>i</w:t>
      </w:r>
      <w:r>
        <w:t>tos sexuales y una oficina de atención a las víctimas. No existen juzgados penales especializados para ate</w:t>
      </w:r>
      <w:r>
        <w:t>n</w:t>
      </w:r>
      <w:r>
        <w:t>der esos casos, y en su mayoría se remiten al Tribunal de Familia, que cuenta con equipos interdisciplinarios de jueces, psicólogos y trabajadores sociales especia</w:t>
      </w:r>
      <w:r>
        <w:t>l</w:t>
      </w:r>
      <w:r>
        <w:t>mente capacitados en el procedimiento de la Ley contra la violencia doméstica. Una de las medidas para prot</w:t>
      </w:r>
      <w:r>
        <w:t>e</w:t>
      </w:r>
      <w:r>
        <w:t>ger a las víctimas es la emisión de órdenes de prote</w:t>
      </w:r>
      <w:r>
        <w:t>c</w:t>
      </w:r>
      <w:r>
        <w:t>ción contra los agres</w:t>
      </w:r>
      <w:r>
        <w:t>o</w:t>
      </w:r>
      <w:r>
        <w:t>res.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Con respecto a la preocupación expresada por el uso del término “equidad” por parte de la delegación, cabe señalar que si bien no es necesariamente sinónimo de “igualdad”, la experiencia ha demostrado que la igualdad de género de facto no puede lograrse sin t</w:t>
      </w:r>
      <w:r>
        <w:t>o</w:t>
      </w:r>
      <w:r>
        <w:t>mar en cuenta las diferencias entre las personas y los grupos. Para Costa Rica, “inequidad” se define como toda desigualdad que determine diferencias en las co</w:t>
      </w:r>
      <w:r>
        <w:t>n</w:t>
      </w:r>
      <w:r>
        <w:t>diciones de vida de las personas y particularmente de las mujeres y, por consiguiente, es innecesaria, injusta y evitable. Las medidas especiales de carácter temporal mencionadas en el artículo 4 de la Convención son un ejemplo de medidas adoptadas en pro de la equidad a fin de lograr las condiciones necesarias para la igua</w:t>
      </w:r>
      <w:r>
        <w:t>l</w:t>
      </w:r>
      <w:r>
        <w:t>dad. Es necesario recordar que la Convención es pr</w:t>
      </w:r>
      <w:r>
        <w:t>o</w:t>
      </w:r>
      <w:r>
        <w:t>ducto de una determinada coyuntura histórica y que a</w:t>
      </w:r>
      <w:r>
        <w:t>l</w:t>
      </w:r>
      <w:r>
        <w:t>gunos de los principios contenidos en ella han ido enr</w:t>
      </w:r>
      <w:r>
        <w:t>i</w:t>
      </w:r>
      <w:r>
        <w:t xml:space="preserve">queciendo su significado, entre otras cosas, gracias a los aportes del movimiento de mujeres. </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El déficit del 5,9% del producto interno bruto (PIB) del país hizo que el Presidente y el Ministerio de Hacienda, quien se encarga de administrar el pres</w:t>
      </w:r>
      <w:r>
        <w:t>u</w:t>
      </w:r>
      <w:r>
        <w:t>puesto nacional, emitieran una directriz que reduciría el 40% de las operaciones presupuestarias de todas las instituciones gubernamentales, aunque no afectaría lo programado para cubrir los gastos fijos. El INAMU logró negociar una reducción presupuestaria menor (el 16%), que afecta solamente los gastos conexos, c</w:t>
      </w:r>
      <w:r>
        <w:t>o</w:t>
      </w:r>
      <w:r>
        <w:t>mo su presupuesto de viajes. Así y todo, cabe resaltar que a pesar de que el presupuesto del INAMU corre</w:t>
      </w:r>
      <w:r>
        <w:t>s</w:t>
      </w:r>
      <w:r>
        <w:t>ponde al 2% de los fondos del Fondo de Desarrollo de Asignaciones Familiares, a la fecha sólo recibe alred</w:t>
      </w:r>
      <w:r>
        <w:t>e</w:t>
      </w:r>
      <w:r>
        <w:t>dor de la mitad de dicho presupuesto, lo que limita su labor encaminada a garantizar la igualdad de oportun</w:t>
      </w:r>
      <w:r>
        <w:t>i</w:t>
      </w:r>
      <w:r>
        <w:t xml:space="preserve">dades a las mujeres. </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Desde su creación, el INAMU ha luchado por la creación de una unidad para la equidad de género en todas las instituciones estatales. El Gobierno anterior (1998 a 2002) firmó un decreto ejecutivo exhortando a la creación de esas unidades. Sin embargo, aún existen instituciones, como el Ministerio de Hacienda, el M</w:t>
      </w:r>
      <w:r>
        <w:t>i</w:t>
      </w:r>
      <w:r>
        <w:t>nisterio de Planificación y Política Económica y la Contraloría General de la República, que no cuentan con una unidad para la equidad de género y algunas de las unidades que se han creado no tienen sus propios presupuestos o no se les ha asignado suficiente rango para asegurar su eficacia. También se está trabajando para asegurar que por conducto de la creación de esas unidades se incorpore siempre una perspectiva de g</w:t>
      </w:r>
      <w:r>
        <w:t>é</w:t>
      </w:r>
      <w:r>
        <w:t>nero en el Plan Nacional de Desarrollo de todos los o</w:t>
      </w:r>
      <w:r>
        <w:t>r</w:t>
      </w:r>
      <w:r>
        <w:t xml:space="preserve">ganismos y ministerios del gobierno. La ejecución del Plan es vinculante y está sujeta a revisión cada seis meses, lo que permite atender de manera eficaz las cuestiones de la desigualdad y la discriminación en la administración pública. </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 Ley de 1995 que regula la unión de hecho se define como la unión de hecho que debe ser pública, notoria, única y estable por más de tres años entre un hombre y una mujer que posean aptitud legal para contraer matrimonio. Si la unión de hecho finaliza por cualquier causa, los convivientes tienen derecho a compartir los bienes que hayan adquirido con el e</w:t>
      </w:r>
      <w:r>
        <w:t>s</w:t>
      </w:r>
      <w:r>
        <w:t>fuerzo común durante su convivencia, independient</w:t>
      </w:r>
      <w:r>
        <w:t>e</w:t>
      </w:r>
      <w:r>
        <w:t>mente de que estén inscritos a nombre de la mujer o el hombre. Si uno de los convivientes muere, el sobrev</w:t>
      </w:r>
      <w:r>
        <w:t>i</w:t>
      </w:r>
      <w:r>
        <w:t>viente conservará su derecho patrimonial sobre el 50% de los bienes adquiridos durante esa unión. Cada co</w:t>
      </w:r>
      <w:r>
        <w:t>n</w:t>
      </w:r>
      <w:r>
        <w:t>viviente en esa unión tiene derecho al seguro de salud familiar de la compañera o compañero; la mujer puede solicitar órdenes de protección contra el hombre con el que cohabita. Los actuales proyectos de ley que se e</w:t>
      </w:r>
      <w:r>
        <w:t>s</w:t>
      </w:r>
      <w:r>
        <w:t xml:space="preserve">tán examinando contienen disposiciones adicionales para proteger los derechos de la mujer en la unión de hecho. </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El proyecto original de la Ley de Igualdad Social de la Mujer pedía el establecimiento de cuotas mínimas de participación de las mujeres en las estructuras inte</w:t>
      </w:r>
      <w:r>
        <w:t>r</w:t>
      </w:r>
      <w:r>
        <w:t>nas de los partidos políticos y en las papeletas de ele</w:t>
      </w:r>
      <w:r>
        <w:t>c</w:t>
      </w:r>
      <w:r>
        <w:t>ción popular. Sin embargo, ese mecanismo se excluyó antes de que se aprobara la Ley. Únicamente se obliga a los gobiernos a incorporar en sus estatutos mecani</w:t>
      </w:r>
      <w:r>
        <w:t>s</w:t>
      </w:r>
      <w:r>
        <w:t>mos eficaces para asegurar la participación de la mujer en las elecciones y su inclusión en las papeletas elect</w:t>
      </w:r>
      <w:r>
        <w:t>o</w:t>
      </w:r>
      <w:r>
        <w:t>rales y garantizar un porcentaje significativo de muj</w:t>
      </w:r>
      <w:r>
        <w:t>e</w:t>
      </w:r>
      <w:r>
        <w:t>res en los distintos órganos estatales. El uso de térm</w:t>
      </w:r>
      <w:r>
        <w:t>i</w:t>
      </w:r>
      <w:r>
        <w:t>nos vagos como “mecanismos eficaces”, “participación efectiva” y “porcentajes significativos” significa que, en la práctica, poco se ha mejorado. El 40% de cuota mínima de participación política de las mujeres es una acción afirmativa que tiene por objeto disminuir las brechas existentes entre mujeres y hombres en la e</w:t>
      </w:r>
      <w:r>
        <w:t>s</w:t>
      </w:r>
      <w:r>
        <w:t>tructura de los partidos políticos y los puestos de ele</w:t>
      </w:r>
      <w:r>
        <w:t>c</w:t>
      </w:r>
      <w:r>
        <w:t>ción popular. Sin embargo, fue necesario que el Trib</w:t>
      </w:r>
      <w:r>
        <w:t>u</w:t>
      </w:r>
      <w:r>
        <w:t>nal Supremo de Elecciones emitiera una serie de res</w:t>
      </w:r>
      <w:r>
        <w:t>o</w:t>
      </w:r>
      <w:r>
        <w:t xml:space="preserve">luciones antes de que pudiera ponerse en práctica la medida. </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El Consejo Nacional de la Niñez y la Adolesce</w:t>
      </w:r>
      <w:r>
        <w:t>n</w:t>
      </w:r>
      <w:r>
        <w:t>cia es el encargado de formular y ejecutar políticas p</w:t>
      </w:r>
      <w:r>
        <w:t>ú</w:t>
      </w:r>
      <w:r>
        <w:t>blicas y campañas para promover la responsabilidad compartida de mujeres y hombres en la crianza y ed</w:t>
      </w:r>
      <w:r>
        <w:t>u</w:t>
      </w:r>
      <w:r>
        <w:t>cación de los hijos. En septiembre de 2001 se creó la Comisión de Paternidad Responsable como mecanismo interinstitucional para supervisar la política pública en esa esfera. La secretaría técnica de esa instancia se e</w:t>
      </w:r>
      <w:r>
        <w:t>n</w:t>
      </w:r>
      <w:r>
        <w:t>cuentra en el INAMU y hasta la fecha ha emitido l</w:t>
      </w:r>
      <w:r>
        <w:t>i</w:t>
      </w:r>
      <w:r>
        <w:t>neamientos de políticas públicas y compromisos inst</w:t>
      </w:r>
      <w:r>
        <w:t>i</w:t>
      </w:r>
      <w:r>
        <w:t>tucionales, incluido un plan estratégico para la elabor</w:t>
      </w:r>
      <w:r>
        <w:t>a</w:t>
      </w:r>
      <w:r>
        <w:t>ción de campañas que promuevan la responsabilidad compartida en la crianza. Es imprescindible cambiar los patrones culturales mediante la divulgación de la doctrina de los derechos humanos, incluida la prom</w:t>
      </w:r>
      <w:r>
        <w:t>o</w:t>
      </w:r>
      <w:r>
        <w:t>ción de los derechos sexuales y reproductivos. Es nec</w:t>
      </w:r>
      <w:r>
        <w:t>e</w:t>
      </w:r>
      <w:r>
        <w:t>sario promover la educación sexual para niños y ad</w:t>
      </w:r>
      <w:r>
        <w:t>o</w:t>
      </w:r>
      <w:r>
        <w:t>lescentes y superar la oposición de los sectores ne</w:t>
      </w:r>
      <w:r>
        <w:t>o</w:t>
      </w:r>
      <w:r>
        <w:t>conserv</w:t>
      </w:r>
      <w:r>
        <w:t>a</w:t>
      </w:r>
      <w:r>
        <w:t xml:space="preserve">dores en Costa Rica. </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virtud de la directriz presidencial de atención a la violencia en Navidad y días festivos, equipos esp</w:t>
      </w:r>
      <w:r>
        <w:t>e</w:t>
      </w:r>
      <w:r>
        <w:t>ciales de emergencia de turno durante las 24 horas del día en el Ministerio de Seguridad Pública y en la Del</w:t>
      </w:r>
      <w:r>
        <w:t>e</w:t>
      </w:r>
      <w:r>
        <w:t>gación de la Mujer del INAMU atienden las llamadas de asistencia de víctimas de violencia en esas ocasi</w:t>
      </w:r>
      <w:r>
        <w:t>o</w:t>
      </w:r>
      <w:r>
        <w:t>nes. Aunque el poder judicial no está comprendido en la directriz, establece equipos similares. Después de los días festivos, las víctimas siguen recibiendo atención en su localidad.</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 violencia sexual marital no está específic</w:t>
      </w:r>
      <w:r>
        <w:t>a</w:t>
      </w:r>
      <w:r>
        <w:t>mente tipificada en el Código Penal, pero sí se incluye en el proyecto de penalización de la violencia contra la mujer adulta. En estos momentos, sólo es posible pr</w:t>
      </w:r>
      <w:r>
        <w:t>o</w:t>
      </w:r>
      <w:r>
        <w:t>cesar a los agresores sexuales de sus parejas por el d</w:t>
      </w:r>
      <w:r>
        <w:t>e</w:t>
      </w:r>
      <w:r>
        <w:t>lito de violación simple y no agravada; existen en el país solamente seis condenas por violación dentro del matr</w:t>
      </w:r>
      <w:r>
        <w:t>i</w:t>
      </w:r>
      <w:r>
        <w:t>monio.</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la mayoría de los casos, la edad de los padres de los hijos de las menores de 15 años no se registra debido a que el nombre del padre no fue declarado. La mayoría de los padres declarados se agrupa entre los 20 y los 39 años de edad.</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 trata o la prostitución de niñas menores de 12 años de edad constituye delito de violación. Ant</w:t>
      </w:r>
      <w:r>
        <w:t>e</w:t>
      </w:r>
      <w:r>
        <w:t>riormente existía el delito de estupro cuando se com</w:t>
      </w:r>
      <w:r>
        <w:t>e</w:t>
      </w:r>
      <w:r>
        <w:t>tía contra niñas entre 12 y 15 años de edad, y se exigía que la víctima fuera una “mujer honesta”. El nuevo término utilizado es “relaciones sexuales con un m</w:t>
      </w:r>
      <w:r>
        <w:t>e</w:t>
      </w:r>
      <w:r>
        <w:t>nor” y se aplica a niños y a niñas, independientemente de su reputación moral. Los funcionarios públicos ti</w:t>
      </w:r>
      <w:r>
        <w:t>e</w:t>
      </w:r>
      <w:r>
        <w:t>nen la oblig</w:t>
      </w:r>
      <w:r>
        <w:t>a</w:t>
      </w:r>
      <w:r>
        <w:t>ción de denunciar todos esos casos.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El Código Penal enmendado define la trata de personas cuando se promueve, facilita o favorece la entrada o salida del país de personas de cualquier sexo para que ejerzan la prostitución, o para mantenerlas en servidumbre sexual o de otro tipo. En el caso de los menores, tanto los explotadores como los clientes son culpables del delito de relaciones sexuales con men</w:t>
      </w:r>
      <w:r>
        <w:t>o</w:t>
      </w:r>
      <w:r>
        <w:t>res. En 2001, se produjo una condena por el delito de proxenetismo, que es otro tipo de delito; 35 condenas por el delito de corrupción, que se define como el acto de cometer o hacer que otros cometan un acto sexual o erótico delante de un menor o cuando se hace partic</w:t>
      </w:r>
      <w:r>
        <w:t>i</w:t>
      </w:r>
      <w:r>
        <w:t>par en actos sexuales o eróticos a menores de edad en presencia de otros; y una condena por pornografía con la utilización de menores o imágenes de menores. No hay información sobre el efecto de la nueva ley sobre la explotación sexual de menores o el número de niños de la calle. La trata de mujeres adultas para fines de comercio sexual está penada por la ley.</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Desde diciembre de 2002, el puesto de alcalde es un cargo electivo, pero anteriormente era nombrado por los concejos municipales. El artículo 60 del Código Electoral establece cuotas para el porcentaje de muj</w:t>
      </w:r>
      <w:r>
        <w:t>e</w:t>
      </w:r>
      <w:r>
        <w:t>res en las listas electorales y algunas mujeres han sido elegidas. Así y todo, mientras mayor sea el nivel del puesto, menos mujeres llegan a ocuparlo. También es más difícil que las mujeres sean elegidas a puestos en los que sólo hay una vacante. La solución sería que los partidos políticos tuvieran que asegurar la represent</w:t>
      </w:r>
      <w:r>
        <w:t>a</w:t>
      </w:r>
      <w:r>
        <w:t>ción igual de la mujer y que el Tribunal Supremo de Elecciones tuviera la potestad de supervisar el mec</w:t>
      </w:r>
      <w:r>
        <w:t>a</w:t>
      </w:r>
      <w:r>
        <w:t>nismo de cumplimiento y de sancionar a los partidos que no cu</w:t>
      </w:r>
      <w:r>
        <w:t>m</w:t>
      </w:r>
      <w:r>
        <w:t>plieran la cuota.</w:t>
      </w:r>
    </w:p>
    <w:p w:rsidR="00000000" w:rsidRDefault="00000000">
      <w:pPr>
        <w:pStyle w:val="DualTxt"/>
        <w:numPr>
          <w:ilvl w:val="0"/>
          <w:numId w:val="11"/>
        </w:numPr>
        <w:tabs>
          <w:tab w:val="clear" w:pos="480"/>
          <w:tab w:val="clear" w:pos="960"/>
          <w:tab w:val="left" w:pos="475"/>
          <w:tab w:val="left" w:pos="965"/>
          <w:tab w:val="left" w:pos="1440"/>
          <w:tab w:val="left" w:pos="1915"/>
          <w:tab w:val="left" w:pos="2405"/>
          <w:tab w:val="left" w:pos="2880"/>
          <w:tab w:val="left" w:pos="3355"/>
        </w:tabs>
        <w:ind w:left="0"/>
      </w:pPr>
      <w:r>
        <w:t>Es importante sensibilizar a los hombres en torno a la incorporación de la perspectiva de género en cue</w:t>
      </w:r>
      <w:r>
        <w:t>s</w:t>
      </w:r>
      <w:r>
        <w:t>tiones como el liderazgo en los partidos políticos, el proceso electoral, los nombramientos a puestos de adopción de decisiones y los beneficios de la igualdad de género para la sociedad en general. Sin embargo, los recursos de que se dispone solamente bastan para ate</w:t>
      </w:r>
      <w:r>
        <w:t>n</w:t>
      </w:r>
      <w:r>
        <w:t>der las necesidades más urgentes. Se pidió al Tribunal Supremo de Elecciones que negociara con los partidos políticos a fin de asegurar que todas las actividades de formación política se realicen con una perspectiva de género y se comprenda que las mujeres no suelen poder financiar sus campañas electorales porque carecen de los fondos necesarios y no tienen garantías que le pe</w:t>
      </w:r>
      <w:r>
        <w:t>r</w:t>
      </w:r>
      <w:r>
        <w:t>mitan tomar dinero prestado. Por consiguiente, el Tr</w:t>
      </w:r>
      <w:r>
        <w:t>i</w:t>
      </w:r>
      <w:r>
        <w:t>bunal debe proporcionar financiación para las camp</w:t>
      </w:r>
      <w:r>
        <w:t>a</w:t>
      </w:r>
      <w:r>
        <w:t>ñas políticas de las mujeres y crear un mecanismo para que el sistema bancario ofrezca una opción de fina</w:t>
      </w:r>
      <w:r>
        <w:t>n</w:t>
      </w:r>
      <w:r>
        <w:t>ciamiento en condiciones especiales para las mujeres. En estos momentos se está anal</w:t>
      </w:r>
      <w:r>
        <w:t>i</w:t>
      </w:r>
      <w:r>
        <w:t>zando la cuestión.</w:t>
      </w:r>
    </w:p>
    <w:p w:rsidR="00000000" w:rsidRDefault="00000000">
      <w:pPr>
        <w:pStyle w:val="DualTxt"/>
        <w:numPr>
          <w:ilvl w:val="0"/>
          <w:numId w:val="11"/>
        </w:numPr>
        <w:tabs>
          <w:tab w:val="clear" w:pos="480"/>
          <w:tab w:val="clear" w:pos="960"/>
          <w:tab w:val="left" w:pos="475"/>
          <w:tab w:val="left" w:pos="965"/>
        </w:tabs>
        <w:ind w:left="0"/>
      </w:pPr>
      <w:r>
        <w:t>No existe una política migratoria con perspectiva de género porque hace solo 10 años que se incorporó esa dimensión de análisis en las políticas públicas. Sin embargo, ni siquiera la nueva propuesta de política migratoria integral tiene una perspectiva de género. Esta es una esfera en la que hay que trabajar y sería conveniente contar con el apoyo y la asistencia técnica de países que hayan avanzado más. Las organizaciones de la sociedad civil y asociaciones de mujeres migra</w:t>
      </w:r>
      <w:r>
        <w:t>n</w:t>
      </w:r>
      <w:r>
        <w:t>tes han señalado que las necesidades de las mujeres migrantes y las de los hombres migrantes no son igu</w:t>
      </w:r>
      <w:r>
        <w:t>a</w:t>
      </w:r>
      <w:r>
        <w:t>les, y se ha ejercido presión sobre el Gobierno para que se asegure de que la política migratoria integral tenga en cuenta, además de los aspectos propiamente migr</w:t>
      </w:r>
      <w:r>
        <w:t>a</w:t>
      </w:r>
      <w:r>
        <w:t>torios, los de índole laboral, de seguridad social y derechos humanos. En el proyecto de propuesta de política migratoria integral que se presentó ante la Asamblea Legislativa en la administración de 1998-2002, se afirma que la política debe aplicarse por igual a hombres y mujeres, pero no contiene ninguna espec</w:t>
      </w:r>
      <w:r>
        <w:t>i</w:t>
      </w:r>
      <w:r>
        <w:t>ficidad de género. La Ministra de la Condición de la Mujer es miembro del Consejo de Seguridad Integral y Participación Ciudadana. El Consejo es una instancia del más alto nivel político y puede ejercer presión en favor de una política migratoria con perspectiva de g</w:t>
      </w:r>
      <w:r>
        <w:t>é</w:t>
      </w:r>
      <w:r>
        <w:t>nero en el f</w:t>
      </w:r>
      <w:r>
        <w:t>u</w:t>
      </w:r>
      <w:r>
        <w:t xml:space="preserve">turo. </w:t>
      </w:r>
    </w:p>
    <w:p w:rsidR="00000000" w:rsidRDefault="00000000">
      <w:pPr>
        <w:pStyle w:val="DualTxt"/>
        <w:numPr>
          <w:ilvl w:val="0"/>
          <w:numId w:val="11"/>
        </w:numPr>
        <w:tabs>
          <w:tab w:val="clear" w:pos="480"/>
          <w:tab w:val="clear" w:pos="960"/>
          <w:tab w:val="left" w:pos="475"/>
          <w:tab w:val="left" w:pos="965"/>
          <w:tab w:val="left" w:pos="1440"/>
          <w:tab w:val="left" w:pos="1915"/>
          <w:tab w:val="left" w:pos="2405"/>
          <w:tab w:val="left" w:pos="2880"/>
          <w:tab w:val="left" w:pos="3355"/>
        </w:tabs>
        <w:ind w:left="0"/>
      </w:pPr>
      <w:r>
        <w:t>Costa Rica se ha caracterizado por la apertura al refugio y al asilo político y respeta los acuerdos y tr</w:t>
      </w:r>
      <w:r>
        <w:t>a</w:t>
      </w:r>
      <w:r>
        <w:t>tados internacionales vigentes en la materia. Los ref</w:t>
      </w:r>
      <w:r>
        <w:t>u</w:t>
      </w:r>
      <w:r>
        <w:t>giados tienen la categoría de residentes temporales. Si bien no tienen ninguna restricción para trabajar, al t</w:t>
      </w:r>
      <w:r>
        <w:t>e</w:t>
      </w:r>
      <w:r>
        <w:t>ner un carné de refugiados, que no es tan reconocido como la residencia, en la práctica encuentran algunas dificultades. Los trámites de legalización de títulos también les cuestan el doble que a los residentes. Por otra parte, un decreto ejecutivo vigente desde el 6 de junio de 2003, prohíbe a los refugiados regresar a su país de origen, por lo cual algunos se están acogiendo a la categ</w:t>
      </w:r>
      <w:r>
        <w:t>o</w:t>
      </w:r>
      <w:r>
        <w:t>ría de residentes.</w:t>
      </w:r>
    </w:p>
    <w:p w:rsidR="00000000" w:rsidRDefault="00000000">
      <w:pPr>
        <w:pStyle w:val="DualTxt"/>
        <w:numPr>
          <w:ilvl w:val="0"/>
          <w:numId w:val="11"/>
        </w:numPr>
        <w:tabs>
          <w:tab w:val="clear" w:pos="480"/>
          <w:tab w:val="clear" w:pos="960"/>
          <w:tab w:val="left" w:pos="475"/>
          <w:tab w:val="left" w:pos="965"/>
          <w:tab w:val="left" w:pos="1440"/>
          <w:tab w:val="left" w:pos="1915"/>
          <w:tab w:val="left" w:pos="2405"/>
          <w:tab w:val="left" w:pos="2880"/>
          <w:tab w:val="left" w:pos="3355"/>
        </w:tabs>
        <w:ind w:left="0"/>
      </w:pPr>
      <w:r>
        <w:t>Los programas de formación docente en la Un</w:t>
      </w:r>
      <w:r>
        <w:t>i</w:t>
      </w:r>
      <w:r>
        <w:t>versidad de Costa Rica incluyen la perspectiva de g</w:t>
      </w:r>
      <w:r>
        <w:t>é</w:t>
      </w:r>
      <w:r>
        <w:t>nero como uno de los tres temas centrales de estudio. Lo mismo sucede con los programas de enseñanza pr</w:t>
      </w:r>
      <w:r>
        <w:t>i</w:t>
      </w:r>
      <w:r>
        <w:t>maria y secundaria. Los intentos del INAMU por intr</w:t>
      </w:r>
      <w:r>
        <w:t>o</w:t>
      </w:r>
      <w:r>
        <w:t>ducir la perspectiva de género en la Universidad no han rendido frutos debido a la resistencia del personal d</w:t>
      </w:r>
      <w:r>
        <w:t>o</w:t>
      </w:r>
      <w:r>
        <w:t>cente de ambos sexos a cambiar los métodos docentes patriarcales tradicionales. Sin embargo, recientemente, el Ministerio de Educación Pública creó un plan de a</w:t>
      </w:r>
      <w:r>
        <w:t>c</w:t>
      </w:r>
      <w:r>
        <w:t>ción que incluye estrategias encaminadas a eliminar de los programas de estudios los prejuicios en cuanto a las diferencias entre los sexos y a velar por la incorpor</w:t>
      </w:r>
      <w:r>
        <w:t>a</w:t>
      </w:r>
      <w:r>
        <w:t>ción de una perspectiva de género.</w:t>
      </w:r>
    </w:p>
    <w:p w:rsidR="00000000" w:rsidRDefault="00000000">
      <w:pPr>
        <w:pStyle w:val="DualTxt"/>
        <w:numPr>
          <w:ilvl w:val="0"/>
          <w:numId w:val="11"/>
        </w:numPr>
        <w:ind w:left="0"/>
      </w:pPr>
      <w:r>
        <w:t>El curso básico policial de la Academia Nacional de Policía incluye un módulo de 40 horas sobre viole</w:t>
      </w:r>
      <w:r>
        <w:t>n</w:t>
      </w:r>
      <w:r>
        <w:t>cia intrafamiliar, con algunos contenidos de género. El personal del Ministerio de Seguridad Pública encarg</w:t>
      </w:r>
      <w:r>
        <w:t>a</w:t>
      </w:r>
      <w:r>
        <w:t>do de ayudar a las mujeres y los niños también recibe capacitación sobre la violencia intrafamiliar, incluidos los aspectos psicosociales y legales de la cuestión, y sobre la explotación sexual comercial de niñas, niños y adole</w:t>
      </w:r>
      <w:r>
        <w:t>s</w:t>
      </w:r>
      <w:r>
        <w:t>centes.</w:t>
      </w:r>
    </w:p>
    <w:p w:rsidR="00000000" w:rsidRDefault="00000000">
      <w:pPr>
        <w:pStyle w:val="DualTxt"/>
        <w:numPr>
          <w:ilvl w:val="0"/>
          <w:numId w:val="11"/>
        </w:numPr>
        <w:tabs>
          <w:tab w:val="clear" w:pos="480"/>
          <w:tab w:val="clear" w:pos="960"/>
          <w:tab w:val="left" w:pos="475"/>
          <w:tab w:val="left" w:pos="965"/>
          <w:tab w:val="left" w:pos="1440"/>
          <w:tab w:val="left" w:pos="1915"/>
          <w:tab w:val="left" w:pos="2405"/>
          <w:tab w:val="left" w:pos="2880"/>
          <w:tab w:val="left" w:pos="3355"/>
        </w:tabs>
        <w:ind w:left="0"/>
      </w:pPr>
      <w:r>
        <w:t>El Ministerio de Educación Pública elaboró un plan docente sobre sexualidad, y maestros de todo el país reciben la capacitación necesaria. En general, se está utilizando la educación como medio para aumentar la participación en la adopción de decisiones mediante la promoción de la igualdad y la equidad de género.</w:t>
      </w:r>
    </w:p>
    <w:p w:rsidR="00000000" w:rsidRDefault="00000000">
      <w:pPr>
        <w:pStyle w:val="DualTxt"/>
        <w:numPr>
          <w:ilvl w:val="0"/>
          <w:numId w:val="11"/>
        </w:numPr>
        <w:tabs>
          <w:tab w:val="clear" w:pos="480"/>
          <w:tab w:val="clear" w:pos="960"/>
          <w:tab w:val="left" w:pos="475"/>
          <w:tab w:val="left" w:pos="965"/>
          <w:tab w:val="left" w:pos="1440"/>
          <w:tab w:val="left" w:pos="1915"/>
          <w:tab w:val="left" w:pos="2405"/>
          <w:tab w:val="left" w:pos="2880"/>
          <w:tab w:val="left" w:pos="3355"/>
        </w:tabs>
        <w:ind w:left="0"/>
      </w:pPr>
      <w:r>
        <w:t>Como parte de la política del INAMU de fortal</w:t>
      </w:r>
      <w:r>
        <w:t>e</w:t>
      </w:r>
      <w:r>
        <w:t>cer la capacidad del personal de las instituciones est</w:t>
      </w:r>
      <w:r>
        <w:t>a</w:t>
      </w:r>
      <w:r>
        <w:t>tales en la gestión de las cuestiones de género, se i</w:t>
      </w:r>
      <w:r>
        <w:t>m</w:t>
      </w:r>
      <w:r>
        <w:t>parte capacitación acerca del contenido, el alcance y la aplicación de la Convención. Además, se enseña a ut</w:t>
      </w:r>
      <w:r>
        <w:t>i</w:t>
      </w:r>
      <w:r>
        <w:t>lizar la Convención en las leyes y en defensa de los d</w:t>
      </w:r>
      <w:r>
        <w:t>e</w:t>
      </w:r>
      <w:r>
        <w:t>r</w:t>
      </w:r>
      <w:r>
        <w:t>e</w:t>
      </w:r>
      <w:r>
        <w:t>chos de las mujeres.</w:t>
      </w:r>
    </w:p>
    <w:p w:rsidR="00000000" w:rsidRDefault="00000000">
      <w:pPr>
        <w:pStyle w:val="DualTxt"/>
        <w:numPr>
          <w:ilvl w:val="0"/>
          <w:numId w:val="11"/>
        </w:numPr>
        <w:tabs>
          <w:tab w:val="clear" w:pos="480"/>
          <w:tab w:val="clear" w:pos="960"/>
          <w:tab w:val="left" w:pos="475"/>
          <w:tab w:val="left" w:pos="965"/>
        </w:tabs>
        <w:ind w:left="0"/>
      </w:pPr>
      <w:r>
        <w:t>El salario de las trabajadoras domésticas es m</w:t>
      </w:r>
      <w:r>
        <w:t>e</w:t>
      </w:r>
      <w:r>
        <w:t>nor que el salario mínimo de un trabajador no calific</w:t>
      </w:r>
      <w:r>
        <w:t>a</w:t>
      </w:r>
      <w:r>
        <w:t>do, y el argumento que se ha utilizado siempre para justificar esa diferencia de salario es que supuest</w:t>
      </w:r>
      <w:r>
        <w:t>a</w:t>
      </w:r>
      <w:r>
        <w:t>mente el trabajo doméstico no está motivado por el d</w:t>
      </w:r>
      <w:r>
        <w:t>e</w:t>
      </w:r>
      <w:r>
        <w:t>seo de lucro, y que si se aplican los salarios mínimos de otras categorías de trabajadores, las personas de más bajos ingresos no podrían sufragar la ayuda doméstica. Aunque la Constitución Política limita la jornada de trabajo a ocho horas, una excepción permite que la jo</w:t>
      </w:r>
      <w:r>
        <w:t>r</w:t>
      </w:r>
      <w:r>
        <w:t>nada laboral de las trabajadoras domésticas sea de 12 horas, con derecho a menos días de descanso que otros trabajadores. No hay suficiente voluntad política para corregir legalmente la diferencia entre las trabajadoras domést</w:t>
      </w:r>
      <w:r>
        <w:t>i</w:t>
      </w:r>
      <w:r>
        <w:t>cas y otros trabajadores.</w:t>
      </w:r>
    </w:p>
    <w:p w:rsidR="00000000" w:rsidRDefault="00000000">
      <w:pPr>
        <w:pStyle w:val="DualTxt"/>
        <w:numPr>
          <w:ilvl w:val="0"/>
          <w:numId w:val="11"/>
        </w:numPr>
        <w:tabs>
          <w:tab w:val="clear" w:pos="480"/>
          <w:tab w:val="clear" w:pos="960"/>
          <w:tab w:val="left" w:pos="475"/>
          <w:tab w:val="left" w:pos="965"/>
          <w:tab w:val="left" w:pos="1440"/>
          <w:tab w:val="left" w:pos="1915"/>
          <w:tab w:val="left" w:pos="2405"/>
          <w:tab w:val="left" w:pos="2880"/>
          <w:tab w:val="left" w:pos="3355"/>
        </w:tabs>
        <w:ind w:left="0"/>
      </w:pPr>
      <w:r>
        <w:t>En general, las mujeres costarricenses no pueden ejercer plenamente sus derechos debido a la falta de mecanismos de ejecución. El problema es aún peor p</w:t>
      </w:r>
      <w:r>
        <w:t>a</w:t>
      </w:r>
      <w:r>
        <w:t>ra las mujeres inmigrantes, en particular las procede</w:t>
      </w:r>
      <w:r>
        <w:t>n</w:t>
      </w:r>
      <w:r>
        <w:t>tes de Nicaragua, debido a su nivel de educación inf</w:t>
      </w:r>
      <w:r>
        <w:t>e</w:t>
      </w:r>
      <w:r>
        <w:t>rior, mayores prejuicios culturales y la frecuente falta de documentos de inmigración.</w:t>
      </w:r>
    </w:p>
    <w:p w:rsidR="00000000" w:rsidRDefault="00000000">
      <w:pPr>
        <w:pStyle w:val="DualTxt"/>
        <w:numPr>
          <w:ilvl w:val="0"/>
          <w:numId w:val="11"/>
        </w:numPr>
        <w:tabs>
          <w:tab w:val="clear" w:pos="480"/>
          <w:tab w:val="clear" w:pos="960"/>
          <w:tab w:val="left" w:pos="475"/>
          <w:tab w:val="left" w:pos="965"/>
          <w:tab w:val="left" w:pos="1440"/>
          <w:tab w:val="left" w:pos="1915"/>
          <w:tab w:val="left" w:pos="2405"/>
          <w:tab w:val="left" w:pos="2880"/>
          <w:tab w:val="left" w:pos="3355"/>
        </w:tabs>
        <w:ind w:left="0"/>
      </w:pPr>
      <w:r>
        <w:t>La tabla general de salarios mínimos establece los salarios de los trabajadores agrícolas, tanto hombres como mujeres. Los empleadores están obligados a brindar seguridad social independientemente de la d</w:t>
      </w:r>
      <w:r>
        <w:t>u</w:t>
      </w:r>
      <w:r>
        <w:t>ración del contrato, pero la mayoría de las trabajadoras agrícolas trabajan por cuenta propia en el sector ofici</w:t>
      </w:r>
      <w:r>
        <w:t>o</w:t>
      </w:r>
      <w:r>
        <w:t>so y no reciben salario ni están amparadas por la seg</w:t>
      </w:r>
      <w:r>
        <w:t>u</w:t>
      </w:r>
      <w:r>
        <w:t>ridad social.</w:t>
      </w:r>
    </w:p>
    <w:p w:rsidR="00000000" w:rsidRDefault="00000000">
      <w:pPr>
        <w:pStyle w:val="DualTxt"/>
        <w:numPr>
          <w:ilvl w:val="0"/>
          <w:numId w:val="11"/>
        </w:numPr>
        <w:tabs>
          <w:tab w:val="clear" w:pos="480"/>
          <w:tab w:val="clear" w:pos="960"/>
          <w:tab w:val="left" w:pos="475"/>
          <w:tab w:val="left" w:pos="965"/>
        </w:tabs>
        <w:ind w:left="0"/>
      </w:pPr>
      <w:r>
        <w:t>La mujer trabajadora puede utilizar los centros de atención integral públicos, privados y mixtos para sus hijos menores de 12 años. Una nueva ley inspirada en la Convención sobre los Derechos del Niño y el Código de la Niñez y la Adolescencia ha fomentado el establ</w:t>
      </w:r>
      <w:r>
        <w:t>e</w:t>
      </w:r>
      <w:r>
        <w:t>cimiento de más guarderías.</w:t>
      </w:r>
    </w:p>
    <w:p w:rsidR="00000000" w:rsidRDefault="00000000">
      <w:pPr>
        <w:pStyle w:val="DualTxt"/>
        <w:numPr>
          <w:ilvl w:val="0"/>
          <w:numId w:val="11"/>
        </w:numPr>
        <w:tabs>
          <w:tab w:val="clear" w:pos="480"/>
          <w:tab w:val="clear" w:pos="960"/>
          <w:tab w:val="left" w:pos="475"/>
          <w:tab w:val="left" w:pos="965"/>
        </w:tabs>
        <w:ind w:left="0"/>
      </w:pPr>
      <w:r>
        <w:t>La participación de la mujer en la fuerza laboral sigue siendo fundamentalmente en el sector oficioso, de modo que tienen poca seguridad en el empleo. S</w:t>
      </w:r>
      <w:r>
        <w:t>e</w:t>
      </w:r>
      <w:r>
        <w:t>gún el Proyecto de Estado de la Nación, las mujeres representan el 48,8% de la fuerza laboral. Más mujeres que hombres trabajan por cuenta propia, cifra que sigue aumentando. La mayoría de las mujeres trabaja en sectores de baja productividad, en los que predomina la economía de subsistencia.</w:t>
      </w:r>
    </w:p>
    <w:p w:rsidR="00000000" w:rsidRDefault="00000000">
      <w:pPr>
        <w:pStyle w:val="DualTxt"/>
        <w:numPr>
          <w:ilvl w:val="0"/>
          <w:numId w:val="11"/>
        </w:numPr>
        <w:ind w:left="0"/>
      </w:pPr>
      <w:r>
        <w:t>Los tratados y convenios internacionales debid</w:t>
      </w:r>
      <w:r>
        <w:t>a</w:t>
      </w:r>
      <w:r>
        <w:t>mente aprobados por la Asamblea Legislativa priman sobre el derecho interno. Aunque Costa Rica no ha r</w:t>
      </w:r>
      <w:r>
        <w:t>a</w:t>
      </w:r>
      <w:r>
        <w:t>tificado los convenios de la Organización Internacional del Trabajo (OIT) sobre protección de la maternidad, tras la ratificación de la Convención sobre la elimin</w:t>
      </w:r>
      <w:r>
        <w:t>a</w:t>
      </w:r>
      <w:r>
        <w:t>ción de todas las formas de discriminación contra la mujer se fortaleció el sistema de protección de los d</w:t>
      </w:r>
      <w:r>
        <w:t>e</w:t>
      </w:r>
      <w:r>
        <w:t>rechos laborales de las trabajadoras durante el embar</w:t>
      </w:r>
      <w:r>
        <w:t>a</w:t>
      </w:r>
      <w:r>
        <w:t>zo y la lactancia. En la agenda legislativa se encuentra un proyecto de ley para la aprobación del Convenio 183, de la OIT relativo a la revisión del Convenio s</w:t>
      </w:r>
      <w:r>
        <w:t>o</w:t>
      </w:r>
      <w:r>
        <w:t>bre protección de la maternidad, pero Costa Rica ha señalado que su propia legislación proporciona mayor protección que lo estipulado en el Convenio y que no reducirá su nivel de prote</w:t>
      </w:r>
      <w:r>
        <w:t>c</w:t>
      </w:r>
      <w:r>
        <w:t>ción.</w:t>
      </w:r>
    </w:p>
    <w:p w:rsidR="00000000" w:rsidRDefault="00000000">
      <w:pPr>
        <w:pStyle w:val="DualTxt"/>
        <w:numPr>
          <w:ilvl w:val="0"/>
          <w:numId w:val="11"/>
        </w:numPr>
        <w:tabs>
          <w:tab w:val="clear" w:pos="480"/>
          <w:tab w:val="clear" w:pos="960"/>
          <w:tab w:val="left" w:pos="475"/>
          <w:tab w:val="left" w:pos="965"/>
          <w:tab w:val="left" w:pos="1440"/>
          <w:tab w:val="left" w:pos="1915"/>
          <w:tab w:val="left" w:pos="2405"/>
          <w:tab w:val="left" w:pos="2880"/>
          <w:tab w:val="left" w:pos="3355"/>
        </w:tabs>
        <w:ind w:left="0"/>
      </w:pPr>
      <w:r>
        <w:t>Por conducto de la Ley de Promoción Social de la Igualdad de la Mujer, Costa Rica puede y debe adoptar medidas de acción afirmativa. El poder legislativo ha promovido esas medidas. Donde mejor se aprecia el efecto de esas medidas es en el establecimiento de la cuota mínima del 40% de acceso de las mujeres a ca</w:t>
      </w:r>
      <w:r>
        <w:t>r</w:t>
      </w:r>
      <w:r>
        <w:t>gos de ele</w:t>
      </w:r>
      <w:r>
        <w:t>c</w:t>
      </w:r>
      <w:r>
        <w:t>ción popular.</w:t>
      </w:r>
    </w:p>
    <w:p w:rsidR="00000000" w:rsidRDefault="00000000">
      <w:pPr>
        <w:pStyle w:val="DualTxt"/>
        <w:numPr>
          <w:ilvl w:val="0"/>
          <w:numId w:val="11"/>
        </w:numPr>
        <w:tabs>
          <w:tab w:val="clear" w:pos="480"/>
          <w:tab w:val="clear" w:pos="960"/>
          <w:tab w:val="left" w:pos="475"/>
          <w:tab w:val="left" w:pos="965"/>
          <w:tab w:val="left" w:pos="1440"/>
          <w:tab w:val="left" w:pos="1915"/>
          <w:tab w:val="left" w:pos="2405"/>
          <w:tab w:val="left" w:pos="2880"/>
          <w:tab w:val="left" w:pos="3355"/>
        </w:tabs>
        <w:ind w:left="0"/>
      </w:pPr>
      <w:r>
        <w:t>Aunque el Tratado de Libre Comercio (TLC) a</w:t>
      </w:r>
      <w:r>
        <w:t>m</w:t>
      </w:r>
      <w:r>
        <w:t>pliaría las oportunidades de empleo en actividades vi</w:t>
      </w:r>
      <w:r>
        <w:t>n</w:t>
      </w:r>
      <w:r>
        <w:t>culadas al turismo y la industria, donde las mujeres ti</w:t>
      </w:r>
      <w:r>
        <w:t>e</w:t>
      </w:r>
      <w:r>
        <w:t>nen una representación importante, corre el riesgo de preservar o empeorar las diferencias salariales entre los hombres y las mujeres, segmentar aún más el mercado de trabajo por géneros y empeorar los derechos lab</w:t>
      </w:r>
      <w:r>
        <w:t>o</w:t>
      </w:r>
      <w:r>
        <w:t>rales de algunas mujeres debido a las presiones enc</w:t>
      </w:r>
      <w:r>
        <w:t>a</w:t>
      </w:r>
      <w:r>
        <w:t>minadas a eliminar los límites a la jornada laboral y r</w:t>
      </w:r>
      <w:r>
        <w:t>e</w:t>
      </w:r>
      <w:r>
        <w:t>ducir las disposiciones sociales de los empleadores (como centros infantiles, becas de estudio y subsidios), aduciendo que esos incentivos se consideran barreras al libre comercio. El Gobierno creó un foro para debatir el efecto del TLC en la mujer, aumentar la capacidad del Ministerio de Trabajo y Seguridad Social a fin de supervisar las condiciones de trabajo de la mujer, el</w:t>
      </w:r>
      <w:r>
        <w:t>a</w:t>
      </w:r>
      <w:r>
        <w:t>borar procesos de certificación laboral con el sello de equidad de género de las empresas públicas y privadas, fomentar un mayor número de mujeres empresarias, pedir al Ministerio de Comercio Exterior que estudie los efectos del TLC en la mujer, orientar la inversión social del Estado hacia la construcción de carreteras, el transporte público, la salud, la educación y el cuidado de los niños, así como de las personas adultas mayores, a fin de beneficiar las zonas y ramas de actividad con menos oportunidades de empleo para la mujer, y puso en marcha un mecanismo para supervisar las exclusi</w:t>
      </w:r>
      <w:r>
        <w:t>o</w:t>
      </w:r>
      <w:r>
        <w:t>nes o brechas de género en todas las industrias relaci</w:t>
      </w:r>
      <w:r>
        <w:t>o</w:t>
      </w:r>
      <w:r>
        <w:t>nadas con el TLC.</w:t>
      </w:r>
    </w:p>
    <w:p w:rsidR="00000000" w:rsidRDefault="00000000">
      <w:pPr>
        <w:pStyle w:val="DualTxt"/>
        <w:numPr>
          <w:ilvl w:val="0"/>
          <w:numId w:val="11"/>
        </w:numPr>
        <w:tabs>
          <w:tab w:val="clear" w:pos="480"/>
          <w:tab w:val="clear" w:pos="960"/>
          <w:tab w:val="left" w:pos="475"/>
          <w:tab w:val="left" w:pos="965"/>
        </w:tabs>
        <w:ind w:left="0"/>
      </w:pPr>
      <w:r>
        <w:t>Si bien Costa Rica no tiene una política nacional de empleo, el Consejo Superior de Trabajadores, int</w:t>
      </w:r>
      <w:r>
        <w:t>e</w:t>
      </w:r>
      <w:r>
        <w:t>grado por representantes del sector empresarial y de cooperativas, creó una comisión para formular una p</w:t>
      </w:r>
      <w:r>
        <w:t>o</w:t>
      </w:r>
      <w:r>
        <w:t>lítica de empleo. La parte de la política dedicada a las oportunidades de empleo incluirá a los jóvenes, las mujeres, las personas adultas mayores y las personas con discapacidad, teniendo en cuenta el asesoramiento del INAMU. La función principal de la Unidad de la Mujer del Ministerio de Trabajo y Seguridad Social es promover los derechos laborales de las mujeres y orientar la labor del Ministerio relacionada con las p</w:t>
      </w:r>
      <w:r>
        <w:t>o</w:t>
      </w:r>
      <w:r>
        <w:t>líticas de género.</w:t>
      </w:r>
    </w:p>
    <w:p w:rsidR="00000000" w:rsidRDefault="00000000">
      <w:pPr>
        <w:pStyle w:val="DualTxt"/>
        <w:numPr>
          <w:ilvl w:val="0"/>
          <w:numId w:val="11"/>
        </w:numPr>
        <w:tabs>
          <w:tab w:val="clear" w:pos="480"/>
          <w:tab w:val="clear" w:pos="960"/>
          <w:tab w:val="left" w:pos="475"/>
          <w:tab w:val="left" w:pos="965"/>
          <w:tab w:val="left" w:pos="1440"/>
          <w:tab w:val="left" w:pos="1915"/>
          <w:tab w:val="left" w:pos="2405"/>
          <w:tab w:val="left" w:pos="2880"/>
          <w:tab w:val="left" w:pos="3355"/>
        </w:tabs>
        <w:ind w:left="0"/>
      </w:pPr>
      <w:r>
        <w:t>La Caja Costarricense del Seguro Social (CCSS) ha realizado un análisis de las necesidades de atención a la salud de las mujeres de mediana edad y adultas mayores, ya que las mujeres son más longevas que los hombres, y se ha creado un grupo de trabajo a fin de analizar el plan nacional para la atención de la viole</w:t>
      </w:r>
      <w:r>
        <w:t>n</w:t>
      </w:r>
      <w:r>
        <w:t>cia intrafamiliar contra personas mayores. Así todo, no hay una política general centrada en las mujeres adu</w:t>
      </w:r>
      <w:r>
        <w:t>l</w:t>
      </w:r>
      <w:r>
        <w:t>tas may</w:t>
      </w:r>
      <w:r>
        <w:t>o</w:t>
      </w:r>
      <w:r>
        <w:t>res.</w:t>
      </w:r>
    </w:p>
    <w:p w:rsidR="00000000" w:rsidRDefault="00000000">
      <w:pPr>
        <w:pStyle w:val="DualTxt"/>
        <w:numPr>
          <w:ilvl w:val="0"/>
          <w:numId w:val="11"/>
        </w:numPr>
        <w:tabs>
          <w:tab w:val="clear" w:pos="480"/>
          <w:tab w:val="clear" w:pos="960"/>
          <w:tab w:val="left" w:pos="475"/>
          <w:tab w:val="left" w:pos="965"/>
        </w:tabs>
        <w:ind w:left="0"/>
      </w:pPr>
      <w:r>
        <w:t>El consumo ilícito de drogas es un grave probl</w:t>
      </w:r>
      <w:r>
        <w:t>e</w:t>
      </w:r>
      <w:r>
        <w:t>ma de salud pública en Costa Rica. Según resultados preliminares de las investigaciones, el consumo de drogas por parte de mujeres está relacionado con el e</w:t>
      </w:r>
      <w:r>
        <w:t>s</w:t>
      </w:r>
      <w:r>
        <w:t>trés y la angustia, lo que permitió obtener importante información para elaborar programas de prevención. Se considera que factores como el acoso sexual, el abuso y la violencia intrafamiliar, el exceso de trabajo, el d</w:t>
      </w:r>
      <w:r>
        <w:t>e</w:t>
      </w:r>
      <w:r>
        <w:t>sempleo y la baja autoestima son factores que agravan el problema.</w:t>
      </w:r>
    </w:p>
    <w:p w:rsidR="00000000" w:rsidRDefault="00000000">
      <w:pPr>
        <w:pStyle w:val="DualTxt"/>
        <w:numPr>
          <w:ilvl w:val="0"/>
          <w:numId w:val="11"/>
        </w:numPr>
        <w:tabs>
          <w:tab w:val="clear" w:pos="480"/>
          <w:tab w:val="clear" w:pos="960"/>
          <w:tab w:val="left" w:pos="475"/>
          <w:tab w:val="left" w:pos="965"/>
        </w:tabs>
        <w:ind w:left="0"/>
      </w:pPr>
      <w:r>
        <w:t>La proporción de pacientes con VIH/SIDA fue de 12 hombres por cada mujer en 1998 y disminuyó a 7 a 1 en 2001. Veinte mujeres murieron de SIDA en 1997, 14 en 1998 y en 1999, 21 en 2000 y 19 en 2001. La c</w:t>
      </w:r>
      <w:r>
        <w:t>i</w:t>
      </w:r>
      <w:r>
        <w:t>fra general de pacientes con VIH/SIDA fue de 2.340 en 2002, y no se dispone de datos desglosados por sexo. El 100% de los pacientes que viven con VIH/SIDA ti</w:t>
      </w:r>
      <w:r>
        <w:t>e</w:t>
      </w:r>
      <w:r>
        <w:t>nen derecho a servicios de salud independientemente de su nacionalidad, y la CCSS sufraga el 77% de los gastos. El costo anual del tratamiento con antirretrov</w:t>
      </w:r>
      <w:r>
        <w:t>i</w:t>
      </w:r>
      <w:r>
        <w:t>rales disminuyó de 7.260 dólares de los EE.UU. en 1998 a 2.375 dólares en 2002, gracias a la disminución de los precios por parte de las empresas farmacéuticas y la oferta de medicamentos genér</w:t>
      </w:r>
      <w:r>
        <w:t>i</w:t>
      </w:r>
      <w:r>
        <w:t>cos.</w:t>
      </w:r>
    </w:p>
    <w:p w:rsidR="00000000" w:rsidRDefault="00000000">
      <w:pPr>
        <w:pStyle w:val="DualTxt"/>
        <w:numPr>
          <w:ilvl w:val="0"/>
          <w:numId w:val="11"/>
        </w:numPr>
        <w:tabs>
          <w:tab w:val="clear" w:pos="480"/>
          <w:tab w:val="clear" w:pos="960"/>
          <w:tab w:val="left" w:pos="475"/>
          <w:tab w:val="left" w:pos="965"/>
        </w:tabs>
        <w:ind w:left="0"/>
      </w:pPr>
      <w:r>
        <w:t>La Comisión Nacional sobre Salud Sexual y R</w:t>
      </w:r>
      <w:r>
        <w:t>e</w:t>
      </w:r>
      <w:r>
        <w:t>productiva seleccionó tres ejes transversales para la política nacional de salud 2002-2006: género, partic</w:t>
      </w:r>
      <w:r>
        <w:t>i</w:t>
      </w:r>
      <w:r>
        <w:t>pación y un enfoque basado en los derechos, y en la actualidad también se cuenta con una política específ</w:t>
      </w:r>
      <w:r>
        <w:t>i</w:t>
      </w:r>
      <w:r>
        <w:t>ca sobre derechos sexuales y reproductivos. Las esferas que requieren mayor hincapié son la atención integral en materia de salud sexual y reproductiva de los ad</w:t>
      </w:r>
      <w:r>
        <w:t>o</w:t>
      </w:r>
      <w:r>
        <w:t>lescentes, un programa integral para la atención y pr</w:t>
      </w:r>
      <w:r>
        <w:t>e</w:t>
      </w:r>
      <w:r>
        <w:t>vención del VIH/SIDA, la atención integral a la salud cervicouterina y de la mama, programas de divulgación de la legislación y normativa, así como la creación de mecanismos de denuncia, el fomento de la particip</w:t>
      </w:r>
      <w:r>
        <w:t>a</w:t>
      </w:r>
      <w:r>
        <w:t>ción de los hombres y la promoción del respeto y la práct</w:t>
      </w:r>
      <w:r>
        <w:t>i</w:t>
      </w:r>
      <w:r>
        <w:t>ca de los derechos sexuales y reproductivos.</w:t>
      </w:r>
    </w:p>
    <w:p w:rsidR="00000000" w:rsidRDefault="00000000">
      <w:pPr>
        <w:pStyle w:val="DualTxt"/>
        <w:numPr>
          <w:ilvl w:val="0"/>
          <w:numId w:val="11"/>
        </w:numPr>
        <w:tabs>
          <w:tab w:val="clear" w:pos="480"/>
          <w:tab w:val="clear" w:pos="960"/>
          <w:tab w:val="left" w:pos="475"/>
          <w:tab w:val="left" w:pos="965"/>
        </w:tabs>
        <w:ind w:left="0"/>
      </w:pPr>
      <w:r>
        <w:t>En la provincia de Guanacaste se está realizando un estudio sobre el cáncer de cuello del útero en el que participan 10.000 mujeres. El resultado más notable ha sido la confirmación de una relación causa-efecto entre la infección con el virus del papiloma humano y la ap</w:t>
      </w:r>
      <w:r>
        <w:t>a</w:t>
      </w:r>
      <w:r>
        <w:t>rición de cáncer de cuello del útero. A todas las muj</w:t>
      </w:r>
      <w:r>
        <w:t>e</w:t>
      </w:r>
      <w:r>
        <w:t>res de la muestra que tenían lesiones se les está dando seguimiento. Se realizan exámenes a todos los trabaj</w:t>
      </w:r>
      <w:r>
        <w:t>a</w:t>
      </w:r>
      <w:r>
        <w:t>dores sexuales, hombres y mujeres, que lo solicitan, pero el personal de salud no ha recibido capacitación para poder atender los problemas especiales de ese tipo de pacientes. Recientemente se elaboró un proyecto destinado a brindar asistencia a grupos de apoyo a mujeres prostitutas. Se ha observado un notable a</w:t>
      </w:r>
      <w:r>
        <w:t>u</w:t>
      </w:r>
      <w:r>
        <w:t>mento de casos de sífilis entre los trabajadores sexuales de ambos sexos.</w:t>
      </w:r>
    </w:p>
    <w:p w:rsidR="00000000" w:rsidRDefault="00000000">
      <w:pPr>
        <w:pStyle w:val="DualTxt"/>
        <w:numPr>
          <w:ilvl w:val="0"/>
          <w:numId w:val="11"/>
        </w:numPr>
        <w:tabs>
          <w:tab w:val="clear" w:pos="480"/>
          <w:tab w:val="clear" w:pos="960"/>
          <w:tab w:val="left" w:pos="475"/>
          <w:tab w:val="left" w:pos="965"/>
          <w:tab w:val="left" w:pos="1440"/>
          <w:tab w:val="left" w:pos="1915"/>
          <w:tab w:val="left" w:pos="2405"/>
          <w:tab w:val="left" w:pos="2880"/>
          <w:tab w:val="left" w:pos="3355"/>
        </w:tabs>
        <w:ind w:left="0"/>
      </w:pPr>
      <w:r>
        <w:t>Las trabajadoras sexuales corren mayor riesgo de contraer el VIH, y dada su baja autoestima y falta de control de sus vidas es menos probable que utilicen preservativos sistemáticamente. Los preservativos se distribuyen en los centros de seguridad social y centros penales. En el país no existe una política definida sobre la comercialización de preservativos, aunque sí hay propaganda comercial que promueve su uso y se ve</w:t>
      </w:r>
      <w:r>
        <w:t>n</w:t>
      </w:r>
      <w:r>
        <w:t>den sin restricciones en farmacias, supermercados y otros establecimientos. En cuanto al acceso a los ant</w:t>
      </w:r>
      <w:r>
        <w:t>i</w:t>
      </w:r>
      <w:r>
        <w:t>conceptivos, según un estudio realizado por la Sección de Salud de la Mujer del Departamento de Medicina Preventiva de la CCSS, si bien en teoría tanto hombres como mujeres, siempre que no sean menores de edad, tienen acceso gratuito a los anticonceptivos, existe una gran barrera debido a las actitudes sociales y la falta de asesoramiento y educación, y el acceso es especia</w:t>
      </w:r>
      <w:r>
        <w:t>l</w:t>
      </w:r>
      <w:r>
        <w:t>mente difícil para las migrantes indocument</w:t>
      </w:r>
      <w:r>
        <w:t>a</w:t>
      </w:r>
      <w:r>
        <w:t>das.</w:t>
      </w:r>
    </w:p>
    <w:p w:rsidR="00000000" w:rsidRDefault="00000000">
      <w:pPr>
        <w:pStyle w:val="DualTxt"/>
        <w:numPr>
          <w:ilvl w:val="0"/>
          <w:numId w:val="11"/>
        </w:numPr>
        <w:tabs>
          <w:tab w:val="clear" w:pos="480"/>
          <w:tab w:val="clear" w:pos="960"/>
          <w:tab w:val="left" w:pos="475"/>
          <w:tab w:val="left" w:pos="965"/>
        </w:tabs>
        <w:ind w:left="0"/>
      </w:pPr>
      <w:r>
        <w:t>Teóricamente, en virtud de las directrices de la CCSS, a ningún hombre se le puede negar su derecho a la vasectomía. Con todo, no se sabe si se están cu</w:t>
      </w:r>
      <w:r>
        <w:t>m</w:t>
      </w:r>
      <w:r>
        <w:t>pliendo esas directrices. En cuanto al aborto, la norm</w:t>
      </w:r>
      <w:r>
        <w:t>a</w:t>
      </w:r>
      <w:r>
        <w:t>tiva actual permite solamente el aborto terapéutico cuando hay riesgo para la salud o la vida de la mujer. El ambiente en que se comienza a discutir este tema es tenso debido a la fuerte influencia que ejerce la Iglesia Católica en el pensamiento de muchos profesionales de las ciencias médicas que podrían apoyar la idea de a</w:t>
      </w:r>
      <w:r>
        <w:t>m</w:t>
      </w:r>
      <w:r>
        <w:t>pliar las posibilidades del aborto en casos de violación o abuso sexual.</w:t>
      </w:r>
    </w:p>
    <w:p w:rsidR="00000000" w:rsidRDefault="00000000">
      <w:pPr>
        <w:pStyle w:val="DualTxt"/>
        <w:numPr>
          <w:ilvl w:val="0"/>
          <w:numId w:val="11"/>
        </w:numPr>
        <w:tabs>
          <w:tab w:val="clear" w:pos="480"/>
          <w:tab w:val="clear" w:pos="960"/>
          <w:tab w:val="left" w:pos="475"/>
          <w:tab w:val="left" w:pos="965"/>
          <w:tab w:val="left" w:pos="1440"/>
          <w:tab w:val="left" w:pos="1915"/>
          <w:tab w:val="left" w:pos="2405"/>
          <w:tab w:val="left" w:pos="2880"/>
          <w:tab w:val="left" w:pos="3355"/>
        </w:tabs>
        <w:ind w:left="0"/>
      </w:pPr>
      <w:r>
        <w:t>En cuanto al acceso al crédito, en 2000 se emitió una directriz presidencial que ordena crear condiciones favorables para otorgar financiamiento a microempr</w:t>
      </w:r>
      <w:r>
        <w:t>e</w:t>
      </w:r>
      <w:r>
        <w:t>sarias, que dio origen a un programa ad hoc para muj</w:t>
      </w:r>
      <w:r>
        <w:t>e</w:t>
      </w:r>
      <w:r>
        <w:t>res en el banco estatal más grande del país. Como r</w:t>
      </w:r>
      <w:r>
        <w:t>e</w:t>
      </w:r>
      <w:r>
        <w:t>sultado, el acceso al crédito para empresarias rurales aumentó del 0,25% en 1995 a un promedio sostenido del 34% durante tres años consecutivos. En lo tocante al acceso a la tierra, en el párrafo 583 del cuarto info</w:t>
      </w:r>
      <w:r>
        <w:t>r</w:t>
      </w:r>
      <w:r>
        <w:t>me periódico se afirma que del total de escrituras e</w:t>
      </w:r>
      <w:r>
        <w:t>n</w:t>
      </w:r>
      <w:r>
        <w:t>tregadas de mayo de 1998 a mayo de 2001, el 26% fu</w:t>
      </w:r>
      <w:r>
        <w:t>e</w:t>
      </w:r>
      <w:r>
        <w:t>ron entregadas a hombres, el 25,4% a mujeres y el 48,6% a parejas. Sobre el acceso a la tierra no cultiv</w:t>
      </w:r>
      <w:r>
        <w:t>a</w:t>
      </w:r>
      <w:r>
        <w:t>ble, se estima un alto registro de propiedades inscritas a nombre de mujeres gracias a los programas de v</w:t>
      </w:r>
      <w:r>
        <w:t>i</w:t>
      </w:r>
      <w:r>
        <w:t>vienda. La financiación y otros servicios proporcion</w:t>
      </w:r>
      <w:r>
        <w:t>a</w:t>
      </w:r>
      <w:r>
        <w:t>dos a las mujeres rurales durante el período que abarca el informe permanecieron en un nivel bajo, aunque con una tendencia ascendente. El Instituto de Desarrollo Agrícola (IDA) tiene un programa de crédito rural mixto. Se está examinando su reglamento teniendo en cuenta el aporte del INAMU sobre la necesidad de una mayor flexibilidad en el crédito destinado a mujeres.</w:t>
      </w:r>
    </w:p>
    <w:p w:rsidR="00000000" w:rsidRDefault="00000000">
      <w:pPr>
        <w:pStyle w:val="DualTxt"/>
        <w:numPr>
          <w:ilvl w:val="0"/>
          <w:numId w:val="11"/>
        </w:numPr>
        <w:tabs>
          <w:tab w:val="clear" w:pos="480"/>
          <w:tab w:val="clear" w:pos="960"/>
          <w:tab w:val="left" w:pos="475"/>
          <w:tab w:val="left" w:pos="965"/>
        </w:tabs>
        <w:ind w:left="0"/>
      </w:pPr>
      <w:r>
        <w:t>En cuanto a las sanciones que se imponen en c</w:t>
      </w:r>
      <w:r>
        <w:t>a</w:t>
      </w:r>
      <w:r>
        <w:t>sos en que se niegan a la mujer los derechos estipul</w:t>
      </w:r>
      <w:r>
        <w:t>a</w:t>
      </w:r>
      <w:r>
        <w:t>dos por la ley, cabe recordar que en el párrafo 653 del cuarto informe periódico se afirma que se mantiene la brecha entre el discurso y las prácticas de equidad e</w:t>
      </w:r>
      <w:r>
        <w:t>n</w:t>
      </w:r>
      <w:r>
        <w:t>tre hombres y mujeres, y que el Estado costarricense manifiesta todavía un limitado compromiso con la adopción de medidas que garanticen la sanción de la discriminación contra las mujeres. Si bien algunas de las leyes mencionadas en los informes contemplan sanciones de carácter penal, civil o administrativo, se requieren sanciones más firmes en la legislación naci</w:t>
      </w:r>
      <w:r>
        <w:t>o</w:t>
      </w:r>
      <w:r>
        <w:t>nal en esferas como el empleo, la ley electoral y la violencia en el hogar, a fin de asegurar que las mujeres gocen en la práctica de los derechos consagrados en la Constitución, la leyes nacionales y los instrumentos internacion</w:t>
      </w:r>
      <w:r>
        <w:t>a</w:t>
      </w:r>
      <w:r>
        <w:t>les.</w:t>
      </w:r>
    </w:p>
    <w:p w:rsidR="00000000" w:rsidRDefault="00000000">
      <w:pPr>
        <w:pStyle w:val="DualTxt"/>
        <w:numPr>
          <w:ilvl w:val="0"/>
          <w:numId w:val="11"/>
        </w:numPr>
        <w:tabs>
          <w:tab w:val="clear" w:pos="480"/>
          <w:tab w:val="clear" w:pos="960"/>
          <w:tab w:val="left" w:pos="475"/>
          <w:tab w:val="left" w:pos="965"/>
        </w:tabs>
        <w:ind w:left="0"/>
      </w:pPr>
      <w:r>
        <w:t>Los menores pueden casarse con el consent</w:t>
      </w:r>
      <w:r>
        <w:t>i</w:t>
      </w:r>
      <w:r>
        <w:t>miento de sus progenitores desde los 15 años, tras lo cual los cónyuges son iguales ante la ley. La falta de datos sobre el número de matrimonios de ese tipo se debe a la forma en que se reúnen y registran las est</w:t>
      </w:r>
      <w:r>
        <w:t>a</w:t>
      </w:r>
      <w:r>
        <w:t>dísticas y al tipo de indicadores que se utilizan. El INAMU está tratando de remediar esa situación. Hay una tendencia a sancionar más fuertemente a las muj</w:t>
      </w:r>
      <w:r>
        <w:t>e</w:t>
      </w:r>
      <w:r>
        <w:t>res que a los hombres por infidelidad, reconocida como causa de divorcio, aunque ya no se castiga con la pé</w:t>
      </w:r>
      <w:r>
        <w:t>r</w:t>
      </w:r>
      <w:r>
        <w:t>dida de los bienes gananciales al cónyuge acusado de infidelidad. En cuanto a la unión de hecho, una vez p</w:t>
      </w:r>
      <w:r>
        <w:t>a</w:t>
      </w:r>
      <w:r>
        <w:t>sados los tres años de convivencia pública, los conv</w:t>
      </w:r>
      <w:r>
        <w:t>i</w:t>
      </w:r>
      <w:r>
        <w:t>vientes adquieren derechos y obligaciones similares a los de las parejas casadas, en particular en relación con los hijos e hijas que t</w:t>
      </w:r>
      <w:r>
        <w:t>u</w:t>
      </w:r>
      <w:r>
        <w:t>vieren.</w:t>
      </w:r>
    </w:p>
    <w:p w:rsidR="00000000" w:rsidRDefault="00000000">
      <w:pPr>
        <w:pStyle w:val="DualTxt"/>
        <w:numPr>
          <w:ilvl w:val="0"/>
          <w:numId w:val="11"/>
        </w:numPr>
        <w:tabs>
          <w:tab w:val="clear" w:pos="480"/>
          <w:tab w:val="clear" w:pos="960"/>
          <w:tab w:val="left" w:pos="475"/>
          <w:tab w:val="left" w:pos="965"/>
        </w:tabs>
        <w:ind w:left="0"/>
      </w:pPr>
      <w:r>
        <w:rPr>
          <w:b/>
        </w:rPr>
        <w:t>La Presidenta</w:t>
      </w:r>
      <w:r>
        <w:t xml:space="preserve"> agradece a la delegación de Costa Rica la información proporcionada y felicita al Gobie</w:t>
      </w:r>
      <w:r>
        <w:t>r</w:t>
      </w:r>
      <w:r>
        <w:t>no por sus esfuerzos, en especial la ratificación del Protocolo Facultativo, y las amplias consultas celebr</w:t>
      </w:r>
      <w:r>
        <w:t>a</w:t>
      </w:r>
      <w:r>
        <w:t>das durante la elaboración del cuarto informe periód</w:t>
      </w:r>
      <w:r>
        <w:t>i</w:t>
      </w:r>
      <w:r>
        <w:t>co. Cabe esperar que en el futuro el Gobierno cumpla estrictamente las disposiciones del artículo 18 de la Convención. Aunque se requiere la adopción de más leyes, la mayor dificultad radica en su aplicación prá</w:t>
      </w:r>
      <w:r>
        <w:t>c</w:t>
      </w:r>
      <w:r>
        <w:t>tica. Los encargados de velar por que la mujer goce de sus derechos en la práctica deben recibir la capacit</w:t>
      </w:r>
      <w:r>
        <w:t>a</w:t>
      </w:r>
      <w:r>
        <w:t>ción y los recursos necesarios. Es preciso eliminar los patrones socioculturales negativos y las imágenes est</w:t>
      </w:r>
      <w:r>
        <w:t>e</w:t>
      </w:r>
      <w:r>
        <w:t>reotipadas de la función de la mujer, en especial por conducto de la educación. Hay que promover una m</w:t>
      </w:r>
      <w:r>
        <w:t>a</w:t>
      </w:r>
      <w:r>
        <w:t>yor comprensión de las cuestiones de género, en part</w:t>
      </w:r>
      <w:r>
        <w:t>i</w:t>
      </w:r>
      <w:r>
        <w:t>cular en materia de salud sexual y reproductiva, part</w:t>
      </w:r>
      <w:r>
        <w:t>i</w:t>
      </w:r>
      <w:r>
        <w:t>cipación política, empleo y reducción de la pobreza, así como de los problemas de la violencia en el hogar, la trata y diversas formas de expl</w:t>
      </w:r>
      <w:r>
        <w:t>o</w:t>
      </w:r>
      <w:r>
        <w:t>tación.</w:t>
      </w:r>
    </w:p>
    <w:p w:rsidR="00000000" w:rsidRDefault="00000000">
      <w:pPr>
        <w:pStyle w:val="DualTxt"/>
        <w:rPr>
          <w:i/>
        </w:rPr>
      </w:pPr>
      <w:r>
        <w:rPr>
          <w:i/>
        </w:rPr>
        <w:t>Se levanta la sesión a las 12.20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NO&gt;&gt;N0342440S&lt;&lt;ODS JOB NO&gt;&gt;</w:t>
      </w:r>
    </w:p>
    <w:p w:rsidR="00000000" w:rsidRDefault="00000000">
      <w:pPr>
        <w:pStyle w:val="CommentText"/>
      </w:pPr>
      <w:r>
        <w:t>&lt;&lt;ODS DOC SYMBOL1&gt;&gt;CEDAW/C/SR.619&lt;&lt;ODS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0342440s.doc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0342440s.doc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03-42440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*0342440*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/C/SR.619</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23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E5DA3"/>
    <w:multiLevelType w:val="singleLevel"/>
    <w:tmpl w:val="77208DA2"/>
    <w:lvl w:ilvl="0">
      <w:start w:val="11"/>
      <w:numFmt w:val="decimal"/>
      <w:lvlRestart w:val="0"/>
      <w:lvlText w:val="%1."/>
      <w:lvlJc w:val="left"/>
      <w:pPr>
        <w:tabs>
          <w:tab w:val="num" w:pos="1742"/>
        </w:tabs>
        <w:ind w:left="1267" w:firstLine="0"/>
      </w:pPr>
      <w:rPr>
        <w:spacing w:val="0"/>
        <w:w w:val="100"/>
      </w:rPr>
    </w:lvl>
  </w:abstractNum>
  <w:abstractNum w:abstractNumId="1">
    <w:nsid w:val="101D6CD5"/>
    <w:multiLevelType w:val="singleLevel"/>
    <w:tmpl w:val="3094F54C"/>
    <w:lvl w:ilvl="0">
      <w:start w:val="1"/>
      <w:numFmt w:val="decimal"/>
      <w:lvlRestart w:val="0"/>
      <w:lvlText w:val="%1."/>
      <w:lvlJc w:val="left"/>
      <w:pPr>
        <w:tabs>
          <w:tab w:val="num" w:pos="475"/>
        </w:tabs>
        <w:ind w:left="0" w:firstLine="0"/>
      </w:pPr>
      <w:rPr>
        <w:spacing w:val="0"/>
        <w:w w:val="100"/>
      </w:rPr>
    </w:lvl>
  </w:abstractNum>
  <w:abstractNum w:abstractNumId="2">
    <w:nsid w:val="1A3D40E2"/>
    <w:multiLevelType w:val="singleLevel"/>
    <w:tmpl w:val="C030854C"/>
    <w:lvl w:ilvl="0">
      <w:start w:val="15"/>
      <w:numFmt w:val="decimal"/>
      <w:lvlRestart w:val="0"/>
      <w:lvlText w:val="%1."/>
      <w:lvlJc w:val="left"/>
      <w:pPr>
        <w:tabs>
          <w:tab w:val="num" w:pos="1742"/>
        </w:tabs>
        <w:ind w:left="1267" w:firstLine="0"/>
      </w:pPr>
      <w:rPr>
        <w:spacing w:val="0"/>
        <w:w w:val="100"/>
      </w:rPr>
    </w:lvl>
  </w:abstractNum>
  <w:abstractNum w:abstractNumId="3">
    <w:nsid w:val="1B886A33"/>
    <w:multiLevelType w:val="singleLevel"/>
    <w:tmpl w:val="5F6C2606"/>
    <w:lvl w:ilvl="0">
      <w:start w:val="47"/>
      <w:numFmt w:val="decimal"/>
      <w:lvlRestart w:val="0"/>
      <w:lvlText w:val="%1."/>
      <w:lvlJc w:val="left"/>
      <w:pPr>
        <w:tabs>
          <w:tab w:val="num" w:pos="1742"/>
        </w:tabs>
        <w:ind w:left="1267" w:firstLine="0"/>
      </w:pPr>
      <w:rPr>
        <w:spacing w:val="0"/>
        <w:w w:val="100"/>
      </w:rPr>
    </w:lvl>
  </w:abstractNum>
  <w:abstractNum w:abstractNumId="4">
    <w:nsid w:val="253F2DBE"/>
    <w:multiLevelType w:val="singleLevel"/>
    <w:tmpl w:val="A04277EC"/>
    <w:lvl w:ilvl="0">
      <w:start w:val="1"/>
      <w:numFmt w:val="decimal"/>
      <w:lvlRestart w:val="0"/>
      <w:lvlText w:val="%1."/>
      <w:lvlJc w:val="left"/>
      <w:pPr>
        <w:tabs>
          <w:tab w:val="num" w:pos="475"/>
        </w:tabs>
        <w:ind w:left="0" w:firstLine="0"/>
      </w:pPr>
      <w:rPr>
        <w:spacing w:val="0"/>
        <w:w w:val="100"/>
      </w:rPr>
    </w:lvl>
  </w:abstractNum>
  <w:abstractNum w:abstractNumId="5">
    <w:nsid w:val="27470462"/>
    <w:multiLevelType w:val="singleLevel"/>
    <w:tmpl w:val="AD5A09B8"/>
    <w:lvl w:ilvl="0">
      <w:start w:val="1"/>
      <w:numFmt w:val="decimal"/>
      <w:lvlRestart w:val="0"/>
      <w:lvlText w:val="%1."/>
      <w:lvlJc w:val="left"/>
      <w:pPr>
        <w:tabs>
          <w:tab w:val="num" w:pos="475"/>
        </w:tabs>
        <w:ind w:left="0" w:firstLine="0"/>
      </w:pPr>
      <w:rPr>
        <w:spacing w:val="0"/>
        <w:w w:val="100"/>
      </w:rPr>
    </w:lvl>
  </w:abstractNum>
  <w:abstractNum w:abstractNumId="6">
    <w:nsid w:val="29920165"/>
    <w:multiLevelType w:val="singleLevel"/>
    <w:tmpl w:val="E4841E64"/>
    <w:lvl w:ilvl="0">
      <w:start w:val="42"/>
      <w:numFmt w:val="decimal"/>
      <w:lvlRestart w:val="0"/>
      <w:lvlText w:val="%1."/>
      <w:lvlJc w:val="left"/>
      <w:pPr>
        <w:tabs>
          <w:tab w:val="num" w:pos="1742"/>
        </w:tabs>
        <w:ind w:left="1267" w:firstLine="0"/>
      </w:pPr>
      <w:rPr>
        <w:spacing w:val="0"/>
        <w:w w:val="100"/>
      </w:rPr>
    </w:lvl>
  </w:abstractNum>
  <w:abstractNum w:abstractNumId="7">
    <w:nsid w:val="410346FB"/>
    <w:multiLevelType w:val="singleLevel"/>
    <w:tmpl w:val="F2B8FBF0"/>
    <w:lvl w:ilvl="0">
      <w:start w:val="24"/>
      <w:numFmt w:val="decimal"/>
      <w:lvlRestart w:val="0"/>
      <w:lvlText w:val="%1."/>
      <w:lvlJc w:val="left"/>
      <w:pPr>
        <w:tabs>
          <w:tab w:val="num" w:pos="1742"/>
        </w:tabs>
        <w:ind w:left="1267" w:firstLine="0"/>
      </w:pPr>
      <w:rPr>
        <w:spacing w:val="0"/>
        <w:w w:val="100"/>
      </w:rPr>
    </w:lvl>
  </w:abstractNum>
  <w:abstractNum w:abstractNumId="8">
    <w:nsid w:val="41726E84"/>
    <w:multiLevelType w:val="singleLevel"/>
    <w:tmpl w:val="C4521802"/>
    <w:lvl w:ilvl="0">
      <w:start w:val="29"/>
      <w:numFmt w:val="decimal"/>
      <w:lvlRestart w:val="0"/>
      <w:lvlText w:val="%1."/>
      <w:lvlJc w:val="left"/>
      <w:pPr>
        <w:tabs>
          <w:tab w:val="num" w:pos="1742"/>
        </w:tabs>
        <w:ind w:left="1267" w:firstLine="0"/>
      </w:pPr>
      <w:rPr>
        <w:spacing w:val="0"/>
        <w:w w:val="100"/>
      </w:rPr>
    </w:lvl>
  </w:abstractNum>
  <w:abstractNum w:abstractNumId="9">
    <w:nsid w:val="59722299"/>
    <w:multiLevelType w:val="singleLevel"/>
    <w:tmpl w:val="BB46FE7E"/>
    <w:lvl w:ilvl="0">
      <w:start w:val="24"/>
      <w:numFmt w:val="decimal"/>
      <w:lvlRestart w:val="0"/>
      <w:lvlText w:val="%1."/>
      <w:lvlJc w:val="left"/>
      <w:pPr>
        <w:tabs>
          <w:tab w:val="num" w:pos="1742"/>
        </w:tabs>
        <w:ind w:left="1267" w:firstLine="0"/>
      </w:pPr>
      <w:rPr>
        <w:spacing w:val="0"/>
        <w:w w:val="100"/>
      </w:rPr>
    </w:lvl>
  </w:abstractNum>
  <w:abstractNum w:abstractNumId="10">
    <w:nsid w:val="5F964535"/>
    <w:multiLevelType w:val="singleLevel"/>
    <w:tmpl w:val="F2B8FBF0"/>
    <w:lvl w:ilvl="0">
      <w:start w:val="24"/>
      <w:numFmt w:val="decimal"/>
      <w:lvlRestart w:val="0"/>
      <w:lvlText w:val="%1."/>
      <w:lvlJc w:val="left"/>
      <w:pPr>
        <w:tabs>
          <w:tab w:val="num" w:pos="1742"/>
        </w:tabs>
        <w:ind w:left="1267" w:firstLine="0"/>
      </w:pPr>
      <w:rPr>
        <w:spacing w:val="0"/>
        <w:w w:val="100"/>
      </w:rPr>
    </w:lvl>
  </w:abstractNum>
  <w:abstractNum w:abstractNumId="11">
    <w:nsid w:val="6DBB6E9A"/>
    <w:multiLevelType w:val="singleLevel"/>
    <w:tmpl w:val="561A82BC"/>
    <w:lvl w:ilvl="0">
      <w:start w:val="6"/>
      <w:numFmt w:val="decimal"/>
      <w:lvlRestart w:val="0"/>
      <w:lvlText w:val="%1."/>
      <w:lvlJc w:val="left"/>
      <w:pPr>
        <w:tabs>
          <w:tab w:val="num" w:pos="1742"/>
        </w:tabs>
        <w:ind w:left="1267" w:firstLine="0"/>
      </w:pPr>
      <w:rPr>
        <w:spacing w:val="0"/>
        <w:w w:val="100"/>
      </w:rPr>
    </w:lvl>
  </w:abstractNum>
  <w:abstractNum w:abstractNumId="12">
    <w:nsid w:val="79120944"/>
    <w:multiLevelType w:val="singleLevel"/>
    <w:tmpl w:val="4300E606"/>
    <w:lvl w:ilvl="0">
      <w:start w:val="37"/>
      <w:numFmt w:val="decimal"/>
      <w:lvlRestart w:val="0"/>
      <w:lvlText w:val="%1."/>
      <w:lvlJc w:val="left"/>
      <w:pPr>
        <w:tabs>
          <w:tab w:val="num" w:pos="1742"/>
        </w:tabs>
        <w:ind w:left="1267" w:firstLine="0"/>
      </w:pPr>
      <w:rPr>
        <w:spacing w:val="0"/>
        <w:w w:val="100"/>
      </w:rPr>
    </w:lvl>
  </w:abstractNum>
  <w:abstractNum w:abstractNumId="13">
    <w:nsid w:val="79A617D9"/>
    <w:multiLevelType w:val="singleLevel"/>
    <w:tmpl w:val="4B9AB602"/>
    <w:lvl w:ilvl="0">
      <w:start w:val="18"/>
      <w:numFmt w:val="decimal"/>
      <w:lvlRestart w:val="0"/>
      <w:lvlText w:val="%1."/>
      <w:lvlJc w:val="left"/>
      <w:pPr>
        <w:tabs>
          <w:tab w:val="num" w:pos="1742"/>
        </w:tabs>
        <w:ind w:left="1267" w:firstLine="0"/>
      </w:pPr>
      <w:rPr>
        <w:spacing w:val="0"/>
        <w:w w:val="100"/>
      </w:rPr>
    </w:lvl>
  </w:abstractNum>
  <w:abstractNum w:abstractNumId="14">
    <w:nsid w:val="7FE37966"/>
    <w:multiLevelType w:val="singleLevel"/>
    <w:tmpl w:val="A04277EC"/>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11"/>
  </w:num>
  <w:num w:numId="3">
    <w:abstractNumId w:val="0"/>
  </w:num>
  <w:num w:numId="4">
    <w:abstractNumId w:val="2"/>
  </w:num>
  <w:num w:numId="5">
    <w:abstractNumId w:val="13"/>
  </w:num>
  <w:num w:numId="6">
    <w:abstractNumId w:val="4"/>
  </w:num>
  <w:num w:numId="7">
    <w:abstractNumId w:val="14"/>
  </w:num>
  <w:num w:numId="8">
    <w:abstractNumId w:val="9"/>
  </w:num>
  <w:num w:numId="9">
    <w:abstractNumId w:val="5"/>
  </w:num>
  <w:num w:numId="10">
    <w:abstractNumId w:val="10"/>
  </w:num>
  <w:num w:numId="11">
    <w:abstractNumId w:val="7"/>
  </w:num>
  <w:num w:numId="12">
    <w:abstractNumId w:val="8"/>
  </w:num>
  <w:num w:numId="13">
    <w:abstractNumId w:val="12"/>
  </w:num>
  <w:num w:numId="14">
    <w:abstractNumId w:val="6"/>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2/2006 15:23:20"/>
    <w:docVar w:name="DocCategory" w:val="SROthers"/>
    <w:docVar w:name="DocType" w:val="Final"/>
    <w:docVar w:name="JobNo" w:val="0342440S"/>
    <w:docVar w:name="OandT" w:val="Sabela"/>
    <w:docVar w:name="Symbol1" w:val="CEDAW/C/SR.61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4</Pages>
  <Words>5439</Words>
  <Characters>31003</Characters>
  <Application>Microsoft Office Word</Application>
  <DocSecurity>4</DocSecurity>
  <Lines>258</Lines>
  <Paragraphs>62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38073</CharactersWithSpaces>
  <SharedDoc>false</SharedDoc>
  <HLinks>
    <vt:vector size="6" baseType="variant">
      <vt:variant>
        <vt:i4>4522087</vt:i4>
      </vt:variant>
      <vt:variant>
        <vt:i4>38827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Llanos, Martha</dc:creator>
  <cp:keywords/>
  <dc:description/>
  <cp:lastModifiedBy>goudschaal, luis</cp:lastModifiedBy>
  <cp:revision>53</cp:revision>
  <cp:lastPrinted>2006-02-22T16:29:00Z</cp:lastPrinted>
  <dcterms:created xsi:type="dcterms:W3CDTF">2006-02-22T13:23:00Z</dcterms:created>
  <dcterms:modified xsi:type="dcterms:W3CDTF">2006-02-22T19:26:00Z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0342440</vt:lpwstr>
  </property>
  <property fmtid="{D5CDD505-2E9C-101B-9397-08002B2CF9AE}" pid="3" name="Symbol1">
    <vt:lpwstr>CEDAW/C/SR.619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Sabela/luis</vt:lpwstr>
  </property>
</Properties>
</file>