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779" w:rsidRDefault="001A7779">
      <w:pPr>
        <w:spacing w:line="60" w:lineRule="exact"/>
      </w:pPr>
      <w:r>
        <w:rPr>
          <w:rStyle w:val="CommentReference"/>
          <w:rFonts w:hint="eastAsia"/>
          <w:vanish/>
        </w:rPr>
        <w:commentReference w:id="0"/>
      </w:r>
    </w:p>
    <w:p w:rsidR="001A7779" w:rsidRDefault="001A7779">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1A7779" w:rsidRDefault="001A7779">
      <w:pPr>
        <w:spacing w:line="360" w:lineRule="atLeast"/>
      </w:pPr>
    </w:p>
    <w:p w:rsidR="001A7779" w:rsidRDefault="001A7779">
      <w:pPr>
        <w:spacing w:line="360" w:lineRule="atLeast"/>
        <w:rPr>
          <w:rFonts w:hint="eastAsia"/>
        </w:rPr>
      </w:pPr>
    </w:p>
    <w:p w:rsidR="001A7779" w:rsidRDefault="001A7779">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1A7779" w:rsidRDefault="001A7779">
      <w:pPr>
        <w:spacing w:line="360" w:lineRule="auto"/>
        <w:jc w:val="center"/>
        <w:rPr>
          <w:rFonts w:ascii="SimSun" w:hAnsi="SimSun" w:hint="eastAsia"/>
          <w:sz w:val="28"/>
          <w:szCs w:val="28"/>
        </w:rPr>
      </w:pPr>
    </w:p>
    <w:p w:rsidR="001A7779" w:rsidRDefault="001A7779">
      <w:pPr>
        <w:pStyle w:val="H1"/>
        <w:spacing w:before="120"/>
        <w:jc w:val="center"/>
        <w:rPr>
          <w:rFonts w:hint="eastAsia"/>
          <w:bCs/>
        </w:rPr>
      </w:pPr>
      <w:r>
        <w:rPr>
          <w:rFonts w:hint="eastAsia"/>
          <w:bCs/>
          <w:u w:val="single"/>
        </w:rPr>
        <w:t>缔约国的第四次定期报告</w:t>
      </w:r>
    </w:p>
    <w:p w:rsidR="001A7779" w:rsidRDefault="001A7779">
      <w:pPr>
        <w:rPr>
          <w:rFonts w:hint="eastAsia"/>
        </w:rPr>
      </w:pPr>
    </w:p>
    <w:p w:rsidR="001A7779" w:rsidRDefault="001A7779">
      <w:pPr>
        <w:rPr>
          <w:rFonts w:hint="eastAsia"/>
        </w:rPr>
      </w:pPr>
    </w:p>
    <w:p w:rsidR="001A7779" w:rsidRDefault="001A7779">
      <w:pPr>
        <w:pStyle w:val="HCh"/>
        <w:jc w:val="center"/>
      </w:pPr>
      <w:r>
        <w:rPr>
          <w:rFonts w:hint="eastAsia"/>
          <w:bCs/>
        </w:rPr>
        <w:t>斯洛文尼亚</w:t>
      </w:r>
      <w:r>
        <w:rPr>
          <w:vertAlign w:val="superscript"/>
        </w:rPr>
        <w:t>*</w:t>
      </w:r>
    </w:p>
    <w:p w:rsidR="001A7779" w:rsidRDefault="001A7779">
      <w:pPr>
        <w:jc w:val="center"/>
        <w:rPr>
          <w:rFonts w:hint="eastAsia"/>
        </w:rPr>
      </w:pPr>
    </w:p>
    <w:p w:rsidR="001A7779" w:rsidRDefault="001A7779">
      <w:pPr>
        <w:rPr>
          <w:rFonts w:hint="eastAsia"/>
        </w:rPr>
      </w:pPr>
    </w:p>
    <w:p w:rsidR="001A7779" w:rsidRDefault="001A7779">
      <w:pPr>
        <w:pStyle w:val="Date"/>
        <w:spacing w:line="60" w:lineRule="exact"/>
        <w:sectPr w:rsidR="001A777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1A7779" w:rsidRDefault="001A7779">
      <w:pPr>
        <w:pStyle w:val="Date"/>
        <w:spacing w:line="60" w:lineRule="exact"/>
        <w:rPr>
          <w:rFonts w:hint="eastAsia"/>
          <w:lang w:val="en-GB"/>
        </w:rPr>
      </w:pPr>
    </w:p>
    <w:bookmarkEnd w:id="3"/>
    <w:p w:rsidR="001A7779" w:rsidRDefault="001A7779">
      <w:pPr>
        <w:spacing w:after="240" w:line="360" w:lineRule="exact"/>
        <w:rPr>
          <w:sz w:val="18"/>
          <w:lang w:val="en-GB"/>
        </w:rPr>
      </w:pPr>
    </w:p>
    <w:p w:rsidR="001A7779" w:rsidRDefault="001A7779">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斯洛文尼亚政府关于</w:t>
      </w:r>
      <w:r>
        <w:rPr>
          <w:rFonts w:ascii="Times New Roman" w:eastAsia="SimHei"/>
          <w:color w:val="FF0000"/>
          <w:szCs w:val="24"/>
          <w:lang w:val="en-GB"/>
        </w:rPr>
        <w:br/>
      </w:r>
      <w:r>
        <w:rPr>
          <w:rFonts w:ascii="Times New Roman" w:eastAsia="SimHei" w:hint="eastAsia"/>
          <w:color w:val="FF0000"/>
          <w:szCs w:val="24"/>
          <w:lang w:val="en-GB"/>
        </w:rPr>
        <w:t>《消除对妇女一切形式歧视公约》</w:t>
      </w:r>
    </w:p>
    <w:p w:rsidR="001A7779" w:rsidRDefault="001A7779">
      <w:pPr>
        <w:pStyle w:val="BodyText"/>
        <w:spacing w:line="360" w:lineRule="auto"/>
        <w:jc w:val="center"/>
        <w:rPr>
          <w:rFonts w:ascii="Times New Roman" w:hint="eastAsia"/>
          <w:sz w:val="24"/>
          <w:szCs w:val="24"/>
          <w:lang w:val="en-GB"/>
        </w:rPr>
      </w:pPr>
    </w:p>
    <w:p w:rsidR="001A7779" w:rsidRDefault="001A7779">
      <w:pPr>
        <w:pStyle w:val="BodyText"/>
        <w:spacing w:line="360" w:lineRule="auto"/>
        <w:jc w:val="center"/>
        <w:rPr>
          <w:rFonts w:ascii="Times New Roman" w:hint="eastAsia"/>
          <w:sz w:val="24"/>
          <w:szCs w:val="24"/>
          <w:lang w:val="en-GB"/>
        </w:rPr>
      </w:pPr>
    </w:p>
    <w:p w:rsidR="001A7779" w:rsidRDefault="001A7779">
      <w:pPr>
        <w:pStyle w:val="BodyText"/>
        <w:spacing w:line="360" w:lineRule="auto"/>
        <w:jc w:val="center"/>
        <w:rPr>
          <w:rFonts w:ascii="Times New Roman" w:eastAsia="SimHei"/>
          <w:color w:val="FF0000"/>
          <w:sz w:val="32"/>
          <w:szCs w:val="24"/>
          <w:lang w:val="en-GB"/>
        </w:rPr>
      </w:pPr>
      <w:r>
        <w:rPr>
          <w:rFonts w:ascii="Times New Roman" w:eastAsia="SimHei" w:hint="eastAsia"/>
          <w:color w:val="FF0000"/>
          <w:sz w:val="32"/>
          <w:szCs w:val="24"/>
          <w:lang w:val="en-GB"/>
        </w:rPr>
        <w:t>条款执行情况的第四次定期报告</w:t>
      </w:r>
    </w:p>
    <w:p w:rsidR="001A7779" w:rsidRDefault="001A7779">
      <w:pPr>
        <w:pStyle w:val="BodyText"/>
        <w:spacing w:line="360" w:lineRule="auto"/>
        <w:jc w:val="center"/>
        <w:rPr>
          <w:rFonts w:ascii="Times New Roman" w:eastAsia="SimHei"/>
          <w:sz w:val="24"/>
          <w:szCs w:val="24"/>
          <w:lang w:val="en-GB"/>
        </w:rPr>
      </w:pPr>
    </w:p>
    <w:p w:rsidR="001A7779" w:rsidRDefault="001A7779">
      <w:pPr>
        <w:pStyle w:val="BodyText"/>
        <w:spacing w:line="360" w:lineRule="auto"/>
        <w:jc w:val="center"/>
        <w:rPr>
          <w:rFonts w:eastAsia="SimHei"/>
          <w:color w:val="FF0000"/>
          <w:szCs w:val="24"/>
          <w:lang w:val="en-GB"/>
        </w:rPr>
      </w:pPr>
    </w:p>
    <w:p w:rsidR="001A7779" w:rsidRDefault="001A7779">
      <w:pPr>
        <w:pStyle w:val="BodyText"/>
        <w:spacing w:line="360" w:lineRule="auto"/>
        <w:jc w:val="center"/>
        <w:rPr>
          <w:rFonts w:eastAsia="SimHei"/>
          <w:color w:val="FF0000"/>
          <w:szCs w:val="24"/>
          <w:lang w:val="en-GB"/>
        </w:rPr>
      </w:pPr>
    </w:p>
    <w:p w:rsidR="001A7779" w:rsidRDefault="001A7779">
      <w:pPr>
        <w:pStyle w:val="BodyText"/>
        <w:spacing w:line="360" w:lineRule="auto"/>
        <w:rPr>
          <w:rFonts w:eastAsia="SimHei"/>
          <w:color w:val="FF0000"/>
          <w:szCs w:val="24"/>
          <w:lang w:val="en-GB"/>
        </w:rPr>
      </w:pPr>
    </w:p>
    <w:p w:rsidR="001A7779" w:rsidRDefault="001A7779">
      <w:pPr>
        <w:spacing w:after="240" w:line="360" w:lineRule="exact"/>
        <w:rPr>
          <w:sz w:val="18"/>
          <w:lang w:val="en-GB"/>
        </w:rPr>
      </w:pPr>
    </w:p>
    <w:p w:rsidR="001A7779" w:rsidRDefault="001A7779">
      <w:pPr>
        <w:spacing w:after="240" w:line="360" w:lineRule="exact"/>
        <w:rPr>
          <w:sz w:val="18"/>
          <w:lang w:val="en-GB"/>
        </w:rPr>
      </w:pPr>
    </w:p>
    <w:p w:rsidR="001A7779" w:rsidRDefault="001A7779">
      <w:pPr>
        <w:spacing w:after="240" w:line="360" w:lineRule="exact"/>
        <w:rPr>
          <w:sz w:val="18"/>
          <w:lang w:val="en-GB"/>
        </w:rPr>
      </w:pPr>
    </w:p>
    <w:p w:rsidR="001A7779" w:rsidRDefault="001A7779">
      <w:pPr>
        <w:spacing w:after="240" w:line="360" w:lineRule="exact"/>
        <w:rPr>
          <w:sz w:val="18"/>
          <w:lang w:val="en-GB"/>
        </w:rPr>
      </w:pPr>
    </w:p>
    <w:p w:rsidR="001A7779" w:rsidRDefault="001A7779">
      <w:pPr>
        <w:spacing w:after="240" w:line="360" w:lineRule="exact"/>
        <w:rPr>
          <w:rFonts w:ascii="SimHei" w:eastAsia="SimHei"/>
          <w:bCs/>
          <w:sz w:val="18"/>
          <w:lang w:val="en-GB"/>
        </w:rPr>
      </w:pPr>
    </w:p>
    <w:p w:rsidR="001A7779" w:rsidRDefault="001A7779">
      <w:pPr>
        <w:spacing w:after="240" w:line="360" w:lineRule="exact"/>
        <w:rPr>
          <w:sz w:val="18"/>
        </w:rPr>
      </w:pPr>
    </w:p>
    <w:p w:rsidR="001A7779" w:rsidRDefault="001A7779">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1A7779" w:rsidRDefault="001A7779">
      <w:pPr>
        <w:spacing w:after="120" w:line="360" w:lineRule="atLeast"/>
        <w:jc w:val="right"/>
        <w:rPr>
          <w:rFonts w:eastAsia="KaiTi_GB2312" w:hint="eastAsia"/>
          <w:color w:val="0000FF"/>
          <w:lang w:val="en-GB"/>
        </w:rPr>
      </w:pPr>
      <w:r>
        <w:rPr>
          <w:rFonts w:eastAsia="KaiTi_GB2312" w:hint="eastAsia"/>
          <w:color w:val="0000FF"/>
          <w:lang w:val="en-GB"/>
        </w:rPr>
        <w:t>页次</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eastAsia="SimHei" w:hint="eastAsia"/>
          <w:color w:val="FF0000"/>
        </w:rPr>
        <w:t>导言</w:t>
      </w:r>
      <w:r>
        <w:tab/>
      </w:r>
      <w:r>
        <w:rPr>
          <w:rFonts w:hint="eastAsia"/>
        </w:rPr>
        <w:tab/>
        <w:t>5</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eastAsia="SimHei" w:hint="eastAsia"/>
          <w:color w:val="FF0000"/>
        </w:rPr>
        <w:t>一般情况</w:t>
      </w:r>
      <w:r>
        <w:tab/>
      </w:r>
      <w:r>
        <w:rPr>
          <w:rFonts w:hint="eastAsia"/>
        </w:rPr>
        <w:tab/>
        <w:t>6</w:t>
      </w:r>
    </w:p>
    <w:p w:rsidR="001A7779" w:rsidRDefault="001A7779" w:rsidP="00B359E9">
      <w:pPr>
        <w:tabs>
          <w:tab w:val="center" w:leader="dot" w:pos="9240"/>
          <w:tab w:val="right" w:pos="9840"/>
        </w:tabs>
        <w:spacing w:after="180" w:line="340" w:lineRule="atLeast"/>
        <w:ind w:leftChars="200" w:left="31680" w:rightChars="400" w:right="31680" w:hangingChars="200" w:firstLine="31680"/>
        <w:rPr>
          <w:rFonts w:hint="eastAsia"/>
        </w:rPr>
      </w:pPr>
      <w:r>
        <w:t>a</w:t>
      </w:r>
      <w:r>
        <w:t>）</w:t>
      </w:r>
      <w:r>
        <w:t xml:space="preserve"> </w:t>
      </w:r>
      <w:r>
        <w:rPr>
          <w:rFonts w:hint="eastAsia"/>
        </w:rPr>
        <w:t>斯洛文尼亚采取各种方法消除对妇女一切形式歧视的情况</w:t>
      </w:r>
      <w:r>
        <w:tab/>
      </w:r>
      <w:r>
        <w:rPr>
          <w:rFonts w:hint="eastAsia"/>
        </w:rPr>
        <w:tab/>
        <w:t>6</w:t>
      </w:r>
    </w:p>
    <w:p w:rsidR="001A7779" w:rsidRDefault="001A7779" w:rsidP="00B359E9">
      <w:pPr>
        <w:tabs>
          <w:tab w:val="center" w:leader="dot" w:pos="9240"/>
          <w:tab w:val="right" w:pos="9840"/>
        </w:tabs>
        <w:spacing w:after="180" w:line="340" w:lineRule="atLeast"/>
        <w:ind w:leftChars="200" w:left="31680" w:rightChars="400" w:right="31680" w:hangingChars="200" w:firstLine="31680"/>
        <w:rPr>
          <w:rFonts w:hint="eastAsia"/>
        </w:rPr>
      </w:pPr>
      <w:r>
        <w:t>b</w:t>
      </w:r>
      <w:r>
        <w:t>）</w:t>
      </w:r>
      <w:r>
        <w:tab/>
      </w:r>
      <w:r>
        <w:rPr>
          <w:rFonts w:hint="eastAsia"/>
        </w:rPr>
        <w:t>为执行《公约》采取的措施以及批准《公约》对斯洛文尼亚总的社会、经济、政治和法律状况产生的影响</w:t>
      </w:r>
      <w:r>
        <w:tab/>
      </w:r>
      <w:r>
        <w:rPr>
          <w:rFonts w:hint="eastAsia"/>
        </w:rPr>
        <w:tab/>
        <w:t>9</w:t>
      </w:r>
    </w:p>
    <w:p w:rsidR="001A7779" w:rsidRDefault="001A7779" w:rsidP="00B359E9">
      <w:pPr>
        <w:tabs>
          <w:tab w:val="center" w:leader="dot" w:pos="9240"/>
          <w:tab w:val="right" w:pos="9840"/>
        </w:tabs>
        <w:spacing w:after="180" w:line="340" w:lineRule="atLeast"/>
        <w:ind w:leftChars="200" w:left="31680" w:rightChars="400" w:right="31680" w:hangingChars="200" w:firstLine="31680"/>
        <w:rPr>
          <w:rFonts w:hint="eastAsia"/>
        </w:rPr>
      </w:pPr>
      <w:r>
        <w:rPr>
          <w:rFonts w:hint="eastAsia"/>
        </w:rPr>
        <w:t>c</w:t>
      </w:r>
      <w:r>
        <w:rPr>
          <w:rFonts w:hint="eastAsia"/>
        </w:rPr>
        <w:t>）</w:t>
      </w:r>
      <w:r>
        <w:tab/>
      </w:r>
      <w:r>
        <w:rPr>
          <w:rFonts w:hint="eastAsia"/>
        </w:rPr>
        <w:t>保障两性平等的机构办法</w:t>
      </w:r>
      <w:r>
        <w:tab/>
      </w:r>
      <w:r>
        <w:rPr>
          <w:rFonts w:hint="eastAsia"/>
        </w:rPr>
        <w:tab/>
        <w:t>9</w:t>
      </w:r>
    </w:p>
    <w:p w:rsidR="001A7779" w:rsidRDefault="001A7779" w:rsidP="00B359E9">
      <w:pPr>
        <w:tabs>
          <w:tab w:val="center" w:leader="dot" w:pos="9240"/>
          <w:tab w:val="right" w:pos="9840"/>
        </w:tabs>
        <w:spacing w:after="180" w:line="340" w:lineRule="atLeast"/>
        <w:ind w:leftChars="200" w:left="31680" w:rightChars="400" w:right="31680" w:hangingChars="200" w:firstLine="31680"/>
        <w:rPr>
          <w:rFonts w:hint="eastAsia"/>
        </w:rPr>
      </w:pPr>
      <w:r>
        <w:rPr>
          <w:rFonts w:hint="eastAsia"/>
        </w:rPr>
        <w:t>d</w:t>
      </w:r>
      <w:r>
        <w:rPr>
          <w:rFonts w:hint="eastAsia"/>
        </w:rPr>
        <w:t>）</w:t>
      </w:r>
      <w:r>
        <w:tab/>
      </w:r>
      <w:r>
        <w:rPr>
          <w:rFonts w:hint="eastAsia"/>
        </w:rPr>
        <w:t>为确保和促进妇女地位发生积极变化的基金和方法</w:t>
      </w:r>
      <w:r>
        <w:tab/>
      </w:r>
      <w:r>
        <w:rPr>
          <w:rFonts w:hint="eastAsia"/>
        </w:rPr>
        <w:tab/>
        <w:t>11</w:t>
      </w:r>
    </w:p>
    <w:p w:rsidR="001A7779" w:rsidRDefault="001A7779" w:rsidP="00B359E9">
      <w:pPr>
        <w:tabs>
          <w:tab w:val="center" w:leader="dot" w:pos="9240"/>
          <w:tab w:val="right" w:pos="9840"/>
        </w:tabs>
        <w:spacing w:after="180" w:line="340" w:lineRule="atLeast"/>
        <w:ind w:left="31680" w:rightChars="400" w:right="31680" w:hangingChars="200" w:firstLine="31680"/>
        <w:rPr>
          <w:rFonts w:eastAsia="SimHei"/>
          <w:color w:val="FF0000"/>
        </w:rPr>
      </w:pPr>
      <w:r>
        <w:rPr>
          <w:rFonts w:eastAsia="SimHei" w:hint="eastAsia"/>
          <w:color w:val="FF0000"/>
        </w:rPr>
        <w:t>《公约》逐项条款执行情况</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w:t>
      </w:r>
      <w:r>
        <w:rPr>
          <w:rFonts w:ascii="SimHei" w:eastAsia="SimHei" w:hint="eastAsia"/>
          <w:color w:val="FF0000"/>
        </w:rPr>
        <w:t>条</w:t>
      </w:r>
      <w:r>
        <w:rPr>
          <w:rFonts w:eastAsia="SimHei" w:hint="eastAsia"/>
          <w:color w:val="FF0000"/>
        </w:rPr>
        <w:t xml:space="preserve"> </w:t>
      </w:r>
      <w:r>
        <w:rPr>
          <w:rFonts w:hint="eastAsia"/>
        </w:rPr>
        <w:t>对妇女的歧视</w:t>
      </w:r>
      <w:r>
        <w:tab/>
      </w:r>
      <w:r>
        <w:rPr>
          <w:rFonts w:hint="eastAsia"/>
        </w:rPr>
        <w:tab/>
        <w:t>12</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第2条和第3</w:t>
      </w:r>
      <w:r>
        <w:rPr>
          <w:rFonts w:eastAsia="SimHei" w:hint="eastAsia"/>
          <w:color w:val="FF0000"/>
        </w:rPr>
        <w:t>条</w:t>
      </w:r>
      <w:r>
        <w:rPr>
          <w:rFonts w:eastAsia="SimHei" w:hint="eastAsia"/>
          <w:color w:val="FF0000"/>
        </w:rPr>
        <w:t xml:space="preserve"> </w:t>
      </w:r>
      <w:r>
        <w:rPr>
          <w:rFonts w:hint="eastAsia"/>
        </w:rPr>
        <w:t>确保男女平等的措施</w:t>
      </w:r>
      <w:r>
        <w:tab/>
      </w:r>
      <w:r>
        <w:rPr>
          <w:rFonts w:hint="eastAsia"/>
        </w:rPr>
        <w:tab/>
        <w:t>12</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eastAsia="SimHei" w:hint="eastAsia"/>
          <w:color w:val="FF0000"/>
        </w:rPr>
        <w:t>第</w:t>
      </w:r>
      <w:r>
        <w:rPr>
          <w:rFonts w:ascii="SimHei" w:eastAsia="SimHei" w:hint="eastAsia"/>
          <w:color w:val="FF0000"/>
        </w:rPr>
        <w:t>4</w:t>
      </w:r>
      <w:r>
        <w:rPr>
          <w:rFonts w:eastAsia="SimHei" w:hint="eastAsia"/>
          <w:color w:val="FF0000"/>
        </w:rPr>
        <w:t>条</w:t>
      </w:r>
      <w:r>
        <w:rPr>
          <w:rFonts w:hint="eastAsia"/>
        </w:rPr>
        <w:t xml:space="preserve"> </w:t>
      </w:r>
      <w:r>
        <w:rPr>
          <w:rFonts w:hint="eastAsia"/>
        </w:rPr>
        <w:t>鼓励实现实质性性别平等的暂行临时特别措施</w:t>
      </w:r>
      <w:r>
        <w:tab/>
      </w:r>
      <w:r>
        <w:rPr>
          <w:rFonts w:hint="eastAsia"/>
        </w:rPr>
        <w:tab/>
        <w:t>16</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第5条</w:t>
      </w:r>
      <w:r>
        <w:rPr>
          <w:rFonts w:hint="eastAsia"/>
        </w:rPr>
        <w:t xml:space="preserve"> </w:t>
      </w:r>
      <w:r>
        <w:t xml:space="preserve"> </w:t>
      </w:r>
      <w:r>
        <w:rPr>
          <w:rFonts w:hint="eastAsia"/>
        </w:rPr>
        <w:t>消除偏见和陈规旧习</w:t>
      </w:r>
      <w:r>
        <w:tab/>
      </w:r>
      <w:r>
        <w:rPr>
          <w:rFonts w:hint="eastAsia"/>
        </w:rPr>
        <w:tab/>
        <w:t>17</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第6条</w:t>
      </w:r>
      <w:r>
        <w:rPr>
          <w:rFonts w:hint="eastAsia"/>
        </w:rPr>
        <w:t xml:space="preserve"> </w:t>
      </w:r>
      <w:r>
        <w:rPr>
          <w:rFonts w:hint="eastAsia"/>
        </w:rPr>
        <w:t>贩卖妇女和强迫妇女卖淫</w:t>
      </w:r>
      <w:r>
        <w:tab/>
      </w:r>
      <w:r>
        <w:rPr>
          <w:rFonts w:hint="eastAsia"/>
        </w:rPr>
        <w:tab/>
        <w:t>23</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7</w:t>
      </w:r>
      <w:r>
        <w:rPr>
          <w:rFonts w:ascii="SimHei" w:eastAsia="SimHei" w:hint="eastAsia"/>
          <w:color w:val="FF0000"/>
        </w:rPr>
        <w:t>条</w:t>
      </w:r>
      <w:r>
        <w:t xml:space="preserve"> </w:t>
      </w:r>
      <w:r>
        <w:rPr>
          <w:rFonts w:hint="eastAsia"/>
        </w:rPr>
        <w:t>妇女参与政治和公共生活</w:t>
      </w:r>
      <w:r>
        <w:tab/>
      </w:r>
      <w:r>
        <w:rPr>
          <w:rFonts w:hint="eastAsia"/>
        </w:rPr>
        <w:tab/>
        <w:t>25</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第8</w:t>
      </w:r>
      <w:r>
        <w:rPr>
          <w:rFonts w:ascii="SimHei" w:eastAsia="SimHei"/>
          <w:color w:val="FF0000"/>
        </w:rPr>
        <w:t xml:space="preserve"> </w:t>
      </w:r>
      <w:r>
        <w:rPr>
          <w:rFonts w:ascii="SimHei" w:eastAsia="SimHei" w:hint="eastAsia"/>
          <w:color w:val="FF0000"/>
        </w:rPr>
        <w:t>条</w:t>
      </w:r>
      <w:r>
        <w:rPr>
          <w:rFonts w:hint="eastAsia"/>
        </w:rPr>
        <w:t xml:space="preserve"> </w:t>
      </w:r>
      <w:r>
        <w:rPr>
          <w:rFonts w:hint="eastAsia"/>
        </w:rPr>
        <w:t>妇女作为国际组织中的政府代表和妇女从事外交工作的情况</w:t>
      </w:r>
      <w:r>
        <w:tab/>
      </w:r>
      <w:r>
        <w:rPr>
          <w:rFonts w:hint="eastAsia"/>
        </w:rPr>
        <w:tab/>
        <w:t>29</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9</w:t>
      </w:r>
      <w:r>
        <w:rPr>
          <w:rFonts w:ascii="SimHei" w:eastAsia="SimHei" w:hint="eastAsia"/>
          <w:color w:val="FF0000"/>
        </w:rPr>
        <w:t>条</w:t>
      </w:r>
      <w:r>
        <w:rPr>
          <w:rFonts w:hint="eastAsia"/>
        </w:rPr>
        <w:t xml:space="preserve"> </w:t>
      </w:r>
      <w:r>
        <w:rPr>
          <w:rFonts w:hint="eastAsia"/>
        </w:rPr>
        <w:t>公民权</w:t>
      </w:r>
      <w:r>
        <w:tab/>
      </w:r>
      <w:r>
        <w:rPr>
          <w:rFonts w:hint="eastAsia"/>
        </w:rPr>
        <w:tab/>
        <w:t>30</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10</w:t>
      </w:r>
      <w:r>
        <w:rPr>
          <w:rFonts w:ascii="SimHei" w:eastAsia="SimHei" w:hint="eastAsia"/>
          <w:color w:val="FF0000"/>
        </w:rPr>
        <w:t>条</w:t>
      </w:r>
      <w:r>
        <w:rPr>
          <w:rFonts w:hint="eastAsia"/>
        </w:rPr>
        <w:t xml:space="preserve"> </w:t>
      </w:r>
      <w:r>
        <w:rPr>
          <w:rFonts w:hint="eastAsia"/>
        </w:rPr>
        <w:t>教育</w:t>
      </w:r>
      <w:r>
        <w:tab/>
      </w:r>
      <w:r>
        <w:rPr>
          <w:rFonts w:hint="eastAsia"/>
        </w:rPr>
        <w:tab/>
        <w:t>30</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11 </w:t>
      </w:r>
      <w:r>
        <w:rPr>
          <w:rFonts w:ascii="SimHei" w:eastAsia="SimHei" w:hint="eastAsia"/>
          <w:color w:val="FF0000"/>
        </w:rPr>
        <w:t>条</w:t>
      </w:r>
      <w:r>
        <w:rPr>
          <w:rFonts w:hint="eastAsia"/>
        </w:rPr>
        <w:t xml:space="preserve"> </w:t>
      </w:r>
      <w:r>
        <w:rPr>
          <w:rFonts w:hint="eastAsia"/>
        </w:rPr>
        <w:t>就业</w:t>
      </w:r>
      <w:r>
        <w:tab/>
      </w:r>
      <w:r>
        <w:tab/>
      </w:r>
      <w:r>
        <w:rPr>
          <w:rFonts w:hint="eastAsia"/>
        </w:rPr>
        <w:t>32</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12</w:t>
      </w:r>
      <w:r>
        <w:rPr>
          <w:rFonts w:ascii="SimHei" w:eastAsia="SimHei" w:hint="eastAsia"/>
          <w:color w:val="FF0000"/>
        </w:rPr>
        <w:t>条</w:t>
      </w:r>
      <w:r>
        <w:rPr>
          <w:rFonts w:hint="eastAsia"/>
        </w:rPr>
        <w:t xml:space="preserve"> </w:t>
      </w:r>
      <w:r>
        <w:rPr>
          <w:rFonts w:hint="eastAsia"/>
        </w:rPr>
        <w:t>妇女的健康</w:t>
      </w:r>
      <w:r>
        <w:tab/>
      </w:r>
      <w:r>
        <w:rPr>
          <w:rFonts w:hint="eastAsia"/>
        </w:rPr>
        <w:tab/>
        <w:t>38</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13</w:t>
      </w:r>
      <w:r>
        <w:rPr>
          <w:rFonts w:ascii="SimHei" w:eastAsia="SimHei" w:hint="eastAsia"/>
          <w:color w:val="FF0000"/>
        </w:rPr>
        <w:t>条</w:t>
      </w:r>
      <w:r>
        <w:rPr>
          <w:rFonts w:hint="eastAsia"/>
        </w:rPr>
        <w:t xml:space="preserve"> </w:t>
      </w:r>
      <w:r>
        <w:rPr>
          <w:rFonts w:hint="eastAsia"/>
        </w:rPr>
        <w:t>经济和社会生活的其他领域</w:t>
      </w:r>
      <w:r>
        <w:tab/>
      </w:r>
      <w:r>
        <w:rPr>
          <w:rFonts w:hint="eastAsia"/>
        </w:rPr>
        <w:tab/>
        <w:t>44</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14</w:t>
      </w:r>
      <w:r>
        <w:rPr>
          <w:rFonts w:ascii="SimHei" w:eastAsia="SimHei" w:hint="eastAsia"/>
          <w:color w:val="FF0000"/>
        </w:rPr>
        <w:t>条</w:t>
      </w:r>
      <w:r>
        <w:t xml:space="preserve"> </w:t>
      </w:r>
      <w:r>
        <w:rPr>
          <w:rFonts w:hint="eastAsia"/>
        </w:rPr>
        <w:t>农村妇女</w:t>
      </w:r>
      <w:r>
        <w:tab/>
      </w:r>
      <w:r>
        <w:rPr>
          <w:rFonts w:hint="eastAsia"/>
        </w:rPr>
        <w:tab/>
        <w:t>45</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15</w:t>
      </w:r>
      <w:r>
        <w:rPr>
          <w:rFonts w:ascii="SimHei" w:eastAsia="SimHei" w:hint="eastAsia"/>
          <w:color w:val="FF0000"/>
        </w:rPr>
        <w:t xml:space="preserve">条 </w:t>
      </w:r>
      <w:r>
        <w:rPr>
          <w:rFonts w:hint="eastAsia"/>
        </w:rPr>
        <w:t>法律面前平等</w:t>
      </w:r>
      <w:r>
        <w:tab/>
      </w:r>
      <w:r>
        <w:rPr>
          <w:rFonts w:hint="eastAsia"/>
        </w:rPr>
        <w:tab/>
        <w:t>47</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第</w:t>
      </w:r>
      <w:r>
        <w:rPr>
          <w:rFonts w:ascii="SimHei" w:eastAsia="SimHei"/>
          <w:color w:val="FF0000"/>
        </w:rPr>
        <w:t xml:space="preserve"> 16</w:t>
      </w:r>
      <w:r>
        <w:rPr>
          <w:rFonts w:ascii="SimHei" w:eastAsia="SimHei" w:hint="eastAsia"/>
          <w:color w:val="FF0000"/>
        </w:rPr>
        <w:t>条</w:t>
      </w:r>
      <w:r>
        <w:t xml:space="preserve"> </w:t>
      </w:r>
      <w:r>
        <w:rPr>
          <w:rFonts w:hint="eastAsia"/>
        </w:rPr>
        <w:t>婚姻和家庭关系</w:t>
      </w:r>
      <w:r>
        <w:tab/>
      </w:r>
      <w:r>
        <w:rPr>
          <w:rFonts w:hint="eastAsia"/>
        </w:rPr>
        <w:tab/>
        <w:t>47</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附录1</w:t>
      </w:r>
      <w:r>
        <w:rPr>
          <w:rFonts w:ascii="SimHei" w:eastAsia="SimHei"/>
          <w:color w:val="FF0000"/>
        </w:rPr>
        <w:t>：</w:t>
      </w:r>
      <w:r>
        <w:rPr>
          <w:rFonts w:hint="eastAsia"/>
        </w:rPr>
        <w:t>法律参考文件</w:t>
      </w:r>
      <w:r>
        <w:tab/>
      </w:r>
      <w:r>
        <w:rPr>
          <w:rFonts w:hint="eastAsia"/>
        </w:rPr>
        <w:tab/>
        <w:t>49</w:t>
      </w:r>
    </w:p>
    <w:p w:rsidR="001A7779" w:rsidRDefault="001A7779" w:rsidP="00B359E9">
      <w:pPr>
        <w:tabs>
          <w:tab w:val="center" w:leader="dot" w:pos="9240"/>
          <w:tab w:val="right" w:pos="9840"/>
        </w:tabs>
        <w:spacing w:after="180" w:line="340" w:lineRule="atLeast"/>
        <w:ind w:left="31680" w:rightChars="400" w:right="31680" w:hangingChars="200" w:firstLine="31680"/>
        <w:rPr>
          <w:rFonts w:hint="eastAsia"/>
        </w:rPr>
      </w:pPr>
      <w:r>
        <w:rPr>
          <w:rFonts w:ascii="SimHei" w:eastAsia="SimHei" w:hint="eastAsia"/>
          <w:color w:val="FF0000"/>
        </w:rPr>
        <w:t>附录2</w:t>
      </w:r>
      <w:r>
        <w:rPr>
          <w:rFonts w:ascii="SimHei" w:eastAsia="SimHei"/>
          <w:color w:val="FF0000"/>
        </w:rPr>
        <w:t>：</w:t>
      </w:r>
      <w:r>
        <w:rPr>
          <w:rFonts w:hint="eastAsia"/>
        </w:rPr>
        <w:t>统计数据</w:t>
      </w:r>
      <w:r>
        <w:tab/>
      </w:r>
      <w:r>
        <w:rPr>
          <w:rFonts w:hint="eastAsia"/>
        </w:rPr>
        <w:tab/>
        <w:t>51</w:t>
      </w:r>
    </w:p>
    <w:p w:rsidR="001A7779" w:rsidRDefault="001A7779">
      <w:pPr>
        <w:pStyle w:val="a3"/>
        <w:adjustRightInd w:val="0"/>
        <w:spacing w:after="240" w:line="360" w:lineRule="exact"/>
        <w:textAlignment w:val="baseline"/>
        <w:rPr>
          <w:kern w:val="0"/>
          <w:szCs w:val="20"/>
        </w:rPr>
      </w:pPr>
    </w:p>
    <w:p w:rsidR="001A7779" w:rsidRDefault="001A7779">
      <w:pPr>
        <w:spacing w:after="240" w:line="360" w:lineRule="exact"/>
        <w:rPr>
          <w:sz w:val="18"/>
        </w:rPr>
      </w:pPr>
    </w:p>
    <w:p w:rsidR="001A7779" w:rsidRDefault="001A7779">
      <w:pPr>
        <w:pStyle w:val="a3"/>
        <w:adjustRightInd w:val="0"/>
        <w:spacing w:line="120" w:lineRule="exact"/>
        <w:textAlignment w:val="baseline"/>
        <w:rPr>
          <w:kern w:val="0"/>
          <w:szCs w:val="20"/>
          <w:lang w:val="en-GB"/>
        </w:rPr>
      </w:pPr>
      <w:r>
        <w:rPr>
          <w:kern w:val="0"/>
          <w:szCs w:val="20"/>
          <w:lang w:val="en-GB"/>
        </w:rPr>
        <w:br w:type="page"/>
      </w:r>
    </w:p>
    <w:p w:rsidR="001A7779" w:rsidRDefault="001A7779">
      <w:pPr>
        <w:pStyle w:val="HCh"/>
        <w:jc w:val="center"/>
        <w:rPr>
          <w:rFonts w:hint="eastAsia"/>
        </w:rPr>
      </w:pPr>
      <w:r>
        <w:rPr>
          <w:rFonts w:hint="eastAsia"/>
        </w:rPr>
        <w:t>导 言</w:t>
      </w:r>
    </w:p>
    <w:p w:rsidR="001A7779" w:rsidRDefault="001A7779">
      <w:pPr>
        <w:tabs>
          <w:tab w:val="left" w:pos="630"/>
        </w:tabs>
        <w:spacing w:after="240" w:line="360" w:lineRule="exact"/>
      </w:pPr>
      <w:r>
        <w:rPr>
          <w:rFonts w:hint="eastAsia"/>
        </w:rPr>
        <w:tab/>
      </w:r>
      <w:r>
        <w:rPr>
          <w:rFonts w:hint="eastAsia"/>
        </w:rPr>
        <w:t>在就《消除对妇女一切形式歧视公约》条款执行情况提出报告方面，斯洛文尼亚努力遵守《公约》第</w:t>
      </w:r>
      <w:r>
        <w:rPr>
          <w:rFonts w:hint="eastAsia"/>
        </w:rPr>
        <w:t>18</w:t>
      </w:r>
      <w:r>
        <w:rPr>
          <w:rFonts w:hint="eastAsia"/>
        </w:rPr>
        <w:t>条规定的各项义务，它认为，向监督机构提交报告，为通过审视国家的立法、政策和做法来评估在实现《公约》的理想和标准方面取得的进展提供了大好机会，同时还可以明确妨碍妇女充分享有一切公民、政治、经济、社会和文化权利的问题和障碍。</w:t>
      </w:r>
      <w:r>
        <w:t xml:space="preserve"> </w:t>
      </w:r>
    </w:p>
    <w:p w:rsidR="001A7779" w:rsidRDefault="001A7779">
      <w:pPr>
        <w:tabs>
          <w:tab w:val="left" w:pos="630"/>
        </w:tabs>
        <w:spacing w:after="240" w:line="360" w:lineRule="exact"/>
      </w:pPr>
      <w:r>
        <w:rPr>
          <w:rFonts w:hint="eastAsia"/>
        </w:rPr>
        <w:tab/>
      </w:r>
      <w:r>
        <w:rPr>
          <w:rFonts w:hint="eastAsia"/>
        </w:rPr>
        <w:t>在编制第四次报告时，参照了以下文件：</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消除对妇女歧视委员会所通过的关于报告的格式和内容的准则，适用于</w:t>
      </w:r>
      <w:r>
        <w:rPr>
          <w:rFonts w:hint="eastAsia"/>
        </w:rPr>
        <w:t>2002</w:t>
      </w:r>
      <w:r>
        <w:rPr>
          <w:rFonts w:hint="eastAsia"/>
        </w:rPr>
        <w:t>年</w:t>
      </w:r>
      <w:r>
        <w:rPr>
          <w:rFonts w:hint="eastAsia"/>
        </w:rPr>
        <w:t>12</w:t>
      </w:r>
      <w:r>
        <w:rPr>
          <w:rFonts w:hint="eastAsia"/>
        </w:rPr>
        <w:t>月</w:t>
      </w:r>
      <w:r>
        <w:rPr>
          <w:rFonts w:hint="eastAsia"/>
        </w:rPr>
        <w:t>31</w:t>
      </w:r>
      <w:r>
        <w:rPr>
          <w:rFonts w:hint="eastAsia"/>
        </w:rPr>
        <w:t>日以后提交该委员会的所有报告；</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消除对妇女歧视委员会关于《公约》各项条款的一般性评论；</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为人权条约机构主持人第十七次会议编制的关于向国际人权条约监督机构提交报告的统一准则草案；</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斯洛文尼亚按照与人权问题有关的联合国盟约、公约和议定书编制和提出报告以及执行监督各缔约国履行国际义务的机构的建议的准则，斯洛文尼亚共和国政府于</w:t>
      </w:r>
      <w:r>
        <w:rPr>
          <w:rFonts w:hint="eastAsia"/>
        </w:rPr>
        <w:t>2005</w:t>
      </w:r>
      <w:r>
        <w:rPr>
          <w:rFonts w:hint="eastAsia"/>
        </w:rPr>
        <w:t>年</w:t>
      </w:r>
      <w:r>
        <w:rPr>
          <w:rFonts w:hint="eastAsia"/>
        </w:rPr>
        <w:t>3</w:t>
      </w:r>
      <w:r>
        <w:rPr>
          <w:rFonts w:hint="eastAsia"/>
        </w:rPr>
        <w:t>月</w:t>
      </w:r>
      <w:r>
        <w:rPr>
          <w:rFonts w:hint="eastAsia"/>
        </w:rPr>
        <w:t>3</w:t>
      </w:r>
      <w:r>
        <w:rPr>
          <w:rFonts w:hint="eastAsia"/>
        </w:rPr>
        <w:t>日通过；</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消除对妇女歧视委员会第二十九届会议审议斯洛文尼亚的第二次和第三次定期报告的结论意见中的建议（</w:t>
      </w:r>
      <w:r>
        <w:rPr>
          <w:rFonts w:hint="eastAsia"/>
        </w:rPr>
        <w:t>2003</w:t>
      </w:r>
      <w:r>
        <w:rPr>
          <w:rFonts w:hint="eastAsia"/>
        </w:rPr>
        <w:t>年</w:t>
      </w:r>
      <w:r>
        <w:rPr>
          <w:rFonts w:hint="eastAsia"/>
        </w:rPr>
        <w:t>7</w:t>
      </w:r>
      <w:r>
        <w:rPr>
          <w:rFonts w:hint="eastAsia"/>
        </w:rPr>
        <w:t>月</w:t>
      </w:r>
      <w:r>
        <w:rPr>
          <w:rFonts w:hint="eastAsia"/>
        </w:rPr>
        <w:t>10</w:t>
      </w:r>
      <w:r>
        <w:rPr>
          <w:rFonts w:hint="eastAsia"/>
        </w:rPr>
        <w:t>日）。</w:t>
      </w:r>
    </w:p>
    <w:p w:rsidR="001A7779" w:rsidRDefault="001A7779">
      <w:pPr>
        <w:tabs>
          <w:tab w:val="left" w:pos="630"/>
        </w:tabs>
        <w:spacing w:after="240" w:line="360" w:lineRule="exact"/>
      </w:pPr>
      <w:r>
        <w:rPr>
          <w:rFonts w:hint="eastAsia"/>
        </w:rPr>
        <w:tab/>
      </w:r>
      <w:r>
        <w:rPr>
          <w:rFonts w:hint="eastAsia"/>
        </w:rPr>
        <w:t>本报告特别介绍了在提交上次报告（</w:t>
      </w:r>
      <w:r>
        <w:rPr>
          <w:rFonts w:hint="eastAsia"/>
        </w:rPr>
        <w:t>2002</w:t>
      </w:r>
      <w:r>
        <w:rPr>
          <w:rFonts w:hint="eastAsia"/>
        </w:rPr>
        <w:t>年</w:t>
      </w:r>
      <w:r>
        <w:rPr>
          <w:rFonts w:hint="eastAsia"/>
        </w:rPr>
        <w:t>12</w:t>
      </w:r>
      <w:r>
        <w:rPr>
          <w:rFonts w:hint="eastAsia"/>
        </w:rPr>
        <w:t>月）之后这一时期在执行《公约》各项条款方面的发展情况，以及消除对妇女歧视委员会在其关于审议斯洛文尼亚的第二次和第三次定期报告的报告中所要求提供的信息和资料。所有各部委和政府机构都参与了本报告的起草工作，对于在受《公约》支配的这一领域中积极发挥作用的非政府组织，则要求它们提出自己的意见和建议，以补充和修正报告内容。</w:t>
      </w:r>
      <w:r>
        <w:t xml:space="preserve"> </w:t>
      </w:r>
    </w:p>
    <w:p w:rsidR="001A7779" w:rsidRDefault="001A7779">
      <w:pPr>
        <w:tabs>
          <w:tab w:val="left" w:pos="630"/>
        </w:tabs>
        <w:spacing w:after="240" w:line="360" w:lineRule="exact"/>
        <w:rPr>
          <w:rFonts w:hint="eastAsia"/>
        </w:rPr>
      </w:pPr>
      <w:r>
        <w:rPr>
          <w:rFonts w:hint="eastAsia"/>
        </w:rPr>
        <w:tab/>
      </w:r>
      <w:r>
        <w:rPr>
          <w:rFonts w:hint="eastAsia"/>
        </w:rPr>
        <w:t>对于</w:t>
      </w:r>
      <w:r>
        <w:rPr>
          <w:rFonts w:hint="eastAsia"/>
        </w:rPr>
        <w:t>2003</w:t>
      </w:r>
      <w:r>
        <w:rPr>
          <w:rFonts w:hint="eastAsia"/>
        </w:rPr>
        <w:t>年消除对妇女歧视委员会第二十九届会议合并审议斯洛文尼亚关于《消除对妇女一切形式歧视公约》条款执行情况的第二次和第三次定期报告后发表的一份书面报告，斯洛文尼亚共和国代表团在一次新闻发布会上向公众介绍了报告中所述委员会的意见。代表团邀请了一个非政府组织的代表出席该新闻发布会，该组织始终在关注委员会对斯洛文尼亚的报告的审议工作。斯洛文尼亚共和国政府审议了代表团的报告和</w:t>
      </w:r>
      <w:r>
        <w:rPr>
          <w:rFonts w:hint="eastAsia"/>
        </w:rPr>
        <w:t>2003</w:t>
      </w:r>
      <w:r>
        <w:rPr>
          <w:rFonts w:hint="eastAsia"/>
        </w:rPr>
        <w:t>年</w:t>
      </w:r>
      <w:r>
        <w:rPr>
          <w:rFonts w:hint="eastAsia"/>
        </w:rPr>
        <w:t>9</w:t>
      </w:r>
      <w:r>
        <w:rPr>
          <w:rFonts w:hint="eastAsia"/>
        </w:rPr>
        <w:t>月</w:t>
      </w:r>
      <w:r>
        <w:rPr>
          <w:rFonts w:hint="eastAsia"/>
        </w:rPr>
        <w:t>9</w:t>
      </w:r>
      <w:r>
        <w:rPr>
          <w:rFonts w:hint="eastAsia"/>
        </w:rPr>
        <w:t>日消除对妇女歧视委员会的结论意见，并通过一项决定，责令各级部委和政府机构研究委员会的结论意见，并采取措施执行委员会的建议，以确保斯洛文尼亚在其下次定期报告中按照委员会的要求尽可能提供更多的信息和资料。在平等机会办公室网站上发表斯洛文尼亚的这些报告以及消除对妇女歧视委员会的结论意见的译文时，除别的以外，还向广大公众宣传在执行《消除对妇女一切形式歧视公约》条款方面取得的进展以及不足之处。</w:t>
      </w:r>
    </w:p>
    <w:p w:rsidR="001A7779" w:rsidRDefault="001A7779">
      <w:pPr>
        <w:pStyle w:val="HCh"/>
        <w:jc w:val="center"/>
        <w:rPr>
          <w:rFonts w:hint="eastAsia"/>
        </w:rPr>
      </w:pPr>
      <w:r>
        <w:rPr>
          <w:rFonts w:hint="eastAsia"/>
        </w:rPr>
        <w:t>一般情况</w:t>
      </w:r>
    </w:p>
    <w:p w:rsidR="001A7779" w:rsidRDefault="001A7779">
      <w:pPr>
        <w:pStyle w:val="H1"/>
        <w:spacing w:before="120"/>
      </w:pPr>
      <w:r>
        <w:t>（a）</w:t>
      </w:r>
      <w:r>
        <w:tab/>
      </w:r>
      <w:r>
        <w:rPr>
          <w:rFonts w:hint="eastAsia"/>
        </w:rPr>
        <w:t>斯洛文尼亚采取各种方法消除对妇女一切形式歧视的情况</w:t>
      </w:r>
    </w:p>
    <w:p w:rsidR="001A7779" w:rsidRDefault="001A7779">
      <w:pPr>
        <w:tabs>
          <w:tab w:val="left" w:pos="630"/>
        </w:tabs>
        <w:spacing w:after="240" w:line="360" w:lineRule="exact"/>
        <w:rPr>
          <w:rFonts w:eastAsia="SimHei" w:hint="eastAsia"/>
          <w:color w:val="FF0000"/>
        </w:rPr>
      </w:pPr>
      <w:r>
        <w:rPr>
          <w:rFonts w:eastAsia="SimHei" w:hint="eastAsia"/>
          <w:color w:val="FF0000"/>
        </w:rPr>
        <w:t>人口</w:t>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基本数据</w:t>
      </w:r>
    </w:p>
    <w:p w:rsidR="001A7779" w:rsidRDefault="001A7779">
      <w:pPr>
        <w:tabs>
          <w:tab w:val="left" w:pos="630"/>
        </w:tabs>
        <w:spacing w:after="240" w:line="360" w:lineRule="exact"/>
        <w:rPr>
          <w:rFonts w:hint="eastAsia"/>
        </w:rPr>
      </w:pPr>
      <w:r>
        <w:rPr>
          <w:rFonts w:hint="eastAsia"/>
        </w:rPr>
        <w:tab/>
        <w:t>2004</w:t>
      </w:r>
      <w:r>
        <w:rPr>
          <w:rFonts w:hint="eastAsia"/>
        </w:rPr>
        <w:t>年底，斯洛文尼亚的总人口</w:t>
      </w:r>
      <w:r>
        <w:rPr>
          <w:rFonts w:hint="eastAsia"/>
        </w:rPr>
        <w:t xml:space="preserve">1 </w:t>
      </w:r>
      <w:r>
        <w:t>997 590</w:t>
      </w:r>
      <w:r>
        <w:rPr>
          <w:rFonts w:hint="eastAsia"/>
        </w:rPr>
        <w:t>人，其中男性</w:t>
      </w:r>
      <w:r>
        <w:t>977 052</w:t>
      </w:r>
      <w:r>
        <w:rPr>
          <w:rFonts w:hint="eastAsia"/>
        </w:rPr>
        <w:t>人，女性</w:t>
      </w:r>
      <w:r>
        <w:t>1 020 538</w:t>
      </w:r>
      <w:r>
        <w:rPr>
          <w:rFonts w:hint="eastAsia"/>
        </w:rPr>
        <w:t>人。女性占总人口的</w:t>
      </w:r>
      <w:r>
        <w:t>51.19</w:t>
      </w:r>
      <w:r>
        <w:rPr>
          <w:rFonts w:hint="eastAsia"/>
        </w:rPr>
        <w:t>%</w:t>
      </w:r>
      <w:r>
        <w:rPr>
          <w:rFonts w:hint="eastAsia"/>
        </w:rPr>
        <w:t>。与第三次报告所列数据相比，截至</w:t>
      </w:r>
      <w:r>
        <w:rPr>
          <w:rFonts w:hint="eastAsia"/>
        </w:rPr>
        <w:t>2004</w:t>
      </w:r>
      <w:r>
        <w:rPr>
          <w:rFonts w:hint="eastAsia"/>
        </w:rPr>
        <w:t>年人口略有增长，但女性比例下降了</w:t>
      </w:r>
      <w:r>
        <w:t>0.1</w:t>
      </w:r>
      <w:r>
        <w:rPr>
          <w:rFonts w:hint="eastAsia"/>
        </w:rPr>
        <w:t>%</w:t>
      </w:r>
      <w:r>
        <w:rPr>
          <w:rFonts w:hint="eastAsia"/>
        </w:rPr>
        <w:t>。</w:t>
      </w:r>
      <w:r>
        <w:rPr>
          <w:rStyle w:val="FootnoteReference"/>
          <w:sz w:val="24"/>
          <w:szCs w:val="24"/>
        </w:rPr>
        <w:footnoteReference w:id="1"/>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生育率和堕胎率</w:t>
      </w:r>
    </w:p>
    <w:p w:rsidR="001A7779" w:rsidRDefault="001A7779">
      <w:pPr>
        <w:tabs>
          <w:tab w:val="left" w:pos="630"/>
        </w:tabs>
        <w:spacing w:after="240" w:line="360" w:lineRule="exact"/>
        <w:rPr>
          <w:rFonts w:hint="eastAsia"/>
        </w:rPr>
      </w:pPr>
      <w:r>
        <w:rPr>
          <w:rFonts w:hint="eastAsia"/>
        </w:rPr>
        <w:tab/>
      </w:r>
      <w:r>
        <w:t>2000-2004</w:t>
      </w:r>
      <w:r>
        <w:rPr>
          <w:rFonts w:hint="eastAsia"/>
        </w:rPr>
        <w:t>年期间数据表明，</w:t>
      </w:r>
      <w:r>
        <w:rPr>
          <w:rFonts w:hint="eastAsia"/>
        </w:rPr>
        <w:t>2004</w:t>
      </w:r>
      <w:r>
        <w:rPr>
          <w:rFonts w:hint="eastAsia"/>
        </w:rPr>
        <w:t>年斯洛文尼亚每千人口活产婴儿为</w:t>
      </w:r>
      <w:r>
        <w:rPr>
          <w:rFonts w:hint="eastAsia"/>
        </w:rPr>
        <w:t>9</w:t>
      </w:r>
      <w:r>
        <w:rPr>
          <w:rFonts w:hint="eastAsia"/>
        </w:rPr>
        <w:t>名，进入生育率极低的国家行列。然而，</w:t>
      </w:r>
      <w:r>
        <w:rPr>
          <w:rFonts w:hint="eastAsia"/>
        </w:rPr>
        <w:t>2001</w:t>
      </w:r>
      <w:r>
        <w:rPr>
          <w:rFonts w:hint="eastAsia"/>
        </w:rPr>
        <w:t>年（</w:t>
      </w:r>
      <w:r>
        <w:t>17 477</w:t>
      </w:r>
      <w:r>
        <w:rPr>
          <w:rFonts w:hint="eastAsia"/>
        </w:rPr>
        <w:t>名活产婴儿）和</w:t>
      </w:r>
      <w:r>
        <w:rPr>
          <w:rFonts w:hint="eastAsia"/>
        </w:rPr>
        <w:t>2004</w:t>
      </w:r>
      <w:r>
        <w:rPr>
          <w:rFonts w:hint="eastAsia"/>
        </w:rPr>
        <w:t>年（</w:t>
      </w:r>
      <w:r>
        <w:t xml:space="preserve">17 </w:t>
      </w:r>
      <w:r>
        <w:rPr>
          <w:rFonts w:hint="eastAsia"/>
        </w:rPr>
        <w:t>961</w:t>
      </w:r>
      <w:r>
        <w:rPr>
          <w:rFonts w:hint="eastAsia"/>
        </w:rPr>
        <w:t>名活产婴儿）的活产婴儿人数则表明生育率在逐渐上升。初次生育的母亲的平均年龄上升，</w:t>
      </w:r>
      <w:r>
        <w:rPr>
          <w:rFonts w:hint="eastAsia"/>
        </w:rPr>
        <w:t>2004</w:t>
      </w:r>
      <w:r>
        <w:rPr>
          <w:rFonts w:hint="eastAsia"/>
        </w:rPr>
        <w:t>年为</w:t>
      </w:r>
      <w:r>
        <w:t>29.2</w:t>
      </w:r>
      <w:r>
        <w:rPr>
          <w:rFonts w:hint="eastAsia"/>
        </w:rPr>
        <w:t>岁，而</w:t>
      </w:r>
      <w:r>
        <w:rPr>
          <w:rFonts w:hint="eastAsia"/>
        </w:rPr>
        <w:t>2001</w:t>
      </w:r>
      <w:r>
        <w:rPr>
          <w:rFonts w:hint="eastAsia"/>
        </w:rPr>
        <w:t>年则为</w:t>
      </w:r>
      <w:r>
        <w:t>28.5</w:t>
      </w:r>
      <w:r>
        <w:rPr>
          <w:rFonts w:hint="eastAsia"/>
        </w:rPr>
        <w:t>岁（关于活产婴儿母亲年龄的数据）。</w:t>
      </w:r>
      <w:r>
        <w:rPr>
          <w:vertAlign w:val="superscript"/>
        </w:rPr>
        <w:footnoteReference w:id="2"/>
      </w:r>
      <w:r>
        <w:rPr>
          <w:rFonts w:hint="eastAsia"/>
        </w:rPr>
        <w:t>合法堕胎数逐年下降。</w:t>
      </w:r>
      <w:r>
        <w:rPr>
          <w:rFonts w:hint="eastAsia"/>
        </w:rPr>
        <w:t>2000</w:t>
      </w:r>
      <w:r>
        <w:rPr>
          <w:rFonts w:hint="eastAsia"/>
        </w:rPr>
        <w:t>年，合法堕胎数为</w:t>
      </w:r>
      <w:r>
        <w:t>8 429</w:t>
      </w:r>
      <w:r>
        <w:rPr>
          <w:rFonts w:hint="eastAsia"/>
        </w:rPr>
        <w:t>宗，</w:t>
      </w:r>
      <w:r>
        <w:rPr>
          <w:rFonts w:hint="eastAsia"/>
        </w:rPr>
        <w:t>2001</w:t>
      </w:r>
      <w:r>
        <w:rPr>
          <w:rFonts w:hint="eastAsia"/>
        </w:rPr>
        <w:t>年为</w:t>
      </w:r>
      <w:r>
        <w:t>7 799</w:t>
      </w:r>
      <w:r>
        <w:rPr>
          <w:rFonts w:hint="eastAsia"/>
        </w:rPr>
        <w:t>宗，</w:t>
      </w:r>
      <w:r>
        <w:rPr>
          <w:rFonts w:hint="eastAsia"/>
        </w:rPr>
        <w:t>2002</w:t>
      </w:r>
      <w:r>
        <w:rPr>
          <w:rFonts w:hint="eastAsia"/>
        </w:rPr>
        <w:t>年为</w:t>
      </w:r>
      <w:r>
        <w:t>7 327</w:t>
      </w:r>
      <w:r>
        <w:rPr>
          <w:rFonts w:hint="eastAsia"/>
        </w:rPr>
        <w:t>宗。</w:t>
      </w:r>
      <w:r>
        <w:rPr>
          <w:vertAlign w:val="superscript"/>
        </w:rPr>
        <w:footnoteReference w:id="3"/>
      </w:r>
      <w:r>
        <w:rPr>
          <w:rFonts w:hint="eastAsia"/>
        </w:rPr>
        <w:t>2003</w:t>
      </w:r>
      <w:r>
        <w:rPr>
          <w:rFonts w:hint="eastAsia"/>
        </w:rPr>
        <w:t>年合法堕胎率为每</w:t>
      </w:r>
      <w:r>
        <w:rPr>
          <w:rFonts w:hint="eastAsia"/>
        </w:rPr>
        <w:t>1 000</w:t>
      </w:r>
      <w:r>
        <w:rPr>
          <w:rFonts w:hint="eastAsia"/>
        </w:rPr>
        <w:t>名育龄妇女有</w:t>
      </w:r>
      <w:r>
        <w:t>13.5</w:t>
      </w:r>
      <w:r>
        <w:rPr>
          <w:rFonts w:hint="eastAsia"/>
        </w:rPr>
        <w:t>宗堕胎，过去十年间合法堕胎率已大大下降（</w:t>
      </w:r>
      <w:r>
        <w:rPr>
          <w:rFonts w:hint="eastAsia"/>
        </w:rPr>
        <w:t>1995</w:t>
      </w:r>
      <w:r>
        <w:rPr>
          <w:rFonts w:hint="eastAsia"/>
        </w:rPr>
        <w:t>年堕胎率为每</w:t>
      </w:r>
      <w:r>
        <w:rPr>
          <w:rFonts w:hint="eastAsia"/>
        </w:rPr>
        <w:t>1 000</w:t>
      </w:r>
      <w:r>
        <w:rPr>
          <w:rFonts w:hint="eastAsia"/>
        </w:rPr>
        <w:t>名育龄妇女有</w:t>
      </w:r>
      <w:r>
        <w:t>20.8</w:t>
      </w:r>
      <w:r>
        <w:rPr>
          <w:rFonts w:hint="eastAsia"/>
        </w:rPr>
        <w:t>宗堕胎）。</w:t>
      </w:r>
    </w:p>
    <w:p w:rsidR="001A7779" w:rsidRDefault="001A7779">
      <w:pPr>
        <w:tabs>
          <w:tab w:val="left" w:pos="630"/>
        </w:tabs>
        <w:spacing w:after="240" w:line="360" w:lineRule="exact"/>
        <w:rPr>
          <w:rFonts w:ascii="KaiTi_GB2312" w:eastAsia="KaiTi_GB2312"/>
          <w:iCs/>
          <w:color w:val="0000FF"/>
        </w:rPr>
      </w:pPr>
      <w:r>
        <w:rPr>
          <w:rFonts w:ascii="KaiTi_GB2312" w:eastAsia="KaiTi_GB2312" w:hint="eastAsia"/>
          <w:iCs/>
          <w:color w:val="0000FF"/>
        </w:rPr>
        <w:t>结婚和离婚</w:t>
      </w:r>
      <w:r>
        <w:rPr>
          <w:rFonts w:ascii="KaiTi_GB2312" w:eastAsia="KaiTi_GB2312"/>
          <w:iCs/>
          <w:color w:val="0000FF"/>
        </w:rPr>
        <w:t xml:space="preserve"> </w:t>
      </w:r>
    </w:p>
    <w:p w:rsidR="001A7779" w:rsidRDefault="001A7779">
      <w:pPr>
        <w:tabs>
          <w:tab w:val="left" w:pos="630"/>
        </w:tabs>
        <w:spacing w:after="240" w:line="360" w:lineRule="exact"/>
        <w:rPr>
          <w:rFonts w:hint="eastAsia"/>
        </w:rPr>
      </w:pPr>
      <w:r>
        <w:rPr>
          <w:rFonts w:hint="eastAsia"/>
        </w:rPr>
        <w:tab/>
      </w:r>
      <w:r>
        <w:rPr>
          <w:rFonts w:hint="eastAsia"/>
        </w:rPr>
        <w:t>与</w:t>
      </w:r>
      <w:r>
        <w:rPr>
          <w:rFonts w:hint="eastAsia"/>
        </w:rPr>
        <w:t>2000</w:t>
      </w:r>
      <w:r>
        <w:rPr>
          <w:rFonts w:hint="eastAsia"/>
        </w:rPr>
        <w:t>年相比，</w:t>
      </w:r>
      <w:r>
        <w:rPr>
          <w:rFonts w:hint="eastAsia"/>
        </w:rPr>
        <w:t>2004</w:t>
      </w:r>
      <w:r>
        <w:rPr>
          <w:rFonts w:hint="eastAsia"/>
        </w:rPr>
        <w:t>年结婚人数大大下降，而离婚人数则有所上升。</w:t>
      </w:r>
      <w:r>
        <w:rPr>
          <w:rFonts w:hint="eastAsia"/>
        </w:rPr>
        <w:t>2000</w:t>
      </w:r>
      <w:r>
        <w:rPr>
          <w:rFonts w:hint="eastAsia"/>
        </w:rPr>
        <w:t>年有</w:t>
      </w:r>
      <w:r>
        <w:rPr>
          <w:rFonts w:hint="eastAsia"/>
        </w:rPr>
        <w:t>7 201</w:t>
      </w:r>
      <w:r>
        <w:rPr>
          <w:rFonts w:hint="eastAsia"/>
        </w:rPr>
        <w:t>对男女结婚，</w:t>
      </w:r>
      <w:r>
        <w:t>2 125</w:t>
      </w:r>
      <w:r>
        <w:rPr>
          <w:rFonts w:hint="eastAsia"/>
        </w:rPr>
        <w:t>对夫妇离婚。</w:t>
      </w:r>
      <w:r>
        <w:rPr>
          <w:rFonts w:hint="eastAsia"/>
        </w:rPr>
        <w:t>2004</w:t>
      </w:r>
      <w:r>
        <w:rPr>
          <w:rFonts w:hint="eastAsia"/>
        </w:rPr>
        <w:t>年有</w:t>
      </w:r>
      <w:r>
        <w:t>6 558</w:t>
      </w:r>
      <w:r>
        <w:rPr>
          <w:rFonts w:hint="eastAsia"/>
        </w:rPr>
        <w:t>对男女结婚，少了</w:t>
      </w:r>
      <w:r>
        <w:rPr>
          <w:rFonts w:hint="eastAsia"/>
        </w:rPr>
        <w:t>643</w:t>
      </w:r>
      <w:r>
        <w:rPr>
          <w:rFonts w:hint="eastAsia"/>
        </w:rPr>
        <w:t>对缔婚男女，但同一年却多了</w:t>
      </w:r>
      <w:r>
        <w:rPr>
          <w:rFonts w:hint="eastAsia"/>
        </w:rPr>
        <w:t>286</w:t>
      </w:r>
      <w:r>
        <w:rPr>
          <w:rFonts w:hint="eastAsia"/>
        </w:rPr>
        <w:t>对离婚夫妇。结婚时新娘新郎的平均年龄逐年提高，</w:t>
      </w:r>
      <w:r>
        <w:rPr>
          <w:rFonts w:hint="eastAsia"/>
        </w:rPr>
        <w:t>2004</w:t>
      </w:r>
      <w:r>
        <w:rPr>
          <w:rFonts w:hint="eastAsia"/>
        </w:rPr>
        <w:t>年新郎平均年龄为</w:t>
      </w:r>
      <w:r>
        <w:t>32.6</w:t>
      </w:r>
      <w:r>
        <w:rPr>
          <w:rFonts w:hint="eastAsia"/>
        </w:rPr>
        <w:t>岁，新娘平均年龄为</w:t>
      </w:r>
      <w:r>
        <w:t>29.6</w:t>
      </w:r>
      <w:r>
        <w:rPr>
          <w:rFonts w:hint="eastAsia"/>
        </w:rPr>
        <w:t>岁。</w:t>
      </w:r>
      <w:r>
        <w:rPr>
          <w:vertAlign w:val="superscript"/>
        </w:rPr>
        <w:footnoteReference w:id="4"/>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人口老化和死亡率</w:t>
      </w:r>
    </w:p>
    <w:p w:rsidR="001A7779" w:rsidRDefault="001A7779">
      <w:pPr>
        <w:tabs>
          <w:tab w:val="left" w:pos="630"/>
        </w:tabs>
        <w:spacing w:after="240" w:line="360" w:lineRule="exact"/>
      </w:pPr>
      <w:r>
        <w:rPr>
          <w:rFonts w:hint="eastAsia"/>
        </w:rPr>
        <w:tab/>
      </w:r>
      <w:r>
        <w:rPr>
          <w:rFonts w:hint="eastAsia"/>
        </w:rPr>
        <w:t>人口年龄结构的数据显示，发达社会特有的人口老龄化趋势在延续。</w:t>
      </w:r>
      <w:r>
        <w:rPr>
          <w:rFonts w:hint="eastAsia"/>
        </w:rPr>
        <w:t>2003-2004</w:t>
      </w:r>
      <w:r>
        <w:rPr>
          <w:rFonts w:hint="eastAsia"/>
        </w:rPr>
        <w:t>年期间人口平均寿命为</w:t>
      </w:r>
      <w:r>
        <w:t>77.4</w:t>
      </w:r>
      <w:r>
        <w:rPr>
          <w:rFonts w:hint="eastAsia"/>
        </w:rPr>
        <w:t>岁，更准确地说，男性为</w:t>
      </w:r>
      <w:r>
        <w:t>73.5</w:t>
      </w:r>
      <w:r>
        <w:rPr>
          <w:rFonts w:hint="eastAsia"/>
        </w:rPr>
        <w:t>岁，女性为</w:t>
      </w:r>
      <w:r>
        <w:t>81.1</w:t>
      </w:r>
      <w:r>
        <w:rPr>
          <w:rFonts w:hint="eastAsia"/>
        </w:rPr>
        <w:t>岁。与</w:t>
      </w:r>
      <w:r>
        <w:rPr>
          <w:rFonts w:hint="eastAsia"/>
        </w:rPr>
        <w:t>2000-2001</w:t>
      </w:r>
      <w:r>
        <w:rPr>
          <w:rFonts w:hint="eastAsia"/>
        </w:rPr>
        <w:t>年年底的数据（</w:t>
      </w:r>
      <w:r>
        <w:t>75.9</w:t>
      </w:r>
      <w:r>
        <w:rPr>
          <w:rFonts w:hint="eastAsia"/>
        </w:rPr>
        <w:t>岁）相比，</w:t>
      </w:r>
      <w:r>
        <w:rPr>
          <w:rFonts w:hint="eastAsia"/>
        </w:rPr>
        <w:t>2003-2004</w:t>
      </w:r>
      <w:r>
        <w:rPr>
          <w:rFonts w:hint="eastAsia"/>
        </w:rPr>
        <w:t>年期间的预期寿命增长了</w:t>
      </w:r>
      <w:r>
        <w:t>1.5</w:t>
      </w:r>
      <w:r>
        <w:rPr>
          <w:rFonts w:hint="eastAsia"/>
        </w:rPr>
        <w:t>岁。</w:t>
      </w:r>
      <w:r>
        <w:rPr>
          <w:rStyle w:val="FootnoteReference"/>
          <w:szCs w:val="24"/>
        </w:rPr>
        <w:footnoteReference w:id="5"/>
      </w:r>
    </w:p>
    <w:p w:rsidR="001A7779" w:rsidRDefault="001A7779">
      <w:pPr>
        <w:tabs>
          <w:tab w:val="left" w:pos="630"/>
        </w:tabs>
        <w:spacing w:after="240" w:line="340" w:lineRule="exact"/>
        <w:rPr>
          <w:rFonts w:hint="eastAsia"/>
        </w:rPr>
      </w:pPr>
      <w:r>
        <w:rPr>
          <w:rFonts w:hint="eastAsia"/>
        </w:rPr>
        <w:tab/>
      </w:r>
      <w:r>
        <w:rPr>
          <w:rFonts w:hint="eastAsia"/>
        </w:rPr>
        <w:t>死亡率数据显示，过去五年中死亡率变化不大（</w:t>
      </w:r>
      <w:r>
        <w:rPr>
          <w:rFonts w:hint="eastAsia"/>
        </w:rPr>
        <w:t>2000</w:t>
      </w:r>
      <w:r>
        <w:rPr>
          <w:rFonts w:hint="eastAsia"/>
        </w:rPr>
        <w:t>年为</w:t>
      </w:r>
      <w:r>
        <w:t>18 588</w:t>
      </w:r>
      <w:r>
        <w:rPr>
          <w:rFonts w:hint="eastAsia"/>
        </w:rPr>
        <w:t>例死亡，</w:t>
      </w:r>
      <w:r>
        <w:rPr>
          <w:rFonts w:hint="eastAsia"/>
        </w:rPr>
        <w:t>2004</w:t>
      </w:r>
      <w:r>
        <w:rPr>
          <w:rFonts w:hint="eastAsia"/>
        </w:rPr>
        <w:t>年为</w:t>
      </w:r>
      <w:r>
        <w:t>18 523</w:t>
      </w:r>
      <w:r>
        <w:rPr>
          <w:rFonts w:hint="eastAsia"/>
        </w:rPr>
        <w:t>例死亡）。婴儿死亡率较低，为每</w:t>
      </w:r>
      <w:r>
        <w:rPr>
          <w:rFonts w:hint="eastAsia"/>
        </w:rPr>
        <w:t>1 000</w:t>
      </w:r>
      <w:r>
        <w:rPr>
          <w:rFonts w:hint="eastAsia"/>
        </w:rPr>
        <w:t>名活产婴儿</w:t>
      </w:r>
      <w:r>
        <w:t>3.7</w:t>
      </w:r>
      <w:r>
        <w:rPr>
          <w:rFonts w:hint="eastAsia"/>
        </w:rPr>
        <w:t>例死亡。</w:t>
      </w:r>
      <w:r>
        <w:rPr>
          <w:rStyle w:val="FootnoteReference"/>
          <w:szCs w:val="24"/>
        </w:rPr>
        <w:footnoteReference w:id="6"/>
      </w:r>
    </w:p>
    <w:p w:rsidR="001A7779" w:rsidRDefault="001A7779">
      <w:pPr>
        <w:tabs>
          <w:tab w:val="left" w:pos="630"/>
        </w:tabs>
        <w:spacing w:after="240" w:line="340" w:lineRule="exact"/>
        <w:rPr>
          <w:rFonts w:eastAsia="SimHei" w:hint="eastAsia"/>
          <w:color w:val="FF0000"/>
        </w:rPr>
      </w:pPr>
      <w:r>
        <w:rPr>
          <w:rFonts w:eastAsia="SimHei" w:hint="eastAsia"/>
          <w:color w:val="FF0000"/>
        </w:rPr>
        <w:t>教育</w:t>
      </w:r>
    </w:p>
    <w:p w:rsidR="001A7779" w:rsidRDefault="001A7779">
      <w:pPr>
        <w:tabs>
          <w:tab w:val="left" w:pos="630"/>
        </w:tabs>
        <w:spacing w:after="240" w:line="340" w:lineRule="exact"/>
        <w:rPr>
          <w:rFonts w:ascii="KaiTi_GB2312" w:eastAsia="KaiTi_GB2312"/>
          <w:iCs/>
          <w:color w:val="0000FF"/>
        </w:rPr>
      </w:pPr>
      <w:r>
        <w:rPr>
          <w:rFonts w:ascii="KaiTi_GB2312" w:eastAsia="KaiTi_GB2312" w:hint="eastAsia"/>
          <w:iCs/>
          <w:color w:val="0000FF"/>
        </w:rPr>
        <w:t>初等与中等教育</w:t>
      </w:r>
    </w:p>
    <w:p w:rsidR="001A7779" w:rsidRDefault="001A7779">
      <w:pPr>
        <w:tabs>
          <w:tab w:val="left" w:pos="630"/>
        </w:tabs>
        <w:spacing w:after="240" w:line="340" w:lineRule="exact"/>
        <w:rPr>
          <w:rFonts w:hint="eastAsia"/>
        </w:rPr>
      </w:pPr>
      <w:r>
        <w:rPr>
          <w:rFonts w:hint="eastAsia"/>
        </w:rPr>
        <w:tab/>
      </w:r>
      <w:r>
        <w:rPr>
          <w:rFonts w:hint="eastAsia"/>
        </w:rPr>
        <w:t>在斯洛文尼亚，小学教育为义务教育。</w:t>
      </w:r>
      <w:r>
        <w:t>2003/2004</w:t>
      </w:r>
      <w:r>
        <w:rPr>
          <w:rFonts w:hint="eastAsia"/>
        </w:rPr>
        <w:t>学年小学入学人数为</w:t>
      </w:r>
      <w:r>
        <w:t>177 535</w:t>
      </w:r>
      <w:r>
        <w:rPr>
          <w:rFonts w:hint="eastAsia"/>
        </w:rPr>
        <w:t>人，其中女生有</w:t>
      </w:r>
      <w:r>
        <w:t>86 310</w:t>
      </w:r>
      <w:r>
        <w:rPr>
          <w:rFonts w:hint="eastAsia"/>
        </w:rPr>
        <w:t>人（</w:t>
      </w:r>
      <w:r>
        <w:t>48.6</w:t>
      </w:r>
      <w:r>
        <w:rPr>
          <w:rFonts w:hint="eastAsia"/>
        </w:rPr>
        <w:t>%</w:t>
      </w:r>
      <w:r>
        <w:rPr>
          <w:rFonts w:hint="eastAsia"/>
        </w:rPr>
        <w:t>）。同一学年有</w:t>
      </w:r>
      <w:r>
        <w:t>100 132</w:t>
      </w:r>
      <w:r>
        <w:rPr>
          <w:rFonts w:hint="eastAsia"/>
        </w:rPr>
        <w:t>名学生进入中等学校，其中女生为</w:t>
      </w:r>
      <w:r>
        <w:t>50 238</w:t>
      </w:r>
      <w:r>
        <w:rPr>
          <w:rFonts w:hint="eastAsia"/>
        </w:rPr>
        <w:t>人（</w:t>
      </w:r>
      <w:r>
        <w:t>50.2</w:t>
      </w:r>
      <w:r>
        <w:rPr>
          <w:rFonts w:hint="eastAsia"/>
        </w:rPr>
        <w:t>%</w:t>
      </w:r>
      <w:r>
        <w:rPr>
          <w:rFonts w:hint="eastAsia"/>
        </w:rPr>
        <w:t>）。可以看出，在中等教育一级女生人数依然略高于男生人数。</w:t>
      </w:r>
    </w:p>
    <w:p w:rsidR="001A7779" w:rsidRDefault="001A7779">
      <w:pPr>
        <w:tabs>
          <w:tab w:val="left" w:pos="630"/>
        </w:tabs>
        <w:spacing w:after="240" w:line="340" w:lineRule="exact"/>
        <w:rPr>
          <w:rFonts w:ascii="KaiTi_GB2312" w:eastAsia="KaiTi_GB2312" w:hint="eastAsia"/>
          <w:iCs/>
          <w:color w:val="0000FF"/>
        </w:rPr>
      </w:pPr>
      <w:r>
        <w:rPr>
          <w:rFonts w:ascii="KaiTi_GB2312" w:eastAsia="KaiTi_GB2312" w:hint="eastAsia"/>
          <w:iCs/>
          <w:color w:val="0000FF"/>
        </w:rPr>
        <w:t>高等教育</w:t>
      </w:r>
    </w:p>
    <w:p w:rsidR="001A7779" w:rsidRDefault="001A7779">
      <w:pPr>
        <w:tabs>
          <w:tab w:val="left" w:pos="630"/>
        </w:tabs>
        <w:spacing w:after="240" w:line="340" w:lineRule="exact"/>
      </w:pPr>
      <w:r>
        <w:rPr>
          <w:rFonts w:hint="eastAsia"/>
        </w:rPr>
        <w:tab/>
      </w:r>
      <w:r>
        <w:rPr>
          <w:rFonts w:hint="eastAsia"/>
        </w:rPr>
        <w:t>高等院校学生人数在逐年增加。</w:t>
      </w:r>
      <w:r>
        <w:rPr>
          <w:rFonts w:hint="eastAsia"/>
        </w:rPr>
        <w:t>2004</w:t>
      </w:r>
      <w:r>
        <w:rPr>
          <w:rFonts w:hint="eastAsia"/>
        </w:rPr>
        <w:t>年，</w:t>
      </w:r>
      <w:r>
        <w:rPr>
          <w:rFonts w:hint="eastAsia"/>
        </w:rPr>
        <w:t>19</w:t>
      </w:r>
      <w:r>
        <w:rPr>
          <w:rFonts w:hint="eastAsia"/>
        </w:rPr>
        <w:t>至</w:t>
      </w:r>
      <w:r>
        <w:rPr>
          <w:rFonts w:hint="eastAsia"/>
        </w:rPr>
        <w:t>23</w:t>
      </w:r>
      <w:r>
        <w:rPr>
          <w:rFonts w:hint="eastAsia"/>
        </w:rPr>
        <w:t>岁年龄组中几乎半数人升入高等院校。</w:t>
      </w:r>
    </w:p>
    <w:p w:rsidR="001A7779" w:rsidRDefault="001A7779">
      <w:pPr>
        <w:tabs>
          <w:tab w:val="left" w:pos="630"/>
        </w:tabs>
        <w:spacing w:after="240" w:line="340" w:lineRule="exact"/>
        <w:rPr>
          <w:rFonts w:hint="eastAsia"/>
        </w:rPr>
      </w:pPr>
      <w:r>
        <w:rPr>
          <w:rFonts w:hint="eastAsia"/>
        </w:rPr>
        <w:tab/>
      </w:r>
      <w:r>
        <w:t>2000/2001</w:t>
      </w:r>
      <w:r>
        <w:rPr>
          <w:rFonts w:hint="eastAsia"/>
        </w:rPr>
        <w:t>学年，升入大学的学生为</w:t>
      </w:r>
      <w:r>
        <w:t>82 812</w:t>
      </w:r>
      <w:r>
        <w:rPr>
          <w:rFonts w:hint="eastAsia"/>
        </w:rPr>
        <w:t>名，其中</w:t>
      </w:r>
      <w:r>
        <w:t>57.2</w:t>
      </w:r>
      <w:r>
        <w:rPr>
          <w:rFonts w:hint="eastAsia"/>
        </w:rPr>
        <w:t>%</w:t>
      </w:r>
      <w:r>
        <w:rPr>
          <w:rFonts w:hint="eastAsia"/>
        </w:rPr>
        <w:t>为女生。同年</w:t>
      </w:r>
      <w:r>
        <w:t>10 232</w:t>
      </w:r>
      <w:r>
        <w:rPr>
          <w:rFonts w:hint="eastAsia"/>
        </w:rPr>
        <w:t>名学生毕业，其中</w:t>
      </w:r>
      <w:r>
        <w:t>59.2</w:t>
      </w:r>
      <w:r>
        <w:rPr>
          <w:rFonts w:hint="eastAsia"/>
        </w:rPr>
        <w:t>%</w:t>
      </w:r>
      <w:r>
        <w:rPr>
          <w:rFonts w:hint="eastAsia"/>
        </w:rPr>
        <w:t>为女生。</w:t>
      </w:r>
      <w:r>
        <w:t>2004/2005</w:t>
      </w:r>
      <w:r>
        <w:rPr>
          <w:rFonts w:hint="eastAsia"/>
        </w:rPr>
        <w:t>学年，升入大学的学生为</w:t>
      </w:r>
      <w:r>
        <w:t>91 229</w:t>
      </w:r>
      <w:r>
        <w:rPr>
          <w:rFonts w:hint="eastAsia"/>
        </w:rPr>
        <w:t>名，其中女生有</w:t>
      </w:r>
      <w:r>
        <w:t>54 163</w:t>
      </w:r>
      <w:r>
        <w:rPr>
          <w:rFonts w:hint="eastAsia"/>
        </w:rPr>
        <w:t>名（</w:t>
      </w:r>
      <w:r>
        <w:rPr>
          <w:rFonts w:hint="eastAsia"/>
        </w:rPr>
        <w:t>59</w:t>
      </w:r>
      <w:r>
        <w:t>.</w:t>
      </w:r>
      <w:r>
        <w:rPr>
          <w:rFonts w:hint="eastAsia"/>
        </w:rPr>
        <w:t>4%</w:t>
      </w:r>
      <w:r>
        <w:rPr>
          <w:rFonts w:hint="eastAsia"/>
        </w:rPr>
        <w:t>）。在完成学业的</w:t>
      </w:r>
      <w:r>
        <w:rPr>
          <w:rFonts w:hint="eastAsia"/>
        </w:rPr>
        <w:t>11 608</w:t>
      </w:r>
      <w:r>
        <w:rPr>
          <w:rFonts w:hint="eastAsia"/>
        </w:rPr>
        <w:t>名学生中，女生有</w:t>
      </w:r>
      <w:r>
        <w:rPr>
          <w:rFonts w:hint="eastAsia"/>
        </w:rPr>
        <w:t>7 334</w:t>
      </w:r>
      <w:r>
        <w:rPr>
          <w:rFonts w:hint="eastAsia"/>
        </w:rPr>
        <w:t>名，占总人数的</w:t>
      </w:r>
      <w:r>
        <w:rPr>
          <w:rFonts w:hint="eastAsia"/>
        </w:rPr>
        <w:t>63</w:t>
      </w:r>
      <w:r>
        <w:t>.2</w:t>
      </w:r>
      <w:r>
        <w:rPr>
          <w:rFonts w:hint="eastAsia"/>
        </w:rPr>
        <w:t>%</w:t>
      </w:r>
      <w:r>
        <w:rPr>
          <w:rFonts w:hint="eastAsia"/>
        </w:rPr>
        <w:t>。决定继续在大学深造的往往多是女生，完成学业的女生比例也较高。</w:t>
      </w:r>
    </w:p>
    <w:p w:rsidR="001A7779" w:rsidRDefault="001A7779">
      <w:pPr>
        <w:tabs>
          <w:tab w:val="left" w:pos="630"/>
        </w:tabs>
        <w:spacing w:after="240" w:line="340" w:lineRule="exact"/>
        <w:rPr>
          <w:rFonts w:ascii="KaiTi_GB2312" w:eastAsia="KaiTi_GB2312" w:hint="eastAsia"/>
          <w:iCs/>
          <w:color w:val="0000FF"/>
        </w:rPr>
      </w:pPr>
      <w:r>
        <w:rPr>
          <w:rFonts w:ascii="KaiTi_GB2312" w:eastAsia="KaiTi_GB2312" w:hint="eastAsia"/>
          <w:iCs/>
          <w:color w:val="0000FF"/>
        </w:rPr>
        <w:t>研究生教育</w:t>
      </w:r>
    </w:p>
    <w:p w:rsidR="001A7779" w:rsidRDefault="001A7779">
      <w:pPr>
        <w:tabs>
          <w:tab w:val="left" w:pos="630"/>
        </w:tabs>
        <w:spacing w:after="240" w:line="340" w:lineRule="exact"/>
      </w:pPr>
      <w:r>
        <w:rPr>
          <w:rFonts w:hint="eastAsia"/>
        </w:rPr>
        <w:tab/>
        <w:t>2001</w:t>
      </w:r>
      <w:r>
        <w:rPr>
          <w:rFonts w:hint="eastAsia"/>
        </w:rPr>
        <w:t>年完成学业的硕士和专业人员中，</w:t>
      </w:r>
      <w:r>
        <w:t>50.2</w:t>
      </w:r>
      <w:r>
        <w:rPr>
          <w:rFonts w:hint="eastAsia"/>
        </w:rPr>
        <w:t>%</w:t>
      </w:r>
      <w:r>
        <w:rPr>
          <w:rFonts w:hint="eastAsia"/>
        </w:rPr>
        <w:t>是女生，</w:t>
      </w:r>
      <w:r>
        <w:rPr>
          <w:rFonts w:hint="eastAsia"/>
        </w:rPr>
        <w:t>2004</w:t>
      </w:r>
      <w:r>
        <w:rPr>
          <w:rFonts w:hint="eastAsia"/>
        </w:rPr>
        <w:t>年为</w:t>
      </w:r>
      <w:r>
        <w:t>54.4</w:t>
      </w:r>
      <w:r>
        <w:rPr>
          <w:rFonts w:hint="eastAsia"/>
        </w:rPr>
        <w:t>%</w:t>
      </w:r>
      <w:r>
        <w:rPr>
          <w:rFonts w:hint="eastAsia"/>
        </w:rPr>
        <w:t>。</w:t>
      </w:r>
      <w:r>
        <w:rPr>
          <w:rFonts w:hint="eastAsia"/>
        </w:rPr>
        <w:t>2001</w:t>
      </w:r>
      <w:r>
        <w:rPr>
          <w:rFonts w:hint="eastAsia"/>
        </w:rPr>
        <w:t>年共有</w:t>
      </w:r>
      <w:r>
        <w:rPr>
          <w:rFonts w:hint="eastAsia"/>
        </w:rPr>
        <w:t>298</w:t>
      </w:r>
      <w:r>
        <w:rPr>
          <w:rFonts w:hint="eastAsia"/>
        </w:rPr>
        <w:t>名学生获得博士学位，其中</w:t>
      </w:r>
      <w:r>
        <w:t>49.0</w:t>
      </w:r>
      <w:r>
        <w:rPr>
          <w:rFonts w:hint="eastAsia"/>
        </w:rPr>
        <w:t>%</w:t>
      </w:r>
      <w:r>
        <w:rPr>
          <w:rFonts w:hint="eastAsia"/>
        </w:rPr>
        <w:t>为女生。</w:t>
      </w:r>
      <w:r>
        <w:rPr>
          <w:rFonts w:hint="eastAsia"/>
        </w:rPr>
        <w:t>2003</w:t>
      </w:r>
      <w:r>
        <w:rPr>
          <w:rFonts w:hint="eastAsia"/>
        </w:rPr>
        <w:t>年获得博士学位的女生比例下降至</w:t>
      </w:r>
      <w:r>
        <w:t>41.4</w:t>
      </w:r>
      <w:r>
        <w:rPr>
          <w:rFonts w:hint="eastAsia"/>
        </w:rPr>
        <w:t>%</w:t>
      </w:r>
      <w:r>
        <w:rPr>
          <w:rFonts w:hint="eastAsia"/>
        </w:rPr>
        <w:t>，</w:t>
      </w:r>
      <w:r>
        <w:rPr>
          <w:rFonts w:hint="eastAsia"/>
        </w:rPr>
        <w:t>2004</w:t>
      </w:r>
      <w:r>
        <w:rPr>
          <w:rFonts w:hint="eastAsia"/>
        </w:rPr>
        <w:t>年则降至</w:t>
      </w:r>
      <w:r>
        <w:t>40.6</w:t>
      </w:r>
      <w:r>
        <w:rPr>
          <w:rFonts w:hint="eastAsia"/>
        </w:rPr>
        <w:t>%</w:t>
      </w:r>
      <w:r>
        <w:rPr>
          <w:rFonts w:hint="eastAsia"/>
        </w:rPr>
        <w:t>。</w:t>
      </w:r>
    </w:p>
    <w:p w:rsidR="001A7779" w:rsidRDefault="001A7779">
      <w:pPr>
        <w:tabs>
          <w:tab w:val="left" w:pos="630"/>
        </w:tabs>
        <w:spacing w:after="240" w:line="340" w:lineRule="exact"/>
        <w:rPr>
          <w:rFonts w:eastAsia="SimHei" w:hint="eastAsia"/>
          <w:color w:val="FF0000"/>
        </w:rPr>
      </w:pPr>
      <w:r>
        <w:rPr>
          <w:rFonts w:eastAsia="SimHei" w:hint="eastAsia"/>
          <w:color w:val="FF0000"/>
        </w:rPr>
        <w:t>经济形势</w:t>
      </w:r>
    </w:p>
    <w:p w:rsidR="001A7779" w:rsidRDefault="001A7779">
      <w:pPr>
        <w:tabs>
          <w:tab w:val="left" w:pos="630"/>
        </w:tabs>
        <w:spacing w:after="240" w:line="340" w:lineRule="exact"/>
        <w:rPr>
          <w:rFonts w:ascii="KaiTi_GB2312" w:eastAsia="KaiTi_GB2312" w:hint="eastAsia"/>
          <w:iCs/>
          <w:color w:val="0000FF"/>
        </w:rPr>
      </w:pPr>
      <w:r>
        <w:rPr>
          <w:rFonts w:ascii="KaiTi_GB2312" w:eastAsia="KaiTi_GB2312" w:hint="eastAsia"/>
          <w:iCs/>
          <w:color w:val="0000FF"/>
        </w:rPr>
        <w:t>经济发展</w:t>
      </w:r>
    </w:p>
    <w:p w:rsidR="001A7779" w:rsidRDefault="001A7779">
      <w:pPr>
        <w:tabs>
          <w:tab w:val="left" w:pos="630"/>
        </w:tabs>
        <w:spacing w:after="240" w:line="340" w:lineRule="exact"/>
        <w:rPr>
          <w:rFonts w:hint="eastAsia"/>
        </w:rPr>
      </w:pPr>
      <w:r>
        <w:rPr>
          <w:rFonts w:hint="eastAsia"/>
        </w:rPr>
        <w:tab/>
      </w:r>
      <w:r>
        <w:rPr>
          <w:rFonts w:hint="eastAsia"/>
        </w:rPr>
        <w:t>斯洛文尼亚的国民生产总值一直稳步增长，</w:t>
      </w:r>
      <w:r>
        <w:rPr>
          <w:rFonts w:hint="eastAsia"/>
        </w:rPr>
        <w:t>2003</w:t>
      </w:r>
      <w:r>
        <w:rPr>
          <w:rFonts w:hint="eastAsia"/>
        </w:rPr>
        <w:t>年达到欧盟</w:t>
      </w:r>
      <w:r>
        <w:rPr>
          <w:rFonts w:hint="eastAsia"/>
        </w:rPr>
        <w:t>15</w:t>
      </w:r>
      <w:r>
        <w:rPr>
          <w:rFonts w:hint="eastAsia"/>
        </w:rPr>
        <w:t>国人均国民生产总值的</w:t>
      </w:r>
      <w:r>
        <w:rPr>
          <w:rFonts w:hint="eastAsia"/>
        </w:rPr>
        <w:t>70%</w:t>
      </w:r>
      <w:r>
        <w:rPr>
          <w:rFonts w:hint="eastAsia"/>
        </w:rPr>
        <w:t>。</w:t>
      </w:r>
      <w:r>
        <w:rPr>
          <w:rFonts w:hint="eastAsia"/>
        </w:rPr>
        <w:t>2004</w:t>
      </w:r>
      <w:r>
        <w:rPr>
          <w:rFonts w:hint="eastAsia"/>
        </w:rPr>
        <w:t>年，国内生产总值实际增长了</w:t>
      </w:r>
      <w:r>
        <w:t>4.6</w:t>
      </w:r>
      <w:r>
        <w:rPr>
          <w:rFonts w:hint="eastAsia"/>
        </w:rPr>
        <w:t>%</w:t>
      </w:r>
      <w:r>
        <w:rPr>
          <w:rFonts w:hint="eastAsia"/>
        </w:rPr>
        <w:t>，是</w:t>
      </w:r>
      <w:r>
        <w:rPr>
          <w:rFonts w:hint="eastAsia"/>
        </w:rPr>
        <w:t>1999</w:t>
      </w:r>
      <w:r>
        <w:rPr>
          <w:rFonts w:hint="eastAsia"/>
        </w:rPr>
        <w:t>年以来的最高经济增长率。</w:t>
      </w:r>
      <w:r>
        <w:rPr>
          <w:rFonts w:hint="eastAsia"/>
        </w:rPr>
        <w:t>2000</w:t>
      </w:r>
      <w:r>
        <w:rPr>
          <w:rFonts w:hint="eastAsia"/>
        </w:rPr>
        <w:t>年，人均国民生产总值为</w:t>
      </w:r>
      <w:r>
        <w:t>9 599</w:t>
      </w:r>
      <w:r>
        <w:rPr>
          <w:rFonts w:hint="eastAsia"/>
        </w:rPr>
        <w:t>美元，两年后增至</w:t>
      </w:r>
      <w:r>
        <w:t>11 088</w:t>
      </w:r>
      <w:r>
        <w:rPr>
          <w:rFonts w:hint="eastAsia"/>
        </w:rPr>
        <w:t>美元，</w:t>
      </w:r>
      <w:r>
        <w:rPr>
          <w:rFonts w:hint="eastAsia"/>
        </w:rPr>
        <w:t xml:space="preserve"> 2004</w:t>
      </w:r>
      <w:r>
        <w:rPr>
          <w:rFonts w:hint="eastAsia"/>
        </w:rPr>
        <w:t>年的最新数据表明这一年的人均国民生产总值为</w:t>
      </w:r>
      <w:r>
        <w:t>16.112</w:t>
      </w:r>
      <w:r>
        <w:rPr>
          <w:rFonts w:hint="eastAsia"/>
        </w:rPr>
        <w:t>美元。</w:t>
      </w:r>
      <w:r>
        <w:rPr>
          <w:rFonts w:hint="eastAsia"/>
        </w:rPr>
        <w:t>2004</w:t>
      </w:r>
      <w:r>
        <w:rPr>
          <w:rFonts w:hint="eastAsia"/>
        </w:rPr>
        <w:t>年，斯洛文尼亚的平均年通货膨胀率为</w:t>
      </w:r>
      <w:r>
        <w:t>3.2</w:t>
      </w:r>
      <w:r>
        <w:rPr>
          <w:rFonts w:hint="eastAsia"/>
        </w:rPr>
        <w:t>%</w:t>
      </w:r>
      <w:r>
        <w:rPr>
          <w:rFonts w:hint="eastAsia"/>
        </w:rPr>
        <w:t>。</w:t>
      </w:r>
      <w:r>
        <w:t xml:space="preserve"> </w:t>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就业与失业</w:t>
      </w:r>
    </w:p>
    <w:p w:rsidR="001A7779" w:rsidRDefault="001A7779">
      <w:pPr>
        <w:tabs>
          <w:tab w:val="left" w:pos="630"/>
        </w:tabs>
        <w:spacing w:after="240" w:line="360" w:lineRule="exact"/>
        <w:rPr>
          <w:rFonts w:hint="eastAsia"/>
        </w:rPr>
      </w:pPr>
      <w:r>
        <w:rPr>
          <w:rFonts w:hint="eastAsia"/>
        </w:rPr>
        <w:tab/>
      </w:r>
      <w:r>
        <w:t>2004</w:t>
      </w:r>
      <w:r>
        <w:rPr>
          <w:rFonts w:hint="eastAsia"/>
        </w:rPr>
        <w:t>年，参加经济活动的人口就业率为</w:t>
      </w:r>
      <w:r>
        <w:rPr>
          <w:rFonts w:hint="eastAsia"/>
        </w:rPr>
        <w:t>59%</w:t>
      </w:r>
      <w:r>
        <w:rPr>
          <w:rFonts w:hint="eastAsia"/>
        </w:rPr>
        <w:t>（其中女性为</w:t>
      </w:r>
      <w:r>
        <w:t>52.5</w:t>
      </w:r>
      <w:r>
        <w:rPr>
          <w:rFonts w:hint="eastAsia"/>
        </w:rPr>
        <w:t>%</w:t>
      </w:r>
      <w:r>
        <w:rPr>
          <w:rFonts w:hint="eastAsia"/>
        </w:rPr>
        <w:t>，男性为</w:t>
      </w:r>
      <w:r>
        <w:t>65.9</w:t>
      </w:r>
      <w:r>
        <w:rPr>
          <w:rFonts w:hint="eastAsia"/>
        </w:rPr>
        <w:t>%</w:t>
      </w:r>
      <w:r>
        <w:rPr>
          <w:rFonts w:hint="eastAsia"/>
        </w:rPr>
        <w:t>），就业</w:t>
      </w:r>
      <w:r>
        <w:rPr>
          <w:rFonts w:hint="eastAsia"/>
        </w:rPr>
        <w:t>/</w:t>
      </w:r>
      <w:r>
        <w:rPr>
          <w:rFonts w:hint="eastAsia"/>
        </w:rPr>
        <w:t>人口比率为</w:t>
      </w:r>
      <w:r>
        <w:t>55.3</w:t>
      </w:r>
      <w:r>
        <w:rPr>
          <w:rFonts w:hint="eastAsia"/>
        </w:rPr>
        <w:t>%</w:t>
      </w:r>
      <w:r>
        <w:rPr>
          <w:rFonts w:hint="eastAsia"/>
        </w:rPr>
        <w:t>（女性为</w:t>
      </w:r>
      <w:r>
        <w:t>48.9</w:t>
      </w:r>
      <w:r>
        <w:rPr>
          <w:rFonts w:hint="eastAsia"/>
        </w:rPr>
        <w:t>%</w:t>
      </w:r>
      <w:r>
        <w:rPr>
          <w:rFonts w:hint="eastAsia"/>
        </w:rPr>
        <w:t>，男性为</w:t>
      </w:r>
      <w:r>
        <w:t>62.0</w:t>
      </w:r>
      <w:r>
        <w:rPr>
          <w:rFonts w:hint="eastAsia"/>
        </w:rPr>
        <w:t>%</w:t>
      </w:r>
      <w:r>
        <w:rPr>
          <w:rFonts w:hint="eastAsia"/>
        </w:rPr>
        <w:t>）。这一时期的女性劳动力在妇女中所占比率为</w:t>
      </w:r>
      <w:r>
        <w:t>65.0</w:t>
      </w:r>
      <w:r>
        <w:rPr>
          <w:rFonts w:hint="eastAsia"/>
        </w:rPr>
        <w:t>%</w:t>
      </w:r>
      <w:r>
        <w:t>（</w:t>
      </w:r>
      <w:r>
        <w:rPr>
          <w:rFonts w:hint="eastAsia"/>
        </w:rPr>
        <w:t>与男性</w:t>
      </w:r>
      <w:r>
        <w:t>74.5</w:t>
      </w:r>
      <w:r>
        <w:rPr>
          <w:rFonts w:hint="eastAsia"/>
        </w:rPr>
        <w:t>%</w:t>
      </w:r>
      <w:r>
        <w:rPr>
          <w:rFonts w:hint="eastAsia"/>
        </w:rPr>
        <w:t>相比），女性就业人口在妇女中所占比率为</w:t>
      </w:r>
      <w:r>
        <w:t>60.5</w:t>
      </w:r>
      <w:r>
        <w:rPr>
          <w:rFonts w:hint="eastAsia"/>
        </w:rPr>
        <w:t>%</w:t>
      </w:r>
      <w:r>
        <w:rPr>
          <w:rFonts w:hint="eastAsia"/>
        </w:rPr>
        <w:t>（与男性</w:t>
      </w:r>
      <w:r>
        <w:t>70.0</w:t>
      </w:r>
      <w:r>
        <w:rPr>
          <w:rFonts w:hint="eastAsia"/>
        </w:rPr>
        <w:t>%</w:t>
      </w:r>
      <w:r>
        <w:rPr>
          <w:rFonts w:hint="eastAsia"/>
        </w:rPr>
        <w:t>相比）。过去几年中，劳动力调查的失业率从</w:t>
      </w:r>
      <w:r>
        <w:rPr>
          <w:rFonts w:hint="eastAsia"/>
        </w:rPr>
        <w:t>2000</w:t>
      </w:r>
      <w:r>
        <w:rPr>
          <w:rFonts w:hint="eastAsia"/>
        </w:rPr>
        <w:t>年的</w:t>
      </w:r>
      <w:r>
        <w:t>7.7</w:t>
      </w:r>
      <w:r>
        <w:rPr>
          <w:rFonts w:hint="eastAsia"/>
        </w:rPr>
        <w:t>%</w:t>
      </w:r>
      <w:r>
        <w:rPr>
          <w:rFonts w:hint="eastAsia"/>
        </w:rPr>
        <w:t>下降至</w:t>
      </w:r>
      <w:r>
        <w:rPr>
          <w:rFonts w:hint="eastAsia"/>
        </w:rPr>
        <w:t>2004</w:t>
      </w:r>
      <w:r>
        <w:rPr>
          <w:rFonts w:hint="eastAsia"/>
        </w:rPr>
        <w:t>年的</w:t>
      </w:r>
      <w:r>
        <w:t>6.1</w:t>
      </w:r>
      <w:r>
        <w:rPr>
          <w:rFonts w:hint="eastAsia"/>
        </w:rPr>
        <w:t>%</w:t>
      </w:r>
      <w:r>
        <w:rPr>
          <w:rFonts w:hint="eastAsia"/>
        </w:rPr>
        <w:t>。然而，同期失业率方面的男女差距有所拉大，</w:t>
      </w:r>
      <w:r>
        <w:rPr>
          <w:rFonts w:hint="eastAsia"/>
        </w:rPr>
        <w:t>2004</w:t>
      </w:r>
      <w:r>
        <w:rPr>
          <w:rFonts w:hint="eastAsia"/>
        </w:rPr>
        <w:t>年女性失业人口所占比率比男子高出</w:t>
      </w:r>
      <w:r>
        <w:t>0.</w:t>
      </w:r>
      <w:r>
        <w:rPr>
          <w:rFonts w:hint="eastAsia"/>
        </w:rPr>
        <w:t>7%</w:t>
      </w:r>
      <w:r>
        <w:rPr>
          <w:rFonts w:hint="eastAsia"/>
        </w:rPr>
        <w:t>。</w:t>
      </w:r>
      <w:r>
        <w:rPr>
          <w:rStyle w:val="FootnoteReference"/>
          <w:szCs w:val="24"/>
        </w:rPr>
        <w:footnoteReference w:id="7"/>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劳动市场的结构</w:t>
      </w:r>
    </w:p>
    <w:p w:rsidR="001A7779" w:rsidRDefault="001A7779">
      <w:pPr>
        <w:tabs>
          <w:tab w:val="left" w:pos="630"/>
        </w:tabs>
        <w:spacing w:after="240" w:line="360" w:lineRule="exact"/>
        <w:rPr>
          <w:rFonts w:hint="eastAsia"/>
        </w:rPr>
      </w:pPr>
      <w:r>
        <w:rPr>
          <w:rFonts w:hint="eastAsia"/>
        </w:rPr>
        <w:tab/>
      </w:r>
      <w:r>
        <w:rPr>
          <w:rFonts w:hint="eastAsia"/>
        </w:rPr>
        <w:t>斯洛文尼亚的劳动市场在横向和纵向方面具有严格的性别之分。妇女在服务部门，尤其是卫生和社会工作、教育、金融中介活动以及公共饮食业和旅游业中占很大比例。工业中妇女所占比例为就业人口总数的三分之一，在建筑部门就业的妇女人数最少。同时，担任最高级别职务和从事新酬优厚职业的妇女（高级官员、管理人员和立法者）所占比例仅为三分之一，即使平均而言妇女所获得的教育水平和任职资格均高于男子。</w:t>
      </w:r>
    </w:p>
    <w:p w:rsidR="001A7779" w:rsidRDefault="001A7779">
      <w:pPr>
        <w:tabs>
          <w:tab w:val="left" w:pos="630"/>
        </w:tabs>
        <w:spacing w:after="240" w:line="360" w:lineRule="exact"/>
        <w:rPr>
          <w:rFonts w:ascii="KaiTi_GB2312" w:eastAsia="KaiTi_GB2312" w:hint="eastAsia"/>
          <w:iCs/>
          <w:color w:val="0000FF"/>
        </w:rPr>
      </w:pPr>
      <w:r>
        <w:rPr>
          <w:rFonts w:ascii="KaiTi_GB2312" w:eastAsia="KaiTi_GB2312" w:hint="eastAsia"/>
          <w:iCs/>
          <w:color w:val="0000FF"/>
        </w:rPr>
        <w:t>收入政策</w:t>
      </w:r>
    </w:p>
    <w:p w:rsidR="001A7779" w:rsidRDefault="001A7779">
      <w:pPr>
        <w:tabs>
          <w:tab w:val="left" w:pos="630"/>
        </w:tabs>
        <w:spacing w:after="240" w:line="360" w:lineRule="exact"/>
      </w:pPr>
      <w:r>
        <w:rPr>
          <w:rFonts w:hint="eastAsia"/>
        </w:rPr>
        <w:tab/>
      </w:r>
      <w:r>
        <w:rPr>
          <w:rFonts w:hint="eastAsia"/>
        </w:rPr>
        <w:t>几乎在所有的经济活动中男子的平均月薪均比妇女高，即使《雇用关系法》规定在雇用关系所产生的新酬和其他收入方面应确保妇女与男子享有平等机会和同等待遇。</w:t>
      </w:r>
      <w:r>
        <w:rPr>
          <w:rFonts w:hint="eastAsia"/>
        </w:rPr>
        <w:t>2002</w:t>
      </w:r>
      <w:r>
        <w:rPr>
          <w:rFonts w:hint="eastAsia"/>
        </w:rPr>
        <w:t>年的数据显示，妇女的平均月薪要比具有同等专业资格的男子低</w:t>
      </w:r>
      <w:r>
        <w:rPr>
          <w:rFonts w:hint="eastAsia"/>
        </w:rPr>
        <w:t>10%</w:t>
      </w:r>
      <w:r>
        <w:rPr>
          <w:rFonts w:hint="eastAsia"/>
        </w:rPr>
        <w:t>。</w:t>
      </w:r>
      <w:r>
        <w:t xml:space="preserve"> </w:t>
      </w:r>
    </w:p>
    <w:p w:rsidR="001A7779" w:rsidRDefault="001A7779">
      <w:pPr>
        <w:tabs>
          <w:tab w:val="left" w:pos="630"/>
        </w:tabs>
        <w:spacing w:after="240" w:line="360" w:lineRule="exact"/>
        <w:rPr>
          <w:rFonts w:eastAsia="SimHei" w:hint="eastAsia"/>
          <w:color w:val="FF0000"/>
        </w:rPr>
      </w:pPr>
      <w:r>
        <w:rPr>
          <w:rFonts w:eastAsia="SimHei" w:hint="eastAsia"/>
          <w:color w:val="FF0000"/>
        </w:rPr>
        <w:t>公共和政治生活</w:t>
      </w:r>
    </w:p>
    <w:p w:rsidR="001A7779" w:rsidRDefault="001A7779">
      <w:pPr>
        <w:tabs>
          <w:tab w:val="left" w:pos="630"/>
        </w:tabs>
        <w:spacing w:after="240" w:line="360" w:lineRule="exact"/>
      </w:pPr>
      <w:r>
        <w:rPr>
          <w:rFonts w:hint="eastAsia"/>
        </w:rPr>
        <w:tab/>
      </w:r>
      <w:r>
        <w:rPr>
          <w:rFonts w:hint="eastAsia"/>
        </w:rPr>
        <w:t>根据《宪法》规定，妇女与男子享有平等机会，均可参与国家权力机构和地方社区权力机构的职位竞选，斯洛文尼亚以此承诺通过法案和实施条例以及特别措施来确保在各级决策层实现男女代表比例均衡和男女平等。迄今为止，斯洛文尼亚修订了两项选举法案——《选举欧洲议会斯洛文尼亚议员法案》和《地方选举法》，以纳入有关妇女和男子在候选人名单中所占最低比例的条款，同时，目前正在起草一项修正《国民议会选举法》的法案提案，就候选人名单中的男女最低比例做出规定。</w:t>
      </w:r>
      <w:r>
        <w:t xml:space="preserve"> </w:t>
      </w:r>
    </w:p>
    <w:p w:rsidR="001A7779" w:rsidRDefault="001A7779">
      <w:pPr>
        <w:tabs>
          <w:tab w:val="left" w:pos="630"/>
        </w:tabs>
        <w:spacing w:after="240" w:line="360" w:lineRule="exact"/>
        <w:rPr>
          <w:rFonts w:hint="eastAsia"/>
        </w:rPr>
      </w:pPr>
      <w:r>
        <w:rPr>
          <w:rFonts w:hint="eastAsia"/>
        </w:rPr>
        <w:tab/>
      </w:r>
      <w:r>
        <w:rPr>
          <w:rFonts w:hint="eastAsia"/>
        </w:rPr>
        <w:t>在</w:t>
      </w:r>
      <w:r>
        <w:rPr>
          <w:rFonts w:hint="eastAsia"/>
        </w:rPr>
        <w:t>2004</w:t>
      </w:r>
      <w:r>
        <w:rPr>
          <w:rFonts w:hint="eastAsia"/>
        </w:rPr>
        <w:t>年举行的斯洛文尼亚共和国国民议会选举中，有</w:t>
      </w:r>
      <w:r>
        <w:rPr>
          <w:rFonts w:hint="eastAsia"/>
        </w:rPr>
        <w:t>11</w:t>
      </w:r>
      <w:r>
        <w:rPr>
          <w:rFonts w:hint="eastAsia"/>
        </w:rPr>
        <w:t>名妇女当选（</w:t>
      </w:r>
      <w:r>
        <w:t>12.2</w:t>
      </w:r>
      <w:r>
        <w:rPr>
          <w:rFonts w:hint="eastAsia"/>
        </w:rPr>
        <w:t>%</w:t>
      </w:r>
      <w:r>
        <w:rPr>
          <w:rFonts w:hint="eastAsia"/>
        </w:rPr>
        <w:t>），在对议会</w:t>
      </w:r>
      <w:r>
        <w:rPr>
          <w:rFonts w:hint="eastAsia"/>
        </w:rPr>
        <w:t>90</w:t>
      </w:r>
      <w:r>
        <w:rPr>
          <w:rFonts w:hint="eastAsia"/>
        </w:rPr>
        <w:t>名议员席位进行最后分配后，有</w:t>
      </w:r>
      <w:r>
        <w:rPr>
          <w:rFonts w:hint="eastAsia"/>
        </w:rPr>
        <w:t>12</w:t>
      </w:r>
      <w:r>
        <w:rPr>
          <w:rFonts w:hint="eastAsia"/>
        </w:rPr>
        <w:t>名妇女成为议会议员，占</w:t>
      </w:r>
      <w:r>
        <w:t>13.3%</w:t>
      </w:r>
      <w:r>
        <w:rPr>
          <w:rFonts w:hint="eastAsia"/>
        </w:rPr>
        <w:t>。与前一届国民议会相比，这一最高立法机构中女议员所占人数没有变化。</w:t>
      </w:r>
    </w:p>
    <w:p w:rsidR="001A7779" w:rsidRDefault="001A7779">
      <w:pPr>
        <w:tabs>
          <w:tab w:val="left" w:pos="630"/>
        </w:tabs>
        <w:spacing w:after="240" w:line="360" w:lineRule="exact"/>
        <w:rPr>
          <w:rFonts w:hint="eastAsia"/>
        </w:rPr>
      </w:pPr>
      <w:r>
        <w:rPr>
          <w:rFonts w:hint="eastAsia"/>
        </w:rPr>
        <w:tab/>
      </w:r>
      <w:r>
        <w:rPr>
          <w:rFonts w:hint="eastAsia"/>
        </w:rPr>
        <w:t>在斯洛文尼亚共和国政府中，在总共</w:t>
      </w:r>
      <w:r>
        <w:rPr>
          <w:rFonts w:hint="eastAsia"/>
        </w:rPr>
        <w:t>15</w:t>
      </w:r>
      <w:r>
        <w:rPr>
          <w:rFonts w:hint="eastAsia"/>
        </w:rPr>
        <w:t>个部长职位中只有一名女部长，即农业、林业及食品部长，占</w:t>
      </w:r>
      <w:r>
        <w:t>6.7</w:t>
      </w:r>
      <w:r>
        <w:rPr>
          <w:rFonts w:hint="eastAsia"/>
        </w:rPr>
        <w:t>%</w:t>
      </w:r>
      <w:r>
        <w:rPr>
          <w:rFonts w:hint="eastAsia"/>
        </w:rPr>
        <w:t>。两名不管部部长则为男性。主管政府总秘书处的秘书长是男性，国务秘书中有四位女性，占</w:t>
      </w:r>
      <w:r>
        <w:t>22.2</w:t>
      </w:r>
      <w:r>
        <w:rPr>
          <w:rFonts w:hint="eastAsia"/>
        </w:rPr>
        <w:t>%</w:t>
      </w:r>
      <w:r>
        <w:rPr>
          <w:rFonts w:hint="eastAsia"/>
        </w:rPr>
        <w:t>。</w:t>
      </w:r>
      <w:r>
        <w:t xml:space="preserve"> </w:t>
      </w:r>
    </w:p>
    <w:p w:rsidR="001A7779" w:rsidRDefault="001A7779">
      <w:pPr>
        <w:tabs>
          <w:tab w:val="left" w:pos="630"/>
        </w:tabs>
        <w:spacing w:after="240" w:line="360" w:lineRule="exact"/>
      </w:pPr>
      <w:r>
        <w:rPr>
          <w:rFonts w:hint="eastAsia"/>
        </w:rPr>
        <w:tab/>
      </w:r>
      <w:r>
        <w:rPr>
          <w:rFonts w:hint="eastAsia"/>
        </w:rPr>
        <w:t>在地方一级，妇女在政治决策层中所占比例也很低。在</w:t>
      </w:r>
      <w:r>
        <w:rPr>
          <w:rFonts w:hint="eastAsia"/>
        </w:rPr>
        <w:t>2002</w:t>
      </w:r>
      <w:r>
        <w:rPr>
          <w:rFonts w:hint="eastAsia"/>
        </w:rPr>
        <w:t>年地方选举中，妇女在候选人名单中所占比例为</w:t>
      </w:r>
      <w:r>
        <w:rPr>
          <w:rFonts w:hint="eastAsia"/>
        </w:rPr>
        <w:t>21%</w:t>
      </w:r>
      <w:r>
        <w:rPr>
          <w:rFonts w:hint="eastAsia"/>
        </w:rPr>
        <w:t>，其中</w:t>
      </w:r>
      <w:r>
        <w:t>13.1</w:t>
      </w:r>
      <w:r>
        <w:rPr>
          <w:rFonts w:hint="eastAsia"/>
        </w:rPr>
        <w:t>%</w:t>
      </w:r>
      <w:r>
        <w:rPr>
          <w:rFonts w:hint="eastAsia"/>
        </w:rPr>
        <w:t>的妇女当选为城市和社区委员会成员。在这些选举中，有</w:t>
      </w:r>
      <w:r>
        <w:rPr>
          <w:rFonts w:hint="eastAsia"/>
        </w:rPr>
        <w:t>12</w:t>
      </w:r>
      <w:r>
        <w:rPr>
          <w:rFonts w:hint="eastAsia"/>
        </w:rPr>
        <w:t>名妇女当选为市长（</w:t>
      </w:r>
      <w:r>
        <w:t>6.2</w:t>
      </w:r>
      <w:r>
        <w:rPr>
          <w:rFonts w:hint="eastAsia"/>
        </w:rPr>
        <w:t>%</w:t>
      </w:r>
      <w:r>
        <w:rPr>
          <w:rFonts w:hint="eastAsia"/>
        </w:rPr>
        <w:t>）。</w:t>
      </w:r>
      <w:r>
        <w:t xml:space="preserve"> </w:t>
      </w:r>
    </w:p>
    <w:p w:rsidR="001A7779" w:rsidRDefault="001A7779">
      <w:pPr>
        <w:tabs>
          <w:tab w:val="left" w:pos="630"/>
        </w:tabs>
        <w:spacing w:after="240" w:line="360" w:lineRule="exact"/>
        <w:rPr>
          <w:rFonts w:hint="eastAsia"/>
        </w:rPr>
      </w:pPr>
      <w:r>
        <w:rPr>
          <w:rFonts w:hint="eastAsia"/>
        </w:rPr>
        <w:tab/>
      </w:r>
      <w:r>
        <w:rPr>
          <w:rFonts w:hint="eastAsia"/>
        </w:rPr>
        <w:t>在选举欧洲议会斯洛文尼亚议员的候选人名单中男女比例至少分别为</w:t>
      </w:r>
      <w:r>
        <w:rPr>
          <w:rFonts w:hint="eastAsia"/>
        </w:rPr>
        <w:t>40%</w:t>
      </w:r>
      <w:r>
        <w:rPr>
          <w:rFonts w:hint="eastAsia"/>
        </w:rPr>
        <w:t>，这项规定具有积极的作用，在当选的议员中妇女所占比例达到</w:t>
      </w:r>
      <w:r>
        <w:rPr>
          <w:rFonts w:hint="eastAsia"/>
        </w:rPr>
        <w:t>43%</w:t>
      </w:r>
      <w:r>
        <w:rPr>
          <w:rFonts w:hint="eastAsia"/>
        </w:rPr>
        <w:t>，即说明了这一点。</w:t>
      </w:r>
      <w:r>
        <w:t xml:space="preserve"> </w:t>
      </w:r>
    </w:p>
    <w:p w:rsidR="001A7779" w:rsidRDefault="001A7779" w:rsidP="00B359E9">
      <w:pPr>
        <w:pStyle w:val="H1"/>
        <w:spacing w:before="120"/>
        <w:ind w:left="31680" w:hangingChars="250" w:firstLine="31680"/>
        <w:rPr>
          <w:rFonts w:hint="eastAsia"/>
        </w:rPr>
      </w:pPr>
      <w:r>
        <w:t>（b）</w:t>
      </w:r>
      <w:r>
        <w:rPr>
          <w:rFonts w:hint="eastAsia"/>
        </w:rPr>
        <w:t>为执行《公约》采取的措施以及批准《公约》对斯洛文尼亚总的社会、经济、政治和法律状况产生的影响</w:t>
      </w:r>
    </w:p>
    <w:p w:rsidR="001A7779" w:rsidRDefault="001A7779">
      <w:pPr>
        <w:tabs>
          <w:tab w:val="left" w:pos="630"/>
        </w:tabs>
        <w:spacing w:after="240" w:line="360" w:lineRule="exact"/>
        <w:rPr>
          <w:rFonts w:eastAsia="SimHei"/>
          <w:color w:val="FF0000"/>
        </w:rPr>
      </w:pPr>
      <w:r>
        <w:rPr>
          <w:rFonts w:eastAsia="SimHei" w:hint="eastAsia"/>
          <w:color w:val="FF0000"/>
        </w:rPr>
        <w:t>批准《公约》的影响</w:t>
      </w:r>
    </w:p>
    <w:p w:rsidR="001A7779" w:rsidRDefault="001A7779">
      <w:pPr>
        <w:tabs>
          <w:tab w:val="left" w:pos="630"/>
        </w:tabs>
        <w:spacing w:after="240" w:line="360" w:lineRule="exact"/>
      </w:pPr>
      <w:r>
        <w:rPr>
          <w:rFonts w:hint="eastAsia"/>
        </w:rPr>
        <w:tab/>
      </w:r>
      <w:r>
        <w:rPr>
          <w:rFonts w:hint="eastAsia"/>
        </w:rPr>
        <w:t>《消除对妇女一切形式歧视公约》和消除对妇女歧视委员会的建议（作为审议斯洛文尼亚根据该《公约》提交的报告后通过的结论的一部分），是斯洛文尼亚拟定政策、方案和其他措施以确保在社会上实现男女事实平等的出发点，它们适用于立法和权力执行部门。《公约》条款和委员会建议为平等机会办公室建议各部委考虑采取的措施提供了重要依据。非政府组织，除别的以外，还将《公约》条款和委员会建议作为其开展活动的依据。</w:t>
      </w:r>
    </w:p>
    <w:p w:rsidR="001A7779" w:rsidRDefault="001A7779">
      <w:pPr>
        <w:tabs>
          <w:tab w:val="left" w:pos="630"/>
        </w:tabs>
        <w:spacing w:after="240" w:line="360" w:lineRule="exact"/>
      </w:pPr>
      <w:r>
        <w:rPr>
          <w:rFonts w:hint="eastAsia"/>
        </w:rPr>
        <w:tab/>
      </w:r>
      <w:r>
        <w:rPr>
          <w:rFonts w:hint="eastAsia"/>
        </w:rPr>
        <w:t>《公约》编制和拟定“关于男女平等机会国家方案的决议”的基本文件之一，</w:t>
      </w:r>
      <w:r>
        <w:rPr>
          <w:rFonts w:hint="eastAsia"/>
        </w:rPr>
        <w:t>2005</w:t>
      </w:r>
      <w:r>
        <w:rPr>
          <w:rFonts w:hint="eastAsia"/>
        </w:rPr>
        <w:t>年</w:t>
      </w:r>
      <w:r>
        <w:rPr>
          <w:rFonts w:hint="eastAsia"/>
        </w:rPr>
        <w:t>10</w:t>
      </w:r>
      <w:r>
        <w:rPr>
          <w:rFonts w:hint="eastAsia"/>
        </w:rPr>
        <w:t>月国民议会通过该项决议。</w:t>
      </w:r>
    </w:p>
    <w:p w:rsidR="001A7779" w:rsidRDefault="001A7779">
      <w:pPr>
        <w:tabs>
          <w:tab w:val="left" w:pos="630"/>
        </w:tabs>
        <w:spacing w:after="240" w:line="360" w:lineRule="exact"/>
      </w:pPr>
      <w:r>
        <w:rPr>
          <w:rFonts w:hint="eastAsia"/>
        </w:rPr>
        <w:tab/>
      </w:r>
      <w:r>
        <w:t>2004</w:t>
      </w:r>
      <w:r>
        <w:rPr>
          <w:rFonts w:hint="eastAsia"/>
        </w:rPr>
        <w:t>年，斯洛文尼亚批准了《公约任择议定书》，承认消除对妇女歧视委员会有权接受和审议在某一缔约国管辖下声称因该缔约国侵犯《公约》所规定的任何权利而受害的个人或其代表所送的来文。</w:t>
      </w:r>
      <w:r>
        <w:t xml:space="preserve"> </w:t>
      </w:r>
    </w:p>
    <w:p w:rsidR="001A7779" w:rsidRDefault="001A7779">
      <w:pPr>
        <w:tabs>
          <w:tab w:val="left" w:pos="630"/>
        </w:tabs>
        <w:spacing w:after="240" w:line="360" w:lineRule="exact"/>
      </w:pPr>
      <w:r>
        <w:rPr>
          <w:rFonts w:hint="eastAsia"/>
        </w:rPr>
        <w:tab/>
      </w:r>
      <w:r>
        <w:rPr>
          <w:rFonts w:hint="eastAsia"/>
        </w:rPr>
        <w:t>斯洛文尼亚将于</w:t>
      </w:r>
      <w:r>
        <w:rPr>
          <w:rFonts w:hint="eastAsia"/>
        </w:rPr>
        <w:t>2006</w:t>
      </w:r>
      <w:r>
        <w:rPr>
          <w:rFonts w:hint="eastAsia"/>
        </w:rPr>
        <w:t>年通过颁布一项政府法令来批准《消除对妇女一切形式歧视公约》第</w:t>
      </w:r>
      <w:r>
        <w:rPr>
          <w:rFonts w:hint="eastAsia"/>
        </w:rPr>
        <w:t>20</w:t>
      </w:r>
      <w:r>
        <w:rPr>
          <w:rFonts w:hint="eastAsia"/>
        </w:rPr>
        <w:t>条第</w:t>
      </w:r>
      <w:r>
        <w:rPr>
          <w:rFonts w:hint="eastAsia"/>
        </w:rPr>
        <w:t>1</w:t>
      </w:r>
      <w:r>
        <w:rPr>
          <w:rFonts w:hint="eastAsia"/>
        </w:rPr>
        <w:t>款修正案。</w:t>
      </w:r>
    </w:p>
    <w:p w:rsidR="001A7779" w:rsidRDefault="001A7779" w:rsidP="00B359E9">
      <w:pPr>
        <w:pStyle w:val="H1"/>
        <w:spacing w:before="120"/>
        <w:ind w:left="31680" w:hangingChars="250" w:firstLine="31680"/>
      </w:pPr>
      <w:r>
        <w:t>（c）</w:t>
      </w:r>
      <w:r>
        <w:rPr>
          <w:rFonts w:hint="eastAsia"/>
        </w:rPr>
        <w:t>保障两性平等的机构办法</w:t>
      </w:r>
    </w:p>
    <w:p w:rsidR="001A7779" w:rsidRDefault="001A7779">
      <w:pPr>
        <w:tabs>
          <w:tab w:val="left" w:pos="630"/>
        </w:tabs>
        <w:spacing w:after="240" w:line="360" w:lineRule="exact"/>
        <w:rPr>
          <w:rFonts w:eastAsia="SimHei"/>
          <w:color w:val="FF0000"/>
        </w:rPr>
      </w:pPr>
      <w:r>
        <w:rPr>
          <w:rFonts w:eastAsia="SimHei" w:hint="eastAsia"/>
          <w:color w:val="FF0000"/>
        </w:rPr>
        <w:t>斯洛文尼亚共和国国民议会请愿、人权和平等机会委员会</w:t>
      </w:r>
      <w:r>
        <w:rPr>
          <w:rFonts w:eastAsia="SimHei"/>
          <w:color w:val="FF0000"/>
        </w:rPr>
        <w:t xml:space="preserve"> </w:t>
      </w:r>
    </w:p>
    <w:p w:rsidR="001A7779" w:rsidRDefault="001A7779">
      <w:pPr>
        <w:tabs>
          <w:tab w:val="left" w:pos="630"/>
        </w:tabs>
        <w:spacing w:after="240" w:line="360" w:lineRule="exact"/>
      </w:pPr>
      <w:r>
        <w:rPr>
          <w:rFonts w:hint="eastAsia"/>
        </w:rPr>
        <w:tab/>
        <w:t>2000</w:t>
      </w:r>
      <w:r>
        <w:rPr>
          <w:rFonts w:hint="eastAsia"/>
        </w:rPr>
        <w:t>年大选后议会各工作机构经改组，撤销了斯洛文尼亚共和国国民议会平等机会委员会，其职权由内政部所接替。</w:t>
      </w:r>
      <w:r>
        <w:rPr>
          <w:rFonts w:hint="eastAsia"/>
        </w:rPr>
        <w:t>2004</w:t>
      </w:r>
      <w:r>
        <w:rPr>
          <w:rFonts w:hint="eastAsia"/>
        </w:rPr>
        <w:t>年大选后，成立了斯洛文尼亚共和国国民议会请愿、人权和平等机会委员会；除别的以外，两性平等问题在其权限范围之内。</w:t>
      </w:r>
    </w:p>
    <w:p w:rsidR="001A7779" w:rsidRDefault="001A7779">
      <w:pPr>
        <w:tabs>
          <w:tab w:val="left" w:pos="630"/>
        </w:tabs>
        <w:spacing w:after="240" w:line="380" w:lineRule="exact"/>
        <w:rPr>
          <w:rFonts w:eastAsia="SimHei"/>
          <w:color w:val="FF0000"/>
        </w:rPr>
      </w:pPr>
      <w:r>
        <w:rPr>
          <w:rFonts w:eastAsia="SimHei" w:hint="eastAsia"/>
          <w:color w:val="FF0000"/>
        </w:rPr>
        <w:t>平等机会办公室</w:t>
      </w:r>
    </w:p>
    <w:p w:rsidR="001A7779" w:rsidRDefault="001A7779">
      <w:pPr>
        <w:tabs>
          <w:tab w:val="left" w:pos="630"/>
        </w:tabs>
        <w:spacing w:after="240" w:line="380" w:lineRule="exact"/>
      </w:pPr>
      <w:r>
        <w:rPr>
          <w:rFonts w:hint="eastAsia"/>
        </w:rPr>
        <w:tab/>
      </w:r>
      <w:r>
        <w:rPr>
          <w:rFonts w:hint="eastAsia"/>
        </w:rPr>
        <w:t>即便在国家政府部门改组之后，平等机会办公室依然是自主性政府服务部门。该办公室工作的基本原则是，实现男女法律上的平等，并确保在一切生活领域中实现男女事实上的平等。在关于成立该办公室以及办公室业务的政府决定、《男女平等机会法》和《实施平等待遇原则法案》中，对办公室的职权做出了规定。平等机会办公室开展促使将性别观点纳入所有政府政策主流的活动，此外，还制定在一切生活领域中消除基于性别的不平等的措施并监督措施的实施情况。办公室履行职责时与政府各部和其他公共部门，与国际、国内和外国的政府和非政府组织以及其他机构，和国内外专家进行了合作。</w:t>
      </w:r>
    </w:p>
    <w:p w:rsidR="001A7779" w:rsidRDefault="001A7779">
      <w:pPr>
        <w:tabs>
          <w:tab w:val="left" w:pos="630"/>
        </w:tabs>
        <w:spacing w:after="240" w:line="380" w:lineRule="exact"/>
        <w:rPr>
          <w:rFonts w:hint="eastAsia"/>
        </w:rPr>
      </w:pPr>
      <w:r>
        <w:rPr>
          <w:rFonts w:hint="eastAsia"/>
        </w:rPr>
        <w:tab/>
        <w:t>2005</w:t>
      </w:r>
      <w:r>
        <w:rPr>
          <w:rFonts w:hint="eastAsia"/>
        </w:rPr>
        <w:t>年</w:t>
      </w:r>
      <w:r>
        <w:rPr>
          <w:rFonts w:hint="eastAsia"/>
        </w:rPr>
        <w:t>10</w:t>
      </w:r>
      <w:r>
        <w:rPr>
          <w:rFonts w:hint="eastAsia"/>
        </w:rPr>
        <w:t>月，该办公室雇用了</w:t>
      </w:r>
      <w:r>
        <w:rPr>
          <w:rFonts w:hint="eastAsia"/>
        </w:rPr>
        <w:t>10</w:t>
      </w:r>
      <w:r>
        <w:rPr>
          <w:rFonts w:hint="eastAsia"/>
        </w:rPr>
        <w:t>名专职人员，与</w:t>
      </w:r>
      <w:r>
        <w:rPr>
          <w:rFonts w:hint="eastAsia"/>
        </w:rPr>
        <w:t>2002</w:t>
      </w:r>
      <w:r>
        <w:rPr>
          <w:rFonts w:hint="eastAsia"/>
        </w:rPr>
        <w:t>年向消除对妇女歧视委员会提交第三次报告时相比，人员增幅为</w:t>
      </w:r>
      <w:r>
        <w:rPr>
          <w:rFonts w:hint="eastAsia"/>
        </w:rPr>
        <w:t>20%</w:t>
      </w:r>
      <w:r>
        <w:rPr>
          <w:rFonts w:hint="eastAsia"/>
        </w:rPr>
        <w:t>。</w:t>
      </w:r>
    </w:p>
    <w:p w:rsidR="001A7779" w:rsidRDefault="001A7779">
      <w:pPr>
        <w:tabs>
          <w:tab w:val="left" w:pos="630"/>
        </w:tabs>
        <w:spacing w:after="240" w:line="380" w:lineRule="exact"/>
        <w:rPr>
          <w:rFonts w:eastAsia="SimHei"/>
          <w:color w:val="FF0000"/>
        </w:rPr>
      </w:pPr>
      <w:r>
        <w:rPr>
          <w:rFonts w:eastAsia="SimHei" w:hint="eastAsia"/>
          <w:color w:val="FF0000"/>
        </w:rPr>
        <w:t>男女平等机会辩护律师</w:t>
      </w:r>
    </w:p>
    <w:p w:rsidR="001A7779" w:rsidRDefault="001A7779">
      <w:pPr>
        <w:tabs>
          <w:tab w:val="left" w:pos="630"/>
        </w:tabs>
        <w:spacing w:after="240" w:line="380" w:lineRule="exact"/>
      </w:pPr>
      <w:r>
        <w:rPr>
          <w:rFonts w:hint="eastAsia"/>
        </w:rPr>
        <w:tab/>
      </w:r>
      <w:r>
        <w:rPr>
          <w:rFonts w:hint="eastAsia"/>
        </w:rPr>
        <w:t>依照《男女平等机会法》，一名男女平等机会辩护律师受聘于办公室并于</w:t>
      </w:r>
      <w:r>
        <w:rPr>
          <w:rFonts w:hint="eastAsia"/>
        </w:rPr>
        <w:t>2003</w:t>
      </w:r>
      <w:r>
        <w:rPr>
          <w:rFonts w:hint="eastAsia"/>
        </w:rPr>
        <w:t>年开始工作，受理指称男女待遇不平等的个案。</w:t>
      </w:r>
    </w:p>
    <w:p w:rsidR="001A7779" w:rsidRDefault="001A7779">
      <w:pPr>
        <w:tabs>
          <w:tab w:val="left" w:pos="630"/>
        </w:tabs>
        <w:spacing w:after="240" w:line="380" w:lineRule="exact"/>
        <w:rPr>
          <w:rFonts w:eastAsia="SimHei"/>
          <w:color w:val="FF0000"/>
        </w:rPr>
      </w:pPr>
      <w:r>
        <w:rPr>
          <w:rFonts w:eastAsia="SimHei" w:hint="eastAsia"/>
          <w:color w:val="FF0000"/>
        </w:rPr>
        <w:t>政府各部的男女平等机会协调员</w:t>
      </w:r>
    </w:p>
    <w:p w:rsidR="001A7779" w:rsidRDefault="001A7779">
      <w:pPr>
        <w:tabs>
          <w:tab w:val="left" w:pos="630"/>
        </w:tabs>
        <w:spacing w:after="240" w:line="380" w:lineRule="exact"/>
      </w:pPr>
      <w:r>
        <w:rPr>
          <w:rFonts w:hint="eastAsia"/>
        </w:rPr>
        <w:tab/>
      </w:r>
      <w:r>
        <w:rPr>
          <w:rFonts w:hint="eastAsia"/>
        </w:rPr>
        <w:t>《男女平等机会法》建立了一个新机制，促使将性别观点纳入政府政策，并负责实施和监督此类政策。政府各部指派了一名男女平等机会协调员，与平等机会办公室合作履行其职责。</w:t>
      </w:r>
    </w:p>
    <w:p w:rsidR="001A7779" w:rsidRDefault="001A7779">
      <w:pPr>
        <w:tabs>
          <w:tab w:val="left" w:pos="630"/>
        </w:tabs>
        <w:spacing w:after="240" w:line="380" w:lineRule="exact"/>
        <w:rPr>
          <w:rFonts w:eastAsia="SimHei"/>
          <w:color w:val="FF0000"/>
        </w:rPr>
      </w:pPr>
      <w:r>
        <w:rPr>
          <w:rFonts w:eastAsia="SimHei" w:hint="eastAsia"/>
          <w:color w:val="FF0000"/>
        </w:rPr>
        <w:t>自治地方社区内的男女平等机会协调员</w:t>
      </w:r>
      <w:r>
        <w:rPr>
          <w:rFonts w:eastAsia="SimHei"/>
          <w:color w:val="FF0000"/>
        </w:rPr>
        <w:t xml:space="preserve"> </w:t>
      </w:r>
    </w:p>
    <w:p w:rsidR="001A7779" w:rsidRDefault="001A7779">
      <w:pPr>
        <w:tabs>
          <w:tab w:val="left" w:pos="630"/>
        </w:tabs>
        <w:spacing w:after="240" w:line="380" w:lineRule="exact"/>
      </w:pPr>
      <w:r>
        <w:rPr>
          <w:rFonts w:hint="eastAsia"/>
        </w:rPr>
        <w:tab/>
      </w:r>
      <w:r>
        <w:rPr>
          <w:rFonts w:hint="eastAsia"/>
        </w:rPr>
        <w:t>《男女平等机会法》允许自治地方社区指定一名男女平等机会协调员，参与地方一级拟定和实施两性平等政策，并就其与平等机会办公室进行合作。到</w:t>
      </w:r>
      <w:r>
        <w:rPr>
          <w:rFonts w:hint="eastAsia"/>
        </w:rPr>
        <w:t>2005</w:t>
      </w:r>
      <w:r>
        <w:rPr>
          <w:rFonts w:hint="eastAsia"/>
        </w:rPr>
        <w:t>年底，已有</w:t>
      </w:r>
      <w:r>
        <w:rPr>
          <w:rFonts w:hint="eastAsia"/>
        </w:rPr>
        <w:t>10</w:t>
      </w:r>
      <w:r>
        <w:rPr>
          <w:rFonts w:hint="eastAsia"/>
        </w:rPr>
        <w:t>个市镇指定了其平等机会协调员。</w:t>
      </w:r>
    </w:p>
    <w:p w:rsidR="001A7779" w:rsidRDefault="001A7779">
      <w:pPr>
        <w:tabs>
          <w:tab w:val="left" w:pos="630"/>
        </w:tabs>
        <w:spacing w:after="240" w:line="380" w:lineRule="exact"/>
        <w:rPr>
          <w:rFonts w:eastAsia="SimHei"/>
          <w:color w:val="FF0000"/>
        </w:rPr>
      </w:pPr>
      <w:r>
        <w:rPr>
          <w:rFonts w:eastAsia="SimHei" w:hint="eastAsia"/>
          <w:color w:val="FF0000"/>
        </w:rPr>
        <w:t>促进妇女参与科学发展委员会</w:t>
      </w:r>
    </w:p>
    <w:p w:rsidR="001A7779" w:rsidRDefault="001A7779">
      <w:pPr>
        <w:tabs>
          <w:tab w:val="left" w:pos="630"/>
        </w:tabs>
        <w:spacing w:after="240" w:line="380" w:lineRule="exact"/>
      </w:pPr>
      <w:r>
        <w:rPr>
          <w:rFonts w:hint="eastAsia"/>
        </w:rPr>
        <w:tab/>
      </w:r>
      <w:r>
        <w:rPr>
          <w:rFonts w:hint="eastAsia"/>
        </w:rPr>
        <w:t>促进妇女参与科学发展委员会是高等教育、科学和技术部下所设的一个专家机构。委员会有</w:t>
      </w:r>
      <w:r>
        <w:rPr>
          <w:rFonts w:hint="eastAsia"/>
        </w:rPr>
        <w:t>15</w:t>
      </w:r>
      <w:r>
        <w:rPr>
          <w:rFonts w:hint="eastAsia"/>
        </w:rPr>
        <w:t>名成员，其中一名成员在该部任职，负责委员会的秘书工作。委员会编制年度工作方案，主要涉及宣传或提高公众认识、将性别观点纳入研究与发展政策和相关法律的方案文件主流，以及促进各个领域中从事两性问题研究的研究人员的联网工作。每到年终时，委员会要草拟一份工作报告提交该部。高等教育、科学和技术部负责为委员会提供开展业务所必要的资金。</w:t>
      </w:r>
    </w:p>
    <w:p w:rsidR="001A7779" w:rsidRDefault="001A7779" w:rsidP="00B359E9">
      <w:pPr>
        <w:pStyle w:val="H1"/>
        <w:spacing w:before="120"/>
        <w:ind w:left="31680" w:hangingChars="250" w:firstLine="31680"/>
      </w:pPr>
      <w:r>
        <w:t>（d）</w:t>
      </w:r>
      <w:r>
        <w:tab/>
      </w:r>
      <w:r>
        <w:rPr>
          <w:rFonts w:hint="eastAsia"/>
        </w:rPr>
        <w:t>为确保和促进妇女地位发生积极变化的资金和方法</w:t>
      </w:r>
    </w:p>
    <w:p w:rsidR="001A7779" w:rsidRDefault="001A7779">
      <w:pPr>
        <w:pStyle w:val="H2"/>
        <w:tabs>
          <w:tab w:val="left" w:pos="630"/>
        </w:tabs>
        <w:rPr>
          <w:rFonts w:ascii="Times New Roman"/>
          <w:lang w:val="en-US"/>
        </w:rPr>
      </w:pPr>
      <w:r>
        <w:rPr>
          <w:rFonts w:ascii="Times New Roman" w:hint="eastAsia"/>
          <w:lang w:val="en-US"/>
        </w:rPr>
        <w:t>平等机会办公室预算资金</w:t>
      </w:r>
    </w:p>
    <w:p w:rsidR="001A7779" w:rsidRDefault="001A7779">
      <w:pPr>
        <w:tabs>
          <w:tab w:val="left" w:pos="630"/>
        </w:tabs>
        <w:spacing w:after="240" w:line="360" w:lineRule="exact"/>
      </w:pPr>
      <w:r>
        <w:rPr>
          <w:rFonts w:hint="eastAsia"/>
        </w:rPr>
        <w:tab/>
      </w:r>
      <w:r>
        <w:rPr>
          <w:rFonts w:hint="eastAsia"/>
        </w:rPr>
        <w:t>平等机会办公室</w:t>
      </w:r>
      <w:r>
        <w:rPr>
          <w:rFonts w:hint="eastAsia"/>
        </w:rPr>
        <w:t>2005</w:t>
      </w:r>
      <w:r>
        <w:rPr>
          <w:rFonts w:hint="eastAsia"/>
        </w:rPr>
        <w:t>年的预算资金为</w:t>
      </w:r>
      <w:r>
        <w:rPr>
          <w:rFonts w:hint="eastAsia"/>
        </w:rPr>
        <w:t>90 8</w:t>
      </w:r>
      <w:r>
        <w:t>00 000</w:t>
      </w:r>
      <w:r>
        <w:rPr>
          <w:rFonts w:hint="eastAsia"/>
        </w:rPr>
        <w:t>托拉尔（约</w:t>
      </w:r>
      <w:r>
        <w:t>454</w:t>
      </w:r>
      <w:r>
        <w:rPr>
          <w:rFonts w:hint="eastAsia"/>
        </w:rPr>
        <w:t xml:space="preserve"> </w:t>
      </w:r>
      <w:r>
        <w:t>000</w:t>
      </w:r>
      <w:r>
        <w:rPr>
          <w:rFonts w:hint="eastAsia"/>
        </w:rPr>
        <w:t>美元），不包括工作人员工资</w:t>
      </w:r>
      <w:r>
        <w:t>37 400 000</w:t>
      </w:r>
      <w:r>
        <w:rPr>
          <w:rFonts w:hint="eastAsia"/>
        </w:rPr>
        <w:t>托拉尔（约</w:t>
      </w:r>
      <w:r>
        <w:t>187 000</w:t>
      </w:r>
      <w:r>
        <w:rPr>
          <w:rFonts w:hint="eastAsia"/>
        </w:rPr>
        <w:t>美元）。办公室通过参与各种欧盟方案下为促进两性平等的共同筹资项目的投标，为执行研究项目和提高目标群体或广大公众的认识定期提供额外资源。</w:t>
      </w:r>
    </w:p>
    <w:p w:rsidR="001A7779" w:rsidRDefault="001A7779">
      <w:pPr>
        <w:tabs>
          <w:tab w:val="left" w:pos="630"/>
        </w:tabs>
        <w:spacing w:after="240" w:line="360" w:lineRule="exact"/>
      </w:pPr>
      <w:r>
        <w:rPr>
          <w:rFonts w:hint="eastAsia"/>
        </w:rPr>
        <w:tab/>
      </w:r>
      <w:r>
        <w:rPr>
          <w:rFonts w:hint="eastAsia"/>
        </w:rPr>
        <w:t>自</w:t>
      </w:r>
      <w:r>
        <w:rPr>
          <w:rFonts w:hint="eastAsia"/>
        </w:rPr>
        <w:t>2003</w:t>
      </w:r>
      <w:r>
        <w:rPr>
          <w:rFonts w:hint="eastAsia"/>
        </w:rPr>
        <w:t>年起，平等机会办公室开始进行公开招标，呼吁各方通过列入单独预算项目以及依照斯洛文尼亚共和国政府通过的关于为男女平等机会领域的项目共同供资的条件和标准的法令划拨的预算资源，为非政府组织的项目共同供资。</w:t>
      </w:r>
      <w:r>
        <w:rPr>
          <w:rFonts w:hint="eastAsia"/>
        </w:rPr>
        <w:t>2003</w:t>
      </w:r>
      <w:r>
        <w:rPr>
          <w:rFonts w:hint="eastAsia"/>
        </w:rPr>
        <w:t>年，办公室将其预算的</w:t>
      </w:r>
      <w:r>
        <w:t>3.3%</w:t>
      </w:r>
      <w:r>
        <w:rPr>
          <w:rFonts w:hint="eastAsia"/>
        </w:rPr>
        <w:t>用于共同供资，</w:t>
      </w:r>
      <w:r>
        <w:rPr>
          <w:rFonts w:hint="eastAsia"/>
        </w:rPr>
        <w:t>2004</w:t>
      </w:r>
      <w:r>
        <w:rPr>
          <w:rFonts w:hint="eastAsia"/>
        </w:rPr>
        <w:t>年为</w:t>
      </w:r>
      <w:r>
        <w:rPr>
          <w:rFonts w:hint="eastAsia"/>
        </w:rPr>
        <w:t>5%</w:t>
      </w:r>
      <w:r>
        <w:rPr>
          <w:rFonts w:hint="eastAsia"/>
        </w:rPr>
        <w:t>，</w:t>
      </w:r>
      <w:r>
        <w:rPr>
          <w:rFonts w:hint="eastAsia"/>
        </w:rPr>
        <w:t>2005</w:t>
      </w:r>
      <w:r>
        <w:rPr>
          <w:rFonts w:hint="eastAsia"/>
        </w:rPr>
        <w:t>年为</w:t>
      </w:r>
      <w:r>
        <w:t>4.7</w:t>
      </w:r>
      <w:r>
        <w:rPr>
          <w:rFonts w:hint="eastAsia"/>
        </w:rPr>
        <w:t>%</w:t>
      </w:r>
      <w:r>
        <w:rPr>
          <w:rFonts w:hint="eastAsia"/>
        </w:rPr>
        <w:t>。</w:t>
      </w:r>
      <w:r>
        <w:rPr>
          <w:rFonts w:hint="eastAsia"/>
        </w:rPr>
        <w:t>2003</w:t>
      </w:r>
      <w:r>
        <w:rPr>
          <w:rFonts w:hint="eastAsia"/>
        </w:rPr>
        <w:t>年选定了</w:t>
      </w:r>
      <w:r>
        <w:rPr>
          <w:rFonts w:hint="eastAsia"/>
        </w:rPr>
        <w:t>10</w:t>
      </w:r>
      <w:r>
        <w:rPr>
          <w:rFonts w:hint="eastAsia"/>
        </w:rPr>
        <w:t>个项目（对妇女的暴力、工作中的歧视、残疾妇女、处理两性平等问题青年讲习班、农村地区男女平等），</w:t>
      </w:r>
      <w:r>
        <w:rPr>
          <w:rFonts w:hint="eastAsia"/>
        </w:rPr>
        <w:t>2004</w:t>
      </w:r>
      <w:r>
        <w:rPr>
          <w:rFonts w:hint="eastAsia"/>
        </w:rPr>
        <w:t>年选定了</w:t>
      </w:r>
      <w:r>
        <w:rPr>
          <w:rFonts w:hint="eastAsia"/>
        </w:rPr>
        <w:t>12</w:t>
      </w:r>
      <w:r>
        <w:rPr>
          <w:rFonts w:hint="eastAsia"/>
        </w:rPr>
        <w:t>个项目（兼顾家庭生活与工作、饮食失调、对妇女的暴力、妇女在媒体中的形象、工作中的性骚扰、残疾妇女与暴力、残疾妇女与社会排斥、残疾妇女就业）。</w:t>
      </w:r>
      <w:r>
        <w:rPr>
          <w:rFonts w:hint="eastAsia"/>
        </w:rPr>
        <w:t>2005</w:t>
      </w:r>
      <w:r>
        <w:rPr>
          <w:rFonts w:hint="eastAsia"/>
        </w:rPr>
        <w:t>年办公室共同供资的项目还是</w:t>
      </w:r>
      <w:r>
        <w:rPr>
          <w:rFonts w:hint="eastAsia"/>
        </w:rPr>
        <w:t>12</w:t>
      </w:r>
      <w:r>
        <w:rPr>
          <w:rFonts w:hint="eastAsia"/>
        </w:rPr>
        <w:t>个（残疾妇女与暴力、做施暴者的工作、对妇女的暴力、处理两性平等问题青年讲习班、妇女在媒体讨论中的作用、妇女参与教育和劳动市场、残疾妇女与劳动市场、妇女与创业）。</w:t>
      </w:r>
      <w:r>
        <w:t xml:space="preserve"> </w:t>
      </w:r>
    </w:p>
    <w:p w:rsidR="001A7779" w:rsidRDefault="001A7779">
      <w:pPr>
        <w:tabs>
          <w:tab w:val="left" w:pos="630"/>
        </w:tabs>
        <w:spacing w:after="240" w:line="360" w:lineRule="exact"/>
        <w:rPr>
          <w:rFonts w:hint="eastAsia"/>
        </w:rPr>
      </w:pPr>
      <w:r>
        <w:rPr>
          <w:rFonts w:hint="eastAsia"/>
        </w:rPr>
        <w:tab/>
      </w:r>
      <w:r>
        <w:rPr>
          <w:rFonts w:hint="eastAsia"/>
        </w:rPr>
        <w:t>平等机会办公室还特别拨款用于开展研究，并共同筹资编制与两性平等相关主题的书籍。</w:t>
      </w:r>
      <w:r>
        <w:rPr>
          <w:rFonts w:hint="eastAsia"/>
        </w:rPr>
        <w:t>2005</w:t>
      </w:r>
      <w:r>
        <w:rPr>
          <w:rFonts w:hint="eastAsia"/>
        </w:rPr>
        <w:t>年，办公室将其预算的</w:t>
      </w:r>
      <w:r>
        <w:t>4.</w:t>
      </w:r>
      <w:r>
        <w:rPr>
          <w:rFonts w:hint="eastAsia"/>
        </w:rPr>
        <w:t>7%</w:t>
      </w:r>
      <w:r>
        <w:rPr>
          <w:rFonts w:hint="eastAsia"/>
        </w:rPr>
        <w:t>用以征募为研究工作共同供资的提议，预算的</w:t>
      </w:r>
      <w:r>
        <w:t>1.7</w:t>
      </w:r>
      <w:r>
        <w:rPr>
          <w:rFonts w:hint="eastAsia"/>
        </w:rPr>
        <w:t>%</w:t>
      </w:r>
      <w:r>
        <w:rPr>
          <w:rFonts w:hint="eastAsia"/>
        </w:rPr>
        <w:t>用以征募为编制书籍共同供资的提议。</w:t>
      </w:r>
      <w:r>
        <w:t xml:space="preserve"> </w:t>
      </w:r>
    </w:p>
    <w:p w:rsidR="001A7779" w:rsidRDefault="001A7779">
      <w:pPr>
        <w:pStyle w:val="H2"/>
        <w:tabs>
          <w:tab w:val="left" w:pos="630"/>
        </w:tabs>
        <w:rPr>
          <w:rFonts w:ascii="Times New Roman"/>
          <w:lang w:val="en-US"/>
        </w:rPr>
      </w:pPr>
      <w:r>
        <w:rPr>
          <w:rFonts w:ascii="Times New Roman" w:hint="eastAsia"/>
          <w:lang w:val="en-US"/>
        </w:rPr>
        <w:t>政府各部和其他政府办公室和机构的预算资金</w:t>
      </w:r>
    </w:p>
    <w:p w:rsidR="001A7779" w:rsidRDefault="001A7779">
      <w:pPr>
        <w:tabs>
          <w:tab w:val="left" w:pos="630"/>
        </w:tabs>
        <w:spacing w:after="240" w:line="360" w:lineRule="exact"/>
      </w:pPr>
      <w:r>
        <w:rPr>
          <w:rFonts w:hint="eastAsia"/>
        </w:rPr>
        <w:tab/>
      </w:r>
      <w:r>
        <w:rPr>
          <w:rFonts w:hint="eastAsia"/>
        </w:rPr>
        <w:t>鉴于两性平等政策包括两种方法，一是采取一般措施和特别措施，二是将性别观点纳入属于政府各部和其他政府办公室和机构以及自治地方社区机构权限内不同领域中的各项方案和政策，为促进发展和提高妇女地位的财政资源即列为其预算的一大组成部分。实现两性平等在政府各部的预算规划和实施中具有尤其重要的意义，为此划拨资金以快速而高效地将两性平等观点纳入现已启动的进程中。因此，关于</w:t>
      </w:r>
      <w:r>
        <w:rPr>
          <w:rFonts w:hint="eastAsia"/>
        </w:rPr>
        <w:t>2005-2013</w:t>
      </w:r>
      <w:r>
        <w:rPr>
          <w:rFonts w:hint="eastAsia"/>
        </w:rPr>
        <w:t>年男女平等机会国家方案的决议规定，将从国家预算中为旨在创造男女平等机会的措施拨款</w:t>
      </w:r>
      <w:r>
        <w:t>23</w:t>
      </w:r>
      <w:r>
        <w:rPr>
          <w:rFonts w:hint="eastAsia"/>
        </w:rPr>
        <w:t xml:space="preserve"> </w:t>
      </w:r>
      <w:r>
        <w:t>13</w:t>
      </w:r>
      <w:r>
        <w:rPr>
          <w:rFonts w:hint="eastAsia"/>
        </w:rPr>
        <w:t>0</w:t>
      </w:r>
      <w:r>
        <w:rPr>
          <w:rFonts w:hint="eastAsia"/>
        </w:rPr>
        <w:t>万托拉尔（约合</w:t>
      </w:r>
      <w:r>
        <w:t>1 156 500</w:t>
      </w:r>
      <w:r>
        <w:rPr>
          <w:rFonts w:hint="eastAsia"/>
        </w:rPr>
        <w:t>美元）。在两年定期计划中对按措施和活动开列的预算支出单位的资源作了详细说明。</w:t>
      </w:r>
    </w:p>
    <w:p w:rsidR="001A7779" w:rsidRDefault="001A7779">
      <w:pPr>
        <w:pStyle w:val="H2"/>
        <w:tabs>
          <w:tab w:val="left" w:pos="630"/>
        </w:tabs>
        <w:rPr>
          <w:rFonts w:ascii="Times New Roman"/>
          <w:lang w:val="en-US"/>
        </w:rPr>
      </w:pPr>
      <w:r>
        <w:rPr>
          <w:rFonts w:ascii="Times New Roman" w:hint="eastAsia"/>
          <w:lang w:val="en-US"/>
        </w:rPr>
        <w:t>公民社会组织</w:t>
      </w:r>
    </w:p>
    <w:p w:rsidR="001A7779" w:rsidRDefault="001A7779">
      <w:pPr>
        <w:tabs>
          <w:tab w:val="left" w:pos="630"/>
        </w:tabs>
        <w:spacing w:after="240" w:line="360" w:lineRule="exact"/>
        <w:rPr>
          <w:rFonts w:hint="eastAsia"/>
        </w:rPr>
      </w:pPr>
      <w:r>
        <w:rPr>
          <w:rFonts w:hint="eastAsia"/>
        </w:rPr>
        <w:tab/>
      </w:r>
      <w:r>
        <w:rPr>
          <w:rFonts w:hint="eastAsia"/>
        </w:rPr>
        <w:t>公民社会组织是实施不同项目的重要伙伴，它们积极参与确保实现两性平等，为此发起各种倡议，对立法提议和措施做出反应，监测形势，提出关于斯洛文尼亚男女地位的报告，着重指出妇女在享有其权利方面所遇到的任何困难，等等。在有关《公约》逐项条款执行情况的部分中，较为详细地介绍了在执行《消除对妇女一切形式歧视公约》中与非政府组织的合作。</w:t>
      </w:r>
      <w:r>
        <w:t xml:space="preserve"> </w:t>
      </w:r>
    </w:p>
    <w:p w:rsidR="001A7779" w:rsidRDefault="001A7779">
      <w:pPr>
        <w:tabs>
          <w:tab w:val="left" w:pos="630"/>
        </w:tabs>
        <w:spacing w:after="240" w:line="360" w:lineRule="exact"/>
      </w:pPr>
      <w:r>
        <w:rPr>
          <w:rFonts w:hint="eastAsia"/>
        </w:rPr>
        <w:tab/>
      </w:r>
      <w:r>
        <w:rPr>
          <w:rFonts w:hint="eastAsia"/>
        </w:rPr>
        <w:t>非政府组织和其他公民社会组织参与编制“关于</w:t>
      </w:r>
      <w:r>
        <w:rPr>
          <w:rFonts w:hint="eastAsia"/>
        </w:rPr>
        <w:t>2005-2013</w:t>
      </w:r>
      <w:r>
        <w:rPr>
          <w:rFonts w:hint="eastAsia"/>
        </w:rPr>
        <w:t>年男女平等机会国家方案的决议”的整个过程，以及参与草拟关于《公约》条款执行情况的本次报告。它们的合作具有至关重要的意义，因为正是通过它们所做的工作，才有可能明确和恰当解决妇女与男子在日常生活中所遇到的各种问题。</w:t>
      </w:r>
    </w:p>
    <w:p w:rsidR="001A7779" w:rsidRDefault="001A7779">
      <w:pPr>
        <w:pStyle w:val="HCh"/>
        <w:jc w:val="center"/>
      </w:pPr>
      <w:r>
        <w:rPr>
          <w:rFonts w:hint="eastAsia"/>
        </w:rPr>
        <w:t>《公约》逐项条款执行情况</w:t>
      </w:r>
    </w:p>
    <w:p w:rsidR="001A7779" w:rsidRDefault="001A7779">
      <w:pPr>
        <w:pStyle w:val="H1"/>
        <w:spacing w:before="120"/>
      </w:pPr>
      <w:r>
        <w:rPr>
          <w:rFonts w:hint="eastAsia"/>
          <w:noProof/>
        </w:rPr>
        <w:t>第</w:t>
      </w:r>
      <w:r>
        <w:rPr>
          <w:noProof/>
        </w:rPr>
        <w:t xml:space="preserve"> 1</w:t>
      </w:r>
      <w:r>
        <w:rPr>
          <w:rFonts w:hint="eastAsia"/>
          <w:noProof/>
        </w:rPr>
        <w:t xml:space="preserve">条 </w:t>
      </w:r>
      <w:r>
        <w:rPr>
          <w:rFonts w:hint="eastAsia"/>
        </w:rPr>
        <w:t>对妇女的歧视</w:t>
      </w:r>
    </w:p>
    <w:p w:rsidR="001A7779" w:rsidRDefault="001A7779">
      <w:pPr>
        <w:tabs>
          <w:tab w:val="left" w:pos="630"/>
        </w:tabs>
        <w:spacing w:after="240" w:line="360" w:lineRule="exact"/>
        <w:rPr>
          <w:rFonts w:hint="eastAsia"/>
        </w:rPr>
      </w:pPr>
      <w:r>
        <w:t>1.</w:t>
      </w:r>
      <w:r>
        <w:tab/>
      </w:r>
      <w:r>
        <w:rPr>
          <w:rFonts w:hint="eastAsia"/>
        </w:rPr>
        <w:t>2002</w:t>
      </w:r>
      <w:r>
        <w:rPr>
          <w:rFonts w:hint="eastAsia"/>
        </w:rPr>
        <w:t>年通过的《男女平等机会法》界定了两性平等和基于性别的直接或间接形式的歧视，第三次报告中已有述及。除此之外，</w:t>
      </w:r>
      <w:r>
        <w:rPr>
          <w:rFonts w:hint="eastAsia"/>
        </w:rPr>
        <w:t xml:space="preserve"> 2004</w:t>
      </w:r>
      <w:r>
        <w:rPr>
          <w:rFonts w:hint="eastAsia"/>
        </w:rPr>
        <w:t>年通过的《实施平等待遇原则法案》也明确禁止基于任何理由的歧视，它是一项反歧视的基本法律和一般法律，该法包括机制基于性别的歧视。该法第</w:t>
      </w:r>
      <w:r>
        <w:rPr>
          <w:rFonts w:hint="eastAsia"/>
        </w:rPr>
        <w:t>4</w:t>
      </w:r>
      <w:r>
        <w:rPr>
          <w:rFonts w:hint="eastAsia"/>
        </w:rPr>
        <w:t>条界定了直接和间接形式的歧视，第</w:t>
      </w:r>
      <w:r>
        <w:rPr>
          <w:rFonts w:hint="eastAsia"/>
        </w:rPr>
        <w:t>5</w:t>
      </w:r>
      <w:r>
        <w:rPr>
          <w:rFonts w:hint="eastAsia"/>
        </w:rPr>
        <w:t>条界定了骚扰。该法明确规定，倘若在基于个人情况的同等或可比较的条件下，某人受到或可能受到不如他人的待遇，即构成基于此种个人情况的直接歧视。倘若在基于个人情况的同等或可比较的条件下，表明中性的规定、标准或做法使得某人处于不利境地，即构成间接形式的歧视，除非是有合法目的客观证明这些规定、标准或做法是合理的，以及实现该目的所用的手段是适当而必要的。以前规定意义上的任何指示也应被视为直接或间接形式的歧视。该法将骚扰界定为基于个人情况的不受欢迎的行为，此种行为使某人感到畏惧、不利、耻辱或受到冒犯，或伤害到他或她的自尊。此种行为应视之为歧视。</w:t>
      </w:r>
      <w:r>
        <w:t xml:space="preserve"> </w:t>
      </w:r>
    </w:p>
    <w:p w:rsidR="001A7779" w:rsidRDefault="001A7779">
      <w:pPr>
        <w:pStyle w:val="H1"/>
        <w:spacing w:before="120"/>
        <w:rPr>
          <w:noProof/>
        </w:rPr>
      </w:pPr>
      <w:r>
        <w:rPr>
          <w:rFonts w:hint="eastAsia"/>
          <w:noProof/>
        </w:rPr>
        <w:t>第</w:t>
      </w:r>
      <w:r>
        <w:rPr>
          <w:noProof/>
        </w:rPr>
        <w:t xml:space="preserve"> 2</w:t>
      </w:r>
      <w:r>
        <w:rPr>
          <w:rFonts w:hint="eastAsia"/>
          <w:noProof/>
        </w:rPr>
        <w:t>条和第3条  确保男女平等的措施</w:t>
      </w:r>
    </w:p>
    <w:p w:rsidR="001A7779" w:rsidRDefault="001A7779">
      <w:pPr>
        <w:tabs>
          <w:tab w:val="left" w:pos="630"/>
        </w:tabs>
        <w:spacing w:after="240" w:line="360" w:lineRule="exact"/>
      </w:pPr>
      <w:r>
        <w:t>2.</w:t>
      </w:r>
      <w:r>
        <w:tab/>
      </w:r>
      <w:r>
        <w:rPr>
          <w:rFonts w:hint="eastAsia"/>
        </w:rPr>
        <w:t>依照委员会的建议，政府加强努力，防止出现歧视现象并确保妇女享有事实上的平等。在提交第三次报告以来这段时间，斯洛文尼亚在促进两性平等方面通过了一项宪法法案和三项重要法案，即《修正斯洛文尼亚共和国宪法第</w:t>
      </w:r>
      <w:r>
        <w:rPr>
          <w:rFonts w:hint="eastAsia"/>
        </w:rPr>
        <w:t>43</w:t>
      </w:r>
      <w:r>
        <w:rPr>
          <w:rFonts w:hint="eastAsia"/>
        </w:rPr>
        <w:t>条宪法法案》、《地方选举法》、《选举欧洲议会斯洛文尼亚议员法案》和《实施平等待遇原则法案》。考虑到确保有效实施某些法律规定，政府通过了相关的执行条例，明确规定如何实施这些法律规定以及如何监测通过这些法律规定来实现目标的效率。</w:t>
      </w:r>
      <w:r>
        <w:t xml:space="preserve"> </w:t>
      </w:r>
    </w:p>
    <w:p w:rsidR="001A7779" w:rsidRDefault="001A7779">
      <w:pPr>
        <w:tabs>
          <w:tab w:val="left" w:pos="630"/>
        </w:tabs>
        <w:spacing w:after="240" w:line="360" w:lineRule="exact"/>
      </w:pPr>
      <w:r>
        <w:t>3.</w:t>
      </w:r>
      <w:r>
        <w:tab/>
      </w:r>
      <w:r>
        <w:rPr>
          <w:rFonts w:hint="eastAsia"/>
        </w:rPr>
        <w:t>本报告在“一般情况”章节下说明了保障两性平等的机构办法，如其所述，即使是在</w:t>
      </w:r>
      <w:r>
        <w:rPr>
          <w:rFonts w:hint="eastAsia"/>
        </w:rPr>
        <w:t>2003</w:t>
      </w:r>
      <w:r>
        <w:rPr>
          <w:rFonts w:hint="eastAsia"/>
        </w:rPr>
        <w:t>年国家行政机构改革之后，平等机会办公室仍然拥有其自主地位，依然是促进男女平等机会的主要政府机构，消除对妇女歧视委员会在其结论意见中亦如此建议。</w:t>
      </w:r>
      <w:r>
        <w:t xml:space="preserve"> </w:t>
      </w:r>
    </w:p>
    <w:p w:rsidR="001A7779" w:rsidRDefault="001A7779">
      <w:pPr>
        <w:tabs>
          <w:tab w:val="left" w:pos="630"/>
        </w:tabs>
        <w:spacing w:after="240" w:line="360" w:lineRule="exact"/>
      </w:pPr>
      <w:r>
        <w:t>4.</w:t>
      </w:r>
      <w:r>
        <w:tab/>
      </w:r>
      <w:r>
        <w:rPr>
          <w:rFonts w:hint="eastAsia"/>
        </w:rPr>
        <w:t>在“一般情况”章节下</w:t>
      </w:r>
      <w:r>
        <w:t>（</w:t>
      </w:r>
      <w:r>
        <w:t>c</w:t>
      </w:r>
      <w:r>
        <w:t>）</w:t>
      </w:r>
      <w:r>
        <w:rPr>
          <w:rFonts w:hint="eastAsia"/>
        </w:rPr>
        <w:t>项“保障两性平等的机构办法”中所述及的促进妇女参与科学发展委员会，自</w:t>
      </w:r>
      <w:r>
        <w:rPr>
          <w:rFonts w:hint="eastAsia"/>
        </w:rPr>
        <w:t>2003</w:t>
      </w:r>
      <w:r>
        <w:rPr>
          <w:rFonts w:hint="eastAsia"/>
        </w:rPr>
        <w:t>年以来负责审评指导斯洛文尼亚研究活动的法律文件，并拟定建议，以废除截至当时相关机构所适用的任何已查明的可能的歧视性规定。</w:t>
      </w:r>
    </w:p>
    <w:p w:rsidR="001A7779" w:rsidRDefault="001A7779">
      <w:pPr>
        <w:tabs>
          <w:tab w:val="left" w:pos="630"/>
        </w:tabs>
        <w:spacing w:after="240" w:line="360" w:lineRule="exact"/>
      </w:pPr>
      <w:r>
        <w:t>5.</w:t>
      </w:r>
      <w:r>
        <w:tab/>
      </w:r>
      <w:r>
        <w:rPr>
          <w:rFonts w:hint="eastAsia"/>
        </w:rPr>
        <w:t>如“一般情况”章节所着重指出，非政府组织和其他公民社会组织在促进采用和实施法律和方案措施取得进展方面发挥了重要作用。在本报告所涉期间，在拟订修正斯洛文尼亚共和国宪法的提案，明确规定采取特别措施以提高妇女在政治决策中的参与程度为一项绝对义务这方面，</w:t>
      </w:r>
      <w:r>
        <w:t xml:space="preserve"> </w:t>
      </w:r>
      <w:r>
        <w:rPr>
          <w:rFonts w:hint="eastAsia"/>
        </w:rPr>
        <w:t>高水准的对话以及由此产生的公民社会组织、平等机会办公室和国民议会议员三方有意义的伙伴关系，效果尤为突出。这些努力推动了一场公民社会运动，称之为“促进公共和政治决策中男女代表比例均衡联盟”。该联盟于</w:t>
      </w:r>
      <w:r>
        <w:rPr>
          <w:rFonts w:hint="eastAsia"/>
        </w:rPr>
        <w:t>2001</w:t>
      </w:r>
      <w:r>
        <w:rPr>
          <w:rFonts w:hint="eastAsia"/>
        </w:rPr>
        <w:t>年</w:t>
      </w:r>
      <w:r>
        <w:rPr>
          <w:rFonts w:hint="eastAsia"/>
        </w:rPr>
        <w:t>2</w:t>
      </w:r>
      <w:r>
        <w:rPr>
          <w:rFonts w:hint="eastAsia"/>
        </w:rPr>
        <w:t>月正式建立，汇聚了斯洛文尼亚各阶层人士，他们分别来自非政府组织和政府机构、工会、政党以及公营和私营机构。联盟所明确的唯一目标是：在支配选举的立法中实行均衡代表原则，解决妇女在政治权力机构中代表比例严重不足问题。首先，联盟拟定了上述宪法修正提案，随后又草拟了修改选举立法的提案。正是由于在这一公民社会倡议、议会和政府及不同专家当中对宪法法律和选举立法产生并增强了信任感，再加上媒体的大力支持，妇女在决策层中代表比例过低的情况才得到承认，并且国民议会议员提交了一项宪法法案提案，将其作为重大的政治问题而成功地开展了立法辩论并审议了《宪法修正案》。</w:t>
      </w:r>
      <w:r>
        <w:t xml:space="preserve"> </w:t>
      </w:r>
    </w:p>
    <w:p w:rsidR="001A7779" w:rsidRDefault="001A7779">
      <w:pPr>
        <w:tabs>
          <w:tab w:val="left" w:pos="630"/>
        </w:tabs>
        <w:spacing w:after="240" w:line="360" w:lineRule="exact"/>
      </w:pPr>
      <w:r>
        <w:t>6.</w:t>
      </w:r>
      <w:r>
        <w:tab/>
      </w:r>
      <w:r>
        <w:rPr>
          <w:rFonts w:hint="eastAsia"/>
        </w:rPr>
        <w:t>2004</w:t>
      </w:r>
      <w:r>
        <w:rPr>
          <w:rFonts w:hint="eastAsia"/>
        </w:rPr>
        <w:t>年</w:t>
      </w:r>
      <w:r>
        <w:rPr>
          <w:rFonts w:hint="eastAsia"/>
        </w:rPr>
        <w:t>6</w:t>
      </w:r>
      <w:r>
        <w:rPr>
          <w:rFonts w:hint="eastAsia"/>
        </w:rPr>
        <w:t>月，国民议会通过了《修正斯洛文尼亚共和国宪法第</w:t>
      </w:r>
      <w:r>
        <w:rPr>
          <w:rFonts w:hint="eastAsia"/>
        </w:rPr>
        <w:t>43</w:t>
      </w:r>
      <w:r>
        <w:rPr>
          <w:rFonts w:hint="eastAsia"/>
        </w:rPr>
        <w:t>条宪法法案》，在关于普遍和平等的选举权的条款上增列了新的一段，赋予立法者以采取法律措施的权力，以鼓励男女在国家权力机构和地方社区权力机构选举中享有平等机会。</w:t>
      </w:r>
      <w:r>
        <w:t xml:space="preserve"> </w:t>
      </w:r>
    </w:p>
    <w:p w:rsidR="001A7779" w:rsidRDefault="001A7779">
      <w:pPr>
        <w:tabs>
          <w:tab w:val="left" w:pos="630"/>
        </w:tabs>
        <w:spacing w:after="240" w:line="360" w:lineRule="exact"/>
      </w:pPr>
      <w:r>
        <w:t>7.</w:t>
      </w:r>
      <w:r>
        <w:tab/>
      </w:r>
      <w:r>
        <w:rPr>
          <w:rFonts w:hint="eastAsia"/>
        </w:rPr>
        <w:t>立法者现已开始行使这一权力。</w:t>
      </w:r>
      <w:r>
        <w:rPr>
          <w:rFonts w:hint="eastAsia"/>
        </w:rPr>
        <w:t>2005</w:t>
      </w:r>
      <w:r>
        <w:rPr>
          <w:rFonts w:hint="eastAsia"/>
        </w:rPr>
        <w:t>年</w:t>
      </w:r>
      <w:r>
        <w:rPr>
          <w:rFonts w:hint="eastAsia"/>
        </w:rPr>
        <w:t>7</w:t>
      </w:r>
      <w:r>
        <w:rPr>
          <w:rFonts w:hint="eastAsia"/>
        </w:rPr>
        <w:t>月，《修正地方选举法法案》获得通过，其中第</w:t>
      </w:r>
      <w:r>
        <w:rPr>
          <w:rFonts w:hint="eastAsia"/>
        </w:rPr>
        <w:t>70a</w:t>
      </w:r>
      <w:r>
        <w:rPr>
          <w:rFonts w:hint="eastAsia"/>
        </w:rPr>
        <w:t>条规定，在其选区中若有不止一名候选人参与市政委员会成员竞选的政党或选民，都必须以下列方式拟定候选人名单，即确保男女候选人至少各占所列所有候选人的</w:t>
      </w:r>
      <w:r>
        <w:rPr>
          <w:rFonts w:hint="eastAsia"/>
        </w:rPr>
        <w:t>40%</w:t>
      </w:r>
      <w:r>
        <w:rPr>
          <w:rFonts w:hint="eastAsia"/>
        </w:rPr>
        <w:t>，以及名单前一半候选人按性别轮换。凡不符合上面规定的名单，市政选举委员会均应不予接受。这些法案规定，</w:t>
      </w:r>
      <w:r>
        <w:rPr>
          <w:rFonts w:hint="eastAsia"/>
        </w:rPr>
        <w:t xml:space="preserve"> </w:t>
      </w:r>
      <w:r>
        <w:rPr>
          <w:rFonts w:hint="eastAsia"/>
        </w:rPr>
        <w:t>到</w:t>
      </w:r>
      <w:r>
        <w:rPr>
          <w:rFonts w:hint="eastAsia"/>
        </w:rPr>
        <w:t>2014</w:t>
      </w:r>
      <w:r>
        <w:rPr>
          <w:rFonts w:hint="eastAsia"/>
        </w:rPr>
        <w:t>年，男女代表比例必须分别达到</w:t>
      </w:r>
      <w:r>
        <w:rPr>
          <w:rFonts w:hint="eastAsia"/>
        </w:rPr>
        <w:t>40%</w:t>
      </w:r>
      <w:r>
        <w:rPr>
          <w:rFonts w:hint="eastAsia"/>
        </w:rPr>
        <w:t>，在此前这段过渡期内，将于</w:t>
      </w:r>
      <w:r>
        <w:rPr>
          <w:rFonts w:hint="eastAsia"/>
        </w:rPr>
        <w:t>2006</w:t>
      </w:r>
      <w:r>
        <w:rPr>
          <w:rFonts w:hint="eastAsia"/>
        </w:rPr>
        <w:t>年举行的第一次地方选举的候选人名单上男女所占比例必须至少分别为</w:t>
      </w:r>
      <w:r>
        <w:rPr>
          <w:rFonts w:hint="eastAsia"/>
        </w:rPr>
        <w:t>20%</w:t>
      </w:r>
      <w:r>
        <w:rPr>
          <w:rFonts w:hint="eastAsia"/>
        </w:rPr>
        <w:t>，</w:t>
      </w:r>
      <w:r>
        <w:rPr>
          <w:rFonts w:hint="eastAsia"/>
        </w:rPr>
        <w:t>2010</w:t>
      </w:r>
      <w:r>
        <w:rPr>
          <w:rFonts w:hint="eastAsia"/>
        </w:rPr>
        <w:t>年选举的候选人名单上男女所占比例则至少分别为</w:t>
      </w:r>
      <w:r>
        <w:rPr>
          <w:rFonts w:hint="eastAsia"/>
        </w:rPr>
        <w:t>30%</w:t>
      </w:r>
      <w:r>
        <w:rPr>
          <w:rFonts w:hint="eastAsia"/>
        </w:rPr>
        <w:t>。过渡期间，对于名单前一半按性别轮换候选人原则可作部分减损，以便安排适当，候选人中男女比例至少分别为三分之一。</w:t>
      </w:r>
      <w:r>
        <w:rPr>
          <w:rFonts w:hint="eastAsia"/>
        </w:rPr>
        <w:t xml:space="preserve"> </w:t>
      </w:r>
      <w:r>
        <w:rPr>
          <w:rFonts w:hint="eastAsia"/>
        </w:rPr>
        <w:t>只有在</w:t>
      </w:r>
      <w:r>
        <w:rPr>
          <w:rFonts w:hint="eastAsia"/>
        </w:rPr>
        <w:t>2006</w:t>
      </w:r>
      <w:r>
        <w:rPr>
          <w:rFonts w:hint="eastAsia"/>
        </w:rPr>
        <w:t>年地方选举之后，才有可能评价该法案对于妇女在市政委员会中所占代表比例将产生多大的积极影响。</w:t>
      </w:r>
      <w:r>
        <w:t xml:space="preserve"> </w:t>
      </w:r>
    </w:p>
    <w:p w:rsidR="001A7779" w:rsidRDefault="001A7779">
      <w:pPr>
        <w:tabs>
          <w:tab w:val="left" w:pos="630"/>
        </w:tabs>
        <w:spacing w:after="240" w:line="360" w:lineRule="exact"/>
      </w:pPr>
      <w:r>
        <w:t>8.</w:t>
      </w:r>
      <w:r>
        <w:tab/>
      </w:r>
      <w:r>
        <w:rPr>
          <w:rFonts w:hint="eastAsia"/>
        </w:rPr>
        <w:t>目前正在进行起草《国民议会选举法》修正法案，它将提出促进男女在选举中享有平等机会的措施，计划于</w:t>
      </w:r>
      <w:r>
        <w:rPr>
          <w:rFonts w:hint="eastAsia"/>
        </w:rPr>
        <w:t>2006</w:t>
      </w:r>
      <w:r>
        <w:rPr>
          <w:rFonts w:hint="eastAsia"/>
        </w:rPr>
        <w:t>年通过。</w:t>
      </w:r>
    </w:p>
    <w:p w:rsidR="001A7779" w:rsidRDefault="001A7779">
      <w:pPr>
        <w:tabs>
          <w:tab w:val="left" w:pos="630"/>
        </w:tabs>
        <w:spacing w:after="240" w:line="360" w:lineRule="exact"/>
      </w:pPr>
      <w:r>
        <w:t>9.</w:t>
      </w:r>
      <w:r>
        <w:tab/>
      </w:r>
      <w:r>
        <w:rPr>
          <w:rFonts w:hint="eastAsia"/>
        </w:rPr>
        <w:t>甚至在该宪法修正之前，即已通过了对《选举欧洲议会斯洛文尼亚议员法案》的一项修正案，其中规定候选人名单应男女代表比例均衡。《法案》第</w:t>
      </w:r>
      <w:r>
        <w:rPr>
          <w:rFonts w:hint="eastAsia"/>
        </w:rPr>
        <w:t>15</w:t>
      </w:r>
      <w:r>
        <w:rPr>
          <w:rFonts w:hint="eastAsia"/>
        </w:rPr>
        <w:t>条规定，任何候选人名单应确保男女代表比例至少分别为</w:t>
      </w:r>
      <w:r>
        <w:rPr>
          <w:rFonts w:hint="eastAsia"/>
        </w:rPr>
        <w:t>40%</w:t>
      </w:r>
      <w:r>
        <w:rPr>
          <w:rFonts w:hint="eastAsia"/>
        </w:rPr>
        <w:t>。所拟定的候选人名单必须是男女候选人至少各有一人列在名单前一半。与上面规定不符的名单应视之为无效。如“一般情况”章节所述，</w:t>
      </w:r>
      <w:r>
        <w:rPr>
          <w:rFonts w:hint="eastAsia"/>
        </w:rPr>
        <w:t xml:space="preserve"> </w:t>
      </w:r>
      <w:r>
        <w:rPr>
          <w:rFonts w:hint="eastAsia"/>
        </w:rPr>
        <w:t>实行候选人名单中男女代表比例至少各占</w:t>
      </w:r>
      <w:r>
        <w:rPr>
          <w:rFonts w:hint="eastAsia"/>
        </w:rPr>
        <w:t>40%</w:t>
      </w:r>
      <w:r>
        <w:rPr>
          <w:rFonts w:hint="eastAsia"/>
        </w:rPr>
        <w:t>的这项规定十分有效，在欧洲议会的七名斯洛文尼亚议员中就可能出现三名女议员。</w:t>
      </w:r>
      <w:r>
        <w:t xml:space="preserve"> </w:t>
      </w:r>
    </w:p>
    <w:p w:rsidR="001A7779" w:rsidRDefault="001A7779">
      <w:pPr>
        <w:tabs>
          <w:tab w:val="left" w:pos="630"/>
        </w:tabs>
        <w:spacing w:after="240" w:line="360" w:lineRule="exact"/>
      </w:pPr>
      <w:r>
        <w:t>10.</w:t>
      </w:r>
      <w:r>
        <w:tab/>
      </w:r>
      <w:r>
        <w:rPr>
          <w:rFonts w:hint="eastAsia"/>
        </w:rPr>
        <w:t>2004</w:t>
      </w:r>
      <w:r>
        <w:rPr>
          <w:rFonts w:hint="eastAsia"/>
        </w:rPr>
        <w:t>年</w:t>
      </w:r>
      <w:r>
        <w:rPr>
          <w:rFonts w:hint="eastAsia"/>
        </w:rPr>
        <w:t>5</w:t>
      </w:r>
      <w:r>
        <w:rPr>
          <w:rFonts w:hint="eastAsia"/>
        </w:rPr>
        <w:t>月，通过了《实施平等待遇原则法案》；这是一项关于禁止基于任何个人情况的歧视的基本法和一般法（普通法），其中包括禁止基于性别的歧视。该法第</w:t>
      </w:r>
      <w:r>
        <w:rPr>
          <w:rFonts w:hint="eastAsia"/>
        </w:rPr>
        <w:t>1</w:t>
      </w:r>
      <w:r>
        <w:rPr>
          <w:rFonts w:hint="eastAsia"/>
        </w:rPr>
        <w:t>条确立了共同依据和出发点，确保每个人在社会生活任何领域，尤其在就业、工作关系、工会和利益团体成员资格、教育、社会保障、获取和供应商品和服务领域内行使其权利、义务和基本自由方面享有平等待遇，不论个人情况如何，比如国际、种族或族裔、性别、健康状况、残疾、语言、宗教或其他信仰、年龄、性倾向、教育、经济状况、社会地位或其他任何个人情况。该法第</w:t>
      </w:r>
      <w:r>
        <w:rPr>
          <w:rFonts w:hint="eastAsia"/>
        </w:rPr>
        <w:t>4</w:t>
      </w:r>
      <w:r>
        <w:rPr>
          <w:rFonts w:hint="eastAsia"/>
        </w:rPr>
        <w:t>条和第</w:t>
      </w:r>
      <w:r>
        <w:rPr>
          <w:rFonts w:hint="eastAsia"/>
        </w:rPr>
        <w:t>5</w:t>
      </w:r>
      <w:r>
        <w:rPr>
          <w:rFonts w:hint="eastAsia"/>
        </w:rPr>
        <w:t>条界定了直接和间接歧视和骚扰。该法第</w:t>
      </w:r>
      <w:r>
        <w:rPr>
          <w:rFonts w:hint="eastAsia"/>
        </w:rPr>
        <w:t>7</w:t>
      </w:r>
      <w:r>
        <w:rPr>
          <w:rFonts w:hint="eastAsia"/>
        </w:rPr>
        <w:t>条规定，国民议会、政府、政府各部和其他国家机构以及自治地方社区机构有责任为人人享有平等待遇创造条件。</w:t>
      </w:r>
    </w:p>
    <w:p w:rsidR="001A7779" w:rsidRDefault="001A7779">
      <w:pPr>
        <w:tabs>
          <w:tab w:val="left" w:pos="630"/>
        </w:tabs>
        <w:spacing w:after="240" w:line="360" w:lineRule="exact"/>
      </w:pPr>
      <w:r>
        <w:t>11.</w:t>
      </w:r>
      <w:r>
        <w:tab/>
      </w:r>
      <w:r>
        <w:rPr>
          <w:rFonts w:hint="eastAsia"/>
        </w:rPr>
        <w:t>可以预见的是，在制定解决办法和提案以实现《实施平等待遇原则法案》的目的方面，政府和政府各部应当与社会伙伴和非政府组织密切合作（该法对此种合作做出了规定）。根据《实施平等待遇原则法案》，政府于</w:t>
      </w:r>
      <w:r>
        <w:rPr>
          <w:rFonts w:hint="eastAsia"/>
        </w:rPr>
        <w:t>2004</w:t>
      </w:r>
      <w:r>
        <w:rPr>
          <w:rFonts w:hint="eastAsia"/>
        </w:rPr>
        <w:t>年</w:t>
      </w:r>
      <w:r>
        <w:rPr>
          <w:rFonts w:hint="eastAsia"/>
        </w:rPr>
        <w:t>8</w:t>
      </w:r>
      <w:r>
        <w:rPr>
          <w:rFonts w:hint="eastAsia"/>
        </w:rPr>
        <w:t>月建立了实施平等待遇法原则委员会（简称“委员会”）。委员会的基本任务是制定该法条款实施细则；监测、确定和评估在实施平等待遇原则方面各群体在社会中所处位置；拟定并向政府提交提案、倡议和通过实施平等待遇原则的法案和措施的建议；拟定和提交促进教育、提高认识和人人平等待遇领域内研究的提案；通报平等原则辩护律师的工作情况。委员会由</w:t>
      </w:r>
      <w:r>
        <w:rPr>
          <w:rFonts w:hint="eastAsia"/>
        </w:rPr>
        <w:t>24</w:t>
      </w:r>
      <w:r>
        <w:rPr>
          <w:rFonts w:hint="eastAsia"/>
        </w:rPr>
        <w:t>名成员组成，其中</w:t>
      </w:r>
      <w:r>
        <w:rPr>
          <w:rFonts w:hint="eastAsia"/>
        </w:rPr>
        <w:t>9</w:t>
      </w:r>
      <w:r>
        <w:rPr>
          <w:rFonts w:hint="eastAsia"/>
        </w:rPr>
        <w:t>人为各部和政府机构的代表，</w:t>
      </w:r>
      <w:r>
        <w:rPr>
          <w:rFonts w:hint="eastAsia"/>
        </w:rPr>
        <w:t>4</w:t>
      </w:r>
      <w:r>
        <w:rPr>
          <w:rFonts w:hint="eastAsia"/>
        </w:rPr>
        <w:t>人为专家机构的代表，</w:t>
      </w:r>
      <w:r>
        <w:rPr>
          <w:rFonts w:hint="eastAsia"/>
        </w:rPr>
        <w:t>2</w:t>
      </w:r>
      <w:r>
        <w:rPr>
          <w:rFonts w:hint="eastAsia"/>
        </w:rPr>
        <w:t>人为意大利族裔和匈牙利族裔代表，</w:t>
      </w:r>
      <w:r>
        <w:rPr>
          <w:rFonts w:hint="eastAsia"/>
        </w:rPr>
        <w:t>1</w:t>
      </w:r>
      <w:r>
        <w:rPr>
          <w:rFonts w:hint="eastAsia"/>
        </w:rPr>
        <w:t>人为斯洛文尼亚罗马协会的代表，</w:t>
      </w:r>
      <w:r>
        <w:rPr>
          <w:rFonts w:hint="eastAsia"/>
        </w:rPr>
        <w:t>8</w:t>
      </w:r>
      <w:r>
        <w:rPr>
          <w:rFonts w:hint="eastAsia"/>
        </w:rPr>
        <w:t>人为在平等待遇领域内积极工作的非政府组织的代表。</w:t>
      </w:r>
      <w:r>
        <w:t xml:space="preserve"> </w:t>
      </w:r>
    </w:p>
    <w:p w:rsidR="001A7779" w:rsidRDefault="001A7779">
      <w:pPr>
        <w:tabs>
          <w:tab w:val="left" w:pos="630"/>
        </w:tabs>
        <w:spacing w:after="240" w:line="360" w:lineRule="exact"/>
      </w:pPr>
      <w:r>
        <w:t>12.</w:t>
      </w:r>
      <w:r>
        <w:tab/>
      </w:r>
      <w:r>
        <w:rPr>
          <w:rFonts w:hint="eastAsia"/>
        </w:rPr>
        <w:t>在第四章中，《实施平等待遇原则法案》明确了平等原则辩护律师的工作，规定其以非正式程序受理指称歧视案件。根据该法，平等原则辩护律师于</w:t>
      </w:r>
      <w:r>
        <w:rPr>
          <w:rFonts w:hint="eastAsia"/>
        </w:rPr>
        <w:t>2005</w:t>
      </w:r>
      <w:r>
        <w:rPr>
          <w:rFonts w:hint="eastAsia"/>
        </w:rPr>
        <w:t>年</w:t>
      </w:r>
      <w:r>
        <w:rPr>
          <w:rFonts w:hint="eastAsia"/>
        </w:rPr>
        <w:t>1</w:t>
      </w:r>
      <w:r>
        <w:rPr>
          <w:rFonts w:hint="eastAsia"/>
        </w:rPr>
        <w:t>月</w:t>
      </w:r>
      <w:r>
        <w:rPr>
          <w:rFonts w:hint="eastAsia"/>
        </w:rPr>
        <w:t>1</w:t>
      </w:r>
      <w:r>
        <w:rPr>
          <w:rFonts w:hint="eastAsia"/>
        </w:rPr>
        <w:t>日开始工作。第</w:t>
      </w:r>
      <w:r>
        <w:rPr>
          <w:rFonts w:hint="eastAsia"/>
        </w:rPr>
        <w:t>22</w:t>
      </w:r>
      <w:r>
        <w:rPr>
          <w:rFonts w:hint="eastAsia"/>
        </w:rPr>
        <w:t>条规定了倒置举证责任。如果某人受到歧视并举出事实，证明违反禁止歧视的假说是有道理的，指称犯法者就需证明他或她没有违反平等待遇原则或禁止歧视令。第</w:t>
      </w:r>
      <w:r>
        <w:rPr>
          <w:rFonts w:hint="eastAsia"/>
        </w:rPr>
        <w:t>23</w:t>
      </w:r>
      <w:r>
        <w:rPr>
          <w:rFonts w:hint="eastAsia"/>
        </w:rPr>
        <w:t>条明确了非政府组织站在受歧视者一边参与法院和行政诉讼的权利。</w:t>
      </w:r>
      <w:r>
        <w:t xml:space="preserve"> </w:t>
      </w:r>
    </w:p>
    <w:p w:rsidR="001A7779" w:rsidRDefault="001A7779">
      <w:pPr>
        <w:tabs>
          <w:tab w:val="left" w:pos="630"/>
        </w:tabs>
        <w:spacing w:after="240" w:line="360" w:lineRule="exact"/>
      </w:pPr>
      <w:r>
        <w:t>13.</w:t>
      </w:r>
      <w:r>
        <w:tab/>
      </w:r>
      <w:r>
        <w:rPr>
          <w:rFonts w:hint="eastAsia"/>
        </w:rPr>
        <w:t>男女平等机会辩护律师受理指称的性别歧视案件，行使与平等原则辩护律师同样的权力。在通过《男女平等机会法》时提出的男女平等机会辩护律师协会，第三次报告作了较为详细的介绍。自</w:t>
      </w:r>
      <w:r>
        <w:rPr>
          <w:rFonts w:hint="eastAsia"/>
        </w:rPr>
        <w:t>2003</w:t>
      </w:r>
      <w:r>
        <w:rPr>
          <w:rFonts w:hint="eastAsia"/>
        </w:rPr>
        <w:t>年开始工作起直至</w:t>
      </w:r>
      <w:r>
        <w:rPr>
          <w:rFonts w:hint="eastAsia"/>
        </w:rPr>
        <w:t>2005</w:t>
      </w:r>
      <w:r>
        <w:rPr>
          <w:rFonts w:hint="eastAsia"/>
        </w:rPr>
        <w:t>年</w:t>
      </w:r>
      <w:r>
        <w:rPr>
          <w:rFonts w:hint="eastAsia"/>
        </w:rPr>
        <w:t>6</w:t>
      </w:r>
      <w:r>
        <w:rPr>
          <w:rFonts w:hint="eastAsia"/>
        </w:rPr>
        <w:t>月</w:t>
      </w:r>
      <w:r>
        <w:rPr>
          <w:rFonts w:hint="eastAsia"/>
        </w:rPr>
        <w:t>30</w:t>
      </w:r>
      <w:r>
        <w:rPr>
          <w:rFonts w:hint="eastAsia"/>
        </w:rPr>
        <w:t>日，男女平等机会辩护律师收到了</w:t>
      </w:r>
      <w:r>
        <w:rPr>
          <w:rFonts w:hint="eastAsia"/>
        </w:rPr>
        <w:t>28</w:t>
      </w:r>
      <w:r>
        <w:rPr>
          <w:rFonts w:hint="eastAsia"/>
        </w:rPr>
        <w:t>份提案，要求审理指称的性别歧视案件。</w:t>
      </w:r>
    </w:p>
    <w:p w:rsidR="001A7779" w:rsidRDefault="001A7779">
      <w:pPr>
        <w:tabs>
          <w:tab w:val="left" w:pos="630"/>
        </w:tabs>
        <w:spacing w:after="240" w:line="360" w:lineRule="exact"/>
      </w:pPr>
      <w:r>
        <w:t>14.</w:t>
      </w:r>
      <w:r>
        <w:tab/>
      </w:r>
      <w:r>
        <w:rPr>
          <w:rFonts w:hint="eastAsia"/>
        </w:rPr>
        <w:t>其中，</w:t>
      </w:r>
      <w:r>
        <w:rPr>
          <w:rFonts w:hint="eastAsia"/>
        </w:rPr>
        <w:t>17</w:t>
      </w:r>
      <w:r>
        <w:rPr>
          <w:rFonts w:hint="eastAsia"/>
        </w:rPr>
        <w:t>项提案由妇女提出，</w:t>
      </w:r>
      <w:r>
        <w:rPr>
          <w:rFonts w:hint="eastAsia"/>
        </w:rPr>
        <w:t>7</w:t>
      </w:r>
      <w:r>
        <w:rPr>
          <w:rFonts w:hint="eastAsia"/>
        </w:rPr>
        <w:t>项由男子提出，</w:t>
      </w:r>
      <w:r>
        <w:rPr>
          <w:rFonts w:hint="eastAsia"/>
        </w:rPr>
        <w:t>2</w:t>
      </w:r>
      <w:r>
        <w:rPr>
          <w:rFonts w:hint="eastAsia"/>
        </w:rPr>
        <w:t>项由一非政府组织代表一名男子提出，有两个案例是由工会提出提案。</w:t>
      </w:r>
    </w:p>
    <w:p w:rsidR="001A7779" w:rsidRDefault="001A7779">
      <w:pPr>
        <w:tabs>
          <w:tab w:val="left" w:pos="630"/>
        </w:tabs>
        <w:spacing w:after="240" w:line="360" w:lineRule="exact"/>
      </w:pPr>
      <w:r>
        <w:t>15.</w:t>
      </w:r>
      <w:r>
        <w:tab/>
      </w:r>
      <w:r>
        <w:rPr>
          <w:rFonts w:hint="eastAsia"/>
        </w:rPr>
        <w:t>在所涉期间，辩护律师就所提交的提案发表了</w:t>
      </w:r>
      <w:r>
        <w:rPr>
          <w:rFonts w:hint="eastAsia"/>
        </w:rPr>
        <w:t>13</w:t>
      </w:r>
      <w:r>
        <w:rPr>
          <w:rFonts w:hint="eastAsia"/>
        </w:rPr>
        <w:t>项意见；</w:t>
      </w:r>
      <w:r>
        <w:rPr>
          <w:rFonts w:hint="eastAsia"/>
        </w:rPr>
        <w:t>18</w:t>
      </w:r>
      <w:r>
        <w:rPr>
          <w:rFonts w:hint="eastAsia"/>
        </w:rPr>
        <w:t>个案例确认存在性别歧视，</w:t>
      </w:r>
      <w:r>
        <w:rPr>
          <w:rFonts w:hint="eastAsia"/>
        </w:rPr>
        <w:t>5</w:t>
      </w:r>
      <w:r>
        <w:rPr>
          <w:rFonts w:hint="eastAsia"/>
        </w:rPr>
        <w:t>个案例对以性别为由的歧视没有提供证据。在</w:t>
      </w:r>
      <w:r>
        <w:rPr>
          <w:rFonts w:hint="eastAsia"/>
        </w:rPr>
        <w:t>3</w:t>
      </w:r>
      <w:r>
        <w:rPr>
          <w:rFonts w:hint="eastAsia"/>
        </w:rPr>
        <w:t>个案例中，辩护律师终止了诉讼程序，原因不是时限已过就是无法确定所描述的待遇为歧视。所审理的这些案例发生在不同领域内，既有通过法院和行政诉讼处理的工作关系和就业问题，也有体育方面的奖励。在辩护律师确认实际存在以性别为由的歧视行为的案件中，辩护律师以发表意见的形式告知违法者，对于所发现的违规行为禁止基于性别的不平等待遇，并建议消除此种违规行为。因此，例如，辩护律师建议马拉松赛跑活动组织者改变其奖励政策，应当男女奖金数额相等；她建议一名雇主采纳一项有关性骚扰的政策声明；对于学生就业机构，她建议刊登职位空缺广告时不作性别规定；她建议卫生保健公司修改其一般条件，因为在其目前覆盖国外医疗救助的医疗保险政策中不包括由于以下情况发生的费用，即，怀孕、与怀孕有关的并发症、流产或生产。即使辩护律师的意见不具有约束力，从做法上也可看出，歧视行为人在某种程度上确实尊重了她的意见，如果他们的行动被认为带有歧视性，他们并非漠然视之。随着《实施平等待遇原则法案》的生效，辩护律师意见的影响作用进一步加大，因为如果歧视行为人没有依照她的建议纠正所确认的违规行为并在规定期限内向其通报所采取的措施，她将把自己的意见转达给主管监查机构。</w:t>
      </w:r>
    </w:p>
    <w:p w:rsidR="001A7779" w:rsidRDefault="001A7779">
      <w:pPr>
        <w:tabs>
          <w:tab w:val="left" w:pos="630"/>
        </w:tabs>
        <w:spacing w:after="240" w:line="360" w:lineRule="exact"/>
      </w:pPr>
      <w:r>
        <w:t>16.</w:t>
      </w:r>
      <w:r>
        <w:tab/>
      </w:r>
      <w:r>
        <w:rPr>
          <w:rFonts w:hint="eastAsia"/>
        </w:rPr>
        <w:t>依照《实施平等待遇原则法案》第</w:t>
      </w:r>
      <w:r>
        <w:rPr>
          <w:rFonts w:hint="eastAsia"/>
        </w:rPr>
        <w:t>14</w:t>
      </w:r>
      <w:r>
        <w:rPr>
          <w:rFonts w:hint="eastAsia"/>
        </w:rPr>
        <w:t>条，政府于</w:t>
      </w:r>
      <w:r>
        <w:rPr>
          <w:rFonts w:hint="eastAsia"/>
        </w:rPr>
        <w:t>2004</w:t>
      </w:r>
      <w:r>
        <w:rPr>
          <w:rFonts w:hint="eastAsia"/>
        </w:rPr>
        <w:t>年</w:t>
      </w:r>
      <w:r>
        <w:rPr>
          <w:rFonts w:hint="eastAsia"/>
        </w:rPr>
        <w:t>9</w:t>
      </w:r>
      <w:r>
        <w:rPr>
          <w:rFonts w:hint="eastAsia"/>
        </w:rPr>
        <w:t>月通过了《实施男女代表比例均衡原则标准管理法令》。该法令规定了在工作机构人员组成中以及指定和任命政府代表时确保男女代表比例均衡的程序。法令和法案两者均规定，确保男女代表比例至少分别达到</w:t>
      </w:r>
      <w:r>
        <w:rPr>
          <w:rFonts w:hint="eastAsia"/>
        </w:rPr>
        <w:t>40%</w:t>
      </w:r>
      <w:r>
        <w:rPr>
          <w:rFonts w:hint="eastAsia"/>
        </w:rPr>
        <w:t>，即符合男女代表比例均衡原则。在某些特定情况下，法令允许客观上确有合理的理由时可免于适用这项原则。在某一政府机构的成员资格源于特殊职能的情况下，允许此种免责。</w:t>
      </w:r>
    </w:p>
    <w:p w:rsidR="001A7779" w:rsidRDefault="001A7779">
      <w:pPr>
        <w:tabs>
          <w:tab w:val="left" w:pos="630"/>
        </w:tabs>
        <w:spacing w:after="240" w:line="360" w:lineRule="exact"/>
      </w:pPr>
      <w:r>
        <w:t>17.</w:t>
      </w:r>
      <w:r>
        <w:tab/>
      </w:r>
      <w:r>
        <w:rPr>
          <w:rFonts w:hint="eastAsia"/>
        </w:rPr>
        <w:t>2005</w:t>
      </w:r>
      <w:r>
        <w:rPr>
          <w:rFonts w:hint="eastAsia"/>
        </w:rPr>
        <w:t>年</w:t>
      </w:r>
      <w:r>
        <w:rPr>
          <w:rFonts w:hint="eastAsia"/>
        </w:rPr>
        <w:t>10</w:t>
      </w:r>
      <w:r>
        <w:rPr>
          <w:rFonts w:hint="eastAsia"/>
        </w:rPr>
        <w:t>月，斯洛文尼亚共和国国民议会通过了“关于男女平等机会国家方案（</w:t>
      </w:r>
      <w:r>
        <w:rPr>
          <w:rFonts w:hint="eastAsia"/>
        </w:rPr>
        <w:t>2005-2013</w:t>
      </w:r>
      <w:r>
        <w:rPr>
          <w:rFonts w:hint="eastAsia"/>
        </w:rPr>
        <w:t>年）的决议”。决议提案是由平等机会办公室与政府各部和其他政府机构、自治地方社区、社会伙伴、研究机构、非政府组织和其他公民社会组织以及与个别专家合作编制的，在其提交国民议会之前，先经政府审议和通过。该决议包含《北京宣言和行动纲要》</w:t>
      </w:r>
      <w:r>
        <w:rPr>
          <w:rStyle w:val="FootnoteReference"/>
          <w:szCs w:val="24"/>
        </w:rPr>
        <w:footnoteReference w:id="8"/>
      </w:r>
      <w:r>
        <w:rPr>
          <w:rFonts w:hint="eastAsia"/>
        </w:rPr>
        <w:t>中的承诺以及题为“</w:t>
      </w:r>
      <w:r>
        <w:rPr>
          <w:rFonts w:hint="eastAsia"/>
        </w:rPr>
        <w:t>2000</w:t>
      </w:r>
      <w:r>
        <w:rPr>
          <w:rFonts w:hint="eastAsia"/>
        </w:rPr>
        <w:t>年妇女：二十一世纪两性平等、发展与和平”的联合国大会第二十三届特别会议的结论。</w:t>
      </w:r>
      <w:r>
        <w:rPr>
          <w:rStyle w:val="FootnoteReference"/>
          <w:szCs w:val="24"/>
        </w:rPr>
        <w:footnoteReference w:id="9"/>
      </w:r>
      <w:r>
        <w:rPr>
          <w:rFonts w:hint="eastAsia"/>
        </w:rPr>
        <w:t>该决议是一项战略性文件，其中界定了</w:t>
      </w:r>
      <w:r>
        <w:rPr>
          <w:rFonts w:hint="eastAsia"/>
        </w:rPr>
        <w:t>2005-2013</w:t>
      </w:r>
      <w:r>
        <w:rPr>
          <w:rFonts w:hint="eastAsia"/>
        </w:rPr>
        <w:t>年期间在不同的男女生活领域中实现两性平等的目标和措施以及主要决策者。基本目标是提高妇女地位和确保加快步伐，努力实现事实上的两性平等。《男女平等机会法》提出对国家方案实施情况予以系统监测。第</w:t>
      </w:r>
      <w:r>
        <w:rPr>
          <w:rFonts w:hint="eastAsia"/>
        </w:rPr>
        <w:t>17</w:t>
      </w:r>
      <w:r>
        <w:rPr>
          <w:rFonts w:hint="eastAsia"/>
        </w:rPr>
        <w:t>条规定，政府应当定期向国民议会提交两年期报告，说明过去两年中在国家方案下所采取的措施和开展的活动。草拟报告的工作由平等机会办公室进行协调。</w:t>
      </w:r>
    </w:p>
    <w:p w:rsidR="001A7779" w:rsidRDefault="001A7779">
      <w:pPr>
        <w:tabs>
          <w:tab w:val="left" w:pos="630"/>
        </w:tabs>
        <w:spacing w:after="240" w:line="360" w:lineRule="exact"/>
      </w:pPr>
      <w:r>
        <w:t>18.</w:t>
      </w:r>
      <w:r>
        <w:tab/>
      </w:r>
      <w:r>
        <w:rPr>
          <w:rFonts w:hint="eastAsia"/>
        </w:rPr>
        <w:t>定期计划中应当明确实现各项目标和实施措施的具体任务和活动，这些计划每两年拟定一次，详细规定开展各项任务和活动的时间表和实施方式。平等机会办公室负责编制有关定期计划并将其提交政府审议和通过的提案。第一项实施定期计划目前正在编制之中。</w:t>
      </w:r>
      <w:r>
        <w:t xml:space="preserve"> </w:t>
      </w:r>
    </w:p>
    <w:p w:rsidR="001A7779" w:rsidRDefault="001A7779">
      <w:pPr>
        <w:tabs>
          <w:tab w:val="left" w:pos="630"/>
        </w:tabs>
        <w:spacing w:after="240" w:line="360" w:lineRule="exact"/>
      </w:pPr>
      <w:r>
        <w:t>19.</w:t>
      </w:r>
      <w:r>
        <w:tab/>
      </w:r>
      <w:r>
        <w:rPr>
          <w:rFonts w:hint="eastAsia"/>
        </w:rPr>
        <w:t>根据</w:t>
      </w:r>
      <w:r>
        <w:rPr>
          <w:rFonts w:hint="eastAsia"/>
        </w:rPr>
        <w:t>2002</w:t>
      </w:r>
      <w:r>
        <w:rPr>
          <w:rFonts w:hint="eastAsia"/>
        </w:rPr>
        <w:t>年联合国大会第二十七届特别会议通过的文件“建设适合儿童的世界”，政府目前正在编制一项中期国家方案，以改善儿童和青年的境况。</w:t>
      </w:r>
    </w:p>
    <w:p w:rsidR="001A7779" w:rsidRDefault="001A7779">
      <w:pPr>
        <w:tabs>
          <w:tab w:val="left" w:pos="630"/>
        </w:tabs>
        <w:spacing w:after="240" w:line="360" w:lineRule="exact"/>
      </w:pPr>
      <w:r>
        <w:t>20.</w:t>
      </w:r>
      <w:r>
        <w:tab/>
      </w:r>
      <w:r>
        <w:rPr>
          <w:rFonts w:hint="eastAsia"/>
        </w:rPr>
        <w:t>根据第二次老龄问题世界大会的结论和</w:t>
      </w:r>
      <w:r>
        <w:rPr>
          <w:rFonts w:hint="eastAsia"/>
        </w:rPr>
        <w:t>2002</w:t>
      </w:r>
      <w:r>
        <w:rPr>
          <w:rFonts w:hint="eastAsia"/>
        </w:rPr>
        <w:t>年</w:t>
      </w:r>
      <w:r>
        <w:rPr>
          <w:rFonts w:hint="eastAsia"/>
        </w:rPr>
        <w:t>4</w:t>
      </w:r>
      <w:r>
        <w:rPr>
          <w:rFonts w:hint="eastAsia"/>
        </w:rPr>
        <w:t>月通过的《马德里老龄问题国际行动计划》，劳动、家庭和社会事务部在</w:t>
      </w:r>
      <w:r>
        <w:rPr>
          <w:rFonts w:hint="eastAsia"/>
        </w:rPr>
        <w:t>2003</w:t>
      </w:r>
      <w:r>
        <w:rPr>
          <w:rFonts w:hint="eastAsia"/>
        </w:rPr>
        <w:t>年初编写了“关于到</w:t>
      </w:r>
      <w:r>
        <w:rPr>
          <w:rFonts w:hint="eastAsia"/>
        </w:rPr>
        <w:t>2005</w:t>
      </w:r>
      <w:r>
        <w:rPr>
          <w:rFonts w:hint="eastAsia"/>
        </w:rPr>
        <w:t>年之前在社会保障领域内保护老年人方案实施情况的报告”。报告的一个主要重点是，与人口老龄化相关的政策应当从长期性和可持续社会发展方面来审视，同时虑及在国际大会和会议以及联合国首脑会议上所通过的全球倡议和原则。</w:t>
      </w:r>
      <w:r>
        <w:rPr>
          <w:rFonts w:hint="eastAsia"/>
        </w:rPr>
        <w:t>2005</w:t>
      </w:r>
      <w:r>
        <w:rPr>
          <w:rFonts w:hint="eastAsia"/>
        </w:rPr>
        <w:t>年，劳动、家庭和社会事务部拟定了“到</w:t>
      </w:r>
      <w:r>
        <w:rPr>
          <w:rFonts w:hint="eastAsia"/>
        </w:rPr>
        <w:t>2010</w:t>
      </w:r>
      <w:r>
        <w:rPr>
          <w:rFonts w:hint="eastAsia"/>
        </w:rPr>
        <w:t>年之前保护老年人战略”</w:t>
      </w:r>
      <w:r>
        <w:rPr>
          <w:rFonts w:hint="eastAsia"/>
        </w:rPr>
        <w:t xml:space="preserve"> </w:t>
      </w:r>
      <w:r>
        <w:rPr>
          <w:rFonts w:hint="eastAsia"/>
        </w:rPr>
        <w:t>草案，目的是通过实行一项全面而长期的政策，做好人口变化的准备，并确保斯洛文尼亚所有老年人有条件过上安全、高质量的生活，并为社会所充分接纳。该战略特别关注两性平等问题，尤其是在老年妇女的参与和关于卫生保健、受教育机会和防止暴力等重要问题的决策方面。</w:t>
      </w:r>
    </w:p>
    <w:p w:rsidR="001A7779" w:rsidRDefault="001A7779">
      <w:pPr>
        <w:tabs>
          <w:tab w:val="left" w:pos="630"/>
        </w:tabs>
        <w:spacing w:after="240" w:line="360" w:lineRule="exact"/>
      </w:pPr>
      <w:r>
        <w:t>21.</w:t>
      </w:r>
      <w:r>
        <w:tab/>
      </w:r>
      <w:r>
        <w:rPr>
          <w:rFonts w:hint="eastAsia"/>
        </w:rPr>
        <w:t>在“关于在斯洛文尼亚公约条款实施情况的报告”的其他部分，介绍了将两性平等观点纳入其他立法措施和方案措施的情况。</w:t>
      </w:r>
    </w:p>
    <w:p w:rsidR="001A7779" w:rsidRDefault="001A7779">
      <w:pPr>
        <w:pStyle w:val="H1"/>
        <w:spacing w:before="120"/>
      </w:pPr>
      <w:r>
        <w:rPr>
          <w:rFonts w:hint="eastAsia"/>
        </w:rPr>
        <w:t>第4条 鼓励实现实质性性别平等的暂行特别措施</w:t>
      </w:r>
    </w:p>
    <w:p w:rsidR="001A7779" w:rsidRDefault="001A7779">
      <w:pPr>
        <w:tabs>
          <w:tab w:val="left" w:pos="630"/>
        </w:tabs>
        <w:spacing w:after="240" w:line="360" w:lineRule="exact"/>
      </w:pPr>
      <w:r>
        <w:t>22.</w:t>
      </w:r>
      <w:r>
        <w:tab/>
      </w:r>
      <w:r>
        <w:rPr>
          <w:rFonts w:hint="eastAsia"/>
        </w:rPr>
        <w:t>第三次报告已经说明，《男女平等机会法》第</w:t>
      </w:r>
      <w:r>
        <w:rPr>
          <w:rFonts w:hint="eastAsia"/>
        </w:rPr>
        <w:t>7</w:t>
      </w:r>
      <w:r>
        <w:rPr>
          <w:rFonts w:hint="eastAsia"/>
        </w:rPr>
        <w:t>和第</w:t>
      </w:r>
      <w:r>
        <w:rPr>
          <w:rFonts w:hint="eastAsia"/>
        </w:rPr>
        <w:t>8</w:t>
      </w:r>
      <w:r>
        <w:rPr>
          <w:rFonts w:hint="eastAsia"/>
        </w:rPr>
        <w:t>条规定了采取特别措施的法律依据。该法明确了三类特别措施：</w:t>
      </w:r>
    </w:p>
    <w:p w:rsidR="001A7779" w:rsidRDefault="001A7779" w:rsidP="00B359E9">
      <w:pPr>
        <w:numPr>
          <w:ilvl w:val="0"/>
          <w:numId w:val="8"/>
        </w:numPr>
        <w:tabs>
          <w:tab w:val="clear" w:pos="780"/>
          <w:tab w:val="left" w:pos="1050"/>
        </w:tabs>
        <w:spacing w:after="240" w:line="360" w:lineRule="exact"/>
        <w:ind w:leftChars="300" w:left="31680" w:hanging="420"/>
        <w:rPr>
          <w:rFonts w:hint="eastAsia"/>
        </w:rPr>
      </w:pPr>
      <w:r>
        <w:rPr>
          <w:rFonts w:hint="eastAsia"/>
        </w:rPr>
        <w:t>积极措施，即在同样符合所规定的标准的情况下优先考虑某一性别中代表比例不足或因性别在某些社会生活领域，特别是在教育、就业、职业生涯、公共或政治活动中处于不平等地位的个人，以及当本身的目的达到之后即不再适用；采取积极措施时须在分析的基础上制定行动计划，说明采取积极措施的理由、预计达到的目标、开始实施的时间、监测目标实现情况和监督实施这些措施的方法；</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鼓励措施，即对消除两性代表比例不均衡或两性地位不平等现象特别有利或具有特殊的激励作用，在特殊领域内促进实施国家方案的计划中以及在国家当局和公共部门其他机关、经济运营者、政党、公民社会组织和其他机构的内部法律中可以采用，根据其适用领域的性质和内容加以详细说明；</w:t>
      </w:r>
    </w:p>
    <w:p w:rsidR="001A7779" w:rsidRDefault="001A7779" w:rsidP="00B359E9">
      <w:pPr>
        <w:numPr>
          <w:ilvl w:val="0"/>
          <w:numId w:val="8"/>
        </w:numPr>
        <w:tabs>
          <w:tab w:val="clear" w:pos="780"/>
          <w:tab w:val="left" w:pos="1050"/>
        </w:tabs>
        <w:spacing w:after="240" w:line="360" w:lineRule="exact"/>
        <w:ind w:leftChars="300" w:left="31680" w:hanging="420"/>
        <w:rPr>
          <w:rFonts w:hint="eastAsia"/>
        </w:rPr>
      </w:pPr>
      <w:r>
        <w:rPr>
          <w:rFonts w:hint="eastAsia"/>
        </w:rPr>
        <w:t>方案措施，即形式为提高认识活动和某些领域中促进和实现两性平等的行动计划，采取此类措施时可采用与鼓励措施同样的方法。</w:t>
      </w:r>
    </w:p>
    <w:p w:rsidR="001A7779" w:rsidRDefault="001A7779">
      <w:pPr>
        <w:tabs>
          <w:tab w:val="left" w:pos="630"/>
        </w:tabs>
        <w:spacing w:after="240" w:line="360" w:lineRule="exact"/>
      </w:pPr>
      <w:r>
        <w:t>23.</w:t>
      </w:r>
      <w:r>
        <w:tab/>
      </w:r>
      <w:r>
        <w:rPr>
          <w:rFonts w:hint="eastAsia"/>
        </w:rPr>
        <w:t>《实施平等待遇原则法案》也确定了采取积极差别措施的合法依据，包括以其他个人情况为基础，而不仅仅以性别为准。根据本法第</w:t>
      </w:r>
      <w:r>
        <w:rPr>
          <w:rFonts w:hint="eastAsia"/>
        </w:rPr>
        <w:t>6</w:t>
      </w:r>
      <w:r>
        <w:rPr>
          <w:rFonts w:hint="eastAsia"/>
        </w:rPr>
        <w:t>条，积极措施是法定暂行措施，目的在于防止使个人因某种个人情况而处于不利处境，也就是对某种不利处境的一种补偿。</w:t>
      </w:r>
    </w:p>
    <w:p w:rsidR="001A7779" w:rsidRDefault="001A7779">
      <w:pPr>
        <w:tabs>
          <w:tab w:val="left" w:pos="630"/>
        </w:tabs>
        <w:spacing w:after="240" w:line="360" w:lineRule="exact"/>
      </w:pPr>
      <w:r>
        <w:t>24.</w:t>
      </w:r>
      <w:r>
        <w:tab/>
      </w:r>
      <w:r>
        <w:rPr>
          <w:rFonts w:hint="eastAsia"/>
        </w:rPr>
        <w:t>《选举欧洲议会斯洛文尼亚议员法案》第</w:t>
      </w:r>
      <w:r>
        <w:rPr>
          <w:rFonts w:hint="eastAsia"/>
        </w:rPr>
        <w:t>15</w:t>
      </w:r>
      <w:r>
        <w:rPr>
          <w:rFonts w:hint="eastAsia"/>
        </w:rPr>
        <w:t>条第三和第四款明确规定，候选人名单上的男女代表比例均不得低于</w:t>
      </w:r>
      <w:r>
        <w:rPr>
          <w:rFonts w:hint="eastAsia"/>
        </w:rPr>
        <w:t>40%</w:t>
      </w:r>
      <w:r>
        <w:rPr>
          <w:rFonts w:hint="eastAsia"/>
        </w:rPr>
        <w:t>。本报告第</w:t>
      </w:r>
      <w:r>
        <w:rPr>
          <w:rFonts w:hint="eastAsia"/>
        </w:rPr>
        <w:t>9</w:t>
      </w:r>
      <w:r>
        <w:rPr>
          <w:rFonts w:hint="eastAsia"/>
        </w:rPr>
        <w:t>段中说明了详细规定这项特别措施的实施方法的法案条款。</w:t>
      </w:r>
      <w:r>
        <w:t xml:space="preserve"> </w:t>
      </w:r>
    </w:p>
    <w:p w:rsidR="001A7779" w:rsidRDefault="001A7779">
      <w:pPr>
        <w:tabs>
          <w:tab w:val="left" w:pos="630"/>
        </w:tabs>
        <w:spacing w:after="240" w:line="360" w:lineRule="exact"/>
      </w:pPr>
      <w:r>
        <w:t>25.</w:t>
      </w:r>
      <w:r>
        <w:tab/>
      </w:r>
      <w:r>
        <w:rPr>
          <w:rFonts w:hint="eastAsia"/>
        </w:rPr>
        <w:t>在《地方选举法》（见第</w:t>
      </w:r>
      <w:r>
        <w:rPr>
          <w:rFonts w:hint="eastAsia"/>
        </w:rPr>
        <w:t>7</w:t>
      </w:r>
      <w:r>
        <w:rPr>
          <w:rFonts w:hint="eastAsia"/>
        </w:rPr>
        <w:t>段）中也介绍了类似的特别措施。</w:t>
      </w:r>
      <w:r>
        <w:t xml:space="preserve"> </w:t>
      </w:r>
    </w:p>
    <w:p w:rsidR="001A7779" w:rsidRDefault="001A7779">
      <w:pPr>
        <w:tabs>
          <w:tab w:val="left" w:pos="630"/>
        </w:tabs>
        <w:spacing w:after="240" w:line="360" w:lineRule="exact"/>
      </w:pPr>
      <w:r>
        <w:t>26.</w:t>
      </w:r>
      <w:r>
        <w:tab/>
      </w:r>
      <w:r>
        <w:rPr>
          <w:rFonts w:hint="eastAsia"/>
        </w:rPr>
        <w:t>在《实施男女代表比例均衡原则标准管理法令》（见第</w:t>
      </w:r>
      <w:r>
        <w:rPr>
          <w:rFonts w:hint="eastAsia"/>
        </w:rPr>
        <w:t>16</w:t>
      </w:r>
      <w:r>
        <w:rPr>
          <w:rFonts w:hint="eastAsia"/>
        </w:rPr>
        <w:t>段）中也规定了一项特别措施，以确保所任命的男女代表比例均衡。</w:t>
      </w:r>
      <w:r>
        <w:t xml:space="preserve"> </w:t>
      </w:r>
    </w:p>
    <w:p w:rsidR="001A7779" w:rsidRDefault="001A7779">
      <w:pPr>
        <w:tabs>
          <w:tab w:val="left" w:pos="630"/>
        </w:tabs>
        <w:spacing w:after="240" w:line="360" w:lineRule="exact"/>
      </w:pPr>
      <w:r>
        <w:t>27.</w:t>
      </w:r>
      <w:r>
        <w:tab/>
      </w:r>
      <w:r>
        <w:rPr>
          <w:rFonts w:hint="eastAsia"/>
        </w:rPr>
        <w:t>在为促进就业、消除失业现象和加强社会包容性所编制的方案文件中，也列入了一些措施，这些措施就其本身的性质和目的来说就是特别措施。</w:t>
      </w:r>
      <w:r>
        <w:t xml:space="preserve"> </w:t>
      </w:r>
    </w:p>
    <w:p w:rsidR="001A7779" w:rsidRDefault="001A7779">
      <w:pPr>
        <w:pStyle w:val="H1"/>
        <w:spacing w:before="120"/>
      </w:pPr>
      <w:r>
        <w:rPr>
          <w:rFonts w:hint="eastAsia"/>
        </w:rPr>
        <w:t>第</w:t>
      </w:r>
      <w:r>
        <w:t>5</w:t>
      </w:r>
      <w:r>
        <w:rPr>
          <w:rFonts w:hint="eastAsia"/>
        </w:rPr>
        <w:t>条  消除偏见和陈规旧习</w:t>
      </w:r>
    </w:p>
    <w:p w:rsidR="001A7779" w:rsidRDefault="001A7779">
      <w:pPr>
        <w:tabs>
          <w:tab w:val="left" w:pos="630"/>
        </w:tabs>
        <w:spacing w:after="240" w:line="360" w:lineRule="exact"/>
        <w:rPr>
          <w:rFonts w:eastAsia="SimHei"/>
          <w:color w:val="FF0000"/>
        </w:rPr>
      </w:pPr>
      <w:r>
        <w:rPr>
          <w:rFonts w:eastAsia="SimHei" w:hint="eastAsia"/>
          <w:color w:val="FF0000"/>
        </w:rPr>
        <w:t>两性平等教育</w:t>
      </w:r>
    </w:p>
    <w:p w:rsidR="001A7779" w:rsidRDefault="001A7779">
      <w:pPr>
        <w:tabs>
          <w:tab w:val="left" w:pos="630"/>
        </w:tabs>
        <w:spacing w:after="240" w:line="360" w:lineRule="exact"/>
        <w:rPr>
          <w:rFonts w:hint="eastAsia"/>
        </w:rPr>
      </w:pPr>
      <w:r>
        <w:t>28.</w:t>
      </w:r>
      <w:r>
        <w:tab/>
      </w:r>
      <w:r>
        <w:rPr>
          <w:rFonts w:hint="eastAsia"/>
        </w:rPr>
        <w:t>两性平等教育是“关于男女平等机会国家方案（</w:t>
      </w:r>
      <w:r>
        <w:rPr>
          <w:rFonts w:hint="eastAsia"/>
        </w:rPr>
        <w:t>2005-2013</w:t>
      </w:r>
      <w:r>
        <w:rPr>
          <w:rFonts w:hint="eastAsia"/>
        </w:rPr>
        <w:t>年）的决议”所确立的教育领域中的一项特别目标。两性平等教育列入小学选修科目框架下，名称为公民文化，而在中等学校，两性平等教育则列在义务选修科目框架下，比如，公民文化、家庭教育、和平与非暴力、贩运人口，等等。</w:t>
      </w:r>
      <w:r>
        <w:t xml:space="preserve"> </w:t>
      </w:r>
    </w:p>
    <w:p w:rsidR="001A7779" w:rsidRDefault="001A7779">
      <w:pPr>
        <w:tabs>
          <w:tab w:val="left" w:pos="630"/>
        </w:tabs>
        <w:spacing w:after="240" w:line="360" w:lineRule="exact"/>
      </w:pPr>
      <w:r>
        <w:t>29.</w:t>
      </w:r>
      <w:r>
        <w:tab/>
      </w:r>
      <w:r>
        <w:rPr>
          <w:rFonts w:hint="eastAsia"/>
        </w:rPr>
        <w:t>针对不同类型的政府部门工作人员开展两性平等教育，例如，对司法人员启动人权培训方案。法律工作人员培训中心是针对法官、国家公诉人和国家检察官的主要培训提供者，经常组织培训和研讨会，内容也包括保护妇女人权。司法机构参加由外国教育培训机构组织的出国考察活动，这些活动特别涉及受国际法律文书所保障的人权问题。在警察、卫生部门和社会工作中心也实施了类似的教育和培训方案。</w:t>
      </w:r>
      <w:r>
        <w:t xml:space="preserve"> </w:t>
      </w:r>
    </w:p>
    <w:p w:rsidR="001A7779" w:rsidRDefault="001A7779">
      <w:pPr>
        <w:tabs>
          <w:tab w:val="left" w:pos="630"/>
        </w:tabs>
        <w:spacing w:after="240" w:line="360" w:lineRule="exact"/>
      </w:pPr>
      <w:r>
        <w:t>30.</w:t>
      </w:r>
      <w:r>
        <w:tab/>
      </w:r>
      <w:r>
        <w:rPr>
          <w:rFonts w:hint="eastAsia"/>
        </w:rPr>
        <w:t>在斯洛文尼亚，政府间组织也在两性平等教育领域积极开展活动。设在斯洛文尼亚共和国的欧洲理事会信息文件中心每年举办一次儿童与青年竞赛，参赛者的目的就是了解人权。在</w:t>
      </w:r>
      <w:r>
        <w:t xml:space="preserve"> 2004/2005</w:t>
      </w:r>
      <w:r>
        <w:rPr>
          <w:rFonts w:hint="eastAsia"/>
        </w:rPr>
        <w:t>学年，组织了一场主题为“处于不断变化中的欧洲的公民”的竞赛，其中也包括两性平等方面。</w:t>
      </w:r>
    </w:p>
    <w:p w:rsidR="001A7779" w:rsidRDefault="001A7779">
      <w:pPr>
        <w:tabs>
          <w:tab w:val="left" w:pos="630"/>
        </w:tabs>
        <w:spacing w:after="240" w:line="360" w:lineRule="exact"/>
        <w:rPr>
          <w:rFonts w:hint="eastAsia"/>
        </w:rPr>
      </w:pPr>
      <w:r>
        <w:t>31.</w:t>
      </w:r>
      <w:r>
        <w:tab/>
      </w:r>
      <w:r>
        <w:rPr>
          <w:rFonts w:hint="eastAsia"/>
        </w:rPr>
        <w:t>平等机会办公室以多种方式致力于两性平等教育。它将不同国际组织、政府间组织和区域组织的文件传达给目标群体和有关个人，发布和发送某些国际文件，并支持学生的工作，这些学生日益倾向于采用与两性平等相关的主题作为其研讨会、大学毕业和研究生毕业论文的主题，并运用该办公室的系列文件和文献、工作人员的知识和经验。此外，办公室还自行编制和发表出版物。办公室发行题为“男女平等机会辩护律师”的手册和折页、手册“提供男女平等机会特别措施”、小册子“我的权利和不歧视”和折页“工作中的性骚扰”。目前，办公室即将完成发行关于将两性问题纳入主流的手册的准备工作。在为与促进两性平等有关的书籍共同供资的框架下，办公室帮助出版一本论述积极差别的书、针对媒体的实施男女平等机会原则手册，和关于为可能遭受暴力的妇女儿童提供心理和社会帮助的手册。</w:t>
      </w:r>
      <w:r>
        <w:t xml:space="preserve"> </w:t>
      </w:r>
    </w:p>
    <w:p w:rsidR="001A7779" w:rsidRDefault="001A7779">
      <w:pPr>
        <w:tabs>
          <w:tab w:val="left" w:pos="630"/>
        </w:tabs>
        <w:spacing w:after="240" w:line="360" w:lineRule="exact"/>
        <w:rPr>
          <w:rFonts w:hint="eastAsia"/>
        </w:rPr>
      </w:pPr>
      <w:r>
        <w:t>32.</w:t>
      </w:r>
      <w:r>
        <w:tab/>
      </w:r>
      <w:r>
        <w:rPr>
          <w:rFonts w:hint="eastAsia"/>
        </w:rPr>
        <w:t>2004</w:t>
      </w:r>
      <w:r>
        <w:rPr>
          <w:rFonts w:hint="eastAsia"/>
        </w:rPr>
        <w:t>年促进妇女参与科学发展委员会（见“一般情况”章节（</w:t>
      </w:r>
      <w:r>
        <w:rPr>
          <w:rFonts w:hint="eastAsia"/>
        </w:rPr>
        <w:t>c</w:t>
      </w:r>
      <w:r>
        <w:rPr>
          <w:rFonts w:hint="eastAsia"/>
        </w:rPr>
        <w:t>）保障两性平等的机构办法）在斯洛文尼亚现有三所大学举办了两次信息讲习班，题为“大学中的男女平等机会”。这些讲习班致力于使广大大学公众了解与以科学中的性别问题为由的歧视和在斯洛文尼亚和欧洲所开展的研究工作，以及介绍委员会的种种活动。</w:t>
      </w:r>
      <w:r>
        <w:t xml:space="preserve"> </w:t>
      </w:r>
    </w:p>
    <w:p w:rsidR="001A7779" w:rsidRDefault="001A7779">
      <w:pPr>
        <w:tabs>
          <w:tab w:val="left" w:pos="630"/>
        </w:tabs>
        <w:spacing w:after="240" w:line="360" w:lineRule="exact"/>
      </w:pPr>
      <w:r>
        <w:t>33.</w:t>
      </w:r>
      <w:r>
        <w:tab/>
      </w:r>
      <w:r>
        <w:rPr>
          <w:rFonts w:hint="eastAsia"/>
        </w:rPr>
        <w:t>同样，非政府组织也在两性平等教育中发挥了重要作用。除了参与实施针对不同类型的政府雇员的教育和培训方案以外，它们还发行了此类出版物，比如，“</w:t>
      </w:r>
      <w:r>
        <w:t>COMPAS</w:t>
      </w:r>
      <w:r>
        <w:rPr>
          <w:rFonts w:hint="eastAsia"/>
        </w:rPr>
        <w:t>：了解人权青年手册”、手册“妇女人权：介绍性说明和文件”、出版物“遭贩卖的妇女”（英文）、“从何而来：在斯洛文尼亚境内、源自和经由斯洛文尼亚的贩卖人口活动”等等。</w:t>
      </w:r>
    </w:p>
    <w:p w:rsidR="001A7779" w:rsidRDefault="001A7779">
      <w:pPr>
        <w:tabs>
          <w:tab w:val="left" w:pos="630"/>
        </w:tabs>
        <w:spacing w:after="240" w:line="360" w:lineRule="exact"/>
        <w:rPr>
          <w:rFonts w:hint="eastAsia"/>
        </w:rPr>
      </w:pPr>
      <w:r>
        <w:t>34.</w:t>
      </w:r>
      <w:r>
        <w:tab/>
      </w:r>
      <w:r>
        <w:rPr>
          <w:rFonts w:hint="eastAsia"/>
        </w:rPr>
        <w:t>在“欧洲残疾人年”（</w:t>
      </w:r>
      <w:r>
        <w:rPr>
          <w:rFonts w:hint="eastAsia"/>
        </w:rPr>
        <w:t>2003</w:t>
      </w:r>
      <w:r>
        <w:rPr>
          <w:rFonts w:hint="eastAsia"/>
        </w:rPr>
        <w:t>年）框架下，</w:t>
      </w:r>
      <w:r>
        <w:t>卢布尔雅那</w:t>
      </w:r>
      <w:r>
        <w:rPr>
          <w:rFonts w:hint="eastAsia"/>
        </w:rPr>
        <w:t>社会工作学院举行了一个会议，题目是“她有残疾，但却如此美丽！”</w:t>
      </w:r>
      <w:r>
        <w:rPr>
          <w:rFonts w:hint="eastAsia"/>
        </w:rPr>
        <w:t xml:space="preserve"> </w:t>
      </w:r>
      <w:r>
        <w:t>–</w:t>
      </w:r>
      <w:r>
        <w:rPr>
          <w:rFonts w:hint="eastAsia"/>
        </w:rPr>
        <w:t xml:space="preserve"> </w:t>
      </w:r>
      <w:r>
        <w:rPr>
          <w:rFonts w:hint="eastAsia"/>
        </w:rPr>
        <w:t>“反对歧视残疾妇女的社会工作”，会议的目的是提请人们关注残疾妇女在日常生活中所面临的障碍、偏见和歧视。</w:t>
      </w:r>
      <w:r>
        <w:rPr>
          <w:rFonts w:hint="eastAsia"/>
        </w:rPr>
        <w:t xml:space="preserve"> </w:t>
      </w:r>
    </w:p>
    <w:p w:rsidR="001A7779" w:rsidRDefault="001A7779">
      <w:pPr>
        <w:tabs>
          <w:tab w:val="left" w:pos="630"/>
        </w:tabs>
        <w:spacing w:after="240" w:line="360" w:lineRule="exact"/>
        <w:rPr>
          <w:rFonts w:eastAsia="SimHei"/>
          <w:color w:val="FF0000"/>
        </w:rPr>
      </w:pPr>
      <w:r>
        <w:rPr>
          <w:rFonts w:eastAsia="SimHei" w:hint="eastAsia"/>
          <w:color w:val="FF0000"/>
        </w:rPr>
        <w:t>家庭生活</w:t>
      </w:r>
    </w:p>
    <w:p w:rsidR="001A7779" w:rsidRDefault="001A7779">
      <w:pPr>
        <w:tabs>
          <w:tab w:val="left" w:pos="630"/>
        </w:tabs>
        <w:spacing w:after="240" w:line="360" w:lineRule="exact"/>
        <w:rPr>
          <w:rFonts w:hint="eastAsia"/>
        </w:rPr>
      </w:pPr>
      <w:r>
        <w:rPr>
          <w:rFonts w:hint="eastAsia"/>
        </w:rPr>
        <w:t>35</w:t>
      </w:r>
      <w:r>
        <w:t>.</w:t>
      </w:r>
      <w:r>
        <w:tab/>
      </w:r>
      <w:r>
        <w:rPr>
          <w:rFonts w:hint="eastAsia"/>
        </w:rPr>
        <w:t>2004</w:t>
      </w:r>
      <w:r>
        <w:rPr>
          <w:rFonts w:hint="eastAsia"/>
        </w:rPr>
        <w:t>年欧统处进行的一项研究</w:t>
      </w:r>
      <w:r>
        <w:rPr>
          <w:rStyle w:val="FootnoteReference"/>
          <w:szCs w:val="24"/>
        </w:rPr>
        <w:footnoteReference w:id="10"/>
      </w:r>
      <w:r>
        <w:rPr>
          <w:rFonts w:hint="eastAsia"/>
        </w:rPr>
        <w:t>显示，在斯洛文尼亚依然存在传统的男女角色分工。从说明从业妇女和男子用于有报酬的活动和学习</w:t>
      </w:r>
      <w:r>
        <w:rPr>
          <w:rStyle w:val="FootnoteReference"/>
          <w:szCs w:val="24"/>
        </w:rPr>
        <w:footnoteReference w:id="11"/>
      </w:r>
      <w:r>
        <w:rPr>
          <w:rFonts w:hint="eastAsia"/>
        </w:rPr>
        <w:t>（妇女</w:t>
      </w:r>
      <w:r>
        <w:rPr>
          <w:rFonts w:hint="eastAsia"/>
        </w:rPr>
        <w:t>4</w:t>
      </w:r>
      <w:r>
        <w:rPr>
          <w:rFonts w:hint="eastAsia"/>
        </w:rPr>
        <w:t>：</w:t>
      </w:r>
      <w:r>
        <w:rPr>
          <w:rFonts w:hint="eastAsia"/>
        </w:rPr>
        <w:t>23</w:t>
      </w:r>
      <w:r>
        <w:rPr>
          <w:rFonts w:hint="eastAsia"/>
        </w:rPr>
        <w:t>，男子</w:t>
      </w:r>
      <w:r>
        <w:rPr>
          <w:rFonts w:hint="eastAsia"/>
        </w:rPr>
        <w:t>5</w:t>
      </w:r>
      <w:r>
        <w:rPr>
          <w:rFonts w:hint="eastAsia"/>
        </w:rPr>
        <w:t>：</w:t>
      </w:r>
      <w:r>
        <w:rPr>
          <w:rFonts w:hint="eastAsia"/>
        </w:rPr>
        <w:t>25</w:t>
      </w:r>
      <w:r>
        <w:rPr>
          <w:rFonts w:hint="eastAsia"/>
        </w:rPr>
        <w:t>）以及家务劳动</w:t>
      </w:r>
      <w:r>
        <w:rPr>
          <w:rStyle w:val="FootnoteReference"/>
          <w:szCs w:val="24"/>
        </w:rPr>
        <w:footnoteReference w:id="12"/>
      </w:r>
      <w:r>
        <w:rPr>
          <w:rFonts w:hint="eastAsia"/>
        </w:rPr>
        <w:t>（妇女</w:t>
      </w:r>
      <w:r>
        <w:rPr>
          <w:rFonts w:hint="eastAsia"/>
        </w:rPr>
        <w:t>4</w:t>
      </w:r>
      <w:r>
        <w:rPr>
          <w:rFonts w:hint="eastAsia"/>
        </w:rPr>
        <w:t>：</w:t>
      </w:r>
      <w:r>
        <w:rPr>
          <w:rFonts w:hint="eastAsia"/>
        </w:rPr>
        <w:t>24</w:t>
      </w:r>
      <w:r>
        <w:rPr>
          <w:rFonts w:hint="eastAsia"/>
        </w:rPr>
        <w:t>，男子</w:t>
      </w:r>
      <w:r>
        <w:rPr>
          <w:rFonts w:hint="eastAsia"/>
        </w:rPr>
        <w:t>2</w:t>
      </w:r>
      <w:r>
        <w:rPr>
          <w:rFonts w:hint="eastAsia"/>
        </w:rPr>
        <w:t>：</w:t>
      </w:r>
      <w:r>
        <w:rPr>
          <w:rFonts w:hint="eastAsia"/>
        </w:rPr>
        <w:t>09</w:t>
      </w:r>
      <w:r>
        <w:rPr>
          <w:rFonts w:hint="eastAsia"/>
        </w:rPr>
        <w:t>）的时间的资料可以看出，伴侣或父母之间对家务劳动的分工依然是不平等的，妇女承担了大部分家务劳动。研究结果显示，妇女通常承担的工作有做饭、清洁、洗熨、购物和照看子女、老年人和生病的家人。男子则承担住房的大部分维修工作，而庭院工作则或多或少是由男女双方平均分担。与父亲相比，母亲要花更多的时间照料子女（照料</w:t>
      </w:r>
      <w:r>
        <w:rPr>
          <w:rFonts w:hint="eastAsia"/>
        </w:rPr>
        <w:t>6</w:t>
      </w:r>
      <w:r>
        <w:rPr>
          <w:rFonts w:hint="eastAsia"/>
        </w:rPr>
        <w:t>岁以下子女：妇女</w:t>
      </w:r>
      <w:r>
        <w:rPr>
          <w:rFonts w:hint="eastAsia"/>
        </w:rPr>
        <w:t>2</w:t>
      </w:r>
      <w:r>
        <w:rPr>
          <w:rFonts w:hint="eastAsia"/>
        </w:rPr>
        <w:t>：</w:t>
      </w:r>
      <w:r>
        <w:rPr>
          <w:rFonts w:hint="eastAsia"/>
        </w:rPr>
        <w:t>23</w:t>
      </w:r>
      <w:r>
        <w:rPr>
          <w:rFonts w:hint="eastAsia"/>
        </w:rPr>
        <w:t>，男子</w:t>
      </w:r>
      <w:r>
        <w:rPr>
          <w:rFonts w:hint="eastAsia"/>
        </w:rPr>
        <w:t>0</w:t>
      </w:r>
      <w:r>
        <w:rPr>
          <w:rFonts w:hint="eastAsia"/>
        </w:rPr>
        <w:t>：</w:t>
      </w:r>
      <w:r>
        <w:rPr>
          <w:rFonts w:hint="eastAsia"/>
        </w:rPr>
        <w:t>56</w:t>
      </w:r>
      <w:r>
        <w:rPr>
          <w:rFonts w:hint="eastAsia"/>
        </w:rPr>
        <w:t>）和陪伴子女（</w:t>
      </w:r>
      <w:r>
        <w:rPr>
          <w:rFonts w:hint="eastAsia"/>
        </w:rPr>
        <w:t>9</w:t>
      </w:r>
      <w:r>
        <w:rPr>
          <w:rFonts w:hint="eastAsia"/>
        </w:rPr>
        <w:t>岁以下子女：妇女</w:t>
      </w:r>
      <w:r>
        <w:rPr>
          <w:rFonts w:hint="eastAsia"/>
        </w:rPr>
        <w:t>6</w:t>
      </w:r>
      <w:r>
        <w:rPr>
          <w:rFonts w:hint="eastAsia"/>
        </w:rPr>
        <w:t>：</w:t>
      </w:r>
      <w:r>
        <w:rPr>
          <w:rFonts w:hint="eastAsia"/>
        </w:rPr>
        <w:t>09</w:t>
      </w:r>
      <w:r>
        <w:rPr>
          <w:rFonts w:hint="eastAsia"/>
        </w:rPr>
        <w:t>，男子</w:t>
      </w:r>
      <w:r>
        <w:rPr>
          <w:rFonts w:hint="eastAsia"/>
        </w:rPr>
        <w:t>4</w:t>
      </w:r>
      <w:r>
        <w:rPr>
          <w:rFonts w:hint="eastAsia"/>
        </w:rPr>
        <w:t>：</w:t>
      </w:r>
      <w:r>
        <w:rPr>
          <w:rFonts w:hint="eastAsia"/>
        </w:rPr>
        <w:t>07</w:t>
      </w:r>
      <w:r>
        <w:rPr>
          <w:rFonts w:hint="eastAsia"/>
        </w:rPr>
        <w:t>）。不过，男子在业余时间陪伴子女活动的时间要多与妇女（妇女</w:t>
      </w:r>
      <w:r>
        <w:rPr>
          <w:rFonts w:hint="eastAsia"/>
        </w:rPr>
        <w:t>3</w:t>
      </w:r>
      <w:r>
        <w:rPr>
          <w:rFonts w:hint="eastAsia"/>
        </w:rPr>
        <w:t>：</w:t>
      </w:r>
      <w:r>
        <w:rPr>
          <w:rFonts w:hint="eastAsia"/>
        </w:rPr>
        <w:t>51</w:t>
      </w:r>
      <w:r>
        <w:rPr>
          <w:rFonts w:hint="eastAsia"/>
        </w:rPr>
        <w:t>，男子</w:t>
      </w:r>
      <w:r>
        <w:rPr>
          <w:rFonts w:hint="eastAsia"/>
        </w:rPr>
        <w:t>4</w:t>
      </w:r>
      <w:r>
        <w:rPr>
          <w:rFonts w:hint="eastAsia"/>
        </w:rPr>
        <w:t>：</w:t>
      </w:r>
      <w:r>
        <w:rPr>
          <w:rFonts w:hint="eastAsia"/>
        </w:rPr>
        <w:t>37</w:t>
      </w:r>
      <w:r>
        <w:rPr>
          <w:rFonts w:hint="eastAsia"/>
        </w:rPr>
        <w:t>）。</w:t>
      </w:r>
    </w:p>
    <w:p w:rsidR="001A7779" w:rsidRDefault="001A7779">
      <w:pPr>
        <w:tabs>
          <w:tab w:val="left" w:pos="630"/>
        </w:tabs>
        <w:spacing w:after="240" w:line="360" w:lineRule="exact"/>
        <w:rPr>
          <w:rFonts w:eastAsia="SimHei"/>
          <w:color w:val="FF0000"/>
        </w:rPr>
      </w:pPr>
      <w:r>
        <w:rPr>
          <w:rFonts w:eastAsia="SimHei" w:hint="eastAsia"/>
          <w:color w:val="FF0000"/>
        </w:rPr>
        <w:t>招聘广告</w:t>
      </w:r>
    </w:p>
    <w:p w:rsidR="001A7779" w:rsidRDefault="001A7779">
      <w:pPr>
        <w:tabs>
          <w:tab w:val="left" w:pos="630"/>
        </w:tabs>
        <w:spacing w:after="240" w:line="360" w:lineRule="exact"/>
        <w:rPr>
          <w:rFonts w:hint="eastAsia"/>
        </w:rPr>
      </w:pPr>
      <w:r>
        <w:rPr>
          <w:rFonts w:hint="eastAsia"/>
        </w:rPr>
        <w:t>3</w:t>
      </w:r>
      <w:r>
        <w:t>6.</w:t>
      </w:r>
      <w:r>
        <w:tab/>
      </w:r>
      <w:r>
        <w:rPr>
          <w:rFonts w:hint="eastAsia"/>
        </w:rPr>
        <w:t>《雇用关系法》第</w:t>
      </w:r>
      <w:r>
        <w:rPr>
          <w:rFonts w:hint="eastAsia"/>
        </w:rPr>
        <w:t>25</w:t>
      </w:r>
      <w:r>
        <w:rPr>
          <w:rFonts w:hint="eastAsia"/>
        </w:rPr>
        <w:t>条在第三次报告中已有说明，该条规定，雇主在公开招聘时不得只招聘男性或者女性，除非特定性别是从事该项工作的一项基本条件。发布空缺职位通知也不可指明说雇主将优先安排某个男性或者女性。关于公开招聘，劳动监察员在</w:t>
      </w:r>
      <w:r>
        <w:rPr>
          <w:rFonts w:hint="eastAsia"/>
        </w:rPr>
        <w:t>2004</w:t>
      </w:r>
      <w:r>
        <w:rPr>
          <w:rFonts w:hint="eastAsia"/>
        </w:rPr>
        <w:t>年确定总共发生</w:t>
      </w:r>
      <w:r>
        <w:rPr>
          <w:rFonts w:hint="eastAsia"/>
        </w:rPr>
        <w:t>38</w:t>
      </w:r>
      <w:r>
        <w:rPr>
          <w:rFonts w:hint="eastAsia"/>
        </w:rPr>
        <w:t>起违规行为；在</w:t>
      </w:r>
      <w:r>
        <w:rPr>
          <w:rFonts w:hint="eastAsia"/>
        </w:rPr>
        <w:t>6</w:t>
      </w:r>
      <w:r>
        <w:rPr>
          <w:rFonts w:hint="eastAsia"/>
        </w:rPr>
        <w:t>起案件中，雇主违反了在发布空缺职位通知中男女平等待遇原则。他们只公开招聘妇女或者男子。</w:t>
      </w:r>
      <w:r>
        <w:rPr>
          <w:rStyle w:val="FootnoteReference"/>
          <w:szCs w:val="24"/>
        </w:rPr>
        <w:footnoteReference w:id="13"/>
      </w:r>
    </w:p>
    <w:p w:rsidR="001A7779" w:rsidRDefault="001A7779">
      <w:pPr>
        <w:tabs>
          <w:tab w:val="left" w:pos="630"/>
        </w:tabs>
        <w:spacing w:after="240" w:line="360" w:lineRule="exact"/>
      </w:pPr>
      <w:r>
        <w:t>37.</w:t>
      </w:r>
      <w:r>
        <w:tab/>
      </w:r>
      <w:r>
        <w:rPr>
          <w:rFonts w:hint="eastAsia"/>
        </w:rPr>
        <w:t>关于这项规定，平等机会办公室于</w:t>
      </w:r>
      <w:r>
        <w:rPr>
          <w:rFonts w:hint="eastAsia"/>
        </w:rPr>
        <w:t>2004</w:t>
      </w:r>
      <w:r>
        <w:rPr>
          <w:rFonts w:hint="eastAsia"/>
        </w:rPr>
        <w:t>年开展了广泛提高认识的运动，宣传对象是就业办公室、雇主、学生工作中介服务公司和印刷业媒体。办公室起草了征聘广告提案，并转递给大约一千家大中型公司、公共机构、工会、学生工作中介服务公司、雇主协会和工会以及人力资源管理人员协会。办公室还以特别信函的形式，请各日报广告部采取负责任的行动。除了发起提高认识宣传活动以外，办公室还对开展活动前后在三家主要日报上刊登的招聘广告进行分析。在开展提高认识宣传活动之前，有</w:t>
      </w:r>
      <w:r>
        <w:rPr>
          <w:rFonts w:hint="eastAsia"/>
        </w:rPr>
        <w:t>74%</w:t>
      </w:r>
      <w:r>
        <w:rPr>
          <w:rFonts w:hint="eastAsia"/>
        </w:rPr>
        <w:t>的征聘广告违反了关于征聘广告的管理规定，在开展活动之后，违规现象减少了</w:t>
      </w:r>
      <w:r>
        <w:rPr>
          <w:rFonts w:hint="eastAsia"/>
        </w:rPr>
        <w:t>27%</w:t>
      </w:r>
      <w:r>
        <w:rPr>
          <w:rFonts w:hint="eastAsia"/>
        </w:rPr>
        <w:t>。</w:t>
      </w:r>
    </w:p>
    <w:p w:rsidR="001A7779" w:rsidRDefault="001A7779">
      <w:pPr>
        <w:tabs>
          <w:tab w:val="left" w:pos="630"/>
        </w:tabs>
        <w:spacing w:after="240" w:line="360" w:lineRule="exact"/>
        <w:rPr>
          <w:rFonts w:eastAsia="SimHei"/>
          <w:color w:val="FF0000"/>
        </w:rPr>
      </w:pPr>
      <w:r>
        <w:rPr>
          <w:rFonts w:eastAsia="SimHei" w:hint="eastAsia"/>
          <w:color w:val="FF0000"/>
        </w:rPr>
        <w:t>对妇女的暴力和家庭暴力</w:t>
      </w:r>
    </w:p>
    <w:p w:rsidR="001A7779" w:rsidRDefault="001A7779">
      <w:pPr>
        <w:tabs>
          <w:tab w:val="left" w:pos="630"/>
        </w:tabs>
        <w:spacing w:after="240" w:line="360" w:lineRule="exact"/>
        <w:rPr>
          <w:rFonts w:hint="eastAsia"/>
        </w:rPr>
      </w:pPr>
      <w:r>
        <w:t>38.</w:t>
      </w:r>
      <w:r>
        <w:tab/>
      </w:r>
      <w:r>
        <w:rPr>
          <w:rFonts w:hint="eastAsia"/>
        </w:rPr>
        <w:t>在审议斯洛文尼亚共和国第二次和第三次报告期间，消除对妇女歧视委员会对于斯洛文尼亚国内对妇女的暴力包括家庭暴力的发生率之高以及对危害妇女的暴力犯罪处罚之轻表示关切。《刑法典》没有明确规定对妇女的暴力为刑事犯罪，但将此种犯罪界定为《刑法典》第十五（危害生命和身体的刑事犯罪）、第十六（侵犯人权和自由的刑事犯罪）、第十九（性侵犯犯罪）或第二十九章（危害公共法律秩序犯罪）所列其中一项犯罪。</w:t>
      </w:r>
    </w:p>
    <w:p w:rsidR="001A7779" w:rsidRDefault="001A7779">
      <w:pPr>
        <w:tabs>
          <w:tab w:val="left" w:pos="630"/>
        </w:tabs>
        <w:spacing w:after="240" w:line="360" w:lineRule="exact"/>
      </w:pPr>
      <w:r>
        <w:t>39.</w:t>
      </w:r>
      <w:r>
        <w:tab/>
      </w:r>
      <w:r>
        <w:rPr>
          <w:rFonts w:hint="eastAsia"/>
        </w:rPr>
        <w:t>量刑范围取决于具体犯罪情节严重与否。因此，比如说，对于《刑法典》第</w:t>
      </w:r>
      <w:r>
        <w:rPr>
          <w:rFonts w:hint="eastAsia"/>
        </w:rPr>
        <w:t>133</w:t>
      </w:r>
      <w:r>
        <w:rPr>
          <w:rFonts w:hint="eastAsia"/>
        </w:rPr>
        <w:t>条所述造成轻度人身伤害的犯罪，处以罚款或不超过一年的监禁，但所述犯罪也包含处以不超过三年监禁的加重罪行。《刑法典》第</w:t>
      </w:r>
      <w:r>
        <w:rPr>
          <w:rFonts w:hint="eastAsia"/>
        </w:rPr>
        <w:t>134</w:t>
      </w:r>
      <w:r>
        <w:rPr>
          <w:rFonts w:hint="eastAsia"/>
        </w:rPr>
        <w:t>和第</w:t>
      </w:r>
      <w:r>
        <w:rPr>
          <w:rFonts w:hint="eastAsia"/>
        </w:rPr>
        <w:t>135</w:t>
      </w:r>
      <w:r>
        <w:rPr>
          <w:rFonts w:hint="eastAsia"/>
        </w:rPr>
        <w:t>条规定，对于加重罪行或严重伤害身体的罪行处以监禁不超过五年或十年，或一年至十年不等，或不少于三年（即按照《刑法典》总论的规定不超过十五年）。对于《刑法典》第</w:t>
      </w:r>
      <w:r>
        <w:rPr>
          <w:rFonts w:hint="eastAsia"/>
        </w:rPr>
        <w:t>146</w:t>
      </w:r>
      <w:r>
        <w:rPr>
          <w:rFonts w:hint="eastAsia"/>
        </w:rPr>
        <w:t>条中界定的虐待犯罪，处以罚款或不超过六个月的监禁，但所述犯罪包括尚不构成轻度人身伤害的所有那些伤害（例如，擦伤或碰伤，以及造成心理伤害时的害怕与不安）。</w:t>
      </w:r>
      <w:r>
        <w:t xml:space="preserve"> </w:t>
      </w:r>
    </w:p>
    <w:p w:rsidR="001A7779" w:rsidRDefault="001A7779">
      <w:pPr>
        <w:tabs>
          <w:tab w:val="left" w:pos="630"/>
        </w:tabs>
        <w:spacing w:after="240" w:line="360" w:lineRule="exact"/>
      </w:pPr>
      <w:r>
        <w:t>40.</w:t>
      </w:r>
      <w:r>
        <w:tab/>
      </w:r>
      <w:r>
        <w:rPr>
          <w:rFonts w:hint="eastAsia"/>
        </w:rPr>
        <w:t>2004</w:t>
      </w:r>
      <w:r>
        <w:rPr>
          <w:rFonts w:hint="eastAsia"/>
        </w:rPr>
        <w:t>年修正《刑法典》，对性侵犯犯罪实施更加严厉的惩处，特别是在实施此种犯罪时有滥用职位（第</w:t>
      </w:r>
      <w:r>
        <w:rPr>
          <w:rFonts w:hint="eastAsia"/>
        </w:rPr>
        <w:t>184</w:t>
      </w:r>
      <w:r>
        <w:rPr>
          <w:rFonts w:hint="eastAsia"/>
        </w:rPr>
        <w:t>条）、伤害虚弱者（第</w:t>
      </w:r>
      <w:r>
        <w:rPr>
          <w:rFonts w:hint="eastAsia"/>
        </w:rPr>
        <w:t>182</w:t>
      </w:r>
      <w:r>
        <w:rPr>
          <w:rFonts w:hint="eastAsia"/>
        </w:rPr>
        <w:t>条）或</w:t>
      </w:r>
      <w:r>
        <w:rPr>
          <w:rFonts w:hint="eastAsia"/>
        </w:rPr>
        <w:t>15</w:t>
      </w:r>
      <w:r>
        <w:rPr>
          <w:rFonts w:hint="eastAsia"/>
        </w:rPr>
        <w:t>岁以下者（第</w:t>
      </w:r>
      <w:r>
        <w:rPr>
          <w:rFonts w:hint="eastAsia"/>
        </w:rPr>
        <w:t>183</w:t>
      </w:r>
      <w:r>
        <w:rPr>
          <w:rFonts w:hint="eastAsia"/>
        </w:rPr>
        <w:t>条）的情况。</w:t>
      </w:r>
      <w:r>
        <w:t xml:space="preserve"> </w:t>
      </w:r>
    </w:p>
    <w:p w:rsidR="001A7779" w:rsidRDefault="001A7779">
      <w:pPr>
        <w:tabs>
          <w:tab w:val="left" w:pos="630"/>
        </w:tabs>
        <w:spacing w:after="240" w:line="360" w:lineRule="exact"/>
      </w:pPr>
      <w:r>
        <w:t>41.</w:t>
      </w:r>
      <w:r>
        <w:tab/>
      </w:r>
      <w:r>
        <w:rPr>
          <w:rFonts w:hint="eastAsia"/>
        </w:rPr>
        <w:t>处理对妇女的暴力时，《刑法典》第</w:t>
      </w:r>
      <w:r>
        <w:rPr>
          <w:rFonts w:hint="eastAsia"/>
        </w:rPr>
        <w:t>299</w:t>
      </w:r>
      <w:r>
        <w:rPr>
          <w:rFonts w:hint="eastAsia"/>
        </w:rPr>
        <w:t>条所界定的暴力行为犯罪也具有相关性。严重侮辱、虐待或者危及安全，都可能导致此种犯罪，从而造成危害、愤慨或在家中的恐惧感。对此种犯罪处以不超过两年的监禁；不过，如果发生轻度人身伤害，则处以不超过三年的监禁。因此，这一犯罪兼有上述轻度人身伤害罪和虐待罪。但是，如果某人因暴力行为而受重伤甚至死亡，则兼有上述加重犯罪和严重人身伤害犯罪或《刑法典》第</w:t>
      </w:r>
      <w:r>
        <w:rPr>
          <w:rFonts w:hint="eastAsia"/>
        </w:rPr>
        <w:t>127</w:t>
      </w:r>
      <w:r>
        <w:rPr>
          <w:rFonts w:hint="eastAsia"/>
        </w:rPr>
        <w:t>条所指杀害罪行。</w:t>
      </w:r>
    </w:p>
    <w:p w:rsidR="001A7779" w:rsidRDefault="001A7779">
      <w:pPr>
        <w:tabs>
          <w:tab w:val="left" w:pos="630"/>
        </w:tabs>
        <w:spacing w:after="240" w:line="360" w:lineRule="exact"/>
      </w:pPr>
      <w:r>
        <w:t>42.</w:t>
      </w:r>
      <w:r>
        <w:tab/>
      </w:r>
      <w:r>
        <w:rPr>
          <w:rFonts w:hint="eastAsia"/>
        </w:rPr>
        <w:t>另外，如《刑事诉讼法》第</w:t>
      </w:r>
      <w:r>
        <w:rPr>
          <w:rFonts w:hint="eastAsia"/>
        </w:rPr>
        <w:t>195</w:t>
      </w:r>
      <w:r>
        <w:rPr>
          <w:rFonts w:hint="eastAsia"/>
        </w:rPr>
        <w:t>条所界定，禁止接近某一规定地点或者指定的人的措施也很重要。该法已列入斯洛文尼亚共和国关于《公约》条款执行情况的第三次报告审查范围。</w:t>
      </w:r>
      <w:r>
        <w:t xml:space="preserve"> </w:t>
      </w:r>
    </w:p>
    <w:p w:rsidR="001A7779" w:rsidRDefault="001A7779">
      <w:pPr>
        <w:tabs>
          <w:tab w:val="left" w:pos="630"/>
        </w:tabs>
        <w:spacing w:after="240" w:line="360" w:lineRule="exact"/>
      </w:pPr>
      <w:r>
        <w:t>43.</w:t>
      </w:r>
      <w:r>
        <w:tab/>
      </w:r>
      <w:r>
        <w:rPr>
          <w:rFonts w:hint="eastAsia"/>
        </w:rPr>
        <w:t>2003</w:t>
      </w:r>
      <w:r>
        <w:rPr>
          <w:rFonts w:hint="eastAsia"/>
        </w:rPr>
        <w:t>年</w:t>
      </w:r>
      <w:r>
        <w:rPr>
          <w:rFonts w:hint="eastAsia"/>
        </w:rPr>
        <w:t>8</w:t>
      </w:r>
      <w:r>
        <w:rPr>
          <w:rFonts w:hint="eastAsia"/>
        </w:rPr>
        <w:t>月底，《警察法案》修正案开始适用，规定男女警察在处理家庭暴力案件时拥有更大的干预权力。男女警察均可签发限制令，禁止某人接近某一规定地点或地区以及某个人，限制令也包括禁止以通讯手段进行骚扰。按照《关于接近特定地点或特定人的限制令的规则》规定，</w:t>
      </w:r>
      <w:r>
        <w:rPr>
          <w:rFonts w:hint="eastAsia"/>
        </w:rPr>
        <w:t>2004</w:t>
      </w:r>
      <w:r>
        <w:rPr>
          <w:rFonts w:hint="eastAsia"/>
        </w:rPr>
        <w:t>年</w:t>
      </w:r>
      <w:r>
        <w:rPr>
          <w:rFonts w:hint="eastAsia"/>
        </w:rPr>
        <w:t>9</w:t>
      </w:r>
      <w:r>
        <w:rPr>
          <w:rFonts w:hint="eastAsia"/>
        </w:rPr>
        <w:t>月关于如何处理此类案件的具体指示生效，警方随即开始实施禁止此种接近的措施。如果男女警察有根据怀疑有关者实施了有暴力色彩的犯罪，或者他或她在实施此种行为时被逮捕，即可强制采取这项措施。要强制采取该措施，在这两种情况下都必须确有理由或有理由怀疑施暴者将威胁到与他或她有密切关系的人的生命、人身安全或自由。男女警察可证实存在必须在其干预时直接采取此种措施的情况，或者他们也可通过收集报告或根据社会工作重心或其他实体传达的信息来证实此种情况。如果在干预程序期间警方确定有理由怀疑有关的人实施了犯罪，而对此种犯罪依职权或应受伤害当事方的要求提出了起诉，则不再强制执行禁止接近的措施。自《规则》通过以来，男女警察</w:t>
      </w:r>
      <w:r>
        <w:rPr>
          <w:rFonts w:hint="eastAsia"/>
        </w:rPr>
        <w:t>2004</w:t>
      </w:r>
      <w:r>
        <w:rPr>
          <w:rFonts w:hint="eastAsia"/>
        </w:rPr>
        <w:t>年签发了</w:t>
      </w:r>
      <w:r>
        <w:rPr>
          <w:rFonts w:hint="eastAsia"/>
        </w:rPr>
        <w:t>14</w:t>
      </w:r>
      <w:r>
        <w:rPr>
          <w:rFonts w:hint="eastAsia"/>
        </w:rPr>
        <w:t>项限制令，</w:t>
      </w:r>
      <w:r>
        <w:rPr>
          <w:rFonts w:hint="eastAsia"/>
        </w:rPr>
        <w:t>2005</w:t>
      </w:r>
      <w:r>
        <w:rPr>
          <w:rFonts w:hint="eastAsia"/>
        </w:rPr>
        <w:t>年上半年签发了</w:t>
      </w:r>
      <w:r>
        <w:rPr>
          <w:rFonts w:hint="eastAsia"/>
        </w:rPr>
        <w:t>49</w:t>
      </w:r>
      <w:r>
        <w:rPr>
          <w:rFonts w:hint="eastAsia"/>
        </w:rPr>
        <w:t>项此类命令。</w:t>
      </w:r>
      <w:r>
        <w:rPr>
          <w:rStyle w:val="FootnoteReference"/>
          <w:szCs w:val="24"/>
        </w:rPr>
        <w:footnoteReference w:id="14"/>
      </w:r>
    </w:p>
    <w:p w:rsidR="001A7779" w:rsidRDefault="001A7779">
      <w:pPr>
        <w:tabs>
          <w:tab w:val="left" w:pos="630"/>
        </w:tabs>
        <w:spacing w:after="240" w:line="360" w:lineRule="exact"/>
      </w:pPr>
      <w:r>
        <w:t>44.</w:t>
      </w:r>
      <w:r>
        <w:tab/>
      </w:r>
      <w:r>
        <w:rPr>
          <w:rFonts w:hint="eastAsia"/>
        </w:rPr>
        <w:t>《危害公共秩序和治安罪法案》也明确了与家庭暴力有关的犯罪。该法明确规定，任何人如以不正当的方式扰乱社会秩序或在私下环境中威胁到个人安全，即应被视为犯罪。</w:t>
      </w:r>
      <w:r>
        <w:rPr>
          <w:rFonts w:hint="eastAsia"/>
        </w:rPr>
        <w:t>2005</w:t>
      </w:r>
      <w:r>
        <w:rPr>
          <w:rFonts w:hint="eastAsia"/>
        </w:rPr>
        <w:t>年</w:t>
      </w:r>
      <w:r>
        <w:rPr>
          <w:rFonts w:hint="eastAsia"/>
        </w:rPr>
        <w:t>12</w:t>
      </w:r>
      <w:r>
        <w:rPr>
          <w:rFonts w:hint="eastAsia"/>
        </w:rPr>
        <w:t>月，斯洛文尼亚共和国政府通过了一项新法案的提案草案（《危害公共秩序和治安罪法案》提案草案），其中分开界定了与家庭暴力有关的犯罪，对其处罚比以前更加严厉。在新的《危害公共秩序和治安罪法案》生效之后，将会更加系统地收集有关家庭暴力的数据。</w:t>
      </w:r>
      <w:r>
        <w:t xml:space="preserve"> </w:t>
      </w:r>
    </w:p>
    <w:p w:rsidR="001A7779" w:rsidRDefault="001A7779">
      <w:pPr>
        <w:tabs>
          <w:tab w:val="left" w:pos="630"/>
        </w:tabs>
        <w:spacing w:after="240" w:line="360" w:lineRule="exact"/>
      </w:pPr>
      <w:r>
        <w:t>45.</w:t>
      </w:r>
      <w:r>
        <w:tab/>
      </w:r>
      <w:r>
        <w:rPr>
          <w:rFonts w:hint="eastAsia"/>
        </w:rPr>
        <w:t>斯洛文尼亚共和国通过了重要的法律修正案，旨在消除和防止家庭中对妇女的暴力。目前正在编制一项关于防止家庭中的暴力的行动计划和题为“实质性刑法中的先进准则”（实质性刑法改革准则）的研究项目，后者将为斯洛文尼亚《刑法典》是否应当将家庭暴力犯罪界定为独立的一项犯罪提供决定的理论依据。在建立系统收集有关对妇女的暴力的数据的机制方面也已取得进展，但困难依然不少，因为检察院和司法机关没有关于家庭中对妇女的暴力的单独记录，而是与其他所有犯罪纪录在一起。</w:t>
      </w:r>
    </w:p>
    <w:p w:rsidR="001A7779" w:rsidRDefault="001A7779">
      <w:pPr>
        <w:tabs>
          <w:tab w:val="left" w:pos="630"/>
        </w:tabs>
        <w:spacing w:after="240" w:line="360" w:lineRule="exact"/>
      </w:pPr>
      <w:r>
        <w:t>46.</w:t>
      </w:r>
      <w:r>
        <w:tab/>
      </w:r>
      <w:r>
        <w:rPr>
          <w:rFonts w:hint="eastAsia"/>
        </w:rPr>
        <w:t>在</w:t>
      </w:r>
      <w:r>
        <w:rPr>
          <w:rFonts w:hint="eastAsia"/>
        </w:rPr>
        <w:t>2003-2007</w:t>
      </w:r>
      <w:r>
        <w:rPr>
          <w:rFonts w:hint="eastAsia"/>
        </w:rPr>
        <w:t>年警方中期行动计划中，明确了警方在家庭暴力领域的重要的任务和职责。它们包括措施分析、明确缺点和不足、对男女警察的教育和培训，以及积极参与起草和实施新的立法解决办法。警方定期举办有关家庭中对妇女儿童的暴力的培训和专门研究。进行此种培训的专家分别来自警察机关、检察院、司法机构、社会工作和卫生部门，另外还经常有来自本国和外国的非政府组织的专家参与。每年警察总署和各警察行政部门都要举办关于青少年犯罪、对儿童的暴力和家庭暴力的圆桌会议和磋商会议。男女警察和刑警也向教师、父母和儿童提供有关这些主题的信息。警方还发行海报和折页，说明可能防止暴力各种可能性和对暴力的适度反应。</w:t>
      </w:r>
      <w:r>
        <w:t xml:space="preserve"> </w:t>
      </w:r>
    </w:p>
    <w:p w:rsidR="001A7779" w:rsidRDefault="001A7779">
      <w:pPr>
        <w:tabs>
          <w:tab w:val="left" w:pos="630"/>
        </w:tabs>
        <w:spacing w:after="240" w:line="360" w:lineRule="exact"/>
      </w:pPr>
      <w:r>
        <w:t>47.</w:t>
      </w:r>
      <w:r>
        <w:tab/>
      </w:r>
      <w:r>
        <w:rPr>
          <w:rFonts w:hint="eastAsia"/>
        </w:rPr>
        <w:t>自</w:t>
      </w:r>
      <w:r>
        <w:rPr>
          <w:rFonts w:hint="eastAsia"/>
        </w:rPr>
        <w:t>2003</w:t>
      </w:r>
      <w:r>
        <w:rPr>
          <w:rFonts w:hint="eastAsia"/>
        </w:rPr>
        <w:t>年起，《住房法案》实行了一项重要的创新做法，允许市政当局、国家和公共住房基金或非营利性住房组织出租房屋，在分配住房时将其作为一项临时解决办法以满足社会贫困人员的住房需求，此种住房单位基于有资格参与此种住房分配的人员名单（即，以公开申请为基础）。这类人员也包括妇女和有子女的妇女、家庭暴力受害者。《关于出租非营利性住房的规则》为妇女和有子女的妇女、临时住在留产院和庇护所（藏身处、庇护所、为犯罪受害者提供帮助的中心）的家庭暴力受害者提供了机会，使她们有可能参与租住非营利性住房的公开申请，包括在其临时居住地点的住房。</w:t>
      </w:r>
    </w:p>
    <w:p w:rsidR="001A7779" w:rsidRDefault="001A7779">
      <w:pPr>
        <w:tabs>
          <w:tab w:val="left" w:pos="630"/>
        </w:tabs>
        <w:spacing w:after="240" w:line="360" w:lineRule="exact"/>
      </w:pPr>
      <w:r>
        <w:t>48.</w:t>
      </w:r>
      <w:r>
        <w:tab/>
      </w:r>
      <w:r>
        <w:rPr>
          <w:rFonts w:hint="eastAsia"/>
        </w:rPr>
        <w:t>内政部是有关对妇女的暴力普遍程度的数据的主要来源。根据该部的数据，在危及生命和身体的犯罪受害者中，妇女约占五分之一。</w:t>
      </w:r>
      <w:r>
        <w:rPr>
          <w:rFonts w:hint="eastAsia"/>
        </w:rPr>
        <w:t>2004</w:t>
      </w:r>
      <w:r>
        <w:rPr>
          <w:rFonts w:hint="eastAsia"/>
        </w:rPr>
        <w:t>年，在被杀害的受害者中，妇女所占比例为</w:t>
      </w:r>
      <w:r>
        <w:t>26.3</w:t>
      </w:r>
      <w:r>
        <w:rPr>
          <w:rFonts w:hint="eastAsia"/>
        </w:rPr>
        <w:t>%</w:t>
      </w:r>
      <w:r>
        <w:rPr>
          <w:rFonts w:hint="eastAsia"/>
        </w:rPr>
        <w:t>。在身体遭受严重伤害的案件中，妇女受害者约占</w:t>
      </w:r>
      <w:r>
        <w:t>14.7</w:t>
      </w:r>
      <w:r>
        <w:rPr>
          <w:rFonts w:hint="eastAsia"/>
        </w:rPr>
        <w:t>%</w:t>
      </w:r>
      <w:r>
        <w:rPr>
          <w:rFonts w:hint="eastAsia"/>
        </w:rPr>
        <w:t>，在轻度人身伤害的案件中妇女占</w:t>
      </w:r>
      <w:r>
        <w:t>24</w:t>
      </w:r>
      <w:r>
        <w:rPr>
          <w:rFonts w:hint="eastAsia"/>
        </w:rPr>
        <w:t>%</w:t>
      </w:r>
      <w:r>
        <w:rPr>
          <w:rFonts w:hint="eastAsia"/>
        </w:rPr>
        <w:t>，在受到危险手段威胁的案件中所占比例相同。</w:t>
      </w:r>
      <w:r>
        <w:rPr>
          <w:rStyle w:val="FootnoteReference"/>
          <w:szCs w:val="24"/>
        </w:rPr>
        <w:footnoteReference w:id="15"/>
      </w:r>
    </w:p>
    <w:p w:rsidR="001A7779" w:rsidRDefault="001A7779">
      <w:pPr>
        <w:tabs>
          <w:tab w:val="left" w:pos="630"/>
        </w:tabs>
        <w:spacing w:after="240" w:line="360" w:lineRule="exact"/>
      </w:pPr>
      <w:r>
        <w:t>49.</w:t>
      </w:r>
      <w:r>
        <w:tab/>
      </w:r>
      <w:r>
        <w:rPr>
          <w:rFonts w:hint="eastAsia"/>
        </w:rPr>
        <w:t>在</w:t>
      </w:r>
      <w:r>
        <w:rPr>
          <w:rFonts w:hint="eastAsia"/>
        </w:rPr>
        <w:t>2001</w:t>
      </w:r>
      <w:r>
        <w:rPr>
          <w:rFonts w:hint="eastAsia"/>
        </w:rPr>
        <w:t>至</w:t>
      </w:r>
      <w:r>
        <w:rPr>
          <w:rFonts w:hint="eastAsia"/>
        </w:rPr>
        <w:t>2004</w:t>
      </w:r>
      <w:r>
        <w:rPr>
          <w:rFonts w:hint="eastAsia"/>
        </w:rPr>
        <w:t>年期间，在危害公共法律和秩序的犯罪受害者中，妇女所占比例略有下降。</w:t>
      </w:r>
      <w:r>
        <w:rPr>
          <w:rFonts w:hint="eastAsia"/>
        </w:rPr>
        <w:t>2001</w:t>
      </w:r>
      <w:r>
        <w:rPr>
          <w:rFonts w:hint="eastAsia"/>
        </w:rPr>
        <w:t>年，这一比例为</w:t>
      </w:r>
      <w:r>
        <w:t xml:space="preserve"> 42.3</w:t>
      </w:r>
      <w:r>
        <w:rPr>
          <w:rFonts w:hint="eastAsia"/>
        </w:rPr>
        <w:t>%</w:t>
      </w:r>
      <w:r>
        <w:rPr>
          <w:rFonts w:hint="eastAsia"/>
        </w:rPr>
        <w:t>，</w:t>
      </w:r>
      <w:r>
        <w:rPr>
          <w:rFonts w:hint="eastAsia"/>
        </w:rPr>
        <w:t>2004</w:t>
      </w:r>
      <w:r>
        <w:rPr>
          <w:rFonts w:hint="eastAsia"/>
        </w:rPr>
        <w:t>年为</w:t>
      </w:r>
      <w:r>
        <w:t>38.8</w:t>
      </w:r>
      <w:r>
        <w:rPr>
          <w:rFonts w:hint="eastAsia"/>
        </w:rPr>
        <w:t>%</w:t>
      </w:r>
      <w:r>
        <w:rPr>
          <w:rFonts w:hint="eastAsia"/>
        </w:rPr>
        <w:t>。同期，涉及家庭暴力的犯罪比例大幅上升，即从</w:t>
      </w:r>
      <w:r>
        <w:rPr>
          <w:rFonts w:hint="eastAsia"/>
        </w:rPr>
        <w:t>2001</w:t>
      </w:r>
      <w:r>
        <w:rPr>
          <w:rFonts w:hint="eastAsia"/>
        </w:rPr>
        <w:t>年的</w:t>
      </w:r>
      <w:r>
        <w:t xml:space="preserve"> 2</w:t>
      </w:r>
      <w:r>
        <w:rPr>
          <w:rFonts w:hint="eastAsia"/>
        </w:rPr>
        <w:t xml:space="preserve"> </w:t>
      </w:r>
      <w:r>
        <w:t xml:space="preserve">566 </w:t>
      </w:r>
      <w:r>
        <w:rPr>
          <w:rFonts w:hint="eastAsia"/>
        </w:rPr>
        <w:t>或</w:t>
      </w:r>
      <w:r>
        <w:t xml:space="preserve"> 15.5% </w:t>
      </w:r>
      <w:r>
        <w:rPr>
          <w:rFonts w:hint="eastAsia"/>
        </w:rPr>
        <w:t>上升到</w:t>
      </w:r>
      <w:r>
        <w:rPr>
          <w:rFonts w:hint="eastAsia"/>
        </w:rPr>
        <w:t>2004</w:t>
      </w:r>
      <w:r>
        <w:rPr>
          <w:rFonts w:hint="eastAsia"/>
        </w:rPr>
        <w:t>年占危害公共法律和秩序的犯罪总数的</w:t>
      </w:r>
      <w:r>
        <w:t xml:space="preserve"> 4</w:t>
      </w:r>
      <w:r>
        <w:rPr>
          <w:rFonts w:hint="eastAsia"/>
        </w:rPr>
        <w:t xml:space="preserve"> </w:t>
      </w:r>
      <w:r>
        <w:t xml:space="preserve">443 </w:t>
      </w:r>
      <w:r>
        <w:rPr>
          <w:rFonts w:hint="eastAsia"/>
        </w:rPr>
        <w:t>或</w:t>
      </w:r>
      <w:r>
        <w:t xml:space="preserve"> 26.7%</w:t>
      </w:r>
      <w:r>
        <w:rPr>
          <w:rFonts w:hint="eastAsia"/>
        </w:rPr>
        <w:t>。涉及家庭暴力的大多数犯罪是在家庭环境下发生的，几乎占案件的</w:t>
      </w:r>
      <w:r>
        <w:t>90%</w:t>
      </w:r>
      <w:r>
        <w:rPr>
          <w:rFonts w:hint="eastAsia"/>
        </w:rPr>
        <w:t>。</w:t>
      </w:r>
      <w:r>
        <w:rPr>
          <w:rStyle w:val="FootnoteReference"/>
          <w:szCs w:val="24"/>
        </w:rPr>
        <w:footnoteReference w:id="16"/>
      </w:r>
    </w:p>
    <w:p w:rsidR="001A7779" w:rsidRDefault="001A7779">
      <w:pPr>
        <w:tabs>
          <w:tab w:val="left" w:pos="630"/>
        </w:tabs>
        <w:spacing w:after="240" w:line="360" w:lineRule="exact"/>
      </w:pPr>
      <w:r>
        <w:t>50.</w:t>
      </w:r>
      <w:r>
        <w:tab/>
      </w:r>
      <w:r>
        <w:rPr>
          <w:rFonts w:hint="eastAsia"/>
        </w:rPr>
        <w:t>2003</w:t>
      </w:r>
      <w:r>
        <w:rPr>
          <w:rFonts w:hint="eastAsia"/>
        </w:rPr>
        <w:t>年</w:t>
      </w:r>
      <w:r>
        <w:rPr>
          <w:rFonts w:hint="eastAsia"/>
        </w:rPr>
        <w:t>11</w:t>
      </w:r>
      <w:r>
        <w:rPr>
          <w:rFonts w:hint="eastAsia"/>
        </w:rPr>
        <w:t>月，人权监察员组织了题为“家庭暴力</w:t>
      </w:r>
      <w:r>
        <w:rPr>
          <w:rFonts w:hint="eastAsia"/>
        </w:rPr>
        <w:t>-</w:t>
      </w:r>
      <w:r>
        <w:rPr>
          <w:rFonts w:hint="eastAsia"/>
        </w:rPr>
        <w:t>解决途径”的专家会议，目的在于帮助受害者，防止受害者和社会两方面受到家庭暴力的伤害。监察员邀请从事反对家庭暴力工作的各部委、政府办公室和非政府组织的专家参加会议。根据这次专家会议的结论，人权监察员于</w:t>
      </w:r>
      <w:r>
        <w:rPr>
          <w:rFonts w:hint="eastAsia"/>
        </w:rPr>
        <w:t>2004</w:t>
      </w:r>
      <w:r>
        <w:rPr>
          <w:rFonts w:hint="eastAsia"/>
        </w:rPr>
        <w:t>年</w:t>
      </w:r>
      <w:r>
        <w:rPr>
          <w:rFonts w:hint="eastAsia"/>
        </w:rPr>
        <w:t>6</w:t>
      </w:r>
      <w:r>
        <w:rPr>
          <w:rFonts w:hint="eastAsia"/>
        </w:rPr>
        <w:t>月发表了一份特别报告，其中包含实际经验、需要和专家会议的建议，并论及专家日常工作中的家庭暴力问题。</w:t>
      </w:r>
      <w:r>
        <w:t xml:space="preserve"> </w:t>
      </w:r>
    </w:p>
    <w:p w:rsidR="001A7779" w:rsidRDefault="001A7779">
      <w:pPr>
        <w:tabs>
          <w:tab w:val="left" w:pos="630"/>
        </w:tabs>
        <w:spacing w:after="240" w:line="360" w:lineRule="exact"/>
      </w:pPr>
      <w:r>
        <w:t>51.</w:t>
      </w:r>
      <w:r>
        <w:tab/>
      </w:r>
      <w:r>
        <w:rPr>
          <w:rFonts w:hint="eastAsia"/>
        </w:rPr>
        <w:t>在劳动、家庭和社会事务部下面设立的负责处理对妇女的暴力问题专家理事会自</w:t>
      </w:r>
      <w:r>
        <w:rPr>
          <w:rFonts w:hint="eastAsia"/>
        </w:rPr>
        <w:t>2001</w:t>
      </w:r>
      <w:r>
        <w:rPr>
          <w:rFonts w:hint="eastAsia"/>
        </w:rPr>
        <w:t>年起开始工作，对家庭中对妇女的暴力状况进行分析。</w:t>
      </w:r>
      <w:r>
        <w:rPr>
          <w:rStyle w:val="FootnoteReference"/>
          <w:szCs w:val="24"/>
        </w:rPr>
        <w:footnoteReference w:id="17"/>
      </w:r>
      <w:r>
        <w:rPr>
          <w:rFonts w:hint="eastAsia"/>
        </w:rPr>
        <w:t>分析的目的是便于对易遭受家庭暴力的妇女采用机构式处理方法（卫生保健、司法、警察、社会工作中心和非政府组织）和处理对妇女的暴力的法律依据开展调查。基于针对警察行政部门的一项调查表所作的分析表明，大多数涉嫌有暴力者和暴力受害者都有婚姻和婚外关系（</w:t>
      </w:r>
      <w:r>
        <w:rPr>
          <w:rFonts w:hint="eastAsia"/>
        </w:rPr>
        <w:t>34%</w:t>
      </w:r>
      <w:r>
        <w:rPr>
          <w:rFonts w:hint="eastAsia"/>
        </w:rPr>
        <w:t>），其次是朋友关系或熟人（</w:t>
      </w:r>
      <w:r>
        <w:rPr>
          <w:rFonts w:hint="eastAsia"/>
        </w:rPr>
        <w:t>25%</w:t>
      </w:r>
      <w:r>
        <w:rPr>
          <w:rFonts w:hint="eastAsia"/>
        </w:rPr>
        <w:t>），陌生人（</w:t>
      </w:r>
      <w:r>
        <w:rPr>
          <w:rFonts w:hint="eastAsia"/>
        </w:rPr>
        <w:t>15%</w:t>
      </w:r>
      <w:r>
        <w:rPr>
          <w:rFonts w:hint="eastAsia"/>
        </w:rPr>
        <w:t>），前配偶或婚外伴侣（</w:t>
      </w:r>
      <w:r>
        <w:rPr>
          <w:rFonts w:hint="eastAsia"/>
        </w:rPr>
        <w:t>3%</w:t>
      </w:r>
      <w:r>
        <w:rPr>
          <w:rFonts w:hint="eastAsia"/>
        </w:rPr>
        <w:t>）。基于这项分析得出的结论，编制了一项关于防止家庭暴力的基本法案的立场和提案草案。</w:t>
      </w:r>
      <w:r>
        <w:rPr>
          <w:rFonts w:hint="eastAsia"/>
        </w:rPr>
        <w:t>2005</w:t>
      </w:r>
      <w:r>
        <w:rPr>
          <w:rFonts w:hint="eastAsia"/>
        </w:rPr>
        <w:t>年</w:t>
      </w:r>
      <w:r>
        <w:rPr>
          <w:rFonts w:hint="eastAsia"/>
        </w:rPr>
        <w:t>7</w:t>
      </w:r>
      <w:r>
        <w:rPr>
          <w:rFonts w:hint="eastAsia"/>
        </w:rPr>
        <w:t>月，根据主管部长的一项决定对理事会进行重新任命。理事会的任务是为通过对妇女的暴力领域中的相关立法奠定专家基础，并提供指导方针，监督其实施情况。</w:t>
      </w:r>
      <w:r>
        <w:t xml:space="preserve"> </w:t>
      </w:r>
    </w:p>
    <w:p w:rsidR="001A7779" w:rsidRDefault="001A7779">
      <w:pPr>
        <w:tabs>
          <w:tab w:val="left" w:pos="630"/>
        </w:tabs>
        <w:spacing w:after="240" w:line="360" w:lineRule="exact"/>
      </w:pPr>
      <w:r>
        <w:t>52.</w:t>
      </w:r>
      <w:r>
        <w:tab/>
      </w:r>
      <w:r>
        <w:rPr>
          <w:rFonts w:hint="eastAsia"/>
        </w:rPr>
        <w:t>防止对妇女的暴力活动是平等机会办公室工作方案的组成部分。</w:t>
      </w:r>
      <w:r>
        <w:rPr>
          <w:rFonts w:hint="eastAsia"/>
        </w:rPr>
        <w:t>2004</w:t>
      </w:r>
      <w:r>
        <w:rPr>
          <w:rFonts w:hint="eastAsia"/>
        </w:rPr>
        <w:t>年，在国际社会致力于消除对妇女的暴力宣传的日子里，办公室筹备举行了一届题为“勇敢地说出对老年妇女的暴力”的会议，来自非政府组织、社会工作中心、家庭卫生保健和护理服务机构、退休人员协会、司法部门、警察机关的代表和有关个人参加了会议。会议所作的分析表明，在家庭环境中妇女比老年男子更容易成为不同形式的暴力受害者。对老年妇女最常见的暴力形式是精神、情感和身体上的虐待，而此种暴力行为的施暴者往往就是她们的伴侣。</w:t>
      </w:r>
      <w:r>
        <w:t xml:space="preserve"> </w:t>
      </w:r>
    </w:p>
    <w:p w:rsidR="001A7779" w:rsidRDefault="001A7779">
      <w:pPr>
        <w:tabs>
          <w:tab w:val="left" w:pos="630"/>
        </w:tabs>
        <w:spacing w:after="240" w:line="360" w:lineRule="exact"/>
      </w:pPr>
      <w:r>
        <w:t>53.</w:t>
      </w:r>
      <w:r>
        <w:tab/>
      </w:r>
      <w:r>
        <w:rPr>
          <w:rFonts w:hint="eastAsia"/>
        </w:rPr>
        <w:t>在公共服务框架下，社会工作中心开展以解除眼下危难和问题为目的的服务，并在发生暴力的情况下对个人实施保护。社会工作中心还有一项重要的职责，就是在试图消除产生暴力行为的原因，防止其再度发生的同时，对犯罪人也要开展帮助教育。设置地区协调员一职就是这方面新的进展，地区协调员负责协调社会工作中心的工作，并对其工作人员和暴力受害者提供专家支持，同时参与机构间工作队所开展的防止暴力的活动。在</w:t>
      </w:r>
      <w:r>
        <w:rPr>
          <w:rFonts w:hint="eastAsia"/>
        </w:rPr>
        <w:t>2004</w:t>
      </w:r>
      <w:r>
        <w:rPr>
          <w:rFonts w:hint="eastAsia"/>
        </w:rPr>
        <w:t>至</w:t>
      </w:r>
      <w:r>
        <w:rPr>
          <w:rFonts w:hint="eastAsia"/>
        </w:rPr>
        <w:t>2005</w:t>
      </w:r>
      <w:r>
        <w:rPr>
          <w:rFonts w:hint="eastAsia"/>
        </w:rPr>
        <w:t>年期间，社会工作中心聘用了</w:t>
      </w:r>
      <w:r>
        <w:rPr>
          <w:rFonts w:hint="eastAsia"/>
        </w:rPr>
        <w:t>12</w:t>
      </w:r>
      <w:r>
        <w:rPr>
          <w:rFonts w:hint="eastAsia"/>
        </w:rPr>
        <w:t>名地区协调员。</w:t>
      </w:r>
    </w:p>
    <w:p w:rsidR="001A7779" w:rsidRDefault="001A7779">
      <w:pPr>
        <w:tabs>
          <w:tab w:val="left" w:pos="630"/>
        </w:tabs>
        <w:spacing w:after="240" w:line="360" w:lineRule="exact"/>
      </w:pPr>
      <w:r>
        <w:t>54.</w:t>
      </w:r>
      <w:r>
        <w:tab/>
      </w:r>
      <w:r>
        <w:rPr>
          <w:rFonts w:hint="eastAsia"/>
        </w:rPr>
        <w:t>斯洛文尼亚护理和助产服务理事会（斯洛文尼亚医院护士、助产士和医疗技术人员组织协会）非暴力工作小组在通过从事护理工作的人员以及他们的适当反应来确认暴力现象方面起到重要的作用。工作小组的工作重点放在增强卫生保健机构所聘用人员在降低普遍对暴力的容忍度和防止及消除工作中的暴力方面的作用和责任上。在其活动范围内，工作小组，除其他的以外，编制了针对护理工作所聘人员在工作中与家庭暴力受害妇女会面时与其所要采取行动有关的特别协议，为雇员举办了几次有关工作中的性暴力问题专家培训，积极参与各种公众宣传运动，并为护理工作所聘人员、医院服务使用者、医院探视者和进入卫生保健机构的，其他人员编制了各种教育材料。</w:t>
      </w:r>
      <w:r>
        <w:t xml:space="preserve"> </w:t>
      </w:r>
    </w:p>
    <w:p w:rsidR="001A7779" w:rsidRDefault="001A7779">
      <w:pPr>
        <w:tabs>
          <w:tab w:val="left" w:pos="630"/>
        </w:tabs>
        <w:spacing w:after="240" w:line="360" w:lineRule="exact"/>
      </w:pPr>
      <w:r>
        <w:t>59.</w:t>
      </w:r>
      <w:r>
        <w:tab/>
      </w:r>
      <w:r>
        <w:rPr>
          <w:rFonts w:hint="eastAsia"/>
        </w:rPr>
        <w:t>2004</w:t>
      </w:r>
      <w:r>
        <w:rPr>
          <w:rFonts w:hint="eastAsia"/>
        </w:rPr>
        <w:t>年和</w:t>
      </w:r>
      <w:r>
        <w:rPr>
          <w:rFonts w:hint="eastAsia"/>
        </w:rPr>
        <w:t>2005</w:t>
      </w:r>
      <w:r>
        <w:rPr>
          <w:rFonts w:hint="eastAsia"/>
        </w:rPr>
        <w:t>年，在公开招标为非政府组织的项目联合筹资的基础上，平等机会办公室为实施对妇女的暴力领域的</w:t>
      </w:r>
      <w:r>
        <w:rPr>
          <w:rFonts w:hint="eastAsia"/>
        </w:rPr>
        <w:t>12</w:t>
      </w:r>
      <w:r>
        <w:rPr>
          <w:rFonts w:hint="eastAsia"/>
        </w:rPr>
        <w:t>个项目提供了财政支持。除其他的以外，这些项目着眼于确认和处理护理领域中的暴力、工作中的性骚扰、对残疾妇女的暴力、为易遭受暴力的妇女提供律师辩护、为受害者提供个别和集体咨询与支助、为施暴者提供社会技能方面的培训、防止暴力和提高一般公众的认识。</w:t>
      </w:r>
    </w:p>
    <w:p w:rsidR="001A7779" w:rsidRDefault="001A7779">
      <w:pPr>
        <w:tabs>
          <w:tab w:val="left" w:pos="630"/>
        </w:tabs>
        <w:spacing w:after="240" w:line="360" w:lineRule="exact"/>
      </w:pPr>
      <w:r>
        <w:t>60.</w:t>
      </w:r>
      <w:r>
        <w:tab/>
      </w:r>
      <w:r>
        <w:rPr>
          <w:rFonts w:hint="eastAsia"/>
        </w:rPr>
        <w:t>劳动、家庭和社会事务部为旨在防止家庭暴力的方案共同筹资。</w:t>
      </w:r>
      <w:r>
        <w:rPr>
          <w:rFonts w:hint="eastAsia"/>
        </w:rPr>
        <w:t>2004</w:t>
      </w:r>
      <w:r>
        <w:rPr>
          <w:rFonts w:hint="eastAsia"/>
        </w:rPr>
        <w:t>年，该部为非政府组织和公共机构所实施的</w:t>
      </w:r>
      <w:r>
        <w:rPr>
          <w:rFonts w:hint="eastAsia"/>
        </w:rPr>
        <w:t>24</w:t>
      </w:r>
      <w:r>
        <w:rPr>
          <w:rFonts w:hint="eastAsia"/>
        </w:rPr>
        <w:t>个方案共同筹资，为这些方案的实施特别拨款</w:t>
      </w:r>
      <w:r>
        <w:rPr>
          <w:rFonts w:hint="eastAsia"/>
        </w:rPr>
        <w:t>900</w:t>
      </w:r>
      <w:r>
        <w:rPr>
          <w:rFonts w:hint="eastAsia"/>
        </w:rPr>
        <w:t>万托拉尔（约合</w:t>
      </w:r>
      <w:r>
        <w:rPr>
          <w:rFonts w:hint="eastAsia"/>
        </w:rPr>
        <w:t>40 000</w:t>
      </w:r>
      <w:r>
        <w:rPr>
          <w:rFonts w:hint="eastAsia"/>
        </w:rPr>
        <w:t>美元）。</w:t>
      </w:r>
      <w:r>
        <w:rPr>
          <w:rFonts w:hint="eastAsia"/>
        </w:rPr>
        <w:t>2005</w:t>
      </w:r>
      <w:r>
        <w:rPr>
          <w:rFonts w:hint="eastAsia"/>
        </w:rPr>
        <w:t>年，该部拨款</w:t>
      </w:r>
      <w:r>
        <w:rPr>
          <w:rFonts w:hint="eastAsia"/>
        </w:rPr>
        <w:t>2.47</w:t>
      </w:r>
      <w:r>
        <w:rPr>
          <w:rFonts w:hint="eastAsia"/>
        </w:rPr>
        <w:t>亿托拉尔（约合</w:t>
      </w:r>
      <w:r>
        <w:rPr>
          <w:rFonts w:hint="eastAsia"/>
        </w:rPr>
        <w:t>1 235 000</w:t>
      </w:r>
      <w:r>
        <w:rPr>
          <w:rFonts w:hint="eastAsia"/>
        </w:rPr>
        <w:t>美元），用以实施安全房、急救中心方案和旨在帮助暴力受害者的其他方案。该部还另外为直接或间接处理这些问题的其他方案拨款</w:t>
      </w:r>
      <w:r>
        <w:rPr>
          <w:rFonts w:hint="eastAsia"/>
        </w:rPr>
        <w:t>78 862 555</w:t>
      </w:r>
      <w:r>
        <w:rPr>
          <w:rFonts w:hint="eastAsia"/>
        </w:rPr>
        <w:t>托拉尔（约合</w:t>
      </w:r>
      <w:r>
        <w:rPr>
          <w:rFonts w:hint="eastAsia"/>
        </w:rPr>
        <w:t>394 000</w:t>
      </w:r>
      <w:r>
        <w:rPr>
          <w:rFonts w:hint="eastAsia"/>
        </w:rPr>
        <w:t>美元）。</w:t>
      </w:r>
    </w:p>
    <w:p w:rsidR="001A7779" w:rsidRDefault="001A7779">
      <w:pPr>
        <w:tabs>
          <w:tab w:val="left" w:pos="630"/>
        </w:tabs>
        <w:spacing w:after="240" w:line="360" w:lineRule="exact"/>
      </w:pPr>
      <w:r>
        <w:t xml:space="preserve"> 61.</w:t>
      </w:r>
      <w:r>
        <w:tab/>
      </w:r>
      <w:r>
        <w:rPr>
          <w:rFonts w:hint="eastAsia"/>
        </w:rPr>
        <w:t>在防止和消除对妇女的暴力和家庭暴力，为受害者提供援助和支持以及做好施暴者的工作方面，不仅是斯洛文尼亚非政府组织起到非常重要的作用，教育、研究和其他机构、国际非政府组织和媒体也在斯洛文尼亚这一领域中积极开展工作。</w:t>
      </w:r>
      <w:r>
        <w:t xml:space="preserve"> </w:t>
      </w:r>
    </w:p>
    <w:p w:rsidR="001A7779" w:rsidRDefault="001A7779">
      <w:pPr>
        <w:tabs>
          <w:tab w:val="left" w:pos="630"/>
        </w:tabs>
        <w:spacing w:after="240" w:line="360" w:lineRule="exact"/>
        <w:rPr>
          <w:rFonts w:eastAsia="SimHei"/>
          <w:color w:val="FF0000"/>
        </w:rPr>
      </w:pPr>
      <w:r>
        <w:rPr>
          <w:rFonts w:eastAsia="SimHei" w:hint="eastAsia"/>
          <w:color w:val="FF0000"/>
        </w:rPr>
        <w:t>工作中的性骚扰</w:t>
      </w:r>
    </w:p>
    <w:p w:rsidR="001A7779" w:rsidRDefault="001A7779">
      <w:pPr>
        <w:tabs>
          <w:tab w:val="left" w:pos="630"/>
        </w:tabs>
        <w:spacing w:after="240" w:line="360" w:lineRule="exact"/>
        <w:rPr>
          <w:rFonts w:hint="eastAsia"/>
        </w:rPr>
      </w:pPr>
      <w:r>
        <w:t>62.</w:t>
      </w:r>
      <w:r>
        <w:tab/>
      </w:r>
      <w:r>
        <w:rPr>
          <w:rFonts w:hint="eastAsia"/>
        </w:rPr>
        <w:t>第三次报告介绍了《雇用关系法》第</w:t>
      </w:r>
      <w:r>
        <w:rPr>
          <w:rFonts w:hint="eastAsia"/>
        </w:rPr>
        <w:t>45</w:t>
      </w:r>
      <w:r>
        <w:rPr>
          <w:rFonts w:hint="eastAsia"/>
        </w:rPr>
        <w:t>条，该条禁止工作中的性骚扰。禁止工作中的性骚扰规定也列入</w:t>
      </w:r>
      <w:r>
        <w:rPr>
          <w:rFonts w:hint="eastAsia"/>
        </w:rPr>
        <w:t>2005</w:t>
      </w:r>
      <w:r>
        <w:rPr>
          <w:rFonts w:hint="eastAsia"/>
        </w:rPr>
        <w:t>年</w:t>
      </w:r>
      <w:r>
        <w:rPr>
          <w:rFonts w:hint="eastAsia"/>
        </w:rPr>
        <w:t>12</w:t>
      </w:r>
      <w:r>
        <w:rPr>
          <w:rFonts w:hint="eastAsia"/>
        </w:rPr>
        <w:t>月通过和修正的《公务员法》。增加的第</w:t>
      </w:r>
      <w:r>
        <w:rPr>
          <w:rFonts w:hint="eastAsia"/>
        </w:rPr>
        <w:t>15.a</w:t>
      </w:r>
      <w:r>
        <w:rPr>
          <w:rFonts w:hint="eastAsia"/>
        </w:rPr>
        <w:t>条禁止公务员在任何个人情况下做出任何不受欢迎的身体、口头或非口头行为或举止，因为此类言行会给他人造成要挟性、不利的、有辱名誉的、屈辱性的、滥用的或令人不快的工作环境，侵犯了他或她的尊严。</w:t>
      </w:r>
      <w:r>
        <w:t xml:space="preserve"> </w:t>
      </w:r>
    </w:p>
    <w:p w:rsidR="001A7779" w:rsidRDefault="001A7779">
      <w:pPr>
        <w:tabs>
          <w:tab w:val="left" w:pos="630"/>
        </w:tabs>
        <w:spacing w:after="240" w:line="360" w:lineRule="exact"/>
      </w:pPr>
      <w:r>
        <w:t>63.</w:t>
      </w:r>
      <w:r>
        <w:tab/>
      </w:r>
      <w:r>
        <w:rPr>
          <w:rFonts w:hint="eastAsia"/>
        </w:rPr>
        <w:t>《刑法》第</w:t>
      </w:r>
      <w:r>
        <w:rPr>
          <w:rFonts w:hint="eastAsia"/>
        </w:rPr>
        <w:t>184</w:t>
      </w:r>
      <w:r>
        <w:rPr>
          <w:rFonts w:hint="eastAsia"/>
        </w:rPr>
        <w:t>条规定适用于性骚扰情况，明确规定以滥用职权手段进行性侵犯为犯罪，应受到不超过五年的监禁处罚，并规定加重犯罪被处以一至八年的监禁。警方的统计资料表明，</w:t>
      </w:r>
      <w:r>
        <w:rPr>
          <w:rStyle w:val="FootnoteReference"/>
          <w:szCs w:val="24"/>
        </w:rPr>
        <w:footnoteReference w:id="18"/>
      </w:r>
      <w:r>
        <w:rPr>
          <w:rFonts w:hint="eastAsia"/>
        </w:rPr>
        <w:t>近年来以滥用职权手段进行性侵犯犯罪率时高时低。</w:t>
      </w:r>
      <w:r>
        <w:rPr>
          <w:rFonts w:hint="eastAsia"/>
        </w:rPr>
        <w:t>2003</w:t>
      </w:r>
      <w:r>
        <w:rPr>
          <w:rFonts w:hint="eastAsia"/>
        </w:rPr>
        <w:t>年发生的以滥用职权手段进行性侵犯的犯罪为</w:t>
      </w:r>
      <w:r>
        <w:rPr>
          <w:rFonts w:hint="eastAsia"/>
        </w:rPr>
        <w:t>12</w:t>
      </w:r>
      <w:r>
        <w:rPr>
          <w:rFonts w:hint="eastAsia"/>
        </w:rPr>
        <w:t>起，</w:t>
      </w:r>
      <w:r>
        <w:rPr>
          <w:rFonts w:hint="eastAsia"/>
        </w:rPr>
        <w:t>2004</w:t>
      </w:r>
      <w:r>
        <w:rPr>
          <w:rFonts w:hint="eastAsia"/>
        </w:rPr>
        <w:t>年为</w:t>
      </w:r>
      <w:r>
        <w:rPr>
          <w:rFonts w:hint="eastAsia"/>
        </w:rPr>
        <w:t>21</w:t>
      </w:r>
      <w:r>
        <w:rPr>
          <w:rFonts w:hint="eastAsia"/>
        </w:rPr>
        <w:t>起，犯罪受害者主要是妇女。</w:t>
      </w:r>
      <w:r>
        <w:t xml:space="preserve"> </w:t>
      </w:r>
    </w:p>
    <w:p w:rsidR="001A7779" w:rsidRDefault="001A7779">
      <w:pPr>
        <w:tabs>
          <w:tab w:val="left" w:pos="630"/>
        </w:tabs>
        <w:spacing w:after="240" w:line="360" w:lineRule="exact"/>
        <w:rPr>
          <w:color w:val="FF0000"/>
        </w:rPr>
      </w:pPr>
      <w:r>
        <w:t>64.</w:t>
      </w:r>
      <w:r>
        <w:rPr>
          <w:color w:val="FF0000"/>
        </w:rPr>
        <w:tab/>
      </w:r>
      <w:r>
        <w:rPr>
          <w:rFonts w:hint="eastAsia"/>
        </w:rPr>
        <w:t>自</w:t>
      </w:r>
      <w:r>
        <w:rPr>
          <w:rFonts w:hint="eastAsia"/>
        </w:rPr>
        <w:t>2003</w:t>
      </w:r>
      <w:r>
        <w:rPr>
          <w:rFonts w:hint="eastAsia"/>
        </w:rPr>
        <w:t>年初新的《雇用关系法》生效以来，处理工作中的性骚扰案件时也开始适用该法，其规定在斯洛文尼亚共和国第三次报告中已有描述。</w:t>
      </w:r>
    </w:p>
    <w:p w:rsidR="001A7779" w:rsidRDefault="001A7779">
      <w:pPr>
        <w:tabs>
          <w:tab w:val="left" w:pos="630"/>
        </w:tabs>
        <w:spacing w:after="240" w:line="360" w:lineRule="exact"/>
      </w:pPr>
      <w:r>
        <w:t>65.</w:t>
      </w:r>
      <w:r>
        <w:tab/>
      </w:r>
      <w:r>
        <w:rPr>
          <w:rFonts w:hint="eastAsia"/>
        </w:rPr>
        <w:t>2003</w:t>
      </w:r>
      <w:r>
        <w:rPr>
          <w:rFonts w:hint="eastAsia"/>
        </w:rPr>
        <w:t>年底，为了提供有关《雇用关系法》第</w:t>
      </w:r>
      <w:r>
        <w:rPr>
          <w:rFonts w:hint="eastAsia"/>
        </w:rPr>
        <w:t>45</w:t>
      </w:r>
      <w:r>
        <w:rPr>
          <w:rFonts w:hint="eastAsia"/>
        </w:rPr>
        <w:t>条的信息，以确定雇主有义务保障任何员工在工作环境中不受到性骚扰，平等机会办公室举办了一个性骚扰问题会议，对象是雇主、工会、律师、人力资源管理人员、业内业外公众（警察机关、司法部门、非政府组织）。会议之后，平等机会办公室向所有大中型公司、非政府组织和公共部门（部委、地方社区、卫生保健和社会设施、司法部门、教育机构等）发送了会议文件，除其他的以外，还有题为“如何对付工作中的性骚扰？”出版物和《消除性骚扰政策宣言》样本。</w:t>
      </w:r>
      <w:r>
        <w:rPr>
          <w:rFonts w:hint="eastAsia"/>
        </w:rPr>
        <w:t>2004</w:t>
      </w:r>
      <w:r>
        <w:rPr>
          <w:rFonts w:hint="eastAsia"/>
        </w:rPr>
        <w:t>年，平等机会办公室发行了题为“工作中的性骚扰”的折页，分发给上述目标群体。</w:t>
      </w:r>
    </w:p>
    <w:p w:rsidR="001A7779" w:rsidRDefault="001A7779">
      <w:pPr>
        <w:tabs>
          <w:tab w:val="left" w:pos="630"/>
        </w:tabs>
        <w:spacing w:after="240" w:line="360" w:lineRule="exact"/>
      </w:pPr>
      <w:r>
        <w:rPr>
          <w:color w:val="000000"/>
        </w:rPr>
        <w:t>66.</w:t>
      </w:r>
      <w:r>
        <w:rPr>
          <w:color w:val="000000"/>
        </w:rPr>
        <w:tab/>
      </w:r>
      <w:r>
        <w:rPr>
          <w:rFonts w:hint="eastAsia"/>
          <w:color w:val="000000"/>
        </w:rPr>
        <w:t>2003</w:t>
      </w:r>
      <w:r>
        <w:rPr>
          <w:rFonts w:hint="eastAsia"/>
          <w:color w:val="000000"/>
        </w:rPr>
        <w:t>年，男女平等机会辩护律师处理了一项与工作中性骚扰有关的申诉。她确认该申诉的所有签署人（</w:t>
      </w:r>
      <w:r>
        <w:rPr>
          <w:rFonts w:hint="eastAsia"/>
          <w:color w:val="000000"/>
        </w:rPr>
        <w:t>5</w:t>
      </w:r>
      <w:r>
        <w:rPr>
          <w:rFonts w:hint="eastAsia"/>
          <w:color w:val="000000"/>
        </w:rPr>
        <w:t>名雇员）均受到其上司的性骚扰，因此她建议雇主通过一项《消除性骚扰政策宣言》，雇主听从了该建议。</w:t>
      </w:r>
      <w:r>
        <w:rPr>
          <w:rFonts w:hint="eastAsia"/>
          <w:color w:val="000000"/>
        </w:rPr>
        <w:t>2004</w:t>
      </w:r>
      <w:r>
        <w:rPr>
          <w:rFonts w:hint="eastAsia"/>
          <w:color w:val="000000"/>
        </w:rPr>
        <w:t>年，辩护律师也处理了一项有关性骚扰的申诉。</w:t>
      </w:r>
    </w:p>
    <w:p w:rsidR="001A7779" w:rsidRDefault="001A7779">
      <w:pPr>
        <w:tabs>
          <w:tab w:val="left" w:pos="630"/>
        </w:tabs>
        <w:spacing w:after="240" w:line="360" w:lineRule="exact"/>
      </w:pPr>
      <w:r>
        <w:t>67.</w:t>
      </w:r>
      <w:r>
        <w:tab/>
      </w:r>
      <w:r>
        <w:rPr>
          <w:rFonts w:hint="eastAsia"/>
        </w:rPr>
        <w:t>2004</w:t>
      </w:r>
      <w:r>
        <w:rPr>
          <w:rFonts w:hint="eastAsia"/>
        </w:rPr>
        <w:t>年，劳动监察员未确认有任何与工作中的性骚扰有关的违规事件。不过，他们收到一些女雇员打来的匿名电话，要求监察员提供专业帮助，但是这些打电话者不愿举报犯罪，因为在大多数案件中指称骚扰她们的人都是其上司。</w:t>
      </w:r>
      <w:r>
        <w:rPr>
          <w:rStyle w:val="FootnoteReference"/>
          <w:szCs w:val="24"/>
        </w:rPr>
        <w:footnoteReference w:id="19"/>
      </w:r>
      <w:r>
        <w:t xml:space="preserve"> </w:t>
      </w:r>
    </w:p>
    <w:p w:rsidR="001A7779" w:rsidRDefault="001A7779">
      <w:pPr>
        <w:pStyle w:val="H1"/>
        <w:spacing w:before="120"/>
        <w:rPr>
          <w:rFonts w:hint="eastAsia"/>
        </w:rPr>
      </w:pPr>
      <w:r>
        <w:rPr>
          <w:rFonts w:hint="eastAsia"/>
        </w:rPr>
        <w:t>第</w:t>
      </w:r>
      <w:r>
        <w:t>6</w:t>
      </w:r>
      <w:r>
        <w:rPr>
          <w:rFonts w:hint="eastAsia"/>
        </w:rPr>
        <w:t>条</w:t>
      </w:r>
      <w:r>
        <w:t xml:space="preserve"> </w:t>
      </w:r>
      <w:r>
        <w:rPr>
          <w:rFonts w:hint="eastAsia"/>
        </w:rPr>
        <w:t>贩卖妇女和强迫妇女卖淫</w:t>
      </w:r>
    </w:p>
    <w:p w:rsidR="001A7779" w:rsidRDefault="001A7779">
      <w:pPr>
        <w:tabs>
          <w:tab w:val="left" w:pos="630"/>
        </w:tabs>
        <w:spacing w:after="240" w:line="360" w:lineRule="exact"/>
      </w:pPr>
      <w:r>
        <w:t>68.</w:t>
      </w:r>
      <w:r>
        <w:tab/>
      </w:r>
      <w:r>
        <w:rPr>
          <w:rFonts w:hint="eastAsia"/>
        </w:rPr>
        <w:t>在提交第三次定期报告以来这段时间，斯洛文尼亚共和国批准了《联合国打击跨国有组织犯罪国际公约》和《</w:t>
      </w:r>
      <w:r>
        <w:t>关于预防、禁止和惩治贩运人口特别是妇女和儿童行为的补充议定书</w:t>
      </w:r>
      <w:r>
        <w:rPr>
          <w:rFonts w:hint="eastAsia"/>
        </w:rPr>
        <w:t>》。</w:t>
      </w:r>
    </w:p>
    <w:p w:rsidR="001A7779" w:rsidRDefault="001A7779">
      <w:pPr>
        <w:tabs>
          <w:tab w:val="left" w:pos="630"/>
        </w:tabs>
        <w:spacing w:after="240" w:line="360" w:lineRule="exact"/>
      </w:pPr>
      <w:r>
        <w:t>69.</w:t>
      </w:r>
      <w:r>
        <w:tab/>
      </w:r>
      <w:r>
        <w:rPr>
          <w:rFonts w:hint="eastAsia"/>
        </w:rPr>
        <w:t>2004</w:t>
      </w:r>
      <w:r>
        <w:rPr>
          <w:rFonts w:hint="eastAsia"/>
        </w:rPr>
        <w:t>年，通过了第</w:t>
      </w:r>
      <w:r>
        <w:rPr>
          <w:rFonts w:hint="eastAsia"/>
        </w:rPr>
        <w:t>19</w:t>
      </w:r>
      <w:r>
        <w:rPr>
          <w:rFonts w:hint="eastAsia"/>
        </w:rPr>
        <w:t>章（性侵犯犯罪）和第</w:t>
      </w:r>
      <w:r>
        <w:rPr>
          <w:rFonts w:hint="eastAsia"/>
        </w:rPr>
        <w:t>35</w:t>
      </w:r>
      <w:r>
        <w:rPr>
          <w:rFonts w:hint="eastAsia"/>
        </w:rPr>
        <w:t>章（危害人类罪和违反国际法罪）修正案。</w:t>
      </w:r>
      <w:r>
        <w:rPr>
          <w:rFonts w:hint="eastAsia"/>
        </w:rPr>
        <w:t>2004</w:t>
      </w:r>
      <w:r>
        <w:rPr>
          <w:rFonts w:hint="eastAsia"/>
        </w:rPr>
        <w:t>年</w:t>
      </w:r>
      <w:r>
        <w:rPr>
          <w:rFonts w:hint="eastAsia"/>
        </w:rPr>
        <w:t>5</w:t>
      </w:r>
      <w:r>
        <w:rPr>
          <w:rFonts w:hint="eastAsia"/>
        </w:rPr>
        <w:t>月，《刑法典》修正案生效，在新增第</w:t>
      </w:r>
      <w:r>
        <w:rPr>
          <w:rFonts w:hint="eastAsia"/>
        </w:rPr>
        <w:t>185</w:t>
      </w:r>
      <w:r>
        <w:rPr>
          <w:rFonts w:hint="eastAsia"/>
        </w:rPr>
        <w:t>条中界定了强迫妇女卖淫，从而将以前的拉皮条犯罪（第</w:t>
      </w:r>
      <w:r>
        <w:rPr>
          <w:rFonts w:hint="eastAsia"/>
        </w:rPr>
        <w:t>185</w:t>
      </w:r>
      <w:r>
        <w:rPr>
          <w:rFonts w:hint="eastAsia"/>
        </w:rPr>
        <w:t>条）与充当淫媒罪（第</w:t>
      </w:r>
      <w:r>
        <w:rPr>
          <w:rFonts w:hint="eastAsia"/>
        </w:rPr>
        <w:t>186</w:t>
      </w:r>
      <w:r>
        <w:rPr>
          <w:rFonts w:hint="eastAsia"/>
        </w:rPr>
        <w:t>条）定义合二为一。这项犯罪定义为：为剥削目的合伙迫使他人卖淫，以及唆使或促成他人卖淫或以暴力、威胁或欺骗手段迫使他人卖淫。对此种犯罪应处以三个月至五年的监禁；不过，如果侵犯对象是未成年人或数人，或者在犯罪组织内进行此种犯罪，对犯罪人应处以一至十年的监禁。</w:t>
      </w:r>
      <w:r>
        <w:t xml:space="preserve"> </w:t>
      </w:r>
    </w:p>
    <w:p w:rsidR="001A7779" w:rsidRDefault="001A7779">
      <w:pPr>
        <w:tabs>
          <w:tab w:val="left" w:pos="630"/>
        </w:tabs>
        <w:spacing w:after="240" w:line="360" w:lineRule="exact"/>
      </w:pPr>
      <w:r>
        <w:t>70.</w:t>
      </w:r>
      <w:r>
        <w:tab/>
      </w:r>
      <w:r>
        <w:rPr>
          <w:rFonts w:hint="eastAsia"/>
        </w:rPr>
        <w:t>《刑法典》也新增了第</w:t>
      </w:r>
      <w:r>
        <w:t>387.a</w:t>
      </w:r>
      <w:r>
        <w:rPr>
          <w:rFonts w:hint="eastAsia"/>
        </w:rPr>
        <w:t>条，界定了贩卖人口的犯罪。除了根据《关于预防</w:t>
      </w:r>
      <w:r>
        <w:t>、禁止和惩治贩运人口特别是妇女和儿童行为的</w:t>
      </w:r>
      <w:r>
        <w:rPr>
          <w:rFonts w:hint="eastAsia"/>
        </w:rPr>
        <w:t>补充</w:t>
      </w:r>
      <w:r>
        <w:t>议定书</w:t>
      </w:r>
      <w:r>
        <w:rPr>
          <w:rFonts w:hint="eastAsia"/>
        </w:rPr>
        <w:t>》界定此种犯罪以外，该条还规定，如果侵犯对象是未成年人或者以威胁、欺骗、绑架或滥用某种从属或依赖地位的手段进行犯罪，或者目的是强迫他人怀孕或体外受精，即为加重犯罪，有理由予以更加严厉的处罚。加重犯罪包括在有组织框架下实施的犯罪，而建立该框架是为了实施此种犯罪或获取高额收益。对这一犯罪判处一至十年的监禁，如果是加重犯罪，对犯罪人应处以不少于三年的监禁。</w:t>
      </w:r>
      <w:r>
        <w:t xml:space="preserve"> </w:t>
      </w:r>
    </w:p>
    <w:p w:rsidR="001A7779" w:rsidRDefault="001A7779">
      <w:pPr>
        <w:tabs>
          <w:tab w:val="left" w:pos="630"/>
        </w:tabs>
        <w:spacing w:after="240" w:line="360" w:lineRule="exact"/>
      </w:pPr>
      <w:r>
        <w:t>71.</w:t>
      </w:r>
      <w:r>
        <w:tab/>
      </w:r>
      <w:r>
        <w:rPr>
          <w:rFonts w:hint="eastAsia"/>
        </w:rPr>
        <w:t>2005</w:t>
      </w:r>
      <w:r>
        <w:rPr>
          <w:rFonts w:hint="eastAsia"/>
        </w:rPr>
        <w:t>年</w:t>
      </w:r>
      <w:r>
        <w:rPr>
          <w:rFonts w:hint="eastAsia"/>
        </w:rPr>
        <w:t>12</w:t>
      </w:r>
      <w:r>
        <w:rPr>
          <w:rFonts w:hint="eastAsia"/>
        </w:rPr>
        <w:t>月，通过了《证人保护法》，规定了对在刑事诉讼中予以合作而受到威胁的证人进行保护的条件和程序。该法生效后，也为贩运人口受害者和其他受威胁者提供了有效和适当的证人保护，倘若满足该法第</w:t>
      </w:r>
      <w:r>
        <w:rPr>
          <w:rFonts w:hint="eastAsia"/>
        </w:rPr>
        <w:t>10</w:t>
      </w:r>
      <w:r>
        <w:rPr>
          <w:rFonts w:hint="eastAsia"/>
        </w:rPr>
        <w:t>条所明确的保护受威胁者的条件的话。</w:t>
      </w:r>
      <w:r>
        <w:t xml:space="preserve"> </w:t>
      </w:r>
    </w:p>
    <w:p w:rsidR="001A7779" w:rsidRDefault="001A7779">
      <w:pPr>
        <w:tabs>
          <w:tab w:val="left" w:pos="630"/>
        </w:tabs>
        <w:spacing w:after="240" w:line="360" w:lineRule="exact"/>
      </w:pPr>
      <w:r>
        <w:t>72.</w:t>
      </w:r>
      <w:r>
        <w:tab/>
      </w:r>
      <w:r>
        <w:rPr>
          <w:rFonts w:hint="eastAsia"/>
        </w:rPr>
        <w:t>2004</w:t>
      </w:r>
      <w:r>
        <w:rPr>
          <w:rFonts w:hint="eastAsia"/>
        </w:rPr>
        <w:t>年，警方处理了与贩运人口有关的</w:t>
      </w:r>
      <w:r>
        <w:rPr>
          <w:rFonts w:hint="eastAsia"/>
        </w:rPr>
        <w:t>14</w:t>
      </w:r>
      <w:r>
        <w:rPr>
          <w:rFonts w:hint="eastAsia"/>
        </w:rPr>
        <w:t>起犯罪。关于奴役罪（《刑法》第</w:t>
      </w:r>
      <w:r>
        <w:rPr>
          <w:rFonts w:hint="eastAsia"/>
        </w:rPr>
        <w:t>387</w:t>
      </w:r>
      <w:r>
        <w:rPr>
          <w:rFonts w:hint="eastAsia"/>
        </w:rPr>
        <w:t>条），代表五名受害者提出了犯罪指控，受害者均为成年妇女。</w:t>
      </w:r>
      <w:r>
        <w:rPr>
          <w:rFonts w:hint="eastAsia"/>
        </w:rPr>
        <w:t xml:space="preserve"> </w:t>
      </w:r>
      <w:r>
        <w:rPr>
          <w:rFonts w:hint="eastAsia"/>
        </w:rPr>
        <w:t>关于《刑法》第</w:t>
      </w:r>
      <w:r>
        <w:rPr>
          <w:rFonts w:hint="eastAsia"/>
        </w:rPr>
        <w:t>185</w:t>
      </w:r>
      <w:r>
        <w:rPr>
          <w:rFonts w:hint="eastAsia"/>
        </w:rPr>
        <w:t>条所界定的拉皮条犯罪，向地区检察官办公室提交了三份报告，一份涉及涉嫌实施奴役犯罪，两份涉及涉嫌实施拉皮条犯罪。五项犯罪指控和两份关于新明确的强迫妇女卖淫犯罪的报告均提交主管国家检察官办公室。在一项实施强迫妇女卖淫犯罪伤害一名妇女的案件中，国家检察官将这起犯罪的法律定义改为贩运人口犯罪。</w:t>
      </w:r>
      <w:r>
        <w:rPr>
          <w:rStyle w:val="FootnoteReference"/>
          <w:szCs w:val="24"/>
        </w:rPr>
        <w:footnoteReference w:id="20"/>
      </w:r>
      <w:r>
        <w:rPr>
          <w:rFonts w:hint="eastAsia"/>
        </w:rPr>
        <w:t>总共对</w:t>
      </w:r>
      <w:r>
        <w:rPr>
          <w:rFonts w:hint="eastAsia"/>
        </w:rPr>
        <w:t>12</w:t>
      </w:r>
      <w:r>
        <w:rPr>
          <w:rFonts w:hint="eastAsia"/>
        </w:rPr>
        <w:t>人提出控诉；受伤害者（</w:t>
      </w:r>
      <w:r>
        <w:rPr>
          <w:rFonts w:hint="eastAsia"/>
        </w:rPr>
        <w:t>25</w:t>
      </w:r>
      <w:r>
        <w:rPr>
          <w:rFonts w:hint="eastAsia"/>
        </w:rPr>
        <w:t>人）均为妇女，其中</w:t>
      </w:r>
      <w:r>
        <w:rPr>
          <w:rFonts w:hint="eastAsia"/>
        </w:rPr>
        <w:t>19</w:t>
      </w:r>
      <w:r>
        <w:rPr>
          <w:rFonts w:hint="eastAsia"/>
        </w:rPr>
        <w:t>人被认定为贩运人口受害者。</w:t>
      </w:r>
    </w:p>
    <w:p w:rsidR="001A7779" w:rsidRDefault="001A7779">
      <w:pPr>
        <w:tabs>
          <w:tab w:val="left" w:pos="630"/>
        </w:tabs>
        <w:spacing w:after="240" w:line="360" w:lineRule="exact"/>
      </w:pPr>
      <w:r>
        <w:t>73.</w:t>
      </w:r>
      <w:r>
        <w:tab/>
      </w:r>
      <w:r>
        <w:rPr>
          <w:rFonts w:hint="eastAsia"/>
        </w:rPr>
        <w:t>2003</w:t>
      </w:r>
      <w:r>
        <w:rPr>
          <w:rFonts w:hint="eastAsia"/>
        </w:rPr>
        <w:t>年，根据当时有效的《刑法》条款查明了</w:t>
      </w:r>
      <w:r>
        <w:rPr>
          <w:rFonts w:hint="eastAsia"/>
        </w:rPr>
        <w:t>16</w:t>
      </w:r>
      <w:r>
        <w:rPr>
          <w:rFonts w:hint="eastAsia"/>
        </w:rPr>
        <w:t>起犯罪（拉皮条、使他人卖淫和奴役他人），犯罪嫌疑人为</w:t>
      </w:r>
      <w:r>
        <w:rPr>
          <w:rFonts w:hint="eastAsia"/>
        </w:rPr>
        <w:t>34</w:t>
      </w:r>
      <w:r>
        <w:rPr>
          <w:rFonts w:hint="eastAsia"/>
        </w:rPr>
        <w:t>人，受伤害者为</w:t>
      </w:r>
      <w:r>
        <w:rPr>
          <w:rFonts w:hint="eastAsia"/>
        </w:rPr>
        <w:t>22</w:t>
      </w:r>
      <w:r>
        <w:rPr>
          <w:rFonts w:hint="eastAsia"/>
        </w:rPr>
        <w:t>人。</w:t>
      </w:r>
      <w:r>
        <w:rPr>
          <w:rFonts w:hint="eastAsia"/>
        </w:rPr>
        <w:t>2004</w:t>
      </w:r>
      <w:r>
        <w:rPr>
          <w:rFonts w:hint="eastAsia"/>
        </w:rPr>
        <w:t>年，根据上述《刑法》条款及其</w:t>
      </w:r>
      <w:r>
        <w:rPr>
          <w:rFonts w:hint="eastAsia"/>
        </w:rPr>
        <w:t>2004</w:t>
      </w:r>
      <w:r>
        <w:rPr>
          <w:rFonts w:hint="eastAsia"/>
        </w:rPr>
        <w:t>年</w:t>
      </w:r>
      <w:r>
        <w:rPr>
          <w:rFonts w:hint="eastAsia"/>
        </w:rPr>
        <w:t>5</w:t>
      </w:r>
      <w:r>
        <w:rPr>
          <w:rFonts w:hint="eastAsia"/>
        </w:rPr>
        <w:t>月生效的修正条款（强迫妇女卖淫和贩运人口），只查明</w:t>
      </w:r>
      <w:r>
        <w:rPr>
          <w:rFonts w:hint="eastAsia"/>
        </w:rPr>
        <w:t>9</w:t>
      </w:r>
      <w:r>
        <w:rPr>
          <w:rFonts w:hint="eastAsia"/>
        </w:rPr>
        <w:t>起犯罪，涉及</w:t>
      </w:r>
      <w:r>
        <w:rPr>
          <w:rFonts w:hint="eastAsia"/>
        </w:rPr>
        <w:t>12</w:t>
      </w:r>
      <w:r>
        <w:rPr>
          <w:rFonts w:hint="eastAsia"/>
        </w:rPr>
        <w:t>名犯罪嫌疑人和</w:t>
      </w:r>
      <w:r>
        <w:rPr>
          <w:rFonts w:hint="eastAsia"/>
        </w:rPr>
        <w:t>29</w:t>
      </w:r>
      <w:r>
        <w:rPr>
          <w:rFonts w:hint="eastAsia"/>
        </w:rPr>
        <w:t>名受伤害者。</w:t>
      </w:r>
      <w:r>
        <w:t xml:space="preserve"> </w:t>
      </w:r>
    </w:p>
    <w:p w:rsidR="001A7779" w:rsidRDefault="001A7779">
      <w:pPr>
        <w:tabs>
          <w:tab w:val="left" w:pos="630"/>
        </w:tabs>
        <w:spacing w:after="240" w:line="360" w:lineRule="exact"/>
      </w:pPr>
      <w:r>
        <w:t>74.</w:t>
      </w:r>
      <w:r>
        <w:tab/>
      </w:r>
      <w:r>
        <w:rPr>
          <w:rFonts w:hint="eastAsia"/>
        </w:rPr>
        <w:t>警方声称，在斯洛文尼亚，贩运人口尤其是妇女只和性剥削有关。侦查和调查贩运妇女和强迫妇女卖淫工作难度极大，尤其是因为对公开形式的犯罪又有新的法律定义。收集和确认嫌疑犯通过使卖淫合法化来从中牟利以及与国外犯罪人有联系的证据，在很大程度上取决于受害者的合作。</w:t>
      </w:r>
      <w:r>
        <w:t xml:space="preserve"> </w:t>
      </w:r>
    </w:p>
    <w:p w:rsidR="001A7779" w:rsidRDefault="001A7779">
      <w:pPr>
        <w:tabs>
          <w:tab w:val="left" w:pos="630"/>
        </w:tabs>
        <w:spacing w:after="240" w:line="360" w:lineRule="exact"/>
      </w:pPr>
      <w:r>
        <w:t xml:space="preserve">75. </w:t>
      </w:r>
      <w:r>
        <w:rPr>
          <w:rFonts w:hint="eastAsia"/>
        </w:rPr>
        <w:tab/>
      </w:r>
      <w:r>
        <w:rPr>
          <w:rFonts w:hint="eastAsia"/>
        </w:rPr>
        <w:t>为加强侦查和调查贩运人口的工作，警察总署对警官开展了强化培训，参与培训的专家来自国内外一些机构和非政府组织，培训内容与根据《公约》第</w:t>
      </w:r>
      <w:r>
        <w:rPr>
          <w:rFonts w:hint="eastAsia"/>
        </w:rPr>
        <w:t>5</w:t>
      </w:r>
      <w:r>
        <w:rPr>
          <w:rFonts w:hint="eastAsia"/>
        </w:rPr>
        <w:t>条报告的防止对妇女的暴力这部分中所述培训相同。</w:t>
      </w:r>
      <w:r>
        <w:t xml:space="preserve"> </w:t>
      </w:r>
    </w:p>
    <w:p w:rsidR="001A7779" w:rsidRDefault="001A7779">
      <w:pPr>
        <w:tabs>
          <w:tab w:val="left" w:pos="630"/>
        </w:tabs>
        <w:spacing w:after="240" w:line="360" w:lineRule="exact"/>
      </w:pPr>
      <w:r>
        <w:t>76.</w:t>
      </w:r>
      <w:r>
        <w:tab/>
      </w:r>
      <w:r>
        <w:rPr>
          <w:rFonts w:hint="eastAsia"/>
        </w:rPr>
        <w:t>2003</w:t>
      </w:r>
      <w:r>
        <w:rPr>
          <w:rFonts w:hint="eastAsia"/>
        </w:rPr>
        <w:t>年</w:t>
      </w:r>
      <w:r>
        <w:rPr>
          <w:rFonts w:hint="eastAsia"/>
        </w:rPr>
        <w:t>7</w:t>
      </w:r>
      <w:r>
        <w:rPr>
          <w:rFonts w:hint="eastAsia"/>
        </w:rPr>
        <w:t>月，内政部签署了《承诺：使贩运人口受害者地位合法化宣言》，其中斯洛文尼亚承诺向贩运受害者提供适当帮助和保护，并给予受害者以适当法律地位。</w:t>
      </w:r>
      <w:r>
        <w:rPr>
          <w:rFonts w:hint="eastAsia"/>
        </w:rPr>
        <w:t>2003</w:t>
      </w:r>
      <w:r>
        <w:rPr>
          <w:rFonts w:hint="eastAsia"/>
        </w:rPr>
        <w:t>年</w:t>
      </w:r>
      <w:r>
        <w:rPr>
          <w:rFonts w:hint="eastAsia"/>
        </w:rPr>
        <w:t>9</w:t>
      </w:r>
      <w:r>
        <w:rPr>
          <w:rFonts w:hint="eastAsia"/>
        </w:rPr>
        <w:t>月，内政部和斯洛文尼亚国家检察长与非政府组织</w:t>
      </w:r>
      <w:r>
        <w:rPr>
          <w:rFonts w:eastAsia="KaiTi_GB2312"/>
          <w:iCs/>
        </w:rPr>
        <w:t>Ključ</w:t>
      </w:r>
      <w:r>
        <w:rPr>
          <w:rFonts w:hint="eastAsia"/>
        </w:rPr>
        <w:t>达成《关于在向斯洛文尼亚共和国境内贩运人口受害者提供帮助领域内合作的协议》，以实施帮助和支持贩运人口受害者的方案。该协议规定了在帮助受害者方面的运作程序和特定合作，包括规范受害者在国内的地位、在复原过程中向受害者提供统一帮助和信息，以及受害者决定是否进一步与执法当局合作。该协议允许非法居住在斯洛文尼亚境内的受害者可在斯洛文尼亚共和国境内临时逗留三个月。如果受害者已被安顿在</w:t>
      </w:r>
      <w:r>
        <w:rPr>
          <w:rFonts w:eastAsia="KaiTi_GB2312"/>
          <w:iCs/>
        </w:rPr>
        <w:t>Ključ</w:t>
      </w:r>
      <w:r>
        <w:t xml:space="preserve"> </w:t>
      </w:r>
      <w:r>
        <w:rPr>
          <w:rFonts w:hint="eastAsia"/>
        </w:rPr>
        <w:t>社会提供的安全处所内，主管当局即根据有关证明签发三个月的临时居留证。在这一期间主要是使受害者了解所有必要信息，并为其提供心理、社会、医疗和法律方面的援助。在“反省”阶段后，受害者可决定是否进一步配合提起刑事诉讼。如果她或他的证词对刑事诉讼可能具有重要意义，管理当局可能会根据斯洛文尼亚共和国最高国家总检察院的一项声明，基于《外侨法》第</w:t>
      </w:r>
      <w:r>
        <w:rPr>
          <w:rFonts w:hint="eastAsia"/>
        </w:rPr>
        <w:t>40</w:t>
      </w:r>
      <w:r>
        <w:rPr>
          <w:rFonts w:hint="eastAsia"/>
        </w:rPr>
        <w:t>条所规定的其他具体理由，签发有效期不超过一年的临时居留证。如果在临时居留证有效期内受害者以证人身份参与的刑事诉讼尚未完成，拘留证可延期至刑事诉讼结束。刑事诉讼结束之后，根据</w:t>
      </w:r>
      <w:r>
        <w:t>Ključ</w:t>
      </w:r>
      <w:r>
        <w:rPr>
          <w:rFonts w:hint="eastAsia"/>
        </w:rPr>
        <w:t>社会出具的证明，证实已将该受害者纳入复原方案，可以《外侨法》第</w:t>
      </w:r>
      <w:r>
        <w:rPr>
          <w:rFonts w:hint="eastAsia"/>
        </w:rPr>
        <w:t>40</w:t>
      </w:r>
      <w:r>
        <w:rPr>
          <w:rFonts w:hint="eastAsia"/>
        </w:rPr>
        <w:t>条规定的其他具体理由将其临时拘留证再延期一次。</w:t>
      </w:r>
      <w:r>
        <w:t xml:space="preserve"> </w:t>
      </w:r>
    </w:p>
    <w:p w:rsidR="001A7779" w:rsidRDefault="001A7779">
      <w:pPr>
        <w:tabs>
          <w:tab w:val="left" w:pos="630"/>
        </w:tabs>
        <w:spacing w:after="240" w:line="360" w:lineRule="exact"/>
      </w:pPr>
      <w:r>
        <w:t>77.</w:t>
      </w:r>
      <w:r>
        <w:tab/>
      </w:r>
      <w:r>
        <w:rPr>
          <w:rFonts w:hint="eastAsia"/>
        </w:rPr>
        <w:t>在第三次定期报告中，斯洛文尼亚已报告斯洛文尼亚共和国政府于</w:t>
      </w:r>
      <w:r>
        <w:rPr>
          <w:rFonts w:hint="eastAsia"/>
        </w:rPr>
        <w:t>2001</w:t>
      </w:r>
      <w:r>
        <w:rPr>
          <w:rFonts w:hint="eastAsia"/>
        </w:rPr>
        <w:t>年建立了打击贩运人口问题部际工作组，工作组的任务是协调政府打击贩运人口政策和帮助受害者。基于部际工作组编写的提案，政府通过了“</w:t>
      </w:r>
      <w:r>
        <w:rPr>
          <w:rFonts w:hint="eastAsia"/>
        </w:rPr>
        <w:t>2004</w:t>
      </w:r>
      <w:r>
        <w:rPr>
          <w:rFonts w:hint="eastAsia"/>
        </w:rPr>
        <w:t>年打击贩运人口行动计划”。该行动计划以政府各部和办公室以及参与部际工作组的其他机构和组织（各部委、警察机关、国民议会、斯洛文尼亚共和国最高国家总检察院、国际和国内非政府组织和媒体）防止贩运人口和保护受害者的工作为基础，也包括对从事和关注打击贩运人口领域工作的工作人员、官员和志愿人员进行培训以及在其工作中开展国际合作。</w:t>
      </w:r>
      <w:r>
        <w:t xml:space="preserve"> </w:t>
      </w:r>
    </w:p>
    <w:p w:rsidR="001A7779" w:rsidRDefault="001A7779">
      <w:pPr>
        <w:tabs>
          <w:tab w:val="left" w:pos="630"/>
        </w:tabs>
        <w:spacing w:after="240" w:line="360" w:lineRule="exact"/>
      </w:pPr>
      <w:r>
        <w:t>78.</w:t>
      </w:r>
      <w:r>
        <w:tab/>
      </w:r>
      <w:r>
        <w:rPr>
          <w:rFonts w:hint="eastAsia"/>
        </w:rPr>
        <w:t>2003</w:t>
      </w:r>
      <w:r>
        <w:rPr>
          <w:rFonts w:hint="eastAsia"/>
        </w:rPr>
        <w:t>年，国际移徙组织和非政府组织——和平研究所开展了一项关于斯洛文尼亚境内贩运人口问题的研究。该项研究得出结论，认为斯洛文尼亚既是目的国，也是来源国和中转国，贩运人口通常限于为性虐待之目的贩运妇女。研究引用了</w:t>
      </w:r>
      <w:r>
        <w:rPr>
          <w:rFonts w:eastAsia="KaiTi_GB2312"/>
          <w:iCs/>
        </w:rPr>
        <w:t>Ključ</w:t>
      </w:r>
      <w:r>
        <w:rPr>
          <w:rFonts w:hint="eastAsia"/>
        </w:rPr>
        <w:t>社会的估计数，即每年通过斯洛文尼亚进入西欧并可能是或可能成为贩运人口受害者的妇女在</w:t>
      </w:r>
      <w:r>
        <w:rPr>
          <w:rFonts w:hint="eastAsia"/>
        </w:rPr>
        <w:t>1 500</w:t>
      </w:r>
      <w:r>
        <w:rPr>
          <w:rFonts w:hint="eastAsia"/>
        </w:rPr>
        <w:t>人至</w:t>
      </w:r>
      <w:r>
        <w:rPr>
          <w:rFonts w:hint="eastAsia"/>
        </w:rPr>
        <w:t>2 500</w:t>
      </w:r>
      <w:r>
        <w:rPr>
          <w:rFonts w:hint="eastAsia"/>
        </w:rPr>
        <w:t>人之间。</w:t>
      </w:r>
      <w:r>
        <w:rPr>
          <w:rFonts w:eastAsia="KaiTi_GB2312"/>
          <w:iCs/>
        </w:rPr>
        <w:t>Ključ</w:t>
      </w:r>
      <w:r>
        <w:rPr>
          <w:rFonts w:hint="eastAsia"/>
        </w:rPr>
        <w:t>社会是斯洛文尼亚惟一为贩运人口受害者提供援助的非政府组织。</w:t>
      </w:r>
      <w:r>
        <w:t xml:space="preserve"> </w:t>
      </w:r>
    </w:p>
    <w:p w:rsidR="001A7779" w:rsidRDefault="001A7779">
      <w:pPr>
        <w:pStyle w:val="H1"/>
        <w:spacing w:before="120"/>
      </w:pPr>
      <w:r>
        <w:rPr>
          <w:rFonts w:hint="eastAsia"/>
        </w:rPr>
        <w:t>第</w:t>
      </w:r>
      <w:r>
        <w:t>7</w:t>
      </w:r>
      <w:r>
        <w:rPr>
          <w:rFonts w:hint="eastAsia"/>
        </w:rPr>
        <w:t>条</w:t>
      </w:r>
      <w:r>
        <w:t xml:space="preserve"> </w:t>
      </w:r>
      <w:r>
        <w:rPr>
          <w:rFonts w:hint="eastAsia"/>
        </w:rPr>
        <w:t>妇女参与政治和公共生活</w:t>
      </w:r>
    </w:p>
    <w:p w:rsidR="001A7779" w:rsidRDefault="001A7779">
      <w:pPr>
        <w:tabs>
          <w:tab w:val="left" w:pos="630"/>
        </w:tabs>
        <w:spacing w:after="240" w:line="360" w:lineRule="exact"/>
      </w:pPr>
      <w:r>
        <w:t>79.</w:t>
      </w:r>
      <w:r>
        <w:tab/>
      </w:r>
      <w:r>
        <w:rPr>
          <w:rFonts w:hint="eastAsia"/>
        </w:rPr>
        <w:t>如本报告第</w:t>
      </w:r>
      <w:r>
        <w:rPr>
          <w:rFonts w:hint="eastAsia"/>
        </w:rPr>
        <w:t>5</w:t>
      </w:r>
      <w:r>
        <w:rPr>
          <w:rFonts w:hint="eastAsia"/>
        </w:rPr>
        <w:t>段所述，斯洛文尼亚共和国在《斯洛文尼亚共和国宪法》中增加了补充规定，通过在立法中规定特别措施，鼓励在国家机构或地方社区机构的选举中为男女当选候选人提供平等机会。</w:t>
      </w:r>
    </w:p>
    <w:p w:rsidR="001A7779" w:rsidRDefault="001A7779">
      <w:pPr>
        <w:tabs>
          <w:tab w:val="left" w:pos="630"/>
        </w:tabs>
        <w:spacing w:after="240" w:line="360" w:lineRule="exact"/>
      </w:pPr>
      <w:r>
        <w:t>80.</w:t>
      </w:r>
      <w:r>
        <w:tab/>
      </w:r>
      <w:r>
        <w:rPr>
          <w:rFonts w:hint="eastAsia"/>
        </w:rPr>
        <w:t>甚至在通过关于男女在选举中当选候选人的平等机会的《宪法修正案》通过之前，即已通过了《选举欧洲议会斯洛文尼亚议员法案》，该法案是实行候选人名单上男女比例至少分别为</w:t>
      </w:r>
      <w:r>
        <w:rPr>
          <w:rFonts w:hint="eastAsia"/>
        </w:rPr>
        <w:t>40%</w:t>
      </w:r>
      <w:r>
        <w:rPr>
          <w:rFonts w:hint="eastAsia"/>
        </w:rPr>
        <w:t>（见本报告第</w:t>
      </w:r>
      <w:r>
        <w:rPr>
          <w:rFonts w:hint="eastAsia"/>
        </w:rPr>
        <w:t>9</w:t>
      </w:r>
      <w:r>
        <w:rPr>
          <w:rFonts w:hint="eastAsia"/>
        </w:rPr>
        <w:t>段）这一规定的第一个选举法。在第一次选举欧洲议会斯洛文尼亚议员（</w:t>
      </w:r>
      <w:r>
        <w:rPr>
          <w:rFonts w:hint="eastAsia"/>
        </w:rPr>
        <w:t>2004</w:t>
      </w:r>
      <w:r>
        <w:rPr>
          <w:rFonts w:hint="eastAsia"/>
        </w:rPr>
        <w:t>年</w:t>
      </w:r>
      <w:r>
        <w:rPr>
          <w:rFonts w:hint="eastAsia"/>
        </w:rPr>
        <w:t>6</w:t>
      </w:r>
      <w:r>
        <w:rPr>
          <w:rFonts w:hint="eastAsia"/>
        </w:rPr>
        <w:t>月</w:t>
      </w:r>
      <w:r>
        <w:rPr>
          <w:rFonts w:hint="eastAsia"/>
        </w:rPr>
        <w:t>13</w:t>
      </w:r>
      <w:r>
        <w:rPr>
          <w:rFonts w:hint="eastAsia"/>
        </w:rPr>
        <w:t>日）时，在选举候选人名单上</w:t>
      </w:r>
      <w:r>
        <w:rPr>
          <w:rFonts w:hint="eastAsia"/>
        </w:rPr>
        <w:t>91</w:t>
      </w:r>
      <w:r>
        <w:rPr>
          <w:rFonts w:hint="eastAsia"/>
        </w:rPr>
        <w:t>名候选人当中，妇女所占比例为</w:t>
      </w:r>
      <w:r>
        <w:t>45.1%</w:t>
      </w:r>
      <w:r>
        <w:rPr>
          <w:rFonts w:hint="eastAsia"/>
        </w:rPr>
        <w:t>。平等机会办公室在欧洲议会选举之前举办了一次公开会议，所有候选人名单上所列欧洲议会选举女候选人都出席了会议。</w:t>
      </w:r>
      <w:r>
        <w:t xml:space="preserve"> </w:t>
      </w:r>
      <w:r>
        <w:rPr>
          <w:rFonts w:hint="eastAsia"/>
        </w:rPr>
        <w:t>选举结果是很好的一个范例，它表明在选举立法中规定特别措施具有切实的意义，因为现在斯洛文尼亚共和国在欧洲议会的七名议员中就有三名女议员（</w:t>
      </w:r>
      <w:r>
        <w:t>42.9</w:t>
      </w:r>
      <w:r>
        <w:rPr>
          <w:rFonts w:hint="eastAsia"/>
        </w:rPr>
        <w:t>%</w:t>
      </w:r>
      <w:r>
        <w:rPr>
          <w:rFonts w:hint="eastAsia"/>
        </w:rPr>
        <w:t>）。</w:t>
      </w:r>
      <w:r>
        <w:t xml:space="preserve"> </w:t>
      </w:r>
    </w:p>
    <w:p w:rsidR="001A7779" w:rsidRDefault="001A7779">
      <w:pPr>
        <w:tabs>
          <w:tab w:val="left" w:pos="630"/>
        </w:tabs>
        <w:spacing w:after="240" w:line="380" w:lineRule="exact"/>
      </w:pPr>
      <w:r>
        <w:t>81.</w:t>
      </w:r>
      <w:r>
        <w:tab/>
      </w:r>
      <w:r>
        <w:rPr>
          <w:rFonts w:hint="eastAsia"/>
        </w:rPr>
        <w:t>如在本报告关于《公约》第</w:t>
      </w:r>
      <w:r>
        <w:rPr>
          <w:rFonts w:hint="eastAsia"/>
        </w:rPr>
        <w:t>2</w:t>
      </w:r>
      <w:r>
        <w:rPr>
          <w:rFonts w:hint="eastAsia"/>
        </w:rPr>
        <w:t>和第</w:t>
      </w:r>
      <w:r>
        <w:rPr>
          <w:rFonts w:hint="eastAsia"/>
        </w:rPr>
        <w:t>3</w:t>
      </w:r>
      <w:r>
        <w:rPr>
          <w:rFonts w:hint="eastAsia"/>
        </w:rPr>
        <w:t>条执行情况部分中所述，《地方选举法》（见第</w:t>
      </w:r>
      <w:r>
        <w:rPr>
          <w:rFonts w:hint="eastAsia"/>
        </w:rPr>
        <w:t>7</w:t>
      </w:r>
      <w:r>
        <w:rPr>
          <w:rFonts w:hint="eastAsia"/>
        </w:rPr>
        <w:t>段）修正案于</w:t>
      </w:r>
      <w:r>
        <w:rPr>
          <w:rFonts w:hint="eastAsia"/>
        </w:rPr>
        <w:t>2005</w:t>
      </w:r>
      <w:r>
        <w:rPr>
          <w:rFonts w:hint="eastAsia"/>
        </w:rPr>
        <w:t>年</w:t>
      </w:r>
      <w:r>
        <w:rPr>
          <w:rFonts w:hint="eastAsia"/>
        </w:rPr>
        <w:t>7</w:t>
      </w:r>
      <w:r>
        <w:rPr>
          <w:rFonts w:hint="eastAsia"/>
        </w:rPr>
        <w:t>月获得通过。</w:t>
      </w:r>
      <w:r>
        <w:t xml:space="preserve"> </w:t>
      </w:r>
    </w:p>
    <w:p w:rsidR="001A7779" w:rsidRDefault="001A7779">
      <w:pPr>
        <w:tabs>
          <w:tab w:val="left" w:pos="630"/>
        </w:tabs>
        <w:spacing w:after="240" w:line="380" w:lineRule="exact"/>
      </w:pPr>
      <w:r>
        <w:t>82.</w:t>
      </w:r>
      <w:r>
        <w:tab/>
      </w:r>
      <w:r>
        <w:rPr>
          <w:rFonts w:hint="eastAsia"/>
        </w:rPr>
        <w:t>目前斯洛文尼亚共和国政府正在编制“《国民议会选举法》修正法案草案”，其中也将明确规定在斯洛文尼亚共和国立法机构的选举中为男女当选候选人提供平等机会。</w:t>
      </w:r>
    </w:p>
    <w:p w:rsidR="001A7779" w:rsidRDefault="001A7779">
      <w:pPr>
        <w:tabs>
          <w:tab w:val="left" w:pos="630"/>
        </w:tabs>
        <w:spacing w:after="240" w:line="380" w:lineRule="exact"/>
      </w:pPr>
      <w:r>
        <w:t>83.</w:t>
      </w:r>
      <w:r>
        <w:tab/>
      </w:r>
      <w:r>
        <w:rPr>
          <w:rFonts w:hint="eastAsia"/>
        </w:rPr>
        <w:t>如在本报告关于《公约》第</w:t>
      </w:r>
      <w:r>
        <w:rPr>
          <w:rFonts w:hint="eastAsia"/>
        </w:rPr>
        <w:t>2</w:t>
      </w:r>
      <w:r>
        <w:rPr>
          <w:rFonts w:hint="eastAsia"/>
        </w:rPr>
        <w:t>和第</w:t>
      </w:r>
      <w:r>
        <w:rPr>
          <w:rFonts w:hint="eastAsia"/>
        </w:rPr>
        <w:t>3</w:t>
      </w:r>
      <w:r>
        <w:rPr>
          <w:rFonts w:hint="eastAsia"/>
        </w:rPr>
        <w:t>条执行情况部分中所述，为使任命职务的男女员额比例均衡，斯洛文尼亚共和国政府通过了《实施男女代表比例均衡原则标准管理法令》（见第</w:t>
      </w:r>
      <w:r>
        <w:rPr>
          <w:rFonts w:hint="eastAsia"/>
        </w:rPr>
        <w:t>16</w:t>
      </w:r>
      <w:r>
        <w:rPr>
          <w:rFonts w:hint="eastAsia"/>
        </w:rPr>
        <w:t>段）。按照平等机会办公室所收集和记录的数据，妇女在政府机构、代表团、专家委员会和公共实体中所占比例与《法令》通过之前大致相同。按照平等机会办公室的评估，政府机构、代表团、专家委员会等机构的人员构成提案人往往都利用例外条款，即允许在《法令》规定的情况下减损代表比例均衡原则。适用这些例外条款有利于加大尤其在财务、经济、运输和防卫等领域的男子代表比例，而在劳工、家庭、社会事务和教育等领域内适用此种条款则有利于加大妇女代表比例。这样一来，依然在某种程度上还保留着主要以“男性”和“女性”为主的工作划分，因此，平等机会办公室通过不断监督并呼吁履行义务，遵守所通过的管制条例，大力鼓励在政府机构、代表团和专家委员会的人员构成上实现男女代表比例均衡。</w:t>
      </w:r>
      <w:r>
        <w:t xml:space="preserve"> </w:t>
      </w:r>
    </w:p>
    <w:p w:rsidR="001A7779" w:rsidRDefault="001A7779">
      <w:pPr>
        <w:tabs>
          <w:tab w:val="left" w:pos="630"/>
        </w:tabs>
        <w:spacing w:after="240" w:line="380" w:lineRule="exact"/>
      </w:pPr>
      <w:r>
        <w:t>84.</w:t>
      </w:r>
      <w:r>
        <w:tab/>
      </w:r>
      <w:r>
        <w:rPr>
          <w:rFonts w:hint="eastAsia"/>
        </w:rPr>
        <w:t>在关于《公约》条款执行情况的第三次报告中，斯洛文尼亚已向委员会通报，按照《男女平等机会法》的规定，政治党派有义务每四年向平等机会办公室提交一项计划，说明它们就男女代表比例均衡问题所采取的立场，以及根据该立场所明确的方法和措施，以鼓励在该党机构内部和国民议会与地方社区机构选举以及共和国总统选举的候选人名单中，在更大程度上实现男女代表比例均衡。另外也规定了对违反这项管理规定的政党予以罚款的金额。截至</w:t>
      </w:r>
      <w:r>
        <w:rPr>
          <w:rFonts w:hint="eastAsia"/>
        </w:rPr>
        <w:t>2005</w:t>
      </w:r>
      <w:r>
        <w:rPr>
          <w:rFonts w:hint="eastAsia"/>
        </w:rPr>
        <w:t>年</w:t>
      </w:r>
      <w:r>
        <w:rPr>
          <w:rFonts w:hint="eastAsia"/>
        </w:rPr>
        <w:t>12</w:t>
      </w:r>
      <w:r>
        <w:rPr>
          <w:rFonts w:hint="eastAsia"/>
        </w:rPr>
        <w:t>月</w:t>
      </w:r>
      <w:r>
        <w:rPr>
          <w:rFonts w:hint="eastAsia"/>
        </w:rPr>
        <w:t>1</w:t>
      </w:r>
      <w:r>
        <w:rPr>
          <w:rFonts w:hint="eastAsia"/>
        </w:rPr>
        <w:t>日，只有</w:t>
      </w:r>
      <w:r>
        <w:rPr>
          <w:rFonts w:hint="eastAsia"/>
        </w:rPr>
        <w:t>6</w:t>
      </w:r>
      <w:r>
        <w:rPr>
          <w:rFonts w:hint="eastAsia"/>
        </w:rPr>
        <w:t>个政党向平等机会办公室提交了此种计划，另有</w:t>
      </w:r>
      <w:r>
        <w:rPr>
          <w:rFonts w:hint="eastAsia"/>
        </w:rPr>
        <w:t>7</w:t>
      </w:r>
      <w:r>
        <w:rPr>
          <w:rFonts w:hint="eastAsia"/>
        </w:rPr>
        <w:t>个政党宣布最迟在</w:t>
      </w:r>
      <w:r>
        <w:rPr>
          <w:rFonts w:hint="eastAsia"/>
        </w:rPr>
        <w:t>2006</w:t>
      </w:r>
      <w:r>
        <w:rPr>
          <w:rFonts w:hint="eastAsia"/>
        </w:rPr>
        <w:t>年上半年通过并提交该计划。然而，有</w:t>
      </w:r>
      <w:r>
        <w:rPr>
          <w:rFonts w:hint="eastAsia"/>
        </w:rPr>
        <w:t>5</w:t>
      </w:r>
      <w:r>
        <w:rPr>
          <w:rFonts w:hint="eastAsia"/>
        </w:rPr>
        <w:t>个政党书面通报平等机会办公室，表示它们没有通过此种计划的意向，因为它们的章程保证其实现男女代表比例均衡。</w:t>
      </w:r>
      <w:r>
        <w:t>19</w:t>
      </w:r>
      <w:r>
        <w:rPr>
          <w:rFonts w:hint="eastAsia"/>
        </w:rPr>
        <w:t>个政党，其中有一个议会政党，没有对办公室的书面要求做出回应，根据回执情况，其中</w:t>
      </w:r>
      <w:r>
        <w:rPr>
          <w:rFonts w:hint="eastAsia"/>
        </w:rPr>
        <w:t>9</w:t>
      </w:r>
      <w:r>
        <w:rPr>
          <w:rFonts w:hint="eastAsia"/>
        </w:rPr>
        <w:t>个政党甚至没有收取办公室于</w:t>
      </w:r>
      <w:r>
        <w:rPr>
          <w:rFonts w:hint="eastAsia"/>
        </w:rPr>
        <w:t>2005</w:t>
      </w:r>
      <w:r>
        <w:rPr>
          <w:rFonts w:hint="eastAsia"/>
        </w:rPr>
        <w:t>年</w:t>
      </w:r>
      <w:r>
        <w:rPr>
          <w:rFonts w:hint="eastAsia"/>
        </w:rPr>
        <w:t>8</w:t>
      </w:r>
      <w:r>
        <w:rPr>
          <w:rFonts w:hint="eastAsia"/>
        </w:rPr>
        <w:t>月送交其的信件。办公室至今尚未对任何政党启动罚款程序，在它看来，从提高政党对于在政党机构中和选举中当选候选人的男女代表比例均衡问题的重要性的认识来说，与其加以处罚，不如开展合作更为有益。此外，尚未对平等机会办公室最近发出的书面倡议做出回应的一些政党，要么只是在某个地方一级活动，要么是党员人数有限且组织结构薄弱，以致它们不举行例会，或者其决策机构很少开会。</w:t>
      </w:r>
    </w:p>
    <w:p w:rsidR="001A7779" w:rsidRDefault="001A7779">
      <w:pPr>
        <w:tabs>
          <w:tab w:val="left" w:pos="630"/>
        </w:tabs>
        <w:spacing w:after="240" w:line="380" w:lineRule="exact"/>
        <w:rPr>
          <w:rFonts w:eastAsia="SimHei"/>
          <w:color w:val="FF0000"/>
        </w:rPr>
      </w:pPr>
      <w:r>
        <w:rPr>
          <w:rFonts w:eastAsia="SimHei" w:hint="eastAsia"/>
          <w:color w:val="FF0000"/>
        </w:rPr>
        <w:t>担任政治决策职务的妇女</w:t>
      </w:r>
      <w:r>
        <w:rPr>
          <w:rFonts w:eastAsia="SimHei"/>
          <w:color w:val="FF0000"/>
        </w:rPr>
        <w:t xml:space="preserve"> </w:t>
      </w:r>
    </w:p>
    <w:p w:rsidR="001A7779" w:rsidRDefault="001A7779">
      <w:pPr>
        <w:tabs>
          <w:tab w:val="left" w:pos="630"/>
        </w:tabs>
        <w:spacing w:after="240" w:line="380" w:lineRule="exact"/>
      </w:pPr>
      <w:r>
        <w:t>85.</w:t>
      </w:r>
      <w:r>
        <w:tab/>
      </w:r>
      <w:r>
        <w:rPr>
          <w:rFonts w:hint="eastAsia"/>
        </w:rPr>
        <w:t>尽管政党的国民议会选举候选人名单上妇女所占比例在缓慢上升（</w:t>
      </w:r>
      <w:r>
        <w:rPr>
          <w:rFonts w:hint="eastAsia"/>
        </w:rPr>
        <w:t>1992</w:t>
      </w:r>
      <w:r>
        <w:rPr>
          <w:rFonts w:hint="eastAsia"/>
        </w:rPr>
        <w:t>年妇女所占比例为</w:t>
      </w:r>
      <w:r>
        <w:t>14.8</w:t>
      </w:r>
      <w:r>
        <w:rPr>
          <w:rFonts w:hint="eastAsia"/>
        </w:rPr>
        <w:t>%</w:t>
      </w:r>
      <w:r>
        <w:rPr>
          <w:rFonts w:hint="eastAsia"/>
        </w:rPr>
        <w:t>，</w:t>
      </w:r>
      <w:r>
        <w:rPr>
          <w:rFonts w:hint="eastAsia"/>
        </w:rPr>
        <w:t>1996</w:t>
      </w:r>
      <w:r>
        <w:rPr>
          <w:rFonts w:hint="eastAsia"/>
        </w:rPr>
        <w:t>年为</w:t>
      </w:r>
      <w:r>
        <w:rPr>
          <w:rFonts w:hint="eastAsia"/>
        </w:rPr>
        <w:t>18</w:t>
      </w:r>
      <w:r>
        <w:t>.6%</w:t>
      </w:r>
      <w:r>
        <w:rPr>
          <w:rFonts w:hint="eastAsia"/>
        </w:rPr>
        <w:t>，</w:t>
      </w:r>
      <w:r>
        <w:rPr>
          <w:rFonts w:hint="eastAsia"/>
        </w:rPr>
        <w:t>2000</w:t>
      </w:r>
      <w:r>
        <w:rPr>
          <w:rFonts w:hint="eastAsia"/>
        </w:rPr>
        <w:t>年为</w:t>
      </w:r>
      <w:r>
        <w:t>23.4</w:t>
      </w:r>
      <w:r>
        <w:rPr>
          <w:rFonts w:hint="eastAsia"/>
        </w:rPr>
        <w:t>%</w:t>
      </w:r>
      <w:r>
        <w:rPr>
          <w:rFonts w:hint="eastAsia"/>
        </w:rPr>
        <w:t>，</w:t>
      </w:r>
      <w:r>
        <w:rPr>
          <w:rFonts w:hint="eastAsia"/>
        </w:rPr>
        <w:t>2004</w:t>
      </w:r>
      <w:r>
        <w:rPr>
          <w:rFonts w:hint="eastAsia"/>
        </w:rPr>
        <w:t>年为</w:t>
      </w:r>
      <w:r>
        <w:t>24.9</w:t>
      </w:r>
      <w:r>
        <w:rPr>
          <w:rFonts w:hint="eastAsia"/>
        </w:rPr>
        <w:t>%</w:t>
      </w:r>
      <w:r>
        <w:rPr>
          <w:rFonts w:hint="eastAsia"/>
        </w:rPr>
        <w:t>），妇女当选率依然很低。在</w:t>
      </w:r>
      <w:r>
        <w:rPr>
          <w:rFonts w:hint="eastAsia"/>
        </w:rPr>
        <w:t>2004</w:t>
      </w:r>
      <w:r>
        <w:rPr>
          <w:rFonts w:hint="eastAsia"/>
        </w:rPr>
        <w:t>年最近一次国民议会选举中，有</w:t>
      </w:r>
      <w:r>
        <w:rPr>
          <w:rFonts w:hint="eastAsia"/>
        </w:rPr>
        <w:t>11</w:t>
      </w:r>
      <w:r>
        <w:rPr>
          <w:rFonts w:hint="eastAsia"/>
        </w:rPr>
        <w:t>名妇女当选，所占比例为</w:t>
      </w:r>
      <w:r>
        <w:t>12.2</w:t>
      </w:r>
      <w:r>
        <w:rPr>
          <w:rFonts w:hint="eastAsia"/>
        </w:rPr>
        <w:t>%</w:t>
      </w:r>
      <w:r>
        <w:rPr>
          <w:rFonts w:hint="eastAsia"/>
        </w:rPr>
        <w:t>。在对议会席位进行最后分配后，妇女议员占</w:t>
      </w:r>
      <w:r>
        <w:t>1</w:t>
      </w:r>
      <w:r>
        <w:rPr>
          <w:rFonts w:hint="eastAsia"/>
        </w:rPr>
        <w:t>3</w:t>
      </w:r>
      <w:r>
        <w:t>.</w:t>
      </w:r>
      <w:r>
        <w:rPr>
          <w:rFonts w:hint="eastAsia"/>
        </w:rPr>
        <w:t>3%</w:t>
      </w:r>
      <w:r>
        <w:rPr>
          <w:rFonts w:hint="eastAsia"/>
        </w:rPr>
        <w:t>，与前一届相比，这一比例没有变化。妇女在全国委员会中所占比例甚至还要低，在</w:t>
      </w:r>
      <w:r>
        <w:rPr>
          <w:rFonts w:hint="eastAsia"/>
        </w:rPr>
        <w:t>2002</w:t>
      </w:r>
      <w:r>
        <w:rPr>
          <w:rFonts w:hint="eastAsia"/>
        </w:rPr>
        <w:t>年上一次选举之后，</w:t>
      </w:r>
      <w:r>
        <w:rPr>
          <w:rFonts w:hint="eastAsia"/>
        </w:rPr>
        <w:t>40</w:t>
      </w:r>
      <w:r>
        <w:rPr>
          <w:rFonts w:hint="eastAsia"/>
        </w:rPr>
        <w:t>名委员中只有</w:t>
      </w:r>
      <w:r>
        <w:rPr>
          <w:rFonts w:hint="eastAsia"/>
        </w:rPr>
        <w:t>3</w:t>
      </w:r>
      <w:r>
        <w:rPr>
          <w:rFonts w:hint="eastAsia"/>
        </w:rPr>
        <w:t>名女委员（</w:t>
      </w:r>
      <w:r>
        <w:t>7.5</w:t>
      </w:r>
      <w:r>
        <w:rPr>
          <w:rFonts w:hint="eastAsia"/>
        </w:rPr>
        <w:t>%</w:t>
      </w:r>
      <w:r>
        <w:rPr>
          <w:rFonts w:hint="eastAsia"/>
        </w:rPr>
        <w:t>），在前一届委员会中甚至更少，只有</w:t>
      </w:r>
      <w:r>
        <w:rPr>
          <w:rFonts w:hint="eastAsia"/>
        </w:rPr>
        <w:t>2</w:t>
      </w:r>
      <w:r>
        <w:rPr>
          <w:rFonts w:hint="eastAsia"/>
        </w:rPr>
        <w:t>名女委员。</w:t>
      </w:r>
      <w:r>
        <w:rPr>
          <w:rStyle w:val="FootnoteReference"/>
          <w:szCs w:val="24"/>
        </w:rPr>
        <w:footnoteReference w:id="21"/>
      </w:r>
      <w:r>
        <w:rPr>
          <w:rStyle w:val="tw4winMark"/>
          <w:sz w:val="21"/>
        </w:rPr>
        <w:t>.</w:t>
      </w:r>
      <w:r>
        <w:t xml:space="preserve"> </w:t>
      </w:r>
    </w:p>
    <w:p w:rsidR="001A7779" w:rsidRDefault="001A7779">
      <w:pPr>
        <w:tabs>
          <w:tab w:val="left" w:pos="630"/>
        </w:tabs>
        <w:spacing w:after="240" w:line="360" w:lineRule="exact"/>
      </w:pPr>
      <w:r>
        <w:t>86.</w:t>
      </w:r>
      <w:r>
        <w:tab/>
      </w:r>
      <w:r>
        <w:rPr>
          <w:rFonts w:hint="eastAsia"/>
        </w:rPr>
        <w:t>2004</w:t>
      </w:r>
      <w:r>
        <w:rPr>
          <w:rFonts w:hint="eastAsia"/>
        </w:rPr>
        <w:t>年，在最近一次国民议会选举之后，开展了一项研究，题目为“从男女代表权来看</w:t>
      </w:r>
      <w:r>
        <w:rPr>
          <w:rFonts w:hint="eastAsia"/>
        </w:rPr>
        <w:t>2004</w:t>
      </w:r>
      <w:r>
        <w:rPr>
          <w:rFonts w:hint="eastAsia"/>
        </w:rPr>
        <w:t>年国民议会的选举”。该项目从确保两性平等机会的观点出发来分析政党的候选人名单、纲领和章程，选举前候选人在媒体上的观点交锋，以及选举结果和为加大妇女在议会中代表比例所建议的措施。</w:t>
      </w:r>
      <w:r>
        <w:t xml:space="preserve"> </w:t>
      </w:r>
    </w:p>
    <w:p w:rsidR="001A7779" w:rsidRDefault="001A7779">
      <w:pPr>
        <w:tabs>
          <w:tab w:val="left" w:pos="630"/>
        </w:tabs>
        <w:spacing w:after="240" w:line="360" w:lineRule="exact"/>
      </w:pPr>
      <w:r>
        <w:t>87.</w:t>
      </w:r>
      <w:r>
        <w:tab/>
      </w:r>
      <w:r>
        <w:rPr>
          <w:rFonts w:hint="eastAsia"/>
        </w:rPr>
        <w:t>与国家一级的情况相同，妇女在地方一级参与政治决策的程度也不高。</w:t>
      </w:r>
      <w:r>
        <w:rPr>
          <w:rFonts w:hint="eastAsia"/>
        </w:rPr>
        <w:t xml:space="preserve"> </w:t>
      </w:r>
      <w:r>
        <w:rPr>
          <w:rFonts w:hint="eastAsia"/>
        </w:rPr>
        <w:t>妇女在市政议会议员职务候选人名单上所占比例略有增加（在</w:t>
      </w:r>
      <w:r>
        <w:rPr>
          <w:rFonts w:hint="eastAsia"/>
        </w:rPr>
        <w:t>2002</w:t>
      </w:r>
      <w:r>
        <w:rPr>
          <w:rFonts w:hint="eastAsia"/>
        </w:rPr>
        <w:t>年最近一次选举中占</w:t>
      </w:r>
      <w:r>
        <w:rPr>
          <w:rFonts w:hint="eastAsia"/>
        </w:rPr>
        <w:t>21%</w:t>
      </w:r>
      <w:r>
        <w:rPr>
          <w:rFonts w:hint="eastAsia"/>
        </w:rPr>
        <w:t>），但当选女议员所占比例依然大大低于男议员。在</w:t>
      </w:r>
      <w:r>
        <w:rPr>
          <w:rFonts w:hint="eastAsia"/>
        </w:rPr>
        <w:t>2002</w:t>
      </w:r>
      <w:r>
        <w:rPr>
          <w:rFonts w:hint="eastAsia"/>
        </w:rPr>
        <w:t>年地方选举中，当选女议员所占比例为</w:t>
      </w:r>
      <w:r>
        <w:t>13.1%</w:t>
      </w:r>
      <w:r>
        <w:rPr>
          <w:rFonts w:hint="eastAsia"/>
        </w:rPr>
        <w:t>（</w:t>
      </w:r>
      <w:r>
        <w:rPr>
          <w:rFonts w:hint="eastAsia"/>
        </w:rPr>
        <w:t>1998</w:t>
      </w:r>
      <w:r>
        <w:rPr>
          <w:rFonts w:hint="eastAsia"/>
        </w:rPr>
        <w:t>年为</w:t>
      </w:r>
      <w:r>
        <w:t>1</w:t>
      </w:r>
      <w:r>
        <w:rPr>
          <w:rFonts w:hint="eastAsia"/>
        </w:rPr>
        <w:t>1</w:t>
      </w:r>
      <w:r>
        <w:t>.</w:t>
      </w:r>
      <w:r>
        <w:rPr>
          <w:rFonts w:hint="eastAsia"/>
        </w:rPr>
        <w:t>7</w:t>
      </w:r>
      <w:r>
        <w:t>%</w:t>
      </w:r>
      <w:r>
        <w:rPr>
          <w:rFonts w:hint="eastAsia"/>
        </w:rPr>
        <w:t>），其中女市长占</w:t>
      </w:r>
      <w:r>
        <w:t>6.2</w:t>
      </w:r>
      <w:r>
        <w:rPr>
          <w:rFonts w:hint="eastAsia"/>
        </w:rPr>
        <w:t>%</w:t>
      </w:r>
      <w:r>
        <w:rPr>
          <w:rFonts w:hint="eastAsia"/>
        </w:rPr>
        <w:t>（</w:t>
      </w:r>
      <w:r>
        <w:rPr>
          <w:rFonts w:hint="eastAsia"/>
        </w:rPr>
        <w:t>1998</w:t>
      </w:r>
      <w:r>
        <w:rPr>
          <w:rFonts w:hint="eastAsia"/>
        </w:rPr>
        <w:t>年为</w:t>
      </w:r>
      <w:r>
        <w:rPr>
          <w:rFonts w:hint="eastAsia"/>
        </w:rPr>
        <w:t>4</w:t>
      </w:r>
      <w:r>
        <w:t>.2</w:t>
      </w:r>
      <w:r>
        <w:rPr>
          <w:rFonts w:hint="eastAsia"/>
        </w:rPr>
        <w:t>%</w:t>
      </w:r>
      <w:r>
        <w:rPr>
          <w:rFonts w:hint="eastAsia"/>
        </w:rPr>
        <w:t>）。鉴于《地方选举法修正法》带来新的事态发展，可以预期，在地方选举中，当选议员和当选市长中的妇女代表比例将会一次比一次高。</w:t>
      </w:r>
      <w:r>
        <w:rPr>
          <w:rStyle w:val="FootnoteReference"/>
          <w:szCs w:val="24"/>
        </w:rPr>
        <w:footnoteReference w:id="22"/>
      </w:r>
    </w:p>
    <w:p w:rsidR="001A7779" w:rsidRDefault="001A7779">
      <w:pPr>
        <w:tabs>
          <w:tab w:val="left" w:pos="630"/>
        </w:tabs>
        <w:spacing w:after="240" w:line="360" w:lineRule="exact"/>
      </w:pPr>
      <w:r>
        <w:t>88.</w:t>
      </w:r>
      <w:r>
        <w:tab/>
      </w:r>
      <w:r>
        <w:rPr>
          <w:rFonts w:hint="eastAsia"/>
        </w:rPr>
        <w:t>根据《地方自治法》，罗姆社区土著人居住区的罗姆人在市政议会中有其一名代表。在当选的</w:t>
      </w:r>
      <w:r>
        <w:rPr>
          <w:rFonts w:hint="eastAsia"/>
        </w:rPr>
        <w:t>19</w:t>
      </w:r>
      <w:r>
        <w:rPr>
          <w:rFonts w:hint="eastAsia"/>
        </w:rPr>
        <w:t>名罗姆人议员（</w:t>
      </w:r>
      <w:r>
        <w:rPr>
          <w:rFonts w:hint="eastAsia"/>
        </w:rPr>
        <w:t>2002</w:t>
      </w:r>
      <w:r>
        <w:rPr>
          <w:rFonts w:hint="eastAsia"/>
        </w:rPr>
        <w:t>年选举）中，有一名罗姆族女议员，占</w:t>
      </w:r>
      <w:r>
        <w:t>5.2</w:t>
      </w:r>
      <w:r>
        <w:rPr>
          <w:rFonts w:hint="eastAsia"/>
        </w:rPr>
        <w:t>%</w:t>
      </w:r>
      <w:r>
        <w:rPr>
          <w:rFonts w:hint="eastAsia"/>
        </w:rPr>
        <w:t>。</w:t>
      </w:r>
    </w:p>
    <w:p w:rsidR="001A7779" w:rsidRDefault="001A7779">
      <w:pPr>
        <w:tabs>
          <w:tab w:val="left" w:pos="630"/>
        </w:tabs>
        <w:spacing w:after="240" w:line="360" w:lineRule="exact"/>
      </w:pPr>
      <w:r>
        <w:t>89.</w:t>
      </w:r>
      <w:r>
        <w:tab/>
      </w:r>
      <w:r>
        <w:rPr>
          <w:rFonts w:hint="eastAsia"/>
        </w:rPr>
        <w:t>如本报告第</w:t>
      </w:r>
      <w:r>
        <w:rPr>
          <w:rFonts w:hint="eastAsia"/>
        </w:rPr>
        <w:t>9</w:t>
      </w:r>
      <w:r>
        <w:rPr>
          <w:rFonts w:hint="eastAsia"/>
        </w:rPr>
        <w:t>段所述，在</w:t>
      </w:r>
      <w:r>
        <w:rPr>
          <w:rFonts w:hint="eastAsia"/>
        </w:rPr>
        <w:t>2004</w:t>
      </w:r>
      <w:r>
        <w:rPr>
          <w:rFonts w:hint="eastAsia"/>
        </w:rPr>
        <w:t>年选举中，有</w:t>
      </w:r>
      <w:r>
        <w:rPr>
          <w:rFonts w:hint="eastAsia"/>
        </w:rPr>
        <w:t>3</w:t>
      </w:r>
      <w:r>
        <w:rPr>
          <w:rFonts w:hint="eastAsia"/>
        </w:rPr>
        <w:t>名妇女当选为欧洲议会议员（欧洲议会斯洛文尼亚议员共有</w:t>
      </w:r>
      <w:r>
        <w:rPr>
          <w:rFonts w:hint="eastAsia"/>
        </w:rPr>
        <w:t>7</w:t>
      </w:r>
      <w:r>
        <w:rPr>
          <w:rFonts w:hint="eastAsia"/>
        </w:rPr>
        <w:t>名）。妇女代表所占比例为</w:t>
      </w:r>
      <w:r>
        <w:t xml:space="preserve"> 42.9%</w:t>
      </w:r>
      <w:r>
        <w:rPr>
          <w:rFonts w:hint="eastAsia"/>
        </w:rPr>
        <w:t>，大大超过欧洲议会中的平均妇女代表所占比例。</w:t>
      </w:r>
    </w:p>
    <w:p w:rsidR="001A7779" w:rsidRDefault="001A7779">
      <w:pPr>
        <w:tabs>
          <w:tab w:val="left" w:pos="630"/>
        </w:tabs>
        <w:spacing w:after="240" w:line="360" w:lineRule="exact"/>
        <w:rPr>
          <w:rFonts w:eastAsia="SimHei" w:hint="eastAsia"/>
          <w:color w:val="FF0000"/>
        </w:rPr>
      </w:pPr>
      <w:r>
        <w:rPr>
          <w:rFonts w:eastAsia="SimHei" w:hint="eastAsia"/>
          <w:color w:val="FF0000"/>
        </w:rPr>
        <w:t>在政府中任职的妇女</w:t>
      </w:r>
    </w:p>
    <w:p w:rsidR="001A7779" w:rsidRDefault="001A7779">
      <w:pPr>
        <w:tabs>
          <w:tab w:val="left" w:pos="630"/>
        </w:tabs>
        <w:spacing w:after="240" w:line="360" w:lineRule="exact"/>
      </w:pPr>
      <w:r>
        <w:t>90.</w:t>
      </w:r>
      <w:r>
        <w:tab/>
      </w:r>
      <w:r>
        <w:rPr>
          <w:rFonts w:hint="eastAsia"/>
        </w:rPr>
        <w:t>在斯洛文尼亚共和国政府中任职的妇女也很少。在</w:t>
      </w:r>
      <w:r>
        <w:rPr>
          <w:rFonts w:hint="eastAsia"/>
        </w:rPr>
        <w:t>2004</w:t>
      </w:r>
      <w:r>
        <w:rPr>
          <w:rFonts w:hint="eastAsia"/>
        </w:rPr>
        <w:t>年最近一次选举之后，政府中只有一名女部长，占</w:t>
      </w:r>
      <w:r>
        <w:t>5.9</w:t>
      </w:r>
      <w:r>
        <w:rPr>
          <w:rFonts w:hint="eastAsia"/>
        </w:rPr>
        <w:t>%</w:t>
      </w:r>
      <w:r>
        <w:rPr>
          <w:rFonts w:hint="eastAsia"/>
        </w:rPr>
        <w:t>，这一比例大大低于</w:t>
      </w:r>
      <w:r>
        <w:rPr>
          <w:rFonts w:hint="eastAsia"/>
        </w:rPr>
        <w:t>2000</w:t>
      </w:r>
      <w:r>
        <w:rPr>
          <w:rFonts w:hint="eastAsia"/>
        </w:rPr>
        <w:t>年选举后的比例，该届政府中有三名女部长（所占代表比例为</w:t>
      </w:r>
      <w:r>
        <w:rPr>
          <w:rFonts w:hint="eastAsia"/>
        </w:rPr>
        <w:t>20%</w:t>
      </w:r>
      <w:r>
        <w:rPr>
          <w:rFonts w:hint="eastAsia"/>
        </w:rPr>
        <w:t>）。担任政府总秘书处秘书长的是一名男性，国务秘书中有四名女性，占</w:t>
      </w:r>
      <w:r>
        <w:t>22.2%</w:t>
      </w:r>
      <w:r>
        <w:rPr>
          <w:rFonts w:hint="eastAsia"/>
        </w:rPr>
        <w:t>。</w:t>
      </w:r>
    </w:p>
    <w:p w:rsidR="001A7779" w:rsidRDefault="001A7779">
      <w:pPr>
        <w:tabs>
          <w:tab w:val="left" w:pos="630"/>
        </w:tabs>
        <w:spacing w:after="240" w:line="360" w:lineRule="exact"/>
      </w:pPr>
      <w:r>
        <w:t>91.</w:t>
      </w:r>
      <w:r>
        <w:tab/>
      </w:r>
      <w:r>
        <w:rPr>
          <w:rFonts w:hint="eastAsia"/>
        </w:rPr>
        <w:t>如果与男女从政代表比例相比，政府部门和公共行政机构中的男女代表比例略为平衡。</w:t>
      </w:r>
      <w:r>
        <w:rPr>
          <w:rFonts w:hint="eastAsia"/>
        </w:rPr>
        <w:t>2004</w:t>
      </w:r>
      <w:r>
        <w:rPr>
          <w:rFonts w:hint="eastAsia"/>
        </w:rPr>
        <w:t>年，担任高级行政职务的妇女所占比例为</w:t>
      </w:r>
      <w:r>
        <w:rPr>
          <w:rFonts w:hint="eastAsia"/>
        </w:rPr>
        <w:t>52%</w:t>
      </w:r>
      <w:r>
        <w:rPr>
          <w:rFonts w:hint="eastAsia"/>
        </w:rPr>
        <w:t>，但是担任最高职务的妇女人数较少。妇女在委任的官员中所占比例为</w:t>
      </w:r>
      <w:r>
        <w:t>25.6</w:t>
      </w:r>
      <w:r>
        <w:rPr>
          <w:rFonts w:hint="eastAsia"/>
        </w:rPr>
        <w:t>%</w:t>
      </w:r>
      <w:r>
        <w:rPr>
          <w:rFonts w:hint="eastAsia"/>
        </w:rPr>
        <w:t>，妇女在政府办公室负责人中所占比例最高（</w:t>
      </w:r>
      <w:r>
        <w:rPr>
          <w:rFonts w:hint="eastAsia"/>
        </w:rPr>
        <w:t>38</w:t>
      </w:r>
      <w:r>
        <w:t>.</w:t>
      </w:r>
      <w:r>
        <w:rPr>
          <w:rFonts w:hint="eastAsia"/>
        </w:rPr>
        <w:t>5%</w:t>
      </w:r>
      <w:r>
        <w:rPr>
          <w:rFonts w:hint="eastAsia"/>
        </w:rPr>
        <w:t>），在司局长中所占比例最低（</w:t>
      </w:r>
      <w:r>
        <w:t>13.3</w:t>
      </w:r>
      <w:r>
        <w:rPr>
          <w:rFonts w:hint="eastAsia"/>
        </w:rPr>
        <w:t>%</w:t>
      </w:r>
      <w:r>
        <w:rPr>
          <w:rFonts w:hint="eastAsia"/>
        </w:rPr>
        <w:t>）。</w:t>
      </w:r>
      <w:r>
        <w:rPr>
          <w:rStyle w:val="FootnoteReference"/>
          <w:szCs w:val="24"/>
        </w:rPr>
        <w:footnoteReference w:id="23"/>
      </w:r>
    </w:p>
    <w:p w:rsidR="001A7779" w:rsidRDefault="001A7779">
      <w:pPr>
        <w:tabs>
          <w:tab w:val="left" w:pos="630"/>
        </w:tabs>
        <w:spacing w:after="240" w:line="360" w:lineRule="exact"/>
      </w:pPr>
      <w:r>
        <w:t>92.</w:t>
      </w:r>
      <w:r>
        <w:tab/>
      </w:r>
      <w:r>
        <w:rPr>
          <w:rFonts w:hint="eastAsia"/>
          <w:spacing w:val="4"/>
        </w:rPr>
        <w:t>2004</w:t>
      </w:r>
      <w:r>
        <w:rPr>
          <w:rFonts w:hint="eastAsia"/>
          <w:spacing w:val="4"/>
        </w:rPr>
        <w:t>年，在政府机构中任职的妇女所占比例为</w:t>
      </w:r>
      <w:r>
        <w:rPr>
          <w:spacing w:val="4"/>
        </w:rPr>
        <w:t>36.2%</w:t>
      </w:r>
      <w:r>
        <w:rPr>
          <w:rFonts w:hint="eastAsia"/>
          <w:spacing w:val="4"/>
        </w:rPr>
        <w:t>，妇女在政府执行机关中的代表比例最低</w:t>
      </w:r>
      <w:r>
        <w:rPr>
          <w:spacing w:val="4"/>
        </w:rPr>
        <w:t xml:space="preserve"> </w:t>
      </w:r>
      <w:r>
        <w:rPr>
          <w:rFonts w:hint="eastAsia"/>
        </w:rPr>
        <w:t>（</w:t>
      </w:r>
      <w:r>
        <w:t>11.3%</w:t>
      </w:r>
      <w:r>
        <w:rPr>
          <w:rFonts w:hint="eastAsia"/>
        </w:rPr>
        <w:t>），在政府委员会（</w:t>
      </w:r>
      <w:r>
        <w:t>35.7</w:t>
      </w:r>
      <w:r>
        <w:rPr>
          <w:rFonts w:hint="eastAsia"/>
        </w:rPr>
        <w:t>%</w:t>
      </w:r>
      <w:r>
        <w:rPr>
          <w:rFonts w:hint="eastAsia"/>
        </w:rPr>
        <w:t>）和政府执行机关（</w:t>
      </w:r>
      <w:r>
        <w:t>3</w:t>
      </w:r>
      <w:r>
        <w:rPr>
          <w:rFonts w:hint="eastAsia"/>
        </w:rPr>
        <w:t>8</w:t>
      </w:r>
      <w:r>
        <w:t>.</w:t>
      </w:r>
      <w:r>
        <w:rPr>
          <w:rFonts w:hint="eastAsia"/>
        </w:rPr>
        <w:t>3%</w:t>
      </w:r>
      <w:r>
        <w:rPr>
          <w:rFonts w:hint="eastAsia"/>
        </w:rPr>
        <w:t>）中的比例略高。在斯洛文尼亚共和国派驻国际执行机构的代表中，妇女所占比例为</w:t>
      </w:r>
      <w:r>
        <w:t>21.8</w:t>
      </w:r>
      <w:r>
        <w:rPr>
          <w:rFonts w:hint="eastAsia"/>
        </w:rPr>
        <w:t>%</w:t>
      </w:r>
      <w:r>
        <w:rPr>
          <w:rFonts w:hint="eastAsia"/>
        </w:rPr>
        <w:t>。在有政府代表参与的公共企业、控股公司和有限责任公司中，状况大致相同，妇女所占比例为</w:t>
      </w:r>
      <w:r>
        <w:t>20.2</w:t>
      </w:r>
      <w:r>
        <w:rPr>
          <w:rFonts w:hint="eastAsia"/>
        </w:rPr>
        <w:t>%</w:t>
      </w:r>
      <w:r>
        <w:rPr>
          <w:rFonts w:hint="eastAsia"/>
        </w:rPr>
        <w:t>。公共企业中男女政府代表比例相对均衡，妇女占</w:t>
      </w:r>
      <w:r>
        <w:t>48.9%</w:t>
      </w:r>
      <w:r>
        <w:rPr>
          <w:rFonts w:hint="eastAsia"/>
        </w:rPr>
        <w:t>；在社会福利机构（妇女占</w:t>
      </w:r>
      <w:r>
        <w:t>71.4</w:t>
      </w:r>
      <w:r>
        <w:rPr>
          <w:rFonts w:hint="eastAsia"/>
        </w:rPr>
        <w:t>%</w:t>
      </w:r>
      <w:r>
        <w:rPr>
          <w:rFonts w:hint="eastAsia"/>
        </w:rPr>
        <w:t>）和社会工作中心（妇女占</w:t>
      </w:r>
      <w:r>
        <w:t>7</w:t>
      </w:r>
      <w:r>
        <w:rPr>
          <w:rFonts w:hint="eastAsia"/>
        </w:rPr>
        <w:t>0</w:t>
      </w:r>
      <w:r>
        <w:t>.</w:t>
      </w:r>
      <w:r>
        <w:rPr>
          <w:rFonts w:hint="eastAsia"/>
        </w:rPr>
        <w:t>8%</w:t>
      </w:r>
      <w:r>
        <w:rPr>
          <w:rFonts w:hint="eastAsia"/>
        </w:rPr>
        <w:t>）中女性代表比例高于男性。</w:t>
      </w:r>
      <w:r>
        <w:rPr>
          <w:rStyle w:val="tw4winMark"/>
          <w:sz w:val="21"/>
        </w:rPr>
        <w:t xml:space="preserve"> </w:t>
      </w:r>
      <w:r>
        <w:rPr>
          <w:rStyle w:val="FootnoteReference"/>
          <w:szCs w:val="24"/>
        </w:rPr>
        <w:footnoteReference w:id="24"/>
      </w:r>
      <w:r>
        <w:t xml:space="preserve"> </w:t>
      </w:r>
    </w:p>
    <w:p w:rsidR="001A7779" w:rsidRDefault="001A7779">
      <w:pPr>
        <w:tabs>
          <w:tab w:val="left" w:pos="630"/>
        </w:tabs>
        <w:spacing w:after="240" w:line="380" w:lineRule="exact"/>
        <w:rPr>
          <w:rFonts w:eastAsia="SimHei"/>
          <w:color w:val="FF0000"/>
        </w:rPr>
      </w:pPr>
      <w:r>
        <w:rPr>
          <w:rFonts w:eastAsia="SimHei" w:hint="eastAsia"/>
          <w:color w:val="FF0000"/>
        </w:rPr>
        <w:t>在司法部门中的妇女</w:t>
      </w:r>
    </w:p>
    <w:p w:rsidR="001A7779" w:rsidRDefault="001A7779">
      <w:pPr>
        <w:tabs>
          <w:tab w:val="left" w:pos="630"/>
        </w:tabs>
        <w:spacing w:after="240" w:line="380" w:lineRule="exact"/>
      </w:pPr>
      <w:r>
        <w:t>93.</w:t>
      </w:r>
      <w:r>
        <w:tab/>
      </w:r>
      <w:r>
        <w:rPr>
          <w:rFonts w:hint="eastAsia"/>
        </w:rPr>
        <w:t>平均而言，在司法权力机构中女法官的比例高于男法官，近年来还略有增加。最高法院有</w:t>
      </w:r>
      <w:r>
        <w:rPr>
          <w:rFonts w:hint="eastAsia"/>
        </w:rPr>
        <w:t>9</w:t>
      </w:r>
      <w:r>
        <w:rPr>
          <w:rFonts w:hint="eastAsia"/>
        </w:rPr>
        <w:t>名法官，其中</w:t>
      </w:r>
      <w:r>
        <w:rPr>
          <w:rFonts w:hint="eastAsia"/>
        </w:rPr>
        <w:t>4</w:t>
      </w:r>
      <w:r>
        <w:rPr>
          <w:rFonts w:hint="eastAsia"/>
        </w:rPr>
        <w:t>人为宪法法院女法官，占</w:t>
      </w:r>
      <w:r>
        <w:t>44.4</w:t>
      </w:r>
      <w:r>
        <w:rPr>
          <w:rFonts w:hint="eastAsia"/>
        </w:rPr>
        <w:t>%</w:t>
      </w:r>
      <w:r>
        <w:rPr>
          <w:rFonts w:hint="eastAsia"/>
        </w:rPr>
        <w:t>；一名女法官担任宪法法院副院长职务。</w:t>
      </w:r>
      <w:r>
        <w:rPr>
          <w:rFonts w:hint="eastAsia"/>
        </w:rPr>
        <w:t>2004</w:t>
      </w:r>
      <w:r>
        <w:rPr>
          <w:rFonts w:hint="eastAsia"/>
        </w:rPr>
        <w:t>年，在全体法官中妇女所占比例为</w:t>
      </w:r>
      <w:r>
        <w:t>70.5</w:t>
      </w:r>
      <w:r>
        <w:rPr>
          <w:rFonts w:hint="eastAsia"/>
        </w:rPr>
        <w:t>%</w:t>
      </w:r>
      <w:r>
        <w:rPr>
          <w:rFonts w:hint="eastAsia"/>
        </w:rPr>
        <w:t>。最高法院中妇女的比例最低（</w:t>
      </w:r>
      <w:r>
        <w:t>34.2</w:t>
      </w:r>
      <w:r>
        <w:rPr>
          <w:rFonts w:hint="eastAsia"/>
        </w:rPr>
        <w:t>%</w:t>
      </w:r>
      <w:r>
        <w:rPr>
          <w:rFonts w:hint="eastAsia"/>
        </w:rPr>
        <w:t>），劳动法院（</w:t>
      </w:r>
      <w:r>
        <w:t>83.3</w:t>
      </w:r>
      <w:r>
        <w:rPr>
          <w:rFonts w:hint="eastAsia"/>
        </w:rPr>
        <w:t>%</w:t>
      </w:r>
      <w:r>
        <w:rPr>
          <w:rFonts w:hint="eastAsia"/>
        </w:rPr>
        <w:t>）和地方法院（</w:t>
      </w:r>
      <w:r>
        <w:rPr>
          <w:rFonts w:hint="eastAsia"/>
        </w:rPr>
        <w:t>77</w:t>
      </w:r>
      <w:r>
        <w:t>.</w:t>
      </w:r>
      <w:r>
        <w:rPr>
          <w:rFonts w:hint="eastAsia"/>
        </w:rPr>
        <w:t>2%</w:t>
      </w:r>
      <w:r>
        <w:rPr>
          <w:rFonts w:hint="eastAsia"/>
        </w:rPr>
        <w:t>）的妇女比例最高。除最高法院和高级劳动和社会法院以外，女法官在法院系统占压倒多数，不过妇女担任法院院长职务的则是</w:t>
      </w:r>
      <w:r>
        <w:rPr>
          <w:rFonts w:hint="eastAsia"/>
        </w:rPr>
        <w:t>24</w:t>
      </w:r>
      <w:r>
        <w:rPr>
          <w:rFonts w:hint="eastAsia"/>
        </w:rPr>
        <w:t>个地方法院（总共有</w:t>
      </w:r>
      <w:r>
        <w:rPr>
          <w:rFonts w:hint="eastAsia"/>
        </w:rPr>
        <w:t>44</w:t>
      </w:r>
      <w:r>
        <w:rPr>
          <w:rFonts w:hint="eastAsia"/>
        </w:rPr>
        <w:t>个地方法院），</w:t>
      </w:r>
      <w:r>
        <w:rPr>
          <w:rFonts w:hint="eastAsia"/>
        </w:rPr>
        <w:t>6</w:t>
      </w:r>
      <w:r>
        <w:rPr>
          <w:rFonts w:hint="eastAsia"/>
        </w:rPr>
        <w:t>个区法院（总共有</w:t>
      </w:r>
      <w:r>
        <w:rPr>
          <w:rFonts w:hint="eastAsia"/>
        </w:rPr>
        <w:t>11</w:t>
      </w:r>
      <w:r>
        <w:rPr>
          <w:rFonts w:hint="eastAsia"/>
        </w:rPr>
        <w:t>个区法院）和</w:t>
      </w:r>
      <w:r>
        <w:rPr>
          <w:rFonts w:hint="eastAsia"/>
        </w:rPr>
        <w:t>2</w:t>
      </w:r>
      <w:r>
        <w:rPr>
          <w:rFonts w:hint="eastAsia"/>
        </w:rPr>
        <w:t>个劳动法院（总共有</w:t>
      </w:r>
      <w:r>
        <w:rPr>
          <w:rFonts w:hint="eastAsia"/>
        </w:rPr>
        <w:t>3</w:t>
      </w:r>
      <w:r>
        <w:rPr>
          <w:rFonts w:hint="eastAsia"/>
        </w:rPr>
        <w:t>个劳动法院）。女法官担任法院院长的还有一个劳动和社会法院、高级劳动和社会法院和一个高级法院（共有</w:t>
      </w:r>
      <w:r>
        <w:rPr>
          <w:rFonts w:hint="eastAsia"/>
        </w:rPr>
        <w:t>4</w:t>
      </w:r>
      <w:r>
        <w:rPr>
          <w:rFonts w:hint="eastAsia"/>
        </w:rPr>
        <w:t>个高级法院）。</w:t>
      </w:r>
      <w:r>
        <w:rPr>
          <w:rStyle w:val="FootnoteReference"/>
          <w:szCs w:val="24"/>
        </w:rPr>
        <w:footnoteReference w:id="25"/>
      </w:r>
    </w:p>
    <w:p w:rsidR="001A7779" w:rsidRDefault="001A7779">
      <w:pPr>
        <w:tabs>
          <w:tab w:val="left" w:pos="630"/>
        </w:tabs>
        <w:spacing w:after="240" w:line="380" w:lineRule="exact"/>
      </w:pPr>
      <w:r>
        <w:t>94.</w:t>
      </w:r>
      <w:r>
        <w:tab/>
      </w:r>
      <w:r>
        <w:rPr>
          <w:rFonts w:hint="eastAsia"/>
        </w:rPr>
        <w:t>妇女在国家检察官中的比例略高于男子。不过，在检察官办公室高级工作人员当中，级别越高，妇女的比例就越低。在区国家检察官办公室，妇女在高级工作人员中的比例是</w:t>
      </w:r>
      <w:r>
        <w:rPr>
          <w:rFonts w:hint="eastAsia"/>
        </w:rPr>
        <w:t>58%</w:t>
      </w:r>
      <w:r>
        <w:rPr>
          <w:rFonts w:hint="eastAsia"/>
        </w:rPr>
        <w:t>，在国家最高检察院的比例是</w:t>
      </w:r>
      <w:r>
        <w:rPr>
          <w:rFonts w:hint="eastAsia"/>
        </w:rPr>
        <w:t>45%</w:t>
      </w:r>
      <w:r>
        <w:rPr>
          <w:rFonts w:hint="eastAsia"/>
        </w:rPr>
        <w:t>。曾有一名妇女也担任过国家总检察长。</w:t>
      </w:r>
      <w:r>
        <w:t xml:space="preserve"> </w:t>
      </w:r>
    </w:p>
    <w:p w:rsidR="001A7779" w:rsidRDefault="001A7779">
      <w:pPr>
        <w:tabs>
          <w:tab w:val="left" w:pos="630"/>
        </w:tabs>
        <w:spacing w:after="240" w:line="380" w:lineRule="exact"/>
        <w:rPr>
          <w:rFonts w:eastAsia="SimHei"/>
          <w:color w:val="FF0000"/>
        </w:rPr>
      </w:pPr>
      <w:r>
        <w:rPr>
          <w:rFonts w:eastAsia="SimHei" w:hint="eastAsia"/>
          <w:color w:val="FF0000"/>
        </w:rPr>
        <w:t>在经济部门、雇主组织和工会中任职的妇女</w:t>
      </w:r>
    </w:p>
    <w:p w:rsidR="001A7779" w:rsidRDefault="001A7779">
      <w:pPr>
        <w:tabs>
          <w:tab w:val="left" w:pos="630"/>
        </w:tabs>
        <w:spacing w:after="240" w:line="380" w:lineRule="exact"/>
      </w:pPr>
      <w:r>
        <w:t>95.</w:t>
      </w:r>
      <w:r>
        <w:tab/>
      </w:r>
      <w:r>
        <w:rPr>
          <w:rFonts w:hint="eastAsia"/>
        </w:rPr>
        <w:t>在公司、社会伙伴组织和其他协会和组织中，担任领导职务的妇女仍是少数，尽管近年来担任最高职务的妇女比例有所增加。</w:t>
      </w:r>
      <w:r>
        <w:rPr>
          <w:rFonts w:hint="eastAsia"/>
        </w:rPr>
        <w:t>2003</w:t>
      </w:r>
      <w:r>
        <w:rPr>
          <w:rFonts w:hint="eastAsia"/>
        </w:rPr>
        <w:t>年，在经济部门最大的公司和实体的管理机构中，担任总裁的妇女占</w:t>
      </w:r>
      <w:r>
        <w:rPr>
          <w:rFonts w:hint="eastAsia"/>
        </w:rPr>
        <w:t xml:space="preserve">4% </w:t>
      </w:r>
      <w:r>
        <w:rPr>
          <w:rFonts w:hint="eastAsia"/>
        </w:rPr>
        <w:t>（在</w:t>
      </w:r>
      <w:r>
        <w:rPr>
          <w:rFonts w:hint="eastAsia"/>
        </w:rPr>
        <w:t>2000</w:t>
      </w:r>
      <w:r>
        <w:rPr>
          <w:rFonts w:hint="eastAsia"/>
        </w:rPr>
        <w:t>年没有一名女总裁），进入管理机构的女性成员占</w:t>
      </w:r>
      <w:r>
        <w:rPr>
          <w:rFonts w:hint="eastAsia"/>
        </w:rPr>
        <w:t>22%</w:t>
      </w:r>
      <w:r>
        <w:rPr>
          <w:rFonts w:hint="eastAsia"/>
        </w:rPr>
        <w:t>。在担任管理职务的人员中，妇女占</w:t>
      </w:r>
      <w:r>
        <w:rPr>
          <w:rFonts w:hint="eastAsia"/>
        </w:rPr>
        <w:t>34%</w:t>
      </w:r>
      <w:r>
        <w:rPr>
          <w:rFonts w:hint="eastAsia"/>
        </w:rPr>
        <w:t>。</w:t>
      </w:r>
      <w:r>
        <w:rPr>
          <w:rStyle w:val="FootnoteReference"/>
          <w:szCs w:val="24"/>
        </w:rPr>
        <w:footnoteReference w:id="26"/>
      </w:r>
      <w:r>
        <w:t xml:space="preserve"> </w:t>
      </w:r>
      <w:r>
        <w:rPr>
          <w:rFonts w:hint="eastAsia"/>
        </w:rPr>
        <w:t>在斯洛文尼亚上百家最成功的企业和公司中，</w:t>
      </w:r>
      <w:r>
        <w:rPr>
          <w:rFonts w:hint="eastAsia"/>
        </w:rPr>
        <w:t>99</w:t>
      </w:r>
      <w:r>
        <w:rPr>
          <w:rFonts w:hint="eastAsia"/>
        </w:rPr>
        <w:t>名经理为男性，</w:t>
      </w:r>
      <w:r>
        <w:rPr>
          <w:rFonts w:hint="eastAsia"/>
        </w:rPr>
        <w:t>3</w:t>
      </w:r>
      <w:r>
        <w:rPr>
          <w:rFonts w:hint="eastAsia"/>
        </w:rPr>
        <w:t>名为女性。</w:t>
      </w:r>
      <w:r>
        <w:rPr>
          <w:rStyle w:val="FootnoteReference"/>
          <w:szCs w:val="24"/>
        </w:rPr>
        <w:footnoteReference w:id="27"/>
      </w:r>
    </w:p>
    <w:p w:rsidR="001A7779" w:rsidRDefault="001A7779">
      <w:pPr>
        <w:tabs>
          <w:tab w:val="left" w:pos="630"/>
        </w:tabs>
        <w:spacing w:after="240" w:line="380" w:lineRule="exact"/>
      </w:pPr>
      <w:r>
        <w:t>96.</w:t>
      </w:r>
      <w:r>
        <w:tab/>
      </w:r>
      <w:r>
        <w:rPr>
          <w:rFonts w:hint="eastAsia"/>
        </w:rPr>
        <w:t>在斯洛文尼亚各大工会联盟中，担任主席职务的均为男性。对工会联盟成员的管理结构所作调查表明，担任主席一职者大多为男性，妇女则常见担任副主席职务，但这一比例仍然很低。</w:t>
      </w:r>
      <w:r>
        <w:rPr>
          <w:rStyle w:val="FootnoteReference"/>
          <w:szCs w:val="24"/>
        </w:rPr>
        <w:t xml:space="preserve"> </w:t>
      </w:r>
    </w:p>
    <w:p w:rsidR="001A7779" w:rsidRDefault="001A7779">
      <w:pPr>
        <w:tabs>
          <w:tab w:val="left" w:pos="630"/>
        </w:tabs>
        <w:spacing w:after="240" w:line="380" w:lineRule="exact"/>
      </w:pPr>
      <w:r>
        <w:t>97.</w:t>
      </w:r>
      <w:r>
        <w:tab/>
      </w:r>
      <w:r>
        <w:rPr>
          <w:rFonts w:hint="eastAsia"/>
        </w:rPr>
        <w:t>雇主组织（斯洛文尼亚雇主协会、斯洛文尼亚工商总会、斯洛文尼亚手工业联合会）的情况同样如此，无一名妇女担任主席这一最高职务。在斯洛文尼亚雇主协会理事会中有三名女性成员（</w:t>
      </w:r>
      <w:r>
        <w:rPr>
          <w:rFonts w:hint="eastAsia"/>
        </w:rPr>
        <w:t>20%</w:t>
      </w:r>
      <w:r>
        <w:rPr>
          <w:rFonts w:hint="eastAsia"/>
        </w:rPr>
        <w:t>）。</w:t>
      </w:r>
      <w:r>
        <w:rPr>
          <w:rStyle w:val="FootnoteReference"/>
          <w:szCs w:val="24"/>
        </w:rPr>
        <w:footnoteReference w:id="28"/>
      </w:r>
      <w:r>
        <w:t xml:space="preserve"> </w:t>
      </w:r>
      <w:r>
        <w:rPr>
          <w:rFonts w:hint="eastAsia"/>
        </w:rPr>
        <w:t>在斯洛文尼亚工商总会管理部门中，五个职位中只有两个由妇女担任，即副主席和秘书长职位。妇女在斯洛文尼亚地区工商总会董事中所占比例为</w:t>
      </w:r>
      <w:r>
        <w:t>38.5%</w:t>
      </w:r>
      <w:r>
        <w:rPr>
          <w:rFonts w:hint="eastAsia"/>
        </w:rPr>
        <w:t>。</w:t>
      </w:r>
      <w:r>
        <w:rPr>
          <w:rStyle w:val="FootnoteReference"/>
          <w:szCs w:val="24"/>
        </w:rPr>
        <w:footnoteReference w:id="29"/>
      </w:r>
      <w:r>
        <w:rPr>
          <w:rFonts w:hint="eastAsia"/>
        </w:rPr>
        <w:t>斯洛文尼亚手工业联合会管理部门为清一色男性，而妇女在区手工业联合会主席中的比例则为</w:t>
      </w:r>
      <w:r>
        <w:rPr>
          <w:rFonts w:hint="eastAsia"/>
        </w:rPr>
        <w:t>8%</w:t>
      </w:r>
      <w:r>
        <w:rPr>
          <w:rFonts w:hint="eastAsia"/>
        </w:rPr>
        <w:t>。在区手工业联合会中担任秘书职务的主要是妇女，占</w:t>
      </w:r>
      <w:r>
        <w:rPr>
          <w:rFonts w:hint="eastAsia"/>
        </w:rPr>
        <w:t>71%</w:t>
      </w:r>
      <w:r>
        <w:rPr>
          <w:rFonts w:hint="eastAsia"/>
        </w:rPr>
        <w:t>。</w:t>
      </w:r>
      <w:r>
        <w:rPr>
          <w:rStyle w:val="FootnoteReference"/>
          <w:noProof/>
          <w:szCs w:val="24"/>
        </w:rPr>
        <w:footnoteReference w:id="30"/>
      </w:r>
    </w:p>
    <w:p w:rsidR="001A7779" w:rsidRDefault="001A7779">
      <w:pPr>
        <w:tabs>
          <w:tab w:val="left" w:pos="630"/>
        </w:tabs>
        <w:spacing w:after="240" w:line="360" w:lineRule="exact"/>
        <w:rPr>
          <w:rFonts w:eastAsia="SimHei" w:hint="eastAsia"/>
          <w:color w:val="FF0000"/>
        </w:rPr>
      </w:pPr>
      <w:r>
        <w:rPr>
          <w:rFonts w:eastAsia="SimHei" w:hint="eastAsia"/>
          <w:color w:val="FF0000"/>
        </w:rPr>
        <w:t>公民社会采取的行动</w:t>
      </w:r>
    </w:p>
    <w:p w:rsidR="001A7779" w:rsidRDefault="001A7779">
      <w:pPr>
        <w:tabs>
          <w:tab w:val="left" w:pos="630"/>
        </w:tabs>
        <w:spacing w:after="240" w:line="360" w:lineRule="exact"/>
        <w:rPr>
          <w:rFonts w:hint="eastAsia"/>
        </w:rPr>
      </w:pPr>
      <w:r>
        <w:t>98.</w:t>
      </w:r>
      <w:r>
        <w:tab/>
      </w:r>
      <w:r>
        <w:rPr>
          <w:rFonts w:hint="eastAsia"/>
        </w:rPr>
        <w:t>在第三次报告中，斯洛文尼亚已报告了在建立促进公共生活中男女代表比例均衡联盟方面所做的工作。在过去几年中，该联盟对选举法修正案产生了影响，此种修正案的目的是在所有机构中实现当选男女代表比例均衡（见第</w:t>
      </w:r>
      <w:r>
        <w:rPr>
          <w:rFonts w:hint="eastAsia"/>
        </w:rPr>
        <w:t>5</w:t>
      </w:r>
      <w:r>
        <w:rPr>
          <w:rFonts w:hint="eastAsia"/>
        </w:rPr>
        <w:t>段）。</w:t>
      </w:r>
    </w:p>
    <w:p w:rsidR="001A7779" w:rsidRDefault="001A7779">
      <w:pPr>
        <w:tabs>
          <w:tab w:val="left" w:pos="630"/>
        </w:tabs>
        <w:spacing w:after="240" w:line="360" w:lineRule="exact"/>
      </w:pPr>
      <w:r>
        <w:t>99.</w:t>
      </w:r>
      <w:r>
        <w:tab/>
      </w:r>
      <w:r>
        <w:rPr>
          <w:rFonts w:hint="eastAsia"/>
        </w:rPr>
        <w:t>自上次报告以来这一时期，非政府组织在鼓励妇女尤其是弱势社会群体的妇女积极参与政治方面的能力得到加强。</w:t>
      </w:r>
      <w:r>
        <w:rPr>
          <w:rFonts w:hint="eastAsia"/>
        </w:rPr>
        <w:t>2003</w:t>
      </w:r>
      <w:r>
        <w:rPr>
          <w:rFonts w:hint="eastAsia"/>
        </w:rPr>
        <w:t>年</w:t>
      </w:r>
      <w:r>
        <w:rPr>
          <w:rFonts w:hint="eastAsia"/>
        </w:rPr>
        <w:t>6</w:t>
      </w:r>
      <w:r>
        <w:rPr>
          <w:rFonts w:hint="eastAsia"/>
        </w:rPr>
        <w:t>月，《稳定协议》框架下的一个促进两性平等区中心实施了一个地区项目，名称为“罗姆妇女做得到”，旨在鼓励妇女更加积极地参与公共和政治生活，并加入非政府组织促进两性平等网络工作。</w:t>
      </w:r>
      <w:r>
        <w:t xml:space="preserve"> </w:t>
      </w:r>
    </w:p>
    <w:p w:rsidR="001A7779" w:rsidRDefault="001A7779">
      <w:pPr>
        <w:pStyle w:val="H1"/>
        <w:spacing w:before="120"/>
        <w:rPr>
          <w:rFonts w:hint="eastAsia"/>
        </w:rPr>
      </w:pPr>
      <w:r>
        <w:rPr>
          <w:rFonts w:hint="eastAsia"/>
        </w:rPr>
        <w:t>第</w:t>
      </w:r>
      <w:r>
        <w:t>8</w:t>
      </w:r>
      <w:r>
        <w:rPr>
          <w:rFonts w:hint="eastAsia"/>
        </w:rPr>
        <w:t>条</w:t>
      </w:r>
      <w:r>
        <w:t xml:space="preserve"> </w:t>
      </w:r>
      <w:r>
        <w:rPr>
          <w:rFonts w:hint="eastAsia"/>
        </w:rPr>
        <w:t>妇女作为国际组织中的政府代表和妇女从事外交工作的情况</w:t>
      </w:r>
    </w:p>
    <w:p w:rsidR="001A7779" w:rsidRDefault="001A7779">
      <w:pPr>
        <w:tabs>
          <w:tab w:val="left" w:pos="630"/>
        </w:tabs>
        <w:spacing w:after="240" w:line="360" w:lineRule="exact"/>
      </w:pPr>
      <w:r>
        <w:t>100.</w:t>
      </w:r>
      <w:r>
        <w:rPr>
          <w:rFonts w:hint="eastAsia"/>
        </w:rPr>
        <w:tab/>
        <w:t>2005</w:t>
      </w:r>
      <w:r>
        <w:rPr>
          <w:rFonts w:hint="eastAsia"/>
        </w:rPr>
        <w:t>年，斯洛文尼亚共和国驻外使领馆中，总共聘有</w:t>
      </w:r>
      <w:r>
        <w:rPr>
          <w:rFonts w:hint="eastAsia"/>
        </w:rPr>
        <w:t>413</w:t>
      </w:r>
      <w:r>
        <w:rPr>
          <w:rFonts w:hint="eastAsia"/>
        </w:rPr>
        <w:t>名外交官，其中</w:t>
      </w:r>
      <w:r>
        <w:rPr>
          <w:rFonts w:hint="eastAsia"/>
        </w:rPr>
        <w:t>205</w:t>
      </w:r>
      <w:r>
        <w:rPr>
          <w:rFonts w:hint="eastAsia"/>
        </w:rPr>
        <w:t>人为女性，占</w:t>
      </w:r>
      <w:r>
        <w:t>49.6%</w:t>
      </w:r>
      <w:r>
        <w:rPr>
          <w:rFonts w:hint="eastAsia"/>
        </w:rPr>
        <w:t>。</w:t>
      </w:r>
      <w:r>
        <w:t xml:space="preserve"> </w:t>
      </w:r>
    </w:p>
    <w:p w:rsidR="001A7779" w:rsidRDefault="001A7779">
      <w:pPr>
        <w:tabs>
          <w:tab w:val="left" w:pos="630"/>
        </w:tabs>
        <w:spacing w:after="240" w:line="360" w:lineRule="exact"/>
      </w:pPr>
      <w:r>
        <w:t>101.</w:t>
      </w:r>
      <w:r>
        <w:rPr>
          <w:rFonts w:hint="eastAsia"/>
        </w:rPr>
        <w:tab/>
      </w:r>
      <w:r>
        <w:rPr>
          <w:rFonts w:hint="eastAsia"/>
        </w:rPr>
        <w:t>按性别分列的驻外使领馆代表组成情况，就等级和职务而言是不均衡的。</w:t>
      </w:r>
      <w:r>
        <w:rPr>
          <w:rFonts w:hint="eastAsia"/>
        </w:rPr>
        <w:t xml:space="preserve"> </w:t>
      </w:r>
      <w:r>
        <w:rPr>
          <w:rFonts w:hint="eastAsia"/>
        </w:rPr>
        <w:t>妇女在大使中的比例是</w:t>
      </w:r>
      <w:r>
        <w:t>22.6</w:t>
      </w:r>
      <w:r>
        <w:rPr>
          <w:rFonts w:hint="eastAsia"/>
        </w:rPr>
        <w:t>%</w:t>
      </w:r>
      <w:r>
        <w:rPr>
          <w:rFonts w:hint="eastAsia"/>
        </w:rPr>
        <w:t>：有全权的女部长占</w:t>
      </w:r>
      <w:r>
        <w:t>38.6%</w:t>
      </w:r>
      <w:r>
        <w:rPr>
          <w:rFonts w:hint="eastAsia"/>
        </w:rPr>
        <w:t>，女性总领事一名（</w:t>
      </w:r>
      <w:r>
        <w:rPr>
          <w:rFonts w:hint="eastAsia"/>
        </w:rPr>
        <w:t>20%</w:t>
      </w:r>
      <w:r>
        <w:rPr>
          <w:rFonts w:hint="eastAsia"/>
        </w:rPr>
        <w:t>），女性部长顾问占</w:t>
      </w:r>
      <w:r>
        <w:t>62.1%</w:t>
      </w:r>
      <w:r>
        <w:rPr>
          <w:rFonts w:hint="eastAsia"/>
        </w:rPr>
        <w:t>。就顾问和秘书一职来说，担任首席顾问（</w:t>
      </w:r>
      <w:r>
        <w:rPr>
          <w:rFonts w:hint="eastAsia"/>
        </w:rPr>
        <w:t>75%</w:t>
      </w:r>
      <w:r>
        <w:rPr>
          <w:rFonts w:hint="eastAsia"/>
        </w:rPr>
        <w:t>）和二等秘书（</w:t>
      </w:r>
      <w:r>
        <w:rPr>
          <w:rFonts w:hint="eastAsia"/>
        </w:rPr>
        <w:t>64%</w:t>
      </w:r>
      <w:r>
        <w:rPr>
          <w:rFonts w:hint="eastAsia"/>
        </w:rPr>
        <w:t>）的大多为妇女。在行政和技术人员中，所有通讯和行政秘书的职位均由妇女占据，而保安人员和服务员以及司机的职位则由男子把持。</w:t>
      </w:r>
      <w:r>
        <w:rPr>
          <w:rStyle w:val="FootnoteReference"/>
          <w:szCs w:val="24"/>
        </w:rPr>
        <w:footnoteReference w:id="31"/>
      </w:r>
    </w:p>
    <w:p w:rsidR="001A7779" w:rsidRDefault="001A7779">
      <w:pPr>
        <w:tabs>
          <w:tab w:val="left" w:pos="630"/>
        </w:tabs>
        <w:spacing w:after="240" w:line="360" w:lineRule="exact"/>
      </w:pPr>
      <w:r>
        <w:t>102.</w:t>
      </w:r>
      <w:r>
        <w:rPr>
          <w:rFonts w:hint="eastAsia"/>
        </w:rPr>
        <w:t xml:space="preserve"> </w:t>
      </w:r>
      <w:r>
        <w:rPr>
          <w:rFonts w:hint="eastAsia"/>
        </w:rPr>
        <w:tab/>
      </w:r>
      <w:r>
        <w:rPr>
          <w:rFonts w:hint="eastAsia"/>
          <w:spacing w:val="4"/>
        </w:rPr>
        <w:t>在超国家议会、欧洲议会和欧洲理事会议会大会中，欧洲理事会议会大会中</w:t>
      </w:r>
      <w:r>
        <w:rPr>
          <w:rFonts w:hint="eastAsia"/>
          <w:spacing w:val="4"/>
        </w:rPr>
        <w:t>7</w:t>
      </w:r>
      <w:r>
        <w:rPr>
          <w:rFonts w:hint="eastAsia"/>
          <w:spacing w:val="4"/>
        </w:rPr>
        <w:t>名斯洛文尼亚成员中有三名女性（</w:t>
      </w:r>
      <w:r>
        <w:rPr>
          <w:spacing w:val="4"/>
        </w:rPr>
        <w:t>42.9%</w:t>
      </w:r>
      <w:r>
        <w:rPr>
          <w:rFonts w:hint="eastAsia"/>
          <w:spacing w:val="4"/>
        </w:rPr>
        <w:t>）；在欧洲理事会议会大会中，斯洛文尼亚代表团由六人组成（三名代表和三名候补代表），其中</w:t>
      </w:r>
      <w:r>
        <w:rPr>
          <w:rFonts w:hint="eastAsia"/>
          <w:spacing w:val="4"/>
        </w:rPr>
        <w:t>4</w:t>
      </w:r>
      <w:r>
        <w:rPr>
          <w:rFonts w:hint="eastAsia"/>
          <w:spacing w:val="4"/>
        </w:rPr>
        <w:t>名是女性，</w:t>
      </w:r>
      <w:r>
        <w:rPr>
          <w:rFonts w:hint="eastAsia"/>
          <w:spacing w:val="4"/>
        </w:rPr>
        <w:t>2</w:t>
      </w:r>
      <w:r>
        <w:rPr>
          <w:rFonts w:hint="eastAsia"/>
          <w:spacing w:val="4"/>
        </w:rPr>
        <w:t>名是男性。在欧洲联盟区域委员会中，在斯洛文尼亚</w:t>
      </w:r>
      <w:r>
        <w:rPr>
          <w:rFonts w:hint="eastAsia"/>
          <w:spacing w:val="4"/>
        </w:rPr>
        <w:t>14</w:t>
      </w:r>
      <w:r>
        <w:rPr>
          <w:rFonts w:hint="eastAsia"/>
          <w:spacing w:val="4"/>
        </w:rPr>
        <w:t>名成员（</w:t>
      </w:r>
      <w:r>
        <w:rPr>
          <w:rFonts w:hint="eastAsia"/>
          <w:spacing w:val="4"/>
        </w:rPr>
        <w:t>7</w:t>
      </w:r>
      <w:r>
        <w:rPr>
          <w:rFonts w:hint="eastAsia"/>
          <w:spacing w:val="4"/>
        </w:rPr>
        <w:t>名代表和</w:t>
      </w:r>
      <w:r>
        <w:rPr>
          <w:rFonts w:hint="eastAsia"/>
          <w:spacing w:val="4"/>
        </w:rPr>
        <w:t>7</w:t>
      </w:r>
      <w:r>
        <w:rPr>
          <w:rFonts w:hint="eastAsia"/>
          <w:spacing w:val="4"/>
        </w:rPr>
        <w:t>名候补代表）中，妇女占</w:t>
      </w:r>
      <w:r>
        <w:rPr>
          <w:spacing w:val="4"/>
        </w:rPr>
        <w:t>14.3%</w:t>
      </w:r>
      <w:r>
        <w:rPr>
          <w:rFonts w:hint="eastAsia"/>
          <w:spacing w:val="4"/>
        </w:rPr>
        <w:t>，而在欧盟经济社会委员会中，斯洛文尼亚共和国的</w:t>
      </w:r>
      <w:r>
        <w:rPr>
          <w:rFonts w:hint="eastAsia"/>
          <w:spacing w:val="4"/>
        </w:rPr>
        <w:t>7</w:t>
      </w:r>
      <w:r>
        <w:rPr>
          <w:rFonts w:hint="eastAsia"/>
          <w:spacing w:val="4"/>
        </w:rPr>
        <w:t>名代表中则有</w:t>
      </w:r>
      <w:r>
        <w:rPr>
          <w:rFonts w:hint="eastAsia"/>
          <w:spacing w:val="4"/>
        </w:rPr>
        <w:t>2</w:t>
      </w:r>
      <w:r>
        <w:rPr>
          <w:rFonts w:hint="eastAsia"/>
          <w:spacing w:val="4"/>
        </w:rPr>
        <w:t>名妇女，占</w:t>
      </w:r>
      <w:r>
        <w:rPr>
          <w:spacing w:val="4"/>
        </w:rPr>
        <w:t>28.6%</w:t>
      </w:r>
      <w:r>
        <w:rPr>
          <w:rFonts w:hint="eastAsia"/>
          <w:spacing w:val="4"/>
        </w:rPr>
        <w:t>。</w:t>
      </w:r>
      <w:r>
        <w:rPr>
          <w:spacing w:val="4"/>
        </w:rPr>
        <w:t xml:space="preserve"> </w:t>
      </w:r>
    </w:p>
    <w:p w:rsidR="001A7779" w:rsidRDefault="001A7779">
      <w:pPr>
        <w:pStyle w:val="H1"/>
        <w:spacing w:before="120"/>
      </w:pPr>
      <w:r>
        <w:rPr>
          <w:rFonts w:hint="eastAsia"/>
        </w:rPr>
        <w:t>第</w:t>
      </w:r>
      <w:r>
        <w:t>9</w:t>
      </w:r>
      <w:r>
        <w:rPr>
          <w:rFonts w:hint="eastAsia"/>
        </w:rPr>
        <w:t>条</w:t>
      </w:r>
      <w:r>
        <w:t xml:space="preserve"> </w:t>
      </w:r>
      <w:r>
        <w:rPr>
          <w:rFonts w:hint="eastAsia"/>
        </w:rPr>
        <w:t>公民权</w:t>
      </w:r>
    </w:p>
    <w:p w:rsidR="001A7779" w:rsidRDefault="001A7779">
      <w:pPr>
        <w:tabs>
          <w:tab w:val="left" w:pos="630"/>
        </w:tabs>
        <w:spacing w:after="240" w:line="360" w:lineRule="exact"/>
        <w:rPr>
          <w:rFonts w:hint="eastAsia"/>
        </w:rPr>
      </w:pPr>
      <w:r>
        <w:t>103.</w:t>
      </w:r>
      <w:r>
        <w:tab/>
      </w:r>
      <w:r>
        <w:rPr>
          <w:rFonts w:hint="eastAsia"/>
        </w:rPr>
        <w:t>自编制上次报告以来，未对立法做任何修改。《斯洛文尼亚共和国公民法》对男女没有区别对待。对男女安排实行统一标准。</w:t>
      </w:r>
      <w:r>
        <w:rPr>
          <w:rFonts w:hint="eastAsia"/>
        </w:rPr>
        <w:t xml:space="preserve"> </w:t>
      </w:r>
    </w:p>
    <w:p w:rsidR="001A7779" w:rsidRDefault="001A7779">
      <w:pPr>
        <w:pStyle w:val="H1"/>
        <w:spacing w:before="120"/>
      </w:pPr>
      <w:r>
        <w:rPr>
          <w:rFonts w:hint="eastAsia"/>
        </w:rPr>
        <w:t>第</w:t>
      </w:r>
      <w:r>
        <w:t>10</w:t>
      </w:r>
      <w:r>
        <w:rPr>
          <w:rFonts w:hint="eastAsia"/>
        </w:rPr>
        <w:t>条</w:t>
      </w:r>
      <w:r>
        <w:t xml:space="preserve"> </w:t>
      </w:r>
      <w:r>
        <w:rPr>
          <w:rFonts w:hint="eastAsia"/>
        </w:rPr>
        <w:t>教育</w:t>
      </w:r>
    </w:p>
    <w:p w:rsidR="001A7779" w:rsidRDefault="001A7779">
      <w:pPr>
        <w:tabs>
          <w:tab w:val="left" w:pos="630"/>
        </w:tabs>
        <w:spacing w:after="240" w:line="360" w:lineRule="exact"/>
        <w:rPr>
          <w:rFonts w:hint="eastAsia"/>
        </w:rPr>
      </w:pPr>
      <w:r>
        <w:t>104.</w:t>
      </w:r>
      <w:r>
        <w:tab/>
      </w:r>
      <w:r>
        <w:rPr>
          <w:rFonts w:hint="eastAsia"/>
        </w:rPr>
        <w:t>《教育组织和融资法》自上次报告以来没有任何变化。该法早在</w:t>
      </w:r>
      <w:r>
        <w:rPr>
          <w:rFonts w:hint="eastAsia"/>
        </w:rPr>
        <w:t>1996</w:t>
      </w:r>
      <w:r>
        <w:rPr>
          <w:rFonts w:hint="eastAsia"/>
        </w:rPr>
        <w:t>年即获得通过，对男女没有区别对待。该法第</w:t>
      </w:r>
      <w:r>
        <w:rPr>
          <w:rFonts w:hint="eastAsia"/>
        </w:rPr>
        <w:t>2</w:t>
      </w:r>
      <w:r>
        <w:rPr>
          <w:rFonts w:hint="eastAsia"/>
        </w:rPr>
        <w:t>条提出的教育目标，除了别的以外，还明确了平等机会和两性平等：</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保证个人获得最有利的发展，不论其性别、社会和文化背景、宗教、国籍和生理及心理缺陷；</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进行相互宽容教育、培养两性平等、尊重人的多样性和相互合作、尊重儿童和人的权利与基本自由的意识，以及促进男女平等机会，从而形成在民主社会中和谐共处的能力。</w:t>
      </w:r>
    </w:p>
    <w:p w:rsidR="001A7779" w:rsidRDefault="001A7779">
      <w:pPr>
        <w:tabs>
          <w:tab w:val="left" w:pos="630"/>
        </w:tabs>
        <w:spacing w:after="240" w:line="360" w:lineRule="exact"/>
      </w:pPr>
      <w:r>
        <w:t>105.</w:t>
      </w:r>
      <w:r>
        <w:tab/>
      </w:r>
      <w:r>
        <w:rPr>
          <w:rFonts w:hint="eastAsia"/>
        </w:rPr>
        <w:t>2004</w:t>
      </w:r>
      <w:r>
        <w:rPr>
          <w:rFonts w:hint="eastAsia"/>
        </w:rPr>
        <w:t>年</w:t>
      </w:r>
      <w:r>
        <w:rPr>
          <w:rFonts w:hint="eastAsia"/>
        </w:rPr>
        <w:t>6</w:t>
      </w:r>
      <w:r>
        <w:rPr>
          <w:rFonts w:hint="eastAsia"/>
        </w:rPr>
        <w:t>月，国民议会通过了《关于</w:t>
      </w:r>
      <w:r>
        <w:rPr>
          <w:rFonts w:hint="eastAsia"/>
        </w:rPr>
        <w:t>2010</w:t>
      </w:r>
      <w:r>
        <w:rPr>
          <w:rFonts w:hint="eastAsia"/>
        </w:rPr>
        <w:t>年前斯洛文尼亚共和国成人教育总计划的决议》。该决议将为所有成年人提供获得有关学习可能性的信息和指导的机会以及执行两性平等原则。</w:t>
      </w:r>
    </w:p>
    <w:p w:rsidR="001A7779" w:rsidRDefault="001A7779">
      <w:pPr>
        <w:tabs>
          <w:tab w:val="left" w:pos="630"/>
        </w:tabs>
        <w:spacing w:after="240" w:line="360" w:lineRule="exact"/>
      </w:pPr>
      <w:r>
        <w:t>106.</w:t>
      </w:r>
      <w:r>
        <w:tab/>
      </w:r>
      <w:r>
        <w:rPr>
          <w:rFonts w:hint="eastAsia"/>
        </w:rPr>
        <w:t>政府于</w:t>
      </w:r>
      <w:r>
        <w:rPr>
          <w:rFonts w:hint="eastAsia"/>
        </w:rPr>
        <w:t>2004</w:t>
      </w:r>
      <w:r>
        <w:rPr>
          <w:rFonts w:hint="eastAsia"/>
        </w:rPr>
        <w:t>年通过了关于斯洛文尼亚的发展战略的文件，该文件也特别关注教育方面的平等机会委托。</w:t>
      </w:r>
    </w:p>
    <w:p w:rsidR="001A7779" w:rsidRDefault="001A7779">
      <w:pPr>
        <w:tabs>
          <w:tab w:val="left" w:pos="630"/>
        </w:tabs>
        <w:spacing w:after="240" w:line="360" w:lineRule="exact"/>
        <w:rPr>
          <w:rFonts w:eastAsia="SimHei"/>
          <w:color w:val="FF0000"/>
        </w:rPr>
      </w:pPr>
      <w:r>
        <w:rPr>
          <w:rFonts w:eastAsia="SimHei" w:hint="eastAsia"/>
          <w:color w:val="FF0000"/>
        </w:rPr>
        <w:t>学前教育和幼稚园教育</w:t>
      </w:r>
    </w:p>
    <w:p w:rsidR="001A7779" w:rsidRDefault="001A7779">
      <w:pPr>
        <w:tabs>
          <w:tab w:val="left" w:pos="630"/>
        </w:tabs>
        <w:spacing w:after="240" w:line="360" w:lineRule="exact"/>
        <w:rPr>
          <w:rFonts w:hint="eastAsia"/>
        </w:rPr>
      </w:pPr>
      <w:r>
        <w:t>107.</w:t>
      </w:r>
      <w:r>
        <w:tab/>
        <w:t>2004/2005</w:t>
      </w:r>
      <w:r>
        <w:rPr>
          <w:rFonts w:hint="eastAsia"/>
        </w:rPr>
        <w:t>学年，在幼稚园报名入园的儿童有</w:t>
      </w:r>
      <w:r>
        <w:t>54 815</w:t>
      </w:r>
      <w:r>
        <w:rPr>
          <w:rFonts w:hint="eastAsia"/>
        </w:rPr>
        <w:t>名，占所有</w:t>
      </w:r>
      <w:r>
        <w:rPr>
          <w:rFonts w:hint="eastAsia"/>
        </w:rPr>
        <w:t>1-6</w:t>
      </w:r>
      <w:r>
        <w:rPr>
          <w:rFonts w:hint="eastAsia"/>
        </w:rPr>
        <w:t>岁儿童的</w:t>
      </w:r>
      <w:r>
        <w:t xml:space="preserve"> 61.4</w:t>
      </w:r>
      <w:r>
        <w:rPr>
          <w:rFonts w:hint="eastAsia"/>
        </w:rPr>
        <w:t>%</w:t>
      </w:r>
      <w:r>
        <w:rPr>
          <w:rFonts w:hint="eastAsia"/>
        </w:rPr>
        <w:t>，比</w:t>
      </w:r>
      <w:r>
        <w:rPr>
          <w:rFonts w:hint="eastAsia"/>
        </w:rPr>
        <w:t>2000</w:t>
      </w:r>
      <w:r>
        <w:rPr>
          <w:rFonts w:hint="eastAsia"/>
        </w:rPr>
        <w:t>年高出</w:t>
      </w:r>
      <w:r>
        <w:t xml:space="preserve"> 4.6 </w:t>
      </w:r>
      <w:r>
        <w:rPr>
          <w:rFonts w:hint="eastAsia"/>
        </w:rPr>
        <w:t>个百分点。有特殊教育需要的儿童的报名人数为</w:t>
      </w:r>
      <w:r>
        <w:rPr>
          <w:rFonts w:hint="eastAsia"/>
        </w:rPr>
        <w:t>465</w:t>
      </w:r>
      <w:r>
        <w:rPr>
          <w:rFonts w:hint="eastAsia"/>
        </w:rPr>
        <w:t>名，其中女孩</w:t>
      </w:r>
      <w:r>
        <w:rPr>
          <w:rFonts w:hint="eastAsia"/>
        </w:rPr>
        <w:t>152</w:t>
      </w:r>
      <w:r>
        <w:rPr>
          <w:rFonts w:hint="eastAsia"/>
        </w:rPr>
        <w:t>名，占</w:t>
      </w:r>
      <w:r>
        <w:t>32.7%</w:t>
      </w:r>
      <w:r>
        <w:rPr>
          <w:rFonts w:hint="eastAsia"/>
        </w:rPr>
        <w:t>。</w:t>
      </w:r>
    </w:p>
    <w:p w:rsidR="001A7779" w:rsidRDefault="001A7779">
      <w:pPr>
        <w:tabs>
          <w:tab w:val="left" w:pos="630"/>
        </w:tabs>
        <w:spacing w:after="240" w:line="360" w:lineRule="exact"/>
      </w:pPr>
      <w:r>
        <w:t>108.</w:t>
      </w:r>
      <w:r>
        <w:tab/>
        <w:t>2004/2005</w:t>
      </w:r>
      <w:r>
        <w:rPr>
          <w:rFonts w:hint="eastAsia"/>
        </w:rPr>
        <w:t>学年，在幼稚园报名入园的儿童人数较之前一年增加了</w:t>
      </w:r>
      <w:r>
        <w:rPr>
          <w:rFonts w:hint="eastAsia"/>
        </w:rPr>
        <w:t>300</w:t>
      </w:r>
      <w:r>
        <w:rPr>
          <w:rFonts w:hint="eastAsia"/>
        </w:rPr>
        <w:t>人。工作人员人数也有所增加，而机构和部门数量则在减少。与</w:t>
      </w:r>
      <w:r>
        <w:rPr>
          <w:rFonts w:hint="eastAsia"/>
        </w:rPr>
        <w:t>2001</w:t>
      </w:r>
      <w:r>
        <w:rPr>
          <w:rFonts w:hint="eastAsia"/>
        </w:rPr>
        <w:t>年相比，在幼稚园入园的女孩比例几乎没有变化。</w:t>
      </w:r>
      <w:r>
        <w:rPr>
          <w:rStyle w:val="FootnoteReference"/>
          <w:szCs w:val="24"/>
        </w:rPr>
        <w:footnoteReference w:id="32"/>
      </w:r>
    </w:p>
    <w:p w:rsidR="001A7779" w:rsidRDefault="001A7779">
      <w:pPr>
        <w:tabs>
          <w:tab w:val="left" w:pos="630"/>
        </w:tabs>
        <w:spacing w:after="240" w:line="360" w:lineRule="exact"/>
        <w:rPr>
          <w:rFonts w:eastAsia="SimHei"/>
          <w:color w:val="FF0000"/>
        </w:rPr>
      </w:pPr>
      <w:r>
        <w:rPr>
          <w:rFonts w:eastAsia="SimHei" w:hint="eastAsia"/>
          <w:color w:val="FF0000"/>
        </w:rPr>
        <w:t>初等和中等教育</w:t>
      </w:r>
    </w:p>
    <w:p w:rsidR="001A7779" w:rsidRDefault="001A7779">
      <w:pPr>
        <w:tabs>
          <w:tab w:val="left" w:pos="630"/>
        </w:tabs>
        <w:spacing w:after="240" w:line="360" w:lineRule="exact"/>
      </w:pPr>
      <w:r>
        <w:t>109.</w:t>
      </w:r>
      <w:r>
        <w:tab/>
      </w:r>
      <w:r>
        <w:rPr>
          <w:rFonts w:hint="eastAsia"/>
        </w:rPr>
        <w:t>在斯洛文尼亚，小学学生性别结构大致平衡。在实行初等教育八年制的同时，</w:t>
      </w:r>
      <w:r>
        <w:rPr>
          <w:rFonts w:hint="eastAsia"/>
        </w:rPr>
        <w:t>1999</w:t>
      </w:r>
      <w:r>
        <w:rPr>
          <w:rFonts w:hint="eastAsia"/>
        </w:rPr>
        <w:t>年</w:t>
      </w:r>
      <w:r>
        <w:rPr>
          <w:rFonts w:hint="eastAsia"/>
        </w:rPr>
        <w:t>9</w:t>
      </w:r>
      <w:r>
        <w:rPr>
          <w:rFonts w:hint="eastAsia"/>
        </w:rPr>
        <w:t>月开始逐渐实行初等教育九年制教育方案，根据该方案，入学年龄降低到六岁，而八年制教育方案为七岁。在</w:t>
      </w:r>
      <w:r>
        <w:t>2004/2005</w:t>
      </w:r>
      <w:r>
        <w:rPr>
          <w:rFonts w:hint="eastAsia"/>
        </w:rPr>
        <w:t>学年，所有入学儿童注册为九年制学生，截至</w:t>
      </w:r>
      <w:r>
        <w:t>2008/2009</w:t>
      </w:r>
      <w:r>
        <w:rPr>
          <w:rFonts w:hint="eastAsia"/>
        </w:rPr>
        <w:t>学年，所有小学生均将注册为九年制学生。</w:t>
      </w:r>
      <w:r>
        <w:t xml:space="preserve"> </w:t>
      </w:r>
      <w:r>
        <w:rPr>
          <w:rStyle w:val="FootnoteReference"/>
          <w:szCs w:val="24"/>
        </w:rPr>
        <w:footnoteReference w:id="33"/>
      </w:r>
    </w:p>
    <w:p w:rsidR="001A7779" w:rsidRDefault="001A7779">
      <w:pPr>
        <w:tabs>
          <w:tab w:val="left" w:pos="630"/>
        </w:tabs>
        <w:spacing w:after="240" w:line="360" w:lineRule="exact"/>
        <w:rPr>
          <w:rFonts w:hint="eastAsia"/>
        </w:rPr>
      </w:pPr>
      <w:r>
        <w:t>110.</w:t>
      </w:r>
      <w:r>
        <w:tab/>
      </w:r>
      <w:r>
        <w:rPr>
          <w:rFonts w:hint="eastAsia"/>
        </w:rPr>
        <w:t>在</w:t>
      </w:r>
      <w:r>
        <w:t xml:space="preserve"> 2002/2003</w:t>
      </w:r>
      <w:r>
        <w:rPr>
          <w:rFonts w:hint="eastAsia"/>
        </w:rPr>
        <w:t>学年，在采用修订后教学进度和课程的小学注册的学生有</w:t>
      </w:r>
      <w:r>
        <w:t>2 178</w:t>
      </w:r>
      <w:r>
        <w:rPr>
          <w:rFonts w:hint="eastAsia"/>
        </w:rPr>
        <w:t>人，其中女生为</w:t>
      </w:r>
      <w:r>
        <w:t>789</w:t>
      </w:r>
      <w:r>
        <w:rPr>
          <w:rFonts w:hint="eastAsia"/>
        </w:rPr>
        <w:t>人，占</w:t>
      </w:r>
      <w:r>
        <w:t>36.2</w:t>
      </w:r>
      <w:r>
        <w:rPr>
          <w:rFonts w:hint="eastAsia"/>
        </w:rPr>
        <w:t>%</w:t>
      </w:r>
      <w:r>
        <w:rPr>
          <w:rFonts w:hint="eastAsia"/>
        </w:rPr>
        <w:t>。</w:t>
      </w:r>
      <w:r>
        <w:t xml:space="preserve"> </w:t>
      </w:r>
    </w:p>
    <w:p w:rsidR="001A7779" w:rsidRDefault="001A7779">
      <w:pPr>
        <w:tabs>
          <w:tab w:val="left" w:pos="630"/>
        </w:tabs>
        <w:spacing w:after="240" w:line="360" w:lineRule="exact"/>
      </w:pPr>
      <w:r>
        <w:t>111.</w:t>
      </w:r>
      <w:r>
        <w:tab/>
      </w:r>
      <w:r>
        <w:rPr>
          <w:rFonts w:hint="eastAsia"/>
        </w:rPr>
        <w:t>在高中教育方案下注册的学生性别结构大致平衡。不过，在个别高中教育方案下注册的男女生比例差异显示，高中教育系统中依然存在性别隔离现象。在纺织、化学、制药业和橡胶工业、经济、卫生和社会科学、文化和私人服务领域的教学专业教育等学科中，女生占多数。男生所注册的学科主要侧重于林业、木材、建筑业、印刷和造纸业、电子工程、运输和通信以及采矿业等领域。只有三种高中教育方案的男女生比例是平衡的，即农业食品加工、餐饮和旅游以及普通教育方案。</w:t>
      </w:r>
      <w:r>
        <w:rPr>
          <w:rStyle w:val="FootnoteReference"/>
          <w:szCs w:val="24"/>
        </w:rPr>
        <w:footnoteReference w:id="34"/>
      </w:r>
      <w:r>
        <w:t xml:space="preserve"> </w:t>
      </w:r>
    </w:p>
    <w:p w:rsidR="001A7779" w:rsidRDefault="001A7779">
      <w:pPr>
        <w:tabs>
          <w:tab w:val="left" w:pos="630"/>
        </w:tabs>
        <w:spacing w:after="240" w:line="360" w:lineRule="exact"/>
        <w:rPr>
          <w:rFonts w:eastAsia="SimHei" w:hint="eastAsia"/>
          <w:color w:val="FF0000"/>
        </w:rPr>
      </w:pPr>
      <w:r>
        <w:rPr>
          <w:rFonts w:eastAsia="SimHei" w:hint="eastAsia"/>
          <w:color w:val="FF0000"/>
        </w:rPr>
        <w:t>两年制高等教育和高等教育</w:t>
      </w:r>
    </w:p>
    <w:p w:rsidR="001A7779" w:rsidRDefault="001A7779">
      <w:pPr>
        <w:tabs>
          <w:tab w:val="left" w:pos="630"/>
        </w:tabs>
        <w:spacing w:after="240" w:line="360" w:lineRule="exact"/>
      </w:pPr>
      <w:r>
        <w:t>112.</w:t>
      </w:r>
      <w:r>
        <w:tab/>
      </w:r>
      <w:r>
        <w:rPr>
          <w:rFonts w:hint="eastAsia"/>
        </w:rPr>
        <w:t>近年来有关大学和独立高等教育机构学生的数据显示，高中毕业后想继续升学的青年人数在不断增加。</w:t>
      </w:r>
      <w:r>
        <w:rPr>
          <w:rFonts w:hint="eastAsia"/>
        </w:rPr>
        <w:t>2004</w:t>
      </w:r>
      <w:r>
        <w:rPr>
          <w:rFonts w:hint="eastAsia"/>
        </w:rPr>
        <w:t>年，在高等教育方案下注册的学生有</w:t>
      </w:r>
      <w:r>
        <w:t xml:space="preserve">91 229 </w:t>
      </w:r>
      <w:r>
        <w:rPr>
          <w:rFonts w:hint="eastAsia"/>
        </w:rPr>
        <w:t>人，其中女生为</w:t>
      </w:r>
      <w:r>
        <w:t>54 163</w:t>
      </w:r>
      <w:r>
        <w:rPr>
          <w:rFonts w:hint="eastAsia"/>
        </w:rPr>
        <w:t>人，占</w:t>
      </w:r>
      <w:r>
        <w:t>59.4</w:t>
      </w:r>
      <w:r>
        <w:rPr>
          <w:rFonts w:hint="eastAsia"/>
        </w:rPr>
        <w:t>%</w:t>
      </w:r>
      <w:r>
        <w:rPr>
          <w:rFonts w:hint="eastAsia"/>
        </w:rPr>
        <w:t>，在两年制教育方案下注册的学生有</w:t>
      </w:r>
      <w:r>
        <w:t xml:space="preserve">12 621 </w:t>
      </w:r>
      <w:r>
        <w:rPr>
          <w:rFonts w:hint="eastAsia"/>
        </w:rPr>
        <w:t>人，其中女生为</w:t>
      </w:r>
      <w:r>
        <w:t xml:space="preserve">6 129 </w:t>
      </w:r>
      <w:r>
        <w:rPr>
          <w:rFonts w:hint="eastAsia"/>
        </w:rPr>
        <w:t>人，占</w:t>
      </w:r>
      <w:r>
        <w:t xml:space="preserve"> 48.6</w:t>
      </w:r>
      <w:r>
        <w:rPr>
          <w:rFonts w:hint="eastAsia"/>
        </w:rPr>
        <w:t>%</w:t>
      </w:r>
      <w:r>
        <w:rPr>
          <w:rFonts w:hint="eastAsia"/>
        </w:rPr>
        <w:t>。</w:t>
      </w:r>
      <w:r>
        <w:t xml:space="preserve"> </w:t>
      </w:r>
      <w:r>
        <w:rPr>
          <w:rStyle w:val="FootnoteReference"/>
          <w:szCs w:val="24"/>
        </w:rPr>
        <w:footnoteReference w:id="35"/>
      </w:r>
    </w:p>
    <w:p w:rsidR="001A7779" w:rsidRDefault="001A7779">
      <w:pPr>
        <w:tabs>
          <w:tab w:val="left" w:pos="630"/>
        </w:tabs>
        <w:spacing w:after="240" w:line="360" w:lineRule="exact"/>
      </w:pPr>
      <w:r>
        <w:t>113.</w:t>
      </w:r>
      <w:r>
        <w:tab/>
      </w:r>
      <w:r>
        <w:rPr>
          <w:rFonts w:hint="eastAsia"/>
        </w:rPr>
        <w:t>2004</w:t>
      </w:r>
      <w:r>
        <w:rPr>
          <w:rFonts w:hint="eastAsia"/>
        </w:rPr>
        <w:t>年，在学科的选择方面变化不大。与前几年一样，在保健、社会工作和教育学领域的高等教育和学院中，女生依然占多数。在社会科学、商学、法律、艺术和人文学科等领域中，女生也略微超过男生的比例。不过，在技术和科学学科、数学和计算机科学学科中，男生大大超过女生的比例。在个别学科上，女生毕业生比例也偏低。</w:t>
      </w:r>
      <w:r>
        <w:rPr>
          <w:rStyle w:val="FootnoteReference"/>
          <w:szCs w:val="24"/>
        </w:rPr>
        <w:footnoteReference w:id="36"/>
      </w:r>
    </w:p>
    <w:p w:rsidR="001A7779" w:rsidRDefault="001A7779">
      <w:pPr>
        <w:tabs>
          <w:tab w:val="left" w:pos="630"/>
        </w:tabs>
        <w:spacing w:after="240" w:line="360" w:lineRule="exact"/>
        <w:rPr>
          <w:rFonts w:hint="eastAsia"/>
        </w:rPr>
      </w:pPr>
      <w:r>
        <w:t>114.</w:t>
      </w:r>
      <w:r>
        <w:tab/>
      </w:r>
      <w:r>
        <w:rPr>
          <w:rFonts w:hint="eastAsia"/>
        </w:rPr>
        <w:t>2004</w:t>
      </w:r>
      <w:r>
        <w:rPr>
          <w:rFonts w:hint="eastAsia"/>
        </w:rPr>
        <w:t>年，在获得专科和硕士学位的</w:t>
      </w:r>
      <w:r>
        <w:rPr>
          <w:rFonts w:hint="eastAsia"/>
        </w:rPr>
        <w:t>1 056</w:t>
      </w:r>
      <w:r>
        <w:rPr>
          <w:rFonts w:hint="eastAsia"/>
        </w:rPr>
        <w:t>名学生中，有</w:t>
      </w:r>
      <w:r>
        <w:rPr>
          <w:rFonts w:hint="eastAsia"/>
        </w:rPr>
        <w:t>596</w:t>
      </w:r>
      <w:r>
        <w:rPr>
          <w:rFonts w:hint="eastAsia"/>
        </w:rPr>
        <w:t>名女生，占</w:t>
      </w:r>
      <w:r>
        <w:t>56.4%</w:t>
      </w:r>
      <w:r>
        <w:rPr>
          <w:rFonts w:hint="eastAsia"/>
        </w:rPr>
        <w:t>，在获得理科博士学位的</w:t>
      </w:r>
      <w:r>
        <w:rPr>
          <w:rFonts w:hint="eastAsia"/>
        </w:rPr>
        <w:t>355</w:t>
      </w:r>
      <w:r>
        <w:rPr>
          <w:rFonts w:hint="eastAsia"/>
        </w:rPr>
        <w:t>名学生中，女生有</w:t>
      </w:r>
      <w:r>
        <w:rPr>
          <w:rFonts w:hint="eastAsia"/>
        </w:rPr>
        <w:t>144</w:t>
      </w:r>
      <w:r>
        <w:rPr>
          <w:rFonts w:hint="eastAsia"/>
        </w:rPr>
        <w:t>人，占</w:t>
      </w:r>
      <w:r>
        <w:t>40.6</w:t>
      </w:r>
      <w:r>
        <w:rPr>
          <w:rFonts w:hint="eastAsia"/>
        </w:rPr>
        <w:t>%</w:t>
      </w:r>
      <w:r>
        <w:rPr>
          <w:rFonts w:hint="eastAsia"/>
        </w:rPr>
        <w:t>。</w:t>
      </w:r>
      <w:r>
        <w:rPr>
          <w:rStyle w:val="FootnoteReference"/>
          <w:szCs w:val="24"/>
        </w:rPr>
        <w:footnoteReference w:id="37"/>
      </w:r>
    </w:p>
    <w:p w:rsidR="001A7779" w:rsidRDefault="001A7779">
      <w:pPr>
        <w:tabs>
          <w:tab w:val="left" w:pos="630"/>
        </w:tabs>
        <w:spacing w:after="240" w:line="360" w:lineRule="exact"/>
        <w:rPr>
          <w:rFonts w:eastAsia="SimHei"/>
          <w:color w:val="FF0000"/>
        </w:rPr>
      </w:pPr>
      <w:r>
        <w:rPr>
          <w:rFonts w:eastAsia="SimHei" w:hint="eastAsia"/>
          <w:color w:val="FF0000"/>
        </w:rPr>
        <w:t>奖学金</w:t>
      </w:r>
    </w:p>
    <w:p w:rsidR="001A7779" w:rsidRDefault="001A7779">
      <w:pPr>
        <w:tabs>
          <w:tab w:val="left" w:pos="630"/>
        </w:tabs>
        <w:spacing w:after="240" w:line="360" w:lineRule="exact"/>
      </w:pPr>
      <w:r>
        <w:t>115.</w:t>
      </w:r>
      <w:r>
        <w:tab/>
      </w:r>
      <w:r>
        <w:rPr>
          <w:rFonts w:hint="eastAsia"/>
        </w:rPr>
        <w:t>2004</w:t>
      </w:r>
      <w:r>
        <w:rPr>
          <w:rFonts w:hint="eastAsia"/>
        </w:rPr>
        <w:t>年底，平均奖学金金额达到</w:t>
      </w:r>
      <w:r>
        <w:t xml:space="preserve">35 100 </w:t>
      </w:r>
      <w:r>
        <w:rPr>
          <w:rFonts w:hint="eastAsia"/>
        </w:rPr>
        <w:t>托拉尔（约合</w:t>
      </w:r>
      <w:r>
        <w:rPr>
          <w:rFonts w:hint="eastAsia"/>
        </w:rPr>
        <w:t>180</w:t>
      </w:r>
      <w:r>
        <w:rPr>
          <w:rFonts w:hint="eastAsia"/>
        </w:rPr>
        <w:t>美元）；奖学金获得者有</w:t>
      </w:r>
      <w:r>
        <w:t>36 675</w:t>
      </w:r>
      <w:r>
        <w:rPr>
          <w:rFonts w:hint="eastAsia"/>
        </w:rPr>
        <w:t>名中小学生（占正规学校学生的</w:t>
      </w:r>
      <w:r>
        <w:t>35.9</w:t>
      </w:r>
      <w:r>
        <w:rPr>
          <w:rFonts w:hint="eastAsia"/>
        </w:rPr>
        <w:t>%</w:t>
      </w:r>
      <w:r>
        <w:rPr>
          <w:rFonts w:hint="eastAsia"/>
        </w:rPr>
        <w:t>）和</w:t>
      </w:r>
      <w:r>
        <w:t>24 016</w:t>
      </w:r>
      <w:r>
        <w:rPr>
          <w:rFonts w:hint="eastAsia"/>
        </w:rPr>
        <w:t>名大学生（占注册学生的</w:t>
      </w:r>
      <w:r>
        <w:t>21.3</w:t>
      </w:r>
      <w:r>
        <w:rPr>
          <w:rFonts w:hint="eastAsia"/>
        </w:rPr>
        <w:t>%</w:t>
      </w:r>
      <w:r>
        <w:rPr>
          <w:rFonts w:hint="eastAsia"/>
        </w:rPr>
        <w:t>）。在所有奖学金获得者中女生有</w:t>
      </w:r>
      <w:r>
        <w:t>33 187</w:t>
      </w:r>
      <w:r>
        <w:rPr>
          <w:rFonts w:hint="eastAsia"/>
        </w:rPr>
        <w:t>人，占</w:t>
      </w:r>
      <w:r>
        <w:t>54.7</w:t>
      </w:r>
      <w:r>
        <w:rPr>
          <w:rFonts w:hint="eastAsia"/>
        </w:rPr>
        <w:t>%</w:t>
      </w:r>
      <w:r>
        <w:rPr>
          <w:rFonts w:hint="eastAsia"/>
        </w:rPr>
        <w:t>，其中有</w:t>
      </w:r>
      <w:r>
        <w:t xml:space="preserve">18 743 </w:t>
      </w:r>
      <w:r>
        <w:rPr>
          <w:rFonts w:hint="eastAsia"/>
        </w:rPr>
        <w:t>名中小学生，占</w:t>
      </w:r>
      <w:r>
        <w:t>51.1</w:t>
      </w:r>
      <w:r>
        <w:rPr>
          <w:rFonts w:hint="eastAsia"/>
        </w:rPr>
        <w:t>%</w:t>
      </w:r>
      <w:r>
        <w:rPr>
          <w:rFonts w:hint="eastAsia"/>
        </w:rPr>
        <w:t>和</w:t>
      </w:r>
      <w:r>
        <w:t>14 444</w:t>
      </w:r>
      <w:r>
        <w:rPr>
          <w:rFonts w:hint="eastAsia"/>
        </w:rPr>
        <w:t>名大学生，占</w:t>
      </w:r>
      <w:r>
        <w:t>60.1%</w:t>
      </w:r>
      <w:r>
        <w:rPr>
          <w:rFonts w:hint="eastAsia"/>
        </w:rPr>
        <w:t>。</w:t>
      </w:r>
      <w:r>
        <w:t xml:space="preserve"> </w:t>
      </w:r>
    </w:p>
    <w:p w:rsidR="001A7779" w:rsidRDefault="001A7779">
      <w:pPr>
        <w:tabs>
          <w:tab w:val="left" w:pos="630"/>
        </w:tabs>
        <w:spacing w:after="240" w:line="360" w:lineRule="exact"/>
      </w:pPr>
      <w:r>
        <w:t>116.</w:t>
      </w:r>
      <w:r>
        <w:tab/>
        <w:t xml:space="preserve"> </w:t>
      </w:r>
      <w:r>
        <w:rPr>
          <w:rFonts w:hint="eastAsia"/>
        </w:rPr>
        <w:t>公司奖学金获得者有</w:t>
      </w:r>
      <w:r>
        <w:t>7 077</w:t>
      </w:r>
      <w:r>
        <w:rPr>
          <w:rFonts w:hint="eastAsia"/>
        </w:rPr>
        <w:t>人，占所有奖学金获得者的</w:t>
      </w:r>
      <w:r>
        <w:t>11.7</w:t>
      </w:r>
      <w:r>
        <w:rPr>
          <w:rFonts w:hint="eastAsia"/>
        </w:rPr>
        <w:t>%</w:t>
      </w:r>
      <w:r>
        <w:rPr>
          <w:rFonts w:hint="eastAsia"/>
        </w:rPr>
        <w:t>，国家奖学金获得者有</w:t>
      </w:r>
      <w:r>
        <w:t xml:space="preserve">40 659 </w:t>
      </w:r>
      <w:r>
        <w:rPr>
          <w:rFonts w:hint="eastAsia"/>
        </w:rPr>
        <w:t>人，占奖学金获得者的</w:t>
      </w:r>
      <w:r>
        <w:rPr>
          <w:rFonts w:hint="eastAsia"/>
        </w:rPr>
        <w:t>67%</w:t>
      </w:r>
      <w:r>
        <w:rPr>
          <w:rFonts w:hint="eastAsia"/>
        </w:rPr>
        <w:t>，获得</w:t>
      </w:r>
      <w:r>
        <w:t xml:space="preserve">Zois </w:t>
      </w:r>
      <w:r>
        <w:rPr>
          <w:rFonts w:hint="eastAsia"/>
        </w:rPr>
        <w:t>奖学金的中小学和大学特长生有</w:t>
      </w:r>
      <w:r>
        <w:t>12 920</w:t>
      </w:r>
      <w:r>
        <w:rPr>
          <w:rFonts w:hint="eastAsia"/>
        </w:rPr>
        <w:t>人，占奖学金获得者的</w:t>
      </w:r>
      <w:r>
        <w:t>21.3%</w:t>
      </w:r>
      <w:r>
        <w:rPr>
          <w:rFonts w:hint="eastAsia"/>
        </w:rPr>
        <w:t>。所有中小学和大学获得奖学金的女生占其总人数的</w:t>
      </w:r>
      <w:r>
        <w:t>37.7%</w:t>
      </w:r>
      <w:r>
        <w:rPr>
          <w:rFonts w:hint="eastAsia"/>
        </w:rPr>
        <w:t>，大学生比例为</w:t>
      </w:r>
      <w:r>
        <w:t>44.3</w:t>
      </w:r>
      <w:r>
        <w:rPr>
          <w:rFonts w:hint="eastAsia"/>
        </w:rPr>
        <w:t>%</w:t>
      </w:r>
      <w:r>
        <w:rPr>
          <w:rFonts w:hint="eastAsia"/>
        </w:rPr>
        <w:t>，中小学生比例为</w:t>
      </w:r>
      <w:r>
        <w:t>26.7</w:t>
      </w:r>
      <w:r>
        <w:rPr>
          <w:rFonts w:hint="eastAsia"/>
        </w:rPr>
        <w:t>%</w:t>
      </w:r>
      <w:r>
        <w:rPr>
          <w:rFonts w:hint="eastAsia"/>
        </w:rPr>
        <w:t>。在国家奖学金和</w:t>
      </w:r>
      <w:r>
        <w:t xml:space="preserve">Zois </w:t>
      </w:r>
      <w:r>
        <w:rPr>
          <w:rFonts w:hint="eastAsia"/>
        </w:rPr>
        <w:t>奖学金获得者中，女生比例较高（</w:t>
      </w:r>
      <w:r>
        <w:t>56.9</w:t>
      </w:r>
      <w:r>
        <w:rPr>
          <w:rFonts w:hint="eastAsia"/>
        </w:rPr>
        <w:t>%</w:t>
      </w:r>
      <w:r>
        <w:rPr>
          <w:rFonts w:hint="eastAsia"/>
        </w:rPr>
        <w:t>），这是因为中小学生的女生比例为</w:t>
      </w:r>
      <w:r>
        <w:t>54.6</w:t>
      </w:r>
      <w:r>
        <w:rPr>
          <w:rFonts w:hint="eastAsia"/>
        </w:rPr>
        <w:t>%</w:t>
      </w:r>
      <w:r>
        <w:rPr>
          <w:rFonts w:hint="eastAsia"/>
        </w:rPr>
        <w:t>，大学生的女生比例为</w:t>
      </w:r>
      <w:r>
        <w:t>63.8</w:t>
      </w:r>
      <w:r>
        <w:rPr>
          <w:rFonts w:hint="eastAsia"/>
        </w:rPr>
        <w:t>%</w:t>
      </w:r>
      <w:r>
        <w:rPr>
          <w:rFonts w:hint="eastAsia"/>
        </w:rPr>
        <w:t>。</w:t>
      </w:r>
      <w:r>
        <w:t xml:space="preserve"> </w:t>
      </w:r>
      <w:r>
        <w:rPr>
          <w:rStyle w:val="FootnoteReference"/>
          <w:szCs w:val="24"/>
        </w:rPr>
        <w:footnoteReference w:id="38"/>
      </w:r>
    </w:p>
    <w:p w:rsidR="001A7779" w:rsidRDefault="001A7779">
      <w:pPr>
        <w:tabs>
          <w:tab w:val="left" w:pos="630"/>
        </w:tabs>
        <w:spacing w:after="240" w:line="360" w:lineRule="exact"/>
        <w:rPr>
          <w:rFonts w:eastAsia="SimHei"/>
          <w:color w:val="FF0000"/>
        </w:rPr>
      </w:pPr>
      <w:r>
        <w:rPr>
          <w:rFonts w:eastAsia="SimHei" w:hint="eastAsia"/>
          <w:color w:val="FF0000"/>
        </w:rPr>
        <w:t>终身教育</w:t>
      </w:r>
    </w:p>
    <w:p w:rsidR="001A7779" w:rsidRDefault="001A7779">
      <w:pPr>
        <w:tabs>
          <w:tab w:val="left" w:pos="630"/>
        </w:tabs>
        <w:spacing w:after="240" w:line="360" w:lineRule="exact"/>
      </w:pPr>
      <w:r>
        <w:t>117.</w:t>
      </w:r>
      <w:r>
        <w:tab/>
      </w:r>
      <w:r>
        <w:rPr>
          <w:rFonts w:hint="eastAsia"/>
        </w:rPr>
        <w:t>2004</w:t>
      </w:r>
      <w:r>
        <w:rPr>
          <w:rFonts w:hint="eastAsia"/>
        </w:rPr>
        <w:t>年，《关于</w:t>
      </w:r>
      <w:r>
        <w:rPr>
          <w:rFonts w:hint="eastAsia"/>
        </w:rPr>
        <w:t>2010</w:t>
      </w:r>
      <w:r>
        <w:rPr>
          <w:rFonts w:hint="eastAsia"/>
        </w:rPr>
        <w:t>年前斯洛文尼亚共和国成人教育总计划的决议》获得通过。该决议注意到，在满足受教育水平低、有特殊需要的成人、少数族裔成员等群体的需求方面，缺乏足够的教育方案。</w:t>
      </w:r>
      <w:r>
        <w:t xml:space="preserve"> </w:t>
      </w:r>
      <w:r>
        <w:rPr>
          <w:rFonts w:hint="eastAsia"/>
        </w:rPr>
        <w:t>因此，必须采取特别措施，解决弱势成人群体、有特殊需要的成人、最不发达地区和人口减少地区的人群以及移民的教育问题。国家计划将为所有成人群体提供获取有关学习机会的以及实施两性平等原则的信息和指导。</w:t>
      </w:r>
      <w:r>
        <w:t xml:space="preserve"> </w:t>
      </w:r>
    </w:p>
    <w:p w:rsidR="001A7779" w:rsidRDefault="001A7779">
      <w:pPr>
        <w:tabs>
          <w:tab w:val="left" w:pos="630"/>
        </w:tabs>
        <w:spacing w:after="240" w:line="360" w:lineRule="exact"/>
      </w:pPr>
      <w:r>
        <w:t>118.</w:t>
      </w:r>
      <w:r>
        <w:tab/>
        <w:t>2002/2003</w:t>
      </w:r>
      <w:r>
        <w:rPr>
          <w:rFonts w:hint="eastAsia"/>
        </w:rPr>
        <w:t>年，受教育方案涵盖了</w:t>
      </w:r>
      <w:r>
        <w:rPr>
          <w:rFonts w:hint="eastAsia"/>
        </w:rPr>
        <w:t>15</w:t>
      </w:r>
      <w:r>
        <w:rPr>
          <w:rFonts w:hint="eastAsia"/>
        </w:rPr>
        <w:t>岁及</w:t>
      </w:r>
      <w:r>
        <w:rPr>
          <w:rFonts w:hint="eastAsia"/>
        </w:rPr>
        <w:t>15</w:t>
      </w:r>
      <w:r>
        <w:rPr>
          <w:rFonts w:hint="eastAsia"/>
        </w:rPr>
        <w:t>岁以上人口的</w:t>
      </w:r>
      <w:r>
        <w:t>17.9</w:t>
      </w:r>
      <w:r>
        <w:rPr>
          <w:rFonts w:hint="eastAsia"/>
        </w:rPr>
        <w:t>%</w:t>
      </w:r>
      <w:r>
        <w:rPr>
          <w:rFonts w:hint="eastAsia"/>
        </w:rPr>
        <w:t>，其中女性占</w:t>
      </w:r>
      <w:r>
        <w:t>51.9%</w:t>
      </w:r>
      <w:r>
        <w:rPr>
          <w:rFonts w:hint="eastAsia"/>
        </w:rPr>
        <w:t>。继续教育则涵盖</w:t>
      </w:r>
      <w:r>
        <w:rPr>
          <w:rFonts w:hint="eastAsia"/>
        </w:rPr>
        <w:t>15</w:t>
      </w:r>
      <w:r>
        <w:rPr>
          <w:rFonts w:hint="eastAsia"/>
        </w:rPr>
        <w:t>岁及</w:t>
      </w:r>
      <w:r>
        <w:rPr>
          <w:rFonts w:hint="eastAsia"/>
        </w:rPr>
        <w:t>15</w:t>
      </w:r>
      <w:r>
        <w:rPr>
          <w:rFonts w:hint="eastAsia"/>
        </w:rPr>
        <w:t>岁以上人口的</w:t>
      </w:r>
      <w:r>
        <w:t>19.3%</w:t>
      </w:r>
      <w:r>
        <w:rPr>
          <w:rFonts w:hint="eastAsia"/>
        </w:rPr>
        <w:t>，其中女性占</w:t>
      </w:r>
      <w:r>
        <w:t>53.4</w:t>
      </w:r>
      <w:r>
        <w:rPr>
          <w:rFonts w:hint="eastAsia"/>
        </w:rPr>
        <w:t>%</w:t>
      </w:r>
      <w:r>
        <w:rPr>
          <w:rFonts w:hint="eastAsia"/>
        </w:rPr>
        <w:t>。与男子相比，妇女更多地参与两项（</w:t>
      </w:r>
      <w:r>
        <w:rPr>
          <w:rFonts w:hint="eastAsia"/>
        </w:rPr>
        <w:t>59%</w:t>
      </w:r>
      <w:r>
        <w:rPr>
          <w:rFonts w:hint="eastAsia"/>
        </w:rPr>
        <w:t>）、三项（</w:t>
      </w:r>
      <w:r>
        <w:t>63.4</w:t>
      </w:r>
      <w:r>
        <w:rPr>
          <w:rFonts w:hint="eastAsia"/>
        </w:rPr>
        <w:t>%</w:t>
      </w:r>
      <w:r>
        <w:rPr>
          <w:rFonts w:hint="eastAsia"/>
        </w:rPr>
        <w:t>）、四项或更多的（</w:t>
      </w:r>
      <w:r>
        <w:t>69.2</w:t>
      </w:r>
      <w:r>
        <w:rPr>
          <w:rFonts w:hint="eastAsia"/>
        </w:rPr>
        <w:t>%</w:t>
      </w:r>
      <w:r>
        <w:rPr>
          <w:rFonts w:hint="eastAsia"/>
        </w:rPr>
        <w:t>）教育活动。参与非正规教育者占</w:t>
      </w:r>
      <w:r>
        <w:rPr>
          <w:rFonts w:hint="eastAsia"/>
        </w:rPr>
        <w:t>15</w:t>
      </w:r>
      <w:r>
        <w:rPr>
          <w:rFonts w:hint="eastAsia"/>
        </w:rPr>
        <w:t>岁及</w:t>
      </w:r>
      <w:r>
        <w:rPr>
          <w:rFonts w:hint="eastAsia"/>
        </w:rPr>
        <w:t>15</w:t>
      </w:r>
      <w:r>
        <w:rPr>
          <w:rFonts w:hint="eastAsia"/>
        </w:rPr>
        <w:t>岁以上人口的</w:t>
      </w:r>
      <w:r>
        <w:t>74.7</w:t>
      </w:r>
      <w:r>
        <w:rPr>
          <w:rFonts w:hint="eastAsia"/>
        </w:rPr>
        <w:t>%</w:t>
      </w:r>
      <w:r>
        <w:rPr>
          <w:rFonts w:hint="eastAsia"/>
        </w:rPr>
        <w:t>，其中</w:t>
      </w:r>
      <w:r>
        <w:t>51.4%</w:t>
      </w:r>
      <w:r>
        <w:rPr>
          <w:rFonts w:hint="eastAsia"/>
        </w:rPr>
        <w:t>为女性。最常见的非正规教育包括电视教学、音像磁带、专业文献、计算机、上图书馆和教育中心。</w:t>
      </w:r>
      <w:r>
        <w:rPr>
          <w:rStyle w:val="FootnoteReference"/>
          <w:szCs w:val="24"/>
        </w:rPr>
        <w:footnoteReference w:id="39"/>
      </w:r>
    </w:p>
    <w:p w:rsidR="001A7779" w:rsidRDefault="001A7779">
      <w:pPr>
        <w:tabs>
          <w:tab w:val="left" w:pos="630"/>
        </w:tabs>
        <w:spacing w:after="240" w:line="360" w:lineRule="exact"/>
      </w:pPr>
      <w:r>
        <w:t>119.</w:t>
      </w:r>
      <w:r>
        <w:tab/>
      </w:r>
      <w:r>
        <w:rPr>
          <w:rFonts w:hint="eastAsia"/>
        </w:rPr>
        <w:t>三分之二以上的</w:t>
      </w:r>
      <w:r>
        <w:rPr>
          <w:rFonts w:hint="eastAsia"/>
        </w:rPr>
        <w:t>15</w:t>
      </w:r>
      <w:r>
        <w:rPr>
          <w:rFonts w:hint="eastAsia"/>
        </w:rPr>
        <w:t>岁及</w:t>
      </w:r>
      <w:r>
        <w:rPr>
          <w:rFonts w:hint="eastAsia"/>
        </w:rPr>
        <w:t>15</w:t>
      </w:r>
      <w:r>
        <w:rPr>
          <w:rFonts w:hint="eastAsia"/>
        </w:rPr>
        <w:t>岁以上人口没有参与接受教育活动，也未接受继续教育。最通常的原因是缺乏学习兴趣（</w:t>
      </w:r>
      <w:r>
        <w:t>65.2</w:t>
      </w:r>
      <w:r>
        <w:rPr>
          <w:rFonts w:hint="eastAsia"/>
        </w:rPr>
        <w:t>%</w:t>
      </w:r>
      <w:r>
        <w:rPr>
          <w:rFonts w:hint="eastAsia"/>
        </w:rPr>
        <w:t>），其中妇女占</w:t>
      </w:r>
      <w:r>
        <w:t>52.8</w:t>
      </w:r>
      <w:r>
        <w:rPr>
          <w:rFonts w:hint="eastAsia"/>
        </w:rPr>
        <w:t>%</w:t>
      </w:r>
      <w:r>
        <w:rPr>
          <w:rFonts w:hint="eastAsia"/>
        </w:rPr>
        <w:t>。妇女（往往多于男子）在不参加任何形式的教育时，最常说的理由是语言有困难（</w:t>
      </w:r>
      <w:r>
        <w:t>83.4</w:t>
      </w:r>
      <w:r>
        <w:rPr>
          <w:rFonts w:hint="eastAsia"/>
        </w:rPr>
        <w:t>%</w:t>
      </w:r>
      <w:r>
        <w:rPr>
          <w:rFonts w:hint="eastAsia"/>
        </w:rPr>
        <w:t>）和家庭责任（</w:t>
      </w:r>
      <w:r>
        <w:t>79.5</w:t>
      </w:r>
      <w:r>
        <w:rPr>
          <w:rFonts w:hint="eastAsia"/>
        </w:rPr>
        <w:t>%</w:t>
      </w:r>
      <w:r>
        <w:rPr>
          <w:rFonts w:hint="eastAsia"/>
        </w:rPr>
        <w:t>）；较之男子，妇女很少说原因是工作量太大（</w:t>
      </w:r>
      <w:r>
        <w:rPr>
          <w:rFonts w:hint="eastAsia"/>
        </w:rPr>
        <w:t>34%</w:t>
      </w:r>
      <w:r>
        <w:rPr>
          <w:rFonts w:hint="eastAsia"/>
        </w:rPr>
        <w:t>）和缺乏教育（</w:t>
      </w:r>
      <w:r>
        <w:t>41.6</w:t>
      </w:r>
      <w:r>
        <w:rPr>
          <w:rFonts w:hint="eastAsia"/>
        </w:rPr>
        <w:t>%</w:t>
      </w:r>
      <w:r>
        <w:rPr>
          <w:rFonts w:hint="eastAsia"/>
        </w:rPr>
        <w:t>）。</w:t>
      </w:r>
      <w:r>
        <w:rPr>
          <w:rStyle w:val="FootnoteReference"/>
          <w:szCs w:val="24"/>
        </w:rPr>
        <w:footnoteReference w:id="40"/>
      </w:r>
      <w:r>
        <w:t xml:space="preserve"> </w:t>
      </w:r>
    </w:p>
    <w:p w:rsidR="001A7779" w:rsidRDefault="001A7779">
      <w:pPr>
        <w:pStyle w:val="H1"/>
        <w:spacing w:before="120"/>
      </w:pPr>
      <w:r>
        <w:rPr>
          <w:rFonts w:hint="eastAsia"/>
        </w:rPr>
        <w:t>第</w:t>
      </w:r>
      <w:r>
        <w:t>11</w:t>
      </w:r>
      <w:r>
        <w:rPr>
          <w:rFonts w:hint="eastAsia"/>
        </w:rPr>
        <w:t>条</w:t>
      </w:r>
      <w:r>
        <w:t xml:space="preserve"> </w:t>
      </w:r>
      <w:r>
        <w:rPr>
          <w:rFonts w:hint="eastAsia"/>
        </w:rPr>
        <w:t>就业</w:t>
      </w:r>
    </w:p>
    <w:p w:rsidR="001A7779" w:rsidRDefault="001A7779">
      <w:pPr>
        <w:tabs>
          <w:tab w:val="left" w:pos="630"/>
        </w:tabs>
        <w:spacing w:after="240" w:line="360" w:lineRule="exact"/>
        <w:rPr>
          <w:rFonts w:eastAsia="SimHei"/>
          <w:color w:val="FF0000"/>
        </w:rPr>
      </w:pPr>
      <w:r>
        <w:rPr>
          <w:rFonts w:eastAsia="SimHei" w:hint="eastAsia"/>
          <w:color w:val="FF0000"/>
        </w:rPr>
        <w:t>劳动市场中的妇女</w:t>
      </w:r>
    </w:p>
    <w:p w:rsidR="001A7779" w:rsidRDefault="001A7779">
      <w:pPr>
        <w:tabs>
          <w:tab w:val="left" w:pos="630"/>
        </w:tabs>
        <w:spacing w:after="240" w:line="360" w:lineRule="exact"/>
      </w:pPr>
      <w:r>
        <w:t>120.</w:t>
      </w:r>
      <w:r>
        <w:tab/>
      </w:r>
      <w:r>
        <w:rPr>
          <w:rFonts w:hint="eastAsia"/>
        </w:rPr>
        <w:t>规范就业领域的法律文件有《雇用关系法》、《就业和失业保险法》、《退休金和病残保险法》、《保健和健康保险法》、《工作地点卫生和安全法》和《养育子女和家庭收入法》，这些文件在斯洛文尼亚共和国第三次报告中已有论述。在本报告所涉期内，立法没有任何变化，这将对妇女地位产生特殊的影响。</w:t>
      </w:r>
      <w:r>
        <w:t xml:space="preserve"> </w:t>
      </w:r>
    </w:p>
    <w:p w:rsidR="001A7779" w:rsidRDefault="001A7779">
      <w:pPr>
        <w:tabs>
          <w:tab w:val="left" w:pos="630"/>
        </w:tabs>
        <w:spacing w:after="240" w:line="360" w:lineRule="exact"/>
      </w:pPr>
      <w:r>
        <w:t>121.</w:t>
      </w:r>
      <w:r>
        <w:tab/>
      </w:r>
      <w:r>
        <w:rPr>
          <w:rFonts w:hint="eastAsia"/>
        </w:rPr>
        <w:t>2004</w:t>
      </w:r>
      <w:r>
        <w:rPr>
          <w:rFonts w:hint="eastAsia"/>
        </w:rPr>
        <w:t>年</w:t>
      </w:r>
      <w:r>
        <w:rPr>
          <w:rFonts w:hint="eastAsia"/>
        </w:rPr>
        <w:t>6</w:t>
      </w:r>
      <w:r>
        <w:rPr>
          <w:rFonts w:hint="eastAsia"/>
        </w:rPr>
        <w:t>月通过了修正《斯洛文尼亚共和国宪法》第</w:t>
      </w:r>
      <w:r>
        <w:rPr>
          <w:rFonts w:hint="eastAsia"/>
        </w:rPr>
        <w:t>50</w:t>
      </w:r>
      <w:r>
        <w:rPr>
          <w:rFonts w:hint="eastAsia"/>
        </w:rPr>
        <w:t>条的《宪法法案》，由此《宪法》规定了退休金权利。经修正的第</w:t>
      </w:r>
      <w:r>
        <w:rPr>
          <w:rFonts w:hint="eastAsia"/>
        </w:rPr>
        <w:t>50</w:t>
      </w:r>
      <w:r>
        <w:rPr>
          <w:rFonts w:hint="eastAsia"/>
        </w:rPr>
        <w:t>条第一段明文规定：“公民享有社会保障权利，包括根据法律规定的条件领取养恤金的权利。”</w:t>
      </w:r>
      <w:r>
        <w:t xml:space="preserve"> </w:t>
      </w:r>
    </w:p>
    <w:p w:rsidR="001A7779" w:rsidRDefault="001A7779">
      <w:pPr>
        <w:tabs>
          <w:tab w:val="left" w:pos="630"/>
        </w:tabs>
        <w:spacing w:after="240" w:line="360" w:lineRule="exact"/>
      </w:pPr>
      <w:r>
        <w:t>122.</w:t>
      </w:r>
      <w:r>
        <w:tab/>
      </w:r>
      <w:r>
        <w:rPr>
          <w:rFonts w:hint="eastAsia"/>
        </w:rPr>
        <w:t>如第三次报告中所述，斯洛文尼亚通过了《雇用关系法》，该法于</w:t>
      </w:r>
      <w:r>
        <w:rPr>
          <w:rFonts w:hint="eastAsia"/>
        </w:rPr>
        <w:t>2003</w:t>
      </w:r>
      <w:r>
        <w:rPr>
          <w:rFonts w:hint="eastAsia"/>
        </w:rPr>
        <w:t>年</w:t>
      </w:r>
      <w:r>
        <w:rPr>
          <w:rFonts w:hint="eastAsia"/>
        </w:rPr>
        <w:t>1</w:t>
      </w:r>
      <w:r>
        <w:rPr>
          <w:rFonts w:hint="eastAsia"/>
        </w:rPr>
        <w:t>月</w:t>
      </w:r>
      <w:r>
        <w:rPr>
          <w:rFonts w:hint="eastAsia"/>
        </w:rPr>
        <w:t>1</w:t>
      </w:r>
      <w:r>
        <w:rPr>
          <w:rFonts w:hint="eastAsia"/>
        </w:rPr>
        <w:t>日生效，其中第</w:t>
      </w:r>
      <w:r>
        <w:rPr>
          <w:rFonts w:hint="eastAsia"/>
        </w:rPr>
        <w:t>6</w:t>
      </w:r>
      <w:r>
        <w:rPr>
          <w:rFonts w:hint="eastAsia"/>
        </w:rPr>
        <w:t>条禁止在雇用中和雇用关系中直接或间接形式的歧视行为。在</w:t>
      </w:r>
      <w:r>
        <w:t>2003-2004</w:t>
      </w:r>
      <w:r>
        <w:rPr>
          <w:rFonts w:hint="eastAsia"/>
        </w:rPr>
        <w:t>年期间，斯洛文尼亚劳动监察员注意到有</w:t>
      </w:r>
      <w:r>
        <w:rPr>
          <w:rFonts w:hint="eastAsia"/>
        </w:rPr>
        <w:t>4</w:t>
      </w:r>
      <w:r>
        <w:rPr>
          <w:rFonts w:hint="eastAsia"/>
        </w:rPr>
        <w:t>起违反第</w:t>
      </w:r>
      <w:r>
        <w:rPr>
          <w:rFonts w:hint="eastAsia"/>
        </w:rPr>
        <w:t>6</w:t>
      </w:r>
      <w:r>
        <w:rPr>
          <w:rFonts w:hint="eastAsia"/>
        </w:rPr>
        <w:t>条的案件（共有</w:t>
      </w:r>
      <w:r>
        <w:rPr>
          <w:rFonts w:hint="eastAsia"/>
        </w:rPr>
        <w:t>8</w:t>
      </w:r>
      <w:r>
        <w:rPr>
          <w:rFonts w:hint="eastAsia"/>
        </w:rPr>
        <w:t>起违规案件）；确认这些案件中有</w:t>
      </w:r>
      <w:r>
        <w:rPr>
          <w:rFonts w:hint="eastAsia"/>
        </w:rPr>
        <w:t>2</w:t>
      </w:r>
      <w:r>
        <w:rPr>
          <w:rFonts w:hint="eastAsia"/>
        </w:rPr>
        <w:t>起违反了禁止以性别为由歧视的规定，</w:t>
      </w:r>
      <w:r>
        <w:rPr>
          <w:rFonts w:hint="eastAsia"/>
        </w:rPr>
        <w:t>2003</w:t>
      </w:r>
      <w:r>
        <w:rPr>
          <w:rFonts w:hint="eastAsia"/>
        </w:rPr>
        <w:t>年有一起案件，</w:t>
      </w:r>
      <w:r>
        <w:rPr>
          <w:rFonts w:hint="eastAsia"/>
        </w:rPr>
        <w:t>2004</w:t>
      </w:r>
      <w:r>
        <w:rPr>
          <w:rFonts w:hint="eastAsia"/>
        </w:rPr>
        <w:t>年有一起。</w:t>
      </w:r>
      <w:r>
        <w:rPr>
          <w:rStyle w:val="FootnoteReference"/>
          <w:szCs w:val="24"/>
        </w:rPr>
        <w:footnoteReference w:id="41"/>
      </w:r>
      <w:r>
        <w:t xml:space="preserve"> </w:t>
      </w:r>
      <w:r>
        <w:rPr>
          <w:rFonts w:hint="eastAsia"/>
        </w:rPr>
        <w:t>在这两起案件中都违反了《雇用关系法》第</w:t>
      </w:r>
      <w:r>
        <w:rPr>
          <w:rFonts w:hint="eastAsia"/>
        </w:rPr>
        <w:t>25</w:t>
      </w:r>
      <w:r>
        <w:rPr>
          <w:rFonts w:hint="eastAsia"/>
        </w:rPr>
        <w:t>条，该条禁止在招聘广告上说明只招收男性或女性补充空缺岗位。在</w:t>
      </w:r>
      <w:r>
        <w:rPr>
          <w:rFonts w:hint="eastAsia"/>
        </w:rPr>
        <w:t>2003</w:t>
      </w:r>
      <w:r>
        <w:rPr>
          <w:rFonts w:hint="eastAsia"/>
        </w:rPr>
        <w:t>年的案件中，雇主在两个空缺职位的招聘广告中，将（男性）性别和具体年龄作为雇用条件。</w:t>
      </w:r>
      <w:r>
        <w:rPr>
          <w:rFonts w:hint="eastAsia"/>
        </w:rPr>
        <w:t xml:space="preserve"> </w:t>
      </w:r>
      <w:r>
        <w:rPr>
          <w:rFonts w:hint="eastAsia"/>
        </w:rPr>
        <w:t>根据《雇用关系法》第</w:t>
      </w:r>
      <w:r>
        <w:rPr>
          <w:rFonts w:hint="eastAsia"/>
        </w:rPr>
        <w:t>229</w:t>
      </w:r>
      <w:r>
        <w:rPr>
          <w:rFonts w:hint="eastAsia"/>
        </w:rPr>
        <w:t>条，对该雇主或其负责人违法行为实施了处罚。在</w:t>
      </w:r>
      <w:r>
        <w:rPr>
          <w:rFonts w:hint="eastAsia"/>
        </w:rPr>
        <w:t>2004</w:t>
      </w:r>
      <w:r>
        <w:rPr>
          <w:rFonts w:hint="eastAsia"/>
        </w:rPr>
        <w:t>年的案件中，违规行为也与一个空缺职位的招聘广告有关。在招聘广告中，雇主将性别（男性）和</w:t>
      </w:r>
      <w:r>
        <w:rPr>
          <w:rFonts w:hint="eastAsia"/>
        </w:rPr>
        <w:t>25</w:t>
      </w:r>
      <w:r>
        <w:rPr>
          <w:rFonts w:hint="eastAsia"/>
        </w:rPr>
        <w:t>至</w:t>
      </w:r>
      <w:r>
        <w:rPr>
          <w:rFonts w:hint="eastAsia"/>
        </w:rPr>
        <w:t>40</w:t>
      </w:r>
      <w:r>
        <w:rPr>
          <w:rFonts w:hint="eastAsia"/>
        </w:rPr>
        <w:t>岁的年龄界限作为填补该职位空缺的条件。对法人雇主及其负责人提起了诉讼。</w:t>
      </w:r>
      <w:r>
        <w:t xml:space="preserve"> </w:t>
      </w:r>
    </w:p>
    <w:p w:rsidR="001A7779" w:rsidRDefault="001A7779">
      <w:pPr>
        <w:tabs>
          <w:tab w:val="left" w:pos="630"/>
        </w:tabs>
        <w:spacing w:after="240" w:line="360" w:lineRule="exact"/>
      </w:pPr>
      <w:r>
        <w:t>123.</w:t>
      </w:r>
      <w:r>
        <w:tab/>
      </w:r>
      <w:r>
        <w:rPr>
          <w:rFonts w:hint="eastAsia"/>
          <w:spacing w:val="2"/>
        </w:rPr>
        <w:t>劳动监察员确认存在以孕产为由违反禁止歧视令行为，涉案雇主终止了与休完育儿假的怀孕妇女的雇用合同，以及与其他因孕产享有特别保护的妇女的雇用合同。在个别案件中，雇主要么是没有为她们提供工作，要么是迫使她们签订不适当的雇用合同。</w:t>
      </w:r>
      <w:r>
        <w:rPr>
          <w:rFonts w:hint="eastAsia"/>
          <w:spacing w:val="2"/>
        </w:rPr>
        <w:t>2004</w:t>
      </w:r>
      <w:r>
        <w:rPr>
          <w:rFonts w:hint="eastAsia"/>
          <w:spacing w:val="2"/>
        </w:rPr>
        <w:t>年，劳动监察员确认没有发生雇主将禁止怀孕或推迟生育作为签订雇用合同的条件的违规行为。不过，据说监察员也接到匿名电话询问，其中一些涉及规定禁止怀孕或生育的雇用条件合法与否的问题。监察员也未确认在禁止怀孕和哺乳期间履行某些工作职责以及有义务提供哺乳工休方面有任何违规现象。</w:t>
      </w:r>
      <w:r>
        <w:rPr>
          <w:rFonts w:hint="eastAsia"/>
          <w:spacing w:val="2"/>
        </w:rPr>
        <w:t>2004</w:t>
      </w:r>
      <w:r>
        <w:rPr>
          <w:rFonts w:hint="eastAsia"/>
          <w:spacing w:val="2"/>
        </w:rPr>
        <w:t>年，检察员确认发生了</w:t>
      </w:r>
      <w:r>
        <w:rPr>
          <w:rFonts w:hint="eastAsia"/>
          <w:spacing w:val="2"/>
        </w:rPr>
        <w:t>5</w:t>
      </w:r>
      <w:r>
        <w:rPr>
          <w:rFonts w:hint="eastAsia"/>
          <w:spacing w:val="2"/>
        </w:rPr>
        <w:t>起违反《雇用关系法》第</w:t>
      </w:r>
      <w:r>
        <w:rPr>
          <w:rFonts w:hint="eastAsia"/>
          <w:spacing w:val="2"/>
        </w:rPr>
        <w:t>190</w:t>
      </w:r>
      <w:r>
        <w:rPr>
          <w:rFonts w:hint="eastAsia"/>
          <w:spacing w:val="2"/>
        </w:rPr>
        <w:t>条规定的案件；在这些案件中，雇主责令怀孕女雇员和照料</w:t>
      </w:r>
      <w:r>
        <w:rPr>
          <w:rFonts w:hint="eastAsia"/>
          <w:spacing w:val="2"/>
        </w:rPr>
        <w:t>3</w:t>
      </w:r>
      <w:r>
        <w:rPr>
          <w:rFonts w:hint="eastAsia"/>
          <w:spacing w:val="2"/>
        </w:rPr>
        <w:t>岁以下子女的雇员加班或上夜班，但事先并未征得她们的同</w:t>
      </w:r>
      <w:r>
        <w:rPr>
          <w:rFonts w:hint="eastAsia"/>
        </w:rPr>
        <w:t>意。</w:t>
      </w:r>
      <w:r>
        <w:rPr>
          <w:rStyle w:val="FootnoteReference"/>
          <w:szCs w:val="24"/>
        </w:rPr>
        <w:footnoteReference w:id="42"/>
      </w:r>
      <w:r>
        <w:t xml:space="preserve"> </w:t>
      </w:r>
    </w:p>
    <w:p w:rsidR="001A7779" w:rsidRDefault="001A7779">
      <w:pPr>
        <w:tabs>
          <w:tab w:val="left" w:pos="630"/>
        </w:tabs>
        <w:spacing w:after="240" w:line="360" w:lineRule="exact"/>
      </w:pPr>
      <w:r>
        <w:t>124.</w:t>
      </w:r>
      <w:r>
        <w:tab/>
      </w:r>
      <w:r>
        <w:rPr>
          <w:rFonts w:hint="eastAsia"/>
        </w:rPr>
        <w:t>《父母保护和家庭福利法》在第三次报告中已有论述，该法规定父亲享有休育儿假的权利，最多为</w:t>
      </w:r>
      <w:r>
        <w:rPr>
          <w:rFonts w:hint="eastAsia"/>
        </w:rPr>
        <w:t>90</w:t>
      </w:r>
      <w:r>
        <w:rPr>
          <w:rFonts w:hint="eastAsia"/>
        </w:rPr>
        <w:t>天，其中</w:t>
      </w:r>
      <w:r>
        <w:rPr>
          <w:rFonts w:hint="eastAsia"/>
        </w:rPr>
        <w:t>15</w:t>
      </w:r>
      <w:r>
        <w:rPr>
          <w:rFonts w:hint="eastAsia"/>
        </w:rPr>
        <w:t>天必须在母亲休产假期间以完全脱产形式使用；其余</w:t>
      </w:r>
      <w:r>
        <w:rPr>
          <w:rFonts w:hint="eastAsia"/>
        </w:rPr>
        <w:t>75</w:t>
      </w:r>
      <w:r>
        <w:rPr>
          <w:rFonts w:hint="eastAsia"/>
        </w:rPr>
        <w:t>天则可在子女满</w:t>
      </w:r>
      <w:r>
        <w:rPr>
          <w:rFonts w:hint="eastAsia"/>
        </w:rPr>
        <w:t>8</w:t>
      </w:r>
      <w:r>
        <w:rPr>
          <w:rFonts w:hint="eastAsia"/>
        </w:rPr>
        <w:t>岁之前任何时候以完全脱产形式使用。在育儿假前</w:t>
      </w:r>
      <w:r>
        <w:rPr>
          <w:rFonts w:hint="eastAsia"/>
        </w:rPr>
        <w:t>15</w:t>
      </w:r>
      <w:r>
        <w:rPr>
          <w:rFonts w:hint="eastAsia"/>
        </w:rPr>
        <w:t>天，父亲有权领取育儿津贴，斯洛文尼亚共和国则确保其缴纳后</w:t>
      </w:r>
      <w:r>
        <w:rPr>
          <w:rFonts w:hint="eastAsia"/>
        </w:rPr>
        <w:t>75</w:t>
      </w:r>
      <w:r>
        <w:rPr>
          <w:rFonts w:hint="eastAsia"/>
        </w:rPr>
        <w:t>天最低工资的社会保障缴款。</w:t>
      </w:r>
      <w:r>
        <w:t xml:space="preserve"> </w:t>
      </w:r>
    </w:p>
    <w:p w:rsidR="001A7779" w:rsidRDefault="001A7779">
      <w:pPr>
        <w:tabs>
          <w:tab w:val="left" w:pos="630"/>
        </w:tabs>
        <w:spacing w:after="240" w:line="360" w:lineRule="exact"/>
      </w:pPr>
      <w:r>
        <w:t>125.</w:t>
      </w:r>
      <w:r>
        <w:tab/>
      </w:r>
      <w:r>
        <w:rPr>
          <w:rFonts w:hint="eastAsia"/>
        </w:rPr>
        <w:t>育儿假权利逐渐开始实行。</w:t>
      </w:r>
      <w:r>
        <w:rPr>
          <w:rFonts w:hint="eastAsia"/>
        </w:rPr>
        <w:t>2003</w:t>
      </w:r>
      <w:r>
        <w:rPr>
          <w:rFonts w:hint="eastAsia"/>
        </w:rPr>
        <w:t>年，父亲在母亲休产假期间可休</w:t>
      </w:r>
      <w:r>
        <w:rPr>
          <w:rFonts w:hint="eastAsia"/>
        </w:rPr>
        <w:t>15</w:t>
      </w:r>
      <w:r>
        <w:rPr>
          <w:rFonts w:hint="eastAsia"/>
        </w:rPr>
        <w:t>天的育儿假，而在</w:t>
      </w:r>
      <w:r>
        <w:rPr>
          <w:rFonts w:hint="eastAsia"/>
        </w:rPr>
        <w:t>2004</w:t>
      </w:r>
      <w:r>
        <w:rPr>
          <w:rFonts w:hint="eastAsia"/>
        </w:rPr>
        <w:t>年，育儿假延长了</w:t>
      </w:r>
      <w:r>
        <w:rPr>
          <w:rFonts w:hint="eastAsia"/>
        </w:rPr>
        <w:t>30</w:t>
      </w:r>
      <w:r>
        <w:rPr>
          <w:rFonts w:hint="eastAsia"/>
        </w:rPr>
        <w:t>天，共计</w:t>
      </w:r>
      <w:r>
        <w:rPr>
          <w:rFonts w:hint="eastAsia"/>
        </w:rPr>
        <w:t>45</w:t>
      </w:r>
      <w:r>
        <w:rPr>
          <w:rFonts w:hint="eastAsia"/>
        </w:rPr>
        <w:t>天。自</w:t>
      </w:r>
      <w:r>
        <w:rPr>
          <w:rFonts w:hint="eastAsia"/>
        </w:rPr>
        <w:t>2005</w:t>
      </w:r>
      <w:r>
        <w:rPr>
          <w:rFonts w:hint="eastAsia"/>
        </w:rPr>
        <w:t>年</w:t>
      </w:r>
      <w:r>
        <w:rPr>
          <w:rFonts w:hint="eastAsia"/>
        </w:rPr>
        <w:t>1</w:t>
      </w:r>
      <w:r>
        <w:rPr>
          <w:rFonts w:hint="eastAsia"/>
        </w:rPr>
        <w:t>月</w:t>
      </w:r>
      <w:r>
        <w:rPr>
          <w:rFonts w:hint="eastAsia"/>
        </w:rPr>
        <w:t>1</w:t>
      </w:r>
      <w:r>
        <w:rPr>
          <w:rFonts w:hint="eastAsia"/>
        </w:rPr>
        <w:t>日起，育儿假改为</w:t>
      </w:r>
      <w:r>
        <w:rPr>
          <w:rFonts w:hint="eastAsia"/>
        </w:rPr>
        <w:t>90</w:t>
      </w:r>
      <w:r>
        <w:rPr>
          <w:rFonts w:hint="eastAsia"/>
        </w:rPr>
        <w:t>天。根据劳动、家庭和社会事务部的资料，</w:t>
      </w:r>
      <w:r>
        <w:rPr>
          <w:rFonts w:hint="eastAsia"/>
        </w:rPr>
        <w:t>2003</w:t>
      </w:r>
      <w:r>
        <w:rPr>
          <w:rFonts w:hint="eastAsia"/>
        </w:rPr>
        <w:t>年新生婴儿的</w:t>
      </w:r>
      <w:r>
        <w:t>10 972</w:t>
      </w:r>
      <w:r>
        <w:rPr>
          <w:rFonts w:hint="eastAsia"/>
        </w:rPr>
        <w:t>位父亲行使了这一权利，即平均休假期为</w:t>
      </w:r>
      <w:r>
        <w:rPr>
          <w:rFonts w:hint="eastAsia"/>
        </w:rPr>
        <w:t>8</w:t>
      </w:r>
      <w:r>
        <w:rPr>
          <w:rFonts w:hint="eastAsia"/>
        </w:rPr>
        <w:t>天。</w:t>
      </w:r>
      <w:r>
        <w:rPr>
          <w:rFonts w:hint="eastAsia"/>
        </w:rPr>
        <w:t>2004</w:t>
      </w:r>
      <w:r>
        <w:rPr>
          <w:rFonts w:hint="eastAsia"/>
        </w:rPr>
        <w:t>年，</w:t>
      </w:r>
      <w:r>
        <w:t>12 667</w:t>
      </w:r>
      <w:r>
        <w:rPr>
          <w:rFonts w:hint="eastAsia"/>
        </w:rPr>
        <w:t>名受益人休育儿假并领取了育儿津贴，所占比例大约为</w:t>
      </w:r>
      <w:r>
        <w:rPr>
          <w:rFonts w:hint="eastAsia"/>
        </w:rPr>
        <w:t>72%</w:t>
      </w:r>
      <w:r>
        <w:rPr>
          <w:rFonts w:hint="eastAsia"/>
        </w:rPr>
        <w:t>。现行安排的主要缺点是，在母亲产假结束后父亲可能使用的</w:t>
      </w:r>
      <w:r>
        <w:rPr>
          <w:rFonts w:hint="eastAsia"/>
        </w:rPr>
        <w:t>75</w:t>
      </w:r>
      <w:r>
        <w:rPr>
          <w:rFonts w:hint="eastAsia"/>
        </w:rPr>
        <w:t>天育儿假期内，父亲无权领取育儿津贴，但却要缴纳最低工资社会保障缴款。此种安排不鼓励父亲充分使用育儿假。</w:t>
      </w:r>
      <w:r>
        <w:rPr>
          <w:rFonts w:hint="eastAsia"/>
        </w:rPr>
        <w:t>2004</w:t>
      </w:r>
      <w:r>
        <w:rPr>
          <w:rFonts w:hint="eastAsia"/>
        </w:rPr>
        <w:t>年，有</w:t>
      </w:r>
      <w:r>
        <w:rPr>
          <w:rFonts w:hint="eastAsia"/>
        </w:rPr>
        <w:t>9%</w:t>
      </w:r>
      <w:r>
        <w:rPr>
          <w:rFonts w:hint="eastAsia"/>
        </w:rPr>
        <w:t>的父亲使用了不享受育儿津贴的育儿假。</w:t>
      </w:r>
      <w:r>
        <w:t xml:space="preserve"> </w:t>
      </w:r>
    </w:p>
    <w:p w:rsidR="001A7779" w:rsidRDefault="001A7779">
      <w:pPr>
        <w:tabs>
          <w:tab w:val="left" w:pos="630"/>
        </w:tabs>
        <w:spacing w:after="240" w:line="360" w:lineRule="exact"/>
      </w:pPr>
      <w:r>
        <w:t>126.</w:t>
      </w:r>
      <w:r>
        <w:tab/>
      </w:r>
      <w:r>
        <w:rPr>
          <w:rFonts w:hint="eastAsia"/>
        </w:rPr>
        <w:t>劳动监察员报告，几乎没有接到过与违反《父母保护和家庭福利法》有关的通知。不过，也常常有雇员和雇主向检察员咨询，了解有关如何强制执行或确保该法所规定之权利的信息。</w:t>
      </w:r>
      <w:r>
        <w:t xml:space="preserve"> </w:t>
      </w:r>
    </w:p>
    <w:p w:rsidR="001A7779" w:rsidRDefault="001A7779">
      <w:pPr>
        <w:tabs>
          <w:tab w:val="left" w:pos="630"/>
        </w:tabs>
        <w:spacing w:after="240" w:line="360" w:lineRule="exact"/>
      </w:pPr>
      <w:r>
        <w:t>127.</w:t>
      </w:r>
      <w:r>
        <w:tab/>
      </w:r>
      <w:r>
        <w:rPr>
          <w:spacing w:val="1"/>
        </w:rPr>
        <w:t>2004</w:t>
      </w:r>
      <w:r>
        <w:rPr>
          <w:rFonts w:hint="eastAsia"/>
          <w:spacing w:val="1"/>
        </w:rPr>
        <w:t>年，平等机会办公室为题为“兼顾工作与家庭的父母”的研究项目筹措了资金。该研究项目的目的是审视养育子女对职业工作以及父母双方的就业和职业生涯机会的影响，并评价斯洛文尼亚在促进家庭与事业两者兼顾方面的趋势。研究项目的目标之一包括提出可能的政策或解决办法，便利协调职业责任和养育子女问题。研究显示，在照料家庭方面所通行的模式仍然是按性别划分的传统模式，考虑到各种形式的父母假（父亲产假除外）主要多为母亲所使用，而同时妇女依然比男子要承担更多</w:t>
      </w:r>
      <w:r>
        <w:t xml:space="preserve"> </w:t>
      </w:r>
      <w:r>
        <w:rPr>
          <w:rFonts w:hint="eastAsia"/>
        </w:rPr>
        <w:t>的抚育子女工作。父母通常利用机构来照料子女，但按照父母的说法，这种办法不能充分满足就业父母的需要。至于养育子女，妇女在就业和工作岗位方面的经历要比男子消极得多（比如，求职、晋升、与上司的关系恶化）。</w:t>
      </w:r>
      <w:r>
        <w:t xml:space="preserve"> </w:t>
      </w:r>
    </w:p>
    <w:p w:rsidR="001A7779" w:rsidRDefault="001A7779">
      <w:pPr>
        <w:tabs>
          <w:tab w:val="left" w:pos="630"/>
        </w:tabs>
        <w:spacing w:after="240" w:line="360" w:lineRule="exact"/>
      </w:pPr>
      <w:r>
        <w:t>128.</w:t>
      </w:r>
      <w:r>
        <w:tab/>
        <w:t>2005</w:t>
      </w:r>
      <w:r>
        <w:rPr>
          <w:rFonts w:hint="eastAsia"/>
        </w:rPr>
        <w:t>年，</w:t>
      </w:r>
      <w:r>
        <w:t xml:space="preserve"> </w:t>
      </w:r>
      <w:r>
        <w:rPr>
          <w:rFonts w:hint="eastAsia"/>
          <w:spacing w:val="1"/>
        </w:rPr>
        <w:t>平等机会办公室参与了在两性平等社区框架战略下的一个欧洲项目，题为“男子与养育子女——积极的父爱”，该项目是由两性平等丹麦部组织的。在该项目的框架下，开展了一项研究，题目为“斯洛文尼亚新的父爱前景：父亲产假对积极的父爱和养育子女的影响”。项目旨在明确在斯洛文尼亚影响积极的父爱的原因和主要障碍。除这项研究之外，项目的目标也包括提高认识，以促使父亲积极参与子女的生活，并消除目前社会中的性别角色定型观念。</w:t>
      </w:r>
      <w:r>
        <w:rPr>
          <w:rFonts w:hint="eastAsia"/>
          <w:spacing w:val="1"/>
        </w:rPr>
        <w:t>2005</w:t>
      </w:r>
      <w:r>
        <w:rPr>
          <w:rFonts w:hint="eastAsia"/>
          <w:spacing w:val="1"/>
        </w:rPr>
        <w:t>年秋季发起了提高认识宣传运动。</w:t>
      </w:r>
    </w:p>
    <w:p w:rsidR="001A7779" w:rsidRDefault="001A7779">
      <w:pPr>
        <w:tabs>
          <w:tab w:val="left" w:pos="630"/>
        </w:tabs>
        <w:spacing w:after="240" w:line="360" w:lineRule="exact"/>
        <w:rPr>
          <w:rFonts w:hint="eastAsia"/>
        </w:rPr>
      </w:pPr>
      <w:r>
        <w:t>129.</w:t>
      </w:r>
      <w:r>
        <w:tab/>
      </w:r>
      <w:r>
        <w:rPr>
          <w:rFonts w:hint="eastAsia"/>
        </w:rPr>
        <w:t>鉴于要鼓励男女共同分担照料子女的父母责任，就必须实行育儿假并执行所应享有的权利，比如在母亲休完</w:t>
      </w:r>
      <w:r>
        <w:rPr>
          <w:rFonts w:hint="eastAsia"/>
        </w:rPr>
        <w:t>105</w:t>
      </w:r>
      <w:r>
        <w:rPr>
          <w:rFonts w:hint="eastAsia"/>
        </w:rPr>
        <w:t>天产假之后父母共同使用</w:t>
      </w:r>
      <w:r>
        <w:rPr>
          <w:rFonts w:hint="eastAsia"/>
        </w:rPr>
        <w:t>260</w:t>
      </w:r>
      <w:r>
        <w:rPr>
          <w:rFonts w:hint="eastAsia"/>
        </w:rPr>
        <w:t>天的照料子女假。在斯洛文尼亚，照料子女假通常都是由妇女来使用。</w:t>
      </w:r>
      <w:r>
        <w:rPr>
          <w:rFonts w:hint="eastAsia"/>
        </w:rPr>
        <w:t>2003</w:t>
      </w:r>
      <w:r>
        <w:rPr>
          <w:rFonts w:hint="eastAsia"/>
        </w:rPr>
        <w:t>年，在行使休照料子女假的权利的人当中，父亲仅占</w:t>
      </w:r>
      <w:r>
        <w:t>2.3%</w:t>
      </w:r>
      <w:r>
        <w:rPr>
          <w:rFonts w:hint="eastAsia"/>
        </w:rPr>
        <w:t>。尽管如此，仍然可看到一些积极变化的迹象，因为在前几年，父亲所占比例还未超过</w:t>
      </w:r>
      <w:r>
        <w:t>1.0</w:t>
      </w:r>
      <w:r>
        <w:rPr>
          <w:rFonts w:hint="eastAsia"/>
        </w:rPr>
        <w:t>%</w:t>
      </w:r>
      <w:r>
        <w:rPr>
          <w:rFonts w:hint="eastAsia"/>
        </w:rPr>
        <w:t>。</w:t>
      </w:r>
    </w:p>
    <w:p w:rsidR="001A7779" w:rsidRDefault="001A7779">
      <w:pPr>
        <w:tabs>
          <w:tab w:val="left" w:pos="630"/>
        </w:tabs>
        <w:spacing w:after="240" w:line="360" w:lineRule="exact"/>
      </w:pPr>
      <w:r>
        <w:t>130.</w:t>
      </w:r>
      <w:r>
        <w:tab/>
      </w:r>
      <w:r>
        <w:rPr>
          <w:rFonts w:hint="eastAsia"/>
        </w:rPr>
        <w:t>《父母保护和家庭福利法》规定了一项父母权利，即父母在子女</w:t>
      </w:r>
      <w:r>
        <w:rPr>
          <w:rFonts w:hint="eastAsia"/>
        </w:rPr>
        <w:t>3</w:t>
      </w:r>
      <w:r>
        <w:rPr>
          <w:rFonts w:hint="eastAsia"/>
        </w:rPr>
        <w:t>岁以前可做兼职工作。“兼顾工作与家庭的父母”这项研究的成果表明，在照料子女假期满之后，有</w:t>
      </w:r>
      <w:r>
        <w:rPr>
          <w:rFonts w:hint="eastAsia"/>
        </w:rPr>
        <w:t>3-4%</w:t>
      </w:r>
      <w:r>
        <w:rPr>
          <w:rFonts w:hint="eastAsia"/>
        </w:rPr>
        <w:t>的父母选择做兼职工作，其中</w:t>
      </w:r>
      <w:r>
        <w:rPr>
          <w:rFonts w:hint="eastAsia"/>
        </w:rPr>
        <w:t>90%</w:t>
      </w:r>
      <w:r>
        <w:rPr>
          <w:rFonts w:hint="eastAsia"/>
        </w:rPr>
        <w:t>是母亲。根据劳动、家庭和社会事务部的资料，约有</w:t>
      </w:r>
      <w:r>
        <w:rPr>
          <w:rFonts w:hint="eastAsia"/>
        </w:rPr>
        <w:t>10%</w:t>
      </w:r>
      <w:r>
        <w:rPr>
          <w:rFonts w:hint="eastAsia"/>
        </w:rPr>
        <w:t>的受益人因养育子女而行使了兼职工作的权利。</w:t>
      </w:r>
    </w:p>
    <w:p w:rsidR="001A7779" w:rsidRDefault="001A7779">
      <w:pPr>
        <w:tabs>
          <w:tab w:val="left" w:pos="630"/>
        </w:tabs>
        <w:spacing w:after="240" w:line="360" w:lineRule="exact"/>
      </w:pPr>
      <w:r>
        <w:t>131.</w:t>
      </w:r>
      <w:r>
        <w:tab/>
      </w:r>
      <w:r>
        <w:rPr>
          <w:rFonts w:hint="eastAsia"/>
        </w:rPr>
        <w:t>在使用病假来照料家庭成员、子女、老年人或其他有困难的人这方面，有关资料表明，此种照料主要由妇女来承担，为此原因不工作的妇女人数是男子的六倍之多。</w:t>
      </w:r>
      <w:r>
        <w:rPr>
          <w:rStyle w:val="FootnoteReference"/>
          <w:szCs w:val="24"/>
        </w:rPr>
        <w:footnoteReference w:id="43"/>
      </w:r>
      <w:r>
        <w:t xml:space="preserve"> </w:t>
      </w:r>
      <w:r>
        <w:rPr>
          <w:rFonts w:hint="eastAsia"/>
        </w:rPr>
        <w:t>随着人口的老龄化，可以预期的是，相当大一部分照料老年人的工作将会落在家庭成员身上。因此，有必要制定进一步的战略，防止增加妇女的家务劳动负担。</w:t>
      </w:r>
    </w:p>
    <w:p w:rsidR="001A7779" w:rsidRDefault="001A7779">
      <w:pPr>
        <w:tabs>
          <w:tab w:val="left" w:pos="630"/>
        </w:tabs>
        <w:spacing w:after="240" w:line="360" w:lineRule="exact"/>
      </w:pPr>
      <w:r>
        <w:t>132.</w:t>
      </w:r>
      <w:r>
        <w:tab/>
      </w:r>
      <w:r>
        <w:rPr>
          <w:rFonts w:hint="eastAsia"/>
        </w:rPr>
        <w:t>根据《雇用关系法》，</w:t>
      </w:r>
      <w:r>
        <w:rPr>
          <w:rFonts w:hint="eastAsia"/>
        </w:rPr>
        <w:t>2003</w:t>
      </w:r>
      <w:r>
        <w:rPr>
          <w:rFonts w:hint="eastAsia"/>
        </w:rPr>
        <w:t>年通过了《关于保护怀孕女工和产后不久及哺乳期女工在工作地点的健康的规则》，规定雇主必须进行风险评估，以查明怀孕女工和产后不久及哺乳期女工接触可能影响其健康的制剂的性质、程度和持续时间，以及造成伤害和健康损害的危险程度，并且针对所有有可能接触到可能影响怀孕女工和产后不久及哺乳期女工健康的制剂的工作，制定和实施适当的安全措施。根据该规则，女工有权带薪休息，以进行孕期、生育和哺乳方面的预防性医疗检查，如果不能在工作时间之外进行此种检查的话。</w:t>
      </w:r>
      <w:r>
        <w:t xml:space="preserve"> </w:t>
      </w:r>
    </w:p>
    <w:p w:rsidR="001A7779" w:rsidRDefault="001A7779">
      <w:pPr>
        <w:tabs>
          <w:tab w:val="left" w:pos="630"/>
        </w:tabs>
        <w:spacing w:after="240" w:line="360" w:lineRule="exact"/>
        <w:rPr>
          <w:rFonts w:eastAsia="SimHei"/>
          <w:color w:val="FF0000"/>
        </w:rPr>
      </w:pPr>
      <w:r>
        <w:rPr>
          <w:rFonts w:eastAsia="SimHei" w:hint="eastAsia"/>
          <w:color w:val="FF0000"/>
        </w:rPr>
        <w:t>就业</w:t>
      </w:r>
    </w:p>
    <w:p w:rsidR="001A7779" w:rsidRDefault="001A7779">
      <w:pPr>
        <w:tabs>
          <w:tab w:val="left" w:pos="630"/>
        </w:tabs>
        <w:spacing w:after="240" w:line="360" w:lineRule="exact"/>
      </w:pPr>
      <w:r>
        <w:t>133.</w:t>
      </w:r>
      <w:r>
        <w:rPr>
          <w:rFonts w:eastAsia="KaiTi_GB2312"/>
          <w:iCs/>
          <w:color w:val="0000FF"/>
        </w:rPr>
        <w:tab/>
      </w:r>
      <w:r>
        <w:rPr>
          <w:rFonts w:hint="eastAsia"/>
          <w:iCs/>
        </w:rPr>
        <w:t>在过去几年中，参加经济活动人口的比率和就业率略有上升。</w:t>
      </w:r>
      <w:r>
        <w:rPr>
          <w:rFonts w:hint="eastAsia"/>
          <w:iCs/>
        </w:rPr>
        <w:t>2004</w:t>
      </w:r>
      <w:r>
        <w:rPr>
          <w:rFonts w:hint="eastAsia"/>
          <w:iCs/>
        </w:rPr>
        <w:t>年，参加经济活动人口的比率达到</w:t>
      </w:r>
      <w:r>
        <w:t>59.0</w:t>
      </w:r>
      <w:r>
        <w:rPr>
          <w:rFonts w:hint="eastAsia"/>
        </w:rPr>
        <w:t>%</w:t>
      </w:r>
      <w:r>
        <w:rPr>
          <w:rFonts w:hint="eastAsia"/>
        </w:rPr>
        <w:t>（其中妇女</w:t>
      </w:r>
      <w:r>
        <w:t>52.5</w:t>
      </w:r>
      <w:r>
        <w:rPr>
          <w:rFonts w:hint="eastAsia"/>
        </w:rPr>
        <w:t>%</w:t>
      </w:r>
      <w:r>
        <w:rPr>
          <w:rFonts w:hint="eastAsia"/>
        </w:rPr>
        <w:t>，男子</w:t>
      </w:r>
      <w:r>
        <w:t xml:space="preserve"> 65.9%</w:t>
      </w:r>
      <w:r>
        <w:rPr>
          <w:rFonts w:hint="eastAsia"/>
        </w:rPr>
        <w:t>），就业率达到</w:t>
      </w:r>
      <w:r>
        <w:t>55.3</w:t>
      </w:r>
      <w:r>
        <w:rPr>
          <w:rFonts w:hint="eastAsia"/>
        </w:rPr>
        <w:t>%</w:t>
      </w:r>
      <w:r>
        <w:rPr>
          <w:rFonts w:hint="eastAsia"/>
        </w:rPr>
        <w:t>（其中妇女</w:t>
      </w:r>
      <w:r>
        <w:t>48.9%</w:t>
      </w:r>
      <w:r>
        <w:rPr>
          <w:rFonts w:hint="eastAsia"/>
        </w:rPr>
        <w:t>，男子</w:t>
      </w:r>
      <w:r>
        <w:t xml:space="preserve"> 62.0</w:t>
      </w:r>
      <w:r>
        <w:rPr>
          <w:rFonts w:hint="eastAsia"/>
        </w:rPr>
        <w:t>%</w:t>
      </w:r>
      <w:r>
        <w:rPr>
          <w:rFonts w:hint="eastAsia"/>
        </w:rPr>
        <w:t>）。妇女和男子就业率最高群体均为</w:t>
      </w:r>
      <w:r>
        <w:rPr>
          <w:rFonts w:hint="eastAsia"/>
        </w:rPr>
        <w:t>25-49</w:t>
      </w:r>
      <w:r>
        <w:rPr>
          <w:rFonts w:hint="eastAsia"/>
        </w:rPr>
        <w:t>岁年龄组</w:t>
      </w:r>
      <w:r>
        <w:rPr>
          <w:rFonts w:hint="eastAsia"/>
        </w:rPr>
        <w:t xml:space="preserve"> </w:t>
      </w:r>
      <w:r>
        <w:rPr>
          <w:rFonts w:hint="eastAsia"/>
        </w:rPr>
        <w:t>（</w:t>
      </w:r>
      <w:r>
        <w:rPr>
          <w:rFonts w:hint="eastAsia"/>
        </w:rPr>
        <w:t>2004</w:t>
      </w:r>
      <w:r>
        <w:rPr>
          <w:rFonts w:hint="eastAsia"/>
        </w:rPr>
        <w:t>年妇女为</w:t>
      </w:r>
      <w:r>
        <w:t>86.3</w:t>
      </w:r>
      <w:r>
        <w:rPr>
          <w:rFonts w:hint="eastAsia"/>
        </w:rPr>
        <w:t>%</w:t>
      </w:r>
      <w:r>
        <w:rPr>
          <w:rFonts w:hint="eastAsia"/>
        </w:rPr>
        <w:t>，男子为</w:t>
      </w:r>
      <w:r>
        <w:t xml:space="preserve"> 84.3%</w:t>
      </w:r>
      <w:r>
        <w:rPr>
          <w:rFonts w:hint="eastAsia"/>
        </w:rPr>
        <w:t>）。</w:t>
      </w:r>
      <w:r>
        <w:t xml:space="preserve"> </w:t>
      </w:r>
      <w:r>
        <w:rPr>
          <w:rStyle w:val="FootnoteReference"/>
          <w:szCs w:val="24"/>
        </w:rPr>
        <w:footnoteReference w:id="44"/>
      </w:r>
    </w:p>
    <w:p w:rsidR="001A7779" w:rsidRDefault="001A7779">
      <w:pPr>
        <w:tabs>
          <w:tab w:val="left" w:pos="630"/>
        </w:tabs>
        <w:spacing w:after="240" w:line="360" w:lineRule="exact"/>
      </w:pPr>
      <w:r>
        <w:t>134.</w:t>
      </w:r>
      <w:r>
        <w:tab/>
        <w:t>2004</w:t>
      </w:r>
      <w:r>
        <w:rPr>
          <w:rFonts w:hint="eastAsia"/>
        </w:rPr>
        <w:t>年，妇女占就业人口的</w:t>
      </w:r>
      <w:r>
        <w:t>45.9%</w:t>
      </w:r>
      <w:r>
        <w:rPr>
          <w:rFonts w:hint="eastAsia"/>
        </w:rPr>
        <w:t>。</w:t>
      </w:r>
      <w:r>
        <w:t xml:space="preserve"> </w:t>
      </w:r>
      <w:r>
        <w:rPr>
          <w:rFonts w:hint="eastAsia"/>
        </w:rPr>
        <w:t>妇女大多数从事家佣工作，占</w:t>
      </w:r>
      <w:r>
        <w:rPr>
          <w:rFonts w:hint="eastAsia"/>
        </w:rPr>
        <w:t>58%</w:t>
      </w:r>
      <w:r>
        <w:rPr>
          <w:rFonts w:hint="eastAsia"/>
        </w:rPr>
        <w:t>；就业妇女比率为</w:t>
      </w:r>
      <w:r>
        <w:t>47.3</w:t>
      </w:r>
      <w:r>
        <w:rPr>
          <w:rFonts w:hint="eastAsia"/>
        </w:rPr>
        <w:t>%</w:t>
      </w:r>
      <w:r>
        <w:rPr>
          <w:rFonts w:hint="eastAsia"/>
        </w:rPr>
        <w:t>，自雇妇女则占</w:t>
      </w:r>
      <w:r>
        <w:t>27.9%</w:t>
      </w:r>
      <w:r>
        <w:rPr>
          <w:rFonts w:hint="eastAsia"/>
        </w:rPr>
        <w:t>。</w:t>
      </w:r>
      <w:r>
        <w:rPr>
          <w:rStyle w:val="FootnoteReference"/>
          <w:szCs w:val="24"/>
        </w:rPr>
        <w:footnoteReference w:id="45"/>
      </w:r>
    </w:p>
    <w:p w:rsidR="001A7779" w:rsidRDefault="001A7779">
      <w:pPr>
        <w:tabs>
          <w:tab w:val="left" w:pos="630"/>
        </w:tabs>
        <w:spacing w:after="240" w:line="360" w:lineRule="exact"/>
      </w:pPr>
      <w:r>
        <w:t>135.</w:t>
      </w:r>
      <w:r>
        <w:tab/>
      </w:r>
      <w:r>
        <w:rPr>
          <w:rFonts w:hint="eastAsia"/>
        </w:rPr>
        <w:t>就业者大多数为全职就业人员。在</w:t>
      </w:r>
      <w:r>
        <w:rPr>
          <w:rFonts w:hint="eastAsia"/>
        </w:rPr>
        <w:t>2004</w:t>
      </w:r>
      <w:r>
        <w:rPr>
          <w:rFonts w:hint="eastAsia"/>
        </w:rPr>
        <w:t>年就业总人数中，兼职工作的妇女为</w:t>
      </w:r>
      <w:r>
        <w:rPr>
          <w:rFonts w:hint="eastAsia"/>
        </w:rPr>
        <w:t>11%</w:t>
      </w:r>
      <w:r>
        <w:rPr>
          <w:rFonts w:hint="eastAsia"/>
        </w:rPr>
        <w:t>，男子为</w:t>
      </w:r>
      <w:r>
        <w:t>7.9</w:t>
      </w:r>
      <w:r>
        <w:rPr>
          <w:rFonts w:hint="eastAsia"/>
        </w:rPr>
        <w:t>%</w:t>
      </w:r>
      <w:r>
        <w:rPr>
          <w:rFonts w:hint="eastAsia"/>
        </w:rPr>
        <w:t>。约有</w:t>
      </w:r>
      <w:r>
        <w:rPr>
          <w:rFonts w:hint="eastAsia"/>
        </w:rPr>
        <w:t>22%</w:t>
      </w:r>
      <w:r>
        <w:rPr>
          <w:rFonts w:hint="eastAsia"/>
        </w:rPr>
        <w:t>的职业人群在周六也工作，还有</w:t>
      </w:r>
      <w:r>
        <w:rPr>
          <w:rFonts w:hint="eastAsia"/>
        </w:rPr>
        <w:t>13%</w:t>
      </w:r>
      <w:r>
        <w:rPr>
          <w:rFonts w:hint="eastAsia"/>
        </w:rPr>
        <w:t>的人在周日工作，其中妇女比例为</w:t>
      </w:r>
      <w:r>
        <w:rPr>
          <w:rFonts w:hint="eastAsia"/>
        </w:rPr>
        <w:t>44%</w:t>
      </w:r>
      <w:r>
        <w:rPr>
          <w:rFonts w:hint="eastAsia"/>
        </w:rPr>
        <w:t>。近年来，临时就业率在不断上升，妇女的这一就业率略高于男子。在</w:t>
      </w:r>
      <w:r>
        <w:rPr>
          <w:rFonts w:hint="eastAsia"/>
        </w:rPr>
        <w:t>2003</w:t>
      </w:r>
      <w:r>
        <w:rPr>
          <w:rFonts w:hint="eastAsia"/>
        </w:rPr>
        <w:t>年就业总人数中，临时就业的妇女为</w:t>
      </w:r>
      <w:r>
        <w:t>14.9%</w:t>
      </w:r>
      <w:r>
        <w:rPr>
          <w:rFonts w:hint="eastAsia"/>
        </w:rPr>
        <w:t>，男子为</w:t>
      </w:r>
      <w:r>
        <w:t>12.7%</w:t>
      </w:r>
      <w:r>
        <w:rPr>
          <w:rFonts w:hint="eastAsia"/>
        </w:rPr>
        <w:t>。常见的也是一些新形式的工作。在职业人群中，</w:t>
      </w:r>
      <w:r>
        <w:t>5.4</w:t>
      </w:r>
      <w:r>
        <w:rPr>
          <w:rFonts w:hint="eastAsia"/>
        </w:rPr>
        <w:t>%</w:t>
      </w:r>
      <w:r>
        <w:rPr>
          <w:rFonts w:hint="eastAsia"/>
        </w:rPr>
        <w:t>的人（妇女为</w:t>
      </w:r>
      <w:r>
        <w:t>6.1</w:t>
      </w:r>
      <w:r>
        <w:rPr>
          <w:rFonts w:hint="eastAsia"/>
        </w:rPr>
        <w:t>%</w:t>
      </w:r>
      <w:r>
        <w:rPr>
          <w:rFonts w:hint="eastAsia"/>
        </w:rPr>
        <w:t>，男子为</w:t>
      </w:r>
      <w:r>
        <w:t>4.8</w:t>
      </w:r>
      <w:r>
        <w:rPr>
          <w:rFonts w:hint="eastAsia"/>
        </w:rPr>
        <w:t>%</w:t>
      </w:r>
      <w:r>
        <w:rPr>
          <w:rFonts w:hint="eastAsia"/>
        </w:rPr>
        <w:t>）从事远程工作，也就是说，在家办公。</w:t>
      </w:r>
      <w:r>
        <w:rPr>
          <w:rStyle w:val="FootnoteReference"/>
          <w:noProof/>
          <w:szCs w:val="24"/>
        </w:rPr>
        <w:footnoteReference w:id="46"/>
      </w:r>
    </w:p>
    <w:p w:rsidR="001A7779" w:rsidRDefault="001A7779">
      <w:pPr>
        <w:tabs>
          <w:tab w:val="left" w:pos="630"/>
        </w:tabs>
        <w:spacing w:after="240" w:line="360" w:lineRule="exact"/>
      </w:pPr>
      <w:r>
        <w:t>136.</w:t>
      </w:r>
      <w:r>
        <w:tab/>
      </w:r>
      <w:r>
        <w:rPr>
          <w:rFonts w:hint="eastAsia"/>
        </w:rPr>
        <w:t>在过去几年中，自雇妇女和男子的比例在稳步下降。</w:t>
      </w:r>
      <w:r>
        <w:rPr>
          <w:rFonts w:hint="eastAsia"/>
        </w:rPr>
        <w:t>2004</w:t>
      </w:r>
      <w:r>
        <w:rPr>
          <w:rFonts w:hint="eastAsia"/>
        </w:rPr>
        <w:t>年，职业人群中自雇者的比率为</w:t>
      </w:r>
      <w:r>
        <w:t>9.8</w:t>
      </w:r>
      <w:r>
        <w:rPr>
          <w:rFonts w:hint="eastAsia"/>
        </w:rPr>
        <w:t>%</w:t>
      </w:r>
      <w:r>
        <w:rPr>
          <w:rFonts w:hint="eastAsia"/>
        </w:rPr>
        <w:t>，其中妇女仅占四分之一。在就业人群中，家佣的比率为</w:t>
      </w:r>
      <w:r>
        <w:t>5.7</w:t>
      </w:r>
      <w:r>
        <w:rPr>
          <w:rFonts w:hint="eastAsia"/>
        </w:rPr>
        <w:t>%</w:t>
      </w:r>
      <w:r>
        <w:rPr>
          <w:rFonts w:hint="eastAsia"/>
        </w:rPr>
        <w:t>，其中妇女大约占</w:t>
      </w:r>
      <w:r>
        <w:rPr>
          <w:rFonts w:hint="eastAsia"/>
        </w:rPr>
        <w:t>60%</w:t>
      </w:r>
      <w:r>
        <w:rPr>
          <w:rFonts w:hint="eastAsia"/>
        </w:rPr>
        <w:t>。</w:t>
      </w:r>
      <w:r>
        <w:rPr>
          <w:rStyle w:val="FootnoteReference"/>
          <w:szCs w:val="24"/>
        </w:rPr>
        <w:footnoteReference w:id="47"/>
      </w:r>
    </w:p>
    <w:p w:rsidR="001A7779" w:rsidRDefault="001A7779">
      <w:pPr>
        <w:tabs>
          <w:tab w:val="left" w:pos="630"/>
        </w:tabs>
        <w:spacing w:after="240" w:line="360" w:lineRule="exact"/>
      </w:pPr>
      <w:r>
        <w:t>137.</w:t>
      </w:r>
      <w:r>
        <w:tab/>
      </w:r>
      <w:r>
        <w:rPr>
          <w:rFonts w:hint="eastAsia"/>
        </w:rPr>
        <w:t>劳动力市场分析证实了一点，即劳动力市场上确实存在横向和纵向的性别隔离。</w:t>
      </w:r>
      <w:r>
        <w:rPr>
          <w:rStyle w:val="FootnoteReference"/>
          <w:szCs w:val="24"/>
        </w:rPr>
        <w:footnoteReference w:id="48"/>
      </w:r>
      <w:r>
        <w:rPr>
          <w:rFonts w:hint="eastAsia"/>
        </w:rPr>
        <w:t>2004</w:t>
      </w:r>
      <w:r>
        <w:rPr>
          <w:rFonts w:hint="eastAsia"/>
        </w:rPr>
        <w:t>年的数据表明，担任最高级别和最高薪酬职务（高级官员和管理职位及立法者）的妇女所占比例仅为三分之一（</w:t>
      </w:r>
      <w:r>
        <w:t>33.3</w:t>
      </w:r>
      <w:r>
        <w:rPr>
          <w:rFonts w:hint="eastAsia"/>
        </w:rPr>
        <w:t>%</w:t>
      </w:r>
      <w:r>
        <w:rPr>
          <w:rFonts w:hint="eastAsia"/>
        </w:rPr>
        <w:t>），即使平均而言，妇女受教育程度高于男子。在职业方面，妇女所占比例高于平均水平的职业有：官员（</w:t>
      </w:r>
      <w:r>
        <w:t>65.3</w:t>
      </w:r>
      <w:r>
        <w:rPr>
          <w:rFonts w:hint="eastAsia"/>
        </w:rPr>
        <w:t>%</w:t>
      </w:r>
      <w:r>
        <w:rPr>
          <w:rFonts w:hint="eastAsia"/>
        </w:rPr>
        <w:t>）、服务和销售人员（</w:t>
      </w:r>
      <w:r>
        <w:t xml:space="preserve"> 63.8</w:t>
      </w:r>
      <w:r>
        <w:rPr>
          <w:rFonts w:hint="eastAsia"/>
        </w:rPr>
        <w:t>%</w:t>
      </w:r>
      <w:r>
        <w:rPr>
          <w:rFonts w:hint="eastAsia"/>
        </w:rPr>
        <w:t>）、专业人员（</w:t>
      </w:r>
      <w:r>
        <w:t>60.2%</w:t>
      </w:r>
      <w:r>
        <w:rPr>
          <w:rFonts w:hint="eastAsia"/>
        </w:rPr>
        <w:t>），妇女参与最少的职业是非产业类工作（</w:t>
      </w:r>
      <w:r>
        <w:t>8.2</w:t>
      </w:r>
      <w:r>
        <w:rPr>
          <w:rFonts w:hint="eastAsia"/>
        </w:rPr>
        <w:t>%</w:t>
      </w:r>
      <w:r>
        <w:rPr>
          <w:rFonts w:hint="eastAsia"/>
        </w:rPr>
        <w:t>）。</w:t>
      </w:r>
      <w:r>
        <w:rPr>
          <w:rStyle w:val="FootnoteReference"/>
          <w:szCs w:val="24"/>
        </w:rPr>
        <w:footnoteReference w:id="49"/>
      </w:r>
    </w:p>
    <w:p w:rsidR="001A7779" w:rsidRDefault="001A7779">
      <w:pPr>
        <w:tabs>
          <w:tab w:val="left" w:pos="630"/>
        </w:tabs>
        <w:spacing w:after="240" w:line="360" w:lineRule="exact"/>
      </w:pPr>
      <w:r>
        <w:t>138.</w:t>
      </w:r>
      <w:r>
        <w:tab/>
      </w:r>
      <w:r>
        <w:rPr>
          <w:rFonts w:hint="eastAsia"/>
        </w:rPr>
        <w:t>关于经济活动，妇女大多数从事服务性活动方面的工作（</w:t>
      </w:r>
      <w:r>
        <w:t>55.3</w:t>
      </w:r>
      <w:r>
        <w:rPr>
          <w:rFonts w:hint="eastAsia"/>
        </w:rPr>
        <w:t>%</w:t>
      </w:r>
      <w:r>
        <w:rPr>
          <w:rFonts w:hint="eastAsia"/>
        </w:rPr>
        <w:t>），尤其是在卫生和社会援助、教育、金融中介活动以及餐饮和旅游等领域。在非农业产业中，妇女比例是所雇用总人数的三分之一，在建筑部门工作的妇女人数最少。</w:t>
      </w:r>
      <w:r>
        <w:rPr>
          <w:rStyle w:val="FootnoteReference"/>
          <w:szCs w:val="24"/>
        </w:rPr>
        <w:footnoteReference w:id="50"/>
      </w:r>
    </w:p>
    <w:p w:rsidR="001A7779" w:rsidRDefault="001A7779">
      <w:pPr>
        <w:tabs>
          <w:tab w:val="left" w:pos="630"/>
        </w:tabs>
        <w:spacing w:after="240" w:line="360" w:lineRule="exact"/>
      </w:pPr>
      <w:r>
        <w:t>139.</w:t>
      </w:r>
      <w:r>
        <w:tab/>
      </w:r>
      <w:r>
        <w:rPr>
          <w:rFonts w:hint="eastAsia"/>
        </w:rPr>
        <w:t>2002</w:t>
      </w:r>
      <w:r>
        <w:rPr>
          <w:rFonts w:hint="eastAsia"/>
        </w:rPr>
        <w:t>年的数据显示，平均而言，与具有同等专业资格的男子相比，妇女的收入比男子低</w:t>
      </w:r>
      <w:r>
        <w:t>9.5</w:t>
      </w:r>
      <w:r>
        <w:rPr>
          <w:rFonts w:hint="eastAsia"/>
        </w:rPr>
        <w:t>个百分点。在斯洛文尼亚公司、企业和组织中工作的妇女，按照专业技能水平来说，其平均收入是男子工资的</w:t>
      </w:r>
      <w:r>
        <w:t>90.5</w:t>
      </w:r>
      <w:r>
        <w:rPr>
          <w:rFonts w:hint="eastAsia"/>
        </w:rPr>
        <w:t>%</w:t>
      </w:r>
      <w:r>
        <w:rPr>
          <w:rFonts w:hint="eastAsia"/>
        </w:rPr>
        <w:t>。与</w:t>
      </w:r>
      <w:r>
        <w:rPr>
          <w:rFonts w:hint="eastAsia"/>
        </w:rPr>
        <w:t>2000</w:t>
      </w:r>
      <w:r>
        <w:rPr>
          <w:rFonts w:hint="eastAsia"/>
        </w:rPr>
        <w:t>年相比，男女工资差别缩小了</w:t>
      </w:r>
      <w:r>
        <w:t xml:space="preserve">2.7 </w:t>
      </w:r>
      <w:r>
        <w:rPr>
          <w:rFonts w:hint="eastAsia"/>
        </w:rPr>
        <w:t>个百分点，此前妇女的平均收入低于男子</w:t>
      </w:r>
      <w:r>
        <w:t>12.2</w:t>
      </w:r>
      <w:r>
        <w:rPr>
          <w:rFonts w:hint="eastAsia"/>
        </w:rPr>
        <w:t>%</w:t>
      </w:r>
      <w:r>
        <w:rPr>
          <w:rFonts w:hint="eastAsia"/>
        </w:rPr>
        <w:t>。</w:t>
      </w:r>
      <w:r>
        <w:rPr>
          <w:rFonts w:hint="eastAsia"/>
        </w:rPr>
        <w:t>2002</w:t>
      </w:r>
      <w:r>
        <w:rPr>
          <w:rFonts w:hint="eastAsia"/>
        </w:rPr>
        <w:t>年，</w:t>
      </w:r>
      <w:r>
        <w:rPr>
          <w:rFonts w:hint="eastAsia"/>
        </w:rPr>
        <w:t xml:space="preserve"> </w:t>
      </w:r>
      <w:r>
        <w:rPr>
          <w:rFonts w:hint="eastAsia"/>
        </w:rPr>
        <w:t>有职业资格者的工资差别最大（</w:t>
      </w:r>
      <w:r>
        <w:t>23.7%</w:t>
      </w:r>
      <w:r>
        <w:rPr>
          <w:rFonts w:hint="eastAsia"/>
        </w:rPr>
        <w:t>），有“博士”学位者的工资差别最小（</w:t>
      </w:r>
      <w:r>
        <w:t>7.8</w:t>
      </w:r>
      <w:r>
        <w:rPr>
          <w:rFonts w:hint="eastAsia"/>
        </w:rPr>
        <w:t>%</w:t>
      </w:r>
      <w:r>
        <w:rPr>
          <w:rFonts w:hint="eastAsia"/>
        </w:rPr>
        <w:t>）。</w:t>
      </w:r>
      <w:r>
        <w:rPr>
          <w:rStyle w:val="FootnoteReference"/>
          <w:noProof/>
          <w:szCs w:val="24"/>
        </w:rPr>
        <w:footnoteReference w:id="51"/>
      </w:r>
      <w:r>
        <w:t xml:space="preserve"> </w:t>
      </w:r>
    </w:p>
    <w:p w:rsidR="001A7779" w:rsidRDefault="001A7779">
      <w:pPr>
        <w:tabs>
          <w:tab w:val="left" w:pos="630"/>
        </w:tabs>
        <w:spacing w:after="240" w:line="360" w:lineRule="exact"/>
        <w:rPr>
          <w:rFonts w:eastAsia="SimHei"/>
          <w:color w:val="FF0000"/>
        </w:rPr>
      </w:pPr>
      <w:r>
        <w:rPr>
          <w:rFonts w:eastAsia="SimHei" w:hint="eastAsia"/>
          <w:color w:val="FF0000"/>
        </w:rPr>
        <w:t>失业</w:t>
      </w:r>
    </w:p>
    <w:p w:rsidR="001A7779" w:rsidRDefault="001A7779">
      <w:pPr>
        <w:tabs>
          <w:tab w:val="left" w:pos="630"/>
        </w:tabs>
        <w:spacing w:after="240" w:line="360" w:lineRule="exact"/>
      </w:pPr>
      <w:r>
        <w:t>140.</w:t>
      </w:r>
      <w:r>
        <w:tab/>
      </w:r>
      <w:r>
        <w:rPr>
          <w:rFonts w:hint="eastAsia"/>
        </w:rPr>
        <w:t>自</w:t>
      </w:r>
      <w:r>
        <w:rPr>
          <w:rFonts w:hint="eastAsia"/>
        </w:rPr>
        <w:t>2004</w:t>
      </w:r>
      <w:r>
        <w:rPr>
          <w:rFonts w:hint="eastAsia"/>
        </w:rPr>
        <w:t>年以来，失业率明显下降，而妇女失业率则有所上升。近几年来，妇女在失业人群中的比例不断上升，</w:t>
      </w:r>
      <w:r>
        <w:rPr>
          <w:rFonts w:hint="eastAsia"/>
        </w:rPr>
        <w:t>2004</w:t>
      </w:r>
      <w:r>
        <w:rPr>
          <w:rFonts w:hint="eastAsia"/>
        </w:rPr>
        <w:t>年达到</w:t>
      </w:r>
      <w:r>
        <w:t>53.1</w:t>
      </w:r>
      <w:r>
        <w:rPr>
          <w:rFonts w:hint="eastAsia"/>
        </w:rPr>
        <w:t>%</w:t>
      </w:r>
      <w:r>
        <w:rPr>
          <w:rFonts w:hint="eastAsia"/>
        </w:rPr>
        <w:t>。纺织、皮革和制鞋业等产业部门进行结构调整，主要对妇女产生了影响，因为在这些产业中就业的大多是妇女。</w:t>
      </w:r>
      <w:r>
        <w:t xml:space="preserve"> </w:t>
      </w:r>
    </w:p>
    <w:p w:rsidR="001A7779" w:rsidRDefault="001A7779">
      <w:pPr>
        <w:tabs>
          <w:tab w:val="left" w:pos="630"/>
        </w:tabs>
        <w:spacing w:after="240" w:line="360" w:lineRule="exact"/>
      </w:pPr>
      <w:r>
        <w:t>141.</w:t>
      </w:r>
      <w:r>
        <w:tab/>
      </w:r>
      <w:r>
        <w:rPr>
          <w:rFonts w:hint="eastAsia"/>
        </w:rPr>
        <w:t>2004</w:t>
      </w:r>
      <w:r>
        <w:rPr>
          <w:rFonts w:hint="eastAsia"/>
        </w:rPr>
        <w:t>年，所调查的妇女失业率为</w:t>
      </w:r>
      <w:r>
        <w:t>6.4</w:t>
      </w:r>
      <w:r>
        <w:rPr>
          <w:rFonts w:hint="eastAsia"/>
        </w:rPr>
        <w:t>%</w:t>
      </w:r>
      <w:r>
        <w:rPr>
          <w:rFonts w:hint="eastAsia"/>
        </w:rPr>
        <w:t>，男子为</w:t>
      </w:r>
      <w:r>
        <w:t>5.7</w:t>
      </w:r>
      <w:r>
        <w:rPr>
          <w:rFonts w:hint="eastAsia"/>
        </w:rPr>
        <w:t>%</w:t>
      </w:r>
      <w:r>
        <w:rPr>
          <w:rFonts w:hint="eastAsia"/>
        </w:rPr>
        <w:t>，登记的妇女失业率为</w:t>
      </w:r>
      <w:r>
        <w:t>12.4</w:t>
      </w:r>
      <w:r>
        <w:rPr>
          <w:rFonts w:hint="eastAsia"/>
        </w:rPr>
        <w:t>%</w:t>
      </w:r>
      <w:r>
        <w:rPr>
          <w:rFonts w:hint="eastAsia"/>
        </w:rPr>
        <w:t>，男子为</w:t>
      </w:r>
      <w:r>
        <w:rPr>
          <w:rFonts w:hint="eastAsia"/>
        </w:rPr>
        <w:t>9</w:t>
      </w:r>
      <w:r>
        <w:t>.</w:t>
      </w:r>
      <w:r>
        <w:rPr>
          <w:rFonts w:hint="eastAsia"/>
        </w:rPr>
        <w:t>1%</w:t>
      </w:r>
      <w:r>
        <w:rPr>
          <w:rFonts w:hint="eastAsia"/>
        </w:rPr>
        <w:t>。</w:t>
      </w:r>
      <w:r>
        <w:rPr>
          <w:rFonts w:hint="eastAsia"/>
        </w:rPr>
        <w:t>15</w:t>
      </w:r>
      <w:r>
        <w:rPr>
          <w:rFonts w:hint="eastAsia"/>
        </w:rPr>
        <w:t>至</w:t>
      </w:r>
      <w:r>
        <w:rPr>
          <w:rFonts w:hint="eastAsia"/>
        </w:rPr>
        <w:t>24</w:t>
      </w:r>
      <w:r>
        <w:rPr>
          <w:rFonts w:hint="eastAsia"/>
        </w:rPr>
        <w:t>岁青年人的失业率显现出较大的性别差异：</w:t>
      </w:r>
      <w:r>
        <w:rPr>
          <w:rFonts w:hint="eastAsia"/>
        </w:rPr>
        <w:t>2004</w:t>
      </w:r>
      <w:r>
        <w:rPr>
          <w:rFonts w:hint="eastAsia"/>
        </w:rPr>
        <w:t>年，青年妇女的失业率（</w:t>
      </w:r>
      <w:r>
        <w:rPr>
          <w:rFonts w:hint="eastAsia"/>
        </w:rPr>
        <w:t>18%</w:t>
      </w:r>
      <w:r>
        <w:rPr>
          <w:rFonts w:hint="eastAsia"/>
        </w:rPr>
        <w:t>）几乎比青年男子（</w:t>
      </w:r>
      <w:r>
        <w:t>11.2</w:t>
      </w:r>
      <w:r>
        <w:rPr>
          <w:rFonts w:hint="eastAsia"/>
        </w:rPr>
        <w:t>%</w:t>
      </w:r>
      <w:r>
        <w:rPr>
          <w:rFonts w:hint="eastAsia"/>
        </w:rPr>
        <w:t>）高出</w:t>
      </w:r>
      <w:r>
        <w:rPr>
          <w:rFonts w:hint="eastAsia"/>
        </w:rPr>
        <w:t>7</w:t>
      </w:r>
      <w:r>
        <w:rPr>
          <w:rFonts w:hint="eastAsia"/>
        </w:rPr>
        <w:t>个百分点，在失业的求职者和高学历的初次求职者当中，妇女所占比例为</w:t>
      </w:r>
      <w:r>
        <w:rPr>
          <w:rFonts w:hint="eastAsia"/>
        </w:rPr>
        <w:t>75%</w:t>
      </w:r>
      <w:r>
        <w:rPr>
          <w:rFonts w:hint="eastAsia"/>
        </w:rPr>
        <w:t>。失业率降低也导致长期失业者人数减少。在</w:t>
      </w:r>
      <w:r>
        <w:rPr>
          <w:rFonts w:hint="eastAsia"/>
        </w:rPr>
        <w:t>2004</w:t>
      </w:r>
      <w:r>
        <w:rPr>
          <w:rFonts w:hint="eastAsia"/>
        </w:rPr>
        <w:t>至</w:t>
      </w:r>
      <w:r>
        <w:rPr>
          <w:rFonts w:hint="eastAsia"/>
        </w:rPr>
        <w:t>2005</w:t>
      </w:r>
      <w:r>
        <w:rPr>
          <w:rFonts w:hint="eastAsia"/>
        </w:rPr>
        <w:t>年期间，登记失业达一年以上的失业者人数减少了</w:t>
      </w:r>
      <w:r>
        <w:t>16.7</w:t>
      </w:r>
      <w:r>
        <w:rPr>
          <w:rFonts w:hint="eastAsia"/>
        </w:rPr>
        <w:t>%</w:t>
      </w:r>
      <w:r>
        <w:rPr>
          <w:rFonts w:hint="eastAsia"/>
        </w:rPr>
        <w:t>。相反，</w:t>
      </w:r>
      <w:r>
        <w:rPr>
          <w:rFonts w:hint="eastAsia"/>
        </w:rPr>
        <w:t>2000</w:t>
      </w:r>
      <w:r>
        <w:rPr>
          <w:rFonts w:hint="eastAsia"/>
        </w:rPr>
        <w:t>年至</w:t>
      </w:r>
      <w:r>
        <w:rPr>
          <w:rFonts w:hint="eastAsia"/>
        </w:rPr>
        <w:t>2004</w:t>
      </w:r>
      <w:r>
        <w:rPr>
          <w:rFonts w:hint="eastAsia"/>
        </w:rPr>
        <w:t>年期间长期失业的妇女比例则上升了</w:t>
      </w:r>
      <w:r>
        <w:t xml:space="preserve"> 2.8</w:t>
      </w:r>
      <w:r>
        <w:rPr>
          <w:rFonts w:hint="eastAsia"/>
        </w:rPr>
        <w:t>个百分点，即从</w:t>
      </w:r>
      <w:r>
        <w:t>51.3</w:t>
      </w:r>
      <w:r>
        <w:rPr>
          <w:rFonts w:hint="eastAsia"/>
        </w:rPr>
        <w:t>%</w:t>
      </w:r>
      <w:r>
        <w:rPr>
          <w:rFonts w:hint="eastAsia"/>
        </w:rPr>
        <w:t>上升至</w:t>
      </w:r>
      <w:r>
        <w:t>54.1</w:t>
      </w:r>
      <w:r>
        <w:rPr>
          <w:rFonts w:hint="eastAsia"/>
        </w:rPr>
        <w:t>%</w:t>
      </w:r>
      <w:r>
        <w:rPr>
          <w:rFonts w:hint="eastAsia"/>
        </w:rPr>
        <w:t>。</w:t>
      </w:r>
      <w:r>
        <w:rPr>
          <w:rStyle w:val="FootnoteReference"/>
          <w:noProof/>
          <w:szCs w:val="24"/>
        </w:rPr>
        <w:footnoteReference w:id="52"/>
      </w:r>
    </w:p>
    <w:p w:rsidR="001A7779" w:rsidRDefault="001A7779">
      <w:pPr>
        <w:tabs>
          <w:tab w:val="left" w:pos="630"/>
        </w:tabs>
        <w:spacing w:after="240" w:line="360" w:lineRule="exact"/>
      </w:pPr>
      <w:r>
        <w:t>142.</w:t>
      </w:r>
      <w:r>
        <w:tab/>
      </w:r>
      <w:r>
        <w:rPr>
          <w:rFonts w:hint="eastAsia"/>
        </w:rPr>
        <w:t>教育是影响就业机会的因素之一。高学历失业者通常更容易找到工作，即使近年来由于日渐增多的大学毕业生进入劳动市场，情况已发生变化。主要学习专业变得益发重要，而且雇主通常都要求有工作经验。登记的失业者大多为低学历者或者所学专业在劳动市场上没有需求的人。登记失业者有三分之一以上的人没有完成小学教育，</w:t>
      </w:r>
      <w:r>
        <w:rPr>
          <w:rFonts w:hint="eastAsia"/>
        </w:rPr>
        <w:t>2004</w:t>
      </w:r>
      <w:r>
        <w:rPr>
          <w:rFonts w:hint="eastAsia"/>
        </w:rPr>
        <w:t>年妇女所占比例为</w:t>
      </w:r>
      <w:r>
        <w:rPr>
          <w:rFonts w:hint="eastAsia"/>
        </w:rPr>
        <w:t>50%</w:t>
      </w:r>
      <w:r>
        <w:rPr>
          <w:rFonts w:hint="eastAsia"/>
        </w:rPr>
        <w:t>。失业妇女中所占比例最大的是高学历妇女（</w:t>
      </w:r>
      <w:r>
        <w:t>63.6</w:t>
      </w:r>
      <w:r>
        <w:rPr>
          <w:rFonts w:hint="eastAsia"/>
        </w:rPr>
        <w:t>%</w:t>
      </w:r>
      <w:r>
        <w:rPr>
          <w:rFonts w:hint="eastAsia"/>
        </w:rPr>
        <w:t>）和受过较低职业教育的妇女（</w:t>
      </w:r>
      <w:r>
        <w:t>63.3</w:t>
      </w:r>
      <w:r>
        <w:rPr>
          <w:rFonts w:hint="eastAsia"/>
        </w:rPr>
        <w:t>%</w:t>
      </w:r>
      <w:r>
        <w:rPr>
          <w:rFonts w:hint="eastAsia"/>
        </w:rPr>
        <w:t>）。</w:t>
      </w:r>
      <w:r>
        <w:rPr>
          <w:rStyle w:val="FootnoteReference"/>
          <w:szCs w:val="24"/>
        </w:rPr>
        <w:footnoteReference w:id="53"/>
      </w:r>
      <w:r>
        <w:t xml:space="preserve"> </w:t>
      </w:r>
    </w:p>
    <w:p w:rsidR="001A7779" w:rsidRDefault="001A7779">
      <w:pPr>
        <w:tabs>
          <w:tab w:val="left" w:pos="630"/>
        </w:tabs>
        <w:spacing w:after="240" w:line="360" w:lineRule="exact"/>
      </w:pPr>
      <w:r>
        <w:t>143.</w:t>
      </w:r>
      <w:r>
        <w:tab/>
      </w:r>
      <w:r>
        <w:rPr>
          <w:rFonts w:hint="eastAsia"/>
        </w:rPr>
        <w:t>有关登记失业者的年龄结构的数据显示，青年人的失业率逐年上升。</w:t>
      </w:r>
      <w:r>
        <w:rPr>
          <w:rFonts w:hint="eastAsia"/>
        </w:rPr>
        <w:t>2002</w:t>
      </w:r>
      <w:r>
        <w:rPr>
          <w:rFonts w:hint="eastAsia"/>
        </w:rPr>
        <w:t>年底，</w:t>
      </w:r>
      <w:r>
        <w:rPr>
          <w:rFonts w:hint="eastAsia"/>
        </w:rPr>
        <w:t>40</w:t>
      </w:r>
      <w:r>
        <w:rPr>
          <w:rFonts w:hint="eastAsia"/>
        </w:rPr>
        <w:t>至</w:t>
      </w:r>
      <w:r>
        <w:rPr>
          <w:rFonts w:hint="eastAsia"/>
        </w:rPr>
        <w:t>50</w:t>
      </w:r>
      <w:r>
        <w:rPr>
          <w:rFonts w:hint="eastAsia"/>
        </w:rPr>
        <w:t>岁的人群中失业率最高（</w:t>
      </w:r>
      <w:r>
        <w:t>23.5</w:t>
      </w:r>
      <w:r>
        <w:rPr>
          <w:rFonts w:hint="eastAsia"/>
        </w:rPr>
        <w:t>%</w:t>
      </w:r>
      <w:r>
        <w:rPr>
          <w:rFonts w:hint="eastAsia"/>
        </w:rPr>
        <w:t>），</w:t>
      </w:r>
      <w:r>
        <w:rPr>
          <w:rFonts w:hint="eastAsia"/>
        </w:rPr>
        <w:t xml:space="preserve"> 2004</w:t>
      </w:r>
      <w:r>
        <w:rPr>
          <w:rFonts w:hint="eastAsia"/>
        </w:rPr>
        <w:t>年则呈现出相反的趋势，</w:t>
      </w:r>
      <w:r>
        <w:rPr>
          <w:rFonts w:hint="eastAsia"/>
        </w:rPr>
        <w:t>18</w:t>
      </w:r>
      <w:r>
        <w:rPr>
          <w:rFonts w:hint="eastAsia"/>
        </w:rPr>
        <w:t>至</w:t>
      </w:r>
      <w:r>
        <w:rPr>
          <w:rFonts w:hint="eastAsia"/>
        </w:rPr>
        <w:t>25</w:t>
      </w:r>
      <w:r>
        <w:rPr>
          <w:rFonts w:hint="eastAsia"/>
        </w:rPr>
        <w:t>岁的人群中失业率最高（</w:t>
      </w:r>
      <w:r>
        <w:t>2</w:t>
      </w:r>
      <w:r>
        <w:rPr>
          <w:rFonts w:hint="eastAsia"/>
        </w:rPr>
        <w:t>2</w:t>
      </w:r>
      <w:r>
        <w:t>.5</w:t>
      </w:r>
      <w:r>
        <w:rPr>
          <w:rFonts w:hint="eastAsia"/>
        </w:rPr>
        <w:t>%</w:t>
      </w:r>
      <w:r>
        <w:rPr>
          <w:rFonts w:hint="eastAsia"/>
        </w:rPr>
        <w:t>）。在登记的失业者中，</w:t>
      </w:r>
      <w:r>
        <w:rPr>
          <w:rFonts w:hint="eastAsia"/>
        </w:rPr>
        <w:t>25-30</w:t>
      </w:r>
      <w:r>
        <w:rPr>
          <w:rFonts w:hint="eastAsia"/>
        </w:rPr>
        <w:t>岁以上和</w:t>
      </w:r>
      <w:r>
        <w:rPr>
          <w:rFonts w:hint="eastAsia"/>
        </w:rPr>
        <w:t>35-40</w:t>
      </w:r>
      <w:r>
        <w:rPr>
          <w:rFonts w:hint="eastAsia"/>
        </w:rPr>
        <w:t>岁以上年龄组的妇女占大多数。</w:t>
      </w:r>
      <w:r>
        <w:rPr>
          <w:rStyle w:val="FootnoteReference"/>
          <w:szCs w:val="24"/>
        </w:rPr>
        <w:footnoteReference w:id="54"/>
      </w:r>
    </w:p>
    <w:p w:rsidR="001A7779" w:rsidRDefault="001A7779">
      <w:pPr>
        <w:tabs>
          <w:tab w:val="left" w:pos="630"/>
        </w:tabs>
        <w:spacing w:after="240" w:line="360" w:lineRule="exact"/>
        <w:rPr>
          <w:rFonts w:eastAsia="SimHei"/>
          <w:color w:val="FF0000"/>
        </w:rPr>
      </w:pPr>
      <w:r>
        <w:rPr>
          <w:rFonts w:eastAsia="SimHei" w:hint="eastAsia"/>
          <w:color w:val="FF0000"/>
        </w:rPr>
        <w:t>在劳动市场和就业领域实现两性平等的措施</w:t>
      </w:r>
    </w:p>
    <w:p w:rsidR="001A7779" w:rsidRDefault="001A7779">
      <w:pPr>
        <w:tabs>
          <w:tab w:val="left" w:pos="630"/>
        </w:tabs>
        <w:spacing w:after="240" w:line="360" w:lineRule="exact"/>
      </w:pPr>
      <w:r>
        <w:t>144.</w:t>
      </w:r>
      <w:r>
        <w:tab/>
      </w:r>
      <w:r>
        <w:rPr>
          <w:rFonts w:hint="eastAsia"/>
        </w:rPr>
        <w:t>第三次报告介绍了《</w:t>
      </w:r>
      <w:r>
        <w:rPr>
          <w:rFonts w:hint="eastAsia"/>
        </w:rPr>
        <w:t>2006</w:t>
      </w:r>
      <w:r>
        <w:rPr>
          <w:rFonts w:hint="eastAsia"/>
        </w:rPr>
        <w:t>年国家劳动力市场就业发展方案》以及国家方案中所采取的措施，其目的在于确保劳动力市场上男女享有平等机会，以及协调工作与家庭生活。国家方案提出的措施正在通过按年度拟定的就业行动方案和积极的就业政策方案予以实施。自</w:t>
      </w:r>
      <w:r>
        <w:rPr>
          <w:rFonts w:hint="eastAsia"/>
        </w:rPr>
        <w:t>2004</w:t>
      </w:r>
      <w:r>
        <w:rPr>
          <w:rFonts w:hint="eastAsia"/>
        </w:rPr>
        <w:t>年以来，所有积极的就业政策方案均横向纳入两性平等观点。这意味着每项措施中都有一个特定部分，涉及必须列入此种措施的妇女的问题，并把妇女作为基本目标群体之一，而措施的成功与否以及效果如何则是以这些群体来衡量的。</w:t>
      </w:r>
      <w:r>
        <w:rPr>
          <w:rFonts w:hint="eastAsia"/>
        </w:rPr>
        <w:t xml:space="preserve"> </w:t>
      </w:r>
      <w:r>
        <w:rPr>
          <w:rFonts w:hint="eastAsia"/>
        </w:rPr>
        <w:t>此外，也把妇女视为就业比较困难的群体，对这类群体须予以特别关注。</w:t>
      </w:r>
      <w:r>
        <w:t xml:space="preserve"> </w:t>
      </w:r>
    </w:p>
    <w:p w:rsidR="001A7779" w:rsidRDefault="001A7779">
      <w:pPr>
        <w:tabs>
          <w:tab w:val="left" w:pos="630"/>
        </w:tabs>
        <w:spacing w:after="240" w:line="360" w:lineRule="exact"/>
      </w:pPr>
      <w:r>
        <w:t>145.</w:t>
      </w:r>
      <w:r>
        <w:tab/>
      </w:r>
      <w:r>
        <w:rPr>
          <w:rFonts w:hint="eastAsia"/>
        </w:rPr>
        <w:t>关于</w:t>
      </w:r>
      <w:r>
        <w:rPr>
          <w:rFonts w:hint="eastAsia"/>
        </w:rPr>
        <w:t>2003</w:t>
      </w:r>
      <w:r>
        <w:rPr>
          <w:rFonts w:hint="eastAsia"/>
        </w:rPr>
        <w:t>年积极的就业政策措施执行情况的报告显示，在所有措施中至少纳入了</w:t>
      </w:r>
      <w:r>
        <w:rPr>
          <w:rFonts w:hint="eastAsia"/>
        </w:rPr>
        <w:t>50%</w:t>
      </w:r>
      <w:r>
        <w:rPr>
          <w:rFonts w:hint="eastAsia"/>
        </w:rPr>
        <w:t>的妇女，在促进兼职就业的方案中所纳入的妇女比例最大（</w:t>
      </w:r>
      <w:r>
        <w:rPr>
          <w:rFonts w:hint="eastAsia"/>
        </w:rPr>
        <w:t>66%</w:t>
      </w:r>
      <w:r>
        <w:rPr>
          <w:rFonts w:hint="eastAsia"/>
        </w:rPr>
        <w:t>）。</w:t>
      </w:r>
      <w:r>
        <w:rPr>
          <w:rStyle w:val="FootnoteReference"/>
          <w:szCs w:val="24"/>
        </w:rPr>
        <w:footnoteReference w:id="55"/>
      </w:r>
      <w:r>
        <w:rPr>
          <w:rFonts w:hint="eastAsia"/>
        </w:rPr>
        <w:t>对适用</w:t>
      </w:r>
      <w:r>
        <w:rPr>
          <w:rFonts w:hint="eastAsia"/>
        </w:rPr>
        <w:t>2004</w:t>
      </w:r>
      <w:r>
        <w:rPr>
          <w:rFonts w:hint="eastAsia"/>
        </w:rPr>
        <w:t>年积极的就业政策方案的影响所作的评估显示，平均而言，</w:t>
      </w:r>
      <w:r>
        <w:rPr>
          <w:rFonts w:hint="eastAsia"/>
        </w:rPr>
        <w:t>2004</w:t>
      </w:r>
      <w:r>
        <w:rPr>
          <w:rFonts w:hint="eastAsia"/>
        </w:rPr>
        <w:t>年的失业率有所下降，然而失业妇女（从</w:t>
      </w:r>
      <w:r>
        <w:rPr>
          <w:rFonts w:hint="eastAsia"/>
        </w:rPr>
        <w:t>2003</w:t>
      </w:r>
      <w:r>
        <w:rPr>
          <w:rFonts w:hint="eastAsia"/>
        </w:rPr>
        <w:t>年的</w:t>
      </w:r>
      <w:r>
        <w:t>52.4%</w:t>
      </w:r>
      <w:r>
        <w:rPr>
          <w:rFonts w:hint="eastAsia"/>
        </w:rPr>
        <w:t>增至</w:t>
      </w:r>
      <w:r>
        <w:rPr>
          <w:rFonts w:hint="eastAsia"/>
        </w:rPr>
        <w:t>2004</w:t>
      </w:r>
      <w:r>
        <w:rPr>
          <w:rFonts w:hint="eastAsia"/>
        </w:rPr>
        <w:t>年的</w:t>
      </w:r>
      <w:r>
        <w:t>52.</w:t>
      </w:r>
      <w:r>
        <w:rPr>
          <w:rFonts w:hint="eastAsia"/>
        </w:rPr>
        <w:t>7%</w:t>
      </w:r>
      <w:r>
        <w:rPr>
          <w:rFonts w:hint="eastAsia"/>
        </w:rPr>
        <w:t>）以及初次求职者（从</w:t>
      </w:r>
      <w:r>
        <w:t>25.5</w:t>
      </w:r>
      <w:r>
        <w:rPr>
          <w:rFonts w:hint="eastAsia"/>
        </w:rPr>
        <w:t>%</w:t>
      </w:r>
      <w:r>
        <w:rPr>
          <w:rFonts w:hint="eastAsia"/>
        </w:rPr>
        <w:t>增至</w:t>
      </w:r>
      <w:r>
        <w:t>26.1</w:t>
      </w:r>
      <w:r>
        <w:rPr>
          <w:rFonts w:hint="eastAsia"/>
        </w:rPr>
        <w:t>%</w:t>
      </w:r>
      <w:r>
        <w:rPr>
          <w:rFonts w:hint="eastAsia"/>
        </w:rPr>
        <w:t>）人数则在增加。</w:t>
      </w:r>
      <w:r>
        <w:rPr>
          <w:rStyle w:val="FootnoteReference"/>
          <w:szCs w:val="24"/>
        </w:rPr>
        <w:footnoteReference w:id="56"/>
      </w:r>
      <w:r>
        <w:t xml:space="preserve"> </w:t>
      </w:r>
      <w:r>
        <w:rPr>
          <w:rFonts w:hint="eastAsia"/>
        </w:rPr>
        <w:t>2005</w:t>
      </w:r>
      <w:r>
        <w:rPr>
          <w:rFonts w:hint="eastAsia"/>
        </w:rPr>
        <w:t>年，积极的就业政策方案优先考虑纳入措施和活动的</w:t>
      </w:r>
      <w:r>
        <w:rPr>
          <w:rFonts w:hint="eastAsia"/>
        </w:rPr>
        <w:t>50%</w:t>
      </w:r>
      <w:r>
        <w:rPr>
          <w:rFonts w:hint="eastAsia"/>
        </w:rPr>
        <w:t>这部分妇女，并考虑把妇女纳入自雇活动。</w:t>
      </w:r>
    </w:p>
    <w:p w:rsidR="001A7779" w:rsidRDefault="001A7779">
      <w:pPr>
        <w:tabs>
          <w:tab w:val="left" w:pos="630"/>
        </w:tabs>
        <w:spacing w:after="240" w:line="360" w:lineRule="exact"/>
      </w:pPr>
      <w:r>
        <w:t>146.</w:t>
      </w:r>
      <w:r>
        <w:tab/>
      </w:r>
      <w:r>
        <w:rPr>
          <w:rFonts w:hint="eastAsia"/>
        </w:rPr>
        <w:t>斯洛文尼亚正式加入欧洲联盟，在</w:t>
      </w:r>
      <w:r>
        <w:t>2004</w:t>
      </w:r>
      <w:r>
        <w:rPr>
          <w:rFonts w:hint="eastAsia"/>
        </w:rPr>
        <w:t>-</w:t>
      </w:r>
      <w:r>
        <w:t>2006</w:t>
      </w:r>
      <w:r>
        <w:rPr>
          <w:rFonts w:hint="eastAsia"/>
        </w:rPr>
        <w:t>年期间即可利用欧洲结构资金所提供的财政资源。</w:t>
      </w:r>
      <w:r>
        <w:rPr>
          <w:rFonts w:hint="eastAsia"/>
        </w:rPr>
        <w:t>2004-2006</w:t>
      </w:r>
      <w:r>
        <w:rPr>
          <w:rFonts w:hint="eastAsia"/>
        </w:rPr>
        <w:t>年斯洛文尼亚共和国单一规划文件提出一项计划，以实施将通过结构资金提供资金的措施和活动。该文件包括横向优先事项中平等机会问题。在方案文件的所有措施和活动中，即在规划、实施和监督各项方案和项目的过程中，必须将两性平等原则考虑在内。按照斯洛文尼亚对实施平等机会横向政策（在单一规划文件的任务中做出明确规定）的承诺，劳动、家庭和社会事务部草拟了将性别观点纳入结构资金主流的指导方针。</w:t>
      </w:r>
      <w:r>
        <w:t xml:space="preserve"> </w:t>
      </w:r>
    </w:p>
    <w:p w:rsidR="001A7779" w:rsidRDefault="001A7779">
      <w:pPr>
        <w:tabs>
          <w:tab w:val="left" w:pos="630"/>
        </w:tabs>
        <w:spacing w:after="240" w:line="360" w:lineRule="exact"/>
      </w:pPr>
      <w:r>
        <w:t>147.</w:t>
      </w:r>
      <w:r>
        <w:tab/>
      </w:r>
      <w:r>
        <w:rPr>
          <w:rFonts w:hint="eastAsia"/>
        </w:rPr>
        <w:t>对于欧洲社会基金所提供的资金，斯洛文尼亚将其中一部分指定用于实施</w:t>
      </w:r>
      <w:r>
        <w:rPr>
          <w:rFonts w:hint="eastAsia"/>
        </w:rPr>
        <w:t>2004-2006</w:t>
      </w:r>
      <w:r>
        <w:rPr>
          <w:rFonts w:hint="eastAsia"/>
        </w:rPr>
        <w:t>年社区倡议方案“</w:t>
      </w:r>
      <w:r>
        <w:t>EQUAL</w:t>
      </w:r>
      <w:r>
        <w:rPr>
          <w:rFonts w:hint="eastAsia"/>
        </w:rPr>
        <w:t>”</w:t>
      </w:r>
      <w:r>
        <w:t xml:space="preserve"> </w:t>
      </w:r>
      <w:r>
        <w:rPr>
          <w:rFonts w:hint="eastAsia"/>
        </w:rPr>
        <w:t>框架下的方案，这些方案的目标是消除各种歧视，包括多重歧视（基于种族血统、性别等）。明确规定将性别观点纳入主流将作为倡议“</w:t>
      </w:r>
      <w:r>
        <w:t>EQUAL</w:t>
      </w:r>
      <w:r>
        <w:rPr>
          <w:rFonts w:hint="eastAsia"/>
        </w:rPr>
        <w:t>”下的方案的横向政策或战略。倡议“</w:t>
      </w:r>
      <w:r>
        <w:t>EQUAL</w:t>
      </w:r>
      <w:r>
        <w:rPr>
          <w:rFonts w:hint="eastAsia"/>
        </w:rPr>
        <w:t>”下的两个主题领域专门致力于保证男女享有平等机会：</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主题领域</w:t>
      </w:r>
      <w:r>
        <w:rPr>
          <w:rFonts w:hint="eastAsia"/>
        </w:rPr>
        <w:t>7</w:t>
      </w:r>
      <w:r>
        <w:rPr>
          <w:rFonts w:hint="eastAsia"/>
        </w:rPr>
        <w:t>：协调家庭与职业生活，以及通过较为灵活和有效形式的工作组织和支助服务，促使离开劳动力市场的男子和妇女重新融入社会；</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主题领域</w:t>
      </w:r>
      <w:r>
        <w:rPr>
          <w:rFonts w:hint="eastAsia"/>
        </w:rPr>
        <w:t>8</w:t>
      </w:r>
      <w:r>
        <w:rPr>
          <w:rFonts w:hint="eastAsia"/>
        </w:rPr>
        <w:t>：缩小男女差距和支持废止工作隔离。</w:t>
      </w:r>
    </w:p>
    <w:p w:rsidR="001A7779" w:rsidRDefault="001A7779">
      <w:pPr>
        <w:tabs>
          <w:tab w:val="left" w:pos="630"/>
        </w:tabs>
        <w:spacing w:after="240" w:line="360" w:lineRule="exact"/>
      </w:pPr>
      <w:r>
        <w:tab/>
      </w:r>
      <w:r>
        <w:rPr>
          <w:rFonts w:hint="eastAsia"/>
        </w:rPr>
        <w:t>在</w:t>
      </w:r>
      <w:r>
        <w:rPr>
          <w:rFonts w:hint="eastAsia"/>
        </w:rPr>
        <w:t>2004</w:t>
      </w:r>
      <w:r>
        <w:rPr>
          <w:rFonts w:hint="eastAsia"/>
        </w:rPr>
        <w:t>至</w:t>
      </w:r>
      <w:r>
        <w:rPr>
          <w:rFonts w:hint="eastAsia"/>
        </w:rPr>
        <w:t>2008</w:t>
      </w:r>
      <w:r>
        <w:rPr>
          <w:rFonts w:hint="eastAsia"/>
        </w:rPr>
        <w:t>年期间，斯洛文尼亚将着重于主题领域</w:t>
      </w:r>
      <w:r>
        <w:rPr>
          <w:rFonts w:hint="eastAsia"/>
        </w:rPr>
        <w:t>8</w:t>
      </w:r>
      <w:r>
        <w:rPr>
          <w:rFonts w:hint="eastAsia"/>
        </w:rPr>
        <w:t>，支持在此框架下采取的措施和活动，以消除就业领域的歧视现象，并促进妇女参与劳动力市场。</w:t>
      </w:r>
    </w:p>
    <w:p w:rsidR="001A7779" w:rsidRDefault="001A7779">
      <w:pPr>
        <w:tabs>
          <w:tab w:val="left" w:pos="630"/>
        </w:tabs>
        <w:spacing w:after="240" w:line="360" w:lineRule="exact"/>
      </w:pPr>
      <w:r>
        <w:t>148.</w:t>
      </w:r>
      <w:r>
        <w:tab/>
      </w:r>
      <w:r>
        <w:rPr>
          <w:rFonts w:hint="eastAsia"/>
        </w:rPr>
        <w:t>在《</w:t>
      </w:r>
      <w:r>
        <w:rPr>
          <w:rFonts w:hint="eastAsia"/>
        </w:rPr>
        <w:t>2003-2005</w:t>
      </w:r>
      <w:r>
        <w:rPr>
          <w:rFonts w:hint="eastAsia"/>
        </w:rPr>
        <w:t>年社会协议书》中，在社会伙伴的任务中尤其明确规定保证平等机会问题。在《</w:t>
      </w:r>
      <w:r>
        <w:rPr>
          <w:rFonts w:hint="eastAsia"/>
        </w:rPr>
        <w:t>2006-2008</w:t>
      </w:r>
      <w:r>
        <w:rPr>
          <w:rFonts w:hint="eastAsia"/>
        </w:rPr>
        <w:t>年社会协议书》提议中也特别强调了提供平等机会和尊重差异问题。在《</w:t>
      </w:r>
      <w:r>
        <w:rPr>
          <w:rFonts w:hint="eastAsia"/>
        </w:rPr>
        <w:t>2003-2005</w:t>
      </w:r>
      <w:r>
        <w:rPr>
          <w:rFonts w:hint="eastAsia"/>
        </w:rPr>
        <w:t>年社会协议书》以及《</w:t>
      </w:r>
      <w:r>
        <w:rPr>
          <w:rFonts w:hint="eastAsia"/>
        </w:rPr>
        <w:t>2003-2008</w:t>
      </w:r>
      <w:r>
        <w:rPr>
          <w:rFonts w:hint="eastAsia"/>
        </w:rPr>
        <w:t>年社会协议书》提议中均提到与两性平等有关的政府任务，其中包括：</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制定防止、查明和消除劳动力市场上对妇女和男子的直接歧视的措施，以此确保男女享有平等机会；</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采取措施，为妇女创办自己的企业提供特别支持，促进妇女参与教育和培训方案，并减少隔离和收入不平等现象，以此确保男女享有平等机会；</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保证实施《男女平等机会法》以及其中所设想的积极措施，以此促进实现实质性两性平等和消除隐性歧视的进程；</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其中特别鼓励公司关注有受抚养家庭成员（子女、老年人和其他有困难的家人）的家庭，也可通过“关心员工家庭公司”行动；</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采取有利措施，鼓励父亲休父亲产假和父母双方分别休照料子女假，甚至分别脱产在家照料生病的家庭成员；</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促进男女享有平等机会，特别是在抚育和教育、劳动力市场和就业，以及协调职业和家庭社会等领域。</w:t>
      </w:r>
    </w:p>
    <w:p w:rsidR="001A7779" w:rsidRDefault="001A7779">
      <w:pPr>
        <w:pStyle w:val="H1"/>
        <w:spacing w:before="120"/>
      </w:pPr>
      <w:r>
        <w:rPr>
          <w:rFonts w:hint="eastAsia"/>
        </w:rPr>
        <w:t>第</w:t>
      </w:r>
      <w:r>
        <w:t>12</w:t>
      </w:r>
      <w:r>
        <w:rPr>
          <w:rFonts w:hint="eastAsia"/>
        </w:rPr>
        <w:t>条</w:t>
      </w:r>
      <w:r>
        <w:t xml:space="preserve"> </w:t>
      </w:r>
      <w:r>
        <w:rPr>
          <w:rFonts w:hint="eastAsia"/>
        </w:rPr>
        <w:t>卫生</w:t>
      </w:r>
    </w:p>
    <w:p w:rsidR="001A7779" w:rsidRDefault="001A7779">
      <w:pPr>
        <w:tabs>
          <w:tab w:val="left" w:pos="630"/>
        </w:tabs>
        <w:spacing w:after="240" w:line="360" w:lineRule="exact"/>
      </w:pPr>
      <w:r>
        <w:t>149.</w:t>
      </w:r>
      <w:r>
        <w:tab/>
      </w:r>
      <w:r>
        <w:rPr>
          <w:rFonts w:hint="eastAsia"/>
        </w:rPr>
        <w:t>自编制第三次报告以来，修订了《卫生保健和健康保险法》，以规范农民、农民的控股成员以及在斯洛文尼亚共和国境内从事农业活动并将其作为唯一或主要职业的其他人的健康保险。在报告关于《公约》第</w:t>
      </w:r>
      <w:r>
        <w:rPr>
          <w:rFonts w:hint="eastAsia"/>
        </w:rPr>
        <w:t>14</w:t>
      </w:r>
      <w:r>
        <w:rPr>
          <w:rFonts w:hint="eastAsia"/>
        </w:rPr>
        <w:t>条执行情况的这一部分中，详细介绍了该修正案（见本报告第</w:t>
      </w:r>
      <w:r>
        <w:rPr>
          <w:rFonts w:hint="eastAsia"/>
        </w:rPr>
        <w:t>179</w:t>
      </w:r>
      <w:r>
        <w:rPr>
          <w:rFonts w:hint="eastAsia"/>
        </w:rPr>
        <w:t>段）。</w:t>
      </w:r>
    </w:p>
    <w:p w:rsidR="001A7779" w:rsidRDefault="001A7779">
      <w:pPr>
        <w:tabs>
          <w:tab w:val="left" w:pos="630"/>
        </w:tabs>
        <w:spacing w:after="240" w:line="360" w:lineRule="exact"/>
        <w:rPr>
          <w:rFonts w:eastAsia="SimHei"/>
          <w:color w:val="FF0000"/>
        </w:rPr>
      </w:pPr>
      <w:r>
        <w:rPr>
          <w:rFonts w:eastAsia="SimHei" w:hint="eastAsia"/>
          <w:color w:val="FF0000"/>
        </w:rPr>
        <w:t>妇女的健康保护</w:t>
      </w:r>
    </w:p>
    <w:p w:rsidR="001A7779" w:rsidRDefault="001A7779">
      <w:pPr>
        <w:tabs>
          <w:tab w:val="left" w:pos="630"/>
        </w:tabs>
        <w:spacing w:after="240" w:line="360" w:lineRule="exact"/>
        <w:rPr>
          <w:rFonts w:eastAsia="KaiTi_GB2312"/>
          <w:color w:val="0000FF"/>
        </w:rPr>
      </w:pPr>
      <w:r>
        <w:rPr>
          <w:rFonts w:eastAsia="KaiTi_GB2312" w:hint="eastAsia"/>
          <w:iCs/>
          <w:color w:val="0000FF"/>
        </w:rPr>
        <w:t>生殖健康</w:t>
      </w:r>
    </w:p>
    <w:p w:rsidR="001A7779" w:rsidRDefault="001A7779">
      <w:pPr>
        <w:tabs>
          <w:tab w:val="left" w:pos="630"/>
        </w:tabs>
        <w:spacing w:after="240" w:line="360" w:lineRule="exact"/>
      </w:pPr>
      <w:r>
        <w:t>150.</w:t>
      </w:r>
      <w:r>
        <w:tab/>
      </w:r>
      <w:r>
        <w:rPr>
          <w:rFonts w:hint="eastAsia"/>
        </w:rPr>
        <w:t>根据消除对妇女歧视委员会在审议斯洛文尼亚共和国第二次和第三次报告时提出的建议，斯洛文尼亚采取了降低孕产妇死亡率的措施。为讨论孕产妇死亡案例所设立的一个工作组，目前正在编制关于最近时期孕产妇死亡率的报告，并提出在生殖健康领域采取专业的临床措施和公共卫生措施的建议。</w:t>
      </w:r>
      <w:r>
        <w:rPr>
          <w:rFonts w:hint="eastAsia"/>
        </w:rPr>
        <w:t>2001</w:t>
      </w:r>
      <w:r>
        <w:rPr>
          <w:rFonts w:hint="eastAsia"/>
        </w:rPr>
        <w:t>和</w:t>
      </w:r>
      <w:r>
        <w:rPr>
          <w:rFonts w:hint="eastAsia"/>
        </w:rPr>
        <w:t>2002</w:t>
      </w:r>
      <w:r>
        <w:rPr>
          <w:rFonts w:hint="eastAsia"/>
        </w:rPr>
        <w:t>年的初步数据显示，</w:t>
      </w:r>
      <w:r>
        <w:rPr>
          <w:rFonts w:hint="eastAsia"/>
        </w:rPr>
        <w:t xml:space="preserve"> </w:t>
      </w:r>
      <w:r>
        <w:rPr>
          <w:rFonts w:hint="eastAsia"/>
        </w:rPr>
        <w:t>斯洛文尼亚的孕产妇死亡率已大大下降。</w:t>
      </w:r>
      <w:r>
        <w:rPr>
          <w:rStyle w:val="FootnoteReference"/>
          <w:b/>
          <w:bCs/>
          <w:szCs w:val="24"/>
        </w:rPr>
        <w:footnoteReference w:id="57"/>
      </w:r>
      <w:r>
        <w:t xml:space="preserve"> </w:t>
      </w:r>
      <w:r>
        <w:rPr>
          <w:rFonts w:hint="eastAsia"/>
        </w:rPr>
        <w:t>1998-2002</w:t>
      </w:r>
      <w:r>
        <w:rPr>
          <w:rFonts w:hint="eastAsia"/>
        </w:rPr>
        <w:t>年期间的五年平均孕产妇死亡率共计每</w:t>
      </w:r>
      <w:r>
        <w:t>100</w:t>
      </w:r>
      <w:r>
        <w:rPr>
          <w:rFonts w:hint="eastAsia"/>
        </w:rPr>
        <w:t xml:space="preserve"> </w:t>
      </w:r>
      <w:r>
        <w:t xml:space="preserve">000 </w:t>
      </w:r>
      <w:r>
        <w:rPr>
          <w:rFonts w:hint="eastAsia"/>
        </w:rPr>
        <w:t>名活产婴儿死亡</w:t>
      </w:r>
      <w:r>
        <w:t>12.5</w:t>
      </w:r>
      <w:r>
        <w:rPr>
          <w:rFonts w:hint="eastAsia"/>
        </w:rPr>
        <w:t>例（见本报告第</w:t>
      </w:r>
      <w:r>
        <w:rPr>
          <w:rFonts w:hint="eastAsia"/>
        </w:rPr>
        <w:t>159</w:t>
      </w:r>
      <w:r>
        <w:rPr>
          <w:rFonts w:hint="eastAsia"/>
        </w:rPr>
        <w:t>段）。</w:t>
      </w:r>
    </w:p>
    <w:p w:rsidR="001A7779" w:rsidRDefault="001A7779">
      <w:pPr>
        <w:tabs>
          <w:tab w:val="left" w:pos="630"/>
        </w:tabs>
        <w:spacing w:after="240" w:line="360" w:lineRule="exact"/>
      </w:pPr>
      <w:r>
        <w:t>151.</w:t>
      </w:r>
      <w:r>
        <w:tab/>
      </w:r>
      <w:r>
        <w:rPr>
          <w:rFonts w:ascii="SimHei" w:eastAsia="SimHei" w:hint="eastAsia"/>
          <w:color w:val="FF0000"/>
        </w:rPr>
        <w:t>在斯洛文尼亚，历来实行积极的全民保健，为不同人群拟定和实施的预防方案就是明显的一例。所有预防性保健活动的共同特点是，所有斯洛文尼亚公民均可平等参与，倘若享有全额强制性健康保险的话。《斯洛文尼亚共和国国家保健方案》自2000年起规定了一项特别措施，旨在促进性健康和生殖健康，并将其作为第三个优先目标。这项措施通过一项提倡健康性行为的方案来实施，包括三个方面：性教育、计划生育和预防性传播疾病。第四个优先目标包括一项特别措施，目标是研究对个别人群健康的不利影响，重点是怀孕妇女</w:t>
      </w:r>
      <w:r>
        <w:rPr>
          <w:rFonts w:hint="eastAsia"/>
        </w:rPr>
        <w:t>。</w:t>
      </w:r>
      <w:r>
        <w:t xml:space="preserve"> </w:t>
      </w:r>
    </w:p>
    <w:p w:rsidR="001A7779" w:rsidRDefault="001A7779">
      <w:pPr>
        <w:tabs>
          <w:tab w:val="left" w:pos="630"/>
        </w:tabs>
        <w:spacing w:after="240" w:line="360" w:lineRule="exact"/>
      </w:pPr>
      <w:r>
        <w:t>152.</w:t>
      </w:r>
      <w:r>
        <w:tab/>
      </w:r>
      <w:r>
        <w:rPr>
          <w:rFonts w:hint="eastAsia"/>
        </w:rPr>
        <w:t>成人健康保护领域中的大多数优先任务与生殖健康有关。斯洛文尼亚采用综合性办法保护人民的生殖健康，并从不同领域来贯彻落实：</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拟定保护生殖健康跨部门规划（各个政府部门与非政府组织开展合作）；</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保护生殖健康（积极的保健；实施预防性方案和大力加强以高危群体为重点的保健工作；加强在怀孕前以及产前、围产期和产后时期对宫颈癌的检测、有组织乳腺癌筛查方案）；</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hint="eastAsia"/>
        </w:rPr>
        <w:t>加强促进和保护生殖保健领域的卫生教育（提供健康的生活方式；实现安全性行为和负责任的养育子女；提供信息、教育和预防性方案，以提倡就性生活和子女生育问题做出负责任的和自愿的决定；提供可获得现有计划生育方法更多选择以及对其他生育控制方法选择的机会；提高青少年和儿童对各种形式虐待的认识）。</w:t>
      </w:r>
      <w:r>
        <w:t xml:space="preserve"> </w:t>
      </w:r>
    </w:p>
    <w:p w:rsidR="001A7779" w:rsidRDefault="001A7779">
      <w:pPr>
        <w:tabs>
          <w:tab w:val="left" w:pos="630"/>
        </w:tabs>
        <w:spacing w:after="240" w:line="360" w:lineRule="exact"/>
      </w:pPr>
      <w:r>
        <w:t>153.</w:t>
      </w:r>
      <w:r>
        <w:tab/>
      </w:r>
      <w:r>
        <w:rPr>
          <w:rFonts w:hint="eastAsia"/>
        </w:rPr>
        <w:t>在斯洛文尼亚，生殖健康领域的计划生育预防性方案适用于所有妇女或未来的父母，现在以下领域实施：</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计划生育预防方案</w:t>
      </w:r>
      <w:r>
        <w:rPr>
          <w:rFonts w:hint="eastAsia"/>
        </w:rPr>
        <w:t>：方案包括有关有效计划生育、避孕用具的使用、预防性传播感染和继发不育症的检查和咨询。</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安全怀孕预防方案</w:t>
      </w:r>
      <w:r>
        <w:rPr>
          <w:rFonts w:hint="eastAsia"/>
        </w:rPr>
        <w:t>：孕妇和新生儿母亲个人享有最低水平的护理，包括怀孕期间总共</w:t>
      </w:r>
      <w:r>
        <w:rPr>
          <w:rFonts w:hint="eastAsia"/>
        </w:rPr>
        <w:t>10</w:t>
      </w:r>
      <w:r>
        <w:rPr>
          <w:rFonts w:hint="eastAsia"/>
        </w:rPr>
        <w:t>项预防性检查、健康教育个别辅导、两项超声波检查、实验室检验、弓形体病筛查检验、对</w:t>
      </w:r>
      <w:r>
        <w:rPr>
          <w:rFonts w:hint="eastAsia"/>
        </w:rPr>
        <w:t>35</w:t>
      </w:r>
      <w:r>
        <w:rPr>
          <w:rFonts w:hint="eastAsia"/>
        </w:rPr>
        <w:t>岁以上孕妇的唐氏综合症筛查检测。该方案也包括分娩、自行和允许中止妊娠和宫外孕后的检查和辅导，预防护理之家探视怀孕妇女、新生儿及其母亲，以及在妇女尚未确定其个人的妇科医生时为其提供相应的服务。</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预防宫颈癌预防方案</w:t>
      </w:r>
      <w:r>
        <w:rPr>
          <w:rFonts w:hint="eastAsia"/>
        </w:rPr>
        <w:t>：由于这一项目十分复杂，</w:t>
      </w:r>
      <w:r>
        <w:rPr>
          <w:rFonts w:hint="eastAsia"/>
        </w:rPr>
        <w:t>2002</w:t>
      </w:r>
      <w:r>
        <w:rPr>
          <w:rFonts w:hint="eastAsia"/>
        </w:rPr>
        <w:t>年正式启动了国家宫颈癌筛查方案“</w:t>
      </w:r>
      <w:r>
        <w:rPr>
          <w:rFonts w:hint="eastAsia"/>
        </w:rPr>
        <w:t>ZORA</w:t>
      </w:r>
      <w:r>
        <w:rPr>
          <w:rFonts w:hint="eastAsia"/>
        </w:rPr>
        <w:t>”。方案的目的是积极动员所有在</w:t>
      </w:r>
      <w:r>
        <w:rPr>
          <w:rFonts w:hint="eastAsia"/>
        </w:rPr>
        <w:t>20-74</w:t>
      </w:r>
      <w:r>
        <w:rPr>
          <w:rFonts w:hint="eastAsia"/>
        </w:rPr>
        <w:t>岁年龄组的妇女进行妇科检查，包括</w:t>
      </w:r>
      <w:r>
        <w:t xml:space="preserve">PAP </w:t>
      </w:r>
      <w:r>
        <w:rPr>
          <w:rFonts w:hint="eastAsia"/>
        </w:rPr>
        <w:t>涂片检验。对</w:t>
      </w:r>
      <w:r>
        <w:rPr>
          <w:rFonts w:hint="eastAsia"/>
        </w:rPr>
        <w:t>65-74</w:t>
      </w:r>
      <w:r>
        <w:rPr>
          <w:rFonts w:hint="eastAsia"/>
        </w:rPr>
        <w:t>岁年龄组的妇女也提供这项检查，但不把她们列为重点筛查对象。这项方案在实施两年之后，开始产生积极成果。在</w:t>
      </w:r>
      <w:r>
        <w:rPr>
          <w:rFonts w:hint="eastAsia"/>
        </w:rPr>
        <w:t>20-74</w:t>
      </w:r>
      <w:r>
        <w:rPr>
          <w:rFonts w:hint="eastAsia"/>
        </w:rPr>
        <w:t>岁年龄组中，由于看妇科医生较为方便并且系统化，决定有其个人的妇科医生的妇女比例上升了</w:t>
      </w:r>
      <w:r>
        <w:rPr>
          <w:rFonts w:hint="eastAsia"/>
        </w:rPr>
        <w:t>20%</w:t>
      </w:r>
      <w:r>
        <w:rPr>
          <w:rFonts w:hint="eastAsia"/>
        </w:rPr>
        <w:t>（平均为</w:t>
      </w:r>
      <w:r>
        <w:rPr>
          <w:rFonts w:hint="eastAsia"/>
        </w:rPr>
        <w:t>80%</w:t>
      </w:r>
      <w:r>
        <w:rPr>
          <w:rFonts w:hint="eastAsia"/>
        </w:rPr>
        <w:t>）。因此，接受包括</w:t>
      </w:r>
      <w:r>
        <w:t xml:space="preserve">PAP </w:t>
      </w:r>
      <w:r>
        <w:rPr>
          <w:rFonts w:hint="eastAsia"/>
        </w:rPr>
        <w:t>涂片检验在内的检查的妇女比例也在提高。各个年龄组看妇科医生的机会都有所增加，主要是</w:t>
      </w:r>
      <w:r>
        <w:rPr>
          <w:rFonts w:hint="eastAsia"/>
        </w:rPr>
        <w:t>50</w:t>
      </w:r>
      <w:r>
        <w:rPr>
          <w:rFonts w:hint="eastAsia"/>
        </w:rPr>
        <w:t>岁以上的妇女。</w:t>
      </w:r>
      <w:r>
        <w:rPr>
          <w:rStyle w:val="FootnoteReference"/>
          <w:b/>
          <w:bCs/>
          <w:szCs w:val="24"/>
        </w:rPr>
        <w:footnoteReference w:id="58"/>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乳腺癌筛查预防方案</w:t>
      </w:r>
      <w:r>
        <w:rPr>
          <w:rFonts w:hint="eastAsia"/>
        </w:rPr>
        <w:t>：近年来，在斯洛文尼亚全国开展了乳腺癌乳房</w:t>
      </w:r>
      <w:r>
        <w:rPr>
          <w:rFonts w:hint="eastAsia"/>
        </w:rPr>
        <w:t>X</w:t>
      </w:r>
      <w:r>
        <w:rPr>
          <w:rFonts w:hint="eastAsia"/>
        </w:rPr>
        <w:t>线摄影筛查。筛查对象为</w:t>
      </w:r>
      <w:r>
        <w:rPr>
          <w:rFonts w:hint="eastAsia"/>
        </w:rPr>
        <w:t>50-69</w:t>
      </w:r>
      <w:r>
        <w:rPr>
          <w:rFonts w:hint="eastAsia"/>
        </w:rPr>
        <w:t>岁妇女和有乳腺癌家族史的</w:t>
      </w:r>
      <w:r>
        <w:rPr>
          <w:rFonts w:hint="eastAsia"/>
        </w:rPr>
        <w:t>40-49</w:t>
      </w:r>
      <w:r>
        <w:rPr>
          <w:rFonts w:hint="eastAsia"/>
        </w:rPr>
        <w:t>岁妇女。限定年龄段的妇女（按照国际标准规定妇女有资格接受乳房</w:t>
      </w:r>
      <w:r>
        <w:rPr>
          <w:rFonts w:hint="eastAsia"/>
        </w:rPr>
        <w:t>X</w:t>
      </w:r>
      <w:r>
        <w:rPr>
          <w:rFonts w:hint="eastAsia"/>
        </w:rPr>
        <w:t>线摄影筛查的年龄）有权每两年进行一次乳腺门诊检查，检查费由强制性健康保险支付。</w:t>
      </w:r>
      <w:r>
        <w:rPr>
          <w:rFonts w:hint="eastAsia"/>
        </w:rPr>
        <w:t>2004</w:t>
      </w:r>
      <w:r>
        <w:rPr>
          <w:rFonts w:hint="eastAsia"/>
        </w:rPr>
        <w:t>年</w:t>
      </w:r>
      <w:r>
        <w:rPr>
          <w:rFonts w:hint="eastAsia"/>
        </w:rPr>
        <w:t>6</w:t>
      </w:r>
      <w:r>
        <w:rPr>
          <w:rFonts w:hint="eastAsia"/>
        </w:rPr>
        <w:t>月通过了分阶段推行有组织的乳房</w:t>
      </w:r>
      <w:r>
        <w:rPr>
          <w:rFonts w:hint="eastAsia"/>
        </w:rPr>
        <w:t>X</w:t>
      </w:r>
      <w:r>
        <w:rPr>
          <w:rFonts w:hint="eastAsia"/>
        </w:rPr>
        <w:t>线摄影筛查的国家方案，目标是早期发现乳腺癌。有组织筛查方案计划列入同一年龄组的妇女，动员她们接受检查，因为我们的目的是使所有妇女了解检查的可能性，而不仅仅是那些较为注意自己健康的妇女。</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在围绝经期期间和绝经期后荷尔蒙替代疗法预防方案</w:t>
      </w:r>
      <w:r>
        <w:rPr>
          <w:rFonts w:hint="eastAsia"/>
        </w:rPr>
        <w:t>：该方案包括有关心理辅导和采用荷尔蒙替代疗法的指导。</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妇女初级保健程序化卫生教育和健康促进</w:t>
      </w:r>
      <w:r>
        <w:rPr>
          <w:rFonts w:hint="eastAsia"/>
        </w:rPr>
        <w:t>：该方案包括提供指导，以鼓励身心性全面健康发展，负责任地养育子女，增强人们预防疾病的能力，并对健康问题做出反应。方案确保提供优质信息和增强目标人群的能力。</w:t>
      </w:r>
      <w:r>
        <w:t xml:space="preserve"> </w:t>
      </w:r>
    </w:p>
    <w:p w:rsidR="001A7779" w:rsidRDefault="001A7779" w:rsidP="00B359E9">
      <w:pPr>
        <w:numPr>
          <w:ilvl w:val="0"/>
          <w:numId w:val="8"/>
        </w:numPr>
        <w:tabs>
          <w:tab w:val="clear" w:pos="780"/>
          <w:tab w:val="left" w:pos="1050"/>
        </w:tabs>
        <w:spacing w:after="240" w:line="360" w:lineRule="exact"/>
        <w:ind w:leftChars="300" w:left="31680" w:hanging="420"/>
      </w:pPr>
      <w:r>
        <w:rPr>
          <w:rFonts w:eastAsia="KaiTi_GB2312" w:hint="eastAsia"/>
          <w:color w:val="0000FF"/>
        </w:rPr>
        <w:t>产前健康教育</w:t>
      </w:r>
      <w:r>
        <w:rPr>
          <w:rFonts w:hint="eastAsia"/>
        </w:rPr>
        <w:t>——</w:t>
      </w:r>
      <w:r>
        <w:rPr>
          <w:rFonts w:eastAsia="KaiTi_GB2312" w:hint="eastAsia"/>
          <w:color w:val="0000FF"/>
        </w:rPr>
        <w:t>父母学校</w:t>
      </w:r>
      <w:r>
        <w:rPr>
          <w:rFonts w:hint="eastAsia"/>
        </w:rPr>
        <w:t>：本方案包括指导孕妇及其伴侣实现最佳围产期健康，特别是对高危群体孕妇（青年人、</w:t>
      </w:r>
      <w:r>
        <w:t xml:space="preserve"> </w:t>
      </w:r>
      <w:r>
        <w:rPr>
          <w:rFonts w:hint="eastAsia"/>
        </w:rPr>
        <w:t>存在社会和健康风险的孕妇）的指导。</w:t>
      </w:r>
    </w:p>
    <w:p w:rsidR="001A7779" w:rsidRDefault="001A7779">
      <w:pPr>
        <w:tabs>
          <w:tab w:val="left" w:pos="630"/>
        </w:tabs>
        <w:spacing w:after="240" w:line="360" w:lineRule="exact"/>
      </w:pPr>
      <w:r>
        <w:t>154.</w:t>
      </w:r>
      <w:r>
        <w:tab/>
      </w:r>
      <w:r>
        <w:rPr>
          <w:rFonts w:hint="eastAsia"/>
        </w:rPr>
        <w:t>锻炼身体促进健康国家方案正在审批过程中，该方案，除其他事项外，明确了对目标群体妇女和孕妇的战略政策和政府的任务，以期降低产生与妊娠有关的疾病的风险因素。</w:t>
      </w:r>
      <w:r>
        <w:rPr>
          <w:rFonts w:hint="eastAsia"/>
        </w:rPr>
        <w:t>2005</w:t>
      </w:r>
      <w:r>
        <w:rPr>
          <w:rFonts w:hint="eastAsia"/>
        </w:rPr>
        <w:t>年</w:t>
      </w:r>
      <w:r>
        <w:rPr>
          <w:rFonts w:hint="eastAsia"/>
        </w:rPr>
        <w:t>3</w:t>
      </w:r>
      <w:r>
        <w:rPr>
          <w:rFonts w:hint="eastAsia"/>
        </w:rPr>
        <w:t>月，斯洛文尼亚共和国国民议会通过了《关于</w:t>
      </w:r>
      <w:r>
        <w:rPr>
          <w:rFonts w:hint="eastAsia"/>
        </w:rPr>
        <w:t>2005-2010</w:t>
      </w:r>
      <w:r>
        <w:rPr>
          <w:rFonts w:hint="eastAsia"/>
        </w:rPr>
        <w:t>年国家营养政策方案的决议》，其中明确了在涉及妊娠、产后和哺乳期妇女的健康营养、健康的生活方式和健康教育领域中的国家目标和措施</w:t>
      </w:r>
      <w:r>
        <w:rPr>
          <w:rFonts w:eastAsia="KaiTi_GB2312" w:hint="eastAsia"/>
          <w:iCs/>
          <w:color w:val="0000FF"/>
        </w:rPr>
        <w:t>。</w:t>
      </w:r>
    </w:p>
    <w:p w:rsidR="001A7779" w:rsidRDefault="001A7779">
      <w:pPr>
        <w:tabs>
          <w:tab w:val="left" w:pos="630"/>
        </w:tabs>
        <w:spacing w:after="240" w:line="360" w:lineRule="exact"/>
      </w:pPr>
      <w:r>
        <w:t>155.</w:t>
      </w:r>
      <w:r>
        <w:tab/>
      </w:r>
      <w:r>
        <w:rPr>
          <w:rFonts w:hint="eastAsia"/>
        </w:rPr>
        <w:t>2002</w:t>
      </w:r>
      <w:r>
        <w:rPr>
          <w:rFonts w:hint="eastAsia"/>
        </w:rPr>
        <w:t>年，在斯洛文尼亚共和国首都开始实行无健康保险者门诊治疗制度。专门为所有无健康保险者设立了普通和若干专科门诊和咨询所，免费提供服务。门诊为无家可归者、外侨、寻求庇护者、难民和其他无健康保险的人提供健康服务。除门诊之外，也设立了有关一般问题、儿童、孕妇和糖尿病等问题的咨询所。</w:t>
      </w:r>
      <w:r>
        <w:rPr>
          <w:rFonts w:hint="eastAsia"/>
          <w:spacing w:val="2"/>
        </w:rPr>
        <w:t>2003</w:t>
      </w:r>
      <w:r>
        <w:rPr>
          <w:rFonts w:hint="eastAsia"/>
          <w:spacing w:val="2"/>
        </w:rPr>
        <w:t>年，在</w:t>
      </w:r>
      <w:r>
        <w:rPr>
          <w:rFonts w:hint="eastAsia"/>
        </w:rPr>
        <w:t>门诊看病的有</w:t>
      </w:r>
      <w:r>
        <w:t>8 101</w:t>
      </w:r>
      <w:r>
        <w:rPr>
          <w:rFonts w:hint="eastAsia"/>
        </w:rPr>
        <w:t>人；大多数来访者是患有严重慢性病的病人、孕妇以及患有慢性高血压、血管疾病和癌症的病人。</w:t>
      </w:r>
      <w:r>
        <w:rPr>
          <w:spacing w:val="-1"/>
        </w:rPr>
        <w:t xml:space="preserve"> </w:t>
      </w:r>
    </w:p>
    <w:p w:rsidR="001A7779" w:rsidRDefault="001A7779">
      <w:pPr>
        <w:tabs>
          <w:tab w:val="left" w:pos="630"/>
        </w:tabs>
        <w:spacing w:after="240" w:line="360" w:lineRule="exact"/>
      </w:pPr>
      <w:r>
        <w:t>156.</w:t>
      </w:r>
      <w:r>
        <w:tab/>
      </w:r>
      <w:r>
        <w:rPr>
          <w:rFonts w:hint="eastAsia"/>
        </w:rPr>
        <w:t>斯洛文尼亚共和国实施不同等级的生殖保健：初级、中级和高级保健。在初级（社区保健中心），有一个由妇科专家、高级助产士和护士或保健医师组成的工作队，为妇女提供全面生殖保健服务（妇女保健门诊）。在斯洛文尼亚，初级保健一级有妇科专家服务。在实施有组织的宫颈癌筛查方案“</w:t>
      </w:r>
      <w:r>
        <w:rPr>
          <w:rFonts w:hint="eastAsia"/>
        </w:rPr>
        <w:t>ZORA</w:t>
      </w:r>
      <w:r>
        <w:rPr>
          <w:rFonts w:hint="eastAsia"/>
        </w:rPr>
        <w:t>”之前，查体妇女所占比例为</w:t>
      </w:r>
      <w:r>
        <w:rPr>
          <w:rFonts w:hint="eastAsia"/>
        </w:rPr>
        <w:t>20-30%</w:t>
      </w:r>
      <w:r>
        <w:rPr>
          <w:rFonts w:hint="eastAsia"/>
        </w:rPr>
        <w:t>。由于参与生殖保健预防方案的妇女所占比例过低，找妇科专家看病的求诊比例和宫颈癌发病率就很高。</w:t>
      </w:r>
      <w:r>
        <w:rPr>
          <w:rFonts w:hint="eastAsia"/>
        </w:rPr>
        <w:t>2002</w:t>
      </w:r>
      <w:r>
        <w:rPr>
          <w:rFonts w:hint="eastAsia"/>
        </w:rPr>
        <w:t>年，</w:t>
      </w:r>
      <w:r>
        <w:t xml:space="preserve"> </w:t>
      </w:r>
      <w:r>
        <w:rPr>
          <w:rFonts w:hint="eastAsia"/>
        </w:rPr>
        <w:t>妇女初级保健就诊人数增长了</w:t>
      </w:r>
      <w:r>
        <w:t>12.7</w:t>
      </w:r>
      <w:r>
        <w:rPr>
          <w:rFonts w:hint="eastAsia"/>
        </w:rPr>
        <w:t>个百分点，预防性就诊人数增长了</w:t>
      </w:r>
      <w:r>
        <w:rPr>
          <w:rFonts w:hint="eastAsia"/>
        </w:rPr>
        <w:t>2</w:t>
      </w:r>
      <w:r>
        <w:rPr>
          <w:rFonts w:hint="eastAsia"/>
        </w:rPr>
        <w:t>个百分点。就诊人数增长的主要原因是采取了上述办法，即有组织地实施预防性方案，及早发现宫颈癌前期病变、乳腺癌和对孕妇不同的预防性治疗。</w:t>
      </w:r>
      <w:r>
        <w:rPr>
          <w:rFonts w:hint="eastAsia"/>
        </w:rPr>
        <w:t>2002</w:t>
      </w:r>
      <w:r>
        <w:rPr>
          <w:rFonts w:hint="eastAsia"/>
        </w:rPr>
        <w:t>年，由于出台新的安排，规定三个月以上不得开具处方，避孕咨询人数有所增长。另外，向中级专家转诊的数量持续下降（占接受治疗的妇女的</w:t>
      </w:r>
      <w:r>
        <w:t>4.9</w:t>
      </w:r>
      <w:r>
        <w:rPr>
          <w:rFonts w:hint="eastAsia"/>
        </w:rPr>
        <w:t>%</w:t>
      </w:r>
      <w:r>
        <w:rPr>
          <w:rFonts w:hint="eastAsia"/>
        </w:rPr>
        <w:t>）以及转诊住院进一步治疗的人数（占接受治疗的妇女的</w:t>
      </w:r>
      <w:r>
        <w:t>3.2</w:t>
      </w:r>
      <w:r>
        <w:rPr>
          <w:rFonts w:hint="eastAsia"/>
        </w:rPr>
        <w:t>%</w:t>
      </w:r>
      <w:r>
        <w:rPr>
          <w:rFonts w:hint="eastAsia"/>
        </w:rPr>
        <w:t>）减少，这一状况也令人感到振奋。向中级治疗转诊比率最高的有乳腺预防性或治疗性转诊，其次是生育转诊和与人工流产或自然流产有关的治疗转诊。</w:t>
      </w:r>
      <w:r>
        <w:rPr>
          <w:rStyle w:val="FootnoteReference"/>
          <w:b/>
          <w:bCs/>
          <w:szCs w:val="24"/>
        </w:rPr>
        <w:footnoteReference w:id="59"/>
      </w:r>
    </w:p>
    <w:p w:rsidR="001A7779" w:rsidRDefault="001A7779">
      <w:pPr>
        <w:tabs>
          <w:tab w:val="left" w:pos="630"/>
        </w:tabs>
        <w:spacing w:after="240" w:line="360" w:lineRule="exact"/>
      </w:pPr>
      <w:r>
        <w:t>157.</w:t>
      </w:r>
      <w:r>
        <w:tab/>
      </w:r>
      <w:r>
        <w:rPr>
          <w:rFonts w:hint="eastAsia"/>
        </w:rPr>
        <w:t>关于上述妇女在初级保健即可获得妇科专家服务这方面，各个年龄组的妇女获得避孕服务的比率也很高。</w:t>
      </w:r>
      <w:r>
        <w:t xml:space="preserve"> </w:t>
      </w:r>
    </w:p>
    <w:p w:rsidR="001A7779" w:rsidRDefault="001A7779">
      <w:pPr>
        <w:tabs>
          <w:tab w:val="left" w:pos="630"/>
        </w:tabs>
        <w:spacing w:after="240" w:line="360" w:lineRule="exact"/>
      </w:pPr>
      <w:r>
        <w:t>158.</w:t>
      </w:r>
      <w:r>
        <w:tab/>
      </w:r>
      <w:r>
        <w:rPr>
          <w:rFonts w:hint="eastAsia"/>
        </w:rPr>
        <w:t>关于斯洛文尼亚高中生性行为的最新研究表明，初次性行为的平均年龄为</w:t>
      </w:r>
      <w:r>
        <w:rPr>
          <w:rFonts w:hint="eastAsia"/>
        </w:rPr>
        <w:t>17</w:t>
      </w:r>
      <w:r>
        <w:rPr>
          <w:rFonts w:hint="eastAsia"/>
        </w:rPr>
        <w:t>岁。在性行为活跃的高中生当中，最常用的避孕方法是使用避孕套（</w:t>
      </w:r>
      <w:r>
        <w:rPr>
          <w:rFonts w:hint="eastAsia"/>
        </w:rPr>
        <w:t>49%</w:t>
      </w:r>
      <w:r>
        <w:rPr>
          <w:rFonts w:hint="eastAsia"/>
        </w:rPr>
        <w:t>），其次是使用口服避孕药（</w:t>
      </w:r>
      <w:r>
        <w:rPr>
          <w:rFonts w:hint="eastAsia"/>
        </w:rPr>
        <w:t>32%</w:t>
      </w:r>
      <w:r>
        <w:rPr>
          <w:rFonts w:hint="eastAsia"/>
        </w:rPr>
        <w:t>），口服避孕药和避孕套（</w:t>
      </w:r>
      <w:r>
        <w:rPr>
          <w:rFonts w:hint="eastAsia"/>
        </w:rPr>
        <w:t>4%</w:t>
      </w:r>
      <w:r>
        <w:rPr>
          <w:rFonts w:hint="eastAsia"/>
        </w:rPr>
        <w:t>），体外排精法（</w:t>
      </w:r>
      <w:r>
        <w:rPr>
          <w:rFonts w:hint="eastAsia"/>
        </w:rPr>
        <w:t>4%</w:t>
      </w:r>
      <w:r>
        <w:rPr>
          <w:rFonts w:hint="eastAsia"/>
        </w:rPr>
        <w:t>）和其他方法（</w:t>
      </w:r>
      <w:r>
        <w:rPr>
          <w:rFonts w:hint="eastAsia"/>
        </w:rPr>
        <w:t>4%</w:t>
      </w:r>
      <w:r>
        <w:rPr>
          <w:rFonts w:hint="eastAsia"/>
        </w:rPr>
        <w:t>）。百分之七的初中女生和男生不使用任何避孕方法。与</w:t>
      </w:r>
      <w:r>
        <w:rPr>
          <w:rFonts w:hint="eastAsia"/>
        </w:rPr>
        <w:t>1996</w:t>
      </w:r>
      <w:r>
        <w:rPr>
          <w:rFonts w:hint="eastAsia"/>
        </w:rPr>
        <w:t>年相比，使用口服避孕药的人数比率从</w:t>
      </w:r>
      <w:r>
        <w:rPr>
          <w:rFonts w:hint="eastAsia"/>
        </w:rPr>
        <w:t>14%</w:t>
      </w:r>
      <w:r>
        <w:rPr>
          <w:rFonts w:hint="eastAsia"/>
        </w:rPr>
        <w:t>增加到</w:t>
      </w:r>
      <w:r>
        <w:rPr>
          <w:rFonts w:hint="eastAsia"/>
        </w:rPr>
        <w:t>32%</w:t>
      </w:r>
      <w:r>
        <w:rPr>
          <w:rFonts w:hint="eastAsia"/>
        </w:rPr>
        <w:t>，无保护措施的性交发生率从</w:t>
      </w:r>
      <w:r>
        <w:rPr>
          <w:rFonts w:hint="eastAsia"/>
        </w:rPr>
        <w:t>19%</w:t>
      </w:r>
      <w:r>
        <w:rPr>
          <w:rFonts w:hint="eastAsia"/>
        </w:rPr>
        <w:t>降至</w:t>
      </w:r>
      <w:r>
        <w:rPr>
          <w:rFonts w:hint="eastAsia"/>
        </w:rPr>
        <w:t>7%</w:t>
      </w:r>
      <w:r>
        <w:rPr>
          <w:rFonts w:hint="eastAsia"/>
        </w:rPr>
        <w:t>。在斯洛文尼亚，我们注意到，由于所有妇女不论年龄大小，均可获得生殖保健，年轻女孩当中的人工流产率在不断下降：在九十年代末，年轻女孩流产率接近</w:t>
      </w:r>
      <w:r>
        <w:t>12/1 000</w:t>
      </w:r>
      <w:r>
        <w:rPr>
          <w:rFonts w:hint="eastAsia"/>
        </w:rPr>
        <w:t>，</w:t>
      </w:r>
      <w:r>
        <w:rPr>
          <w:rFonts w:hint="eastAsia"/>
        </w:rPr>
        <w:t>2002</w:t>
      </w:r>
      <w:r>
        <w:rPr>
          <w:rFonts w:hint="eastAsia"/>
        </w:rPr>
        <w:t>年则达到</w:t>
      </w:r>
      <w:r>
        <w:t xml:space="preserve">9/1 000 </w:t>
      </w:r>
      <w:r>
        <w:rPr>
          <w:rFonts w:hint="eastAsia"/>
        </w:rPr>
        <w:t>。</w:t>
      </w:r>
      <w:r>
        <w:rPr>
          <w:rStyle w:val="FootnoteReference"/>
          <w:szCs w:val="24"/>
        </w:rPr>
        <w:footnoteReference w:id="60"/>
      </w:r>
      <w:r>
        <w:t xml:space="preserve"> </w:t>
      </w:r>
      <w:r>
        <w:rPr>
          <w:rFonts w:hint="eastAsia"/>
        </w:rPr>
        <w:t>在降低年轻女孩流产率和早育方面，中小学和高中所开展的性教育起到重要作用，向学生灌输这方面的强化知识和技能及自控能力、素质信息和人际关系，以及逐步形成的健康（现代）观点和观念，即青年人需要对自己的性行为做出明达理智和负责任的决定。在保健框架下，对于放弃正规教育的年轻女孩和男孩也开展了这方面的教育，包括性健康辅导。另外还通过斯洛文尼亚青年之友协会的热线电话，为年轻女孩和男孩免费提供性知识信息和避孕方法辅导。</w:t>
      </w:r>
    </w:p>
    <w:p w:rsidR="001A7779" w:rsidRDefault="001A7779">
      <w:pPr>
        <w:tabs>
          <w:tab w:val="left" w:pos="630"/>
        </w:tabs>
        <w:spacing w:after="240" w:line="360" w:lineRule="exact"/>
        <w:rPr>
          <w:rFonts w:eastAsia="KaiTi_GB2312"/>
          <w:iCs/>
          <w:color w:val="0000FF"/>
        </w:rPr>
      </w:pPr>
      <w:r>
        <w:rPr>
          <w:rFonts w:eastAsia="KaiTi_GB2312" w:hint="eastAsia"/>
          <w:iCs/>
          <w:color w:val="0000FF"/>
        </w:rPr>
        <w:t>妇女发病率和死亡率与孕产妇死亡率</w:t>
      </w:r>
    </w:p>
    <w:p w:rsidR="001A7779" w:rsidRDefault="001A7779">
      <w:pPr>
        <w:tabs>
          <w:tab w:val="left" w:pos="630"/>
        </w:tabs>
        <w:spacing w:after="240" w:line="360" w:lineRule="exact"/>
      </w:pPr>
      <w:r>
        <w:t>159.</w:t>
      </w:r>
      <w:r>
        <w:tab/>
        <w:t>2004</w:t>
      </w:r>
      <w:r>
        <w:rPr>
          <w:rFonts w:hint="eastAsia"/>
        </w:rPr>
        <w:t>年，斯洛文尼亚的婴儿死亡率为每</w:t>
      </w:r>
      <w:r>
        <w:rPr>
          <w:rFonts w:hint="eastAsia"/>
        </w:rPr>
        <w:t>1 000</w:t>
      </w:r>
      <w:r>
        <w:rPr>
          <w:rFonts w:hint="eastAsia"/>
        </w:rPr>
        <w:t>名活产婴儿死亡</w:t>
      </w:r>
      <w:r>
        <w:t>3.7</w:t>
      </w:r>
      <w:r>
        <w:rPr>
          <w:rFonts w:hint="eastAsia"/>
        </w:rPr>
        <w:t>例，列入婴儿死亡率最低国家行列。在过去几年中，斯洛文尼亚共和国每年的活产婴儿数量平均在</w:t>
      </w:r>
      <w:r>
        <w:t xml:space="preserve">17 000 </w:t>
      </w:r>
      <w:r>
        <w:rPr>
          <w:rFonts w:hint="eastAsia"/>
        </w:rPr>
        <w:t>至</w:t>
      </w:r>
      <w:r>
        <w:t>18 000</w:t>
      </w:r>
      <w:r>
        <w:rPr>
          <w:rFonts w:hint="eastAsia"/>
        </w:rPr>
        <w:t>名之间。</w:t>
      </w:r>
      <w:r>
        <w:rPr>
          <w:rFonts w:hint="eastAsia"/>
        </w:rPr>
        <w:t>2000</w:t>
      </w:r>
      <w:r>
        <w:rPr>
          <w:rFonts w:hint="eastAsia"/>
        </w:rPr>
        <w:t>年，有</w:t>
      </w:r>
      <w:r>
        <w:rPr>
          <w:rFonts w:hint="eastAsia"/>
        </w:rPr>
        <w:t>5</w:t>
      </w:r>
      <w:r>
        <w:rPr>
          <w:rFonts w:hint="eastAsia"/>
        </w:rPr>
        <w:t>名妇女在妊娠、分娩和产后期间死亡（孕产妇死亡率），</w:t>
      </w:r>
      <w:r>
        <w:rPr>
          <w:rFonts w:hint="eastAsia"/>
        </w:rPr>
        <w:t>2001</w:t>
      </w:r>
      <w:r>
        <w:rPr>
          <w:rFonts w:hint="eastAsia"/>
        </w:rPr>
        <w:t>年有</w:t>
      </w:r>
      <w:r>
        <w:rPr>
          <w:rFonts w:hint="eastAsia"/>
        </w:rPr>
        <w:t>3</w:t>
      </w:r>
      <w:r>
        <w:rPr>
          <w:rFonts w:hint="eastAsia"/>
        </w:rPr>
        <w:t>名妇女死亡，</w:t>
      </w:r>
      <w:r>
        <w:rPr>
          <w:rFonts w:hint="eastAsia"/>
        </w:rPr>
        <w:t>2002</w:t>
      </w:r>
      <w:r>
        <w:rPr>
          <w:rFonts w:hint="eastAsia"/>
        </w:rPr>
        <w:t>和</w:t>
      </w:r>
      <w:r>
        <w:rPr>
          <w:rFonts w:hint="eastAsia"/>
        </w:rPr>
        <w:t>2003</w:t>
      </w:r>
      <w:r>
        <w:rPr>
          <w:rFonts w:hint="eastAsia"/>
        </w:rPr>
        <w:t>年则无一例孕产妇死亡记录。</w:t>
      </w:r>
      <w:r>
        <w:t xml:space="preserve"> </w:t>
      </w:r>
    </w:p>
    <w:p w:rsidR="001A7779" w:rsidRDefault="001A7779">
      <w:pPr>
        <w:tabs>
          <w:tab w:val="left" w:pos="630"/>
        </w:tabs>
        <w:spacing w:after="240" w:line="360" w:lineRule="exact"/>
      </w:pPr>
      <w:r>
        <w:t>160.</w:t>
      </w:r>
      <w:r>
        <w:tab/>
      </w:r>
      <w:r>
        <w:rPr>
          <w:rFonts w:hint="eastAsia"/>
        </w:rPr>
        <w:t>斯洛文尼亚癌症登记处的资料显示，尽管为全体妇女提供了定期妇科检查，</w:t>
      </w:r>
      <w:r>
        <w:rPr>
          <w:rFonts w:hint="eastAsia"/>
        </w:rPr>
        <w:t>1997</w:t>
      </w:r>
      <w:r>
        <w:rPr>
          <w:rFonts w:hint="eastAsia"/>
        </w:rPr>
        <w:t>年宫颈癌发病率和死亡率仍达到其最高点（每</w:t>
      </w:r>
      <w:r>
        <w:rPr>
          <w:rFonts w:hint="eastAsia"/>
        </w:rPr>
        <w:t>100 000</w:t>
      </w:r>
      <w:r>
        <w:rPr>
          <w:rFonts w:hint="eastAsia"/>
        </w:rPr>
        <w:t>名妇女的发病率和死亡率为</w:t>
      </w:r>
      <w:r>
        <w:t>23.1</w:t>
      </w:r>
      <w:r>
        <w:rPr>
          <w:rFonts w:hint="eastAsia"/>
        </w:rPr>
        <w:t>）。这一事实有力地说明有必要实施有组织的筛查方案，包括积极动员妇女参与方案。</w:t>
      </w:r>
      <w:r>
        <w:rPr>
          <w:rFonts w:hint="eastAsia"/>
        </w:rPr>
        <w:t xml:space="preserve"> </w:t>
      </w:r>
      <w:r>
        <w:rPr>
          <w:rFonts w:hint="eastAsia"/>
        </w:rPr>
        <w:t>最近几年的数据显示发病率有所下降。</w:t>
      </w:r>
      <w:r>
        <w:rPr>
          <w:rFonts w:hint="eastAsia"/>
        </w:rPr>
        <w:t>2000</w:t>
      </w:r>
      <w:r>
        <w:rPr>
          <w:rFonts w:hint="eastAsia"/>
        </w:rPr>
        <w:t>年，患病妇女为</w:t>
      </w:r>
      <w:r>
        <w:t>201</w:t>
      </w:r>
      <w:r>
        <w:rPr>
          <w:rFonts w:hint="eastAsia"/>
        </w:rPr>
        <w:t>人（</w:t>
      </w:r>
      <w:r>
        <w:t>19.7/100 000</w:t>
      </w:r>
      <w:r>
        <w:rPr>
          <w:rFonts w:hint="eastAsia"/>
        </w:rPr>
        <w:t>）。</w:t>
      </w:r>
      <w:r>
        <w:rPr>
          <w:rFonts w:hint="eastAsia"/>
        </w:rPr>
        <w:t>2002</w:t>
      </w:r>
      <w:r>
        <w:rPr>
          <w:rFonts w:hint="eastAsia"/>
        </w:rPr>
        <w:t>年，有</w:t>
      </w:r>
      <w:r>
        <w:rPr>
          <w:rFonts w:hint="eastAsia"/>
        </w:rPr>
        <w:t>186</w:t>
      </w:r>
      <w:r>
        <w:rPr>
          <w:rFonts w:hint="eastAsia"/>
        </w:rPr>
        <w:t>例报告病例，</w:t>
      </w:r>
      <w:r>
        <w:rPr>
          <w:rFonts w:hint="eastAsia"/>
        </w:rPr>
        <w:t>2003</w:t>
      </w:r>
      <w:r>
        <w:rPr>
          <w:rFonts w:hint="eastAsia"/>
        </w:rPr>
        <w:t>年有</w:t>
      </w:r>
      <w:r>
        <w:rPr>
          <w:rFonts w:hint="eastAsia"/>
        </w:rPr>
        <w:t>181</w:t>
      </w:r>
      <w:r>
        <w:rPr>
          <w:rFonts w:hint="eastAsia"/>
        </w:rPr>
        <w:t>例。</w:t>
      </w:r>
      <w:r>
        <w:t xml:space="preserve"> </w:t>
      </w:r>
      <w:r>
        <w:rPr>
          <w:rStyle w:val="FootnoteReference"/>
          <w:b/>
          <w:bCs/>
          <w:szCs w:val="24"/>
        </w:rPr>
        <w:footnoteReference w:id="61"/>
      </w:r>
    </w:p>
    <w:p w:rsidR="001A7779" w:rsidRDefault="001A7779">
      <w:pPr>
        <w:tabs>
          <w:tab w:val="left" w:pos="630"/>
        </w:tabs>
        <w:spacing w:after="240" w:line="360" w:lineRule="exact"/>
      </w:pPr>
      <w:r>
        <w:t>161.</w:t>
      </w:r>
      <w:r>
        <w:tab/>
      </w:r>
      <w:r>
        <w:rPr>
          <w:rFonts w:hint="eastAsia"/>
        </w:rPr>
        <w:t>乳腺癌发病率在逐渐上升，在过去几年中，其发病率大约为</w:t>
      </w:r>
      <w:r>
        <w:t>91.2/100 000</w:t>
      </w:r>
      <w:r>
        <w:rPr>
          <w:rFonts w:hint="eastAsia"/>
        </w:rPr>
        <w:t>。</w:t>
      </w:r>
      <w:r>
        <w:rPr>
          <w:rStyle w:val="FootnoteReference"/>
          <w:rFonts w:eastAsia="Batang"/>
          <w:b/>
          <w:bCs/>
          <w:szCs w:val="24"/>
        </w:rPr>
        <w:footnoteReference w:id="62"/>
      </w:r>
      <w:r>
        <w:t xml:space="preserve"> </w:t>
      </w:r>
      <w:r>
        <w:rPr>
          <w:rFonts w:hint="eastAsia"/>
        </w:rPr>
        <w:t>这一状况令人堪忧，尤其因为这是一种特定类型的癌症，只要通过对妇女进行全面普查即可及早发现。因此，如第</w:t>
      </w:r>
      <w:r>
        <w:rPr>
          <w:rFonts w:hint="eastAsia"/>
        </w:rPr>
        <w:t>153</w:t>
      </w:r>
      <w:r>
        <w:rPr>
          <w:rFonts w:hint="eastAsia"/>
        </w:rPr>
        <w:t>段所述，斯洛文尼亚共和国决定实施有组织的筛查方案，以取代斯洛文尼亚全国目前所采取的做法。</w:t>
      </w:r>
      <w:r>
        <w:t xml:space="preserve"> </w:t>
      </w:r>
    </w:p>
    <w:p w:rsidR="001A7779" w:rsidRDefault="001A7779">
      <w:pPr>
        <w:tabs>
          <w:tab w:val="left" w:pos="630"/>
        </w:tabs>
        <w:spacing w:after="240" w:line="360" w:lineRule="exact"/>
      </w:pPr>
      <w:r>
        <w:t>162.</w:t>
      </w:r>
      <w:r>
        <w:tab/>
      </w:r>
      <w:r>
        <w:rPr>
          <w:rFonts w:hint="eastAsia"/>
        </w:rPr>
        <w:t>人口的发病率和死亡率是一个重要的健康指标。在斯洛文尼亚共和国，妇女与男子均可平等地获得普通科医生的服务。成年人口死亡率数据说明循环系统疾病现在是男子与妇女死亡的主要原因。平均而言，妇女的心血管疾病发病率比男子晚</w:t>
      </w:r>
      <w:r>
        <w:rPr>
          <w:rFonts w:hint="eastAsia"/>
        </w:rPr>
        <w:t>10</w:t>
      </w:r>
      <w:r>
        <w:rPr>
          <w:rFonts w:hint="eastAsia"/>
        </w:rPr>
        <w:t>年。脑血管疾病和心脏病是妇女的第二大杀手。在</w:t>
      </w:r>
      <w:r>
        <w:rPr>
          <w:rFonts w:hint="eastAsia"/>
        </w:rPr>
        <w:t>65</w:t>
      </w:r>
      <w:r>
        <w:rPr>
          <w:rFonts w:hint="eastAsia"/>
        </w:rPr>
        <w:t>岁以下的妇女当中，乳腺癌是排在第二和第三位的常见的死亡原因，其次是消化道癌。在使用保健服务方面也存在性别差距，妇女比男子更多地使用初级保健。在使用门诊开出的药物治疗或寻求药物治疗的频率方面也反映出性别差距。</w:t>
      </w:r>
      <w:r>
        <w:rPr>
          <w:rFonts w:hint="eastAsia"/>
        </w:rPr>
        <w:t>2002</w:t>
      </w:r>
      <w:r>
        <w:rPr>
          <w:rFonts w:hint="eastAsia"/>
        </w:rPr>
        <w:t>年，妇女接受的药物治疗占治疗总数的</w:t>
      </w:r>
      <w:r>
        <w:t>61.7%</w:t>
      </w:r>
      <w:r>
        <w:rPr>
          <w:rFonts w:hint="eastAsia"/>
        </w:rPr>
        <w:t>。</w:t>
      </w:r>
      <w:r>
        <w:rPr>
          <w:rStyle w:val="FootnoteReference"/>
          <w:szCs w:val="24"/>
        </w:rPr>
        <w:footnoteReference w:id="63"/>
      </w:r>
      <w:r>
        <w:rPr>
          <w:rFonts w:hint="eastAsia"/>
        </w:rPr>
        <w:t>全国初级保健的治疗性处理也包括心血管疾病预防，全部费用从划拨的基本保健保险资金中支付，因而所有使用者均可免费享受此项服务。在这一预防性方案下，所有特定年龄的人定期接受选定医师的预防性检查，并基于检查结果就个人罹患心血管疾病的风险程度做出风险评估。根据风险程度采取适当措施。在这方面，保健中心开展各种健康教育活动，居住在斯洛文尼亚的所有男子和妇女均有权平等参与。</w:t>
      </w:r>
      <w:r>
        <w:t xml:space="preserve"> </w:t>
      </w:r>
    </w:p>
    <w:p w:rsidR="001A7779" w:rsidRDefault="001A7779">
      <w:pPr>
        <w:tabs>
          <w:tab w:val="left" w:pos="630"/>
        </w:tabs>
        <w:spacing w:after="240" w:line="360" w:lineRule="exact"/>
      </w:pPr>
      <w:r>
        <w:t>163.</w:t>
      </w:r>
      <w:r>
        <w:tab/>
      </w:r>
      <w:r>
        <w:rPr>
          <w:rFonts w:hint="eastAsia"/>
        </w:rPr>
        <w:t>各项研究显示，社会经济因素对死亡原因和标准年龄的早亡（</w:t>
      </w:r>
      <w:r>
        <w:rPr>
          <w:rFonts w:hint="eastAsia"/>
        </w:rPr>
        <w:t>65</w:t>
      </w:r>
      <w:r>
        <w:rPr>
          <w:rFonts w:hint="eastAsia"/>
        </w:rPr>
        <w:t>岁之前）具有重要影响。未完成小学教育的妇女中心血管疾病死亡率较高，而受过高等教育的妇女中乳腺癌死亡率较高。受教育低的人寻求初级保健的次数较少，住院次数较多，这表明他们只是在病情严重时才寻求医治。</w:t>
      </w:r>
      <w:r>
        <w:rPr>
          <w:rStyle w:val="FootnoteReference"/>
          <w:szCs w:val="24"/>
        </w:rPr>
        <w:footnoteReference w:id="64"/>
      </w:r>
    </w:p>
    <w:p w:rsidR="001A7779" w:rsidRDefault="001A7779">
      <w:pPr>
        <w:tabs>
          <w:tab w:val="left" w:pos="630"/>
        </w:tabs>
        <w:spacing w:after="240" w:line="360" w:lineRule="exact"/>
        <w:rPr>
          <w:rFonts w:eastAsia="KaiTi_GB2312"/>
          <w:iCs/>
          <w:color w:val="0000FF"/>
        </w:rPr>
      </w:pPr>
      <w:r>
        <w:rPr>
          <w:rFonts w:eastAsia="KaiTi_GB2312" w:hint="eastAsia"/>
          <w:iCs/>
          <w:color w:val="0000FF"/>
        </w:rPr>
        <w:t>妇女的心理健康</w:t>
      </w:r>
    </w:p>
    <w:p w:rsidR="001A7779" w:rsidRDefault="001A7779">
      <w:pPr>
        <w:tabs>
          <w:tab w:val="left" w:pos="630"/>
        </w:tabs>
        <w:spacing w:after="240" w:line="360" w:lineRule="exact"/>
      </w:pPr>
      <w:r>
        <w:t>164.</w:t>
      </w:r>
      <w:r>
        <w:tab/>
      </w:r>
      <w:r>
        <w:rPr>
          <w:rFonts w:hint="eastAsia"/>
        </w:rPr>
        <w:t>影响妇女的心理健康障碍是忧郁、焦虑和身心失调等疾病。</w:t>
      </w:r>
      <w:r>
        <w:t>10 - 25%</w:t>
      </w:r>
      <w:r>
        <w:rPr>
          <w:rFonts w:hint="eastAsia"/>
        </w:rPr>
        <w:t>的妇女一生中至少患过一次忧郁症。由于心理失调和行为障碍而寻求初级保健的妇女比例高于男子（</w:t>
      </w:r>
      <w:r>
        <w:rPr>
          <w:rFonts w:hint="eastAsia"/>
        </w:rPr>
        <w:t>2002</w:t>
      </w:r>
      <w:r>
        <w:rPr>
          <w:rFonts w:hint="eastAsia"/>
        </w:rPr>
        <w:t>年妇女比例为</w:t>
      </w:r>
      <w:r>
        <w:t>61.7%</w:t>
      </w:r>
      <w:r>
        <w:rPr>
          <w:rFonts w:hint="eastAsia"/>
        </w:rPr>
        <w:t>），而与妇女相比，男子住院治疗的比例则略为偏高，并且还在逐年递增。使用药物治疗以减轻和治疗心理失调症的比例有所上升，与男子相比，处方大多开给妇女。</w:t>
      </w:r>
      <w:r>
        <w:rPr>
          <w:rStyle w:val="FootnoteReference"/>
          <w:szCs w:val="24"/>
        </w:rPr>
        <w:footnoteReference w:id="65"/>
      </w:r>
    </w:p>
    <w:p w:rsidR="001A7779" w:rsidRDefault="001A7779">
      <w:pPr>
        <w:tabs>
          <w:tab w:val="left" w:pos="630"/>
        </w:tabs>
        <w:spacing w:after="240" w:line="360" w:lineRule="exact"/>
      </w:pPr>
      <w:r>
        <w:t>165.</w:t>
      </w:r>
      <w:r>
        <w:tab/>
      </w:r>
      <w:r>
        <w:rPr>
          <w:rFonts w:hint="eastAsia"/>
        </w:rPr>
        <w:t>斯洛文尼亚的自杀率很高，排在世界前十位，每</w:t>
      </w:r>
      <w:r>
        <w:rPr>
          <w:rFonts w:hint="eastAsia"/>
        </w:rPr>
        <w:t>100 000</w:t>
      </w:r>
      <w:r>
        <w:rPr>
          <w:rFonts w:hint="eastAsia"/>
        </w:rPr>
        <w:t>人有超过</w:t>
      </w:r>
      <w:r>
        <w:rPr>
          <w:rFonts w:hint="eastAsia"/>
        </w:rPr>
        <w:t>25</w:t>
      </w:r>
      <w:r>
        <w:rPr>
          <w:rFonts w:hint="eastAsia"/>
        </w:rPr>
        <w:t>起的自杀行为。男子自杀比例是妇女的四倍；但从另一方面看，妇女的自杀未遂率则高于男子。</w:t>
      </w:r>
      <w:r>
        <w:t xml:space="preserve"> </w:t>
      </w:r>
    </w:p>
    <w:p w:rsidR="001A7779" w:rsidRDefault="001A7779">
      <w:pPr>
        <w:tabs>
          <w:tab w:val="left" w:pos="630"/>
        </w:tabs>
        <w:spacing w:after="240" w:line="360" w:lineRule="exact"/>
      </w:pPr>
      <w:r>
        <w:t>166.</w:t>
      </w:r>
      <w:r>
        <w:tab/>
      </w:r>
      <w:r>
        <w:rPr>
          <w:rFonts w:hint="eastAsia"/>
        </w:rPr>
        <w:t>与其他国家一样，斯洛文尼亚也存在许多与各种不同类型的饮食紊乱症（厌食、易饿症和强迫暴食）有关的问题，称之为妇女疾病，因为妇女占此种病例的</w:t>
      </w:r>
      <w:r>
        <w:rPr>
          <w:rFonts w:hint="eastAsia"/>
        </w:rPr>
        <w:t>90%</w:t>
      </w:r>
      <w:r>
        <w:rPr>
          <w:rFonts w:hint="eastAsia"/>
        </w:rPr>
        <w:t>；饮食紊乱症最常见于</w:t>
      </w:r>
      <w:r>
        <w:rPr>
          <w:rFonts w:hint="eastAsia"/>
        </w:rPr>
        <w:t>15</w:t>
      </w:r>
      <w:r>
        <w:rPr>
          <w:rFonts w:hint="eastAsia"/>
        </w:rPr>
        <w:t>至</w:t>
      </w:r>
      <w:r>
        <w:rPr>
          <w:rFonts w:hint="eastAsia"/>
        </w:rPr>
        <w:t>25</w:t>
      </w:r>
      <w:r>
        <w:rPr>
          <w:rFonts w:hint="eastAsia"/>
        </w:rPr>
        <w:t>岁妇女。按照厌食专家的评估，有</w:t>
      </w:r>
      <w:r>
        <w:rPr>
          <w:rFonts w:hint="eastAsia"/>
        </w:rPr>
        <w:t>1%</w:t>
      </w:r>
      <w:r>
        <w:rPr>
          <w:rFonts w:hint="eastAsia"/>
        </w:rPr>
        <w:t>的</w:t>
      </w:r>
      <w:r>
        <w:rPr>
          <w:rFonts w:hint="eastAsia"/>
        </w:rPr>
        <w:t>12</w:t>
      </w:r>
      <w:r>
        <w:rPr>
          <w:rFonts w:hint="eastAsia"/>
        </w:rPr>
        <w:t>至</w:t>
      </w:r>
      <w:r>
        <w:rPr>
          <w:rFonts w:hint="eastAsia"/>
        </w:rPr>
        <w:t>25</w:t>
      </w:r>
      <w:r>
        <w:rPr>
          <w:rFonts w:hint="eastAsia"/>
        </w:rPr>
        <w:t>岁妇女患有厌食症。在过去几年中，患此种疾病的人的年龄界限不断下降。妇女占厌食症病例的</w:t>
      </w:r>
      <w:r>
        <w:rPr>
          <w:rFonts w:hint="eastAsia"/>
        </w:rPr>
        <w:t>95%</w:t>
      </w:r>
      <w:r>
        <w:rPr>
          <w:rFonts w:hint="eastAsia"/>
        </w:rPr>
        <w:t>。易饿症发病率更为普遍，受影响人口高达</w:t>
      </w:r>
      <w:r>
        <w:rPr>
          <w:rFonts w:hint="eastAsia"/>
        </w:rPr>
        <w:t>5%</w:t>
      </w:r>
      <w:r>
        <w:rPr>
          <w:rFonts w:hint="eastAsia"/>
        </w:rPr>
        <w:t>，其中妇女占</w:t>
      </w:r>
      <w:r>
        <w:rPr>
          <w:rFonts w:hint="eastAsia"/>
        </w:rPr>
        <w:t>80-90%</w:t>
      </w:r>
      <w:r>
        <w:rPr>
          <w:rFonts w:hint="eastAsia"/>
        </w:rPr>
        <w:t>。最常见的饮食紊乱症是强迫暴食，受影响人口约为</w:t>
      </w:r>
      <w:r>
        <w:rPr>
          <w:rFonts w:hint="eastAsia"/>
        </w:rPr>
        <w:t>12%</w:t>
      </w:r>
      <w:r>
        <w:rPr>
          <w:rFonts w:hint="eastAsia"/>
        </w:rPr>
        <w:t>；多发病于早年和中年，其中妇女占</w:t>
      </w:r>
      <w:r>
        <w:rPr>
          <w:rFonts w:hint="eastAsia"/>
        </w:rPr>
        <w:t>90%</w:t>
      </w:r>
      <w:r>
        <w:rPr>
          <w:rFonts w:hint="eastAsia"/>
        </w:rPr>
        <w:t>。</w:t>
      </w:r>
      <w:r>
        <w:rPr>
          <w:rStyle w:val="FootnoteReference"/>
          <w:b/>
          <w:bCs/>
          <w:szCs w:val="24"/>
        </w:rPr>
        <w:footnoteReference w:id="66"/>
      </w:r>
    </w:p>
    <w:p w:rsidR="001A7779" w:rsidRDefault="001A7779">
      <w:pPr>
        <w:tabs>
          <w:tab w:val="left" w:pos="630"/>
        </w:tabs>
        <w:spacing w:after="240" w:line="360" w:lineRule="exact"/>
        <w:rPr>
          <w:rFonts w:eastAsia="KaiTi_GB2312"/>
          <w:iCs/>
          <w:color w:val="0000FF"/>
        </w:rPr>
      </w:pPr>
      <w:r>
        <w:rPr>
          <w:rFonts w:eastAsia="KaiTi_GB2312" w:hint="eastAsia"/>
          <w:iCs/>
          <w:color w:val="0000FF"/>
        </w:rPr>
        <w:t>性传播疾病、艾滋病和艾滋病毒</w:t>
      </w:r>
    </w:p>
    <w:p w:rsidR="001A7779" w:rsidRDefault="001A7779">
      <w:pPr>
        <w:tabs>
          <w:tab w:val="left" w:pos="630"/>
        </w:tabs>
        <w:spacing w:after="240" w:line="360" w:lineRule="exact"/>
      </w:pPr>
      <w:r>
        <w:t>167.</w:t>
      </w:r>
      <w:r>
        <w:tab/>
      </w:r>
      <w:r>
        <w:rPr>
          <w:rFonts w:hint="eastAsia"/>
        </w:rPr>
        <w:t>斯洛文尼亚最常见的性传播疾病是衣原体感染、淋病、非特异性尿道炎、</w:t>
      </w:r>
      <w:r>
        <w:t>生殖器疱疹</w:t>
      </w:r>
      <w:r>
        <w:rPr>
          <w:rFonts w:hint="eastAsia"/>
        </w:rPr>
        <w:t>和生殖器疣；也有梅毒病例。女性中淋病感染率低于男子（</w:t>
      </w:r>
      <w:r>
        <w:rPr>
          <w:rFonts w:hint="eastAsia"/>
        </w:rPr>
        <w:t>2002</w:t>
      </w:r>
      <w:r>
        <w:rPr>
          <w:rFonts w:hint="eastAsia"/>
        </w:rPr>
        <w:t>年占此种病例的</w:t>
      </w:r>
      <w:r>
        <w:t>10.7%</w:t>
      </w:r>
      <w:r>
        <w:rPr>
          <w:rFonts w:hint="eastAsia"/>
        </w:rPr>
        <w:t>），但衣原体感染则略常见于妇女（</w:t>
      </w:r>
      <w:r>
        <w:rPr>
          <w:rFonts w:hint="eastAsia"/>
        </w:rPr>
        <w:t>2001</w:t>
      </w:r>
      <w:r>
        <w:rPr>
          <w:rFonts w:hint="eastAsia"/>
        </w:rPr>
        <w:t>年占病例的</w:t>
      </w:r>
      <w:r>
        <w:t>56.7%</w:t>
      </w:r>
      <w:r>
        <w:rPr>
          <w:rFonts w:hint="eastAsia"/>
        </w:rPr>
        <w:t>）。</w:t>
      </w:r>
      <w:r>
        <w:rPr>
          <w:rStyle w:val="FootnoteReference"/>
          <w:szCs w:val="24"/>
        </w:rPr>
        <w:footnoteReference w:id="67"/>
      </w:r>
      <w:r>
        <w:t xml:space="preserve"> </w:t>
      </w:r>
    </w:p>
    <w:p w:rsidR="001A7779" w:rsidRDefault="001A7779">
      <w:pPr>
        <w:tabs>
          <w:tab w:val="left" w:pos="630"/>
        </w:tabs>
        <w:spacing w:after="240" w:line="360" w:lineRule="exact"/>
      </w:pPr>
      <w:r>
        <w:t>168.</w:t>
      </w:r>
      <w:r>
        <w:tab/>
      </w:r>
      <w:r>
        <w:rPr>
          <w:rFonts w:hint="eastAsia"/>
        </w:rPr>
        <w:t>所有斯洛文尼亚居民均可免费进行艾滋病毒检测，男女机会均等。卢布尔雅那传染病医院每周一次门诊，为所有人提供匿名和免费检测。自</w:t>
      </w:r>
      <w:r>
        <w:rPr>
          <w:rFonts w:hint="eastAsia"/>
        </w:rPr>
        <w:t>1986</w:t>
      </w:r>
      <w:r>
        <w:rPr>
          <w:rFonts w:hint="eastAsia"/>
        </w:rPr>
        <w:t>年首次有两起登记病例以来，截至</w:t>
      </w:r>
      <w:r>
        <w:rPr>
          <w:rFonts w:hint="eastAsia"/>
        </w:rPr>
        <w:t>2005</w:t>
      </w:r>
      <w:r>
        <w:rPr>
          <w:rFonts w:hint="eastAsia"/>
        </w:rPr>
        <w:t>年</w:t>
      </w:r>
      <w:r>
        <w:rPr>
          <w:rFonts w:hint="eastAsia"/>
        </w:rPr>
        <w:t>6</w:t>
      </w:r>
      <w:r>
        <w:rPr>
          <w:rFonts w:hint="eastAsia"/>
        </w:rPr>
        <w:t>月</w:t>
      </w:r>
      <w:r>
        <w:rPr>
          <w:rFonts w:hint="eastAsia"/>
        </w:rPr>
        <w:t>30</w:t>
      </w:r>
      <w:r>
        <w:rPr>
          <w:rFonts w:hint="eastAsia"/>
        </w:rPr>
        <w:t>日，共有</w:t>
      </w:r>
      <w:r>
        <w:rPr>
          <w:rFonts w:hint="eastAsia"/>
        </w:rPr>
        <w:t>119</w:t>
      </w:r>
      <w:r>
        <w:rPr>
          <w:rFonts w:hint="eastAsia"/>
        </w:rPr>
        <w:t>例登记艾滋病病例，</w:t>
      </w:r>
      <w:r>
        <w:rPr>
          <w:rFonts w:hint="eastAsia"/>
        </w:rPr>
        <w:t>15</w:t>
      </w:r>
      <w:r>
        <w:rPr>
          <w:rFonts w:hint="eastAsia"/>
        </w:rPr>
        <w:t>例为妇女，</w:t>
      </w:r>
      <w:r>
        <w:rPr>
          <w:rFonts w:hint="eastAsia"/>
        </w:rPr>
        <w:t>104</w:t>
      </w:r>
      <w:r>
        <w:rPr>
          <w:rFonts w:hint="eastAsia"/>
        </w:rPr>
        <w:t>例为男子（两例为儿童，其中一例女孩，一例男孩）。同期总共登记了</w:t>
      </w:r>
      <w:r>
        <w:rPr>
          <w:rFonts w:hint="eastAsia"/>
        </w:rPr>
        <w:t>139</w:t>
      </w:r>
      <w:r>
        <w:rPr>
          <w:rFonts w:hint="eastAsia"/>
        </w:rPr>
        <w:t>例尚未发展到艾滋病的艾滋病毒感染病例，其中</w:t>
      </w:r>
      <w:r>
        <w:rPr>
          <w:rFonts w:hint="eastAsia"/>
        </w:rPr>
        <w:t>108</w:t>
      </w:r>
      <w:r>
        <w:rPr>
          <w:rFonts w:hint="eastAsia"/>
        </w:rPr>
        <w:t>例为男性，</w:t>
      </w:r>
      <w:r>
        <w:rPr>
          <w:rFonts w:hint="eastAsia"/>
        </w:rPr>
        <w:t>26</w:t>
      </w:r>
      <w:r>
        <w:rPr>
          <w:rFonts w:hint="eastAsia"/>
        </w:rPr>
        <w:t>例为女性，有三名男孩（两名血友病），两名女孩。目前至少有</w:t>
      </w:r>
      <w:r>
        <w:rPr>
          <w:rFonts w:hint="eastAsia"/>
        </w:rPr>
        <w:t>130</w:t>
      </w:r>
      <w:r>
        <w:rPr>
          <w:rFonts w:hint="eastAsia"/>
        </w:rPr>
        <w:t>人被检测出感染艾滋病毒，但尚未发展成艾滋病，据推测目前在斯洛文尼亚有</w:t>
      </w:r>
      <w:r>
        <w:rPr>
          <w:rFonts w:hint="eastAsia"/>
        </w:rPr>
        <w:t>43</w:t>
      </w:r>
      <w:r>
        <w:rPr>
          <w:rFonts w:hint="eastAsia"/>
        </w:rPr>
        <w:t>名男女艾滋病患者。艾滋病毒感染者人数很可能高于登记病例数字，因为与其他欧洲国家相比，斯洛文尼亚的检测范围相对较小（</w:t>
      </w:r>
      <w:r>
        <w:rPr>
          <w:rFonts w:hint="eastAsia"/>
        </w:rPr>
        <w:t>2004</w:t>
      </w:r>
      <w:r>
        <w:rPr>
          <w:rFonts w:hint="eastAsia"/>
        </w:rPr>
        <w:t>年每</w:t>
      </w:r>
      <w:r>
        <w:rPr>
          <w:rFonts w:hint="eastAsia"/>
        </w:rPr>
        <w:t>100</w:t>
      </w:r>
      <w:r>
        <w:rPr>
          <w:rFonts w:hint="eastAsia"/>
        </w:rPr>
        <w:t>人检测</w:t>
      </w:r>
      <w:r>
        <w:t>1.1</w:t>
      </w:r>
      <w:r>
        <w:rPr>
          <w:rFonts w:hint="eastAsia"/>
        </w:rPr>
        <w:t>人）。</w:t>
      </w:r>
      <w:r>
        <w:rPr>
          <w:rFonts w:hint="eastAsia"/>
        </w:rPr>
        <w:t>2005</w:t>
      </w:r>
      <w:r>
        <w:rPr>
          <w:rFonts w:hint="eastAsia"/>
        </w:rPr>
        <w:t>年上半年，有</w:t>
      </w:r>
      <w:r>
        <w:rPr>
          <w:rFonts w:hint="eastAsia"/>
        </w:rPr>
        <w:t>16</w:t>
      </w:r>
      <w:r>
        <w:rPr>
          <w:rFonts w:hint="eastAsia"/>
        </w:rPr>
        <w:t>例检测出感染的登记病例，</w:t>
      </w:r>
      <w:r>
        <w:rPr>
          <w:rFonts w:hint="eastAsia"/>
        </w:rPr>
        <w:t>3</w:t>
      </w:r>
      <w:r>
        <w:rPr>
          <w:rFonts w:hint="eastAsia"/>
        </w:rPr>
        <w:t>例为女性，</w:t>
      </w:r>
      <w:r>
        <w:rPr>
          <w:rFonts w:hint="eastAsia"/>
        </w:rPr>
        <w:t>13</w:t>
      </w:r>
      <w:r>
        <w:rPr>
          <w:rFonts w:hint="eastAsia"/>
        </w:rPr>
        <w:t>例为男性。</w:t>
      </w:r>
      <w:r>
        <w:rPr>
          <w:rStyle w:val="FootnoteReference"/>
          <w:szCs w:val="24"/>
        </w:rPr>
        <w:footnoteReference w:id="68"/>
      </w:r>
    </w:p>
    <w:p w:rsidR="001A7779" w:rsidRDefault="001A7779">
      <w:pPr>
        <w:tabs>
          <w:tab w:val="left" w:pos="630"/>
        </w:tabs>
        <w:spacing w:after="240" w:line="360" w:lineRule="exact"/>
        <w:rPr>
          <w:rFonts w:eastAsia="SimHei"/>
          <w:color w:val="FF0000"/>
        </w:rPr>
      </w:pPr>
      <w:r>
        <w:rPr>
          <w:rFonts w:eastAsia="SimHei" w:hint="eastAsia"/>
          <w:color w:val="FF0000"/>
        </w:rPr>
        <w:t>提高妇女认识方案</w:t>
      </w:r>
    </w:p>
    <w:p w:rsidR="001A7779" w:rsidRDefault="001A7779">
      <w:pPr>
        <w:tabs>
          <w:tab w:val="left" w:pos="630"/>
        </w:tabs>
        <w:spacing w:after="240" w:line="360" w:lineRule="exact"/>
        <w:rPr>
          <w:rFonts w:hint="eastAsia"/>
        </w:rPr>
      </w:pPr>
      <w:r>
        <w:t>169.</w:t>
      </w:r>
      <w:r>
        <w:tab/>
      </w:r>
      <w:r>
        <w:rPr>
          <w:rFonts w:hint="eastAsia"/>
        </w:rPr>
        <w:t>自编制第三次报告以来，斯洛文尼亚在妇女的健康领域中开展了若干旨在提高认识的活动。在</w:t>
      </w:r>
      <w:r>
        <w:rPr>
          <w:rFonts w:hint="eastAsia"/>
        </w:rPr>
        <w:t>ZORA</w:t>
      </w:r>
      <w:r>
        <w:rPr>
          <w:rFonts w:hint="eastAsia"/>
        </w:rPr>
        <w:t>方案下，肿瘤学研究所于</w:t>
      </w:r>
      <w:r>
        <w:rPr>
          <w:rFonts w:hint="eastAsia"/>
        </w:rPr>
        <w:t>2003</w:t>
      </w:r>
      <w:r>
        <w:rPr>
          <w:rFonts w:hint="eastAsia"/>
        </w:rPr>
        <w:t>年发行了一份题为“您也应当进行妇科检查！”的小册子。为纪念世界卫生日，公共卫生研究所举办了口号为“为了每一个母亲和儿童”的大会，平等机会办公室也参加了这一会议。</w:t>
      </w:r>
      <w:r>
        <w:rPr>
          <w:rFonts w:ascii="SimSun" w:hAnsi="SimSun" w:hint="eastAsia"/>
        </w:rPr>
        <w:t>藉</w:t>
      </w:r>
      <w:r>
        <w:rPr>
          <w:rFonts w:hint="eastAsia"/>
        </w:rPr>
        <w:t>此契机，该研究所发行了“孕妇权利指南”手册；</w:t>
      </w:r>
      <w:r>
        <w:rPr>
          <w:rFonts w:hint="eastAsia"/>
        </w:rPr>
        <w:t>2004</w:t>
      </w:r>
      <w:r>
        <w:rPr>
          <w:rFonts w:hint="eastAsia"/>
        </w:rPr>
        <w:t>年，该研究所发行了一本小册子，题为“笑过之后：产后抑郁症”，提供了相关信息，说明如何确定患有产后抑郁症，从何处寻求帮助，以及如何治疗。</w:t>
      </w:r>
    </w:p>
    <w:p w:rsidR="001A7779" w:rsidRDefault="001A7779">
      <w:pPr>
        <w:tabs>
          <w:tab w:val="left" w:pos="630"/>
        </w:tabs>
        <w:spacing w:after="240" w:line="360" w:lineRule="exact"/>
      </w:pPr>
      <w:r>
        <w:t>170.</w:t>
      </w:r>
      <w:r>
        <w:tab/>
      </w:r>
      <w:r>
        <w:rPr>
          <w:rFonts w:hint="eastAsia"/>
        </w:rPr>
        <w:t>非政府组织在提高认识方面发挥了重要作用。自</w:t>
      </w:r>
      <w:r>
        <w:rPr>
          <w:rFonts w:hint="eastAsia"/>
        </w:rPr>
        <w:t>1997</w:t>
      </w:r>
      <w:r>
        <w:rPr>
          <w:rFonts w:hint="eastAsia"/>
        </w:rPr>
        <w:t>年以来开始运作的</w:t>
      </w:r>
      <w:r>
        <w:t>Europa Donna</w:t>
      </w:r>
      <w:r>
        <w:rPr>
          <w:rFonts w:hint="eastAsia"/>
        </w:rPr>
        <w:t>是在抗击乳腺癌方面十分活跃的一个协会。该非政府组织的主要目标是提供平等机会和条件，以利及早发现疾病，并使在斯洛文尼亚的所有妇女享有直接有效的治疗。为实现这一目标，该协会开展了种种活动，如提供信息、心理辅导、深入教育、更新医疗设备，以及为遇到困难或因病处于贫困边缘的妇女提供支助。</w:t>
      </w:r>
      <w:r>
        <w:t xml:space="preserve"> </w:t>
      </w:r>
    </w:p>
    <w:p w:rsidR="001A7779" w:rsidRDefault="001A7779">
      <w:pPr>
        <w:pStyle w:val="H1"/>
        <w:spacing w:before="120"/>
      </w:pPr>
      <w:r>
        <w:rPr>
          <w:rFonts w:hint="eastAsia"/>
        </w:rPr>
        <w:t>第</w:t>
      </w:r>
      <w:r>
        <w:t>13</w:t>
      </w:r>
      <w:r>
        <w:rPr>
          <w:rFonts w:hint="eastAsia"/>
        </w:rPr>
        <w:t>条</w:t>
      </w:r>
      <w:r>
        <w:t xml:space="preserve"> </w:t>
      </w:r>
      <w:r>
        <w:rPr>
          <w:rFonts w:hint="eastAsia"/>
        </w:rPr>
        <w:t>经济和社会生活的其他领域</w:t>
      </w:r>
    </w:p>
    <w:p w:rsidR="001A7779" w:rsidRDefault="001A7779">
      <w:pPr>
        <w:tabs>
          <w:tab w:val="left" w:pos="630"/>
        </w:tabs>
        <w:spacing w:after="240" w:line="360" w:lineRule="exact"/>
      </w:pPr>
      <w:r>
        <w:t>171.</w:t>
      </w:r>
      <w:r>
        <w:tab/>
      </w:r>
      <w:r>
        <w:rPr>
          <w:rFonts w:hint="eastAsia"/>
        </w:rPr>
        <w:t>2003</w:t>
      </w:r>
      <w:r>
        <w:rPr>
          <w:rFonts w:hint="eastAsia"/>
        </w:rPr>
        <w:t>年</w:t>
      </w:r>
      <w:r>
        <w:rPr>
          <w:rFonts w:hint="eastAsia"/>
        </w:rPr>
        <w:t>12</w:t>
      </w:r>
      <w:r>
        <w:rPr>
          <w:rFonts w:hint="eastAsia"/>
        </w:rPr>
        <w:t>月，修正了《社会援助法》，规定患有严重心理发育障碍的成年人和所有基本生活需要他人帮助的成年残障人士有权获得家庭助理的服务。家庭助理可以是与残疾人拥有同一永久住处的人，也可以是该残疾人的一名家庭成员。</w:t>
      </w:r>
      <w:r>
        <w:rPr>
          <w:rFonts w:hint="eastAsia"/>
        </w:rPr>
        <w:t>2004</w:t>
      </w:r>
      <w:r>
        <w:rPr>
          <w:rFonts w:hint="eastAsia"/>
        </w:rPr>
        <w:t>年数据显示，</w:t>
      </w:r>
      <w:r>
        <w:rPr>
          <w:rFonts w:hint="eastAsia"/>
        </w:rPr>
        <w:t>58%</w:t>
      </w:r>
      <w:r>
        <w:rPr>
          <w:rFonts w:hint="eastAsia"/>
        </w:rPr>
        <w:t>的家庭助理是妇女。</w:t>
      </w:r>
      <w:r>
        <w:t xml:space="preserve"> </w:t>
      </w:r>
    </w:p>
    <w:p w:rsidR="001A7779" w:rsidRDefault="001A7779">
      <w:pPr>
        <w:tabs>
          <w:tab w:val="left" w:pos="630"/>
        </w:tabs>
        <w:spacing w:after="240" w:line="360" w:lineRule="exact"/>
      </w:pPr>
      <w:r>
        <w:t>172.</w:t>
      </w:r>
      <w:r>
        <w:tab/>
      </w:r>
      <w:r>
        <w:rPr>
          <w:rFonts w:hint="eastAsia"/>
        </w:rPr>
        <w:t>关于根据《社会援助法》支付的现金社会援助的数据显示，男女申请者人数均在不断增长，现金社会援助的女性领受人的比例也在不断上升。</w:t>
      </w:r>
      <w:r>
        <w:rPr>
          <w:rFonts w:hint="eastAsia"/>
        </w:rPr>
        <w:t>2003</w:t>
      </w:r>
      <w:r>
        <w:rPr>
          <w:rFonts w:hint="eastAsia"/>
        </w:rPr>
        <w:t>年</w:t>
      </w:r>
      <w:r>
        <w:rPr>
          <w:rFonts w:hint="eastAsia"/>
        </w:rPr>
        <w:t>1</w:t>
      </w:r>
      <w:r>
        <w:rPr>
          <w:rFonts w:hint="eastAsia"/>
        </w:rPr>
        <w:t>月，有</w:t>
      </w:r>
      <w:r>
        <w:t>45 922</w:t>
      </w:r>
      <w:r>
        <w:rPr>
          <w:rFonts w:hint="eastAsia"/>
        </w:rPr>
        <w:t>名现金社会援助领受人（妇女占</w:t>
      </w:r>
      <w:r>
        <w:t>49.2%</w:t>
      </w:r>
      <w:r>
        <w:rPr>
          <w:rFonts w:hint="eastAsia"/>
        </w:rPr>
        <w:t>），</w:t>
      </w:r>
      <w:r>
        <w:rPr>
          <w:rFonts w:hint="eastAsia"/>
        </w:rPr>
        <w:t>2003</w:t>
      </w:r>
      <w:r>
        <w:rPr>
          <w:rFonts w:hint="eastAsia"/>
        </w:rPr>
        <w:t>年</w:t>
      </w:r>
      <w:r>
        <w:rPr>
          <w:rFonts w:hint="eastAsia"/>
        </w:rPr>
        <w:t>12</w:t>
      </w:r>
      <w:r>
        <w:rPr>
          <w:rFonts w:hint="eastAsia"/>
        </w:rPr>
        <w:t>月，有</w:t>
      </w:r>
      <w:r>
        <w:t xml:space="preserve"> 57 742</w:t>
      </w:r>
      <w:r>
        <w:rPr>
          <w:rFonts w:hint="eastAsia"/>
        </w:rPr>
        <w:t>名现金社会援助领受人（妇女占</w:t>
      </w:r>
      <w:r>
        <w:rPr>
          <w:rFonts w:hint="eastAsia"/>
        </w:rPr>
        <w:t>53</w:t>
      </w:r>
      <w:r>
        <w:t>.</w:t>
      </w:r>
      <w:r>
        <w:rPr>
          <w:rFonts w:hint="eastAsia"/>
        </w:rPr>
        <w:t>3</w:t>
      </w:r>
      <w:r>
        <w:t>%</w:t>
      </w:r>
      <w:r>
        <w:rPr>
          <w:rFonts w:hint="eastAsia"/>
        </w:rPr>
        <w:t>），</w:t>
      </w:r>
      <w:r>
        <w:rPr>
          <w:rFonts w:hint="eastAsia"/>
        </w:rPr>
        <w:t>2004</w:t>
      </w:r>
      <w:r>
        <w:rPr>
          <w:rFonts w:hint="eastAsia"/>
        </w:rPr>
        <w:t>年</w:t>
      </w:r>
      <w:r>
        <w:rPr>
          <w:rFonts w:hint="eastAsia"/>
        </w:rPr>
        <w:t>12</w:t>
      </w:r>
      <w:r>
        <w:rPr>
          <w:rFonts w:hint="eastAsia"/>
        </w:rPr>
        <w:t>月，领受人有</w:t>
      </w:r>
      <w:r>
        <w:t>62 256</w:t>
      </w:r>
      <w:r>
        <w:rPr>
          <w:rFonts w:hint="eastAsia"/>
        </w:rPr>
        <w:t>人（妇女占</w:t>
      </w:r>
      <w:r>
        <w:t xml:space="preserve"> 54.4% </w:t>
      </w:r>
      <w:r>
        <w:rPr>
          <w:rFonts w:hint="eastAsia"/>
        </w:rPr>
        <w:t>）。</w:t>
      </w:r>
      <w:r>
        <w:rPr>
          <w:rStyle w:val="tw4winMark"/>
          <w:sz w:val="21"/>
        </w:rPr>
        <w:t xml:space="preserve"> </w:t>
      </w:r>
      <w:r>
        <w:rPr>
          <w:rStyle w:val="FootnoteReference"/>
          <w:szCs w:val="24"/>
        </w:rPr>
        <w:footnoteReference w:id="69"/>
      </w:r>
    </w:p>
    <w:p w:rsidR="001A7779" w:rsidRDefault="001A7779">
      <w:pPr>
        <w:tabs>
          <w:tab w:val="left" w:pos="630"/>
        </w:tabs>
        <w:spacing w:after="240" w:line="360" w:lineRule="exact"/>
      </w:pPr>
      <w:r>
        <w:t>173.</w:t>
      </w:r>
      <w:r>
        <w:tab/>
      </w:r>
      <w:r>
        <w:rPr>
          <w:rFonts w:hint="eastAsia"/>
        </w:rPr>
        <w:t>第三次报告中对《父母保护和家庭福利法》作了描述。</w:t>
      </w:r>
      <w:r>
        <w:rPr>
          <w:rFonts w:hint="eastAsia"/>
        </w:rPr>
        <w:t>2004</w:t>
      </w:r>
      <w:r>
        <w:rPr>
          <w:rFonts w:hint="eastAsia"/>
        </w:rPr>
        <w:t>年，有资格领取儿童津贴的儿童人数为</w:t>
      </w:r>
      <w:r>
        <w:t>383 570</w:t>
      </w:r>
      <w:r>
        <w:rPr>
          <w:rFonts w:hint="eastAsia"/>
        </w:rPr>
        <w:t>人。同年月均有资格领取父母补贴的有</w:t>
      </w:r>
      <w:r>
        <w:t xml:space="preserve"> 16 032</w:t>
      </w:r>
      <w:r>
        <w:rPr>
          <w:rFonts w:hint="eastAsia"/>
        </w:rPr>
        <w:t>人；为</w:t>
      </w:r>
      <w:r>
        <w:t>2 806</w:t>
      </w:r>
      <w:r>
        <w:rPr>
          <w:rFonts w:hint="eastAsia"/>
        </w:rPr>
        <w:t>人发放了父母津贴。</w:t>
      </w:r>
      <w:r>
        <w:rPr>
          <w:rFonts w:hint="eastAsia"/>
        </w:rPr>
        <w:t>2005</w:t>
      </w:r>
      <w:r>
        <w:rPr>
          <w:rFonts w:hint="eastAsia"/>
        </w:rPr>
        <w:t>年，有权领取现金社会援助的最低收入金额为一个人和家庭中第一个成年人</w:t>
      </w:r>
      <w:r>
        <w:t xml:space="preserve">46 981 </w:t>
      </w:r>
      <w:r>
        <w:rPr>
          <w:rFonts w:hint="eastAsia"/>
        </w:rPr>
        <w:t>托拉尔（约合</w:t>
      </w:r>
      <w:r>
        <w:t xml:space="preserve">235 </w:t>
      </w:r>
      <w:r>
        <w:rPr>
          <w:rFonts w:hint="eastAsia"/>
        </w:rPr>
        <w:t>美元），家庭中后面每个成年人为</w:t>
      </w:r>
      <w:r>
        <w:t xml:space="preserve"> 32 887 </w:t>
      </w:r>
      <w:r>
        <w:rPr>
          <w:rFonts w:hint="eastAsia"/>
        </w:rPr>
        <w:t>托拉尔（约合</w:t>
      </w:r>
      <w:r>
        <w:t xml:space="preserve">165 </w:t>
      </w:r>
      <w:r>
        <w:rPr>
          <w:rFonts w:hint="eastAsia"/>
        </w:rPr>
        <w:t>美元），一个子女为</w:t>
      </w:r>
      <w:r>
        <w:t xml:space="preserve"> 14 094</w:t>
      </w:r>
      <w:r>
        <w:rPr>
          <w:rFonts w:hint="eastAsia"/>
        </w:rPr>
        <w:t>托拉尔（约合</w:t>
      </w:r>
      <w:r>
        <w:t xml:space="preserve"> 70</w:t>
      </w:r>
      <w:r>
        <w:rPr>
          <w:rFonts w:hint="eastAsia"/>
        </w:rPr>
        <w:t>美元）；单亲家庭的增加金额为</w:t>
      </w:r>
      <w:r>
        <w:t>14 094</w:t>
      </w:r>
      <w:r>
        <w:rPr>
          <w:rFonts w:hint="eastAsia"/>
        </w:rPr>
        <w:t>托拉尔（约合</w:t>
      </w:r>
      <w:r>
        <w:t>70</w:t>
      </w:r>
      <w:r>
        <w:rPr>
          <w:rFonts w:hint="eastAsia"/>
        </w:rPr>
        <w:t>美元）。</w:t>
      </w:r>
      <w:r>
        <w:rPr>
          <w:rStyle w:val="FootnoteReference"/>
          <w:szCs w:val="24"/>
        </w:rPr>
        <w:footnoteReference w:id="70"/>
      </w:r>
    </w:p>
    <w:p w:rsidR="001A7779" w:rsidRDefault="001A7779">
      <w:pPr>
        <w:tabs>
          <w:tab w:val="left" w:pos="630"/>
        </w:tabs>
        <w:spacing w:after="240" w:line="360" w:lineRule="exact"/>
      </w:pPr>
      <w:r>
        <w:t>174.</w:t>
      </w:r>
      <w:r>
        <w:tab/>
      </w:r>
      <w:r>
        <w:rPr>
          <w:rFonts w:hint="eastAsia"/>
        </w:rPr>
        <w:t>2004</w:t>
      </w:r>
      <w:r>
        <w:rPr>
          <w:rFonts w:hint="eastAsia"/>
        </w:rPr>
        <w:t>年</w:t>
      </w:r>
      <w:r>
        <w:rPr>
          <w:rFonts w:hint="eastAsia"/>
        </w:rPr>
        <w:t>7</w:t>
      </w:r>
      <w:r>
        <w:rPr>
          <w:rFonts w:hint="eastAsia"/>
        </w:rPr>
        <w:t>月，斯洛文尼亚通过了《国家社会包容行动计划》（</w:t>
      </w:r>
      <w:r>
        <w:rPr>
          <w:rFonts w:hint="eastAsia"/>
        </w:rPr>
        <w:t>2004-2006</w:t>
      </w:r>
      <w:r>
        <w:rPr>
          <w:rFonts w:hint="eastAsia"/>
        </w:rPr>
        <w:t>年），以实施自</w:t>
      </w:r>
      <w:r>
        <w:rPr>
          <w:rFonts w:hint="eastAsia"/>
        </w:rPr>
        <w:t>2000</w:t>
      </w:r>
      <w:r>
        <w:rPr>
          <w:rFonts w:hint="eastAsia"/>
        </w:rPr>
        <w:t>年起在《消除贫困和社会排斥方案》和自</w:t>
      </w:r>
      <w:r>
        <w:rPr>
          <w:rFonts w:hint="eastAsia"/>
        </w:rPr>
        <w:t>2003</w:t>
      </w:r>
      <w:r>
        <w:rPr>
          <w:rFonts w:hint="eastAsia"/>
        </w:rPr>
        <w:t>年起在斯洛文尼亚和欧洲委员会所签署的《社会包容联合备忘录》中早已明确的社会包容政策。</w:t>
      </w:r>
      <w:r>
        <w:t xml:space="preserve"> </w:t>
      </w:r>
    </w:p>
    <w:p w:rsidR="001A7779" w:rsidRDefault="001A7779">
      <w:pPr>
        <w:tabs>
          <w:tab w:val="left" w:pos="630"/>
        </w:tabs>
        <w:spacing w:after="240" w:line="360" w:lineRule="exact"/>
      </w:pPr>
      <w:r>
        <w:t>175.</w:t>
      </w:r>
      <w:r>
        <w:tab/>
      </w:r>
      <w:r>
        <w:rPr>
          <w:rFonts w:hint="eastAsia"/>
        </w:rPr>
        <w:t>在考虑到现金和实物收入的情况下，</w:t>
      </w:r>
      <w:r>
        <w:rPr>
          <w:rFonts w:hint="eastAsia"/>
        </w:rPr>
        <w:t>2002</w:t>
      </w:r>
      <w:r>
        <w:rPr>
          <w:rFonts w:hint="eastAsia"/>
        </w:rPr>
        <w:t>年的贫困风险率</w:t>
      </w:r>
      <w:r>
        <w:rPr>
          <w:rStyle w:val="FootnoteReference"/>
          <w:szCs w:val="24"/>
        </w:rPr>
        <w:footnoteReference w:id="71"/>
      </w:r>
      <w:r>
        <w:rPr>
          <w:rFonts w:hint="eastAsia"/>
        </w:rPr>
        <w:t>为</w:t>
      </w:r>
      <w:r>
        <w:t xml:space="preserve"> 9.9</w:t>
      </w:r>
      <w:r>
        <w:rPr>
          <w:rFonts w:hint="eastAsia"/>
        </w:rPr>
        <w:t>%</w:t>
      </w:r>
      <w:r>
        <w:rPr>
          <w:rFonts w:hint="eastAsia"/>
        </w:rPr>
        <w:t>（男子为</w:t>
      </w:r>
      <w:r>
        <w:t>8.5%</w:t>
      </w:r>
      <w:r>
        <w:rPr>
          <w:rFonts w:hint="eastAsia"/>
        </w:rPr>
        <w:t>，妇女为</w:t>
      </w:r>
      <w:r>
        <w:t>11.2%</w:t>
      </w:r>
      <w:r>
        <w:rPr>
          <w:rFonts w:hint="eastAsia"/>
        </w:rPr>
        <w:t>），</w:t>
      </w:r>
      <w:r>
        <w:rPr>
          <w:rFonts w:hint="eastAsia"/>
        </w:rPr>
        <w:t xml:space="preserve"> </w:t>
      </w:r>
      <w:r>
        <w:rPr>
          <w:rFonts w:hint="eastAsia"/>
        </w:rPr>
        <w:t>比</w:t>
      </w:r>
      <w:r>
        <w:rPr>
          <w:rFonts w:hint="eastAsia"/>
        </w:rPr>
        <w:t>2000</w:t>
      </w:r>
      <w:r>
        <w:rPr>
          <w:rFonts w:hint="eastAsia"/>
        </w:rPr>
        <w:t>年低</w:t>
      </w:r>
      <w:r>
        <w:t>1.4</w:t>
      </w:r>
      <w:r>
        <w:rPr>
          <w:rFonts w:hint="eastAsia"/>
        </w:rPr>
        <w:t>个百分点。贫困和社会排斥分析显示，在贫困和社会排斥风险较高的个别群体（残障人士、青年失业者、罗姆人、单亲家庭成员、暴力受害者、老年人等某些群体）中存在性别差异。</w:t>
      </w:r>
      <w:r>
        <w:rPr>
          <w:rFonts w:hint="eastAsia"/>
        </w:rPr>
        <w:t>65</w:t>
      </w:r>
      <w:r>
        <w:rPr>
          <w:rFonts w:hint="eastAsia"/>
        </w:rPr>
        <w:t>岁以上人群（贫困风险率为妇女</w:t>
      </w:r>
      <w:r>
        <w:t>24.1%</w:t>
      </w:r>
      <w:r>
        <w:rPr>
          <w:rFonts w:hint="eastAsia"/>
        </w:rPr>
        <w:t>，男子</w:t>
      </w:r>
      <w:r>
        <w:t>10.8%</w:t>
      </w:r>
      <w:r>
        <w:rPr>
          <w:rFonts w:hint="eastAsia"/>
        </w:rPr>
        <w:t>）和生活在单亲家庭中的男子和妇女（生活在单亲家庭中的男子和妇女贫困风险率分别为</w:t>
      </w:r>
      <w:r>
        <w:t>30.5%</w:t>
      </w:r>
      <w:r>
        <w:rPr>
          <w:rFonts w:hint="eastAsia"/>
        </w:rPr>
        <w:t>和</w:t>
      </w:r>
      <w:r>
        <w:t>38.7%</w:t>
      </w:r>
      <w:r>
        <w:rPr>
          <w:rFonts w:hint="eastAsia"/>
        </w:rPr>
        <w:t>）中的这一差异最大。贫困风险高于斯洛文尼亚平均水平的家庭是至少有一名受抚养者的单亲家庭（</w:t>
      </w:r>
      <w:r>
        <w:t>17.2%</w:t>
      </w:r>
      <w:r>
        <w:rPr>
          <w:rFonts w:hint="eastAsia"/>
        </w:rPr>
        <w:t>）；大多数单亲家庭是单身母亲家庭</w:t>
      </w:r>
      <w:r>
        <w:t xml:space="preserve"> </w:t>
      </w:r>
      <w:r>
        <w:rPr>
          <w:rFonts w:hint="eastAsia"/>
        </w:rPr>
        <w:t>（</w:t>
      </w:r>
      <w:r>
        <w:t>86%</w:t>
      </w:r>
      <w:r>
        <w:rPr>
          <w:rFonts w:hint="eastAsia"/>
        </w:rPr>
        <w:t>）。然而数据显示，近年来单亲家庭的风险程度有所下降（在</w:t>
      </w:r>
      <w:r>
        <w:rPr>
          <w:rFonts w:hint="eastAsia"/>
        </w:rPr>
        <w:t>2000-2006</w:t>
      </w:r>
      <w:r>
        <w:rPr>
          <w:rFonts w:hint="eastAsia"/>
        </w:rPr>
        <w:t>年期间降低了</w:t>
      </w:r>
      <w:r>
        <w:t>3.9</w:t>
      </w:r>
      <w:r>
        <w:rPr>
          <w:rFonts w:hint="eastAsia"/>
        </w:rPr>
        <w:t>个百分点）。</w:t>
      </w:r>
      <w:r>
        <w:t xml:space="preserve"> </w:t>
      </w:r>
      <w:r>
        <w:rPr>
          <w:rFonts w:hint="eastAsia"/>
        </w:rPr>
        <w:t>失业者（妇女为</w:t>
      </w:r>
      <w:r>
        <w:t xml:space="preserve">37.5% </w:t>
      </w:r>
      <w:r>
        <w:rPr>
          <w:rFonts w:hint="eastAsia"/>
        </w:rPr>
        <w:t>，男子为</w:t>
      </w:r>
      <w:r>
        <w:t>39.3%</w:t>
      </w:r>
      <w:r>
        <w:rPr>
          <w:rFonts w:hint="eastAsia"/>
        </w:rPr>
        <w:t>）和男女租户（妇女为</w:t>
      </w:r>
      <w:r>
        <w:t>21.4%</w:t>
      </w:r>
      <w:r>
        <w:rPr>
          <w:rFonts w:hint="eastAsia"/>
        </w:rPr>
        <w:t>，男子为</w:t>
      </w:r>
      <w:r>
        <w:t xml:space="preserve"> 18.3% </w:t>
      </w:r>
      <w:r>
        <w:rPr>
          <w:rFonts w:hint="eastAsia"/>
        </w:rPr>
        <w:t>）也面临较高的贫困风险。在</w:t>
      </w:r>
      <w:r>
        <w:rPr>
          <w:rFonts w:hint="eastAsia"/>
        </w:rPr>
        <w:t>2000-2002</w:t>
      </w:r>
      <w:r>
        <w:rPr>
          <w:rFonts w:hint="eastAsia"/>
        </w:rPr>
        <w:t>年期间，女性租户的贫困风险率增长了</w:t>
      </w:r>
      <w:r>
        <w:t xml:space="preserve">4.6 </w:t>
      </w:r>
      <w:r>
        <w:rPr>
          <w:rFonts w:hint="eastAsia"/>
        </w:rPr>
        <w:t>个百分点。</w:t>
      </w:r>
      <w:r>
        <w:rPr>
          <w:rStyle w:val="tw4winMark"/>
          <w:sz w:val="21"/>
        </w:rPr>
        <w:t xml:space="preserve"> </w:t>
      </w:r>
      <w:r>
        <w:rPr>
          <w:rStyle w:val="FootnoteReference"/>
          <w:szCs w:val="24"/>
        </w:rPr>
        <w:footnoteReference w:id="72"/>
      </w:r>
    </w:p>
    <w:p w:rsidR="001A7779" w:rsidRDefault="001A7779">
      <w:pPr>
        <w:tabs>
          <w:tab w:val="left" w:pos="630"/>
        </w:tabs>
        <w:spacing w:after="240" w:line="360" w:lineRule="exact"/>
        <w:rPr>
          <w:color w:val="000000"/>
        </w:rPr>
      </w:pPr>
      <w:r>
        <w:rPr>
          <w:color w:val="000000"/>
        </w:rPr>
        <w:t>176.</w:t>
      </w:r>
      <w:r>
        <w:rPr>
          <w:color w:val="000000"/>
        </w:rPr>
        <w:tab/>
      </w:r>
      <w:r>
        <w:rPr>
          <w:rFonts w:hint="eastAsia"/>
          <w:color w:val="000000"/>
        </w:rPr>
        <w:t>关于妇女参与娱乐活动和文化生活问题，</w:t>
      </w:r>
      <w:r>
        <w:rPr>
          <w:rFonts w:hint="eastAsia"/>
          <w:color w:val="000000"/>
        </w:rPr>
        <w:t>2000/2001</w:t>
      </w:r>
      <w:r>
        <w:rPr>
          <w:rFonts w:hint="eastAsia"/>
          <w:color w:val="000000"/>
        </w:rPr>
        <w:t>年的数据显示，妇女在文化、体育、爱好和社会生活上所花费的时间大大少于男子（妇女为</w:t>
      </w:r>
      <w:r>
        <w:rPr>
          <w:rFonts w:hint="eastAsia"/>
          <w:color w:val="000000"/>
        </w:rPr>
        <w:t>39</w:t>
      </w:r>
      <w:r>
        <w:rPr>
          <w:rFonts w:hint="eastAsia"/>
          <w:color w:val="000000"/>
        </w:rPr>
        <w:t>分钟，男子为</w:t>
      </w:r>
      <w:r>
        <w:rPr>
          <w:rFonts w:hint="eastAsia"/>
          <w:color w:val="000000"/>
        </w:rPr>
        <w:t>1</w:t>
      </w:r>
      <w:r>
        <w:rPr>
          <w:rFonts w:hint="eastAsia"/>
          <w:color w:val="000000"/>
        </w:rPr>
        <w:t>小时零</w:t>
      </w:r>
      <w:r>
        <w:rPr>
          <w:rFonts w:hint="eastAsia"/>
          <w:color w:val="000000"/>
        </w:rPr>
        <w:t>2</w:t>
      </w:r>
      <w:r>
        <w:rPr>
          <w:rFonts w:hint="eastAsia"/>
          <w:color w:val="000000"/>
        </w:rPr>
        <w:t>分钟）。</w:t>
      </w:r>
      <w:r>
        <w:rPr>
          <w:rStyle w:val="FootnoteReference"/>
          <w:color w:val="000000"/>
          <w:szCs w:val="24"/>
        </w:rPr>
        <w:footnoteReference w:id="73"/>
      </w:r>
    </w:p>
    <w:p w:rsidR="001A7779" w:rsidRDefault="001A7779">
      <w:pPr>
        <w:tabs>
          <w:tab w:val="left" w:pos="630"/>
        </w:tabs>
        <w:spacing w:after="240" w:line="360" w:lineRule="exact"/>
      </w:pPr>
      <w:r>
        <w:t>177.</w:t>
      </w:r>
      <w:r>
        <w:tab/>
      </w:r>
      <w:r>
        <w:rPr>
          <w:rFonts w:hint="eastAsia"/>
        </w:rPr>
        <w:t>2004</w:t>
      </w:r>
      <w:r>
        <w:rPr>
          <w:rFonts w:hint="eastAsia"/>
        </w:rPr>
        <w:t>年欧统处调查</w:t>
      </w:r>
      <w:r>
        <w:rPr>
          <w:rStyle w:val="FootnoteReference"/>
          <w:szCs w:val="24"/>
        </w:rPr>
        <w:footnoteReference w:id="74"/>
      </w:r>
      <w:r>
        <w:rPr>
          <w:rFonts w:hint="eastAsia"/>
        </w:rPr>
        <w:t>显示，</w:t>
      </w:r>
      <w:r>
        <w:rPr>
          <w:rFonts w:hint="eastAsia"/>
        </w:rPr>
        <w:t>20</w:t>
      </w:r>
      <w:r>
        <w:rPr>
          <w:rFonts w:hint="eastAsia"/>
        </w:rPr>
        <w:t>至</w:t>
      </w:r>
      <w:r>
        <w:rPr>
          <w:rFonts w:hint="eastAsia"/>
        </w:rPr>
        <w:t>74</w:t>
      </w:r>
      <w:r>
        <w:rPr>
          <w:rFonts w:hint="eastAsia"/>
        </w:rPr>
        <w:t>岁的斯洛文尼亚妇女用于休闲的时间平均比同龄男子少</w:t>
      </w:r>
      <w:r>
        <w:rPr>
          <w:rFonts w:hint="eastAsia"/>
        </w:rPr>
        <w:t>1</w:t>
      </w:r>
      <w:r>
        <w:rPr>
          <w:rFonts w:hint="eastAsia"/>
        </w:rPr>
        <w:t>小时零</w:t>
      </w:r>
      <w:r>
        <w:rPr>
          <w:rFonts w:hint="eastAsia"/>
        </w:rPr>
        <w:t>5</w:t>
      </w:r>
      <w:r>
        <w:rPr>
          <w:rFonts w:hint="eastAsia"/>
        </w:rPr>
        <w:t>分钟（妇女</w:t>
      </w:r>
      <w:r>
        <w:t>4</w:t>
      </w:r>
      <w:r>
        <w:t>：</w:t>
      </w:r>
      <w:r>
        <w:t>26</w:t>
      </w:r>
      <w:r>
        <w:rPr>
          <w:rFonts w:hint="eastAsia"/>
        </w:rPr>
        <w:t>；男子</w:t>
      </w:r>
      <w:r>
        <w:t>5</w:t>
      </w:r>
      <w:r>
        <w:t>：</w:t>
      </w:r>
      <w:r>
        <w:t>34</w:t>
      </w:r>
      <w:r>
        <w:rPr>
          <w:rFonts w:hint="eastAsia"/>
        </w:rPr>
        <w:t>）。同样，就业的妇女用于休闲的时间也比就业的男子少</w:t>
      </w:r>
      <w:r>
        <w:rPr>
          <w:rFonts w:hint="eastAsia"/>
        </w:rPr>
        <w:t>1</w:t>
      </w:r>
      <w:r>
        <w:rPr>
          <w:rFonts w:hint="eastAsia"/>
        </w:rPr>
        <w:t>小时零</w:t>
      </w:r>
      <w:r>
        <w:rPr>
          <w:rFonts w:hint="eastAsia"/>
        </w:rPr>
        <w:t>1</w:t>
      </w:r>
      <w:r>
        <w:rPr>
          <w:rFonts w:hint="eastAsia"/>
        </w:rPr>
        <w:t>分钟（妇女</w:t>
      </w:r>
      <w:r>
        <w:t>3</w:t>
      </w:r>
      <w:r>
        <w:t>：</w:t>
      </w:r>
      <w:r>
        <w:t>51</w:t>
      </w:r>
      <w:r>
        <w:rPr>
          <w:rFonts w:hint="eastAsia"/>
        </w:rPr>
        <w:t>；男子</w:t>
      </w:r>
      <w:r>
        <w:t xml:space="preserve"> 4</w:t>
      </w:r>
      <w:r>
        <w:t>：</w:t>
      </w:r>
      <w:r>
        <w:t>52</w:t>
      </w:r>
      <w:r>
        <w:rPr>
          <w:rFonts w:hint="eastAsia"/>
        </w:rPr>
        <w:t>）。</w:t>
      </w:r>
    </w:p>
    <w:p w:rsidR="001A7779" w:rsidRDefault="001A7779">
      <w:pPr>
        <w:pStyle w:val="H1"/>
        <w:spacing w:before="120"/>
      </w:pPr>
      <w:r>
        <w:rPr>
          <w:rFonts w:hint="eastAsia"/>
        </w:rPr>
        <w:t>第</w:t>
      </w:r>
      <w:r>
        <w:t>14</w:t>
      </w:r>
      <w:r>
        <w:rPr>
          <w:rFonts w:hint="eastAsia"/>
        </w:rPr>
        <w:t xml:space="preserve">条 </w:t>
      </w:r>
      <w:r>
        <w:t xml:space="preserve"> </w:t>
      </w:r>
      <w:r>
        <w:rPr>
          <w:rFonts w:hint="eastAsia"/>
        </w:rPr>
        <w:t>农村妇女</w:t>
      </w:r>
    </w:p>
    <w:p w:rsidR="001A7779" w:rsidRDefault="001A7779">
      <w:pPr>
        <w:tabs>
          <w:tab w:val="left" w:pos="630"/>
        </w:tabs>
        <w:spacing w:after="240" w:line="360" w:lineRule="exact"/>
      </w:pPr>
      <w:r>
        <w:t>178.</w:t>
      </w:r>
      <w:r>
        <w:tab/>
      </w:r>
      <w:r>
        <w:rPr>
          <w:rFonts w:hint="eastAsia"/>
        </w:rPr>
        <w:t>根据委员会关于农村妇女尤其是老年妇女的建议，农林食品部正在制定一项国家方案，计划将性别观点纳入主流，并与粮农组织和卢布尔雅那大学生物技术学院合作，在农业和农村发展中纳入不同年龄和社会群体。预期成果之一是建立全国专家网络，便利在将性别观点纳入农业和农村发展战略领域中交流经验、知识和良好做法。</w:t>
      </w:r>
    </w:p>
    <w:p w:rsidR="001A7779" w:rsidRDefault="001A7779">
      <w:pPr>
        <w:tabs>
          <w:tab w:val="left" w:pos="630"/>
        </w:tabs>
        <w:spacing w:after="240" w:line="360" w:lineRule="exact"/>
      </w:pPr>
      <w:r>
        <w:t>179.</w:t>
      </w:r>
      <w:r>
        <w:tab/>
      </w:r>
      <w:r>
        <w:rPr>
          <w:rFonts w:hint="eastAsia"/>
        </w:rPr>
        <w:t>自编制第三次报告以来，已对《保健与健康保健法》做出修正，将农民及农民的控股成员以及其他在斯洛文尼亚共和国从事农业活动并将其作为唯一或主要职业的人覆盖在内。</w:t>
      </w:r>
      <w:r>
        <w:rPr>
          <w:rFonts w:hint="eastAsia"/>
        </w:rPr>
        <w:t>2003</w:t>
      </w:r>
      <w:r>
        <w:rPr>
          <w:rFonts w:hint="eastAsia"/>
        </w:rPr>
        <w:t>年修正案具体说明了被视为受保人的人，即农民、农民的控股成员，以及其他在斯洛文尼亚共和国从事农业活动并将其作为唯一或主要职业、通过此种活动创造收入的人，以及在基础上纳入强制退休金和残疾保险或在自愿的基础上纳入此种保险覆盖范围；未纳入退休金和残疾保险覆盖范围的农民、农民的控股成员，以及其他在斯洛文尼亚共和国从事农业活动并将其作为唯一或主要职业的人，也被视为受保人，如果按每一控股成员每月计算，农业控股产生的地产收入或其他收入在扣除税款和缴款之后，总计为至少最低工资的</w:t>
      </w:r>
      <w:r>
        <w:rPr>
          <w:rFonts w:hint="eastAsia"/>
        </w:rPr>
        <w:t>25%</w:t>
      </w:r>
      <w:r>
        <w:rPr>
          <w:rFonts w:hint="eastAsia"/>
        </w:rPr>
        <w:t>。所有在控股内从事农业活动并将其作为唯一或主要职业的人，都被视为农业控股成员。</w:t>
      </w:r>
    </w:p>
    <w:p w:rsidR="001A7779" w:rsidRDefault="001A7779">
      <w:pPr>
        <w:tabs>
          <w:tab w:val="left" w:pos="630"/>
        </w:tabs>
        <w:spacing w:after="240" w:line="360" w:lineRule="exact"/>
      </w:pPr>
      <w:r>
        <w:t>180.</w:t>
      </w:r>
      <w:r>
        <w:tab/>
      </w:r>
      <w:r>
        <w:rPr>
          <w:rFonts w:hint="eastAsia"/>
          <w:spacing w:val="2"/>
        </w:rPr>
        <w:t>2002</w:t>
      </w:r>
      <w:r>
        <w:rPr>
          <w:rFonts w:hint="eastAsia"/>
          <w:spacing w:val="2"/>
        </w:rPr>
        <w:t>年关于斯洛文尼亚农村妇女的调查</w:t>
      </w:r>
      <w:r>
        <w:rPr>
          <w:rStyle w:val="FootnoteReference"/>
          <w:spacing w:val="2"/>
          <w:szCs w:val="24"/>
        </w:rPr>
        <w:footnoteReference w:id="75"/>
      </w:r>
      <w:r>
        <w:rPr>
          <w:rFonts w:hint="eastAsia"/>
          <w:spacing w:val="2"/>
        </w:rPr>
        <w:t>显示，较年轻的农村妇女在生产活动方面与整个农村妇女有很大不同。根据</w:t>
      </w:r>
      <w:r>
        <w:rPr>
          <w:rFonts w:hint="eastAsia"/>
          <w:spacing w:val="2"/>
        </w:rPr>
        <w:t>2000</w:t>
      </w:r>
      <w:r>
        <w:rPr>
          <w:rFonts w:hint="eastAsia"/>
          <w:spacing w:val="2"/>
        </w:rPr>
        <w:t>年农村控股人口普查（在第三次报告中作了描述），在所有生活和工作在农村控股的妇女中，有</w:t>
      </w:r>
      <w:r>
        <w:rPr>
          <w:rFonts w:hint="eastAsia"/>
          <w:spacing w:val="2"/>
        </w:rPr>
        <w:t>30%</w:t>
      </w:r>
      <w:r>
        <w:rPr>
          <w:rFonts w:hint="eastAsia"/>
          <w:spacing w:val="2"/>
        </w:rPr>
        <w:t>的人还从事其他部门的活动，只有</w:t>
      </w:r>
      <w:r>
        <w:rPr>
          <w:rFonts w:hint="eastAsia"/>
          <w:spacing w:val="2"/>
        </w:rPr>
        <w:t>13%</w:t>
      </w:r>
      <w:r>
        <w:rPr>
          <w:rFonts w:hint="eastAsia"/>
          <w:spacing w:val="2"/>
        </w:rPr>
        <w:t>的人以农业为生。在所有参与调查的</w:t>
      </w:r>
      <w:r>
        <w:rPr>
          <w:rFonts w:hint="eastAsia"/>
          <w:spacing w:val="2"/>
        </w:rPr>
        <w:t>20</w:t>
      </w:r>
      <w:r>
        <w:rPr>
          <w:rFonts w:hint="eastAsia"/>
          <w:spacing w:val="2"/>
        </w:rPr>
        <w:t>至</w:t>
      </w:r>
      <w:r>
        <w:rPr>
          <w:rFonts w:hint="eastAsia"/>
          <w:spacing w:val="2"/>
        </w:rPr>
        <w:t>50</w:t>
      </w:r>
      <w:r>
        <w:rPr>
          <w:rFonts w:hint="eastAsia"/>
          <w:spacing w:val="2"/>
        </w:rPr>
        <w:t>岁的妇女当中，只有</w:t>
      </w:r>
      <w:r>
        <w:rPr>
          <w:rFonts w:hint="eastAsia"/>
          <w:spacing w:val="2"/>
        </w:rPr>
        <w:t>8%</w:t>
      </w:r>
      <w:r>
        <w:rPr>
          <w:rFonts w:hint="eastAsia"/>
          <w:spacing w:val="2"/>
        </w:rPr>
        <w:t>的人声称农业活动是其主要的收入来源。在</w:t>
      </w:r>
      <w:r>
        <w:rPr>
          <w:rFonts w:hint="eastAsia"/>
          <w:spacing w:val="2"/>
        </w:rPr>
        <w:t>30</w:t>
      </w:r>
      <w:r>
        <w:rPr>
          <w:rFonts w:hint="eastAsia"/>
          <w:spacing w:val="2"/>
        </w:rPr>
        <w:t>至</w:t>
      </w:r>
      <w:r>
        <w:rPr>
          <w:rFonts w:hint="eastAsia"/>
          <w:spacing w:val="2"/>
        </w:rPr>
        <w:t>50</w:t>
      </w:r>
      <w:r>
        <w:rPr>
          <w:rFonts w:hint="eastAsia"/>
          <w:spacing w:val="2"/>
        </w:rPr>
        <w:t>岁年龄组中，</w:t>
      </w:r>
      <w:r>
        <w:rPr>
          <w:rFonts w:hint="eastAsia"/>
          <w:spacing w:val="2"/>
        </w:rPr>
        <w:t>64%</w:t>
      </w:r>
      <w:r>
        <w:rPr>
          <w:rFonts w:hint="eastAsia"/>
          <w:spacing w:val="2"/>
        </w:rPr>
        <w:t>的人受雇于控股外的部门。这一年龄组中有</w:t>
      </w:r>
      <w:r>
        <w:rPr>
          <w:rFonts w:hint="eastAsia"/>
          <w:spacing w:val="2"/>
        </w:rPr>
        <w:t>2%</w:t>
      </w:r>
      <w:r>
        <w:rPr>
          <w:rFonts w:hint="eastAsia"/>
          <w:spacing w:val="2"/>
        </w:rPr>
        <w:t>的人是企业家。抽样中的其余妇女有以下主要收入：</w:t>
      </w:r>
      <w:r>
        <w:rPr>
          <w:rFonts w:hint="eastAsia"/>
          <w:spacing w:val="2"/>
        </w:rPr>
        <w:t>5%</w:t>
      </w:r>
      <w:r>
        <w:rPr>
          <w:rFonts w:hint="eastAsia"/>
          <w:spacing w:val="2"/>
        </w:rPr>
        <w:t>的人有各种补偿；</w:t>
      </w:r>
      <w:r>
        <w:rPr>
          <w:rFonts w:hint="eastAsia"/>
          <w:spacing w:val="2"/>
        </w:rPr>
        <w:t>6%</w:t>
      </w:r>
      <w:r>
        <w:rPr>
          <w:rFonts w:hint="eastAsia"/>
          <w:spacing w:val="2"/>
        </w:rPr>
        <w:t>的人领取奖学金；</w:t>
      </w:r>
      <w:r>
        <w:rPr>
          <w:rFonts w:hint="eastAsia"/>
          <w:spacing w:val="2"/>
        </w:rPr>
        <w:t>13%</w:t>
      </w:r>
      <w:r>
        <w:rPr>
          <w:rFonts w:hint="eastAsia"/>
          <w:spacing w:val="2"/>
        </w:rPr>
        <w:t>的人没有任何独立的收入来源（半数人是学生，三分之一是失业者，其余的是家庭主妇）。</w:t>
      </w:r>
      <w:r>
        <w:rPr>
          <w:rStyle w:val="FootnoteReference"/>
          <w:spacing w:val="2"/>
          <w:szCs w:val="24"/>
        </w:rPr>
        <w:footnoteReference w:id="76"/>
      </w:r>
    </w:p>
    <w:p w:rsidR="001A7779" w:rsidRDefault="001A7779">
      <w:pPr>
        <w:tabs>
          <w:tab w:val="left" w:pos="630"/>
        </w:tabs>
        <w:spacing w:after="240" w:line="360" w:lineRule="exact"/>
      </w:pPr>
      <w:r>
        <w:t>181.</w:t>
      </w:r>
      <w:r>
        <w:tab/>
      </w:r>
      <w:r>
        <w:rPr>
          <w:rFonts w:hint="eastAsia"/>
        </w:rPr>
        <w:t>斯洛文尼亚共和国统计局报告，</w:t>
      </w:r>
      <w:r>
        <w:rPr>
          <w:rFonts w:hint="eastAsia"/>
        </w:rPr>
        <w:t>2005</w:t>
      </w:r>
      <w:r>
        <w:rPr>
          <w:rFonts w:hint="eastAsia"/>
        </w:rPr>
        <w:t>年春季收集的最新可获数据显示，平均而言，一名</w:t>
      </w:r>
      <w:r>
        <w:rPr>
          <w:rFonts w:hint="eastAsia"/>
        </w:rPr>
        <w:t>50</w:t>
      </w:r>
      <w:r>
        <w:rPr>
          <w:rFonts w:hint="eastAsia"/>
        </w:rPr>
        <w:t>岁的农村妇女已完成小学学业，（与家庭中其他成员一道）平均耕种</w:t>
      </w:r>
      <w:r>
        <w:t xml:space="preserve">6.3 </w:t>
      </w:r>
      <w:r>
        <w:rPr>
          <w:rFonts w:hint="eastAsia"/>
        </w:rPr>
        <w:t>公顷农田，饲养</w:t>
      </w:r>
      <w:r>
        <w:t>6.6</w:t>
      </w:r>
      <w:r>
        <w:rPr>
          <w:rFonts w:hint="eastAsia"/>
        </w:rPr>
        <w:t>畜牧单位，每周花费在此种工作的时间为</w:t>
      </w:r>
      <w:r>
        <w:rPr>
          <w:rFonts w:hint="eastAsia"/>
        </w:rPr>
        <w:t>42</w:t>
      </w:r>
      <w:r>
        <w:rPr>
          <w:rFonts w:hint="eastAsia"/>
        </w:rPr>
        <w:t>小时。除了在农田耕作和畜牧饲养上所花费的时间以外，不到</w:t>
      </w:r>
      <w:r>
        <w:rPr>
          <w:rFonts w:hint="eastAsia"/>
        </w:rPr>
        <w:t>45</w:t>
      </w:r>
      <w:r>
        <w:rPr>
          <w:rFonts w:hint="eastAsia"/>
        </w:rPr>
        <w:t>岁的农村妇女平均要照料</w:t>
      </w:r>
      <w:r>
        <w:t>1.3</w:t>
      </w:r>
      <w:r>
        <w:rPr>
          <w:rFonts w:hint="eastAsia"/>
        </w:rPr>
        <w:t>名子女。至于斯洛文尼亚农村妇女的正式地位，四分之三的人是家庭主妇和领取年金者。在从事农业耕作的较年轻的妇女（</w:t>
      </w:r>
      <w:r>
        <w:rPr>
          <w:rFonts w:hint="eastAsia"/>
        </w:rPr>
        <w:t>45</w:t>
      </w:r>
      <w:r>
        <w:rPr>
          <w:rFonts w:hint="eastAsia"/>
        </w:rPr>
        <w:t>岁或不到</w:t>
      </w:r>
      <w:r>
        <w:rPr>
          <w:rFonts w:hint="eastAsia"/>
        </w:rPr>
        <w:t>45</w:t>
      </w:r>
      <w:r>
        <w:rPr>
          <w:rFonts w:hint="eastAsia"/>
        </w:rPr>
        <w:t>岁）当中，不到三分之一的人是家庭主妇，五分之一的人没有工作。上述情况错综复杂，因为农村地区许多失业者一边找工作，一边在家庭控股中做帮手。有关从事农业活动的妇女所受教育程度的数据显示，有三分之一的人完成或未完成小学教育；三分之一以上的人受过高中教育。从事农业工作的较年轻的妇女受过较好的教育；其中三分之一的人完成了小学教育，三分之二的人受过高中教育。较年轻的妇女有接受高等教育的愿望；四分之一的人正在接受正规学校教育，但她们较少上夜校、讲习班、短训班等，很可能是因为没有时间。</w:t>
      </w:r>
      <w:r>
        <w:rPr>
          <w:rStyle w:val="FootnoteReference"/>
          <w:szCs w:val="24"/>
        </w:rPr>
        <w:footnoteReference w:id="77"/>
      </w:r>
    </w:p>
    <w:p w:rsidR="001A7779" w:rsidRDefault="001A7779">
      <w:pPr>
        <w:tabs>
          <w:tab w:val="left" w:pos="630"/>
        </w:tabs>
        <w:spacing w:after="240" w:line="360" w:lineRule="exact"/>
      </w:pPr>
      <w:r>
        <w:t>182.</w:t>
      </w:r>
      <w:r>
        <w:tab/>
      </w:r>
      <w:r>
        <w:rPr>
          <w:rFonts w:hint="eastAsia"/>
        </w:rPr>
        <w:t>在农村妇女当中，罗姆妇女享有适当生活标准的权利，特别是享有适足住房的权利格外受到影响；根据某些数据，几乎有半数罗姆人家庭的生活条件仍未达到适足水准（没有电和自来水）。</w:t>
      </w:r>
      <w:r>
        <w:rPr>
          <w:rStyle w:val="FootnoteReference"/>
          <w:szCs w:val="24"/>
        </w:rPr>
        <w:footnoteReference w:id="78"/>
      </w:r>
      <w:r>
        <w:rPr>
          <w:rFonts w:hint="eastAsia"/>
        </w:rPr>
        <w:t>在</w:t>
      </w:r>
      <w:r>
        <w:rPr>
          <w:rFonts w:hint="eastAsia"/>
        </w:rPr>
        <w:t>2004</w:t>
      </w:r>
      <w:r>
        <w:rPr>
          <w:rFonts w:hint="eastAsia"/>
        </w:rPr>
        <w:t>年</w:t>
      </w:r>
      <w:r>
        <w:rPr>
          <w:rFonts w:hint="eastAsia"/>
        </w:rPr>
        <w:t>10</w:t>
      </w:r>
      <w:r>
        <w:rPr>
          <w:rFonts w:hint="eastAsia"/>
        </w:rPr>
        <w:t>月做出的决定中，斯洛文尼亚共和国决定，对罗姆人生活条件以及教育和就业问题必须给予特别关注，并从国家资源中为其提供支助。斯洛文尼亚共和国努力从各个方面积极着手解决罗姆人问题，尤其是提高罗姆人的经济和社会地位。一些较为重要的活动包括两项招标活动，分别为罗姆人定居点内的基本公共基础设施规划提供资金（</w:t>
      </w:r>
      <w:r>
        <w:rPr>
          <w:rFonts w:hint="eastAsia"/>
        </w:rPr>
        <w:t>2002</w:t>
      </w:r>
      <w:r>
        <w:rPr>
          <w:rFonts w:hint="eastAsia"/>
        </w:rPr>
        <w:t>年由经济部签发），以及为</w:t>
      </w:r>
      <w:r>
        <w:rPr>
          <w:rFonts w:hint="eastAsia"/>
        </w:rPr>
        <w:t>2004</w:t>
      </w:r>
      <w:r>
        <w:rPr>
          <w:rFonts w:hint="eastAsia"/>
        </w:rPr>
        <w:t>年</w:t>
      </w:r>
      <w:r>
        <w:rPr>
          <w:rFonts w:hint="eastAsia"/>
        </w:rPr>
        <w:t>9</w:t>
      </w:r>
      <w:r>
        <w:rPr>
          <w:rFonts w:hint="eastAsia"/>
        </w:rPr>
        <w:t>月由斯洛文尼亚共和国促进斯洛文尼亚农村地区发展和社区保持公共基金签发的罗姆人定居点基本公共基础设施规划共同筹资。</w:t>
      </w:r>
      <w:r>
        <w:rPr>
          <w:rFonts w:hint="eastAsia"/>
        </w:rPr>
        <w:t>2005</w:t>
      </w:r>
      <w:r>
        <w:rPr>
          <w:rFonts w:hint="eastAsia"/>
        </w:rPr>
        <w:t>年</w:t>
      </w:r>
      <w:r>
        <w:rPr>
          <w:rFonts w:hint="eastAsia"/>
        </w:rPr>
        <w:t>7</w:t>
      </w:r>
      <w:r>
        <w:rPr>
          <w:rFonts w:hint="eastAsia"/>
        </w:rPr>
        <w:t>月，斯洛文尼亚共和国政府也通过了一项实施方案，帮助各市政当局在</w:t>
      </w:r>
      <w:r>
        <w:rPr>
          <w:rFonts w:hint="eastAsia"/>
        </w:rPr>
        <w:t>2005</w:t>
      </w:r>
      <w:r>
        <w:rPr>
          <w:rFonts w:hint="eastAsia"/>
        </w:rPr>
        <w:t>年就罗姆人定居点内必要的最低标准的公共基础设施做出规划。促进地方自治和地区政策政府办公室将每年发出新的号召，呼吁在年度实施方案下启动项目，协助市政当局就罗姆人定居点内必要的最低标准的公共基础设施做出规划。</w:t>
      </w:r>
      <w:r>
        <w:t xml:space="preserve"> </w:t>
      </w:r>
    </w:p>
    <w:p w:rsidR="001A7779" w:rsidRDefault="001A7779">
      <w:pPr>
        <w:pStyle w:val="H1"/>
        <w:spacing w:before="120"/>
        <w:rPr>
          <w:rFonts w:hint="eastAsia"/>
        </w:rPr>
      </w:pPr>
      <w:r>
        <w:rPr>
          <w:rFonts w:hint="eastAsia"/>
        </w:rPr>
        <w:t>第</w:t>
      </w:r>
      <w:r>
        <w:t>15</w:t>
      </w:r>
      <w:r>
        <w:rPr>
          <w:rFonts w:hint="eastAsia"/>
        </w:rPr>
        <w:t>条</w:t>
      </w:r>
      <w:r>
        <w:t xml:space="preserve"> </w:t>
      </w:r>
      <w:r>
        <w:rPr>
          <w:rFonts w:hint="eastAsia"/>
        </w:rPr>
        <w:t>法律面前平等</w:t>
      </w:r>
    </w:p>
    <w:p w:rsidR="001A7779" w:rsidRDefault="001A7779">
      <w:pPr>
        <w:tabs>
          <w:tab w:val="left" w:pos="630"/>
        </w:tabs>
        <w:spacing w:after="240" w:line="360" w:lineRule="exact"/>
      </w:pPr>
      <w:r>
        <w:t>183.</w:t>
      </w:r>
      <w:r>
        <w:tab/>
      </w:r>
      <w:r>
        <w:rPr>
          <w:rFonts w:hint="eastAsia"/>
        </w:rPr>
        <w:t>基准期间对本条的执行情况没有任何变化。</w:t>
      </w:r>
    </w:p>
    <w:p w:rsidR="001A7779" w:rsidRDefault="001A7779">
      <w:pPr>
        <w:pStyle w:val="H1"/>
        <w:spacing w:before="120"/>
        <w:rPr>
          <w:rFonts w:hint="eastAsia"/>
        </w:rPr>
      </w:pPr>
      <w:r>
        <w:rPr>
          <w:rFonts w:hint="eastAsia"/>
        </w:rPr>
        <w:t>第</w:t>
      </w:r>
      <w:r>
        <w:t xml:space="preserve"> 16</w:t>
      </w:r>
      <w:r>
        <w:rPr>
          <w:rFonts w:hint="eastAsia"/>
        </w:rPr>
        <w:t>条</w:t>
      </w:r>
      <w:r>
        <w:t xml:space="preserve"> </w:t>
      </w:r>
      <w:r>
        <w:rPr>
          <w:rFonts w:hint="eastAsia"/>
        </w:rPr>
        <w:t>婚姻和家庭关系</w:t>
      </w:r>
    </w:p>
    <w:p w:rsidR="001A7779" w:rsidRDefault="001A7779">
      <w:pPr>
        <w:tabs>
          <w:tab w:val="left" w:pos="630"/>
        </w:tabs>
        <w:spacing w:after="240" w:line="360" w:lineRule="exact"/>
      </w:pPr>
      <w:r>
        <w:t>184.</w:t>
      </w:r>
      <w:r>
        <w:tab/>
      </w:r>
      <w:r>
        <w:rPr>
          <w:rFonts w:hint="eastAsia"/>
        </w:rPr>
        <w:t>关于婚姻和家庭关系，自编制第三次报告以来修正了以下法案：《斯洛文尼亚共和国公共保证和赡养基金法》（其提案在第三次报告中已有描述）、《婚姻和家庭关系法》和《刑法典》。《同性伙伴关系登记法》已获得通过。</w:t>
      </w:r>
    </w:p>
    <w:p w:rsidR="001A7779" w:rsidRDefault="001A7779">
      <w:pPr>
        <w:tabs>
          <w:tab w:val="left" w:pos="630"/>
        </w:tabs>
        <w:spacing w:after="240" w:line="360" w:lineRule="exact"/>
      </w:pPr>
      <w:r>
        <w:t>185.</w:t>
      </w:r>
      <w:r>
        <w:tab/>
      </w:r>
      <w:r>
        <w:rPr>
          <w:rFonts w:hint="eastAsia"/>
        </w:rPr>
        <w:t>《婚姻和家庭关系法》修正案于</w:t>
      </w:r>
      <w:r>
        <w:rPr>
          <w:rFonts w:hint="eastAsia"/>
        </w:rPr>
        <w:t>2004</w:t>
      </w:r>
      <w:r>
        <w:rPr>
          <w:rFonts w:hint="eastAsia"/>
        </w:rPr>
        <w:t>年</w:t>
      </w:r>
      <w:r>
        <w:rPr>
          <w:rFonts w:hint="eastAsia"/>
        </w:rPr>
        <w:t>5</w:t>
      </w:r>
      <w:r>
        <w:rPr>
          <w:rFonts w:hint="eastAsia"/>
        </w:rPr>
        <w:t>月生效，特别进一步规范了父母子女关系；该法也将社会工作中心的决定权移交法院。按照目前的安排，分居或离婚的父母能够决定让子女与其一方生活，或者是部分子女由父母一方照料和抚养，部分子女则由父母另一方照料和抚养。父母也可商定由双方共同照料和抚养子女（共同监护）。父母可以仅经双方同意即做出共同监护的决定；如果父母无法达成一致意见，则由法院做出裁定，法院不得判定由父母双方抚养子女，它只能判定由父母一方照料和抚养所有子女，或者将部分子女交由父母一方抚养，其余子女则由另一方抚养，或者委托一个第三方来抚养。该修正案进一步详细规定了儿童与父母双方联系的权利，如果父母分居的话；此外，修正案明确规定了子女与其他与家庭有关系并与其有密切的个人联结纽带的人保持联系的权利。该修正案也规范了父母权利的行使和儿童抚养问题。</w:t>
      </w:r>
      <w:r>
        <w:rPr>
          <w:rFonts w:hint="eastAsia"/>
        </w:rPr>
        <w:t xml:space="preserve"> </w:t>
      </w:r>
    </w:p>
    <w:p w:rsidR="001A7779" w:rsidRDefault="001A7779">
      <w:pPr>
        <w:tabs>
          <w:tab w:val="left" w:pos="630"/>
        </w:tabs>
        <w:spacing w:after="240" w:line="360" w:lineRule="exact"/>
      </w:pPr>
      <w:r>
        <w:t>186.</w:t>
      </w:r>
      <w:r>
        <w:tab/>
      </w:r>
      <w:r>
        <w:rPr>
          <w:rFonts w:hint="eastAsia"/>
        </w:rPr>
        <w:t>经</w:t>
      </w:r>
      <w:r>
        <w:rPr>
          <w:rFonts w:hint="eastAsia"/>
        </w:rPr>
        <w:t>2004</w:t>
      </w:r>
      <w:r>
        <w:rPr>
          <w:rFonts w:hint="eastAsia"/>
        </w:rPr>
        <w:t>年修正《刑法典》，对逃避支付抚养费的犯法行为做出修正和补充（第</w:t>
      </w:r>
      <w:r>
        <w:rPr>
          <w:rFonts w:hint="eastAsia"/>
        </w:rPr>
        <w:t>203</w:t>
      </w:r>
      <w:r>
        <w:rPr>
          <w:rFonts w:hint="eastAsia"/>
        </w:rPr>
        <w:t>条）。该修正条款一经生效，对“逃避”支付抚养费行为就无须加以举证；不支付本身就足以说明问题，无论责任人有能力支付与否。如果逃避支付抚养费危及受益人的生存或者是责任人逃避支付抚养费，则罪加一等并加重处罚，可被判处最多三年的监禁。</w:t>
      </w:r>
      <w:r>
        <w:t xml:space="preserve"> </w:t>
      </w:r>
    </w:p>
    <w:p w:rsidR="001A7779" w:rsidRDefault="001A7779">
      <w:pPr>
        <w:tabs>
          <w:tab w:val="left" w:pos="630"/>
        </w:tabs>
        <w:spacing w:after="240" w:line="360" w:lineRule="exact"/>
      </w:pPr>
      <w:r>
        <w:t>187.</w:t>
      </w:r>
      <w:r>
        <w:tab/>
      </w:r>
      <w:r>
        <w:rPr>
          <w:rFonts w:hint="eastAsia"/>
        </w:rPr>
        <w:t>2005</w:t>
      </w:r>
      <w:r>
        <w:rPr>
          <w:rFonts w:hint="eastAsia"/>
        </w:rPr>
        <w:t>年</w:t>
      </w:r>
      <w:r>
        <w:rPr>
          <w:rFonts w:hint="eastAsia"/>
        </w:rPr>
        <w:t>7</w:t>
      </w:r>
      <w:r>
        <w:rPr>
          <w:rFonts w:hint="eastAsia"/>
        </w:rPr>
        <w:t>月，通过了《同性伙伴关系登记法》；该法明确规定了登记同性伙伴关系的程序和条件、登记的法律后果、终止此种关系的方法和终止登记同性伙伴关系后伴侣之间的关系。通过登记伙伴关系伴侣双方享有维持生活和抚养的权利、拥有共同财产和调整伙伴关系存续期间财产关系的权利、住房权、继承已故伴侣的一部分共同财产的权利，和获得有关生病伴侣健康状况的信息以及前往保健机构探视他或她的权利。该法并未同《婚姻和家庭关系法》就异性伴侣所作规定一样来规范同性伴侣的关系和权利。《同性伙伴关系登记法》不允许伴侣收养子女。它也限制财产继承权利，即伴侣有权继承一部分共同财产（在关系存续期间劳动所获财产），但无权继承伴侣另一方的其他财产。</w:t>
      </w:r>
    </w:p>
    <w:p w:rsidR="001A7779" w:rsidRDefault="001A7779">
      <w:pPr>
        <w:tabs>
          <w:tab w:val="left" w:pos="630"/>
        </w:tabs>
        <w:spacing w:after="240" w:line="360" w:lineRule="exact"/>
      </w:pPr>
      <w:r>
        <w:t>188.</w:t>
      </w:r>
      <w:r>
        <w:tab/>
      </w:r>
      <w:r>
        <w:rPr>
          <w:rFonts w:hint="eastAsia"/>
        </w:rPr>
        <w:t>斯洛文尼亚的家庭生活领域在社会人口方面与欧洲其他国家有着相似之处并与之共同发展。在已婚夫妇及其子女的“传统的”家庭之外，单亲家庭、重建或重组家庭、同居和同性伙伴关系数量日益增多。</w:t>
      </w:r>
    </w:p>
    <w:p w:rsidR="001A7779" w:rsidRDefault="001A7779">
      <w:pPr>
        <w:tabs>
          <w:tab w:val="left" w:pos="630"/>
        </w:tabs>
        <w:spacing w:after="240" w:line="360" w:lineRule="exact"/>
      </w:pPr>
      <w:r>
        <w:t>189.</w:t>
      </w:r>
      <w:r>
        <w:tab/>
      </w:r>
      <w:r>
        <w:rPr>
          <w:rFonts w:hint="eastAsia"/>
        </w:rPr>
        <w:t>《</w:t>
      </w:r>
      <w:r>
        <w:rPr>
          <w:rFonts w:hint="eastAsia"/>
        </w:rPr>
        <w:t>2002</w:t>
      </w:r>
      <w:r>
        <w:rPr>
          <w:rFonts w:hint="eastAsia"/>
        </w:rPr>
        <w:t>年人口共识》显示斯洛文尼亚有</w:t>
      </w:r>
      <w:r>
        <w:t xml:space="preserve">555 945 </w:t>
      </w:r>
      <w:r>
        <w:rPr>
          <w:rFonts w:hint="eastAsia"/>
        </w:rPr>
        <w:t>个家庭，表明与</w:t>
      </w:r>
      <w:r>
        <w:rPr>
          <w:rFonts w:hint="eastAsia"/>
        </w:rPr>
        <w:t>1991</w:t>
      </w:r>
      <w:r>
        <w:rPr>
          <w:rFonts w:hint="eastAsia"/>
        </w:rPr>
        <w:t>年相比增加了</w:t>
      </w:r>
      <w:r>
        <w:t>12 000</w:t>
      </w:r>
      <w:r>
        <w:rPr>
          <w:rFonts w:hint="eastAsia"/>
        </w:rPr>
        <w:t>个家庭（</w:t>
      </w:r>
      <w:r>
        <w:t>2.2</w:t>
      </w:r>
      <w:r>
        <w:rPr>
          <w:rFonts w:hint="eastAsia"/>
        </w:rPr>
        <w:t>%</w:t>
      </w:r>
      <w:r>
        <w:rPr>
          <w:rFonts w:hint="eastAsia"/>
        </w:rPr>
        <w:t>）。单亲家庭几乎占家庭总数的五分之一，</w:t>
      </w:r>
      <w:r>
        <w:t xml:space="preserve"> </w:t>
      </w:r>
      <w:r>
        <w:rPr>
          <w:rFonts w:hint="eastAsia"/>
        </w:rPr>
        <w:t>主要是单身母亲家庭，占所有单亲家庭的</w:t>
      </w:r>
      <w:r>
        <w:rPr>
          <w:rFonts w:hint="eastAsia"/>
        </w:rPr>
        <w:t>86%</w:t>
      </w:r>
      <w:r>
        <w:rPr>
          <w:rFonts w:hint="eastAsia"/>
        </w:rPr>
        <w:t>。在《</w:t>
      </w:r>
      <w:r>
        <w:rPr>
          <w:rFonts w:hint="eastAsia"/>
        </w:rPr>
        <w:t>2002</w:t>
      </w:r>
      <w:r>
        <w:rPr>
          <w:rFonts w:hint="eastAsia"/>
        </w:rPr>
        <w:t>年人口共识》中，</w:t>
      </w:r>
      <w:r>
        <w:rPr>
          <w:rFonts w:hint="eastAsia"/>
        </w:rPr>
        <w:t>23%</w:t>
      </w:r>
      <w:r>
        <w:rPr>
          <w:rFonts w:hint="eastAsia"/>
        </w:rPr>
        <w:t>的家庭没有子女，平均家庭成员为</w:t>
      </w:r>
      <w:r>
        <w:t>3.1</w:t>
      </w:r>
      <w:r>
        <w:rPr>
          <w:rFonts w:hint="eastAsia"/>
        </w:rPr>
        <w:t>人，家庭所覆盖的人口占斯洛文尼亚人口的</w:t>
      </w:r>
      <w:r>
        <w:t>86.7</w:t>
      </w:r>
      <w:r>
        <w:rPr>
          <w:rFonts w:hint="eastAsia"/>
        </w:rPr>
        <w:t>%</w:t>
      </w:r>
      <w:r>
        <w:rPr>
          <w:rFonts w:hint="eastAsia"/>
        </w:rPr>
        <w:t>。主要家庭类型是由已婚夫妇及其子女组成的核心家庭（</w:t>
      </w:r>
      <w:r>
        <w:t>53%</w:t>
      </w:r>
      <w:r>
        <w:rPr>
          <w:rFonts w:hint="eastAsia"/>
        </w:rPr>
        <w:t>）；夫妇及其子女共同生活的家庭占</w:t>
      </w:r>
      <w:r>
        <w:t>5.3%</w:t>
      </w:r>
      <w:r>
        <w:rPr>
          <w:rFonts w:hint="eastAsia"/>
        </w:rPr>
        <w:t>。</w:t>
      </w:r>
      <w:r>
        <w:rPr>
          <w:rStyle w:val="FootnoteReference"/>
          <w:szCs w:val="24"/>
        </w:rPr>
        <w:footnoteReference w:id="79"/>
      </w:r>
    </w:p>
    <w:p w:rsidR="001A7779" w:rsidRDefault="001A7779">
      <w:pPr>
        <w:tabs>
          <w:tab w:val="left" w:pos="630"/>
        </w:tabs>
        <w:spacing w:after="240" w:line="360" w:lineRule="exact"/>
      </w:pPr>
      <w:r>
        <w:t>190.</w:t>
      </w:r>
      <w:r>
        <w:tab/>
      </w:r>
      <w:r>
        <w:rPr>
          <w:rFonts w:hint="eastAsia"/>
        </w:rPr>
        <w:t>在斯洛文尼亚，非婚生子女人数不断增加；</w:t>
      </w:r>
      <w:r>
        <w:rPr>
          <w:rFonts w:hint="eastAsia"/>
        </w:rPr>
        <w:t>2004</w:t>
      </w:r>
      <w:r>
        <w:rPr>
          <w:rFonts w:hint="eastAsia"/>
        </w:rPr>
        <w:t>年非婚生子女人数占出生儿童总数的</w:t>
      </w:r>
      <w:r>
        <w:t>44.8%</w:t>
      </w:r>
      <w:r>
        <w:rPr>
          <w:rFonts w:hint="eastAsia"/>
        </w:rPr>
        <w:t>。离婚人数也日益增多。</w:t>
      </w:r>
      <w:r>
        <w:rPr>
          <w:rFonts w:hint="eastAsia"/>
        </w:rPr>
        <w:t>2004</w:t>
      </w:r>
      <w:r>
        <w:rPr>
          <w:rFonts w:hint="eastAsia"/>
        </w:rPr>
        <w:t>年，斯洛文尼亚平均每三个婚姻就有一个以离婚而告终。近几年来，大约</w:t>
      </w:r>
      <w:r>
        <w:rPr>
          <w:rFonts w:hint="eastAsia"/>
        </w:rPr>
        <w:t>60%</w:t>
      </w:r>
      <w:r>
        <w:rPr>
          <w:rFonts w:hint="eastAsia"/>
        </w:rPr>
        <w:t>的离婚夫妇有需要抚养的子女。大多数情况是由母亲照料和抚养子女，不过近来共同照料和抚养的子女人数也在不断增多。</w:t>
      </w:r>
      <w:r>
        <w:rPr>
          <w:rFonts w:hint="eastAsia"/>
        </w:rPr>
        <w:t>2003</w:t>
      </w:r>
      <w:r>
        <w:rPr>
          <w:rFonts w:hint="eastAsia"/>
        </w:rPr>
        <w:t>年，</w:t>
      </w:r>
      <w:r>
        <w:rPr>
          <w:rFonts w:hint="eastAsia"/>
        </w:rPr>
        <w:t>7%</w:t>
      </w:r>
      <w:r>
        <w:rPr>
          <w:rFonts w:hint="eastAsia"/>
        </w:rPr>
        <w:t>的离婚夫妇的抚养子女是由父亲一方照料和抚养。</w:t>
      </w:r>
      <w:r>
        <w:rPr>
          <w:rStyle w:val="FootnoteReference"/>
          <w:szCs w:val="24"/>
        </w:rPr>
        <w:footnoteReference w:id="80"/>
      </w:r>
    </w:p>
    <w:p w:rsidR="001A7779" w:rsidRDefault="001A7779">
      <w:pPr>
        <w:tabs>
          <w:tab w:val="left" w:pos="630"/>
        </w:tabs>
        <w:spacing w:after="240" w:line="360" w:lineRule="exact"/>
        <w:rPr>
          <w:rStyle w:val="tw4winMark"/>
          <w:b/>
          <w:bCs/>
          <w:vanish w:val="0"/>
          <w:sz w:val="21"/>
        </w:rPr>
      </w:pPr>
      <w:r>
        <w:t>191.</w:t>
      </w:r>
      <w:r>
        <w:tab/>
      </w:r>
      <w:r>
        <w:rPr>
          <w:rFonts w:hint="eastAsia"/>
        </w:rPr>
        <w:t>大多数情况下，抚养费是根据父母在社会工作中心达成的双方协议（</w:t>
      </w:r>
      <w:r>
        <w:rPr>
          <w:rFonts w:hint="eastAsia"/>
        </w:rPr>
        <w:t>54%</w:t>
      </w:r>
      <w:r>
        <w:rPr>
          <w:rFonts w:hint="eastAsia"/>
        </w:rPr>
        <w:t>）和抚养费判决（</w:t>
      </w:r>
      <w:r>
        <w:rPr>
          <w:rFonts w:hint="eastAsia"/>
        </w:rPr>
        <w:t>41%</w:t>
      </w:r>
      <w:r>
        <w:rPr>
          <w:rFonts w:hint="eastAsia"/>
        </w:rPr>
        <w:t>）来确定的，只有一小部分根据法庭和解来确定（</w:t>
      </w:r>
      <w:r>
        <w:rPr>
          <w:rFonts w:hint="eastAsia"/>
        </w:rPr>
        <w:t>5%</w:t>
      </w:r>
      <w:r>
        <w:rPr>
          <w:rFonts w:hint="eastAsia"/>
        </w:rPr>
        <w:t>）。抚养费领受人大多是子女的母亲（占案例的</w:t>
      </w:r>
      <w:r>
        <w:rPr>
          <w:rFonts w:hint="eastAsia"/>
        </w:rPr>
        <w:t>75%</w:t>
      </w:r>
      <w:r>
        <w:rPr>
          <w:rFonts w:hint="eastAsia"/>
        </w:rPr>
        <w:t>）和子女本人（占案例的</w:t>
      </w:r>
      <w:r>
        <w:rPr>
          <w:rFonts w:hint="eastAsia"/>
        </w:rPr>
        <w:t>21%</w:t>
      </w:r>
      <w:r>
        <w:rPr>
          <w:rFonts w:hint="eastAsia"/>
        </w:rPr>
        <w:t>）。在</w:t>
      </w:r>
      <w:r>
        <w:rPr>
          <w:rFonts w:hint="eastAsia"/>
        </w:rPr>
        <w:t>93%</w:t>
      </w:r>
      <w:r>
        <w:rPr>
          <w:rFonts w:hint="eastAsia"/>
        </w:rPr>
        <w:t>的案例中，应支付抚养费的人是子女的父亲。</w:t>
      </w:r>
      <w:r>
        <w:rPr>
          <w:rStyle w:val="FootnoteReference"/>
          <w:szCs w:val="24"/>
        </w:rPr>
        <w:footnoteReference w:id="81"/>
      </w:r>
    </w:p>
    <w:p w:rsidR="001A7779" w:rsidRDefault="001A7779">
      <w:pPr>
        <w:tabs>
          <w:tab w:val="left" w:pos="630"/>
        </w:tabs>
        <w:spacing w:after="240" w:line="360" w:lineRule="exact"/>
      </w:pPr>
    </w:p>
    <w:p w:rsidR="001A7779" w:rsidRDefault="001A7779">
      <w:pPr>
        <w:pStyle w:val="HCh"/>
        <w:jc w:val="center"/>
      </w:pPr>
      <w:r>
        <w:br w:type="page"/>
      </w:r>
      <w:r>
        <w:rPr>
          <w:rFonts w:hint="eastAsia"/>
        </w:rPr>
        <w:t>附录</w:t>
      </w:r>
      <w:r>
        <w:t xml:space="preserve"> 1 </w:t>
      </w:r>
      <w:r>
        <w:rPr>
          <w:rFonts w:hint="eastAsia"/>
        </w:rPr>
        <w:t>法律参考文件</w:t>
      </w:r>
    </w:p>
    <w:p w:rsidR="001A7779" w:rsidRDefault="001A7779" w:rsidP="001A7779">
      <w:pPr>
        <w:numPr>
          <w:ilvl w:val="0"/>
          <w:numId w:val="9"/>
        </w:numPr>
        <w:tabs>
          <w:tab w:val="num" w:leader="none" w:pos="420"/>
        </w:tabs>
        <w:spacing w:after="240" w:line="340" w:lineRule="exact"/>
      </w:pPr>
      <w:r>
        <w:rPr>
          <w:rFonts w:hint="eastAsia"/>
        </w:rPr>
        <w:t>《斯洛文尼亚共和国宪法》，第</w:t>
      </w:r>
      <w:r>
        <w:t>33/91</w:t>
      </w:r>
      <w:r>
        <w:rPr>
          <w:rFonts w:hint="eastAsia"/>
        </w:rPr>
        <w:t>、</w:t>
      </w:r>
      <w:r>
        <w:t>42/97</w:t>
      </w:r>
      <w:r>
        <w:rPr>
          <w:rFonts w:hint="eastAsia"/>
        </w:rPr>
        <w:t>、</w:t>
      </w:r>
      <w:r>
        <w:t>66/00</w:t>
      </w:r>
      <w:r>
        <w:rPr>
          <w:rFonts w:hint="eastAsia"/>
        </w:rPr>
        <w:t>、</w:t>
      </w:r>
      <w:r>
        <w:t>24/03</w:t>
      </w:r>
      <w:r>
        <w:rPr>
          <w:rFonts w:hint="eastAsia"/>
        </w:rPr>
        <w:t>、</w:t>
      </w:r>
      <w:r>
        <w:t>69/04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《实施平等待遇原则法案》，第</w:t>
      </w:r>
      <w:r>
        <w:t>50/04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《男女平等机会法》，第</w:t>
      </w:r>
      <w:r>
        <w:t>59/02</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《政党法》，第</w:t>
      </w:r>
      <w:r>
        <w:rPr>
          <w:color w:val="000000"/>
        </w:rPr>
        <w:t>62/94</w:t>
      </w:r>
      <w:r>
        <w:rPr>
          <w:rFonts w:hint="eastAsia"/>
          <w:color w:val="000000"/>
        </w:rPr>
        <w:t>、</w:t>
      </w:r>
      <w:r>
        <w:rPr>
          <w:color w:val="000000"/>
        </w:rPr>
        <w:t xml:space="preserve"> 13/98</w:t>
      </w:r>
      <w:r>
        <w:rPr>
          <w:rFonts w:hint="eastAsia"/>
        </w:rPr>
        <w:t>号《斯洛文尼亚共和国官方公报》</w:t>
      </w:r>
      <w:r>
        <w:rPr>
          <w:color w:val="000000"/>
        </w:rPr>
        <w:t>–</w:t>
      </w:r>
      <w:r>
        <w:rPr>
          <w:rFonts w:hint="eastAsia"/>
          <w:color w:val="000000"/>
        </w:rPr>
        <w:t xml:space="preserve"> </w:t>
      </w:r>
      <w:r>
        <w:rPr>
          <w:color w:val="000000"/>
        </w:rPr>
        <w:t>CC</w:t>
      </w:r>
      <w:r>
        <w:rPr>
          <w:rFonts w:hint="eastAsia"/>
          <w:color w:val="000000"/>
        </w:rPr>
        <w:t>决定</w:t>
      </w:r>
      <w:r>
        <w:rPr>
          <w:color w:val="000000"/>
        </w:rPr>
        <w:t>，</w:t>
      </w:r>
      <w:r>
        <w:rPr>
          <w:color w:val="000000"/>
        </w:rPr>
        <w:t>24-1127/1999 –CC</w:t>
      </w:r>
      <w:r>
        <w:rPr>
          <w:rFonts w:hint="eastAsia"/>
          <w:color w:val="000000"/>
        </w:rPr>
        <w:t>决定</w:t>
      </w:r>
      <w:r>
        <w:rPr>
          <w:color w:val="000000"/>
        </w:rPr>
        <w:t>，</w:t>
      </w:r>
      <w:r>
        <w:rPr>
          <w:color w:val="000000"/>
        </w:rPr>
        <w:t>70/2000</w:t>
      </w:r>
      <w:r>
        <w:rPr>
          <w:rFonts w:hint="eastAsia"/>
          <w:color w:val="000000"/>
        </w:rPr>
        <w:t>、</w:t>
      </w:r>
      <w:r>
        <w:rPr>
          <w:color w:val="000000"/>
        </w:rPr>
        <w:t>51/2002</w:t>
      </w:r>
      <w:r>
        <w:rPr>
          <w:rFonts w:hint="eastAsia"/>
          <w:color w:val="000000"/>
        </w:rPr>
        <w:t>、</w:t>
      </w:r>
      <w:r>
        <w:rPr>
          <w:color w:val="000000"/>
        </w:rPr>
        <w:t>94-4708/2002 –CC</w:t>
      </w:r>
      <w:r>
        <w:rPr>
          <w:rFonts w:hint="eastAsia"/>
          <w:color w:val="000000"/>
        </w:rPr>
        <w:t>决定。</w:t>
      </w:r>
    </w:p>
    <w:p w:rsidR="001A7779" w:rsidRDefault="001A7779" w:rsidP="001A7779">
      <w:pPr>
        <w:numPr>
          <w:ilvl w:val="0"/>
          <w:numId w:val="9"/>
        </w:numPr>
        <w:tabs>
          <w:tab w:val="num" w:leader="none" w:pos="420"/>
        </w:tabs>
        <w:spacing w:after="240" w:line="340" w:lineRule="exact"/>
      </w:pPr>
      <w:r>
        <w:rPr>
          <w:rFonts w:hint="eastAsia"/>
        </w:rPr>
        <w:t>《选举欧洲议会斯洛文尼亚议员法案》——正式合并文本，第</w:t>
      </w:r>
      <w:r>
        <w:rPr>
          <w:color w:val="000000"/>
        </w:rPr>
        <w:t>40/2004</w:t>
      </w:r>
      <w:r>
        <w:rPr>
          <w:rFonts w:hint="eastAsia"/>
        </w:rPr>
        <w:t>号《斯洛文尼亚共和国官方公报》</w:t>
      </w:r>
      <w:r>
        <w:rPr>
          <w:rFonts w:hint="eastAsia"/>
          <w:color w:val="000000"/>
        </w:rPr>
        <w:t>。</w:t>
      </w:r>
    </w:p>
    <w:p w:rsidR="001A7779" w:rsidRDefault="001A7779" w:rsidP="001A7779">
      <w:pPr>
        <w:numPr>
          <w:ilvl w:val="0"/>
          <w:numId w:val="9"/>
        </w:numPr>
        <w:tabs>
          <w:tab w:val="num" w:leader="none" w:pos="420"/>
        </w:tabs>
        <w:spacing w:after="240" w:line="340" w:lineRule="exact"/>
      </w:pPr>
      <w:r>
        <w:rPr>
          <w:rFonts w:hint="eastAsia"/>
        </w:rPr>
        <w:t>《地方选举党派法》，第</w:t>
      </w:r>
      <w:r>
        <w:t>72/93</w:t>
      </w:r>
      <w:r>
        <w:rPr>
          <w:rFonts w:hint="eastAsia"/>
        </w:rPr>
        <w:t>、</w:t>
      </w:r>
      <w:r>
        <w:t>7/94</w:t>
      </w:r>
      <w:r>
        <w:rPr>
          <w:rFonts w:hint="eastAsia"/>
        </w:rPr>
        <w:t>、</w:t>
      </w:r>
      <w:r>
        <w:t>33/94</w:t>
      </w:r>
      <w:r>
        <w:rPr>
          <w:rFonts w:hint="eastAsia"/>
        </w:rPr>
        <w:t>、</w:t>
      </w:r>
      <w:r>
        <w:t>61/95</w:t>
      </w:r>
      <w:r>
        <w:rPr>
          <w:rFonts w:hint="eastAsia"/>
        </w:rPr>
        <w:t>号《斯洛文尼亚共和国官方公报》</w:t>
      </w:r>
      <w:r>
        <w:t>–</w:t>
      </w:r>
      <w:r>
        <w:rPr>
          <w:color w:val="000000"/>
        </w:rPr>
        <w:t>CC</w:t>
      </w:r>
      <w:r>
        <w:rPr>
          <w:rFonts w:hint="eastAsia"/>
          <w:color w:val="000000"/>
        </w:rPr>
        <w:t>决定</w:t>
      </w:r>
      <w:r>
        <w:rPr>
          <w:rFonts w:hint="eastAsia"/>
        </w:rPr>
        <w:t>，</w:t>
      </w:r>
      <w:r>
        <w:t>70/95</w:t>
      </w:r>
      <w:r>
        <w:rPr>
          <w:rFonts w:hint="eastAsia"/>
        </w:rPr>
        <w:t>、</w:t>
      </w:r>
      <w:r>
        <w:t>20/98 –</w:t>
      </w:r>
      <w:r>
        <w:rPr>
          <w:color w:val="000000"/>
        </w:rPr>
        <w:t>CC</w:t>
      </w:r>
      <w:r>
        <w:rPr>
          <w:rFonts w:hint="eastAsia"/>
          <w:color w:val="000000"/>
        </w:rPr>
        <w:t>决定</w:t>
      </w:r>
      <w:r>
        <w:rPr>
          <w:rFonts w:hint="eastAsia"/>
        </w:rPr>
        <w:t>，</w:t>
      </w:r>
      <w:r>
        <w:t>51/02</w:t>
      </w:r>
      <w:r>
        <w:rPr>
          <w:rFonts w:hint="eastAsia"/>
        </w:rPr>
        <w:t>、</w:t>
      </w:r>
      <w:r>
        <w:t>11/03 –</w:t>
      </w:r>
      <w:r>
        <w:rPr>
          <w:color w:val="000000"/>
        </w:rPr>
        <w:t>CC</w:t>
      </w:r>
      <w:r>
        <w:rPr>
          <w:rFonts w:hint="eastAsia"/>
          <w:color w:val="000000"/>
        </w:rPr>
        <w:t>决定</w:t>
      </w:r>
      <w:r>
        <w:t>，</w:t>
      </w:r>
      <w:r>
        <w:t>73/03 –</w:t>
      </w:r>
      <w:r>
        <w:rPr>
          <w:color w:val="000000"/>
        </w:rPr>
        <w:t>CC</w:t>
      </w:r>
      <w:r>
        <w:rPr>
          <w:rFonts w:hint="eastAsia"/>
          <w:color w:val="000000"/>
        </w:rPr>
        <w:t>决定</w:t>
      </w:r>
      <w:r>
        <w:t>，</w:t>
      </w:r>
      <w:r>
        <w:t>72/05</w:t>
      </w:r>
      <w:r>
        <w:rPr>
          <w:rFonts w:hint="eastAsia"/>
        </w:rPr>
        <w:t>。</w:t>
      </w:r>
    </w:p>
    <w:p w:rsidR="001A7779" w:rsidRDefault="001A7779" w:rsidP="001A7779">
      <w:pPr>
        <w:numPr>
          <w:ilvl w:val="0"/>
          <w:numId w:val="9"/>
        </w:numPr>
        <w:tabs>
          <w:tab w:val="num" w:leader="none" w:pos="420"/>
        </w:tabs>
        <w:spacing w:after="240" w:line="340" w:lineRule="exact"/>
      </w:pPr>
      <w:r>
        <w:rPr>
          <w:rFonts w:hint="eastAsia"/>
        </w:rPr>
        <w:t>《刑法典》</w:t>
      </w:r>
      <w:r>
        <w:t>–</w:t>
      </w:r>
      <w:r>
        <w:rPr>
          <w:rFonts w:hint="eastAsia"/>
        </w:rPr>
        <w:t>正式合并文本，第</w:t>
      </w:r>
      <w:r>
        <w:t>95/04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《刑事诉讼法》</w:t>
      </w:r>
      <w:r>
        <w:t>–</w:t>
      </w:r>
      <w:r>
        <w:rPr>
          <w:rFonts w:hint="eastAsia"/>
        </w:rPr>
        <w:t>正式合并文本，第</w:t>
      </w:r>
      <w:r>
        <w:t>96/04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《证人保护法》，第</w:t>
      </w:r>
      <w:r>
        <w:t>113/05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《警察法》</w:t>
      </w:r>
      <w:r>
        <w:t>–</w:t>
      </w:r>
      <w:r>
        <w:rPr>
          <w:rFonts w:hint="eastAsia"/>
        </w:rPr>
        <w:t>正式合并文本，第</w:t>
      </w:r>
      <w:r>
        <w:t>70/05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《危害公共秩序和治安罪法案》，第</w:t>
      </w:r>
      <w:r>
        <w:t>16/74</w:t>
      </w:r>
      <w:r>
        <w:rPr>
          <w:rFonts w:hint="eastAsia"/>
        </w:rPr>
        <w:t>、</w:t>
      </w:r>
      <w:r>
        <w:t>15/76</w:t>
      </w:r>
      <w:r>
        <w:rPr>
          <w:rFonts w:hint="eastAsia"/>
        </w:rPr>
        <w:t>号《斯洛文尼亚共和国官方公报》</w:t>
      </w:r>
      <w:r>
        <w:t>– ZVPH</w:t>
      </w:r>
      <w:r>
        <w:rPr>
          <w:rFonts w:hint="eastAsia"/>
        </w:rPr>
        <w:t>，</w:t>
      </w:r>
      <w:r>
        <w:t>42/86</w:t>
      </w:r>
      <w:r>
        <w:rPr>
          <w:rFonts w:hint="eastAsia"/>
        </w:rPr>
        <w:t>，第</w:t>
      </w:r>
      <w:r>
        <w:t>8/90</w:t>
      </w:r>
      <w:r>
        <w:rPr>
          <w:rFonts w:hint="eastAsia"/>
        </w:rPr>
        <w:t>号《斯洛文尼亚共和国官方公报》</w:t>
      </w:r>
      <w:r>
        <w:t>– ZSDZ</w:t>
      </w:r>
      <w:r>
        <w:t>，</w:t>
      </w:r>
      <w:r>
        <w:t>67/94 – ZGSH</w:t>
      </w:r>
      <w:r>
        <w:t>，</w:t>
      </w:r>
      <w:r>
        <w:t>29/95 – ZPDF</w:t>
      </w:r>
      <w:r>
        <w:t>，</w:t>
      </w:r>
      <w:r>
        <w:t xml:space="preserve">98/99 – ZZZiv </w:t>
      </w:r>
      <w:r>
        <w:rPr>
          <w:rFonts w:hint="eastAsia"/>
        </w:rPr>
        <w:t>和</w:t>
      </w:r>
      <w:r>
        <w:t xml:space="preserve"> 15/2003 – ZOPA</w:t>
      </w:r>
      <w:r>
        <w:rPr>
          <w:rFonts w:hint="eastAsia"/>
        </w:rPr>
        <w:t>。</w:t>
      </w:r>
    </w:p>
    <w:p w:rsidR="001A7779" w:rsidRDefault="001A7779" w:rsidP="001A7779">
      <w:pPr>
        <w:numPr>
          <w:ilvl w:val="0"/>
          <w:numId w:val="9"/>
        </w:numPr>
        <w:tabs>
          <w:tab w:val="num" w:leader="none" w:pos="420"/>
        </w:tabs>
        <w:spacing w:after="240" w:line="340" w:lineRule="exact"/>
      </w:pPr>
      <w:r>
        <w:rPr>
          <w:rFonts w:hint="eastAsia"/>
        </w:rPr>
        <w:t>《国家检察官法》，第</w:t>
      </w:r>
      <w:r>
        <w:t>63/94</w:t>
      </w:r>
      <w:r>
        <w:rPr>
          <w:rFonts w:hint="eastAsia"/>
        </w:rPr>
        <w:t>、</w:t>
      </w:r>
      <w:r>
        <w:t>59/99</w:t>
      </w:r>
      <w:r>
        <w:rPr>
          <w:rFonts w:hint="eastAsia"/>
        </w:rPr>
        <w:t>、</w:t>
      </w:r>
      <w:r>
        <w:t>110/02</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color w:val="000000"/>
        </w:rPr>
        <w:t>《</w:t>
      </w:r>
      <w:r>
        <w:rPr>
          <w:rFonts w:hint="eastAsia"/>
        </w:rPr>
        <w:t>斯洛文尼亚</w:t>
      </w:r>
      <w:r>
        <w:rPr>
          <w:rFonts w:hint="eastAsia"/>
          <w:color w:val="000000"/>
        </w:rPr>
        <w:t>共和国公民法》</w:t>
      </w:r>
      <w:r>
        <w:rPr>
          <w:color w:val="000000"/>
        </w:rPr>
        <w:t>–</w:t>
      </w:r>
      <w:r>
        <w:rPr>
          <w:rFonts w:hint="eastAsia"/>
          <w:color w:val="000000"/>
        </w:rPr>
        <w:t xml:space="preserve"> </w:t>
      </w:r>
      <w:r>
        <w:rPr>
          <w:rFonts w:hint="eastAsia"/>
        </w:rPr>
        <w:t>正式合并文本，第</w:t>
      </w:r>
      <w:r>
        <w:rPr>
          <w:color w:val="000000"/>
        </w:rPr>
        <w:t>7/03</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《雇用关系法》，第</w:t>
      </w:r>
      <w:r>
        <w:t>42/02</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《婚姻和家庭关系法》</w:t>
      </w:r>
      <w:r>
        <w:t>–</w:t>
      </w:r>
      <w:r>
        <w:rPr>
          <w:rFonts w:hint="eastAsia"/>
        </w:rPr>
        <w:t xml:space="preserve"> </w:t>
      </w:r>
      <w:r>
        <w:rPr>
          <w:rFonts w:hint="eastAsia"/>
        </w:rPr>
        <w:t>正式合并文本，第</w:t>
      </w:r>
      <w:r>
        <w:t>69/04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《斯洛文尼亚共和国公共保证和抚养基金法》</w:t>
      </w:r>
      <w:r>
        <w:t>–</w:t>
      </w:r>
      <w:r>
        <w:rPr>
          <w:rFonts w:hint="eastAsia"/>
        </w:rPr>
        <w:t>正式合并文本，第</w:t>
      </w:r>
      <w:r>
        <w:t>26/03</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《父母保护和家庭福利法》</w:t>
      </w:r>
      <w:r>
        <w:rPr>
          <w:color w:val="000000"/>
        </w:rPr>
        <w:t>–</w:t>
      </w:r>
      <w:r>
        <w:rPr>
          <w:rFonts w:hint="eastAsia"/>
          <w:color w:val="000000"/>
        </w:rPr>
        <w:t xml:space="preserve"> </w:t>
      </w:r>
      <w:r>
        <w:rPr>
          <w:rFonts w:hint="eastAsia"/>
        </w:rPr>
        <w:t>正式合并文本，第</w:t>
      </w:r>
      <w:r>
        <w:rPr>
          <w:color w:val="000000"/>
        </w:rPr>
        <w:t>76/03</w:t>
      </w:r>
      <w:r>
        <w:rPr>
          <w:rFonts w:hint="eastAsia"/>
        </w:rPr>
        <w:t>号《斯洛文尼亚共和国官方公报》</w:t>
      </w:r>
      <w:r>
        <w:rPr>
          <w:rFonts w:hint="eastAsia"/>
          <w:color w:val="000000"/>
        </w:rPr>
        <w:t>。</w:t>
      </w:r>
    </w:p>
    <w:p w:rsidR="001A7779" w:rsidRDefault="001A7779" w:rsidP="001A7779">
      <w:pPr>
        <w:numPr>
          <w:ilvl w:val="0"/>
          <w:numId w:val="9"/>
        </w:numPr>
        <w:tabs>
          <w:tab w:val="num" w:leader="none" w:pos="420"/>
        </w:tabs>
        <w:spacing w:after="240" w:line="340" w:lineRule="exact"/>
      </w:pPr>
      <w:r>
        <w:rPr>
          <w:rFonts w:hint="eastAsia"/>
        </w:rPr>
        <w:t>《教育组织和筹资法》</w:t>
      </w:r>
      <w:r>
        <w:t>–</w:t>
      </w:r>
      <w:r>
        <w:rPr>
          <w:rFonts w:hint="eastAsia"/>
        </w:rPr>
        <w:t xml:space="preserve"> </w:t>
      </w:r>
      <w:r>
        <w:rPr>
          <w:rFonts w:hint="eastAsia"/>
        </w:rPr>
        <w:t>正式合并文本，第</w:t>
      </w:r>
      <w:r>
        <w:t>14/03</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《养老金和残疾保险法》</w:t>
      </w:r>
      <w:r>
        <w:t>–</w:t>
      </w:r>
      <w:r>
        <w:rPr>
          <w:rFonts w:hint="eastAsia"/>
        </w:rPr>
        <w:t xml:space="preserve"> </w:t>
      </w:r>
      <w:r>
        <w:rPr>
          <w:rFonts w:hint="eastAsia"/>
        </w:rPr>
        <w:t>正式合并文本，第</w:t>
      </w:r>
      <w:r>
        <w:t>20/04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《保健和健康保险法》</w:t>
      </w:r>
      <w:r>
        <w:t>–</w:t>
      </w:r>
      <w:r>
        <w:rPr>
          <w:rFonts w:hint="eastAsia"/>
        </w:rPr>
        <w:t xml:space="preserve"> </w:t>
      </w:r>
      <w:r>
        <w:rPr>
          <w:rFonts w:hint="eastAsia"/>
        </w:rPr>
        <w:t>正式合并文本，第</w:t>
      </w:r>
      <w:r>
        <w:t>20/04</w:t>
      </w:r>
      <w:r>
        <w:rPr>
          <w:rFonts w:hint="eastAsia"/>
        </w:rPr>
        <w:t>、</w:t>
      </w:r>
      <w:r>
        <w:t>76/05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《不孕症治疗和生物医学辅助生育程序法》，第</w:t>
      </w:r>
      <w:r>
        <w:t>70/00</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《工作地点卫生与安全法》，第</w:t>
      </w:r>
      <w:r>
        <w:t>56/99</w:t>
      </w:r>
      <w:r>
        <w:rPr>
          <w:rFonts w:hint="eastAsia"/>
        </w:rPr>
        <w:t>、</w:t>
      </w:r>
      <w:r>
        <w:t>64/01</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《住房法》，第</w:t>
      </w:r>
      <w:r>
        <w:t>69/03</w:t>
      </w:r>
      <w:r>
        <w:rPr>
          <w:rFonts w:hint="eastAsia"/>
        </w:rPr>
        <w:t>、</w:t>
      </w:r>
      <w:r>
        <w:t>18/04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《残疾人职业康复和就业法》，第</w:t>
      </w:r>
      <w:r>
        <w:t>63/04</w:t>
      </w:r>
      <w:r>
        <w:rPr>
          <w:rFonts w:hint="eastAsia"/>
        </w:rPr>
        <w:t>、</w:t>
      </w:r>
      <w:r>
        <w:t>72/05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《同性伙伴关系登记法》，第</w:t>
      </w:r>
      <w:r>
        <w:t>65/05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《就业和失业保险法》，第</w:t>
      </w:r>
      <w:r>
        <w:t>5/91</w:t>
      </w:r>
      <w:r>
        <w:rPr>
          <w:rFonts w:hint="eastAsia"/>
        </w:rPr>
        <w:t>……</w:t>
      </w:r>
      <w:r>
        <w:t>63/04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《社会援助法》，第</w:t>
      </w:r>
      <w:r>
        <w:t>36/04</w:t>
      </w:r>
      <w:r>
        <w:rPr>
          <w:rFonts w:hint="eastAsia"/>
        </w:rPr>
        <w:t>、</w:t>
      </w:r>
      <w:r>
        <w:t>6/05</w:t>
      </w:r>
      <w:r>
        <w:rPr>
          <w:rFonts w:hint="eastAsia"/>
        </w:rPr>
        <w:t>、</w:t>
      </w:r>
      <w:r>
        <w:t>69/05</w:t>
      </w:r>
      <w:r>
        <w:rPr>
          <w:rFonts w:hint="eastAsia"/>
        </w:rPr>
        <w:t>号《斯洛文尼亚共和国官方公报》</w:t>
      </w:r>
      <w:r>
        <w:t>–CC</w:t>
      </w:r>
      <w:r>
        <w:rPr>
          <w:rFonts w:hint="eastAsia"/>
        </w:rPr>
        <w:t>决定。</w:t>
      </w:r>
    </w:p>
    <w:p w:rsidR="001A7779" w:rsidRDefault="001A7779" w:rsidP="001A7779">
      <w:pPr>
        <w:numPr>
          <w:ilvl w:val="0"/>
          <w:numId w:val="9"/>
        </w:numPr>
        <w:tabs>
          <w:tab w:val="num" w:leader="none" w:pos="420"/>
        </w:tabs>
        <w:spacing w:after="240" w:line="340" w:lineRule="exact"/>
      </w:pPr>
      <w:r>
        <w:rPr>
          <w:rFonts w:hint="eastAsia"/>
        </w:rPr>
        <w:t>《公务员法》</w:t>
      </w:r>
      <w:r>
        <w:t>–</w:t>
      </w:r>
      <w:r>
        <w:rPr>
          <w:rFonts w:hint="eastAsia"/>
        </w:rPr>
        <w:t xml:space="preserve"> </w:t>
      </w:r>
      <w:r>
        <w:rPr>
          <w:rFonts w:hint="eastAsia"/>
        </w:rPr>
        <w:t>正式合并文本，第</w:t>
      </w:r>
      <w:r>
        <w:t>35/05</w:t>
      </w:r>
      <w:r>
        <w:rPr>
          <w:rFonts w:hint="eastAsia"/>
        </w:rPr>
        <w:t>、</w:t>
      </w:r>
      <w:r>
        <w:t>62/05</w:t>
      </w:r>
      <w:r>
        <w:rPr>
          <w:rFonts w:hint="eastAsia"/>
        </w:rPr>
        <w:t>号《斯洛文尼亚共和国官方公报》</w:t>
      </w:r>
      <w:r>
        <w:t>–CC</w:t>
      </w:r>
      <w:r>
        <w:rPr>
          <w:rFonts w:hint="eastAsia"/>
        </w:rPr>
        <w:t>决定。</w:t>
      </w:r>
    </w:p>
    <w:p w:rsidR="001A7779" w:rsidRDefault="001A7779" w:rsidP="001A7779">
      <w:pPr>
        <w:numPr>
          <w:ilvl w:val="0"/>
          <w:numId w:val="9"/>
        </w:numPr>
        <w:tabs>
          <w:tab w:val="num" w:leader="none" w:pos="420"/>
        </w:tabs>
        <w:spacing w:after="240" w:line="340" w:lineRule="exact"/>
      </w:pPr>
      <w:r>
        <w:rPr>
          <w:rFonts w:hint="eastAsia"/>
        </w:rPr>
        <w:t>《修正公务员法法案》，第</w:t>
      </w:r>
      <w:r>
        <w:t>113/05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《外侨法》，第</w:t>
      </w:r>
      <w:r>
        <w:t>108/02</w:t>
      </w:r>
      <w:r>
        <w:rPr>
          <w:rFonts w:hint="eastAsia"/>
        </w:rPr>
        <w:t>号《斯洛文尼亚共和国官方公报》</w:t>
      </w:r>
      <w:r>
        <w:t>–</w:t>
      </w:r>
      <w:r>
        <w:rPr>
          <w:rFonts w:hint="eastAsia"/>
        </w:rPr>
        <w:t xml:space="preserve"> </w:t>
      </w:r>
      <w:r>
        <w:rPr>
          <w:rFonts w:hint="eastAsia"/>
        </w:rPr>
        <w:t>正式合并文本。</w:t>
      </w:r>
    </w:p>
    <w:p w:rsidR="001A7779" w:rsidRDefault="001A7779" w:rsidP="001A7779">
      <w:pPr>
        <w:numPr>
          <w:ilvl w:val="0"/>
          <w:numId w:val="9"/>
        </w:numPr>
        <w:tabs>
          <w:tab w:val="num" w:leader="none" w:pos="420"/>
        </w:tabs>
        <w:spacing w:after="240" w:line="340" w:lineRule="exact"/>
      </w:pPr>
      <w:r>
        <w:rPr>
          <w:rFonts w:hint="eastAsia"/>
        </w:rPr>
        <w:t>《地方自治法》，第</w:t>
      </w:r>
      <w:r>
        <w:t>72/93</w:t>
      </w:r>
      <w:r>
        <w:rPr>
          <w:rFonts w:hint="eastAsia"/>
        </w:rPr>
        <w:t>、……、</w:t>
      </w:r>
      <w:r>
        <w:t>72/05</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《批准消除对妇女一切形式歧视公约任择议定书法案》，第</w:t>
      </w:r>
      <w:r>
        <w:t>MP-15/04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《批准联合国打击跨国有组织犯罪公约法案》，第</w:t>
      </w:r>
      <w:r>
        <w:t>MP14/04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《批准</w:t>
      </w:r>
      <w:r>
        <w:t>联合国打击跨国有组织犯罪公约关于预防、禁止和惩治贩运人口特别是妇女和儿童行为的补充议定书</w:t>
      </w:r>
      <w:r>
        <w:rPr>
          <w:rFonts w:hint="eastAsia"/>
        </w:rPr>
        <w:t>法案》</w:t>
      </w:r>
      <w:r>
        <w:t>，</w:t>
      </w:r>
      <w:r>
        <w:rPr>
          <w:rFonts w:hint="eastAsia"/>
        </w:rPr>
        <w:t>第</w:t>
      </w:r>
      <w:r>
        <w:t>MP-15/04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《关于</w:t>
      </w:r>
      <w:r>
        <w:rPr>
          <w:rFonts w:hint="eastAsia"/>
        </w:rPr>
        <w:t>2010</w:t>
      </w:r>
      <w:r>
        <w:rPr>
          <w:rFonts w:hint="eastAsia"/>
        </w:rPr>
        <w:t>年前斯洛文尼亚共和国成人教育总计划的决议》，第</w:t>
      </w:r>
      <w:r>
        <w:t>70/2004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《关于工作地点安全与卫生国家方案的决议》，第</w:t>
      </w:r>
      <w:r>
        <w:t>126/03</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w:t>
      </w:r>
      <w:r>
        <w:rPr>
          <w:rFonts w:hint="eastAsia"/>
        </w:rPr>
        <w:t>2003-2005</w:t>
      </w:r>
      <w:r>
        <w:rPr>
          <w:rFonts w:hint="eastAsia"/>
        </w:rPr>
        <w:t>年期间社会契约》，第</w:t>
      </w:r>
      <w:r>
        <w:t>40/03</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《调整男女代表比例均衡原则实施标准法令》，第</w:t>
      </w:r>
      <w:r>
        <w:t>103/04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《关于禁止接近某一地点或某人的限制令的规则》，第</w:t>
      </w:r>
      <w:r>
        <w:t>95/04</w:t>
      </w:r>
      <w:r>
        <w:rPr>
          <w:rFonts w:hint="eastAsia"/>
        </w:rPr>
        <w:t>号《斯洛文尼亚共和国官方公报》。</w:t>
      </w:r>
    </w:p>
    <w:p w:rsidR="001A7779" w:rsidRDefault="001A7779" w:rsidP="001A7779">
      <w:pPr>
        <w:numPr>
          <w:ilvl w:val="0"/>
          <w:numId w:val="9"/>
        </w:numPr>
        <w:tabs>
          <w:tab w:val="num" w:leader="none" w:pos="420"/>
        </w:tabs>
        <w:spacing w:after="240" w:line="340" w:lineRule="exact"/>
      </w:pPr>
      <w:r>
        <w:rPr>
          <w:rFonts w:hint="eastAsia"/>
        </w:rPr>
        <w:t>《关于保护怀孕女工和产后不久及哺乳期女工在工作地点的健康的规则》，第</w:t>
      </w:r>
      <w:r>
        <w:t>82/03</w:t>
      </w:r>
      <w:r>
        <w:rPr>
          <w:rFonts w:hint="eastAsia"/>
        </w:rPr>
        <w:t>号《斯洛文尼亚共和国官方公报》。</w:t>
      </w:r>
    </w:p>
    <w:p w:rsidR="001A7779" w:rsidRDefault="001A7779" w:rsidP="001A7779">
      <w:pPr>
        <w:numPr>
          <w:ilvl w:val="0"/>
          <w:numId w:val="9"/>
        </w:numPr>
        <w:tabs>
          <w:tab w:val="num" w:leader="none" w:pos="420"/>
        </w:tabs>
        <w:spacing w:after="240" w:line="360" w:lineRule="exact"/>
      </w:pPr>
      <w:r>
        <w:rPr>
          <w:rFonts w:hint="eastAsia"/>
        </w:rPr>
        <w:t>《关于租借非营利住房的规则》，第</w:t>
      </w:r>
      <w:r>
        <w:t xml:space="preserve"> 14/04</w:t>
      </w:r>
      <w:r>
        <w:rPr>
          <w:rFonts w:hint="eastAsia"/>
        </w:rPr>
        <w:t>、</w:t>
      </w:r>
      <w:r>
        <w:t>34/04</w:t>
      </w:r>
      <w:r>
        <w:rPr>
          <w:rFonts w:hint="eastAsia"/>
        </w:rPr>
        <w:t>号《斯洛文尼亚共和国官方公报》。</w:t>
      </w:r>
    </w:p>
    <w:p w:rsidR="001A7779" w:rsidRDefault="001A7779">
      <w:pPr>
        <w:pStyle w:val="HCh"/>
        <w:jc w:val="center"/>
      </w:pPr>
      <w:r>
        <w:rPr>
          <w:rFonts w:hint="eastAsia"/>
        </w:rPr>
        <w:t>附录</w:t>
      </w:r>
      <w:r>
        <w:t xml:space="preserve"> 2</w:t>
      </w:r>
      <w:r>
        <w:rPr>
          <w:rFonts w:hint="eastAsia"/>
        </w:rPr>
        <w:t xml:space="preserve"> 统计数据</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w:t>
      </w:r>
      <w:r>
        <w:rPr>
          <w:rFonts w:ascii="SimHei" w:eastAsia="SimHei" w:hint="eastAsia"/>
          <w:color w:val="FF0000"/>
        </w:rPr>
        <w:t>2002、2003和2004年按性别分列的人口</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2"/>
        <w:gridCol w:w="2010"/>
        <w:gridCol w:w="2010"/>
        <w:gridCol w:w="2009"/>
        <w:gridCol w:w="2009"/>
      </w:tblGrid>
      <w:tr w:rsidR="001A7779">
        <w:tblPrEx>
          <w:tblCellMar>
            <w:top w:w="0" w:type="dxa"/>
            <w:bottom w:w="0" w:type="dxa"/>
          </w:tblCellMar>
        </w:tblPrEx>
        <w:tc>
          <w:tcPr>
            <w:tcW w:w="915" w:type="pct"/>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1021"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021"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男</w:t>
            </w:r>
          </w:p>
        </w:tc>
        <w:tc>
          <w:tcPr>
            <w:tcW w:w="1021"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1021"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妇女占总数</w:t>
            </w:r>
            <w:r>
              <w:rPr>
                <w:rFonts w:ascii="SimHei" w:eastAsia="SimHei"/>
                <w:color w:val="FF0000"/>
                <w:sz w:val="18"/>
              </w:rPr>
              <w:t>%</w:t>
            </w:r>
          </w:p>
        </w:tc>
      </w:tr>
      <w:tr w:rsidR="001A7779">
        <w:tblPrEx>
          <w:tblCellMar>
            <w:top w:w="0" w:type="dxa"/>
            <w:bottom w:w="0" w:type="dxa"/>
          </w:tblCellMar>
        </w:tblPrEx>
        <w:tc>
          <w:tcPr>
            <w:tcW w:w="915" w:type="pct"/>
          </w:tcPr>
          <w:p w:rsidR="001A7779" w:rsidRDefault="001A7779">
            <w:pPr>
              <w:pStyle w:val="a3"/>
              <w:tabs>
                <w:tab w:val="left" w:pos="630"/>
              </w:tabs>
              <w:adjustRightInd w:val="0"/>
              <w:spacing w:before="60" w:after="60" w:line="360" w:lineRule="exact"/>
              <w:textAlignment w:val="baseline"/>
              <w:rPr>
                <w:kern w:val="0"/>
                <w:szCs w:val="20"/>
              </w:rPr>
            </w:pPr>
            <w:r>
              <w:rPr>
                <w:kern w:val="0"/>
                <w:szCs w:val="20"/>
              </w:rPr>
              <w:t>2002</w:t>
            </w:r>
          </w:p>
        </w:tc>
        <w:tc>
          <w:tcPr>
            <w:tcW w:w="1021" w:type="pct"/>
          </w:tcPr>
          <w:p w:rsidR="001A7779" w:rsidRDefault="001A7779">
            <w:pPr>
              <w:pStyle w:val="a3"/>
              <w:tabs>
                <w:tab w:val="left" w:pos="630"/>
              </w:tabs>
              <w:adjustRightInd w:val="0"/>
              <w:spacing w:before="60" w:after="60" w:line="360" w:lineRule="exact"/>
              <w:jc w:val="center"/>
              <w:textAlignment w:val="baseline"/>
              <w:rPr>
                <w:kern w:val="0"/>
                <w:szCs w:val="20"/>
              </w:rPr>
            </w:pPr>
            <w:r>
              <w:rPr>
                <w:kern w:val="0"/>
                <w:szCs w:val="20"/>
              </w:rPr>
              <w:t>1 995 033</w:t>
            </w:r>
          </w:p>
        </w:tc>
        <w:tc>
          <w:tcPr>
            <w:tcW w:w="1021" w:type="pct"/>
          </w:tcPr>
          <w:p w:rsidR="001A7779" w:rsidRDefault="001A7779">
            <w:pPr>
              <w:tabs>
                <w:tab w:val="left" w:pos="630"/>
              </w:tabs>
              <w:spacing w:before="60" w:after="60" w:line="360" w:lineRule="exact"/>
              <w:jc w:val="center"/>
              <w:rPr>
                <w:sz w:val="18"/>
              </w:rPr>
            </w:pPr>
            <w:r>
              <w:rPr>
                <w:sz w:val="18"/>
              </w:rPr>
              <w:t>975 598</w:t>
            </w:r>
          </w:p>
        </w:tc>
        <w:tc>
          <w:tcPr>
            <w:tcW w:w="1021" w:type="pct"/>
          </w:tcPr>
          <w:p w:rsidR="001A7779" w:rsidRDefault="001A7779">
            <w:pPr>
              <w:tabs>
                <w:tab w:val="left" w:pos="630"/>
              </w:tabs>
              <w:spacing w:before="60" w:after="60" w:line="360" w:lineRule="exact"/>
              <w:jc w:val="center"/>
              <w:rPr>
                <w:sz w:val="18"/>
              </w:rPr>
            </w:pPr>
            <w:r>
              <w:rPr>
                <w:sz w:val="18"/>
              </w:rPr>
              <w:t>1 019 446</w:t>
            </w:r>
          </w:p>
        </w:tc>
        <w:tc>
          <w:tcPr>
            <w:tcW w:w="1021" w:type="pct"/>
          </w:tcPr>
          <w:p w:rsidR="001A7779" w:rsidRDefault="001A7779">
            <w:pPr>
              <w:tabs>
                <w:tab w:val="left" w:pos="630"/>
              </w:tabs>
              <w:spacing w:before="60" w:after="60" w:line="360" w:lineRule="exact"/>
              <w:jc w:val="center"/>
              <w:rPr>
                <w:sz w:val="18"/>
              </w:rPr>
            </w:pPr>
            <w:r>
              <w:rPr>
                <w:sz w:val="18"/>
              </w:rPr>
              <w:t>51.10</w:t>
            </w:r>
          </w:p>
        </w:tc>
      </w:tr>
      <w:tr w:rsidR="001A7779">
        <w:tblPrEx>
          <w:tblCellMar>
            <w:top w:w="0" w:type="dxa"/>
            <w:bottom w:w="0" w:type="dxa"/>
          </w:tblCellMar>
        </w:tblPrEx>
        <w:tc>
          <w:tcPr>
            <w:tcW w:w="915" w:type="pct"/>
          </w:tcPr>
          <w:p w:rsidR="001A7779" w:rsidRDefault="001A7779">
            <w:pPr>
              <w:tabs>
                <w:tab w:val="left" w:pos="630"/>
              </w:tabs>
              <w:spacing w:before="60" w:after="60" w:line="360" w:lineRule="exact"/>
              <w:rPr>
                <w:sz w:val="18"/>
              </w:rPr>
            </w:pPr>
            <w:r>
              <w:rPr>
                <w:sz w:val="18"/>
              </w:rPr>
              <w:t>2003</w:t>
            </w:r>
          </w:p>
        </w:tc>
        <w:tc>
          <w:tcPr>
            <w:tcW w:w="1021" w:type="pct"/>
          </w:tcPr>
          <w:p w:rsidR="001A7779" w:rsidRDefault="001A7779">
            <w:pPr>
              <w:tabs>
                <w:tab w:val="left" w:pos="630"/>
              </w:tabs>
              <w:spacing w:before="60" w:after="60" w:line="360" w:lineRule="exact"/>
              <w:jc w:val="center"/>
              <w:rPr>
                <w:sz w:val="18"/>
              </w:rPr>
            </w:pPr>
            <w:r>
              <w:rPr>
                <w:sz w:val="18"/>
              </w:rPr>
              <w:t>1 996 433</w:t>
            </w:r>
          </w:p>
        </w:tc>
        <w:tc>
          <w:tcPr>
            <w:tcW w:w="1021" w:type="pct"/>
          </w:tcPr>
          <w:p w:rsidR="001A7779" w:rsidRDefault="001A7779">
            <w:pPr>
              <w:tabs>
                <w:tab w:val="left" w:pos="630"/>
              </w:tabs>
              <w:spacing w:before="60" w:after="60" w:line="360" w:lineRule="exact"/>
              <w:jc w:val="center"/>
              <w:rPr>
                <w:sz w:val="18"/>
              </w:rPr>
            </w:pPr>
            <w:r>
              <w:rPr>
                <w:sz w:val="18"/>
              </w:rPr>
              <w:t>976 802</w:t>
            </w:r>
          </w:p>
        </w:tc>
        <w:tc>
          <w:tcPr>
            <w:tcW w:w="1021" w:type="pct"/>
          </w:tcPr>
          <w:p w:rsidR="001A7779" w:rsidRDefault="001A7779">
            <w:pPr>
              <w:tabs>
                <w:tab w:val="left" w:pos="630"/>
              </w:tabs>
              <w:spacing w:before="60" w:after="60" w:line="360" w:lineRule="exact"/>
              <w:jc w:val="center"/>
              <w:rPr>
                <w:sz w:val="18"/>
              </w:rPr>
            </w:pPr>
            <w:r>
              <w:rPr>
                <w:sz w:val="18"/>
              </w:rPr>
              <w:t>1 019 631</w:t>
            </w:r>
          </w:p>
        </w:tc>
        <w:tc>
          <w:tcPr>
            <w:tcW w:w="1021" w:type="pct"/>
          </w:tcPr>
          <w:p w:rsidR="001A7779" w:rsidRDefault="001A7779">
            <w:pPr>
              <w:tabs>
                <w:tab w:val="left" w:pos="630"/>
              </w:tabs>
              <w:spacing w:before="60" w:after="60" w:line="360" w:lineRule="exact"/>
              <w:jc w:val="center"/>
              <w:rPr>
                <w:sz w:val="18"/>
              </w:rPr>
            </w:pPr>
            <w:r>
              <w:rPr>
                <w:sz w:val="18"/>
              </w:rPr>
              <w:t>51.07</w:t>
            </w:r>
          </w:p>
        </w:tc>
      </w:tr>
      <w:tr w:rsidR="001A7779">
        <w:tblPrEx>
          <w:tblCellMar>
            <w:top w:w="0" w:type="dxa"/>
            <w:bottom w:w="0" w:type="dxa"/>
          </w:tblCellMar>
        </w:tblPrEx>
        <w:tc>
          <w:tcPr>
            <w:tcW w:w="915" w:type="pct"/>
          </w:tcPr>
          <w:p w:rsidR="001A7779" w:rsidRDefault="001A7779">
            <w:pPr>
              <w:tabs>
                <w:tab w:val="left" w:pos="630"/>
              </w:tabs>
              <w:spacing w:before="60" w:after="60" w:line="360" w:lineRule="exact"/>
              <w:rPr>
                <w:sz w:val="18"/>
              </w:rPr>
            </w:pPr>
            <w:r>
              <w:rPr>
                <w:sz w:val="18"/>
              </w:rPr>
              <w:t>2004</w:t>
            </w:r>
          </w:p>
        </w:tc>
        <w:tc>
          <w:tcPr>
            <w:tcW w:w="1021" w:type="pct"/>
          </w:tcPr>
          <w:p w:rsidR="001A7779" w:rsidRDefault="001A7779">
            <w:pPr>
              <w:tabs>
                <w:tab w:val="left" w:pos="630"/>
              </w:tabs>
              <w:spacing w:before="60" w:after="60" w:line="360" w:lineRule="exact"/>
              <w:jc w:val="center"/>
              <w:rPr>
                <w:sz w:val="18"/>
              </w:rPr>
            </w:pPr>
            <w:r>
              <w:rPr>
                <w:sz w:val="18"/>
              </w:rPr>
              <w:t>1 997 590</w:t>
            </w:r>
          </w:p>
        </w:tc>
        <w:tc>
          <w:tcPr>
            <w:tcW w:w="1021" w:type="pct"/>
          </w:tcPr>
          <w:p w:rsidR="001A7779" w:rsidRDefault="001A7779">
            <w:pPr>
              <w:tabs>
                <w:tab w:val="left" w:pos="630"/>
              </w:tabs>
              <w:spacing w:before="60" w:after="60" w:line="360" w:lineRule="exact"/>
              <w:jc w:val="center"/>
              <w:rPr>
                <w:sz w:val="18"/>
              </w:rPr>
            </w:pPr>
            <w:r>
              <w:rPr>
                <w:sz w:val="18"/>
              </w:rPr>
              <w:t>977 052</w:t>
            </w:r>
          </w:p>
        </w:tc>
        <w:tc>
          <w:tcPr>
            <w:tcW w:w="1021" w:type="pct"/>
          </w:tcPr>
          <w:p w:rsidR="001A7779" w:rsidRDefault="001A7779">
            <w:pPr>
              <w:tabs>
                <w:tab w:val="left" w:pos="630"/>
              </w:tabs>
              <w:spacing w:before="60" w:after="60" w:line="360" w:lineRule="exact"/>
              <w:jc w:val="center"/>
              <w:rPr>
                <w:sz w:val="18"/>
              </w:rPr>
            </w:pPr>
            <w:r>
              <w:rPr>
                <w:sz w:val="18"/>
              </w:rPr>
              <w:t>1 020 538</w:t>
            </w:r>
          </w:p>
        </w:tc>
        <w:tc>
          <w:tcPr>
            <w:tcW w:w="1021" w:type="pct"/>
          </w:tcPr>
          <w:p w:rsidR="001A7779" w:rsidRDefault="001A7779">
            <w:pPr>
              <w:tabs>
                <w:tab w:val="left" w:pos="630"/>
              </w:tabs>
              <w:spacing w:before="60" w:after="60" w:line="360" w:lineRule="exact"/>
              <w:jc w:val="center"/>
              <w:rPr>
                <w:sz w:val="18"/>
              </w:rPr>
            </w:pPr>
            <w:r>
              <w:rPr>
                <w:sz w:val="18"/>
              </w:rPr>
              <w:t>51.09</w:t>
            </w:r>
          </w:p>
        </w:tc>
      </w:tr>
    </w:tbl>
    <w:p w:rsidR="001A7779" w:rsidRDefault="001A7779">
      <w:pPr>
        <w:tabs>
          <w:tab w:val="left" w:pos="630"/>
        </w:tabs>
        <w:spacing w:after="240" w:line="360" w:lineRule="exact"/>
        <w:rPr>
          <w:sz w:val="18"/>
        </w:rPr>
      </w:pPr>
      <w:r>
        <w:rPr>
          <w:rFonts w:eastAsia="KaiTi_GB2312" w:hint="eastAsia"/>
          <w:color w:val="0000FF"/>
          <w:sz w:val="18"/>
        </w:rPr>
        <w:t>资料来源</w:t>
      </w:r>
      <w:r>
        <w:rPr>
          <w:rFonts w:hint="eastAsia"/>
          <w:color w:val="000000"/>
          <w:sz w:val="18"/>
        </w:rPr>
        <w:t>：</w:t>
      </w:r>
      <w:r>
        <w:rPr>
          <w:rFonts w:hint="eastAsia"/>
          <w:color w:val="000000"/>
          <w:sz w:val="18"/>
        </w:rPr>
        <w:t>2003</w:t>
      </w:r>
      <w:r>
        <w:rPr>
          <w:rFonts w:hint="eastAsia"/>
          <w:color w:val="000000"/>
          <w:sz w:val="18"/>
        </w:rPr>
        <w:t>和</w:t>
      </w:r>
      <w:r>
        <w:rPr>
          <w:rFonts w:hint="eastAsia"/>
          <w:color w:val="000000"/>
          <w:sz w:val="18"/>
        </w:rPr>
        <w:t>2005</w:t>
      </w:r>
      <w:r>
        <w:rPr>
          <w:rFonts w:hint="eastAsia"/>
          <w:color w:val="000000"/>
          <w:sz w:val="18"/>
        </w:rPr>
        <w:t>年《统计年鉴》，斯洛文尼亚共和国统计局。</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w:t>
      </w:r>
      <w:r>
        <w:rPr>
          <w:rFonts w:ascii="SimHei" w:eastAsia="SimHei" w:hint="eastAsia"/>
          <w:color w:val="FF0000"/>
        </w:rPr>
        <w:t>斯洛文尼亚人口和公民，2002年人口普查</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3"/>
        <w:gridCol w:w="1474"/>
        <w:gridCol w:w="1475"/>
        <w:gridCol w:w="1474"/>
        <w:gridCol w:w="1475"/>
        <w:gridCol w:w="1474"/>
        <w:gridCol w:w="1475"/>
      </w:tblGrid>
      <w:tr w:rsidR="001A7779">
        <w:tblPrEx>
          <w:tblCellMar>
            <w:top w:w="0" w:type="dxa"/>
            <w:bottom w:w="0" w:type="dxa"/>
          </w:tblCellMar>
        </w:tblPrEx>
        <w:trPr>
          <w:cantSplit/>
        </w:trPr>
        <w:tc>
          <w:tcPr>
            <w:tcW w:w="1063"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4423" w:type="dxa"/>
            <w:gridSpan w:val="3"/>
            <w:tcBorders>
              <w:top w:val="single" w:sz="4" w:space="0" w:color="auto"/>
              <w:left w:val="single" w:sz="4" w:space="0" w:color="auto"/>
            </w:tcBorders>
          </w:tcPr>
          <w:p w:rsidR="001A7779" w:rsidRDefault="001A7779">
            <w:pPr>
              <w:pStyle w:val="Header"/>
              <w:pBdr>
                <w:bottom w:val="none" w:sz="0" w:space="0" w:color="auto"/>
              </w:pBdr>
              <w:tabs>
                <w:tab w:val="clear" w:pos="4320"/>
                <w:tab w:val="clear" w:pos="8640"/>
                <w:tab w:val="left" w:pos="630"/>
              </w:tabs>
              <w:spacing w:before="60" w:after="60" w:line="360" w:lineRule="exact"/>
              <w:rPr>
                <w:rFonts w:ascii="SimHei" w:eastAsia="SimHei"/>
                <w:color w:val="FF0000"/>
              </w:rPr>
            </w:pPr>
            <w:r>
              <w:rPr>
                <w:rFonts w:ascii="SimHei" w:eastAsia="SimHei" w:hint="eastAsia"/>
                <w:color w:val="FF0000"/>
              </w:rPr>
              <w:t>共计</w:t>
            </w:r>
          </w:p>
        </w:tc>
        <w:tc>
          <w:tcPr>
            <w:tcW w:w="4424" w:type="dxa"/>
            <w:gridSpan w:val="3"/>
            <w:tcBorders>
              <w:top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斯洛文尼亚共和国公民</w:t>
            </w:r>
          </w:p>
        </w:tc>
      </w:tr>
      <w:tr w:rsidR="001A7779">
        <w:tblPrEx>
          <w:tblCellMar>
            <w:top w:w="0" w:type="dxa"/>
            <w:bottom w:w="0" w:type="dxa"/>
          </w:tblCellMar>
        </w:tblPrEx>
        <w:trPr>
          <w:cantSplit/>
        </w:trPr>
        <w:tc>
          <w:tcPr>
            <w:tcW w:w="1063"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1474" w:type="dxa"/>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475" w:type="dxa"/>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1474" w:type="dxa"/>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妇女占总数</w:t>
            </w:r>
            <w:r>
              <w:rPr>
                <w:rFonts w:ascii="SimHei" w:eastAsia="SimHei"/>
                <w:color w:val="FF0000"/>
                <w:sz w:val="18"/>
              </w:rPr>
              <w:t>%</w:t>
            </w:r>
          </w:p>
        </w:tc>
        <w:tc>
          <w:tcPr>
            <w:tcW w:w="1475" w:type="dxa"/>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474" w:type="dxa"/>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1475" w:type="dxa"/>
            <w:tcBorders>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妇女占总数</w:t>
            </w:r>
            <w:r>
              <w:rPr>
                <w:rFonts w:ascii="SimHei" w:eastAsia="SimHei"/>
                <w:color w:val="FF0000"/>
                <w:sz w:val="18"/>
              </w:rPr>
              <w:t>%</w:t>
            </w:r>
          </w:p>
        </w:tc>
      </w:tr>
      <w:tr w:rsidR="001A7779">
        <w:tblPrEx>
          <w:tblCellMar>
            <w:top w:w="0" w:type="dxa"/>
            <w:bottom w:w="0" w:type="dxa"/>
          </w:tblCellMar>
        </w:tblPrEx>
        <w:trPr>
          <w:cantSplit/>
        </w:trPr>
        <w:tc>
          <w:tcPr>
            <w:tcW w:w="1063" w:type="dxa"/>
            <w:tcBorders>
              <w:top w:val="single" w:sz="4" w:space="0" w:color="auto"/>
              <w:left w:val="single" w:sz="4" w:space="0" w:color="auto"/>
              <w:bottom w:val="single" w:sz="4" w:space="0" w:color="auto"/>
            </w:tcBorders>
          </w:tcPr>
          <w:p w:rsidR="001A7779" w:rsidRDefault="001A7779">
            <w:pPr>
              <w:pStyle w:val="a3"/>
              <w:tabs>
                <w:tab w:val="left" w:pos="630"/>
              </w:tabs>
              <w:adjustRightInd w:val="0"/>
              <w:spacing w:before="60" w:after="60" w:line="360" w:lineRule="exact"/>
              <w:textAlignment w:val="baseline"/>
              <w:rPr>
                <w:kern w:val="0"/>
                <w:szCs w:val="20"/>
              </w:rPr>
            </w:pPr>
            <w:r>
              <w:rPr>
                <w:rFonts w:hint="eastAsia"/>
                <w:kern w:val="0"/>
                <w:szCs w:val="20"/>
              </w:rPr>
              <w:t>共计</w:t>
            </w:r>
          </w:p>
        </w:tc>
        <w:tc>
          <w:tcPr>
            <w:tcW w:w="1474"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1 964 036</w:t>
            </w:r>
          </w:p>
        </w:tc>
        <w:tc>
          <w:tcPr>
            <w:tcW w:w="147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1 005 460</w:t>
            </w:r>
          </w:p>
        </w:tc>
        <w:tc>
          <w:tcPr>
            <w:tcW w:w="1474"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51.2</w:t>
            </w:r>
          </w:p>
        </w:tc>
        <w:tc>
          <w:tcPr>
            <w:tcW w:w="147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1 924 677</w:t>
            </w:r>
          </w:p>
        </w:tc>
        <w:tc>
          <w:tcPr>
            <w:tcW w:w="1474"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992 281</w:t>
            </w:r>
          </w:p>
        </w:tc>
        <w:tc>
          <w:tcPr>
            <w:tcW w:w="1475"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51.6</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w:t>
      </w:r>
      <w:r>
        <w:rPr>
          <w:rFonts w:hint="eastAsia"/>
          <w:color w:val="000000"/>
          <w:sz w:val="18"/>
        </w:rPr>
        <w:t>3</w:t>
      </w:r>
      <w:r>
        <w:rPr>
          <w:rFonts w:hint="eastAsia"/>
          <w:color w:val="000000"/>
          <w:sz w:val="18"/>
        </w:rPr>
        <w:t>月</w:t>
      </w:r>
      <w:r>
        <w:rPr>
          <w:rFonts w:hint="eastAsia"/>
          <w:color w:val="000000"/>
          <w:sz w:val="18"/>
        </w:rPr>
        <w:t>31</w:t>
      </w:r>
      <w:r>
        <w:rPr>
          <w:rFonts w:hint="eastAsia"/>
          <w:color w:val="000000"/>
          <w:sz w:val="18"/>
        </w:rPr>
        <w:t>日人口、住户和住房普查，斯洛文尼亚共和国统计局。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w:t>
      </w:r>
      <w:r>
        <w:rPr>
          <w:rFonts w:ascii="SimHei" w:eastAsia="SimHei" w:hint="eastAsia"/>
          <w:color w:val="FF0000"/>
        </w:rPr>
        <w:t>2002年人口普查按种族和性别分列的人口</w:t>
      </w:r>
      <w:r>
        <w:rPr>
          <w:rFonts w:ascii="SimHei" w:eastAsia="SimHei"/>
          <w:color w:val="FF0000"/>
        </w:rPr>
        <w:t xml:space="preserve">* </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1799"/>
        <w:gridCol w:w="1801"/>
        <w:gridCol w:w="1799"/>
        <w:gridCol w:w="1801"/>
      </w:tblGrid>
      <w:tr w:rsidR="001A7779">
        <w:tblPrEx>
          <w:tblCellMar>
            <w:top w:w="0" w:type="dxa"/>
            <w:bottom w:w="0" w:type="dxa"/>
          </w:tblCellMar>
        </w:tblPrEx>
        <w:trPr>
          <w:tblHeader/>
        </w:trPr>
        <w:tc>
          <w:tcPr>
            <w:tcW w:w="1342" w:type="pct"/>
          </w:tcPr>
          <w:p w:rsidR="001A7779" w:rsidRDefault="001A7779">
            <w:pPr>
              <w:tabs>
                <w:tab w:val="left" w:pos="630"/>
              </w:tabs>
              <w:spacing w:before="60" w:after="60" w:line="360" w:lineRule="exact"/>
              <w:rPr>
                <w:sz w:val="18"/>
              </w:rPr>
            </w:pPr>
          </w:p>
        </w:tc>
        <w:tc>
          <w:tcPr>
            <w:tcW w:w="91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915"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 xml:space="preserve"> （%）</w:t>
            </w:r>
          </w:p>
        </w:tc>
        <w:tc>
          <w:tcPr>
            <w:tcW w:w="91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915"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妇女占总数</w:t>
            </w:r>
            <w:r>
              <w:rPr>
                <w:rFonts w:ascii="SimHei" w:eastAsia="SimHei"/>
                <w:color w:val="FF0000"/>
                <w:sz w:val="18"/>
              </w:rPr>
              <w:t>%</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共计</w:t>
            </w:r>
          </w:p>
        </w:tc>
        <w:tc>
          <w:tcPr>
            <w:tcW w:w="914" w:type="pct"/>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51" w:right="31680"/>
              <w:jc w:val="right"/>
            </w:pPr>
            <w:r>
              <w:t>1 964 036</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100.00</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1 005 460</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51.2</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已明确的</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1 766 982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90.00</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920 187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52.1</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斯洛文尼亚族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1 631 363</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83.06</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858 750</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52.6</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意大利族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2 258</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0.11</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1 173</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51.9</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匈牙利族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6 243</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0.32</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3 360</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53.8</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罗姆人</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3 246</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0.17</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1 601</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49.3</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阿尔巴尼亚族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6 186</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0.31</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2 057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33.2</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波斯尼亚族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21 542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1.10</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9 191</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42.7</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门的内哥罗族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2 667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0.14</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1 143</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42.9</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克罗地亚族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35 642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1.81</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17 086</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47.9</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马其顿族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3 972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0.20</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1 507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37.9</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穆斯林</w:t>
            </w:r>
            <w:r>
              <w:rPr>
                <w:sz w:val="18"/>
              </w:rPr>
              <w:t>*</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10 467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0.53</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4 671</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44.6</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塞尔维亚族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38 964</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1.98</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17 372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44.6</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未明确的</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22 141</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1.13</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10 847</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49.0</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列为波斯尼亚族</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8 062</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0.41</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3 869</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48.0</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其他族裔</w:t>
            </w:r>
            <w:r>
              <w:rPr>
                <w:sz w:val="18"/>
              </w:rPr>
              <w:t>**</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12 085</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0.62</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6 173</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51.1</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不愿回答者</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48 588</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2.47</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24 356</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50.1</w:t>
            </w:r>
          </w:p>
        </w:tc>
      </w:tr>
      <w:tr w:rsidR="001A7779">
        <w:tblPrEx>
          <w:tblCellMar>
            <w:top w:w="0" w:type="dxa"/>
            <w:bottom w:w="0" w:type="dxa"/>
          </w:tblCellMar>
        </w:tblPrEx>
        <w:tc>
          <w:tcPr>
            <w:tcW w:w="1342" w:type="pct"/>
          </w:tcPr>
          <w:p w:rsidR="001A7779" w:rsidRDefault="001A7779">
            <w:pPr>
              <w:tabs>
                <w:tab w:val="left" w:pos="630"/>
              </w:tabs>
              <w:spacing w:before="60" w:after="60" w:line="360" w:lineRule="exact"/>
              <w:rPr>
                <w:sz w:val="18"/>
              </w:rPr>
            </w:pPr>
            <w:r>
              <w:rPr>
                <w:rFonts w:hint="eastAsia"/>
                <w:sz w:val="18"/>
              </w:rPr>
              <w:t>族裔不详者</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126 325</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6.43</w:t>
            </w:r>
          </w:p>
        </w:tc>
        <w:tc>
          <w:tcPr>
            <w:tcW w:w="914" w:type="pct"/>
          </w:tcPr>
          <w:p w:rsidR="001A7779" w:rsidRDefault="001A7779" w:rsidP="00B359E9">
            <w:pPr>
              <w:tabs>
                <w:tab w:val="left" w:pos="630"/>
              </w:tabs>
              <w:spacing w:before="60" w:after="60" w:line="360" w:lineRule="exact"/>
              <w:ind w:rightChars="251" w:right="31680"/>
              <w:jc w:val="right"/>
              <w:rPr>
                <w:sz w:val="18"/>
              </w:rPr>
            </w:pPr>
            <w:r>
              <w:rPr>
                <w:sz w:val="18"/>
              </w:rPr>
              <w:t>50 070</w:t>
            </w:r>
          </w:p>
        </w:tc>
        <w:tc>
          <w:tcPr>
            <w:tcW w:w="915" w:type="pct"/>
          </w:tcPr>
          <w:p w:rsidR="001A7779" w:rsidRDefault="001A7779" w:rsidP="00B359E9">
            <w:pPr>
              <w:tabs>
                <w:tab w:val="left" w:pos="630"/>
              </w:tabs>
              <w:spacing w:before="60" w:after="60" w:line="360" w:lineRule="exact"/>
              <w:ind w:rightChars="251" w:right="31680"/>
              <w:jc w:val="right"/>
              <w:rPr>
                <w:sz w:val="18"/>
              </w:rPr>
            </w:pPr>
            <w:r>
              <w:rPr>
                <w:sz w:val="18"/>
              </w:rPr>
              <w:t>39.6</w:t>
            </w:r>
          </w:p>
        </w:tc>
      </w:tr>
    </w:tbl>
    <w:p w:rsidR="001A7779" w:rsidRDefault="001A7779">
      <w:pPr>
        <w:tabs>
          <w:tab w:val="left" w:pos="630"/>
        </w:tabs>
        <w:spacing w:line="360" w:lineRule="exact"/>
        <w:rPr>
          <w:color w:val="000000"/>
          <w:sz w:val="18"/>
        </w:rPr>
      </w:pPr>
      <w:r>
        <w:rPr>
          <w:color w:val="000000"/>
          <w:sz w:val="18"/>
        </w:rPr>
        <w:t xml:space="preserve">* </w:t>
      </w:r>
      <w:r>
        <w:rPr>
          <w:rFonts w:hint="eastAsia"/>
          <w:color w:val="000000"/>
          <w:sz w:val="18"/>
        </w:rPr>
        <w:t>占总人口</w:t>
      </w:r>
      <w:r>
        <w:rPr>
          <w:rFonts w:hint="eastAsia"/>
          <w:color w:val="000000"/>
          <w:sz w:val="18"/>
        </w:rPr>
        <w:t>0.1%</w:t>
      </w:r>
      <w:r>
        <w:rPr>
          <w:rFonts w:hint="eastAsia"/>
          <w:color w:val="000000"/>
          <w:sz w:val="18"/>
        </w:rPr>
        <w:t>以上的族群。</w:t>
      </w:r>
    </w:p>
    <w:p w:rsidR="001A7779" w:rsidRDefault="001A7779">
      <w:pPr>
        <w:tabs>
          <w:tab w:val="left" w:pos="630"/>
        </w:tabs>
        <w:spacing w:line="360" w:lineRule="exact"/>
        <w:rPr>
          <w:color w:val="000000"/>
          <w:sz w:val="18"/>
        </w:rPr>
      </w:pPr>
      <w:r>
        <w:rPr>
          <w:color w:val="000000"/>
          <w:sz w:val="18"/>
        </w:rPr>
        <w:t xml:space="preserve">** </w:t>
      </w:r>
      <w:r>
        <w:rPr>
          <w:rFonts w:hint="eastAsia"/>
          <w:color w:val="000000"/>
          <w:sz w:val="18"/>
        </w:rPr>
        <w:t>就种族和非宗教信仰而言。</w:t>
      </w:r>
    </w:p>
    <w:p w:rsidR="001A7779" w:rsidRDefault="001A7779">
      <w:pPr>
        <w:tabs>
          <w:tab w:val="left" w:pos="630"/>
        </w:tabs>
        <w:spacing w:line="360" w:lineRule="exact"/>
        <w:rPr>
          <w:color w:val="000000"/>
          <w:sz w:val="18"/>
        </w:rPr>
      </w:pPr>
      <w:r>
        <w:rPr>
          <w:color w:val="000000"/>
          <w:sz w:val="18"/>
        </w:rPr>
        <w:t>***</w:t>
      </w:r>
      <w:r>
        <w:rPr>
          <w:rFonts w:hint="eastAsia"/>
          <w:color w:val="000000"/>
          <w:sz w:val="18"/>
        </w:rPr>
        <w:t>仍不愿明确种族者。</w:t>
      </w:r>
      <w:r>
        <w:rPr>
          <w:color w:val="000000"/>
          <w:sz w:val="18"/>
        </w:rPr>
        <w:t xml:space="preserve"> </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w:t>
      </w:r>
      <w:r>
        <w:rPr>
          <w:rFonts w:hint="eastAsia"/>
          <w:color w:val="000000"/>
          <w:sz w:val="18"/>
        </w:rPr>
        <w:t>3</w:t>
      </w:r>
      <w:r>
        <w:rPr>
          <w:rFonts w:hint="eastAsia"/>
          <w:color w:val="000000"/>
          <w:sz w:val="18"/>
        </w:rPr>
        <w:t>月</w:t>
      </w:r>
      <w:r>
        <w:rPr>
          <w:rFonts w:hint="eastAsia"/>
          <w:color w:val="000000"/>
          <w:sz w:val="18"/>
        </w:rPr>
        <w:t>31</w:t>
      </w:r>
      <w:r>
        <w:rPr>
          <w:rFonts w:hint="eastAsia"/>
          <w:color w:val="000000"/>
          <w:sz w:val="18"/>
        </w:rPr>
        <w:t>日人口、住户和住房普查，斯洛文尼亚共和国统计局。</w:t>
      </w:r>
    </w:p>
    <w:p w:rsidR="001A7779" w:rsidRDefault="001A7779">
      <w:pPr>
        <w:tabs>
          <w:tab w:val="left" w:pos="630"/>
        </w:tabs>
        <w:spacing w:after="240" w:line="360" w:lineRule="exact"/>
        <w:jc w:val="center"/>
      </w:pPr>
      <w:r>
        <w:rPr>
          <w:rFonts w:ascii="SimHei" w:eastAsia="SimHei" w:hint="eastAsia"/>
          <w:color w:val="FF0000"/>
        </w:rPr>
        <w:t>表</w:t>
      </w:r>
      <w:r>
        <w:rPr>
          <w:rFonts w:ascii="SimHei" w:eastAsia="SimHei"/>
          <w:color w:val="FF0000"/>
        </w:rPr>
        <w:t>4：</w:t>
      </w:r>
      <w:r>
        <w:rPr>
          <w:rFonts w:ascii="SimHei" w:eastAsia="SimHei" w:hint="eastAsia"/>
          <w:color w:val="FF0000"/>
        </w:rPr>
        <w:t>2000-2004年按性别分列的活产婴儿</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1830"/>
        <w:gridCol w:w="1830"/>
        <w:gridCol w:w="1830"/>
        <w:gridCol w:w="1830"/>
      </w:tblGrid>
      <w:tr w:rsidR="001A7779">
        <w:tblPrEx>
          <w:tblCellMar>
            <w:top w:w="0" w:type="dxa"/>
            <w:bottom w:w="0" w:type="dxa"/>
          </w:tblCellMar>
        </w:tblPrEx>
        <w:trPr>
          <w:tblHeader/>
        </w:trPr>
        <w:tc>
          <w:tcPr>
            <w:tcW w:w="1280" w:type="pct"/>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930" w:type="pct"/>
          </w:tcPr>
          <w:p w:rsidR="001A7779" w:rsidRDefault="001A7779">
            <w:pPr>
              <w:pStyle w:val="a3"/>
              <w:tabs>
                <w:tab w:val="left" w:pos="630"/>
              </w:tabs>
              <w:adjustRightInd w:val="0"/>
              <w:spacing w:before="60" w:after="60" w:line="360" w:lineRule="exact"/>
              <w:jc w:val="center"/>
              <w:textAlignment w:val="baseline"/>
              <w:rPr>
                <w:rFonts w:ascii="SimHei" w:eastAsia="SimHei"/>
                <w:color w:val="FF0000"/>
                <w:kern w:val="0"/>
                <w:szCs w:val="20"/>
              </w:rPr>
            </w:pPr>
            <w:r>
              <w:rPr>
                <w:rFonts w:ascii="SimHei" w:eastAsia="SimHei" w:hint="eastAsia"/>
                <w:color w:val="FF0000"/>
                <w:kern w:val="0"/>
                <w:szCs w:val="20"/>
              </w:rPr>
              <w:t>总计</w:t>
            </w:r>
          </w:p>
        </w:tc>
        <w:tc>
          <w:tcPr>
            <w:tcW w:w="930"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男孩</w:t>
            </w:r>
          </w:p>
        </w:tc>
        <w:tc>
          <w:tcPr>
            <w:tcW w:w="930"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女孩</w:t>
            </w:r>
          </w:p>
        </w:tc>
        <w:tc>
          <w:tcPr>
            <w:tcW w:w="930"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女孩占总数</w:t>
            </w:r>
            <w:r>
              <w:rPr>
                <w:rFonts w:ascii="SimHei" w:eastAsia="SimHei"/>
                <w:color w:val="FF0000"/>
                <w:sz w:val="18"/>
              </w:rPr>
              <w:t>%</w:t>
            </w:r>
          </w:p>
        </w:tc>
      </w:tr>
      <w:tr w:rsidR="001A7779">
        <w:tblPrEx>
          <w:tblCellMar>
            <w:top w:w="0" w:type="dxa"/>
            <w:bottom w:w="0" w:type="dxa"/>
          </w:tblCellMar>
        </w:tblPrEx>
        <w:tc>
          <w:tcPr>
            <w:tcW w:w="1280" w:type="pct"/>
          </w:tcPr>
          <w:p w:rsidR="001A7779" w:rsidRDefault="001A7779">
            <w:pPr>
              <w:tabs>
                <w:tab w:val="left" w:pos="630"/>
              </w:tabs>
              <w:spacing w:before="60" w:after="60" w:line="360" w:lineRule="exact"/>
              <w:rPr>
                <w:sz w:val="18"/>
              </w:rPr>
            </w:pPr>
            <w:r>
              <w:rPr>
                <w:sz w:val="18"/>
              </w:rPr>
              <w:t>2000</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18 180</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9 368</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8 812</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48.47</w:t>
            </w:r>
          </w:p>
        </w:tc>
      </w:tr>
      <w:tr w:rsidR="001A7779">
        <w:tblPrEx>
          <w:tblCellMar>
            <w:top w:w="0" w:type="dxa"/>
            <w:bottom w:w="0" w:type="dxa"/>
          </w:tblCellMar>
        </w:tblPrEx>
        <w:tc>
          <w:tcPr>
            <w:tcW w:w="1280" w:type="pct"/>
          </w:tcPr>
          <w:p w:rsidR="001A7779" w:rsidRDefault="001A7779">
            <w:pPr>
              <w:tabs>
                <w:tab w:val="left" w:pos="630"/>
              </w:tabs>
              <w:spacing w:before="60" w:after="60" w:line="360" w:lineRule="exact"/>
              <w:rPr>
                <w:sz w:val="18"/>
              </w:rPr>
            </w:pPr>
            <w:r>
              <w:rPr>
                <w:sz w:val="18"/>
              </w:rPr>
              <w:t>2001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17 477</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9 064</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8 413</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48.14</w:t>
            </w:r>
          </w:p>
        </w:tc>
      </w:tr>
      <w:tr w:rsidR="001A7779">
        <w:tblPrEx>
          <w:tblCellMar>
            <w:top w:w="0" w:type="dxa"/>
            <w:bottom w:w="0" w:type="dxa"/>
          </w:tblCellMar>
        </w:tblPrEx>
        <w:tc>
          <w:tcPr>
            <w:tcW w:w="1280" w:type="pct"/>
          </w:tcPr>
          <w:p w:rsidR="001A7779" w:rsidRDefault="001A7779">
            <w:pPr>
              <w:tabs>
                <w:tab w:val="left" w:pos="630"/>
              </w:tabs>
              <w:spacing w:before="60" w:after="60" w:line="360" w:lineRule="exact"/>
              <w:rPr>
                <w:sz w:val="18"/>
              </w:rPr>
            </w:pPr>
            <w:r>
              <w:rPr>
                <w:sz w:val="18"/>
              </w:rPr>
              <w:t>2002</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17 501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9 025</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8 476</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48.43</w:t>
            </w:r>
          </w:p>
        </w:tc>
      </w:tr>
      <w:tr w:rsidR="001A7779">
        <w:tblPrEx>
          <w:tblCellMar>
            <w:top w:w="0" w:type="dxa"/>
            <w:bottom w:w="0" w:type="dxa"/>
          </w:tblCellMar>
        </w:tblPrEx>
        <w:tc>
          <w:tcPr>
            <w:tcW w:w="1280" w:type="pct"/>
          </w:tcPr>
          <w:p w:rsidR="001A7779" w:rsidRDefault="001A7779">
            <w:pPr>
              <w:tabs>
                <w:tab w:val="left" w:pos="630"/>
              </w:tabs>
              <w:spacing w:before="60" w:after="60" w:line="360" w:lineRule="exact"/>
              <w:rPr>
                <w:sz w:val="18"/>
              </w:rPr>
            </w:pPr>
            <w:r>
              <w:rPr>
                <w:sz w:val="18"/>
              </w:rPr>
              <w:t>2003</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17 321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8 930</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8 391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48.44</w:t>
            </w:r>
          </w:p>
        </w:tc>
      </w:tr>
      <w:tr w:rsidR="001A7779">
        <w:tblPrEx>
          <w:tblCellMar>
            <w:top w:w="0" w:type="dxa"/>
            <w:bottom w:w="0" w:type="dxa"/>
          </w:tblCellMar>
        </w:tblPrEx>
        <w:tc>
          <w:tcPr>
            <w:tcW w:w="1280" w:type="pct"/>
          </w:tcPr>
          <w:p w:rsidR="001A7779" w:rsidRDefault="001A7779">
            <w:pPr>
              <w:tabs>
                <w:tab w:val="left" w:pos="630"/>
              </w:tabs>
              <w:spacing w:before="60" w:after="60" w:line="360" w:lineRule="exact"/>
              <w:rPr>
                <w:sz w:val="18"/>
              </w:rPr>
            </w:pPr>
            <w:r>
              <w:rPr>
                <w:sz w:val="18"/>
              </w:rPr>
              <w:t>2004</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17 961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9 101</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8 860</w:t>
            </w:r>
          </w:p>
        </w:tc>
        <w:tc>
          <w:tcPr>
            <w:tcW w:w="930" w:type="pct"/>
          </w:tcPr>
          <w:p w:rsidR="001A7779" w:rsidRDefault="001A7779" w:rsidP="00B359E9">
            <w:pPr>
              <w:tabs>
                <w:tab w:val="left" w:pos="630"/>
              </w:tabs>
              <w:spacing w:before="60" w:after="60" w:line="360" w:lineRule="exact"/>
              <w:ind w:rightChars="251" w:right="31680"/>
              <w:jc w:val="right"/>
              <w:rPr>
                <w:sz w:val="18"/>
              </w:rPr>
            </w:pPr>
            <w:r>
              <w:rPr>
                <w:sz w:val="18"/>
              </w:rPr>
              <w:t>49.33</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表5：2000-2004年活产婴儿和初产母亲的平均年龄</w:t>
      </w:r>
      <w:r>
        <w:rPr>
          <w:rFonts w:ascii="SimHei" w:eastAsia="SimHei"/>
          <w:color w:val="FF0000"/>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3660"/>
        <w:gridCol w:w="3660"/>
      </w:tblGrid>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年份</w:t>
            </w: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活产婴儿母亲的年龄</w:t>
            </w: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初产母亲的年龄</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2000</w:t>
            </w:r>
          </w:p>
        </w:tc>
        <w:tc>
          <w:tcPr>
            <w:tcW w:w="3660" w:type="dxa"/>
          </w:tcPr>
          <w:p w:rsidR="001A7779" w:rsidRDefault="001A7779">
            <w:pPr>
              <w:tabs>
                <w:tab w:val="left" w:pos="630"/>
              </w:tabs>
              <w:spacing w:before="60" w:after="60" w:line="360" w:lineRule="exact"/>
              <w:jc w:val="center"/>
              <w:rPr>
                <w:sz w:val="18"/>
              </w:rPr>
            </w:pPr>
            <w:r>
              <w:rPr>
                <w:sz w:val="18"/>
              </w:rPr>
              <w:t>28.3</w:t>
            </w:r>
          </w:p>
        </w:tc>
        <w:tc>
          <w:tcPr>
            <w:tcW w:w="3660" w:type="dxa"/>
          </w:tcPr>
          <w:p w:rsidR="001A7779" w:rsidRDefault="001A7779">
            <w:pPr>
              <w:tabs>
                <w:tab w:val="left" w:pos="630"/>
              </w:tabs>
              <w:spacing w:before="60" w:after="60" w:line="360" w:lineRule="exact"/>
              <w:jc w:val="center"/>
              <w:rPr>
                <w:sz w:val="18"/>
              </w:rPr>
            </w:pPr>
            <w:r>
              <w:rPr>
                <w:sz w:val="18"/>
              </w:rPr>
              <w:t>26.5</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2001</w:t>
            </w:r>
          </w:p>
        </w:tc>
        <w:tc>
          <w:tcPr>
            <w:tcW w:w="3660" w:type="dxa"/>
          </w:tcPr>
          <w:p w:rsidR="001A7779" w:rsidRDefault="001A7779">
            <w:pPr>
              <w:tabs>
                <w:tab w:val="left" w:pos="630"/>
              </w:tabs>
              <w:spacing w:before="60" w:after="60" w:line="360" w:lineRule="exact"/>
              <w:jc w:val="center"/>
              <w:rPr>
                <w:sz w:val="18"/>
              </w:rPr>
            </w:pPr>
            <w:r>
              <w:rPr>
                <w:sz w:val="18"/>
              </w:rPr>
              <w:t>28.5</w:t>
            </w:r>
          </w:p>
        </w:tc>
        <w:tc>
          <w:tcPr>
            <w:tcW w:w="3660" w:type="dxa"/>
          </w:tcPr>
          <w:p w:rsidR="001A7779" w:rsidRDefault="001A7779">
            <w:pPr>
              <w:tabs>
                <w:tab w:val="left" w:pos="630"/>
              </w:tabs>
              <w:spacing w:before="60" w:after="60" w:line="360" w:lineRule="exact"/>
              <w:jc w:val="center"/>
              <w:rPr>
                <w:sz w:val="18"/>
              </w:rPr>
            </w:pPr>
            <w:r>
              <w:rPr>
                <w:sz w:val="18"/>
              </w:rPr>
              <w:t>26.7</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2002</w:t>
            </w:r>
          </w:p>
        </w:tc>
        <w:tc>
          <w:tcPr>
            <w:tcW w:w="3660" w:type="dxa"/>
          </w:tcPr>
          <w:p w:rsidR="001A7779" w:rsidRDefault="001A7779">
            <w:pPr>
              <w:tabs>
                <w:tab w:val="left" w:pos="630"/>
              </w:tabs>
              <w:spacing w:before="60" w:after="60" w:line="360" w:lineRule="exact"/>
              <w:jc w:val="center"/>
              <w:rPr>
                <w:sz w:val="18"/>
              </w:rPr>
            </w:pPr>
            <w:r>
              <w:rPr>
                <w:sz w:val="18"/>
              </w:rPr>
              <w:t>28.8</w:t>
            </w:r>
          </w:p>
        </w:tc>
        <w:tc>
          <w:tcPr>
            <w:tcW w:w="3660" w:type="dxa"/>
          </w:tcPr>
          <w:p w:rsidR="001A7779" w:rsidRDefault="001A7779">
            <w:pPr>
              <w:tabs>
                <w:tab w:val="left" w:pos="630"/>
              </w:tabs>
              <w:spacing w:before="60" w:after="60" w:line="360" w:lineRule="exact"/>
              <w:jc w:val="center"/>
              <w:rPr>
                <w:sz w:val="18"/>
              </w:rPr>
            </w:pPr>
            <w:r>
              <w:rPr>
                <w:sz w:val="18"/>
              </w:rPr>
              <w:t>27.2</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2003</w:t>
            </w:r>
          </w:p>
        </w:tc>
        <w:tc>
          <w:tcPr>
            <w:tcW w:w="3660" w:type="dxa"/>
          </w:tcPr>
          <w:p w:rsidR="001A7779" w:rsidRDefault="001A7779">
            <w:pPr>
              <w:tabs>
                <w:tab w:val="left" w:pos="630"/>
              </w:tabs>
              <w:spacing w:before="60" w:after="60" w:line="360" w:lineRule="exact"/>
              <w:jc w:val="center"/>
              <w:rPr>
                <w:sz w:val="18"/>
              </w:rPr>
            </w:pPr>
            <w:r>
              <w:rPr>
                <w:sz w:val="18"/>
              </w:rPr>
              <w:t>29.0</w:t>
            </w:r>
          </w:p>
        </w:tc>
        <w:tc>
          <w:tcPr>
            <w:tcW w:w="3660" w:type="dxa"/>
          </w:tcPr>
          <w:p w:rsidR="001A7779" w:rsidRDefault="001A7779">
            <w:pPr>
              <w:tabs>
                <w:tab w:val="left" w:pos="630"/>
              </w:tabs>
              <w:spacing w:before="60" w:after="60" w:line="360" w:lineRule="exact"/>
              <w:jc w:val="center"/>
              <w:rPr>
                <w:sz w:val="18"/>
              </w:rPr>
            </w:pPr>
            <w:r>
              <w:rPr>
                <w:sz w:val="18"/>
              </w:rPr>
              <w:t>27.3</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2004</w:t>
            </w:r>
          </w:p>
        </w:tc>
        <w:tc>
          <w:tcPr>
            <w:tcW w:w="3660" w:type="dxa"/>
          </w:tcPr>
          <w:p w:rsidR="001A7779" w:rsidRDefault="001A7779">
            <w:pPr>
              <w:tabs>
                <w:tab w:val="left" w:pos="630"/>
              </w:tabs>
              <w:spacing w:before="60" w:after="60" w:line="360" w:lineRule="exact"/>
              <w:jc w:val="center"/>
              <w:rPr>
                <w:sz w:val="18"/>
              </w:rPr>
            </w:pPr>
            <w:r>
              <w:rPr>
                <w:sz w:val="18"/>
              </w:rPr>
              <w:t>29.2</w:t>
            </w:r>
          </w:p>
        </w:tc>
        <w:tc>
          <w:tcPr>
            <w:tcW w:w="3660" w:type="dxa"/>
          </w:tcPr>
          <w:p w:rsidR="001A7779" w:rsidRDefault="001A7779">
            <w:pPr>
              <w:tabs>
                <w:tab w:val="left" w:pos="630"/>
              </w:tabs>
              <w:spacing w:before="60" w:after="60" w:line="360" w:lineRule="exact"/>
              <w:jc w:val="center"/>
              <w:rPr>
                <w:sz w:val="18"/>
              </w:rPr>
            </w:pPr>
            <w:r>
              <w:rPr>
                <w:sz w:val="18"/>
              </w:rPr>
              <w:t>27.5</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表6：2000-2004年婚姻和离婚数量</w:t>
      </w:r>
      <w:r>
        <w:rPr>
          <w:rFonts w:ascii="SimHei" w:eastAsia="SimHei"/>
          <w:color w:val="FF0000"/>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3660"/>
        <w:gridCol w:w="3660"/>
      </w:tblGrid>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rFonts w:hint="eastAsia"/>
                <w:sz w:val="18"/>
              </w:rPr>
              <w:t>年份</w:t>
            </w:r>
          </w:p>
        </w:tc>
        <w:tc>
          <w:tcPr>
            <w:tcW w:w="3660" w:type="dxa"/>
          </w:tcPr>
          <w:p w:rsidR="001A7779" w:rsidRDefault="001A7779">
            <w:pPr>
              <w:tabs>
                <w:tab w:val="left" w:pos="630"/>
              </w:tabs>
              <w:spacing w:before="60" w:after="60" w:line="360" w:lineRule="exact"/>
              <w:jc w:val="center"/>
              <w:rPr>
                <w:sz w:val="18"/>
              </w:rPr>
            </w:pPr>
            <w:r>
              <w:rPr>
                <w:rFonts w:hint="eastAsia"/>
                <w:sz w:val="18"/>
              </w:rPr>
              <w:t>婚姻</w:t>
            </w:r>
          </w:p>
        </w:tc>
        <w:tc>
          <w:tcPr>
            <w:tcW w:w="3660" w:type="dxa"/>
          </w:tcPr>
          <w:p w:rsidR="001A7779" w:rsidRDefault="001A7779">
            <w:pPr>
              <w:pStyle w:val="Header"/>
              <w:pBdr>
                <w:bottom w:val="none" w:sz="0" w:space="0" w:color="auto"/>
              </w:pBdr>
              <w:tabs>
                <w:tab w:val="clear" w:pos="4320"/>
                <w:tab w:val="clear" w:pos="8640"/>
                <w:tab w:val="left" w:pos="630"/>
              </w:tabs>
              <w:spacing w:before="60" w:after="60" w:line="360" w:lineRule="exact"/>
            </w:pPr>
            <w:r>
              <w:rPr>
                <w:rFonts w:hint="eastAsia"/>
              </w:rPr>
              <w:t>离婚</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2000</w:t>
            </w:r>
          </w:p>
        </w:tc>
        <w:tc>
          <w:tcPr>
            <w:tcW w:w="3660" w:type="dxa"/>
          </w:tcPr>
          <w:p w:rsidR="001A7779" w:rsidRDefault="001A7779">
            <w:pPr>
              <w:tabs>
                <w:tab w:val="left" w:pos="630"/>
              </w:tabs>
              <w:spacing w:before="60" w:after="60" w:line="360" w:lineRule="exact"/>
              <w:jc w:val="center"/>
              <w:rPr>
                <w:sz w:val="18"/>
              </w:rPr>
            </w:pPr>
            <w:r>
              <w:rPr>
                <w:sz w:val="18"/>
              </w:rPr>
              <w:t>7 201</w:t>
            </w:r>
          </w:p>
        </w:tc>
        <w:tc>
          <w:tcPr>
            <w:tcW w:w="3660" w:type="dxa"/>
          </w:tcPr>
          <w:p w:rsidR="001A7779" w:rsidRDefault="001A7779">
            <w:pPr>
              <w:tabs>
                <w:tab w:val="left" w:pos="630"/>
              </w:tabs>
              <w:spacing w:before="60" w:after="60" w:line="360" w:lineRule="exact"/>
              <w:jc w:val="center"/>
              <w:rPr>
                <w:sz w:val="18"/>
              </w:rPr>
            </w:pPr>
            <w:r>
              <w:rPr>
                <w:sz w:val="18"/>
              </w:rPr>
              <w:t>2 125</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2001</w:t>
            </w:r>
          </w:p>
        </w:tc>
        <w:tc>
          <w:tcPr>
            <w:tcW w:w="3660" w:type="dxa"/>
          </w:tcPr>
          <w:p w:rsidR="001A7779" w:rsidRDefault="001A7779">
            <w:pPr>
              <w:tabs>
                <w:tab w:val="left" w:pos="630"/>
              </w:tabs>
              <w:spacing w:before="60" w:after="60" w:line="360" w:lineRule="exact"/>
              <w:jc w:val="center"/>
              <w:rPr>
                <w:sz w:val="18"/>
              </w:rPr>
            </w:pPr>
            <w:r>
              <w:rPr>
                <w:sz w:val="18"/>
              </w:rPr>
              <w:t>6 935</w:t>
            </w:r>
          </w:p>
        </w:tc>
        <w:tc>
          <w:tcPr>
            <w:tcW w:w="3660" w:type="dxa"/>
          </w:tcPr>
          <w:p w:rsidR="001A7779" w:rsidRDefault="001A7779">
            <w:pPr>
              <w:tabs>
                <w:tab w:val="left" w:pos="630"/>
              </w:tabs>
              <w:spacing w:before="60" w:after="60" w:line="360" w:lineRule="exact"/>
              <w:jc w:val="center"/>
              <w:rPr>
                <w:sz w:val="18"/>
              </w:rPr>
            </w:pPr>
            <w:r>
              <w:rPr>
                <w:sz w:val="18"/>
              </w:rPr>
              <w:t>2 274</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2002</w:t>
            </w:r>
          </w:p>
        </w:tc>
        <w:tc>
          <w:tcPr>
            <w:tcW w:w="3660" w:type="dxa"/>
          </w:tcPr>
          <w:p w:rsidR="001A7779" w:rsidRDefault="001A7779">
            <w:pPr>
              <w:tabs>
                <w:tab w:val="left" w:pos="630"/>
              </w:tabs>
              <w:spacing w:before="60" w:after="60" w:line="360" w:lineRule="exact"/>
              <w:jc w:val="center"/>
              <w:rPr>
                <w:sz w:val="18"/>
              </w:rPr>
            </w:pPr>
            <w:r>
              <w:rPr>
                <w:sz w:val="18"/>
              </w:rPr>
              <w:t>7 064</w:t>
            </w:r>
          </w:p>
        </w:tc>
        <w:tc>
          <w:tcPr>
            <w:tcW w:w="3660" w:type="dxa"/>
          </w:tcPr>
          <w:p w:rsidR="001A7779" w:rsidRDefault="001A7779">
            <w:pPr>
              <w:tabs>
                <w:tab w:val="left" w:pos="630"/>
              </w:tabs>
              <w:spacing w:before="60" w:after="60" w:line="360" w:lineRule="exact"/>
              <w:jc w:val="center"/>
              <w:rPr>
                <w:sz w:val="18"/>
              </w:rPr>
            </w:pPr>
            <w:r>
              <w:rPr>
                <w:sz w:val="18"/>
              </w:rPr>
              <w:t>2 457</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2003</w:t>
            </w:r>
          </w:p>
        </w:tc>
        <w:tc>
          <w:tcPr>
            <w:tcW w:w="3660" w:type="dxa"/>
          </w:tcPr>
          <w:p w:rsidR="001A7779" w:rsidRDefault="001A7779">
            <w:pPr>
              <w:tabs>
                <w:tab w:val="left" w:pos="630"/>
              </w:tabs>
              <w:spacing w:before="60" w:after="60" w:line="360" w:lineRule="exact"/>
              <w:jc w:val="center"/>
              <w:rPr>
                <w:sz w:val="18"/>
              </w:rPr>
            </w:pPr>
            <w:r>
              <w:rPr>
                <w:sz w:val="18"/>
              </w:rPr>
              <w:t>6 756</w:t>
            </w:r>
          </w:p>
        </w:tc>
        <w:tc>
          <w:tcPr>
            <w:tcW w:w="3660" w:type="dxa"/>
          </w:tcPr>
          <w:p w:rsidR="001A7779" w:rsidRDefault="001A7779">
            <w:pPr>
              <w:tabs>
                <w:tab w:val="left" w:pos="630"/>
              </w:tabs>
              <w:spacing w:before="60" w:after="60" w:line="360" w:lineRule="exact"/>
              <w:jc w:val="center"/>
              <w:rPr>
                <w:sz w:val="18"/>
              </w:rPr>
            </w:pPr>
            <w:r>
              <w:rPr>
                <w:sz w:val="18"/>
              </w:rPr>
              <w:t>2 461</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sz w:val="18"/>
              </w:rPr>
            </w:pPr>
            <w:r>
              <w:rPr>
                <w:sz w:val="18"/>
              </w:rPr>
              <w:t>2004</w:t>
            </w:r>
          </w:p>
        </w:tc>
        <w:tc>
          <w:tcPr>
            <w:tcW w:w="3660" w:type="dxa"/>
          </w:tcPr>
          <w:p w:rsidR="001A7779" w:rsidRDefault="001A7779">
            <w:pPr>
              <w:tabs>
                <w:tab w:val="left" w:pos="630"/>
              </w:tabs>
              <w:spacing w:before="60" w:after="60" w:line="360" w:lineRule="exact"/>
              <w:jc w:val="center"/>
              <w:rPr>
                <w:sz w:val="18"/>
              </w:rPr>
            </w:pPr>
            <w:r>
              <w:rPr>
                <w:sz w:val="18"/>
              </w:rPr>
              <w:t>6 558</w:t>
            </w:r>
          </w:p>
        </w:tc>
        <w:tc>
          <w:tcPr>
            <w:tcW w:w="3660" w:type="dxa"/>
          </w:tcPr>
          <w:p w:rsidR="001A7779" w:rsidRDefault="001A7779">
            <w:pPr>
              <w:tabs>
                <w:tab w:val="left" w:pos="630"/>
              </w:tabs>
              <w:spacing w:before="60" w:after="60" w:line="360" w:lineRule="exact"/>
              <w:jc w:val="center"/>
              <w:rPr>
                <w:sz w:val="18"/>
              </w:rPr>
            </w:pPr>
            <w:r>
              <w:rPr>
                <w:sz w:val="18"/>
              </w:rPr>
              <w:t>2 411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表7：2000-2004年新娘和新郎的平均年龄</w:t>
      </w:r>
      <w:r>
        <w:rPr>
          <w:rFonts w:ascii="SimHei" w:eastAsia="SimHei"/>
          <w:color w:val="FF000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3660"/>
        <w:gridCol w:w="3660"/>
      </w:tblGrid>
      <w:tr w:rsidR="001A7779">
        <w:tblPrEx>
          <w:tblCellMar>
            <w:top w:w="0" w:type="dxa"/>
            <w:bottom w:w="0" w:type="dxa"/>
          </w:tblCellMar>
        </w:tblPrEx>
        <w:trPr>
          <w:tblHeader/>
        </w:trPr>
        <w:tc>
          <w:tcPr>
            <w:tcW w:w="2590" w:type="dxa"/>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年份</w:t>
            </w: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新郎</w:t>
            </w: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新娘</w:t>
            </w:r>
          </w:p>
        </w:tc>
      </w:tr>
      <w:tr w:rsidR="001A7779">
        <w:tblPrEx>
          <w:tblCellMar>
            <w:top w:w="0" w:type="dxa"/>
            <w:bottom w:w="0" w:type="dxa"/>
          </w:tblCellMar>
        </w:tblPrEx>
        <w:tc>
          <w:tcPr>
            <w:tcW w:w="2590" w:type="dxa"/>
          </w:tcPr>
          <w:p w:rsidR="001A7779" w:rsidRDefault="001A7779">
            <w:pPr>
              <w:tabs>
                <w:tab w:val="left" w:pos="630"/>
              </w:tabs>
              <w:spacing w:before="60" w:after="60" w:line="360" w:lineRule="exact"/>
              <w:rPr>
                <w:sz w:val="18"/>
              </w:rPr>
            </w:pPr>
            <w:r>
              <w:rPr>
                <w:sz w:val="18"/>
              </w:rPr>
              <w:t>2000</w:t>
            </w:r>
          </w:p>
        </w:tc>
        <w:tc>
          <w:tcPr>
            <w:tcW w:w="3660" w:type="dxa"/>
          </w:tcPr>
          <w:p w:rsidR="001A7779" w:rsidRDefault="001A7779">
            <w:pPr>
              <w:tabs>
                <w:tab w:val="left" w:pos="630"/>
              </w:tabs>
              <w:spacing w:before="60" w:after="60" w:line="360" w:lineRule="exact"/>
              <w:jc w:val="center"/>
              <w:rPr>
                <w:sz w:val="18"/>
              </w:rPr>
            </w:pPr>
            <w:r>
              <w:rPr>
                <w:sz w:val="18"/>
              </w:rPr>
              <w:t>31.4</w:t>
            </w:r>
          </w:p>
        </w:tc>
        <w:tc>
          <w:tcPr>
            <w:tcW w:w="3660" w:type="dxa"/>
          </w:tcPr>
          <w:p w:rsidR="001A7779" w:rsidRDefault="001A7779">
            <w:pPr>
              <w:tabs>
                <w:tab w:val="left" w:pos="630"/>
              </w:tabs>
              <w:spacing w:before="60" w:after="60" w:line="360" w:lineRule="exact"/>
              <w:jc w:val="center"/>
              <w:rPr>
                <w:sz w:val="18"/>
              </w:rPr>
            </w:pPr>
            <w:r>
              <w:rPr>
                <w:sz w:val="18"/>
              </w:rPr>
              <w:t>28.4</w:t>
            </w:r>
          </w:p>
        </w:tc>
      </w:tr>
      <w:tr w:rsidR="001A7779">
        <w:tblPrEx>
          <w:tblCellMar>
            <w:top w:w="0" w:type="dxa"/>
            <w:bottom w:w="0" w:type="dxa"/>
          </w:tblCellMar>
        </w:tblPrEx>
        <w:tc>
          <w:tcPr>
            <w:tcW w:w="2590" w:type="dxa"/>
          </w:tcPr>
          <w:p w:rsidR="001A7779" w:rsidRDefault="001A7779">
            <w:pPr>
              <w:tabs>
                <w:tab w:val="left" w:pos="630"/>
              </w:tabs>
              <w:spacing w:before="60" w:after="60" w:line="360" w:lineRule="exact"/>
              <w:rPr>
                <w:sz w:val="18"/>
              </w:rPr>
            </w:pPr>
            <w:r>
              <w:rPr>
                <w:sz w:val="18"/>
              </w:rPr>
              <w:t>2001</w:t>
            </w:r>
          </w:p>
        </w:tc>
        <w:tc>
          <w:tcPr>
            <w:tcW w:w="3660" w:type="dxa"/>
          </w:tcPr>
          <w:p w:rsidR="001A7779" w:rsidRDefault="001A7779">
            <w:pPr>
              <w:tabs>
                <w:tab w:val="left" w:pos="630"/>
              </w:tabs>
              <w:spacing w:before="60" w:after="60" w:line="360" w:lineRule="exact"/>
              <w:jc w:val="center"/>
              <w:rPr>
                <w:sz w:val="18"/>
              </w:rPr>
            </w:pPr>
            <w:r>
              <w:rPr>
                <w:sz w:val="18"/>
              </w:rPr>
              <w:t>31.8</w:t>
            </w:r>
          </w:p>
        </w:tc>
        <w:tc>
          <w:tcPr>
            <w:tcW w:w="3660" w:type="dxa"/>
          </w:tcPr>
          <w:p w:rsidR="001A7779" w:rsidRDefault="001A7779">
            <w:pPr>
              <w:tabs>
                <w:tab w:val="left" w:pos="630"/>
              </w:tabs>
              <w:spacing w:before="60" w:after="60" w:line="360" w:lineRule="exact"/>
              <w:jc w:val="center"/>
              <w:rPr>
                <w:sz w:val="18"/>
              </w:rPr>
            </w:pPr>
            <w:r>
              <w:rPr>
                <w:sz w:val="18"/>
              </w:rPr>
              <w:t>28.8</w:t>
            </w:r>
          </w:p>
        </w:tc>
      </w:tr>
      <w:tr w:rsidR="001A7779">
        <w:tblPrEx>
          <w:tblCellMar>
            <w:top w:w="0" w:type="dxa"/>
            <w:bottom w:w="0" w:type="dxa"/>
          </w:tblCellMar>
        </w:tblPrEx>
        <w:tc>
          <w:tcPr>
            <w:tcW w:w="2590" w:type="dxa"/>
          </w:tcPr>
          <w:p w:rsidR="001A7779" w:rsidRDefault="001A7779">
            <w:pPr>
              <w:tabs>
                <w:tab w:val="left" w:pos="630"/>
              </w:tabs>
              <w:spacing w:before="60" w:after="60" w:line="360" w:lineRule="exact"/>
              <w:rPr>
                <w:sz w:val="18"/>
              </w:rPr>
            </w:pPr>
            <w:r>
              <w:rPr>
                <w:sz w:val="18"/>
              </w:rPr>
              <w:t>2002</w:t>
            </w:r>
          </w:p>
        </w:tc>
        <w:tc>
          <w:tcPr>
            <w:tcW w:w="3660" w:type="dxa"/>
          </w:tcPr>
          <w:p w:rsidR="001A7779" w:rsidRDefault="001A7779">
            <w:pPr>
              <w:tabs>
                <w:tab w:val="left" w:pos="630"/>
              </w:tabs>
              <w:spacing w:before="60" w:after="60" w:line="360" w:lineRule="exact"/>
              <w:jc w:val="center"/>
              <w:rPr>
                <w:sz w:val="18"/>
              </w:rPr>
            </w:pPr>
            <w:r>
              <w:rPr>
                <w:sz w:val="18"/>
              </w:rPr>
              <w:t>32.3</w:t>
            </w:r>
          </w:p>
        </w:tc>
        <w:tc>
          <w:tcPr>
            <w:tcW w:w="3660" w:type="dxa"/>
          </w:tcPr>
          <w:p w:rsidR="001A7779" w:rsidRDefault="001A7779">
            <w:pPr>
              <w:tabs>
                <w:tab w:val="left" w:pos="630"/>
              </w:tabs>
              <w:spacing w:before="60" w:after="60" w:line="360" w:lineRule="exact"/>
              <w:jc w:val="center"/>
              <w:rPr>
                <w:sz w:val="18"/>
              </w:rPr>
            </w:pPr>
            <w:r>
              <w:rPr>
                <w:sz w:val="18"/>
              </w:rPr>
              <w:t>29.2</w:t>
            </w:r>
          </w:p>
        </w:tc>
      </w:tr>
      <w:tr w:rsidR="001A7779">
        <w:tblPrEx>
          <w:tblCellMar>
            <w:top w:w="0" w:type="dxa"/>
            <w:bottom w:w="0" w:type="dxa"/>
          </w:tblCellMar>
        </w:tblPrEx>
        <w:tc>
          <w:tcPr>
            <w:tcW w:w="2590" w:type="dxa"/>
          </w:tcPr>
          <w:p w:rsidR="001A7779" w:rsidRDefault="001A7779">
            <w:pPr>
              <w:tabs>
                <w:tab w:val="left" w:pos="630"/>
              </w:tabs>
              <w:spacing w:before="60" w:after="60" w:line="360" w:lineRule="exact"/>
              <w:rPr>
                <w:sz w:val="18"/>
              </w:rPr>
            </w:pPr>
            <w:r>
              <w:rPr>
                <w:sz w:val="18"/>
              </w:rPr>
              <w:t>2003</w:t>
            </w:r>
          </w:p>
        </w:tc>
        <w:tc>
          <w:tcPr>
            <w:tcW w:w="3660" w:type="dxa"/>
          </w:tcPr>
          <w:p w:rsidR="001A7779" w:rsidRDefault="001A7779">
            <w:pPr>
              <w:tabs>
                <w:tab w:val="left" w:pos="630"/>
              </w:tabs>
              <w:spacing w:before="60" w:after="60" w:line="360" w:lineRule="exact"/>
              <w:jc w:val="center"/>
              <w:rPr>
                <w:sz w:val="18"/>
              </w:rPr>
            </w:pPr>
            <w:r>
              <w:rPr>
                <w:sz w:val="18"/>
              </w:rPr>
              <w:t>32.3</w:t>
            </w:r>
          </w:p>
        </w:tc>
        <w:tc>
          <w:tcPr>
            <w:tcW w:w="3660" w:type="dxa"/>
          </w:tcPr>
          <w:p w:rsidR="001A7779" w:rsidRDefault="001A7779">
            <w:pPr>
              <w:tabs>
                <w:tab w:val="left" w:pos="630"/>
              </w:tabs>
              <w:spacing w:before="60" w:after="60" w:line="360" w:lineRule="exact"/>
              <w:jc w:val="center"/>
              <w:rPr>
                <w:sz w:val="18"/>
              </w:rPr>
            </w:pPr>
            <w:r>
              <w:rPr>
                <w:sz w:val="18"/>
              </w:rPr>
              <w:t>29.2</w:t>
            </w:r>
          </w:p>
        </w:tc>
      </w:tr>
      <w:tr w:rsidR="001A7779">
        <w:tblPrEx>
          <w:tblCellMar>
            <w:top w:w="0" w:type="dxa"/>
            <w:bottom w:w="0" w:type="dxa"/>
          </w:tblCellMar>
        </w:tblPrEx>
        <w:tc>
          <w:tcPr>
            <w:tcW w:w="2590" w:type="dxa"/>
          </w:tcPr>
          <w:p w:rsidR="001A7779" w:rsidRDefault="001A7779">
            <w:pPr>
              <w:tabs>
                <w:tab w:val="left" w:pos="630"/>
              </w:tabs>
              <w:spacing w:before="60" w:after="60" w:line="360" w:lineRule="exact"/>
              <w:rPr>
                <w:sz w:val="18"/>
              </w:rPr>
            </w:pPr>
            <w:r>
              <w:rPr>
                <w:sz w:val="18"/>
              </w:rPr>
              <w:t>2004</w:t>
            </w:r>
          </w:p>
        </w:tc>
        <w:tc>
          <w:tcPr>
            <w:tcW w:w="3660" w:type="dxa"/>
          </w:tcPr>
          <w:p w:rsidR="001A7779" w:rsidRDefault="001A7779">
            <w:pPr>
              <w:tabs>
                <w:tab w:val="left" w:pos="630"/>
              </w:tabs>
              <w:spacing w:before="60" w:after="60" w:line="360" w:lineRule="exact"/>
              <w:jc w:val="center"/>
              <w:rPr>
                <w:sz w:val="18"/>
              </w:rPr>
            </w:pPr>
            <w:r>
              <w:rPr>
                <w:sz w:val="18"/>
              </w:rPr>
              <w:t>32.6</w:t>
            </w:r>
          </w:p>
        </w:tc>
        <w:tc>
          <w:tcPr>
            <w:tcW w:w="3660" w:type="dxa"/>
          </w:tcPr>
          <w:p w:rsidR="001A7779" w:rsidRDefault="001A7779">
            <w:pPr>
              <w:tabs>
                <w:tab w:val="left" w:pos="630"/>
              </w:tabs>
              <w:spacing w:before="60" w:after="60" w:line="360" w:lineRule="exact"/>
              <w:jc w:val="center"/>
              <w:rPr>
                <w:sz w:val="18"/>
              </w:rPr>
            </w:pPr>
            <w:r>
              <w:rPr>
                <w:sz w:val="18"/>
              </w:rPr>
              <w:t>29.6</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表8：</w:t>
      </w:r>
      <w:r>
        <w:rPr>
          <w:rFonts w:ascii="SimHei" w:eastAsia="SimHei"/>
          <w:color w:val="FF0000"/>
        </w:rPr>
        <w:t xml:space="preserve">2000/2001 </w:t>
      </w:r>
      <w:r>
        <w:rPr>
          <w:rFonts w:ascii="SimHei" w:eastAsia="SimHei" w:hint="eastAsia"/>
          <w:color w:val="FF0000"/>
        </w:rPr>
        <w:t>至</w:t>
      </w:r>
      <w:r>
        <w:rPr>
          <w:rFonts w:ascii="SimHei" w:eastAsia="SimHei"/>
          <w:color w:val="FF0000"/>
        </w:rPr>
        <w:t xml:space="preserve"> 2003/2004</w:t>
      </w:r>
      <w:r>
        <w:rPr>
          <w:rFonts w:ascii="SimHei" w:eastAsia="SimHei" w:hint="eastAsia"/>
          <w:color w:val="FF0000"/>
        </w:rPr>
        <w:t>年按性别分列的出生时预期寿命</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3660"/>
        <w:gridCol w:w="3660"/>
      </w:tblGrid>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eastAsia="SimHei"/>
                <w:color w:val="FF0000"/>
                <w:sz w:val="18"/>
              </w:rPr>
            </w:pP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男</w:t>
            </w:r>
          </w:p>
        </w:tc>
        <w:tc>
          <w:tcPr>
            <w:tcW w:w="36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女</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hint="eastAsia"/>
                <w:sz w:val="18"/>
              </w:rPr>
            </w:pPr>
            <w:r>
              <w:rPr>
                <w:sz w:val="18"/>
              </w:rPr>
              <w:t>2000/2001</w:t>
            </w:r>
            <w:r>
              <w:rPr>
                <w:rFonts w:hint="eastAsia"/>
                <w:sz w:val="18"/>
              </w:rPr>
              <w:t>年</w:t>
            </w:r>
          </w:p>
        </w:tc>
        <w:tc>
          <w:tcPr>
            <w:tcW w:w="3660" w:type="dxa"/>
          </w:tcPr>
          <w:p w:rsidR="001A7779" w:rsidRDefault="001A7779">
            <w:pPr>
              <w:tabs>
                <w:tab w:val="left" w:pos="630"/>
              </w:tabs>
              <w:spacing w:before="60" w:after="60" w:line="360" w:lineRule="exact"/>
              <w:jc w:val="center"/>
              <w:rPr>
                <w:sz w:val="18"/>
              </w:rPr>
            </w:pPr>
            <w:r>
              <w:rPr>
                <w:sz w:val="18"/>
              </w:rPr>
              <w:t>72.1</w:t>
            </w:r>
          </w:p>
        </w:tc>
        <w:tc>
          <w:tcPr>
            <w:tcW w:w="3660" w:type="dxa"/>
          </w:tcPr>
          <w:p w:rsidR="001A7779" w:rsidRDefault="001A7779">
            <w:pPr>
              <w:tabs>
                <w:tab w:val="left" w:pos="630"/>
              </w:tabs>
              <w:spacing w:before="60" w:after="60" w:line="360" w:lineRule="exact"/>
              <w:jc w:val="center"/>
              <w:rPr>
                <w:sz w:val="18"/>
              </w:rPr>
            </w:pPr>
            <w:r>
              <w:rPr>
                <w:sz w:val="18"/>
              </w:rPr>
              <w:t>79.6</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hint="eastAsia"/>
                <w:sz w:val="18"/>
              </w:rPr>
            </w:pPr>
            <w:r>
              <w:rPr>
                <w:sz w:val="18"/>
              </w:rPr>
              <w:t>2001/2002</w:t>
            </w:r>
            <w:r>
              <w:rPr>
                <w:rFonts w:hint="eastAsia"/>
                <w:sz w:val="18"/>
              </w:rPr>
              <w:t>年</w:t>
            </w:r>
          </w:p>
        </w:tc>
        <w:tc>
          <w:tcPr>
            <w:tcW w:w="3660" w:type="dxa"/>
          </w:tcPr>
          <w:p w:rsidR="001A7779" w:rsidRDefault="001A7779">
            <w:pPr>
              <w:tabs>
                <w:tab w:val="left" w:pos="630"/>
              </w:tabs>
              <w:spacing w:before="60" w:after="60" w:line="360" w:lineRule="exact"/>
              <w:jc w:val="center"/>
              <w:rPr>
                <w:sz w:val="18"/>
              </w:rPr>
            </w:pPr>
            <w:r>
              <w:rPr>
                <w:sz w:val="18"/>
              </w:rPr>
              <w:t>72.3</w:t>
            </w:r>
          </w:p>
        </w:tc>
        <w:tc>
          <w:tcPr>
            <w:tcW w:w="3660" w:type="dxa"/>
          </w:tcPr>
          <w:p w:rsidR="001A7779" w:rsidRDefault="001A7779">
            <w:pPr>
              <w:tabs>
                <w:tab w:val="left" w:pos="630"/>
              </w:tabs>
              <w:spacing w:before="60" w:after="60" w:line="360" w:lineRule="exact"/>
              <w:jc w:val="center"/>
              <w:rPr>
                <w:sz w:val="18"/>
              </w:rPr>
            </w:pPr>
            <w:r>
              <w:rPr>
                <w:sz w:val="18"/>
              </w:rPr>
              <w:t>79.9</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hint="eastAsia"/>
                <w:sz w:val="18"/>
              </w:rPr>
            </w:pPr>
            <w:r>
              <w:rPr>
                <w:sz w:val="18"/>
              </w:rPr>
              <w:t>2002/2003</w:t>
            </w:r>
            <w:r>
              <w:rPr>
                <w:rFonts w:hint="eastAsia"/>
                <w:sz w:val="18"/>
              </w:rPr>
              <w:t>年</w:t>
            </w:r>
          </w:p>
        </w:tc>
        <w:tc>
          <w:tcPr>
            <w:tcW w:w="3660" w:type="dxa"/>
          </w:tcPr>
          <w:p w:rsidR="001A7779" w:rsidRDefault="001A7779">
            <w:pPr>
              <w:tabs>
                <w:tab w:val="left" w:pos="630"/>
              </w:tabs>
              <w:spacing w:before="60" w:after="60" w:line="360" w:lineRule="exact"/>
              <w:jc w:val="center"/>
              <w:rPr>
                <w:sz w:val="18"/>
              </w:rPr>
            </w:pPr>
            <w:r>
              <w:rPr>
                <w:sz w:val="18"/>
              </w:rPr>
              <w:t>73.2</w:t>
            </w:r>
          </w:p>
        </w:tc>
        <w:tc>
          <w:tcPr>
            <w:tcW w:w="3660" w:type="dxa"/>
          </w:tcPr>
          <w:p w:rsidR="001A7779" w:rsidRDefault="001A7779">
            <w:pPr>
              <w:tabs>
                <w:tab w:val="left" w:pos="630"/>
              </w:tabs>
              <w:spacing w:before="60" w:after="60" w:line="360" w:lineRule="exact"/>
              <w:jc w:val="center"/>
              <w:rPr>
                <w:sz w:val="18"/>
              </w:rPr>
            </w:pPr>
            <w:r>
              <w:rPr>
                <w:sz w:val="18"/>
              </w:rPr>
              <w:t>80.7</w:t>
            </w:r>
          </w:p>
        </w:tc>
      </w:tr>
      <w:tr w:rsidR="001A7779">
        <w:tblPrEx>
          <w:tblCellMar>
            <w:top w:w="0" w:type="dxa"/>
            <w:bottom w:w="0" w:type="dxa"/>
          </w:tblCellMar>
        </w:tblPrEx>
        <w:tc>
          <w:tcPr>
            <w:tcW w:w="2520" w:type="dxa"/>
          </w:tcPr>
          <w:p w:rsidR="001A7779" w:rsidRDefault="001A7779">
            <w:pPr>
              <w:tabs>
                <w:tab w:val="left" w:pos="630"/>
              </w:tabs>
              <w:spacing w:before="60" w:after="60" w:line="360" w:lineRule="exact"/>
              <w:rPr>
                <w:rFonts w:hint="eastAsia"/>
                <w:sz w:val="18"/>
              </w:rPr>
            </w:pPr>
            <w:r>
              <w:rPr>
                <w:sz w:val="18"/>
              </w:rPr>
              <w:t>2003/2004</w:t>
            </w:r>
            <w:r>
              <w:rPr>
                <w:rFonts w:hint="eastAsia"/>
                <w:sz w:val="18"/>
              </w:rPr>
              <w:t>年</w:t>
            </w:r>
          </w:p>
        </w:tc>
        <w:tc>
          <w:tcPr>
            <w:tcW w:w="3660" w:type="dxa"/>
          </w:tcPr>
          <w:p w:rsidR="001A7779" w:rsidRDefault="001A7779">
            <w:pPr>
              <w:tabs>
                <w:tab w:val="left" w:pos="630"/>
              </w:tabs>
              <w:spacing w:before="60" w:after="60" w:line="360" w:lineRule="exact"/>
              <w:jc w:val="center"/>
              <w:rPr>
                <w:sz w:val="18"/>
              </w:rPr>
            </w:pPr>
            <w:r>
              <w:rPr>
                <w:sz w:val="18"/>
              </w:rPr>
              <w:t>73.5</w:t>
            </w:r>
          </w:p>
        </w:tc>
        <w:tc>
          <w:tcPr>
            <w:tcW w:w="3660" w:type="dxa"/>
          </w:tcPr>
          <w:p w:rsidR="001A7779" w:rsidRDefault="001A7779">
            <w:pPr>
              <w:tabs>
                <w:tab w:val="left" w:pos="630"/>
              </w:tabs>
              <w:spacing w:before="60" w:after="60" w:line="360" w:lineRule="exact"/>
              <w:jc w:val="center"/>
              <w:rPr>
                <w:sz w:val="18"/>
              </w:rPr>
            </w:pPr>
            <w:r>
              <w:rPr>
                <w:sz w:val="18"/>
              </w:rPr>
              <w:t>81.1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9</w:t>
      </w:r>
      <w:r>
        <w:rPr>
          <w:rFonts w:ascii="SimHei" w:eastAsia="SimHei" w:hint="eastAsia"/>
          <w:color w:val="FF0000"/>
        </w:rPr>
        <w:t>：</w:t>
      </w:r>
      <w:r>
        <w:rPr>
          <w:rFonts w:ascii="SimHei" w:eastAsia="SimHei"/>
          <w:color w:val="FF0000"/>
        </w:rPr>
        <w:t xml:space="preserve">1999 </w:t>
      </w:r>
      <w:r>
        <w:rPr>
          <w:rFonts w:ascii="SimHei" w:eastAsia="SimHei"/>
          <w:color w:val="FF0000"/>
        </w:rPr>
        <w:t>–</w:t>
      </w:r>
      <w:r>
        <w:rPr>
          <w:rFonts w:ascii="SimHei" w:eastAsia="SimHei"/>
          <w:color w:val="FF0000"/>
        </w:rPr>
        <w:t xml:space="preserve"> 2004</w:t>
      </w:r>
      <w:r>
        <w:rPr>
          <w:rFonts w:ascii="SimHei" w:eastAsia="SimHei" w:hint="eastAsia"/>
          <w:color w:val="FF0000"/>
        </w:rPr>
        <w:t>年按性别分列的死亡人数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0"/>
        <w:gridCol w:w="2040"/>
        <w:gridCol w:w="2040"/>
        <w:gridCol w:w="2040"/>
        <w:gridCol w:w="2040"/>
      </w:tblGrid>
      <w:tr w:rsidR="001A7779">
        <w:tblPrEx>
          <w:tblCellMar>
            <w:top w:w="0" w:type="dxa"/>
            <w:bottom w:w="0" w:type="dxa"/>
          </w:tblCellMar>
        </w:tblPrEx>
        <w:tc>
          <w:tcPr>
            <w:tcW w:w="1750"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204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204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男</w:t>
            </w:r>
          </w:p>
        </w:tc>
        <w:tc>
          <w:tcPr>
            <w:tcW w:w="204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204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妇女占总数</w:t>
            </w:r>
            <w:r>
              <w:rPr>
                <w:rFonts w:ascii="SimHei" w:eastAsia="SimHei"/>
                <w:color w:val="FF0000"/>
                <w:sz w:val="18"/>
              </w:rPr>
              <w:t>%</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1999</w:t>
            </w:r>
          </w:p>
        </w:tc>
        <w:tc>
          <w:tcPr>
            <w:tcW w:w="2040" w:type="dxa"/>
          </w:tcPr>
          <w:p w:rsidR="001A7779" w:rsidRDefault="001A7779">
            <w:pPr>
              <w:tabs>
                <w:tab w:val="left" w:pos="630"/>
              </w:tabs>
              <w:spacing w:before="60" w:after="60" w:line="360" w:lineRule="exact"/>
              <w:jc w:val="center"/>
              <w:rPr>
                <w:sz w:val="18"/>
              </w:rPr>
            </w:pPr>
            <w:r>
              <w:rPr>
                <w:sz w:val="18"/>
              </w:rPr>
              <w:t>18 885</w:t>
            </w:r>
          </w:p>
        </w:tc>
        <w:tc>
          <w:tcPr>
            <w:tcW w:w="2040" w:type="dxa"/>
          </w:tcPr>
          <w:p w:rsidR="001A7779" w:rsidRDefault="001A7779">
            <w:pPr>
              <w:tabs>
                <w:tab w:val="left" w:pos="630"/>
              </w:tabs>
              <w:spacing w:before="60" w:after="60" w:line="360" w:lineRule="exact"/>
              <w:jc w:val="center"/>
              <w:rPr>
                <w:sz w:val="18"/>
              </w:rPr>
            </w:pPr>
            <w:r>
              <w:rPr>
                <w:sz w:val="18"/>
              </w:rPr>
              <w:t>9 671</w:t>
            </w:r>
          </w:p>
        </w:tc>
        <w:tc>
          <w:tcPr>
            <w:tcW w:w="2040" w:type="dxa"/>
          </w:tcPr>
          <w:p w:rsidR="001A7779" w:rsidRDefault="001A7779">
            <w:pPr>
              <w:tabs>
                <w:tab w:val="left" w:pos="630"/>
              </w:tabs>
              <w:spacing w:before="60" w:after="60" w:line="360" w:lineRule="exact"/>
              <w:jc w:val="center"/>
              <w:rPr>
                <w:sz w:val="18"/>
              </w:rPr>
            </w:pPr>
            <w:r>
              <w:rPr>
                <w:sz w:val="18"/>
              </w:rPr>
              <w:t>9 214</w:t>
            </w:r>
          </w:p>
        </w:tc>
        <w:tc>
          <w:tcPr>
            <w:tcW w:w="2040" w:type="dxa"/>
          </w:tcPr>
          <w:p w:rsidR="001A7779" w:rsidRDefault="001A7779">
            <w:pPr>
              <w:tabs>
                <w:tab w:val="left" w:pos="630"/>
              </w:tabs>
              <w:spacing w:before="60" w:after="60" w:line="360" w:lineRule="exact"/>
              <w:jc w:val="center"/>
              <w:rPr>
                <w:sz w:val="18"/>
              </w:rPr>
            </w:pPr>
            <w:r>
              <w:rPr>
                <w:sz w:val="18"/>
              </w:rPr>
              <w:t>48.8</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2000</w:t>
            </w:r>
          </w:p>
        </w:tc>
        <w:tc>
          <w:tcPr>
            <w:tcW w:w="2040" w:type="dxa"/>
          </w:tcPr>
          <w:p w:rsidR="001A7779" w:rsidRDefault="001A7779">
            <w:pPr>
              <w:tabs>
                <w:tab w:val="left" w:pos="630"/>
              </w:tabs>
              <w:spacing w:before="60" w:after="60" w:line="360" w:lineRule="exact"/>
              <w:jc w:val="center"/>
              <w:rPr>
                <w:sz w:val="18"/>
              </w:rPr>
            </w:pPr>
            <w:r>
              <w:rPr>
                <w:sz w:val="18"/>
              </w:rPr>
              <w:t>18 588</w:t>
            </w:r>
          </w:p>
        </w:tc>
        <w:tc>
          <w:tcPr>
            <w:tcW w:w="2040" w:type="dxa"/>
          </w:tcPr>
          <w:p w:rsidR="001A7779" w:rsidRDefault="001A7779">
            <w:pPr>
              <w:tabs>
                <w:tab w:val="left" w:pos="630"/>
              </w:tabs>
              <w:spacing w:before="60" w:after="60" w:line="360" w:lineRule="exact"/>
              <w:jc w:val="center"/>
              <w:rPr>
                <w:sz w:val="18"/>
              </w:rPr>
            </w:pPr>
            <w:r>
              <w:rPr>
                <w:sz w:val="18"/>
              </w:rPr>
              <w:t>9 557</w:t>
            </w:r>
          </w:p>
        </w:tc>
        <w:tc>
          <w:tcPr>
            <w:tcW w:w="2040" w:type="dxa"/>
          </w:tcPr>
          <w:p w:rsidR="001A7779" w:rsidRDefault="001A7779">
            <w:pPr>
              <w:tabs>
                <w:tab w:val="left" w:pos="630"/>
              </w:tabs>
              <w:spacing w:before="60" w:after="60" w:line="360" w:lineRule="exact"/>
              <w:jc w:val="center"/>
              <w:rPr>
                <w:sz w:val="18"/>
              </w:rPr>
            </w:pPr>
            <w:r>
              <w:rPr>
                <w:sz w:val="18"/>
              </w:rPr>
              <w:t>9 031</w:t>
            </w:r>
          </w:p>
        </w:tc>
        <w:tc>
          <w:tcPr>
            <w:tcW w:w="2040" w:type="dxa"/>
          </w:tcPr>
          <w:p w:rsidR="001A7779" w:rsidRDefault="001A7779">
            <w:pPr>
              <w:tabs>
                <w:tab w:val="left" w:pos="630"/>
              </w:tabs>
              <w:spacing w:before="60" w:after="60" w:line="360" w:lineRule="exact"/>
              <w:jc w:val="center"/>
              <w:rPr>
                <w:sz w:val="18"/>
              </w:rPr>
            </w:pPr>
            <w:r>
              <w:rPr>
                <w:sz w:val="18"/>
              </w:rPr>
              <w:t>48.6</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2001</w:t>
            </w:r>
          </w:p>
        </w:tc>
        <w:tc>
          <w:tcPr>
            <w:tcW w:w="2040" w:type="dxa"/>
          </w:tcPr>
          <w:p w:rsidR="001A7779" w:rsidRDefault="001A7779">
            <w:pPr>
              <w:tabs>
                <w:tab w:val="left" w:pos="630"/>
              </w:tabs>
              <w:spacing w:before="60" w:after="60" w:line="360" w:lineRule="exact"/>
              <w:jc w:val="center"/>
              <w:rPr>
                <w:sz w:val="18"/>
              </w:rPr>
            </w:pPr>
            <w:r>
              <w:rPr>
                <w:sz w:val="18"/>
              </w:rPr>
              <w:t>18 508</w:t>
            </w:r>
          </w:p>
        </w:tc>
        <w:tc>
          <w:tcPr>
            <w:tcW w:w="2040" w:type="dxa"/>
          </w:tcPr>
          <w:p w:rsidR="001A7779" w:rsidRDefault="001A7779">
            <w:pPr>
              <w:tabs>
                <w:tab w:val="left" w:pos="630"/>
              </w:tabs>
              <w:spacing w:before="60" w:after="60" w:line="360" w:lineRule="exact"/>
              <w:jc w:val="center"/>
              <w:rPr>
                <w:sz w:val="18"/>
              </w:rPr>
            </w:pPr>
            <w:r>
              <w:rPr>
                <w:sz w:val="18"/>
              </w:rPr>
              <w:t>9 654</w:t>
            </w:r>
          </w:p>
        </w:tc>
        <w:tc>
          <w:tcPr>
            <w:tcW w:w="2040" w:type="dxa"/>
          </w:tcPr>
          <w:p w:rsidR="001A7779" w:rsidRDefault="001A7779">
            <w:pPr>
              <w:tabs>
                <w:tab w:val="left" w:pos="630"/>
              </w:tabs>
              <w:spacing w:before="60" w:after="60" w:line="360" w:lineRule="exact"/>
              <w:jc w:val="center"/>
              <w:rPr>
                <w:sz w:val="18"/>
              </w:rPr>
            </w:pPr>
            <w:r>
              <w:rPr>
                <w:sz w:val="18"/>
              </w:rPr>
              <w:t>8 854</w:t>
            </w:r>
          </w:p>
        </w:tc>
        <w:tc>
          <w:tcPr>
            <w:tcW w:w="2040" w:type="dxa"/>
          </w:tcPr>
          <w:p w:rsidR="001A7779" w:rsidRDefault="001A7779">
            <w:pPr>
              <w:tabs>
                <w:tab w:val="left" w:pos="630"/>
              </w:tabs>
              <w:spacing w:before="60" w:after="60" w:line="360" w:lineRule="exact"/>
              <w:jc w:val="center"/>
              <w:rPr>
                <w:sz w:val="18"/>
              </w:rPr>
            </w:pPr>
            <w:r>
              <w:rPr>
                <w:sz w:val="18"/>
              </w:rPr>
              <w:t>47.8</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2002</w:t>
            </w:r>
          </w:p>
        </w:tc>
        <w:tc>
          <w:tcPr>
            <w:tcW w:w="2040" w:type="dxa"/>
          </w:tcPr>
          <w:p w:rsidR="001A7779" w:rsidRDefault="001A7779">
            <w:pPr>
              <w:tabs>
                <w:tab w:val="left" w:pos="630"/>
              </w:tabs>
              <w:spacing w:before="60" w:after="60" w:line="360" w:lineRule="exact"/>
              <w:jc w:val="center"/>
              <w:rPr>
                <w:sz w:val="18"/>
              </w:rPr>
            </w:pPr>
            <w:r>
              <w:rPr>
                <w:sz w:val="18"/>
              </w:rPr>
              <w:t>18 701</w:t>
            </w:r>
          </w:p>
        </w:tc>
        <w:tc>
          <w:tcPr>
            <w:tcW w:w="2040" w:type="dxa"/>
          </w:tcPr>
          <w:p w:rsidR="001A7779" w:rsidRDefault="001A7779">
            <w:pPr>
              <w:tabs>
                <w:tab w:val="left" w:pos="630"/>
              </w:tabs>
              <w:spacing w:before="60" w:after="60" w:line="360" w:lineRule="exact"/>
              <w:jc w:val="center"/>
              <w:rPr>
                <w:sz w:val="18"/>
              </w:rPr>
            </w:pPr>
            <w:r>
              <w:rPr>
                <w:sz w:val="18"/>
              </w:rPr>
              <w:t>9 696</w:t>
            </w:r>
          </w:p>
        </w:tc>
        <w:tc>
          <w:tcPr>
            <w:tcW w:w="2040" w:type="dxa"/>
          </w:tcPr>
          <w:p w:rsidR="001A7779" w:rsidRDefault="001A7779">
            <w:pPr>
              <w:tabs>
                <w:tab w:val="left" w:pos="630"/>
              </w:tabs>
              <w:spacing w:before="60" w:after="60" w:line="360" w:lineRule="exact"/>
              <w:jc w:val="center"/>
              <w:rPr>
                <w:sz w:val="18"/>
              </w:rPr>
            </w:pPr>
            <w:r>
              <w:rPr>
                <w:sz w:val="18"/>
              </w:rPr>
              <w:t>9 005</w:t>
            </w:r>
          </w:p>
        </w:tc>
        <w:tc>
          <w:tcPr>
            <w:tcW w:w="2040" w:type="dxa"/>
          </w:tcPr>
          <w:p w:rsidR="001A7779" w:rsidRDefault="001A7779">
            <w:pPr>
              <w:tabs>
                <w:tab w:val="left" w:pos="630"/>
              </w:tabs>
              <w:spacing w:before="60" w:after="60" w:line="360" w:lineRule="exact"/>
              <w:jc w:val="center"/>
              <w:rPr>
                <w:sz w:val="18"/>
              </w:rPr>
            </w:pPr>
            <w:r>
              <w:rPr>
                <w:sz w:val="18"/>
              </w:rPr>
              <w:t>48.2</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2003</w:t>
            </w:r>
          </w:p>
        </w:tc>
        <w:tc>
          <w:tcPr>
            <w:tcW w:w="2040" w:type="dxa"/>
          </w:tcPr>
          <w:p w:rsidR="001A7779" w:rsidRDefault="001A7779">
            <w:pPr>
              <w:tabs>
                <w:tab w:val="left" w:pos="630"/>
              </w:tabs>
              <w:spacing w:before="60" w:after="60" w:line="360" w:lineRule="exact"/>
              <w:jc w:val="center"/>
              <w:rPr>
                <w:sz w:val="18"/>
              </w:rPr>
            </w:pPr>
            <w:r>
              <w:rPr>
                <w:sz w:val="18"/>
              </w:rPr>
              <w:t>19 451</w:t>
            </w:r>
          </w:p>
        </w:tc>
        <w:tc>
          <w:tcPr>
            <w:tcW w:w="2040" w:type="dxa"/>
          </w:tcPr>
          <w:p w:rsidR="001A7779" w:rsidRDefault="001A7779">
            <w:pPr>
              <w:tabs>
                <w:tab w:val="left" w:pos="630"/>
              </w:tabs>
              <w:spacing w:before="60" w:after="60" w:line="360" w:lineRule="exact"/>
              <w:jc w:val="center"/>
              <w:rPr>
                <w:sz w:val="18"/>
              </w:rPr>
            </w:pPr>
            <w:r>
              <w:rPr>
                <w:sz w:val="18"/>
              </w:rPr>
              <w:t>10 075</w:t>
            </w:r>
          </w:p>
        </w:tc>
        <w:tc>
          <w:tcPr>
            <w:tcW w:w="2040" w:type="dxa"/>
          </w:tcPr>
          <w:p w:rsidR="001A7779" w:rsidRDefault="001A7779">
            <w:pPr>
              <w:tabs>
                <w:tab w:val="left" w:pos="630"/>
              </w:tabs>
              <w:spacing w:before="60" w:after="60" w:line="360" w:lineRule="exact"/>
              <w:jc w:val="center"/>
              <w:rPr>
                <w:sz w:val="18"/>
              </w:rPr>
            </w:pPr>
            <w:r>
              <w:rPr>
                <w:sz w:val="18"/>
              </w:rPr>
              <w:t>9 376</w:t>
            </w:r>
          </w:p>
        </w:tc>
        <w:tc>
          <w:tcPr>
            <w:tcW w:w="2040" w:type="dxa"/>
          </w:tcPr>
          <w:p w:rsidR="001A7779" w:rsidRDefault="001A7779">
            <w:pPr>
              <w:tabs>
                <w:tab w:val="left" w:pos="630"/>
              </w:tabs>
              <w:spacing w:before="60" w:after="60" w:line="360" w:lineRule="exact"/>
              <w:jc w:val="center"/>
              <w:rPr>
                <w:sz w:val="18"/>
              </w:rPr>
            </w:pPr>
            <w:r>
              <w:rPr>
                <w:sz w:val="18"/>
              </w:rPr>
              <w:t>48.2</w:t>
            </w:r>
          </w:p>
        </w:tc>
      </w:tr>
      <w:tr w:rsidR="001A7779">
        <w:tblPrEx>
          <w:tblCellMar>
            <w:top w:w="0" w:type="dxa"/>
            <w:bottom w:w="0" w:type="dxa"/>
          </w:tblCellMar>
        </w:tblPrEx>
        <w:tc>
          <w:tcPr>
            <w:tcW w:w="1750" w:type="dxa"/>
          </w:tcPr>
          <w:p w:rsidR="001A7779" w:rsidRDefault="001A7779">
            <w:pPr>
              <w:tabs>
                <w:tab w:val="left" w:pos="630"/>
              </w:tabs>
              <w:spacing w:before="60" w:after="60" w:line="360" w:lineRule="exact"/>
              <w:rPr>
                <w:sz w:val="18"/>
              </w:rPr>
            </w:pPr>
            <w:r>
              <w:rPr>
                <w:sz w:val="18"/>
              </w:rPr>
              <w:t>2004</w:t>
            </w:r>
          </w:p>
        </w:tc>
        <w:tc>
          <w:tcPr>
            <w:tcW w:w="2040" w:type="dxa"/>
          </w:tcPr>
          <w:p w:rsidR="001A7779" w:rsidRDefault="001A7779">
            <w:pPr>
              <w:tabs>
                <w:tab w:val="left" w:pos="630"/>
              </w:tabs>
              <w:spacing w:before="60" w:after="60" w:line="360" w:lineRule="exact"/>
              <w:jc w:val="center"/>
              <w:rPr>
                <w:sz w:val="18"/>
              </w:rPr>
            </w:pPr>
            <w:r>
              <w:rPr>
                <w:sz w:val="18"/>
              </w:rPr>
              <w:t>18 523</w:t>
            </w:r>
          </w:p>
        </w:tc>
        <w:tc>
          <w:tcPr>
            <w:tcW w:w="2040" w:type="dxa"/>
          </w:tcPr>
          <w:p w:rsidR="001A7779" w:rsidRDefault="001A7779">
            <w:pPr>
              <w:tabs>
                <w:tab w:val="left" w:pos="630"/>
              </w:tabs>
              <w:spacing w:before="60" w:after="60" w:line="360" w:lineRule="exact"/>
              <w:jc w:val="center"/>
              <w:rPr>
                <w:sz w:val="18"/>
              </w:rPr>
            </w:pPr>
            <w:r>
              <w:rPr>
                <w:sz w:val="18"/>
              </w:rPr>
              <w:t>9 479</w:t>
            </w:r>
          </w:p>
        </w:tc>
        <w:tc>
          <w:tcPr>
            <w:tcW w:w="2040" w:type="dxa"/>
          </w:tcPr>
          <w:p w:rsidR="001A7779" w:rsidRDefault="001A7779">
            <w:pPr>
              <w:tabs>
                <w:tab w:val="left" w:pos="630"/>
              </w:tabs>
              <w:spacing w:before="60" w:after="60" w:line="360" w:lineRule="exact"/>
              <w:jc w:val="center"/>
              <w:rPr>
                <w:sz w:val="18"/>
              </w:rPr>
            </w:pPr>
            <w:r>
              <w:rPr>
                <w:sz w:val="18"/>
              </w:rPr>
              <w:t>9 044</w:t>
            </w:r>
          </w:p>
        </w:tc>
        <w:tc>
          <w:tcPr>
            <w:tcW w:w="2040" w:type="dxa"/>
          </w:tcPr>
          <w:p w:rsidR="001A7779" w:rsidRDefault="001A7779">
            <w:pPr>
              <w:tabs>
                <w:tab w:val="left" w:pos="630"/>
              </w:tabs>
              <w:spacing w:before="60" w:after="60" w:line="360" w:lineRule="exact"/>
              <w:jc w:val="center"/>
              <w:rPr>
                <w:sz w:val="18"/>
              </w:rPr>
            </w:pPr>
            <w:r>
              <w:rPr>
                <w:sz w:val="18"/>
              </w:rPr>
              <w:t>48.8</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pStyle w:val="Date"/>
        <w:tabs>
          <w:tab w:val="left" w:pos="630"/>
        </w:tabs>
        <w:spacing w:after="240" w:line="360" w:lineRule="exact"/>
      </w:pP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表10：</w:t>
      </w:r>
      <w:r>
        <w:rPr>
          <w:rFonts w:ascii="SimHei" w:eastAsia="SimHei"/>
          <w:color w:val="FF0000"/>
        </w:rPr>
        <w:t xml:space="preserve">2000 </w:t>
      </w:r>
      <w:r>
        <w:rPr>
          <w:rFonts w:ascii="SimHei" w:eastAsia="SimHei"/>
          <w:color w:val="FF0000"/>
        </w:rPr>
        <w:t>–</w:t>
      </w:r>
      <w:r>
        <w:rPr>
          <w:rFonts w:ascii="SimHei" w:eastAsia="SimHei"/>
          <w:color w:val="FF0000"/>
        </w:rPr>
        <w:t xml:space="preserve"> 2004</w:t>
      </w:r>
      <w:r>
        <w:rPr>
          <w:rFonts w:ascii="SimHei" w:eastAsia="SimHei" w:hint="eastAsia"/>
          <w:color w:val="FF0000"/>
        </w:rPr>
        <w:t>年按性别分列的婴儿死亡人数</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752"/>
        <w:gridCol w:w="1752"/>
        <w:gridCol w:w="1752"/>
        <w:gridCol w:w="1752"/>
        <w:gridCol w:w="1752"/>
      </w:tblGrid>
      <w:tr w:rsidR="001A7779">
        <w:tblPrEx>
          <w:tblCellMar>
            <w:top w:w="0" w:type="dxa"/>
            <w:bottom w:w="0" w:type="dxa"/>
          </w:tblCellMar>
        </w:tblPrEx>
        <w:tc>
          <w:tcPr>
            <w:tcW w:w="1080" w:type="dxa"/>
            <w:vAlign w:val="center"/>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1752"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752"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男孩</w:t>
            </w:r>
          </w:p>
        </w:tc>
        <w:tc>
          <w:tcPr>
            <w:tcW w:w="1752"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女孩</w:t>
            </w:r>
          </w:p>
        </w:tc>
        <w:tc>
          <w:tcPr>
            <w:tcW w:w="1752"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女孩占总数</w:t>
            </w:r>
            <w:r>
              <w:rPr>
                <w:rFonts w:ascii="SimHei" w:eastAsia="SimHei"/>
                <w:color w:val="FF0000"/>
                <w:sz w:val="18"/>
              </w:rPr>
              <w:t>%</w:t>
            </w:r>
          </w:p>
        </w:tc>
        <w:tc>
          <w:tcPr>
            <w:tcW w:w="1752"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每1000名活产婴儿死亡率</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2000</w:t>
            </w:r>
          </w:p>
        </w:tc>
        <w:tc>
          <w:tcPr>
            <w:tcW w:w="1752" w:type="dxa"/>
          </w:tcPr>
          <w:p w:rsidR="001A7779" w:rsidRDefault="001A7779">
            <w:pPr>
              <w:tabs>
                <w:tab w:val="left" w:pos="630"/>
              </w:tabs>
              <w:spacing w:before="60" w:after="60" w:line="360" w:lineRule="exact"/>
              <w:jc w:val="center"/>
              <w:rPr>
                <w:sz w:val="18"/>
              </w:rPr>
            </w:pPr>
            <w:r>
              <w:rPr>
                <w:sz w:val="18"/>
              </w:rPr>
              <w:t>89</w:t>
            </w:r>
          </w:p>
        </w:tc>
        <w:tc>
          <w:tcPr>
            <w:tcW w:w="1752" w:type="dxa"/>
          </w:tcPr>
          <w:p w:rsidR="001A7779" w:rsidRDefault="001A7779">
            <w:pPr>
              <w:tabs>
                <w:tab w:val="left" w:pos="630"/>
              </w:tabs>
              <w:spacing w:before="60" w:after="60" w:line="360" w:lineRule="exact"/>
              <w:jc w:val="center"/>
              <w:rPr>
                <w:sz w:val="18"/>
              </w:rPr>
            </w:pPr>
            <w:r>
              <w:rPr>
                <w:sz w:val="18"/>
              </w:rPr>
              <w:t>52</w:t>
            </w:r>
          </w:p>
        </w:tc>
        <w:tc>
          <w:tcPr>
            <w:tcW w:w="1752" w:type="dxa"/>
          </w:tcPr>
          <w:p w:rsidR="001A7779" w:rsidRDefault="001A7779">
            <w:pPr>
              <w:tabs>
                <w:tab w:val="left" w:pos="630"/>
              </w:tabs>
              <w:spacing w:before="60" w:after="60" w:line="360" w:lineRule="exact"/>
              <w:jc w:val="center"/>
              <w:rPr>
                <w:sz w:val="18"/>
              </w:rPr>
            </w:pPr>
            <w:r>
              <w:rPr>
                <w:sz w:val="18"/>
              </w:rPr>
              <w:t>37</w:t>
            </w:r>
          </w:p>
        </w:tc>
        <w:tc>
          <w:tcPr>
            <w:tcW w:w="1752" w:type="dxa"/>
          </w:tcPr>
          <w:p w:rsidR="001A7779" w:rsidRDefault="001A7779">
            <w:pPr>
              <w:tabs>
                <w:tab w:val="left" w:pos="630"/>
              </w:tabs>
              <w:spacing w:before="60" w:after="60" w:line="360" w:lineRule="exact"/>
              <w:jc w:val="center"/>
              <w:rPr>
                <w:sz w:val="18"/>
              </w:rPr>
            </w:pPr>
            <w:r>
              <w:rPr>
                <w:sz w:val="18"/>
              </w:rPr>
              <w:t>41.6</w:t>
            </w:r>
          </w:p>
        </w:tc>
        <w:tc>
          <w:tcPr>
            <w:tcW w:w="1752" w:type="dxa"/>
          </w:tcPr>
          <w:p w:rsidR="001A7779" w:rsidRDefault="001A7779">
            <w:pPr>
              <w:tabs>
                <w:tab w:val="left" w:pos="630"/>
              </w:tabs>
              <w:spacing w:before="60" w:after="60" w:line="360" w:lineRule="exact"/>
              <w:jc w:val="center"/>
              <w:rPr>
                <w:sz w:val="18"/>
              </w:rPr>
            </w:pPr>
            <w:r>
              <w:rPr>
                <w:sz w:val="18"/>
              </w:rPr>
              <w:t>4.9</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2001</w:t>
            </w:r>
          </w:p>
        </w:tc>
        <w:tc>
          <w:tcPr>
            <w:tcW w:w="1752" w:type="dxa"/>
          </w:tcPr>
          <w:p w:rsidR="001A7779" w:rsidRDefault="001A7779">
            <w:pPr>
              <w:tabs>
                <w:tab w:val="left" w:pos="630"/>
              </w:tabs>
              <w:spacing w:before="60" w:after="60" w:line="360" w:lineRule="exact"/>
              <w:jc w:val="center"/>
              <w:rPr>
                <w:sz w:val="18"/>
              </w:rPr>
            </w:pPr>
            <w:r>
              <w:rPr>
                <w:sz w:val="18"/>
              </w:rPr>
              <w:t>74</w:t>
            </w:r>
          </w:p>
        </w:tc>
        <w:tc>
          <w:tcPr>
            <w:tcW w:w="1752" w:type="dxa"/>
          </w:tcPr>
          <w:p w:rsidR="001A7779" w:rsidRDefault="001A7779">
            <w:pPr>
              <w:tabs>
                <w:tab w:val="left" w:pos="630"/>
              </w:tabs>
              <w:spacing w:before="60" w:after="60" w:line="360" w:lineRule="exact"/>
              <w:jc w:val="center"/>
              <w:rPr>
                <w:sz w:val="18"/>
              </w:rPr>
            </w:pPr>
            <w:r>
              <w:rPr>
                <w:sz w:val="18"/>
              </w:rPr>
              <w:t>44</w:t>
            </w:r>
          </w:p>
        </w:tc>
        <w:tc>
          <w:tcPr>
            <w:tcW w:w="1752" w:type="dxa"/>
          </w:tcPr>
          <w:p w:rsidR="001A7779" w:rsidRDefault="001A7779">
            <w:pPr>
              <w:tabs>
                <w:tab w:val="left" w:pos="630"/>
              </w:tabs>
              <w:spacing w:before="60" w:after="60" w:line="360" w:lineRule="exact"/>
              <w:jc w:val="center"/>
              <w:rPr>
                <w:sz w:val="18"/>
              </w:rPr>
            </w:pPr>
            <w:r>
              <w:rPr>
                <w:sz w:val="18"/>
              </w:rPr>
              <w:t>30</w:t>
            </w:r>
          </w:p>
        </w:tc>
        <w:tc>
          <w:tcPr>
            <w:tcW w:w="1752" w:type="dxa"/>
          </w:tcPr>
          <w:p w:rsidR="001A7779" w:rsidRDefault="001A7779">
            <w:pPr>
              <w:tabs>
                <w:tab w:val="left" w:pos="630"/>
              </w:tabs>
              <w:spacing w:before="60" w:after="60" w:line="360" w:lineRule="exact"/>
              <w:jc w:val="center"/>
              <w:rPr>
                <w:sz w:val="18"/>
              </w:rPr>
            </w:pPr>
            <w:r>
              <w:rPr>
                <w:sz w:val="18"/>
              </w:rPr>
              <w:t>40.5</w:t>
            </w:r>
          </w:p>
        </w:tc>
        <w:tc>
          <w:tcPr>
            <w:tcW w:w="1752" w:type="dxa"/>
          </w:tcPr>
          <w:p w:rsidR="001A7779" w:rsidRDefault="001A7779">
            <w:pPr>
              <w:tabs>
                <w:tab w:val="left" w:pos="630"/>
              </w:tabs>
              <w:spacing w:before="60" w:after="60" w:line="360" w:lineRule="exact"/>
              <w:jc w:val="center"/>
              <w:rPr>
                <w:sz w:val="18"/>
              </w:rPr>
            </w:pPr>
            <w:r>
              <w:rPr>
                <w:sz w:val="18"/>
              </w:rPr>
              <w:t>4.2</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2002</w:t>
            </w:r>
          </w:p>
        </w:tc>
        <w:tc>
          <w:tcPr>
            <w:tcW w:w="1752" w:type="dxa"/>
          </w:tcPr>
          <w:p w:rsidR="001A7779" w:rsidRDefault="001A7779">
            <w:pPr>
              <w:tabs>
                <w:tab w:val="left" w:pos="630"/>
              </w:tabs>
              <w:spacing w:before="60" w:after="60" w:line="360" w:lineRule="exact"/>
              <w:jc w:val="center"/>
              <w:rPr>
                <w:sz w:val="18"/>
              </w:rPr>
            </w:pPr>
            <w:r>
              <w:rPr>
                <w:sz w:val="18"/>
              </w:rPr>
              <w:t>67</w:t>
            </w:r>
          </w:p>
        </w:tc>
        <w:tc>
          <w:tcPr>
            <w:tcW w:w="1752" w:type="dxa"/>
          </w:tcPr>
          <w:p w:rsidR="001A7779" w:rsidRDefault="001A7779">
            <w:pPr>
              <w:tabs>
                <w:tab w:val="left" w:pos="630"/>
              </w:tabs>
              <w:spacing w:before="60" w:after="60" w:line="360" w:lineRule="exact"/>
              <w:jc w:val="center"/>
              <w:rPr>
                <w:sz w:val="18"/>
              </w:rPr>
            </w:pPr>
            <w:r>
              <w:rPr>
                <w:sz w:val="18"/>
              </w:rPr>
              <w:t>44</w:t>
            </w:r>
          </w:p>
        </w:tc>
        <w:tc>
          <w:tcPr>
            <w:tcW w:w="1752" w:type="dxa"/>
          </w:tcPr>
          <w:p w:rsidR="001A7779" w:rsidRDefault="001A7779">
            <w:pPr>
              <w:tabs>
                <w:tab w:val="left" w:pos="630"/>
              </w:tabs>
              <w:spacing w:before="60" w:after="60" w:line="360" w:lineRule="exact"/>
              <w:jc w:val="center"/>
              <w:rPr>
                <w:sz w:val="18"/>
              </w:rPr>
            </w:pPr>
            <w:r>
              <w:rPr>
                <w:sz w:val="18"/>
              </w:rPr>
              <w:t>23</w:t>
            </w:r>
          </w:p>
        </w:tc>
        <w:tc>
          <w:tcPr>
            <w:tcW w:w="1752" w:type="dxa"/>
          </w:tcPr>
          <w:p w:rsidR="001A7779" w:rsidRDefault="001A7779">
            <w:pPr>
              <w:tabs>
                <w:tab w:val="left" w:pos="630"/>
              </w:tabs>
              <w:spacing w:before="60" w:after="60" w:line="360" w:lineRule="exact"/>
              <w:jc w:val="center"/>
              <w:rPr>
                <w:sz w:val="18"/>
              </w:rPr>
            </w:pPr>
            <w:r>
              <w:rPr>
                <w:sz w:val="18"/>
              </w:rPr>
              <w:t>34.3</w:t>
            </w:r>
          </w:p>
        </w:tc>
        <w:tc>
          <w:tcPr>
            <w:tcW w:w="1752" w:type="dxa"/>
          </w:tcPr>
          <w:p w:rsidR="001A7779" w:rsidRDefault="001A7779">
            <w:pPr>
              <w:tabs>
                <w:tab w:val="left" w:pos="630"/>
              </w:tabs>
              <w:spacing w:before="60" w:after="60" w:line="360" w:lineRule="exact"/>
              <w:jc w:val="center"/>
              <w:rPr>
                <w:sz w:val="18"/>
              </w:rPr>
            </w:pPr>
            <w:r>
              <w:rPr>
                <w:sz w:val="18"/>
              </w:rPr>
              <w:t>3.8</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2003</w:t>
            </w:r>
          </w:p>
        </w:tc>
        <w:tc>
          <w:tcPr>
            <w:tcW w:w="1752" w:type="dxa"/>
          </w:tcPr>
          <w:p w:rsidR="001A7779" w:rsidRDefault="001A7779">
            <w:pPr>
              <w:tabs>
                <w:tab w:val="left" w:pos="630"/>
              </w:tabs>
              <w:spacing w:before="60" w:after="60" w:line="360" w:lineRule="exact"/>
              <w:jc w:val="center"/>
              <w:rPr>
                <w:sz w:val="18"/>
              </w:rPr>
            </w:pPr>
            <w:r>
              <w:rPr>
                <w:sz w:val="18"/>
              </w:rPr>
              <w:t>69</w:t>
            </w:r>
          </w:p>
        </w:tc>
        <w:tc>
          <w:tcPr>
            <w:tcW w:w="1752" w:type="dxa"/>
          </w:tcPr>
          <w:p w:rsidR="001A7779" w:rsidRDefault="001A7779">
            <w:pPr>
              <w:tabs>
                <w:tab w:val="left" w:pos="630"/>
              </w:tabs>
              <w:spacing w:before="60" w:after="60" w:line="360" w:lineRule="exact"/>
              <w:jc w:val="center"/>
              <w:rPr>
                <w:sz w:val="18"/>
              </w:rPr>
            </w:pPr>
            <w:r>
              <w:rPr>
                <w:sz w:val="18"/>
              </w:rPr>
              <w:t>37</w:t>
            </w:r>
          </w:p>
        </w:tc>
        <w:tc>
          <w:tcPr>
            <w:tcW w:w="1752" w:type="dxa"/>
          </w:tcPr>
          <w:p w:rsidR="001A7779" w:rsidRDefault="001A7779">
            <w:pPr>
              <w:tabs>
                <w:tab w:val="left" w:pos="630"/>
              </w:tabs>
              <w:spacing w:before="60" w:after="60" w:line="360" w:lineRule="exact"/>
              <w:jc w:val="center"/>
              <w:rPr>
                <w:sz w:val="18"/>
              </w:rPr>
            </w:pPr>
            <w:r>
              <w:rPr>
                <w:sz w:val="18"/>
              </w:rPr>
              <w:t>32</w:t>
            </w:r>
          </w:p>
        </w:tc>
        <w:tc>
          <w:tcPr>
            <w:tcW w:w="1752" w:type="dxa"/>
          </w:tcPr>
          <w:p w:rsidR="001A7779" w:rsidRDefault="001A7779">
            <w:pPr>
              <w:tabs>
                <w:tab w:val="left" w:pos="630"/>
              </w:tabs>
              <w:spacing w:before="60" w:after="60" w:line="360" w:lineRule="exact"/>
              <w:jc w:val="center"/>
              <w:rPr>
                <w:sz w:val="18"/>
              </w:rPr>
            </w:pPr>
            <w:r>
              <w:rPr>
                <w:sz w:val="18"/>
              </w:rPr>
              <w:t>46.4</w:t>
            </w:r>
          </w:p>
        </w:tc>
        <w:tc>
          <w:tcPr>
            <w:tcW w:w="1752" w:type="dxa"/>
          </w:tcPr>
          <w:p w:rsidR="001A7779" w:rsidRDefault="001A7779">
            <w:pPr>
              <w:tabs>
                <w:tab w:val="left" w:pos="630"/>
              </w:tabs>
              <w:spacing w:before="60" w:after="60" w:line="360" w:lineRule="exact"/>
              <w:jc w:val="center"/>
              <w:rPr>
                <w:sz w:val="18"/>
              </w:rPr>
            </w:pPr>
            <w:r>
              <w:rPr>
                <w:sz w:val="18"/>
              </w:rPr>
              <w:t>4.0</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2004</w:t>
            </w:r>
          </w:p>
        </w:tc>
        <w:tc>
          <w:tcPr>
            <w:tcW w:w="1752" w:type="dxa"/>
          </w:tcPr>
          <w:p w:rsidR="001A7779" w:rsidRDefault="001A7779">
            <w:pPr>
              <w:tabs>
                <w:tab w:val="left" w:pos="630"/>
              </w:tabs>
              <w:spacing w:before="60" w:after="60" w:line="360" w:lineRule="exact"/>
              <w:jc w:val="center"/>
              <w:rPr>
                <w:sz w:val="18"/>
              </w:rPr>
            </w:pPr>
            <w:r>
              <w:rPr>
                <w:sz w:val="18"/>
              </w:rPr>
              <w:t>66</w:t>
            </w:r>
          </w:p>
        </w:tc>
        <w:tc>
          <w:tcPr>
            <w:tcW w:w="1752" w:type="dxa"/>
          </w:tcPr>
          <w:p w:rsidR="001A7779" w:rsidRDefault="001A7779">
            <w:pPr>
              <w:tabs>
                <w:tab w:val="left" w:pos="630"/>
              </w:tabs>
              <w:spacing w:before="60" w:after="60" w:line="360" w:lineRule="exact"/>
              <w:jc w:val="center"/>
              <w:rPr>
                <w:sz w:val="18"/>
              </w:rPr>
            </w:pPr>
            <w:r>
              <w:rPr>
                <w:sz w:val="18"/>
              </w:rPr>
              <w:t>32</w:t>
            </w:r>
          </w:p>
        </w:tc>
        <w:tc>
          <w:tcPr>
            <w:tcW w:w="1752" w:type="dxa"/>
          </w:tcPr>
          <w:p w:rsidR="001A7779" w:rsidRDefault="001A7779">
            <w:pPr>
              <w:tabs>
                <w:tab w:val="left" w:pos="630"/>
              </w:tabs>
              <w:spacing w:before="60" w:after="60" w:line="360" w:lineRule="exact"/>
              <w:jc w:val="center"/>
              <w:rPr>
                <w:sz w:val="18"/>
              </w:rPr>
            </w:pPr>
            <w:r>
              <w:rPr>
                <w:sz w:val="18"/>
              </w:rPr>
              <w:t>34</w:t>
            </w:r>
          </w:p>
        </w:tc>
        <w:tc>
          <w:tcPr>
            <w:tcW w:w="1752" w:type="dxa"/>
          </w:tcPr>
          <w:p w:rsidR="001A7779" w:rsidRDefault="001A7779">
            <w:pPr>
              <w:tabs>
                <w:tab w:val="left" w:pos="630"/>
              </w:tabs>
              <w:spacing w:before="60" w:after="60" w:line="360" w:lineRule="exact"/>
              <w:jc w:val="center"/>
              <w:rPr>
                <w:sz w:val="18"/>
              </w:rPr>
            </w:pPr>
            <w:r>
              <w:rPr>
                <w:sz w:val="18"/>
              </w:rPr>
              <w:t>51.5</w:t>
            </w:r>
          </w:p>
        </w:tc>
        <w:tc>
          <w:tcPr>
            <w:tcW w:w="1752" w:type="dxa"/>
          </w:tcPr>
          <w:p w:rsidR="001A7779" w:rsidRDefault="001A7779">
            <w:pPr>
              <w:tabs>
                <w:tab w:val="left" w:pos="630"/>
              </w:tabs>
              <w:spacing w:before="60" w:after="60" w:line="360" w:lineRule="exact"/>
              <w:jc w:val="center"/>
              <w:rPr>
                <w:sz w:val="18"/>
              </w:rPr>
            </w:pPr>
            <w:r>
              <w:rPr>
                <w:sz w:val="18"/>
              </w:rPr>
              <w:t>3.7</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 xml:space="preserve"> 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11</w:t>
      </w:r>
      <w:r>
        <w:rPr>
          <w:rFonts w:ascii="SimHei" w:eastAsia="SimHei" w:hint="eastAsia"/>
          <w:color w:val="FF0000"/>
        </w:rPr>
        <w:t>：</w:t>
      </w:r>
      <w:r>
        <w:rPr>
          <w:rFonts w:ascii="SimHei" w:eastAsia="SimHei"/>
          <w:color w:val="FF0000"/>
        </w:rPr>
        <w:t xml:space="preserve">2000 </w:t>
      </w:r>
      <w:r>
        <w:rPr>
          <w:rFonts w:ascii="SimHei" w:eastAsia="SimHei" w:hint="eastAsia"/>
          <w:color w:val="FF0000"/>
        </w:rPr>
        <w:t>-</w:t>
      </w:r>
      <w:r>
        <w:rPr>
          <w:rFonts w:ascii="SimHei" w:eastAsia="SimHei"/>
          <w:color w:val="FF0000"/>
        </w:rPr>
        <w:t>2004</w:t>
      </w:r>
      <w:r>
        <w:rPr>
          <w:rFonts w:ascii="SimHei" w:eastAsia="SimHei" w:hint="eastAsia"/>
          <w:color w:val="FF0000"/>
        </w:rPr>
        <w:t>年按性别分列的失业率</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8"/>
        <w:gridCol w:w="1640"/>
        <w:gridCol w:w="1641"/>
        <w:gridCol w:w="1639"/>
        <w:gridCol w:w="1641"/>
        <w:gridCol w:w="1641"/>
      </w:tblGrid>
      <w:tr w:rsidR="001A7779">
        <w:tblPrEx>
          <w:tblCellMar>
            <w:top w:w="0" w:type="dxa"/>
            <w:bottom w:w="0" w:type="dxa"/>
          </w:tblCellMar>
        </w:tblPrEx>
        <w:tc>
          <w:tcPr>
            <w:tcW w:w="832" w:type="pct"/>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833" w:type="pct"/>
          </w:tcPr>
          <w:p w:rsidR="001A7779" w:rsidRDefault="001A7779">
            <w:pPr>
              <w:tabs>
                <w:tab w:val="left" w:pos="630"/>
              </w:tabs>
              <w:spacing w:before="60" w:after="60" w:line="360" w:lineRule="exact"/>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83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833"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83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83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1A7779">
        <w:tblPrEx>
          <w:tblCellMar>
            <w:top w:w="0" w:type="dxa"/>
            <w:bottom w:w="0" w:type="dxa"/>
          </w:tblCellMar>
        </w:tblPrEx>
        <w:tc>
          <w:tcPr>
            <w:tcW w:w="832" w:type="pct"/>
          </w:tcPr>
          <w:p w:rsidR="001A7779" w:rsidRDefault="001A7779">
            <w:pPr>
              <w:tabs>
                <w:tab w:val="left" w:pos="630"/>
              </w:tabs>
              <w:spacing w:before="60" w:after="60" w:line="360" w:lineRule="exact"/>
              <w:rPr>
                <w:sz w:val="18"/>
              </w:rPr>
            </w:pPr>
            <w:r>
              <w:rPr>
                <w:rFonts w:hint="eastAsia"/>
                <w:sz w:val="18"/>
              </w:rPr>
              <w:t>总计</w:t>
            </w:r>
          </w:p>
        </w:tc>
        <w:tc>
          <w:tcPr>
            <w:tcW w:w="833" w:type="pct"/>
          </w:tcPr>
          <w:p w:rsidR="001A7779" w:rsidRDefault="001A7779">
            <w:pPr>
              <w:tabs>
                <w:tab w:val="left" w:pos="630"/>
              </w:tabs>
              <w:spacing w:before="60" w:after="60" w:line="360" w:lineRule="exact"/>
              <w:jc w:val="center"/>
              <w:rPr>
                <w:sz w:val="18"/>
              </w:rPr>
            </w:pPr>
            <w:r>
              <w:rPr>
                <w:sz w:val="18"/>
              </w:rPr>
              <w:t>7.7</w:t>
            </w:r>
          </w:p>
        </w:tc>
        <w:tc>
          <w:tcPr>
            <w:tcW w:w="834" w:type="pct"/>
          </w:tcPr>
          <w:p w:rsidR="001A7779" w:rsidRDefault="001A7779">
            <w:pPr>
              <w:tabs>
                <w:tab w:val="left" w:pos="630"/>
              </w:tabs>
              <w:spacing w:before="60" w:after="60" w:line="360" w:lineRule="exact"/>
              <w:jc w:val="center"/>
              <w:rPr>
                <w:sz w:val="18"/>
              </w:rPr>
            </w:pPr>
            <w:r>
              <w:rPr>
                <w:sz w:val="18"/>
              </w:rPr>
              <w:t>5.9</w:t>
            </w:r>
          </w:p>
        </w:tc>
        <w:tc>
          <w:tcPr>
            <w:tcW w:w="833" w:type="pct"/>
          </w:tcPr>
          <w:p w:rsidR="001A7779" w:rsidRDefault="001A7779">
            <w:pPr>
              <w:tabs>
                <w:tab w:val="left" w:pos="630"/>
              </w:tabs>
              <w:spacing w:before="60" w:after="60" w:line="360" w:lineRule="exact"/>
              <w:jc w:val="center"/>
              <w:rPr>
                <w:sz w:val="18"/>
              </w:rPr>
            </w:pPr>
            <w:r>
              <w:rPr>
                <w:sz w:val="18"/>
              </w:rPr>
              <w:t>5.9</w:t>
            </w:r>
          </w:p>
        </w:tc>
        <w:tc>
          <w:tcPr>
            <w:tcW w:w="834" w:type="pct"/>
          </w:tcPr>
          <w:p w:rsidR="001A7779" w:rsidRDefault="001A7779">
            <w:pPr>
              <w:tabs>
                <w:tab w:val="left" w:pos="630"/>
              </w:tabs>
              <w:spacing w:before="60" w:after="60" w:line="360" w:lineRule="exact"/>
              <w:jc w:val="center"/>
              <w:rPr>
                <w:sz w:val="18"/>
              </w:rPr>
            </w:pPr>
            <w:r>
              <w:rPr>
                <w:sz w:val="18"/>
              </w:rPr>
              <w:t>6.6</w:t>
            </w:r>
          </w:p>
        </w:tc>
        <w:tc>
          <w:tcPr>
            <w:tcW w:w="834" w:type="pct"/>
          </w:tcPr>
          <w:p w:rsidR="001A7779" w:rsidRDefault="001A7779">
            <w:pPr>
              <w:tabs>
                <w:tab w:val="left" w:pos="630"/>
              </w:tabs>
              <w:spacing w:before="60" w:after="60" w:line="360" w:lineRule="exact"/>
              <w:jc w:val="center"/>
              <w:rPr>
                <w:sz w:val="18"/>
              </w:rPr>
            </w:pPr>
            <w:r>
              <w:rPr>
                <w:sz w:val="18"/>
              </w:rPr>
              <w:t>6.1</w:t>
            </w:r>
          </w:p>
        </w:tc>
      </w:tr>
      <w:tr w:rsidR="001A7779">
        <w:tblPrEx>
          <w:tblCellMar>
            <w:top w:w="0" w:type="dxa"/>
            <w:bottom w:w="0" w:type="dxa"/>
          </w:tblCellMar>
        </w:tblPrEx>
        <w:tc>
          <w:tcPr>
            <w:tcW w:w="832" w:type="pct"/>
          </w:tcPr>
          <w:p w:rsidR="001A7779" w:rsidRDefault="001A7779">
            <w:pPr>
              <w:tabs>
                <w:tab w:val="left" w:pos="630"/>
              </w:tabs>
              <w:spacing w:before="60" w:after="60" w:line="360" w:lineRule="exact"/>
              <w:rPr>
                <w:sz w:val="18"/>
              </w:rPr>
            </w:pPr>
            <w:r>
              <w:rPr>
                <w:rFonts w:hint="eastAsia"/>
                <w:sz w:val="18"/>
              </w:rPr>
              <w:t>女</w:t>
            </w:r>
          </w:p>
        </w:tc>
        <w:tc>
          <w:tcPr>
            <w:tcW w:w="833" w:type="pct"/>
          </w:tcPr>
          <w:p w:rsidR="001A7779" w:rsidRDefault="001A7779">
            <w:pPr>
              <w:tabs>
                <w:tab w:val="left" w:pos="630"/>
              </w:tabs>
              <w:spacing w:before="60" w:after="60" w:line="360" w:lineRule="exact"/>
              <w:jc w:val="center"/>
              <w:rPr>
                <w:sz w:val="18"/>
              </w:rPr>
            </w:pPr>
            <w:r>
              <w:rPr>
                <w:sz w:val="18"/>
              </w:rPr>
              <w:t>7.7</w:t>
            </w:r>
          </w:p>
        </w:tc>
        <w:tc>
          <w:tcPr>
            <w:tcW w:w="834" w:type="pct"/>
          </w:tcPr>
          <w:p w:rsidR="001A7779" w:rsidRDefault="001A7779">
            <w:pPr>
              <w:tabs>
                <w:tab w:val="left" w:pos="630"/>
              </w:tabs>
              <w:spacing w:before="60" w:after="60" w:line="360" w:lineRule="exact"/>
              <w:jc w:val="center"/>
              <w:rPr>
                <w:sz w:val="18"/>
              </w:rPr>
            </w:pPr>
            <w:r>
              <w:rPr>
                <w:sz w:val="18"/>
              </w:rPr>
              <w:t>6.3</w:t>
            </w:r>
          </w:p>
        </w:tc>
        <w:tc>
          <w:tcPr>
            <w:tcW w:w="833" w:type="pct"/>
          </w:tcPr>
          <w:p w:rsidR="001A7779" w:rsidRDefault="001A7779">
            <w:pPr>
              <w:tabs>
                <w:tab w:val="left" w:pos="630"/>
              </w:tabs>
              <w:spacing w:before="60" w:after="60" w:line="360" w:lineRule="exact"/>
              <w:jc w:val="center"/>
              <w:rPr>
                <w:sz w:val="18"/>
              </w:rPr>
            </w:pPr>
            <w:r>
              <w:rPr>
                <w:sz w:val="18"/>
              </w:rPr>
              <w:t>6.3</w:t>
            </w:r>
          </w:p>
        </w:tc>
        <w:tc>
          <w:tcPr>
            <w:tcW w:w="834" w:type="pct"/>
          </w:tcPr>
          <w:p w:rsidR="001A7779" w:rsidRDefault="001A7779">
            <w:pPr>
              <w:tabs>
                <w:tab w:val="left" w:pos="630"/>
              </w:tabs>
              <w:spacing w:before="60" w:after="60" w:line="360" w:lineRule="exact"/>
              <w:jc w:val="center"/>
              <w:rPr>
                <w:sz w:val="18"/>
              </w:rPr>
            </w:pPr>
            <w:r>
              <w:rPr>
                <w:sz w:val="18"/>
              </w:rPr>
              <w:t>7.1</w:t>
            </w:r>
          </w:p>
        </w:tc>
        <w:tc>
          <w:tcPr>
            <w:tcW w:w="834" w:type="pct"/>
          </w:tcPr>
          <w:p w:rsidR="001A7779" w:rsidRDefault="001A7779">
            <w:pPr>
              <w:tabs>
                <w:tab w:val="left" w:pos="630"/>
              </w:tabs>
              <w:spacing w:before="60" w:after="60" w:line="360" w:lineRule="exact"/>
              <w:jc w:val="center"/>
              <w:rPr>
                <w:sz w:val="18"/>
              </w:rPr>
            </w:pPr>
            <w:r>
              <w:rPr>
                <w:sz w:val="18"/>
              </w:rPr>
              <w:t>6.4</w:t>
            </w:r>
          </w:p>
        </w:tc>
      </w:tr>
      <w:tr w:rsidR="001A7779">
        <w:tblPrEx>
          <w:tblCellMar>
            <w:top w:w="0" w:type="dxa"/>
            <w:bottom w:w="0" w:type="dxa"/>
          </w:tblCellMar>
        </w:tblPrEx>
        <w:tc>
          <w:tcPr>
            <w:tcW w:w="832" w:type="pct"/>
          </w:tcPr>
          <w:p w:rsidR="001A7779" w:rsidRDefault="001A7779">
            <w:pPr>
              <w:tabs>
                <w:tab w:val="left" w:pos="630"/>
              </w:tabs>
              <w:spacing w:before="60" w:after="60" w:line="360" w:lineRule="exact"/>
              <w:rPr>
                <w:sz w:val="18"/>
              </w:rPr>
            </w:pPr>
            <w:r>
              <w:rPr>
                <w:rFonts w:hint="eastAsia"/>
                <w:sz w:val="18"/>
              </w:rPr>
              <w:t>男</w:t>
            </w:r>
          </w:p>
        </w:tc>
        <w:tc>
          <w:tcPr>
            <w:tcW w:w="833" w:type="pct"/>
          </w:tcPr>
          <w:p w:rsidR="001A7779" w:rsidRDefault="001A7779">
            <w:pPr>
              <w:tabs>
                <w:tab w:val="left" w:pos="630"/>
              </w:tabs>
              <w:spacing w:before="60" w:after="60" w:line="360" w:lineRule="exact"/>
              <w:jc w:val="center"/>
              <w:rPr>
                <w:sz w:val="18"/>
              </w:rPr>
            </w:pPr>
            <w:r>
              <w:rPr>
                <w:sz w:val="18"/>
              </w:rPr>
              <w:t>7.6</w:t>
            </w:r>
          </w:p>
        </w:tc>
        <w:tc>
          <w:tcPr>
            <w:tcW w:w="834" w:type="pct"/>
          </w:tcPr>
          <w:p w:rsidR="001A7779" w:rsidRDefault="001A7779">
            <w:pPr>
              <w:tabs>
                <w:tab w:val="left" w:pos="630"/>
              </w:tabs>
              <w:spacing w:before="60" w:after="60" w:line="360" w:lineRule="exact"/>
              <w:jc w:val="center"/>
              <w:rPr>
                <w:sz w:val="18"/>
              </w:rPr>
            </w:pPr>
            <w:r>
              <w:rPr>
                <w:sz w:val="18"/>
              </w:rPr>
              <w:t>5.6</w:t>
            </w:r>
          </w:p>
        </w:tc>
        <w:tc>
          <w:tcPr>
            <w:tcW w:w="833" w:type="pct"/>
          </w:tcPr>
          <w:p w:rsidR="001A7779" w:rsidRDefault="001A7779">
            <w:pPr>
              <w:tabs>
                <w:tab w:val="left" w:pos="630"/>
              </w:tabs>
              <w:spacing w:before="60" w:after="60" w:line="360" w:lineRule="exact"/>
              <w:jc w:val="center"/>
              <w:rPr>
                <w:sz w:val="18"/>
              </w:rPr>
            </w:pPr>
            <w:r>
              <w:rPr>
                <w:sz w:val="18"/>
              </w:rPr>
              <w:t>7.0</w:t>
            </w:r>
          </w:p>
        </w:tc>
        <w:tc>
          <w:tcPr>
            <w:tcW w:w="834" w:type="pct"/>
          </w:tcPr>
          <w:p w:rsidR="001A7779" w:rsidRDefault="001A7779">
            <w:pPr>
              <w:tabs>
                <w:tab w:val="left" w:pos="630"/>
              </w:tabs>
              <w:spacing w:before="60" w:after="60" w:line="360" w:lineRule="exact"/>
              <w:jc w:val="center"/>
              <w:rPr>
                <w:sz w:val="18"/>
              </w:rPr>
            </w:pPr>
            <w:r>
              <w:rPr>
                <w:sz w:val="18"/>
              </w:rPr>
              <w:t>6.1</w:t>
            </w:r>
          </w:p>
        </w:tc>
        <w:tc>
          <w:tcPr>
            <w:tcW w:w="834" w:type="pct"/>
          </w:tcPr>
          <w:p w:rsidR="001A7779" w:rsidRDefault="001A7779">
            <w:pPr>
              <w:tabs>
                <w:tab w:val="left" w:pos="630"/>
              </w:tabs>
              <w:spacing w:before="60" w:after="60" w:line="360" w:lineRule="exact"/>
              <w:jc w:val="center"/>
              <w:rPr>
                <w:sz w:val="18"/>
              </w:rPr>
            </w:pPr>
            <w:r>
              <w:rPr>
                <w:sz w:val="18"/>
              </w:rPr>
              <w:t>5.7</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年年度报告，斯洛文尼亚就业服务局。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表12：</w:t>
      </w:r>
      <w:r>
        <w:rPr>
          <w:rFonts w:ascii="SimHei" w:eastAsia="SimHei"/>
          <w:color w:val="FF0000"/>
        </w:rPr>
        <w:t>2003</w:t>
      </w:r>
      <w:r>
        <w:rPr>
          <w:rFonts w:ascii="SimHei" w:eastAsia="SimHei" w:hint="eastAsia"/>
          <w:color w:val="FF0000"/>
        </w:rPr>
        <w:t>、</w:t>
      </w:r>
      <w:r>
        <w:rPr>
          <w:rFonts w:ascii="SimHei" w:eastAsia="SimHei"/>
          <w:color w:val="FF0000"/>
        </w:rPr>
        <w:t xml:space="preserve">2004 </w:t>
      </w:r>
      <w:r>
        <w:rPr>
          <w:rFonts w:ascii="SimHei" w:eastAsia="SimHei" w:hint="eastAsia"/>
          <w:color w:val="FF0000"/>
        </w:rPr>
        <w:t>和</w:t>
      </w:r>
      <w:r>
        <w:rPr>
          <w:rFonts w:ascii="SimHei" w:eastAsia="SimHei"/>
          <w:color w:val="FF0000"/>
        </w:rPr>
        <w:t xml:space="preserve"> 2005 </w:t>
      </w:r>
      <w:r>
        <w:rPr>
          <w:rFonts w:ascii="SimHei" w:eastAsia="SimHei" w:hint="eastAsia"/>
          <w:color w:val="FF0000"/>
        </w:rPr>
        <w:t>年提倡男女平等机会的倡议</w:t>
      </w:r>
    </w:p>
    <w:tbl>
      <w:tblPr>
        <w:tblW w:w="0" w:type="auto"/>
        <w:tblInd w:w="30" w:type="dxa"/>
        <w:tblLayout w:type="fixed"/>
        <w:tblCellMar>
          <w:left w:w="30" w:type="dxa"/>
          <w:right w:w="30" w:type="dxa"/>
        </w:tblCellMar>
        <w:tblLook w:val="0000" w:firstRow="0" w:lastRow="0" w:firstColumn="0" w:lastColumn="0" w:noHBand="0" w:noVBand="0"/>
      </w:tblPr>
      <w:tblGrid>
        <w:gridCol w:w="2410"/>
        <w:gridCol w:w="2476"/>
        <w:gridCol w:w="2477"/>
        <w:gridCol w:w="2477"/>
      </w:tblGrid>
      <w:tr w:rsidR="001A7779">
        <w:tblPrEx>
          <w:tblCellMar>
            <w:top w:w="0" w:type="dxa"/>
            <w:bottom w:w="0" w:type="dxa"/>
          </w:tblCellMar>
        </w:tblPrEx>
        <w:trPr>
          <w:cantSplit/>
          <w:trHeight w:val="276"/>
        </w:trPr>
        <w:tc>
          <w:tcPr>
            <w:tcW w:w="241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2476" w:type="dxa"/>
            <w:tcBorders>
              <w:top w:val="single" w:sz="4" w:space="0" w:color="auto"/>
              <w:left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2477" w:type="dxa"/>
            <w:tcBorders>
              <w:top w:val="single" w:sz="4" w:space="0" w:color="auto"/>
              <w:left w:val="single" w:sz="6" w:space="0" w:color="000000"/>
              <w:bottom w:val="single" w:sz="4" w:space="0" w:color="auto"/>
              <w:right w:val="single" w:sz="6" w:space="0" w:color="000000"/>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2477" w:type="dxa"/>
            <w:tcBorders>
              <w:top w:val="single" w:sz="4" w:space="0" w:color="auto"/>
              <w:left w:val="single" w:sz="6" w:space="0" w:color="000000"/>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2005</w:t>
            </w:r>
            <w:r>
              <w:rPr>
                <w:rFonts w:ascii="SimHei" w:eastAsia="SimHei" w:hint="eastAsia"/>
                <w:color w:val="FF0000"/>
                <w:sz w:val="18"/>
              </w:rPr>
              <w:t>年</w:t>
            </w:r>
            <w:r>
              <w:rPr>
                <w:rFonts w:eastAsia="SimHei"/>
                <w:color w:val="FF0000"/>
                <w:sz w:val="18"/>
                <w:vertAlign w:val="superscript"/>
              </w:rPr>
              <w:t>*</w:t>
            </w:r>
          </w:p>
        </w:tc>
      </w:tr>
      <w:tr w:rsidR="001A7779">
        <w:tblPrEx>
          <w:tblCellMar>
            <w:top w:w="0" w:type="dxa"/>
            <w:bottom w:w="0" w:type="dxa"/>
          </w:tblCellMar>
        </w:tblPrEx>
        <w:trPr>
          <w:cantSplit/>
          <w:trHeight w:val="276"/>
        </w:trPr>
        <w:tc>
          <w:tcPr>
            <w:tcW w:w="241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共计</w:t>
            </w:r>
          </w:p>
        </w:tc>
        <w:tc>
          <w:tcPr>
            <w:tcW w:w="2476" w:type="dxa"/>
            <w:tcBorders>
              <w:top w:val="single" w:sz="4" w:space="0" w:color="auto"/>
              <w:left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13</w:t>
            </w:r>
          </w:p>
        </w:tc>
        <w:tc>
          <w:tcPr>
            <w:tcW w:w="2477" w:type="dxa"/>
            <w:tcBorders>
              <w:top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8</w:t>
            </w:r>
          </w:p>
        </w:tc>
        <w:tc>
          <w:tcPr>
            <w:tcW w:w="2477"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7</w:t>
            </w:r>
          </w:p>
        </w:tc>
      </w:tr>
      <w:tr w:rsidR="001A7779">
        <w:tblPrEx>
          <w:tblCellMar>
            <w:top w:w="0" w:type="dxa"/>
            <w:bottom w:w="0" w:type="dxa"/>
          </w:tblCellMar>
        </w:tblPrEx>
        <w:trPr>
          <w:cantSplit/>
          <w:trHeight w:val="262"/>
        </w:trPr>
        <w:tc>
          <w:tcPr>
            <w:tcW w:w="241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60" w:lineRule="exact"/>
              <w:rPr>
                <w:sz w:val="18"/>
              </w:rPr>
            </w:pPr>
            <w:r>
              <w:rPr>
                <w:rFonts w:hint="eastAsia"/>
                <w:sz w:val="18"/>
              </w:rPr>
              <w:t>女</w:t>
            </w:r>
          </w:p>
        </w:tc>
        <w:tc>
          <w:tcPr>
            <w:tcW w:w="2476" w:type="dxa"/>
            <w:tcBorders>
              <w:top w:val="single" w:sz="4" w:space="0" w:color="auto"/>
              <w:left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9</w:t>
            </w:r>
          </w:p>
        </w:tc>
        <w:tc>
          <w:tcPr>
            <w:tcW w:w="2477" w:type="dxa"/>
            <w:tcBorders>
              <w:top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5</w:t>
            </w:r>
          </w:p>
        </w:tc>
        <w:tc>
          <w:tcPr>
            <w:tcW w:w="2477" w:type="dxa"/>
            <w:tcBorders>
              <w:top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3</w:t>
            </w:r>
          </w:p>
        </w:tc>
      </w:tr>
      <w:tr w:rsidR="001A7779">
        <w:tblPrEx>
          <w:tblCellMar>
            <w:top w:w="0" w:type="dxa"/>
            <w:bottom w:w="0" w:type="dxa"/>
          </w:tblCellMar>
        </w:tblPrEx>
        <w:trPr>
          <w:cantSplit/>
          <w:trHeight w:val="247"/>
        </w:trPr>
        <w:tc>
          <w:tcPr>
            <w:tcW w:w="241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60" w:lineRule="exact"/>
              <w:rPr>
                <w:sz w:val="18"/>
              </w:rPr>
            </w:pPr>
            <w:r>
              <w:rPr>
                <w:rFonts w:hint="eastAsia"/>
                <w:sz w:val="18"/>
              </w:rPr>
              <w:t>男</w:t>
            </w:r>
          </w:p>
        </w:tc>
        <w:tc>
          <w:tcPr>
            <w:tcW w:w="2476" w:type="dxa"/>
            <w:tcBorders>
              <w:top w:val="single" w:sz="6" w:space="0" w:color="000000"/>
              <w:left w:val="single" w:sz="4" w:space="0" w:color="auto"/>
              <w:bottom w:val="single" w:sz="6" w:space="0" w:color="000000"/>
              <w:right w:val="single" w:sz="6" w:space="0" w:color="000000"/>
            </w:tcBorders>
          </w:tcPr>
          <w:p w:rsidR="001A7779" w:rsidRDefault="001A7779">
            <w:pPr>
              <w:tabs>
                <w:tab w:val="left" w:pos="630"/>
              </w:tabs>
              <w:spacing w:before="60" w:after="60" w:line="360" w:lineRule="exact"/>
              <w:jc w:val="center"/>
              <w:rPr>
                <w:sz w:val="18"/>
              </w:rPr>
            </w:pPr>
            <w:r>
              <w:rPr>
                <w:sz w:val="18"/>
              </w:rPr>
              <w:t>3</w:t>
            </w:r>
          </w:p>
        </w:tc>
        <w:tc>
          <w:tcPr>
            <w:tcW w:w="2477" w:type="dxa"/>
            <w:tcBorders>
              <w:top w:val="single" w:sz="6" w:space="0" w:color="000000"/>
              <w:left w:val="single" w:sz="6" w:space="0" w:color="000000"/>
              <w:bottom w:val="single" w:sz="6" w:space="0" w:color="000000"/>
              <w:right w:val="single" w:sz="6" w:space="0" w:color="000000"/>
            </w:tcBorders>
          </w:tcPr>
          <w:p w:rsidR="001A7779" w:rsidRDefault="001A7779">
            <w:pPr>
              <w:tabs>
                <w:tab w:val="left" w:pos="630"/>
              </w:tabs>
              <w:spacing w:before="60" w:after="60" w:line="360" w:lineRule="exact"/>
              <w:jc w:val="center"/>
              <w:rPr>
                <w:sz w:val="18"/>
              </w:rPr>
            </w:pPr>
            <w:r>
              <w:rPr>
                <w:sz w:val="18"/>
              </w:rPr>
              <w:t>1</w:t>
            </w:r>
          </w:p>
        </w:tc>
        <w:tc>
          <w:tcPr>
            <w:tcW w:w="2477" w:type="dxa"/>
            <w:tcBorders>
              <w:top w:val="single" w:sz="6" w:space="0" w:color="000000"/>
              <w:left w:val="single" w:sz="6" w:space="0" w:color="000000"/>
              <w:bottom w:val="single" w:sz="6" w:space="0" w:color="000000"/>
              <w:right w:val="single" w:sz="4" w:space="0" w:color="auto"/>
            </w:tcBorders>
          </w:tcPr>
          <w:p w:rsidR="001A7779" w:rsidRDefault="001A7779">
            <w:pPr>
              <w:tabs>
                <w:tab w:val="left" w:pos="630"/>
              </w:tabs>
              <w:spacing w:before="60" w:after="60" w:line="360" w:lineRule="exact"/>
              <w:jc w:val="center"/>
              <w:rPr>
                <w:sz w:val="18"/>
              </w:rPr>
            </w:pPr>
            <w:r>
              <w:rPr>
                <w:sz w:val="18"/>
              </w:rPr>
              <w:t>3</w:t>
            </w:r>
          </w:p>
        </w:tc>
      </w:tr>
      <w:tr w:rsidR="001A7779">
        <w:tblPrEx>
          <w:tblCellMar>
            <w:top w:w="0" w:type="dxa"/>
            <w:bottom w:w="0" w:type="dxa"/>
          </w:tblCellMar>
        </w:tblPrEx>
        <w:trPr>
          <w:cantSplit/>
          <w:trHeight w:val="262"/>
        </w:trPr>
        <w:tc>
          <w:tcPr>
            <w:tcW w:w="241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60" w:lineRule="exact"/>
              <w:rPr>
                <w:sz w:val="18"/>
              </w:rPr>
            </w:pPr>
            <w:r>
              <w:rPr>
                <w:rFonts w:hint="eastAsia"/>
                <w:sz w:val="18"/>
              </w:rPr>
              <w:t>机构</w:t>
            </w:r>
          </w:p>
        </w:tc>
        <w:tc>
          <w:tcPr>
            <w:tcW w:w="2476" w:type="dxa"/>
            <w:tcBorders>
              <w:top w:val="single" w:sz="6" w:space="0" w:color="000000"/>
              <w:left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1</w:t>
            </w:r>
          </w:p>
        </w:tc>
        <w:tc>
          <w:tcPr>
            <w:tcW w:w="2477" w:type="dxa"/>
            <w:tcBorders>
              <w:top w:val="single" w:sz="6" w:space="0" w:color="000000"/>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2</w:t>
            </w:r>
          </w:p>
        </w:tc>
        <w:tc>
          <w:tcPr>
            <w:tcW w:w="2477" w:type="dxa"/>
            <w:tcBorders>
              <w:top w:val="single" w:sz="6" w:space="0" w:color="000000"/>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w:t>
            </w:r>
          </w:p>
        </w:tc>
      </w:tr>
      <w:tr w:rsidR="001A7779">
        <w:tblPrEx>
          <w:tblCellMar>
            <w:top w:w="0" w:type="dxa"/>
            <w:bottom w:w="0" w:type="dxa"/>
          </w:tblCellMar>
        </w:tblPrEx>
        <w:trPr>
          <w:cantSplit/>
          <w:trHeight w:val="262"/>
        </w:trPr>
        <w:tc>
          <w:tcPr>
            <w:tcW w:w="241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妇女占总数</w:t>
            </w:r>
            <w:r>
              <w:rPr>
                <w:sz w:val="18"/>
              </w:rPr>
              <w:t xml:space="preserve">% </w:t>
            </w:r>
          </w:p>
        </w:tc>
        <w:tc>
          <w:tcPr>
            <w:tcW w:w="2476" w:type="dxa"/>
            <w:tcBorders>
              <w:top w:val="single" w:sz="4" w:space="0" w:color="auto"/>
              <w:left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69.2</w:t>
            </w:r>
          </w:p>
        </w:tc>
        <w:tc>
          <w:tcPr>
            <w:tcW w:w="2477" w:type="dxa"/>
            <w:tcBorders>
              <w:top w:val="single" w:sz="4" w:space="0" w:color="auto"/>
              <w:bottom w:val="single" w:sz="4" w:space="0" w:color="auto"/>
              <w:right w:val="single" w:sz="6" w:space="0" w:color="000000"/>
            </w:tcBorders>
          </w:tcPr>
          <w:p w:rsidR="001A7779" w:rsidRDefault="001A7779">
            <w:pPr>
              <w:tabs>
                <w:tab w:val="left" w:pos="630"/>
              </w:tabs>
              <w:spacing w:before="60" w:after="60" w:line="360" w:lineRule="exact"/>
              <w:jc w:val="center"/>
              <w:rPr>
                <w:sz w:val="18"/>
              </w:rPr>
            </w:pPr>
            <w:r>
              <w:rPr>
                <w:sz w:val="18"/>
              </w:rPr>
              <w:t>62.5</w:t>
            </w:r>
          </w:p>
        </w:tc>
        <w:tc>
          <w:tcPr>
            <w:tcW w:w="2477"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42.9</w:t>
            </w:r>
          </w:p>
        </w:tc>
      </w:tr>
    </w:tbl>
    <w:p w:rsidR="001A7779" w:rsidRDefault="001A7779">
      <w:pPr>
        <w:tabs>
          <w:tab w:val="left" w:pos="630"/>
        </w:tabs>
        <w:spacing w:line="360" w:lineRule="exact"/>
        <w:rPr>
          <w:color w:val="000000"/>
          <w:sz w:val="18"/>
        </w:rPr>
      </w:pPr>
      <w:r>
        <w:rPr>
          <w:color w:val="000000"/>
          <w:sz w:val="18"/>
          <w:vertAlign w:val="superscript"/>
        </w:rPr>
        <w:t>*</w:t>
      </w:r>
      <w:r>
        <w:rPr>
          <w:rFonts w:hint="eastAsia"/>
          <w:color w:val="000000"/>
          <w:sz w:val="18"/>
        </w:rPr>
        <w:t xml:space="preserve">  2005</w:t>
      </w:r>
      <w:r>
        <w:rPr>
          <w:rFonts w:hint="eastAsia"/>
          <w:color w:val="000000"/>
          <w:sz w:val="18"/>
        </w:rPr>
        <w:t>年至</w:t>
      </w:r>
      <w:r>
        <w:rPr>
          <w:rFonts w:hint="eastAsia"/>
          <w:color w:val="000000"/>
          <w:sz w:val="18"/>
        </w:rPr>
        <w:t>2005</w:t>
      </w:r>
      <w:r>
        <w:rPr>
          <w:rFonts w:hint="eastAsia"/>
          <w:color w:val="000000"/>
          <w:sz w:val="18"/>
        </w:rPr>
        <w:t>年</w:t>
      </w:r>
      <w:r>
        <w:rPr>
          <w:rFonts w:hint="eastAsia"/>
          <w:color w:val="000000"/>
          <w:sz w:val="18"/>
        </w:rPr>
        <w:t>6</w:t>
      </w:r>
      <w:r>
        <w:rPr>
          <w:rFonts w:hint="eastAsia"/>
          <w:color w:val="000000"/>
          <w:sz w:val="18"/>
        </w:rPr>
        <w:t>月</w:t>
      </w:r>
      <w:r>
        <w:rPr>
          <w:rFonts w:hint="eastAsia"/>
          <w:color w:val="000000"/>
          <w:sz w:val="18"/>
        </w:rPr>
        <w:t>30</w:t>
      </w:r>
      <w:r>
        <w:rPr>
          <w:rFonts w:hint="eastAsia"/>
          <w:color w:val="000000"/>
          <w:sz w:val="18"/>
        </w:rPr>
        <w:t>日数据。</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平等机会办公室，</w:t>
      </w:r>
      <w:r>
        <w:rPr>
          <w:rFonts w:hint="eastAsia"/>
          <w:color w:val="000000"/>
          <w:sz w:val="18"/>
        </w:rPr>
        <w:t>2005</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13</w:t>
      </w:r>
      <w:r>
        <w:rPr>
          <w:rFonts w:ascii="SimHei" w:eastAsia="SimHei" w:hint="eastAsia"/>
          <w:color w:val="FF0000"/>
        </w:rPr>
        <w:t>：</w:t>
      </w:r>
      <w:r>
        <w:rPr>
          <w:rFonts w:ascii="SimHei" w:eastAsia="SimHei"/>
          <w:color w:val="FF0000"/>
        </w:rPr>
        <w:t>2002-2004</w:t>
      </w:r>
      <w:r>
        <w:rPr>
          <w:rFonts w:ascii="SimHei" w:eastAsia="SimHei" w:hint="eastAsia"/>
          <w:color w:val="FF0000"/>
        </w:rPr>
        <w:t>年危害生命和人身的犯罪和此种犯罪中受害妇女所占比例</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0"/>
        <w:gridCol w:w="1800"/>
        <w:gridCol w:w="1440"/>
        <w:gridCol w:w="1440"/>
        <w:gridCol w:w="1440"/>
        <w:gridCol w:w="1440"/>
        <w:gridCol w:w="1440"/>
      </w:tblGrid>
      <w:tr w:rsidR="001A7779">
        <w:tblPrEx>
          <w:tblCellMar>
            <w:top w:w="0" w:type="dxa"/>
            <w:bottom w:w="0" w:type="dxa"/>
          </w:tblCellMar>
        </w:tblPrEx>
        <w:tc>
          <w:tcPr>
            <w:tcW w:w="840" w:type="dxa"/>
            <w:tcBorders>
              <w:top w:val="single" w:sz="4" w:space="0" w:color="auto"/>
              <w:left w:val="single" w:sz="4" w:space="0" w:color="auto"/>
              <w:bottom w:val="single" w:sz="4" w:space="0" w:color="auto"/>
            </w:tcBorders>
          </w:tcPr>
          <w:p w:rsidR="001A7779" w:rsidRDefault="001A7779">
            <w:pPr>
              <w:tabs>
                <w:tab w:val="left" w:pos="630"/>
              </w:tabs>
              <w:spacing w:before="60" w:after="60" w:line="320" w:lineRule="exact"/>
              <w:rPr>
                <w:rFonts w:eastAsia="SimHei"/>
                <w:color w:val="FF0000"/>
                <w:sz w:val="18"/>
              </w:rPr>
            </w:pPr>
            <w:r>
              <w:rPr>
                <w:rFonts w:eastAsia="SimHei" w:hint="eastAsia"/>
                <w:color w:val="FF0000"/>
                <w:sz w:val="18"/>
              </w:rPr>
              <w:t>年份</w:t>
            </w:r>
          </w:p>
        </w:tc>
        <w:tc>
          <w:tcPr>
            <w:tcW w:w="1800" w:type="dxa"/>
            <w:tcBorders>
              <w:top w:val="single" w:sz="4" w:space="0" w:color="auto"/>
              <w:bottom w:val="single" w:sz="4" w:space="0" w:color="auto"/>
            </w:tcBorders>
          </w:tcPr>
          <w:p w:rsidR="001A7779" w:rsidRDefault="001A7779">
            <w:pPr>
              <w:tabs>
                <w:tab w:val="left" w:pos="630"/>
              </w:tabs>
              <w:spacing w:before="60" w:after="60" w:line="320" w:lineRule="exact"/>
              <w:rPr>
                <w:rFonts w:eastAsia="SimHei"/>
                <w:color w:val="FF0000"/>
                <w:sz w:val="18"/>
              </w:rPr>
            </w:pPr>
          </w:p>
        </w:tc>
        <w:tc>
          <w:tcPr>
            <w:tcW w:w="1440"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谋杀</w:t>
            </w:r>
          </w:p>
        </w:tc>
        <w:tc>
          <w:tcPr>
            <w:tcW w:w="1440"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特别严重的</w:t>
            </w:r>
            <w:r>
              <w:rPr>
                <w:rFonts w:eastAsia="SimHei"/>
                <w:color w:val="FF0000"/>
                <w:sz w:val="18"/>
              </w:rPr>
              <w:br/>
            </w:r>
            <w:r>
              <w:rPr>
                <w:rFonts w:eastAsia="SimHei" w:hint="eastAsia"/>
                <w:color w:val="FF0000"/>
                <w:sz w:val="18"/>
              </w:rPr>
              <w:t>人身伤害</w:t>
            </w:r>
          </w:p>
        </w:tc>
        <w:tc>
          <w:tcPr>
            <w:tcW w:w="1440" w:type="dxa"/>
            <w:tcBorders>
              <w:top w:val="single" w:sz="4" w:space="0" w:color="auto"/>
              <w:bottom w:val="single" w:sz="4" w:space="0" w:color="auto"/>
            </w:tcBorders>
          </w:tcPr>
          <w:p w:rsidR="001A7779" w:rsidRDefault="001A7779">
            <w:pPr>
              <w:pStyle w:val="Header"/>
              <w:pBdr>
                <w:bottom w:val="none" w:sz="0" w:space="0" w:color="auto"/>
              </w:pBdr>
              <w:tabs>
                <w:tab w:val="clear" w:pos="4320"/>
                <w:tab w:val="clear" w:pos="8640"/>
                <w:tab w:val="left" w:pos="630"/>
              </w:tabs>
              <w:spacing w:before="60" w:after="60" w:line="320" w:lineRule="exact"/>
              <w:rPr>
                <w:rFonts w:eastAsia="SimHei"/>
                <w:color w:val="FF0000"/>
              </w:rPr>
            </w:pPr>
            <w:r>
              <w:rPr>
                <w:rFonts w:eastAsia="SimHei" w:hint="eastAsia"/>
                <w:color w:val="FF0000"/>
              </w:rPr>
              <w:t>严重的人身伤害</w:t>
            </w:r>
          </w:p>
        </w:tc>
        <w:tc>
          <w:tcPr>
            <w:tcW w:w="1440"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轻度人身伤害</w:t>
            </w:r>
          </w:p>
        </w:tc>
        <w:tc>
          <w:tcPr>
            <w:tcW w:w="1440" w:type="dxa"/>
            <w:tcBorders>
              <w:top w:val="single" w:sz="4" w:space="0" w:color="auto"/>
              <w:bottom w:val="single" w:sz="4" w:space="0" w:color="auto"/>
              <w:right w:val="single" w:sz="4" w:space="0" w:color="auto"/>
            </w:tcBorders>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用危险武器</w:t>
            </w:r>
            <w:r>
              <w:rPr>
                <w:rFonts w:eastAsia="SimHei"/>
                <w:color w:val="FF0000"/>
                <w:sz w:val="18"/>
              </w:rPr>
              <w:br/>
            </w:r>
            <w:r>
              <w:rPr>
                <w:rFonts w:eastAsia="SimHei" w:hint="eastAsia"/>
                <w:color w:val="FF0000"/>
                <w:sz w:val="18"/>
              </w:rPr>
              <w:t>进行威胁</w:t>
            </w:r>
          </w:p>
        </w:tc>
      </w:tr>
      <w:tr w:rsidR="001A7779">
        <w:tblPrEx>
          <w:tblCellMar>
            <w:top w:w="0" w:type="dxa"/>
            <w:bottom w:w="0" w:type="dxa"/>
          </w:tblCellMar>
        </w:tblPrEx>
        <w:tc>
          <w:tcPr>
            <w:tcW w:w="840" w:type="dxa"/>
            <w:tcBorders>
              <w:top w:val="single" w:sz="4" w:space="0" w:color="auto"/>
            </w:tcBorders>
          </w:tcPr>
          <w:p w:rsidR="001A7779" w:rsidRDefault="001A7779">
            <w:pPr>
              <w:tabs>
                <w:tab w:val="left" w:pos="630"/>
              </w:tabs>
              <w:spacing w:before="60" w:after="60" w:line="320" w:lineRule="exact"/>
              <w:rPr>
                <w:sz w:val="18"/>
              </w:rPr>
            </w:pPr>
            <w:r>
              <w:rPr>
                <w:sz w:val="18"/>
              </w:rPr>
              <w:t>2002</w:t>
            </w:r>
          </w:p>
        </w:tc>
        <w:tc>
          <w:tcPr>
            <w:tcW w:w="1800" w:type="dxa"/>
            <w:tcBorders>
              <w:top w:val="single" w:sz="4" w:space="0" w:color="auto"/>
            </w:tcBorders>
          </w:tcPr>
          <w:p w:rsidR="001A7779" w:rsidRDefault="001A7779">
            <w:pPr>
              <w:tabs>
                <w:tab w:val="left" w:pos="630"/>
              </w:tabs>
              <w:spacing w:before="60" w:after="60" w:line="320" w:lineRule="exact"/>
              <w:rPr>
                <w:sz w:val="18"/>
              </w:rPr>
            </w:pPr>
            <w:r>
              <w:rPr>
                <w:rFonts w:hint="eastAsia"/>
                <w:sz w:val="18"/>
              </w:rPr>
              <w:t>共计</w:t>
            </w:r>
          </w:p>
          <w:p w:rsidR="001A7779" w:rsidRDefault="001A7779">
            <w:pPr>
              <w:tabs>
                <w:tab w:val="left" w:pos="630"/>
              </w:tabs>
              <w:spacing w:before="60" w:after="60" w:line="320" w:lineRule="exact"/>
              <w:rPr>
                <w:sz w:val="18"/>
              </w:rPr>
            </w:pPr>
            <w:r>
              <w:rPr>
                <w:rFonts w:hint="eastAsia"/>
                <w:sz w:val="18"/>
              </w:rPr>
              <w:t>针对妇女</w:t>
            </w:r>
          </w:p>
          <w:p w:rsidR="001A7779" w:rsidRDefault="001A7779">
            <w:pPr>
              <w:tabs>
                <w:tab w:val="left" w:pos="630"/>
              </w:tabs>
              <w:spacing w:before="60" w:after="60" w:line="320" w:lineRule="exact"/>
              <w:rPr>
                <w:sz w:val="18"/>
              </w:rPr>
            </w:pPr>
            <w:r>
              <w:rPr>
                <w:rFonts w:hint="eastAsia"/>
                <w:sz w:val="18"/>
              </w:rPr>
              <w:t>妇女所占比例</w:t>
            </w:r>
          </w:p>
        </w:tc>
        <w:tc>
          <w:tcPr>
            <w:tcW w:w="1440" w:type="dxa"/>
            <w:tcBorders>
              <w:top w:val="single" w:sz="4" w:space="0" w:color="auto"/>
            </w:tcBorders>
          </w:tcPr>
          <w:p w:rsidR="001A7779" w:rsidRDefault="001A7779">
            <w:pPr>
              <w:tabs>
                <w:tab w:val="left" w:pos="630"/>
              </w:tabs>
              <w:spacing w:before="60" w:after="60" w:line="320" w:lineRule="exact"/>
              <w:jc w:val="center"/>
              <w:rPr>
                <w:rFonts w:hint="eastAsia"/>
                <w:sz w:val="18"/>
              </w:rPr>
            </w:pPr>
            <w:r>
              <w:rPr>
                <w:sz w:val="18"/>
              </w:rPr>
              <w:t>78</w:t>
            </w:r>
          </w:p>
          <w:p w:rsidR="001A7779" w:rsidRDefault="001A7779">
            <w:pPr>
              <w:tabs>
                <w:tab w:val="left" w:pos="630"/>
              </w:tabs>
              <w:spacing w:before="60" w:after="60" w:line="320" w:lineRule="exact"/>
              <w:jc w:val="center"/>
              <w:rPr>
                <w:sz w:val="18"/>
              </w:rPr>
            </w:pPr>
            <w:r>
              <w:rPr>
                <w:sz w:val="18"/>
              </w:rPr>
              <w:t>22</w:t>
            </w:r>
          </w:p>
          <w:p w:rsidR="001A7779" w:rsidRDefault="001A7779">
            <w:pPr>
              <w:tabs>
                <w:tab w:val="left" w:pos="630"/>
              </w:tabs>
              <w:spacing w:before="60" w:after="60" w:line="320" w:lineRule="exact"/>
              <w:jc w:val="center"/>
              <w:rPr>
                <w:sz w:val="18"/>
              </w:rPr>
            </w:pPr>
            <w:r>
              <w:rPr>
                <w:sz w:val="18"/>
              </w:rPr>
              <w:t>28.2</w:t>
            </w:r>
          </w:p>
        </w:tc>
        <w:tc>
          <w:tcPr>
            <w:tcW w:w="1440" w:type="dxa"/>
            <w:tcBorders>
              <w:top w:val="single" w:sz="4" w:space="0" w:color="auto"/>
            </w:tcBorders>
          </w:tcPr>
          <w:p w:rsidR="001A7779" w:rsidRDefault="001A7779">
            <w:pPr>
              <w:tabs>
                <w:tab w:val="left" w:pos="630"/>
              </w:tabs>
              <w:spacing w:before="60" w:after="60" w:line="320" w:lineRule="exact"/>
              <w:jc w:val="center"/>
              <w:rPr>
                <w:sz w:val="18"/>
              </w:rPr>
            </w:pPr>
            <w:r>
              <w:rPr>
                <w:sz w:val="18"/>
              </w:rPr>
              <w:t>21</w:t>
            </w:r>
          </w:p>
          <w:p w:rsidR="001A7779" w:rsidRDefault="001A7779">
            <w:pPr>
              <w:tabs>
                <w:tab w:val="left" w:pos="630"/>
              </w:tabs>
              <w:spacing w:before="60" w:after="60" w:line="320" w:lineRule="exact"/>
              <w:jc w:val="center"/>
              <w:rPr>
                <w:sz w:val="18"/>
              </w:rPr>
            </w:pPr>
            <w:r>
              <w:rPr>
                <w:sz w:val="18"/>
              </w:rPr>
              <w:t>6</w:t>
            </w:r>
          </w:p>
          <w:p w:rsidR="001A7779" w:rsidRDefault="001A7779">
            <w:pPr>
              <w:tabs>
                <w:tab w:val="left" w:pos="630"/>
              </w:tabs>
              <w:spacing w:before="60" w:after="60" w:line="320" w:lineRule="exact"/>
              <w:jc w:val="center"/>
              <w:rPr>
                <w:sz w:val="18"/>
              </w:rPr>
            </w:pPr>
            <w:r>
              <w:rPr>
                <w:sz w:val="18"/>
              </w:rPr>
              <w:t>28.6</w:t>
            </w:r>
          </w:p>
        </w:tc>
        <w:tc>
          <w:tcPr>
            <w:tcW w:w="1440" w:type="dxa"/>
            <w:tcBorders>
              <w:top w:val="single" w:sz="4" w:space="0" w:color="auto"/>
            </w:tcBorders>
          </w:tcPr>
          <w:p w:rsidR="001A7779" w:rsidRDefault="001A7779">
            <w:pPr>
              <w:tabs>
                <w:tab w:val="left" w:pos="630"/>
              </w:tabs>
              <w:spacing w:before="60" w:after="60" w:line="320" w:lineRule="exact"/>
              <w:jc w:val="center"/>
              <w:rPr>
                <w:sz w:val="18"/>
              </w:rPr>
            </w:pPr>
            <w:r>
              <w:rPr>
                <w:sz w:val="18"/>
              </w:rPr>
              <w:t>389</w:t>
            </w:r>
          </w:p>
          <w:p w:rsidR="001A7779" w:rsidRDefault="001A7779">
            <w:pPr>
              <w:tabs>
                <w:tab w:val="left" w:pos="630"/>
              </w:tabs>
              <w:spacing w:before="60" w:after="60" w:line="320" w:lineRule="exact"/>
              <w:jc w:val="center"/>
              <w:rPr>
                <w:sz w:val="18"/>
              </w:rPr>
            </w:pPr>
            <w:r>
              <w:rPr>
                <w:sz w:val="18"/>
              </w:rPr>
              <w:t>69</w:t>
            </w:r>
          </w:p>
          <w:p w:rsidR="001A7779" w:rsidRDefault="001A7779">
            <w:pPr>
              <w:tabs>
                <w:tab w:val="left" w:pos="630"/>
              </w:tabs>
              <w:spacing w:before="60" w:after="60" w:line="320" w:lineRule="exact"/>
              <w:jc w:val="center"/>
              <w:rPr>
                <w:sz w:val="18"/>
              </w:rPr>
            </w:pPr>
            <w:r>
              <w:rPr>
                <w:sz w:val="18"/>
              </w:rPr>
              <w:t>17.7</w:t>
            </w:r>
          </w:p>
        </w:tc>
        <w:tc>
          <w:tcPr>
            <w:tcW w:w="1440" w:type="dxa"/>
            <w:tcBorders>
              <w:top w:val="single" w:sz="4" w:space="0" w:color="auto"/>
            </w:tcBorders>
          </w:tcPr>
          <w:p w:rsidR="001A7779" w:rsidRDefault="001A7779">
            <w:pPr>
              <w:tabs>
                <w:tab w:val="left" w:pos="630"/>
              </w:tabs>
              <w:spacing w:before="60" w:after="60" w:line="320" w:lineRule="exact"/>
              <w:jc w:val="center"/>
              <w:rPr>
                <w:sz w:val="18"/>
              </w:rPr>
            </w:pPr>
            <w:r>
              <w:rPr>
                <w:sz w:val="18"/>
              </w:rPr>
              <w:t>2</w:t>
            </w:r>
            <w:r>
              <w:rPr>
                <w:rFonts w:hint="eastAsia"/>
                <w:sz w:val="18"/>
              </w:rPr>
              <w:t xml:space="preserve"> </w:t>
            </w:r>
            <w:r>
              <w:rPr>
                <w:sz w:val="18"/>
              </w:rPr>
              <w:t>043</w:t>
            </w:r>
          </w:p>
          <w:p w:rsidR="001A7779" w:rsidRDefault="001A7779">
            <w:pPr>
              <w:tabs>
                <w:tab w:val="left" w:pos="630"/>
              </w:tabs>
              <w:spacing w:before="60" w:after="60" w:line="320" w:lineRule="exact"/>
              <w:jc w:val="center"/>
              <w:rPr>
                <w:sz w:val="18"/>
              </w:rPr>
            </w:pPr>
            <w:r>
              <w:rPr>
                <w:sz w:val="18"/>
              </w:rPr>
              <w:t>496</w:t>
            </w:r>
          </w:p>
          <w:p w:rsidR="001A7779" w:rsidRDefault="001A7779">
            <w:pPr>
              <w:tabs>
                <w:tab w:val="left" w:pos="630"/>
              </w:tabs>
              <w:spacing w:before="60" w:after="60" w:line="320" w:lineRule="exact"/>
              <w:jc w:val="center"/>
              <w:rPr>
                <w:sz w:val="18"/>
              </w:rPr>
            </w:pPr>
            <w:r>
              <w:rPr>
                <w:sz w:val="18"/>
              </w:rPr>
              <w:t>24.3</w:t>
            </w:r>
          </w:p>
        </w:tc>
        <w:tc>
          <w:tcPr>
            <w:tcW w:w="1440" w:type="dxa"/>
            <w:tcBorders>
              <w:top w:val="single" w:sz="4" w:space="0" w:color="auto"/>
            </w:tcBorders>
          </w:tcPr>
          <w:p w:rsidR="001A7779" w:rsidRDefault="001A7779">
            <w:pPr>
              <w:tabs>
                <w:tab w:val="left" w:pos="630"/>
              </w:tabs>
              <w:spacing w:before="60" w:after="60" w:line="320" w:lineRule="exact"/>
              <w:jc w:val="center"/>
              <w:rPr>
                <w:sz w:val="18"/>
              </w:rPr>
            </w:pPr>
            <w:r>
              <w:rPr>
                <w:sz w:val="18"/>
              </w:rPr>
              <w:t>341</w:t>
            </w:r>
          </w:p>
          <w:p w:rsidR="001A7779" w:rsidRDefault="001A7779">
            <w:pPr>
              <w:tabs>
                <w:tab w:val="left" w:pos="630"/>
              </w:tabs>
              <w:spacing w:before="60" w:after="60" w:line="320" w:lineRule="exact"/>
              <w:jc w:val="center"/>
              <w:rPr>
                <w:sz w:val="18"/>
              </w:rPr>
            </w:pPr>
            <w:r>
              <w:rPr>
                <w:sz w:val="18"/>
              </w:rPr>
              <w:t>80</w:t>
            </w:r>
          </w:p>
          <w:p w:rsidR="001A7779" w:rsidRDefault="001A7779">
            <w:pPr>
              <w:tabs>
                <w:tab w:val="left" w:pos="630"/>
              </w:tabs>
              <w:spacing w:before="60" w:after="60" w:line="320" w:lineRule="exact"/>
              <w:jc w:val="center"/>
              <w:rPr>
                <w:sz w:val="18"/>
              </w:rPr>
            </w:pPr>
            <w:r>
              <w:rPr>
                <w:sz w:val="18"/>
              </w:rPr>
              <w:t>23.5</w:t>
            </w:r>
          </w:p>
        </w:tc>
      </w:tr>
      <w:tr w:rsidR="001A7779">
        <w:tblPrEx>
          <w:tblCellMar>
            <w:top w:w="0" w:type="dxa"/>
            <w:bottom w:w="0" w:type="dxa"/>
          </w:tblCellMar>
        </w:tblPrEx>
        <w:tc>
          <w:tcPr>
            <w:tcW w:w="840" w:type="dxa"/>
          </w:tcPr>
          <w:p w:rsidR="001A7779" w:rsidRDefault="001A7779">
            <w:pPr>
              <w:tabs>
                <w:tab w:val="left" w:pos="630"/>
              </w:tabs>
              <w:spacing w:before="60" w:after="60" w:line="320" w:lineRule="exact"/>
              <w:rPr>
                <w:sz w:val="18"/>
              </w:rPr>
            </w:pPr>
            <w:r>
              <w:rPr>
                <w:sz w:val="18"/>
              </w:rPr>
              <w:t>2003</w:t>
            </w:r>
          </w:p>
        </w:tc>
        <w:tc>
          <w:tcPr>
            <w:tcW w:w="1800" w:type="dxa"/>
          </w:tcPr>
          <w:p w:rsidR="001A7779" w:rsidRDefault="001A7779">
            <w:pPr>
              <w:tabs>
                <w:tab w:val="left" w:pos="630"/>
              </w:tabs>
              <w:spacing w:before="60" w:after="60" w:line="320" w:lineRule="exact"/>
              <w:rPr>
                <w:sz w:val="18"/>
              </w:rPr>
            </w:pPr>
            <w:r>
              <w:rPr>
                <w:rFonts w:hint="eastAsia"/>
                <w:sz w:val="18"/>
              </w:rPr>
              <w:t>共计</w:t>
            </w:r>
          </w:p>
          <w:p w:rsidR="001A7779" w:rsidRDefault="001A7779">
            <w:pPr>
              <w:tabs>
                <w:tab w:val="left" w:pos="630"/>
              </w:tabs>
              <w:spacing w:before="60" w:after="60" w:line="320" w:lineRule="exact"/>
              <w:rPr>
                <w:sz w:val="18"/>
              </w:rPr>
            </w:pPr>
            <w:r>
              <w:rPr>
                <w:rFonts w:hint="eastAsia"/>
                <w:sz w:val="18"/>
              </w:rPr>
              <w:t>针对妇女</w:t>
            </w:r>
          </w:p>
          <w:p w:rsidR="001A7779" w:rsidRDefault="001A7779">
            <w:pPr>
              <w:tabs>
                <w:tab w:val="left" w:pos="630"/>
              </w:tabs>
              <w:spacing w:before="60" w:after="60" w:line="320" w:lineRule="exact"/>
              <w:rPr>
                <w:sz w:val="18"/>
              </w:rPr>
            </w:pPr>
            <w:r>
              <w:rPr>
                <w:rFonts w:hint="eastAsia"/>
                <w:sz w:val="18"/>
              </w:rPr>
              <w:t>妇女所占比例</w:t>
            </w:r>
          </w:p>
        </w:tc>
        <w:tc>
          <w:tcPr>
            <w:tcW w:w="1440" w:type="dxa"/>
          </w:tcPr>
          <w:p w:rsidR="001A7779" w:rsidRDefault="001A7779">
            <w:pPr>
              <w:tabs>
                <w:tab w:val="left" w:pos="630"/>
              </w:tabs>
              <w:spacing w:before="60" w:after="60" w:line="320" w:lineRule="exact"/>
              <w:jc w:val="center"/>
              <w:rPr>
                <w:sz w:val="18"/>
              </w:rPr>
            </w:pPr>
            <w:r>
              <w:rPr>
                <w:sz w:val="18"/>
              </w:rPr>
              <w:t>57</w:t>
            </w:r>
          </w:p>
          <w:p w:rsidR="001A7779" w:rsidRDefault="001A7779">
            <w:pPr>
              <w:tabs>
                <w:tab w:val="left" w:pos="630"/>
              </w:tabs>
              <w:spacing w:before="60" w:after="60" w:line="320" w:lineRule="exact"/>
              <w:jc w:val="center"/>
              <w:rPr>
                <w:sz w:val="18"/>
              </w:rPr>
            </w:pPr>
            <w:r>
              <w:rPr>
                <w:sz w:val="18"/>
              </w:rPr>
              <w:t>23</w:t>
            </w:r>
          </w:p>
          <w:p w:rsidR="001A7779" w:rsidRDefault="001A7779">
            <w:pPr>
              <w:tabs>
                <w:tab w:val="left" w:pos="630"/>
              </w:tabs>
              <w:spacing w:before="60" w:after="60" w:line="320" w:lineRule="exact"/>
              <w:jc w:val="center"/>
              <w:rPr>
                <w:sz w:val="18"/>
              </w:rPr>
            </w:pPr>
            <w:r>
              <w:rPr>
                <w:sz w:val="18"/>
              </w:rPr>
              <w:t>40.4</w:t>
            </w:r>
          </w:p>
        </w:tc>
        <w:tc>
          <w:tcPr>
            <w:tcW w:w="1440" w:type="dxa"/>
          </w:tcPr>
          <w:p w:rsidR="001A7779" w:rsidRDefault="001A7779">
            <w:pPr>
              <w:tabs>
                <w:tab w:val="left" w:pos="630"/>
              </w:tabs>
              <w:spacing w:before="60" w:after="60" w:line="320" w:lineRule="exact"/>
              <w:jc w:val="center"/>
              <w:rPr>
                <w:sz w:val="18"/>
              </w:rPr>
            </w:pPr>
            <w:r>
              <w:rPr>
                <w:sz w:val="18"/>
              </w:rPr>
              <w:t>18</w:t>
            </w:r>
          </w:p>
          <w:p w:rsidR="001A7779" w:rsidRDefault="001A7779">
            <w:pPr>
              <w:tabs>
                <w:tab w:val="left" w:pos="630"/>
              </w:tabs>
              <w:spacing w:before="60" w:after="60" w:line="320" w:lineRule="exact"/>
              <w:jc w:val="center"/>
              <w:rPr>
                <w:sz w:val="18"/>
              </w:rPr>
            </w:pPr>
            <w:r>
              <w:rPr>
                <w:sz w:val="18"/>
              </w:rPr>
              <w:t>2</w:t>
            </w:r>
          </w:p>
          <w:p w:rsidR="001A7779" w:rsidRDefault="001A7779">
            <w:pPr>
              <w:tabs>
                <w:tab w:val="left" w:pos="630"/>
              </w:tabs>
              <w:spacing w:before="60" w:after="60" w:line="320" w:lineRule="exact"/>
              <w:jc w:val="center"/>
              <w:rPr>
                <w:sz w:val="18"/>
              </w:rPr>
            </w:pPr>
            <w:r>
              <w:rPr>
                <w:sz w:val="18"/>
              </w:rPr>
              <w:t>11.1</w:t>
            </w:r>
          </w:p>
        </w:tc>
        <w:tc>
          <w:tcPr>
            <w:tcW w:w="1440" w:type="dxa"/>
          </w:tcPr>
          <w:p w:rsidR="001A7779" w:rsidRDefault="001A7779">
            <w:pPr>
              <w:tabs>
                <w:tab w:val="left" w:pos="630"/>
              </w:tabs>
              <w:spacing w:before="60" w:after="60" w:line="320" w:lineRule="exact"/>
              <w:jc w:val="center"/>
              <w:rPr>
                <w:sz w:val="18"/>
              </w:rPr>
            </w:pPr>
            <w:r>
              <w:rPr>
                <w:sz w:val="18"/>
              </w:rPr>
              <w:t>295                    43</w:t>
            </w:r>
          </w:p>
          <w:p w:rsidR="001A7779" w:rsidRDefault="001A7779">
            <w:pPr>
              <w:tabs>
                <w:tab w:val="left" w:pos="630"/>
              </w:tabs>
              <w:spacing w:before="60" w:after="60" w:line="320" w:lineRule="exact"/>
              <w:jc w:val="center"/>
              <w:rPr>
                <w:sz w:val="18"/>
              </w:rPr>
            </w:pPr>
            <w:r>
              <w:rPr>
                <w:sz w:val="18"/>
              </w:rPr>
              <w:t>14.5</w:t>
            </w:r>
          </w:p>
        </w:tc>
        <w:tc>
          <w:tcPr>
            <w:tcW w:w="1440" w:type="dxa"/>
          </w:tcPr>
          <w:p w:rsidR="001A7779" w:rsidRDefault="001A7779">
            <w:pPr>
              <w:tabs>
                <w:tab w:val="left" w:pos="630"/>
              </w:tabs>
              <w:spacing w:before="60" w:after="60" w:line="320" w:lineRule="exact"/>
              <w:jc w:val="center"/>
              <w:rPr>
                <w:sz w:val="18"/>
              </w:rPr>
            </w:pPr>
            <w:r>
              <w:rPr>
                <w:sz w:val="18"/>
              </w:rPr>
              <w:t>2</w:t>
            </w:r>
            <w:r>
              <w:rPr>
                <w:rFonts w:hint="eastAsia"/>
                <w:sz w:val="18"/>
              </w:rPr>
              <w:t xml:space="preserve"> </w:t>
            </w:r>
            <w:r>
              <w:rPr>
                <w:sz w:val="18"/>
              </w:rPr>
              <w:t>084</w:t>
            </w:r>
          </w:p>
          <w:p w:rsidR="001A7779" w:rsidRDefault="001A7779">
            <w:pPr>
              <w:tabs>
                <w:tab w:val="left" w:pos="630"/>
              </w:tabs>
              <w:spacing w:before="60" w:after="60" w:line="320" w:lineRule="exact"/>
              <w:jc w:val="center"/>
              <w:rPr>
                <w:sz w:val="18"/>
              </w:rPr>
            </w:pPr>
            <w:r>
              <w:rPr>
                <w:sz w:val="18"/>
              </w:rPr>
              <w:t>483</w:t>
            </w:r>
          </w:p>
          <w:p w:rsidR="001A7779" w:rsidRDefault="001A7779">
            <w:pPr>
              <w:tabs>
                <w:tab w:val="left" w:pos="630"/>
              </w:tabs>
              <w:spacing w:before="60" w:after="60" w:line="320" w:lineRule="exact"/>
              <w:jc w:val="center"/>
              <w:rPr>
                <w:sz w:val="18"/>
              </w:rPr>
            </w:pPr>
            <w:r>
              <w:rPr>
                <w:sz w:val="18"/>
              </w:rPr>
              <w:t>23.2</w:t>
            </w:r>
          </w:p>
        </w:tc>
        <w:tc>
          <w:tcPr>
            <w:tcW w:w="1440" w:type="dxa"/>
          </w:tcPr>
          <w:p w:rsidR="001A7779" w:rsidRDefault="001A7779">
            <w:pPr>
              <w:tabs>
                <w:tab w:val="left" w:pos="630"/>
              </w:tabs>
              <w:spacing w:before="60" w:after="60" w:line="320" w:lineRule="exact"/>
              <w:jc w:val="center"/>
              <w:rPr>
                <w:sz w:val="18"/>
              </w:rPr>
            </w:pPr>
            <w:r>
              <w:rPr>
                <w:sz w:val="18"/>
              </w:rPr>
              <w:t>353</w:t>
            </w:r>
          </w:p>
          <w:p w:rsidR="001A7779" w:rsidRDefault="001A7779">
            <w:pPr>
              <w:tabs>
                <w:tab w:val="left" w:pos="630"/>
              </w:tabs>
              <w:spacing w:before="60" w:after="60" w:line="320" w:lineRule="exact"/>
              <w:jc w:val="center"/>
              <w:rPr>
                <w:sz w:val="18"/>
              </w:rPr>
            </w:pPr>
            <w:r>
              <w:rPr>
                <w:sz w:val="18"/>
              </w:rPr>
              <w:t>87</w:t>
            </w:r>
          </w:p>
          <w:p w:rsidR="001A7779" w:rsidRDefault="001A7779">
            <w:pPr>
              <w:tabs>
                <w:tab w:val="left" w:pos="630"/>
              </w:tabs>
              <w:spacing w:before="60" w:after="60" w:line="320" w:lineRule="exact"/>
              <w:jc w:val="center"/>
              <w:rPr>
                <w:sz w:val="18"/>
              </w:rPr>
            </w:pPr>
            <w:r>
              <w:rPr>
                <w:sz w:val="18"/>
              </w:rPr>
              <w:t>24.7</w:t>
            </w:r>
          </w:p>
        </w:tc>
      </w:tr>
      <w:tr w:rsidR="001A7779">
        <w:tblPrEx>
          <w:tblCellMar>
            <w:top w:w="0" w:type="dxa"/>
            <w:bottom w:w="0" w:type="dxa"/>
          </w:tblCellMar>
        </w:tblPrEx>
        <w:tc>
          <w:tcPr>
            <w:tcW w:w="840" w:type="dxa"/>
          </w:tcPr>
          <w:p w:rsidR="001A7779" w:rsidRDefault="001A7779">
            <w:pPr>
              <w:tabs>
                <w:tab w:val="left" w:pos="630"/>
              </w:tabs>
              <w:spacing w:before="60" w:after="60" w:line="320" w:lineRule="exact"/>
              <w:rPr>
                <w:sz w:val="18"/>
              </w:rPr>
            </w:pPr>
            <w:r>
              <w:rPr>
                <w:sz w:val="18"/>
              </w:rPr>
              <w:t>2004</w:t>
            </w:r>
          </w:p>
        </w:tc>
        <w:tc>
          <w:tcPr>
            <w:tcW w:w="1800" w:type="dxa"/>
          </w:tcPr>
          <w:p w:rsidR="001A7779" w:rsidRDefault="001A7779">
            <w:pPr>
              <w:tabs>
                <w:tab w:val="left" w:pos="630"/>
              </w:tabs>
              <w:spacing w:before="60" w:after="60" w:line="320" w:lineRule="exact"/>
              <w:rPr>
                <w:sz w:val="18"/>
              </w:rPr>
            </w:pPr>
            <w:r>
              <w:rPr>
                <w:rFonts w:hint="eastAsia"/>
                <w:sz w:val="18"/>
              </w:rPr>
              <w:t>共计</w:t>
            </w:r>
          </w:p>
          <w:p w:rsidR="001A7779" w:rsidRDefault="001A7779">
            <w:pPr>
              <w:tabs>
                <w:tab w:val="left" w:pos="630"/>
              </w:tabs>
              <w:spacing w:before="60" w:after="60" w:line="320" w:lineRule="exact"/>
              <w:rPr>
                <w:sz w:val="18"/>
              </w:rPr>
            </w:pPr>
            <w:r>
              <w:rPr>
                <w:rFonts w:hint="eastAsia"/>
                <w:sz w:val="18"/>
              </w:rPr>
              <w:t>针对妇女</w:t>
            </w:r>
          </w:p>
          <w:p w:rsidR="001A7779" w:rsidRDefault="001A7779">
            <w:pPr>
              <w:tabs>
                <w:tab w:val="left" w:pos="630"/>
              </w:tabs>
              <w:spacing w:before="60" w:after="60" w:line="320" w:lineRule="exact"/>
              <w:rPr>
                <w:sz w:val="18"/>
              </w:rPr>
            </w:pPr>
            <w:r>
              <w:rPr>
                <w:rFonts w:hint="eastAsia"/>
                <w:sz w:val="18"/>
              </w:rPr>
              <w:t>妇女所占比例</w:t>
            </w:r>
          </w:p>
        </w:tc>
        <w:tc>
          <w:tcPr>
            <w:tcW w:w="1440" w:type="dxa"/>
          </w:tcPr>
          <w:p w:rsidR="001A7779" w:rsidRDefault="001A7779">
            <w:pPr>
              <w:tabs>
                <w:tab w:val="left" w:pos="630"/>
              </w:tabs>
              <w:spacing w:before="60" w:after="60" w:line="320" w:lineRule="exact"/>
              <w:jc w:val="center"/>
              <w:rPr>
                <w:sz w:val="18"/>
              </w:rPr>
            </w:pPr>
            <w:r>
              <w:rPr>
                <w:sz w:val="18"/>
              </w:rPr>
              <w:t>95</w:t>
            </w:r>
          </w:p>
          <w:p w:rsidR="001A7779" w:rsidRDefault="001A7779">
            <w:pPr>
              <w:tabs>
                <w:tab w:val="left" w:pos="630"/>
              </w:tabs>
              <w:spacing w:before="60" w:after="60" w:line="320" w:lineRule="exact"/>
              <w:jc w:val="center"/>
              <w:rPr>
                <w:sz w:val="18"/>
              </w:rPr>
            </w:pPr>
            <w:r>
              <w:rPr>
                <w:sz w:val="18"/>
              </w:rPr>
              <w:t>25</w:t>
            </w:r>
          </w:p>
          <w:p w:rsidR="001A7779" w:rsidRDefault="001A7779">
            <w:pPr>
              <w:tabs>
                <w:tab w:val="left" w:pos="630"/>
              </w:tabs>
              <w:spacing w:before="60" w:after="60" w:line="320" w:lineRule="exact"/>
              <w:jc w:val="center"/>
              <w:rPr>
                <w:sz w:val="18"/>
              </w:rPr>
            </w:pPr>
            <w:r>
              <w:rPr>
                <w:sz w:val="18"/>
              </w:rPr>
              <w:t>26.3</w:t>
            </w:r>
          </w:p>
        </w:tc>
        <w:tc>
          <w:tcPr>
            <w:tcW w:w="1440" w:type="dxa"/>
          </w:tcPr>
          <w:p w:rsidR="001A7779" w:rsidRDefault="001A7779">
            <w:pPr>
              <w:tabs>
                <w:tab w:val="left" w:pos="630"/>
              </w:tabs>
              <w:spacing w:before="60" w:after="60" w:line="320" w:lineRule="exact"/>
              <w:jc w:val="center"/>
              <w:rPr>
                <w:sz w:val="18"/>
              </w:rPr>
            </w:pPr>
            <w:r>
              <w:rPr>
                <w:sz w:val="18"/>
              </w:rPr>
              <w:t>10</w:t>
            </w:r>
          </w:p>
          <w:p w:rsidR="001A7779" w:rsidRDefault="001A7779">
            <w:pPr>
              <w:tabs>
                <w:tab w:val="left" w:pos="630"/>
              </w:tabs>
              <w:spacing w:before="60" w:after="60" w:line="320" w:lineRule="exact"/>
              <w:jc w:val="center"/>
              <w:rPr>
                <w:sz w:val="18"/>
              </w:rPr>
            </w:pPr>
            <w:r>
              <w:rPr>
                <w:sz w:val="18"/>
              </w:rPr>
              <w:t>0</w:t>
            </w:r>
          </w:p>
          <w:p w:rsidR="001A7779" w:rsidRDefault="001A7779">
            <w:pPr>
              <w:tabs>
                <w:tab w:val="left" w:pos="630"/>
              </w:tabs>
              <w:spacing w:before="60" w:after="60" w:line="320" w:lineRule="exact"/>
              <w:jc w:val="center"/>
              <w:rPr>
                <w:sz w:val="18"/>
              </w:rPr>
            </w:pPr>
            <w:r>
              <w:rPr>
                <w:sz w:val="18"/>
              </w:rPr>
              <w:t>0</w:t>
            </w:r>
          </w:p>
        </w:tc>
        <w:tc>
          <w:tcPr>
            <w:tcW w:w="1440" w:type="dxa"/>
          </w:tcPr>
          <w:p w:rsidR="001A7779" w:rsidRDefault="001A7779">
            <w:pPr>
              <w:tabs>
                <w:tab w:val="left" w:pos="630"/>
              </w:tabs>
              <w:spacing w:before="60" w:after="60" w:line="320" w:lineRule="exact"/>
              <w:jc w:val="center"/>
              <w:rPr>
                <w:sz w:val="18"/>
              </w:rPr>
            </w:pPr>
            <w:r>
              <w:rPr>
                <w:sz w:val="18"/>
              </w:rPr>
              <w:t>306</w:t>
            </w:r>
          </w:p>
          <w:p w:rsidR="001A7779" w:rsidRDefault="001A7779">
            <w:pPr>
              <w:tabs>
                <w:tab w:val="left" w:pos="630"/>
              </w:tabs>
              <w:spacing w:before="60" w:after="60" w:line="320" w:lineRule="exact"/>
              <w:jc w:val="center"/>
              <w:rPr>
                <w:sz w:val="18"/>
              </w:rPr>
            </w:pPr>
            <w:r>
              <w:rPr>
                <w:sz w:val="18"/>
              </w:rPr>
              <w:t>45</w:t>
            </w:r>
          </w:p>
          <w:p w:rsidR="001A7779" w:rsidRDefault="001A7779">
            <w:pPr>
              <w:tabs>
                <w:tab w:val="left" w:pos="630"/>
              </w:tabs>
              <w:spacing w:before="60" w:after="60" w:line="320" w:lineRule="exact"/>
              <w:jc w:val="center"/>
              <w:rPr>
                <w:sz w:val="18"/>
              </w:rPr>
            </w:pPr>
            <w:r>
              <w:rPr>
                <w:sz w:val="18"/>
              </w:rPr>
              <w:t>14.7</w:t>
            </w:r>
          </w:p>
        </w:tc>
        <w:tc>
          <w:tcPr>
            <w:tcW w:w="1440" w:type="dxa"/>
          </w:tcPr>
          <w:p w:rsidR="001A7779" w:rsidRDefault="001A7779">
            <w:pPr>
              <w:tabs>
                <w:tab w:val="left" w:pos="630"/>
              </w:tabs>
              <w:spacing w:before="60" w:after="60" w:line="320" w:lineRule="exact"/>
              <w:jc w:val="center"/>
              <w:rPr>
                <w:sz w:val="18"/>
              </w:rPr>
            </w:pPr>
            <w:r>
              <w:rPr>
                <w:sz w:val="18"/>
              </w:rPr>
              <w:t>2</w:t>
            </w:r>
            <w:r>
              <w:rPr>
                <w:rFonts w:hint="eastAsia"/>
                <w:sz w:val="18"/>
              </w:rPr>
              <w:t xml:space="preserve"> </w:t>
            </w:r>
            <w:r>
              <w:rPr>
                <w:sz w:val="18"/>
              </w:rPr>
              <w:t>331</w:t>
            </w:r>
          </w:p>
          <w:p w:rsidR="001A7779" w:rsidRDefault="001A7779">
            <w:pPr>
              <w:tabs>
                <w:tab w:val="left" w:pos="630"/>
              </w:tabs>
              <w:spacing w:before="60" w:after="60" w:line="320" w:lineRule="exact"/>
              <w:jc w:val="center"/>
              <w:rPr>
                <w:sz w:val="18"/>
              </w:rPr>
            </w:pPr>
            <w:r>
              <w:rPr>
                <w:sz w:val="18"/>
              </w:rPr>
              <w:t>562</w:t>
            </w:r>
          </w:p>
          <w:p w:rsidR="001A7779" w:rsidRDefault="001A7779">
            <w:pPr>
              <w:tabs>
                <w:tab w:val="left" w:pos="630"/>
              </w:tabs>
              <w:spacing w:before="60" w:after="60" w:line="320" w:lineRule="exact"/>
              <w:jc w:val="center"/>
              <w:rPr>
                <w:sz w:val="18"/>
              </w:rPr>
            </w:pPr>
            <w:r>
              <w:rPr>
                <w:sz w:val="18"/>
              </w:rPr>
              <w:t>24.1</w:t>
            </w:r>
          </w:p>
        </w:tc>
        <w:tc>
          <w:tcPr>
            <w:tcW w:w="1440" w:type="dxa"/>
          </w:tcPr>
          <w:p w:rsidR="001A7779" w:rsidRDefault="001A7779">
            <w:pPr>
              <w:tabs>
                <w:tab w:val="left" w:pos="630"/>
              </w:tabs>
              <w:spacing w:before="60" w:after="60" w:line="320" w:lineRule="exact"/>
              <w:jc w:val="center"/>
              <w:rPr>
                <w:sz w:val="18"/>
              </w:rPr>
            </w:pPr>
            <w:r>
              <w:rPr>
                <w:sz w:val="18"/>
              </w:rPr>
              <w:t>365</w:t>
            </w:r>
          </w:p>
          <w:p w:rsidR="001A7779" w:rsidRDefault="001A7779">
            <w:pPr>
              <w:tabs>
                <w:tab w:val="left" w:pos="630"/>
              </w:tabs>
              <w:spacing w:before="60" w:after="60" w:line="320" w:lineRule="exact"/>
              <w:jc w:val="center"/>
              <w:rPr>
                <w:sz w:val="18"/>
              </w:rPr>
            </w:pPr>
            <w:r>
              <w:rPr>
                <w:sz w:val="18"/>
              </w:rPr>
              <w:t>88</w:t>
            </w:r>
          </w:p>
          <w:p w:rsidR="001A7779" w:rsidRDefault="001A7779">
            <w:pPr>
              <w:tabs>
                <w:tab w:val="left" w:pos="630"/>
              </w:tabs>
              <w:spacing w:before="60" w:after="60" w:line="320" w:lineRule="exact"/>
              <w:jc w:val="center"/>
              <w:rPr>
                <w:sz w:val="18"/>
              </w:rPr>
            </w:pPr>
            <w:r>
              <w:rPr>
                <w:sz w:val="18"/>
              </w:rPr>
              <w:t>24.1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内政部，</w:t>
      </w:r>
      <w:r>
        <w:rPr>
          <w:rFonts w:hint="eastAsia"/>
          <w:color w:val="000000"/>
          <w:sz w:val="18"/>
        </w:rPr>
        <w:t>2005</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14</w:t>
      </w:r>
      <w:r>
        <w:rPr>
          <w:rFonts w:ascii="SimHei" w:eastAsia="SimHei" w:hint="eastAsia"/>
          <w:color w:val="FF0000"/>
        </w:rPr>
        <w:t>：2001-2004年按地点分列的危害公共秩序和治安罪、女性受害者人数和</w:t>
      </w:r>
      <w:r>
        <w:rPr>
          <w:rFonts w:ascii="SimHei" w:eastAsia="SimHei"/>
          <w:color w:val="FF0000"/>
        </w:rPr>
        <w:br/>
      </w:r>
      <w:r>
        <w:rPr>
          <w:rFonts w:ascii="SimHei" w:eastAsia="SimHei" w:hint="eastAsia"/>
          <w:color w:val="FF0000"/>
        </w:rPr>
        <w:t>所占比例、有家庭暴力因素的犯罪数量和所占比例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0"/>
        <w:gridCol w:w="1704"/>
        <w:gridCol w:w="1704"/>
        <w:gridCol w:w="1704"/>
        <w:gridCol w:w="1704"/>
        <w:gridCol w:w="1704"/>
      </w:tblGrid>
      <w:tr w:rsidR="001A7779">
        <w:tblPrEx>
          <w:tblCellMar>
            <w:top w:w="0" w:type="dxa"/>
            <w:bottom w:w="0" w:type="dxa"/>
          </w:tblCellMar>
        </w:tblPrEx>
        <w:tc>
          <w:tcPr>
            <w:tcW w:w="1320" w:type="dxa"/>
          </w:tcPr>
          <w:p w:rsidR="001A7779" w:rsidRDefault="001A7779">
            <w:pPr>
              <w:tabs>
                <w:tab w:val="left" w:pos="630"/>
              </w:tabs>
              <w:spacing w:before="60" w:after="60" w:line="320" w:lineRule="exact"/>
              <w:rPr>
                <w:rFonts w:ascii="SimHei" w:eastAsia="SimHei"/>
                <w:color w:val="FF0000"/>
                <w:sz w:val="18"/>
              </w:rPr>
            </w:pPr>
            <w:r>
              <w:rPr>
                <w:rFonts w:ascii="SimHei" w:eastAsia="SimHei" w:hint="eastAsia"/>
                <w:color w:val="FF0000"/>
                <w:sz w:val="18"/>
              </w:rPr>
              <w:t>年份和地点</w:t>
            </w:r>
          </w:p>
        </w:tc>
        <w:tc>
          <w:tcPr>
            <w:tcW w:w="1704"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危害公共秩序和治安罪数量</w:t>
            </w:r>
          </w:p>
        </w:tc>
        <w:tc>
          <w:tcPr>
            <w:tcW w:w="1704"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女性受害者人数</w:t>
            </w:r>
          </w:p>
        </w:tc>
        <w:tc>
          <w:tcPr>
            <w:tcW w:w="1704"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女性受害者所占比例</w:t>
            </w:r>
            <w:r>
              <w:rPr>
                <w:rFonts w:ascii="SimHei" w:eastAsia="SimHei"/>
                <w:color w:val="FF0000"/>
                <w:sz w:val="18"/>
              </w:rPr>
              <w:t>%</w:t>
            </w:r>
          </w:p>
        </w:tc>
        <w:tc>
          <w:tcPr>
            <w:tcW w:w="1704"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有家庭暴力因素的犯罪数量</w:t>
            </w:r>
          </w:p>
        </w:tc>
        <w:tc>
          <w:tcPr>
            <w:tcW w:w="1704"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有家庭暴力因素的犯罪所占比例</w:t>
            </w:r>
            <w:r>
              <w:rPr>
                <w:rFonts w:ascii="SimHei" w:eastAsia="SimHei"/>
                <w:color w:val="FF0000"/>
                <w:sz w:val="18"/>
              </w:rPr>
              <w:t>%</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sz w:val="18"/>
              </w:rPr>
              <w:t>2001</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16 553</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6 999</w:t>
            </w:r>
          </w:p>
        </w:tc>
        <w:tc>
          <w:tcPr>
            <w:tcW w:w="1704" w:type="dxa"/>
          </w:tcPr>
          <w:p w:rsidR="001A7779" w:rsidRDefault="001A7779">
            <w:pPr>
              <w:tabs>
                <w:tab w:val="left" w:pos="630"/>
              </w:tabs>
              <w:spacing w:before="60" w:after="60" w:line="360" w:lineRule="exact"/>
              <w:jc w:val="center"/>
              <w:rPr>
                <w:sz w:val="18"/>
              </w:rPr>
            </w:pPr>
            <w:r>
              <w:rPr>
                <w:sz w:val="18"/>
              </w:rPr>
              <w:t>42.3</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2 566</w:t>
            </w:r>
          </w:p>
        </w:tc>
        <w:tc>
          <w:tcPr>
            <w:tcW w:w="1704" w:type="dxa"/>
          </w:tcPr>
          <w:p w:rsidR="001A7779" w:rsidRDefault="001A7779">
            <w:pPr>
              <w:tabs>
                <w:tab w:val="left" w:pos="630"/>
              </w:tabs>
              <w:spacing w:before="60" w:after="60" w:line="360" w:lineRule="exact"/>
              <w:jc w:val="center"/>
              <w:rPr>
                <w:sz w:val="18"/>
              </w:rPr>
            </w:pPr>
            <w:r>
              <w:rPr>
                <w:sz w:val="18"/>
              </w:rPr>
              <w:t>15.5</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rFonts w:hint="eastAsia"/>
                <w:sz w:val="18"/>
              </w:rPr>
              <w:t>住宅</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7 176</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3 975</w:t>
            </w:r>
          </w:p>
        </w:tc>
        <w:tc>
          <w:tcPr>
            <w:tcW w:w="1704" w:type="dxa"/>
          </w:tcPr>
          <w:p w:rsidR="001A7779" w:rsidRDefault="001A7779">
            <w:pPr>
              <w:tabs>
                <w:tab w:val="left" w:pos="630"/>
              </w:tabs>
              <w:spacing w:before="60" w:after="60" w:line="360" w:lineRule="exact"/>
              <w:jc w:val="center"/>
              <w:rPr>
                <w:sz w:val="18"/>
              </w:rPr>
            </w:pPr>
            <w:r>
              <w:rPr>
                <w:sz w:val="18"/>
              </w:rPr>
              <w:t>55.4</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2 307</w:t>
            </w:r>
          </w:p>
        </w:tc>
        <w:tc>
          <w:tcPr>
            <w:tcW w:w="1704" w:type="dxa"/>
          </w:tcPr>
          <w:p w:rsidR="001A7779" w:rsidRDefault="001A7779">
            <w:pPr>
              <w:tabs>
                <w:tab w:val="left" w:pos="630"/>
              </w:tabs>
              <w:spacing w:before="60" w:after="60" w:line="360" w:lineRule="exact"/>
              <w:jc w:val="center"/>
              <w:rPr>
                <w:sz w:val="18"/>
              </w:rPr>
            </w:pPr>
            <w:r>
              <w:rPr>
                <w:sz w:val="18"/>
              </w:rPr>
              <w:t>89.9</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sz w:val="18"/>
              </w:rPr>
              <w:t>2002</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17 353</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7 342</w:t>
            </w:r>
          </w:p>
        </w:tc>
        <w:tc>
          <w:tcPr>
            <w:tcW w:w="1704" w:type="dxa"/>
          </w:tcPr>
          <w:p w:rsidR="001A7779" w:rsidRDefault="001A7779">
            <w:pPr>
              <w:tabs>
                <w:tab w:val="left" w:pos="630"/>
              </w:tabs>
              <w:spacing w:before="60" w:after="60" w:line="360" w:lineRule="exact"/>
              <w:jc w:val="center"/>
              <w:rPr>
                <w:sz w:val="18"/>
              </w:rPr>
            </w:pPr>
            <w:r>
              <w:rPr>
                <w:sz w:val="18"/>
              </w:rPr>
              <w:t>42.3</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3 038</w:t>
            </w:r>
          </w:p>
        </w:tc>
        <w:tc>
          <w:tcPr>
            <w:tcW w:w="1704" w:type="dxa"/>
          </w:tcPr>
          <w:p w:rsidR="001A7779" w:rsidRDefault="001A7779">
            <w:pPr>
              <w:tabs>
                <w:tab w:val="left" w:pos="630"/>
              </w:tabs>
              <w:spacing w:before="60" w:after="60" w:line="360" w:lineRule="exact"/>
              <w:jc w:val="center"/>
              <w:rPr>
                <w:sz w:val="18"/>
              </w:rPr>
            </w:pPr>
            <w:r>
              <w:rPr>
                <w:sz w:val="18"/>
              </w:rPr>
              <w:t>17.5</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rFonts w:hint="eastAsia"/>
                <w:sz w:val="18"/>
              </w:rPr>
              <w:t>住宅</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7 826</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4 138</w:t>
            </w:r>
          </w:p>
        </w:tc>
        <w:tc>
          <w:tcPr>
            <w:tcW w:w="1704" w:type="dxa"/>
          </w:tcPr>
          <w:p w:rsidR="001A7779" w:rsidRDefault="001A7779">
            <w:pPr>
              <w:tabs>
                <w:tab w:val="left" w:pos="630"/>
              </w:tabs>
              <w:spacing w:before="60" w:after="60" w:line="360" w:lineRule="exact"/>
              <w:jc w:val="center"/>
              <w:rPr>
                <w:sz w:val="18"/>
              </w:rPr>
            </w:pPr>
            <w:r>
              <w:rPr>
                <w:sz w:val="18"/>
              </w:rPr>
              <w:t>52.9</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2 754</w:t>
            </w:r>
          </w:p>
        </w:tc>
        <w:tc>
          <w:tcPr>
            <w:tcW w:w="1704" w:type="dxa"/>
          </w:tcPr>
          <w:p w:rsidR="001A7779" w:rsidRDefault="001A7779">
            <w:pPr>
              <w:tabs>
                <w:tab w:val="left" w:pos="630"/>
              </w:tabs>
              <w:spacing w:before="60" w:after="60" w:line="360" w:lineRule="exact"/>
              <w:jc w:val="center"/>
              <w:rPr>
                <w:sz w:val="18"/>
              </w:rPr>
            </w:pPr>
            <w:r>
              <w:rPr>
                <w:sz w:val="18"/>
              </w:rPr>
              <w:t>90.7</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sz w:val="18"/>
              </w:rPr>
              <w:t>2003</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17 900</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6 460</w:t>
            </w:r>
          </w:p>
        </w:tc>
        <w:tc>
          <w:tcPr>
            <w:tcW w:w="1704" w:type="dxa"/>
          </w:tcPr>
          <w:p w:rsidR="001A7779" w:rsidRDefault="001A7779">
            <w:pPr>
              <w:tabs>
                <w:tab w:val="left" w:pos="630"/>
              </w:tabs>
              <w:spacing w:before="60" w:after="60" w:line="360" w:lineRule="exact"/>
              <w:jc w:val="center"/>
              <w:rPr>
                <w:sz w:val="18"/>
              </w:rPr>
            </w:pPr>
            <w:r>
              <w:rPr>
                <w:sz w:val="18"/>
              </w:rPr>
              <w:t>36.1</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5 014</w:t>
            </w:r>
          </w:p>
        </w:tc>
        <w:tc>
          <w:tcPr>
            <w:tcW w:w="1704" w:type="dxa"/>
          </w:tcPr>
          <w:p w:rsidR="001A7779" w:rsidRDefault="001A7779">
            <w:pPr>
              <w:tabs>
                <w:tab w:val="left" w:pos="630"/>
              </w:tabs>
              <w:spacing w:before="60" w:after="60" w:line="360" w:lineRule="exact"/>
              <w:jc w:val="center"/>
              <w:rPr>
                <w:sz w:val="18"/>
              </w:rPr>
            </w:pPr>
            <w:r>
              <w:rPr>
                <w:sz w:val="18"/>
              </w:rPr>
              <w:t>28.0</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rFonts w:hint="eastAsia"/>
                <w:sz w:val="18"/>
              </w:rPr>
              <w:t>住宅</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8 298</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3 092</w:t>
            </w:r>
          </w:p>
        </w:tc>
        <w:tc>
          <w:tcPr>
            <w:tcW w:w="1704" w:type="dxa"/>
          </w:tcPr>
          <w:p w:rsidR="001A7779" w:rsidRDefault="001A7779">
            <w:pPr>
              <w:tabs>
                <w:tab w:val="left" w:pos="630"/>
              </w:tabs>
              <w:spacing w:before="60" w:after="60" w:line="360" w:lineRule="exact"/>
              <w:jc w:val="center"/>
              <w:rPr>
                <w:sz w:val="18"/>
              </w:rPr>
            </w:pPr>
            <w:r>
              <w:rPr>
                <w:sz w:val="18"/>
              </w:rPr>
              <w:t>37.3</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4 477</w:t>
            </w:r>
          </w:p>
        </w:tc>
        <w:tc>
          <w:tcPr>
            <w:tcW w:w="1704" w:type="dxa"/>
          </w:tcPr>
          <w:p w:rsidR="001A7779" w:rsidRDefault="001A7779">
            <w:pPr>
              <w:tabs>
                <w:tab w:val="left" w:pos="630"/>
              </w:tabs>
              <w:spacing w:before="60" w:after="60" w:line="360" w:lineRule="exact"/>
              <w:jc w:val="center"/>
              <w:rPr>
                <w:sz w:val="18"/>
              </w:rPr>
            </w:pPr>
            <w:r>
              <w:rPr>
                <w:sz w:val="18"/>
              </w:rPr>
              <w:t>89.3</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sz w:val="18"/>
              </w:rPr>
              <w:t>2004</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16 618</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6 450</w:t>
            </w:r>
          </w:p>
        </w:tc>
        <w:tc>
          <w:tcPr>
            <w:tcW w:w="1704" w:type="dxa"/>
          </w:tcPr>
          <w:p w:rsidR="001A7779" w:rsidRDefault="001A7779">
            <w:pPr>
              <w:tabs>
                <w:tab w:val="left" w:pos="630"/>
              </w:tabs>
              <w:spacing w:before="60" w:after="60" w:line="360" w:lineRule="exact"/>
              <w:jc w:val="center"/>
              <w:rPr>
                <w:sz w:val="18"/>
              </w:rPr>
            </w:pPr>
            <w:r>
              <w:rPr>
                <w:sz w:val="18"/>
              </w:rPr>
              <w:t>38.8</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4 443</w:t>
            </w:r>
          </w:p>
        </w:tc>
        <w:tc>
          <w:tcPr>
            <w:tcW w:w="1704" w:type="dxa"/>
          </w:tcPr>
          <w:p w:rsidR="001A7779" w:rsidRDefault="001A7779">
            <w:pPr>
              <w:tabs>
                <w:tab w:val="left" w:pos="630"/>
              </w:tabs>
              <w:spacing w:before="60" w:after="60" w:line="360" w:lineRule="exact"/>
              <w:jc w:val="center"/>
              <w:rPr>
                <w:sz w:val="18"/>
              </w:rPr>
            </w:pPr>
            <w:r>
              <w:rPr>
                <w:sz w:val="18"/>
              </w:rPr>
              <w:t>26.7</w:t>
            </w:r>
          </w:p>
        </w:tc>
      </w:tr>
      <w:tr w:rsidR="001A7779">
        <w:tblPrEx>
          <w:tblCellMar>
            <w:top w:w="0" w:type="dxa"/>
            <w:bottom w:w="0" w:type="dxa"/>
          </w:tblCellMar>
        </w:tblPrEx>
        <w:tc>
          <w:tcPr>
            <w:tcW w:w="1320" w:type="dxa"/>
          </w:tcPr>
          <w:p w:rsidR="001A7779" w:rsidRDefault="001A7779">
            <w:pPr>
              <w:tabs>
                <w:tab w:val="left" w:pos="630"/>
              </w:tabs>
              <w:spacing w:before="60" w:after="60" w:line="360" w:lineRule="exact"/>
              <w:rPr>
                <w:sz w:val="18"/>
              </w:rPr>
            </w:pPr>
            <w:r>
              <w:rPr>
                <w:rFonts w:hint="eastAsia"/>
                <w:sz w:val="18"/>
              </w:rPr>
              <w:t>住宅</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7 738</w:t>
            </w:r>
          </w:p>
        </w:tc>
        <w:tc>
          <w:tcPr>
            <w:tcW w:w="1704" w:type="dxa"/>
          </w:tcPr>
          <w:p w:rsidR="001A7779" w:rsidRDefault="001A7779" w:rsidP="00B359E9">
            <w:pPr>
              <w:tabs>
                <w:tab w:val="left" w:pos="630"/>
              </w:tabs>
              <w:spacing w:before="60" w:after="60" w:line="360" w:lineRule="exact"/>
              <w:ind w:rightChars="206" w:right="31680"/>
              <w:jc w:val="right"/>
              <w:rPr>
                <w:sz w:val="18"/>
              </w:rPr>
            </w:pPr>
            <w:r>
              <w:rPr>
                <w:sz w:val="18"/>
              </w:rPr>
              <w:t>3 122</w:t>
            </w:r>
          </w:p>
        </w:tc>
        <w:tc>
          <w:tcPr>
            <w:tcW w:w="1704" w:type="dxa"/>
          </w:tcPr>
          <w:p w:rsidR="001A7779" w:rsidRDefault="001A7779">
            <w:pPr>
              <w:tabs>
                <w:tab w:val="left" w:pos="630"/>
              </w:tabs>
              <w:spacing w:before="60" w:after="60" w:line="360" w:lineRule="exact"/>
              <w:jc w:val="center"/>
              <w:rPr>
                <w:sz w:val="18"/>
              </w:rPr>
            </w:pPr>
            <w:r>
              <w:rPr>
                <w:sz w:val="18"/>
              </w:rPr>
              <w:t>40.3</w:t>
            </w:r>
          </w:p>
        </w:tc>
        <w:tc>
          <w:tcPr>
            <w:tcW w:w="1704"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06" w:right="31680"/>
              <w:jc w:val="right"/>
            </w:pPr>
            <w:r>
              <w:t>3 992</w:t>
            </w:r>
          </w:p>
        </w:tc>
        <w:tc>
          <w:tcPr>
            <w:tcW w:w="1704" w:type="dxa"/>
          </w:tcPr>
          <w:p w:rsidR="001A7779" w:rsidRDefault="001A7779">
            <w:pPr>
              <w:tabs>
                <w:tab w:val="left" w:pos="630"/>
              </w:tabs>
              <w:spacing w:before="60" w:after="60" w:line="360" w:lineRule="exact"/>
              <w:jc w:val="center"/>
              <w:rPr>
                <w:sz w:val="18"/>
              </w:rPr>
            </w:pPr>
            <w:r>
              <w:rPr>
                <w:sz w:val="18"/>
              </w:rPr>
              <w:t>89.8</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内政部，</w:t>
      </w:r>
      <w:r>
        <w:rPr>
          <w:rFonts w:hint="eastAsia"/>
          <w:color w:val="000000"/>
          <w:sz w:val="18"/>
        </w:rPr>
        <w:t>2005</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表15：2000和2004年国民议会选举中的女候选人和妇女所占比例</w:t>
      </w:r>
      <w:r>
        <w:rPr>
          <w:rFonts w:ascii="SimHei" w:eastAsia="SimHei"/>
          <w:color w:val="FF0000"/>
        </w:rPr>
        <w:t xml:space="preserve"> </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3"/>
        <w:gridCol w:w="3392"/>
        <w:gridCol w:w="3274"/>
      </w:tblGrid>
      <w:tr w:rsidR="001A7779">
        <w:tc>
          <w:tcPr>
            <w:tcW w:w="1612" w:type="pct"/>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172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166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1A7779">
        <w:tc>
          <w:tcPr>
            <w:tcW w:w="1612" w:type="pct"/>
          </w:tcPr>
          <w:p w:rsidR="001A7779" w:rsidRDefault="001A7779">
            <w:pPr>
              <w:tabs>
                <w:tab w:val="left" w:pos="630"/>
              </w:tabs>
              <w:spacing w:before="60" w:after="60" w:line="360" w:lineRule="exact"/>
              <w:rPr>
                <w:sz w:val="18"/>
              </w:rPr>
            </w:pPr>
            <w:r>
              <w:rPr>
                <w:rFonts w:hint="eastAsia"/>
                <w:sz w:val="18"/>
              </w:rPr>
              <w:t>共计</w:t>
            </w:r>
          </w:p>
        </w:tc>
        <w:tc>
          <w:tcPr>
            <w:tcW w:w="1724" w:type="pct"/>
          </w:tcPr>
          <w:p w:rsidR="001A7779" w:rsidRDefault="001A7779">
            <w:pPr>
              <w:tabs>
                <w:tab w:val="left" w:pos="630"/>
              </w:tabs>
              <w:spacing w:before="60" w:after="60" w:line="360" w:lineRule="exact"/>
              <w:jc w:val="center"/>
              <w:rPr>
                <w:sz w:val="18"/>
              </w:rPr>
            </w:pPr>
            <w:r>
              <w:rPr>
                <w:sz w:val="18"/>
              </w:rPr>
              <w:t>1</w:t>
            </w:r>
            <w:r>
              <w:rPr>
                <w:rFonts w:hint="eastAsia"/>
                <w:sz w:val="18"/>
              </w:rPr>
              <w:t xml:space="preserve"> </w:t>
            </w:r>
            <w:r>
              <w:rPr>
                <w:sz w:val="18"/>
              </w:rPr>
              <w:t>007</w:t>
            </w:r>
          </w:p>
        </w:tc>
        <w:tc>
          <w:tcPr>
            <w:tcW w:w="1664" w:type="pct"/>
          </w:tcPr>
          <w:p w:rsidR="001A7779" w:rsidRDefault="001A7779">
            <w:pPr>
              <w:tabs>
                <w:tab w:val="left" w:pos="630"/>
              </w:tabs>
              <w:spacing w:before="60" w:after="60" w:line="360" w:lineRule="exact"/>
              <w:jc w:val="center"/>
              <w:rPr>
                <w:sz w:val="18"/>
              </w:rPr>
            </w:pPr>
            <w:r>
              <w:rPr>
                <w:sz w:val="18"/>
              </w:rPr>
              <w:t>1</w:t>
            </w:r>
            <w:r>
              <w:rPr>
                <w:rFonts w:hint="eastAsia"/>
                <w:sz w:val="18"/>
              </w:rPr>
              <w:t xml:space="preserve"> </w:t>
            </w:r>
            <w:r>
              <w:rPr>
                <w:sz w:val="18"/>
              </w:rPr>
              <w:t>395</w:t>
            </w:r>
          </w:p>
        </w:tc>
      </w:tr>
      <w:tr w:rsidR="001A7779">
        <w:tc>
          <w:tcPr>
            <w:tcW w:w="1612" w:type="pct"/>
          </w:tcPr>
          <w:p w:rsidR="001A7779" w:rsidRDefault="001A7779">
            <w:pPr>
              <w:tabs>
                <w:tab w:val="left" w:pos="630"/>
              </w:tabs>
              <w:spacing w:before="60" w:after="60" w:line="360" w:lineRule="exact"/>
              <w:rPr>
                <w:sz w:val="18"/>
              </w:rPr>
            </w:pPr>
            <w:r>
              <w:rPr>
                <w:rFonts w:hint="eastAsia"/>
                <w:sz w:val="18"/>
              </w:rPr>
              <w:t>女</w:t>
            </w:r>
          </w:p>
        </w:tc>
        <w:tc>
          <w:tcPr>
            <w:tcW w:w="1724" w:type="pct"/>
          </w:tcPr>
          <w:p w:rsidR="001A7779" w:rsidRDefault="001A7779">
            <w:pPr>
              <w:tabs>
                <w:tab w:val="left" w:pos="630"/>
              </w:tabs>
              <w:spacing w:before="60" w:after="60" w:line="360" w:lineRule="exact"/>
              <w:jc w:val="center"/>
              <w:rPr>
                <w:sz w:val="18"/>
              </w:rPr>
            </w:pPr>
            <w:r>
              <w:rPr>
                <w:sz w:val="18"/>
              </w:rPr>
              <w:t>236</w:t>
            </w:r>
          </w:p>
        </w:tc>
        <w:tc>
          <w:tcPr>
            <w:tcW w:w="1664" w:type="pct"/>
          </w:tcPr>
          <w:p w:rsidR="001A7779" w:rsidRDefault="001A7779">
            <w:pPr>
              <w:tabs>
                <w:tab w:val="left" w:pos="630"/>
              </w:tabs>
              <w:spacing w:before="60" w:after="60" w:line="360" w:lineRule="exact"/>
              <w:jc w:val="center"/>
              <w:rPr>
                <w:sz w:val="18"/>
              </w:rPr>
            </w:pPr>
            <w:r>
              <w:rPr>
                <w:sz w:val="18"/>
              </w:rPr>
              <w:t>347</w:t>
            </w:r>
          </w:p>
        </w:tc>
      </w:tr>
      <w:tr w:rsidR="001A7779">
        <w:tc>
          <w:tcPr>
            <w:tcW w:w="1612" w:type="pct"/>
          </w:tcPr>
          <w:p w:rsidR="001A7779" w:rsidRDefault="001A7779">
            <w:pPr>
              <w:tabs>
                <w:tab w:val="left" w:pos="630"/>
              </w:tabs>
              <w:spacing w:before="60" w:after="60" w:line="360" w:lineRule="exact"/>
              <w:rPr>
                <w:sz w:val="18"/>
              </w:rPr>
            </w:pPr>
            <w:r>
              <w:rPr>
                <w:rFonts w:hint="eastAsia"/>
                <w:sz w:val="18"/>
              </w:rPr>
              <w:t>妇女所占比例</w:t>
            </w:r>
            <w:r>
              <w:rPr>
                <w:sz w:val="18"/>
              </w:rPr>
              <w:t xml:space="preserve">% </w:t>
            </w:r>
          </w:p>
        </w:tc>
        <w:tc>
          <w:tcPr>
            <w:tcW w:w="1724" w:type="pct"/>
          </w:tcPr>
          <w:p w:rsidR="001A7779" w:rsidRDefault="001A7779">
            <w:pPr>
              <w:tabs>
                <w:tab w:val="left" w:pos="630"/>
              </w:tabs>
              <w:spacing w:before="60" w:after="60" w:line="360" w:lineRule="exact"/>
              <w:jc w:val="center"/>
              <w:rPr>
                <w:sz w:val="18"/>
              </w:rPr>
            </w:pPr>
            <w:r>
              <w:rPr>
                <w:sz w:val="18"/>
              </w:rPr>
              <w:t>23.4</w:t>
            </w:r>
          </w:p>
        </w:tc>
        <w:tc>
          <w:tcPr>
            <w:tcW w:w="1664" w:type="pct"/>
          </w:tcPr>
          <w:p w:rsidR="001A7779" w:rsidRDefault="001A7779">
            <w:pPr>
              <w:tabs>
                <w:tab w:val="left" w:pos="630"/>
              </w:tabs>
              <w:spacing w:before="60" w:after="60" w:line="360" w:lineRule="exact"/>
              <w:jc w:val="center"/>
              <w:rPr>
                <w:sz w:val="18"/>
              </w:rPr>
            </w:pPr>
            <w:r>
              <w:rPr>
                <w:sz w:val="18"/>
              </w:rPr>
              <w:t>24.9</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表16：2004年国民议会选举中当选妇女代表人数和所占比例</w:t>
      </w:r>
      <w:r>
        <w:rPr>
          <w:rFonts w:ascii="SimHei" w:eastAsia="SimHei"/>
          <w:color w:val="FF0000"/>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1410"/>
        <w:gridCol w:w="1410"/>
        <w:gridCol w:w="1410"/>
        <w:gridCol w:w="1410"/>
      </w:tblGrid>
      <w:tr w:rsidR="001A7779">
        <w:tblPrEx>
          <w:tblCellMar>
            <w:top w:w="0" w:type="dxa"/>
            <w:bottom w:w="0" w:type="dxa"/>
          </w:tblCellMar>
        </w:tblPrEx>
        <w:tc>
          <w:tcPr>
            <w:tcW w:w="4200"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议会党派</w:t>
            </w:r>
          </w:p>
        </w:tc>
        <w:tc>
          <w:tcPr>
            <w:tcW w:w="141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代表总人数</w:t>
            </w:r>
          </w:p>
        </w:tc>
        <w:tc>
          <w:tcPr>
            <w:tcW w:w="141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比例</w:t>
            </w:r>
            <w:r>
              <w:rPr>
                <w:rFonts w:ascii="SimHei" w:eastAsia="SimHei"/>
                <w:color w:val="FF0000"/>
                <w:sz w:val="18"/>
              </w:rPr>
              <w:t xml:space="preserve"> （%）</w:t>
            </w:r>
          </w:p>
        </w:tc>
        <w:tc>
          <w:tcPr>
            <w:tcW w:w="141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妇女人数</w:t>
            </w:r>
          </w:p>
        </w:tc>
        <w:tc>
          <w:tcPr>
            <w:tcW w:w="141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rFonts w:hint="eastAsia"/>
                <w:sz w:val="18"/>
              </w:rPr>
              <w:t>斯洛文尼亚民主党</w:t>
            </w:r>
            <w:r>
              <w:rPr>
                <w:sz w:val="18"/>
              </w:rPr>
              <w:t>（</w:t>
            </w:r>
            <w:r>
              <w:rPr>
                <w:sz w:val="18"/>
              </w:rPr>
              <w:t>SDS</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29</w:t>
            </w:r>
          </w:p>
        </w:tc>
        <w:tc>
          <w:tcPr>
            <w:tcW w:w="1410" w:type="dxa"/>
          </w:tcPr>
          <w:p w:rsidR="001A7779" w:rsidRDefault="001A7779">
            <w:pPr>
              <w:pStyle w:val="Header"/>
              <w:pBdr>
                <w:bottom w:val="none" w:sz="0" w:space="0" w:color="auto"/>
              </w:pBdr>
              <w:tabs>
                <w:tab w:val="clear" w:pos="4320"/>
                <w:tab w:val="clear" w:pos="8640"/>
                <w:tab w:val="left" w:pos="630"/>
              </w:tabs>
              <w:spacing w:before="60" w:after="60" w:line="360" w:lineRule="exact"/>
            </w:pPr>
            <w:r>
              <w:t>29.08</w:t>
            </w:r>
          </w:p>
        </w:tc>
        <w:tc>
          <w:tcPr>
            <w:tcW w:w="1410" w:type="dxa"/>
          </w:tcPr>
          <w:p w:rsidR="001A7779" w:rsidRDefault="001A7779">
            <w:pPr>
              <w:tabs>
                <w:tab w:val="left" w:pos="630"/>
              </w:tabs>
              <w:spacing w:before="60" w:after="60" w:line="360" w:lineRule="exact"/>
              <w:jc w:val="center"/>
              <w:rPr>
                <w:sz w:val="18"/>
              </w:rPr>
            </w:pPr>
            <w:r>
              <w:rPr>
                <w:sz w:val="18"/>
              </w:rPr>
              <w:t>3</w:t>
            </w:r>
          </w:p>
        </w:tc>
        <w:tc>
          <w:tcPr>
            <w:tcW w:w="1410" w:type="dxa"/>
          </w:tcPr>
          <w:p w:rsidR="001A7779" w:rsidRDefault="001A7779">
            <w:pPr>
              <w:tabs>
                <w:tab w:val="left" w:pos="630"/>
              </w:tabs>
              <w:spacing w:before="60" w:after="60" w:line="360" w:lineRule="exact"/>
              <w:jc w:val="center"/>
              <w:rPr>
                <w:sz w:val="18"/>
              </w:rPr>
            </w:pPr>
            <w:r>
              <w:rPr>
                <w:sz w:val="18"/>
              </w:rPr>
              <w:t>10.3</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rFonts w:hint="eastAsia"/>
                <w:sz w:val="18"/>
              </w:rPr>
              <w:t>斯洛文尼亚自由民主党</w:t>
            </w:r>
            <w:r>
              <w:rPr>
                <w:sz w:val="18"/>
              </w:rPr>
              <w:t>（</w:t>
            </w:r>
            <w:r>
              <w:rPr>
                <w:sz w:val="18"/>
              </w:rPr>
              <w:t>LDS</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23</w:t>
            </w:r>
          </w:p>
        </w:tc>
        <w:tc>
          <w:tcPr>
            <w:tcW w:w="1410" w:type="dxa"/>
          </w:tcPr>
          <w:p w:rsidR="001A7779" w:rsidRDefault="001A7779">
            <w:pPr>
              <w:pStyle w:val="Header"/>
              <w:pBdr>
                <w:bottom w:val="none" w:sz="0" w:space="0" w:color="auto"/>
              </w:pBdr>
              <w:tabs>
                <w:tab w:val="clear" w:pos="4320"/>
                <w:tab w:val="clear" w:pos="8640"/>
                <w:tab w:val="left" w:pos="630"/>
              </w:tabs>
              <w:spacing w:before="60" w:after="60" w:line="360" w:lineRule="exact"/>
            </w:pPr>
            <w:r>
              <w:t>22.80</w:t>
            </w:r>
          </w:p>
        </w:tc>
        <w:tc>
          <w:tcPr>
            <w:tcW w:w="1410" w:type="dxa"/>
          </w:tcPr>
          <w:p w:rsidR="001A7779" w:rsidRDefault="001A7779">
            <w:pPr>
              <w:tabs>
                <w:tab w:val="left" w:pos="630"/>
              </w:tabs>
              <w:spacing w:before="60" w:after="60" w:line="360" w:lineRule="exact"/>
              <w:jc w:val="center"/>
              <w:rPr>
                <w:sz w:val="18"/>
              </w:rPr>
            </w:pPr>
            <w:r>
              <w:rPr>
                <w:sz w:val="18"/>
              </w:rPr>
              <w:t>3</w:t>
            </w:r>
          </w:p>
        </w:tc>
        <w:tc>
          <w:tcPr>
            <w:tcW w:w="1410" w:type="dxa"/>
          </w:tcPr>
          <w:p w:rsidR="001A7779" w:rsidRDefault="001A7779">
            <w:pPr>
              <w:tabs>
                <w:tab w:val="left" w:pos="630"/>
              </w:tabs>
              <w:spacing w:before="60" w:after="60" w:line="360" w:lineRule="exact"/>
              <w:jc w:val="center"/>
              <w:rPr>
                <w:sz w:val="18"/>
              </w:rPr>
            </w:pPr>
            <w:r>
              <w:rPr>
                <w:sz w:val="18"/>
              </w:rPr>
              <w:t>13.0</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sz w:val="18"/>
              </w:rPr>
              <w:t>社会民主者联合名单（</w:t>
            </w:r>
            <w:r>
              <w:rPr>
                <w:sz w:val="18"/>
              </w:rPr>
              <w:t>ZLSD</w:t>
            </w:r>
            <w:r>
              <w:rPr>
                <w:sz w:val="18"/>
              </w:rPr>
              <w:t>）</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10</w:t>
            </w:r>
          </w:p>
        </w:tc>
        <w:tc>
          <w:tcPr>
            <w:tcW w:w="1410" w:type="dxa"/>
          </w:tcPr>
          <w:p w:rsidR="001A7779" w:rsidRDefault="001A7779">
            <w:pPr>
              <w:tabs>
                <w:tab w:val="left" w:pos="630"/>
              </w:tabs>
              <w:spacing w:before="60" w:after="60" w:line="360" w:lineRule="exact"/>
              <w:jc w:val="center"/>
              <w:rPr>
                <w:sz w:val="18"/>
              </w:rPr>
            </w:pPr>
            <w:r>
              <w:rPr>
                <w:sz w:val="18"/>
              </w:rPr>
              <w:t>10.17</w:t>
            </w:r>
          </w:p>
        </w:tc>
        <w:tc>
          <w:tcPr>
            <w:tcW w:w="1410" w:type="dxa"/>
          </w:tcPr>
          <w:p w:rsidR="001A7779" w:rsidRDefault="001A7779">
            <w:pPr>
              <w:tabs>
                <w:tab w:val="left" w:pos="630"/>
              </w:tabs>
              <w:spacing w:before="60" w:after="60" w:line="360" w:lineRule="exact"/>
              <w:jc w:val="center"/>
              <w:rPr>
                <w:sz w:val="18"/>
              </w:rPr>
            </w:pPr>
            <w:r>
              <w:rPr>
                <w:sz w:val="18"/>
              </w:rPr>
              <w:t>2</w:t>
            </w:r>
          </w:p>
        </w:tc>
        <w:tc>
          <w:tcPr>
            <w:tcW w:w="1410" w:type="dxa"/>
          </w:tcPr>
          <w:p w:rsidR="001A7779" w:rsidRDefault="001A7779">
            <w:pPr>
              <w:tabs>
                <w:tab w:val="left" w:pos="630"/>
              </w:tabs>
              <w:spacing w:before="60" w:after="60" w:line="360" w:lineRule="exact"/>
              <w:jc w:val="center"/>
              <w:rPr>
                <w:sz w:val="18"/>
              </w:rPr>
            </w:pPr>
            <w:r>
              <w:rPr>
                <w:sz w:val="18"/>
              </w:rPr>
              <w:t>20.0</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sz w:val="18"/>
              </w:rPr>
              <w:t xml:space="preserve"> </w:t>
            </w:r>
            <w:r>
              <w:rPr>
                <w:rFonts w:hint="eastAsia"/>
                <w:sz w:val="18"/>
              </w:rPr>
              <w:t>斯洛文尼亚人民党</w:t>
            </w:r>
            <w:r>
              <w:rPr>
                <w:sz w:val="18"/>
              </w:rPr>
              <w:t>（</w:t>
            </w:r>
            <w:r>
              <w:rPr>
                <w:sz w:val="18"/>
              </w:rPr>
              <w:t>SLS</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7</w:t>
            </w:r>
          </w:p>
        </w:tc>
        <w:tc>
          <w:tcPr>
            <w:tcW w:w="1410" w:type="dxa"/>
          </w:tcPr>
          <w:p w:rsidR="001A7779" w:rsidRDefault="001A7779">
            <w:pPr>
              <w:tabs>
                <w:tab w:val="left" w:pos="630"/>
              </w:tabs>
              <w:spacing w:before="60" w:after="60" w:line="360" w:lineRule="exact"/>
              <w:jc w:val="center"/>
              <w:rPr>
                <w:sz w:val="18"/>
              </w:rPr>
            </w:pPr>
            <w:r>
              <w:rPr>
                <w:sz w:val="18"/>
              </w:rPr>
              <w:t>6.82</w:t>
            </w:r>
          </w:p>
        </w:tc>
        <w:tc>
          <w:tcPr>
            <w:tcW w:w="1410" w:type="dxa"/>
          </w:tcPr>
          <w:p w:rsidR="001A7779" w:rsidRDefault="001A7779">
            <w:pPr>
              <w:tabs>
                <w:tab w:val="left" w:pos="630"/>
              </w:tabs>
              <w:spacing w:before="60" w:after="60" w:line="360" w:lineRule="exact"/>
              <w:jc w:val="center"/>
              <w:rPr>
                <w:sz w:val="18"/>
              </w:rPr>
            </w:pPr>
            <w:r>
              <w:rPr>
                <w:sz w:val="18"/>
              </w:rPr>
              <w:t>0</w:t>
            </w:r>
          </w:p>
        </w:tc>
        <w:tc>
          <w:tcPr>
            <w:tcW w:w="1410" w:type="dxa"/>
          </w:tcPr>
          <w:p w:rsidR="001A7779" w:rsidRDefault="001A7779">
            <w:pPr>
              <w:tabs>
                <w:tab w:val="left" w:pos="630"/>
              </w:tabs>
              <w:spacing w:before="60" w:after="60" w:line="360" w:lineRule="exact"/>
              <w:jc w:val="center"/>
              <w:rPr>
                <w:sz w:val="18"/>
              </w:rPr>
            </w:pPr>
            <w:r>
              <w:rPr>
                <w:sz w:val="18"/>
              </w:rPr>
              <w:t>0</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sz w:val="18"/>
              </w:rPr>
              <w:t>新斯洛文尼亚基督教人民党</w:t>
            </w:r>
            <w:r>
              <w:rPr>
                <w:sz w:val="18"/>
              </w:rPr>
              <w:t xml:space="preserve"> </w:t>
            </w:r>
            <w:r>
              <w:rPr>
                <w:sz w:val="18"/>
              </w:rPr>
              <w:t>（</w:t>
            </w:r>
            <w:r>
              <w:rPr>
                <w:sz w:val="18"/>
              </w:rPr>
              <w:t>NSi</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9</w:t>
            </w:r>
          </w:p>
        </w:tc>
        <w:tc>
          <w:tcPr>
            <w:tcW w:w="1410" w:type="dxa"/>
          </w:tcPr>
          <w:p w:rsidR="001A7779" w:rsidRDefault="001A7779">
            <w:pPr>
              <w:tabs>
                <w:tab w:val="left" w:pos="630"/>
              </w:tabs>
              <w:spacing w:before="60" w:after="60" w:line="360" w:lineRule="exact"/>
              <w:jc w:val="center"/>
              <w:rPr>
                <w:sz w:val="18"/>
              </w:rPr>
            </w:pPr>
            <w:r>
              <w:rPr>
                <w:sz w:val="18"/>
              </w:rPr>
              <w:t>9.09</w:t>
            </w:r>
          </w:p>
        </w:tc>
        <w:tc>
          <w:tcPr>
            <w:tcW w:w="1410" w:type="dxa"/>
          </w:tcPr>
          <w:p w:rsidR="001A7779" w:rsidRDefault="001A7779">
            <w:pPr>
              <w:tabs>
                <w:tab w:val="left" w:pos="630"/>
              </w:tabs>
              <w:spacing w:before="60" w:after="60" w:line="360" w:lineRule="exact"/>
              <w:jc w:val="center"/>
              <w:rPr>
                <w:sz w:val="18"/>
              </w:rPr>
            </w:pPr>
            <w:r>
              <w:rPr>
                <w:sz w:val="18"/>
              </w:rPr>
              <w:t>2</w:t>
            </w:r>
          </w:p>
        </w:tc>
        <w:tc>
          <w:tcPr>
            <w:tcW w:w="1410" w:type="dxa"/>
          </w:tcPr>
          <w:p w:rsidR="001A7779" w:rsidRDefault="001A7779">
            <w:pPr>
              <w:tabs>
                <w:tab w:val="left" w:pos="630"/>
              </w:tabs>
              <w:spacing w:before="60" w:after="60" w:line="360" w:lineRule="exact"/>
              <w:jc w:val="center"/>
              <w:rPr>
                <w:sz w:val="18"/>
              </w:rPr>
            </w:pPr>
            <w:r>
              <w:rPr>
                <w:sz w:val="18"/>
              </w:rPr>
              <w:t>22.2</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rFonts w:hint="eastAsia"/>
                <w:sz w:val="18"/>
              </w:rPr>
              <w:t>斯洛文尼亚退休者民主党</w:t>
            </w:r>
            <w:r>
              <w:rPr>
                <w:sz w:val="18"/>
              </w:rPr>
              <w:t xml:space="preserve"> </w:t>
            </w:r>
            <w:r>
              <w:rPr>
                <w:sz w:val="18"/>
              </w:rPr>
              <w:t>（</w:t>
            </w:r>
            <w:r>
              <w:rPr>
                <w:sz w:val="18"/>
              </w:rPr>
              <w:t>DeSUS</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4</w:t>
            </w:r>
          </w:p>
        </w:tc>
        <w:tc>
          <w:tcPr>
            <w:tcW w:w="1410" w:type="dxa"/>
          </w:tcPr>
          <w:p w:rsidR="001A7779" w:rsidRDefault="001A7779">
            <w:pPr>
              <w:tabs>
                <w:tab w:val="left" w:pos="630"/>
              </w:tabs>
              <w:spacing w:before="60" w:after="60" w:line="360" w:lineRule="exact"/>
              <w:jc w:val="center"/>
              <w:rPr>
                <w:sz w:val="18"/>
              </w:rPr>
            </w:pPr>
            <w:r>
              <w:rPr>
                <w:sz w:val="18"/>
              </w:rPr>
              <w:t>4.04</w:t>
            </w:r>
          </w:p>
        </w:tc>
        <w:tc>
          <w:tcPr>
            <w:tcW w:w="1410" w:type="dxa"/>
          </w:tcPr>
          <w:p w:rsidR="001A7779" w:rsidRDefault="001A7779">
            <w:pPr>
              <w:tabs>
                <w:tab w:val="left" w:pos="630"/>
              </w:tabs>
              <w:spacing w:before="60" w:after="60" w:line="360" w:lineRule="exact"/>
              <w:jc w:val="center"/>
              <w:rPr>
                <w:sz w:val="18"/>
              </w:rPr>
            </w:pPr>
            <w:r>
              <w:rPr>
                <w:sz w:val="18"/>
              </w:rPr>
              <w:t>0</w:t>
            </w:r>
          </w:p>
        </w:tc>
        <w:tc>
          <w:tcPr>
            <w:tcW w:w="1410" w:type="dxa"/>
          </w:tcPr>
          <w:p w:rsidR="001A7779" w:rsidRDefault="001A7779">
            <w:pPr>
              <w:tabs>
                <w:tab w:val="left" w:pos="630"/>
              </w:tabs>
              <w:spacing w:before="60" w:after="60" w:line="360" w:lineRule="exact"/>
              <w:jc w:val="center"/>
              <w:rPr>
                <w:sz w:val="18"/>
              </w:rPr>
            </w:pPr>
            <w:r>
              <w:rPr>
                <w:sz w:val="18"/>
              </w:rPr>
              <w:t>0</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rFonts w:hint="eastAsia"/>
                <w:sz w:val="18"/>
              </w:rPr>
              <w:t>斯洛文尼亚民族党</w:t>
            </w:r>
            <w:r>
              <w:rPr>
                <w:sz w:val="18"/>
              </w:rPr>
              <w:t xml:space="preserve"> </w:t>
            </w:r>
            <w:r>
              <w:rPr>
                <w:sz w:val="18"/>
              </w:rPr>
              <w:t>（</w:t>
            </w:r>
            <w:r>
              <w:rPr>
                <w:sz w:val="18"/>
              </w:rPr>
              <w:t>SNS</w:t>
            </w:r>
            <w:r>
              <w:rPr>
                <w:sz w:val="18"/>
              </w:rPr>
              <w:t>）</w:t>
            </w:r>
          </w:p>
        </w:tc>
        <w:tc>
          <w:tcPr>
            <w:tcW w:w="1410" w:type="dxa"/>
          </w:tcPr>
          <w:p w:rsidR="001A7779" w:rsidRDefault="001A7779">
            <w:pPr>
              <w:tabs>
                <w:tab w:val="left" w:pos="630"/>
              </w:tabs>
              <w:spacing w:before="60" w:after="60" w:line="360" w:lineRule="exact"/>
              <w:jc w:val="center"/>
              <w:rPr>
                <w:sz w:val="18"/>
              </w:rPr>
            </w:pPr>
            <w:r>
              <w:rPr>
                <w:sz w:val="18"/>
              </w:rPr>
              <w:t>6</w:t>
            </w:r>
          </w:p>
        </w:tc>
        <w:tc>
          <w:tcPr>
            <w:tcW w:w="1410" w:type="dxa"/>
          </w:tcPr>
          <w:p w:rsidR="001A7779" w:rsidRDefault="001A7779">
            <w:pPr>
              <w:tabs>
                <w:tab w:val="left" w:pos="630"/>
              </w:tabs>
              <w:spacing w:before="60" w:after="60" w:line="360" w:lineRule="exact"/>
              <w:jc w:val="center"/>
              <w:rPr>
                <w:sz w:val="18"/>
              </w:rPr>
            </w:pPr>
            <w:r>
              <w:rPr>
                <w:sz w:val="18"/>
              </w:rPr>
              <w:t>6.27</w:t>
            </w:r>
          </w:p>
        </w:tc>
        <w:tc>
          <w:tcPr>
            <w:tcW w:w="1410" w:type="dxa"/>
          </w:tcPr>
          <w:p w:rsidR="001A7779" w:rsidRDefault="001A7779">
            <w:pPr>
              <w:tabs>
                <w:tab w:val="left" w:pos="630"/>
              </w:tabs>
              <w:spacing w:before="60" w:after="60" w:line="360" w:lineRule="exact"/>
              <w:jc w:val="center"/>
              <w:rPr>
                <w:sz w:val="18"/>
              </w:rPr>
            </w:pPr>
            <w:r>
              <w:rPr>
                <w:sz w:val="18"/>
              </w:rPr>
              <w:t>1</w:t>
            </w:r>
          </w:p>
        </w:tc>
        <w:tc>
          <w:tcPr>
            <w:tcW w:w="1410" w:type="dxa"/>
          </w:tcPr>
          <w:p w:rsidR="001A7779" w:rsidRDefault="001A7779">
            <w:pPr>
              <w:tabs>
                <w:tab w:val="left" w:pos="630"/>
              </w:tabs>
              <w:spacing w:before="60" w:after="60" w:line="360" w:lineRule="exact"/>
              <w:jc w:val="center"/>
              <w:rPr>
                <w:sz w:val="18"/>
              </w:rPr>
            </w:pPr>
            <w:r>
              <w:rPr>
                <w:sz w:val="18"/>
              </w:rPr>
              <w:t>16.7</w:t>
            </w:r>
          </w:p>
        </w:tc>
      </w:tr>
      <w:tr w:rsidR="001A7779">
        <w:tblPrEx>
          <w:tblCellMar>
            <w:top w:w="0" w:type="dxa"/>
            <w:bottom w:w="0" w:type="dxa"/>
          </w:tblCellMar>
        </w:tblPrEx>
        <w:tc>
          <w:tcPr>
            <w:tcW w:w="4200" w:type="dxa"/>
          </w:tcPr>
          <w:p w:rsidR="001A7779" w:rsidRDefault="001A7779">
            <w:pPr>
              <w:tabs>
                <w:tab w:val="left" w:pos="630"/>
              </w:tabs>
              <w:spacing w:before="60" w:after="60" w:line="360" w:lineRule="exact"/>
              <w:rPr>
                <w:sz w:val="18"/>
              </w:rPr>
            </w:pPr>
            <w:r>
              <w:rPr>
                <w:rFonts w:hint="eastAsia"/>
                <w:sz w:val="18"/>
              </w:rPr>
              <w:t>国民社区代表</w:t>
            </w:r>
          </w:p>
        </w:tc>
        <w:tc>
          <w:tcPr>
            <w:tcW w:w="1410" w:type="dxa"/>
          </w:tcPr>
          <w:p w:rsidR="001A7779" w:rsidRDefault="001A7779">
            <w:pPr>
              <w:tabs>
                <w:tab w:val="left" w:pos="630"/>
              </w:tabs>
              <w:spacing w:before="60" w:after="60" w:line="360" w:lineRule="exact"/>
              <w:jc w:val="center"/>
              <w:rPr>
                <w:sz w:val="18"/>
              </w:rPr>
            </w:pPr>
            <w:r>
              <w:rPr>
                <w:sz w:val="18"/>
              </w:rPr>
              <w:t>2</w:t>
            </w:r>
          </w:p>
        </w:tc>
        <w:tc>
          <w:tcPr>
            <w:tcW w:w="1410" w:type="dxa"/>
          </w:tcPr>
          <w:p w:rsidR="001A7779" w:rsidRDefault="001A7779">
            <w:pPr>
              <w:tabs>
                <w:tab w:val="left" w:pos="630"/>
              </w:tabs>
              <w:spacing w:before="60" w:after="60" w:line="360" w:lineRule="exact"/>
              <w:jc w:val="center"/>
              <w:rPr>
                <w:sz w:val="18"/>
              </w:rPr>
            </w:pPr>
            <w:r>
              <w:rPr>
                <w:sz w:val="18"/>
              </w:rPr>
              <w:t>2.2</w:t>
            </w:r>
          </w:p>
        </w:tc>
        <w:tc>
          <w:tcPr>
            <w:tcW w:w="1410" w:type="dxa"/>
          </w:tcPr>
          <w:p w:rsidR="001A7779" w:rsidRDefault="001A7779">
            <w:pPr>
              <w:tabs>
                <w:tab w:val="left" w:pos="630"/>
              </w:tabs>
              <w:spacing w:before="60" w:after="60" w:line="360" w:lineRule="exact"/>
              <w:jc w:val="center"/>
              <w:rPr>
                <w:sz w:val="18"/>
              </w:rPr>
            </w:pPr>
            <w:r>
              <w:rPr>
                <w:sz w:val="18"/>
              </w:rPr>
              <w:t>1</w:t>
            </w:r>
          </w:p>
        </w:tc>
        <w:tc>
          <w:tcPr>
            <w:tcW w:w="1410" w:type="dxa"/>
          </w:tcPr>
          <w:p w:rsidR="001A7779" w:rsidRDefault="001A7779">
            <w:pPr>
              <w:tabs>
                <w:tab w:val="left" w:pos="630"/>
              </w:tabs>
              <w:spacing w:before="60" w:after="60" w:line="360" w:lineRule="exact"/>
              <w:jc w:val="center"/>
              <w:rPr>
                <w:sz w:val="18"/>
              </w:rPr>
            </w:pPr>
            <w:r>
              <w:rPr>
                <w:sz w:val="18"/>
              </w:rPr>
              <w:t>50.0</w:t>
            </w:r>
          </w:p>
        </w:tc>
      </w:tr>
    </w:tbl>
    <w:p w:rsidR="001A7779" w:rsidRDefault="001A7779">
      <w:pPr>
        <w:tabs>
          <w:tab w:val="left" w:pos="630"/>
        </w:tabs>
        <w:spacing w:line="360" w:lineRule="exact"/>
        <w:rPr>
          <w:color w:val="000000"/>
          <w:sz w:val="18"/>
        </w:rPr>
      </w:pPr>
      <w:r>
        <w:rPr>
          <w:color w:val="000000"/>
          <w:sz w:val="18"/>
        </w:rPr>
        <w:t xml:space="preserve">* </w:t>
      </w:r>
      <w:r>
        <w:rPr>
          <w:rFonts w:hint="eastAsia"/>
          <w:color w:val="000000"/>
          <w:sz w:val="18"/>
        </w:rPr>
        <w:t xml:space="preserve"> 2005</w:t>
      </w:r>
      <w:r>
        <w:rPr>
          <w:rFonts w:hint="eastAsia"/>
          <w:color w:val="000000"/>
          <w:sz w:val="18"/>
        </w:rPr>
        <w:t>年</w:t>
      </w:r>
      <w:r>
        <w:rPr>
          <w:rFonts w:hint="eastAsia"/>
          <w:color w:val="000000"/>
          <w:sz w:val="18"/>
        </w:rPr>
        <w:t>4</w:t>
      </w:r>
      <w:r>
        <w:rPr>
          <w:rFonts w:hint="eastAsia"/>
          <w:color w:val="000000"/>
          <w:sz w:val="18"/>
        </w:rPr>
        <w:t>月</w:t>
      </w:r>
      <w:r>
        <w:rPr>
          <w:rFonts w:hint="eastAsia"/>
          <w:color w:val="000000"/>
          <w:sz w:val="18"/>
        </w:rPr>
        <w:t>2</w:t>
      </w:r>
      <w:r>
        <w:rPr>
          <w:rFonts w:hint="eastAsia"/>
          <w:color w:val="000000"/>
          <w:sz w:val="18"/>
        </w:rPr>
        <w:t>日重新命名为社会民主党</w:t>
      </w:r>
      <w:r>
        <w:rPr>
          <w:color w:val="000000"/>
          <w:sz w:val="18"/>
        </w:rPr>
        <w:t>（</w:t>
      </w:r>
      <w:r>
        <w:rPr>
          <w:color w:val="000000"/>
          <w:sz w:val="18"/>
        </w:rPr>
        <w:t>SD</w:t>
      </w:r>
      <w:r>
        <w:rPr>
          <w:color w:val="000000"/>
          <w:sz w:val="18"/>
        </w:rPr>
        <w:t>）</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国民议会，</w:t>
      </w:r>
      <w:r>
        <w:rPr>
          <w:rFonts w:hint="eastAsia"/>
          <w:color w:val="000000"/>
          <w:sz w:val="18"/>
        </w:rPr>
        <w:t>2005</w:t>
      </w:r>
      <w:r>
        <w:rPr>
          <w:rFonts w:hint="eastAsia"/>
          <w:color w:val="000000"/>
          <w:sz w:val="18"/>
        </w:rPr>
        <w:t>年。</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17</w:t>
      </w:r>
      <w:r>
        <w:rPr>
          <w:rFonts w:ascii="SimHei" w:eastAsia="SimHei" w:hint="eastAsia"/>
          <w:color w:val="FF0000"/>
        </w:rPr>
        <w:t>：1998和2002年地方选举中按性别分列的城市和其他自治市市长</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3780"/>
        <w:gridCol w:w="3780"/>
      </w:tblGrid>
      <w:tr w:rsidR="001A7779">
        <w:tblPrEx>
          <w:tblCellMar>
            <w:top w:w="0" w:type="dxa"/>
            <w:bottom w:w="0" w:type="dxa"/>
          </w:tblCellMar>
        </w:tblPrEx>
        <w:trPr>
          <w:tblHeader/>
        </w:trPr>
        <w:tc>
          <w:tcPr>
            <w:tcW w:w="2280"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37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1998</w:t>
            </w:r>
            <w:r>
              <w:rPr>
                <w:rFonts w:ascii="SimHei" w:eastAsia="SimHei" w:hint="eastAsia"/>
                <w:color w:val="FF0000"/>
                <w:sz w:val="18"/>
              </w:rPr>
              <w:t>年</w:t>
            </w:r>
          </w:p>
        </w:tc>
        <w:tc>
          <w:tcPr>
            <w:tcW w:w="37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r>
      <w:tr w:rsidR="001A7779">
        <w:tblPrEx>
          <w:tblCellMar>
            <w:top w:w="0" w:type="dxa"/>
            <w:bottom w:w="0" w:type="dxa"/>
          </w:tblCellMar>
        </w:tblPrEx>
        <w:tc>
          <w:tcPr>
            <w:tcW w:w="2280" w:type="dxa"/>
          </w:tcPr>
          <w:p w:rsidR="001A7779" w:rsidRDefault="001A7779">
            <w:pPr>
              <w:tabs>
                <w:tab w:val="left" w:pos="630"/>
              </w:tabs>
              <w:spacing w:before="60" w:after="60" w:line="360" w:lineRule="exact"/>
              <w:rPr>
                <w:sz w:val="18"/>
              </w:rPr>
            </w:pPr>
            <w:r>
              <w:rPr>
                <w:rFonts w:hint="eastAsia"/>
                <w:sz w:val="18"/>
              </w:rPr>
              <w:t>共计</w:t>
            </w:r>
          </w:p>
        </w:tc>
        <w:tc>
          <w:tcPr>
            <w:tcW w:w="3780" w:type="dxa"/>
          </w:tcPr>
          <w:p w:rsidR="001A7779" w:rsidRDefault="001A7779">
            <w:pPr>
              <w:pStyle w:val="Header"/>
              <w:pBdr>
                <w:bottom w:val="none" w:sz="0" w:space="0" w:color="auto"/>
              </w:pBdr>
              <w:tabs>
                <w:tab w:val="clear" w:pos="4320"/>
                <w:tab w:val="clear" w:pos="8640"/>
                <w:tab w:val="left" w:pos="630"/>
              </w:tabs>
              <w:spacing w:before="60" w:after="60" w:line="360" w:lineRule="exact"/>
            </w:pPr>
            <w:r>
              <w:t>191</w:t>
            </w:r>
          </w:p>
        </w:tc>
        <w:tc>
          <w:tcPr>
            <w:tcW w:w="3780" w:type="dxa"/>
          </w:tcPr>
          <w:p w:rsidR="001A7779" w:rsidRDefault="001A7779">
            <w:pPr>
              <w:tabs>
                <w:tab w:val="left" w:pos="630"/>
              </w:tabs>
              <w:spacing w:before="60" w:after="60" w:line="360" w:lineRule="exact"/>
              <w:jc w:val="center"/>
              <w:rPr>
                <w:sz w:val="18"/>
              </w:rPr>
            </w:pPr>
            <w:r>
              <w:rPr>
                <w:sz w:val="18"/>
              </w:rPr>
              <w:t>193</w:t>
            </w:r>
          </w:p>
        </w:tc>
      </w:tr>
      <w:tr w:rsidR="001A7779">
        <w:tblPrEx>
          <w:tblCellMar>
            <w:top w:w="0" w:type="dxa"/>
            <w:bottom w:w="0" w:type="dxa"/>
          </w:tblCellMar>
        </w:tblPrEx>
        <w:tc>
          <w:tcPr>
            <w:tcW w:w="2280" w:type="dxa"/>
          </w:tcPr>
          <w:p w:rsidR="001A7779" w:rsidRDefault="001A7779">
            <w:pPr>
              <w:tabs>
                <w:tab w:val="left" w:pos="630"/>
              </w:tabs>
              <w:spacing w:before="60" w:after="60" w:line="360" w:lineRule="exact"/>
              <w:rPr>
                <w:sz w:val="18"/>
              </w:rPr>
            </w:pPr>
            <w:r>
              <w:rPr>
                <w:rFonts w:hint="eastAsia"/>
                <w:sz w:val="18"/>
              </w:rPr>
              <w:t>男</w:t>
            </w:r>
          </w:p>
        </w:tc>
        <w:tc>
          <w:tcPr>
            <w:tcW w:w="3780" w:type="dxa"/>
          </w:tcPr>
          <w:p w:rsidR="001A7779" w:rsidRDefault="001A7779">
            <w:pPr>
              <w:tabs>
                <w:tab w:val="left" w:pos="630"/>
              </w:tabs>
              <w:spacing w:before="60" w:after="60" w:line="360" w:lineRule="exact"/>
              <w:jc w:val="center"/>
              <w:rPr>
                <w:sz w:val="18"/>
              </w:rPr>
            </w:pPr>
            <w:r>
              <w:rPr>
                <w:sz w:val="18"/>
              </w:rPr>
              <w:t>183</w:t>
            </w:r>
          </w:p>
        </w:tc>
        <w:tc>
          <w:tcPr>
            <w:tcW w:w="3780" w:type="dxa"/>
          </w:tcPr>
          <w:p w:rsidR="001A7779" w:rsidRDefault="001A7779">
            <w:pPr>
              <w:tabs>
                <w:tab w:val="left" w:pos="630"/>
              </w:tabs>
              <w:spacing w:before="60" w:after="60" w:line="360" w:lineRule="exact"/>
              <w:jc w:val="center"/>
              <w:rPr>
                <w:sz w:val="18"/>
              </w:rPr>
            </w:pPr>
            <w:r>
              <w:rPr>
                <w:sz w:val="18"/>
              </w:rPr>
              <w:t>181</w:t>
            </w:r>
          </w:p>
        </w:tc>
      </w:tr>
      <w:tr w:rsidR="001A7779">
        <w:tblPrEx>
          <w:tblCellMar>
            <w:top w:w="0" w:type="dxa"/>
            <w:bottom w:w="0" w:type="dxa"/>
          </w:tblCellMar>
        </w:tblPrEx>
        <w:tc>
          <w:tcPr>
            <w:tcW w:w="2280" w:type="dxa"/>
          </w:tcPr>
          <w:p w:rsidR="001A7779" w:rsidRDefault="001A7779">
            <w:pPr>
              <w:tabs>
                <w:tab w:val="left" w:pos="630"/>
              </w:tabs>
              <w:spacing w:before="60" w:after="60" w:line="360" w:lineRule="exact"/>
              <w:rPr>
                <w:sz w:val="18"/>
              </w:rPr>
            </w:pPr>
            <w:r>
              <w:rPr>
                <w:rFonts w:hint="eastAsia"/>
                <w:sz w:val="18"/>
              </w:rPr>
              <w:t>女</w:t>
            </w:r>
          </w:p>
        </w:tc>
        <w:tc>
          <w:tcPr>
            <w:tcW w:w="3780" w:type="dxa"/>
          </w:tcPr>
          <w:p w:rsidR="001A7779" w:rsidRDefault="001A7779">
            <w:pPr>
              <w:tabs>
                <w:tab w:val="left" w:pos="630"/>
              </w:tabs>
              <w:spacing w:before="60" w:after="60" w:line="360" w:lineRule="exact"/>
              <w:jc w:val="center"/>
              <w:rPr>
                <w:sz w:val="18"/>
              </w:rPr>
            </w:pPr>
            <w:r>
              <w:rPr>
                <w:sz w:val="18"/>
              </w:rPr>
              <w:t>8</w:t>
            </w:r>
          </w:p>
        </w:tc>
        <w:tc>
          <w:tcPr>
            <w:tcW w:w="3780" w:type="dxa"/>
          </w:tcPr>
          <w:p w:rsidR="001A7779" w:rsidRDefault="001A7779">
            <w:pPr>
              <w:tabs>
                <w:tab w:val="left" w:pos="630"/>
              </w:tabs>
              <w:spacing w:before="60" w:after="60" w:line="360" w:lineRule="exact"/>
              <w:jc w:val="center"/>
              <w:rPr>
                <w:sz w:val="18"/>
              </w:rPr>
            </w:pPr>
            <w:r>
              <w:rPr>
                <w:sz w:val="18"/>
              </w:rPr>
              <w:t>12</w:t>
            </w:r>
          </w:p>
        </w:tc>
      </w:tr>
      <w:tr w:rsidR="001A7779">
        <w:tblPrEx>
          <w:tblCellMar>
            <w:top w:w="0" w:type="dxa"/>
            <w:bottom w:w="0" w:type="dxa"/>
          </w:tblCellMar>
        </w:tblPrEx>
        <w:tc>
          <w:tcPr>
            <w:tcW w:w="2280" w:type="dxa"/>
          </w:tcPr>
          <w:p w:rsidR="001A7779" w:rsidRDefault="001A7779">
            <w:pPr>
              <w:tabs>
                <w:tab w:val="left" w:pos="630"/>
              </w:tabs>
              <w:spacing w:before="60" w:after="60" w:line="360" w:lineRule="exact"/>
              <w:rPr>
                <w:sz w:val="18"/>
              </w:rPr>
            </w:pPr>
            <w:r>
              <w:rPr>
                <w:rFonts w:hint="eastAsia"/>
                <w:sz w:val="18"/>
              </w:rPr>
              <w:t>妇女所占比例</w:t>
            </w:r>
            <w:r>
              <w:rPr>
                <w:sz w:val="18"/>
              </w:rPr>
              <w:t xml:space="preserve">% </w:t>
            </w:r>
          </w:p>
        </w:tc>
        <w:tc>
          <w:tcPr>
            <w:tcW w:w="3780" w:type="dxa"/>
          </w:tcPr>
          <w:p w:rsidR="001A7779" w:rsidRDefault="001A7779">
            <w:pPr>
              <w:tabs>
                <w:tab w:val="left" w:pos="630"/>
              </w:tabs>
              <w:spacing w:before="60" w:after="60" w:line="360" w:lineRule="exact"/>
              <w:jc w:val="center"/>
              <w:rPr>
                <w:sz w:val="18"/>
              </w:rPr>
            </w:pPr>
            <w:r>
              <w:rPr>
                <w:sz w:val="18"/>
              </w:rPr>
              <w:t>4.2</w:t>
            </w:r>
          </w:p>
        </w:tc>
        <w:tc>
          <w:tcPr>
            <w:tcW w:w="3780" w:type="dxa"/>
          </w:tcPr>
          <w:p w:rsidR="001A7779" w:rsidRDefault="001A7779">
            <w:pPr>
              <w:tabs>
                <w:tab w:val="left" w:pos="630"/>
              </w:tabs>
              <w:spacing w:before="60" w:after="60" w:line="360" w:lineRule="exact"/>
              <w:jc w:val="center"/>
              <w:rPr>
                <w:sz w:val="18"/>
              </w:rPr>
            </w:pPr>
            <w:r>
              <w:rPr>
                <w:sz w:val="18"/>
              </w:rPr>
              <w:t>6.2</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rPr>
          <w:rFonts w:hint="eastAsia"/>
          <w:lang w:val="en-GB"/>
        </w:rPr>
      </w:pP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表18：</w:t>
      </w:r>
      <w:r>
        <w:rPr>
          <w:rFonts w:ascii="SimHei" w:eastAsia="SimHei"/>
          <w:color w:val="FF0000"/>
        </w:rPr>
        <w:t xml:space="preserve">2000 </w:t>
      </w:r>
      <w:r>
        <w:rPr>
          <w:rFonts w:ascii="SimHei" w:eastAsia="SimHei"/>
          <w:color w:val="FF0000"/>
        </w:rPr>
        <w:t>–</w:t>
      </w:r>
      <w:r>
        <w:rPr>
          <w:rFonts w:ascii="SimHei" w:eastAsia="SimHei"/>
          <w:color w:val="FF0000"/>
        </w:rPr>
        <w:t xml:space="preserve"> 2003</w:t>
      </w:r>
      <w:r>
        <w:rPr>
          <w:rFonts w:ascii="SimHei" w:eastAsia="SimHei" w:hint="eastAsia"/>
          <w:color w:val="FF0000"/>
        </w:rPr>
        <w:t>年按法院类型和性别分列的法官</w:t>
      </w:r>
    </w:p>
    <w:tbl>
      <w:tblPr>
        <w:tblW w:w="4925" w:type="pct"/>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201"/>
        <w:gridCol w:w="721"/>
        <w:gridCol w:w="721"/>
        <w:gridCol w:w="721"/>
        <w:gridCol w:w="720"/>
        <w:gridCol w:w="720"/>
        <w:gridCol w:w="720"/>
        <w:gridCol w:w="720"/>
        <w:gridCol w:w="720"/>
        <w:gridCol w:w="720"/>
        <w:gridCol w:w="720"/>
        <w:gridCol w:w="720"/>
        <w:gridCol w:w="716"/>
      </w:tblGrid>
      <w:tr w:rsidR="001A7779">
        <w:tblPrEx>
          <w:tblCellMar>
            <w:top w:w="0" w:type="dxa"/>
            <w:bottom w:w="0" w:type="dxa"/>
          </w:tblCellMar>
        </w:tblPrEx>
        <w:trPr>
          <w:cantSplit/>
        </w:trPr>
        <w:tc>
          <w:tcPr>
            <w:tcW w:w="610" w:type="pct"/>
            <w:tcBorders>
              <w:top w:val="single" w:sz="4" w:space="0" w:color="auto"/>
              <w:left w:val="single" w:sz="4" w:space="0" w:color="auto"/>
              <w:bottom w:val="nil"/>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1098" w:type="pct"/>
            <w:gridSpan w:val="3"/>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2000</w:t>
            </w:r>
          </w:p>
        </w:tc>
        <w:tc>
          <w:tcPr>
            <w:tcW w:w="1098" w:type="pct"/>
            <w:gridSpan w:val="3"/>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2001</w:t>
            </w:r>
          </w:p>
        </w:tc>
        <w:tc>
          <w:tcPr>
            <w:tcW w:w="1098" w:type="pct"/>
            <w:gridSpan w:val="3"/>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p>
        </w:tc>
        <w:tc>
          <w:tcPr>
            <w:tcW w:w="1098" w:type="pct"/>
            <w:gridSpan w:val="3"/>
            <w:tcBorders>
              <w:top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p>
        </w:tc>
      </w:tr>
      <w:tr w:rsidR="001A7779">
        <w:tblPrEx>
          <w:tblCellMar>
            <w:top w:w="0" w:type="dxa"/>
            <w:bottom w:w="0" w:type="dxa"/>
          </w:tblCellMar>
        </w:tblPrEx>
        <w:trPr>
          <w:cantSplit/>
        </w:trPr>
        <w:tc>
          <w:tcPr>
            <w:tcW w:w="610" w:type="pct"/>
            <w:tcBorders>
              <w:top w:val="nil"/>
              <w:left w:val="single" w:sz="4" w:space="0" w:color="auto"/>
              <w:bottom w:val="single" w:sz="4" w:space="0" w:color="auto"/>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法院</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总人数</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 xml:space="preserve">% </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总人数</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总人数</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总人数</w:t>
            </w:r>
          </w:p>
        </w:tc>
        <w:tc>
          <w:tcPr>
            <w:tcW w:w="366"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366" w:type="pct"/>
            <w:tcBorders>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共计</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728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483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66.3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497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66.7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764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521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68.2</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763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533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69.9</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地方</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276</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75.7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290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76.2</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300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76.3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303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234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77.2</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地区</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144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62.9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143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63.6</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150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65.5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151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67.4</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高级</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55.7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99</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54.5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100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58.0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104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62</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59.6</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最高</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33.3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12</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34.3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35.1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36</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36.1</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行政</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75.0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74.0</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高级</w:t>
            </w:r>
            <w:r>
              <w:rPr>
                <w:sz w:val="18"/>
              </w:rPr>
              <w:t>LSC*</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46.7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47.1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44.4</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17</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10</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58.8</w:t>
            </w:r>
          </w:p>
        </w:tc>
      </w:tr>
      <w:tr w:rsidR="001A7779">
        <w:tblPrEx>
          <w:tblCellMar>
            <w:top w:w="0" w:type="dxa"/>
            <w:bottom w:w="0" w:type="dxa"/>
          </w:tblCellMar>
        </w:tblPrEx>
        <w:trPr>
          <w:cantSplit/>
        </w:trPr>
        <w:tc>
          <w:tcPr>
            <w:tcW w:w="610" w:type="pct"/>
            <w:tcBorders>
              <w:top w:val="single" w:sz="4" w:space="0" w:color="auto"/>
              <w:bottom w:val="single" w:sz="4" w:space="0" w:color="auto"/>
            </w:tcBorders>
          </w:tcPr>
          <w:p w:rsidR="001A7779" w:rsidRDefault="001A7779">
            <w:pPr>
              <w:tabs>
                <w:tab w:val="left" w:pos="630"/>
              </w:tabs>
              <w:spacing w:before="60" w:after="60" w:line="360" w:lineRule="exact"/>
              <w:jc w:val="left"/>
              <w:rPr>
                <w:sz w:val="18"/>
              </w:rPr>
            </w:pPr>
            <w:r>
              <w:rPr>
                <w:sz w:val="18"/>
              </w:rPr>
              <w:t xml:space="preserve">LC </w:t>
            </w:r>
            <w:r>
              <w:rPr>
                <w:rFonts w:hint="eastAsia"/>
                <w:sz w:val="18"/>
              </w:rPr>
              <w:t>和</w:t>
            </w:r>
            <w:r>
              <w:rPr>
                <w:sz w:val="18"/>
              </w:rPr>
              <w:t xml:space="preserve"> LSC</w:t>
            </w:r>
            <w:r>
              <w:rPr>
                <w:sz w:val="18"/>
                <w:vertAlign w:val="superscript"/>
              </w:rPr>
              <w:t>**</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38</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74.5</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81.1</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52</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43</w:t>
            </w:r>
          </w:p>
        </w:tc>
        <w:tc>
          <w:tcPr>
            <w:tcW w:w="366" w:type="pct"/>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82.7</w:t>
            </w:r>
          </w:p>
        </w:tc>
      </w:tr>
    </w:tbl>
    <w:p w:rsidR="001A7779" w:rsidRDefault="001A7779">
      <w:pPr>
        <w:tabs>
          <w:tab w:val="left" w:pos="630"/>
        </w:tabs>
        <w:spacing w:line="360" w:lineRule="exact"/>
        <w:rPr>
          <w:color w:val="000000"/>
          <w:sz w:val="18"/>
        </w:rPr>
      </w:pPr>
      <w:r>
        <w:rPr>
          <w:color w:val="000000"/>
          <w:sz w:val="18"/>
          <w:vertAlign w:val="superscript"/>
        </w:rPr>
        <w:t>*</w:t>
      </w:r>
      <w:r>
        <w:rPr>
          <w:color w:val="000000"/>
          <w:sz w:val="18"/>
        </w:rPr>
        <w:t xml:space="preserve"> </w:t>
      </w:r>
      <w:r>
        <w:rPr>
          <w:rFonts w:hint="eastAsia"/>
          <w:color w:val="000000"/>
          <w:sz w:val="18"/>
        </w:rPr>
        <w:t xml:space="preserve">  </w:t>
      </w:r>
      <w:r>
        <w:rPr>
          <w:rFonts w:hint="eastAsia"/>
          <w:color w:val="000000"/>
          <w:sz w:val="18"/>
        </w:rPr>
        <w:t>高级劳动和社会法院。</w:t>
      </w:r>
      <w:r>
        <w:rPr>
          <w:color w:val="000000"/>
          <w:sz w:val="18"/>
        </w:rPr>
        <w:t xml:space="preserve"> </w:t>
      </w:r>
    </w:p>
    <w:p w:rsidR="001A7779" w:rsidRDefault="001A7779">
      <w:pPr>
        <w:tabs>
          <w:tab w:val="left" w:pos="630"/>
        </w:tabs>
        <w:spacing w:line="360" w:lineRule="exact"/>
        <w:rPr>
          <w:rFonts w:hint="eastAsia"/>
          <w:color w:val="000000"/>
          <w:sz w:val="18"/>
        </w:rPr>
      </w:pPr>
      <w:r>
        <w:rPr>
          <w:color w:val="000000"/>
          <w:sz w:val="18"/>
          <w:vertAlign w:val="superscript"/>
        </w:rPr>
        <w:t>**</w:t>
      </w:r>
      <w:r>
        <w:rPr>
          <w:rFonts w:hint="eastAsia"/>
          <w:color w:val="000000"/>
          <w:sz w:val="18"/>
        </w:rPr>
        <w:t xml:space="preserve">  </w:t>
      </w:r>
      <w:r>
        <w:rPr>
          <w:rFonts w:hint="eastAsia"/>
          <w:color w:val="000000"/>
          <w:sz w:val="18"/>
        </w:rPr>
        <w:t>劳动法院、劳动和社会法院。</w:t>
      </w:r>
      <w:r>
        <w:rPr>
          <w:color w:val="000000"/>
          <w:sz w:val="18"/>
        </w:rPr>
        <w:t xml:space="preserve"> </w:t>
      </w:r>
    </w:p>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表19：按性别分列的外交官（2005年6月30日）</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240"/>
        <w:gridCol w:w="2200"/>
        <w:gridCol w:w="2200"/>
        <w:gridCol w:w="2200"/>
      </w:tblGrid>
      <w:tr w:rsidR="001A7779">
        <w:tblPrEx>
          <w:tblCellMar>
            <w:top w:w="0" w:type="dxa"/>
            <w:bottom w:w="0" w:type="dxa"/>
          </w:tblCellMar>
        </w:tblPrEx>
        <w:trPr>
          <w:cantSplit/>
          <w:tblHeader/>
        </w:trPr>
        <w:tc>
          <w:tcPr>
            <w:tcW w:w="324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职衔</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总人数</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2200"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外交官总人数</w:t>
            </w:r>
          </w:p>
        </w:tc>
        <w:tc>
          <w:tcPr>
            <w:tcW w:w="2200" w:type="dxa"/>
            <w:tcBorders>
              <w:top w:val="single" w:sz="4" w:space="0" w:color="auto"/>
              <w:bottom w:val="single" w:sz="4" w:space="0" w:color="auto"/>
            </w:tcBorders>
          </w:tcPr>
          <w:p w:rsidR="001A7779" w:rsidRDefault="001A7779">
            <w:pPr>
              <w:pStyle w:val="Header"/>
              <w:pBdr>
                <w:bottom w:val="none" w:sz="0" w:space="0" w:color="auto"/>
              </w:pBdr>
              <w:tabs>
                <w:tab w:val="clear" w:pos="4320"/>
                <w:tab w:val="clear" w:pos="8640"/>
                <w:tab w:val="left" w:pos="630"/>
              </w:tabs>
              <w:spacing w:before="60" w:after="60" w:line="360" w:lineRule="exact"/>
            </w:pPr>
            <w:r>
              <w:t>413</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205</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49.6</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大使</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53</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12</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22.6</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总领事</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20.0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授权部长</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44</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17</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38.6</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部长顾问</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66</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41</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62.1</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首席顾问</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75.0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顾问</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78</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43</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55.1</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一等秘书</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48</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27</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56.2</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二等秘书</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25</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16</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64.0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三等秘书</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78</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40</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51.3</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参事</w:t>
            </w:r>
            <w:r>
              <w:rPr>
                <w:sz w:val="18"/>
              </w:rPr>
              <w:t>*</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50.0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领事</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50.0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副领事</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1</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50.0</w:t>
            </w:r>
          </w:p>
        </w:tc>
      </w:tr>
      <w:tr w:rsidR="001A7779">
        <w:tblPrEx>
          <w:tblCellMar>
            <w:top w:w="0" w:type="dxa"/>
            <w:bottom w:w="0" w:type="dxa"/>
          </w:tblCellMar>
        </w:tblPrEx>
        <w:trPr>
          <w:cantSplit/>
        </w:trPr>
        <w:tc>
          <w:tcPr>
            <w:tcW w:w="324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一级领事</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0</w:t>
            </w:r>
          </w:p>
        </w:tc>
        <w:tc>
          <w:tcPr>
            <w:tcW w:w="2200"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0</w:t>
            </w:r>
          </w:p>
        </w:tc>
      </w:tr>
    </w:tbl>
    <w:p w:rsidR="001A7779" w:rsidRDefault="001A7779">
      <w:pPr>
        <w:tabs>
          <w:tab w:val="left" w:pos="630"/>
        </w:tabs>
        <w:spacing w:line="360" w:lineRule="exact"/>
        <w:rPr>
          <w:color w:val="000000"/>
          <w:sz w:val="18"/>
        </w:rPr>
      </w:pPr>
      <w:r>
        <w:rPr>
          <w:color w:val="000000"/>
          <w:sz w:val="18"/>
        </w:rPr>
        <w:t xml:space="preserve">* </w:t>
      </w:r>
      <w:r>
        <w:rPr>
          <w:rFonts w:hint="eastAsia"/>
          <w:color w:val="000000"/>
          <w:sz w:val="18"/>
        </w:rPr>
        <w:t>自</w:t>
      </w:r>
      <w:r>
        <w:rPr>
          <w:rFonts w:hint="eastAsia"/>
          <w:color w:val="000000"/>
          <w:sz w:val="18"/>
        </w:rPr>
        <w:t>2005</w:t>
      </w:r>
      <w:r>
        <w:rPr>
          <w:rFonts w:hint="eastAsia"/>
          <w:color w:val="000000"/>
          <w:sz w:val="18"/>
        </w:rPr>
        <w:t>年</w:t>
      </w:r>
      <w:r>
        <w:rPr>
          <w:rFonts w:hint="eastAsia"/>
          <w:color w:val="000000"/>
          <w:sz w:val="18"/>
        </w:rPr>
        <w:t>5</w:t>
      </w:r>
      <w:r>
        <w:rPr>
          <w:rFonts w:hint="eastAsia"/>
          <w:color w:val="000000"/>
          <w:sz w:val="18"/>
        </w:rPr>
        <w:t>月</w:t>
      </w:r>
      <w:r>
        <w:rPr>
          <w:rFonts w:hint="eastAsia"/>
          <w:color w:val="000000"/>
          <w:sz w:val="18"/>
        </w:rPr>
        <w:t>18</w:t>
      </w:r>
      <w:r>
        <w:rPr>
          <w:rFonts w:hint="eastAsia"/>
          <w:color w:val="000000"/>
          <w:sz w:val="18"/>
        </w:rPr>
        <w:t>日以来此职衔仅在海外使用。</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外交部，</w:t>
      </w:r>
      <w:r>
        <w:rPr>
          <w:rFonts w:hint="eastAsia"/>
          <w:color w:val="000000"/>
          <w:sz w:val="18"/>
        </w:rPr>
        <w:t>2005</w:t>
      </w:r>
      <w:r>
        <w:rPr>
          <w:rFonts w:hint="eastAsia"/>
          <w:color w:val="000000"/>
          <w:sz w:val="18"/>
        </w:rPr>
        <w:t>年。</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20</w:t>
      </w:r>
      <w:r>
        <w:rPr>
          <w:rFonts w:ascii="SimHei" w:eastAsia="SimHei" w:hint="eastAsia"/>
          <w:color w:val="FF0000"/>
        </w:rPr>
        <w:t>：</w:t>
      </w:r>
      <w:r>
        <w:rPr>
          <w:rFonts w:ascii="SimHei" w:eastAsia="SimHei"/>
          <w:color w:val="FF0000"/>
        </w:rPr>
        <w:t xml:space="preserve">2001/2002 </w:t>
      </w:r>
      <w:r>
        <w:rPr>
          <w:rFonts w:ascii="SimHei" w:eastAsia="SimHei"/>
          <w:color w:val="FF0000"/>
        </w:rPr>
        <w:t>–</w:t>
      </w:r>
      <w:r>
        <w:rPr>
          <w:rFonts w:ascii="SimHei" w:eastAsia="SimHei"/>
          <w:color w:val="FF0000"/>
        </w:rPr>
        <w:t xml:space="preserve"> 2004/2005</w:t>
      </w:r>
      <w:r>
        <w:rPr>
          <w:rFonts w:ascii="SimHei" w:eastAsia="SimHei" w:hint="eastAsia"/>
          <w:color w:val="FF0000"/>
        </w:rPr>
        <w:t>学年幼儿园和学前班</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80"/>
        <w:gridCol w:w="1095"/>
        <w:gridCol w:w="1095"/>
        <w:gridCol w:w="1095"/>
        <w:gridCol w:w="1095"/>
        <w:gridCol w:w="1095"/>
        <w:gridCol w:w="1095"/>
        <w:gridCol w:w="1095"/>
        <w:gridCol w:w="1095"/>
      </w:tblGrid>
      <w:tr w:rsidR="001A7779">
        <w:tblPrEx>
          <w:tblCellMar>
            <w:top w:w="0" w:type="dxa"/>
            <w:bottom w:w="0" w:type="dxa"/>
          </w:tblCellMar>
        </w:tblPrEx>
        <w:trPr>
          <w:cantSplit/>
        </w:trPr>
        <w:tc>
          <w:tcPr>
            <w:tcW w:w="1080" w:type="dxa"/>
            <w:tcBorders>
              <w:top w:val="single" w:sz="4" w:space="0" w:color="auto"/>
              <w:left w:val="single" w:sz="4" w:space="0" w:color="auto"/>
              <w:bottom w:val="single" w:sz="4" w:space="0" w:color="auto"/>
            </w:tcBorders>
          </w:tcPr>
          <w:p w:rsidR="001A7779" w:rsidRDefault="001A7779">
            <w:pPr>
              <w:tabs>
                <w:tab w:val="left" w:pos="630"/>
              </w:tabs>
              <w:spacing w:before="60" w:after="60" w:line="320" w:lineRule="exact"/>
              <w:rPr>
                <w:rFonts w:ascii="SimHei" w:eastAsia="SimHei"/>
                <w:color w:val="FF0000"/>
                <w:sz w:val="18"/>
              </w:rPr>
            </w:pPr>
            <w:r>
              <w:rPr>
                <w:rFonts w:ascii="SimHei" w:eastAsia="SimHei" w:hint="eastAsia"/>
                <w:color w:val="FF0000"/>
                <w:sz w:val="18"/>
              </w:rPr>
              <w:t>学年</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幼儿园</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班级</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儿童总人数</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女孩</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女孩所占比例</w:t>
            </w:r>
            <w:r>
              <w:rPr>
                <w:rFonts w:ascii="SimHei" w:eastAsia="SimHei"/>
                <w:color w:val="FF0000"/>
                <w:sz w:val="18"/>
              </w:rPr>
              <w:t>%</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工作人员总人数</w:t>
            </w:r>
          </w:p>
        </w:tc>
        <w:tc>
          <w:tcPr>
            <w:tcW w:w="1095" w:type="dxa"/>
            <w:tcBorders>
              <w:top w:val="single" w:sz="4" w:space="0" w:color="auto"/>
              <w:bottom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妇女</w:t>
            </w:r>
          </w:p>
        </w:tc>
        <w:tc>
          <w:tcPr>
            <w:tcW w:w="1095" w:type="dxa"/>
            <w:tcBorders>
              <w:top w:val="single" w:sz="4" w:space="0" w:color="auto"/>
              <w:bottom w:val="single" w:sz="4" w:space="0" w:color="auto"/>
              <w:right w:val="single" w:sz="4" w:space="0" w:color="auto"/>
            </w:tcBorders>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rPr>
          <w:cantSplit/>
        </w:trPr>
        <w:tc>
          <w:tcPr>
            <w:tcW w:w="108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sz w:val="18"/>
              </w:rPr>
              <w:t>2001/</w:t>
            </w:r>
            <w:r>
              <w:rPr>
                <w:rFonts w:hint="eastAsia"/>
                <w:sz w:val="18"/>
              </w:rPr>
              <w:t>20</w:t>
            </w:r>
            <w:r>
              <w:rPr>
                <w:sz w:val="18"/>
              </w:rPr>
              <w:t>02</w:t>
            </w:r>
          </w:p>
        </w:tc>
        <w:tc>
          <w:tcPr>
            <w:tcW w:w="1095" w:type="dxa"/>
            <w:tcBorders>
              <w:top w:val="single" w:sz="4" w:space="0" w:color="auto"/>
              <w:bottom w:val="single" w:sz="4" w:space="0" w:color="auto"/>
            </w:tcBorders>
          </w:tcPr>
          <w:p w:rsidR="001A7779" w:rsidRDefault="001A7779">
            <w:pPr>
              <w:pStyle w:val="Header"/>
              <w:pBdr>
                <w:bottom w:val="none" w:sz="0" w:space="0" w:color="auto"/>
              </w:pBdr>
              <w:tabs>
                <w:tab w:val="clear" w:pos="4320"/>
                <w:tab w:val="clear" w:pos="8640"/>
                <w:tab w:val="left" w:pos="630"/>
              </w:tabs>
              <w:spacing w:before="60" w:after="60" w:line="360" w:lineRule="exact"/>
            </w:pPr>
            <w:r>
              <w:t>801</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3 477</w:t>
            </w:r>
          </w:p>
        </w:tc>
        <w:tc>
          <w:tcPr>
            <w:tcW w:w="1095" w:type="dxa"/>
            <w:tcBorders>
              <w:top w:val="single" w:sz="4" w:space="0" w:color="auto"/>
              <w:bottom w:val="single" w:sz="4" w:space="0" w:color="auto"/>
            </w:tcBorders>
          </w:tcPr>
          <w:p w:rsidR="001A7779" w:rsidRDefault="001A7779">
            <w:pPr>
              <w:pStyle w:val="a3"/>
              <w:tabs>
                <w:tab w:val="left" w:pos="630"/>
              </w:tabs>
              <w:adjustRightInd w:val="0"/>
              <w:spacing w:before="60" w:after="60" w:line="360" w:lineRule="exact"/>
              <w:jc w:val="center"/>
              <w:textAlignment w:val="baseline"/>
              <w:rPr>
                <w:kern w:val="0"/>
                <w:szCs w:val="20"/>
              </w:rPr>
            </w:pPr>
            <w:r>
              <w:rPr>
                <w:kern w:val="0"/>
                <w:szCs w:val="20"/>
              </w:rPr>
              <w:t>61 803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29 293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47.4</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7 099</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6 956</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98.0</w:t>
            </w:r>
          </w:p>
        </w:tc>
      </w:tr>
      <w:tr w:rsidR="001A7779">
        <w:tblPrEx>
          <w:tblCellMar>
            <w:top w:w="0" w:type="dxa"/>
            <w:bottom w:w="0" w:type="dxa"/>
          </w:tblCellMar>
        </w:tblPrEx>
        <w:trPr>
          <w:cantSplit/>
        </w:trPr>
        <w:tc>
          <w:tcPr>
            <w:tcW w:w="108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sz w:val="18"/>
              </w:rPr>
              <w:t>2002/</w:t>
            </w:r>
            <w:r>
              <w:rPr>
                <w:rFonts w:hint="eastAsia"/>
                <w:sz w:val="18"/>
              </w:rPr>
              <w:t>20</w:t>
            </w:r>
            <w:r>
              <w:rPr>
                <w:sz w:val="18"/>
              </w:rPr>
              <w:t>03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773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3 342</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58 968</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28 177</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47.8</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6 949</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6 829</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98.3</w:t>
            </w:r>
          </w:p>
        </w:tc>
      </w:tr>
      <w:tr w:rsidR="001A7779">
        <w:tblPrEx>
          <w:tblCellMar>
            <w:top w:w="0" w:type="dxa"/>
            <w:bottom w:w="0" w:type="dxa"/>
          </w:tblCellMar>
        </w:tblPrEx>
        <w:trPr>
          <w:cantSplit/>
        </w:trPr>
        <w:tc>
          <w:tcPr>
            <w:tcW w:w="108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sz w:val="18"/>
              </w:rPr>
              <w:t>2003/</w:t>
            </w:r>
            <w:r>
              <w:rPr>
                <w:rFonts w:hint="eastAsia"/>
                <w:sz w:val="18"/>
              </w:rPr>
              <w:t>20</w:t>
            </w:r>
            <w:r>
              <w:rPr>
                <w:sz w:val="18"/>
              </w:rPr>
              <w:t>04</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767</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3 243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54 515</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25 815</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47.4</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6 729</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6 636</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98.6</w:t>
            </w:r>
          </w:p>
        </w:tc>
      </w:tr>
      <w:tr w:rsidR="001A7779">
        <w:tblPrEx>
          <w:tblCellMar>
            <w:top w:w="0" w:type="dxa"/>
            <w:bottom w:w="0" w:type="dxa"/>
          </w:tblCellMar>
        </w:tblPrEx>
        <w:trPr>
          <w:cantSplit/>
        </w:trPr>
        <w:tc>
          <w:tcPr>
            <w:tcW w:w="1080" w:type="dxa"/>
            <w:tcBorders>
              <w:top w:val="single" w:sz="4" w:space="0" w:color="auto"/>
              <w:bottom w:val="single" w:sz="4" w:space="0" w:color="auto"/>
            </w:tcBorders>
          </w:tcPr>
          <w:p w:rsidR="001A7779" w:rsidRDefault="001A7779">
            <w:pPr>
              <w:tabs>
                <w:tab w:val="left" w:pos="630"/>
              </w:tabs>
              <w:spacing w:before="60" w:after="60" w:line="360" w:lineRule="exact"/>
              <w:rPr>
                <w:sz w:val="18"/>
              </w:rPr>
            </w:pPr>
            <w:r>
              <w:rPr>
                <w:sz w:val="18"/>
              </w:rPr>
              <w:t>2004/</w:t>
            </w:r>
            <w:r>
              <w:rPr>
                <w:rFonts w:hint="eastAsia"/>
                <w:sz w:val="18"/>
              </w:rPr>
              <w:t>20</w:t>
            </w:r>
            <w:r>
              <w:rPr>
                <w:sz w:val="18"/>
              </w:rPr>
              <w:t>05</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752</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3 232</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54 815</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26 033</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47.5</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6 762</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6 716</w:t>
            </w:r>
          </w:p>
        </w:tc>
        <w:tc>
          <w:tcPr>
            <w:tcW w:w="1095" w:type="dxa"/>
            <w:tcBorders>
              <w:top w:val="single" w:sz="4" w:space="0" w:color="auto"/>
              <w:bottom w:val="single" w:sz="4" w:space="0" w:color="auto"/>
            </w:tcBorders>
          </w:tcPr>
          <w:p w:rsidR="001A7779" w:rsidRDefault="001A7779">
            <w:pPr>
              <w:tabs>
                <w:tab w:val="left" w:pos="630"/>
              </w:tabs>
              <w:spacing w:before="60" w:after="60" w:line="360" w:lineRule="exact"/>
              <w:jc w:val="center"/>
              <w:rPr>
                <w:sz w:val="18"/>
              </w:rPr>
            </w:pPr>
            <w:r>
              <w:rPr>
                <w:sz w:val="18"/>
              </w:rPr>
              <w:t>99.3</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rPr>
          <w:color w:val="000000"/>
          <w:sz w:val="18"/>
        </w:rPr>
      </w:pP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21</w:t>
      </w:r>
      <w:r>
        <w:rPr>
          <w:rFonts w:ascii="SimHei" w:eastAsia="SimHei" w:hint="eastAsia"/>
          <w:color w:val="FF0000"/>
        </w:rPr>
        <w:t>：</w:t>
      </w:r>
      <w:r>
        <w:rPr>
          <w:rFonts w:ascii="SimHei" w:eastAsia="SimHei"/>
          <w:color w:val="FF0000"/>
        </w:rPr>
        <w:t>2000/</w:t>
      </w:r>
      <w:r>
        <w:rPr>
          <w:rFonts w:ascii="SimHei" w:eastAsia="SimHei" w:hint="eastAsia"/>
          <w:color w:val="FF0000"/>
        </w:rPr>
        <w:t>20</w:t>
      </w:r>
      <w:r>
        <w:rPr>
          <w:rFonts w:ascii="SimHei" w:eastAsia="SimHei"/>
          <w:color w:val="FF0000"/>
        </w:rPr>
        <w:t>01</w:t>
      </w:r>
      <w:r>
        <w:rPr>
          <w:rFonts w:ascii="SimHei" w:eastAsia="SimHei" w:hint="eastAsia"/>
          <w:color w:val="FF0000"/>
        </w:rPr>
        <w:t>至</w:t>
      </w:r>
      <w:r>
        <w:rPr>
          <w:rFonts w:ascii="SimHei" w:eastAsia="SimHei"/>
          <w:color w:val="FF0000"/>
        </w:rPr>
        <w:t>2003/</w:t>
      </w:r>
      <w:r>
        <w:rPr>
          <w:rFonts w:ascii="SimHei" w:eastAsia="SimHei" w:hint="eastAsia"/>
          <w:color w:val="FF0000"/>
        </w:rPr>
        <w:t>20</w:t>
      </w:r>
      <w:r>
        <w:rPr>
          <w:rFonts w:ascii="SimHei" w:eastAsia="SimHei"/>
          <w:color w:val="FF0000"/>
        </w:rPr>
        <w:t>04</w:t>
      </w:r>
      <w:r>
        <w:rPr>
          <w:rFonts w:ascii="SimHei" w:eastAsia="SimHei" w:hint="eastAsia"/>
          <w:color w:val="FF0000"/>
        </w:rPr>
        <w:t>学年小学和高中的学生和就读者</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1427"/>
        <w:gridCol w:w="1427"/>
        <w:gridCol w:w="1428"/>
        <w:gridCol w:w="1427"/>
        <w:gridCol w:w="1427"/>
        <w:gridCol w:w="1428"/>
      </w:tblGrid>
      <w:tr w:rsidR="001A7779">
        <w:tblPrEx>
          <w:tblCellMar>
            <w:top w:w="0" w:type="dxa"/>
            <w:bottom w:w="0" w:type="dxa"/>
          </w:tblCellMar>
        </w:tblPrEx>
        <w:trPr>
          <w:cantSplit/>
        </w:trPr>
        <w:tc>
          <w:tcPr>
            <w:tcW w:w="1276"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学年</w:t>
            </w:r>
          </w:p>
        </w:tc>
        <w:tc>
          <w:tcPr>
            <w:tcW w:w="4282" w:type="dxa"/>
            <w:gridSpan w:val="3"/>
            <w:tcBorders>
              <w:top w:val="single" w:sz="4" w:space="0" w:color="auto"/>
              <w:left w:val="single" w:sz="4" w:space="0" w:color="auto"/>
              <w:bottom w:val="single" w:sz="4" w:space="0" w:color="auto"/>
            </w:tcBorders>
          </w:tcPr>
          <w:p w:rsidR="001A7779" w:rsidRDefault="001A7779">
            <w:pPr>
              <w:pStyle w:val="Header"/>
              <w:pBdr>
                <w:bottom w:val="none" w:sz="0" w:space="0" w:color="auto"/>
              </w:pBdr>
              <w:tabs>
                <w:tab w:val="clear" w:pos="4320"/>
                <w:tab w:val="clear" w:pos="8640"/>
                <w:tab w:val="left" w:pos="630"/>
              </w:tabs>
              <w:spacing w:before="60" w:after="60" w:line="360" w:lineRule="exact"/>
              <w:rPr>
                <w:rFonts w:ascii="SimHei" w:eastAsia="SimHei"/>
                <w:color w:val="FF0000"/>
              </w:rPr>
            </w:pPr>
            <w:r>
              <w:rPr>
                <w:rFonts w:ascii="SimHei" w:eastAsia="SimHei" w:hint="eastAsia"/>
                <w:color w:val="FF0000"/>
              </w:rPr>
              <w:t>小学</w:t>
            </w:r>
          </w:p>
        </w:tc>
        <w:tc>
          <w:tcPr>
            <w:tcW w:w="4282" w:type="dxa"/>
            <w:gridSpan w:val="3"/>
            <w:tcBorders>
              <w:top w:val="single" w:sz="4" w:space="0" w:color="auto"/>
              <w:left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高中</w:t>
            </w:r>
          </w:p>
        </w:tc>
      </w:tr>
      <w:tr w:rsidR="001A7779">
        <w:tblPrEx>
          <w:tblCellMar>
            <w:top w:w="0" w:type="dxa"/>
            <w:bottom w:w="0" w:type="dxa"/>
          </w:tblCellMar>
        </w:tblPrEx>
        <w:trPr>
          <w:cantSplit/>
        </w:trPr>
        <w:tc>
          <w:tcPr>
            <w:tcW w:w="1276" w:type="dxa"/>
            <w:tcBorders>
              <w:top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1427" w:type="dxa"/>
            <w:tcBorders>
              <w:top w:val="single" w:sz="4" w:space="0" w:color="auto"/>
              <w:left w:val="single" w:sz="4" w:space="0" w:color="auto"/>
            </w:tcBorders>
          </w:tcPr>
          <w:p w:rsidR="001A7779" w:rsidRDefault="001A7779">
            <w:pPr>
              <w:tabs>
                <w:tab w:val="left" w:pos="630"/>
              </w:tabs>
              <w:spacing w:before="60" w:after="60" w:line="360" w:lineRule="exact"/>
              <w:jc w:val="center"/>
              <w:rPr>
                <w:rFonts w:ascii="SimHei" w:eastAsia="SimHei" w:hint="eastAsia"/>
                <w:color w:val="FF0000"/>
                <w:sz w:val="18"/>
              </w:rPr>
            </w:pPr>
            <w:r>
              <w:rPr>
                <w:rFonts w:ascii="SimHei" w:eastAsia="SimHei" w:hint="eastAsia"/>
                <w:color w:val="FF0000"/>
                <w:sz w:val="18"/>
              </w:rPr>
              <w:t>总计</w:t>
            </w:r>
          </w:p>
        </w:tc>
        <w:tc>
          <w:tcPr>
            <w:tcW w:w="1427"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428"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c>
          <w:tcPr>
            <w:tcW w:w="1427" w:type="dxa"/>
            <w:tcBorders>
              <w:top w:val="single" w:sz="4" w:space="0" w:color="auto"/>
              <w:lef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427"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428"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r>
      <w:tr w:rsidR="001A7779">
        <w:tblPrEx>
          <w:tblCellMar>
            <w:top w:w="0" w:type="dxa"/>
            <w:bottom w:w="0" w:type="dxa"/>
          </w:tblCellMar>
        </w:tblPrEx>
        <w:trPr>
          <w:cantSplit/>
        </w:trPr>
        <w:tc>
          <w:tcPr>
            <w:tcW w:w="1276" w:type="dxa"/>
            <w:tcBorders>
              <w:right w:val="single" w:sz="4" w:space="0" w:color="auto"/>
            </w:tcBorders>
          </w:tcPr>
          <w:p w:rsidR="001A7779" w:rsidRDefault="001A7779">
            <w:pPr>
              <w:tabs>
                <w:tab w:val="left" w:pos="630"/>
              </w:tabs>
              <w:spacing w:before="60" w:after="60" w:line="360" w:lineRule="exact"/>
              <w:rPr>
                <w:sz w:val="18"/>
              </w:rPr>
            </w:pPr>
            <w:r>
              <w:rPr>
                <w:sz w:val="18"/>
              </w:rPr>
              <w:t>2000/</w:t>
            </w:r>
            <w:r>
              <w:rPr>
                <w:rFonts w:hint="eastAsia"/>
                <w:sz w:val="18"/>
              </w:rPr>
              <w:t>20</w:t>
            </w:r>
            <w:r>
              <w:rPr>
                <w:sz w:val="18"/>
              </w:rPr>
              <w:t>01</w:t>
            </w:r>
          </w:p>
        </w:tc>
        <w:tc>
          <w:tcPr>
            <w:tcW w:w="1427" w:type="dxa"/>
            <w:tcBorders>
              <w:left w:val="single" w:sz="4" w:space="0" w:color="auto"/>
            </w:tcBorders>
          </w:tcPr>
          <w:p w:rsidR="001A7779" w:rsidRDefault="001A7779">
            <w:pPr>
              <w:tabs>
                <w:tab w:val="left" w:pos="630"/>
              </w:tabs>
              <w:spacing w:before="60" w:after="60" w:line="360" w:lineRule="exact"/>
              <w:jc w:val="center"/>
              <w:rPr>
                <w:sz w:val="18"/>
              </w:rPr>
            </w:pPr>
            <w:r>
              <w:rPr>
                <w:sz w:val="18"/>
              </w:rPr>
              <w:t>180 390</w:t>
            </w:r>
          </w:p>
        </w:tc>
        <w:tc>
          <w:tcPr>
            <w:tcW w:w="1427" w:type="dxa"/>
          </w:tcPr>
          <w:p w:rsidR="001A7779" w:rsidRDefault="001A7779">
            <w:pPr>
              <w:tabs>
                <w:tab w:val="left" w:pos="630"/>
              </w:tabs>
              <w:spacing w:before="60" w:after="60" w:line="360" w:lineRule="exact"/>
              <w:jc w:val="center"/>
              <w:rPr>
                <w:sz w:val="18"/>
              </w:rPr>
            </w:pPr>
            <w:r>
              <w:rPr>
                <w:sz w:val="18"/>
              </w:rPr>
              <w:t>88 470</w:t>
            </w:r>
          </w:p>
        </w:tc>
        <w:tc>
          <w:tcPr>
            <w:tcW w:w="1428" w:type="dxa"/>
          </w:tcPr>
          <w:p w:rsidR="001A7779" w:rsidRDefault="001A7779">
            <w:pPr>
              <w:tabs>
                <w:tab w:val="left" w:pos="630"/>
              </w:tabs>
              <w:spacing w:before="60" w:after="60" w:line="360" w:lineRule="exact"/>
              <w:jc w:val="center"/>
              <w:rPr>
                <w:sz w:val="18"/>
              </w:rPr>
            </w:pPr>
            <w:r>
              <w:rPr>
                <w:sz w:val="18"/>
              </w:rPr>
              <w:t>49.0</w:t>
            </w:r>
          </w:p>
        </w:tc>
        <w:tc>
          <w:tcPr>
            <w:tcW w:w="1427" w:type="dxa"/>
            <w:tcBorders>
              <w:left w:val="nil"/>
            </w:tcBorders>
          </w:tcPr>
          <w:p w:rsidR="001A7779" w:rsidRDefault="001A7779">
            <w:pPr>
              <w:tabs>
                <w:tab w:val="left" w:pos="630"/>
              </w:tabs>
              <w:spacing w:before="60" w:after="60" w:line="360" w:lineRule="exact"/>
              <w:jc w:val="center"/>
              <w:rPr>
                <w:sz w:val="18"/>
              </w:rPr>
            </w:pPr>
            <w:r>
              <w:rPr>
                <w:sz w:val="18"/>
              </w:rPr>
              <w:t>104 840</w:t>
            </w:r>
          </w:p>
        </w:tc>
        <w:tc>
          <w:tcPr>
            <w:tcW w:w="1427" w:type="dxa"/>
          </w:tcPr>
          <w:p w:rsidR="001A7779" w:rsidRDefault="001A7779">
            <w:pPr>
              <w:tabs>
                <w:tab w:val="left" w:pos="630"/>
              </w:tabs>
              <w:spacing w:before="60" w:after="60" w:line="360" w:lineRule="exact"/>
              <w:jc w:val="center"/>
              <w:rPr>
                <w:sz w:val="18"/>
              </w:rPr>
            </w:pPr>
            <w:r>
              <w:rPr>
                <w:sz w:val="18"/>
              </w:rPr>
              <w:t>52 031</w:t>
            </w:r>
          </w:p>
        </w:tc>
        <w:tc>
          <w:tcPr>
            <w:tcW w:w="1428" w:type="dxa"/>
          </w:tcPr>
          <w:p w:rsidR="001A7779" w:rsidRDefault="001A7779">
            <w:pPr>
              <w:tabs>
                <w:tab w:val="left" w:pos="630"/>
              </w:tabs>
              <w:spacing w:before="60" w:after="60" w:line="360" w:lineRule="exact"/>
              <w:jc w:val="center"/>
              <w:rPr>
                <w:sz w:val="18"/>
              </w:rPr>
            </w:pPr>
            <w:r>
              <w:rPr>
                <w:sz w:val="18"/>
              </w:rPr>
              <w:t>49.6</w:t>
            </w:r>
          </w:p>
        </w:tc>
      </w:tr>
      <w:tr w:rsidR="001A7779">
        <w:tblPrEx>
          <w:tblCellMar>
            <w:top w:w="0" w:type="dxa"/>
            <w:bottom w:w="0" w:type="dxa"/>
          </w:tblCellMar>
        </w:tblPrEx>
        <w:trPr>
          <w:cantSplit/>
        </w:trPr>
        <w:tc>
          <w:tcPr>
            <w:tcW w:w="1276" w:type="dxa"/>
            <w:tcBorders>
              <w:right w:val="single" w:sz="4" w:space="0" w:color="auto"/>
            </w:tcBorders>
          </w:tcPr>
          <w:p w:rsidR="001A7779" w:rsidRDefault="001A7779">
            <w:pPr>
              <w:tabs>
                <w:tab w:val="left" w:pos="630"/>
              </w:tabs>
              <w:spacing w:before="60" w:after="60" w:line="360" w:lineRule="exact"/>
              <w:rPr>
                <w:sz w:val="18"/>
              </w:rPr>
            </w:pPr>
            <w:r>
              <w:rPr>
                <w:sz w:val="18"/>
              </w:rPr>
              <w:t>2001/</w:t>
            </w:r>
            <w:r>
              <w:rPr>
                <w:rFonts w:hint="eastAsia"/>
                <w:sz w:val="18"/>
              </w:rPr>
              <w:t>20</w:t>
            </w:r>
            <w:r>
              <w:rPr>
                <w:sz w:val="18"/>
              </w:rPr>
              <w:t>02</w:t>
            </w:r>
          </w:p>
        </w:tc>
        <w:tc>
          <w:tcPr>
            <w:tcW w:w="1427" w:type="dxa"/>
            <w:tcBorders>
              <w:left w:val="single" w:sz="4" w:space="0" w:color="auto"/>
            </w:tcBorders>
          </w:tcPr>
          <w:p w:rsidR="001A7779" w:rsidRDefault="001A7779">
            <w:pPr>
              <w:tabs>
                <w:tab w:val="left" w:pos="630"/>
              </w:tabs>
              <w:spacing w:before="60" w:after="60" w:line="360" w:lineRule="exact"/>
              <w:jc w:val="center"/>
              <w:rPr>
                <w:sz w:val="18"/>
              </w:rPr>
            </w:pPr>
            <w:r>
              <w:rPr>
                <w:sz w:val="18"/>
              </w:rPr>
              <w:t>178 345</w:t>
            </w:r>
          </w:p>
        </w:tc>
        <w:tc>
          <w:tcPr>
            <w:tcW w:w="1427" w:type="dxa"/>
          </w:tcPr>
          <w:p w:rsidR="001A7779" w:rsidRDefault="001A7779">
            <w:pPr>
              <w:tabs>
                <w:tab w:val="left" w:pos="630"/>
              </w:tabs>
              <w:spacing w:before="60" w:after="60" w:line="360" w:lineRule="exact"/>
              <w:jc w:val="center"/>
              <w:rPr>
                <w:sz w:val="18"/>
              </w:rPr>
            </w:pPr>
            <w:r>
              <w:rPr>
                <w:sz w:val="18"/>
              </w:rPr>
              <w:t>86 943</w:t>
            </w:r>
          </w:p>
        </w:tc>
        <w:tc>
          <w:tcPr>
            <w:tcW w:w="1428" w:type="dxa"/>
          </w:tcPr>
          <w:p w:rsidR="001A7779" w:rsidRDefault="001A7779">
            <w:pPr>
              <w:tabs>
                <w:tab w:val="left" w:pos="630"/>
              </w:tabs>
              <w:spacing w:before="60" w:after="60" w:line="360" w:lineRule="exact"/>
              <w:jc w:val="center"/>
              <w:rPr>
                <w:sz w:val="18"/>
              </w:rPr>
            </w:pPr>
            <w:r>
              <w:rPr>
                <w:sz w:val="18"/>
              </w:rPr>
              <w:t>48.7</w:t>
            </w:r>
          </w:p>
        </w:tc>
        <w:tc>
          <w:tcPr>
            <w:tcW w:w="1427" w:type="dxa"/>
            <w:tcBorders>
              <w:left w:val="nil"/>
            </w:tcBorders>
          </w:tcPr>
          <w:p w:rsidR="001A7779" w:rsidRDefault="001A7779">
            <w:pPr>
              <w:tabs>
                <w:tab w:val="left" w:pos="630"/>
              </w:tabs>
              <w:spacing w:before="60" w:after="60" w:line="360" w:lineRule="exact"/>
              <w:jc w:val="center"/>
              <w:rPr>
                <w:sz w:val="18"/>
              </w:rPr>
            </w:pPr>
            <w:r>
              <w:rPr>
                <w:sz w:val="18"/>
              </w:rPr>
              <w:t>103 528</w:t>
            </w:r>
          </w:p>
        </w:tc>
        <w:tc>
          <w:tcPr>
            <w:tcW w:w="1427" w:type="dxa"/>
          </w:tcPr>
          <w:p w:rsidR="001A7779" w:rsidRDefault="001A7779">
            <w:pPr>
              <w:tabs>
                <w:tab w:val="left" w:pos="630"/>
              </w:tabs>
              <w:spacing w:before="60" w:after="60" w:line="360" w:lineRule="exact"/>
              <w:jc w:val="center"/>
              <w:rPr>
                <w:sz w:val="18"/>
              </w:rPr>
            </w:pPr>
            <w:r>
              <w:rPr>
                <w:sz w:val="18"/>
              </w:rPr>
              <w:t>51 368</w:t>
            </w:r>
          </w:p>
        </w:tc>
        <w:tc>
          <w:tcPr>
            <w:tcW w:w="1428" w:type="dxa"/>
          </w:tcPr>
          <w:p w:rsidR="001A7779" w:rsidRDefault="001A7779">
            <w:pPr>
              <w:tabs>
                <w:tab w:val="left" w:pos="630"/>
              </w:tabs>
              <w:spacing w:before="60" w:after="60" w:line="360" w:lineRule="exact"/>
              <w:jc w:val="center"/>
              <w:rPr>
                <w:sz w:val="18"/>
              </w:rPr>
            </w:pPr>
            <w:r>
              <w:rPr>
                <w:sz w:val="18"/>
              </w:rPr>
              <w:t>49.6</w:t>
            </w:r>
          </w:p>
        </w:tc>
      </w:tr>
      <w:tr w:rsidR="001A7779">
        <w:tblPrEx>
          <w:tblCellMar>
            <w:top w:w="0" w:type="dxa"/>
            <w:bottom w:w="0" w:type="dxa"/>
          </w:tblCellMar>
        </w:tblPrEx>
        <w:trPr>
          <w:cantSplit/>
        </w:trPr>
        <w:tc>
          <w:tcPr>
            <w:tcW w:w="1276" w:type="dxa"/>
            <w:tcBorders>
              <w:right w:val="single" w:sz="4" w:space="0" w:color="auto"/>
            </w:tcBorders>
          </w:tcPr>
          <w:p w:rsidR="001A7779" w:rsidRDefault="001A7779">
            <w:pPr>
              <w:tabs>
                <w:tab w:val="left" w:pos="630"/>
              </w:tabs>
              <w:spacing w:before="60" w:after="60" w:line="360" w:lineRule="exact"/>
              <w:rPr>
                <w:sz w:val="18"/>
              </w:rPr>
            </w:pPr>
            <w:r>
              <w:rPr>
                <w:sz w:val="18"/>
              </w:rPr>
              <w:t>2002/</w:t>
            </w:r>
            <w:r>
              <w:rPr>
                <w:rFonts w:hint="eastAsia"/>
                <w:sz w:val="18"/>
              </w:rPr>
              <w:t>20</w:t>
            </w:r>
            <w:r>
              <w:rPr>
                <w:sz w:val="18"/>
              </w:rPr>
              <w:t>03</w:t>
            </w:r>
          </w:p>
        </w:tc>
        <w:tc>
          <w:tcPr>
            <w:tcW w:w="1427" w:type="dxa"/>
            <w:tcBorders>
              <w:left w:val="single" w:sz="4" w:space="0" w:color="auto"/>
            </w:tcBorders>
          </w:tcPr>
          <w:p w:rsidR="001A7779" w:rsidRDefault="001A7779">
            <w:pPr>
              <w:tabs>
                <w:tab w:val="left" w:pos="630"/>
              </w:tabs>
              <w:spacing w:before="60" w:after="60" w:line="360" w:lineRule="exact"/>
              <w:jc w:val="center"/>
              <w:rPr>
                <w:sz w:val="18"/>
              </w:rPr>
            </w:pPr>
            <w:r>
              <w:rPr>
                <w:sz w:val="18"/>
              </w:rPr>
              <w:t>175 211</w:t>
            </w:r>
          </w:p>
        </w:tc>
        <w:tc>
          <w:tcPr>
            <w:tcW w:w="1427" w:type="dxa"/>
          </w:tcPr>
          <w:p w:rsidR="001A7779" w:rsidRDefault="001A7779">
            <w:pPr>
              <w:tabs>
                <w:tab w:val="left" w:pos="630"/>
              </w:tabs>
              <w:spacing w:before="60" w:after="60" w:line="360" w:lineRule="exact"/>
              <w:jc w:val="center"/>
              <w:rPr>
                <w:sz w:val="18"/>
              </w:rPr>
            </w:pPr>
            <w:r>
              <w:rPr>
                <w:sz w:val="18"/>
              </w:rPr>
              <w:t>85 365</w:t>
            </w:r>
          </w:p>
        </w:tc>
        <w:tc>
          <w:tcPr>
            <w:tcW w:w="1428" w:type="dxa"/>
          </w:tcPr>
          <w:p w:rsidR="001A7779" w:rsidRDefault="001A7779">
            <w:pPr>
              <w:tabs>
                <w:tab w:val="left" w:pos="630"/>
              </w:tabs>
              <w:spacing w:before="60" w:after="60" w:line="360" w:lineRule="exact"/>
              <w:jc w:val="center"/>
              <w:rPr>
                <w:sz w:val="18"/>
              </w:rPr>
            </w:pPr>
            <w:r>
              <w:rPr>
                <w:sz w:val="18"/>
              </w:rPr>
              <w:t>48.7</w:t>
            </w:r>
          </w:p>
        </w:tc>
        <w:tc>
          <w:tcPr>
            <w:tcW w:w="1427" w:type="dxa"/>
            <w:tcBorders>
              <w:left w:val="nil"/>
            </w:tcBorders>
          </w:tcPr>
          <w:p w:rsidR="001A7779" w:rsidRDefault="001A7779">
            <w:pPr>
              <w:tabs>
                <w:tab w:val="left" w:pos="630"/>
              </w:tabs>
              <w:spacing w:before="60" w:after="60" w:line="360" w:lineRule="exact"/>
              <w:jc w:val="center"/>
              <w:rPr>
                <w:sz w:val="18"/>
              </w:rPr>
            </w:pPr>
            <w:r>
              <w:rPr>
                <w:sz w:val="18"/>
              </w:rPr>
              <w:t>103 538</w:t>
            </w:r>
          </w:p>
        </w:tc>
        <w:tc>
          <w:tcPr>
            <w:tcW w:w="1427" w:type="dxa"/>
          </w:tcPr>
          <w:p w:rsidR="001A7779" w:rsidRDefault="001A7779">
            <w:pPr>
              <w:tabs>
                <w:tab w:val="left" w:pos="630"/>
              </w:tabs>
              <w:spacing w:before="60" w:after="60" w:line="360" w:lineRule="exact"/>
              <w:jc w:val="center"/>
              <w:rPr>
                <w:sz w:val="18"/>
              </w:rPr>
            </w:pPr>
            <w:r>
              <w:rPr>
                <w:sz w:val="18"/>
              </w:rPr>
              <w:t>51 342</w:t>
            </w:r>
          </w:p>
        </w:tc>
        <w:tc>
          <w:tcPr>
            <w:tcW w:w="1428" w:type="dxa"/>
          </w:tcPr>
          <w:p w:rsidR="001A7779" w:rsidRDefault="001A7779">
            <w:pPr>
              <w:tabs>
                <w:tab w:val="left" w:pos="630"/>
              </w:tabs>
              <w:spacing w:before="60" w:after="60" w:line="360" w:lineRule="exact"/>
              <w:jc w:val="center"/>
              <w:rPr>
                <w:sz w:val="18"/>
              </w:rPr>
            </w:pPr>
            <w:r>
              <w:rPr>
                <w:sz w:val="18"/>
              </w:rPr>
              <w:t>49.6</w:t>
            </w:r>
          </w:p>
        </w:tc>
      </w:tr>
      <w:tr w:rsidR="001A7779">
        <w:tblPrEx>
          <w:tblCellMar>
            <w:top w:w="0" w:type="dxa"/>
            <w:bottom w:w="0" w:type="dxa"/>
          </w:tblCellMar>
        </w:tblPrEx>
        <w:trPr>
          <w:cantSplit/>
        </w:trPr>
        <w:tc>
          <w:tcPr>
            <w:tcW w:w="1276" w:type="dxa"/>
            <w:tcBorders>
              <w:right w:val="single" w:sz="4" w:space="0" w:color="auto"/>
            </w:tcBorders>
          </w:tcPr>
          <w:p w:rsidR="001A7779" w:rsidRDefault="001A7779">
            <w:pPr>
              <w:tabs>
                <w:tab w:val="left" w:pos="630"/>
              </w:tabs>
              <w:spacing w:before="60" w:after="60" w:line="360" w:lineRule="exact"/>
              <w:rPr>
                <w:sz w:val="18"/>
              </w:rPr>
            </w:pPr>
            <w:r>
              <w:rPr>
                <w:sz w:val="18"/>
              </w:rPr>
              <w:t>2003/</w:t>
            </w:r>
            <w:r>
              <w:rPr>
                <w:rFonts w:hint="eastAsia"/>
                <w:sz w:val="18"/>
              </w:rPr>
              <w:t>20</w:t>
            </w:r>
            <w:r>
              <w:rPr>
                <w:sz w:val="18"/>
              </w:rPr>
              <w:t xml:space="preserve">04 </w:t>
            </w:r>
          </w:p>
        </w:tc>
        <w:tc>
          <w:tcPr>
            <w:tcW w:w="1427" w:type="dxa"/>
            <w:tcBorders>
              <w:left w:val="single" w:sz="4" w:space="0" w:color="auto"/>
            </w:tcBorders>
          </w:tcPr>
          <w:p w:rsidR="001A7779" w:rsidRDefault="001A7779">
            <w:pPr>
              <w:tabs>
                <w:tab w:val="left" w:pos="630"/>
              </w:tabs>
              <w:spacing w:before="60" w:after="60" w:line="360" w:lineRule="exact"/>
              <w:jc w:val="center"/>
              <w:rPr>
                <w:sz w:val="18"/>
              </w:rPr>
            </w:pPr>
            <w:r>
              <w:rPr>
                <w:sz w:val="18"/>
              </w:rPr>
              <w:t>177 535</w:t>
            </w:r>
          </w:p>
        </w:tc>
        <w:tc>
          <w:tcPr>
            <w:tcW w:w="1427" w:type="dxa"/>
          </w:tcPr>
          <w:p w:rsidR="001A7779" w:rsidRDefault="001A7779">
            <w:pPr>
              <w:tabs>
                <w:tab w:val="left" w:pos="630"/>
              </w:tabs>
              <w:spacing w:before="60" w:after="60" w:line="360" w:lineRule="exact"/>
              <w:jc w:val="center"/>
              <w:rPr>
                <w:sz w:val="18"/>
              </w:rPr>
            </w:pPr>
            <w:r>
              <w:rPr>
                <w:sz w:val="18"/>
              </w:rPr>
              <w:t>86 310</w:t>
            </w:r>
          </w:p>
        </w:tc>
        <w:tc>
          <w:tcPr>
            <w:tcW w:w="1428" w:type="dxa"/>
          </w:tcPr>
          <w:p w:rsidR="001A7779" w:rsidRDefault="001A7779">
            <w:pPr>
              <w:tabs>
                <w:tab w:val="left" w:pos="630"/>
              </w:tabs>
              <w:spacing w:before="60" w:after="60" w:line="360" w:lineRule="exact"/>
              <w:jc w:val="center"/>
              <w:rPr>
                <w:sz w:val="18"/>
              </w:rPr>
            </w:pPr>
            <w:r>
              <w:rPr>
                <w:sz w:val="18"/>
              </w:rPr>
              <w:t>48.6</w:t>
            </w:r>
          </w:p>
        </w:tc>
        <w:tc>
          <w:tcPr>
            <w:tcW w:w="1427" w:type="dxa"/>
            <w:tcBorders>
              <w:left w:val="nil"/>
            </w:tcBorders>
          </w:tcPr>
          <w:p w:rsidR="001A7779" w:rsidRDefault="001A7779">
            <w:pPr>
              <w:tabs>
                <w:tab w:val="left" w:pos="630"/>
              </w:tabs>
              <w:spacing w:before="60" w:after="60" w:line="360" w:lineRule="exact"/>
              <w:jc w:val="center"/>
              <w:rPr>
                <w:sz w:val="18"/>
              </w:rPr>
            </w:pPr>
            <w:r>
              <w:rPr>
                <w:sz w:val="18"/>
              </w:rPr>
              <w:t>103 203</w:t>
            </w:r>
          </w:p>
        </w:tc>
        <w:tc>
          <w:tcPr>
            <w:tcW w:w="1427" w:type="dxa"/>
          </w:tcPr>
          <w:p w:rsidR="001A7779" w:rsidRDefault="001A7779">
            <w:pPr>
              <w:tabs>
                <w:tab w:val="left" w:pos="630"/>
              </w:tabs>
              <w:spacing w:before="60" w:after="60" w:line="360" w:lineRule="exact"/>
              <w:jc w:val="center"/>
              <w:rPr>
                <w:sz w:val="18"/>
              </w:rPr>
            </w:pPr>
            <w:r>
              <w:rPr>
                <w:sz w:val="18"/>
              </w:rPr>
              <w:t>50 964</w:t>
            </w:r>
          </w:p>
        </w:tc>
        <w:tc>
          <w:tcPr>
            <w:tcW w:w="1428" w:type="dxa"/>
          </w:tcPr>
          <w:p w:rsidR="001A7779" w:rsidRDefault="001A7779">
            <w:pPr>
              <w:tabs>
                <w:tab w:val="left" w:pos="630"/>
              </w:tabs>
              <w:spacing w:before="60" w:after="60" w:line="360" w:lineRule="exact"/>
              <w:jc w:val="center"/>
              <w:rPr>
                <w:sz w:val="18"/>
              </w:rPr>
            </w:pPr>
            <w:r>
              <w:rPr>
                <w:sz w:val="18"/>
              </w:rPr>
              <w:t>49.4</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57/2002</w:t>
      </w:r>
      <w:r>
        <w:rPr>
          <w:rFonts w:hint="eastAsia"/>
          <w:color w:val="000000"/>
          <w:sz w:val="18"/>
        </w:rPr>
        <w:t>、</w:t>
      </w:r>
      <w:r>
        <w:rPr>
          <w:color w:val="000000"/>
          <w:sz w:val="18"/>
        </w:rPr>
        <w:t xml:space="preserve"> 270/2002</w:t>
      </w:r>
      <w:r>
        <w:rPr>
          <w:rFonts w:hint="eastAsia"/>
          <w:color w:val="000000"/>
          <w:sz w:val="18"/>
        </w:rPr>
        <w:t>、</w:t>
      </w:r>
      <w:r>
        <w:rPr>
          <w:color w:val="000000"/>
          <w:sz w:val="18"/>
        </w:rPr>
        <w:t xml:space="preserve"> 97/2003</w:t>
      </w:r>
      <w:r>
        <w:rPr>
          <w:rFonts w:hint="eastAsia"/>
          <w:color w:val="000000"/>
          <w:sz w:val="18"/>
        </w:rPr>
        <w:t>、</w:t>
      </w:r>
      <w:r>
        <w:rPr>
          <w:color w:val="000000"/>
          <w:sz w:val="18"/>
        </w:rPr>
        <w:t xml:space="preserve"> 9/2004</w:t>
      </w:r>
      <w:r>
        <w:rPr>
          <w:rFonts w:hint="eastAsia"/>
          <w:color w:val="000000"/>
          <w:sz w:val="18"/>
        </w:rPr>
        <w:t>、</w:t>
      </w:r>
      <w:r>
        <w:rPr>
          <w:color w:val="000000"/>
          <w:sz w:val="18"/>
        </w:rPr>
        <w:t xml:space="preserve"> 66/2004</w:t>
      </w:r>
      <w:r>
        <w:rPr>
          <w:rFonts w:hint="eastAsia"/>
          <w:color w:val="000000"/>
          <w:sz w:val="18"/>
        </w:rPr>
        <w:t>号快报和</w:t>
      </w:r>
      <w:r>
        <w:rPr>
          <w:color w:val="000000"/>
          <w:sz w:val="18"/>
        </w:rPr>
        <w:t xml:space="preserve"> </w:t>
      </w:r>
      <w:r>
        <w:rPr>
          <w:rFonts w:hint="eastAsia"/>
          <w:color w:val="000000"/>
          <w:sz w:val="18"/>
        </w:rPr>
        <w:t>2004</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22</w:t>
      </w:r>
      <w:r>
        <w:rPr>
          <w:rFonts w:ascii="SimHei" w:eastAsia="SimHei" w:hint="eastAsia"/>
          <w:color w:val="FF0000"/>
        </w:rPr>
        <w:t>：</w:t>
      </w:r>
      <w:r>
        <w:rPr>
          <w:rFonts w:ascii="SimHei" w:eastAsia="SimHei"/>
          <w:color w:val="FF0000"/>
        </w:rPr>
        <w:t xml:space="preserve">2000/2001 </w:t>
      </w:r>
      <w:r>
        <w:rPr>
          <w:rFonts w:ascii="SimHei" w:eastAsia="SimHei" w:hint="eastAsia"/>
          <w:color w:val="FF0000"/>
        </w:rPr>
        <w:t>和</w:t>
      </w:r>
      <w:r>
        <w:rPr>
          <w:rFonts w:ascii="SimHei" w:eastAsia="SimHei"/>
          <w:color w:val="FF0000"/>
        </w:rPr>
        <w:t xml:space="preserve"> 2003/2004</w:t>
      </w:r>
      <w:r>
        <w:rPr>
          <w:rFonts w:ascii="SimHei" w:eastAsia="SimHei" w:hint="eastAsia"/>
          <w:color w:val="FF0000"/>
        </w:rPr>
        <w:t>学年末按学习专业分列的高中就读者</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00"/>
        <w:gridCol w:w="1140"/>
        <w:gridCol w:w="1140"/>
        <w:gridCol w:w="1140"/>
        <w:gridCol w:w="1140"/>
        <w:gridCol w:w="1140"/>
        <w:gridCol w:w="1140"/>
      </w:tblGrid>
      <w:tr w:rsidR="001A7779">
        <w:tblPrEx>
          <w:tblCellMar>
            <w:top w:w="0" w:type="dxa"/>
            <w:bottom w:w="0" w:type="dxa"/>
          </w:tblCellMar>
        </w:tblPrEx>
        <w:trPr>
          <w:cantSplit/>
          <w:tblHeader/>
        </w:trPr>
        <w:tc>
          <w:tcPr>
            <w:tcW w:w="3000" w:type="dxa"/>
            <w:tcBorders>
              <w:top w:val="single" w:sz="4" w:space="0" w:color="auto"/>
              <w:left w:val="single" w:sz="4" w:space="0" w:color="auto"/>
              <w:bottom w:val="nil"/>
            </w:tcBorders>
          </w:tcPr>
          <w:p w:rsidR="001A7779" w:rsidRDefault="001A7779">
            <w:pPr>
              <w:tabs>
                <w:tab w:val="left" w:pos="630"/>
              </w:tabs>
              <w:spacing w:before="60" w:after="60" w:line="360" w:lineRule="exact"/>
              <w:rPr>
                <w:rFonts w:ascii="SimHei" w:eastAsia="SimHei"/>
                <w:color w:val="FF0000"/>
                <w:sz w:val="18"/>
              </w:rPr>
            </w:pPr>
          </w:p>
        </w:tc>
        <w:tc>
          <w:tcPr>
            <w:tcW w:w="3420" w:type="dxa"/>
            <w:gridSpan w:val="3"/>
            <w:tcBorders>
              <w:top w:val="single" w:sz="4" w:space="0" w:color="auto"/>
            </w:tcBorders>
          </w:tcPr>
          <w:p w:rsidR="001A7779" w:rsidRDefault="001A7779">
            <w:pPr>
              <w:tabs>
                <w:tab w:val="left" w:pos="630"/>
              </w:tabs>
              <w:spacing w:before="60" w:after="60" w:line="360" w:lineRule="exact"/>
              <w:jc w:val="center"/>
              <w:rPr>
                <w:rFonts w:ascii="SimHei" w:eastAsia="SimHei" w:hint="eastAsia"/>
                <w:color w:val="FF0000"/>
                <w:sz w:val="18"/>
              </w:rPr>
            </w:pPr>
            <w:r>
              <w:rPr>
                <w:rFonts w:ascii="SimHei" w:eastAsia="SimHei"/>
                <w:color w:val="FF0000"/>
                <w:sz w:val="18"/>
              </w:rPr>
              <w:t>2000/2001</w:t>
            </w:r>
            <w:r>
              <w:rPr>
                <w:rFonts w:ascii="SimHei" w:eastAsia="SimHei" w:hint="eastAsia"/>
                <w:color w:val="FF0000"/>
                <w:sz w:val="18"/>
              </w:rPr>
              <w:t>年</w:t>
            </w:r>
          </w:p>
        </w:tc>
        <w:tc>
          <w:tcPr>
            <w:tcW w:w="3420" w:type="dxa"/>
            <w:gridSpan w:val="3"/>
            <w:tcBorders>
              <w:top w:val="single" w:sz="4" w:space="0" w:color="auto"/>
            </w:tcBorders>
          </w:tcPr>
          <w:p w:rsidR="001A7779" w:rsidRDefault="001A7779">
            <w:pPr>
              <w:tabs>
                <w:tab w:val="left" w:pos="630"/>
              </w:tabs>
              <w:spacing w:before="60" w:after="60" w:line="360" w:lineRule="exact"/>
              <w:jc w:val="center"/>
              <w:rPr>
                <w:rFonts w:ascii="SimHei" w:eastAsia="SimHei" w:hint="eastAsia"/>
                <w:color w:val="FF0000"/>
                <w:sz w:val="18"/>
              </w:rPr>
            </w:pPr>
            <w:r>
              <w:rPr>
                <w:rFonts w:ascii="SimHei" w:eastAsia="SimHei"/>
                <w:color w:val="FF0000"/>
                <w:sz w:val="18"/>
              </w:rPr>
              <w:t>2003/2004</w:t>
            </w:r>
            <w:r>
              <w:rPr>
                <w:rFonts w:ascii="SimHei" w:eastAsia="SimHei" w:hint="eastAsia"/>
                <w:color w:val="FF0000"/>
                <w:sz w:val="18"/>
              </w:rPr>
              <w:t>年</w:t>
            </w:r>
          </w:p>
        </w:tc>
      </w:tr>
      <w:tr w:rsidR="001A7779">
        <w:tblPrEx>
          <w:tblCellMar>
            <w:top w:w="0" w:type="dxa"/>
            <w:bottom w:w="0" w:type="dxa"/>
          </w:tblCellMar>
        </w:tblPrEx>
        <w:trPr>
          <w:cantSplit/>
          <w:tblHeader/>
        </w:trPr>
        <w:tc>
          <w:tcPr>
            <w:tcW w:w="3000" w:type="dxa"/>
            <w:tcBorders>
              <w:top w:val="nil"/>
              <w:left w:val="single" w:sz="4" w:space="0" w:color="auto"/>
              <w:bottom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1140" w:type="dxa"/>
            <w:tcBorders>
              <w:top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140" w:type="dxa"/>
            <w:tcBorders>
              <w:top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140" w:type="dxa"/>
            <w:tcBorders>
              <w:top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w:t>
            </w:r>
            <w:r>
              <w:rPr>
                <w:rFonts w:ascii="SimHei" w:eastAsia="SimHei"/>
                <w:color w:val="FF0000"/>
                <w:sz w:val="18"/>
              </w:rPr>
              <w:br/>
            </w:r>
            <w:r>
              <w:rPr>
                <w:rFonts w:ascii="SimHei" w:eastAsia="SimHei" w:hint="eastAsia"/>
                <w:color w:val="FF0000"/>
                <w:sz w:val="18"/>
              </w:rPr>
              <w:t>比例</w:t>
            </w:r>
            <w:r>
              <w:rPr>
                <w:rFonts w:ascii="SimHei" w:eastAsia="SimHei"/>
                <w:color w:val="FF0000"/>
                <w:sz w:val="18"/>
              </w:rPr>
              <w:t>%</w:t>
            </w:r>
          </w:p>
        </w:tc>
        <w:tc>
          <w:tcPr>
            <w:tcW w:w="1140" w:type="dxa"/>
            <w:tcBorders>
              <w:top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140" w:type="dxa"/>
            <w:tcBorders>
              <w:top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140" w:type="dxa"/>
            <w:tcBorders>
              <w:top w:val="nil"/>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w:t>
            </w:r>
            <w:r>
              <w:rPr>
                <w:rFonts w:ascii="SimHei" w:eastAsia="SimHei"/>
                <w:color w:val="FF0000"/>
                <w:sz w:val="18"/>
              </w:rPr>
              <w:br/>
            </w:r>
            <w:r>
              <w:rPr>
                <w:rFonts w:ascii="SimHei" w:eastAsia="SimHei" w:hint="eastAsia"/>
                <w:color w:val="FF0000"/>
                <w:sz w:val="18"/>
              </w:rPr>
              <w:t>比例</w:t>
            </w:r>
            <w:r>
              <w:rPr>
                <w:rFonts w:ascii="SimHei" w:eastAsia="SimHei"/>
                <w:color w:val="FF0000"/>
                <w:sz w:val="18"/>
              </w:rPr>
              <w:t>%</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共计</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100 858</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50 375</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49.9</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100 132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50 238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50.2</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农业</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5 727</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2 954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51.6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4 662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2 468</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52.9</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林业</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136</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1.5</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132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皮革加工</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48</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38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79.2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纺织</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1 893</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1 836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97.0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673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646</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96.0</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化学、医药、橡胶加工和非金属</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1 118</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757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67.7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1 006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671</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66.7</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木材加工</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3 078</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0.9</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2 009</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24</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1.2</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建筑</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2 556</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221</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8.6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2 191</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159</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7.3</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餐饮和旅游</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5 211</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2 232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42.8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5 197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2 338</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45.0</w:t>
            </w:r>
          </w:p>
        </w:tc>
      </w:tr>
      <w:tr w:rsidR="001A7779">
        <w:tblPrEx>
          <w:tblCellMar>
            <w:top w:w="0" w:type="dxa"/>
            <w:bottom w:w="0" w:type="dxa"/>
          </w:tblCellMar>
        </w:tblPrEx>
        <w:trPr>
          <w:cantSplit/>
          <w:trHeight w:val="323"/>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经济学</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20 770</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13 787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66.4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19 497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12 601</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64.6</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纸张和印刷</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571</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213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37.3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822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272</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33.1</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电工与计算机科学</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7 211</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44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7 147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54</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0.8</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冶金和机械工程</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7 739</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43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w:t>
            </w:r>
            <w:r>
              <w:rPr>
                <w:rFonts w:hint="eastAsia"/>
              </w:rPr>
              <w:t xml:space="preserve"> </w:t>
            </w:r>
            <w:r>
              <w:t>113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31</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0.4</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运输和通信</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1 136</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345</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30.4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w:t>
            </w:r>
            <w:r>
              <w:rPr>
                <w:rFonts w:hint="eastAsia"/>
              </w:rPr>
              <w:t xml:space="preserve"> </w:t>
            </w:r>
            <w:r>
              <w:t>376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359</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26.1</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采矿</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134</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0.7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100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卫生保健</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5 242</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3 963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75.6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w:t>
            </w:r>
            <w:r>
              <w:rPr>
                <w:rFonts w:hint="eastAsia"/>
              </w:rPr>
              <w:t xml:space="preserve"> </w:t>
            </w:r>
            <w:r>
              <w:t>399</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w:t>
            </w:r>
            <w:r>
              <w:rPr>
                <w:rFonts w:hint="eastAsia"/>
              </w:rPr>
              <w:t xml:space="preserve"> </w:t>
            </w:r>
            <w:r>
              <w:t>014</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74.3</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教师培训</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1 039</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1 020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98.2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w:t>
            </w:r>
            <w:r>
              <w:rPr>
                <w:rFonts w:hint="eastAsia"/>
              </w:rPr>
              <w:t xml:space="preserve"> </w:t>
            </w:r>
            <w:r>
              <w:t>388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w:t>
            </w:r>
            <w:r>
              <w:rPr>
                <w:rFonts w:hint="eastAsia"/>
              </w:rPr>
              <w:t xml:space="preserve"> </w:t>
            </w:r>
            <w:r>
              <w:t>341</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96.6</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社会科学</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824</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732</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88.8</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文化</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629</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445</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70.7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593</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440</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74.2</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普通教育</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32 887</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19 394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59.0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39</w:t>
            </w:r>
            <w:r>
              <w:rPr>
                <w:rFonts w:hint="eastAsia"/>
              </w:rPr>
              <w:t xml:space="preserve"> </w:t>
            </w:r>
            <w:r>
              <w:t>040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23</w:t>
            </w:r>
            <w:r>
              <w:rPr>
                <w:rFonts w:hint="eastAsia"/>
              </w:rPr>
              <w:t xml:space="preserve"> </w:t>
            </w:r>
            <w:r>
              <w:t>351</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59.8</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个人服务</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2 672</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2 296</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86.0</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w:t>
            </w:r>
            <w:r>
              <w:rPr>
                <w:rFonts w:hint="eastAsia"/>
              </w:rPr>
              <w:t xml:space="preserve"> </w:t>
            </w:r>
            <w:r>
              <w:t>787</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w:t>
            </w:r>
            <w:r>
              <w:rPr>
                <w:rFonts w:hint="eastAsia"/>
              </w:rPr>
              <w:t xml:space="preserve"> </w:t>
            </w:r>
            <w:r>
              <w:t>469</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82.2</w:t>
            </w:r>
          </w:p>
        </w:tc>
      </w:tr>
      <w:tr w:rsidR="001A7779">
        <w:tblPrEx>
          <w:tblCellMar>
            <w:top w:w="0" w:type="dxa"/>
            <w:bottom w:w="0" w:type="dxa"/>
          </w:tblCellMar>
        </w:tblPrEx>
        <w:trPr>
          <w:cantSplit/>
        </w:trPr>
        <w:tc>
          <w:tcPr>
            <w:tcW w:w="3000" w:type="dxa"/>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内部事务</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237</w:t>
            </w:r>
          </w:p>
        </w:tc>
        <w:tc>
          <w:tcPr>
            <w:tcW w:w="1140" w:type="dxa"/>
            <w:tcBorders>
              <w:top w:val="single" w:sz="4" w:space="0" w:color="auto"/>
              <w:bottom w:val="single" w:sz="4" w:space="0" w:color="auto"/>
            </w:tcBorders>
          </w:tcPr>
          <w:p w:rsidR="001A7779" w:rsidRDefault="001A7779" w:rsidP="00B359E9">
            <w:pPr>
              <w:tabs>
                <w:tab w:val="left" w:pos="630"/>
              </w:tabs>
              <w:spacing w:before="60" w:after="60" w:line="360" w:lineRule="exact"/>
              <w:ind w:rightChars="85" w:right="31680"/>
              <w:jc w:val="right"/>
              <w:rPr>
                <w:sz w:val="18"/>
              </w:rPr>
            </w:pPr>
            <w:r>
              <w:rPr>
                <w:sz w:val="18"/>
              </w:rPr>
              <w:t>24</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10.1</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c>
          <w:tcPr>
            <w:tcW w:w="1140" w:type="dxa"/>
            <w:tcBorders>
              <w:top w:val="single" w:sz="4" w:space="0" w:color="auto"/>
              <w:bottom w:val="single" w:sz="4" w:space="0" w:color="auto"/>
              <w:right w:val="single" w:sz="4" w:space="0" w:color="auto"/>
            </w:tcBorders>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85" w:right="31680"/>
              <w:jc w:val="right"/>
            </w:pPr>
            <w:r>
              <w:t>-</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2003</w:t>
      </w:r>
      <w:r>
        <w:rPr>
          <w:rFonts w:hint="eastAsia"/>
          <w:color w:val="000000"/>
          <w:sz w:val="18"/>
        </w:rPr>
        <w:t>和</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23</w:t>
      </w:r>
      <w:r>
        <w:rPr>
          <w:rFonts w:ascii="SimHei" w:eastAsia="SimHei" w:hint="eastAsia"/>
          <w:color w:val="FF0000"/>
        </w:rPr>
        <w:t>：</w:t>
      </w:r>
      <w:r>
        <w:rPr>
          <w:rFonts w:ascii="SimHei" w:eastAsia="SimHei"/>
          <w:color w:val="FF0000"/>
        </w:rPr>
        <w:t xml:space="preserve">2002 </w:t>
      </w:r>
      <w:r>
        <w:rPr>
          <w:rFonts w:ascii="SimHei" w:eastAsia="SimHei" w:hint="eastAsia"/>
          <w:color w:val="FF0000"/>
        </w:rPr>
        <w:t>至</w:t>
      </w:r>
      <w:r>
        <w:rPr>
          <w:rFonts w:ascii="SimHei" w:eastAsia="SimHei"/>
          <w:color w:val="FF0000"/>
        </w:rPr>
        <w:t xml:space="preserve"> 2004</w:t>
      </w:r>
      <w:r>
        <w:rPr>
          <w:rFonts w:ascii="SimHei" w:eastAsia="SimHei" w:hint="eastAsia"/>
          <w:color w:val="FF0000"/>
        </w:rPr>
        <w:t>年按性别分列的本科高等教育和单一的高等教育机构在校学生数和</w:t>
      </w:r>
      <w:r>
        <w:rPr>
          <w:rFonts w:ascii="SimHei" w:eastAsia="SimHei"/>
          <w:color w:val="FF0000"/>
        </w:rPr>
        <w:br/>
      </w:r>
      <w:r>
        <w:rPr>
          <w:rFonts w:ascii="SimHei" w:eastAsia="SimHei" w:hint="eastAsia"/>
          <w:color w:val="FF0000"/>
        </w:rPr>
        <w:t>从大学和单科高等教育机构毕业的学生</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80"/>
        <w:gridCol w:w="1460"/>
        <w:gridCol w:w="1460"/>
        <w:gridCol w:w="1460"/>
        <w:gridCol w:w="1460"/>
        <w:gridCol w:w="1460"/>
        <w:gridCol w:w="1460"/>
      </w:tblGrid>
      <w:tr w:rsidR="001A7779">
        <w:tblPrEx>
          <w:tblCellMar>
            <w:top w:w="0" w:type="dxa"/>
            <w:bottom w:w="0" w:type="dxa"/>
          </w:tblCellMar>
        </w:tblPrEx>
        <w:trPr>
          <w:cantSplit/>
          <w:trHeight w:val="336"/>
        </w:trPr>
        <w:tc>
          <w:tcPr>
            <w:tcW w:w="1080" w:type="dxa"/>
            <w:tcBorders>
              <w:top w:val="single" w:sz="4" w:space="0" w:color="auto"/>
              <w:bottom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年份</w:t>
            </w:r>
          </w:p>
        </w:tc>
        <w:tc>
          <w:tcPr>
            <w:tcW w:w="4380" w:type="dxa"/>
            <w:gridSpan w:val="3"/>
            <w:tcBorders>
              <w:top w:val="single" w:sz="4" w:space="0" w:color="auto"/>
              <w:left w:val="single" w:sz="4" w:space="0" w:color="auto"/>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注册学生</w:t>
            </w:r>
          </w:p>
        </w:tc>
        <w:tc>
          <w:tcPr>
            <w:tcW w:w="4380" w:type="dxa"/>
            <w:gridSpan w:val="3"/>
            <w:tcBorders>
              <w:top w:val="single" w:sz="4" w:space="0" w:color="auto"/>
              <w:left w:val="nil"/>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毕业学生</w:t>
            </w:r>
          </w:p>
        </w:tc>
      </w:tr>
      <w:tr w:rsidR="001A7779">
        <w:tblPrEx>
          <w:tblCellMar>
            <w:top w:w="0" w:type="dxa"/>
            <w:bottom w:w="0" w:type="dxa"/>
          </w:tblCellMar>
        </w:tblPrEx>
        <w:trPr>
          <w:cantSplit/>
        </w:trPr>
        <w:tc>
          <w:tcPr>
            <w:tcW w:w="1080" w:type="dxa"/>
            <w:tcBorders>
              <w:top w:val="single" w:sz="4" w:space="0" w:color="auto"/>
              <w:right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1460" w:type="dxa"/>
            <w:tcBorders>
              <w:top w:val="single" w:sz="4" w:space="0" w:color="auto"/>
              <w:lef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460"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460"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c>
          <w:tcPr>
            <w:tcW w:w="1460" w:type="dxa"/>
            <w:tcBorders>
              <w:top w:val="single" w:sz="4" w:space="0" w:color="auto"/>
              <w:lef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460"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460" w:type="dxa"/>
            <w:tcBorders>
              <w:top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r>
      <w:tr w:rsidR="001A7779">
        <w:tblPrEx>
          <w:tblCellMar>
            <w:top w:w="0" w:type="dxa"/>
            <w:bottom w:w="0" w:type="dxa"/>
          </w:tblCellMar>
        </w:tblPrEx>
        <w:trPr>
          <w:cantSplit/>
          <w:trHeight w:val="255"/>
        </w:trPr>
        <w:tc>
          <w:tcPr>
            <w:tcW w:w="1080" w:type="dxa"/>
            <w:tcBorders>
              <w:right w:val="single" w:sz="4" w:space="0" w:color="auto"/>
            </w:tcBorders>
          </w:tcPr>
          <w:p w:rsidR="001A7779" w:rsidRDefault="001A7779">
            <w:pPr>
              <w:tabs>
                <w:tab w:val="left" w:pos="630"/>
              </w:tabs>
              <w:spacing w:before="60" w:after="60" w:line="360" w:lineRule="exact"/>
              <w:rPr>
                <w:sz w:val="18"/>
              </w:rPr>
            </w:pPr>
            <w:r>
              <w:rPr>
                <w:sz w:val="18"/>
              </w:rPr>
              <w:t>2002</w:t>
            </w:r>
          </w:p>
        </w:tc>
        <w:tc>
          <w:tcPr>
            <w:tcW w:w="1460" w:type="dxa"/>
            <w:tcBorders>
              <w:left w:val="single" w:sz="4" w:space="0" w:color="auto"/>
            </w:tcBorders>
          </w:tcPr>
          <w:p w:rsidR="001A7779" w:rsidRDefault="001A7779">
            <w:pPr>
              <w:tabs>
                <w:tab w:val="left" w:pos="630"/>
              </w:tabs>
              <w:spacing w:before="60" w:after="60" w:line="360" w:lineRule="exact"/>
              <w:jc w:val="center"/>
              <w:rPr>
                <w:sz w:val="18"/>
              </w:rPr>
            </w:pPr>
            <w:r>
              <w:rPr>
                <w:sz w:val="18"/>
              </w:rPr>
              <w:t>87 056</w:t>
            </w:r>
          </w:p>
        </w:tc>
        <w:tc>
          <w:tcPr>
            <w:tcW w:w="1460" w:type="dxa"/>
          </w:tcPr>
          <w:p w:rsidR="001A7779" w:rsidRDefault="001A7779">
            <w:pPr>
              <w:tabs>
                <w:tab w:val="left" w:pos="630"/>
              </w:tabs>
              <w:spacing w:before="60" w:after="60" w:line="360" w:lineRule="exact"/>
              <w:jc w:val="center"/>
              <w:rPr>
                <w:sz w:val="18"/>
              </w:rPr>
            </w:pPr>
            <w:r>
              <w:rPr>
                <w:sz w:val="18"/>
              </w:rPr>
              <w:t>50 161</w:t>
            </w:r>
          </w:p>
        </w:tc>
        <w:tc>
          <w:tcPr>
            <w:tcW w:w="1460" w:type="dxa"/>
          </w:tcPr>
          <w:p w:rsidR="001A7779" w:rsidRDefault="001A7779">
            <w:pPr>
              <w:tabs>
                <w:tab w:val="left" w:pos="630"/>
              </w:tabs>
              <w:spacing w:before="60" w:after="60" w:line="360" w:lineRule="exact"/>
              <w:jc w:val="center"/>
              <w:rPr>
                <w:sz w:val="18"/>
              </w:rPr>
            </w:pPr>
            <w:r>
              <w:rPr>
                <w:sz w:val="18"/>
              </w:rPr>
              <w:t>57.6</w:t>
            </w:r>
          </w:p>
        </w:tc>
        <w:tc>
          <w:tcPr>
            <w:tcW w:w="1460" w:type="dxa"/>
            <w:tcBorders>
              <w:left w:val="nil"/>
            </w:tcBorders>
          </w:tcPr>
          <w:p w:rsidR="001A7779" w:rsidRDefault="001A7779">
            <w:pPr>
              <w:tabs>
                <w:tab w:val="left" w:pos="630"/>
              </w:tabs>
              <w:spacing w:before="60" w:after="60" w:line="360" w:lineRule="exact"/>
              <w:jc w:val="center"/>
              <w:rPr>
                <w:sz w:val="18"/>
              </w:rPr>
            </w:pPr>
            <w:r>
              <w:rPr>
                <w:sz w:val="18"/>
              </w:rPr>
              <w:t>12 029</w:t>
            </w:r>
          </w:p>
        </w:tc>
        <w:tc>
          <w:tcPr>
            <w:tcW w:w="1460" w:type="dxa"/>
          </w:tcPr>
          <w:p w:rsidR="001A7779" w:rsidRDefault="001A7779">
            <w:pPr>
              <w:tabs>
                <w:tab w:val="left" w:pos="630"/>
              </w:tabs>
              <w:spacing w:before="60" w:after="60" w:line="360" w:lineRule="exact"/>
              <w:jc w:val="center"/>
              <w:rPr>
                <w:sz w:val="18"/>
              </w:rPr>
            </w:pPr>
            <w:r>
              <w:rPr>
                <w:sz w:val="18"/>
              </w:rPr>
              <w:t>7 430</w:t>
            </w:r>
          </w:p>
        </w:tc>
        <w:tc>
          <w:tcPr>
            <w:tcW w:w="1460" w:type="dxa"/>
          </w:tcPr>
          <w:p w:rsidR="001A7779" w:rsidRDefault="001A7779">
            <w:pPr>
              <w:tabs>
                <w:tab w:val="left" w:pos="630"/>
              </w:tabs>
              <w:spacing w:before="60" w:after="60" w:line="360" w:lineRule="exact"/>
              <w:jc w:val="center"/>
              <w:rPr>
                <w:sz w:val="18"/>
              </w:rPr>
            </w:pPr>
            <w:r>
              <w:rPr>
                <w:sz w:val="18"/>
              </w:rPr>
              <w:t>61.8</w:t>
            </w:r>
          </w:p>
        </w:tc>
      </w:tr>
      <w:tr w:rsidR="001A7779">
        <w:tblPrEx>
          <w:tblCellMar>
            <w:top w:w="0" w:type="dxa"/>
            <w:bottom w:w="0" w:type="dxa"/>
          </w:tblCellMar>
        </w:tblPrEx>
        <w:trPr>
          <w:cantSplit/>
        </w:trPr>
        <w:tc>
          <w:tcPr>
            <w:tcW w:w="1080" w:type="dxa"/>
            <w:tcBorders>
              <w:right w:val="single" w:sz="4" w:space="0" w:color="auto"/>
            </w:tcBorders>
          </w:tcPr>
          <w:p w:rsidR="001A7779" w:rsidRDefault="001A7779">
            <w:pPr>
              <w:tabs>
                <w:tab w:val="left" w:pos="630"/>
              </w:tabs>
              <w:spacing w:before="60" w:after="60" w:line="360" w:lineRule="exact"/>
              <w:rPr>
                <w:sz w:val="18"/>
              </w:rPr>
            </w:pPr>
            <w:r>
              <w:rPr>
                <w:sz w:val="18"/>
              </w:rPr>
              <w:t>2003</w:t>
            </w:r>
          </w:p>
        </w:tc>
        <w:tc>
          <w:tcPr>
            <w:tcW w:w="1460" w:type="dxa"/>
            <w:tcBorders>
              <w:left w:val="single" w:sz="4" w:space="0" w:color="auto"/>
            </w:tcBorders>
          </w:tcPr>
          <w:p w:rsidR="001A7779" w:rsidRDefault="001A7779">
            <w:pPr>
              <w:tabs>
                <w:tab w:val="left" w:pos="630"/>
              </w:tabs>
              <w:spacing w:before="60" w:after="60" w:line="360" w:lineRule="exact"/>
              <w:jc w:val="center"/>
              <w:rPr>
                <w:sz w:val="18"/>
              </w:rPr>
            </w:pPr>
            <w:r>
              <w:rPr>
                <w:sz w:val="18"/>
              </w:rPr>
              <w:t>87 205</w:t>
            </w:r>
          </w:p>
        </w:tc>
        <w:tc>
          <w:tcPr>
            <w:tcW w:w="1460" w:type="dxa"/>
          </w:tcPr>
          <w:p w:rsidR="001A7779" w:rsidRDefault="001A7779">
            <w:pPr>
              <w:tabs>
                <w:tab w:val="left" w:pos="630"/>
              </w:tabs>
              <w:spacing w:before="60" w:after="60" w:line="360" w:lineRule="exact"/>
              <w:jc w:val="center"/>
              <w:rPr>
                <w:sz w:val="18"/>
              </w:rPr>
            </w:pPr>
            <w:r>
              <w:rPr>
                <w:sz w:val="18"/>
              </w:rPr>
              <w:t>50 744</w:t>
            </w:r>
          </w:p>
        </w:tc>
        <w:tc>
          <w:tcPr>
            <w:tcW w:w="1460" w:type="dxa"/>
          </w:tcPr>
          <w:p w:rsidR="001A7779" w:rsidRDefault="001A7779">
            <w:pPr>
              <w:tabs>
                <w:tab w:val="left" w:pos="630"/>
              </w:tabs>
              <w:spacing w:before="60" w:after="60" w:line="360" w:lineRule="exact"/>
              <w:jc w:val="center"/>
              <w:rPr>
                <w:sz w:val="18"/>
              </w:rPr>
            </w:pPr>
            <w:r>
              <w:rPr>
                <w:sz w:val="18"/>
              </w:rPr>
              <w:t>58.2</w:t>
            </w:r>
          </w:p>
        </w:tc>
        <w:tc>
          <w:tcPr>
            <w:tcW w:w="1460" w:type="dxa"/>
            <w:tcBorders>
              <w:left w:val="nil"/>
            </w:tcBorders>
          </w:tcPr>
          <w:p w:rsidR="001A7779" w:rsidRDefault="001A7779">
            <w:pPr>
              <w:tabs>
                <w:tab w:val="left" w:pos="630"/>
              </w:tabs>
              <w:spacing w:before="60" w:after="60" w:line="360" w:lineRule="exact"/>
              <w:jc w:val="center"/>
              <w:rPr>
                <w:sz w:val="18"/>
              </w:rPr>
            </w:pPr>
            <w:r>
              <w:rPr>
                <w:sz w:val="18"/>
              </w:rPr>
              <w:t>11 232</w:t>
            </w:r>
          </w:p>
        </w:tc>
        <w:tc>
          <w:tcPr>
            <w:tcW w:w="1460" w:type="dxa"/>
          </w:tcPr>
          <w:p w:rsidR="001A7779" w:rsidRDefault="001A7779">
            <w:pPr>
              <w:tabs>
                <w:tab w:val="left" w:pos="630"/>
              </w:tabs>
              <w:spacing w:before="60" w:after="60" w:line="360" w:lineRule="exact"/>
              <w:jc w:val="center"/>
              <w:rPr>
                <w:sz w:val="18"/>
              </w:rPr>
            </w:pPr>
            <w:r>
              <w:rPr>
                <w:sz w:val="18"/>
              </w:rPr>
              <w:t>7 183</w:t>
            </w:r>
          </w:p>
        </w:tc>
        <w:tc>
          <w:tcPr>
            <w:tcW w:w="1460" w:type="dxa"/>
          </w:tcPr>
          <w:p w:rsidR="001A7779" w:rsidRDefault="001A7779">
            <w:pPr>
              <w:tabs>
                <w:tab w:val="left" w:pos="630"/>
              </w:tabs>
              <w:spacing w:before="60" w:after="60" w:line="360" w:lineRule="exact"/>
              <w:jc w:val="center"/>
              <w:rPr>
                <w:sz w:val="18"/>
              </w:rPr>
            </w:pPr>
            <w:r>
              <w:rPr>
                <w:sz w:val="18"/>
              </w:rPr>
              <w:t>64.0</w:t>
            </w:r>
          </w:p>
        </w:tc>
      </w:tr>
      <w:tr w:rsidR="001A7779">
        <w:tblPrEx>
          <w:tblCellMar>
            <w:top w:w="0" w:type="dxa"/>
            <w:bottom w:w="0" w:type="dxa"/>
          </w:tblCellMar>
        </w:tblPrEx>
        <w:trPr>
          <w:cantSplit/>
        </w:trPr>
        <w:tc>
          <w:tcPr>
            <w:tcW w:w="1080" w:type="dxa"/>
            <w:tcBorders>
              <w:right w:val="single" w:sz="4" w:space="0" w:color="auto"/>
            </w:tcBorders>
          </w:tcPr>
          <w:p w:rsidR="001A7779" w:rsidRDefault="001A7779">
            <w:pPr>
              <w:tabs>
                <w:tab w:val="left" w:pos="630"/>
              </w:tabs>
              <w:spacing w:before="60" w:after="60" w:line="360" w:lineRule="exact"/>
              <w:rPr>
                <w:sz w:val="18"/>
              </w:rPr>
            </w:pPr>
            <w:r>
              <w:rPr>
                <w:sz w:val="18"/>
              </w:rPr>
              <w:t>2004</w:t>
            </w:r>
          </w:p>
        </w:tc>
        <w:tc>
          <w:tcPr>
            <w:tcW w:w="1460" w:type="dxa"/>
            <w:tcBorders>
              <w:left w:val="single" w:sz="4" w:space="0" w:color="auto"/>
            </w:tcBorders>
          </w:tcPr>
          <w:p w:rsidR="001A7779" w:rsidRDefault="001A7779">
            <w:pPr>
              <w:tabs>
                <w:tab w:val="left" w:pos="630"/>
              </w:tabs>
              <w:spacing w:before="60" w:after="60" w:line="360" w:lineRule="exact"/>
              <w:jc w:val="center"/>
              <w:rPr>
                <w:sz w:val="18"/>
              </w:rPr>
            </w:pPr>
            <w:r>
              <w:rPr>
                <w:sz w:val="18"/>
              </w:rPr>
              <w:t>91 299</w:t>
            </w:r>
          </w:p>
        </w:tc>
        <w:tc>
          <w:tcPr>
            <w:tcW w:w="1460" w:type="dxa"/>
          </w:tcPr>
          <w:p w:rsidR="001A7779" w:rsidRDefault="001A7779">
            <w:pPr>
              <w:tabs>
                <w:tab w:val="left" w:pos="630"/>
              </w:tabs>
              <w:spacing w:before="60" w:after="60" w:line="360" w:lineRule="exact"/>
              <w:jc w:val="center"/>
              <w:rPr>
                <w:sz w:val="18"/>
              </w:rPr>
            </w:pPr>
            <w:r>
              <w:rPr>
                <w:sz w:val="18"/>
              </w:rPr>
              <w:t>54 163</w:t>
            </w:r>
          </w:p>
        </w:tc>
        <w:tc>
          <w:tcPr>
            <w:tcW w:w="1460" w:type="dxa"/>
          </w:tcPr>
          <w:p w:rsidR="001A7779" w:rsidRDefault="001A7779">
            <w:pPr>
              <w:tabs>
                <w:tab w:val="left" w:pos="630"/>
              </w:tabs>
              <w:spacing w:before="60" w:after="60" w:line="360" w:lineRule="exact"/>
              <w:jc w:val="center"/>
              <w:rPr>
                <w:sz w:val="18"/>
              </w:rPr>
            </w:pPr>
            <w:r>
              <w:rPr>
                <w:sz w:val="18"/>
              </w:rPr>
              <w:t>59.3</w:t>
            </w:r>
          </w:p>
        </w:tc>
        <w:tc>
          <w:tcPr>
            <w:tcW w:w="1460" w:type="dxa"/>
            <w:tcBorders>
              <w:left w:val="nil"/>
            </w:tcBorders>
          </w:tcPr>
          <w:p w:rsidR="001A7779" w:rsidRDefault="001A7779">
            <w:pPr>
              <w:tabs>
                <w:tab w:val="left" w:pos="630"/>
              </w:tabs>
              <w:spacing w:before="60" w:after="60" w:line="360" w:lineRule="exact"/>
              <w:jc w:val="center"/>
              <w:rPr>
                <w:sz w:val="18"/>
              </w:rPr>
            </w:pPr>
            <w:r>
              <w:rPr>
                <w:sz w:val="18"/>
              </w:rPr>
              <w:t>11 608</w:t>
            </w:r>
          </w:p>
        </w:tc>
        <w:tc>
          <w:tcPr>
            <w:tcW w:w="1460" w:type="dxa"/>
          </w:tcPr>
          <w:p w:rsidR="001A7779" w:rsidRDefault="001A7779">
            <w:pPr>
              <w:tabs>
                <w:tab w:val="left" w:pos="630"/>
              </w:tabs>
              <w:spacing w:before="60" w:after="60" w:line="360" w:lineRule="exact"/>
              <w:jc w:val="center"/>
              <w:rPr>
                <w:sz w:val="18"/>
              </w:rPr>
            </w:pPr>
            <w:r>
              <w:rPr>
                <w:sz w:val="18"/>
              </w:rPr>
              <w:t>7 334</w:t>
            </w:r>
          </w:p>
        </w:tc>
        <w:tc>
          <w:tcPr>
            <w:tcW w:w="1460" w:type="dxa"/>
          </w:tcPr>
          <w:p w:rsidR="001A7779" w:rsidRDefault="001A7779">
            <w:pPr>
              <w:tabs>
                <w:tab w:val="left" w:pos="630"/>
              </w:tabs>
              <w:spacing w:before="60" w:after="60" w:line="360" w:lineRule="exact"/>
              <w:jc w:val="center"/>
              <w:rPr>
                <w:sz w:val="18"/>
              </w:rPr>
            </w:pPr>
            <w:r>
              <w:rPr>
                <w:sz w:val="18"/>
              </w:rPr>
              <w:t>63.2</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hint="eastAsia"/>
          <w:color w:val="FF0000"/>
        </w:rPr>
      </w:pPr>
    </w:p>
    <w:p w:rsidR="001A7779" w:rsidRDefault="001A7779">
      <w:pPr>
        <w:tabs>
          <w:tab w:val="left" w:pos="630"/>
        </w:tabs>
        <w:spacing w:after="240" w:line="360" w:lineRule="exact"/>
        <w:jc w:val="center"/>
        <w:rPr>
          <w:rFonts w:ascii="SimHei" w:eastAsia="SimHei" w:hint="eastAsia"/>
          <w:color w:val="FF0000"/>
        </w:rPr>
      </w:pP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24</w:t>
      </w:r>
      <w:r>
        <w:rPr>
          <w:rFonts w:ascii="SimHei" w:eastAsia="SimHei" w:hint="eastAsia"/>
          <w:color w:val="FF0000"/>
        </w:rPr>
        <w:t>：</w:t>
      </w:r>
      <w:r>
        <w:rPr>
          <w:rFonts w:ascii="SimHei" w:eastAsia="SimHei"/>
          <w:color w:val="FF0000"/>
        </w:rPr>
        <w:t xml:space="preserve">2004/2005 </w:t>
      </w:r>
      <w:r>
        <w:rPr>
          <w:rFonts w:ascii="SimHei" w:eastAsia="SimHei" w:hint="eastAsia"/>
          <w:color w:val="FF0000"/>
        </w:rPr>
        <w:t>年按教育专业和性别分列的学生</w:t>
      </w:r>
    </w:p>
    <w:tbl>
      <w:tblPr>
        <w:tblW w:w="984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1BF" w:firstRow="1" w:lastRow="0" w:firstColumn="1" w:lastColumn="1" w:noHBand="0" w:noVBand="0"/>
      </w:tblPr>
      <w:tblGrid>
        <w:gridCol w:w="4140"/>
        <w:gridCol w:w="1900"/>
        <w:gridCol w:w="1900"/>
        <w:gridCol w:w="1900"/>
      </w:tblGrid>
      <w:tr w:rsidR="001A7779">
        <w:tblPrEx>
          <w:tblCellMar>
            <w:top w:w="0" w:type="dxa"/>
            <w:bottom w:w="0" w:type="dxa"/>
          </w:tblCellMar>
        </w:tblPrEx>
        <w:tc>
          <w:tcPr>
            <w:tcW w:w="4140"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教育专业</w:t>
            </w:r>
          </w:p>
        </w:tc>
        <w:tc>
          <w:tcPr>
            <w:tcW w:w="190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90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90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共计</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91 229</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54 163</w:t>
            </w:r>
          </w:p>
        </w:tc>
        <w:tc>
          <w:tcPr>
            <w:tcW w:w="1900" w:type="dxa"/>
          </w:tcPr>
          <w:p w:rsidR="001A7779" w:rsidRDefault="001A7779">
            <w:pPr>
              <w:tabs>
                <w:tab w:val="left" w:pos="630"/>
              </w:tabs>
              <w:spacing w:before="60" w:after="60" w:line="360" w:lineRule="exact"/>
              <w:jc w:val="center"/>
              <w:rPr>
                <w:sz w:val="18"/>
              </w:rPr>
            </w:pPr>
            <w:r>
              <w:rPr>
                <w:sz w:val="18"/>
              </w:rPr>
              <w:t>59.4</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教育</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9 766</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7 883</w:t>
            </w:r>
          </w:p>
        </w:tc>
        <w:tc>
          <w:tcPr>
            <w:tcW w:w="1900" w:type="dxa"/>
          </w:tcPr>
          <w:p w:rsidR="001A7779" w:rsidRDefault="001A7779">
            <w:pPr>
              <w:tabs>
                <w:tab w:val="left" w:pos="630"/>
              </w:tabs>
              <w:spacing w:before="60" w:after="60" w:line="360" w:lineRule="exact"/>
              <w:jc w:val="center"/>
              <w:rPr>
                <w:sz w:val="18"/>
              </w:rPr>
            </w:pPr>
            <w:r>
              <w:rPr>
                <w:sz w:val="18"/>
              </w:rPr>
              <w:t>80.7</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人文与艺术</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7 651</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5 725</w:t>
            </w:r>
          </w:p>
        </w:tc>
        <w:tc>
          <w:tcPr>
            <w:tcW w:w="1900" w:type="dxa"/>
          </w:tcPr>
          <w:p w:rsidR="001A7779" w:rsidRDefault="001A7779">
            <w:pPr>
              <w:tabs>
                <w:tab w:val="left" w:pos="630"/>
              </w:tabs>
              <w:spacing w:before="60" w:after="60" w:line="360" w:lineRule="exact"/>
              <w:jc w:val="center"/>
              <w:rPr>
                <w:sz w:val="18"/>
              </w:rPr>
            </w:pPr>
            <w:r>
              <w:rPr>
                <w:sz w:val="18"/>
              </w:rPr>
              <w:t>74.8</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社会科学、商学和法学</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38 014</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24 498</w:t>
            </w:r>
          </w:p>
        </w:tc>
        <w:tc>
          <w:tcPr>
            <w:tcW w:w="1900" w:type="dxa"/>
          </w:tcPr>
          <w:p w:rsidR="001A7779" w:rsidRDefault="001A7779">
            <w:pPr>
              <w:tabs>
                <w:tab w:val="left" w:pos="630"/>
              </w:tabs>
              <w:spacing w:before="60" w:after="60" w:line="360" w:lineRule="exact"/>
              <w:jc w:val="center"/>
              <w:rPr>
                <w:sz w:val="18"/>
              </w:rPr>
            </w:pPr>
            <w:r>
              <w:rPr>
                <w:sz w:val="18"/>
              </w:rPr>
              <w:t>64.4</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科学、数学和计算机</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5 078</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1 635</w:t>
            </w:r>
          </w:p>
        </w:tc>
        <w:tc>
          <w:tcPr>
            <w:tcW w:w="1900" w:type="dxa"/>
          </w:tcPr>
          <w:p w:rsidR="001A7779" w:rsidRDefault="001A7779">
            <w:pPr>
              <w:tabs>
                <w:tab w:val="left" w:pos="630"/>
              </w:tabs>
              <w:spacing w:before="60" w:after="60" w:line="360" w:lineRule="exact"/>
              <w:jc w:val="center"/>
              <w:rPr>
                <w:sz w:val="18"/>
              </w:rPr>
            </w:pPr>
            <w:r>
              <w:rPr>
                <w:sz w:val="18"/>
              </w:rPr>
              <w:t>32.2</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工程业、制造业和建筑业</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14 165</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3 770</w:t>
            </w:r>
          </w:p>
        </w:tc>
        <w:tc>
          <w:tcPr>
            <w:tcW w:w="1900" w:type="dxa"/>
          </w:tcPr>
          <w:p w:rsidR="001A7779" w:rsidRDefault="001A7779">
            <w:pPr>
              <w:tabs>
                <w:tab w:val="left" w:pos="630"/>
              </w:tabs>
              <w:spacing w:before="60" w:after="60" w:line="360" w:lineRule="exact"/>
              <w:jc w:val="center"/>
              <w:rPr>
                <w:sz w:val="18"/>
              </w:rPr>
            </w:pPr>
            <w:r>
              <w:rPr>
                <w:sz w:val="18"/>
              </w:rPr>
              <w:t>26.6</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农业和兽医</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2 894</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1 604</w:t>
            </w:r>
          </w:p>
        </w:tc>
        <w:tc>
          <w:tcPr>
            <w:tcW w:w="1900" w:type="dxa"/>
          </w:tcPr>
          <w:p w:rsidR="001A7779" w:rsidRDefault="001A7779">
            <w:pPr>
              <w:tabs>
                <w:tab w:val="left" w:pos="630"/>
              </w:tabs>
              <w:spacing w:before="60" w:after="60" w:line="360" w:lineRule="exact"/>
              <w:jc w:val="center"/>
              <w:rPr>
                <w:sz w:val="18"/>
              </w:rPr>
            </w:pPr>
            <w:r>
              <w:rPr>
                <w:sz w:val="18"/>
              </w:rPr>
              <w:t>55.4</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卫生和福利</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7 565</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6 095</w:t>
            </w:r>
          </w:p>
        </w:tc>
        <w:tc>
          <w:tcPr>
            <w:tcW w:w="1900" w:type="dxa"/>
          </w:tcPr>
          <w:p w:rsidR="001A7779" w:rsidRDefault="001A7779">
            <w:pPr>
              <w:tabs>
                <w:tab w:val="left" w:pos="630"/>
              </w:tabs>
              <w:spacing w:before="60" w:after="60" w:line="360" w:lineRule="exact"/>
              <w:jc w:val="center"/>
              <w:rPr>
                <w:sz w:val="18"/>
              </w:rPr>
            </w:pPr>
            <w:r>
              <w:rPr>
                <w:sz w:val="18"/>
              </w:rPr>
              <w:t>80.6</w:t>
            </w:r>
          </w:p>
        </w:tc>
      </w:tr>
      <w:tr w:rsidR="001A7779">
        <w:tblPrEx>
          <w:tblCellMar>
            <w:top w:w="0" w:type="dxa"/>
            <w:bottom w:w="0" w:type="dxa"/>
          </w:tblCellMar>
        </w:tblPrEx>
        <w:tc>
          <w:tcPr>
            <w:tcW w:w="4140" w:type="dxa"/>
          </w:tcPr>
          <w:p w:rsidR="001A7779" w:rsidRDefault="001A7779">
            <w:pPr>
              <w:tabs>
                <w:tab w:val="left" w:pos="630"/>
              </w:tabs>
              <w:spacing w:before="60" w:after="60" w:line="360" w:lineRule="exact"/>
              <w:rPr>
                <w:sz w:val="18"/>
              </w:rPr>
            </w:pPr>
            <w:r>
              <w:rPr>
                <w:rFonts w:hint="eastAsia"/>
                <w:sz w:val="18"/>
              </w:rPr>
              <w:t>服务业</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6 096</w:t>
            </w:r>
          </w:p>
        </w:tc>
        <w:tc>
          <w:tcPr>
            <w:tcW w:w="1900" w:type="dxa"/>
          </w:tcPr>
          <w:p w:rsidR="001A7779" w:rsidRDefault="001A7779" w:rsidP="00B359E9">
            <w:pPr>
              <w:tabs>
                <w:tab w:val="left" w:pos="630"/>
              </w:tabs>
              <w:spacing w:before="60" w:after="60" w:line="360" w:lineRule="exact"/>
              <w:ind w:rightChars="271" w:right="31680"/>
              <w:jc w:val="right"/>
              <w:rPr>
                <w:sz w:val="18"/>
              </w:rPr>
            </w:pPr>
            <w:r>
              <w:rPr>
                <w:sz w:val="18"/>
              </w:rPr>
              <w:t>2 953</w:t>
            </w:r>
          </w:p>
        </w:tc>
        <w:tc>
          <w:tcPr>
            <w:tcW w:w="1900" w:type="dxa"/>
          </w:tcPr>
          <w:p w:rsidR="001A7779" w:rsidRDefault="001A7779">
            <w:pPr>
              <w:tabs>
                <w:tab w:val="left" w:pos="630"/>
              </w:tabs>
              <w:spacing w:before="60" w:after="60" w:line="360" w:lineRule="exact"/>
              <w:jc w:val="center"/>
              <w:rPr>
                <w:sz w:val="18"/>
              </w:rPr>
            </w:pPr>
            <w:r>
              <w:rPr>
                <w:sz w:val="18"/>
              </w:rPr>
              <w:t>48.4</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121</w:t>
      </w:r>
      <w:r>
        <w:rPr>
          <w:rFonts w:hint="eastAsia"/>
          <w:color w:val="000000"/>
          <w:sz w:val="18"/>
        </w:rPr>
        <w:t>号快报，斯洛文尼亚共和国统计局。</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25</w:t>
      </w:r>
      <w:r>
        <w:rPr>
          <w:rFonts w:ascii="SimHei" w:eastAsia="SimHei" w:hint="eastAsia"/>
          <w:color w:val="FF0000"/>
        </w:rPr>
        <w:t>：2004年按教育专业和性别分列的研究生</w:t>
      </w:r>
    </w:p>
    <w:tbl>
      <w:tblPr>
        <w:tblW w:w="984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1BF" w:firstRow="1" w:lastRow="0" w:firstColumn="1" w:lastColumn="1" w:noHBand="0" w:noVBand="0"/>
      </w:tblPr>
      <w:tblGrid>
        <w:gridCol w:w="4192"/>
        <w:gridCol w:w="1882"/>
        <w:gridCol w:w="1883"/>
        <w:gridCol w:w="1883"/>
      </w:tblGrid>
      <w:tr w:rsidR="001A7779">
        <w:tblPrEx>
          <w:tblCellMar>
            <w:top w:w="0" w:type="dxa"/>
            <w:bottom w:w="0" w:type="dxa"/>
          </w:tblCellMar>
        </w:tblPrEx>
        <w:tc>
          <w:tcPr>
            <w:tcW w:w="4192"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教育专业</w:t>
            </w:r>
          </w:p>
        </w:tc>
        <w:tc>
          <w:tcPr>
            <w:tcW w:w="1882"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1883"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w:t>
            </w:r>
          </w:p>
        </w:tc>
        <w:tc>
          <w:tcPr>
            <w:tcW w:w="1883"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女生所占比例</w:t>
            </w:r>
            <w:r>
              <w:rPr>
                <w:rFonts w:ascii="SimHei" w:eastAsia="SimHei"/>
                <w:color w:val="FF0000"/>
                <w:sz w:val="18"/>
              </w:rPr>
              <w:t>%</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共计</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11 608</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7 334</w:t>
            </w:r>
          </w:p>
        </w:tc>
        <w:tc>
          <w:tcPr>
            <w:tcW w:w="1883" w:type="dxa"/>
          </w:tcPr>
          <w:p w:rsidR="001A7779" w:rsidRDefault="001A7779">
            <w:pPr>
              <w:tabs>
                <w:tab w:val="left" w:pos="630"/>
              </w:tabs>
              <w:spacing w:before="60" w:after="60" w:line="360" w:lineRule="exact"/>
              <w:jc w:val="center"/>
              <w:rPr>
                <w:sz w:val="18"/>
              </w:rPr>
            </w:pPr>
            <w:r>
              <w:rPr>
                <w:sz w:val="18"/>
              </w:rPr>
              <w:t>63.2</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教育</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1 407</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1 209</w:t>
            </w:r>
          </w:p>
        </w:tc>
        <w:tc>
          <w:tcPr>
            <w:tcW w:w="1883" w:type="dxa"/>
          </w:tcPr>
          <w:p w:rsidR="001A7779" w:rsidRDefault="001A7779">
            <w:pPr>
              <w:tabs>
                <w:tab w:val="left" w:pos="630"/>
              </w:tabs>
              <w:spacing w:before="60" w:after="60" w:line="360" w:lineRule="exact"/>
              <w:jc w:val="center"/>
              <w:rPr>
                <w:sz w:val="18"/>
              </w:rPr>
            </w:pPr>
            <w:r>
              <w:rPr>
                <w:sz w:val="18"/>
              </w:rPr>
              <w:t>85.9</w:t>
            </w:r>
          </w:p>
        </w:tc>
      </w:tr>
      <w:tr w:rsidR="001A7779">
        <w:tblPrEx>
          <w:tblCellMar>
            <w:top w:w="0" w:type="dxa"/>
            <w:bottom w:w="0" w:type="dxa"/>
          </w:tblCellMar>
        </w:tblPrEx>
        <w:trPr>
          <w:trHeight w:val="315"/>
        </w:trPr>
        <w:tc>
          <w:tcPr>
            <w:tcW w:w="4192" w:type="dxa"/>
          </w:tcPr>
          <w:p w:rsidR="001A7779" w:rsidRDefault="001A7779">
            <w:pPr>
              <w:tabs>
                <w:tab w:val="left" w:pos="630"/>
              </w:tabs>
              <w:spacing w:before="60" w:after="60" w:line="360" w:lineRule="exact"/>
              <w:rPr>
                <w:sz w:val="18"/>
              </w:rPr>
            </w:pPr>
            <w:r>
              <w:rPr>
                <w:rFonts w:hint="eastAsia"/>
                <w:sz w:val="18"/>
              </w:rPr>
              <w:t>人文与艺术</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692</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510</w:t>
            </w:r>
          </w:p>
        </w:tc>
        <w:tc>
          <w:tcPr>
            <w:tcW w:w="1883" w:type="dxa"/>
          </w:tcPr>
          <w:p w:rsidR="001A7779" w:rsidRDefault="001A7779">
            <w:pPr>
              <w:tabs>
                <w:tab w:val="left" w:pos="630"/>
              </w:tabs>
              <w:spacing w:before="60" w:after="60" w:line="360" w:lineRule="exact"/>
              <w:jc w:val="center"/>
              <w:rPr>
                <w:sz w:val="18"/>
              </w:rPr>
            </w:pPr>
            <w:r>
              <w:rPr>
                <w:sz w:val="18"/>
              </w:rPr>
              <w:t>74.0</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社会科学、商学和法学</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5 237</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3 554</w:t>
            </w:r>
          </w:p>
        </w:tc>
        <w:tc>
          <w:tcPr>
            <w:tcW w:w="1883" w:type="dxa"/>
          </w:tcPr>
          <w:p w:rsidR="001A7779" w:rsidRDefault="001A7779">
            <w:pPr>
              <w:tabs>
                <w:tab w:val="left" w:pos="630"/>
              </w:tabs>
              <w:spacing w:before="60" w:after="60" w:line="360" w:lineRule="exact"/>
              <w:jc w:val="center"/>
              <w:rPr>
                <w:sz w:val="18"/>
              </w:rPr>
            </w:pPr>
            <w:r>
              <w:rPr>
                <w:sz w:val="18"/>
              </w:rPr>
              <w:t>67.9</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科学、数学和计算机</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407</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163</w:t>
            </w:r>
          </w:p>
        </w:tc>
        <w:tc>
          <w:tcPr>
            <w:tcW w:w="1883" w:type="dxa"/>
          </w:tcPr>
          <w:p w:rsidR="001A7779" w:rsidRDefault="001A7779">
            <w:pPr>
              <w:tabs>
                <w:tab w:val="left" w:pos="630"/>
              </w:tabs>
              <w:spacing w:before="60" w:after="60" w:line="360" w:lineRule="exact"/>
              <w:jc w:val="center"/>
              <w:rPr>
                <w:sz w:val="18"/>
              </w:rPr>
            </w:pPr>
            <w:r>
              <w:rPr>
                <w:sz w:val="18"/>
              </w:rPr>
              <w:t>40.0</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工程业、制造业和建筑业</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1 500</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396</w:t>
            </w:r>
          </w:p>
        </w:tc>
        <w:tc>
          <w:tcPr>
            <w:tcW w:w="1883" w:type="dxa"/>
          </w:tcPr>
          <w:p w:rsidR="001A7779" w:rsidRDefault="001A7779">
            <w:pPr>
              <w:tabs>
                <w:tab w:val="left" w:pos="630"/>
              </w:tabs>
              <w:spacing w:before="60" w:after="60" w:line="360" w:lineRule="exact"/>
              <w:jc w:val="center"/>
              <w:rPr>
                <w:sz w:val="18"/>
              </w:rPr>
            </w:pPr>
            <w:r>
              <w:rPr>
                <w:sz w:val="18"/>
              </w:rPr>
              <w:t>26.4</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农业和兽医</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319</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188</w:t>
            </w:r>
          </w:p>
        </w:tc>
        <w:tc>
          <w:tcPr>
            <w:tcW w:w="1883" w:type="dxa"/>
          </w:tcPr>
          <w:p w:rsidR="001A7779" w:rsidRDefault="001A7779">
            <w:pPr>
              <w:tabs>
                <w:tab w:val="left" w:pos="630"/>
              </w:tabs>
              <w:spacing w:before="60" w:after="60" w:line="360" w:lineRule="exact"/>
              <w:jc w:val="center"/>
              <w:rPr>
                <w:sz w:val="18"/>
              </w:rPr>
            </w:pPr>
            <w:r>
              <w:rPr>
                <w:sz w:val="18"/>
              </w:rPr>
              <w:t>58.9</w:t>
            </w:r>
          </w:p>
        </w:tc>
      </w:tr>
      <w:tr w:rsidR="001A7779">
        <w:tblPrEx>
          <w:tblCellMar>
            <w:top w:w="0" w:type="dxa"/>
            <w:bottom w:w="0" w:type="dxa"/>
          </w:tblCellMar>
        </w:tblPrEx>
        <w:trPr>
          <w:trHeight w:val="315"/>
        </w:trPr>
        <w:tc>
          <w:tcPr>
            <w:tcW w:w="4192" w:type="dxa"/>
          </w:tcPr>
          <w:p w:rsidR="001A7779" w:rsidRDefault="001A7779">
            <w:pPr>
              <w:tabs>
                <w:tab w:val="left" w:pos="630"/>
              </w:tabs>
              <w:spacing w:before="60" w:after="60" w:line="360" w:lineRule="exact"/>
              <w:rPr>
                <w:sz w:val="18"/>
              </w:rPr>
            </w:pPr>
            <w:r>
              <w:rPr>
                <w:rFonts w:hint="eastAsia"/>
                <w:sz w:val="18"/>
              </w:rPr>
              <w:t>卫生和福利</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1 261</w:t>
            </w:r>
          </w:p>
        </w:tc>
        <w:tc>
          <w:tcPr>
            <w:tcW w:w="1883" w:type="dxa"/>
          </w:tcPr>
          <w:p w:rsidR="001A7779" w:rsidRDefault="001A7779" w:rsidP="00B359E9">
            <w:pPr>
              <w:tabs>
                <w:tab w:val="left" w:pos="630"/>
              </w:tabs>
              <w:spacing w:before="60" w:after="60" w:line="360" w:lineRule="exact"/>
              <w:ind w:rightChars="287" w:right="31680"/>
              <w:jc w:val="right"/>
              <w:rPr>
                <w:sz w:val="18"/>
              </w:rPr>
            </w:pPr>
            <w:r>
              <w:rPr>
                <w:sz w:val="18"/>
              </w:rPr>
              <w:t>1 049</w:t>
            </w:r>
          </w:p>
        </w:tc>
        <w:tc>
          <w:tcPr>
            <w:tcW w:w="1883" w:type="dxa"/>
          </w:tcPr>
          <w:p w:rsidR="001A7779" w:rsidRDefault="001A7779">
            <w:pPr>
              <w:tabs>
                <w:tab w:val="left" w:pos="630"/>
              </w:tabs>
              <w:spacing w:before="60" w:after="60" w:line="360" w:lineRule="exact"/>
              <w:jc w:val="center"/>
              <w:rPr>
                <w:sz w:val="18"/>
              </w:rPr>
            </w:pPr>
            <w:r>
              <w:rPr>
                <w:sz w:val="18"/>
              </w:rPr>
              <w:t>83.2</w:t>
            </w:r>
          </w:p>
        </w:tc>
      </w:tr>
      <w:tr w:rsidR="001A7779">
        <w:tblPrEx>
          <w:tblCellMar>
            <w:top w:w="0" w:type="dxa"/>
            <w:bottom w:w="0" w:type="dxa"/>
          </w:tblCellMar>
        </w:tblPrEx>
        <w:trPr>
          <w:trHeight w:val="331"/>
        </w:trPr>
        <w:tc>
          <w:tcPr>
            <w:tcW w:w="4192" w:type="dxa"/>
          </w:tcPr>
          <w:p w:rsidR="001A7779" w:rsidRDefault="001A7779">
            <w:pPr>
              <w:tabs>
                <w:tab w:val="left" w:pos="630"/>
              </w:tabs>
              <w:spacing w:before="60" w:after="60" w:line="360" w:lineRule="exact"/>
              <w:rPr>
                <w:sz w:val="18"/>
              </w:rPr>
            </w:pPr>
            <w:r>
              <w:rPr>
                <w:rFonts w:hint="eastAsia"/>
                <w:sz w:val="18"/>
              </w:rPr>
              <w:t>服务业</w:t>
            </w:r>
          </w:p>
        </w:tc>
        <w:tc>
          <w:tcPr>
            <w:tcW w:w="1882" w:type="dxa"/>
          </w:tcPr>
          <w:p w:rsidR="001A7779" w:rsidRDefault="001A7779" w:rsidP="00B359E9">
            <w:pPr>
              <w:tabs>
                <w:tab w:val="left" w:pos="630"/>
              </w:tabs>
              <w:spacing w:before="60" w:after="60" w:line="360" w:lineRule="exact"/>
              <w:ind w:rightChars="287" w:right="31680"/>
              <w:jc w:val="right"/>
              <w:rPr>
                <w:sz w:val="18"/>
              </w:rPr>
            </w:pPr>
            <w:r>
              <w:rPr>
                <w:sz w:val="18"/>
              </w:rPr>
              <w:t>695</w:t>
            </w:r>
          </w:p>
        </w:tc>
        <w:tc>
          <w:tcPr>
            <w:tcW w:w="1883"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87" w:right="31680"/>
              <w:jc w:val="right"/>
            </w:pPr>
            <w:r>
              <w:t>265</w:t>
            </w:r>
          </w:p>
        </w:tc>
        <w:tc>
          <w:tcPr>
            <w:tcW w:w="1883" w:type="dxa"/>
          </w:tcPr>
          <w:p w:rsidR="001A7779" w:rsidRDefault="001A7779">
            <w:pPr>
              <w:tabs>
                <w:tab w:val="left" w:pos="630"/>
              </w:tabs>
              <w:spacing w:before="60" w:after="60" w:line="360" w:lineRule="exact"/>
              <w:jc w:val="center"/>
              <w:rPr>
                <w:sz w:val="18"/>
              </w:rPr>
            </w:pPr>
            <w:r>
              <w:rPr>
                <w:sz w:val="18"/>
              </w:rPr>
              <w:t>38.1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1</w:t>
      </w:r>
      <w:r>
        <w:rPr>
          <w:rFonts w:hint="eastAsia"/>
          <w:color w:val="000000"/>
          <w:sz w:val="18"/>
        </w:rPr>
        <w:t>42</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26</w:t>
      </w:r>
      <w:r>
        <w:rPr>
          <w:rFonts w:ascii="SimHei" w:eastAsia="SimHei" w:hint="eastAsia"/>
          <w:color w:val="FF0000"/>
        </w:rPr>
        <w:t>：</w:t>
      </w:r>
      <w:r>
        <w:rPr>
          <w:rFonts w:ascii="SimHei" w:eastAsia="SimHei"/>
          <w:color w:val="FF0000"/>
        </w:rPr>
        <w:t xml:space="preserve">2001 </w:t>
      </w:r>
      <w:r>
        <w:rPr>
          <w:rFonts w:ascii="SimHei" w:eastAsia="SimHei" w:hint="eastAsia"/>
          <w:color w:val="FF0000"/>
        </w:rPr>
        <w:t>-</w:t>
      </w:r>
      <w:r>
        <w:rPr>
          <w:rFonts w:ascii="SimHei" w:eastAsia="SimHei"/>
          <w:color w:val="FF0000"/>
        </w:rPr>
        <w:t xml:space="preserve">2004 </w:t>
      </w:r>
      <w:r>
        <w:rPr>
          <w:rFonts w:ascii="SimHei" w:eastAsia="SimHei" w:hint="eastAsia"/>
          <w:color w:val="FF0000"/>
        </w:rPr>
        <w:t>年按性别分列的理科博士、硕士和专家</w:t>
      </w:r>
    </w:p>
    <w:tbl>
      <w:tblPr>
        <w:tblW w:w="99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1480"/>
        <w:gridCol w:w="1480"/>
        <w:gridCol w:w="1480"/>
        <w:gridCol w:w="1480"/>
        <w:gridCol w:w="1480"/>
        <w:gridCol w:w="1480"/>
      </w:tblGrid>
      <w:tr w:rsidR="001A7779">
        <w:tblPrEx>
          <w:tblCellMar>
            <w:top w:w="0" w:type="dxa"/>
            <w:bottom w:w="0" w:type="dxa"/>
          </w:tblCellMar>
        </w:tblPrEx>
        <w:tc>
          <w:tcPr>
            <w:tcW w:w="1080" w:type="dxa"/>
          </w:tcPr>
          <w:p w:rsidR="001A7779" w:rsidRDefault="001A7779">
            <w:pPr>
              <w:tabs>
                <w:tab w:val="left" w:pos="630"/>
              </w:tabs>
              <w:spacing w:before="60" w:after="60" w:line="320" w:lineRule="exact"/>
              <w:rPr>
                <w:rFonts w:ascii="SimHei" w:eastAsia="SimHei"/>
                <w:color w:val="FF0000"/>
                <w:sz w:val="18"/>
              </w:rPr>
            </w:pP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博士总数</w:t>
            </w: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女博士人数</w:t>
            </w: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硕士和专家总数</w:t>
            </w: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女硕士和女专家人数</w:t>
            </w:r>
          </w:p>
        </w:tc>
        <w:tc>
          <w:tcPr>
            <w:tcW w:w="1480" w:type="dxa"/>
          </w:tcPr>
          <w:p w:rsidR="001A7779" w:rsidRDefault="001A7779">
            <w:pPr>
              <w:tabs>
                <w:tab w:val="left" w:pos="630"/>
              </w:tabs>
              <w:spacing w:before="60" w:after="60" w:line="32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rFonts w:hint="eastAsia"/>
                <w:sz w:val="18"/>
              </w:rPr>
            </w:pPr>
            <w:r>
              <w:rPr>
                <w:sz w:val="18"/>
              </w:rPr>
              <w:t>2001</w:t>
            </w:r>
            <w:r>
              <w:rPr>
                <w:rFonts w:hint="eastAsia"/>
                <w:sz w:val="18"/>
              </w:rPr>
              <w:t>年</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298</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146</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49.0</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905</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454</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50.2</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2002</w:t>
            </w:r>
            <w:r>
              <w:rPr>
                <w:rFonts w:hint="eastAsia"/>
                <w:sz w:val="18"/>
              </w:rPr>
              <w:t>年</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318</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144</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45.3</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1 058</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572</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54.1</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2003</w:t>
            </w:r>
            <w:r>
              <w:rPr>
                <w:rFonts w:hint="eastAsia"/>
                <w:sz w:val="18"/>
              </w:rPr>
              <w:t>年</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367</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152</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41.4</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1 082</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570</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52.7</w:t>
            </w:r>
          </w:p>
        </w:tc>
      </w:tr>
      <w:tr w:rsidR="001A7779">
        <w:tblPrEx>
          <w:tblCellMar>
            <w:top w:w="0" w:type="dxa"/>
            <w:bottom w:w="0" w:type="dxa"/>
          </w:tblCellMar>
        </w:tblPrEx>
        <w:tc>
          <w:tcPr>
            <w:tcW w:w="1080" w:type="dxa"/>
          </w:tcPr>
          <w:p w:rsidR="001A7779" w:rsidRDefault="001A7779">
            <w:pPr>
              <w:tabs>
                <w:tab w:val="left" w:pos="630"/>
              </w:tabs>
              <w:spacing w:before="60" w:after="60" w:line="360" w:lineRule="exact"/>
              <w:rPr>
                <w:sz w:val="18"/>
              </w:rPr>
            </w:pPr>
            <w:r>
              <w:rPr>
                <w:sz w:val="18"/>
              </w:rPr>
              <w:t>2004</w:t>
            </w:r>
            <w:r>
              <w:rPr>
                <w:rFonts w:hint="eastAsia"/>
                <w:sz w:val="18"/>
              </w:rPr>
              <w:t>年</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355</w:t>
            </w:r>
          </w:p>
        </w:tc>
        <w:tc>
          <w:tcPr>
            <w:tcW w:w="1480"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157" w:right="31680"/>
              <w:jc w:val="right"/>
            </w:pPr>
            <w:r>
              <w:t>144</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40.6</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1 056</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596</w:t>
            </w:r>
          </w:p>
        </w:tc>
        <w:tc>
          <w:tcPr>
            <w:tcW w:w="1480" w:type="dxa"/>
          </w:tcPr>
          <w:p w:rsidR="001A7779" w:rsidRDefault="001A7779" w:rsidP="00B359E9">
            <w:pPr>
              <w:tabs>
                <w:tab w:val="left" w:pos="630"/>
              </w:tabs>
              <w:spacing w:before="60" w:after="60" w:line="360" w:lineRule="exact"/>
              <w:ind w:rightChars="157" w:right="31680"/>
              <w:jc w:val="right"/>
              <w:rPr>
                <w:sz w:val="18"/>
              </w:rPr>
            </w:pPr>
            <w:r>
              <w:rPr>
                <w:sz w:val="18"/>
              </w:rPr>
              <w:t>56.4</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27</w:t>
      </w:r>
      <w:r>
        <w:rPr>
          <w:rFonts w:ascii="SimHei" w:eastAsia="SimHei" w:hint="eastAsia"/>
          <w:color w:val="FF0000"/>
        </w:rPr>
        <w:t>：2004年底按奖学金种类分列的领受奖学金的中小学生和大学生</w:t>
      </w: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8"/>
        <w:gridCol w:w="2468"/>
        <w:gridCol w:w="2468"/>
        <w:gridCol w:w="2466"/>
      </w:tblGrid>
      <w:tr w:rsidR="001A7779">
        <w:tblPrEx>
          <w:tblCellMar>
            <w:top w:w="0" w:type="dxa"/>
            <w:bottom w:w="0" w:type="dxa"/>
          </w:tblCellMar>
        </w:tblPrEx>
        <w:tc>
          <w:tcPr>
            <w:tcW w:w="1269" w:type="pct"/>
          </w:tcPr>
          <w:p w:rsidR="001A7779" w:rsidRDefault="001A7779">
            <w:pPr>
              <w:tabs>
                <w:tab w:val="left" w:pos="630"/>
              </w:tabs>
              <w:spacing w:before="60" w:after="60" w:line="360" w:lineRule="exact"/>
              <w:rPr>
                <w:rFonts w:ascii="SimHei" w:eastAsia="SimHei"/>
                <w:color w:val="FF0000"/>
                <w:sz w:val="18"/>
              </w:rPr>
            </w:pPr>
            <w:r>
              <w:rPr>
                <w:rFonts w:ascii="SimHei" w:eastAsia="SimHei"/>
                <w:color w:val="FF0000"/>
                <w:sz w:val="18"/>
              </w:rPr>
              <w:tab/>
            </w:r>
          </w:p>
        </w:tc>
        <w:tc>
          <w:tcPr>
            <w:tcW w:w="124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奖学金总数</w:t>
            </w:r>
          </w:p>
        </w:tc>
        <w:tc>
          <w:tcPr>
            <w:tcW w:w="1244"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赞助奖学金</w:t>
            </w:r>
          </w:p>
        </w:tc>
        <w:tc>
          <w:tcPr>
            <w:tcW w:w="1243" w:type="pct"/>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国家奖学金和</w:t>
            </w:r>
            <w:r>
              <w:rPr>
                <w:rFonts w:ascii="SimHei" w:eastAsia="SimHei"/>
                <w:color w:val="FF0000"/>
                <w:sz w:val="18"/>
              </w:rPr>
              <w:t xml:space="preserve">Zois </w:t>
            </w:r>
            <w:r>
              <w:rPr>
                <w:rFonts w:ascii="SimHei" w:eastAsia="SimHei" w:hint="eastAsia"/>
                <w:color w:val="FF0000"/>
                <w:sz w:val="18"/>
              </w:rPr>
              <w:t>奖学金</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领受奖学金学生总数</w:t>
            </w:r>
          </w:p>
        </w:tc>
        <w:tc>
          <w:tcPr>
            <w:tcW w:w="1244" w:type="pct"/>
            <w:vAlign w:val="bottom"/>
          </w:tcPr>
          <w:p w:rsidR="001A7779" w:rsidRDefault="001A7779">
            <w:pPr>
              <w:tabs>
                <w:tab w:val="left" w:pos="630"/>
              </w:tabs>
              <w:spacing w:before="60" w:after="60" w:line="360" w:lineRule="exact"/>
              <w:jc w:val="center"/>
              <w:rPr>
                <w:sz w:val="18"/>
              </w:rPr>
            </w:pPr>
            <w:r>
              <w:rPr>
                <w:sz w:val="18"/>
              </w:rPr>
              <w:t>60 691</w:t>
            </w:r>
          </w:p>
        </w:tc>
        <w:tc>
          <w:tcPr>
            <w:tcW w:w="1244" w:type="pct"/>
            <w:vAlign w:val="bottom"/>
          </w:tcPr>
          <w:p w:rsidR="001A7779" w:rsidRDefault="001A7779">
            <w:pPr>
              <w:pStyle w:val="Header"/>
              <w:pBdr>
                <w:bottom w:val="none" w:sz="0" w:space="0" w:color="auto"/>
              </w:pBdr>
              <w:tabs>
                <w:tab w:val="clear" w:pos="4320"/>
                <w:tab w:val="clear" w:pos="8640"/>
                <w:tab w:val="left" w:pos="630"/>
              </w:tabs>
              <w:spacing w:before="60" w:after="60" w:line="360" w:lineRule="exact"/>
            </w:pPr>
            <w:r>
              <w:t>7 077</w:t>
            </w:r>
          </w:p>
        </w:tc>
        <w:tc>
          <w:tcPr>
            <w:tcW w:w="1243" w:type="pct"/>
            <w:vAlign w:val="bottom"/>
          </w:tcPr>
          <w:p w:rsidR="001A7779" w:rsidRDefault="001A7779">
            <w:pPr>
              <w:tabs>
                <w:tab w:val="left" w:pos="630"/>
              </w:tabs>
              <w:spacing w:before="60" w:after="60" w:line="360" w:lineRule="exact"/>
              <w:jc w:val="center"/>
              <w:rPr>
                <w:sz w:val="18"/>
              </w:rPr>
            </w:pPr>
            <w:r>
              <w:rPr>
                <w:sz w:val="18"/>
              </w:rPr>
              <w:t>53 579</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w:t>
            </w:r>
          </w:p>
        </w:tc>
        <w:tc>
          <w:tcPr>
            <w:tcW w:w="1244" w:type="pct"/>
          </w:tcPr>
          <w:p w:rsidR="001A7779" w:rsidRDefault="001A7779">
            <w:pPr>
              <w:pStyle w:val="Header"/>
              <w:pBdr>
                <w:bottom w:val="none" w:sz="0" w:space="0" w:color="auto"/>
              </w:pBdr>
              <w:tabs>
                <w:tab w:val="clear" w:pos="4320"/>
                <w:tab w:val="clear" w:pos="8640"/>
                <w:tab w:val="left" w:pos="630"/>
              </w:tabs>
              <w:spacing w:before="60" w:after="60" w:line="360" w:lineRule="exact"/>
            </w:pPr>
            <w:r>
              <w:t>33 187</w:t>
            </w:r>
          </w:p>
        </w:tc>
        <w:tc>
          <w:tcPr>
            <w:tcW w:w="1244" w:type="pct"/>
          </w:tcPr>
          <w:p w:rsidR="001A7779" w:rsidRDefault="001A7779">
            <w:pPr>
              <w:tabs>
                <w:tab w:val="left" w:pos="630"/>
              </w:tabs>
              <w:spacing w:before="60" w:after="60" w:line="360" w:lineRule="exact"/>
              <w:jc w:val="center"/>
              <w:rPr>
                <w:sz w:val="18"/>
              </w:rPr>
            </w:pPr>
            <w:r>
              <w:rPr>
                <w:sz w:val="18"/>
              </w:rPr>
              <w:t>2 671</w:t>
            </w:r>
          </w:p>
        </w:tc>
        <w:tc>
          <w:tcPr>
            <w:tcW w:w="1243" w:type="pct"/>
          </w:tcPr>
          <w:p w:rsidR="001A7779" w:rsidRDefault="001A7779">
            <w:pPr>
              <w:tabs>
                <w:tab w:val="left" w:pos="630"/>
              </w:tabs>
              <w:spacing w:before="60" w:after="60" w:line="360" w:lineRule="exact"/>
              <w:jc w:val="center"/>
              <w:rPr>
                <w:sz w:val="18"/>
              </w:rPr>
            </w:pPr>
            <w:r>
              <w:rPr>
                <w:sz w:val="18"/>
              </w:rPr>
              <w:t>30 516</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女生所占比例</w:t>
            </w:r>
            <w:r>
              <w:rPr>
                <w:sz w:val="18"/>
              </w:rPr>
              <w:t xml:space="preserve">% </w:t>
            </w:r>
          </w:p>
        </w:tc>
        <w:tc>
          <w:tcPr>
            <w:tcW w:w="1244" w:type="pct"/>
          </w:tcPr>
          <w:p w:rsidR="001A7779" w:rsidRDefault="001A7779">
            <w:pPr>
              <w:tabs>
                <w:tab w:val="left" w:pos="630"/>
              </w:tabs>
              <w:spacing w:before="60" w:after="60" w:line="360" w:lineRule="exact"/>
              <w:jc w:val="center"/>
              <w:rPr>
                <w:sz w:val="18"/>
              </w:rPr>
            </w:pPr>
            <w:r>
              <w:rPr>
                <w:sz w:val="18"/>
              </w:rPr>
              <w:t>54.7</w:t>
            </w:r>
          </w:p>
        </w:tc>
        <w:tc>
          <w:tcPr>
            <w:tcW w:w="1244" w:type="pct"/>
          </w:tcPr>
          <w:p w:rsidR="001A7779" w:rsidRDefault="001A7779">
            <w:pPr>
              <w:tabs>
                <w:tab w:val="left" w:pos="630"/>
              </w:tabs>
              <w:spacing w:before="60" w:after="60" w:line="360" w:lineRule="exact"/>
              <w:jc w:val="center"/>
              <w:rPr>
                <w:sz w:val="18"/>
              </w:rPr>
            </w:pPr>
            <w:r>
              <w:rPr>
                <w:sz w:val="18"/>
              </w:rPr>
              <w:t>37.7</w:t>
            </w:r>
          </w:p>
        </w:tc>
        <w:tc>
          <w:tcPr>
            <w:tcW w:w="1243" w:type="pct"/>
          </w:tcPr>
          <w:p w:rsidR="001A7779" w:rsidRDefault="001A7779">
            <w:pPr>
              <w:tabs>
                <w:tab w:val="left" w:pos="630"/>
              </w:tabs>
              <w:spacing w:before="60" w:after="60" w:line="360" w:lineRule="exact"/>
              <w:jc w:val="center"/>
              <w:rPr>
                <w:sz w:val="18"/>
              </w:rPr>
            </w:pPr>
            <w:r>
              <w:rPr>
                <w:sz w:val="18"/>
              </w:rPr>
              <w:t>56.9</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大学生总数</w:t>
            </w:r>
          </w:p>
        </w:tc>
        <w:tc>
          <w:tcPr>
            <w:tcW w:w="1244" w:type="pct"/>
          </w:tcPr>
          <w:p w:rsidR="001A7779" w:rsidRDefault="001A7779">
            <w:pPr>
              <w:tabs>
                <w:tab w:val="left" w:pos="630"/>
              </w:tabs>
              <w:spacing w:before="60" w:after="60" w:line="360" w:lineRule="exact"/>
              <w:jc w:val="center"/>
              <w:rPr>
                <w:sz w:val="18"/>
              </w:rPr>
            </w:pPr>
            <w:r>
              <w:rPr>
                <w:sz w:val="18"/>
              </w:rPr>
              <w:t>24 016</w:t>
            </w:r>
          </w:p>
        </w:tc>
        <w:tc>
          <w:tcPr>
            <w:tcW w:w="1244" w:type="pct"/>
          </w:tcPr>
          <w:p w:rsidR="001A7779" w:rsidRDefault="001A7779">
            <w:pPr>
              <w:tabs>
                <w:tab w:val="left" w:pos="630"/>
              </w:tabs>
              <w:spacing w:before="60" w:after="60" w:line="360" w:lineRule="exact"/>
              <w:jc w:val="center"/>
              <w:rPr>
                <w:sz w:val="18"/>
              </w:rPr>
            </w:pPr>
            <w:r>
              <w:rPr>
                <w:sz w:val="18"/>
              </w:rPr>
              <w:t>4 449</w:t>
            </w:r>
          </w:p>
        </w:tc>
        <w:tc>
          <w:tcPr>
            <w:tcW w:w="1243" w:type="pct"/>
          </w:tcPr>
          <w:p w:rsidR="001A7779" w:rsidRDefault="001A7779">
            <w:pPr>
              <w:tabs>
                <w:tab w:val="left" w:pos="630"/>
              </w:tabs>
              <w:spacing w:before="60" w:after="60" w:line="360" w:lineRule="exact"/>
              <w:jc w:val="center"/>
              <w:rPr>
                <w:sz w:val="18"/>
              </w:rPr>
            </w:pPr>
            <w:r>
              <w:rPr>
                <w:sz w:val="18"/>
              </w:rPr>
              <w:t>19 567</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w:t>
            </w:r>
          </w:p>
        </w:tc>
        <w:tc>
          <w:tcPr>
            <w:tcW w:w="1244" w:type="pct"/>
          </w:tcPr>
          <w:p w:rsidR="001A7779" w:rsidRDefault="001A7779">
            <w:pPr>
              <w:tabs>
                <w:tab w:val="left" w:pos="630"/>
              </w:tabs>
              <w:spacing w:before="60" w:after="60" w:line="360" w:lineRule="exact"/>
              <w:jc w:val="center"/>
              <w:rPr>
                <w:sz w:val="18"/>
              </w:rPr>
            </w:pPr>
            <w:r>
              <w:rPr>
                <w:sz w:val="18"/>
              </w:rPr>
              <w:t>14 444</w:t>
            </w:r>
          </w:p>
        </w:tc>
        <w:tc>
          <w:tcPr>
            <w:tcW w:w="1244" w:type="pct"/>
          </w:tcPr>
          <w:p w:rsidR="001A7779" w:rsidRDefault="001A7779">
            <w:pPr>
              <w:tabs>
                <w:tab w:val="left" w:pos="630"/>
              </w:tabs>
              <w:spacing w:before="60" w:after="60" w:line="360" w:lineRule="exact"/>
              <w:jc w:val="center"/>
              <w:rPr>
                <w:sz w:val="18"/>
              </w:rPr>
            </w:pPr>
            <w:r>
              <w:rPr>
                <w:sz w:val="18"/>
              </w:rPr>
              <w:t>1 970</w:t>
            </w:r>
          </w:p>
        </w:tc>
        <w:tc>
          <w:tcPr>
            <w:tcW w:w="1243" w:type="pct"/>
          </w:tcPr>
          <w:p w:rsidR="001A7779" w:rsidRDefault="001A7779">
            <w:pPr>
              <w:tabs>
                <w:tab w:val="left" w:pos="630"/>
              </w:tabs>
              <w:spacing w:before="60" w:after="60" w:line="360" w:lineRule="exact"/>
              <w:jc w:val="center"/>
              <w:rPr>
                <w:sz w:val="18"/>
              </w:rPr>
            </w:pPr>
            <w:r>
              <w:rPr>
                <w:sz w:val="18"/>
              </w:rPr>
              <w:t>12 474</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女生所占比例</w:t>
            </w:r>
            <w:r>
              <w:rPr>
                <w:sz w:val="18"/>
              </w:rPr>
              <w:t>%</w:t>
            </w:r>
          </w:p>
        </w:tc>
        <w:tc>
          <w:tcPr>
            <w:tcW w:w="1244" w:type="pct"/>
          </w:tcPr>
          <w:p w:rsidR="001A7779" w:rsidRDefault="001A7779">
            <w:pPr>
              <w:tabs>
                <w:tab w:val="left" w:pos="630"/>
              </w:tabs>
              <w:spacing w:before="60" w:after="60" w:line="360" w:lineRule="exact"/>
              <w:jc w:val="center"/>
              <w:rPr>
                <w:sz w:val="18"/>
              </w:rPr>
            </w:pPr>
            <w:r>
              <w:rPr>
                <w:sz w:val="18"/>
              </w:rPr>
              <w:t>60.1</w:t>
            </w:r>
          </w:p>
        </w:tc>
        <w:tc>
          <w:tcPr>
            <w:tcW w:w="1244" w:type="pct"/>
          </w:tcPr>
          <w:p w:rsidR="001A7779" w:rsidRDefault="001A7779">
            <w:pPr>
              <w:tabs>
                <w:tab w:val="left" w:pos="630"/>
              </w:tabs>
              <w:spacing w:before="60" w:after="60" w:line="360" w:lineRule="exact"/>
              <w:jc w:val="center"/>
              <w:rPr>
                <w:sz w:val="18"/>
              </w:rPr>
            </w:pPr>
            <w:r>
              <w:rPr>
                <w:sz w:val="18"/>
              </w:rPr>
              <w:t>44.3</w:t>
            </w:r>
          </w:p>
        </w:tc>
        <w:tc>
          <w:tcPr>
            <w:tcW w:w="1243" w:type="pct"/>
          </w:tcPr>
          <w:p w:rsidR="001A7779" w:rsidRDefault="001A7779">
            <w:pPr>
              <w:tabs>
                <w:tab w:val="left" w:pos="630"/>
              </w:tabs>
              <w:spacing w:before="60" w:after="60" w:line="360" w:lineRule="exact"/>
              <w:jc w:val="center"/>
              <w:rPr>
                <w:sz w:val="18"/>
              </w:rPr>
            </w:pPr>
            <w:r>
              <w:rPr>
                <w:sz w:val="18"/>
              </w:rPr>
              <w:t>63.8</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中小学生总数</w:t>
            </w:r>
          </w:p>
        </w:tc>
        <w:tc>
          <w:tcPr>
            <w:tcW w:w="1244" w:type="pct"/>
          </w:tcPr>
          <w:p w:rsidR="001A7779" w:rsidRDefault="001A7779">
            <w:pPr>
              <w:tabs>
                <w:tab w:val="left" w:pos="630"/>
              </w:tabs>
              <w:spacing w:before="60" w:after="60" w:line="360" w:lineRule="exact"/>
              <w:jc w:val="center"/>
              <w:rPr>
                <w:sz w:val="18"/>
              </w:rPr>
            </w:pPr>
            <w:r>
              <w:rPr>
                <w:sz w:val="18"/>
              </w:rPr>
              <w:t>35 675</w:t>
            </w:r>
          </w:p>
        </w:tc>
        <w:tc>
          <w:tcPr>
            <w:tcW w:w="1244" w:type="pct"/>
          </w:tcPr>
          <w:p w:rsidR="001A7779" w:rsidRDefault="001A7779">
            <w:pPr>
              <w:tabs>
                <w:tab w:val="left" w:pos="630"/>
              </w:tabs>
              <w:spacing w:before="60" w:after="60" w:line="360" w:lineRule="exact"/>
              <w:jc w:val="center"/>
              <w:rPr>
                <w:sz w:val="18"/>
              </w:rPr>
            </w:pPr>
            <w:r>
              <w:rPr>
                <w:sz w:val="18"/>
              </w:rPr>
              <w:t>2 628</w:t>
            </w:r>
          </w:p>
        </w:tc>
        <w:tc>
          <w:tcPr>
            <w:tcW w:w="1243" w:type="pct"/>
          </w:tcPr>
          <w:p w:rsidR="001A7779" w:rsidRDefault="001A7779">
            <w:pPr>
              <w:tabs>
                <w:tab w:val="left" w:pos="630"/>
              </w:tabs>
              <w:spacing w:before="60" w:after="60" w:line="360" w:lineRule="exact"/>
              <w:jc w:val="center"/>
              <w:rPr>
                <w:sz w:val="18"/>
              </w:rPr>
            </w:pPr>
            <w:r>
              <w:rPr>
                <w:sz w:val="18"/>
              </w:rPr>
              <w:t>33 047</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w:t>
            </w:r>
          </w:p>
        </w:tc>
        <w:tc>
          <w:tcPr>
            <w:tcW w:w="1244" w:type="pct"/>
          </w:tcPr>
          <w:p w:rsidR="001A7779" w:rsidRDefault="001A7779">
            <w:pPr>
              <w:tabs>
                <w:tab w:val="left" w:pos="630"/>
              </w:tabs>
              <w:spacing w:before="60" w:after="60" w:line="360" w:lineRule="exact"/>
              <w:jc w:val="center"/>
              <w:rPr>
                <w:sz w:val="18"/>
              </w:rPr>
            </w:pPr>
            <w:r>
              <w:rPr>
                <w:sz w:val="18"/>
              </w:rPr>
              <w:t>18 743</w:t>
            </w:r>
          </w:p>
        </w:tc>
        <w:tc>
          <w:tcPr>
            <w:tcW w:w="1244" w:type="pct"/>
          </w:tcPr>
          <w:p w:rsidR="001A7779" w:rsidRDefault="001A7779">
            <w:pPr>
              <w:tabs>
                <w:tab w:val="left" w:pos="630"/>
              </w:tabs>
              <w:spacing w:before="60" w:after="60" w:line="360" w:lineRule="exact"/>
              <w:jc w:val="center"/>
              <w:rPr>
                <w:sz w:val="18"/>
              </w:rPr>
            </w:pPr>
            <w:r>
              <w:rPr>
                <w:sz w:val="18"/>
              </w:rPr>
              <w:t>701</w:t>
            </w:r>
          </w:p>
        </w:tc>
        <w:tc>
          <w:tcPr>
            <w:tcW w:w="1243" w:type="pct"/>
          </w:tcPr>
          <w:p w:rsidR="001A7779" w:rsidRDefault="001A7779">
            <w:pPr>
              <w:tabs>
                <w:tab w:val="left" w:pos="630"/>
              </w:tabs>
              <w:spacing w:before="60" w:after="60" w:line="360" w:lineRule="exact"/>
              <w:jc w:val="center"/>
              <w:rPr>
                <w:sz w:val="18"/>
              </w:rPr>
            </w:pPr>
            <w:r>
              <w:rPr>
                <w:sz w:val="18"/>
              </w:rPr>
              <w:t>18 042</w:t>
            </w:r>
          </w:p>
        </w:tc>
      </w:tr>
      <w:tr w:rsidR="001A7779">
        <w:tblPrEx>
          <w:tblCellMar>
            <w:top w:w="0" w:type="dxa"/>
            <w:bottom w:w="0" w:type="dxa"/>
          </w:tblCellMar>
        </w:tblPrEx>
        <w:tc>
          <w:tcPr>
            <w:tcW w:w="1269" w:type="pct"/>
          </w:tcPr>
          <w:p w:rsidR="001A7779" w:rsidRDefault="001A7779">
            <w:pPr>
              <w:tabs>
                <w:tab w:val="left" w:pos="630"/>
              </w:tabs>
              <w:spacing w:before="60" w:after="60" w:line="360" w:lineRule="exact"/>
              <w:rPr>
                <w:sz w:val="18"/>
              </w:rPr>
            </w:pPr>
            <w:r>
              <w:rPr>
                <w:rFonts w:hint="eastAsia"/>
                <w:sz w:val="18"/>
              </w:rPr>
              <w:t>女生所占比例</w:t>
            </w:r>
            <w:r>
              <w:rPr>
                <w:sz w:val="18"/>
              </w:rPr>
              <w:t>%</w:t>
            </w:r>
          </w:p>
        </w:tc>
        <w:tc>
          <w:tcPr>
            <w:tcW w:w="1244" w:type="pct"/>
          </w:tcPr>
          <w:p w:rsidR="001A7779" w:rsidRDefault="001A7779">
            <w:pPr>
              <w:tabs>
                <w:tab w:val="left" w:pos="630"/>
              </w:tabs>
              <w:spacing w:before="60" w:after="60" w:line="360" w:lineRule="exact"/>
              <w:jc w:val="center"/>
              <w:rPr>
                <w:sz w:val="18"/>
              </w:rPr>
            </w:pPr>
            <w:r>
              <w:rPr>
                <w:sz w:val="18"/>
              </w:rPr>
              <w:t>51.1</w:t>
            </w:r>
          </w:p>
        </w:tc>
        <w:tc>
          <w:tcPr>
            <w:tcW w:w="1244" w:type="pct"/>
          </w:tcPr>
          <w:p w:rsidR="001A7779" w:rsidRDefault="001A7779">
            <w:pPr>
              <w:tabs>
                <w:tab w:val="left" w:pos="630"/>
              </w:tabs>
              <w:spacing w:before="60" w:after="60" w:line="360" w:lineRule="exact"/>
              <w:jc w:val="center"/>
              <w:rPr>
                <w:sz w:val="18"/>
              </w:rPr>
            </w:pPr>
            <w:r>
              <w:rPr>
                <w:sz w:val="18"/>
              </w:rPr>
              <w:t>26.7</w:t>
            </w:r>
          </w:p>
        </w:tc>
        <w:tc>
          <w:tcPr>
            <w:tcW w:w="1243" w:type="pct"/>
          </w:tcPr>
          <w:p w:rsidR="001A7779" w:rsidRDefault="001A7779">
            <w:pPr>
              <w:tabs>
                <w:tab w:val="left" w:pos="630"/>
              </w:tabs>
              <w:spacing w:before="60" w:after="60" w:line="360" w:lineRule="exact"/>
              <w:jc w:val="center"/>
              <w:rPr>
                <w:sz w:val="18"/>
              </w:rPr>
            </w:pPr>
            <w:r>
              <w:rPr>
                <w:sz w:val="18"/>
              </w:rPr>
              <w:t>54.6</w:t>
            </w:r>
          </w:p>
        </w:tc>
      </w:tr>
    </w:tbl>
    <w:p w:rsidR="001A7779" w:rsidRDefault="001A7779">
      <w:pPr>
        <w:tabs>
          <w:tab w:val="left" w:pos="630"/>
        </w:tabs>
        <w:spacing w:line="360" w:lineRule="exact"/>
        <w:rPr>
          <w:color w:val="000000"/>
          <w:sz w:val="18"/>
        </w:rPr>
      </w:pPr>
      <w:r>
        <w:rPr>
          <w:color w:val="000000"/>
          <w:sz w:val="18"/>
        </w:rPr>
        <w:t xml:space="preserve">* </w:t>
      </w:r>
      <w:r>
        <w:rPr>
          <w:rFonts w:hint="eastAsia"/>
          <w:color w:val="000000"/>
          <w:sz w:val="18"/>
        </w:rPr>
        <w:t>国家奖学金和</w:t>
      </w:r>
      <w:r>
        <w:rPr>
          <w:color w:val="000000"/>
          <w:sz w:val="18"/>
        </w:rPr>
        <w:t xml:space="preserve">Zois </w:t>
      </w:r>
      <w:r>
        <w:rPr>
          <w:rFonts w:hint="eastAsia"/>
          <w:color w:val="000000"/>
          <w:sz w:val="18"/>
        </w:rPr>
        <w:t>奖学金合并计算</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220/2005</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28</w:t>
      </w:r>
      <w:r>
        <w:rPr>
          <w:rFonts w:ascii="SimHei" w:eastAsia="SimHei" w:hint="eastAsia"/>
          <w:color w:val="FF0000"/>
        </w:rPr>
        <w:t>：2003年第二季度15岁及以上人口参加正规教育、继续教育和非正规教育情况</w:t>
      </w:r>
    </w:p>
    <w:tbl>
      <w:tblPr>
        <w:tblW w:w="9851" w:type="dxa"/>
        <w:tblInd w:w="-6" w:type="dxa"/>
        <w:tblCellMar>
          <w:left w:w="0" w:type="dxa"/>
          <w:right w:w="0" w:type="dxa"/>
        </w:tblCellMar>
        <w:tblLook w:val="0000" w:firstRow="0" w:lastRow="0" w:firstColumn="0" w:lastColumn="0" w:noHBand="0" w:noVBand="0"/>
      </w:tblPr>
      <w:tblGrid>
        <w:gridCol w:w="1649"/>
        <w:gridCol w:w="2050"/>
        <w:gridCol w:w="2051"/>
        <w:gridCol w:w="2050"/>
        <w:gridCol w:w="2051"/>
      </w:tblGrid>
      <w:tr w:rsidR="001A7779">
        <w:trPr>
          <w:tblHeader/>
        </w:trPr>
        <w:tc>
          <w:tcPr>
            <w:tcW w:w="1649"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rPr>
                <w:rFonts w:ascii="SimHei" w:eastAsia="SimHei"/>
                <w:color w:val="FF0000"/>
                <w:sz w:val="18"/>
              </w:rPr>
            </w:pPr>
          </w:p>
        </w:tc>
        <w:tc>
          <w:tcPr>
            <w:tcW w:w="2050"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15岁及15岁以上人口</w:t>
            </w:r>
          </w:p>
        </w:tc>
        <w:tc>
          <w:tcPr>
            <w:tcW w:w="2051"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参加正规教育人数</w:t>
            </w:r>
          </w:p>
        </w:tc>
        <w:tc>
          <w:tcPr>
            <w:tcW w:w="2050"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参加继续教育人数</w:t>
            </w:r>
          </w:p>
        </w:tc>
        <w:tc>
          <w:tcPr>
            <w:tcW w:w="2051"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参加非正规学习人数</w:t>
            </w:r>
          </w:p>
        </w:tc>
      </w:tr>
      <w:tr w:rsidR="001A7779">
        <w:tc>
          <w:tcPr>
            <w:tcW w:w="164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共计</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1 698 132</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303 124</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327 322</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1 269 318</w:t>
            </w:r>
          </w:p>
        </w:tc>
      </w:tr>
      <w:tr w:rsidR="001A7779">
        <w:tc>
          <w:tcPr>
            <w:tcW w:w="164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875 575</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157 458</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174 933</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652 352</w:t>
            </w:r>
          </w:p>
        </w:tc>
      </w:tr>
      <w:tr w:rsidR="001A7779">
        <w:tc>
          <w:tcPr>
            <w:tcW w:w="164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妇女所占比例</w:t>
            </w:r>
            <w:r>
              <w:rPr>
                <w:sz w:val="18"/>
              </w:rPr>
              <w:t xml:space="preserve">% </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51.6</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51.9</w:t>
            </w:r>
          </w:p>
        </w:tc>
        <w:tc>
          <w:tcPr>
            <w:tcW w:w="2050"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53.4</w:t>
            </w:r>
          </w:p>
        </w:tc>
        <w:tc>
          <w:tcPr>
            <w:tcW w:w="2051"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51.4</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118/2004</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2</w:t>
      </w:r>
      <w:r>
        <w:rPr>
          <w:rFonts w:ascii="SimHei" w:eastAsia="SimHei" w:hint="eastAsia"/>
          <w:color w:val="FF0000"/>
        </w:rPr>
        <w:t>9：2003年第二季度按性别和教育活动数量分列的15岁及</w:t>
      </w:r>
      <w:r>
        <w:rPr>
          <w:rFonts w:ascii="SimHei" w:eastAsia="SimHei"/>
          <w:color w:val="FF0000"/>
        </w:rPr>
        <w:br/>
      </w:r>
      <w:r>
        <w:rPr>
          <w:rFonts w:ascii="SimHei" w:eastAsia="SimHei" w:hint="eastAsia"/>
          <w:color w:val="FF0000"/>
        </w:rPr>
        <w:t>以上人口参加继续教育活动情况</w:t>
      </w:r>
    </w:p>
    <w:tbl>
      <w:tblPr>
        <w:tblW w:w="9857" w:type="dxa"/>
        <w:tblInd w:w="-12" w:type="dxa"/>
        <w:tblLayout w:type="fixed"/>
        <w:tblCellMar>
          <w:left w:w="0" w:type="dxa"/>
          <w:right w:w="0" w:type="dxa"/>
        </w:tblCellMar>
        <w:tblLook w:val="0000" w:firstRow="0" w:lastRow="0" w:firstColumn="0" w:lastColumn="0" w:noHBand="0" w:noVBand="0"/>
      </w:tblPr>
      <w:tblGrid>
        <w:gridCol w:w="1587"/>
        <w:gridCol w:w="1654"/>
        <w:gridCol w:w="1654"/>
        <w:gridCol w:w="1654"/>
        <w:gridCol w:w="1654"/>
        <w:gridCol w:w="1654"/>
      </w:tblGrid>
      <w:tr w:rsidR="001A7779">
        <w:tc>
          <w:tcPr>
            <w:tcW w:w="1587"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rPr>
                <w:rFonts w:eastAsia="SimHei"/>
                <w:color w:val="FF0000"/>
                <w:sz w:val="18"/>
              </w:rPr>
            </w:pPr>
          </w:p>
        </w:tc>
        <w:tc>
          <w:tcPr>
            <w:tcW w:w="1654"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eastAsia="SimHei"/>
                <w:color w:val="FF0000"/>
                <w:sz w:val="18"/>
              </w:rPr>
            </w:pPr>
            <w:r>
              <w:rPr>
                <w:rFonts w:eastAsia="SimHei" w:hint="eastAsia"/>
                <w:color w:val="FF0000"/>
                <w:sz w:val="18"/>
              </w:rPr>
              <w:t>参加继续教育</w:t>
            </w:r>
            <w:r>
              <w:rPr>
                <w:rFonts w:eastAsia="SimHei"/>
                <w:color w:val="FF0000"/>
                <w:sz w:val="18"/>
              </w:rPr>
              <w:br/>
            </w:r>
            <w:r>
              <w:rPr>
                <w:rFonts w:eastAsia="SimHei" w:hint="eastAsia"/>
                <w:color w:val="FF0000"/>
                <w:sz w:val="18"/>
              </w:rPr>
              <w:t>人数</w:t>
            </w:r>
          </w:p>
        </w:tc>
        <w:tc>
          <w:tcPr>
            <w:tcW w:w="1654"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eastAsia="SimHei"/>
                <w:color w:val="FF0000"/>
                <w:sz w:val="18"/>
              </w:rPr>
            </w:pPr>
            <w:r>
              <w:rPr>
                <w:rFonts w:eastAsia="SimHei" w:hint="eastAsia"/>
                <w:color w:val="FF0000"/>
                <w:sz w:val="18"/>
              </w:rPr>
              <w:t>参加一项教育活动人数</w:t>
            </w:r>
          </w:p>
        </w:tc>
        <w:tc>
          <w:tcPr>
            <w:tcW w:w="1654"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eastAsia="SimHei"/>
                <w:color w:val="FF0000"/>
                <w:sz w:val="18"/>
              </w:rPr>
            </w:pPr>
            <w:r>
              <w:rPr>
                <w:rFonts w:eastAsia="SimHei" w:hint="eastAsia"/>
                <w:color w:val="FF0000"/>
                <w:sz w:val="18"/>
              </w:rPr>
              <w:t>参加两项教育活动人数</w:t>
            </w:r>
          </w:p>
        </w:tc>
        <w:tc>
          <w:tcPr>
            <w:tcW w:w="1654"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eastAsia="SimHei"/>
                <w:color w:val="FF0000"/>
                <w:sz w:val="18"/>
              </w:rPr>
            </w:pPr>
            <w:r>
              <w:rPr>
                <w:rFonts w:eastAsia="SimHei" w:hint="eastAsia"/>
                <w:color w:val="FF0000"/>
                <w:sz w:val="18"/>
              </w:rPr>
              <w:t>参加三项教育活动人数</w:t>
            </w:r>
          </w:p>
        </w:tc>
        <w:tc>
          <w:tcPr>
            <w:tcW w:w="1654"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eastAsia="SimHei"/>
                <w:color w:val="FF0000"/>
                <w:sz w:val="18"/>
              </w:rPr>
            </w:pPr>
            <w:r>
              <w:rPr>
                <w:rFonts w:eastAsia="SimHei" w:hint="eastAsia"/>
                <w:color w:val="FF0000"/>
                <w:sz w:val="18"/>
              </w:rPr>
              <w:t>参加四项或更多教育活动人数</w:t>
            </w:r>
          </w:p>
        </w:tc>
      </w:tr>
      <w:tr w:rsidR="001A7779">
        <w:trPr>
          <w:trHeight w:val="462"/>
        </w:trPr>
        <w:tc>
          <w:tcPr>
            <w:tcW w:w="1587"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共计</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327 322</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269 002</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42 762</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10 410</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5 148</w:t>
            </w:r>
          </w:p>
        </w:tc>
      </w:tr>
      <w:tr w:rsidR="001A7779">
        <w:trPr>
          <w:trHeight w:val="346"/>
        </w:trPr>
        <w:tc>
          <w:tcPr>
            <w:tcW w:w="1587"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174 933</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139 528</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25 239</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6 603</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3 563</w:t>
            </w:r>
          </w:p>
        </w:tc>
      </w:tr>
      <w:tr w:rsidR="001A7779">
        <w:trPr>
          <w:trHeight w:val="346"/>
        </w:trPr>
        <w:tc>
          <w:tcPr>
            <w:tcW w:w="1587"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妇女所占比例</w:t>
            </w:r>
            <w:r>
              <w:rPr>
                <w:sz w:val="18"/>
              </w:rPr>
              <w:t>%</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53.4</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51.9</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59.0</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63.4</w:t>
            </w:r>
          </w:p>
        </w:tc>
        <w:tc>
          <w:tcPr>
            <w:tcW w:w="1654"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69.2</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118/2004</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30：</w:t>
      </w:r>
      <w:r>
        <w:rPr>
          <w:rFonts w:ascii="SimHei" w:eastAsia="SimHei" w:hint="eastAsia"/>
          <w:color w:val="FF0000"/>
        </w:rPr>
        <w:t>2003年第二季度按性别分列的15岁及以上人口参加非正规教育情况</w:t>
      </w:r>
    </w:p>
    <w:tbl>
      <w:tblPr>
        <w:tblW w:w="9869" w:type="dxa"/>
        <w:tblInd w:w="-24" w:type="dxa"/>
        <w:tblLayout w:type="fixed"/>
        <w:tblCellMar>
          <w:left w:w="0" w:type="dxa"/>
          <w:right w:w="0" w:type="dxa"/>
        </w:tblCellMar>
        <w:tblLook w:val="0000" w:firstRow="0" w:lastRow="0" w:firstColumn="0" w:lastColumn="0" w:noHBand="0" w:noVBand="0"/>
      </w:tblPr>
      <w:tblGrid>
        <w:gridCol w:w="1589"/>
        <w:gridCol w:w="1656"/>
        <w:gridCol w:w="1656"/>
        <w:gridCol w:w="1656"/>
        <w:gridCol w:w="1656"/>
        <w:gridCol w:w="1656"/>
      </w:tblGrid>
      <w:tr w:rsidR="001A7779">
        <w:tc>
          <w:tcPr>
            <w:tcW w:w="1589"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rPr>
                <w:rFonts w:ascii="SimHei" w:eastAsia="SimHei"/>
                <w:color w:val="FF0000"/>
                <w:sz w:val="18"/>
              </w:rPr>
            </w:pPr>
          </w:p>
        </w:tc>
        <w:tc>
          <w:tcPr>
            <w:tcW w:w="1656" w:type="dxa"/>
            <w:tcBorders>
              <w:top w:val="single" w:sz="4" w:space="0" w:color="auto"/>
              <w:bottom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至少参加一种形式非正规学习的人数</w:t>
            </w:r>
          </w:p>
        </w:tc>
        <w:tc>
          <w:tcPr>
            <w:tcW w:w="1656"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使用印刷材料</w:t>
            </w:r>
          </w:p>
        </w:tc>
        <w:tc>
          <w:tcPr>
            <w:tcW w:w="1656"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使用计算机/</w:t>
            </w:r>
          </w:p>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网站</w:t>
            </w:r>
          </w:p>
        </w:tc>
        <w:tc>
          <w:tcPr>
            <w:tcW w:w="1656"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通过广播教育方案、录像和录音带学习</w:t>
            </w:r>
          </w:p>
        </w:tc>
        <w:tc>
          <w:tcPr>
            <w:tcW w:w="1656" w:type="dxa"/>
            <w:tcBorders>
              <w:top w:val="single" w:sz="4" w:space="0" w:color="auto"/>
              <w:left w:val="single" w:sz="4" w:space="0" w:color="auto"/>
              <w:bottom w:val="single" w:sz="4" w:space="0" w:color="auto"/>
              <w:right w:val="single" w:sz="4" w:space="0" w:color="auto"/>
            </w:tcBorders>
            <w:vAlign w:val="center"/>
          </w:tcPr>
          <w:p w:rsidR="001A7779" w:rsidRDefault="001A7779" w:rsidP="00B359E9">
            <w:pPr>
              <w:tabs>
                <w:tab w:val="left" w:pos="630"/>
              </w:tabs>
              <w:spacing w:before="60" w:after="60" w:line="360" w:lineRule="exact"/>
              <w:ind w:leftChars="50" w:left="31680" w:rightChars="50" w:right="31680"/>
              <w:jc w:val="center"/>
              <w:rPr>
                <w:rFonts w:ascii="SimHei" w:eastAsia="SimHei"/>
                <w:color w:val="FF0000"/>
                <w:sz w:val="18"/>
              </w:rPr>
            </w:pPr>
            <w:r>
              <w:rPr>
                <w:rFonts w:ascii="SimHei" w:eastAsia="SimHei" w:hint="eastAsia"/>
                <w:color w:val="FF0000"/>
                <w:sz w:val="18"/>
              </w:rPr>
              <w:t>使用学习设施、图书馆</w:t>
            </w:r>
          </w:p>
        </w:tc>
      </w:tr>
      <w:tr w:rsidR="001A7779">
        <w:tc>
          <w:tcPr>
            <w:tcW w:w="158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共计</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1 269 318</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754 336</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463 265</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1 128 795</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224 013</w:t>
            </w:r>
          </w:p>
        </w:tc>
      </w:tr>
      <w:tr w:rsidR="001A7779">
        <w:tc>
          <w:tcPr>
            <w:tcW w:w="158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652 352</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397 247</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217 949</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575 914</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138 971</w:t>
            </w:r>
          </w:p>
        </w:tc>
      </w:tr>
      <w:tr w:rsidR="001A7779">
        <w:tc>
          <w:tcPr>
            <w:tcW w:w="1589"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妇女所占比例</w:t>
            </w:r>
            <w:r>
              <w:rPr>
                <w:sz w:val="18"/>
              </w:rPr>
              <w:t>%</w:t>
            </w:r>
          </w:p>
        </w:tc>
        <w:tc>
          <w:tcPr>
            <w:tcW w:w="1656"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51.4</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52.7</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47.0</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51.0</w:t>
            </w:r>
          </w:p>
        </w:tc>
        <w:tc>
          <w:tcPr>
            <w:tcW w:w="1656" w:type="dxa"/>
            <w:tcBorders>
              <w:top w:val="single" w:sz="4" w:space="0" w:color="auto"/>
              <w:left w:val="single" w:sz="4" w:space="0" w:color="auto"/>
              <w:bottom w:val="single" w:sz="4" w:space="0" w:color="auto"/>
              <w:right w:val="single" w:sz="4" w:space="0" w:color="auto"/>
            </w:tcBorders>
            <w:vAlign w:val="bottom"/>
          </w:tcPr>
          <w:p w:rsidR="001A7779" w:rsidRDefault="001A7779" w:rsidP="00B359E9">
            <w:pPr>
              <w:tabs>
                <w:tab w:val="left" w:pos="630"/>
              </w:tabs>
              <w:spacing w:before="60" w:after="60" w:line="360" w:lineRule="exact"/>
              <w:ind w:leftChars="50" w:left="31680" w:rightChars="50" w:right="31680"/>
              <w:jc w:val="center"/>
              <w:rPr>
                <w:sz w:val="18"/>
              </w:rPr>
            </w:pPr>
            <w:r>
              <w:rPr>
                <w:sz w:val="18"/>
              </w:rPr>
              <w:t>62.0</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color w:val="000000"/>
          <w:sz w:val="18"/>
        </w:rPr>
        <w:t xml:space="preserve"> 118/2004</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31</w:t>
      </w:r>
      <w:r>
        <w:rPr>
          <w:rFonts w:ascii="SimHei" w:eastAsia="SimHei" w:hint="eastAsia"/>
          <w:color w:val="FF0000"/>
        </w:rPr>
        <w:t>：2003年第二季度按性别和不参加教育的原因分列的15岁及以上非学习者人数</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2080"/>
        <w:gridCol w:w="2080"/>
        <w:gridCol w:w="2080"/>
      </w:tblGrid>
      <w:tr w:rsidR="001A7779">
        <w:tblPrEx>
          <w:tblCellMar>
            <w:top w:w="0" w:type="dxa"/>
            <w:bottom w:w="0" w:type="dxa"/>
          </w:tblCellMar>
        </w:tblPrEx>
        <w:trPr>
          <w:tblHeader/>
        </w:trPr>
        <w:tc>
          <w:tcPr>
            <w:tcW w:w="3600" w:type="dxa"/>
            <w:vAlign w:val="center"/>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不参加的原因</w:t>
            </w:r>
          </w:p>
        </w:tc>
        <w:tc>
          <w:tcPr>
            <w:tcW w:w="2080"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2080"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w:t>
            </w:r>
          </w:p>
        </w:tc>
        <w:tc>
          <w:tcPr>
            <w:tcW w:w="2080" w:type="dxa"/>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共计</w:t>
            </w:r>
          </w:p>
        </w:tc>
        <w:tc>
          <w:tcPr>
            <w:tcW w:w="2080"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271" w:right="31680"/>
              <w:jc w:val="right"/>
            </w:pPr>
            <w:r>
              <w:t>1 142 276</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585 281</w:t>
            </w:r>
          </w:p>
        </w:tc>
        <w:tc>
          <w:tcPr>
            <w:tcW w:w="2080" w:type="dxa"/>
          </w:tcPr>
          <w:p w:rsidR="001A7779" w:rsidRDefault="001A7779">
            <w:pPr>
              <w:tabs>
                <w:tab w:val="left" w:pos="630"/>
              </w:tabs>
              <w:spacing w:before="60" w:after="60" w:line="360" w:lineRule="exact"/>
              <w:jc w:val="center"/>
              <w:rPr>
                <w:sz w:val="18"/>
              </w:rPr>
            </w:pPr>
            <w:r>
              <w:rPr>
                <w:sz w:val="18"/>
              </w:rPr>
              <w:t>51.2</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没有时间</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202 930</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91 186</w:t>
            </w:r>
          </w:p>
        </w:tc>
        <w:tc>
          <w:tcPr>
            <w:tcW w:w="2080" w:type="dxa"/>
          </w:tcPr>
          <w:p w:rsidR="001A7779" w:rsidRDefault="001A7779">
            <w:pPr>
              <w:tabs>
                <w:tab w:val="left" w:pos="630"/>
              </w:tabs>
              <w:spacing w:before="60" w:after="60" w:line="360" w:lineRule="exact"/>
              <w:jc w:val="center"/>
              <w:rPr>
                <w:sz w:val="18"/>
              </w:rPr>
            </w:pPr>
            <w:r>
              <w:rPr>
                <w:sz w:val="18"/>
              </w:rPr>
              <w:t>44.9</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工作太忙</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51 311</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17 471</w:t>
            </w:r>
          </w:p>
        </w:tc>
        <w:tc>
          <w:tcPr>
            <w:tcW w:w="2080" w:type="dxa"/>
          </w:tcPr>
          <w:p w:rsidR="001A7779" w:rsidRDefault="001A7779">
            <w:pPr>
              <w:tabs>
                <w:tab w:val="left" w:pos="630"/>
              </w:tabs>
              <w:spacing w:before="60" w:after="60" w:line="360" w:lineRule="exact"/>
              <w:jc w:val="center"/>
              <w:rPr>
                <w:sz w:val="18"/>
              </w:rPr>
            </w:pPr>
            <w:r>
              <w:rPr>
                <w:sz w:val="18"/>
              </w:rPr>
              <w:t>34.0</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所住地区没有提供教育，其他地点太远</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16 867</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8 069</w:t>
            </w:r>
          </w:p>
        </w:tc>
        <w:tc>
          <w:tcPr>
            <w:tcW w:w="2080" w:type="dxa"/>
          </w:tcPr>
          <w:p w:rsidR="001A7779" w:rsidRDefault="001A7779">
            <w:pPr>
              <w:tabs>
                <w:tab w:val="left" w:pos="630"/>
              </w:tabs>
              <w:spacing w:before="60" w:after="60" w:line="360" w:lineRule="exact"/>
              <w:jc w:val="center"/>
              <w:rPr>
                <w:sz w:val="18"/>
              </w:rPr>
            </w:pPr>
            <w:r>
              <w:rPr>
                <w:sz w:val="18"/>
              </w:rPr>
              <w:t>47.8</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家庭责任</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27 576</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21 911</w:t>
            </w:r>
          </w:p>
        </w:tc>
        <w:tc>
          <w:tcPr>
            <w:tcW w:w="2080" w:type="dxa"/>
          </w:tcPr>
          <w:p w:rsidR="001A7779" w:rsidRDefault="001A7779">
            <w:pPr>
              <w:tabs>
                <w:tab w:val="left" w:pos="630"/>
              </w:tabs>
              <w:spacing w:before="60" w:after="60" w:line="360" w:lineRule="exact"/>
              <w:jc w:val="center"/>
              <w:rPr>
                <w:sz w:val="18"/>
              </w:rPr>
            </w:pPr>
            <w:r>
              <w:rPr>
                <w:sz w:val="18"/>
              </w:rPr>
              <w:t>79.5</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费用太高</w:t>
            </w:r>
            <w:r>
              <w:rPr>
                <w:sz w:val="18"/>
              </w:rPr>
              <w:t>/</w:t>
            </w:r>
            <w:r>
              <w:rPr>
                <w:rFonts w:hint="eastAsia"/>
                <w:sz w:val="18"/>
              </w:rPr>
              <w:t>缺少资金</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27 209</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15 679</w:t>
            </w:r>
          </w:p>
        </w:tc>
        <w:tc>
          <w:tcPr>
            <w:tcW w:w="2080" w:type="dxa"/>
          </w:tcPr>
          <w:p w:rsidR="001A7779" w:rsidRDefault="001A7779">
            <w:pPr>
              <w:tabs>
                <w:tab w:val="left" w:pos="630"/>
              </w:tabs>
              <w:spacing w:before="60" w:after="60" w:line="360" w:lineRule="exact"/>
              <w:jc w:val="center"/>
              <w:rPr>
                <w:sz w:val="18"/>
              </w:rPr>
            </w:pPr>
            <w:r>
              <w:rPr>
                <w:sz w:val="18"/>
              </w:rPr>
              <w:t>57.6</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以前的教育程度不够</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1 858</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773</w:t>
            </w:r>
          </w:p>
        </w:tc>
        <w:tc>
          <w:tcPr>
            <w:tcW w:w="2080" w:type="dxa"/>
          </w:tcPr>
          <w:p w:rsidR="001A7779" w:rsidRDefault="001A7779">
            <w:pPr>
              <w:tabs>
                <w:tab w:val="left" w:pos="630"/>
              </w:tabs>
              <w:spacing w:before="60" w:after="60" w:line="360" w:lineRule="exact"/>
              <w:jc w:val="center"/>
              <w:rPr>
                <w:sz w:val="18"/>
              </w:rPr>
            </w:pPr>
            <w:r>
              <w:rPr>
                <w:sz w:val="18"/>
              </w:rPr>
              <w:t>41.6</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雇主不支持</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3 477</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1 567</w:t>
            </w:r>
          </w:p>
        </w:tc>
        <w:tc>
          <w:tcPr>
            <w:tcW w:w="2080" w:type="dxa"/>
          </w:tcPr>
          <w:p w:rsidR="001A7779" w:rsidRDefault="001A7779">
            <w:pPr>
              <w:tabs>
                <w:tab w:val="left" w:pos="630"/>
              </w:tabs>
              <w:spacing w:before="60" w:after="60" w:line="360" w:lineRule="exact"/>
              <w:jc w:val="center"/>
              <w:rPr>
                <w:sz w:val="18"/>
              </w:rPr>
            </w:pPr>
            <w:r>
              <w:rPr>
                <w:sz w:val="18"/>
              </w:rPr>
              <w:t>45.0</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教育时间不对</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818</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358</w:t>
            </w:r>
          </w:p>
        </w:tc>
        <w:tc>
          <w:tcPr>
            <w:tcW w:w="2080" w:type="dxa"/>
          </w:tcPr>
          <w:p w:rsidR="001A7779" w:rsidRDefault="001A7779">
            <w:pPr>
              <w:tabs>
                <w:tab w:val="left" w:pos="630"/>
              </w:tabs>
              <w:spacing w:before="60" w:after="60" w:line="360" w:lineRule="exact"/>
              <w:jc w:val="center"/>
              <w:rPr>
                <w:sz w:val="18"/>
              </w:rPr>
            </w:pPr>
            <w:r>
              <w:rPr>
                <w:sz w:val="18"/>
              </w:rPr>
              <w:t>43.8</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语言问题</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1 200</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1 001</w:t>
            </w:r>
          </w:p>
        </w:tc>
        <w:tc>
          <w:tcPr>
            <w:tcW w:w="2080" w:type="dxa"/>
          </w:tcPr>
          <w:p w:rsidR="001A7779" w:rsidRDefault="001A7779">
            <w:pPr>
              <w:tabs>
                <w:tab w:val="left" w:pos="630"/>
              </w:tabs>
              <w:spacing w:before="60" w:after="60" w:line="360" w:lineRule="exact"/>
              <w:jc w:val="center"/>
              <w:rPr>
                <w:sz w:val="18"/>
              </w:rPr>
            </w:pPr>
            <w:r>
              <w:rPr>
                <w:sz w:val="18"/>
              </w:rPr>
              <w:t>83.4</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健康原因</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62 007</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33 173</w:t>
            </w:r>
          </w:p>
        </w:tc>
        <w:tc>
          <w:tcPr>
            <w:tcW w:w="2080" w:type="dxa"/>
          </w:tcPr>
          <w:p w:rsidR="001A7779" w:rsidRDefault="001A7779">
            <w:pPr>
              <w:tabs>
                <w:tab w:val="left" w:pos="630"/>
              </w:tabs>
              <w:spacing w:before="60" w:after="60" w:line="360" w:lineRule="exact"/>
              <w:jc w:val="center"/>
              <w:rPr>
                <w:sz w:val="18"/>
              </w:rPr>
            </w:pPr>
            <w:r>
              <w:rPr>
                <w:sz w:val="18"/>
              </w:rPr>
              <w:t>53.5</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没兴趣（包括年龄）</w:t>
            </w:r>
            <w:r>
              <w:rPr>
                <w:sz w:val="18"/>
              </w:rPr>
              <w:t xml:space="preserve"> </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744 628</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393 044</w:t>
            </w:r>
          </w:p>
        </w:tc>
        <w:tc>
          <w:tcPr>
            <w:tcW w:w="2080" w:type="dxa"/>
          </w:tcPr>
          <w:p w:rsidR="001A7779" w:rsidRDefault="001A7779">
            <w:pPr>
              <w:tabs>
                <w:tab w:val="left" w:pos="630"/>
              </w:tabs>
              <w:spacing w:before="60" w:after="60" w:line="360" w:lineRule="exact"/>
              <w:jc w:val="center"/>
              <w:rPr>
                <w:sz w:val="18"/>
              </w:rPr>
            </w:pPr>
            <w:r>
              <w:rPr>
                <w:sz w:val="18"/>
              </w:rPr>
              <w:t>52.8</w:t>
            </w:r>
          </w:p>
        </w:tc>
      </w:tr>
      <w:tr w:rsidR="001A7779">
        <w:tblPrEx>
          <w:tblCellMar>
            <w:top w:w="0" w:type="dxa"/>
            <w:bottom w:w="0" w:type="dxa"/>
          </w:tblCellMar>
        </w:tblPrEx>
        <w:tc>
          <w:tcPr>
            <w:tcW w:w="3600" w:type="dxa"/>
          </w:tcPr>
          <w:p w:rsidR="001A7779" w:rsidRDefault="001A7779">
            <w:pPr>
              <w:tabs>
                <w:tab w:val="left" w:pos="630"/>
              </w:tabs>
              <w:spacing w:before="60" w:after="60" w:line="360" w:lineRule="exact"/>
              <w:rPr>
                <w:sz w:val="18"/>
              </w:rPr>
            </w:pPr>
            <w:r>
              <w:rPr>
                <w:rFonts w:hint="eastAsia"/>
                <w:sz w:val="18"/>
              </w:rPr>
              <w:t>其他</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2 395</w:t>
            </w:r>
          </w:p>
        </w:tc>
        <w:tc>
          <w:tcPr>
            <w:tcW w:w="2080" w:type="dxa"/>
          </w:tcPr>
          <w:p w:rsidR="001A7779" w:rsidRDefault="001A7779" w:rsidP="00B359E9">
            <w:pPr>
              <w:tabs>
                <w:tab w:val="left" w:pos="630"/>
              </w:tabs>
              <w:spacing w:before="60" w:after="60" w:line="360" w:lineRule="exact"/>
              <w:ind w:rightChars="271" w:right="31680"/>
              <w:jc w:val="right"/>
              <w:rPr>
                <w:sz w:val="18"/>
              </w:rPr>
            </w:pPr>
            <w:r>
              <w:rPr>
                <w:sz w:val="18"/>
              </w:rPr>
              <w:t>1 049</w:t>
            </w:r>
          </w:p>
        </w:tc>
        <w:tc>
          <w:tcPr>
            <w:tcW w:w="2080" w:type="dxa"/>
          </w:tcPr>
          <w:p w:rsidR="001A7779" w:rsidRDefault="001A7779">
            <w:pPr>
              <w:tabs>
                <w:tab w:val="left" w:pos="630"/>
              </w:tabs>
              <w:spacing w:before="60" w:after="60" w:line="360" w:lineRule="exact"/>
              <w:jc w:val="center"/>
              <w:rPr>
                <w:sz w:val="18"/>
              </w:rPr>
            </w:pPr>
            <w:r>
              <w:rPr>
                <w:sz w:val="18"/>
              </w:rPr>
              <w:t>43.8</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斯洛文尼亚共和国统计局，</w:t>
      </w:r>
      <w:r>
        <w:rPr>
          <w:rFonts w:hint="eastAsia"/>
          <w:color w:val="000000"/>
          <w:sz w:val="18"/>
        </w:rPr>
        <w:t>2004</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32</w:t>
      </w:r>
      <w:r>
        <w:rPr>
          <w:rFonts w:ascii="SimHei" w:eastAsia="SimHei" w:hint="eastAsia"/>
          <w:color w:val="FF0000"/>
        </w:rPr>
        <w:t>：</w:t>
      </w:r>
      <w:r>
        <w:rPr>
          <w:rFonts w:ascii="SimHei" w:eastAsia="SimHei"/>
          <w:color w:val="FF0000"/>
        </w:rPr>
        <w:t xml:space="preserve">2003 </w:t>
      </w:r>
      <w:r>
        <w:rPr>
          <w:rFonts w:ascii="SimHei" w:eastAsia="SimHei" w:hint="eastAsia"/>
          <w:color w:val="FF0000"/>
        </w:rPr>
        <w:t>和</w:t>
      </w:r>
      <w:r>
        <w:rPr>
          <w:rFonts w:ascii="SimHei" w:eastAsia="SimHei"/>
          <w:color w:val="FF0000"/>
        </w:rPr>
        <w:t xml:space="preserve"> 2004</w:t>
      </w:r>
      <w:r>
        <w:rPr>
          <w:rFonts w:ascii="SimHei" w:eastAsia="SimHei" w:hint="eastAsia"/>
          <w:color w:val="FF0000"/>
        </w:rPr>
        <w:t>年按性别分列的活动率（年平均数）</w:t>
      </w:r>
    </w:p>
    <w:tbl>
      <w:tblPr>
        <w:tblW w:w="9840" w:type="dxa"/>
        <w:tblInd w:w="30" w:type="dxa"/>
        <w:tblLayout w:type="fixed"/>
        <w:tblCellMar>
          <w:left w:w="30" w:type="dxa"/>
          <w:right w:w="30" w:type="dxa"/>
        </w:tblCellMar>
        <w:tblLook w:val="0000" w:firstRow="0" w:lastRow="0" w:firstColumn="0" w:lastColumn="0" w:noHBand="0" w:noVBand="0"/>
      </w:tblPr>
      <w:tblGrid>
        <w:gridCol w:w="3280"/>
        <w:gridCol w:w="3280"/>
        <w:gridCol w:w="3280"/>
      </w:tblGrid>
      <w:tr w:rsidR="001A7779">
        <w:tblPrEx>
          <w:tblCellMar>
            <w:top w:w="0" w:type="dxa"/>
            <w:bottom w:w="0" w:type="dxa"/>
          </w:tblCellMar>
        </w:tblPrEx>
        <w:trPr>
          <w:cantSplit/>
          <w:trHeight w:val="276"/>
        </w:trPr>
        <w:tc>
          <w:tcPr>
            <w:tcW w:w="32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40" w:lineRule="exact"/>
              <w:rPr>
                <w:rFonts w:ascii="SimHei"/>
                <w:color w:val="FF0000"/>
                <w:sz w:val="18"/>
              </w:rPr>
            </w:pPr>
          </w:p>
        </w:tc>
        <w:tc>
          <w:tcPr>
            <w:tcW w:w="32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rFonts w:ascii="SimHei" w:hint="eastAsia"/>
                <w:color w:val="FF0000"/>
                <w:sz w:val="18"/>
              </w:rPr>
            </w:pPr>
            <w:r>
              <w:rPr>
                <w:rFonts w:ascii="SimHei"/>
                <w:color w:val="FF0000"/>
                <w:sz w:val="18"/>
              </w:rPr>
              <w:t>2003</w:t>
            </w:r>
            <w:r>
              <w:rPr>
                <w:rFonts w:ascii="SimHei" w:eastAsia="SimHei" w:hint="eastAsia"/>
                <w:color w:val="FF0000"/>
                <w:sz w:val="18"/>
              </w:rPr>
              <w:t>年</w:t>
            </w:r>
          </w:p>
        </w:tc>
        <w:tc>
          <w:tcPr>
            <w:tcW w:w="3280" w:type="dxa"/>
            <w:tcBorders>
              <w:top w:val="single" w:sz="4" w:space="0" w:color="auto"/>
              <w:left w:val="single" w:sz="6" w:space="0" w:color="000000"/>
              <w:bottom w:val="single" w:sz="4" w:space="0" w:color="auto"/>
              <w:right w:val="single" w:sz="4" w:space="0" w:color="auto"/>
            </w:tcBorders>
          </w:tcPr>
          <w:p w:rsidR="001A7779" w:rsidRDefault="001A7779">
            <w:pPr>
              <w:tabs>
                <w:tab w:val="left" w:pos="630"/>
              </w:tabs>
              <w:spacing w:before="60" w:after="60" w:line="340" w:lineRule="exact"/>
              <w:jc w:val="center"/>
              <w:rPr>
                <w:rFonts w:ascii="SimHei"/>
                <w:color w:val="FF0000"/>
                <w:sz w:val="18"/>
              </w:rPr>
            </w:pPr>
            <w:r>
              <w:rPr>
                <w:rFonts w:ascii="SimHei"/>
                <w:color w:val="FF0000"/>
                <w:sz w:val="18"/>
              </w:rPr>
              <w:t>2004</w:t>
            </w:r>
            <w:r>
              <w:rPr>
                <w:rFonts w:ascii="SimHei" w:eastAsia="SimHei" w:hint="eastAsia"/>
                <w:color w:val="FF0000"/>
                <w:sz w:val="18"/>
              </w:rPr>
              <w:t>年</w:t>
            </w:r>
          </w:p>
        </w:tc>
      </w:tr>
      <w:tr w:rsidR="001A7779">
        <w:tblPrEx>
          <w:tblCellMar>
            <w:top w:w="0" w:type="dxa"/>
            <w:bottom w:w="0" w:type="dxa"/>
          </w:tblCellMar>
        </w:tblPrEx>
        <w:trPr>
          <w:cantSplit/>
          <w:trHeight w:val="276"/>
        </w:trPr>
        <w:tc>
          <w:tcPr>
            <w:tcW w:w="3280" w:type="dxa"/>
            <w:tcBorders>
              <w:top w:val="single" w:sz="4" w:space="0" w:color="auto"/>
              <w:left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p>
        </w:tc>
        <w:tc>
          <w:tcPr>
            <w:tcW w:w="3280" w:type="dxa"/>
            <w:tcBorders>
              <w:top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r>
              <w:rPr>
                <w:rFonts w:eastAsia="SimHei" w:hint="eastAsia"/>
                <w:color w:val="FF0000"/>
                <w:sz w:val="18"/>
              </w:rPr>
              <w:t>共计</w:t>
            </w:r>
          </w:p>
        </w:tc>
        <w:tc>
          <w:tcPr>
            <w:tcW w:w="3280" w:type="dxa"/>
            <w:tcBorders>
              <w:top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rFonts w:eastAsia="SimHei"/>
                <w:color w:val="FF0000"/>
                <w:sz w:val="18"/>
              </w:rPr>
            </w:pPr>
          </w:p>
        </w:tc>
      </w:tr>
      <w:tr w:rsidR="001A7779">
        <w:tblPrEx>
          <w:tblCellMar>
            <w:top w:w="0" w:type="dxa"/>
            <w:bottom w:w="0" w:type="dxa"/>
          </w:tblCellMar>
        </w:tblPrEx>
        <w:trPr>
          <w:cantSplit/>
          <w:trHeight w:val="262"/>
        </w:trPr>
        <w:tc>
          <w:tcPr>
            <w:tcW w:w="328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40" w:lineRule="exact"/>
              <w:rPr>
                <w:sz w:val="18"/>
              </w:rPr>
            </w:pPr>
            <w:r>
              <w:rPr>
                <w:rFonts w:hint="eastAsia"/>
                <w:sz w:val="18"/>
              </w:rPr>
              <w:t>活动率</w:t>
            </w:r>
          </w:p>
        </w:tc>
        <w:tc>
          <w:tcPr>
            <w:tcW w:w="328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40" w:lineRule="exact"/>
              <w:jc w:val="center"/>
              <w:rPr>
                <w:sz w:val="18"/>
              </w:rPr>
            </w:pPr>
            <w:r>
              <w:rPr>
                <w:sz w:val="18"/>
              </w:rPr>
              <w:t>56.6</w:t>
            </w:r>
          </w:p>
        </w:tc>
        <w:tc>
          <w:tcPr>
            <w:tcW w:w="3280" w:type="dxa"/>
            <w:tcBorders>
              <w:top w:val="single" w:sz="4" w:space="0" w:color="auto"/>
              <w:bottom w:val="single" w:sz="6" w:space="0" w:color="000000"/>
              <w:right w:val="single" w:sz="4" w:space="0" w:color="auto"/>
            </w:tcBorders>
          </w:tcPr>
          <w:p w:rsidR="001A7779" w:rsidRDefault="001A7779">
            <w:pPr>
              <w:tabs>
                <w:tab w:val="left" w:pos="630"/>
              </w:tabs>
              <w:spacing w:before="60" w:after="60" w:line="340" w:lineRule="exact"/>
              <w:jc w:val="center"/>
              <w:rPr>
                <w:sz w:val="18"/>
              </w:rPr>
            </w:pPr>
            <w:r>
              <w:rPr>
                <w:sz w:val="18"/>
              </w:rPr>
              <w:t>59.0</w:t>
            </w:r>
          </w:p>
        </w:tc>
      </w:tr>
      <w:tr w:rsidR="001A7779">
        <w:tblPrEx>
          <w:tblCellMar>
            <w:top w:w="0" w:type="dxa"/>
            <w:bottom w:w="0" w:type="dxa"/>
          </w:tblCellMar>
        </w:tblPrEx>
        <w:trPr>
          <w:cantSplit/>
          <w:trHeight w:val="247"/>
        </w:trPr>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rPr>
                <w:sz w:val="18"/>
              </w:rPr>
            </w:pPr>
            <w:r>
              <w:rPr>
                <w:rFonts w:hint="eastAsia"/>
                <w:sz w:val="18"/>
              </w:rPr>
              <w:t>就业</w:t>
            </w:r>
            <w:r>
              <w:rPr>
                <w:rFonts w:hint="eastAsia"/>
                <w:sz w:val="18"/>
              </w:rPr>
              <w:t>/</w:t>
            </w:r>
            <w:r>
              <w:rPr>
                <w:rFonts w:hint="eastAsia"/>
                <w:sz w:val="18"/>
              </w:rPr>
              <w:t>人口比率</w:t>
            </w:r>
          </w:p>
        </w:tc>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52.8</w:t>
            </w:r>
          </w:p>
        </w:tc>
        <w:tc>
          <w:tcPr>
            <w:tcW w:w="3280" w:type="dxa"/>
            <w:tcBorders>
              <w:top w:val="single" w:sz="6" w:space="0" w:color="000000"/>
              <w:left w:val="single" w:sz="6" w:space="0" w:color="000000"/>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55.3</w:t>
            </w:r>
          </w:p>
        </w:tc>
      </w:tr>
      <w:tr w:rsidR="001A7779">
        <w:tblPrEx>
          <w:tblCellMar>
            <w:top w:w="0" w:type="dxa"/>
            <w:bottom w:w="0" w:type="dxa"/>
          </w:tblCellMar>
        </w:tblPrEx>
        <w:trPr>
          <w:cantSplit/>
          <w:trHeight w:val="276"/>
        </w:trPr>
        <w:tc>
          <w:tcPr>
            <w:tcW w:w="3280" w:type="dxa"/>
            <w:tcBorders>
              <w:top w:val="single" w:sz="4" w:space="0" w:color="auto"/>
              <w:left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p>
        </w:tc>
        <w:tc>
          <w:tcPr>
            <w:tcW w:w="3280" w:type="dxa"/>
            <w:tcBorders>
              <w:top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r>
              <w:rPr>
                <w:rFonts w:eastAsia="SimHei" w:hint="eastAsia"/>
                <w:color w:val="FF0000"/>
                <w:sz w:val="18"/>
              </w:rPr>
              <w:t>男</w:t>
            </w:r>
          </w:p>
        </w:tc>
        <w:tc>
          <w:tcPr>
            <w:tcW w:w="3280" w:type="dxa"/>
            <w:tcBorders>
              <w:top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rFonts w:eastAsia="SimHei"/>
                <w:color w:val="FF0000"/>
                <w:sz w:val="18"/>
              </w:rPr>
            </w:pPr>
          </w:p>
        </w:tc>
      </w:tr>
      <w:tr w:rsidR="001A7779">
        <w:tblPrEx>
          <w:tblCellMar>
            <w:top w:w="0" w:type="dxa"/>
            <w:bottom w:w="0" w:type="dxa"/>
          </w:tblCellMar>
        </w:tblPrEx>
        <w:trPr>
          <w:cantSplit/>
          <w:trHeight w:val="262"/>
        </w:trPr>
        <w:tc>
          <w:tcPr>
            <w:tcW w:w="328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40" w:lineRule="exact"/>
              <w:rPr>
                <w:sz w:val="18"/>
              </w:rPr>
            </w:pPr>
            <w:r>
              <w:rPr>
                <w:rFonts w:hint="eastAsia"/>
                <w:sz w:val="18"/>
              </w:rPr>
              <w:t>活动率</w:t>
            </w:r>
          </w:p>
        </w:tc>
        <w:tc>
          <w:tcPr>
            <w:tcW w:w="328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40" w:lineRule="exact"/>
              <w:jc w:val="center"/>
              <w:rPr>
                <w:sz w:val="18"/>
              </w:rPr>
            </w:pPr>
            <w:r>
              <w:rPr>
                <w:sz w:val="18"/>
              </w:rPr>
              <w:t>63.5</w:t>
            </w:r>
          </w:p>
        </w:tc>
        <w:tc>
          <w:tcPr>
            <w:tcW w:w="3280" w:type="dxa"/>
            <w:tcBorders>
              <w:top w:val="single" w:sz="4" w:space="0" w:color="auto"/>
              <w:bottom w:val="single" w:sz="6" w:space="0" w:color="000000"/>
              <w:right w:val="single" w:sz="4" w:space="0" w:color="auto"/>
            </w:tcBorders>
          </w:tcPr>
          <w:p w:rsidR="001A7779" w:rsidRDefault="001A7779">
            <w:pPr>
              <w:tabs>
                <w:tab w:val="left" w:pos="630"/>
              </w:tabs>
              <w:spacing w:before="60" w:after="60" w:line="340" w:lineRule="exact"/>
              <w:jc w:val="center"/>
              <w:rPr>
                <w:sz w:val="18"/>
              </w:rPr>
            </w:pPr>
            <w:r>
              <w:rPr>
                <w:sz w:val="18"/>
              </w:rPr>
              <w:t>65.9</w:t>
            </w:r>
          </w:p>
        </w:tc>
      </w:tr>
      <w:tr w:rsidR="001A7779">
        <w:tblPrEx>
          <w:tblCellMar>
            <w:top w:w="0" w:type="dxa"/>
            <w:bottom w:w="0" w:type="dxa"/>
          </w:tblCellMar>
        </w:tblPrEx>
        <w:trPr>
          <w:cantSplit/>
          <w:trHeight w:val="247"/>
        </w:trPr>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rPr>
                <w:sz w:val="18"/>
              </w:rPr>
            </w:pPr>
            <w:r>
              <w:rPr>
                <w:rFonts w:hint="eastAsia"/>
                <w:sz w:val="18"/>
              </w:rPr>
              <w:t>就业</w:t>
            </w:r>
            <w:r>
              <w:rPr>
                <w:rFonts w:hint="eastAsia"/>
                <w:sz w:val="18"/>
              </w:rPr>
              <w:t>/</w:t>
            </w:r>
            <w:r>
              <w:rPr>
                <w:rFonts w:hint="eastAsia"/>
                <w:sz w:val="18"/>
              </w:rPr>
              <w:t>人口比率</w:t>
            </w:r>
          </w:p>
        </w:tc>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59.4</w:t>
            </w:r>
          </w:p>
        </w:tc>
        <w:tc>
          <w:tcPr>
            <w:tcW w:w="3280" w:type="dxa"/>
            <w:tcBorders>
              <w:top w:val="single" w:sz="6" w:space="0" w:color="000000"/>
              <w:left w:val="single" w:sz="6" w:space="0" w:color="000000"/>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62.0</w:t>
            </w:r>
          </w:p>
        </w:tc>
      </w:tr>
      <w:tr w:rsidR="001A7779">
        <w:tblPrEx>
          <w:tblCellMar>
            <w:top w:w="0" w:type="dxa"/>
            <w:bottom w:w="0" w:type="dxa"/>
          </w:tblCellMar>
        </w:tblPrEx>
        <w:trPr>
          <w:cantSplit/>
          <w:trHeight w:val="276"/>
        </w:trPr>
        <w:tc>
          <w:tcPr>
            <w:tcW w:w="3280" w:type="dxa"/>
            <w:tcBorders>
              <w:top w:val="single" w:sz="4" w:space="0" w:color="auto"/>
              <w:left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p>
        </w:tc>
        <w:tc>
          <w:tcPr>
            <w:tcW w:w="3280" w:type="dxa"/>
            <w:tcBorders>
              <w:top w:val="single" w:sz="4" w:space="0" w:color="auto"/>
              <w:bottom w:val="single" w:sz="4" w:space="0" w:color="auto"/>
            </w:tcBorders>
          </w:tcPr>
          <w:p w:rsidR="001A7779" w:rsidRDefault="001A7779">
            <w:pPr>
              <w:tabs>
                <w:tab w:val="left" w:pos="630"/>
              </w:tabs>
              <w:spacing w:before="60" w:after="60" w:line="340" w:lineRule="exact"/>
              <w:jc w:val="center"/>
              <w:rPr>
                <w:rFonts w:eastAsia="SimHei"/>
                <w:color w:val="FF0000"/>
                <w:sz w:val="18"/>
              </w:rPr>
            </w:pPr>
            <w:r>
              <w:rPr>
                <w:rFonts w:eastAsia="SimHei" w:hint="eastAsia"/>
                <w:color w:val="FF0000"/>
                <w:sz w:val="18"/>
              </w:rPr>
              <w:t>女</w:t>
            </w:r>
          </w:p>
        </w:tc>
        <w:tc>
          <w:tcPr>
            <w:tcW w:w="3280" w:type="dxa"/>
            <w:tcBorders>
              <w:top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rFonts w:eastAsia="SimHei"/>
                <w:color w:val="FF0000"/>
                <w:sz w:val="18"/>
              </w:rPr>
            </w:pPr>
          </w:p>
        </w:tc>
      </w:tr>
      <w:tr w:rsidR="001A7779">
        <w:tblPrEx>
          <w:tblCellMar>
            <w:top w:w="0" w:type="dxa"/>
            <w:bottom w:w="0" w:type="dxa"/>
          </w:tblCellMar>
        </w:tblPrEx>
        <w:trPr>
          <w:cantSplit/>
          <w:trHeight w:val="262"/>
        </w:trPr>
        <w:tc>
          <w:tcPr>
            <w:tcW w:w="328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40" w:lineRule="exact"/>
              <w:rPr>
                <w:sz w:val="18"/>
              </w:rPr>
            </w:pPr>
            <w:r>
              <w:rPr>
                <w:rFonts w:hint="eastAsia"/>
                <w:sz w:val="18"/>
              </w:rPr>
              <w:t>活动率</w:t>
            </w:r>
          </w:p>
        </w:tc>
        <w:tc>
          <w:tcPr>
            <w:tcW w:w="3280" w:type="dxa"/>
            <w:tcBorders>
              <w:top w:val="single" w:sz="4" w:space="0" w:color="auto"/>
              <w:left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50.0</w:t>
            </w:r>
          </w:p>
        </w:tc>
        <w:tc>
          <w:tcPr>
            <w:tcW w:w="3280" w:type="dxa"/>
            <w:tcBorders>
              <w:top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52.5</w:t>
            </w:r>
          </w:p>
        </w:tc>
      </w:tr>
      <w:tr w:rsidR="001A7779">
        <w:tblPrEx>
          <w:tblCellMar>
            <w:top w:w="0" w:type="dxa"/>
            <w:bottom w:w="0" w:type="dxa"/>
          </w:tblCellMar>
        </w:tblPrEx>
        <w:trPr>
          <w:cantSplit/>
          <w:trHeight w:val="247"/>
        </w:trPr>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rPr>
                <w:sz w:val="18"/>
              </w:rPr>
            </w:pPr>
            <w:r>
              <w:rPr>
                <w:rFonts w:hint="eastAsia"/>
                <w:sz w:val="18"/>
              </w:rPr>
              <w:t>就业</w:t>
            </w:r>
            <w:r>
              <w:rPr>
                <w:rFonts w:hint="eastAsia"/>
                <w:sz w:val="18"/>
              </w:rPr>
              <w:t>/</w:t>
            </w:r>
            <w:r>
              <w:rPr>
                <w:rFonts w:hint="eastAsia"/>
                <w:sz w:val="18"/>
              </w:rPr>
              <w:t>人口比率</w:t>
            </w:r>
          </w:p>
        </w:tc>
        <w:tc>
          <w:tcPr>
            <w:tcW w:w="328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46.5</w:t>
            </w:r>
          </w:p>
        </w:tc>
        <w:tc>
          <w:tcPr>
            <w:tcW w:w="3280" w:type="dxa"/>
            <w:tcBorders>
              <w:top w:val="single" w:sz="6" w:space="0" w:color="000000"/>
              <w:left w:val="single" w:sz="6" w:space="0" w:color="000000"/>
              <w:bottom w:val="single" w:sz="4" w:space="0" w:color="auto"/>
              <w:right w:val="single" w:sz="4" w:space="0" w:color="auto"/>
            </w:tcBorders>
          </w:tcPr>
          <w:p w:rsidR="001A7779" w:rsidRDefault="001A7779">
            <w:pPr>
              <w:tabs>
                <w:tab w:val="left" w:pos="630"/>
              </w:tabs>
              <w:spacing w:before="60" w:after="60" w:line="340" w:lineRule="exact"/>
              <w:jc w:val="center"/>
              <w:rPr>
                <w:sz w:val="18"/>
              </w:rPr>
            </w:pPr>
            <w:r>
              <w:rPr>
                <w:sz w:val="18"/>
              </w:rPr>
              <w:t>48.9</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225 </w:t>
      </w:r>
      <w:r>
        <w:rPr>
          <w:rFonts w:hint="eastAsia"/>
          <w:color w:val="000000"/>
          <w:sz w:val="18"/>
        </w:rPr>
        <w:t>和</w:t>
      </w:r>
      <w:r>
        <w:rPr>
          <w:color w:val="000000"/>
          <w:sz w:val="18"/>
        </w:rPr>
        <w:t xml:space="preserve"> 185</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33</w:t>
      </w:r>
      <w:r>
        <w:rPr>
          <w:rFonts w:ascii="SimHei" w:eastAsia="SimHei" w:hint="eastAsia"/>
          <w:color w:val="FF0000"/>
        </w:rPr>
        <w:t>：</w:t>
      </w:r>
      <w:r>
        <w:rPr>
          <w:rFonts w:ascii="SimHei" w:eastAsia="SimHei"/>
          <w:color w:val="FF0000"/>
        </w:rPr>
        <w:t xml:space="preserve">2003 </w:t>
      </w:r>
      <w:r>
        <w:rPr>
          <w:rFonts w:ascii="SimHei" w:eastAsia="SimHei" w:hint="eastAsia"/>
          <w:color w:val="FF0000"/>
        </w:rPr>
        <w:t>至</w:t>
      </w:r>
      <w:r>
        <w:rPr>
          <w:rFonts w:ascii="SimHei" w:eastAsia="SimHei"/>
          <w:color w:val="FF0000"/>
        </w:rPr>
        <w:t>2004</w:t>
      </w:r>
      <w:r>
        <w:rPr>
          <w:rFonts w:ascii="SimHei" w:eastAsia="SimHei" w:hint="eastAsia"/>
          <w:color w:val="FF0000"/>
        </w:rPr>
        <w:t>年按年龄组和性别分列的就业/人口比率（年平均数）</w:t>
      </w:r>
    </w:p>
    <w:tbl>
      <w:tblPr>
        <w:tblW w:w="9870" w:type="dxa"/>
        <w:tblLayout w:type="fixed"/>
        <w:tblCellMar>
          <w:left w:w="30" w:type="dxa"/>
          <w:right w:w="30" w:type="dxa"/>
        </w:tblCellMar>
        <w:tblLook w:val="0000" w:firstRow="0" w:lastRow="0" w:firstColumn="0" w:lastColumn="0" w:noHBand="0" w:noVBand="0"/>
      </w:tblPr>
      <w:tblGrid>
        <w:gridCol w:w="3290"/>
        <w:gridCol w:w="3290"/>
        <w:gridCol w:w="3290"/>
      </w:tblGrid>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rFonts w:ascii="SimHei" w:eastAsia="SimHei"/>
                <w:color w:val="FF0000"/>
                <w:sz w:val="18"/>
              </w:rPr>
            </w:pP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3290" w:type="dxa"/>
            <w:tcBorders>
              <w:top w:val="single" w:sz="4" w:space="0" w:color="auto"/>
              <w:left w:val="single" w:sz="6" w:space="0" w:color="000000"/>
              <w:bottom w:val="single" w:sz="4" w:space="0" w:color="auto"/>
              <w:right w:val="single" w:sz="4" w:space="0" w:color="auto"/>
            </w:tcBorders>
          </w:tcPr>
          <w:p w:rsidR="001A7779" w:rsidRDefault="001A7779">
            <w:pPr>
              <w:tabs>
                <w:tab w:val="left" w:pos="630"/>
              </w:tabs>
              <w:spacing w:before="60" w:after="60" w:line="334"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tcBorders>
          </w:tcPr>
          <w:p w:rsidR="001A7779" w:rsidRDefault="001A7779">
            <w:pPr>
              <w:tabs>
                <w:tab w:val="left" w:pos="630"/>
              </w:tabs>
              <w:spacing w:before="60" w:after="60" w:line="334" w:lineRule="exact"/>
              <w:jc w:val="center"/>
              <w:rPr>
                <w:rFonts w:eastAsia="SimHei"/>
                <w:color w:val="FF0000"/>
                <w:sz w:val="18"/>
              </w:rPr>
            </w:pPr>
          </w:p>
        </w:tc>
        <w:tc>
          <w:tcPr>
            <w:tcW w:w="3290" w:type="dxa"/>
            <w:tcBorders>
              <w:top w:val="single" w:sz="4" w:space="0" w:color="auto"/>
              <w:left w:val="nil"/>
              <w:bottom w:val="single" w:sz="4" w:space="0" w:color="auto"/>
            </w:tcBorders>
          </w:tcPr>
          <w:p w:rsidR="001A7779" w:rsidRDefault="001A7779">
            <w:pPr>
              <w:tabs>
                <w:tab w:val="left" w:pos="630"/>
              </w:tabs>
              <w:spacing w:before="60" w:after="60" w:line="334" w:lineRule="exact"/>
              <w:jc w:val="center"/>
              <w:rPr>
                <w:rFonts w:eastAsia="SimHei"/>
                <w:color w:val="FF0000"/>
                <w:sz w:val="18"/>
              </w:rPr>
            </w:pPr>
            <w:r>
              <w:rPr>
                <w:rFonts w:eastAsia="SimHei" w:hint="eastAsia"/>
                <w:color w:val="FF0000"/>
                <w:sz w:val="18"/>
              </w:rPr>
              <w:t>共计</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rFonts w:eastAsia="SimHei"/>
                <w:color w:val="FF0000"/>
                <w:sz w:val="18"/>
              </w:rPr>
            </w:pP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15-64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62.6</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65.3</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15-24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29.2</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34.0</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25-49</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85.5</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86.3</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50-64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41.4</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45.8</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65</w:t>
            </w:r>
            <w:r>
              <w:rPr>
                <w:rFonts w:hint="eastAsia"/>
                <w:sz w:val="18"/>
              </w:rPr>
              <w:t>岁及以上就业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6.2</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8.6</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tcBorders>
          </w:tcPr>
          <w:p w:rsidR="001A7779" w:rsidRDefault="001A7779">
            <w:pPr>
              <w:tabs>
                <w:tab w:val="left" w:pos="630"/>
              </w:tabs>
              <w:spacing w:before="60" w:after="60" w:line="334" w:lineRule="exact"/>
              <w:jc w:val="center"/>
              <w:rPr>
                <w:rFonts w:eastAsia="SimHei"/>
                <w:color w:val="FF0000"/>
                <w:sz w:val="18"/>
              </w:rPr>
            </w:pPr>
          </w:p>
        </w:tc>
        <w:tc>
          <w:tcPr>
            <w:tcW w:w="3290" w:type="dxa"/>
            <w:tcBorders>
              <w:top w:val="single" w:sz="4" w:space="0" w:color="auto"/>
              <w:bottom w:val="single" w:sz="4" w:space="0" w:color="auto"/>
            </w:tcBorders>
          </w:tcPr>
          <w:p w:rsidR="001A7779" w:rsidRDefault="001A7779">
            <w:pPr>
              <w:tabs>
                <w:tab w:val="left" w:pos="630"/>
              </w:tabs>
              <w:spacing w:before="60" w:after="60" w:line="334" w:lineRule="exact"/>
              <w:jc w:val="center"/>
              <w:rPr>
                <w:rFonts w:eastAsia="SimHei"/>
                <w:color w:val="FF0000"/>
                <w:sz w:val="18"/>
              </w:rPr>
            </w:pPr>
            <w:r>
              <w:rPr>
                <w:rFonts w:eastAsia="SimHei" w:hint="eastAsia"/>
                <w:color w:val="FF0000"/>
                <w:sz w:val="18"/>
              </w:rPr>
              <w:t>男</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rFonts w:eastAsia="SimHei"/>
                <w:color w:val="FF0000"/>
                <w:sz w:val="18"/>
              </w:rPr>
            </w:pP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15-64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67.4</w:t>
            </w:r>
          </w:p>
        </w:tc>
        <w:tc>
          <w:tcPr>
            <w:tcW w:w="3290" w:type="dxa"/>
            <w:tcBorders>
              <w:top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70.0</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15-24</w:t>
            </w:r>
            <w:r>
              <w:rPr>
                <w:rFonts w:hint="eastAsia"/>
                <w:sz w:val="18"/>
              </w:rPr>
              <w:t>岁就业</w:t>
            </w:r>
            <w:r>
              <w:rPr>
                <w:rFonts w:hint="eastAsia"/>
                <w:sz w:val="18"/>
              </w:rPr>
              <w:t>/</w:t>
            </w:r>
            <w:r>
              <w:rPr>
                <w:rFonts w:hint="eastAsia"/>
                <w:sz w:val="18"/>
              </w:rPr>
              <w:t>人口比率</w:t>
            </w:r>
          </w:p>
        </w:tc>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jc w:val="center"/>
              <w:rPr>
                <w:sz w:val="18"/>
              </w:rPr>
            </w:pPr>
            <w:r>
              <w:rPr>
                <w:sz w:val="18"/>
              </w:rPr>
              <w:t>33.7</w:t>
            </w:r>
          </w:p>
        </w:tc>
        <w:tc>
          <w:tcPr>
            <w:tcW w:w="3290" w:type="dxa"/>
            <w:tcBorders>
              <w:top w:val="single" w:sz="6" w:space="0" w:color="000000"/>
              <w:left w:val="single" w:sz="6" w:space="0" w:color="000000"/>
              <w:bottom w:val="single" w:sz="6" w:space="0" w:color="000000"/>
              <w:right w:val="single" w:sz="4" w:space="0" w:color="auto"/>
            </w:tcBorders>
          </w:tcPr>
          <w:p w:rsidR="001A7779" w:rsidRDefault="001A7779">
            <w:pPr>
              <w:tabs>
                <w:tab w:val="left" w:pos="630"/>
              </w:tabs>
              <w:spacing w:before="60" w:after="60" w:line="334" w:lineRule="exact"/>
              <w:jc w:val="center"/>
              <w:rPr>
                <w:sz w:val="18"/>
              </w:rPr>
            </w:pPr>
            <w:r>
              <w:rPr>
                <w:sz w:val="18"/>
              </w:rPr>
              <w:t>39.0</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25-49</w:t>
            </w:r>
            <w:r>
              <w:rPr>
                <w:rFonts w:hint="eastAsia"/>
                <w:sz w:val="18"/>
              </w:rPr>
              <w:t>岁就业</w:t>
            </w:r>
            <w:r>
              <w:rPr>
                <w:rFonts w:hint="eastAsia"/>
                <w:sz w:val="18"/>
              </w:rPr>
              <w:t>/</w:t>
            </w:r>
            <w:r>
              <w:rPr>
                <w:rFonts w:hint="eastAsia"/>
                <w:sz w:val="18"/>
              </w:rPr>
              <w:t>人口比率</w:t>
            </w:r>
          </w:p>
        </w:tc>
        <w:tc>
          <w:tcPr>
            <w:tcW w:w="329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87.5</w:t>
            </w:r>
          </w:p>
        </w:tc>
        <w:tc>
          <w:tcPr>
            <w:tcW w:w="3290" w:type="dxa"/>
            <w:tcBorders>
              <w:top w:val="single" w:sz="6" w:space="0" w:color="000000"/>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88.2</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50-64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51.4</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55.6</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 xml:space="preserve">65 </w:t>
            </w:r>
            <w:r>
              <w:rPr>
                <w:rFonts w:hint="eastAsia"/>
                <w:sz w:val="18"/>
              </w:rPr>
              <w:t>岁及以上就业</w:t>
            </w:r>
            <w:r>
              <w:rPr>
                <w:rFonts w:hint="eastAsia"/>
                <w:sz w:val="18"/>
              </w:rPr>
              <w:t>/</w:t>
            </w:r>
            <w:r>
              <w:rPr>
                <w:rFonts w:hint="eastAsia"/>
                <w:sz w:val="18"/>
              </w:rPr>
              <w:t>人口比率</w:t>
            </w:r>
          </w:p>
        </w:tc>
        <w:tc>
          <w:tcPr>
            <w:tcW w:w="32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9.5</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12.8</w:t>
            </w: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4" w:space="0" w:color="auto"/>
            </w:tcBorders>
          </w:tcPr>
          <w:p w:rsidR="001A7779" w:rsidRDefault="001A7779">
            <w:pPr>
              <w:tabs>
                <w:tab w:val="left" w:pos="630"/>
              </w:tabs>
              <w:spacing w:before="60" w:after="60" w:line="334" w:lineRule="exact"/>
              <w:jc w:val="center"/>
              <w:rPr>
                <w:rFonts w:eastAsia="SimHei"/>
                <w:color w:val="FF0000"/>
                <w:sz w:val="18"/>
              </w:rPr>
            </w:pPr>
          </w:p>
        </w:tc>
        <w:tc>
          <w:tcPr>
            <w:tcW w:w="3290" w:type="dxa"/>
            <w:tcBorders>
              <w:top w:val="single" w:sz="4" w:space="0" w:color="auto"/>
              <w:bottom w:val="single" w:sz="4" w:space="0" w:color="auto"/>
            </w:tcBorders>
          </w:tcPr>
          <w:p w:rsidR="001A7779" w:rsidRDefault="001A7779">
            <w:pPr>
              <w:tabs>
                <w:tab w:val="left" w:pos="630"/>
              </w:tabs>
              <w:spacing w:before="60" w:after="60" w:line="334" w:lineRule="exact"/>
              <w:jc w:val="center"/>
              <w:rPr>
                <w:rFonts w:eastAsia="SimHei"/>
                <w:color w:val="FF0000"/>
                <w:sz w:val="18"/>
              </w:rPr>
            </w:pPr>
            <w:r>
              <w:rPr>
                <w:rFonts w:eastAsia="SimHei" w:hint="eastAsia"/>
                <w:color w:val="FF0000"/>
                <w:sz w:val="18"/>
              </w:rPr>
              <w:t>女</w:t>
            </w:r>
          </w:p>
        </w:tc>
        <w:tc>
          <w:tcPr>
            <w:tcW w:w="3290" w:type="dxa"/>
            <w:tcBorders>
              <w:top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rFonts w:eastAsia="SimHei"/>
                <w:color w:val="FF0000"/>
                <w:sz w:val="18"/>
              </w:rPr>
            </w:pPr>
          </w:p>
        </w:tc>
      </w:tr>
      <w:tr w:rsidR="001A7779">
        <w:tblPrEx>
          <w:tblCellMar>
            <w:top w:w="0" w:type="dxa"/>
            <w:bottom w:w="0" w:type="dxa"/>
          </w:tblCellMar>
        </w:tblPrEx>
        <w:trPr>
          <w:cantSplit/>
        </w:trPr>
        <w:tc>
          <w:tcPr>
            <w:tcW w:w="3290" w:type="dxa"/>
            <w:tcBorders>
              <w:top w:val="single" w:sz="4" w:space="0" w:color="auto"/>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15-64</w:t>
            </w:r>
            <w:r>
              <w:rPr>
                <w:rFonts w:hint="eastAsia"/>
                <w:sz w:val="18"/>
              </w:rPr>
              <w:t>岁就业</w:t>
            </w:r>
            <w:r>
              <w:rPr>
                <w:rFonts w:hint="eastAsia"/>
                <w:sz w:val="18"/>
              </w:rPr>
              <w:t>/</w:t>
            </w:r>
            <w:r>
              <w:rPr>
                <w:rFonts w:hint="eastAsia"/>
                <w:sz w:val="18"/>
              </w:rPr>
              <w:t>人口比率</w:t>
            </w:r>
          </w:p>
        </w:tc>
        <w:tc>
          <w:tcPr>
            <w:tcW w:w="3290" w:type="dxa"/>
            <w:tcBorders>
              <w:top w:val="single" w:sz="4" w:space="0" w:color="auto"/>
              <w:left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57.6</w:t>
            </w:r>
          </w:p>
        </w:tc>
        <w:tc>
          <w:tcPr>
            <w:tcW w:w="3290" w:type="dxa"/>
            <w:tcBorders>
              <w:top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60.5</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15-24</w:t>
            </w:r>
            <w:r>
              <w:rPr>
                <w:rFonts w:hint="eastAsia"/>
                <w:sz w:val="18"/>
              </w:rPr>
              <w:t>岁就业</w:t>
            </w:r>
            <w:r>
              <w:rPr>
                <w:rFonts w:hint="eastAsia"/>
                <w:sz w:val="18"/>
              </w:rPr>
              <w:t>/</w:t>
            </w:r>
            <w:r>
              <w:rPr>
                <w:rFonts w:hint="eastAsia"/>
                <w:sz w:val="18"/>
              </w:rPr>
              <w:t>人口比率</w:t>
            </w:r>
          </w:p>
        </w:tc>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jc w:val="center"/>
              <w:rPr>
                <w:sz w:val="18"/>
              </w:rPr>
            </w:pPr>
            <w:r>
              <w:rPr>
                <w:sz w:val="18"/>
              </w:rPr>
              <w:t>24.4</w:t>
            </w:r>
          </w:p>
        </w:tc>
        <w:tc>
          <w:tcPr>
            <w:tcW w:w="3290" w:type="dxa"/>
            <w:tcBorders>
              <w:top w:val="single" w:sz="6" w:space="0" w:color="000000"/>
              <w:left w:val="single" w:sz="6" w:space="0" w:color="000000"/>
              <w:bottom w:val="single" w:sz="6" w:space="0" w:color="000000"/>
              <w:right w:val="single" w:sz="4" w:space="0" w:color="auto"/>
            </w:tcBorders>
          </w:tcPr>
          <w:p w:rsidR="001A7779" w:rsidRDefault="001A7779">
            <w:pPr>
              <w:tabs>
                <w:tab w:val="left" w:pos="630"/>
              </w:tabs>
              <w:spacing w:before="60" w:after="60" w:line="334" w:lineRule="exact"/>
              <w:jc w:val="center"/>
              <w:rPr>
                <w:sz w:val="18"/>
              </w:rPr>
            </w:pPr>
            <w:r>
              <w:rPr>
                <w:sz w:val="18"/>
              </w:rPr>
              <w:t>28.7</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25-49</w:t>
            </w:r>
            <w:r>
              <w:rPr>
                <w:rFonts w:hint="eastAsia"/>
                <w:sz w:val="18"/>
              </w:rPr>
              <w:t>岁就业</w:t>
            </w:r>
            <w:r>
              <w:rPr>
                <w:rFonts w:hint="eastAsia"/>
                <w:sz w:val="18"/>
              </w:rPr>
              <w:t>/</w:t>
            </w:r>
            <w:r>
              <w:rPr>
                <w:rFonts w:hint="eastAsia"/>
                <w:sz w:val="18"/>
              </w:rPr>
              <w:t>人口比率</w:t>
            </w:r>
          </w:p>
        </w:tc>
        <w:tc>
          <w:tcPr>
            <w:tcW w:w="3290" w:type="dxa"/>
            <w:tcBorders>
              <w:left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83.4</w:t>
            </w:r>
          </w:p>
        </w:tc>
        <w:tc>
          <w:tcPr>
            <w:tcW w:w="3290" w:type="dxa"/>
            <w:tcBorders>
              <w:right w:val="single" w:sz="4" w:space="0" w:color="auto"/>
            </w:tcBorders>
          </w:tcPr>
          <w:p w:rsidR="001A7779" w:rsidRDefault="001A7779">
            <w:pPr>
              <w:tabs>
                <w:tab w:val="left" w:pos="630"/>
              </w:tabs>
              <w:spacing w:before="60" w:after="60" w:line="334" w:lineRule="exact"/>
              <w:jc w:val="center"/>
              <w:rPr>
                <w:sz w:val="18"/>
              </w:rPr>
            </w:pPr>
            <w:r>
              <w:rPr>
                <w:sz w:val="18"/>
              </w:rPr>
              <w:t>84.3</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6" w:space="0" w:color="000000"/>
              <w:right w:val="single" w:sz="4" w:space="0" w:color="auto"/>
            </w:tcBorders>
          </w:tcPr>
          <w:p w:rsidR="001A7779" w:rsidRDefault="001A7779">
            <w:pPr>
              <w:tabs>
                <w:tab w:val="left" w:pos="630"/>
              </w:tabs>
              <w:spacing w:before="60" w:after="60" w:line="334" w:lineRule="exact"/>
              <w:rPr>
                <w:sz w:val="18"/>
              </w:rPr>
            </w:pPr>
            <w:r>
              <w:rPr>
                <w:sz w:val="18"/>
              </w:rPr>
              <w:t>50-64</w:t>
            </w:r>
            <w:r>
              <w:rPr>
                <w:rFonts w:hint="eastAsia"/>
                <w:sz w:val="18"/>
              </w:rPr>
              <w:t>岁就业</w:t>
            </w:r>
            <w:r>
              <w:rPr>
                <w:rFonts w:hint="eastAsia"/>
                <w:sz w:val="18"/>
              </w:rPr>
              <w:t>/</w:t>
            </w:r>
            <w:r>
              <w:rPr>
                <w:rFonts w:hint="eastAsia"/>
                <w:sz w:val="18"/>
              </w:rPr>
              <w:t>人口比率</w:t>
            </w:r>
          </w:p>
        </w:tc>
        <w:tc>
          <w:tcPr>
            <w:tcW w:w="3290" w:type="dxa"/>
            <w:tcBorders>
              <w:left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31.2</w:t>
            </w:r>
          </w:p>
        </w:tc>
        <w:tc>
          <w:tcPr>
            <w:tcW w:w="3290" w:type="dxa"/>
            <w:tcBorders>
              <w:right w:val="single" w:sz="4" w:space="0" w:color="auto"/>
            </w:tcBorders>
          </w:tcPr>
          <w:p w:rsidR="001A7779" w:rsidRDefault="001A7779">
            <w:pPr>
              <w:tabs>
                <w:tab w:val="left" w:pos="630"/>
              </w:tabs>
              <w:spacing w:before="60" w:after="60" w:line="334" w:lineRule="exact"/>
              <w:jc w:val="center"/>
              <w:rPr>
                <w:sz w:val="18"/>
              </w:rPr>
            </w:pPr>
            <w:r>
              <w:rPr>
                <w:sz w:val="18"/>
              </w:rPr>
              <w:t>36.1</w:t>
            </w:r>
          </w:p>
        </w:tc>
      </w:tr>
      <w:tr w:rsidR="001A7779">
        <w:tblPrEx>
          <w:tblCellMar>
            <w:top w:w="0" w:type="dxa"/>
            <w:bottom w:w="0" w:type="dxa"/>
          </w:tblCellMar>
        </w:tblPrEx>
        <w:trPr>
          <w:cantSplit/>
        </w:trPr>
        <w:tc>
          <w:tcPr>
            <w:tcW w:w="3290" w:type="dxa"/>
            <w:tcBorders>
              <w:top w:val="single" w:sz="6" w:space="0" w:color="000000"/>
              <w:left w:val="single" w:sz="4" w:space="0" w:color="auto"/>
              <w:bottom w:val="single" w:sz="4" w:space="0" w:color="auto"/>
              <w:right w:val="single" w:sz="4" w:space="0" w:color="auto"/>
            </w:tcBorders>
          </w:tcPr>
          <w:p w:rsidR="001A7779" w:rsidRDefault="001A7779">
            <w:pPr>
              <w:tabs>
                <w:tab w:val="left" w:pos="630"/>
              </w:tabs>
              <w:spacing w:before="60" w:after="60" w:line="334" w:lineRule="exact"/>
              <w:rPr>
                <w:sz w:val="18"/>
              </w:rPr>
            </w:pPr>
            <w:r>
              <w:rPr>
                <w:sz w:val="18"/>
              </w:rPr>
              <w:t>65</w:t>
            </w:r>
            <w:r>
              <w:rPr>
                <w:rFonts w:hint="eastAsia"/>
                <w:sz w:val="18"/>
              </w:rPr>
              <w:t>岁及以上就业</w:t>
            </w:r>
            <w:r>
              <w:rPr>
                <w:rFonts w:hint="eastAsia"/>
                <w:sz w:val="18"/>
              </w:rPr>
              <w:t>/</w:t>
            </w:r>
            <w:r>
              <w:rPr>
                <w:rFonts w:hint="eastAsia"/>
                <w:sz w:val="18"/>
              </w:rPr>
              <w:t>人口比率</w:t>
            </w:r>
          </w:p>
        </w:tc>
        <w:tc>
          <w:tcPr>
            <w:tcW w:w="3290" w:type="dxa"/>
            <w:tcBorders>
              <w:left w:val="single" w:sz="4" w:space="0" w:color="auto"/>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4.2</w:t>
            </w:r>
          </w:p>
        </w:tc>
        <w:tc>
          <w:tcPr>
            <w:tcW w:w="3290" w:type="dxa"/>
            <w:tcBorders>
              <w:bottom w:val="single" w:sz="4" w:space="0" w:color="auto"/>
              <w:right w:val="single" w:sz="4" w:space="0" w:color="auto"/>
            </w:tcBorders>
          </w:tcPr>
          <w:p w:rsidR="001A7779" w:rsidRDefault="001A7779">
            <w:pPr>
              <w:tabs>
                <w:tab w:val="left" w:pos="630"/>
              </w:tabs>
              <w:spacing w:before="60" w:after="60" w:line="334" w:lineRule="exact"/>
              <w:jc w:val="center"/>
              <w:rPr>
                <w:sz w:val="18"/>
              </w:rPr>
            </w:pPr>
            <w:r>
              <w:rPr>
                <w:sz w:val="18"/>
              </w:rPr>
              <w:t>6.0</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225 </w:t>
      </w:r>
      <w:r>
        <w:rPr>
          <w:rFonts w:hint="eastAsia"/>
          <w:color w:val="000000"/>
          <w:sz w:val="18"/>
        </w:rPr>
        <w:t>和</w:t>
      </w:r>
      <w:r>
        <w:rPr>
          <w:color w:val="000000"/>
          <w:sz w:val="18"/>
        </w:rPr>
        <w:t>185</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34</w:t>
      </w:r>
      <w:r>
        <w:rPr>
          <w:rFonts w:ascii="SimHei" w:eastAsia="SimHei" w:hint="eastAsia"/>
          <w:color w:val="FF0000"/>
        </w:rPr>
        <w:t>：</w:t>
      </w:r>
      <w:r>
        <w:rPr>
          <w:rFonts w:ascii="SimHei" w:eastAsia="SimHei"/>
          <w:color w:val="FF0000"/>
        </w:rPr>
        <w:t xml:space="preserve">2003 </w:t>
      </w:r>
      <w:r>
        <w:rPr>
          <w:rFonts w:ascii="SimHei" w:eastAsia="SimHei" w:hint="eastAsia"/>
          <w:color w:val="FF0000"/>
        </w:rPr>
        <w:t>至</w:t>
      </w:r>
      <w:r>
        <w:rPr>
          <w:rFonts w:ascii="SimHei" w:eastAsia="SimHei"/>
          <w:color w:val="FF0000"/>
        </w:rPr>
        <w:t xml:space="preserve"> 2004</w:t>
      </w:r>
      <w:r>
        <w:rPr>
          <w:rFonts w:ascii="SimHei" w:eastAsia="SimHei" w:hint="eastAsia"/>
          <w:color w:val="FF0000"/>
        </w:rPr>
        <w:t>年按主要职业群体分列的从业者中妇女所占比例（年平均数）</w:t>
      </w: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110"/>
        <w:gridCol w:w="2880"/>
        <w:gridCol w:w="2880"/>
      </w:tblGrid>
      <w:tr w:rsidR="001A7779">
        <w:tblPrEx>
          <w:tblCellMar>
            <w:top w:w="0" w:type="dxa"/>
            <w:bottom w:w="0" w:type="dxa"/>
          </w:tblCellMar>
        </w:tblPrEx>
        <w:trPr>
          <w:cantSplit/>
          <w:trHeight w:val="276"/>
          <w:tblHeader/>
        </w:trPr>
        <w:tc>
          <w:tcPr>
            <w:tcW w:w="4110" w:type="dxa"/>
          </w:tcPr>
          <w:p w:rsidR="001A7779" w:rsidRDefault="001A7779">
            <w:pPr>
              <w:tabs>
                <w:tab w:val="left" w:pos="630"/>
              </w:tabs>
              <w:spacing w:before="60" w:after="60" w:line="360" w:lineRule="exact"/>
              <w:rPr>
                <w:rFonts w:ascii="SimHei"/>
                <w:color w:val="FF0000"/>
                <w:sz w:val="18"/>
              </w:rPr>
            </w:pPr>
          </w:p>
        </w:tc>
        <w:tc>
          <w:tcPr>
            <w:tcW w:w="2880" w:type="dxa"/>
          </w:tcPr>
          <w:p w:rsidR="001A7779" w:rsidRDefault="001A7779">
            <w:pPr>
              <w:tabs>
                <w:tab w:val="left" w:pos="630"/>
              </w:tabs>
              <w:spacing w:before="60" w:after="60" w:line="360" w:lineRule="exact"/>
              <w:jc w:val="center"/>
              <w:rPr>
                <w:rFonts w:ascii="SimHei"/>
                <w:color w:val="FF0000"/>
                <w:sz w:val="18"/>
              </w:rPr>
            </w:pPr>
            <w:r>
              <w:rPr>
                <w:rFonts w:ascii="SimHei"/>
                <w:color w:val="FF0000"/>
                <w:sz w:val="18"/>
              </w:rPr>
              <w:t>2003</w:t>
            </w:r>
            <w:r>
              <w:rPr>
                <w:rFonts w:ascii="SimHei" w:eastAsia="SimHei" w:hint="eastAsia"/>
                <w:color w:val="FF0000"/>
                <w:sz w:val="18"/>
              </w:rPr>
              <w:t>年</w:t>
            </w:r>
          </w:p>
        </w:tc>
        <w:tc>
          <w:tcPr>
            <w:tcW w:w="2880" w:type="dxa"/>
          </w:tcPr>
          <w:p w:rsidR="001A7779" w:rsidRDefault="001A7779">
            <w:pPr>
              <w:tabs>
                <w:tab w:val="left" w:pos="630"/>
              </w:tabs>
              <w:spacing w:before="60" w:after="60" w:line="360" w:lineRule="exact"/>
              <w:jc w:val="center"/>
              <w:rPr>
                <w:rFonts w:ascii="SimHei"/>
                <w:color w:val="FF0000"/>
                <w:sz w:val="18"/>
              </w:rPr>
            </w:pPr>
            <w:r>
              <w:rPr>
                <w:rFonts w:ascii="SimHei"/>
                <w:color w:val="FF0000"/>
                <w:sz w:val="18"/>
              </w:rPr>
              <w:t>2004</w:t>
            </w:r>
            <w:r>
              <w:rPr>
                <w:rFonts w:ascii="SimHei" w:eastAsia="SimHei" w:hint="eastAsia"/>
                <w:color w:val="FF0000"/>
                <w:sz w:val="18"/>
              </w:rPr>
              <w:t>年</w:t>
            </w:r>
          </w:p>
        </w:tc>
      </w:tr>
      <w:tr w:rsidR="001A7779">
        <w:tblPrEx>
          <w:tblCellMar>
            <w:top w:w="0" w:type="dxa"/>
            <w:bottom w:w="0" w:type="dxa"/>
          </w:tblCellMar>
        </w:tblPrEx>
        <w:trPr>
          <w:cantSplit/>
          <w:trHeight w:val="262"/>
        </w:trPr>
        <w:tc>
          <w:tcPr>
            <w:tcW w:w="4110" w:type="dxa"/>
          </w:tcPr>
          <w:p w:rsidR="001A7779" w:rsidRDefault="001A7779">
            <w:pPr>
              <w:tabs>
                <w:tab w:val="left" w:pos="630"/>
              </w:tabs>
              <w:spacing w:before="60" w:after="60" w:line="360" w:lineRule="exact"/>
              <w:rPr>
                <w:sz w:val="18"/>
              </w:rPr>
            </w:pPr>
            <w:r>
              <w:rPr>
                <w:rFonts w:hint="eastAsia"/>
                <w:sz w:val="18"/>
              </w:rPr>
              <w:t>共计</w:t>
            </w:r>
          </w:p>
        </w:tc>
        <w:tc>
          <w:tcPr>
            <w:tcW w:w="2880" w:type="dxa"/>
          </w:tcPr>
          <w:p w:rsidR="001A7779" w:rsidRDefault="001A7779">
            <w:pPr>
              <w:tabs>
                <w:tab w:val="left" w:pos="630"/>
              </w:tabs>
              <w:spacing w:before="60" w:after="60" w:line="360" w:lineRule="exact"/>
              <w:jc w:val="center"/>
              <w:rPr>
                <w:sz w:val="18"/>
              </w:rPr>
            </w:pPr>
            <w:r>
              <w:rPr>
                <w:sz w:val="18"/>
              </w:rPr>
              <w:t>45.4</w:t>
            </w:r>
          </w:p>
        </w:tc>
        <w:tc>
          <w:tcPr>
            <w:tcW w:w="2880" w:type="dxa"/>
          </w:tcPr>
          <w:p w:rsidR="001A7779" w:rsidRDefault="001A7779">
            <w:pPr>
              <w:tabs>
                <w:tab w:val="left" w:pos="630"/>
              </w:tabs>
              <w:spacing w:before="60" w:after="60" w:line="360" w:lineRule="exact"/>
              <w:jc w:val="center"/>
              <w:rPr>
                <w:sz w:val="18"/>
              </w:rPr>
            </w:pPr>
            <w:r>
              <w:rPr>
                <w:sz w:val="18"/>
              </w:rPr>
              <w:t>45.6</w:t>
            </w:r>
          </w:p>
        </w:tc>
      </w:tr>
      <w:tr w:rsidR="001A7779">
        <w:tblPrEx>
          <w:tblCellMar>
            <w:top w:w="0" w:type="dxa"/>
            <w:bottom w:w="0" w:type="dxa"/>
          </w:tblCellMar>
        </w:tblPrEx>
        <w:trPr>
          <w:cantSplit/>
          <w:trHeight w:val="247"/>
        </w:trPr>
        <w:tc>
          <w:tcPr>
            <w:tcW w:w="4110" w:type="dxa"/>
          </w:tcPr>
          <w:p w:rsidR="001A7779" w:rsidRDefault="001A7779">
            <w:pPr>
              <w:pStyle w:val="a3"/>
              <w:tabs>
                <w:tab w:val="left" w:pos="630"/>
              </w:tabs>
              <w:adjustRightInd w:val="0"/>
              <w:spacing w:before="60" w:after="60" w:line="360" w:lineRule="exact"/>
              <w:textAlignment w:val="baseline"/>
              <w:rPr>
                <w:kern w:val="0"/>
                <w:szCs w:val="20"/>
              </w:rPr>
            </w:pPr>
            <w:r>
              <w:rPr>
                <w:rFonts w:hint="eastAsia"/>
                <w:kern w:val="0"/>
                <w:szCs w:val="20"/>
              </w:rPr>
              <w:t>立法者和管理人员</w:t>
            </w:r>
          </w:p>
        </w:tc>
        <w:tc>
          <w:tcPr>
            <w:tcW w:w="2880" w:type="dxa"/>
          </w:tcPr>
          <w:p w:rsidR="001A7779" w:rsidRDefault="001A7779">
            <w:pPr>
              <w:tabs>
                <w:tab w:val="left" w:pos="630"/>
              </w:tabs>
              <w:spacing w:before="60" w:after="60" w:line="360" w:lineRule="exact"/>
              <w:jc w:val="center"/>
              <w:rPr>
                <w:sz w:val="18"/>
              </w:rPr>
            </w:pPr>
            <w:r>
              <w:rPr>
                <w:sz w:val="18"/>
              </w:rPr>
              <w:t>33.2</w:t>
            </w:r>
          </w:p>
        </w:tc>
        <w:tc>
          <w:tcPr>
            <w:tcW w:w="2880" w:type="dxa"/>
          </w:tcPr>
          <w:p w:rsidR="001A7779" w:rsidRDefault="001A7779">
            <w:pPr>
              <w:tabs>
                <w:tab w:val="left" w:pos="630"/>
              </w:tabs>
              <w:spacing w:before="60" w:after="60" w:line="360" w:lineRule="exact"/>
              <w:jc w:val="center"/>
              <w:rPr>
                <w:sz w:val="18"/>
              </w:rPr>
            </w:pPr>
            <w:r>
              <w:rPr>
                <w:sz w:val="18"/>
              </w:rPr>
              <w:t>33.3</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专业人员</w:t>
            </w:r>
          </w:p>
        </w:tc>
        <w:tc>
          <w:tcPr>
            <w:tcW w:w="2880" w:type="dxa"/>
          </w:tcPr>
          <w:p w:rsidR="001A7779" w:rsidRDefault="001A7779">
            <w:pPr>
              <w:tabs>
                <w:tab w:val="left" w:pos="630"/>
              </w:tabs>
              <w:spacing w:before="60" w:after="60" w:line="360" w:lineRule="exact"/>
              <w:jc w:val="center"/>
              <w:rPr>
                <w:sz w:val="18"/>
              </w:rPr>
            </w:pPr>
            <w:r>
              <w:rPr>
                <w:sz w:val="18"/>
              </w:rPr>
              <w:t>59.6</w:t>
            </w:r>
          </w:p>
        </w:tc>
        <w:tc>
          <w:tcPr>
            <w:tcW w:w="2880" w:type="dxa"/>
          </w:tcPr>
          <w:p w:rsidR="001A7779" w:rsidRDefault="001A7779">
            <w:pPr>
              <w:tabs>
                <w:tab w:val="left" w:pos="630"/>
              </w:tabs>
              <w:spacing w:before="60" w:after="60" w:line="360" w:lineRule="exact"/>
              <w:jc w:val="center"/>
              <w:rPr>
                <w:sz w:val="18"/>
              </w:rPr>
            </w:pPr>
            <w:r>
              <w:rPr>
                <w:sz w:val="18"/>
              </w:rPr>
              <w:t>60.2</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技术员</w:t>
            </w:r>
          </w:p>
        </w:tc>
        <w:tc>
          <w:tcPr>
            <w:tcW w:w="2880" w:type="dxa"/>
          </w:tcPr>
          <w:p w:rsidR="001A7779" w:rsidRDefault="001A7779">
            <w:pPr>
              <w:tabs>
                <w:tab w:val="left" w:pos="630"/>
              </w:tabs>
              <w:spacing w:before="60" w:after="60" w:line="360" w:lineRule="exact"/>
              <w:jc w:val="center"/>
              <w:rPr>
                <w:sz w:val="18"/>
              </w:rPr>
            </w:pPr>
            <w:r>
              <w:rPr>
                <w:sz w:val="18"/>
              </w:rPr>
              <w:t>53.3</w:t>
            </w:r>
          </w:p>
        </w:tc>
        <w:tc>
          <w:tcPr>
            <w:tcW w:w="2880" w:type="dxa"/>
          </w:tcPr>
          <w:p w:rsidR="001A7779" w:rsidRDefault="001A7779">
            <w:pPr>
              <w:tabs>
                <w:tab w:val="left" w:pos="630"/>
              </w:tabs>
              <w:spacing w:before="60" w:after="60" w:line="360" w:lineRule="exact"/>
              <w:jc w:val="center"/>
              <w:rPr>
                <w:sz w:val="18"/>
              </w:rPr>
            </w:pPr>
            <w:r>
              <w:rPr>
                <w:sz w:val="18"/>
              </w:rPr>
              <w:t>53.6</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办事员</w:t>
            </w:r>
          </w:p>
        </w:tc>
        <w:tc>
          <w:tcPr>
            <w:tcW w:w="2880" w:type="dxa"/>
          </w:tcPr>
          <w:p w:rsidR="001A7779" w:rsidRDefault="001A7779">
            <w:pPr>
              <w:tabs>
                <w:tab w:val="left" w:pos="630"/>
              </w:tabs>
              <w:spacing w:before="60" w:after="60" w:line="360" w:lineRule="exact"/>
              <w:jc w:val="center"/>
              <w:rPr>
                <w:sz w:val="18"/>
              </w:rPr>
            </w:pPr>
            <w:r>
              <w:rPr>
                <w:sz w:val="18"/>
              </w:rPr>
              <w:t>65.4</w:t>
            </w:r>
          </w:p>
        </w:tc>
        <w:tc>
          <w:tcPr>
            <w:tcW w:w="2880" w:type="dxa"/>
          </w:tcPr>
          <w:p w:rsidR="001A7779" w:rsidRDefault="001A7779">
            <w:pPr>
              <w:tabs>
                <w:tab w:val="left" w:pos="630"/>
              </w:tabs>
              <w:spacing w:before="60" w:after="60" w:line="360" w:lineRule="exact"/>
              <w:jc w:val="center"/>
              <w:rPr>
                <w:sz w:val="18"/>
              </w:rPr>
            </w:pPr>
            <w:r>
              <w:rPr>
                <w:sz w:val="18"/>
              </w:rPr>
              <w:t>65.3</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服务和销售人员</w:t>
            </w:r>
          </w:p>
        </w:tc>
        <w:tc>
          <w:tcPr>
            <w:tcW w:w="2880" w:type="dxa"/>
          </w:tcPr>
          <w:p w:rsidR="001A7779" w:rsidRDefault="001A7779">
            <w:pPr>
              <w:tabs>
                <w:tab w:val="left" w:pos="630"/>
              </w:tabs>
              <w:spacing w:before="60" w:after="60" w:line="360" w:lineRule="exact"/>
              <w:jc w:val="center"/>
              <w:rPr>
                <w:sz w:val="18"/>
              </w:rPr>
            </w:pPr>
            <w:r>
              <w:rPr>
                <w:sz w:val="18"/>
              </w:rPr>
              <w:t>64.9</w:t>
            </w:r>
          </w:p>
        </w:tc>
        <w:tc>
          <w:tcPr>
            <w:tcW w:w="2880" w:type="dxa"/>
          </w:tcPr>
          <w:p w:rsidR="001A7779" w:rsidRDefault="001A7779">
            <w:pPr>
              <w:tabs>
                <w:tab w:val="left" w:pos="630"/>
              </w:tabs>
              <w:spacing w:before="60" w:after="60" w:line="360" w:lineRule="exact"/>
              <w:jc w:val="center"/>
              <w:rPr>
                <w:sz w:val="18"/>
              </w:rPr>
            </w:pPr>
            <w:r>
              <w:rPr>
                <w:sz w:val="18"/>
              </w:rPr>
              <w:t>63.8</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农业和渔业工人</w:t>
            </w:r>
          </w:p>
        </w:tc>
        <w:tc>
          <w:tcPr>
            <w:tcW w:w="2880" w:type="dxa"/>
          </w:tcPr>
          <w:p w:rsidR="001A7779" w:rsidRDefault="001A7779">
            <w:pPr>
              <w:tabs>
                <w:tab w:val="left" w:pos="630"/>
              </w:tabs>
              <w:spacing w:before="60" w:after="60" w:line="360" w:lineRule="exact"/>
              <w:jc w:val="center"/>
              <w:rPr>
                <w:sz w:val="18"/>
              </w:rPr>
            </w:pPr>
            <w:r>
              <w:rPr>
                <w:sz w:val="18"/>
              </w:rPr>
              <w:t>43.7</w:t>
            </w:r>
          </w:p>
        </w:tc>
        <w:tc>
          <w:tcPr>
            <w:tcW w:w="2880" w:type="dxa"/>
          </w:tcPr>
          <w:p w:rsidR="001A7779" w:rsidRDefault="001A7779">
            <w:pPr>
              <w:tabs>
                <w:tab w:val="left" w:pos="630"/>
              </w:tabs>
              <w:spacing w:before="60" w:after="60" w:line="360" w:lineRule="exact"/>
              <w:jc w:val="center"/>
              <w:rPr>
                <w:sz w:val="18"/>
              </w:rPr>
            </w:pPr>
            <w:r>
              <w:rPr>
                <w:sz w:val="18"/>
              </w:rPr>
              <w:t>45.5</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rFonts w:hint="eastAsia"/>
                <w:sz w:val="18"/>
              </w:rPr>
              <w:t>工艺和相关行业工人</w:t>
            </w:r>
          </w:p>
        </w:tc>
        <w:tc>
          <w:tcPr>
            <w:tcW w:w="2880" w:type="dxa"/>
          </w:tcPr>
          <w:p w:rsidR="001A7779" w:rsidRDefault="001A7779">
            <w:pPr>
              <w:tabs>
                <w:tab w:val="left" w:pos="630"/>
              </w:tabs>
              <w:spacing w:before="60" w:after="60" w:line="360" w:lineRule="exact"/>
              <w:jc w:val="center"/>
              <w:rPr>
                <w:sz w:val="18"/>
              </w:rPr>
            </w:pPr>
            <w:r>
              <w:rPr>
                <w:sz w:val="18"/>
              </w:rPr>
              <w:t>8.0</w:t>
            </w:r>
          </w:p>
        </w:tc>
        <w:tc>
          <w:tcPr>
            <w:tcW w:w="2880" w:type="dxa"/>
          </w:tcPr>
          <w:p w:rsidR="001A7779" w:rsidRDefault="001A7779">
            <w:pPr>
              <w:tabs>
                <w:tab w:val="left" w:pos="630"/>
              </w:tabs>
              <w:spacing w:before="60" w:after="60" w:line="360" w:lineRule="exact"/>
              <w:jc w:val="center"/>
              <w:rPr>
                <w:sz w:val="18"/>
              </w:rPr>
            </w:pPr>
            <w:r>
              <w:rPr>
                <w:sz w:val="18"/>
              </w:rPr>
              <w:t>8.2</w:t>
            </w:r>
          </w:p>
        </w:tc>
      </w:tr>
      <w:tr w:rsidR="001A7779">
        <w:tblPrEx>
          <w:tblCellMar>
            <w:top w:w="0" w:type="dxa"/>
            <w:bottom w:w="0" w:type="dxa"/>
          </w:tblCellMar>
        </w:tblPrEx>
        <w:trPr>
          <w:cantSplit/>
          <w:trHeight w:val="247"/>
        </w:trPr>
        <w:tc>
          <w:tcPr>
            <w:tcW w:w="4110" w:type="dxa"/>
          </w:tcPr>
          <w:p w:rsidR="001A7779" w:rsidRDefault="001A7779">
            <w:pPr>
              <w:tabs>
                <w:tab w:val="left" w:pos="630"/>
              </w:tabs>
              <w:spacing w:before="60" w:after="60" w:line="360" w:lineRule="exact"/>
              <w:rPr>
                <w:sz w:val="18"/>
              </w:rPr>
            </w:pPr>
            <w:r>
              <w:rPr>
                <w:sz w:val="18"/>
              </w:rPr>
              <w:t>机台及机器操作员</w:t>
            </w:r>
            <w:r>
              <w:rPr>
                <w:rFonts w:hint="eastAsia"/>
                <w:sz w:val="18"/>
              </w:rPr>
              <w:t>和</w:t>
            </w:r>
            <w:r>
              <w:rPr>
                <w:sz w:val="18"/>
              </w:rPr>
              <w:t>装配员</w:t>
            </w:r>
          </w:p>
        </w:tc>
        <w:tc>
          <w:tcPr>
            <w:tcW w:w="2880" w:type="dxa"/>
          </w:tcPr>
          <w:p w:rsidR="001A7779" w:rsidRDefault="001A7779">
            <w:pPr>
              <w:tabs>
                <w:tab w:val="left" w:pos="630"/>
              </w:tabs>
              <w:spacing w:before="60" w:after="60" w:line="360" w:lineRule="exact"/>
              <w:jc w:val="center"/>
              <w:rPr>
                <w:sz w:val="18"/>
              </w:rPr>
            </w:pPr>
            <w:r>
              <w:rPr>
                <w:sz w:val="18"/>
              </w:rPr>
              <w:t>35.2</w:t>
            </w:r>
          </w:p>
        </w:tc>
        <w:tc>
          <w:tcPr>
            <w:tcW w:w="2880" w:type="dxa"/>
          </w:tcPr>
          <w:p w:rsidR="001A7779" w:rsidRDefault="001A7779">
            <w:pPr>
              <w:tabs>
                <w:tab w:val="left" w:pos="630"/>
              </w:tabs>
              <w:spacing w:before="60" w:after="60" w:line="360" w:lineRule="exact"/>
              <w:jc w:val="center"/>
              <w:rPr>
                <w:sz w:val="18"/>
              </w:rPr>
            </w:pPr>
            <w:r>
              <w:rPr>
                <w:sz w:val="18"/>
              </w:rPr>
              <w:t>34.0</w:t>
            </w:r>
          </w:p>
        </w:tc>
      </w:tr>
      <w:tr w:rsidR="001A7779">
        <w:tblPrEx>
          <w:tblCellMar>
            <w:top w:w="0" w:type="dxa"/>
            <w:bottom w:w="0" w:type="dxa"/>
          </w:tblCellMar>
        </w:tblPrEx>
        <w:trPr>
          <w:cantSplit/>
          <w:trHeight w:val="134"/>
        </w:trPr>
        <w:tc>
          <w:tcPr>
            <w:tcW w:w="4110" w:type="dxa"/>
          </w:tcPr>
          <w:p w:rsidR="001A7779" w:rsidRDefault="001A7779">
            <w:pPr>
              <w:tabs>
                <w:tab w:val="left" w:pos="630"/>
              </w:tabs>
              <w:spacing w:before="60" w:after="60" w:line="360" w:lineRule="exact"/>
              <w:rPr>
                <w:sz w:val="18"/>
              </w:rPr>
            </w:pPr>
            <w:r>
              <w:rPr>
                <w:rFonts w:hint="eastAsia"/>
                <w:sz w:val="18"/>
              </w:rPr>
              <w:t>初等职业</w:t>
            </w:r>
          </w:p>
        </w:tc>
        <w:tc>
          <w:tcPr>
            <w:tcW w:w="2880" w:type="dxa"/>
          </w:tcPr>
          <w:p w:rsidR="001A7779" w:rsidRDefault="001A7779">
            <w:pPr>
              <w:tabs>
                <w:tab w:val="left" w:pos="630"/>
              </w:tabs>
              <w:spacing w:before="60" w:after="60" w:line="360" w:lineRule="exact"/>
              <w:jc w:val="center"/>
              <w:rPr>
                <w:sz w:val="18"/>
              </w:rPr>
            </w:pPr>
            <w:r>
              <w:rPr>
                <w:sz w:val="18"/>
              </w:rPr>
              <w:t>56.0</w:t>
            </w:r>
          </w:p>
        </w:tc>
        <w:tc>
          <w:tcPr>
            <w:tcW w:w="2880" w:type="dxa"/>
          </w:tcPr>
          <w:p w:rsidR="001A7779" w:rsidRDefault="001A7779">
            <w:pPr>
              <w:pStyle w:val="Header"/>
              <w:pBdr>
                <w:bottom w:val="none" w:sz="0" w:space="0" w:color="auto"/>
              </w:pBdr>
              <w:tabs>
                <w:tab w:val="clear" w:pos="4320"/>
                <w:tab w:val="clear" w:pos="8640"/>
                <w:tab w:val="left" w:pos="630"/>
              </w:tabs>
              <w:spacing w:before="60" w:after="60" w:line="360" w:lineRule="exact"/>
            </w:pPr>
            <w:r>
              <w:t>57.4</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35</w:t>
      </w:r>
      <w:r>
        <w:rPr>
          <w:rFonts w:ascii="SimHei" w:eastAsia="SimHei" w:hint="eastAsia"/>
          <w:color w:val="FF0000"/>
        </w:rPr>
        <w:t>：</w:t>
      </w:r>
      <w:r>
        <w:rPr>
          <w:rFonts w:ascii="SimHei" w:eastAsia="SimHei"/>
          <w:color w:val="FF0000"/>
        </w:rPr>
        <w:t xml:space="preserve">2003 </w:t>
      </w:r>
      <w:r>
        <w:rPr>
          <w:rFonts w:ascii="SimHei" w:eastAsia="SimHei" w:hint="eastAsia"/>
          <w:color w:val="FF0000"/>
        </w:rPr>
        <w:t>至</w:t>
      </w:r>
      <w:r>
        <w:rPr>
          <w:rFonts w:ascii="SimHei" w:eastAsia="SimHei"/>
          <w:color w:val="FF0000"/>
        </w:rPr>
        <w:t xml:space="preserve"> 2004</w:t>
      </w:r>
      <w:r>
        <w:rPr>
          <w:rFonts w:ascii="SimHei" w:eastAsia="SimHei" w:hint="eastAsia"/>
          <w:color w:val="FF0000"/>
        </w:rPr>
        <w:t>年按活动分列的在业者中妇女所占比例（年平均数）</w:t>
      </w:r>
    </w:p>
    <w:tbl>
      <w:tblPr>
        <w:tblW w:w="984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960"/>
        <w:gridCol w:w="2940"/>
        <w:gridCol w:w="2940"/>
      </w:tblGrid>
      <w:tr w:rsidR="001A7779">
        <w:tblPrEx>
          <w:tblCellMar>
            <w:top w:w="0" w:type="dxa"/>
            <w:bottom w:w="0" w:type="dxa"/>
          </w:tblCellMar>
        </w:tblPrEx>
        <w:trPr>
          <w:cantSplit/>
          <w:trHeight w:val="276"/>
          <w:tblHeader/>
        </w:trPr>
        <w:tc>
          <w:tcPr>
            <w:tcW w:w="3960" w:type="dxa"/>
          </w:tcPr>
          <w:p w:rsidR="001A7779" w:rsidRDefault="001A7779">
            <w:pPr>
              <w:tabs>
                <w:tab w:val="left" w:pos="630"/>
              </w:tabs>
              <w:spacing w:before="60" w:after="60" w:line="340" w:lineRule="exact"/>
              <w:rPr>
                <w:rFonts w:ascii="SimHei"/>
                <w:color w:val="FF0000"/>
                <w:sz w:val="18"/>
              </w:rPr>
            </w:pPr>
          </w:p>
        </w:tc>
        <w:tc>
          <w:tcPr>
            <w:tcW w:w="2940" w:type="dxa"/>
          </w:tcPr>
          <w:p w:rsidR="001A7779" w:rsidRDefault="001A7779">
            <w:pPr>
              <w:tabs>
                <w:tab w:val="left" w:pos="630"/>
              </w:tabs>
              <w:spacing w:before="60" w:after="60" w:line="340" w:lineRule="exact"/>
              <w:jc w:val="center"/>
              <w:rPr>
                <w:rFonts w:ascii="SimHei"/>
                <w:color w:val="FF0000"/>
                <w:sz w:val="18"/>
              </w:rPr>
            </w:pPr>
            <w:r>
              <w:rPr>
                <w:rFonts w:ascii="SimHei"/>
                <w:color w:val="FF0000"/>
                <w:sz w:val="18"/>
              </w:rPr>
              <w:t>2003</w:t>
            </w:r>
            <w:r>
              <w:rPr>
                <w:rFonts w:ascii="SimHei" w:eastAsia="SimHei" w:hint="eastAsia"/>
                <w:color w:val="FF0000"/>
                <w:sz w:val="18"/>
              </w:rPr>
              <w:t>年</w:t>
            </w:r>
          </w:p>
        </w:tc>
        <w:tc>
          <w:tcPr>
            <w:tcW w:w="2940" w:type="dxa"/>
          </w:tcPr>
          <w:p w:rsidR="001A7779" w:rsidRDefault="001A7779">
            <w:pPr>
              <w:tabs>
                <w:tab w:val="left" w:pos="630"/>
              </w:tabs>
              <w:spacing w:before="60" w:after="60" w:line="340" w:lineRule="exact"/>
              <w:jc w:val="center"/>
              <w:rPr>
                <w:rFonts w:ascii="SimHei"/>
                <w:color w:val="FF0000"/>
                <w:sz w:val="18"/>
              </w:rPr>
            </w:pPr>
            <w:r>
              <w:rPr>
                <w:rFonts w:ascii="SimHei"/>
                <w:color w:val="FF0000"/>
                <w:sz w:val="18"/>
              </w:rPr>
              <w:t>2004</w:t>
            </w:r>
            <w:r>
              <w:rPr>
                <w:rFonts w:ascii="SimHei" w:eastAsia="SimHei" w:hint="eastAsia"/>
                <w:color w:val="FF0000"/>
                <w:sz w:val="18"/>
              </w:rPr>
              <w:t>年</w:t>
            </w:r>
          </w:p>
        </w:tc>
      </w:tr>
      <w:tr w:rsidR="001A7779">
        <w:tblPrEx>
          <w:tblCellMar>
            <w:top w:w="0" w:type="dxa"/>
            <w:bottom w:w="0" w:type="dxa"/>
          </w:tblCellMar>
        </w:tblPrEx>
        <w:trPr>
          <w:cantSplit/>
          <w:trHeight w:val="276"/>
        </w:trPr>
        <w:tc>
          <w:tcPr>
            <w:tcW w:w="3960" w:type="dxa"/>
          </w:tcPr>
          <w:p w:rsidR="001A7779" w:rsidRDefault="001A7779">
            <w:pPr>
              <w:tabs>
                <w:tab w:val="left" w:pos="630"/>
              </w:tabs>
              <w:spacing w:before="60" w:after="60" w:line="334" w:lineRule="exact"/>
              <w:rPr>
                <w:sz w:val="18"/>
              </w:rPr>
            </w:pPr>
            <w:r>
              <w:rPr>
                <w:rFonts w:hint="eastAsia"/>
                <w:sz w:val="18"/>
              </w:rPr>
              <w:t>共计</w:t>
            </w:r>
          </w:p>
        </w:tc>
        <w:tc>
          <w:tcPr>
            <w:tcW w:w="2940" w:type="dxa"/>
          </w:tcPr>
          <w:p w:rsidR="001A7779" w:rsidRDefault="001A7779">
            <w:pPr>
              <w:tabs>
                <w:tab w:val="left" w:pos="630"/>
              </w:tabs>
              <w:spacing w:before="60" w:after="60" w:line="334" w:lineRule="exact"/>
              <w:jc w:val="center"/>
              <w:rPr>
                <w:sz w:val="18"/>
              </w:rPr>
            </w:pPr>
            <w:r>
              <w:rPr>
                <w:sz w:val="18"/>
              </w:rPr>
              <w:t>45.4</w:t>
            </w:r>
          </w:p>
        </w:tc>
        <w:tc>
          <w:tcPr>
            <w:tcW w:w="2940" w:type="dxa"/>
          </w:tcPr>
          <w:p w:rsidR="001A7779" w:rsidRDefault="001A7779">
            <w:pPr>
              <w:tabs>
                <w:tab w:val="left" w:pos="630"/>
              </w:tabs>
              <w:spacing w:before="60" w:after="60" w:line="334" w:lineRule="exact"/>
              <w:jc w:val="center"/>
              <w:rPr>
                <w:sz w:val="18"/>
              </w:rPr>
            </w:pPr>
            <w:r>
              <w:rPr>
                <w:sz w:val="18"/>
              </w:rPr>
              <w:t>45.6</w:t>
            </w:r>
          </w:p>
        </w:tc>
      </w:tr>
      <w:tr w:rsidR="001A7779">
        <w:tblPrEx>
          <w:tblCellMar>
            <w:top w:w="0" w:type="dxa"/>
            <w:bottom w:w="0" w:type="dxa"/>
          </w:tblCellMar>
        </w:tblPrEx>
        <w:trPr>
          <w:cantSplit/>
          <w:trHeight w:val="276"/>
        </w:trPr>
        <w:tc>
          <w:tcPr>
            <w:tcW w:w="3960" w:type="dxa"/>
          </w:tcPr>
          <w:p w:rsidR="001A7779" w:rsidRDefault="001A7779">
            <w:pPr>
              <w:tabs>
                <w:tab w:val="left" w:pos="630"/>
              </w:tabs>
              <w:spacing w:before="60" w:after="60" w:line="334" w:lineRule="exact"/>
              <w:rPr>
                <w:sz w:val="18"/>
              </w:rPr>
            </w:pPr>
            <w:r>
              <w:rPr>
                <w:rFonts w:hint="eastAsia"/>
                <w:sz w:val="18"/>
              </w:rPr>
              <w:t>农业</w:t>
            </w:r>
          </w:p>
        </w:tc>
        <w:tc>
          <w:tcPr>
            <w:tcW w:w="2940" w:type="dxa"/>
          </w:tcPr>
          <w:p w:rsidR="001A7779" w:rsidRDefault="001A7779">
            <w:pPr>
              <w:tabs>
                <w:tab w:val="left" w:pos="630"/>
              </w:tabs>
              <w:spacing w:before="60" w:after="60" w:line="334" w:lineRule="exact"/>
              <w:jc w:val="center"/>
              <w:rPr>
                <w:sz w:val="18"/>
              </w:rPr>
            </w:pPr>
            <w:r>
              <w:rPr>
                <w:sz w:val="18"/>
              </w:rPr>
              <w:t>43.5</w:t>
            </w:r>
          </w:p>
        </w:tc>
        <w:tc>
          <w:tcPr>
            <w:tcW w:w="2940" w:type="dxa"/>
          </w:tcPr>
          <w:p w:rsidR="001A7779" w:rsidRDefault="001A7779">
            <w:pPr>
              <w:tabs>
                <w:tab w:val="left" w:pos="630"/>
              </w:tabs>
              <w:spacing w:before="60" w:after="60" w:line="334" w:lineRule="exact"/>
              <w:jc w:val="center"/>
              <w:rPr>
                <w:sz w:val="18"/>
              </w:rPr>
            </w:pPr>
            <w:r>
              <w:rPr>
                <w:sz w:val="18"/>
              </w:rPr>
              <w:t>45.2</w:t>
            </w:r>
          </w:p>
        </w:tc>
      </w:tr>
      <w:tr w:rsidR="001A7779">
        <w:tblPrEx>
          <w:tblCellMar>
            <w:top w:w="0" w:type="dxa"/>
            <w:bottom w:w="0" w:type="dxa"/>
          </w:tblCellMar>
        </w:tblPrEx>
        <w:trPr>
          <w:cantSplit/>
          <w:trHeight w:val="262"/>
        </w:trPr>
        <w:tc>
          <w:tcPr>
            <w:tcW w:w="3960" w:type="dxa"/>
          </w:tcPr>
          <w:p w:rsidR="001A7779" w:rsidRDefault="001A7779">
            <w:pPr>
              <w:tabs>
                <w:tab w:val="left" w:pos="630"/>
              </w:tabs>
              <w:spacing w:before="60" w:after="60" w:line="334" w:lineRule="exact"/>
              <w:rPr>
                <w:sz w:val="18"/>
              </w:rPr>
            </w:pPr>
            <w:r>
              <w:rPr>
                <w:rFonts w:hint="eastAsia"/>
                <w:sz w:val="18"/>
              </w:rPr>
              <w:t>产业</w:t>
            </w:r>
            <w:r>
              <w:rPr>
                <w:sz w:val="18"/>
              </w:rPr>
              <w:t xml:space="preserve"> </w:t>
            </w:r>
            <w:r>
              <w:rPr>
                <w:rFonts w:hint="eastAsia"/>
                <w:sz w:val="18"/>
              </w:rPr>
              <w:t>（服务业除外）</w:t>
            </w:r>
          </w:p>
        </w:tc>
        <w:tc>
          <w:tcPr>
            <w:tcW w:w="2940" w:type="dxa"/>
          </w:tcPr>
          <w:p w:rsidR="001A7779" w:rsidRDefault="001A7779">
            <w:pPr>
              <w:tabs>
                <w:tab w:val="left" w:pos="630"/>
              </w:tabs>
              <w:spacing w:before="60" w:after="60" w:line="334" w:lineRule="exact"/>
              <w:jc w:val="center"/>
              <w:rPr>
                <w:sz w:val="18"/>
              </w:rPr>
            </w:pPr>
            <w:r>
              <w:rPr>
                <w:sz w:val="18"/>
              </w:rPr>
              <w:t>32.3</w:t>
            </w:r>
          </w:p>
        </w:tc>
        <w:tc>
          <w:tcPr>
            <w:tcW w:w="2940" w:type="dxa"/>
          </w:tcPr>
          <w:p w:rsidR="001A7779" w:rsidRDefault="001A7779">
            <w:pPr>
              <w:tabs>
                <w:tab w:val="left" w:pos="630"/>
              </w:tabs>
              <w:spacing w:before="60" w:after="60" w:line="334" w:lineRule="exact"/>
              <w:jc w:val="center"/>
              <w:rPr>
                <w:sz w:val="18"/>
              </w:rPr>
            </w:pPr>
            <w:r>
              <w:rPr>
                <w:sz w:val="18"/>
              </w:rPr>
              <w:t>31.7</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采矿及采石业</w:t>
            </w:r>
          </w:p>
        </w:tc>
        <w:tc>
          <w:tcPr>
            <w:tcW w:w="2940" w:type="dxa"/>
          </w:tcPr>
          <w:p w:rsidR="001A7779" w:rsidRDefault="001A7779">
            <w:pPr>
              <w:tabs>
                <w:tab w:val="left" w:pos="630"/>
              </w:tabs>
              <w:spacing w:before="60" w:after="60" w:line="334" w:lineRule="exact"/>
              <w:jc w:val="center"/>
              <w:rPr>
                <w:sz w:val="18"/>
              </w:rPr>
            </w:pPr>
            <w:r>
              <w:rPr>
                <w:sz w:val="18"/>
              </w:rPr>
              <w:t>-</w:t>
            </w:r>
          </w:p>
        </w:tc>
        <w:tc>
          <w:tcPr>
            <w:tcW w:w="2940" w:type="dxa"/>
          </w:tcPr>
          <w:p w:rsidR="001A7779" w:rsidRDefault="001A7779">
            <w:pPr>
              <w:tabs>
                <w:tab w:val="left" w:pos="630"/>
              </w:tabs>
              <w:spacing w:before="60" w:after="60" w:line="334" w:lineRule="exact"/>
              <w:jc w:val="center"/>
              <w:rPr>
                <w:sz w:val="18"/>
              </w:rPr>
            </w:pPr>
            <w:r>
              <w:rPr>
                <w:sz w:val="18"/>
              </w:rPr>
              <w:t>-</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制造业</w:t>
            </w:r>
          </w:p>
        </w:tc>
        <w:tc>
          <w:tcPr>
            <w:tcW w:w="2940" w:type="dxa"/>
          </w:tcPr>
          <w:p w:rsidR="001A7779" w:rsidRDefault="001A7779">
            <w:pPr>
              <w:tabs>
                <w:tab w:val="left" w:pos="630"/>
              </w:tabs>
              <w:spacing w:before="60" w:after="60" w:line="334" w:lineRule="exact"/>
              <w:jc w:val="center"/>
              <w:rPr>
                <w:sz w:val="18"/>
              </w:rPr>
            </w:pPr>
            <w:r>
              <w:rPr>
                <w:sz w:val="18"/>
              </w:rPr>
              <w:t>37.8</w:t>
            </w:r>
          </w:p>
        </w:tc>
        <w:tc>
          <w:tcPr>
            <w:tcW w:w="2940" w:type="dxa"/>
          </w:tcPr>
          <w:p w:rsidR="001A7779" w:rsidRDefault="001A7779">
            <w:pPr>
              <w:tabs>
                <w:tab w:val="left" w:pos="630"/>
              </w:tabs>
              <w:spacing w:before="60" w:after="60" w:line="334" w:lineRule="exact"/>
              <w:jc w:val="center"/>
              <w:rPr>
                <w:sz w:val="18"/>
              </w:rPr>
            </w:pPr>
            <w:r>
              <w:rPr>
                <w:sz w:val="18"/>
              </w:rPr>
              <w:t>37.4</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sz w:val="18"/>
              </w:rPr>
              <w:t>电力</w:t>
            </w:r>
            <w:r>
              <w:rPr>
                <w:rFonts w:hint="eastAsia"/>
                <w:sz w:val="18"/>
              </w:rPr>
              <w:t>、</w:t>
            </w:r>
            <w:r>
              <w:rPr>
                <w:sz w:val="18"/>
              </w:rPr>
              <w:t>煤气和供水</w:t>
            </w:r>
          </w:p>
        </w:tc>
        <w:tc>
          <w:tcPr>
            <w:tcW w:w="2940" w:type="dxa"/>
          </w:tcPr>
          <w:p w:rsidR="001A7779" w:rsidRDefault="001A7779">
            <w:pPr>
              <w:tabs>
                <w:tab w:val="left" w:pos="630"/>
              </w:tabs>
              <w:spacing w:before="60" w:after="60" w:line="334" w:lineRule="exact"/>
              <w:jc w:val="center"/>
              <w:rPr>
                <w:sz w:val="18"/>
              </w:rPr>
            </w:pPr>
            <w:r>
              <w:rPr>
                <w:sz w:val="18"/>
              </w:rPr>
              <w:t>（</w:t>
            </w:r>
            <w:r>
              <w:rPr>
                <w:sz w:val="18"/>
              </w:rPr>
              <w:t>16.0</w:t>
            </w:r>
            <w:r>
              <w:rPr>
                <w:sz w:val="18"/>
              </w:rPr>
              <w:t>）</w:t>
            </w:r>
          </w:p>
        </w:tc>
        <w:tc>
          <w:tcPr>
            <w:tcW w:w="2940" w:type="dxa"/>
          </w:tcPr>
          <w:p w:rsidR="001A7779" w:rsidRDefault="001A7779">
            <w:pPr>
              <w:tabs>
                <w:tab w:val="left" w:pos="630"/>
              </w:tabs>
              <w:spacing w:before="60" w:after="60" w:line="334" w:lineRule="exact"/>
              <w:jc w:val="center"/>
              <w:rPr>
                <w:sz w:val="18"/>
              </w:rPr>
            </w:pPr>
            <w:r>
              <w:rPr>
                <w:sz w:val="18"/>
              </w:rPr>
              <w:t>-</w:t>
            </w:r>
          </w:p>
        </w:tc>
      </w:tr>
      <w:tr w:rsidR="001A7779">
        <w:tblPrEx>
          <w:tblCellMar>
            <w:top w:w="0" w:type="dxa"/>
            <w:bottom w:w="0" w:type="dxa"/>
          </w:tblCellMar>
        </w:tblPrEx>
        <w:trPr>
          <w:cantSplit/>
          <w:trHeight w:val="262"/>
        </w:trPr>
        <w:tc>
          <w:tcPr>
            <w:tcW w:w="3960" w:type="dxa"/>
          </w:tcPr>
          <w:p w:rsidR="001A7779" w:rsidRDefault="001A7779">
            <w:pPr>
              <w:tabs>
                <w:tab w:val="left" w:pos="630"/>
              </w:tabs>
              <w:spacing w:before="60" w:after="60" w:line="334" w:lineRule="exact"/>
              <w:rPr>
                <w:sz w:val="18"/>
              </w:rPr>
            </w:pPr>
            <w:r>
              <w:rPr>
                <w:rFonts w:hint="eastAsia"/>
                <w:sz w:val="18"/>
              </w:rPr>
              <w:t>建筑业</w:t>
            </w:r>
          </w:p>
        </w:tc>
        <w:tc>
          <w:tcPr>
            <w:tcW w:w="2940" w:type="dxa"/>
          </w:tcPr>
          <w:p w:rsidR="001A7779" w:rsidRDefault="001A7779">
            <w:pPr>
              <w:tabs>
                <w:tab w:val="left" w:pos="630"/>
              </w:tabs>
              <w:spacing w:before="60" w:after="60" w:line="334" w:lineRule="exact"/>
              <w:jc w:val="center"/>
              <w:rPr>
                <w:sz w:val="18"/>
              </w:rPr>
            </w:pPr>
            <w:r>
              <w:rPr>
                <w:sz w:val="18"/>
              </w:rPr>
              <w:t>9.9</w:t>
            </w:r>
          </w:p>
        </w:tc>
        <w:tc>
          <w:tcPr>
            <w:tcW w:w="2940" w:type="dxa"/>
          </w:tcPr>
          <w:p w:rsidR="001A7779" w:rsidRDefault="001A7779">
            <w:pPr>
              <w:tabs>
                <w:tab w:val="left" w:pos="630"/>
              </w:tabs>
              <w:spacing w:before="60" w:after="60" w:line="334" w:lineRule="exact"/>
              <w:jc w:val="center"/>
              <w:rPr>
                <w:sz w:val="18"/>
              </w:rPr>
            </w:pPr>
            <w:r>
              <w:rPr>
                <w:sz w:val="18"/>
              </w:rPr>
              <w:t>8.6</w:t>
            </w:r>
          </w:p>
        </w:tc>
      </w:tr>
      <w:tr w:rsidR="001A7779">
        <w:tblPrEx>
          <w:tblCellMar>
            <w:top w:w="0" w:type="dxa"/>
            <w:bottom w:w="0" w:type="dxa"/>
          </w:tblCellMar>
        </w:tblPrEx>
        <w:trPr>
          <w:cantSplit/>
          <w:trHeight w:val="262"/>
        </w:trPr>
        <w:tc>
          <w:tcPr>
            <w:tcW w:w="3960" w:type="dxa"/>
          </w:tcPr>
          <w:p w:rsidR="001A7779" w:rsidRDefault="001A7779">
            <w:pPr>
              <w:tabs>
                <w:tab w:val="left" w:pos="630"/>
              </w:tabs>
              <w:spacing w:before="60" w:after="60" w:line="334" w:lineRule="exact"/>
              <w:rPr>
                <w:sz w:val="18"/>
              </w:rPr>
            </w:pPr>
            <w:r>
              <w:rPr>
                <w:rFonts w:hint="eastAsia"/>
                <w:sz w:val="18"/>
              </w:rPr>
              <w:t>服务业</w:t>
            </w:r>
          </w:p>
        </w:tc>
        <w:tc>
          <w:tcPr>
            <w:tcW w:w="2940" w:type="dxa"/>
          </w:tcPr>
          <w:p w:rsidR="001A7779" w:rsidRDefault="001A7779">
            <w:pPr>
              <w:tabs>
                <w:tab w:val="left" w:pos="630"/>
              </w:tabs>
              <w:spacing w:before="60" w:after="60" w:line="334" w:lineRule="exact"/>
              <w:jc w:val="center"/>
              <w:rPr>
                <w:sz w:val="18"/>
              </w:rPr>
            </w:pPr>
            <w:r>
              <w:rPr>
                <w:sz w:val="18"/>
              </w:rPr>
              <w:t>54.9</w:t>
            </w:r>
          </w:p>
        </w:tc>
        <w:tc>
          <w:tcPr>
            <w:tcW w:w="2940" w:type="dxa"/>
          </w:tcPr>
          <w:p w:rsidR="001A7779" w:rsidRDefault="001A7779">
            <w:pPr>
              <w:tabs>
                <w:tab w:val="left" w:pos="630"/>
              </w:tabs>
              <w:spacing w:before="60" w:after="60" w:line="334" w:lineRule="exact"/>
              <w:jc w:val="center"/>
              <w:rPr>
                <w:sz w:val="18"/>
              </w:rPr>
            </w:pPr>
            <w:r>
              <w:rPr>
                <w:sz w:val="18"/>
              </w:rPr>
              <w:t>55.3</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批发、零售；某些维修</w:t>
            </w:r>
          </w:p>
        </w:tc>
        <w:tc>
          <w:tcPr>
            <w:tcW w:w="2940" w:type="dxa"/>
          </w:tcPr>
          <w:p w:rsidR="001A7779" w:rsidRDefault="001A7779">
            <w:pPr>
              <w:tabs>
                <w:tab w:val="left" w:pos="630"/>
              </w:tabs>
              <w:spacing w:before="60" w:after="60" w:line="334" w:lineRule="exact"/>
              <w:jc w:val="center"/>
              <w:rPr>
                <w:sz w:val="18"/>
              </w:rPr>
            </w:pPr>
            <w:r>
              <w:rPr>
                <w:sz w:val="18"/>
              </w:rPr>
              <w:t>54.1</w:t>
            </w:r>
          </w:p>
        </w:tc>
        <w:tc>
          <w:tcPr>
            <w:tcW w:w="2940" w:type="dxa"/>
          </w:tcPr>
          <w:p w:rsidR="001A7779" w:rsidRDefault="001A7779">
            <w:pPr>
              <w:tabs>
                <w:tab w:val="left" w:pos="630"/>
              </w:tabs>
              <w:spacing w:before="60" w:after="60" w:line="334" w:lineRule="exact"/>
              <w:jc w:val="center"/>
              <w:rPr>
                <w:sz w:val="18"/>
              </w:rPr>
            </w:pPr>
            <w:r>
              <w:rPr>
                <w:sz w:val="18"/>
              </w:rPr>
              <w:t>53.5</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旅馆和餐馆</w:t>
            </w:r>
          </w:p>
        </w:tc>
        <w:tc>
          <w:tcPr>
            <w:tcW w:w="2940" w:type="dxa"/>
          </w:tcPr>
          <w:p w:rsidR="001A7779" w:rsidRDefault="001A7779">
            <w:pPr>
              <w:tabs>
                <w:tab w:val="left" w:pos="630"/>
              </w:tabs>
              <w:spacing w:before="60" w:after="60" w:line="334" w:lineRule="exact"/>
              <w:jc w:val="center"/>
              <w:rPr>
                <w:sz w:val="18"/>
              </w:rPr>
            </w:pPr>
            <w:r>
              <w:rPr>
                <w:sz w:val="18"/>
              </w:rPr>
              <w:t>60.3</w:t>
            </w:r>
          </w:p>
        </w:tc>
        <w:tc>
          <w:tcPr>
            <w:tcW w:w="2940" w:type="dxa"/>
          </w:tcPr>
          <w:p w:rsidR="001A7779" w:rsidRDefault="001A7779">
            <w:pPr>
              <w:tabs>
                <w:tab w:val="left" w:pos="630"/>
              </w:tabs>
              <w:spacing w:before="60" w:after="60" w:line="334" w:lineRule="exact"/>
              <w:jc w:val="center"/>
              <w:rPr>
                <w:sz w:val="18"/>
              </w:rPr>
            </w:pPr>
            <w:r>
              <w:rPr>
                <w:sz w:val="18"/>
              </w:rPr>
              <w:t>59.8</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运输、仓储和通信</w:t>
            </w:r>
          </w:p>
        </w:tc>
        <w:tc>
          <w:tcPr>
            <w:tcW w:w="2940" w:type="dxa"/>
          </w:tcPr>
          <w:p w:rsidR="001A7779" w:rsidRDefault="001A7779">
            <w:pPr>
              <w:tabs>
                <w:tab w:val="left" w:pos="630"/>
              </w:tabs>
              <w:spacing w:before="60" w:after="60" w:line="334" w:lineRule="exact"/>
              <w:jc w:val="center"/>
              <w:rPr>
                <w:sz w:val="18"/>
              </w:rPr>
            </w:pPr>
            <w:r>
              <w:rPr>
                <w:sz w:val="18"/>
              </w:rPr>
              <w:t>21.1</w:t>
            </w:r>
          </w:p>
        </w:tc>
        <w:tc>
          <w:tcPr>
            <w:tcW w:w="2940" w:type="dxa"/>
          </w:tcPr>
          <w:p w:rsidR="001A7779" w:rsidRDefault="001A7779">
            <w:pPr>
              <w:tabs>
                <w:tab w:val="left" w:pos="630"/>
              </w:tabs>
              <w:spacing w:before="60" w:after="60" w:line="334" w:lineRule="exact"/>
              <w:jc w:val="center"/>
              <w:rPr>
                <w:sz w:val="18"/>
              </w:rPr>
            </w:pPr>
            <w:r>
              <w:rPr>
                <w:sz w:val="18"/>
              </w:rPr>
              <w:t>21.4</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34" w:lineRule="exact"/>
              <w:rPr>
                <w:sz w:val="18"/>
              </w:rPr>
            </w:pPr>
            <w:r>
              <w:rPr>
                <w:rFonts w:hint="eastAsia"/>
                <w:sz w:val="18"/>
              </w:rPr>
              <w:t>金融中介</w:t>
            </w:r>
          </w:p>
        </w:tc>
        <w:tc>
          <w:tcPr>
            <w:tcW w:w="2940" w:type="dxa"/>
          </w:tcPr>
          <w:p w:rsidR="001A7779" w:rsidRDefault="001A7779">
            <w:pPr>
              <w:tabs>
                <w:tab w:val="left" w:pos="630"/>
              </w:tabs>
              <w:spacing w:before="60" w:after="60" w:line="334" w:lineRule="exact"/>
              <w:jc w:val="center"/>
              <w:rPr>
                <w:sz w:val="18"/>
              </w:rPr>
            </w:pPr>
            <w:r>
              <w:rPr>
                <w:sz w:val="18"/>
              </w:rPr>
              <w:t>68.5</w:t>
            </w:r>
          </w:p>
        </w:tc>
        <w:tc>
          <w:tcPr>
            <w:tcW w:w="2940" w:type="dxa"/>
          </w:tcPr>
          <w:p w:rsidR="001A7779" w:rsidRDefault="001A7779">
            <w:pPr>
              <w:tabs>
                <w:tab w:val="left" w:pos="630"/>
              </w:tabs>
              <w:spacing w:before="60" w:after="60" w:line="334" w:lineRule="exact"/>
              <w:jc w:val="center"/>
              <w:rPr>
                <w:sz w:val="18"/>
              </w:rPr>
            </w:pPr>
            <w:r>
              <w:rPr>
                <w:sz w:val="18"/>
              </w:rPr>
              <w:t>67.7</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40" w:lineRule="exact"/>
              <w:rPr>
                <w:sz w:val="18"/>
              </w:rPr>
            </w:pPr>
            <w:r>
              <w:rPr>
                <w:sz w:val="18"/>
              </w:rPr>
              <w:t>房地产</w:t>
            </w:r>
            <w:r>
              <w:rPr>
                <w:rFonts w:hint="eastAsia"/>
                <w:sz w:val="18"/>
              </w:rPr>
              <w:t>、</w:t>
            </w:r>
            <w:r>
              <w:rPr>
                <w:sz w:val="18"/>
              </w:rPr>
              <w:t>租赁和商业活动</w:t>
            </w:r>
          </w:p>
        </w:tc>
        <w:tc>
          <w:tcPr>
            <w:tcW w:w="2940" w:type="dxa"/>
          </w:tcPr>
          <w:p w:rsidR="001A7779" w:rsidRDefault="001A7779">
            <w:pPr>
              <w:tabs>
                <w:tab w:val="left" w:pos="630"/>
              </w:tabs>
              <w:spacing w:before="60" w:after="60" w:line="340" w:lineRule="exact"/>
              <w:jc w:val="center"/>
              <w:rPr>
                <w:sz w:val="18"/>
              </w:rPr>
            </w:pPr>
            <w:r>
              <w:rPr>
                <w:sz w:val="18"/>
              </w:rPr>
              <w:t>44.0</w:t>
            </w:r>
          </w:p>
        </w:tc>
        <w:tc>
          <w:tcPr>
            <w:tcW w:w="2940" w:type="dxa"/>
          </w:tcPr>
          <w:p w:rsidR="001A7779" w:rsidRDefault="001A7779">
            <w:pPr>
              <w:tabs>
                <w:tab w:val="left" w:pos="630"/>
              </w:tabs>
              <w:spacing w:before="60" w:after="60" w:line="340" w:lineRule="exact"/>
              <w:jc w:val="center"/>
              <w:rPr>
                <w:sz w:val="18"/>
              </w:rPr>
            </w:pPr>
            <w:r>
              <w:rPr>
                <w:sz w:val="18"/>
              </w:rPr>
              <w:t>47.5</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40" w:lineRule="exact"/>
              <w:rPr>
                <w:sz w:val="18"/>
              </w:rPr>
            </w:pPr>
            <w:r>
              <w:rPr>
                <w:sz w:val="18"/>
              </w:rPr>
              <w:t>公共行政</w:t>
            </w:r>
            <w:r>
              <w:rPr>
                <w:rFonts w:hint="eastAsia"/>
                <w:sz w:val="18"/>
              </w:rPr>
              <w:t>、</w:t>
            </w:r>
            <w:r>
              <w:rPr>
                <w:sz w:val="18"/>
              </w:rPr>
              <w:t>国防</w:t>
            </w:r>
            <w:r>
              <w:rPr>
                <w:rFonts w:hint="eastAsia"/>
                <w:sz w:val="18"/>
              </w:rPr>
              <w:t>、</w:t>
            </w:r>
            <w:r>
              <w:rPr>
                <w:sz w:val="18"/>
              </w:rPr>
              <w:t>强制性社会保障</w:t>
            </w:r>
          </w:p>
        </w:tc>
        <w:tc>
          <w:tcPr>
            <w:tcW w:w="2940" w:type="dxa"/>
          </w:tcPr>
          <w:p w:rsidR="001A7779" w:rsidRDefault="001A7779">
            <w:pPr>
              <w:tabs>
                <w:tab w:val="left" w:pos="630"/>
              </w:tabs>
              <w:spacing w:before="60" w:after="60" w:line="340" w:lineRule="exact"/>
              <w:jc w:val="center"/>
              <w:rPr>
                <w:sz w:val="18"/>
              </w:rPr>
            </w:pPr>
            <w:r>
              <w:rPr>
                <w:sz w:val="18"/>
              </w:rPr>
              <w:t>53.1</w:t>
            </w:r>
          </w:p>
        </w:tc>
        <w:tc>
          <w:tcPr>
            <w:tcW w:w="2940" w:type="dxa"/>
          </w:tcPr>
          <w:p w:rsidR="001A7779" w:rsidRDefault="001A7779">
            <w:pPr>
              <w:tabs>
                <w:tab w:val="left" w:pos="630"/>
              </w:tabs>
              <w:spacing w:before="60" w:after="60" w:line="340" w:lineRule="exact"/>
              <w:jc w:val="center"/>
              <w:rPr>
                <w:sz w:val="18"/>
              </w:rPr>
            </w:pPr>
            <w:r>
              <w:rPr>
                <w:sz w:val="18"/>
              </w:rPr>
              <w:t>50.2</w:t>
            </w:r>
          </w:p>
        </w:tc>
      </w:tr>
      <w:tr w:rsidR="001A7779">
        <w:tblPrEx>
          <w:tblCellMar>
            <w:top w:w="0" w:type="dxa"/>
            <w:bottom w:w="0" w:type="dxa"/>
          </w:tblCellMar>
        </w:tblPrEx>
        <w:trPr>
          <w:cantSplit/>
          <w:trHeight w:val="147"/>
        </w:trPr>
        <w:tc>
          <w:tcPr>
            <w:tcW w:w="3960" w:type="dxa"/>
          </w:tcPr>
          <w:p w:rsidR="001A7779" w:rsidRDefault="001A7779">
            <w:pPr>
              <w:tabs>
                <w:tab w:val="left" w:pos="630"/>
              </w:tabs>
              <w:spacing w:before="60" w:after="60" w:line="340" w:lineRule="exact"/>
              <w:rPr>
                <w:sz w:val="18"/>
              </w:rPr>
            </w:pPr>
            <w:r>
              <w:rPr>
                <w:rFonts w:hint="eastAsia"/>
                <w:sz w:val="18"/>
              </w:rPr>
              <w:t>教育</w:t>
            </w:r>
          </w:p>
        </w:tc>
        <w:tc>
          <w:tcPr>
            <w:tcW w:w="2940" w:type="dxa"/>
          </w:tcPr>
          <w:p w:rsidR="001A7779" w:rsidRDefault="001A7779">
            <w:pPr>
              <w:tabs>
                <w:tab w:val="left" w:pos="630"/>
              </w:tabs>
              <w:spacing w:before="60" w:after="60" w:line="340" w:lineRule="exact"/>
              <w:jc w:val="center"/>
              <w:rPr>
                <w:sz w:val="18"/>
              </w:rPr>
            </w:pPr>
            <w:r>
              <w:rPr>
                <w:sz w:val="18"/>
              </w:rPr>
              <w:t>76.0</w:t>
            </w:r>
          </w:p>
        </w:tc>
        <w:tc>
          <w:tcPr>
            <w:tcW w:w="2940" w:type="dxa"/>
          </w:tcPr>
          <w:p w:rsidR="001A7779" w:rsidRDefault="001A7779">
            <w:pPr>
              <w:tabs>
                <w:tab w:val="left" w:pos="630"/>
              </w:tabs>
              <w:spacing w:before="60" w:after="60" w:line="340" w:lineRule="exact"/>
              <w:jc w:val="center"/>
              <w:rPr>
                <w:sz w:val="18"/>
              </w:rPr>
            </w:pPr>
            <w:r>
              <w:rPr>
                <w:sz w:val="18"/>
              </w:rPr>
              <w:t>76.4</w:t>
            </w:r>
          </w:p>
        </w:tc>
      </w:tr>
      <w:tr w:rsidR="001A7779">
        <w:tblPrEx>
          <w:tblCellMar>
            <w:top w:w="0" w:type="dxa"/>
            <w:bottom w:w="0" w:type="dxa"/>
          </w:tblCellMar>
        </w:tblPrEx>
        <w:trPr>
          <w:cantSplit/>
          <w:trHeight w:val="247"/>
        </w:trPr>
        <w:tc>
          <w:tcPr>
            <w:tcW w:w="3960" w:type="dxa"/>
          </w:tcPr>
          <w:p w:rsidR="001A7779" w:rsidRDefault="001A7779">
            <w:pPr>
              <w:tabs>
                <w:tab w:val="left" w:pos="630"/>
              </w:tabs>
              <w:spacing w:before="60" w:after="60" w:line="340" w:lineRule="exact"/>
              <w:rPr>
                <w:sz w:val="18"/>
              </w:rPr>
            </w:pPr>
            <w:r>
              <w:rPr>
                <w:rFonts w:hint="eastAsia"/>
                <w:sz w:val="18"/>
              </w:rPr>
              <w:t>卫生和社会工作</w:t>
            </w:r>
          </w:p>
        </w:tc>
        <w:tc>
          <w:tcPr>
            <w:tcW w:w="2940" w:type="dxa"/>
          </w:tcPr>
          <w:p w:rsidR="001A7779" w:rsidRDefault="001A7779">
            <w:pPr>
              <w:tabs>
                <w:tab w:val="left" w:pos="630"/>
              </w:tabs>
              <w:spacing w:before="60" w:after="60" w:line="340" w:lineRule="exact"/>
              <w:jc w:val="center"/>
              <w:rPr>
                <w:sz w:val="18"/>
              </w:rPr>
            </w:pPr>
            <w:r>
              <w:rPr>
                <w:sz w:val="18"/>
              </w:rPr>
              <w:t>80.2</w:t>
            </w:r>
          </w:p>
        </w:tc>
        <w:tc>
          <w:tcPr>
            <w:tcW w:w="2940" w:type="dxa"/>
          </w:tcPr>
          <w:p w:rsidR="001A7779" w:rsidRDefault="001A7779">
            <w:pPr>
              <w:tabs>
                <w:tab w:val="left" w:pos="630"/>
              </w:tabs>
              <w:spacing w:before="60" w:after="60" w:line="340" w:lineRule="exact"/>
              <w:jc w:val="center"/>
              <w:rPr>
                <w:sz w:val="18"/>
              </w:rPr>
            </w:pPr>
            <w:r>
              <w:rPr>
                <w:sz w:val="18"/>
              </w:rPr>
              <w:t>82.5</w:t>
            </w:r>
          </w:p>
        </w:tc>
      </w:tr>
      <w:tr w:rsidR="001A7779">
        <w:tblPrEx>
          <w:tblCellMar>
            <w:top w:w="0" w:type="dxa"/>
            <w:bottom w:w="0" w:type="dxa"/>
          </w:tblCellMar>
        </w:tblPrEx>
        <w:trPr>
          <w:cantSplit/>
          <w:trHeight w:val="262"/>
        </w:trPr>
        <w:tc>
          <w:tcPr>
            <w:tcW w:w="3960" w:type="dxa"/>
          </w:tcPr>
          <w:p w:rsidR="001A7779" w:rsidRDefault="001A7779">
            <w:pPr>
              <w:tabs>
                <w:tab w:val="left" w:pos="630"/>
              </w:tabs>
              <w:spacing w:before="60" w:after="60" w:line="340" w:lineRule="exact"/>
              <w:rPr>
                <w:sz w:val="18"/>
              </w:rPr>
            </w:pPr>
            <w:r>
              <w:rPr>
                <w:rFonts w:hint="eastAsia"/>
                <w:sz w:val="18"/>
              </w:rPr>
              <w:t>其他社会和个人服务</w:t>
            </w:r>
          </w:p>
        </w:tc>
        <w:tc>
          <w:tcPr>
            <w:tcW w:w="2940" w:type="dxa"/>
          </w:tcPr>
          <w:p w:rsidR="001A7779" w:rsidRDefault="001A7779">
            <w:pPr>
              <w:tabs>
                <w:tab w:val="left" w:pos="630"/>
              </w:tabs>
              <w:spacing w:before="60" w:after="60" w:line="340" w:lineRule="exact"/>
              <w:jc w:val="center"/>
              <w:rPr>
                <w:sz w:val="18"/>
              </w:rPr>
            </w:pPr>
            <w:r>
              <w:rPr>
                <w:sz w:val="18"/>
              </w:rPr>
              <w:t>50.5</w:t>
            </w:r>
          </w:p>
        </w:tc>
        <w:tc>
          <w:tcPr>
            <w:tcW w:w="2940" w:type="dxa"/>
          </w:tcPr>
          <w:p w:rsidR="001A7779" w:rsidRDefault="001A7779">
            <w:pPr>
              <w:tabs>
                <w:tab w:val="left" w:pos="630"/>
              </w:tabs>
              <w:spacing w:before="60" w:after="60" w:line="340" w:lineRule="exact"/>
              <w:jc w:val="center"/>
              <w:rPr>
                <w:sz w:val="18"/>
              </w:rPr>
            </w:pPr>
            <w:r>
              <w:rPr>
                <w:sz w:val="18"/>
              </w:rPr>
              <w:t>48.2</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color w:val="000000"/>
          <w:sz w:val="18"/>
        </w:rPr>
        <w:t xml:space="preserve"> 225 </w:t>
      </w:r>
      <w:r>
        <w:rPr>
          <w:color w:val="000000"/>
          <w:sz w:val="18"/>
        </w:rPr>
        <w:t>（</w:t>
      </w:r>
      <w:r>
        <w:rPr>
          <w:color w:val="000000"/>
          <w:sz w:val="18"/>
        </w:rPr>
        <w:t>2004</w:t>
      </w:r>
      <w:r>
        <w:rPr>
          <w:rFonts w:hint="eastAsia"/>
          <w:color w:val="000000"/>
          <w:sz w:val="18"/>
        </w:rPr>
        <w:t>年</w:t>
      </w:r>
      <w:r>
        <w:rPr>
          <w:rFonts w:hint="eastAsia"/>
          <w:color w:val="000000"/>
          <w:sz w:val="18"/>
        </w:rPr>
        <w:t>8</w:t>
      </w:r>
      <w:r>
        <w:rPr>
          <w:rFonts w:hint="eastAsia"/>
          <w:color w:val="000000"/>
          <w:sz w:val="18"/>
        </w:rPr>
        <w:t>月</w:t>
      </w:r>
      <w:r>
        <w:rPr>
          <w:rFonts w:hint="eastAsia"/>
          <w:color w:val="000000"/>
          <w:sz w:val="18"/>
        </w:rPr>
        <w:t>16</w:t>
      </w:r>
      <w:r>
        <w:rPr>
          <w:rFonts w:hint="eastAsia"/>
          <w:color w:val="000000"/>
          <w:sz w:val="18"/>
        </w:rPr>
        <w:t>日</w:t>
      </w:r>
      <w:r>
        <w:rPr>
          <w:color w:val="000000"/>
          <w:sz w:val="18"/>
        </w:rPr>
        <w:t>）</w:t>
      </w:r>
      <w:r>
        <w:rPr>
          <w:rFonts w:hint="eastAsia"/>
          <w:color w:val="000000"/>
          <w:sz w:val="18"/>
        </w:rPr>
        <w:t>和</w:t>
      </w:r>
      <w:r>
        <w:rPr>
          <w:color w:val="000000"/>
          <w:sz w:val="18"/>
        </w:rPr>
        <w:t xml:space="preserve"> 185 </w:t>
      </w:r>
      <w:r>
        <w:rPr>
          <w:color w:val="000000"/>
          <w:sz w:val="18"/>
        </w:rPr>
        <w:t>（</w:t>
      </w:r>
      <w:r>
        <w:rPr>
          <w:color w:val="000000"/>
          <w:sz w:val="18"/>
        </w:rPr>
        <w:t>2005</w:t>
      </w:r>
      <w:r>
        <w:rPr>
          <w:rFonts w:hint="eastAsia"/>
          <w:color w:val="000000"/>
          <w:sz w:val="18"/>
        </w:rPr>
        <w:t>年</w:t>
      </w:r>
      <w:r>
        <w:rPr>
          <w:rFonts w:hint="eastAsia"/>
          <w:color w:val="000000"/>
          <w:sz w:val="18"/>
        </w:rPr>
        <w:t>7</w:t>
      </w:r>
      <w:r>
        <w:rPr>
          <w:rFonts w:hint="eastAsia"/>
          <w:color w:val="000000"/>
          <w:sz w:val="18"/>
        </w:rPr>
        <w:t>月</w:t>
      </w:r>
      <w:r>
        <w:rPr>
          <w:rFonts w:hint="eastAsia"/>
          <w:color w:val="000000"/>
          <w:sz w:val="18"/>
        </w:rPr>
        <w:t>15</w:t>
      </w:r>
      <w:r>
        <w:rPr>
          <w:rFonts w:hint="eastAsia"/>
          <w:color w:val="000000"/>
          <w:sz w:val="18"/>
        </w:rPr>
        <w:t>日</w:t>
      </w:r>
      <w:r>
        <w:rPr>
          <w:color w:val="000000"/>
          <w:sz w:val="18"/>
        </w:rPr>
        <w:t>）</w:t>
      </w:r>
      <w:r>
        <w:rPr>
          <w:rFonts w:hint="eastAsia"/>
          <w:color w:val="000000"/>
          <w:sz w:val="18"/>
        </w:rPr>
        <w:t xml:space="preserve"> </w:t>
      </w:r>
      <w:r>
        <w:rPr>
          <w:rFonts w:hint="eastAsia"/>
          <w:color w:val="000000"/>
          <w:sz w:val="18"/>
        </w:rPr>
        <w:t>号快报，斯洛文尼亚共和国统计局。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36</w:t>
      </w:r>
      <w:r>
        <w:rPr>
          <w:rFonts w:ascii="SimHei" w:eastAsia="SimHei" w:hint="eastAsia"/>
          <w:color w:val="FF0000"/>
        </w:rPr>
        <w:t>：</w:t>
      </w:r>
      <w:r>
        <w:rPr>
          <w:rFonts w:ascii="SimHei" w:eastAsia="SimHei"/>
          <w:color w:val="FF0000"/>
        </w:rPr>
        <w:t xml:space="preserve">2000 </w:t>
      </w:r>
      <w:r>
        <w:rPr>
          <w:rFonts w:ascii="SimHei" w:eastAsia="SimHei" w:hint="eastAsia"/>
          <w:color w:val="FF0000"/>
        </w:rPr>
        <w:t>和</w:t>
      </w:r>
      <w:r>
        <w:rPr>
          <w:rFonts w:ascii="SimHei" w:eastAsia="SimHei"/>
          <w:color w:val="FF0000"/>
        </w:rPr>
        <w:t>2002</w:t>
      </w:r>
      <w:r>
        <w:rPr>
          <w:rFonts w:ascii="SimHei" w:eastAsia="SimHei" w:hint="eastAsia"/>
          <w:color w:val="FF0000"/>
        </w:rPr>
        <w:t>年按专业技能分列的在企业、公司和组织中工作的</w:t>
      </w:r>
      <w:r>
        <w:rPr>
          <w:rFonts w:ascii="SimHei" w:eastAsia="SimHei"/>
          <w:color w:val="FF0000"/>
        </w:rPr>
        <w:br/>
      </w:r>
      <w:r>
        <w:rPr>
          <w:rFonts w:ascii="SimHei" w:eastAsia="SimHei" w:hint="eastAsia"/>
          <w:color w:val="FF0000"/>
        </w:rPr>
        <w:t>妇女月平均总收入与男子月平均总收入的比例</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9"/>
        <w:gridCol w:w="659"/>
        <w:gridCol w:w="681"/>
        <w:gridCol w:w="681"/>
        <w:gridCol w:w="681"/>
        <w:gridCol w:w="925"/>
        <w:gridCol w:w="927"/>
        <w:gridCol w:w="925"/>
        <w:gridCol w:w="927"/>
        <w:gridCol w:w="925"/>
        <w:gridCol w:w="927"/>
        <w:gridCol w:w="923"/>
      </w:tblGrid>
      <w:tr w:rsidR="001A7779">
        <w:tblPrEx>
          <w:tblCellMar>
            <w:top w:w="0" w:type="dxa"/>
            <w:bottom w:w="0" w:type="dxa"/>
          </w:tblCellMar>
        </w:tblPrEx>
        <w:trPr>
          <w:cantSplit/>
          <w:trHeight w:val="273"/>
        </w:trPr>
        <w:tc>
          <w:tcPr>
            <w:tcW w:w="335"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年份</w:t>
            </w:r>
          </w:p>
        </w:tc>
        <w:tc>
          <w:tcPr>
            <w:tcW w:w="335"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共计</w:t>
            </w:r>
          </w:p>
        </w:tc>
        <w:tc>
          <w:tcPr>
            <w:tcW w:w="1038" w:type="pct"/>
            <w:gridSpan w:val="3"/>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大学学历</w:t>
            </w:r>
          </w:p>
        </w:tc>
        <w:tc>
          <w:tcPr>
            <w:tcW w:w="470"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非大学学历</w:t>
            </w:r>
          </w:p>
        </w:tc>
        <w:tc>
          <w:tcPr>
            <w:tcW w:w="471"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中等专业学历</w:t>
            </w:r>
          </w:p>
        </w:tc>
        <w:tc>
          <w:tcPr>
            <w:tcW w:w="470"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初等专业学历</w:t>
            </w:r>
          </w:p>
        </w:tc>
        <w:tc>
          <w:tcPr>
            <w:tcW w:w="471"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高级熟练工人</w:t>
            </w:r>
          </w:p>
        </w:tc>
        <w:tc>
          <w:tcPr>
            <w:tcW w:w="470"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熟练工人</w:t>
            </w:r>
          </w:p>
        </w:tc>
        <w:tc>
          <w:tcPr>
            <w:tcW w:w="471"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半熟练工人</w:t>
            </w:r>
          </w:p>
        </w:tc>
        <w:tc>
          <w:tcPr>
            <w:tcW w:w="471" w:type="pct"/>
            <w:vMerge w:val="restar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不熟练的工人</w:t>
            </w:r>
          </w:p>
        </w:tc>
      </w:tr>
      <w:tr w:rsidR="001A7779">
        <w:tblPrEx>
          <w:tblCellMar>
            <w:top w:w="0" w:type="dxa"/>
            <w:bottom w:w="0" w:type="dxa"/>
          </w:tblCellMar>
        </w:tblPrEx>
        <w:trPr>
          <w:cantSplit/>
          <w:trHeight w:val="273"/>
        </w:trPr>
        <w:tc>
          <w:tcPr>
            <w:tcW w:w="335" w:type="pct"/>
            <w:vMerge/>
          </w:tcPr>
          <w:p w:rsidR="001A7779" w:rsidRDefault="001A7779">
            <w:pPr>
              <w:tabs>
                <w:tab w:val="left" w:pos="630"/>
              </w:tabs>
              <w:spacing w:before="60" w:after="60" w:line="360" w:lineRule="exact"/>
              <w:jc w:val="center"/>
              <w:rPr>
                <w:rFonts w:eastAsia="SimHei"/>
                <w:color w:val="FF0000"/>
                <w:sz w:val="18"/>
              </w:rPr>
            </w:pPr>
          </w:p>
        </w:tc>
        <w:tc>
          <w:tcPr>
            <w:tcW w:w="335" w:type="pct"/>
            <w:vMerge/>
          </w:tcPr>
          <w:p w:rsidR="001A7779" w:rsidRDefault="001A7779">
            <w:pPr>
              <w:tabs>
                <w:tab w:val="left" w:pos="630"/>
              </w:tabs>
              <w:spacing w:before="60" w:after="60" w:line="360" w:lineRule="exact"/>
              <w:jc w:val="center"/>
              <w:rPr>
                <w:rFonts w:eastAsia="SimHei"/>
                <w:color w:val="FF0000"/>
                <w:sz w:val="18"/>
              </w:rPr>
            </w:pPr>
          </w:p>
        </w:tc>
        <w:tc>
          <w:tcPr>
            <w:tcW w:w="346"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博士</w:t>
            </w:r>
          </w:p>
        </w:tc>
        <w:tc>
          <w:tcPr>
            <w:tcW w:w="346"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硕士</w:t>
            </w:r>
          </w:p>
        </w:tc>
        <w:tc>
          <w:tcPr>
            <w:tcW w:w="346"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总人数</w:t>
            </w:r>
          </w:p>
        </w:tc>
        <w:tc>
          <w:tcPr>
            <w:tcW w:w="470" w:type="pct"/>
            <w:vMerge/>
          </w:tcPr>
          <w:p w:rsidR="001A7779" w:rsidRDefault="001A7779">
            <w:pPr>
              <w:tabs>
                <w:tab w:val="left" w:pos="630"/>
              </w:tabs>
              <w:spacing w:before="60" w:after="60" w:line="360" w:lineRule="exact"/>
              <w:jc w:val="center"/>
              <w:rPr>
                <w:rFonts w:eastAsia="SimHei"/>
                <w:color w:val="FF0000"/>
                <w:sz w:val="18"/>
              </w:rPr>
            </w:pPr>
          </w:p>
        </w:tc>
        <w:tc>
          <w:tcPr>
            <w:tcW w:w="471" w:type="pct"/>
            <w:vMerge/>
          </w:tcPr>
          <w:p w:rsidR="001A7779" w:rsidRDefault="001A7779">
            <w:pPr>
              <w:tabs>
                <w:tab w:val="left" w:pos="630"/>
              </w:tabs>
              <w:spacing w:before="60" w:after="60" w:line="360" w:lineRule="exact"/>
              <w:jc w:val="center"/>
              <w:rPr>
                <w:rFonts w:eastAsia="SimHei"/>
                <w:color w:val="FF0000"/>
                <w:sz w:val="18"/>
              </w:rPr>
            </w:pPr>
          </w:p>
        </w:tc>
        <w:tc>
          <w:tcPr>
            <w:tcW w:w="470" w:type="pct"/>
            <w:vMerge/>
          </w:tcPr>
          <w:p w:rsidR="001A7779" w:rsidRDefault="001A7779">
            <w:pPr>
              <w:tabs>
                <w:tab w:val="left" w:pos="630"/>
              </w:tabs>
              <w:spacing w:before="60" w:after="60" w:line="360" w:lineRule="exact"/>
              <w:jc w:val="center"/>
              <w:rPr>
                <w:rFonts w:eastAsia="SimHei"/>
                <w:color w:val="FF0000"/>
                <w:sz w:val="18"/>
              </w:rPr>
            </w:pPr>
          </w:p>
        </w:tc>
        <w:tc>
          <w:tcPr>
            <w:tcW w:w="471" w:type="pct"/>
            <w:vMerge/>
          </w:tcPr>
          <w:p w:rsidR="001A7779" w:rsidRDefault="001A7779">
            <w:pPr>
              <w:tabs>
                <w:tab w:val="left" w:pos="630"/>
              </w:tabs>
              <w:spacing w:before="60" w:after="60" w:line="360" w:lineRule="exact"/>
              <w:jc w:val="center"/>
              <w:rPr>
                <w:rFonts w:eastAsia="SimHei"/>
                <w:color w:val="FF0000"/>
                <w:sz w:val="18"/>
              </w:rPr>
            </w:pPr>
          </w:p>
        </w:tc>
        <w:tc>
          <w:tcPr>
            <w:tcW w:w="470" w:type="pct"/>
            <w:vMerge/>
          </w:tcPr>
          <w:p w:rsidR="001A7779" w:rsidRDefault="001A7779">
            <w:pPr>
              <w:tabs>
                <w:tab w:val="left" w:pos="630"/>
              </w:tabs>
              <w:spacing w:before="60" w:after="60" w:line="360" w:lineRule="exact"/>
              <w:jc w:val="center"/>
              <w:rPr>
                <w:rFonts w:eastAsia="SimHei"/>
                <w:color w:val="FF0000"/>
                <w:sz w:val="18"/>
              </w:rPr>
            </w:pPr>
          </w:p>
        </w:tc>
        <w:tc>
          <w:tcPr>
            <w:tcW w:w="471" w:type="pct"/>
            <w:vMerge/>
          </w:tcPr>
          <w:p w:rsidR="001A7779" w:rsidRDefault="001A7779">
            <w:pPr>
              <w:tabs>
                <w:tab w:val="left" w:pos="630"/>
              </w:tabs>
              <w:spacing w:before="60" w:after="60" w:line="360" w:lineRule="exact"/>
              <w:jc w:val="center"/>
              <w:rPr>
                <w:rFonts w:eastAsia="SimHei"/>
                <w:color w:val="FF0000"/>
                <w:sz w:val="18"/>
              </w:rPr>
            </w:pPr>
          </w:p>
        </w:tc>
        <w:tc>
          <w:tcPr>
            <w:tcW w:w="471" w:type="pct"/>
            <w:vMerge/>
          </w:tcPr>
          <w:p w:rsidR="001A7779" w:rsidRDefault="001A7779">
            <w:pPr>
              <w:tabs>
                <w:tab w:val="left" w:pos="630"/>
              </w:tabs>
              <w:spacing w:before="60" w:after="60" w:line="360" w:lineRule="exact"/>
              <w:jc w:val="center"/>
              <w:rPr>
                <w:rFonts w:eastAsia="SimHei"/>
                <w:color w:val="FF0000"/>
                <w:sz w:val="18"/>
              </w:rPr>
            </w:pPr>
          </w:p>
        </w:tc>
      </w:tr>
      <w:tr w:rsidR="001A7779">
        <w:tblPrEx>
          <w:tblCellMar>
            <w:top w:w="0" w:type="dxa"/>
            <w:bottom w:w="0" w:type="dxa"/>
          </w:tblCellMar>
        </w:tblPrEx>
        <w:trPr>
          <w:cantSplit/>
          <w:trHeight w:val="273"/>
        </w:trPr>
        <w:tc>
          <w:tcPr>
            <w:tcW w:w="335" w:type="pct"/>
          </w:tcPr>
          <w:p w:rsidR="001A7779" w:rsidRDefault="001A7779">
            <w:pPr>
              <w:tabs>
                <w:tab w:val="left" w:pos="630"/>
              </w:tabs>
              <w:spacing w:before="60" w:after="60" w:line="360" w:lineRule="exact"/>
              <w:rPr>
                <w:sz w:val="18"/>
              </w:rPr>
            </w:pPr>
            <w:r>
              <w:rPr>
                <w:sz w:val="18"/>
              </w:rPr>
              <w:t>2000</w:t>
            </w:r>
          </w:p>
        </w:tc>
        <w:tc>
          <w:tcPr>
            <w:tcW w:w="335" w:type="pct"/>
          </w:tcPr>
          <w:p w:rsidR="001A7779" w:rsidRDefault="001A7779">
            <w:pPr>
              <w:tabs>
                <w:tab w:val="left" w:pos="630"/>
              </w:tabs>
              <w:spacing w:before="60" w:after="60" w:line="360" w:lineRule="exact"/>
              <w:rPr>
                <w:sz w:val="18"/>
              </w:rPr>
            </w:pPr>
            <w:r>
              <w:rPr>
                <w:sz w:val="18"/>
              </w:rPr>
              <w:t>87.8</w:t>
            </w:r>
          </w:p>
        </w:tc>
        <w:tc>
          <w:tcPr>
            <w:tcW w:w="346" w:type="pct"/>
          </w:tcPr>
          <w:p w:rsidR="001A7779" w:rsidRDefault="001A7779">
            <w:pPr>
              <w:tabs>
                <w:tab w:val="left" w:pos="630"/>
              </w:tabs>
              <w:spacing w:before="60" w:after="60" w:line="360" w:lineRule="exact"/>
              <w:rPr>
                <w:sz w:val="18"/>
              </w:rPr>
            </w:pPr>
            <w:r>
              <w:rPr>
                <w:sz w:val="18"/>
              </w:rPr>
              <w:t>85.9</w:t>
            </w:r>
          </w:p>
        </w:tc>
        <w:tc>
          <w:tcPr>
            <w:tcW w:w="346" w:type="pct"/>
          </w:tcPr>
          <w:p w:rsidR="001A7779" w:rsidRDefault="001A7779">
            <w:pPr>
              <w:tabs>
                <w:tab w:val="left" w:pos="630"/>
              </w:tabs>
              <w:spacing w:before="60" w:after="60" w:line="360" w:lineRule="exact"/>
              <w:rPr>
                <w:sz w:val="18"/>
              </w:rPr>
            </w:pPr>
            <w:r>
              <w:rPr>
                <w:sz w:val="18"/>
              </w:rPr>
              <w:t>83.2</w:t>
            </w:r>
          </w:p>
        </w:tc>
        <w:tc>
          <w:tcPr>
            <w:tcW w:w="346" w:type="pct"/>
          </w:tcPr>
          <w:p w:rsidR="001A7779" w:rsidRDefault="001A7779">
            <w:pPr>
              <w:tabs>
                <w:tab w:val="left" w:pos="630"/>
              </w:tabs>
              <w:spacing w:before="60" w:after="60" w:line="360" w:lineRule="exact"/>
              <w:rPr>
                <w:sz w:val="18"/>
              </w:rPr>
            </w:pPr>
            <w:r>
              <w:rPr>
                <w:sz w:val="18"/>
              </w:rPr>
              <w:t>79.3</w:t>
            </w:r>
          </w:p>
        </w:tc>
        <w:tc>
          <w:tcPr>
            <w:tcW w:w="470" w:type="pct"/>
          </w:tcPr>
          <w:p w:rsidR="001A7779" w:rsidRDefault="001A7779">
            <w:pPr>
              <w:tabs>
                <w:tab w:val="left" w:pos="630"/>
              </w:tabs>
              <w:spacing w:before="60" w:after="60" w:line="360" w:lineRule="exact"/>
              <w:rPr>
                <w:sz w:val="18"/>
              </w:rPr>
            </w:pPr>
            <w:r>
              <w:rPr>
                <w:sz w:val="18"/>
              </w:rPr>
              <w:t>87.5</w:t>
            </w:r>
          </w:p>
        </w:tc>
        <w:tc>
          <w:tcPr>
            <w:tcW w:w="471" w:type="pct"/>
          </w:tcPr>
          <w:p w:rsidR="001A7779" w:rsidRDefault="001A7779">
            <w:pPr>
              <w:tabs>
                <w:tab w:val="left" w:pos="630"/>
              </w:tabs>
              <w:spacing w:before="60" w:after="60" w:line="360" w:lineRule="exact"/>
              <w:rPr>
                <w:sz w:val="18"/>
              </w:rPr>
            </w:pPr>
            <w:r>
              <w:rPr>
                <w:sz w:val="18"/>
              </w:rPr>
              <w:t>88.5</w:t>
            </w:r>
          </w:p>
        </w:tc>
        <w:tc>
          <w:tcPr>
            <w:tcW w:w="470" w:type="pct"/>
          </w:tcPr>
          <w:p w:rsidR="001A7779" w:rsidRDefault="001A7779">
            <w:pPr>
              <w:tabs>
                <w:tab w:val="left" w:pos="630"/>
              </w:tabs>
              <w:spacing w:before="60" w:after="60" w:line="360" w:lineRule="exact"/>
              <w:rPr>
                <w:sz w:val="18"/>
              </w:rPr>
            </w:pPr>
            <w:r>
              <w:rPr>
                <w:sz w:val="18"/>
              </w:rPr>
              <w:t>85.9</w:t>
            </w:r>
          </w:p>
        </w:tc>
        <w:tc>
          <w:tcPr>
            <w:tcW w:w="471" w:type="pct"/>
          </w:tcPr>
          <w:p w:rsidR="001A7779" w:rsidRDefault="001A7779">
            <w:pPr>
              <w:tabs>
                <w:tab w:val="left" w:pos="630"/>
              </w:tabs>
              <w:spacing w:before="60" w:after="60" w:line="360" w:lineRule="exact"/>
              <w:rPr>
                <w:sz w:val="18"/>
              </w:rPr>
            </w:pPr>
            <w:r>
              <w:rPr>
                <w:sz w:val="18"/>
              </w:rPr>
              <w:t>83.0</w:t>
            </w:r>
          </w:p>
        </w:tc>
        <w:tc>
          <w:tcPr>
            <w:tcW w:w="470" w:type="pct"/>
          </w:tcPr>
          <w:p w:rsidR="001A7779" w:rsidRDefault="001A7779">
            <w:pPr>
              <w:tabs>
                <w:tab w:val="left" w:pos="630"/>
              </w:tabs>
              <w:spacing w:before="60" w:after="60" w:line="360" w:lineRule="exact"/>
              <w:rPr>
                <w:sz w:val="18"/>
              </w:rPr>
            </w:pPr>
            <w:r>
              <w:rPr>
                <w:sz w:val="18"/>
              </w:rPr>
              <w:t>80.1</w:t>
            </w:r>
          </w:p>
        </w:tc>
        <w:tc>
          <w:tcPr>
            <w:tcW w:w="471" w:type="pct"/>
          </w:tcPr>
          <w:p w:rsidR="001A7779" w:rsidRDefault="001A7779">
            <w:pPr>
              <w:tabs>
                <w:tab w:val="left" w:pos="630"/>
              </w:tabs>
              <w:spacing w:before="60" w:after="60" w:line="360" w:lineRule="exact"/>
              <w:rPr>
                <w:sz w:val="18"/>
              </w:rPr>
            </w:pPr>
            <w:r>
              <w:rPr>
                <w:sz w:val="18"/>
              </w:rPr>
              <w:t>84.8</w:t>
            </w:r>
          </w:p>
        </w:tc>
        <w:tc>
          <w:tcPr>
            <w:tcW w:w="471" w:type="pct"/>
          </w:tcPr>
          <w:p w:rsidR="001A7779" w:rsidRDefault="001A7779">
            <w:pPr>
              <w:tabs>
                <w:tab w:val="left" w:pos="630"/>
              </w:tabs>
              <w:spacing w:before="60" w:after="60" w:line="360" w:lineRule="exact"/>
              <w:rPr>
                <w:sz w:val="18"/>
              </w:rPr>
            </w:pPr>
            <w:r>
              <w:rPr>
                <w:sz w:val="18"/>
              </w:rPr>
              <w:t>88.0</w:t>
            </w:r>
          </w:p>
        </w:tc>
      </w:tr>
      <w:tr w:rsidR="001A7779">
        <w:tblPrEx>
          <w:tblCellMar>
            <w:top w:w="0" w:type="dxa"/>
            <w:bottom w:w="0" w:type="dxa"/>
          </w:tblCellMar>
        </w:tblPrEx>
        <w:trPr>
          <w:cantSplit/>
          <w:trHeight w:val="273"/>
        </w:trPr>
        <w:tc>
          <w:tcPr>
            <w:tcW w:w="335" w:type="pct"/>
          </w:tcPr>
          <w:p w:rsidR="001A7779" w:rsidRDefault="001A7779">
            <w:pPr>
              <w:tabs>
                <w:tab w:val="left" w:pos="630"/>
              </w:tabs>
              <w:spacing w:before="60" w:after="60" w:line="360" w:lineRule="exact"/>
              <w:rPr>
                <w:sz w:val="18"/>
              </w:rPr>
            </w:pPr>
            <w:r>
              <w:rPr>
                <w:sz w:val="18"/>
              </w:rPr>
              <w:t>2002</w:t>
            </w:r>
          </w:p>
        </w:tc>
        <w:tc>
          <w:tcPr>
            <w:tcW w:w="335" w:type="pct"/>
          </w:tcPr>
          <w:p w:rsidR="001A7779" w:rsidRDefault="001A7779">
            <w:pPr>
              <w:tabs>
                <w:tab w:val="left" w:pos="630"/>
              </w:tabs>
              <w:spacing w:before="60" w:after="60" w:line="360" w:lineRule="exact"/>
              <w:rPr>
                <w:sz w:val="18"/>
              </w:rPr>
            </w:pPr>
            <w:r>
              <w:rPr>
                <w:sz w:val="18"/>
              </w:rPr>
              <w:t>90.5</w:t>
            </w:r>
          </w:p>
        </w:tc>
        <w:tc>
          <w:tcPr>
            <w:tcW w:w="346" w:type="pct"/>
          </w:tcPr>
          <w:p w:rsidR="001A7779" w:rsidRDefault="001A7779">
            <w:pPr>
              <w:tabs>
                <w:tab w:val="left" w:pos="630"/>
              </w:tabs>
              <w:spacing w:before="60" w:after="60" w:line="360" w:lineRule="exact"/>
              <w:rPr>
                <w:sz w:val="18"/>
              </w:rPr>
            </w:pPr>
            <w:r>
              <w:rPr>
                <w:sz w:val="18"/>
              </w:rPr>
              <w:t>92.2</w:t>
            </w:r>
          </w:p>
        </w:tc>
        <w:tc>
          <w:tcPr>
            <w:tcW w:w="346" w:type="pct"/>
          </w:tcPr>
          <w:p w:rsidR="001A7779" w:rsidRDefault="001A7779">
            <w:pPr>
              <w:tabs>
                <w:tab w:val="left" w:pos="630"/>
              </w:tabs>
              <w:spacing w:before="60" w:after="60" w:line="360" w:lineRule="exact"/>
              <w:rPr>
                <w:sz w:val="18"/>
              </w:rPr>
            </w:pPr>
            <w:r>
              <w:rPr>
                <w:sz w:val="18"/>
              </w:rPr>
              <w:t>88.2</w:t>
            </w:r>
          </w:p>
        </w:tc>
        <w:tc>
          <w:tcPr>
            <w:tcW w:w="346" w:type="pct"/>
          </w:tcPr>
          <w:p w:rsidR="001A7779" w:rsidRDefault="001A7779">
            <w:pPr>
              <w:tabs>
                <w:tab w:val="left" w:pos="630"/>
              </w:tabs>
              <w:spacing w:before="60" w:after="60" w:line="360" w:lineRule="exact"/>
              <w:rPr>
                <w:sz w:val="18"/>
              </w:rPr>
            </w:pPr>
            <w:r>
              <w:rPr>
                <w:sz w:val="18"/>
              </w:rPr>
              <w:t>80.3</w:t>
            </w:r>
          </w:p>
        </w:tc>
        <w:tc>
          <w:tcPr>
            <w:tcW w:w="470" w:type="pct"/>
          </w:tcPr>
          <w:p w:rsidR="001A7779" w:rsidRDefault="001A7779">
            <w:pPr>
              <w:tabs>
                <w:tab w:val="left" w:pos="630"/>
              </w:tabs>
              <w:spacing w:before="60" w:after="60" w:line="360" w:lineRule="exact"/>
              <w:rPr>
                <w:sz w:val="18"/>
              </w:rPr>
            </w:pPr>
            <w:r>
              <w:rPr>
                <w:sz w:val="18"/>
              </w:rPr>
              <w:t>91.3</w:t>
            </w:r>
          </w:p>
        </w:tc>
        <w:tc>
          <w:tcPr>
            <w:tcW w:w="471" w:type="pct"/>
          </w:tcPr>
          <w:p w:rsidR="001A7779" w:rsidRDefault="001A7779">
            <w:pPr>
              <w:tabs>
                <w:tab w:val="left" w:pos="630"/>
              </w:tabs>
              <w:spacing w:before="60" w:after="60" w:line="360" w:lineRule="exact"/>
              <w:rPr>
                <w:sz w:val="18"/>
              </w:rPr>
            </w:pPr>
            <w:r>
              <w:rPr>
                <w:sz w:val="18"/>
              </w:rPr>
              <w:t>91.8</w:t>
            </w:r>
          </w:p>
        </w:tc>
        <w:tc>
          <w:tcPr>
            <w:tcW w:w="470" w:type="pct"/>
          </w:tcPr>
          <w:p w:rsidR="001A7779" w:rsidRDefault="001A7779">
            <w:pPr>
              <w:tabs>
                <w:tab w:val="left" w:pos="630"/>
              </w:tabs>
              <w:spacing w:before="60" w:after="60" w:line="360" w:lineRule="exact"/>
              <w:rPr>
                <w:sz w:val="18"/>
              </w:rPr>
            </w:pPr>
            <w:r>
              <w:rPr>
                <w:sz w:val="18"/>
              </w:rPr>
              <w:t>90.9</w:t>
            </w:r>
          </w:p>
        </w:tc>
        <w:tc>
          <w:tcPr>
            <w:tcW w:w="471" w:type="pct"/>
          </w:tcPr>
          <w:p w:rsidR="001A7779" w:rsidRDefault="001A7779">
            <w:pPr>
              <w:tabs>
                <w:tab w:val="left" w:pos="630"/>
              </w:tabs>
              <w:spacing w:before="60" w:after="60" w:line="360" w:lineRule="exact"/>
              <w:rPr>
                <w:sz w:val="18"/>
              </w:rPr>
            </w:pPr>
            <w:r>
              <w:rPr>
                <w:sz w:val="18"/>
              </w:rPr>
              <w:t>80.0</w:t>
            </w:r>
          </w:p>
        </w:tc>
        <w:tc>
          <w:tcPr>
            <w:tcW w:w="470" w:type="pct"/>
          </w:tcPr>
          <w:p w:rsidR="001A7779" w:rsidRDefault="001A7779">
            <w:pPr>
              <w:tabs>
                <w:tab w:val="left" w:pos="630"/>
              </w:tabs>
              <w:spacing w:before="60" w:after="60" w:line="360" w:lineRule="exact"/>
              <w:rPr>
                <w:sz w:val="18"/>
              </w:rPr>
            </w:pPr>
            <w:r>
              <w:rPr>
                <w:sz w:val="18"/>
              </w:rPr>
              <w:t>76.2</w:t>
            </w:r>
          </w:p>
        </w:tc>
        <w:tc>
          <w:tcPr>
            <w:tcW w:w="471" w:type="pct"/>
          </w:tcPr>
          <w:p w:rsidR="001A7779" w:rsidRDefault="001A7779">
            <w:pPr>
              <w:tabs>
                <w:tab w:val="left" w:pos="630"/>
              </w:tabs>
              <w:spacing w:before="60" w:after="60" w:line="360" w:lineRule="exact"/>
              <w:rPr>
                <w:sz w:val="18"/>
              </w:rPr>
            </w:pPr>
            <w:r>
              <w:rPr>
                <w:sz w:val="18"/>
              </w:rPr>
              <w:t>88.1</w:t>
            </w:r>
          </w:p>
        </w:tc>
        <w:tc>
          <w:tcPr>
            <w:tcW w:w="471" w:type="pct"/>
          </w:tcPr>
          <w:p w:rsidR="001A7779" w:rsidRDefault="001A7779">
            <w:pPr>
              <w:tabs>
                <w:tab w:val="left" w:pos="630"/>
              </w:tabs>
              <w:spacing w:before="60" w:after="60" w:line="360" w:lineRule="exact"/>
              <w:rPr>
                <w:sz w:val="18"/>
              </w:rPr>
            </w:pPr>
            <w:r>
              <w:rPr>
                <w:sz w:val="18"/>
              </w:rPr>
              <w:t>88.6</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37</w:t>
      </w:r>
      <w:r>
        <w:rPr>
          <w:rFonts w:ascii="SimHei" w:eastAsia="SimHei" w:hint="eastAsia"/>
          <w:color w:val="FF0000"/>
        </w:rPr>
        <w:t>：</w:t>
      </w:r>
      <w:r>
        <w:rPr>
          <w:rFonts w:ascii="SimHei" w:eastAsia="SimHei"/>
          <w:color w:val="FF0000"/>
        </w:rPr>
        <w:t xml:space="preserve">2000 </w:t>
      </w:r>
      <w:r>
        <w:rPr>
          <w:rFonts w:ascii="SimHei" w:eastAsia="SimHei" w:hint="eastAsia"/>
          <w:color w:val="FF0000"/>
        </w:rPr>
        <w:t>至</w:t>
      </w:r>
      <w:r>
        <w:rPr>
          <w:rFonts w:ascii="SimHei" w:eastAsia="SimHei"/>
          <w:color w:val="FF0000"/>
        </w:rPr>
        <w:t xml:space="preserve">2004 </w:t>
      </w:r>
      <w:r>
        <w:rPr>
          <w:rFonts w:ascii="SimHei" w:eastAsia="SimHei" w:hint="eastAsia"/>
          <w:color w:val="FF0000"/>
        </w:rPr>
        <w:t>年平均登记失业率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0"/>
        <w:gridCol w:w="1560"/>
        <w:gridCol w:w="1560"/>
        <w:gridCol w:w="1560"/>
        <w:gridCol w:w="1560"/>
        <w:gridCol w:w="1560"/>
      </w:tblGrid>
      <w:tr w:rsidR="001A7779">
        <w:tblPrEx>
          <w:tblCellMar>
            <w:top w:w="0" w:type="dxa"/>
            <w:bottom w:w="0" w:type="dxa"/>
          </w:tblCellMar>
        </w:tblPrEx>
        <w:trPr>
          <w:tblHeader/>
        </w:trPr>
        <w:tc>
          <w:tcPr>
            <w:tcW w:w="2040" w:type="dxa"/>
          </w:tcPr>
          <w:p w:rsidR="001A7779" w:rsidRDefault="001A7779">
            <w:pPr>
              <w:tabs>
                <w:tab w:val="left" w:pos="630"/>
              </w:tabs>
              <w:spacing w:before="60" w:after="60" w:line="360" w:lineRule="exact"/>
              <w:rPr>
                <w:rFonts w:ascii="SimHei" w:eastAsia="SimHei"/>
                <w:color w:val="FF0000"/>
                <w:sz w:val="18"/>
              </w:rPr>
            </w:pPr>
          </w:p>
        </w:tc>
        <w:tc>
          <w:tcPr>
            <w:tcW w:w="156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156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56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56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156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共计</w:t>
            </w:r>
          </w:p>
        </w:tc>
        <w:tc>
          <w:tcPr>
            <w:tcW w:w="1560" w:type="dxa"/>
          </w:tcPr>
          <w:p w:rsidR="001A7779" w:rsidRDefault="001A7779">
            <w:pPr>
              <w:tabs>
                <w:tab w:val="left" w:pos="630"/>
              </w:tabs>
              <w:spacing w:before="60" w:after="60" w:line="360" w:lineRule="exact"/>
              <w:jc w:val="center"/>
              <w:rPr>
                <w:sz w:val="18"/>
              </w:rPr>
            </w:pPr>
            <w:r>
              <w:rPr>
                <w:sz w:val="18"/>
              </w:rPr>
              <w:t>12.2</w:t>
            </w:r>
          </w:p>
        </w:tc>
        <w:tc>
          <w:tcPr>
            <w:tcW w:w="1560" w:type="dxa"/>
          </w:tcPr>
          <w:p w:rsidR="001A7779" w:rsidRDefault="001A7779">
            <w:pPr>
              <w:tabs>
                <w:tab w:val="left" w:pos="630"/>
              </w:tabs>
              <w:spacing w:before="60" w:after="60" w:line="360" w:lineRule="exact"/>
              <w:jc w:val="center"/>
              <w:rPr>
                <w:sz w:val="18"/>
              </w:rPr>
            </w:pPr>
            <w:r>
              <w:rPr>
                <w:sz w:val="18"/>
              </w:rPr>
              <w:t>11.6</w:t>
            </w:r>
          </w:p>
        </w:tc>
        <w:tc>
          <w:tcPr>
            <w:tcW w:w="1560" w:type="dxa"/>
          </w:tcPr>
          <w:p w:rsidR="001A7779" w:rsidRDefault="001A7779">
            <w:pPr>
              <w:tabs>
                <w:tab w:val="left" w:pos="630"/>
              </w:tabs>
              <w:spacing w:before="60" w:after="60" w:line="360" w:lineRule="exact"/>
              <w:jc w:val="center"/>
              <w:rPr>
                <w:sz w:val="18"/>
              </w:rPr>
            </w:pPr>
            <w:r>
              <w:rPr>
                <w:sz w:val="18"/>
              </w:rPr>
              <w:t>11.6</w:t>
            </w:r>
          </w:p>
        </w:tc>
        <w:tc>
          <w:tcPr>
            <w:tcW w:w="1560" w:type="dxa"/>
          </w:tcPr>
          <w:p w:rsidR="001A7779" w:rsidRDefault="001A7779">
            <w:pPr>
              <w:tabs>
                <w:tab w:val="left" w:pos="630"/>
              </w:tabs>
              <w:spacing w:before="60" w:after="60" w:line="360" w:lineRule="exact"/>
              <w:jc w:val="center"/>
              <w:rPr>
                <w:sz w:val="18"/>
              </w:rPr>
            </w:pPr>
            <w:r>
              <w:rPr>
                <w:sz w:val="18"/>
              </w:rPr>
              <w:t>11.2</w:t>
            </w:r>
          </w:p>
        </w:tc>
        <w:tc>
          <w:tcPr>
            <w:tcW w:w="1560" w:type="dxa"/>
          </w:tcPr>
          <w:p w:rsidR="001A7779" w:rsidRDefault="001A7779">
            <w:pPr>
              <w:tabs>
                <w:tab w:val="left" w:pos="630"/>
              </w:tabs>
              <w:spacing w:before="60" w:after="60" w:line="360" w:lineRule="exact"/>
              <w:jc w:val="center"/>
              <w:rPr>
                <w:sz w:val="18"/>
              </w:rPr>
            </w:pPr>
            <w:r>
              <w:rPr>
                <w:sz w:val="18"/>
              </w:rPr>
              <w:t>10.6</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男</w:t>
            </w:r>
          </w:p>
        </w:tc>
        <w:tc>
          <w:tcPr>
            <w:tcW w:w="1560" w:type="dxa"/>
          </w:tcPr>
          <w:p w:rsidR="001A7779" w:rsidRDefault="001A7779">
            <w:pPr>
              <w:tabs>
                <w:tab w:val="left" w:pos="630"/>
              </w:tabs>
              <w:spacing w:before="60" w:after="60" w:line="360" w:lineRule="exact"/>
              <w:jc w:val="center"/>
              <w:rPr>
                <w:sz w:val="18"/>
              </w:rPr>
            </w:pPr>
            <w:r>
              <w:rPr>
                <w:sz w:val="18"/>
              </w:rPr>
              <w:t>11.1</w:t>
            </w:r>
          </w:p>
        </w:tc>
        <w:tc>
          <w:tcPr>
            <w:tcW w:w="1560" w:type="dxa"/>
          </w:tcPr>
          <w:p w:rsidR="001A7779" w:rsidRDefault="001A7779">
            <w:pPr>
              <w:tabs>
                <w:tab w:val="left" w:pos="630"/>
              </w:tabs>
              <w:spacing w:before="60" w:after="60" w:line="360" w:lineRule="exact"/>
              <w:jc w:val="center"/>
              <w:rPr>
                <w:sz w:val="18"/>
              </w:rPr>
            </w:pPr>
            <w:r>
              <w:rPr>
                <w:sz w:val="18"/>
              </w:rPr>
              <w:t>10.4</w:t>
            </w:r>
          </w:p>
        </w:tc>
        <w:tc>
          <w:tcPr>
            <w:tcW w:w="1560" w:type="dxa"/>
          </w:tcPr>
          <w:p w:rsidR="001A7779" w:rsidRDefault="001A7779">
            <w:pPr>
              <w:tabs>
                <w:tab w:val="left" w:pos="630"/>
              </w:tabs>
              <w:spacing w:before="60" w:after="60" w:line="360" w:lineRule="exact"/>
              <w:jc w:val="center"/>
              <w:rPr>
                <w:sz w:val="18"/>
              </w:rPr>
            </w:pPr>
            <w:r>
              <w:rPr>
                <w:sz w:val="18"/>
              </w:rPr>
              <w:t>10.4</w:t>
            </w:r>
          </w:p>
        </w:tc>
        <w:tc>
          <w:tcPr>
            <w:tcW w:w="1560" w:type="dxa"/>
          </w:tcPr>
          <w:p w:rsidR="001A7779" w:rsidRDefault="001A7779">
            <w:pPr>
              <w:tabs>
                <w:tab w:val="left" w:pos="630"/>
              </w:tabs>
              <w:spacing w:before="60" w:after="60" w:line="360" w:lineRule="exact"/>
              <w:jc w:val="center"/>
              <w:rPr>
                <w:sz w:val="18"/>
              </w:rPr>
            </w:pPr>
            <w:r>
              <w:rPr>
                <w:sz w:val="18"/>
              </w:rPr>
              <w:t>9.7</w:t>
            </w:r>
          </w:p>
        </w:tc>
        <w:tc>
          <w:tcPr>
            <w:tcW w:w="1560" w:type="dxa"/>
          </w:tcPr>
          <w:p w:rsidR="001A7779" w:rsidRDefault="001A7779">
            <w:pPr>
              <w:tabs>
                <w:tab w:val="left" w:pos="630"/>
              </w:tabs>
              <w:spacing w:before="60" w:after="60" w:line="360" w:lineRule="exact"/>
              <w:jc w:val="center"/>
              <w:rPr>
                <w:sz w:val="18"/>
              </w:rPr>
            </w:pPr>
            <w:r>
              <w:rPr>
                <w:sz w:val="18"/>
              </w:rPr>
              <w:t>9.1</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女</w:t>
            </w:r>
          </w:p>
        </w:tc>
        <w:tc>
          <w:tcPr>
            <w:tcW w:w="1560" w:type="dxa"/>
          </w:tcPr>
          <w:p w:rsidR="001A7779" w:rsidRDefault="001A7779">
            <w:pPr>
              <w:tabs>
                <w:tab w:val="left" w:pos="630"/>
              </w:tabs>
              <w:spacing w:before="60" w:after="60" w:line="360" w:lineRule="exact"/>
              <w:jc w:val="center"/>
              <w:rPr>
                <w:sz w:val="18"/>
              </w:rPr>
            </w:pPr>
            <w:r>
              <w:rPr>
                <w:sz w:val="18"/>
              </w:rPr>
              <w:t>13.5</w:t>
            </w:r>
          </w:p>
        </w:tc>
        <w:tc>
          <w:tcPr>
            <w:tcW w:w="1560" w:type="dxa"/>
          </w:tcPr>
          <w:p w:rsidR="001A7779" w:rsidRDefault="001A7779">
            <w:pPr>
              <w:tabs>
                <w:tab w:val="left" w:pos="630"/>
              </w:tabs>
              <w:spacing w:before="60" w:after="60" w:line="360" w:lineRule="exact"/>
              <w:jc w:val="center"/>
              <w:rPr>
                <w:sz w:val="18"/>
              </w:rPr>
            </w:pPr>
            <w:r>
              <w:rPr>
                <w:sz w:val="18"/>
              </w:rPr>
              <w:t>12.9</w:t>
            </w:r>
          </w:p>
        </w:tc>
        <w:tc>
          <w:tcPr>
            <w:tcW w:w="1560" w:type="dxa"/>
          </w:tcPr>
          <w:p w:rsidR="001A7779" w:rsidRDefault="001A7779">
            <w:pPr>
              <w:tabs>
                <w:tab w:val="left" w:pos="630"/>
              </w:tabs>
              <w:spacing w:before="60" w:after="60" w:line="360" w:lineRule="exact"/>
              <w:jc w:val="center"/>
              <w:rPr>
                <w:sz w:val="18"/>
              </w:rPr>
            </w:pPr>
            <w:r>
              <w:rPr>
                <w:sz w:val="18"/>
              </w:rPr>
              <w:t>13.1</w:t>
            </w:r>
          </w:p>
        </w:tc>
        <w:tc>
          <w:tcPr>
            <w:tcW w:w="1560" w:type="dxa"/>
          </w:tcPr>
          <w:p w:rsidR="001A7779" w:rsidRDefault="001A7779">
            <w:pPr>
              <w:tabs>
                <w:tab w:val="left" w:pos="630"/>
              </w:tabs>
              <w:spacing w:before="60" w:after="60" w:line="360" w:lineRule="exact"/>
              <w:jc w:val="center"/>
              <w:rPr>
                <w:sz w:val="18"/>
              </w:rPr>
            </w:pPr>
            <w:r>
              <w:rPr>
                <w:sz w:val="18"/>
              </w:rPr>
              <w:t>13.0</w:t>
            </w:r>
          </w:p>
        </w:tc>
        <w:tc>
          <w:tcPr>
            <w:tcW w:w="1560" w:type="dxa"/>
          </w:tcPr>
          <w:p w:rsidR="001A7779" w:rsidRDefault="001A7779">
            <w:pPr>
              <w:tabs>
                <w:tab w:val="left" w:pos="630"/>
              </w:tabs>
              <w:spacing w:before="60" w:after="60" w:line="360" w:lineRule="exact"/>
              <w:jc w:val="center"/>
              <w:rPr>
                <w:sz w:val="18"/>
              </w:rPr>
            </w:pPr>
            <w:r>
              <w:rPr>
                <w:sz w:val="18"/>
              </w:rPr>
              <w:t>12.4</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妇女所占比例</w:t>
            </w:r>
            <w:r>
              <w:rPr>
                <w:sz w:val="18"/>
              </w:rPr>
              <w:t xml:space="preserve">% </w:t>
            </w:r>
          </w:p>
        </w:tc>
        <w:tc>
          <w:tcPr>
            <w:tcW w:w="1560" w:type="dxa"/>
          </w:tcPr>
          <w:p w:rsidR="001A7779" w:rsidRDefault="001A7779">
            <w:pPr>
              <w:tabs>
                <w:tab w:val="left" w:pos="630"/>
              </w:tabs>
              <w:spacing w:before="60" w:after="60" w:line="360" w:lineRule="exact"/>
              <w:jc w:val="center"/>
              <w:rPr>
                <w:sz w:val="18"/>
              </w:rPr>
            </w:pPr>
            <w:r>
              <w:rPr>
                <w:sz w:val="18"/>
              </w:rPr>
              <w:t>50.7</w:t>
            </w:r>
          </w:p>
        </w:tc>
        <w:tc>
          <w:tcPr>
            <w:tcW w:w="1560" w:type="dxa"/>
          </w:tcPr>
          <w:p w:rsidR="001A7779" w:rsidRDefault="001A7779">
            <w:pPr>
              <w:tabs>
                <w:tab w:val="left" w:pos="630"/>
              </w:tabs>
              <w:spacing w:before="60" w:after="60" w:line="360" w:lineRule="exact"/>
              <w:jc w:val="center"/>
              <w:rPr>
                <w:sz w:val="18"/>
              </w:rPr>
            </w:pPr>
            <w:r>
              <w:rPr>
                <w:sz w:val="18"/>
              </w:rPr>
              <w:t>50.8</w:t>
            </w:r>
          </w:p>
        </w:tc>
        <w:tc>
          <w:tcPr>
            <w:tcW w:w="1560" w:type="dxa"/>
          </w:tcPr>
          <w:p w:rsidR="001A7779" w:rsidRDefault="001A7779">
            <w:pPr>
              <w:tabs>
                <w:tab w:val="left" w:pos="630"/>
              </w:tabs>
              <w:spacing w:before="60" w:after="60" w:line="360" w:lineRule="exact"/>
              <w:jc w:val="center"/>
              <w:rPr>
                <w:sz w:val="18"/>
              </w:rPr>
            </w:pPr>
            <w:r>
              <w:rPr>
                <w:sz w:val="18"/>
              </w:rPr>
              <w:t>51.1</w:t>
            </w:r>
          </w:p>
        </w:tc>
        <w:tc>
          <w:tcPr>
            <w:tcW w:w="1560" w:type="dxa"/>
          </w:tcPr>
          <w:p w:rsidR="001A7779" w:rsidRDefault="001A7779">
            <w:pPr>
              <w:tabs>
                <w:tab w:val="left" w:pos="630"/>
              </w:tabs>
              <w:spacing w:before="60" w:after="60" w:line="360" w:lineRule="exact"/>
              <w:jc w:val="center"/>
              <w:rPr>
                <w:sz w:val="18"/>
              </w:rPr>
            </w:pPr>
            <w:r>
              <w:rPr>
                <w:sz w:val="18"/>
              </w:rPr>
              <w:t>52.8</w:t>
            </w:r>
          </w:p>
        </w:tc>
        <w:tc>
          <w:tcPr>
            <w:tcW w:w="1560" w:type="dxa"/>
          </w:tcPr>
          <w:p w:rsidR="001A7779" w:rsidRDefault="001A7779">
            <w:pPr>
              <w:tabs>
                <w:tab w:val="left" w:pos="630"/>
              </w:tabs>
              <w:spacing w:before="60" w:after="60" w:line="360" w:lineRule="exact"/>
              <w:jc w:val="center"/>
              <w:rPr>
                <w:sz w:val="18"/>
              </w:rPr>
            </w:pPr>
            <w:r>
              <w:rPr>
                <w:sz w:val="18"/>
              </w:rPr>
              <w:t>53.1</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rFonts w:hint="eastAsia"/>
                <w:sz w:val="18"/>
              </w:rPr>
            </w:pPr>
            <w:r>
              <w:rPr>
                <w:rFonts w:hint="eastAsia"/>
                <w:sz w:val="18"/>
              </w:rPr>
              <w:t>初次求职者</w:t>
            </w:r>
          </w:p>
        </w:tc>
        <w:tc>
          <w:tcPr>
            <w:tcW w:w="1560" w:type="dxa"/>
          </w:tcPr>
          <w:p w:rsidR="001A7779" w:rsidRDefault="001A7779">
            <w:pPr>
              <w:tabs>
                <w:tab w:val="left" w:pos="630"/>
              </w:tabs>
              <w:spacing w:before="60" w:after="60" w:line="360" w:lineRule="exact"/>
              <w:jc w:val="center"/>
              <w:rPr>
                <w:sz w:val="18"/>
              </w:rPr>
            </w:pPr>
            <w:r>
              <w:rPr>
                <w:sz w:val="18"/>
              </w:rPr>
              <w:t>17.9</w:t>
            </w:r>
          </w:p>
        </w:tc>
        <w:tc>
          <w:tcPr>
            <w:tcW w:w="1560" w:type="dxa"/>
          </w:tcPr>
          <w:p w:rsidR="001A7779" w:rsidRDefault="001A7779">
            <w:pPr>
              <w:tabs>
                <w:tab w:val="left" w:pos="630"/>
              </w:tabs>
              <w:spacing w:before="60" w:after="60" w:line="360" w:lineRule="exact"/>
              <w:jc w:val="center"/>
              <w:rPr>
                <w:sz w:val="18"/>
              </w:rPr>
            </w:pPr>
            <w:r>
              <w:rPr>
                <w:sz w:val="18"/>
              </w:rPr>
              <w:t>18.8</w:t>
            </w:r>
          </w:p>
        </w:tc>
        <w:tc>
          <w:tcPr>
            <w:tcW w:w="1560" w:type="dxa"/>
          </w:tcPr>
          <w:p w:rsidR="001A7779" w:rsidRDefault="001A7779">
            <w:pPr>
              <w:tabs>
                <w:tab w:val="left" w:pos="630"/>
              </w:tabs>
              <w:spacing w:before="60" w:after="60" w:line="360" w:lineRule="exact"/>
              <w:jc w:val="center"/>
              <w:rPr>
                <w:sz w:val="18"/>
              </w:rPr>
            </w:pPr>
            <w:r>
              <w:rPr>
                <w:sz w:val="18"/>
              </w:rPr>
              <w:t>19.6</w:t>
            </w:r>
          </w:p>
        </w:tc>
        <w:tc>
          <w:tcPr>
            <w:tcW w:w="1560" w:type="dxa"/>
          </w:tcPr>
          <w:p w:rsidR="001A7779" w:rsidRDefault="001A7779">
            <w:pPr>
              <w:tabs>
                <w:tab w:val="left" w:pos="630"/>
              </w:tabs>
              <w:spacing w:before="60" w:after="60" w:line="360" w:lineRule="exact"/>
              <w:jc w:val="center"/>
              <w:rPr>
                <w:sz w:val="18"/>
              </w:rPr>
            </w:pPr>
            <w:r>
              <w:rPr>
                <w:sz w:val="18"/>
              </w:rPr>
              <w:t>23.2</w:t>
            </w:r>
          </w:p>
        </w:tc>
        <w:tc>
          <w:tcPr>
            <w:tcW w:w="1560" w:type="dxa"/>
          </w:tcPr>
          <w:p w:rsidR="001A7779" w:rsidRDefault="001A7779">
            <w:pPr>
              <w:tabs>
                <w:tab w:val="left" w:pos="630"/>
              </w:tabs>
              <w:spacing w:before="60" w:after="60" w:line="360" w:lineRule="exact"/>
              <w:jc w:val="center"/>
              <w:rPr>
                <w:sz w:val="18"/>
              </w:rPr>
            </w:pPr>
            <w:r>
              <w:rPr>
                <w:sz w:val="18"/>
              </w:rPr>
              <w:t>25.2</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妇女所占比例</w:t>
            </w:r>
            <w:r>
              <w:rPr>
                <w:sz w:val="18"/>
              </w:rPr>
              <w:t xml:space="preserve">% </w:t>
            </w:r>
          </w:p>
        </w:tc>
        <w:tc>
          <w:tcPr>
            <w:tcW w:w="1560" w:type="dxa"/>
          </w:tcPr>
          <w:p w:rsidR="001A7779" w:rsidRDefault="001A7779">
            <w:pPr>
              <w:tabs>
                <w:tab w:val="left" w:pos="630"/>
              </w:tabs>
              <w:spacing w:before="60" w:after="60" w:line="360" w:lineRule="exact"/>
              <w:jc w:val="center"/>
              <w:rPr>
                <w:sz w:val="18"/>
              </w:rPr>
            </w:pPr>
            <w:r>
              <w:rPr>
                <w:sz w:val="18"/>
              </w:rPr>
              <w:t>54.1</w:t>
            </w:r>
          </w:p>
        </w:tc>
        <w:tc>
          <w:tcPr>
            <w:tcW w:w="1560" w:type="dxa"/>
          </w:tcPr>
          <w:p w:rsidR="001A7779" w:rsidRDefault="001A7779">
            <w:pPr>
              <w:tabs>
                <w:tab w:val="left" w:pos="630"/>
              </w:tabs>
              <w:spacing w:before="60" w:after="60" w:line="360" w:lineRule="exact"/>
              <w:jc w:val="center"/>
              <w:rPr>
                <w:sz w:val="18"/>
              </w:rPr>
            </w:pPr>
            <w:r>
              <w:rPr>
                <w:sz w:val="18"/>
              </w:rPr>
              <w:t>54.8</w:t>
            </w:r>
          </w:p>
        </w:tc>
        <w:tc>
          <w:tcPr>
            <w:tcW w:w="1560" w:type="dxa"/>
          </w:tcPr>
          <w:p w:rsidR="001A7779" w:rsidRDefault="001A7779">
            <w:pPr>
              <w:tabs>
                <w:tab w:val="left" w:pos="630"/>
              </w:tabs>
              <w:spacing w:before="60" w:after="60" w:line="360" w:lineRule="exact"/>
              <w:jc w:val="center"/>
              <w:rPr>
                <w:sz w:val="18"/>
              </w:rPr>
            </w:pPr>
            <w:r>
              <w:rPr>
                <w:sz w:val="18"/>
              </w:rPr>
              <w:t>55.5</w:t>
            </w:r>
          </w:p>
        </w:tc>
        <w:tc>
          <w:tcPr>
            <w:tcW w:w="1560" w:type="dxa"/>
          </w:tcPr>
          <w:p w:rsidR="001A7779" w:rsidRDefault="001A7779">
            <w:pPr>
              <w:tabs>
                <w:tab w:val="left" w:pos="630"/>
              </w:tabs>
              <w:spacing w:before="60" w:after="60" w:line="360" w:lineRule="exact"/>
              <w:jc w:val="center"/>
              <w:rPr>
                <w:sz w:val="18"/>
              </w:rPr>
            </w:pPr>
            <w:r>
              <w:rPr>
                <w:sz w:val="18"/>
              </w:rPr>
              <w:t>56.2</w:t>
            </w:r>
          </w:p>
        </w:tc>
        <w:tc>
          <w:tcPr>
            <w:tcW w:w="1560" w:type="dxa"/>
          </w:tcPr>
          <w:p w:rsidR="001A7779" w:rsidRDefault="001A7779">
            <w:pPr>
              <w:tabs>
                <w:tab w:val="left" w:pos="630"/>
              </w:tabs>
              <w:spacing w:before="60" w:after="60" w:line="360" w:lineRule="exact"/>
              <w:jc w:val="center"/>
              <w:rPr>
                <w:sz w:val="18"/>
              </w:rPr>
            </w:pPr>
            <w:r>
              <w:rPr>
                <w:sz w:val="18"/>
              </w:rPr>
              <w:t>56.6</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失业一年</w:t>
            </w:r>
          </w:p>
        </w:tc>
        <w:tc>
          <w:tcPr>
            <w:tcW w:w="1560" w:type="dxa"/>
          </w:tcPr>
          <w:p w:rsidR="001A7779" w:rsidRDefault="001A7779">
            <w:pPr>
              <w:tabs>
                <w:tab w:val="left" w:pos="630"/>
              </w:tabs>
              <w:spacing w:before="60" w:after="60" w:line="360" w:lineRule="exact"/>
              <w:jc w:val="center"/>
              <w:rPr>
                <w:sz w:val="18"/>
              </w:rPr>
            </w:pPr>
            <w:r>
              <w:rPr>
                <w:sz w:val="18"/>
              </w:rPr>
              <w:t>62.9</w:t>
            </w:r>
          </w:p>
        </w:tc>
        <w:tc>
          <w:tcPr>
            <w:tcW w:w="1560" w:type="dxa"/>
          </w:tcPr>
          <w:p w:rsidR="001A7779" w:rsidRDefault="001A7779">
            <w:pPr>
              <w:tabs>
                <w:tab w:val="left" w:pos="630"/>
              </w:tabs>
              <w:spacing w:before="60" w:after="60" w:line="360" w:lineRule="exact"/>
              <w:jc w:val="center"/>
              <w:rPr>
                <w:sz w:val="18"/>
              </w:rPr>
            </w:pPr>
            <w:r>
              <w:rPr>
                <w:sz w:val="18"/>
              </w:rPr>
              <w:t>58.9</w:t>
            </w:r>
          </w:p>
        </w:tc>
        <w:tc>
          <w:tcPr>
            <w:tcW w:w="1560" w:type="dxa"/>
          </w:tcPr>
          <w:p w:rsidR="001A7779" w:rsidRDefault="001A7779">
            <w:pPr>
              <w:tabs>
                <w:tab w:val="left" w:pos="630"/>
              </w:tabs>
              <w:spacing w:before="60" w:after="60" w:line="360" w:lineRule="exact"/>
              <w:jc w:val="center"/>
              <w:rPr>
                <w:sz w:val="18"/>
              </w:rPr>
            </w:pPr>
            <w:r>
              <w:rPr>
                <w:sz w:val="18"/>
              </w:rPr>
              <w:t>54.4</w:t>
            </w:r>
          </w:p>
        </w:tc>
        <w:tc>
          <w:tcPr>
            <w:tcW w:w="1560" w:type="dxa"/>
          </w:tcPr>
          <w:p w:rsidR="001A7779" w:rsidRDefault="001A7779">
            <w:pPr>
              <w:tabs>
                <w:tab w:val="left" w:pos="630"/>
              </w:tabs>
              <w:spacing w:before="60" w:after="60" w:line="360" w:lineRule="exact"/>
              <w:jc w:val="center"/>
              <w:rPr>
                <w:sz w:val="18"/>
              </w:rPr>
            </w:pPr>
            <w:r>
              <w:rPr>
                <w:sz w:val="18"/>
              </w:rPr>
              <w:t>48.6</w:t>
            </w:r>
          </w:p>
        </w:tc>
        <w:tc>
          <w:tcPr>
            <w:tcW w:w="1560" w:type="dxa"/>
          </w:tcPr>
          <w:p w:rsidR="001A7779" w:rsidRDefault="001A7779">
            <w:pPr>
              <w:tabs>
                <w:tab w:val="left" w:pos="630"/>
              </w:tabs>
              <w:spacing w:before="60" w:after="60" w:line="360" w:lineRule="exact"/>
              <w:jc w:val="center"/>
              <w:rPr>
                <w:sz w:val="18"/>
              </w:rPr>
            </w:pPr>
            <w:r>
              <w:rPr>
                <w:sz w:val="18"/>
              </w:rPr>
              <w:t>46.2</w:t>
            </w:r>
          </w:p>
        </w:tc>
      </w:tr>
      <w:tr w:rsidR="001A7779">
        <w:tblPrEx>
          <w:tblCellMar>
            <w:top w:w="0" w:type="dxa"/>
            <w:bottom w:w="0" w:type="dxa"/>
          </w:tblCellMar>
        </w:tblPrEx>
        <w:tc>
          <w:tcPr>
            <w:tcW w:w="2040" w:type="dxa"/>
          </w:tcPr>
          <w:p w:rsidR="001A7779" w:rsidRDefault="001A7779">
            <w:pPr>
              <w:tabs>
                <w:tab w:val="left" w:pos="630"/>
              </w:tabs>
              <w:spacing w:before="60" w:after="60" w:line="360" w:lineRule="exact"/>
              <w:rPr>
                <w:sz w:val="18"/>
              </w:rPr>
            </w:pPr>
            <w:r>
              <w:rPr>
                <w:rFonts w:hint="eastAsia"/>
                <w:sz w:val="18"/>
              </w:rPr>
              <w:t>妇女所占比例</w:t>
            </w:r>
            <w:r>
              <w:rPr>
                <w:sz w:val="18"/>
              </w:rPr>
              <w:t>%</w:t>
            </w:r>
          </w:p>
        </w:tc>
        <w:tc>
          <w:tcPr>
            <w:tcW w:w="1560" w:type="dxa"/>
          </w:tcPr>
          <w:p w:rsidR="001A7779" w:rsidRDefault="001A7779">
            <w:pPr>
              <w:tabs>
                <w:tab w:val="left" w:pos="630"/>
              </w:tabs>
              <w:spacing w:before="60" w:after="60" w:line="360" w:lineRule="exact"/>
              <w:jc w:val="center"/>
              <w:rPr>
                <w:sz w:val="18"/>
              </w:rPr>
            </w:pPr>
            <w:r>
              <w:rPr>
                <w:sz w:val="18"/>
              </w:rPr>
              <w:t>51.3</w:t>
            </w:r>
          </w:p>
        </w:tc>
        <w:tc>
          <w:tcPr>
            <w:tcW w:w="1560" w:type="dxa"/>
          </w:tcPr>
          <w:p w:rsidR="001A7779" w:rsidRDefault="001A7779">
            <w:pPr>
              <w:tabs>
                <w:tab w:val="left" w:pos="630"/>
              </w:tabs>
              <w:spacing w:before="60" w:after="60" w:line="360" w:lineRule="exact"/>
              <w:jc w:val="center"/>
              <w:rPr>
                <w:sz w:val="18"/>
              </w:rPr>
            </w:pPr>
            <w:r>
              <w:rPr>
                <w:sz w:val="18"/>
              </w:rPr>
              <w:t>50.9</w:t>
            </w:r>
          </w:p>
        </w:tc>
        <w:tc>
          <w:tcPr>
            <w:tcW w:w="1560" w:type="dxa"/>
          </w:tcPr>
          <w:p w:rsidR="001A7779" w:rsidRDefault="001A7779">
            <w:pPr>
              <w:pStyle w:val="Header"/>
              <w:pBdr>
                <w:bottom w:val="none" w:sz="0" w:space="0" w:color="auto"/>
              </w:pBdr>
              <w:tabs>
                <w:tab w:val="clear" w:pos="4320"/>
                <w:tab w:val="clear" w:pos="8640"/>
                <w:tab w:val="left" w:pos="630"/>
              </w:tabs>
              <w:spacing w:before="60" w:after="60" w:line="360" w:lineRule="exact"/>
            </w:pPr>
            <w:r>
              <w:t>51.0</w:t>
            </w:r>
          </w:p>
        </w:tc>
        <w:tc>
          <w:tcPr>
            <w:tcW w:w="1560" w:type="dxa"/>
          </w:tcPr>
          <w:p w:rsidR="001A7779" w:rsidRDefault="001A7779">
            <w:pPr>
              <w:tabs>
                <w:tab w:val="left" w:pos="630"/>
              </w:tabs>
              <w:spacing w:before="60" w:after="60" w:line="360" w:lineRule="exact"/>
              <w:jc w:val="center"/>
              <w:rPr>
                <w:sz w:val="18"/>
              </w:rPr>
            </w:pPr>
            <w:r>
              <w:rPr>
                <w:sz w:val="18"/>
              </w:rPr>
              <w:t>54.1</w:t>
            </w:r>
          </w:p>
        </w:tc>
        <w:tc>
          <w:tcPr>
            <w:tcW w:w="1560" w:type="dxa"/>
          </w:tcPr>
          <w:p w:rsidR="001A7779" w:rsidRDefault="001A7779">
            <w:pPr>
              <w:tabs>
                <w:tab w:val="left" w:pos="630"/>
              </w:tabs>
              <w:spacing w:before="60" w:after="60" w:line="360" w:lineRule="exact"/>
              <w:jc w:val="center"/>
              <w:rPr>
                <w:sz w:val="18"/>
              </w:rPr>
            </w:pPr>
            <w:r>
              <w:rPr>
                <w:sz w:val="18"/>
              </w:rPr>
              <w:t>54.1</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color w:val="000000"/>
          <w:sz w:val="18"/>
        </w:rPr>
        <w:t xml:space="preserve"> 2000</w:t>
      </w:r>
      <w:r>
        <w:rPr>
          <w:rFonts w:hint="eastAsia"/>
          <w:color w:val="000000"/>
          <w:sz w:val="18"/>
        </w:rPr>
        <w:t>、</w:t>
      </w:r>
      <w:r>
        <w:rPr>
          <w:color w:val="000000"/>
          <w:sz w:val="18"/>
        </w:rPr>
        <w:t>2001</w:t>
      </w:r>
      <w:r>
        <w:rPr>
          <w:rFonts w:hint="eastAsia"/>
          <w:color w:val="000000"/>
          <w:sz w:val="18"/>
        </w:rPr>
        <w:t>、</w:t>
      </w:r>
      <w:r>
        <w:rPr>
          <w:color w:val="000000"/>
          <w:sz w:val="18"/>
        </w:rPr>
        <w:t>2002</w:t>
      </w:r>
      <w:r>
        <w:rPr>
          <w:rFonts w:hint="eastAsia"/>
          <w:color w:val="000000"/>
          <w:sz w:val="18"/>
        </w:rPr>
        <w:t>、</w:t>
      </w:r>
      <w:r>
        <w:rPr>
          <w:color w:val="000000"/>
          <w:sz w:val="18"/>
        </w:rPr>
        <w:t xml:space="preserve"> 2003 </w:t>
      </w:r>
      <w:r>
        <w:rPr>
          <w:rFonts w:hint="eastAsia"/>
          <w:color w:val="000000"/>
          <w:sz w:val="18"/>
        </w:rPr>
        <w:t>和</w:t>
      </w:r>
      <w:r>
        <w:rPr>
          <w:color w:val="000000"/>
          <w:sz w:val="18"/>
        </w:rPr>
        <w:t xml:space="preserve"> 2004</w:t>
      </w:r>
      <w:r>
        <w:rPr>
          <w:rFonts w:hint="eastAsia"/>
          <w:color w:val="000000"/>
          <w:sz w:val="18"/>
        </w:rPr>
        <w:t>年年度报告，斯洛文尼亚就业服务局。</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38</w:t>
      </w:r>
      <w:r>
        <w:rPr>
          <w:rFonts w:ascii="SimHei" w:eastAsia="SimHei" w:hint="eastAsia"/>
          <w:color w:val="FF0000"/>
        </w:rPr>
        <w:t>：</w:t>
      </w:r>
      <w:r>
        <w:rPr>
          <w:rFonts w:ascii="SimHei" w:eastAsia="SimHei"/>
          <w:color w:val="FF0000"/>
        </w:rPr>
        <w:t>2002</w:t>
      </w:r>
      <w:r>
        <w:rPr>
          <w:rFonts w:ascii="SimHei" w:eastAsia="SimHei" w:hint="eastAsia"/>
          <w:color w:val="FF0000"/>
        </w:rPr>
        <w:t>年12月31日、</w:t>
      </w:r>
      <w:r>
        <w:rPr>
          <w:rFonts w:ascii="SimHei" w:eastAsia="SimHei"/>
          <w:color w:val="FF0000"/>
        </w:rPr>
        <w:t xml:space="preserve"> 2003</w:t>
      </w:r>
      <w:r>
        <w:rPr>
          <w:rFonts w:ascii="SimHei" w:eastAsia="SimHei" w:hint="eastAsia"/>
          <w:color w:val="FF0000"/>
        </w:rPr>
        <w:t>年12月31日和</w:t>
      </w:r>
      <w:r>
        <w:rPr>
          <w:rFonts w:ascii="SimHei" w:eastAsia="SimHei"/>
          <w:color w:val="FF0000"/>
        </w:rPr>
        <w:t>2004</w:t>
      </w:r>
      <w:r>
        <w:rPr>
          <w:rFonts w:ascii="SimHei" w:eastAsia="SimHei" w:hint="eastAsia"/>
          <w:color w:val="FF0000"/>
        </w:rPr>
        <w:t>年12月31日</w:t>
      </w:r>
      <w:r>
        <w:rPr>
          <w:rFonts w:ascii="SimHei" w:eastAsia="SimHei"/>
          <w:color w:val="FF0000"/>
        </w:rPr>
        <w:br/>
      </w:r>
      <w:r>
        <w:rPr>
          <w:rFonts w:ascii="SimHei" w:eastAsia="SimHei" w:hint="eastAsia"/>
          <w:color w:val="FF0000"/>
        </w:rPr>
        <w:t>按受教育程度分列的登记失业者的结构和妇女所占比例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878"/>
        <w:gridCol w:w="892"/>
        <w:gridCol w:w="892"/>
        <w:gridCol w:w="894"/>
        <w:gridCol w:w="892"/>
        <w:gridCol w:w="894"/>
        <w:gridCol w:w="892"/>
        <w:gridCol w:w="894"/>
        <w:gridCol w:w="892"/>
        <w:gridCol w:w="890"/>
      </w:tblGrid>
      <w:tr w:rsidR="001A7779">
        <w:tblPrEx>
          <w:tblCellMar>
            <w:top w:w="0" w:type="dxa"/>
            <w:bottom w:w="0" w:type="dxa"/>
          </w:tblCellMar>
        </w:tblPrEx>
        <w:trPr>
          <w:cantSplit/>
          <w:trHeight w:val="276"/>
        </w:trPr>
        <w:tc>
          <w:tcPr>
            <w:tcW w:w="948" w:type="pct"/>
          </w:tcPr>
          <w:p w:rsidR="001A7779" w:rsidRDefault="001A7779">
            <w:pPr>
              <w:tabs>
                <w:tab w:val="left" w:pos="630"/>
              </w:tabs>
              <w:spacing w:before="60" w:after="60" w:line="360" w:lineRule="exact"/>
              <w:rPr>
                <w:rFonts w:ascii="SimHei" w:eastAsia="SimHei"/>
                <w:color w:val="FF0000"/>
                <w:sz w:val="18"/>
              </w:rPr>
            </w:pPr>
          </w:p>
        </w:tc>
        <w:tc>
          <w:tcPr>
            <w:tcW w:w="450"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0" w:type="pct"/>
            <w:tcBorders>
              <w:left w:val="nil"/>
              <w:right w:val="nil"/>
            </w:tcBorders>
          </w:tcPr>
          <w:p w:rsidR="001A7779" w:rsidRDefault="001A7779">
            <w:pPr>
              <w:tabs>
                <w:tab w:val="left" w:pos="630"/>
              </w:tabs>
              <w:spacing w:before="60" w:after="60" w:line="36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c>
          <w:tcPr>
            <w:tcW w:w="451"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0"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1" w:type="pct"/>
            <w:tcBorders>
              <w:left w:val="nil"/>
              <w:righ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450"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1"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0" w:type="pct"/>
            <w:tcBorders>
              <w:left w:val="nil"/>
              <w:righ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449"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r>
      <w:tr w:rsidR="001A7779">
        <w:tblPrEx>
          <w:tblCellMar>
            <w:top w:w="0" w:type="dxa"/>
            <w:bottom w:w="0" w:type="dxa"/>
          </w:tblCellMar>
        </w:tblPrEx>
        <w:trPr>
          <w:cantSplit/>
          <w:trHeight w:val="276"/>
        </w:trPr>
        <w:tc>
          <w:tcPr>
            <w:tcW w:w="948" w:type="pct"/>
            <w:tcBorders>
              <w:bottom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450"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0"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51"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450"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1"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50"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451"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0"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49"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rPr>
          <w:cantSplit/>
          <w:trHeight w:val="276"/>
        </w:trPr>
        <w:tc>
          <w:tcPr>
            <w:tcW w:w="948" w:type="pct"/>
            <w:tcBorders>
              <w:top w:val="single" w:sz="4" w:space="0" w:color="auto"/>
              <w:bottom w:val="single" w:sz="4" w:space="0" w:color="auto"/>
            </w:tcBorders>
          </w:tcPr>
          <w:p w:rsidR="001A7779" w:rsidRDefault="001A7779">
            <w:pPr>
              <w:pStyle w:val="a3"/>
              <w:tabs>
                <w:tab w:val="left" w:pos="630"/>
              </w:tabs>
              <w:adjustRightInd w:val="0"/>
              <w:spacing w:before="60" w:after="60" w:line="360" w:lineRule="exact"/>
              <w:textAlignment w:val="baseline"/>
              <w:rPr>
                <w:kern w:val="0"/>
                <w:szCs w:val="20"/>
              </w:rPr>
            </w:pPr>
            <w:r>
              <w:rPr>
                <w:rFonts w:hint="eastAsia"/>
                <w:kern w:val="0"/>
                <w:szCs w:val="20"/>
              </w:rPr>
              <w:t>共计</w:t>
            </w:r>
          </w:p>
        </w:tc>
        <w:tc>
          <w:tcPr>
            <w:tcW w:w="450"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99 607</w:t>
            </w:r>
          </w:p>
        </w:tc>
        <w:tc>
          <w:tcPr>
            <w:tcW w:w="450"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51 378</w:t>
            </w:r>
          </w:p>
        </w:tc>
        <w:tc>
          <w:tcPr>
            <w:tcW w:w="451"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51.6</w:t>
            </w:r>
          </w:p>
        </w:tc>
        <w:tc>
          <w:tcPr>
            <w:tcW w:w="450"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95 993</w:t>
            </w:r>
          </w:p>
        </w:tc>
        <w:tc>
          <w:tcPr>
            <w:tcW w:w="451"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50 324</w:t>
            </w:r>
          </w:p>
        </w:tc>
        <w:tc>
          <w:tcPr>
            <w:tcW w:w="450"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52.4</w:t>
            </w:r>
          </w:p>
        </w:tc>
        <w:tc>
          <w:tcPr>
            <w:tcW w:w="451"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90 728</w:t>
            </w:r>
          </w:p>
        </w:tc>
        <w:tc>
          <w:tcPr>
            <w:tcW w:w="450"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47 817</w:t>
            </w:r>
          </w:p>
        </w:tc>
        <w:tc>
          <w:tcPr>
            <w:tcW w:w="449"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52.7</w:t>
            </w:r>
          </w:p>
        </w:tc>
      </w:tr>
      <w:tr w:rsidR="001A7779">
        <w:tblPrEx>
          <w:tblCellMar>
            <w:top w:w="0" w:type="dxa"/>
            <w:bottom w:w="0" w:type="dxa"/>
          </w:tblCellMar>
        </w:tblPrEx>
        <w:trPr>
          <w:cantSplit/>
          <w:trHeight w:val="276"/>
        </w:trPr>
        <w:tc>
          <w:tcPr>
            <w:tcW w:w="948" w:type="pct"/>
            <w:tcBorders>
              <w:top w:val="single" w:sz="4" w:space="0" w:color="auto"/>
            </w:tcBorders>
          </w:tcPr>
          <w:p w:rsidR="001A7779" w:rsidRDefault="001A7779">
            <w:pPr>
              <w:tabs>
                <w:tab w:val="left" w:pos="630"/>
              </w:tabs>
              <w:spacing w:before="60" w:after="60" w:line="360" w:lineRule="exact"/>
              <w:rPr>
                <w:sz w:val="18"/>
              </w:rPr>
            </w:pPr>
            <w:r>
              <w:rPr>
                <w:rFonts w:hint="eastAsia"/>
                <w:sz w:val="18"/>
              </w:rPr>
              <w:t>受教育程度</w:t>
            </w:r>
          </w:p>
        </w:tc>
        <w:tc>
          <w:tcPr>
            <w:tcW w:w="450"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0"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1"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0"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1"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0"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1"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50"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c>
          <w:tcPr>
            <w:tcW w:w="449"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p>
        </w:tc>
      </w:tr>
      <w:tr w:rsidR="001A7779">
        <w:tblPrEx>
          <w:tblCellMar>
            <w:top w:w="0" w:type="dxa"/>
            <w:bottom w:w="0" w:type="dxa"/>
          </w:tblCellMar>
        </w:tblPrEx>
        <w:trPr>
          <w:cantSplit/>
          <w:trHeight w:val="262"/>
        </w:trPr>
        <w:tc>
          <w:tcPr>
            <w:tcW w:w="948" w:type="pct"/>
          </w:tcPr>
          <w:p w:rsidR="001A7779" w:rsidRDefault="001A7779">
            <w:pPr>
              <w:tabs>
                <w:tab w:val="left" w:pos="630"/>
              </w:tabs>
              <w:spacing w:before="60" w:after="60" w:line="360" w:lineRule="exact"/>
              <w:rPr>
                <w:sz w:val="18"/>
              </w:rPr>
            </w:pPr>
            <w:r>
              <w:rPr>
                <w:rFonts w:hint="eastAsia"/>
                <w:sz w:val="18"/>
              </w:rPr>
              <w:t>小学未毕业</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39 130</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19 826</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50.7</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35 531</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18 038</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50.8</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32 262</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16 120</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50.0</w:t>
            </w:r>
          </w:p>
        </w:tc>
      </w:tr>
      <w:tr w:rsidR="001A7779">
        <w:tblPrEx>
          <w:tblCellMar>
            <w:top w:w="0" w:type="dxa"/>
            <w:bottom w:w="0" w:type="dxa"/>
          </w:tblCellMar>
        </w:tblPrEx>
        <w:trPr>
          <w:cantSplit/>
          <w:trHeight w:val="247"/>
        </w:trPr>
        <w:tc>
          <w:tcPr>
            <w:tcW w:w="948" w:type="pct"/>
          </w:tcPr>
          <w:p w:rsidR="001A7779" w:rsidRDefault="001A7779">
            <w:pPr>
              <w:tabs>
                <w:tab w:val="left" w:pos="630"/>
              </w:tabs>
              <w:spacing w:before="60" w:after="60" w:line="360" w:lineRule="exact"/>
              <w:rPr>
                <w:sz w:val="18"/>
              </w:rPr>
            </w:pPr>
            <w:r>
              <w:rPr>
                <w:rFonts w:hint="eastAsia"/>
                <w:sz w:val="18"/>
              </w:rPr>
              <w:t>小学</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6 324</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2 436</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38.5</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5 533</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2 219</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40.1</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4 936</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1 988</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40.3</w:t>
            </w:r>
          </w:p>
        </w:tc>
      </w:tr>
      <w:tr w:rsidR="001A7779">
        <w:tblPrEx>
          <w:tblCellMar>
            <w:top w:w="0" w:type="dxa"/>
            <w:bottom w:w="0" w:type="dxa"/>
          </w:tblCellMar>
        </w:tblPrEx>
        <w:trPr>
          <w:cantSplit/>
          <w:trHeight w:val="247"/>
        </w:trPr>
        <w:tc>
          <w:tcPr>
            <w:tcW w:w="948" w:type="pct"/>
          </w:tcPr>
          <w:p w:rsidR="001A7779" w:rsidRDefault="001A7779">
            <w:pPr>
              <w:tabs>
                <w:tab w:val="left" w:pos="630"/>
              </w:tabs>
              <w:spacing w:before="60" w:after="60" w:line="360" w:lineRule="exact"/>
              <w:rPr>
                <w:sz w:val="18"/>
              </w:rPr>
            </w:pPr>
            <w:r>
              <w:rPr>
                <w:rFonts w:hint="eastAsia"/>
                <w:sz w:val="18"/>
              </w:rPr>
              <w:t>初等职业教育</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1 393</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850</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61.0</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1 185</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734</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61.9</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1 037</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656</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63.3</w:t>
            </w:r>
          </w:p>
        </w:tc>
      </w:tr>
      <w:tr w:rsidR="001A7779">
        <w:tblPrEx>
          <w:tblCellMar>
            <w:top w:w="0" w:type="dxa"/>
            <w:bottom w:w="0" w:type="dxa"/>
          </w:tblCellMar>
        </w:tblPrEx>
        <w:trPr>
          <w:cantSplit/>
          <w:trHeight w:val="247"/>
        </w:trPr>
        <w:tc>
          <w:tcPr>
            <w:tcW w:w="948" w:type="pct"/>
          </w:tcPr>
          <w:p w:rsidR="001A7779" w:rsidRDefault="001A7779">
            <w:pPr>
              <w:tabs>
                <w:tab w:val="left" w:pos="630"/>
              </w:tabs>
              <w:spacing w:before="60" w:after="60" w:line="360" w:lineRule="exact"/>
              <w:rPr>
                <w:sz w:val="18"/>
              </w:rPr>
            </w:pPr>
            <w:r>
              <w:rPr>
                <w:rFonts w:hint="eastAsia"/>
                <w:sz w:val="18"/>
              </w:rPr>
              <w:t>职校</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24 810</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11 873</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47.9</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22 471</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10 977</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48.8</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20 995</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10 533</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50.2</w:t>
            </w:r>
          </w:p>
        </w:tc>
      </w:tr>
      <w:tr w:rsidR="001A7779">
        <w:tblPrEx>
          <w:tblCellMar>
            <w:top w:w="0" w:type="dxa"/>
            <w:bottom w:w="0" w:type="dxa"/>
          </w:tblCellMar>
        </w:tblPrEx>
        <w:trPr>
          <w:cantSplit/>
          <w:trHeight w:val="247"/>
        </w:trPr>
        <w:tc>
          <w:tcPr>
            <w:tcW w:w="948" w:type="pct"/>
          </w:tcPr>
          <w:p w:rsidR="001A7779" w:rsidRDefault="001A7779">
            <w:pPr>
              <w:tabs>
                <w:tab w:val="left" w:pos="630"/>
              </w:tabs>
              <w:spacing w:before="60" w:after="60" w:line="360" w:lineRule="exact"/>
              <w:rPr>
                <w:sz w:val="18"/>
              </w:rPr>
            </w:pPr>
            <w:r>
              <w:rPr>
                <w:rFonts w:hint="eastAsia"/>
                <w:sz w:val="18"/>
              </w:rPr>
              <w:t>中学</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22 668</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13 360</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58.9</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24 840</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14 494</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58.3</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24 846</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14 523</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58.5</w:t>
            </w:r>
          </w:p>
        </w:tc>
      </w:tr>
      <w:tr w:rsidR="001A7779">
        <w:tblPrEx>
          <w:tblCellMar>
            <w:top w:w="0" w:type="dxa"/>
            <w:bottom w:w="0" w:type="dxa"/>
          </w:tblCellMar>
        </w:tblPrEx>
        <w:trPr>
          <w:cantSplit/>
          <w:trHeight w:val="247"/>
        </w:trPr>
        <w:tc>
          <w:tcPr>
            <w:tcW w:w="948" w:type="pct"/>
          </w:tcPr>
          <w:p w:rsidR="001A7779" w:rsidRDefault="001A7779">
            <w:pPr>
              <w:tabs>
                <w:tab w:val="left" w:pos="630"/>
              </w:tabs>
              <w:spacing w:before="60" w:after="60" w:line="360" w:lineRule="exact"/>
              <w:rPr>
                <w:sz w:val="18"/>
              </w:rPr>
            </w:pPr>
            <w:r>
              <w:rPr>
                <w:rFonts w:hint="eastAsia"/>
                <w:sz w:val="18"/>
              </w:rPr>
              <w:t>大专</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2 049</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1 032</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50.4</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2 083</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1 095</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52.6</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2 078</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1 087</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52.3</w:t>
            </w:r>
          </w:p>
        </w:tc>
      </w:tr>
      <w:tr w:rsidR="001A7779">
        <w:tblPrEx>
          <w:tblCellMar>
            <w:top w:w="0" w:type="dxa"/>
            <w:bottom w:w="0" w:type="dxa"/>
          </w:tblCellMar>
        </w:tblPrEx>
        <w:trPr>
          <w:cantSplit/>
          <w:trHeight w:val="262"/>
        </w:trPr>
        <w:tc>
          <w:tcPr>
            <w:tcW w:w="948" w:type="pct"/>
          </w:tcPr>
          <w:p w:rsidR="001A7779" w:rsidRDefault="001A7779">
            <w:pPr>
              <w:tabs>
                <w:tab w:val="left" w:pos="630"/>
              </w:tabs>
              <w:spacing w:before="60" w:after="60" w:line="360" w:lineRule="exact"/>
              <w:rPr>
                <w:sz w:val="18"/>
              </w:rPr>
            </w:pPr>
            <w:r>
              <w:rPr>
                <w:sz w:val="18"/>
              </w:rPr>
              <w:t>高中</w:t>
            </w:r>
            <w:r>
              <w:rPr>
                <w:rFonts w:hint="eastAsia"/>
                <w:sz w:val="18"/>
              </w:rPr>
              <w:t>、</w:t>
            </w:r>
            <w:r>
              <w:rPr>
                <w:sz w:val="18"/>
              </w:rPr>
              <w:t>大学</w:t>
            </w:r>
            <w:r>
              <w:rPr>
                <w:rFonts w:hint="eastAsia"/>
                <w:sz w:val="18"/>
              </w:rPr>
              <w:t>、</w:t>
            </w:r>
            <w:r>
              <w:rPr>
                <w:sz w:val="18"/>
              </w:rPr>
              <w:t>研究院</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3 233</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2 001</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61.9</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4 350</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2 767</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63.6</w:t>
            </w:r>
          </w:p>
        </w:tc>
        <w:tc>
          <w:tcPr>
            <w:tcW w:w="451" w:type="pct"/>
          </w:tcPr>
          <w:p w:rsidR="001A7779" w:rsidRDefault="001A7779" w:rsidP="00B359E9">
            <w:pPr>
              <w:tabs>
                <w:tab w:val="left" w:pos="630"/>
              </w:tabs>
              <w:spacing w:before="60" w:after="60" w:line="360" w:lineRule="exact"/>
              <w:ind w:rightChars="50" w:right="31680"/>
              <w:jc w:val="right"/>
              <w:rPr>
                <w:sz w:val="18"/>
              </w:rPr>
            </w:pPr>
            <w:r>
              <w:rPr>
                <w:sz w:val="18"/>
              </w:rPr>
              <w:t>4 574</w:t>
            </w:r>
          </w:p>
        </w:tc>
        <w:tc>
          <w:tcPr>
            <w:tcW w:w="450" w:type="pct"/>
          </w:tcPr>
          <w:p w:rsidR="001A7779" w:rsidRDefault="001A7779" w:rsidP="00B359E9">
            <w:pPr>
              <w:tabs>
                <w:tab w:val="left" w:pos="630"/>
              </w:tabs>
              <w:spacing w:before="60" w:after="60" w:line="360" w:lineRule="exact"/>
              <w:ind w:rightChars="50" w:right="31680"/>
              <w:jc w:val="right"/>
              <w:rPr>
                <w:sz w:val="18"/>
              </w:rPr>
            </w:pPr>
            <w:r>
              <w:rPr>
                <w:sz w:val="18"/>
              </w:rPr>
              <w:t>2 910</w:t>
            </w:r>
          </w:p>
        </w:tc>
        <w:tc>
          <w:tcPr>
            <w:tcW w:w="449" w:type="pct"/>
          </w:tcPr>
          <w:p w:rsidR="001A7779" w:rsidRDefault="001A7779" w:rsidP="00B359E9">
            <w:pPr>
              <w:tabs>
                <w:tab w:val="left" w:pos="630"/>
              </w:tabs>
              <w:spacing w:before="60" w:after="60" w:line="360" w:lineRule="exact"/>
              <w:ind w:rightChars="50" w:right="31680"/>
              <w:jc w:val="right"/>
              <w:rPr>
                <w:sz w:val="18"/>
              </w:rPr>
            </w:pPr>
            <w:r>
              <w:rPr>
                <w:sz w:val="18"/>
              </w:rPr>
              <w:t>63.6</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color w:val="000000"/>
          <w:sz w:val="18"/>
        </w:rPr>
        <w:t xml:space="preserve"> 2002</w:t>
      </w:r>
      <w:r>
        <w:rPr>
          <w:rFonts w:hint="eastAsia"/>
          <w:color w:val="000000"/>
          <w:sz w:val="18"/>
        </w:rPr>
        <w:t>、</w:t>
      </w:r>
      <w:r>
        <w:rPr>
          <w:color w:val="000000"/>
          <w:sz w:val="18"/>
        </w:rPr>
        <w:t xml:space="preserve"> 2003 </w:t>
      </w:r>
      <w:r>
        <w:rPr>
          <w:rFonts w:hint="eastAsia"/>
          <w:color w:val="000000"/>
          <w:sz w:val="18"/>
        </w:rPr>
        <w:t>和</w:t>
      </w:r>
      <w:r>
        <w:rPr>
          <w:color w:val="000000"/>
          <w:sz w:val="18"/>
        </w:rPr>
        <w:t>2004</w:t>
      </w:r>
      <w:r>
        <w:rPr>
          <w:rFonts w:hint="eastAsia"/>
          <w:color w:val="000000"/>
          <w:sz w:val="18"/>
        </w:rPr>
        <w:t>年年度报告，斯洛文尼亚就业服务局。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39</w:t>
      </w:r>
      <w:r>
        <w:rPr>
          <w:rFonts w:ascii="SimHei" w:eastAsia="SimHei" w:hint="eastAsia"/>
          <w:color w:val="FF0000"/>
        </w:rPr>
        <w:t>：</w:t>
      </w:r>
      <w:r>
        <w:rPr>
          <w:rFonts w:ascii="SimHei" w:eastAsia="SimHei"/>
          <w:color w:val="FF0000"/>
        </w:rPr>
        <w:t>2001</w:t>
      </w:r>
      <w:r>
        <w:rPr>
          <w:rFonts w:ascii="SimHei" w:eastAsia="SimHei" w:hint="eastAsia"/>
          <w:color w:val="FF0000"/>
        </w:rPr>
        <w:t>年12月31日、</w:t>
      </w:r>
      <w:r>
        <w:rPr>
          <w:rFonts w:ascii="SimHei" w:eastAsia="SimHei"/>
          <w:color w:val="FF0000"/>
        </w:rPr>
        <w:t xml:space="preserve"> 2002</w:t>
      </w:r>
      <w:r>
        <w:rPr>
          <w:rFonts w:ascii="SimHei" w:eastAsia="SimHei" w:hint="eastAsia"/>
          <w:color w:val="FF0000"/>
        </w:rPr>
        <w:t>年12月31日、</w:t>
      </w:r>
      <w:r>
        <w:rPr>
          <w:rFonts w:ascii="SimHei" w:eastAsia="SimHei"/>
          <w:color w:val="FF0000"/>
        </w:rPr>
        <w:t xml:space="preserve"> 2003</w:t>
      </w:r>
      <w:r>
        <w:rPr>
          <w:rFonts w:ascii="SimHei" w:eastAsia="SimHei" w:hint="eastAsia"/>
          <w:color w:val="FF0000"/>
        </w:rPr>
        <w:t>年12月31日和</w:t>
      </w:r>
      <w:r>
        <w:rPr>
          <w:rFonts w:ascii="SimHei" w:eastAsia="SimHei"/>
          <w:color w:val="FF0000"/>
        </w:rPr>
        <w:br/>
        <w:t>2004</w:t>
      </w:r>
      <w:r>
        <w:rPr>
          <w:rFonts w:ascii="SimHei" w:eastAsia="SimHei" w:hint="eastAsia"/>
          <w:color w:val="FF0000"/>
        </w:rPr>
        <w:t>年12月31日按性别分列的登记失业者的年龄结构</w:t>
      </w:r>
    </w:p>
    <w:tbl>
      <w:tblPr>
        <w:tblW w:w="4985"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801"/>
        <w:gridCol w:w="898"/>
        <w:gridCol w:w="898"/>
        <w:gridCol w:w="898"/>
        <w:gridCol w:w="898"/>
        <w:gridCol w:w="898"/>
        <w:gridCol w:w="898"/>
        <w:gridCol w:w="897"/>
        <w:gridCol w:w="897"/>
        <w:gridCol w:w="897"/>
      </w:tblGrid>
      <w:tr w:rsidR="001A7779">
        <w:tblPrEx>
          <w:tblCellMar>
            <w:top w:w="0" w:type="dxa"/>
            <w:bottom w:w="0" w:type="dxa"/>
          </w:tblCellMar>
        </w:tblPrEx>
        <w:trPr>
          <w:cantSplit/>
          <w:trHeight w:val="276"/>
          <w:tblHeader/>
        </w:trPr>
        <w:tc>
          <w:tcPr>
            <w:tcW w:w="910" w:type="pct"/>
          </w:tcPr>
          <w:p w:rsidR="001A7779" w:rsidRDefault="001A7779">
            <w:pPr>
              <w:tabs>
                <w:tab w:val="left" w:pos="630"/>
              </w:tabs>
              <w:spacing w:before="60" w:after="60" w:line="360" w:lineRule="exact"/>
              <w:rPr>
                <w:rFonts w:ascii="SimHei" w:eastAsia="SimHei"/>
                <w:color w:val="FF0000"/>
                <w:sz w:val="18"/>
              </w:rPr>
            </w:pPr>
          </w:p>
        </w:tc>
        <w:tc>
          <w:tcPr>
            <w:tcW w:w="454"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4" w:type="pct"/>
            <w:tcBorders>
              <w:left w:val="nil"/>
              <w:righ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454"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4"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4" w:type="pct"/>
            <w:tcBorders>
              <w:left w:val="nil"/>
              <w:righ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c>
          <w:tcPr>
            <w:tcW w:w="454"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4" w:type="pct"/>
            <w:tcBorders>
              <w:right w:val="nil"/>
            </w:tcBorders>
          </w:tcPr>
          <w:p w:rsidR="001A7779" w:rsidRDefault="001A7779">
            <w:pPr>
              <w:tabs>
                <w:tab w:val="left" w:pos="630"/>
              </w:tabs>
              <w:spacing w:before="60" w:after="60" w:line="360" w:lineRule="exact"/>
              <w:jc w:val="center"/>
              <w:rPr>
                <w:rFonts w:ascii="SimHei" w:eastAsia="SimHei"/>
                <w:color w:val="FF0000"/>
                <w:sz w:val="18"/>
              </w:rPr>
            </w:pPr>
          </w:p>
        </w:tc>
        <w:tc>
          <w:tcPr>
            <w:tcW w:w="454" w:type="pct"/>
            <w:tcBorders>
              <w:left w:val="nil"/>
              <w:right w:val="nil"/>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w:t>
            </w:r>
          </w:p>
        </w:tc>
        <w:tc>
          <w:tcPr>
            <w:tcW w:w="454" w:type="pct"/>
            <w:tcBorders>
              <w:left w:val="nil"/>
            </w:tcBorders>
          </w:tcPr>
          <w:p w:rsidR="001A7779" w:rsidRDefault="001A7779">
            <w:pPr>
              <w:tabs>
                <w:tab w:val="left" w:pos="630"/>
              </w:tabs>
              <w:spacing w:before="60" w:after="60" w:line="360" w:lineRule="exact"/>
              <w:jc w:val="center"/>
              <w:rPr>
                <w:rFonts w:ascii="SimHei" w:eastAsia="SimHei"/>
                <w:color w:val="FF0000"/>
                <w:sz w:val="18"/>
              </w:rPr>
            </w:pPr>
          </w:p>
        </w:tc>
      </w:tr>
      <w:tr w:rsidR="001A7779">
        <w:tblPrEx>
          <w:tblCellMar>
            <w:top w:w="0" w:type="dxa"/>
            <w:bottom w:w="0" w:type="dxa"/>
          </w:tblCellMar>
        </w:tblPrEx>
        <w:trPr>
          <w:cantSplit/>
          <w:trHeight w:val="276"/>
          <w:tblHeader/>
        </w:trPr>
        <w:tc>
          <w:tcPr>
            <w:tcW w:w="910" w:type="pct"/>
            <w:tcBorders>
              <w:bottom w:val="single" w:sz="4" w:space="0" w:color="auto"/>
            </w:tcBorders>
          </w:tcPr>
          <w:p w:rsidR="001A7779" w:rsidRDefault="001A7779">
            <w:pPr>
              <w:tabs>
                <w:tab w:val="left" w:pos="630"/>
              </w:tabs>
              <w:spacing w:before="60" w:after="60" w:line="360" w:lineRule="exact"/>
              <w:rPr>
                <w:rFonts w:ascii="SimHei" w:eastAsia="SimHei"/>
                <w:color w:val="FF0000"/>
                <w:sz w:val="18"/>
              </w:rPr>
            </w:pP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454" w:type="pct"/>
            <w:tcBorders>
              <w:bottom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妇女所占比例</w:t>
            </w:r>
            <w:r>
              <w:rPr>
                <w:rFonts w:ascii="SimHei" w:eastAsia="SimHei"/>
                <w:color w:val="FF0000"/>
                <w:sz w:val="18"/>
              </w:rPr>
              <w:t>%</w:t>
            </w:r>
          </w:p>
        </w:tc>
      </w:tr>
      <w:tr w:rsidR="001A7779">
        <w:tblPrEx>
          <w:tblCellMar>
            <w:top w:w="0" w:type="dxa"/>
            <w:bottom w:w="0" w:type="dxa"/>
          </w:tblCellMar>
        </w:tblPrEx>
        <w:trPr>
          <w:cantSplit/>
          <w:trHeight w:val="276"/>
        </w:trPr>
        <w:tc>
          <w:tcPr>
            <w:tcW w:w="910" w:type="pct"/>
            <w:tcBorders>
              <w:top w:val="single" w:sz="4" w:space="0" w:color="auto"/>
              <w:bottom w:val="single" w:sz="4" w:space="0" w:color="auto"/>
            </w:tcBorders>
          </w:tcPr>
          <w:p w:rsidR="001A7779" w:rsidRDefault="001A7779">
            <w:pPr>
              <w:tabs>
                <w:tab w:val="left" w:pos="630"/>
              </w:tabs>
              <w:spacing w:before="60" w:after="60" w:line="360" w:lineRule="exact"/>
              <w:rPr>
                <w:sz w:val="18"/>
              </w:rPr>
            </w:pPr>
            <w:r>
              <w:rPr>
                <w:rFonts w:hint="eastAsia"/>
                <w:sz w:val="18"/>
              </w:rPr>
              <w:t>共计</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99 607</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51 378</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51.6</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95 993</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50 324</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52.4</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90 728</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47 817</w:t>
            </w:r>
          </w:p>
        </w:tc>
        <w:tc>
          <w:tcPr>
            <w:tcW w:w="454" w:type="pct"/>
            <w:tcBorders>
              <w:top w:val="single" w:sz="4" w:space="0" w:color="auto"/>
              <w:bottom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52.7</w:t>
            </w:r>
          </w:p>
        </w:tc>
      </w:tr>
      <w:tr w:rsidR="001A7779">
        <w:tblPrEx>
          <w:tblCellMar>
            <w:top w:w="0" w:type="dxa"/>
            <w:bottom w:w="0" w:type="dxa"/>
          </w:tblCellMar>
        </w:tblPrEx>
        <w:trPr>
          <w:cantSplit/>
          <w:trHeight w:val="262"/>
        </w:trPr>
        <w:tc>
          <w:tcPr>
            <w:tcW w:w="910" w:type="pct"/>
            <w:tcBorders>
              <w:top w:val="single" w:sz="4" w:space="0" w:color="auto"/>
            </w:tcBorders>
          </w:tcPr>
          <w:p w:rsidR="001A7779" w:rsidRDefault="001A7779">
            <w:pPr>
              <w:tabs>
                <w:tab w:val="left" w:pos="630"/>
              </w:tabs>
              <w:spacing w:before="60" w:after="60" w:line="360" w:lineRule="exact"/>
              <w:rPr>
                <w:sz w:val="18"/>
              </w:rPr>
            </w:pPr>
            <w:r>
              <w:rPr>
                <w:rFonts w:hint="eastAsia"/>
                <w:sz w:val="18"/>
              </w:rPr>
              <w:t>18</w:t>
            </w:r>
            <w:r>
              <w:rPr>
                <w:rFonts w:hint="eastAsia"/>
                <w:sz w:val="18"/>
              </w:rPr>
              <w:t>岁以下</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359</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147</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41.0</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285</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135</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47.4</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270</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129</w:t>
            </w:r>
          </w:p>
        </w:tc>
        <w:tc>
          <w:tcPr>
            <w:tcW w:w="454" w:type="pct"/>
            <w:tcBorders>
              <w:top w:val="single" w:sz="4" w:space="0" w:color="auto"/>
            </w:tcBorders>
          </w:tcPr>
          <w:p w:rsidR="001A7779" w:rsidRDefault="001A7779" w:rsidP="00B359E9">
            <w:pPr>
              <w:tabs>
                <w:tab w:val="left" w:pos="630"/>
              </w:tabs>
              <w:spacing w:before="60" w:after="60" w:line="360" w:lineRule="exact"/>
              <w:ind w:rightChars="50" w:right="31680"/>
              <w:jc w:val="right"/>
              <w:rPr>
                <w:sz w:val="18"/>
              </w:rPr>
            </w:pPr>
            <w:r>
              <w:rPr>
                <w:sz w:val="18"/>
              </w:rPr>
              <w:t>47.8</w:t>
            </w:r>
          </w:p>
        </w:tc>
      </w:tr>
      <w:tr w:rsidR="001A7779">
        <w:tblPrEx>
          <w:tblCellMar>
            <w:top w:w="0" w:type="dxa"/>
            <w:bottom w:w="0" w:type="dxa"/>
          </w:tblCellMar>
        </w:tblPrEx>
        <w:trPr>
          <w:cantSplit/>
          <w:trHeight w:val="247"/>
        </w:trPr>
        <w:tc>
          <w:tcPr>
            <w:tcW w:w="910" w:type="pct"/>
          </w:tcPr>
          <w:p w:rsidR="001A7779" w:rsidRDefault="001A7779">
            <w:pPr>
              <w:tabs>
                <w:tab w:val="left" w:pos="630"/>
              </w:tabs>
              <w:spacing w:before="60" w:after="60" w:line="360" w:lineRule="exact"/>
              <w:rPr>
                <w:sz w:val="18"/>
              </w:rPr>
            </w:pPr>
            <w:r>
              <w:rPr>
                <w:sz w:val="18"/>
              </w:rPr>
              <w:t xml:space="preserve">18 </w:t>
            </w:r>
            <w:r>
              <w:rPr>
                <w:rFonts w:hint="eastAsia"/>
                <w:sz w:val="18"/>
              </w:rPr>
              <w:t>岁以上至</w:t>
            </w:r>
            <w:r>
              <w:rPr>
                <w:sz w:val="18"/>
              </w:rPr>
              <w:t>25</w:t>
            </w:r>
            <w:r>
              <w:rPr>
                <w:rFonts w:hint="eastAsia"/>
                <w:sz w:val="18"/>
              </w:rPr>
              <w:t>岁</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21 828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11 594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53.1</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22 206</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11 597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52.2</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20 437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10 705</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52.4</w:t>
            </w:r>
          </w:p>
        </w:tc>
      </w:tr>
      <w:tr w:rsidR="001A7779">
        <w:tblPrEx>
          <w:tblCellMar>
            <w:top w:w="0" w:type="dxa"/>
            <w:bottom w:w="0" w:type="dxa"/>
          </w:tblCellMar>
        </w:tblPrEx>
        <w:trPr>
          <w:cantSplit/>
          <w:trHeight w:val="247"/>
        </w:trPr>
        <w:tc>
          <w:tcPr>
            <w:tcW w:w="910" w:type="pct"/>
          </w:tcPr>
          <w:p w:rsidR="001A7779" w:rsidRDefault="001A7779">
            <w:pPr>
              <w:tabs>
                <w:tab w:val="left" w:pos="630"/>
              </w:tabs>
              <w:spacing w:before="60" w:after="60" w:line="360" w:lineRule="exact"/>
              <w:rPr>
                <w:sz w:val="18"/>
              </w:rPr>
            </w:pPr>
            <w:r>
              <w:rPr>
                <w:sz w:val="18"/>
              </w:rPr>
              <w:t>25</w:t>
            </w:r>
            <w:r>
              <w:rPr>
                <w:rFonts w:hint="eastAsia"/>
                <w:sz w:val="18"/>
              </w:rPr>
              <w:t>岁以上至</w:t>
            </w:r>
            <w:r>
              <w:rPr>
                <w:sz w:val="18"/>
              </w:rPr>
              <w:t xml:space="preserve"> 30 </w:t>
            </w:r>
            <w:r>
              <w:rPr>
                <w:rFonts w:hint="eastAsia"/>
                <w:sz w:val="18"/>
              </w:rPr>
              <w:t>岁</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13 471</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7 850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58.3</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14 524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8 520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58.7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14 754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8 637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58.5</w:t>
            </w:r>
          </w:p>
        </w:tc>
      </w:tr>
      <w:tr w:rsidR="001A7779">
        <w:tblPrEx>
          <w:tblCellMar>
            <w:top w:w="0" w:type="dxa"/>
            <w:bottom w:w="0" w:type="dxa"/>
          </w:tblCellMar>
        </w:tblPrEx>
        <w:trPr>
          <w:cantSplit/>
          <w:trHeight w:val="247"/>
        </w:trPr>
        <w:tc>
          <w:tcPr>
            <w:tcW w:w="910" w:type="pct"/>
          </w:tcPr>
          <w:p w:rsidR="001A7779" w:rsidRDefault="001A7779">
            <w:pPr>
              <w:tabs>
                <w:tab w:val="left" w:pos="630"/>
              </w:tabs>
              <w:spacing w:before="60" w:after="60" w:line="360" w:lineRule="exact"/>
              <w:rPr>
                <w:sz w:val="18"/>
              </w:rPr>
            </w:pPr>
            <w:r>
              <w:rPr>
                <w:sz w:val="18"/>
              </w:rPr>
              <w:t>30</w:t>
            </w:r>
            <w:r>
              <w:rPr>
                <w:rFonts w:hint="eastAsia"/>
                <w:sz w:val="18"/>
              </w:rPr>
              <w:t>岁以上至</w:t>
            </w:r>
            <w:r>
              <w:rPr>
                <w:sz w:val="18"/>
              </w:rPr>
              <w:t xml:space="preserve">  40</w:t>
            </w:r>
            <w:r>
              <w:rPr>
                <w:rFonts w:hint="eastAsia"/>
                <w:sz w:val="18"/>
              </w:rPr>
              <w:t>岁</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17 643</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10 134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57.4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17 700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10 294</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58.2</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16 917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9 926</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58.7</w:t>
            </w:r>
          </w:p>
        </w:tc>
      </w:tr>
      <w:tr w:rsidR="001A7779">
        <w:tblPrEx>
          <w:tblCellMar>
            <w:top w:w="0" w:type="dxa"/>
            <w:bottom w:w="0" w:type="dxa"/>
          </w:tblCellMar>
        </w:tblPrEx>
        <w:trPr>
          <w:cantSplit/>
          <w:trHeight w:val="247"/>
        </w:trPr>
        <w:tc>
          <w:tcPr>
            <w:tcW w:w="910" w:type="pct"/>
          </w:tcPr>
          <w:p w:rsidR="001A7779" w:rsidRDefault="001A7779">
            <w:pPr>
              <w:tabs>
                <w:tab w:val="left" w:pos="630"/>
              </w:tabs>
              <w:spacing w:before="60" w:after="60" w:line="360" w:lineRule="exact"/>
              <w:rPr>
                <w:sz w:val="18"/>
              </w:rPr>
            </w:pPr>
            <w:r>
              <w:rPr>
                <w:sz w:val="18"/>
              </w:rPr>
              <w:t>40</w:t>
            </w:r>
            <w:r>
              <w:rPr>
                <w:rFonts w:hint="eastAsia"/>
                <w:sz w:val="18"/>
              </w:rPr>
              <w:t>岁以上至</w:t>
            </w:r>
            <w:r>
              <w:rPr>
                <w:sz w:val="18"/>
              </w:rPr>
              <w:t>50</w:t>
            </w:r>
            <w:r>
              <w:rPr>
                <w:rFonts w:hint="eastAsia"/>
                <w:sz w:val="18"/>
              </w:rPr>
              <w:t>岁</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23 455</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12 393</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52.8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21 326</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11 697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54.8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19 408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10 845</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55.9</w:t>
            </w:r>
          </w:p>
        </w:tc>
      </w:tr>
      <w:tr w:rsidR="001A7779">
        <w:tblPrEx>
          <w:tblCellMar>
            <w:top w:w="0" w:type="dxa"/>
            <w:bottom w:w="0" w:type="dxa"/>
          </w:tblCellMar>
        </w:tblPrEx>
        <w:trPr>
          <w:cantSplit/>
          <w:trHeight w:val="247"/>
        </w:trPr>
        <w:tc>
          <w:tcPr>
            <w:tcW w:w="910" w:type="pct"/>
          </w:tcPr>
          <w:p w:rsidR="001A7779" w:rsidRDefault="001A7779">
            <w:pPr>
              <w:tabs>
                <w:tab w:val="left" w:pos="630"/>
              </w:tabs>
              <w:spacing w:before="60" w:after="60" w:line="360" w:lineRule="exact"/>
              <w:rPr>
                <w:sz w:val="18"/>
              </w:rPr>
            </w:pPr>
            <w:r>
              <w:rPr>
                <w:sz w:val="18"/>
              </w:rPr>
              <w:t>50</w:t>
            </w:r>
            <w:r>
              <w:rPr>
                <w:rFonts w:hint="eastAsia"/>
                <w:sz w:val="18"/>
              </w:rPr>
              <w:t>岁以上至</w:t>
            </w:r>
            <w:r>
              <w:rPr>
                <w:sz w:val="18"/>
              </w:rPr>
              <w:t>60</w:t>
            </w:r>
            <w:r>
              <w:rPr>
                <w:rFonts w:hint="eastAsia"/>
                <w:sz w:val="18"/>
              </w:rPr>
              <w:t>岁</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21 628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9 142</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42.3</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19 052</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8 009</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42.0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18 057</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7 511</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41.6</w:t>
            </w:r>
          </w:p>
        </w:tc>
      </w:tr>
      <w:tr w:rsidR="001A7779">
        <w:tblPrEx>
          <w:tblCellMar>
            <w:top w:w="0" w:type="dxa"/>
            <w:bottom w:w="0" w:type="dxa"/>
          </w:tblCellMar>
        </w:tblPrEx>
        <w:trPr>
          <w:cantSplit/>
          <w:trHeight w:val="262"/>
        </w:trPr>
        <w:tc>
          <w:tcPr>
            <w:tcW w:w="910" w:type="pct"/>
          </w:tcPr>
          <w:p w:rsidR="001A7779" w:rsidRDefault="001A7779">
            <w:pPr>
              <w:tabs>
                <w:tab w:val="left" w:pos="630"/>
              </w:tabs>
              <w:spacing w:before="60" w:after="60" w:line="360" w:lineRule="exact"/>
              <w:rPr>
                <w:sz w:val="18"/>
              </w:rPr>
            </w:pPr>
            <w:r>
              <w:rPr>
                <w:sz w:val="18"/>
              </w:rPr>
              <w:t xml:space="preserve">60 </w:t>
            </w:r>
            <w:r>
              <w:rPr>
                <w:rFonts w:hint="eastAsia"/>
                <w:sz w:val="18"/>
              </w:rPr>
              <w:t>岁以上</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1 223</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118</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9.6</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900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72</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8.0</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885</w:t>
            </w:r>
          </w:p>
        </w:tc>
        <w:tc>
          <w:tcPr>
            <w:tcW w:w="454" w:type="pct"/>
          </w:tcPr>
          <w:p w:rsidR="001A7779" w:rsidRDefault="001A7779" w:rsidP="00B359E9">
            <w:pPr>
              <w:tabs>
                <w:tab w:val="left" w:pos="630"/>
              </w:tabs>
              <w:spacing w:before="60" w:after="60" w:line="360" w:lineRule="exact"/>
              <w:ind w:rightChars="50" w:right="31680"/>
              <w:jc w:val="right"/>
              <w:rPr>
                <w:sz w:val="18"/>
              </w:rPr>
            </w:pPr>
            <w:r>
              <w:rPr>
                <w:sz w:val="18"/>
              </w:rPr>
              <w:t>64</w:t>
            </w:r>
          </w:p>
        </w:tc>
        <w:tc>
          <w:tcPr>
            <w:tcW w:w="454" w:type="pct"/>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50" w:right="31680"/>
              <w:jc w:val="right"/>
            </w:pPr>
            <w:r>
              <w:t>7.2</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color w:val="000000"/>
          <w:sz w:val="18"/>
        </w:rPr>
        <w:t xml:space="preserve"> 2002</w:t>
      </w:r>
      <w:r>
        <w:rPr>
          <w:rFonts w:hint="eastAsia"/>
          <w:color w:val="000000"/>
          <w:sz w:val="18"/>
        </w:rPr>
        <w:t>、</w:t>
      </w:r>
      <w:r>
        <w:rPr>
          <w:color w:val="000000"/>
          <w:sz w:val="18"/>
        </w:rPr>
        <w:t xml:space="preserve"> 2003 </w:t>
      </w:r>
      <w:r>
        <w:rPr>
          <w:rFonts w:hint="eastAsia"/>
          <w:color w:val="000000"/>
          <w:sz w:val="18"/>
        </w:rPr>
        <w:t>和</w:t>
      </w:r>
      <w:r>
        <w:rPr>
          <w:color w:val="000000"/>
          <w:sz w:val="18"/>
        </w:rPr>
        <w:t>2004</w:t>
      </w:r>
      <w:r>
        <w:rPr>
          <w:rFonts w:hint="eastAsia"/>
          <w:color w:val="000000"/>
          <w:sz w:val="18"/>
        </w:rPr>
        <w:t>年年度报告，斯洛文尼亚就业服务局。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40</w:t>
      </w:r>
      <w:r>
        <w:rPr>
          <w:rFonts w:ascii="SimHei" w:eastAsia="SimHei" w:hint="eastAsia"/>
          <w:color w:val="FF0000"/>
        </w:rPr>
        <w:t>：2002年在妇女社区保健服务中心为15岁及以上妇女服务的医务人员提供指标</w:t>
      </w: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6"/>
        <w:gridCol w:w="1134"/>
        <w:gridCol w:w="1133"/>
        <w:gridCol w:w="1133"/>
        <w:gridCol w:w="1133"/>
        <w:gridCol w:w="1184"/>
        <w:gridCol w:w="1129"/>
        <w:gridCol w:w="1129"/>
        <w:gridCol w:w="1129"/>
      </w:tblGrid>
      <w:tr w:rsidR="001A7779">
        <w:tblPrEx>
          <w:tblCellMar>
            <w:top w:w="0" w:type="dxa"/>
            <w:bottom w:w="0" w:type="dxa"/>
          </w:tblCellMar>
        </w:tblPrEx>
        <w:trPr>
          <w:cantSplit/>
        </w:trPr>
        <w:tc>
          <w:tcPr>
            <w:tcW w:w="411" w:type="pct"/>
          </w:tcPr>
          <w:p w:rsidR="001A7779" w:rsidRDefault="001A7779">
            <w:pPr>
              <w:tabs>
                <w:tab w:val="left" w:pos="630"/>
              </w:tabs>
              <w:spacing w:before="60" w:after="60" w:line="300" w:lineRule="exact"/>
              <w:jc w:val="center"/>
              <w:rPr>
                <w:rFonts w:ascii="SimHei" w:eastAsia="SimHei"/>
                <w:color w:val="FF0000"/>
                <w:sz w:val="18"/>
              </w:rPr>
            </w:pPr>
          </w:p>
        </w:tc>
        <w:tc>
          <w:tcPr>
            <w:tcW w:w="2284" w:type="pct"/>
            <w:gridSpan w:val="4"/>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每名卫生专业人员所服务的妇女</w:t>
            </w:r>
            <w:r>
              <w:rPr>
                <w:rFonts w:ascii="SimHei" w:eastAsia="SimHei"/>
                <w:color w:val="FF0000"/>
                <w:sz w:val="18"/>
              </w:rPr>
              <w:br/>
            </w:r>
            <w:r>
              <w:rPr>
                <w:rFonts w:ascii="SimHei" w:eastAsia="SimHei" w:hint="eastAsia"/>
                <w:color w:val="FF0000"/>
                <w:sz w:val="18"/>
              </w:rPr>
              <w:t>（15岁及以上）人数</w:t>
            </w:r>
            <w:r>
              <w:rPr>
                <w:rFonts w:ascii="SimHei" w:eastAsia="SimHei"/>
                <w:color w:val="FF0000"/>
                <w:sz w:val="18"/>
                <w:vertAlign w:val="superscript"/>
              </w:rPr>
              <w:t>1</w:t>
            </w:r>
          </w:p>
        </w:tc>
        <w:tc>
          <w:tcPr>
            <w:tcW w:w="597" w:type="pct"/>
            <w:vMerge w:val="restar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相当于全日制卫生保健提供所占比例</w:t>
            </w:r>
            <w:r>
              <w:rPr>
                <w:rFonts w:ascii="SimHei" w:eastAsia="SimHei"/>
                <w:color w:val="FF0000"/>
                <w:sz w:val="18"/>
              </w:rPr>
              <w:t xml:space="preserve">% </w:t>
            </w:r>
            <w:r>
              <w:rPr>
                <w:rFonts w:ascii="SimHei" w:eastAsia="SimHei"/>
                <w:color w:val="FF0000"/>
                <w:sz w:val="18"/>
                <w:vertAlign w:val="superscript"/>
              </w:rPr>
              <w:t>2</w:t>
            </w:r>
          </w:p>
        </w:tc>
        <w:tc>
          <w:tcPr>
            <w:tcW w:w="1707" w:type="pct"/>
            <w:gridSpan w:val="3"/>
            <w:vAlign w:val="center"/>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卫生专业人员人数</w:t>
            </w:r>
            <w:r>
              <w:rPr>
                <w:rFonts w:ascii="SimHei" w:eastAsia="SimHei"/>
                <w:color w:val="FF0000"/>
                <w:sz w:val="18"/>
                <w:vertAlign w:val="superscript"/>
              </w:rPr>
              <w:t>1</w:t>
            </w:r>
          </w:p>
        </w:tc>
      </w:tr>
      <w:tr w:rsidR="001A7779">
        <w:tblPrEx>
          <w:tblCellMar>
            <w:top w:w="0" w:type="dxa"/>
            <w:bottom w:w="0" w:type="dxa"/>
          </w:tblCellMar>
        </w:tblPrEx>
        <w:trPr>
          <w:cantSplit/>
        </w:trPr>
        <w:tc>
          <w:tcPr>
            <w:tcW w:w="411" w:type="pct"/>
            <w:vMerge w:val="restar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年份</w:t>
            </w:r>
          </w:p>
        </w:tc>
        <w:tc>
          <w:tcPr>
            <w:tcW w:w="571" w:type="pct"/>
            <w:vMerge w:val="restar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每名医师</w:t>
            </w:r>
          </w:p>
        </w:tc>
        <w:tc>
          <w:tcPr>
            <w:tcW w:w="571" w:type="pct"/>
            <w:vMerge w:val="restar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每名受过高等/大学教育的其他卫生专业人员</w:t>
            </w:r>
          </w:p>
        </w:tc>
        <w:tc>
          <w:tcPr>
            <w:tcW w:w="571" w:type="pct"/>
            <w:vMerge w:val="restart"/>
          </w:tcPr>
          <w:p w:rsidR="001A7779" w:rsidRDefault="001A7779">
            <w:pPr>
              <w:pStyle w:val="Header"/>
              <w:pBdr>
                <w:bottom w:val="none" w:sz="0" w:space="0" w:color="auto"/>
              </w:pBdr>
              <w:tabs>
                <w:tab w:val="clear" w:pos="4320"/>
                <w:tab w:val="clear" w:pos="8640"/>
                <w:tab w:val="left" w:pos="630"/>
              </w:tabs>
              <w:spacing w:before="60" w:after="60" w:line="300" w:lineRule="exact"/>
              <w:rPr>
                <w:rFonts w:ascii="SimHei" w:eastAsia="SimHei"/>
                <w:color w:val="FF0000"/>
              </w:rPr>
            </w:pPr>
            <w:r>
              <w:rPr>
                <w:rFonts w:ascii="SimHei" w:eastAsia="SimHei" w:hint="eastAsia"/>
                <w:color w:val="FF0000"/>
              </w:rPr>
              <w:t>每名受过大专教育的卫生专业人员</w:t>
            </w:r>
          </w:p>
        </w:tc>
        <w:tc>
          <w:tcPr>
            <w:tcW w:w="571" w:type="pct"/>
            <w:vMerge w:val="restar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每名受过中等教育的卫生专业人员</w:t>
            </w:r>
          </w:p>
        </w:tc>
        <w:tc>
          <w:tcPr>
            <w:tcW w:w="597" w:type="pct"/>
            <w:vMerge/>
          </w:tcPr>
          <w:p w:rsidR="001A7779" w:rsidRDefault="001A7779">
            <w:pPr>
              <w:tabs>
                <w:tab w:val="left" w:pos="630"/>
              </w:tabs>
              <w:spacing w:before="60" w:after="60" w:line="300" w:lineRule="exact"/>
              <w:jc w:val="center"/>
              <w:rPr>
                <w:rFonts w:ascii="SimHei" w:eastAsia="SimHei"/>
                <w:color w:val="FF0000"/>
                <w:sz w:val="18"/>
              </w:rPr>
            </w:pPr>
          </w:p>
        </w:tc>
        <w:tc>
          <w:tcPr>
            <w:tcW w:w="569" w:type="pc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高等</w:t>
            </w:r>
            <w:r>
              <w:rPr>
                <w:rFonts w:ascii="SimHei" w:eastAsia="SimHei"/>
                <w:color w:val="FF0000"/>
                <w:sz w:val="18"/>
              </w:rPr>
              <w:t>/</w:t>
            </w:r>
            <w:r>
              <w:rPr>
                <w:rFonts w:ascii="SimHei" w:eastAsia="SimHei" w:hint="eastAsia"/>
                <w:color w:val="FF0000"/>
                <w:sz w:val="18"/>
              </w:rPr>
              <w:t>大学教育</w:t>
            </w:r>
            <w:r>
              <w:rPr>
                <w:rFonts w:ascii="SimHei" w:eastAsia="SimHei"/>
                <w:color w:val="FF0000"/>
                <w:sz w:val="18"/>
                <w:vertAlign w:val="superscript"/>
              </w:rPr>
              <w:t>3</w:t>
            </w:r>
          </w:p>
        </w:tc>
        <w:tc>
          <w:tcPr>
            <w:tcW w:w="569" w:type="pc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大专教育</w:t>
            </w:r>
            <w:r>
              <w:rPr>
                <w:rFonts w:ascii="SimHei" w:eastAsia="SimHei"/>
                <w:color w:val="FF0000"/>
                <w:sz w:val="18"/>
                <w:vertAlign w:val="superscript"/>
              </w:rPr>
              <w:t>4</w:t>
            </w:r>
          </w:p>
        </w:tc>
        <w:tc>
          <w:tcPr>
            <w:tcW w:w="569" w:type="pct"/>
          </w:tcPr>
          <w:p w:rsidR="001A7779" w:rsidRDefault="001A7779">
            <w:pPr>
              <w:tabs>
                <w:tab w:val="left" w:pos="630"/>
              </w:tabs>
              <w:spacing w:before="60" w:after="60" w:line="300" w:lineRule="exact"/>
              <w:jc w:val="center"/>
              <w:rPr>
                <w:rFonts w:ascii="SimHei" w:eastAsia="SimHei"/>
                <w:color w:val="FF0000"/>
                <w:sz w:val="18"/>
              </w:rPr>
            </w:pPr>
            <w:r>
              <w:rPr>
                <w:rFonts w:ascii="SimHei" w:eastAsia="SimHei" w:hint="eastAsia"/>
                <w:color w:val="FF0000"/>
                <w:sz w:val="18"/>
              </w:rPr>
              <w:t>中等教育</w:t>
            </w:r>
            <w:r>
              <w:rPr>
                <w:rFonts w:ascii="SimHei" w:eastAsia="SimHei"/>
                <w:color w:val="FF0000"/>
                <w:sz w:val="18"/>
                <w:vertAlign w:val="superscript"/>
              </w:rPr>
              <w:t>5</w:t>
            </w:r>
          </w:p>
        </w:tc>
      </w:tr>
      <w:tr w:rsidR="001A7779">
        <w:tblPrEx>
          <w:tblCellMar>
            <w:top w:w="0" w:type="dxa"/>
            <w:bottom w:w="0" w:type="dxa"/>
          </w:tblCellMar>
        </w:tblPrEx>
        <w:trPr>
          <w:cantSplit/>
        </w:trPr>
        <w:tc>
          <w:tcPr>
            <w:tcW w:w="411" w:type="pct"/>
            <w:vMerge/>
          </w:tcPr>
          <w:p w:rsidR="001A7779" w:rsidRDefault="001A7779">
            <w:pPr>
              <w:tabs>
                <w:tab w:val="left" w:pos="630"/>
              </w:tabs>
              <w:spacing w:before="60" w:after="60" w:line="360" w:lineRule="exact"/>
              <w:jc w:val="center"/>
              <w:rPr>
                <w:rFonts w:ascii="SimHei" w:eastAsia="SimHei"/>
                <w:color w:val="FF0000"/>
                <w:sz w:val="18"/>
              </w:rPr>
            </w:pPr>
          </w:p>
        </w:tc>
        <w:tc>
          <w:tcPr>
            <w:tcW w:w="571" w:type="pct"/>
            <w:vMerge/>
          </w:tcPr>
          <w:p w:rsidR="001A7779" w:rsidRDefault="001A7779">
            <w:pPr>
              <w:tabs>
                <w:tab w:val="left" w:pos="630"/>
              </w:tabs>
              <w:spacing w:before="60" w:after="60" w:line="360" w:lineRule="exact"/>
              <w:jc w:val="center"/>
              <w:rPr>
                <w:rFonts w:ascii="SimHei" w:eastAsia="SimHei"/>
                <w:color w:val="FF0000"/>
                <w:sz w:val="18"/>
              </w:rPr>
            </w:pPr>
          </w:p>
        </w:tc>
        <w:tc>
          <w:tcPr>
            <w:tcW w:w="571" w:type="pct"/>
            <w:vMerge/>
          </w:tcPr>
          <w:p w:rsidR="001A7779" w:rsidRDefault="001A7779">
            <w:pPr>
              <w:tabs>
                <w:tab w:val="left" w:pos="630"/>
              </w:tabs>
              <w:spacing w:before="60" w:after="60" w:line="360" w:lineRule="exact"/>
              <w:jc w:val="center"/>
              <w:rPr>
                <w:rFonts w:ascii="SimHei" w:eastAsia="SimHei"/>
                <w:color w:val="FF0000"/>
                <w:sz w:val="18"/>
              </w:rPr>
            </w:pPr>
          </w:p>
        </w:tc>
        <w:tc>
          <w:tcPr>
            <w:tcW w:w="571" w:type="pct"/>
            <w:vMerge/>
          </w:tcPr>
          <w:p w:rsidR="001A7779" w:rsidRDefault="001A7779">
            <w:pPr>
              <w:tabs>
                <w:tab w:val="left" w:pos="630"/>
              </w:tabs>
              <w:spacing w:before="60" w:after="60" w:line="360" w:lineRule="exact"/>
              <w:jc w:val="center"/>
              <w:rPr>
                <w:rFonts w:ascii="SimHei" w:eastAsia="SimHei"/>
                <w:color w:val="FF0000"/>
                <w:sz w:val="18"/>
              </w:rPr>
            </w:pPr>
          </w:p>
        </w:tc>
        <w:tc>
          <w:tcPr>
            <w:tcW w:w="571" w:type="pct"/>
            <w:vMerge/>
          </w:tcPr>
          <w:p w:rsidR="001A7779" w:rsidRDefault="001A7779">
            <w:pPr>
              <w:tabs>
                <w:tab w:val="left" w:pos="630"/>
              </w:tabs>
              <w:spacing w:before="60" w:after="60" w:line="360" w:lineRule="exact"/>
              <w:jc w:val="center"/>
              <w:rPr>
                <w:rFonts w:ascii="SimHei" w:eastAsia="SimHei"/>
                <w:color w:val="FF0000"/>
                <w:sz w:val="18"/>
              </w:rPr>
            </w:pPr>
          </w:p>
        </w:tc>
        <w:tc>
          <w:tcPr>
            <w:tcW w:w="597" w:type="pct"/>
            <w:vMerge/>
          </w:tcPr>
          <w:p w:rsidR="001A7779" w:rsidRDefault="001A7779">
            <w:pPr>
              <w:tabs>
                <w:tab w:val="left" w:pos="630"/>
              </w:tabs>
              <w:spacing w:before="60" w:after="60" w:line="360" w:lineRule="exact"/>
              <w:jc w:val="center"/>
              <w:rPr>
                <w:rFonts w:ascii="SimHei" w:eastAsia="SimHei"/>
                <w:color w:val="FF0000"/>
                <w:sz w:val="18"/>
              </w:rPr>
            </w:pPr>
          </w:p>
        </w:tc>
        <w:tc>
          <w:tcPr>
            <w:tcW w:w="1707" w:type="pct"/>
            <w:gridSpan w:val="3"/>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每名医生/按全职就业计算</w:t>
            </w:r>
          </w:p>
        </w:tc>
      </w:tr>
      <w:tr w:rsidR="001A7779">
        <w:tblPrEx>
          <w:tblCellMar>
            <w:top w:w="0" w:type="dxa"/>
            <w:bottom w:w="0" w:type="dxa"/>
          </w:tblCellMar>
        </w:tblPrEx>
        <w:tc>
          <w:tcPr>
            <w:tcW w:w="411" w:type="pct"/>
          </w:tcPr>
          <w:p w:rsidR="001A7779" w:rsidRDefault="001A7779">
            <w:pPr>
              <w:tabs>
                <w:tab w:val="left" w:pos="630"/>
              </w:tabs>
              <w:spacing w:before="60" w:after="60" w:line="360" w:lineRule="exact"/>
              <w:rPr>
                <w:sz w:val="18"/>
              </w:rPr>
            </w:pPr>
            <w:r>
              <w:rPr>
                <w:sz w:val="18"/>
              </w:rPr>
              <w:t>2002</w:t>
            </w:r>
          </w:p>
        </w:tc>
        <w:tc>
          <w:tcPr>
            <w:tcW w:w="571" w:type="pct"/>
          </w:tcPr>
          <w:p w:rsidR="001A7779" w:rsidRDefault="001A7779">
            <w:pPr>
              <w:tabs>
                <w:tab w:val="left" w:pos="630"/>
              </w:tabs>
              <w:spacing w:before="60" w:after="60" w:line="360" w:lineRule="exact"/>
              <w:jc w:val="center"/>
              <w:rPr>
                <w:sz w:val="18"/>
              </w:rPr>
            </w:pPr>
            <w:r>
              <w:rPr>
                <w:sz w:val="18"/>
              </w:rPr>
              <w:t>7</w:t>
            </w:r>
            <w:r>
              <w:rPr>
                <w:rFonts w:hint="eastAsia"/>
                <w:sz w:val="18"/>
              </w:rPr>
              <w:t xml:space="preserve"> </w:t>
            </w:r>
            <w:r>
              <w:rPr>
                <w:sz w:val="18"/>
              </w:rPr>
              <w:t>169.6</w:t>
            </w:r>
          </w:p>
        </w:tc>
        <w:tc>
          <w:tcPr>
            <w:tcW w:w="571" w:type="pct"/>
          </w:tcPr>
          <w:p w:rsidR="001A7779" w:rsidRDefault="001A7779">
            <w:pPr>
              <w:tabs>
                <w:tab w:val="left" w:pos="630"/>
              </w:tabs>
              <w:spacing w:before="60" w:after="60" w:line="360" w:lineRule="exact"/>
              <w:jc w:val="center"/>
              <w:rPr>
                <w:sz w:val="18"/>
              </w:rPr>
            </w:pPr>
            <w:r>
              <w:rPr>
                <w:sz w:val="18"/>
              </w:rPr>
              <w:t>198</w:t>
            </w:r>
            <w:r>
              <w:rPr>
                <w:rFonts w:hint="eastAsia"/>
                <w:sz w:val="18"/>
              </w:rPr>
              <w:t xml:space="preserve"> </w:t>
            </w:r>
            <w:r>
              <w:rPr>
                <w:sz w:val="18"/>
              </w:rPr>
              <w:t>305.2</w:t>
            </w:r>
          </w:p>
        </w:tc>
        <w:tc>
          <w:tcPr>
            <w:tcW w:w="571" w:type="pct"/>
          </w:tcPr>
          <w:p w:rsidR="001A7779" w:rsidRDefault="001A7779">
            <w:pPr>
              <w:tabs>
                <w:tab w:val="left" w:pos="630"/>
              </w:tabs>
              <w:spacing w:before="60" w:after="60" w:line="360" w:lineRule="exact"/>
              <w:jc w:val="center"/>
              <w:rPr>
                <w:sz w:val="18"/>
              </w:rPr>
            </w:pPr>
            <w:r>
              <w:rPr>
                <w:sz w:val="18"/>
              </w:rPr>
              <w:t>18</w:t>
            </w:r>
            <w:r>
              <w:rPr>
                <w:rFonts w:hint="eastAsia"/>
                <w:sz w:val="18"/>
              </w:rPr>
              <w:t xml:space="preserve"> </w:t>
            </w:r>
            <w:r>
              <w:rPr>
                <w:sz w:val="18"/>
              </w:rPr>
              <w:t>330.7</w:t>
            </w:r>
          </w:p>
        </w:tc>
        <w:tc>
          <w:tcPr>
            <w:tcW w:w="571" w:type="pct"/>
          </w:tcPr>
          <w:p w:rsidR="001A7779" w:rsidRDefault="001A7779">
            <w:pPr>
              <w:tabs>
                <w:tab w:val="left" w:pos="630"/>
              </w:tabs>
              <w:spacing w:before="60" w:after="60" w:line="360" w:lineRule="exact"/>
              <w:jc w:val="center"/>
              <w:rPr>
                <w:sz w:val="18"/>
              </w:rPr>
            </w:pPr>
            <w:r>
              <w:rPr>
                <w:sz w:val="18"/>
              </w:rPr>
              <w:t>6</w:t>
            </w:r>
            <w:r>
              <w:rPr>
                <w:rFonts w:hint="eastAsia"/>
                <w:sz w:val="18"/>
              </w:rPr>
              <w:t xml:space="preserve"> </w:t>
            </w:r>
            <w:r>
              <w:rPr>
                <w:sz w:val="18"/>
              </w:rPr>
              <w:t>991.5</w:t>
            </w:r>
          </w:p>
        </w:tc>
        <w:tc>
          <w:tcPr>
            <w:tcW w:w="597" w:type="pct"/>
          </w:tcPr>
          <w:p w:rsidR="001A7779" w:rsidRDefault="001A7779">
            <w:pPr>
              <w:tabs>
                <w:tab w:val="left" w:pos="630"/>
              </w:tabs>
              <w:spacing w:before="60" w:after="60" w:line="360" w:lineRule="exact"/>
              <w:rPr>
                <w:sz w:val="18"/>
              </w:rPr>
            </w:pPr>
            <w:r>
              <w:rPr>
                <w:sz w:val="18"/>
              </w:rPr>
              <w:t>90.7</w:t>
            </w:r>
          </w:p>
        </w:tc>
        <w:tc>
          <w:tcPr>
            <w:tcW w:w="569" w:type="pct"/>
          </w:tcPr>
          <w:p w:rsidR="001A7779" w:rsidRDefault="001A7779">
            <w:pPr>
              <w:tabs>
                <w:tab w:val="left" w:pos="630"/>
              </w:tabs>
              <w:spacing w:before="60" w:after="60" w:line="360" w:lineRule="exact"/>
              <w:jc w:val="center"/>
              <w:rPr>
                <w:sz w:val="18"/>
              </w:rPr>
            </w:pPr>
            <w:r>
              <w:rPr>
                <w:sz w:val="18"/>
              </w:rPr>
              <w:t>0.0</w:t>
            </w:r>
          </w:p>
        </w:tc>
        <w:tc>
          <w:tcPr>
            <w:tcW w:w="569" w:type="pct"/>
          </w:tcPr>
          <w:p w:rsidR="001A7779" w:rsidRDefault="001A7779">
            <w:pPr>
              <w:tabs>
                <w:tab w:val="left" w:pos="630"/>
              </w:tabs>
              <w:spacing w:before="60" w:after="60" w:line="360" w:lineRule="exact"/>
              <w:jc w:val="center"/>
              <w:rPr>
                <w:sz w:val="18"/>
              </w:rPr>
            </w:pPr>
            <w:r>
              <w:rPr>
                <w:sz w:val="18"/>
              </w:rPr>
              <w:t>0.4</w:t>
            </w:r>
          </w:p>
        </w:tc>
        <w:tc>
          <w:tcPr>
            <w:tcW w:w="569" w:type="pct"/>
          </w:tcPr>
          <w:p w:rsidR="001A7779" w:rsidRDefault="001A7779">
            <w:pPr>
              <w:tabs>
                <w:tab w:val="left" w:pos="630"/>
              </w:tabs>
              <w:spacing w:before="60" w:after="60" w:line="360" w:lineRule="exact"/>
              <w:jc w:val="center"/>
              <w:rPr>
                <w:sz w:val="18"/>
              </w:rPr>
            </w:pPr>
            <w:r>
              <w:rPr>
                <w:sz w:val="18"/>
              </w:rPr>
              <w:t>1.0</w:t>
            </w:r>
          </w:p>
        </w:tc>
      </w:tr>
    </w:tbl>
    <w:p w:rsidR="001A7779" w:rsidRDefault="001A7779">
      <w:pPr>
        <w:tabs>
          <w:tab w:val="left" w:pos="630"/>
        </w:tabs>
        <w:spacing w:line="320" w:lineRule="exact"/>
        <w:rPr>
          <w:color w:val="000000"/>
          <w:sz w:val="18"/>
        </w:rPr>
      </w:pPr>
      <w:r>
        <w:rPr>
          <w:color w:val="000000"/>
          <w:sz w:val="18"/>
        </w:rPr>
        <w:t>1</w:t>
      </w:r>
      <w:r>
        <w:rPr>
          <w:color w:val="000000"/>
          <w:sz w:val="18"/>
        </w:rPr>
        <w:t>）</w:t>
      </w:r>
      <w:r>
        <w:rPr>
          <w:color w:val="000000"/>
          <w:sz w:val="18"/>
        </w:rPr>
        <w:t xml:space="preserve"> </w:t>
      </w:r>
      <w:r>
        <w:rPr>
          <w:rFonts w:hint="eastAsia"/>
          <w:color w:val="000000"/>
          <w:sz w:val="18"/>
        </w:rPr>
        <w:t>相当于全日制</w:t>
      </w:r>
      <w:r>
        <w:rPr>
          <w:color w:val="000000"/>
          <w:sz w:val="18"/>
        </w:rPr>
        <w:t xml:space="preserve"> </w:t>
      </w:r>
      <w:r>
        <w:rPr>
          <w:color w:val="000000"/>
          <w:sz w:val="18"/>
        </w:rPr>
        <w:t>（</w:t>
      </w:r>
      <w:r>
        <w:rPr>
          <w:color w:val="000000"/>
          <w:sz w:val="18"/>
        </w:rPr>
        <w:t>fte</w:t>
      </w:r>
      <w:r>
        <w:rPr>
          <w:color w:val="000000"/>
          <w:sz w:val="18"/>
        </w:rPr>
        <w:t>）</w:t>
      </w:r>
      <w:r>
        <w:rPr>
          <w:rFonts w:hint="eastAsia"/>
          <w:color w:val="000000"/>
          <w:sz w:val="18"/>
        </w:rPr>
        <w:t>。</w:t>
      </w:r>
    </w:p>
    <w:p w:rsidR="001A7779" w:rsidRDefault="001A7779">
      <w:pPr>
        <w:tabs>
          <w:tab w:val="left" w:pos="630"/>
        </w:tabs>
        <w:spacing w:line="320" w:lineRule="exact"/>
        <w:rPr>
          <w:color w:val="000000"/>
          <w:sz w:val="18"/>
        </w:rPr>
      </w:pPr>
      <w:r>
        <w:rPr>
          <w:color w:val="000000"/>
          <w:sz w:val="18"/>
        </w:rPr>
        <w:t>2</w:t>
      </w:r>
      <w:r>
        <w:rPr>
          <w:color w:val="000000"/>
          <w:sz w:val="18"/>
        </w:rPr>
        <w:t>）</w:t>
      </w:r>
      <w:r>
        <w:rPr>
          <w:color w:val="000000"/>
          <w:sz w:val="18"/>
        </w:rPr>
        <w:t xml:space="preserve"> </w:t>
      </w:r>
      <w:r>
        <w:rPr>
          <w:rFonts w:hint="eastAsia"/>
          <w:color w:val="000000"/>
          <w:sz w:val="18"/>
        </w:rPr>
        <w:t>按相当于全日制来计算。</w:t>
      </w:r>
    </w:p>
    <w:p w:rsidR="001A7779" w:rsidRDefault="001A7779">
      <w:pPr>
        <w:tabs>
          <w:tab w:val="left" w:pos="630"/>
        </w:tabs>
        <w:spacing w:line="320" w:lineRule="exact"/>
        <w:rPr>
          <w:color w:val="000000"/>
          <w:sz w:val="18"/>
        </w:rPr>
      </w:pPr>
      <w:r>
        <w:rPr>
          <w:color w:val="000000"/>
          <w:sz w:val="18"/>
        </w:rPr>
        <w:t>3</w:t>
      </w:r>
      <w:r>
        <w:rPr>
          <w:color w:val="000000"/>
          <w:sz w:val="18"/>
        </w:rPr>
        <w:t>）</w:t>
      </w:r>
      <w:r>
        <w:rPr>
          <w:color w:val="000000"/>
          <w:sz w:val="18"/>
        </w:rPr>
        <w:t xml:space="preserve"> </w:t>
      </w:r>
      <w:r>
        <w:rPr>
          <w:rFonts w:hint="eastAsia"/>
          <w:color w:val="000000"/>
          <w:sz w:val="18"/>
        </w:rPr>
        <w:t>大学教育——包括护理学和助产学教育学士学位以及其他大学教育程度的卫生专业人员。</w:t>
      </w:r>
    </w:p>
    <w:p w:rsidR="001A7779" w:rsidRDefault="001A7779">
      <w:pPr>
        <w:tabs>
          <w:tab w:val="left" w:pos="630"/>
        </w:tabs>
        <w:spacing w:line="320" w:lineRule="exact"/>
        <w:rPr>
          <w:color w:val="000000"/>
          <w:sz w:val="18"/>
        </w:rPr>
      </w:pPr>
      <w:r>
        <w:rPr>
          <w:color w:val="000000"/>
          <w:sz w:val="18"/>
        </w:rPr>
        <w:t>4</w:t>
      </w:r>
      <w:r>
        <w:rPr>
          <w:color w:val="000000"/>
          <w:sz w:val="18"/>
        </w:rPr>
        <w:t>）</w:t>
      </w:r>
      <w:r>
        <w:rPr>
          <w:color w:val="000000"/>
          <w:sz w:val="18"/>
        </w:rPr>
        <w:t xml:space="preserve"> </w:t>
      </w:r>
      <w:r>
        <w:rPr>
          <w:rFonts w:hint="eastAsia"/>
          <w:color w:val="000000"/>
          <w:sz w:val="18"/>
        </w:rPr>
        <w:t>大专教育——包括国家注册护士</w:t>
      </w:r>
      <w:r>
        <w:rPr>
          <w:color w:val="000000"/>
          <w:sz w:val="18"/>
        </w:rPr>
        <w:t>（</w:t>
      </w:r>
      <w:r>
        <w:rPr>
          <w:color w:val="000000"/>
          <w:sz w:val="18"/>
        </w:rPr>
        <w:t>S.R.N.</w:t>
      </w:r>
      <w:r>
        <w:rPr>
          <w:color w:val="000000"/>
          <w:sz w:val="18"/>
        </w:rPr>
        <w:t>）</w:t>
      </w:r>
      <w:r>
        <w:rPr>
          <w:rFonts w:hint="eastAsia"/>
          <w:color w:val="000000"/>
          <w:sz w:val="18"/>
        </w:rPr>
        <w:t>。</w:t>
      </w:r>
    </w:p>
    <w:p w:rsidR="001A7779" w:rsidRDefault="001A7779">
      <w:pPr>
        <w:tabs>
          <w:tab w:val="left" w:pos="630"/>
        </w:tabs>
        <w:spacing w:line="320" w:lineRule="exact"/>
        <w:rPr>
          <w:color w:val="000000"/>
          <w:sz w:val="18"/>
        </w:rPr>
      </w:pPr>
      <w:r>
        <w:rPr>
          <w:color w:val="000000"/>
          <w:sz w:val="18"/>
        </w:rPr>
        <w:t>5</w:t>
      </w:r>
      <w:r>
        <w:rPr>
          <w:color w:val="000000"/>
          <w:sz w:val="18"/>
        </w:rPr>
        <w:t>）</w:t>
      </w:r>
      <w:r>
        <w:rPr>
          <w:color w:val="000000"/>
          <w:sz w:val="18"/>
        </w:rPr>
        <w:t xml:space="preserve"> </w:t>
      </w:r>
      <w:r>
        <w:rPr>
          <w:rFonts w:hint="eastAsia"/>
          <w:color w:val="000000"/>
          <w:sz w:val="18"/>
        </w:rPr>
        <w:t>中等教育——包括护士助理</w:t>
      </w:r>
      <w:r>
        <w:rPr>
          <w:color w:val="000000"/>
          <w:sz w:val="18"/>
        </w:rPr>
        <w:t xml:space="preserve"> </w:t>
      </w:r>
      <w:r>
        <w:rPr>
          <w:color w:val="000000"/>
          <w:sz w:val="18"/>
        </w:rPr>
        <w:t>（</w:t>
      </w:r>
      <w:r>
        <w:rPr>
          <w:color w:val="000000"/>
          <w:sz w:val="18"/>
        </w:rPr>
        <w:t>N.A.</w:t>
      </w:r>
      <w:r>
        <w:rPr>
          <w:color w:val="000000"/>
          <w:sz w:val="18"/>
        </w:rPr>
        <w:t>）</w:t>
      </w:r>
      <w:r>
        <w:rPr>
          <w:rFonts w:hint="eastAsia"/>
          <w:color w:val="000000"/>
          <w:sz w:val="18"/>
        </w:rPr>
        <w:t>、助产士和所有有自然科学学位的雇员。</w:t>
      </w:r>
      <w:r>
        <w:rPr>
          <w:color w:val="000000"/>
          <w:sz w:val="18"/>
        </w:rPr>
        <w:t xml:space="preserve"> </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年《卫生统计年鉴》，公共卫生研究所。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41</w:t>
      </w:r>
      <w:r>
        <w:rPr>
          <w:rFonts w:ascii="SimHei" w:eastAsia="SimHei" w:hint="eastAsia"/>
          <w:color w:val="FF0000"/>
        </w:rPr>
        <w:t>：</w:t>
      </w:r>
      <w:r>
        <w:rPr>
          <w:rFonts w:ascii="SimHei" w:eastAsia="SimHei"/>
          <w:color w:val="FF0000"/>
        </w:rPr>
        <w:t>2001</w:t>
      </w:r>
      <w:r>
        <w:rPr>
          <w:rFonts w:ascii="SimHei" w:eastAsia="SimHei" w:hint="eastAsia"/>
          <w:color w:val="FF0000"/>
        </w:rPr>
        <w:t>年和</w:t>
      </w:r>
      <w:r>
        <w:rPr>
          <w:rFonts w:ascii="SimHei" w:eastAsia="SimHei"/>
          <w:color w:val="FF0000"/>
        </w:rPr>
        <w:t xml:space="preserve"> 2002 </w:t>
      </w:r>
      <w:r>
        <w:rPr>
          <w:rFonts w:ascii="SimHei" w:eastAsia="SimHei" w:hint="eastAsia"/>
          <w:color w:val="FF0000"/>
        </w:rPr>
        <w:t>年初级生殖社区妇女保健服务中心预防性就诊人次和</w:t>
      </w:r>
      <w:r>
        <w:rPr>
          <w:rFonts w:ascii="SimHei" w:eastAsia="SimHei"/>
          <w:color w:val="FF0000"/>
        </w:rPr>
        <w:br/>
      </w:r>
      <w:r>
        <w:rPr>
          <w:rFonts w:ascii="SimHei" w:eastAsia="SimHei" w:hint="eastAsia"/>
          <w:color w:val="FF0000"/>
        </w:rPr>
        <w:t>向专家及医院转诊的妇女所占比例</w:t>
      </w:r>
    </w:p>
    <w:tbl>
      <w:tblPr>
        <w:tblW w:w="98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0"/>
        <w:gridCol w:w="1020"/>
        <w:gridCol w:w="990"/>
        <w:gridCol w:w="990"/>
        <w:gridCol w:w="980"/>
        <w:gridCol w:w="980"/>
        <w:gridCol w:w="980"/>
        <w:gridCol w:w="980"/>
        <w:gridCol w:w="980"/>
        <w:gridCol w:w="980"/>
      </w:tblGrid>
      <w:tr w:rsidR="001A7779">
        <w:tblPrEx>
          <w:tblCellMar>
            <w:top w:w="0" w:type="dxa"/>
            <w:bottom w:w="0" w:type="dxa"/>
          </w:tblCellMar>
        </w:tblPrEx>
        <w:trPr>
          <w:cantSplit/>
        </w:trPr>
        <w:tc>
          <w:tcPr>
            <w:tcW w:w="960" w:type="dxa"/>
            <w:tcBorders>
              <w:top w:val="single" w:sz="4" w:space="0" w:color="auto"/>
              <w:left w:val="single" w:sz="4" w:space="0" w:color="auto"/>
              <w:bottom w:val="nil"/>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p>
        </w:tc>
        <w:tc>
          <w:tcPr>
            <w:tcW w:w="1020" w:type="dxa"/>
            <w:vMerge w:val="restart"/>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所有求诊人次</w:t>
            </w:r>
          </w:p>
        </w:tc>
        <w:tc>
          <w:tcPr>
            <w:tcW w:w="1980" w:type="dxa"/>
            <w:gridSpan w:val="2"/>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所有预防性就诊人次</w:t>
            </w:r>
          </w:p>
        </w:tc>
        <w:tc>
          <w:tcPr>
            <w:tcW w:w="5880" w:type="dxa"/>
            <w:gridSpan w:val="6"/>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预防性就诊人次</w:t>
            </w:r>
          </w:p>
        </w:tc>
      </w:tr>
      <w:tr w:rsidR="001A7779">
        <w:tblPrEx>
          <w:tblCellMar>
            <w:top w:w="0" w:type="dxa"/>
            <w:bottom w:w="0" w:type="dxa"/>
          </w:tblCellMar>
        </w:tblPrEx>
        <w:trPr>
          <w:cantSplit/>
        </w:trPr>
        <w:tc>
          <w:tcPr>
            <w:tcW w:w="960" w:type="dxa"/>
            <w:tcBorders>
              <w:top w:val="nil"/>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年份</w:t>
            </w:r>
          </w:p>
        </w:tc>
        <w:tc>
          <w:tcPr>
            <w:tcW w:w="1020" w:type="dxa"/>
            <w:vMerge/>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p>
        </w:tc>
        <w:tc>
          <w:tcPr>
            <w:tcW w:w="1980" w:type="dxa"/>
            <w:gridSpan w:val="2"/>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w:t>
            </w:r>
          </w:p>
        </w:tc>
        <w:tc>
          <w:tcPr>
            <w:tcW w:w="1960" w:type="dxa"/>
            <w:gridSpan w:val="2"/>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妊娠</w:t>
            </w:r>
            <w:r>
              <w:rPr>
                <w:rFonts w:ascii="SimHei" w:eastAsia="SimHei"/>
                <w:color w:val="FF0000"/>
                <w:sz w:val="18"/>
              </w:rPr>
              <w:t xml:space="preserve">   %</w:t>
            </w:r>
          </w:p>
        </w:tc>
        <w:tc>
          <w:tcPr>
            <w:tcW w:w="1960" w:type="dxa"/>
            <w:gridSpan w:val="2"/>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避孕</w:t>
            </w:r>
            <w:r>
              <w:rPr>
                <w:rFonts w:ascii="SimHei" w:eastAsia="SimHei"/>
                <w:color w:val="FF0000"/>
                <w:sz w:val="18"/>
              </w:rPr>
              <w:t xml:space="preserve">  %</w:t>
            </w:r>
          </w:p>
        </w:tc>
        <w:tc>
          <w:tcPr>
            <w:tcW w:w="1960" w:type="dxa"/>
            <w:gridSpan w:val="2"/>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其他原因</w:t>
            </w:r>
            <w:r>
              <w:rPr>
                <w:rFonts w:ascii="SimHei" w:eastAsia="SimHei"/>
                <w:color w:val="FF0000"/>
                <w:sz w:val="18"/>
              </w:rPr>
              <w:t xml:space="preserve"> %</w:t>
            </w:r>
          </w:p>
        </w:tc>
      </w:tr>
      <w:tr w:rsidR="001A7779">
        <w:tblPrEx>
          <w:tblCellMar>
            <w:top w:w="0" w:type="dxa"/>
            <w:bottom w:w="0" w:type="dxa"/>
          </w:tblCellMar>
        </w:tblPrEx>
        <w:trPr>
          <w:cantSplit/>
        </w:trPr>
        <w:tc>
          <w:tcPr>
            <w:tcW w:w="960" w:type="dxa"/>
            <w:tcBorders>
              <w:top w:val="single" w:sz="4" w:space="0" w:color="auto"/>
              <w:left w:val="single" w:sz="4" w:space="0" w:color="auto"/>
              <w:right w:val="single" w:sz="4" w:space="0" w:color="auto"/>
            </w:tcBorders>
          </w:tcPr>
          <w:p w:rsidR="001A7779" w:rsidRDefault="001A7779">
            <w:pPr>
              <w:pStyle w:val="a3"/>
              <w:tabs>
                <w:tab w:val="left" w:pos="630"/>
              </w:tabs>
              <w:adjustRightInd w:val="0"/>
              <w:spacing w:before="60" w:after="60" w:line="360" w:lineRule="exact"/>
              <w:textAlignment w:val="baseline"/>
              <w:rPr>
                <w:kern w:val="0"/>
                <w:szCs w:val="20"/>
              </w:rPr>
            </w:pPr>
            <w:r>
              <w:rPr>
                <w:kern w:val="0"/>
                <w:szCs w:val="20"/>
              </w:rPr>
              <w:t>2001</w:t>
            </w:r>
          </w:p>
        </w:tc>
        <w:tc>
          <w:tcPr>
            <w:tcW w:w="1020" w:type="dxa"/>
            <w:tcBorders>
              <w:top w:val="single" w:sz="4" w:space="0" w:color="auto"/>
              <w:left w:val="single" w:sz="4" w:space="0" w:color="auto"/>
              <w:bottom w:val="single" w:sz="4" w:space="0" w:color="auto"/>
              <w:right w:val="single" w:sz="4" w:space="0" w:color="auto"/>
            </w:tcBorders>
          </w:tcPr>
          <w:p w:rsidR="001A7779" w:rsidRDefault="001A7779">
            <w:pPr>
              <w:pStyle w:val="a3"/>
              <w:tabs>
                <w:tab w:val="left" w:pos="630"/>
              </w:tabs>
              <w:adjustRightInd w:val="0"/>
              <w:spacing w:before="60" w:after="60" w:line="360" w:lineRule="exact"/>
              <w:jc w:val="center"/>
              <w:textAlignment w:val="baseline"/>
              <w:rPr>
                <w:kern w:val="0"/>
                <w:szCs w:val="20"/>
              </w:rPr>
            </w:pPr>
            <w:r>
              <w:rPr>
                <w:kern w:val="0"/>
                <w:szCs w:val="20"/>
              </w:rPr>
              <w:t>731</w:t>
            </w:r>
            <w:r>
              <w:rPr>
                <w:rFonts w:hint="eastAsia"/>
                <w:kern w:val="0"/>
                <w:szCs w:val="20"/>
              </w:rPr>
              <w:t xml:space="preserve"> </w:t>
            </w:r>
            <w:r>
              <w:rPr>
                <w:kern w:val="0"/>
                <w:szCs w:val="20"/>
              </w:rPr>
              <w:t>550</w:t>
            </w:r>
          </w:p>
        </w:tc>
        <w:tc>
          <w:tcPr>
            <w:tcW w:w="9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412</w:t>
            </w:r>
            <w:r>
              <w:rPr>
                <w:rFonts w:hint="eastAsia"/>
                <w:sz w:val="18"/>
              </w:rPr>
              <w:t xml:space="preserve"> </w:t>
            </w:r>
            <w:r>
              <w:rPr>
                <w:sz w:val="18"/>
              </w:rPr>
              <w:t>171</w:t>
            </w:r>
          </w:p>
        </w:tc>
        <w:tc>
          <w:tcPr>
            <w:tcW w:w="990" w:type="dxa"/>
            <w:tcBorders>
              <w:top w:val="single" w:sz="4" w:space="0" w:color="auto"/>
              <w:left w:val="single" w:sz="4" w:space="0" w:color="auto"/>
              <w:bottom w:val="single" w:sz="4" w:space="0" w:color="auto"/>
              <w:right w:val="single" w:sz="4" w:space="0" w:color="auto"/>
            </w:tcBorders>
          </w:tcPr>
          <w:p w:rsidR="001A7779" w:rsidRDefault="001A7779">
            <w:pPr>
              <w:pStyle w:val="a3"/>
              <w:tabs>
                <w:tab w:val="left" w:pos="630"/>
              </w:tabs>
              <w:adjustRightInd w:val="0"/>
              <w:spacing w:before="60" w:after="60" w:line="360" w:lineRule="exact"/>
              <w:jc w:val="center"/>
              <w:textAlignment w:val="baseline"/>
              <w:rPr>
                <w:kern w:val="0"/>
                <w:szCs w:val="20"/>
              </w:rPr>
            </w:pPr>
            <w:r>
              <w:rPr>
                <w:kern w:val="0"/>
                <w:szCs w:val="20"/>
              </w:rPr>
              <w:t>100.0</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118</w:t>
            </w:r>
            <w:r>
              <w:rPr>
                <w:rFonts w:hint="eastAsia"/>
                <w:sz w:val="18"/>
              </w:rPr>
              <w:t xml:space="preserve"> </w:t>
            </w:r>
            <w:r>
              <w:rPr>
                <w:sz w:val="18"/>
              </w:rPr>
              <w:t>158</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28.7</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116</w:t>
            </w:r>
            <w:r>
              <w:rPr>
                <w:rFonts w:hint="eastAsia"/>
                <w:sz w:val="18"/>
              </w:rPr>
              <w:t xml:space="preserve"> </w:t>
            </w:r>
            <w:r>
              <w:rPr>
                <w:sz w:val="18"/>
              </w:rPr>
              <w:t>271</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28.2</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177</w:t>
            </w:r>
            <w:r>
              <w:rPr>
                <w:rFonts w:hint="eastAsia"/>
                <w:sz w:val="18"/>
              </w:rPr>
              <w:t xml:space="preserve"> </w:t>
            </w:r>
            <w:r>
              <w:rPr>
                <w:sz w:val="18"/>
              </w:rPr>
              <w:t>742</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43.1</w:t>
            </w:r>
          </w:p>
        </w:tc>
      </w:tr>
      <w:tr w:rsidR="001A7779">
        <w:tblPrEx>
          <w:tblCellMar>
            <w:top w:w="0" w:type="dxa"/>
            <w:bottom w:w="0" w:type="dxa"/>
          </w:tblCellMar>
        </w:tblPrEx>
        <w:trPr>
          <w:cantSplit/>
        </w:trPr>
        <w:tc>
          <w:tcPr>
            <w:tcW w:w="960" w:type="dxa"/>
            <w:tcBorders>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sz w:val="18"/>
              </w:rPr>
              <w:t>2002</w:t>
            </w:r>
          </w:p>
        </w:tc>
        <w:tc>
          <w:tcPr>
            <w:tcW w:w="10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824</w:t>
            </w:r>
            <w:r>
              <w:rPr>
                <w:rFonts w:hint="eastAsia"/>
                <w:sz w:val="18"/>
              </w:rPr>
              <w:t xml:space="preserve"> </w:t>
            </w:r>
            <w:r>
              <w:rPr>
                <w:sz w:val="18"/>
              </w:rPr>
              <w:t>677</w:t>
            </w:r>
          </w:p>
        </w:tc>
        <w:tc>
          <w:tcPr>
            <w:tcW w:w="9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419</w:t>
            </w:r>
            <w:r>
              <w:rPr>
                <w:rFonts w:hint="eastAsia"/>
                <w:sz w:val="18"/>
              </w:rPr>
              <w:t xml:space="preserve"> </w:t>
            </w:r>
            <w:r>
              <w:rPr>
                <w:sz w:val="18"/>
              </w:rPr>
              <w:t>333</w:t>
            </w:r>
          </w:p>
        </w:tc>
        <w:tc>
          <w:tcPr>
            <w:tcW w:w="99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100.0</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129</w:t>
            </w:r>
            <w:r>
              <w:rPr>
                <w:rFonts w:hint="eastAsia"/>
                <w:sz w:val="18"/>
              </w:rPr>
              <w:t xml:space="preserve"> </w:t>
            </w:r>
            <w:r>
              <w:rPr>
                <w:sz w:val="18"/>
              </w:rPr>
              <w:t>839</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31.0</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121</w:t>
            </w:r>
            <w:r>
              <w:rPr>
                <w:rFonts w:hint="eastAsia"/>
                <w:sz w:val="18"/>
              </w:rPr>
              <w:t xml:space="preserve"> </w:t>
            </w:r>
            <w:r>
              <w:rPr>
                <w:sz w:val="18"/>
              </w:rPr>
              <w:t>871</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29.0</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sz w:val="18"/>
              </w:rPr>
            </w:pPr>
            <w:r>
              <w:rPr>
                <w:sz w:val="18"/>
              </w:rPr>
              <w:t>167</w:t>
            </w:r>
            <w:r>
              <w:rPr>
                <w:rFonts w:hint="eastAsia"/>
                <w:sz w:val="18"/>
              </w:rPr>
              <w:t xml:space="preserve"> </w:t>
            </w:r>
            <w:r>
              <w:rPr>
                <w:sz w:val="18"/>
              </w:rPr>
              <w:t>623</w:t>
            </w:r>
          </w:p>
        </w:tc>
        <w:tc>
          <w:tcPr>
            <w:tcW w:w="980" w:type="dxa"/>
            <w:tcBorders>
              <w:top w:val="single" w:sz="4" w:space="0" w:color="auto"/>
              <w:left w:val="single" w:sz="4" w:space="0" w:color="auto"/>
              <w:bottom w:val="single" w:sz="4" w:space="0" w:color="auto"/>
              <w:right w:val="single" w:sz="4" w:space="0" w:color="auto"/>
            </w:tcBorders>
          </w:tcPr>
          <w:p w:rsidR="001A7779" w:rsidRDefault="001A7779">
            <w:pPr>
              <w:pStyle w:val="a3"/>
              <w:tabs>
                <w:tab w:val="left" w:pos="630"/>
              </w:tabs>
              <w:adjustRightInd w:val="0"/>
              <w:spacing w:before="60" w:after="60" w:line="360" w:lineRule="exact"/>
              <w:jc w:val="center"/>
              <w:textAlignment w:val="baseline"/>
              <w:rPr>
                <w:kern w:val="0"/>
                <w:szCs w:val="20"/>
              </w:rPr>
            </w:pPr>
            <w:r>
              <w:rPr>
                <w:kern w:val="0"/>
                <w:szCs w:val="20"/>
              </w:rPr>
              <w:t>40.0</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年《卫生统计年鉴》，公共卫生研究所。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42</w:t>
      </w:r>
      <w:r>
        <w:rPr>
          <w:rFonts w:ascii="SimHei" w:eastAsia="SimHei" w:hint="eastAsia"/>
          <w:color w:val="FF0000"/>
        </w:rPr>
        <w:t>：</w:t>
      </w:r>
      <w:r>
        <w:rPr>
          <w:rFonts w:ascii="SimHei" w:eastAsia="SimHei"/>
          <w:color w:val="FF0000"/>
        </w:rPr>
        <w:t>2001</w:t>
      </w:r>
      <w:r>
        <w:rPr>
          <w:rFonts w:ascii="SimHei" w:eastAsia="SimHei" w:hint="eastAsia"/>
          <w:color w:val="FF0000"/>
        </w:rPr>
        <w:t>年和</w:t>
      </w:r>
      <w:r>
        <w:rPr>
          <w:rFonts w:ascii="SimHei" w:eastAsia="SimHei"/>
          <w:color w:val="FF0000"/>
        </w:rPr>
        <w:t xml:space="preserve"> 2002 </w:t>
      </w:r>
      <w:r>
        <w:rPr>
          <w:rFonts w:ascii="SimHei" w:eastAsia="SimHei" w:hint="eastAsia"/>
          <w:color w:val="FF0000"/>
        </w:rPr>
        <w:t>年初级生殖社区妇女保健服务中心治疗性</w:t>
      </w:r>
      <w:r>
        <w:rPr>
          <w:rFonts w:ascii="SimHei" w:eastAsia="SimHei"/>
          <w:color w:val="FF0000"/>
        </w:rPr>
        <w:br/>
      </w:r>
      <w:r>
        <w:rPr>
          <w:rFonts w:ascii="SimHei" w:eastAsia="SimHei" w:hint="eastAsia"/>
          <w:color w:val="FF0000"/>
        </w:rPr>
        <w:t>就诊人次和向专家及医院转诊的妇女所占比例</w:t>
      </w:r>
      <w:r>
        <w:rPr>
          <w:rFonts w:ascii="SimHei" w:eastAsia="SimHei"/>
          <w:color w:val="FF0000"/>
        </w:rPr>
        <w:t xml:space="preserve"> </w:t>
      </w: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0"/>
        <w:gridCol w:w="1320"/>
        <w:gridCol w:w="1440"/>
        <w:gridCol w:w="1040"/>
        <w:gridCol w:w="1040"/>
        <w:gridCol w:w="1040"/>
        <w:gridCol w:w="1040"/>
        <w:gridCol w:w="1040"/>
        <w:gridCol w:w="1040"/>
      </w:tblGrid>
      <w:tr w:rsidR="001A7779">
        <w:tblPrEx>
          <w:tblCellMar>
            <w:top w:w="0" w:type="dxa"/>
            <w:bottom w:w="0" w:type="dxa"/>
          </w:tblCellMar>
        </w:tblPrEx>
        <w:trPr>
          <w:cantSplit/>
        </w:trPr>
        <w:tc>
          <w:tcPr>
            <w:tcW w:w="840" w:type="dxa"/>
            <w:vAlign w:val="center"/>
          </w:tcPr>
          <w:p w:rsidR="001A7779" w:rsidRDefault="001A7779">
            <w:pPr>
              <w:tabs>
                <w:tab w:val="left" w:pos="630"/>
              </w:tabs>
              <w:spacing w:before="60" w:after="60" w:line="320" w:lineRule="exact"/>
              <w:jc w:val="center"/>
              <w:rPr>
                <w:rFonts w:eastAsia="SimHei"/>
                <w:color w:val="FF0000"/>
                <w:sz w:val="18"/>
              </w:rPr>
            </w:pPr>
          </w:p>
        </w:tc>
        <w:tc>
          <w:tcPr>
            <w:tcW w:w="1320" w:type="dxa"/>
            <w:vAlign w:val="center"/>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所有就诊人次</w:t>
            </w:r>
          </w:p>
        </w:tc>
        <w:tc>
          <w:tcPr>
            <w:tcW w:w="1440" w:type="dxa"/>
            <w:vAlign w:val="center"/>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所有治疗性就诊人次</w:t>
            </w:r>
          </w:p>
        </w:tc>
        <w:tc>
          <w:tcPr>
            <w:tcW w:w="2080" w:type="dxa"/>
            <w:gridSpan w:val="2"/>
            <w:vAlign w:val="center"/>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初次治疗性就诊人次</w:t>
            </w:r>
          </w:p>
        </w:tc>
        <w:tc>
          <w:tcPr>
            <w:tcW w:w="2080" w:type="dxa"/>
            <w:gridSpan w:val="2"/>
            <w:vAlign w:val="center"/>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向专家转诊</w:t>
            </w:r>
          </w:p>
        </w:tc>
        <w:tc>
          <w:tcPr>
            <w:tcW w:w="2080" w:type="dxa"/>
            <w:gridSpan w:val="2"/>
            <w:vAlign w:val="center"/>
          </w:tcPr>
          <w:p w:rsidR="001A7779" w:rsidRDefault="001A7779">
            <w:pPr>
              <w:tabs>
                <w:tab w:val="left" w:pos="630"/>
              </w:tabs>
              <w:spacing w:before="60" w:after="60" w:line="320" w:lineRule="exact"/>
              <w:jc w:val="center"/>
              <w:rPr>
                <w:rFonts w:eastAsia="SimHei"/>
                <w:color w:val="FF0000"/>
                <w:sz w:val="18"/>
              </w:rPr>
            </w:pPr>
            <w:r>
              <w:rPr>
                <w:rFonts w:eastAsia="SimHei" w:hint="eastAsia"/>
                <w:color w:val="FF0000"/>
                <w:sz w:val="18"/>
              </w:rPr>
              <w:t>向医院转诊</w:t>
            </w:r>
          </w:p>
        </w:tc>
      </w:tr>
      <w:tr w:rsidR="001A7779">
        <w:tblPrEx>
          <w:tblCellMar>
            <w:top w:w="0" w:type="dxa"/>
            <w:bottom w:w="0" w:type="dxa"/>
          </w:tblCellMar>
        </w:tblPrEx>
        <w:trPr>
          <w:cantSplit/>
        </w:trPr>
        <w:tc>
          <w:tcPr>
            <w:tcW w:w="840" w:type="dxa"/>
          </w:tcPr>
          <w:p w:rsidR="001A7779" w:rsidRDefault="001A7779">
            <w:pPr>
              <w:tabs>
                <w:tab w:val="left" w:pos="630"/>
              </w:tabs>
              <w:spacing w:before="60" w:after="60" w:line="360" w:lineRule="exact"/>
              <w:rPr>
                <w:sz w:val="18"/>
              </w:rPr>
            </w:pPr>
            <w:r>
              <w:rPr>
                <w:rFonts w:hint="eastAsia"/>
                <w:sz w:val="18"/>
              </w:rPr>
              <w:t>年份</w:t>
            </w:r>
          </w:p>
        </w:tc>
        <w:tc>
          <w:tcPr>
            <w:tcW w:w="1320" w:type="dxa"/>
          </w:tcPr>
          <w:p w:rsidR="001A7779" w:rsidRDefault="001A7779">
            <w:pPr>
              <w:tabs>
                <w:tab w:val="left" w:pos="630"/>
              </w:tabs>
              <w:spacing w:before="60" w:after="60" w:line="360" w:lineRule="exact"/>
              <w:rPr>
                <w:sz w:val="18"/>
              </w:rPr>
            </w:pPr>
          </w:p>
        </w:tc>
        <w:tc>
          <w:tcPr>
            <w:tcW w:w="1440" w:type="dxa"/>
          </w:tcPr>
          <w:p w:rsidR="001A7779" w:rsidRDefault="001A7779">
            <w:pPr>
              <w:tabs>
                <w:tab w:val="left" w:pos="630"/>
              </w:tabs>
              <w:spacing w:before="60" w:after="60" w:line="360" w:lineRule="exact"/>
              <w:rPr>
                <w:sz w:val="18"/>
              </w:rPr>
            </w:pPr>
          </w:p>
        </w:tc>
        <w:tc>
          <w:tcPr>
            <w:tcW w:w="1040" w:type="dxa"/>
            <w:tcBorders>
              <w:right w:val="nil"/>
            </w:tcBorders>
          </w:tcPr>
          <w:p w:rsidR="001A7779" w:rsidRDefault="001A7779">
            <w:pPr>
              <w:tabs>
                <w:tab w:val="left" w:pos="630"/>
              </w:tabs>
              <w:spacing w:before="60" w:after="60" w:line="360" w:lineRule="exact"/>
              <w:rPr>
                <w:sz w:val="18"/>
              </w:rPr>
            </w:pPr>
          </w:p>
        </w:tc>
        <w:tc>
          <w:tcPr>
            <w:tcW w:w="1040" w:type="dxa"/>
            <w:tcBorders>
              <w:left w:val="nil"/>
            </w:tcBorders>
          </w:tcPr>
          <w:p w:rsidR="001A7779" w:rsidRDefault="001A7779">
            <w:pPr>
              <w:tabs>
                <w:tab w:val="left" w:pos="630"/>
              </w:tabs>
              <w:spacing w:before="60" w:after="60" w:line="360" w:lineRule="exact"/>
              <w:rPr>
                <w:sz w:val="18"/>
              </w:rPr>
            </w:pPr>
            <w:r>
              <w:rPr>
                <w:sz w:val="18"/>
              </w:rPr>
              <w:t>%</w:t>
            </w:r>
          </w:p>
        </w:tc>
        <w:tc>
          <w:tcPr>
            <w:tcW w:w="1040" w:type="dxa"/>
            <w:tcBorders>
              <w:right w:val="nil"/>
            </w:tcBorders>
          </w:tcPr>
          <w:p w:rsidR="001A7779" w:rsidRDefault="001A7779">
            <w:pPr>
              <w:tabs>
                <w:tab w:val="left" w:pos="630"/>
              </w:tabs>
              <w:spacing w:before="60" w:after="60" w:line="360" w:lineRule="exact"/>
              <w:rPr>
                <w:sz w:val="18"/>
              </w:rPr>
            </w:pPr>
          </w:p>
        </w:tc>
        <w:tc>
          <w:tcPr>
            <w:tcW w:w="1040" w:type="dxa"/>
            <w:tcBorders>
              <w:left w:val="nil"/>
            </w:tcBorders>
          </w:tcPr>
          <w:p w:rsidR="001A7779" w:rsidRDefault="001A7779">
            <w:pPr>
              <w:tabs>
                <w:tab w:val="left" w:pos="630"/>
              </w:tabs>
              <w:spacing w:before="60" w:after="60" w:line="360" w:lineRule="exact"/>
              <w:rPr>
                <w:sz w:val="18"/>
              </w:rPr>
            </w:pPr>
            <w:r>
              <w:rPr>
                <w:sz w:val="18"/>
              </w:rPr>
              <w:t>%</w:t>
            </w:r>
          </w:p>
        </w:tc>
        <w:tc>
          <w:tcPr>
            <w:tcW w:w="1040" w:type="dxa"/>
            <w:tcBorders>
              <w:right w:val="nil"/>
            </w:tcBorders>
          </w:tcPr>
          <w:p w:rsidR="001A7779" w:rsidRDefault="001A7779">
            <w:pPr>
              <w:tabs>
                <w:tab w:val="left" w:pos="630"/>
              </w:tabs>
              <w:spacing w:before="60" w:after="60" w:line="360" w:lineRule="exact"/>
              <w:rPr>
                <w:sz w:val="18"/>
              </w:rPr>
            </w:pPr>
          </w:p>
        </w:tc>
        <w:tc>
          <w:tcPr>
            <w:tcW w:w="1040" w:type="dxa"/>
            <w:tcBorders>
              <w:left w:val="nil"/>
            </w:tcBorders>
          </w:tcPr>
          <w:p w:rsidR="001A7779" w:rsidRDefault="001A7779">
            <w:pPr>
              <w:tabs>
                <w:tab w:val="left" w:pos="630"/>
              </w:tabs>
              <w:spacing w:before="60" w:after="60" w:line="360" w:lineRule="exact"/>
              <w:rPr>
                <w:sz w:val="18"/>
              </w:rPr>
            </w:pPr>
            <w:r>
              <w:rPr>
                <w:sz w:val="18"/>
              </w:rPr>
              <w:t>%</w:t>
            </w:r>
          </w:p>
        </w:tc>
      </w:tr>
      <w:tr w:rsidR="001A7779">
        <w:tblPrEx>
          <w:tblCellMar>
            <w:top w:w="0" w:type="dxa"/>
            <w:bottom w:w="0" w:type="dxa"/>
          </w:tblCellMar>
        </w:tblPrEx>
        <w:trPr>
          <w:cantSplit/>
        </w:trPr>
        <w:tc>
          <w:tcPr>
            <w:tcW w:w="840" w:type="dxa"/>
          </w:tcPr>
          <w:p w:rsidR="001A7779" w:rsidRDefault="001A7779">
            <w:pPr>
              <w:tabs>
                <w:tab w:val="left" w:pos="630"/>
              </w:tabs>
              <w:spacing w:before="60" w:after="60" w:line="360" w:lineRule="exact"/>
              <w:rPr>
                <w:sz w:val="18"/>
              </w:rPr>
            </w:pPr>
            <w:r>
              <w:rPr>
                <w:sz w:val="18"/>
              </w:rPr>
              <w:t>2001</w:t>
            </w:r>
          </w:p>
        </w:tc>
        <w:tc>
          <w:tcPr>
            <w:tcW w:w="1320" w:type="dxa"/>
          </w:tcPr>
          <w:p w:rsidR="001A7779" w:rsidRDefault="001A7779">
            <w:pPr>
              <w:pStyle w:val="Header"/>
              <w:pBdr>
                <w:bottom w:val="none" w:sz="0" w:space="0" w:color="auto"/>
              </w:pBdr>
              <w:tabs>
                <w:tab w:val="clear" w:pos="4320"/>
                <w:tab w:val="clear" w:pos="8640"/>
                <w:tab w:val="left" w:pos="630"/>
              </w:tabs>
              <w:spacing w:before="60" w:after="60" w:line="360" w:lineRule="exact"/>
            </w:pPr>
            <w:r>
              <w:t>731 550</w:t>
            </w:r>
          </w:p>
        </w:tc>
        <w:tc>
          <w:tcPr>
            <w:tcW w:w="1440" w:type="dxa"/>
          </w:tcPr>
          <w:p w:rsidR="001A7779" w:rsidRDefault="001A7779">
            <w:pPr>
              <w:tabs>
                <w:tab w:val="left" w:pos="630"/>
              </w:tabs>
              <w:spacing w:before="60" w:after="60" w:line="360" w:lineRule="exact"/>
              <w:jc w:val="center"/>
              <w:rPr>
                <w:sz w:val="18"/>
              </w:rPr>
            </w:pPr>
            <w:r>
              <w:rPr>
                <w:sz w:val="18"/>
              </w:rPr>
              <w:t>319 379</w:t>
            </w:r>
          </w:p>
        </w:tc>
        <w:tc>
          <w:tcPr>
            <w:tcW w:w="1040" w:type="dxa"/>
          </w:tcPr>
          <w:p w:rsidR="001A7779" w:rsidRDefault="001A7779">
            <w:pPr>
              <w:tabs>
                <w:tab w:val="left" w:pos="630"/>
              </w:tabs>
              <w:spacing w:before="60" w:after="60" w:line="360" w:lineRule="exact"/>
              <w:jc w:val="center"/>
              <w:rPr>
                <w:sz w:val="18"/>
              </w:rPr>
            </w:pPr>
            <w:r>
              <w:rPr>
                <w:sz w:val="18"/>
              </w:rPr>
              <w:t>169 339</w:t>
            </w:r>
          </w:p>
        </w:tc>
        <w:tc>
          <w:tcPr>
            <w:tcW w:w="1040" w:type="dxa"/>
          </w:tcPr>
          <w:p w:rsidR="001A7779" w:rsidRDefault="001A7779">
            <w:pPr>
              <w:tabs>
                <w:tab w:val="left" w:pos="630"/>
              </w:tabs>
              <w:spacing w:before="60" w:after="60" w:line="360" w:lineRule="exact"/>
              <w:jc w:val="center"/>
              <w:rPr>
                <w:sz w:val="18"/>
              </w:rPr>
            </w:pPr>
            <w:r>
              <w:rPr>
                <w:sz w:val="18"/>
              </w:rPr>
              <w:t>53.02</w:t>
            </w:r>
          </w:p>
        </w:tc>
        <w:tc>
          <w:tcPr>
            <w:tcW w:w="1040" w:type="dxa"/>
          </w:tcPr>
          <w:p w:rsidR="001A7779" w:rsidRDefault="001A7779">
            <w:pPr>
              <w:tabs>
                <w:tab w:val="left" w:pos="630"/>
              </w:tabs>
              <w:spacing w:before="60" w:after="60" w:line="360" w:lineRule="exact"/>
              <w:jc w:val="center"/>
              <w:rPr>
                <w:sz w:val="18"/>
              </w:rPr>
            </w:pPr>
            <w:r>
              <w:rPr>
                <w:sz w:val="18"/>
              </w:rPr>
              <w:t>40</w:t>
            </w:r>
            <w:r>
              <w:rPr>
                <w:rFonts w:hint="eastAsia"/>
                <w:sz w:val="18"/>
              </w:rPr>
              <w:t xml:space="preserve"> </w:t>
            </w:r>
            <w:r>
              <w:rPr>
                <w:sz w:val="18"/>
              </w:rPr>
              <w:t>946</w:t>
            </w:r>
          </w:p>
        </w:tc>
        <w:tc>
          <w:tcPr>
            <w:tcW w:w="1040" w:type="dxa"/>
          </w:tcPr>
          <w:p w:rsidR="001A7779" w:rsidRDefault="001A7779">
            <w:pPr>
              <w:tabs>
                <w:tab w:val="left" w:pos="630"/>
              </w:tabs>
              <w:spacing w:before="60" w:after="60" w:line="360" w:lineRule="exact"/>
              <w:jc w:val="center"/>
              <w:rPr>
                <w:sz w:val="18"/>
              </w:rPr>
            </w:pPr>
            <w:r>
              <w:rPr>
                <w:sz w:val="18"/>
              </w:rPr>
              <w:t>5.60</w:t>
            </w:r>
          </w:p>
        </w:tc>
        <w:tc>
          <w:tcPr>
            <w:tcW w:w="1040" w:type="dxa"/>
          </w:tcPr>
          <w:p w:rsidR="001A7779" w:rsidRDefault="001A7779">
            <w:pPr>
              <w:tabs>
                <w:tab w:val="left" w:pos="630"/>
              </w:tabs>
              <w:spacing w:before="60" w:after="60" w:line="360" w:lineRule="exact"/>
              <w:jc w:val="center"/>
              <w:rPr>
                <w:sz w:val="18"/>
              </w:rPr>
            </w:pPr>
            <w:r>
              <w:rPr>
                <w:sz w:val="18"/>
              </w:rPr>
              <w:t>24</w:t>
            </w:r>
            <w:r>
              <w:rPr>
                <w:rFonts w:hint="eastAsia"/>
                <w:sz w:val="18"/>
              </w:rPr>
              <w:t xml:space="preserve"> </w:t>
            </w:r>
            <w:r>
              <w:rPr>
                <w:sz w:val="18"/>
              </w:rPr>
              <w:t>301</w:t>
            </w:r>
          </w:p>
        </w:tc>
        <w:tc>
          <w:tcPr>
            <w:tcW w:w="1040" w:type="dxa"/>
          </w:tcPr>
          <w:p w:rsidR="001A7779" w:rsidRDefault="001A7779">
            <w:pPr>
              <w:tabs>
                <w:tab w:val="left" w:pos="630"/>
              </w:tabs>
              <w:spacing w:before="60" w:after="60" w:line="360" w:lineRule="exact"/>
              <w:jc w:val="center"/>
              <w:rPr>
                <w:sz w:val="18"/>
              </w:rPr>
            </w:pPr>
            <w:r>
              <w:rPr>
                <w:sz w:val="18"/>
              </w:rPr>
              <w:t>3.32</w:t>
            </w:r>
          </w:p>
        </w:tc>
      </w:tr>
      <w:tr w:rsidR="001A7779">
        <w:tblPrEx>
          <w:tblCellMar>
            <w:top w:w="0" w:type="dxa"/>
            <w:bottom w:w="0" w:type="dxa"/>
          </w:tblCellMar>
        </w:tblPrEx>
        <w:trPr>
          <w:cantSplit/>
        </w:trPr>
        <w:tc>
          <w:tcPr>
            <w:tcW w:w="840" w:type="dxa"/>
          </w:tcPr>
          <w:p w:rsidR="001A7779" w:rsidRDefault="001A7779">
            <w:pPr>
              <w:tabs>
                <w:tab w:val="left" w:pos="630"/>
              </w:tabs>
              <w:spacing w:before="60" w:after="60" w:line="360" w:lineRule="exact"/>
              <w:rPr>
                <w:sz w:val="18"/>
              </w:rPr>
            </w:pPr>
            <w:r>
              <w:rPr>
                <w:sz w:val="18"/>
              </w:rPr>
              <w:t>2002</w:t>
            </w:r>
          </w:p>
        </w:tc>
        <w:tc>
          <w:tcPr>
            <w:tcW w:w="1320" w:type="dxa"/>
          </w:tcPr>
          <w:p w:rsidR="001A7779" w:rsidRDefault="001A7779">
            <w:pPr>
              <w:tabs>
                <w:tab w:val="left" w:pos="630"/>
              </w:tabs>
              <w:spacing w:before="60" w:after="60" w:line="360" w:lineRule="exact"/>
              <w:jc w:val="center"/>
              <w:rPr>
                <w:sz w:val="18"/>
              </w:rPr>
            </w:pPr>
            <w:r>
              <w:rPr>
                <w:sz w:val="18"/>
              </w:rPr>
              <w:t>824 677</w:t>
            </w:r>
          </w:p>
        </w:tc>
        <w:tc>
          <w:tcPr>
            <w:tcW w:w="1440" w:type="dxa"/>
          </w:tcPr>
          <w:p w:rsidR="001A7779" w:rsidRDefault="001A7779">
            <w:pPr>
              <w:tabs>
                <w:tab w:val="left" w:pos="630"/>
              </w:tabs>
              <w:spacing w:before="60" w:after="60" w:line="360" w:lineRule="exact"/>
              <w:jc w:val="center"/>
              <w:rPr>
                <w:sz w:val="18"/>
              </w:rPr>
            </w:pPr>
            <w:r>
              <w:rPr>
                <w:sz w:val="18"/>
              </w:rPr>
              <w:t>405 344</w:t>
            </w:r>
          </w:p>
        </w:tc>
        <w:tc>
          <w:tcPr>
            <w:tcW w:w="1040" w:type="dxa"/>
          </w:tcPr>
          <w:p w:rsidR="001A7779" w:rsidRDefault="001A7779">
            <w:pPr>
              <w:tabs>
                <w:tab w:val="left" w:pos="630"/>
              </w:tabs>
              <w:spacing w:before="60" w:after="60" w:line="360" w:lineRule="exact"/>
              <w:jc w:val="center"/>
              <w:rPr>
                <w:sz w:val="18"/>
              </w:rPr>
            </w:pPr>
            <w:r>
              <w:rPr>
                <w:sz w:val="18"/>
              </w:rPr>
              <w:t>230 018</w:t>
            </w:r>
          </w:p>
        </w:tc>
        <w:tc>
          <w:tcPr>
            <w:tcW w:w="1040" w:type="dxa"/>
          </w:tcPr>
          <w:p w:rsidR="001A7779" w:rsidRDefault="001A7779">
            <w:pPr>
              <w:tabs>
                <w:tab w:val="left" w:pos="630"/>
              </w:tabs>
              <w:spacing w:before="60" w:after="60" w:line="360" w:lineRule="exact"/>
              <w:jc w:val="center"/>
              <w:rPr>
                <w:sz w:val="18"/>
              </w:rPr>
            </w:pPr>
            <w:r>
              <w:rPr>
                <w:sz w:val="18"/>
              </w:rPr>
              <w:t>56.75</w:t>
            </w:r>
          </w:p>
        </w:tc>
        <w:tc>
          <w:tcPr>
            <w:tcW w:w="1040" w:type="dxa"/>
          </w:tcPr>
          <w:p w:rsidR="001A7779" w:rsidRDefault="001A7779">
            <w:pPr>
              <w:tabs>
                <w:tab w:val="left" w:pos="630"/>
              </w:tabs>
              <w:spacing w:before="60" w:after="60" w:line="360" w:lineRule="exact"/>
              <w:jc w:val="center"/>
              <w:rPr>
                <w:sz w:val="18"/>
              </w:rPr>
            </w:pPr>
            <w:r>
              <w:rPr>
                <w:sz w:val="18"/>
              </w:rPr>
              <w:t>40</w:t>
            </w:r>
            <w:r>
              <w:rPr>
                <w:rFonts w:hint="eastAsia"/>
                <w:sz w:val="18"/>
              </w:rPr>
              <w:t xml:space="preserve"> </w:t>
            </w:r>
            <w:r>
              <w:rPr>
                <w:sz w:val="18"/>
              </w:rPr>
              <w:t>920</w:t>
            </w:r>
          </w:p>
        </w:tc>
        <w:tc>
          <w:tcPr>
            <w:tcW w:w="1040" w:type="dxa"/>
          </w:tcPr>
          <w:p w:rsidR="001A7779" w:rsidRDefault="001A7779">
            <w:pPr>
              <w:tabs>
                <w:tab w:val="left" w:pos="630"/>
              </w:tabs>
              <w:spacing w:before="60" w:after="60" w:line="360" w:lineRule="exact"/>
              <w:jc w:val="center"/>
              <w:rPr>
                <w:sz w:val="18"/>
              </w:rPr>
            </w:pPr>
            <w:r>
              <w:rPr>
                <w:sz w:val="18"/>
              </w:rPr>
              <w:t>4.96</w:t>
            </w:r>
          </w:p>
        </w:tc>
        <w:tc>
          <w:tcPr>
            <w:tcW w:w="1040" w:type="dxa"/>
          </w:tcPr>
          <w:p w:rsidR="001A7779" w:rsidRDefault="001A7779">
            <w:pPr>
              <w:tabs>
                <w:tab w:val="left" w:pos="630"/>
              </w:tabs>
              <w:spacing w:before="60" w:after="60" w:line="360" w:lineRule="exact"/>
              <w:jc w:val="center"/>
              <w:rPr>
                <w:sz w:val="18"/>
              </w:rPr>
            </w:pPr>
            <w:r>
              <w:rPr>
                <w:sz w:val="18"/>
              </w:rPr>
              <w:t>26</w:t>
            </w:r>
            <w:r>
              <w:rPr>
                <w:rFonts w:hint="eastAsia"/>
                <w:sz w:val="18"/>
              </w:rPr>
              <w:t xml:space="preserve"> </w:t>
            </w:r>
            <w:r>
              <w:rPr>
                <w:sz w:val="18"/>
              </w:rPr>
              <w:t>508</w:t>
            </w:r>
          </w:p>
        </w:tc>
        <w:tc>
          <w:tcPr>
            <w:tcW w:w="1040" w:type="dxa"/>
          </w:tcPr>
          <w:p w:rsidR="001A7779" w:rsidRDefault="001A7779">
            <w:pPr>
              <w:tabs>
                <w:tab w:val="left" w:pos="630"/>
              </w:tabs>
              <w:spacing w:before="60" w:after="60" w:line="360" w:lineRule="exact"/>
              <w:jc w:val="center"/>
              <w:rPr>
                <w:sz w:val="18"/>
              </w:rPr>
            </w:pPr>
            <w:r>
              <w:rPr>
                <w:sz w:val="18"/>
              </w:rPr>
              <w:t>3.21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年《卫生统计年鉴》，公共卫生研究所。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43</w:t>
      </w:r>
      <w:r>
        <w:rPr>
          <w:rFonts w:ascii="SimHei" w:eastAsia="SimHei" w:hint="eastAsia"/>
          <w:color w:val="FF0000"/>
        </w:rPr>
        <w:t>：2002年根据国际疾病分类</w:t>
      </w:r>
      <w:r>
        <w:rPr>
          <w:rFonts w:ascii="SimHei" w:eastAsia="SimHei"/>
          <w:color w:val="FF0000"/>
        </w:rPr>
        <w:t>-</w:t>
      </w:r>
      <w:r>
        <w:rPr>
          <w:rFonts w:ascii="SimHei" w:eastAsia="SimHei" w:hint="eastAsia"/>
          <w:color w:val="FF0000"/>
        </w:rPr>
        <w:t>10按性别分列的最常见疾病和其他健康问题</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1440"/>
        <w:gridCol w:w="1200"/>
        <w:gridCol w:w="1360"/>
        <w:gridCol w:w="1280"/>
        <w:gridCol w:w="1440"/>
      </w:tblGrid>
      <w:tr w:rsidR="001A7779">
        <w:tblPrEx>
          <w:tblCellMar>
            <w:top w:w="0" w:type="dxa"/>
            <w:bottom w:w="0" w:type="dxa"/>
          </w:tblCellMar>
        </w:tblPrEx>
        <w:trPr>
          <w:cantSplit/>
          <w:tblHeader/>
        </w:trPr>
        <w:tc>
          <w:tcPr>
            <w:tcW w:w="312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疾病和其他健康问题</w:t>
            </w:r>
          </w:p>
        </w:tc>
        <w:tc>
          <w:tcPr>
            <w:tcW w:w="2640" w:type="dxa"/>
            <w:gridSpan w:val="2"/>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共计</w:t>
            </w:r>
          </w:p>
        </w:tc>
        <w:tc>
          <w:tcPr>
            <w:tcW w:w="4080" w:type="dxa"/>
            <w:gridSpan w:val="3"/>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女</w:t>
            </w:r>
          </w:p>
        </w:tc>
      </w:tr>
      <w:tr w:rsidR="001A7779">
        <w:tblPrEx>
          <w:tblCellMar>
            <w:top w:w="0" w:type="dxa"/>
            <w:bottom w:w="0" w:type="dxa"/>
          </w:tblCellMar>
        </w:tblPrEx>
        <w:trPr>
          <w:cantSplit/>
          <w:tblHeader/>
        </w:trPr>
        <w:tc>
          <w:tcPr>
            <w:tcW w:w="312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p>
        </w:tc>
        <w:tc>
          <w:tcPr>
            <w:tcW w:w="144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共计</w:t>
            </w:r>
          </w:p>
        </w:tc>
        <w:tc>
          <w:tcPr>
            <w:tcW w:w="120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color w:val="FF0000"/>
                <w:kern w:val="0"/>
                <w:szCs w:val="20"/>
              </w:rPr>
              <w:t xml:space="preserve">% </w:t>
            </w:r>
          </w:p>
        </w:tc>
        <w:tc>
          <w:tcPr>
            <w:tcW w:w="136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共计</w:t>
            </w:r>
          </w:p>
        </w:tc>
        <w:tc>
          <w:tcPr>
            <w:tcW w:w="128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受影响者中妇女所占比例</w:t>
            </w:r>
            <w:r>
              <w:rPr>
                <w:rFonts w:eastAsia="SimHei"/>
                <w:color w:val="FF0000"/>
                <w:kern w:val="0"/>
                <w:szCs w:val="20"/>
              </w:rPr>
              <w:t xml:space="preserve">% </w:t>
            </w:r>
          </w:p>
        </w:tc>
        <w:tc>
          <w:tcPr>
            <w:tcW w:w="1440" w:type="dxa"/>
          </w:tcPr>
          <w:p w:rsidR="001A7779" w:rsidRDefault="001A7779">
            <w:pPr>
              <w:pStyle w:val="a3"/>
              <w:tabs>
                <w:tab w:val="left" w:pos="630"/>
              </w:tabs>
              <w:adjustRightInd w:val="0"/>
              <w:spacing w:before="60" w:after="60" w:line="320" w:lineRule="exact"/>
              <w:jc w:val="center"/>
              <w:textAlignment w:val="baseline"/>
              <w:rPr>
                <w:rFonts w:eastAsia="SimHei"/>
                <w:color w:val="FF0000"/>
                <w:kern w:val="0"/>
                <w:szCs w:val="20"/>
              </w:rPr>
            </w:pPr>
            <w:r>
              <w:rPr>
                <w:rFonts w:eastAsia="SimHei" w:hint="eastAsia"/>
                <w:color w:val="FF0000"/>
                <w:kern w:val="0"/>
                <w:szCs w:val="20"/>
              </w:rPr>
              <w:t>按诊断分列的妇女所占比例</w:t>
            </w:r>
            <w:r>
              <w:rPr>
                <w:rFonts w:eastAsia="SimHei"/>
                <w:color w:val="FF0000"/>
                <w:kern w:val="0"/>
                <w:szCs w:val="20"/>
              </w:rPr>
              <w:t>%</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共计</w:t>
            </w:r>
          </w:p>
        </w:tc>
        <w:tc>
          <w:tcPr>
            <w:tcW w:w="1440"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138" w:right="31680"/>
              <w:jc w:val="right"/>
            </w:pPr>
            <w:r>
              <w:t>4 542 688</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100.0</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2 738 932</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100.0</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60.3</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传染病和寄生虫病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309 998</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6.8</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172 540</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6.3</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55.7</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肿瘤</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65 054</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1.4</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41 726</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1.5</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64.1</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血液及造血器官疾病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18 660</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0.4</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14 601</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0.5</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78.2</w:t>
            </w:r>
          </w:p>
        </w:tc>
      </w:tr>
      <w:tr w:rsidR="001A7779">
        <w:tblPrEx>
          <w:tblCellMar>
            <w:top w:w="0" w:type="dxa"/>
            <w:bottom w:w="0" w:type="dxa"/>
          </w:tblCellMar>
        </w:tblPrEx>
        <w:trPr>
          <w:cantSplit/>
          <w:trHeight w:val="527"/>
        </w:trPr>
        <w:tc>
          <w:tcPr>
            <w:tcW w:w="3120" w:type="dxa"/>
          </w:tcPr>
          <w:p w:rsidR="001A7779" w:rsidRDefault="001A7779">
            <w:pPr>
              <w:tabs>
                <w:tab w:val="left" w:pos="630"/>
              </w:tabs>
              <w:spacing w:before="60" w:after="60" w:line="360" w:lineRule="exact"/>
              <w:rPr>
                <w:sz w:val="18"/>
              </w:rPr>
            </w:pPr>
            <w:r>
              <w:rPr>
                <w:sz w:val="18"/>
              </w:rPr>
              <w:t>内分泌</w:t>
            </w:r>
            <w:r>
              <w:rPr>
                <w:rFonts w:hint="eastAsia"/>
                <w:sz w:val="18"/>
              </w:rPr>
              <w:t>、</w:t>
            </w:r>
            <w:r>
              <w:rPr>
                <w:sz w:val="18"/>
              </w:rPr>
              <w:t>营养和代谢疾病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88 768</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2.0</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52 215</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1.9</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58.8</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精神</w:t>
            </w:r>
            <w:r>
              <w:rPr>
                <w:sz w:val="18"/>
              </w:rPr>
              <w:t>和行为</w:t>
            </w:r>
            <w:r>
              <w:rPr>
                <w:rFonts w:hint="eastAsia"/>
                <w:sz w:val="18"/>
              </w:rPr>
              <w:t>障碍</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90 094</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2.0</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55 624</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2.0</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61.7</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神经系统疾病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38 905</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0.9</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22 930</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0.8</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58.9</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眼底疾病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119 513</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2.6</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67 674</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2.5</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56.6</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耳部和乳突部疾病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171 111</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3.8</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88 228</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3.2</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51.6</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循环系统疾病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301 893</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6.6</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175 714</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6.4</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58.2</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呼吸系统疾病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804 571</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17.7</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436 720</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15.9</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54.3</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消化系统疾病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190 496</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4.2</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102 885</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3.8</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54.0</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皮肤和皮下组织疾病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272 240</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6.0</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159 849</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5.8</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58.7</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sz w:val="18"/>
              </w:rPr>
              <w:t>肌肉骨骼系统</w:t>
            </w:r>
            <w:r>
              <w:rPr>
                <w:rFonts w:hint="eastAsia"/>
                <w:sz w:val="18"/>
              </w:rPr>
              <w:t>和</w:t>
            </w:r>
            <w:r>
              <w:rPr>
                <w:sz w:val="18"/>
              </w:rPr>
              <w:t>结缔组织疾病</w:t>
            </w:r>
            <w:r>
              <w:rPr>
                <w:sz w:val="18"/>
              </w:rPr>
              <w:t xml:space="preserve"> </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422 137</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9.3</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247 531</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9.0</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58.6</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泌尿系统疾病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303 100</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6.7</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255 927</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9.3</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84.4</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妊娠、分娩和产后期疾病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20 699</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0.5</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20 699</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0.8</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100.0</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起源于围产期的病症</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2 908</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0.06</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1 442</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0.1</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49.6</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sz w:val="18"/>
              </w:rPr>
              <w:t>先天性</w:t>
            </w:r>
            <w:r>
              <w:rPr>
                <w:rFonts w:hint="eastAsia"/>
                <w:sz w:val="18"/>
              </w:rPr>
              <w:t>缺陷、</w:t>
            </w:r>
            <w:r>
              <w:rPr>
                <w:sz w:val="18"/>
              </w:rPr>
              <w:t>畸形和染色体</w:t>
            </w:r>
            <w:r>
              <w:rPr>
                <w:rFonts w:hint="eastAsia"/>
                <w:sz w:val="18"/>
              </w:rPr>
              <w:t>畸变</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5 769</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0.1</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2 997</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0.1</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52.0</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未分</w:t>
            </w:r>
            <w:r>
              <w:rPr>
                <w:sz w:val="18"/>
              </w:rPr>
              <w:t>类</w:t>
            </w:r>
            <w:r>
              <w:rPr>
                <w:rFonts w:hint="eastAsia"/>
                <w:sz w:val="18"/>
              </w:rPr>
              <w:t>的病</w:t>
            </w:r>
            <w:r>
              <w:rPr>
                <w:sz w:val="18"/>
              </w:rPr>
              <w:t>症</w:t>
            </w:r>
            <w:r>
              <w:rPr>
                <w:rFonts w:hint="eastAsia"/>
                <w:sz w:val="18"/>
              </w:rPr>
              <w:t>、病态</w:t>
            </w:r>
            <w:r>
              <w:rPr>
                <w:sz w:val="18"/>
              </w:rPr>
              <w:t>和</w:t>
            </w:r>
            <w:r>
              <w:rPr>
                <w:rFonts w:hint="eastAsia"/>
                <w:sz w:val="18"/>
              </w:rPr>
              <w:t>病情</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293 287</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6.5</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182 598</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6.7</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62.3</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影响健康状况和获取保健服务的因素</w:t>
            </w:r>
          </w:p>
        </w:tc>
        <w:tc>
          <w:tcPr>
            <w:tcW w:w="1440" w:type="dxa"/>
          </w:tcPr>
          <w:p w:rsidR="001A7779" w:rsidRDefault="001A7779" w:rsidP="00B359E9">
            <w:pPr>
              <w:tabs>
                <w:tab w:val="left" w:pos="630"/>
              </w:tabs>
              <w:spacing w:before="60" w:after="60" w:line="360" w:lineRule="exact"/>
              <w:ind w:rightChars="138" w:right="31680"/>
              <w:jc w:val="right"/>
              <w:rPr>
                <w:sz w:val="18"/>
              </w:rPr>
            </w:pPr>
            <w:r>
              <w:rPr>
                <w:sz w:val="18"/>
              </w:rPr>
              <w:t>1 023 485</w:t>
            </w:r>
          </w:p>
        </w:tc>
        <w:tc>
          <w:tcPr>
            <w:tcW w:w="1200" w:type="dxa"/>
          </w:tcPr>
          <w:p w:rsidR="001A7779" w:rsidRDefault="001A7779" w:rsidP="00B359E9">
            <w:pPr>
              <w:tabs>
                <w:tab w:val="left" w:pos="630"/>
              </w:tabs>
              <w:spacing w:before="60" w:after="60" w:line="360" w:lineRule="exact"/>
              <w:ind w:rightChars="114" w:right="31680"/>
              <w:jc w:val="right"/>
              <w:rPr>
                <w:sz w:val="18"/>
              </w:rPr>
            </w:pPr>
            <w:r>
              <w:rPr>
                <w:sz w:val="18"/>
              </w:rPr>
              <w:t>22.5</w:t>
            </w:r>
          </w:p>
        </w:tc>
        <w:tc>
          <w:tcPr>
            <w:tcW w:w="1360" w:type="dxa"/>
          </w:tcPr>
          <w:p w:rsidR="001A7779" w:rsidRDefault="001A7779" w:rsidP="00B359E9">
            <w:pPr>
              <w:tabs>
                <w:tab w:val="left" w:pos="630"/>
              </w:tabs>
              <w:spacing w:before="60" w:after="60" w:line="360" w:lineRule="exact"/>
              <w:ind w:rightChars="138" w:right="31680"/>
              <w:jc w:val="right"/>
              <w:rPr>
                <w:sz w:val="18"/>
              </w:rPr>
            </w:pPr>
            <w:r>
              <w:rPr>
                <w:sz w:val="18"/>
              </w:rPr>
              <w:t>637 032</w:t>
            </w:r>
          </w:p>
        </w:tc>
        <w:tc>
          <w:tcPr>
            <w:tcW w:w="1280" w:type="dxa"/>
          </w:tcPr>
          <w:p w:rsidR="001A7779" w:rsidRDefault="001A7779" w:rsidP="00B359E9">
            <w:pPr>
              <w:tabs>
                <w:tab w:val="left" w:pos="630"/>
              </w:tabs>
              <w:spacing w:before="60" w:after="60" w:line="360" w:lineRule="exact"/>
              <w:ind w:rightChars="114" w:right="31680"/>
              <w:jc w:val="right"/>
              <w:rPr>
                <w:sz w:val="18"/>
              </w:rPr>
            </w:pPr>
            <w:r>
              <w:rPr>
                <w:sz w:val="18"/>
              </w:rPr>
              <w:t>23.3</w:t>
            </w:r>
          </w:p>
        </w:tc>
        <w:tc>
          <w:tcPr>
            <w:tcW w:w="1440" w:type="dxa"/>
          </w:tcPr>
          <w:p w:rsidR="001A7779" w:rsidRDefault="001A7779" w:rsidP="00B359E9">
            <w:pPr>
              <w:tabs>
                <w:tab w:val="left" w:pos="630"/>
              </w:tabs>
              <w:spacing w:before="60" w:after="60" w:line="360" w:lineRule="exact"/>
              <w:ind w:rightChars="114" w:right="31680"/>
              <w:jc w:val="right"/>
              <w:rPr>
                <w:sz w:val="18"/>
              </w:rPr>
            </w:pPr>
            <w:r>
              <w:rPr>
                <w:sz w:val="18"/>
              </w:rPr>
              <w:t>62.2</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2002</w:t>
      </w:r>
      <w:r>
        <w:rPr>
          <w:rFonts w:hint="eastAsia"/>
          <w:color w:val="000000"/>
          <w:sz w:val="18"/>
        </w:rPr>
        <w:t>年《卫生统计年鉴》，公共卫生研究所。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44</w:t>
      </w:r>
      <w:r>
        <w:rPr>
          <w:rFonts w:ascii="SimHei" w:eastAsia="SimHei" w:hint="eastAsia"/>
          <w:color w:val="FF0000"/>
        </w:rPr>
        <w:t>：</w:t>
      </w:r>
      <w:r>
        <w:rPr>
          <w:rFonts w:ascii="SimHei" w:eastAsia="SimHei"/>
          <w:color w:val="FF0000"/>
        </w:rPr>
        <w:t>2005</w:t>
      </w:r>
      <w:r>
        <w:rPr>
          <w:rFonts w:ascii="SimHei" w:eastAsia="SimHei" w:hint="eastAsia"/>
          <w:color w:val="FF0000"/>
        </w:rPr>
        <w:t>年6月30日按性别和年龄组分列的艾滋病报告病例总数</w:t>
      </w:r>
    </w:p>
    <w:tbl>
      <w:tblPr>
        <w:tblW w:w="9840" w:type="dxa"/>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560"/>
        <w:gridCol w:w="1380"/>
        <w:gridCol w:w="1380"/>
        <w:gridCol w:w="1380"/>
        <w:gridCol w:w="1380"/>
        <w:gridCol w:w="1380"/>
        <w:gridCol w:w="1380"/>
      </w:tblGrid>
      <w:tr w:rsidR="001A7779">
        <w:tblPrEx>
          <w:tblCellMar>
            <w:top w:w="0" w:type="dxa"/>
            <w:bottom w:w="0" w:type="dxa"/>
          </w:tblCellMar>
        </w:tblPrEx>
        <w:trPr>
          <w:cantSplit/>
          <w:tblHeader/>
        </w:trPr>
        <w:tc>
          <w:tcPr>
            <w:tcW w:w="1560" w:type="dxa"/>
            <w:vMerge w:val="restart"/>
            <w:tcBorders>
              <w:top w:val="single" w:sz="6" w:space="0" w:color="auto"/>
              <w:left w:val="single" w:sz="6" w:space="0" w:color="auto"/>
              <w:bottom w:val="nil"/>
            </w:tcBorders>
            <w:vAlign w:val="center"/>
          </w:tcPr>
          <w:p w:rsidR="001A7779" w:rsidRDefault="001A7779">
            <w:pPr>
              <w:tabs>
                <w:tab w:val="left" w:pos="630"/>
              </w:tabs>
              <w:spacing w:before="60" w:after="60" w:line="360" w:lineRule="exact"/>
              <w:rPr>
                <w:rFonts w:ascii="SimHei" w:eastAsia="SimHei"/>
                <w:color w:val="FF0000"/>
                <w:sz w:val="18"/>
              </w:rPr>
            </w:pPr>
            <w:r>
              <w:rPr>
                <w:rFonts w:ascii="SimHei" w:eastAsia="SimHei"/>
                <w:color w:val="FF0000"/>
                <w:sz w:val="18"/>
              </w:rPr>
              <w:br w:type="page"/>
            </w:r>
            <w:r>
              <w:rPr>
                <w:rFonts w:ascii="SimHei" w:eastAsia="SimHei" w:hint="eastAsia"/>
                <w:color w:val="FF0000"/>
                <w:sz w:val="18"/>
              </w:rPr>
              <w:t>年龄组</w:t>
            </w:r>
          </w:p>
        </w:tc>
        <w:tc>
          <w:tcPr>
            <w:tcW w:w="2760" w:type="dxa"/>
            <w:gridSpan w:val="2"/>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男</w:t>
            </w:r>
          </w:p>
        </w:tc>
        <w:tc>
          <w:tcPr>
            <w:tcW w:w="2760" w:type="dxa"/>
            <w:gridSpan w:val="2"/>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女</w:t>
            </w:r>
          </w:p>
        </w:tc>
        <w:tc>
          <w:tcPr>
            <w:tcW w:w="2760" w:type="dxa"/>
            <w:gridSpan w:val="2"/>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共计</w:t>
            </w:r>
          </w:p>
        </w:tc>
      </w:tr>
      <w:tr w:rsidR="001A7779">
        <w:tblPrEx>
          <w:tblCellMar>
            <w:top w:w="0" w:type="dxa"/>
            <w:bottom w:w="0" w:type="dxa"/>
          </w:tblCellMar>
        </w:tblPrEx>
        <w:trPr>
          <w:cantSplit/>
          <w:tblHeader/>
        </w:trPr>
        <w:tc>
          <w:tcPr>
            <w:tcW w:w="1560" w:type="dxa"/>
            <w:vMerge/>
            <w:tcBorders>
              <w:top w:val="nil"/>
              <w:left w:val="single" w:sz="6" w:space="0" w:color="auto"/>
              <w:bottom w:val="single" w:sz="6" w:space="0" w:color="auto"/>
            </w:tcBorders>
          </w:tcPr>
          <w:p w:rsidR="001A7779" w:rsidRDefault="001A7779">
            <w:pPr>
              <w:tabs>
                <w:tab w:val="left" w:pos="630"/>
              </w:tabs>
              <w:spacing w:before="60" w:after="60" w:line="360" w:lineRule="exact"/>
              <w:rPr>
                <w:rFonts w:ascii="SimHei" w:eastAsia="SimHei"/>
                <w:color w:val="FF0000"/>
                <w:sz w:val="18"/>
              </w:rPr>
            </w:pP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人数</w:t>
            </w: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w:t>
            </w: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人数</w:t>
            </w: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w:t>
            </w: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人数</w:t>
            </w:r>
          </w:p>
        </w:tc>
        <w:tc>
          <w:tcPr>
            <w:tcW w:w="138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rFonts w:hint="eastAsia"/>
                <w:sz w:val="18"/>
              </w:rPr>
              <w:t>共计</w:t>
            </w:r>
          </w:p>
        </w:tc>
        <w:tc>
          <w:tcPr>
            <w:tcW w:w="1380" w:type="dxa"/>
          </w:tcPr>
          <w:p w:rsidR="001A7779" w:rsidRDefault="001A7779">
            <w:pPr>
              <w:tabs>
                <w:tab w:val="left" w:pos="630"/>
              </w:tabs>
              <w:spacing w:before="60" w:after="60" w:line="360" w:lineRule="exact"/>
              <w:jc w:val="center"/>
              <w:rPr>
                <w:sz w:val="18"/>
              </w:rPr>
            </w:pPr>
            <w:r>
              <w:rPr>
                <w:sz w:val="18"/>
              </w:rPr>
              <w:t>104</w:t>
            </w:r>
          </w:p>
        </w:tc>
        <w:tc>
          <w:tcPr>
            <w:tcW w:w="1380" w:type="dxa"/>
          </w:tcPr>
          <w:p w:rsidR="001A7779" w:rsidRDefault="001A7779">
            <w:pPr>
              <w:tabs>
                <w:tab w:val="left" w:pos="630"/>
              </w:tabs>
              <w:spacing w:before="60" w:after="60" w:line="360" w:lineRule="exact"/>
              <w:jc w:val="center"/>
              <w:rPr>
                <w:sz w:val="18"/>
              </w:rPr>
            </w:pPr>
            <w:r>
              <w:rPr>
                <w:sz w:val="18"/>
              </w:rPr>
              <w:t>100.0</w:t>
            </w:r>
          </w:p>
        </w:tc>
        <w:tc>
          <w:tcPr>
            <w:tcW w:w="1380" w:type="dxa"/>
          </w:tcPr>
          <w:p w:rsidR="001A7779" w:rsidRDefault="001A7779">
            <w:pPr>
              <w:tabs>
                <w:tab w:val="left" w:pos="630"/>
              </w:tabs>
              <w:spacing w:before="60" w:after="60" w:line="360" w:lineRule="exact"/>
              <w:jc w:val="center"/>
              <w:rPr>
                <w:sz w:val="18"/>
              </w:rPr>
            </w:pPr>
            <w:r>
              <w:rPr>
                <w:sz w:val="18"/>
              </w:rPr>
              <w:t>15</w:t>
            </w:r>
          </w:p>
        </w:tc>
        <w:tc>
          <w:tcPr>
            <w:tcW w:w="1380" w:type="dxa"/>
          </w:tcPr>
          <w:p w:rsidR="001A7779" w:rsidRDefault="001A7779">
            <w:pPr>
              <w:tabs>
                <w:tab w:val="left" w:pos="630"/>
              </w:tabs>
              <w:spacing w:before="60" w:after="60" w:line="360" w:lineRule="exact"/>
              <w:jc w:val="center"/>
              <w:rPr>
                <w:sz w:val="18"/>
              </w:rPr>
            </w:pPr>
            <w:r>
              <w:rPr>
                <w:sz w:val="18"/>
              </w:rPr>
              <w:t>100.0</w:t>
            </w:r>
          </w:p>
        </w:tc>
        <w:tc>
          <w:tcPr>
            <w:tcW w:w="1380" w:type="dxa"/>
          </w:tcPr>
          <w:p w:rsidR="001A7779" w:rsidRDefault="001A7779">
            <w:pPr>
              <w:tabs>
                <w:tab w:val="left" w:pos="630"/>
              </w:tabs>
              <w:spacing w:before="60" w:after="60" w:line="360" w:lineRule="exact"/>
              <w:jc w:val="center"/>
              <w:rPr>
                <w:sz w:val="18"/>
              </w:rPr>
            </w:pPr>
            <w:r>
              <w:rPr>
                <w:sz w:val="18"/>
              </w:rPr>
              <w:t>119</w:t>
            </w:r>
          </w:p>
        </w:tc>
        <w:tc>
          <w:tcPr>
            <w:tcW w:w="1380" w:type="dxa"/>
          </w:tcPr>
          <w:p w:rsidR="001A7779" w:rsidRDefault="001A7779">
            <w:pPr>
              <w:tabs>
                <w:tab w:val="left" w:pos="630"/>
              </w:tabs>
              <w:spacing w:before="60" w:after="60" w:line="360" w:lineRule="exact"/>
              <w:jc w:val="center"/>
              <w:rPr>
                <w:sz w:val="18"/>
              </w:rPr>
            </w:pPr>
            <w:r>
              <w:rPr>
                <w:sz w:val="18"/>
              </w:rPr>
              <w:t>100.0</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rFonts w:hint="eastAsia"/>
                <w:sz w:val="18"/>
              </w:rPr>
              <w:t>1</w:t>
            </w:r>
            <w:r>
              <w:rPr>
                <w:rFonts w:hint="eastAsia"/>
                <w:sz w:val="18"/>
              </w:rPr>
              <w:t>岁以下</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1.0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0.8</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 xml:space="preserve">1 – 4 </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 xml:space="preserve">5 – 9 </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6.7</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0.8</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 xml:space="preserve">10 – 12 </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 xml:space="preserve">13 – 14 </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15 – 19</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20 – 24</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3</w:t>
            </w:r>
          </w:p>
        </w:tc>
        <w:tc>
          <w:tcPr>
            <w:tcW w:w="1380" w:type="dxa"/>
          </w:tcPr>
          <w:p w:rsidR="001A7779" w:rsidRDefault="001A7779">
            <w:pPr>
              <w:tabs>
                <w:tab w:val="left" w:pos="630"/>
              </w:tabs>
              <w:spacing w:before="60" w:after="60" w:line="360" w:lineRule="exact"/>
              <w:jc w:val="center"/>
              <w:rPr>
                <w:sz w:val="18"/>
              </w:rPr>
            </w:pPr>
            <w:r>
              <w:rPr>
                <w:sz w:val="18"/>
              </w:rPr>
              <w:t>2.9</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3</w:t>
            </w:r>
          </w:p>
        </w:tc>
        <w:tc>
          <w:tcPr>
            <w:tcW w:w="1380" w:type="dxa"/>
          </w:tcPr>
          <w:p w:rsidR="001A7779" w:rsidRDefault="001A7779">
            <w:pPr>
              <w:tabs>
                <w:tab w:val="left" w:pos="630"/>
              </w:tabs>
              <w:spacing w:before="60" w:after="60" w:line="360" w:lineRule="exact"/>
              <w:jc w:val="center"/>
              <w:rPr>
                <w:sz w:val="18"/>
              </w:rPr>
            </w:pPr>
            <w:r>
              <w:rPr>
                <w:sz w:val="18"/>
              </w:rPr>
              <w:t>2.5</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25 – 29</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15</w:t>
            </w:r>
          </w:p>
        </w:tc>
        <w:tc>
          <w:tcPr>
            <w:tcW w:w="1380" w:type="dxa"/>
          </w:tcPr>
          <w:p w:rsidR="001A7779" w:rsidRDefault="001A7779">
            <w:pPr>
              <w:tabs>
                <w:tab w:val="left" w:pos="630"/>
              </w:tabs>
              <w:spacing w:before="60" w:after="60" w:line="360" w:lineRule="exact"/>
              <w:jc w:val="center"/>
              <w:rPr>
                <w:sz w:val="18"/>
              </w:rPr>
            </w:pPr>
            <w:r>
              <w:rPr>
                <w:sz w:val="18"/>
              </w:rPr>
              <w:t>14.4</w:t>
            </w:r>
          </w:p>
        </w:tc>
        <w:tc>
          <w:tcPr>
            <w:tcW w:w="1380" w:type="dxa"/>
          </w:tcPr>
          <w:p w:rsidR="001A7779" w:rsidRDefault="001A7779">
            <w:pPr>
              <w:tabs>
                <w:tab w:val="left" w:pos="630"/>
              </w:tabs>
              <w:spacing w:before="60" w:after="60" w:line="360" w:lineRule="exact"/>
              <w:jc w:val="center"/>
              <w:rPr>
                <w:sz w:val="18"/>
              </w:rPr>
            </w:pPr>
            <w:r>
              <w:rPr>
                <w:sz w:val="18"/>
              </w:rPr>
              <w:t>3</w:t>
            </w:r>
          </w:p>
        </w:tc>
        <w:tc>
          <w:tcPr>
            <w:tcW w:w="1380" w:type="dxa"/>
          </w:tcPr>
          <w:p w:rsidR="001A7779" w:rsidRDefault="001A7779">
            <w:pPr>
              <w:tabs>
                <w:tab w:val="left" w:pos="630"/>
              </w:tabs>
              <w:spacing w:before="60" w:after="60" w:line="360" w:lineRule="exact"/>
              <w:jc w:val="center"/>
              <w:rPr>
                <w:sz w:val="18"/>
              </w:rPr>
            </w:pPr>
            <w:r>
              <w:rPr>
                <w:sz w:val="18"/>
              </w:rPr>
              <w:t>20.0</w:t>
            </w:r>
          </w:p>
        </w:tc>
        <w:tc>
          <w:tcPr>
            <w:tcW w:w="1380" w:type="dxa"/>
          </w:tcPr>
          <w:p w:rsidR="001A7779" w:rsidRDefault="001A7779">
            <w:pPr>
              <w:tabs>
                <w:tab w:val="left" w:pos="630"/>
              </w:tabs>
              <w:spacing w:before="60" w:after="60" w:line="360" w:lineRule="exact"/>
              <w:jc w:val="center"/>
              <w:rPr>
                <w:sz w:val="18"/>
              </w:rPr>
            </w:pPr>
            <w:r>
              <w:rPr>
                <w:sz w:val="18"/>
              </w:rPr>
              <w:t>18</w:t>
            </w:r>
          </w:p>
        </w:tc>
        <w:tc>
          <w:tcPr>
            <w:tcW w:w="1380" w:type="dxa"/>
          </w:tcPr>
          <w:p w:rsidR="001A7779" w:rsidRDefault="001A7779">
            <w:pPr>
              <w:tabs>
                <w:tab w:val="left" w:pos="630"/>
              </w:tabs>
              <w:spacing w:before="60" w:after="60" w:line="360" w:lineRule="exact"/>
              <w:jc w:val="center"/>
              <w:rPr>
                <w:sz w:val="18"/>
              </w:rPr>
            </w:pPr>
            <w:r>
              <w:rPr>
                <w:sz w:val="18"/>
              </w:rPr>
              <w:t>15.1</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30 – 34</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17</w:t>
            </w:r>
          </w:p>
        </w:tc>
        <w:tc>
          <w:tcPr>
            <w:tcW w:w="1380" w:type="dxa"/>
          </w:tcPr>
          <w:p w:rsidR="001A7779" w:rsidRDefault="001A7779">
            <w:pPr>
              <w:tabs>
                <w:tab w:val="left" w:pos="630"/>
              </w:tabs>
              <w:spacing w:before="60" w:after="60" w:line="360" w:lineRule="exact"/>
              <w:jc w:val="center"/>
              <w:rPr>
                <w:sz w:val="18"/>
              </w:rPr>
            </w:pPr>
            <w:r>
              <w:rPr>
                <w:sz w:val="18"/>
              </w:rPr>
              <w:t>16.3</w:t>
            </w:r>
          </w:p>
        </w:tc>
        <w:tc>
          <w:tcPr>
            <w:tcW w:w="1380" w:type="dxa"/>
          </w:tcPr>
          <w:p w:rsidR="001A7779" w:rsidRDefault="001A7779">
            <w:pPr>
              <w:tabs>
                <w:tab w:val="left" w:pos="630"/>
              </w:tabs>
              <w:spacing w:before="60" w:after="60" w:line="360" w:lineRule="exact"/>
              <w:jc w:val="center"/>
              <w:rPr>
                <w:sz w:val="18"/>
              </w:rPr>
            </w:pPr>
            <w:r>
              <w:rPr>
                <w:sz w:val="18"/>
              </w:rPr>
              <w:t>7</w:t>
            </w:r>
          </w:p>
        </w:tc>
        <w:tc>
          <w:tcPr>
            <w:tcW w:w="1380" w:type="dxa"/>
          </w:tcPr>
          <w:p w:rsidR="001A7779" w:rsidRDefault="001A7779">
            <w:pPr>
              <w:tabs>
                <w:tab w:val="left" w:pos="630"/>
              </w:tabs>
              <w:spacing w:before="60" w:after="60" w:line="360" w:lineRule="exact"/>
              <w:jc w:val="center"/>
              <w:rPr>
                <w:sz w:val="18"/>
              </w:rPr>
            </w:pPr>
            <w:r>
              <w:rPr>
                <w:sz w:val="18"/>
              </w:rPr>
              <w:t>46.7</w:t>
            </w:r>
          </w:p>
        </w:tc>
        <w:tc>
          <w:tcPr>
            <w:tcW w:w="1380" w:type="dxa"/>
          </w:tcPr>
          <w:p w:rsidR="001A7779" w:rsidRDefault="001A7779">
            <w:pPr>
              <w:tabs>
                <w:tab w:val="left" w:pos="630"/>
              </w:tabs>
              <w:spacing w:before="60" w:after="60" w:line="360" w:lineRule="exact"/>
              <w:jc w:val="center"/>
              <w:rPr>
                <w:sz w:val="18"/>
              </w:rPr>
            </w:pPr>
            <w:r>
              <w:rPr>
                <w:sz w:val="18"/>
              </w:rPr>
              <w:t>24</w:t>
            </w:r>
          </w:p>
        </w:tc>
        <w:tc>
          <w:tcPr>
            <w:tcW w:w="1380" w:type="dxa"/>
          </w:tcPr>
          <w:p w:rsidR="001A7779" w:rsidRDefault="001A7779">
            <w:pPr>
              <w:tabs>
                <w:tab w:val="left" w:pos="630"/>
              </w:tabs>
              <w:spacing w:before="60" w:after="60" w:line="360" w:lineRule="exact"/>
              <w:jc w:val="center"/>
              <w:rPr>
                <w:sz w:val="18"/>
              </w:rPr>
            </w:pPr>
            <w:r>
              <w:rPr>
                <w:sz w:val="18"/>
              </w:rPr>
              <w:t>20.2</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35 – 39</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23</w:t>
            </w:r>
          </w:p>
        </w:tc>
        <w:tc>
          <w:tcPr>
            <w:tcW w:w="1380" w:type="dxa"/>
          </w:tcPr>
          <w:p w:rsidR="001A7779" w:rsidRDefault="001A7779">
            <w:pPr>
              <w:tabs>
                <w:tab w:val="left" w:pos="630"/>
              </w:tabs>
              <w:spacing w:before="60" w:after="60" w:line="360" w:lineRule="exact"/>
              <w:jc w:val="center"/>
              <w:rPr>
                <w:sz w:val="18"/>
              </w:rPr>
            </w:pPr>
            <w:r>
              <w:rPr>
                <w:sz w:val="18"/>
              </w:rPr>
              <w:t>22.1</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6.7</w:t>
            </w:r>
          </w:p>
        </w:tc>
        <w:tc>
          <w:tcPr>
            <w:tcW w:w="1380" w:type="dxa"/>
          </w:tcPr>
          <w:p w:rsidR="001A7779" w:rsidRDefault="001A7779">
            <w:pPr>
              <w:tabs>
                <w:tab w:val="left" w:pos="630"/>
              </w:tabs>
              <w:spacing w:before="60" w:after="60" w:line="360" w:lineRule="exact"/>
              <w:jc w:val="center"/>
              <w:rPr>
                <w:sz w:val="18"/>
              </w:rPr>
            </w:pPr>
            <w:r>
              <w:rPr>
                <w:sz w:val="18"/>
              </w:rPr>
              <w:t>24</w:t>
            </w:r>
          </w:p>
        </w:tc>
        <w:tc>
          <w:tcPr>
            <w:tcW w:w="1380" w:type="dxa"/>
          </w:tcPr>
          <w:p w:rsidR="001A7779" w:rsidRDefault="001A7779">
            <w:pPr>
              <w:tabs>
                <w:tab w:val="left" w:pos="630"/>
              </w:tabs>
              <w:spacing w:before="60" w:after="60" w:line="360" w:lineRule="exact"/>
              <w:jc w:val="center"/>
              <w:rPr>
                <w:sz w:val="18"/>
              </w:rPr>
            </w:pPr>
            <w:r>
              <w:rPr>
                <w:sz w:val="18"/>
              </w:rPr>
              <w:t>20.2</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40 – 49</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31</w:t>
            </w:r>
          </w:p>
        </w:tc>
        <w:tc>
          <w:tcPr>
            <w:tcW w:w="1380" w:type="dxa"/>
          </w:tcPr>
          <w:p w:rsidR="001A7779" w:rsidRDefault="001A7779">
            <w:pPr>
              <w:tabs>
                <w:tab w:val="left" w:pos="630"/>
              </w:tabs>
              <w:spacing w:before="60" w:after="60" w:line="360" w:lineRule="exact"/>
              <w:jc w:val="center"/>
              <w:rPr>
                <w:sz w:val="18"/>
              </w:rPr>
            </w:pPr>
            <w:r>
              <w:rPr>
                <w:sz w:val="18"/>
              </w:rPr>
              <w:t>39.8</w:t>
            </w:r>
          </w:p>
        </w:tc>
        <w:tc>
          <w:tcPr>
            <w:tcW w:w="1380" w:type="dxa"/>
          </w:tcPr>
          <w:p w:rsidR="001A7779" w:rsidRDefault="001A7779">
            <w:pPr>
              <w:tabs>
                <w:tab w:val="left" w:pos="630"/>
              </w:tabs>
              <w:spacing w:before="60" w:after="60" w:line="360" w:lineRule="exact"/>
              <w:jc w:val="center"/>
              <w:rPr>
                <w:sz w:val="18"/>
              </w:rPr>
            </w:pPr>
            <w:r>
              <w:rPr>
                <w:sz w:val="18"/>
              </w:rPr>
              <w:t>2</w:t>
            </w:r>
          </w:p>
        </w:tc>
        <w:tc>
          <w:tcPr>
            <w:tcW w:w="1380" w:type="dxa"/>
          </w:tcPr>
          <w:p w:rsidR="001A7779" w:rsidRDefault="001A7779">
            <w:pPr>
              <w:tabs>
                <w:tab w:val="left" w:pos="630"/>
              </w:tabs>
              <w:spacing w:before="60" w:after="60" w:line="360" w:lineRule="exact"/>
              <w:jc w:val="center"/>
              <w:rPr>
                <w:sz w:val="18"/>
              </w:rPr>
            </w:pPr>
            <w:r>
              <w:rPr>
                <w:sz w:val="18"/>
              </w:rPr>
              <w:t>13.3</w:t>
            </w:r>
          </w:p>
        </w:tc>
        <w:tc>
          <w:tcPr>
            <w:tcW w:w="1380" w:type="dxa"/>
          </w:tcPr>
          <w:p w:rsidR="001A7779" w:rsidRDefault="001A7779">
            <w:pPr>
              <w:tabs>
                <w:tab w:val="left" w:pos="630"/>
              </w:tabs>
              <w:spacing w:before="60" w:after="60" w:line="360" w:lineRule="exact"/>
              <w:jc w:val="center"/>
              <w:rPr>
                <w:sz w:val="18"/>
              </w:rPr>
            </w:pPr>
            <w:r>
              <w:rPr>
                <w:sz w:val="18"/>
              </w:rPr>
              <w:t>33</w:t>
            </w:r>
          </w:p>
        </w:tc>
        <w:tc>
          <w:tcPr>
            <w:tcW w:w="1380" w:type="dxa"/>
          </w:tcPr>
          <w:p w:rsidR="001A7779" w:rsidRDefault="001A7779">
            <w:pPr>
              <w:tabs>
                <w:tab w:val="left" w:pos="630"/>
              </w:tabs>
              <w:spacing w:before="60" w:after="60" w:line="360" w:lineRule="exact"/>
              <w:jc w:val="center"/>
              <w:rPr>
                <w:sz w:val="18"/>
              </w:rPr>
            </w:pPr>
            <w:r>
              <w:rPr>
                <w:sz w:val="18"/>
              </w:rPr>
              <w:t>27.7</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50 – 59</w:t>
            </w:r>
            <w:r>
              <w:rPr>
                <w:rFonts w:hint="eastAsia"/>
                <w:sz w:val="18"/>
              </w:rPr>
              <w:t>岁</w:t>
            </w:r>
          </w:p>
        </w:tc>
        <w:tc>
          <w:tcPr>
            <w:tcW w:w="1380" w:type="dxa"/>
          </w:tcPr>
          <w:p w:rsidR="001A7779" w:rsidRDefault="001A7779">
            <w:pPr>
              <w:tabs>
                <w:tab w:val="left" w:pos="630"/>
              </w:tabs>
              <w:spacing w:before="60" w:after="60" w:line="360" w:lineRule="exact"/>
              <w:jc w:val="center"/>
              <w:rPr>
                <w:sz w:val="18"/>
              </w:rPr>
            </w:pPr>
            <w:r>
              <w:rPr>
                <w:sz w:val="18"/>
              </w:rPr>
              <w:t>8</w:t>
            </w:r>
          </w:p>
        </w:tc>
        <w:tc>
          <w:tcPr>
            <w:tcW w:w="1380" w:type="dxa"/>
          </w:tcPr>
          <w:p w:rsidR="001A7779" w:rsidRDefault="001A7779">
            <w:pPr>
              <w:tabs>
                <w:tab w:val="left" w:pos="630"/>
              </w:tabs>
              <w:spacing w:before="60" w:after="60" w:line="360" w:lineRule="exact"/>
              <w:jc w:val="center"/>
              <w:rPr>
                <w:sz w:val="18"/>
              </w:rPr>
            </w:pPr>
            <w:r>
              <w:rPr>
                <w:sz w:val="18"/>
              </w:rPr>
              <w:t>7.7</w:t>
            </w:r>
          </w:p>
        </w:tc>
        <w:tc>
          <w:tcPr>
            <w:tcW w:w="1380" w:type="dxa"/>
          </w:tcPr>
          <w:p w:rsidR="001A7779" w:rsidRDefault="001A7779">
            <w:pPr>
              <w:tabs>
                <w:tab w:val="left" w:pos="630"/>
              </w:tabs>
              <w:spacing w:before="60" w:after="60" w:line="360" w:lineRule="exact"/>
              <w:jc w:val="center"/>
              <w:rPr>
                <w:sz w:val="18"/>
              </w:rPr>
            </w:pPr>
            <w:r>
              <w:rPr>
                <w:sz w:val="18"/>
              </w:rPr>
              <w:t>1</w:t>
            </w:r>
          </w:p>
        </w:tc>
        <w:tc>
          <w:tcPr>
            <w:tcW w:w="1380" w:type="dxa"/>
          </w:tcPr>
          <w:p w:rsidR="001A7779" w:rsidRDefault="001A7779">
            <w:pPr>
              <w:tabs>
                <w:tab w:val="left" w:pos="630"/>
              </w:tabs>
              <w:spacing w:before="60" w:after="60" w:line="360" w:lineRule="exact"/>
              <w:jc w:val="center"/>
              <w:rPr>
                <w:sz w:val="18"/>
              </w:rPr>
            </w:pPr>
            <w:r>
              <w:rPr>
                <w:sz w:val="18"/>
              </w:rPr>
              <w:t>6.7</w:t>
            </w:r>
          </w:p>
        </w:tc>
        <w:tc>
          <w:tcPr>
            <w:tcW w:w="1380" w:type="dxa"/>
          </w:tcPr>
          <w:p w:rsidR="001A7779" w:rsidRDefault="001A7779">
            <w:pPr>
              <w:tabs>
                <w:tab w:val="left" w:pos="630"/>
              </w:tabs>
              <w:spacing w:before="60" w:after="60" w:line="360" w:lineRule="exact"/>
              <w:jc w:val="center"/>
              <w:rPr>
                <w:sz w:val="18"/>
              </w:rPr>
            </w:pPr>
            <w:r>
              <w:rPr>
                <w:sz w:val="18"/>
              </w:rPr>
              <w:t>9</w:t>
            </w:r>
          </w:p>
        </w:tc>
        <w:tc>
          <w:tcPr>
            <w:tcW w:w="1380" w:type="dxa"/>
          </w:tcPr>
          <w:p w:rsidR="001A7779" w:rsidRDefault="001A7779">
            <w:pPr>
              <w:tabs>
                <w:tab w:val="left" w:pos="630"/>
              </w:tabs>
              <w:spacing w:before="60" w:after="60" w:line="360" w:lineRule="exact"/>
              <w:jc w:val="center"/>
              <w:rPr>
                <w:sz w:val="18"/>
              </w:rPr>
            </w:pPr>
            <w:r>
              <w:rPr>
                <w:sz w:val="18"/>
              </w:rPr>
              <w:t>7.6</w:t>
            </w:r>
          </w:p>
        </w:tc>
      </w:tr>
      <w:tr w:rsidR="001A7779">
        <w:tblPrEx>
          <w:tblCellMar>
            <w:top w:w="0" w:type="dxa"/>
            <w:bottom w:w="0" w:type="dxa"/>
          </w:tblCellMar>
        </w:tblPrEx>
        <w:trPr>
          <w:cantSplit/>
        </w:trPr>
        <w:tc>
          <w:tcPr>
            <w:tcW w:w="1560" w:type="dxa"/>
            <w:tcBorders>
              <w:top w:val="single" w:sz="6" w:space="0" w:color="auto"/>
              <w:left w:val="single" w:sz="6" w:space="0" w:color="auto"/>
              <w:bottom w:val="single" w:sz="6" w:space="0" w:color="auto"/>
            </w:tcBorders>
          </w:tcPr>
          <w:p w:rsidR="001A7779" w:rsidRDefault="001A7779">
            <w:pPr>
              <w:tabs>
                <w:tab w:val="left" w:pos="630"/>
              </w:tabs>
              <w:spacing w:before="60" w:after="60" w:line="360" w:lineRule="exact"/>
              <w:rPr>
                <w:sz w:val="18"/>
              </w:rPr>
            </w:pPr>
            <w:r>
              <w:rPr>
                <w:sz w:val="18"/>
              </w:rPr>
              <w:t>60</w:t>
            </w:r>
            <w:r>
              <w:rPr>
                <w:rFonts w:hint="eastAsia"/>
                <w:sz w:val="18"/>
              </w:rPr>
              <w:t>岁及以上</w:t>
            </w:r>
          </w:p>
        </w:tc>
        <w:tc>
          <w:tcPr>
            <w:tcW w:w="1380" w:type="dxa"/>
          </w:tcPr>
          <w:p w:rsidR="001A7779" w:rsidRDefault="001A7779">
            <w:pPr>
              <w:tabs>
                <w:tab w:val="left" w:pos="630"/>
              </w:tabs>
              <w:spacing w:before="60" w:after="60" w:line="360" w:lineRule="exact"/>
              <w:jc w:val="center"/>
              <w:rPr>
                <w:sz w:val="18"/>
              </w:rPr>
            </w:pPr>
            <w:r>
              <w:rPr>
                <w:sz w:val="18"/>
              </w:rPr>
              <w:t>6</w:t>
            </w:r>
          </w:p>
        </w:tc>
        <w:tc>
          <w:tcPr>
            <w:tcW w:w="1380" w:type="dxa"/>
          </w:tcPr>
          <w:p w:rsidR="001A7779" w:rsidRDefault="001A7779">
            <w:pPr>
              <w:tabs>
                <w:tab w:val="left" w:pos="630"/>
              </w:tabs>
              <w:spacing w:before="60" w:after="60" w:line="360" w:lineRule="exact"/>
              <w:jc w:val="center"/>
              <w:rPr>
                <w:sz w:val="18"/>
              </w:rPr>
            </w:pPr>
            <w:r>
              <w:rPr>
                <w:sz w:val="18"/>
              </w:rPr>
              <w:t>5.8</w:t>
            </w:r>
          </w:p>
        </w:tc>
        <w:tc>
          <w:tcPr>
            <w:tcW w:w="1380" w:type="dxa"/>
          </w:tcPr>
          <w:p w:rsidR="001A7779" w:rsidRDefault="001A7779">
            <w:pPr>
              <w:tabs>
                <w:tab w:val="left" w:pos="630"/>
              </w:tabs>
              <w:spacing w:before="60" w:after="60" w:line="360" w:lineRule="exact"/>
              <w:jc w:val="center"/>
              <w:rPr>
                <w:sz w:val="18"/>
              </w:rPr>
            </w:pPr>
            <w:r>
              <w:rPr>
                <w:sz w:val="18"/>
              </w:rPr>
              <w:t>0</w:t>
            </w:r>
          </w:p>
        </w:tc>
        <w:tc>
          <w:tcPr>
            <w:tcW w:w="1380" w:type="dxa"/>
          </w:tcPr>
          <w:p w:rsidR="001A7779" w:rsidRDefault="001A7779">
            <w:pPr>
              <w:tabs>
                <w:tab w:val="left" w:pos="630"/>
              </w:tabs>
              <w:spacing w:before="60" w:after="60" w:line="360" w:lineRule="exact"/>
              <w:jc w:val="center"/>
              <w:rPr>
                <w:sz w:val="18"/>
              </w:rPr>
            </w:pPr>
            <w:r>
              <w:rPr>
                <w:sz w:val="18"/>
              </w:rPr>
              <w:t>0.0</w:t>
            </w:r>
          </w:p>
        </w:tc>
        <w:tc>
          <w:tcPr>
            <w:tcW w:w="1380" w:type="dxa"/>
          </w:tcPr>
          <w:p w:rsidR="001A7779" w:rsidRDefault="001A7779">
            <w:pPr>
              <w:tabs>
                <w:tab w:val="left" w:pos="630"/>
              </w:tabs>
              <w:spacing w:before="60" w:after="60" w:line="360" w:lineRule="exact"/>
              <w:jc w:val="center"/>
              <w:rPr>
                <w:sz w:val="18"/>
              </w:rPr>
            </w:pPr>
            <w:r>
              <w:rPr>
                <w:sz w:val="18"/>
              </w:rPr>
              <w:t>6</w:t>
            </w:r>
          </w:p>
        </w:tc>
        <w:tc>
          <w:tcPr>
            <w:tcW w:w="1380" w:type="dxa"/>
          </w:tcPr>
          <w:p w:rsidR="001A7779" w:rsidRDefault="001A7779">
            <w:pPr>
              <w:tabs>
                <w:tab w:val="left" w:pos="630"/>
              </w:tabs>
              <w:spacing w:before="60" w:after="60" w:line="360" w:lineRule="exact"/>
              <w:jc w:val="center"/>
              <w:rPr>
                <w:sz w:val="18"/>
              </w:rPr>
            </w:pPr>
            <w:r>
              <w:rPr>
                <w:sz w:val="18"/>
              </w:rPr>
              <w:t>5.1</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公共卫生研究所，</w:t>
      </w:r>
      <w:r>
        <w:rPr>
          <w:rFonts w:hint="eastAsia"/>
          <w:color w:val="000000"/>
          <w:sz w:val="18"/>
        </w:rPr>
        <w:t>2005</w:t>
      </w:r>
      <w:r>
        <w:rPr>
          <w:rFonts w:hint="eastAsia"/>
          <w:color w:val="000000"/>
          <w:sz w:val="18"/>
        </w:rPr>
        <w:t>年。</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45</w:t>
      </w:r>
      <w:r>
        <w:rPr>
          <w:rFonts w:ascii="SimHei" w:eastAsia="SimHei" w:hint="eastAsia"/>
          <w:color w:val="FF0000"/>
        </w:rPr>
        <w:t>：按月份和申请人性别分列的已发放现金社会援助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30"/>
        <w:gridCol w:w="2045"/>
        <w:gridCol w:w="2045"/>
        <w:gridCol w:w="2045"/>
        <w:gridCol w:w="2045"/>
      </w:tblGrid>
      <w:tr w:rsidR="001A7779">
        <w:tblPrEx>
          <w:tblCellMar>
            <w:top w:w="0" w:type="dxa"/>
            <w:bottom w:w="0" w:type="dxa"/>
          </w:tblCellMar>
        </w:tblPrEx>
        <w:tc>
          <w:tcPr>
            <w:tcW w:w="1730" w:type="dxa"/>
          </w:tcPr>
          <w:p w:rsidR="001A7779" w:rsidRDefault="001A7779">
            <w:pPr>
              <w:tabs>
                <w:tab w:val="left" w:pos="630"/>
              </w:tabs>
              <w:spacing w:before="60" w:after="60" w:line="360" w:lineRule="exact"/>
              <w:rPr>
                <w:rFonts w:ascii="SimHei" w:eastAsia="SimHei"/>
                <w:color w:val="FF0000"/>
                <w:sz w:val="18"/>
              </w:rPr>
            </w:pPr>
          </w:p>
        </w:tc>
        <w:tc>
          <w:tcPr>
            <w:tcW w:w="2045"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年1月</w:t>
            </w:r>
          </w:p>
        </w:tc>
        <w:tc>
          <w:tcPr>
            <w:tcW w:w="2045"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年1月</w:t>
            </w:r>
          </w:p>
        </w:tc>
        <w:tc>
          <w:tcPr>
            <w:tcW w:w="2045"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年12月</w:t>
            </w:r>
          </w:p>
        </w:tc>
        <w:tc>
          <w:tcPr>
            <w:tcW w:w="2045"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2004</w:t>
            </w:r>
            <w:r>
              <w:rPr>
                <w:rFonts w:ascii="SimHei" w:eastAsia="SimHei" w:hint="eastAsia"/>
                <w:color w:val="FF0000"/>
                <w:sz w:val="18"/>
              </w:rPr>
              <w:t>年12月</w:t>
            </w:r>
          </w:p>
        </w:tc>
      </w:tr>
      <w:tr w:rsidR="001A7779">
        <w:tblPrEx>
          <w:tblCellMar>
            <w:top w:w="0" w:type="dxa"/>
            <w:bottom w:w="0" w:type="dxa"/>
          </w:tblCellMar>
        </w:tblPrEx>
        <w:tc>
          <w:tcPr>
            <w:tcW w:w="1730" w:type="dxa"/>
          </w:tcPr>
          <w:p w:rsidR="001A7779" w:rsidRDefault="001A7779">
            <w:pPr>
              <w:tabs>
                <w:tab w:val="left" w:pos="630"/>
              </w:tabs>
              <w:spacing w:before="60" w:after="60" w:line="360" w:lineRule="exact"/>
              <w:rPr>
                <w:sz w:val="18"/>
              </w:rPr>
            </w:pPr>
            <w:r>
              <w:rPr>
                <w:rFonts w:hint="eastAsia"/>
                <w:sz w:val="18"/>
              </w:rPr>
              <w:t>共计</w:t>
            </w:r>
          </w:p>
        </w:tc>
        <w:tc>
          <w:tcPr>
            <w:tcW w:w="2045" w:type="dxa"/>
          </w:tcPr>
          <w:p w:rsidR="001A7779" w:rsidRDefault="001A7779">
            <w:pPr>
              <w:tabs>
                <w:tab w:val="left" w:pos="630"/>
              </w:tabs>
              <w:spacing w:before="60" w:after="60" w:line="360" w:lineRule="exact"/>
              <w:jc w:val="center"/>
              <w:rPr>
                <w:sz w:val="18"/>
              </w:rPr>
            </w:pPr>
            <w:r>
              <w:rPr>
                <w:sz w:val="18"/>
              </w:rPr>
              <w:t>31 577</w:t>
            </w:r>
          </w:p>
        </w:tc>
        <w:tc>
          <w:tcPr>
            <w:tcW w:w="2045" w:type="dxa"/>
          </w:tcPr>
          <w:p w:rsidR="001A7779" w:rsidRDefault="001A7779">
            <w:pPr>
              <w:tabs>
                <w:tab w:val="left" w:pos="630"/>
              </w:tabs>
              <w:spacing w:before="60" w:after="60" w:line="360" w:lineRule="exact"/>
              <w:jc w:val="center"/>
              <w:rPr>
                <w:sz w:val="18"/>
              </w:rPr>
            </w:pPr>
            <w:r>
              <w:rPr>
                <w:sz w:val="18"/>
              </w:rPr>
              <w:t>45 922</w:t>
            </w:r>
          </w:p>
        </w:tc>
        <w:tc>
          <w:tcPr>
            <w:tcW w:w="2045" w:type="dxa"/>
          </w:tcPr>
          <w:p w:rsidR="001A7779" w:rsidRDefault="001A7779">
            <w:pPr>
              <w:tabs>
                <w:tab w:val="left" w:pos="630"/>
              </w:tabs>
              <w:spacing w:before="60" w:after="60" w:line="360" w:lineRule="exact"/>
              <w:jc w:val="center"/>
              <w:rPr>
                <w:sz w:val="18"/>
              </w:rPr>
            </w:pPr>
            <w:r>
              <w:rPr>
                <w:sz w:val="18"/>
              </w:rPr>
              <w:t>57 742</w:t>
            </w:r>
          </w:p>
        </w:tc>
        <w:tc>
          <w:tcPr>
            <w:tcW w:w="2045" w:type="dxa"/>
          </w:tcPr>
          <w:p w:rsidR="001A7779" w:rsidRDefault="001A7779">
            <w:pPr>
              <w:tabs>
                <w:tab w:val="left" w:pos="630"/>
              </w:tabs>
              <w:spacing w:before="60" w:after="60" w:line="360" w:lineRule="exact"/>
              <w:jc w:val="center"/>
              <w:rPr>
                <w:sz w:val="18"/>
              </w:rPr>
            </w:pPr>
            <w:r>
              <w:rPr>
                <w:sz w:val="18"/>
              </w:rPr>
              <w:t>62 256</w:t>
            </w:r>
          </w:p>
        </w:tc>
      </w:tr>
      <w:tr w:rsidR="001A7779">
        <w:tblPrEx>
          <w:tblCellMar>
            <w:top w:w="0" w:type="dxa"/>
            <w:bottom w:w="0" w:type="dxa"/>
          </w:tblCellMar>
        </w:tblPrEx>
        <w:tc>
          <w:tcPr>
            <w:tcW w:w="1730" w:type="dxa"/>
          </w:tcPr>
          <w:p w:rsidR="001A7779" w:rsidRDefault="001A7779">
            <w:pPr>
              <w:tabs>
                <w:tab w:val="left" w:pos="630"/>
              </w:tabs>
              <w:spacing w:before="60" w:after="60" w:line="360" w:lineRule="exact"/>
              <w:rPr>
                <w:sz w:val="18"/>
              </w:rPr>
            </w:pPr>
            <w:r>
              <w:rPr>
                <w:rFonts w:hint="eastAsia"/>
                <w:sz w:val="18"/>
              </w:rPr>
              <w:t>女</w:t>
            </w:r>
          </w:p>
        </w:tc>
        <w:tc>
          <w:tcPr>
            <w:tcW w:w="2045" w:type="dxa"/>
          </w:tcPr>
          <w:p w:rsidR="001A7779" w:rsidRDefault="001A7779">
            <w:pPr>
              <w:tabs>
                <w:tab w:val="left" w:pos="630"/>
              </w:tabs>
              <w:spacing w:before="60" w:after="60" w:line="360" w:lineRule="exact"/>
              <w:jc w:val="center"/>
              <w:rPr>
                <w:sz w:val="18"/>
              </w:rPr>
            </w:pPr>
            <w:r>
              <w:rPr>
                <w:sz w:val="18"/>
              </w:rPr>
              <w:t>15 442</w:t>
            </w:r>
          </w:p>
        </w:tc>
        <w:tc>
          <w:tcPr>
            <w:tcW w:w="2045" w:type="dxa"/>
          </w:tcPr>
          <w:p w:rsidR="001A7779" w:rsidRDefault="001A7779">
            <w:pPr>
              <w:tabs>
                <w:tab w:val="left" w:pos="630"/>
              </w:tabs>
              <w:spacing w:before="60" w:after="60" w:line="360" w:lineRule="exact"/>
              <w:jc w:val="center"/>
              <w:rPr>
                <w:sz w:val="18"/>
              </w:rPr>
            </w:pPr>
            <w:r>
              <w:rPr>
                <w:sz w:val="18"/>
              </w:rPr>
              <w:t>22 589</w:t>
            </w:r>
          </w:p>
        </w:tc>
        <w:tc>
          <w:tcPr>
            <w:tcW w:w="2045" w:type="dxa"/>
          </w:tcPr>
          <w:p w:rsidR="001A7779" w:rsidRDefault="001A7779">
            <w:pPr>
              <w:tabs>
                <w:tab w:val="left" w:pos="630"/>
              </w:tabs>
              <w:spacing w:before="60" w:after="60" w:line="360" w:lineRule="exact"/>
              <w:jc w:val="center"/>
              <w:rPr>
                <w:sz w:val="18"/>
              </w:rPr>
            </w:pPr>
            <w:r>
              <w:rPr>
                <w:sz w:val="18"/>
              </w:rPr>
              <w:t>30 758</w:t>
            </w:r>
          </w:p>
        </w:tc>
        <w:tc>
          <w:tcPr>
            <w:tcW w:w="2045" w:type="dxa"/>
          </w:tcPr>
          <w:p w:rsidR="001A7779" w:rsidRDefault="001A7779">
            <w:pPr>
              <w:tabs>
                <w:tab w:val="left" w:pos="630"/>
              </w:tabs>
              <w:spacing w:before="60" w:after="60" w:line="360" w:lineRule="exact"/>
              <w:jc w:val="center"/>
              <w:rPr>
                <w:sz w:val="18"/>
              </w:rPr>
            </w:pPr>
            <w:r>
              <w:rPr>
                <w:sz w:val="18"/>
              </w:rPr>
              <w:t>33 865</w:t>
            </w:r>
          </w:p>
        </w:tc>
      </w:tr>
      <w:tr w:rsidR="001A7779">
        <w:tblPrEx>
          <w:tblCellMar>
            <w:top w:w="0" w:type="dxa"/>
            <w:bottom w:w="0" w:type="dxa"/>
          </w:tblCellMar>
        </w:tblPrEx>
        <w:tc>
          <w:tcPr>
            <w:tcW w:w="1730" w:type="dxa"/>
          </w:tcPr>
          <w:p w:rsidR="001A7779" w:rsidRDefault="001A7779">
            <w:pPr>
              <w:tabs>
                <w:tab w:val="left" w:pos="630"/>
              </w:tabs>
              <w:spacing w:before="60" w:after="60" w:line="360" w:lineRule="exact"/>
              <w:rPr>
                <w:sz w:val="18"/>
              </w:rPr>
            </w:pPr>
            <w:r>
              <w:rPr>
                <w:rFonts w:hint="eastAsia"/>
                <w:sz w:val="18"/>
              </w:rPr>
              <w:t>妇女所占比例</w:t>
            </w:r>
            <w:r>
              <w:rPr>
                <w:sz w:val="18"/>
              </w:rPr>
              <w:t>%</w:t>
            </w:r>
          </w:p>
        </w:tc>
        <w:tc>
          <w:tcPr>
            <w:tcW w:w="2045" w:type="dxa"/>
          </w:tcPr>
          <w:p w:rsidR="001A7779" w:rsidRDefault="001A7779">
            <w:pPr>
              <w:tabs>
                <w:tab w:val="left" w:pos="630"/>
              </w:tabs>
              <w:spacing w:before="60" w:after="60" w:line="360" w:lineRule="exact"/>
              <w:jc w:val="center"/>
              <w:rPr>
                <w:sz w:val="18"/>
              </w:rPr>
            </w:pPr>
            <w:r>
              <w:rPr>
                <w:sz w:val="18"/>
              </w:rPr>
              <w:t>48.9</w:t>
            </w:r>
          </w:p>
        </w:tc>
        <w:tc>
          <w:tcPr>
            <w:tcW w:w="2045" w:type="dxa"/>
          </w:tcPr>
          <w:p w:rsidR="001A7779" w:rsidRDefault="001A7779">
            <w:pPr>
              <w:tabs>
                <w:tab w:val="left" w:pos="630"/>
              </w:tabs>
              <w:spacing w:before="60" w:after="60" w:line="360" w:lineRule="exact"/>
              <w:jc w:val="center"/>
              <w:rPr>
                <w:sz w:val="18"/>
              </w:rPr>
            </w:pPr>
            <w:r>
              <w:rPr>
                <w:sz w:val="18"/>
              </w:rPr>
              <w:t>49.2</w:t>
            </w:r>
          </w:p>
        </w:tc>
        <w:tc>
          <w:tcPr>
            <w:tcW w:w="2045" w:type="dxa"/>
          </w:tcPr>
          <w:p w:rsidR="001A7779" w:rsidRDefault="001A7779">
            <w:pPr>
              <w:tabs>
                <w:tab w:val="left" w:pos="630"/>
              </w:tabs>
              <w:spacing w:before="60" w:after="60" w:line="360" w:lineRule="exact"/>
              <w:jc w:val="center"/>
              <w:rPr>
                <w:sz w:val="18"/>
              </w:rPr>
            </w:pPr>
            <w:r>
              <w:rPr>
                <w:sz w:val="18"/>
              </w:rPr>
              <w:t>53.3</w:t>
            </w:r>
          </w:p>
        </w:tc>
        <w:tc>
          <w:tcPr>
            <w:tcW w:w="2045" w:type="dxa"/>
          </w:tcPr>
          <w:p w:rsidR="001A7779" w:rsidRDefault="001A7779">
            <w:pPr>
              <w:tabs>
                <w:tab w:val="left" w:pos="630"/>
              </w:tabs>
              <w:spacing w:before="60" w:after="60" w:line="360" w:lineRule="exact"/>
              <w:jc w:val="center"/>
              <w:rPr>
                <w:sz w:val="18"/>
              </w:rPr>
            </w:pPr>
            <w:r>
              <w:rPr>
                <w:sz w:val="18"/>
              </w:rPr>
              <w:t>54.4</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劳动、家庭和社会事务部，</w:t>
      </w:r>
      <w:r>
        <w:rPr>
          <w:rFonts w:hint="eastAsia"/>
          <w:color w:val="000000"/>
          <w:sz w:val="18"/>
        </w:rPr>
        <w:t>2005</w:t>
      </w:r>
      <w:r>
        <w:rPr>
          <w:rFonts w:hint="eastAsia"/>
          <w:color w:val="000000"/>
          <w:sz w:val="18"/>
        </w:rPr>
        <w:t>年。</w:t>
      </w:r>
    </w:p>
    <w:p w:rsidR="001A7779" w:rsidRDefault="001A777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46</w:t>
      </w:r>
      <w:r>
        <w:rPr>
          <w:rFonts w:ascii="SimHei" w:eastAsia="SimHei" w:hint="eastAsia"/>
          <w:color w:val="FF0000"/>
        </w:rPr>
        <w:t>：</w:t>
      </w:r>
      <w:r>
        <w:rPr>
          <w:rFonts w:ascii="SimHei" w:eastAsia="SimHei"/>
          <w:color w:val="FF0000"/>
        </w:rPr>
        <w:t>2000-2002</w:t>
      </w:r>
      <w:r>
        <w:rPr>
          <w:rFonts w:ascii="SimHei" w:eastAsia="SimHei" w:hint="eastAsia"/>
          <w:color w:val="FF0000"/>
        </w:rPr>
        <w:t xml:space="preserve">年社会凝聚力指标 </w:t>
      </w:r>
      <w:r>
        <w:rPr>
          <w:rFonts w:ascii="SimHei" w:eastAsia="SimHei"/>
          <w:color w:val="FF0000"/>
        </w:rPr>
        <w:t>–</w:t>
      </w:r>
      <w:r>
        <w:rPr>
          <w:rFonts w:ascii="SimHei" w:eastAsia="SimHei" w:hint="eastAsia"/>
          <w:color w:val="FF0000"/>
        </w:rPr>
        <w:t xml:space="preserve"> 收入和贫困</w:t>
      </w:r>
    </w:p>
    <w:tbl>
      <w:tblPr>
        <w:tblW w:w="5000" w:type="pct"/>
        <w:tblCellMar>
          <w:left w:w="0" w:type="dxa"/>
          <w:right w:w="0" w:type="dxa"/>
        </w:tblCellMar>
        <w:tblLook w:val="01E0" w:firstRow="1" w:lastRow="1" w:firstColumn="1" w:lastColumn="1" w:noHBand="0" w:noVBand="0"/>
      </w:tblPr>
      <w:tblGrid>
        <w:gridCol w:w="4608"/>
        <w:gridCol w:w="875"/>
        <w:gridCol w:w="875"/>
        <w:gridCol w:w="876"/>
        <w:gridCol w:w="876"/>
        <w:gridCol w:w="876"/>
        <w:gridCol w:w="874"/>
      </w:tblGrid>
      <w:tr w:rsidR="001A7779">
        <w:trPr>
          <w:cantSplit/>
          <w:tblHeader/>
        </w:trPr>
        <w:tc>
          <w:tcPr>
            <w:tcW w:w="2337" w:type="pct"/>
            <w:vMerge w:val="restart"/>
            <w:tcBorders>
              <w:top w:val="single" w:sz="4" w:space="0" w:color="auto"/>
              <w:left w:val="single" w:sz="4" w:space="0" w:color="auto"/>
              <w:right w:val="single" w:sz="4" w:space="0" w:color="auto"/>
            </w:tcBorders>
            <w:noWrap/>
            <w:tcMar>
              <w:top w:w="0" w:type="dxa"/>
              <w:bottom w:w="0" w:type="dxa"/>
            </w:tcMar>
            <w:vAlign w:val="center"/>
          </w:tcPr>
          <w:p w:rsidR="001A7779" w:rsidRDefault="001A7779">
            <w:pPr>
              <w:tabs>
                <w:tab w:val="left" w:pos="630"/>
              </w:tabs>
              <w:spacing w:before="60" w:after="60" w:line="360" w:lineRule="exact"/>
              <w:rPr>
                <w:rFonts w:ascii="SimHei" w:eastAsia="SimHei"/>
                <w:color w:val="FF0000"/>
                <w:sz w:val="18"/>
              </w:rPr>
            </w:pPr>
          </w:p>
        </w:tc>
        <w:tc>
          <w:tcPr>
            <w:tcW w:w="2663" w:type="pct"/>
            <w:gridSpan w:val="6"/>
            <w:tcBorders>
              <w:top w:val="single" w:sz="4" w:space="0" w:color="auto"/>
              <w:left w:val="single" w:sz="4" w:space="0" w:color="auto"/>
              <w:bottom w:val="single" w:sz="2" w:space="0" w:color="auto"/>
              <w:right w:val="single" w:sz="4" w:space="0" w:color="auto"/>
            </w:tcBorders>
            <w:noWrap/>
            <w:tcMar>
              <w:top w:w="0" w:type="dxa"/>
              <w:bottom w:w="0" w:type="dxa"/>
            </w:tcMar>
            <w:vAlign w:val="center"/>
          </w:tcPr>
          <w:p w:rsidR="001A7779" w:rsidRDefault="001A7779">
            <w:pPr>
              <w:pStyle w:val="Header"/>
              <w:pBdr>
                <w:bottom w:val="none" w:sz="0" w:space="0" w:color="auto"/>
              </w:pBdr>
              <w:tabs>
                <w:tab w:val="clear" w:pos="4320"/>
                <w:tab w:val="clear" w:pos="8640"/>
                <w:tab w:val="left" w:pos="630"/>
              </w:tabs>
              <w:spacing w:before="60" w:after="60" w:line="360" w:lineRule="exact"/>
              <w:rPr>
                <w:rFonts w:ascii="SimHei" w:eastAsia="SimHei"/>
                <w:color w:val="FF0000"/>
              </w:rPr>
            </w:pPr>
            <w:r>
              <w:rPr>
                <w:rFonts w:ascii="SimHei" w:eastAsia="SimHei" w:hint="eastAsia"/>
                <w:color w:val="FF0000"/>
              </w:rPr>
              <w:t>收入</w:t>
            </w:r>
          </w:p>
        </w:tc>
      </w:tr>
      <w:tr w:rsidR="001A7779">
        <w:trPr>
          <w:cantSplit/>
          <w:tblHeader/>
        </w:trPr>
        <w:tc>
          <w:tcPr>
            <w:tcW w:w="2337" w:type="pct"/>
            <w:vMerge/>
            <w:tcBorders>
              <w:left w:val="single" w:sz="4" w:space="0" w:color="auto"/>
              <w:right w:val="single" w:sz="4" w:space="0" w:color="auto"/>
            </w:tcBorders>
            <w:noWrap/>
            <w:tcMar>
              <w:top w:w="0" w:type="dxa"/>
              <w:bottom w:w="0" w:type="dxa"/>
            </w:tcMar>
            <w:vAlign w:val="center"/>
          </w:tcPr>
          <w:p w:rsidR="001A7779" w:rsidRDefault="001A7779">
            <w:pPr>
              <w:tabs>
                <w:tab w:val="left" w:pos="630"/>
              </w:tabs>
              <w:spacing w:before="60" w:after="60" w:line="360" w:lineRule="exact"/>
              <w:rPr>
                <w:rFonts w:ascii="SimHei" w:eastAsia="SimHei"/>
                <w:color w:val="FF0000"/>
                <w:sz w:val="18"/>
              </w:rPr>
            </w:pPr>
          </w:p>
        </w:tc>
        <w:tc>
          <w:tcPr>
            <w:tcW w:w="1332" w:type="pct"/>
            <w:gridSpan w:val="3"/>
            <w:tcBorders>
              <w:top w:val="single" w:sz="2" w:space="0" w:color="auto"/>
              <w:left w:val="single" w:sz="4" w:space="0" w:color="auto"/>
              <w:bottom w:val="single" w:sz="2" w:space="0" w:color="auto"/>
              <w:right w:val="single" w:sz="2" w:space="0" w:color="auto"/>
            </w:tcBorders>
            <w:noWrap/>
            <w:tcMar>
              <w:top w:w="0" w:type="dxa"/>
              <w:bottom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现金</w:t>
            </w:r>
          </w:p>
        </w:tc>
        <w:tc>
          <w:tcPr>
            <w:tcW w:w="1332" w:type="pct"/>
            <w:gridSpan w:val="3"/>
            <w:tcBorders>
              <w:top w:val="single" w:sz="2" w:space="0" w:color="auto"/>
              <w:left w:val="single" w:sz="2" w:space="0" w:color="auto"/>
              <w:bottom w:val="single" w:sz="2" w:space="0" w:color="auto"/>
              <w:right w:val="single" w:sz="4" w:space="0" w:color="auto"/>
            </w:tcBorders>
            <w:noWrap/>
            <w:tcMar>
              <w:top w:w="0" w:type="dxa"/>
              <w:bottom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hint="eastAsia"/>
                <w:color w:val="FF0000"/>
                <w:sz w:val="18"/>
              </w:rPr>
              <w:t>现金</w:t>
            </w:r>
            <w:r>
              <w:rPr>
                <w:rFonts w:ascii="SimHei" w:eastAsia="SimHei"/>
                <w:color w:val="FF0000"/>
                <w:sz w:val="18"/>
              </w:rPr>
              <w:t xml:space="preserve"> +</w:t>
            </w:r>
            <w:r>
              <w:rPr>
                <w:rFonts w:ascii="SimHei" w:eastAsia="SimHei" w:hint="eastAsia"/>
                <w:color w:val="FF0000"/>
                <w:sz w:val="18"/>
              </w:rPr>
              <w:t>实物</w:t>
            </w:r>
          </w:p>
        </w:tc>
      </w:tr>
      <w:tr w:rsidR="001A7779">
        <w:trPr>
          <w:cantSplit/>
          <w:tblHeader/>
        </w:trPr>
        <w:tc>
          <w:tcPr>
            <w:tcW w:w="2337" w:type="pct"/>
            <w:vMerge/>
            <w:tcBorders>
              <w:left w:val="single" w:sz="4" w:space="0" w:color="auto"/>
              <w:bottom w:val="single" w:sz="2" w:space="0" w:color="auto"/>
              <w:right w:val="single" w:sz="4" w:space="0" w:color="auto"/>
            </w:tcBorders>
            <w:noWrap/>
            <w:vAlign w:val="center"/>
          </w:tcPr>
          <w:p w:rsidR="001A7779" w:rsidRDefault="001A7779">
            <w:pPr>
              <w:tabs>
                <w:tab w:val="left" w:pos="630"/>
              </w:tabs>
              <w:spacing w:before="60" w:after="60" w:line="360" w:lineRule="exact"/>
              <w:rPr>
                <w:rFonts w:ascii="SimHei" w:eastAsia="SimHei"/>
                <w:color w:val="FF0000"/>
                <w:sz w:val="18"/>
              </w:rPr>
            </w:pPr>
          </w:p>
        </w:tc>
        <w:tc>
          <w:tcPr>
            <w:tcW w:w="444" w:type="pct"/>
            <w:tcBorders>
              <w:top w:val="single" w:sz="2" w:space="0" w:color="auto"/>
              <w:left w:val="single" w:sz="4" w:space="0" w:color="auto"/>
              <w:bottom w:val="single" w:sz="2" w:space="0" w:color="auto"/>
              <w:right w:val="single" w:sz="2" w:space="0" w:color="auto"/>
            </w:tcBorders>
            <w:noWrap/>
            <w:tcMar>
              <w:top w:w="0" w:type="dxa"/>
              <w:left w:w="0" w:type="dxa"/>
              <w:bottom w:w="0" w:type="dxa"/>
              <w:right w:w="0" w:type="dxa"/>
            </w:tcMar>
            <w:vAlign w:val="center"/>
          </w:tcPr>
          <w:p w:rsidR="001A7779" w:rsidRDefault="001A7779">
            <w:pPr>
              <w:pStyle w:val="Header"/>
              <w:pBdr>
                <w:bottom w:val="none" w:sz="0" w:space="0" w:color="auto"/>
              </w:pBdr>
              <w:tabs>
                <w:tab w:val="clear" w:pos="4320"/>
                <w:tab w:val="clear" w:pos="8640"/>
                <w:tab w:val="left" w:pos="630"/>
              </w:tabs>
              <w:spacing w:before="60" w:after="60" w:line="360" w:lineRule="exact"/>
              <w:rPr>
                <w:rFonts w:ascii="SimHei" w:eastAsia="SimHei"/>
                <w:color w:val="FF0000"/>
              </w:rPr>
            </w:pPr>
            <w:r>
              <w:rPr>
                <w:rFonts w:ascii="SimHei" w:eastAsia="SimHei"/>
                <w:color w:val="FF0000"/>
              </w:rPr>
              <w:t>2000</w:t>
            </w:r>
            <w:r>
              <w:rPr>
                <w:rFonts w:ascii="SimHei" w:eastAsia="SimHei" w:hint="eastAsia"/>
                <w:color w:val="FF0000"/>
              </w:rPr>
              <w:t>年</w:t>
            </w:r>
          </w:p>
        </w:tc>
        <w:tc>
          <w:tcPr>
            <w:tcW w:w="444" w:type="pct"/>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444" w:type="pct"/>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444" w:type="pct"/>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444" w:type="pct"/>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443" w:type="pct"/>
            <w:tcBorders>
              <w:top w:val="single" w:sz="2" w:space="0" w:color="auto"/>
              <w:left w:val="single" w:sz="2" w:space="0" w:color="auto"/>
              <w:bottom w:val="single" w:sz="2" w:space="0" w:color="auto"/>
              <w:right w:val="single" w:sz="4" w:space="0" w:color="auto"/>
            </w:tcBorders>
            <w:noWrap/>
            <w:tcMar>
              <w:top w:w="0" w:type="dxa"/>
              <w:left w:w="0" w:type="dxa"/>
              <w:bottom w:w="0" w:type="dxa"/>
              <w:right w:w="0" w:type="dxa"/>
            </w:tcMar>
            <w:vAlign w:val="center"/>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r>
      <w:tr w:rsidR="001A7779">
        <w:tc>
          <w:tcPr>
            <w:tcW w:w="2337" w:type="pct"/>
            <w:tcBorders>
              <w:top w:val="single" w:sz="2"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贫困风险率</w:t>
            </w:r>
          </w:p>
        </w:tc>
        <w:tc>
          <w:tcPr>
            <w:tcW w:w="444"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13.0</w:t>
            </w:r>
          </w:p>
        </w:tc>
        <w:tc>
          <w:tcPr>
            <w:tcW w:w="444"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12.9</w:t>
            </w:r>
          </w:p>
        </w:tc>
        <w:tc>
          <w:tcPr>
            <w:tcW w:w="444"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11.9</w:t>
            </w:r>
          </w:p>
        </w:tc>
        <w:tc>
          <w:tcPr>
            <w:tcW w:w="444"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11.3</w:t>
            </w:r>
          </w:p>
        </w:tc>
        <w:tc>
          <w:tcPr>
            <w:tcW w:w="444"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10.6</w:t>
            </w:r>
          </w:p>
        </w:tc>
        <w:tc>
          <w:tcPr>
            <w:tcW w:w="443" w:type="pct"/>
            <w:tcBorders>
              <w:top w:val="single" w:sz="2"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9.9</w:t>
            </w:r>
          </w:p>
        </w:tc>
      </w:tr>
      <w:tr w:rsidR="001A7779">
        <w:tc>
          <w:tcPr>
            <w:tcW w:w="2337" w:type="pct"/>
            <w:tcBorders>
              <w:top w:val="single" w:sz="4" w:space="0" w:color="auto"/>
              <w:left w:val="single" w:sz="4" w:space="0" w:color="auto"/>
              <w:bottom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按年龄和性别分列的贫困风险率细目</w:t>
            </w: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3" w:type="pct"/>
            <w:tcBorders>
              <w:top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bookmarkStart w:id="4" w:name="RANGE!H15"/>
            <w:r>
              <w:rPr>
                <w:sz w:val="18"/>
              </w:rPr>
              <w:t>12.4</w:t>
            </w:r>
            <w:bookmarkEnd w:id="4"/>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8.5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 xml:space="preserve">0-15 </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8.7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7.4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16-24</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10.3</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10.0</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13.2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14.1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10.4</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10.3</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9.9</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25-49 </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7.4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7.6</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8.5</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7.2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50-64 </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9.3</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10.1</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65 </w:t>
            </w:r>
            <w:r>
              <w:rPr>
                <w:rFonts w:hint="eastAsia"/>
                <w:sz w:val="18"/>
              </w:rPr>
              <w:t>岁及以上</w:t>
            </w:r>
            <w:r>
              <w:rPr>
                <w:sz w:val="18"/>
              </w:rPr>
              <w:tab/>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23.4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21.4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21.2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19.5</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19.2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18.5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19.6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16.7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14.0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12.9</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26.3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23.8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24.1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25.4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23.5</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24.1</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0-64 </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9.1</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9.1</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16 </w:t>
            </w:r>
            <w:r>
              <w:rPr>
                <w:rFonts w:hint="eastAsia"/>
                <w:sz w:val="18"/>
              </w:rPr>
              <w:t>岁及以上</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13.4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13.1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11.0</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9.0</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13.9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13.6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12.2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 xml:space="preserve">16-64 </w:t>
            </w:r>
            <w:r>
              <w:rPr>
                <w:rFonts w:hint="eastAsia"/>
                <w:sz w:val="18"/>
              </w:rPr>
              <w:t>岁</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11.6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4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10.9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9.2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40" w:lineRule="exact"/>
              <w:ind w:leftChars="50" w:left="31680" w:rightChars="50" w:right="31680"/>
              <w:jc w:val="center"/>
              <w:rPr>
                <w:sz w:val="18"/>
              </w:rPr>
            </w:pPr>
            <w:r>
              <w:rPr>
                <w:sz w:val="18"/>
              </w:rPr>
              <w:t>8.4</w:t>
            </w:r>
          </w:p>
        </w:tc>
      </w:tr>
      <w:tr w:rsidR="001A7779">
        <w:tc>
          <w:tcPr>
            <w:tcW w:w="2337" w:type="pct"/>
            <w:tcBorders>
              <w:top w:val="single" w:sz="4" w:space="0" w:color="auto"/>
              <w:left w:val="single" w:sz="4" w:space="0" w:color="auto"/>
              <w:bottom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按最频繁活动状况和性别分列的贫困风险率细目</w:t>
            </w: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bottom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3" w:type="pct"/>
            <w:tcBorders>
              <w:top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有工作</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6.8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6.8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5.6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5.2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4.8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7.4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7.5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6.3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5.4</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6.1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6.0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带薪金</w:t>
            </w:r>
            <w:r>
              <w:rPr>
                <w:sz w:val="18"/>
              </w:rPr>
              <w:t>/</w:t>
            </w:r>
            <w:r>
              <w:rPr>
                <w:rFonts w:hint="eastAsia"/>
                <w:sz w:val="18"/>
              </w:rPr>
              <w:t>工资的雇员</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5.4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4.4</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3.6</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自营职业</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9.7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7.3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13.9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10.3</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7.1</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8.6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7.8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不工作</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18.9</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18.6</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失业</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39.5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40.3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39.1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42.1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40.8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38.4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38.8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41.6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36.9</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39.3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37.1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36.2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42.8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45.8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37.5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退休者</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14.5</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11.7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12.1</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14.9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15.7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16.4</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rFonts w:hint="eastAsia"/>
                <w:sz w:val="18"/>
              </w:rPr>
              <w:t>其他非从事经济活动者</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23.3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22.7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17.9</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21.9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20.8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16.4</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14.8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54"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24.2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24.0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22.1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19.2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18.8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54" w:lineRule="exact"/>
              <w:ind w:leftChars="50" w:left="31680" w:rightChars="50" w:right="31680"/>
              <w:jc w:val="center"/>
              <w:rPr>
                <w:sz w:val="18"/>
              </w:rPr>
            </w:pPr>
            <w:r>
              <w:rPr>
                <w:sz w:val="18"/>
              </w:rPr>
              <w:t>17.4</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按家庭类型分列的贫困风险率细目</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所有无受抚养子女的家庭</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15.5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15.1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13.8</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一人家庭共计</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34.4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33.3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35.7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36.2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35.2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36.1</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男性一人家庭</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29.9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34.2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38.4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28.5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27.7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30.5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女性一人家庭</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36.2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32.9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34.5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39.3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38.6</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38.7</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所有有受抚养子女的家庭</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8.7</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7.5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单亲家庭，一个或多个受抚养子女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18.0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21.1</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19.8</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按住宿保有权状况分列的贫困风险率细目</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业主或免租金</w:t>
            </w:r>
            <w:r>
              <w:rPr>
                <w:sz w:val="18"/>
              </w:rPr>
              <w:t xml:space="preserve"> </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11.5</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10.9</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9.2</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12.2</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10.0</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9.2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7.9</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13.3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12.3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11.7</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11.2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10.5</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rFonts w:hint="eastAsia"/>
                <w:sz w:val="18"/>
              </w:rPr>
              <w:t>房客</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14.6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19.9</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男</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17.6</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14.8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15.0</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18.3</w:t>
            </w:r>
          </w:p>
        </w:tc>
      </w:tr>
      <w:tr w:rsidR="001A7779">
        <w:tc>
          <w:tcPr>
            <w:tcW w:w="2337" w:type="pct"/>
            <w:tcBorders>
              <w:top w:val="single" w:sz="4" w:space="0" w:color="auto"/>
              <w:left w:val="single" w:sz="4" w:space="0" w:color="auto"/>
              <w:bottom w:val="single" w:sz="4" w:space="0" w:color="auto"/>
              <w:right w:val="single" w:sz="4" w:space="0" w:color="auto"/>
            </w:tcBorders>
            <w:tcMar>
              <w:left w:w="0" w:type="dxa"/>
              <w:right w:w="0" w:type="dxa"/>
            </w:tcMar>
          </w:tcPr>
          <w:p w:rsidR="001A7779" w:rsidRDefault="001A7779" w:rsidP="00B359E9">
            <w:pPr>
              <w:tabs>
                <w:tab w:val="left" w:pos="630"/>
              </w:tabs>
              <w:spacing w:before="60" w:after="60" w:line="360" w:lineRule="exact"/>
              <w:ind w:leftChars="50" w:left="31680" w:rightChars="50" w:right="31680"/>
              <w:rPr>
                <w:sz w:val="18"/>
              </w:rPr>
            </w:pPr>
            <w:r>
              <w:rPr>
                <w:sz w:val="18"/>
              </w:rPr>
              <w:t>–</w:t>
            </w:r>
            <w:r>
              <w:rPr>
                <w:rFonts w:hint="eastAsia"/>
                <w:sz w:val="18"/>
              </w:rPr>
              <w:t xml:space="preserve"> </w:t>
            </w:r>
            <w:r>
              <w:rPr>
                <w:rFonts w:hint="eastAsia"/>
                <w:sz w:val="18"/>
              </w:rPr>
              <w:t>女</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15.8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14.3</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17.4</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16.8</w:t>
            </w:r>
          </w:p>
        </w:tc>
        <w:tc>
          <w:tcPr>
            <w:tcW w:w="444"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17.2</w:t>
            </w:r>
          </w:p>
        </w:tc>
        <w:tc>
          <w:tcPr>
            <w:tcW w:w="443" w:type="pct"/>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leftChars="50" w:left="31680" w:rightChars="50" w:right="31680"/>
              <w:jc w:val="center"/>
              <w:rPr>
                <w:sz w:val="18"/>
              </w:rPr>
            </w:pPr>
            <w:r>
              <w:rPr>
                <w:sz w:val="18"/>
              </w:rPr>
              <w:t>21.4</w:t>
            </w:r>
          </w:p>
        </w:tc>
      </w:tr>
    </w:tbl>
    <w:p w:rsidR="001A7779" w:rsidRDefault="001A7779">
      <w:pPr>
        <w:tabs>
          <w:tab w:val="left" w:pos="630"/>
        </w:tabs>
        <w:spacing w:line="360" w:lineRule="exact"/>
        <w:rPr>
          <w:color w:val="000000"/>
          <w:sz w:val="18"/>
        </w:rPr>
      </w:pPr>
      <w:r>
        <w:rPr>
          <w:rFonts w:ascii="KaiTi_GB2312" w:eastAsia="KaiTi_GB2312" w:hint="eastAsia"/>
          <w:color w:val="0000FF"/>
          <w:sz w:val="18"/>
        </w:rPr>
        <w:t>资料来源：</w:t>
      </w:r>
      <w:r>
        <w:rPr>
          <w:color w:val="000000"/>
          <w:sz w:val="18"/>
        </w:rPr>
        <w:t>社会凝聚力指标</w:t>
      </w:r>
      <w:r>
        <w:rPr>
          <w:rFonts w:hint="eastAsia"/>
          <w:color w:val="000000"/>
          <w:sz w:val="18"/>
        </w:rPr>
        <w:t>（</w:t>
      </w:r>
      <w:r>
        <w:rPr>
          <w:color w:val="000000"/>
          <w:sz w:val="18"/>
        </w:rPr>
        <w:t>Laeken</w:t>
      </w:r>
      <w:r>
        <w:rPr>
          <w:rFonts w:hint="eastAsia"/>
          <w:color w:val="000000"/>
          <w:sz w:val="18"/>
        </w:rPr>
        <w:t>指标</w:t>
      </w:r>
      <w:r>
        <w:rPr>
          <w:color w:val="000000"/>
          <w:sz w:val="18"/>
        </w:rPr>
        <w:t xml:space="preserve"> </w:t>
      </w:r>
      <w:r>
        <w:rPr>
          <w:rFonts w:hint="eastAsia"/>
          <w:color w:val="000000"/>
          <w:sz w:val="18"/>
        </w:rPr>
        <w:t>），</w:t>
      </w:r>
      <w:r>
        <w:rPr>
          <w:color w:val="000000"/>
          <w:sz w:val="18"/>
        </w:rPr>
        <w:t xml:space="preserve"> 2000 – 2002</w:t>
      </w:r>
      <w:r>
        <w:rPr>
          <w:rFonts w:hint="eastAsia"/>
          <w:color w:val="000000"/>
          <w:sz w:val="18"/>
        </w:rPr>
        <w:t>年。</w:t>
      </w:r>
    </w:p>
    <w:p w:rsidR="001A7779" w:rsidRDefault="001A7779">
      <w:pPr>
        <w:tabs>
          <w:tab w:val="left" w:pos="630"/>
        </w:tabs>
        <w:spacing w:after="240" w:line="360" w:lineRule="exact"/>
        <w:rPr>
          <w:color w:val="000000"/>
          <w:sz w:val="18"/>
        </w:rPr>
      </w:pPr>
      <w:r>
        <w:rPr>
          <w:rFonts w:hint="eastAsia"/>
          <w:color w:val="000000"/>
          <w:sz w:val="18"/>
        </w:rPr>
        <w:t>斯洛文尼亚共和国统计局，</w:t>
      </w:r>
      <w:r>
        <w:rPr>
          <w:rFonts w:hint="eastAsia"/>
          <w:color w:val="000000"/>
          <w:sz w:val="18"/>
        </w:rPr>
        <w:t>2004</w:t>
      </w:r>
      <w:r>
        <w:rPr>
          <w:rFonts w:hint="eastAsia"/>
          <w:color w:val="000000"/>
          <w:sz w:val="18"/>
        </w:rPr>
        <w:t>年。</w:t>
      </w:r>
      <w:r>
        <w:rPr>
          <w:color w:val="000000"/>
          <w:sz w:val="18"/>
        </w:rPr>
        <w:t xml:space="preserve"> </w:t>
      </w:r>
    </w:p>
    <w:p w:rsidR="001A7779" w:rsidRDefault="001A777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47</w:t>
      </w:r>
      <w:r>
        <w:rPr>
          <w:rFonts w:ascii="SimHei" w:eastAsia="SimHei" w:hint="eastAsia"/>
          <w:color w:val="FF0000"/>
        </w:rPr>
        <w:t>：</w:t>
      </w:r>
      <w:r>
        <w:rPr>
          <w:rFonts w:ascii="SimHei" w:eastAsia="SimHei"/>
          <w:color w:val="FF0000"/>
        </w:rPr>
        <w:t>2000</w:t>
      </w:r>
      <w:r>
        <w:rPr>
          <w:rFonts w:ascii="SimHei" w:eastAsia="SimHei" w:hint="eastAsia"/>
          <w:color w:val="FF0000"/>
        </w:rPr>
        <w:t>年4月</w:t>
      </w:r>
      <w:r>
        <w:rPr>
          <w:rFonts w:ascii="SimHei" w:eastAsia="SimHei"/>
          <w:color w:val="FF0000"/>
        </w:rPr>
        <w:t xml:space="preserve"> </w:t>
      </w:r>
      <w:r>
        <w:rPr>
          <w:rFonts w:ascii="SimHei" w:eastAsia="SimHei"/>
          <w:color w:val="FF0000"/>
        </w:rPr>
        <w:t>–</w:t>
      </w:r>
      <w:r>
        <w:rPr>
          <w:rFonts w:ascii="SimHei" w:eastAsia="SimHei"/>
          <w:color w:val="FF0000"/>
        </w:rPr>
        <w:t>2001</w:t>
      </w:r>
      <w:r>
        <w:rPr>
          <w:rFonts w:ascii="SimHei" w:eastAsia="SimHei" w:hint="eastAsia"/>
          <w:color w:val="FF0000"/>
        </w:rPr>
        <w:t>年3月按性别分列的10岁及以上人的时间利用</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0"/>
        <w:gridCol w:w="3360"/>
        <w:gridCol w:w="3360"/>
      </w:tblGrid>
      <w:tr w:rsidR="001A7779">
        <w:tblPrEx>
          <w:tblCellMar>
            <w:top w:w="0" w:type="dxa"/>
            <w:bottom w:w="0" w:type="dxa"/>
          </w:tblCellMar>
        </w:tblPrEx>
        <w:trPr>
          <w:cantSplit/>
          <w:tblHeader/>
        </w:trPr>
        <w:tc>
          <w:tcPr>
            <w:tcW w:w="3120" w:type="dxa"/>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活动</w:t>
            </w:r>
          </w:p>
        </w:tc>
        <w:tc>
          <w:tcPr>
            <w:tcW w:w="33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男</w:t>
            </w:r>
          </w:p>
        </w:tc>
        <w:tc>
          <w:tcPr>
            <w:tcW w:w="33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女</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共计</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睡觉</w:t>
            </w:r>
          </w:p>
        </w:tc>
        <w:tc>
          <w:tcPr>
            <w:tcW w:w="3360" w:type="dxa"/>
          </w:tcPr>
          <w:p w:rsidR="001A7779" w:rsidRDefault="001A7779" w:rsidP="00B359E9">
            <w:pPr>
              <w:tabs>
                <w:tab w:val="left" w:pos="630"/>
              </w:tabs>
              <w:spacing w:before="60" w:after="60" w:line="360" w:lineRule="exact"/>
              <w:ind w:rightChars="480" w:right="31680"/>
              <w:jc w:val="right"/>
              <w:rPr>
                <w:rFonts w:hint="eastAsia"/>
                <w:sz w:val="18"/>
              </w:rPr>
            </w:pPr>
            <w:r>
              <w:rPr>
                <w:sz w:val="18"/>
              </w:rPr>
              <w:t>8</w:t>
            </w:r>
            <w:r>
              <w:rPr>
                <w:rFonts w:hint="eastAsia"/>
                <w:sz w:val="18"/>
              </w:rPr>
              <w:t>小时</w:t>
            </w:r>
            <w:r>
              <w:rPr>
                <w:sz w:val="18"/>
              </w:rPr>
              <w:t>31</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8</w:t>
            </w:r>
            <w:r>
              <w:rPr>
                <w:sz w:val="18"/>
              </w:rPr>
              <w:t>小时</w:t>
            </w:r>
            <w:r>
              <w:rPr>
                <w:sz w:val="18"/>
              </w:rPr>
              <w:t>40</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进餐</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31</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25</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个人护理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 xml:space="preserve"> 19</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16</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就业</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3</w:t>
            </w:r>
            <w:r>
              <w:rPr>
                <w:sz w:val="18"/>
              </w:rPr>
              <w:t>小时</w:t>
            </w:r>
            <w:r>
              <w:rPr>
                <w:sz w:val="18"/>
              </w:rPr>
              <w:t>13</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13</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学习</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43</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42</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家庭照料和非正式地帮助其他家庭</w:t>
            </w:r>
            <w:r>
              <w:rPr>
                <w:sz w:val="18"/>
              </w:rPr>
              <w:t xml:space="preserve"> </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23</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rFonts w:hint="eastAsia"/>
                <w:sz w:val="18"/>
              </w:rPr>
              <w:t>0</w:t>
            </w:r>
            <w:r>
              <w:rPr>
                <w:sz w:val="18"/>
              </w:rPr>
              <w:t>4</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家人照料</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11</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27</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参与性活动，宗教活动</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9</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8</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文化、体育、爱好</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2</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39</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社会生活</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1</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电视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12</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50</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其他大众媒体</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32</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31</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旅游</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11</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1</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其他，未说明</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rFonts w:hint="eastAsia"/>
                <w:sz w:val="18"/>
              </w:rPr>
              <w:t>分</w:t>
            </w:r>
          </w:p>
        </w:tc>
      </w:tr>
    </w:tbl>
    <w:p w:rsidR="001A7779" w:rsidRDefault="001A7779">
      <w:pPr>
        <w:tabs>
          <w:tab w:val="left" w:pos="630"/>
        </w:tabs>
        <w:spacing w:after="24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48</w:t>
      </w:r>
      <w:r>
        <w:rPr>
          <w:rFonts w:ascii="SimHei" w:eastAsia="SimHei" w:hint="eastAsia"/>
          <w:color w:val="FF0000"/>
        </w:rPr>
        <w:t>：斯洛文尼亚20-74岁男子和妇女的时间利用结构</w:t>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20"/>
        <w:gridCol w:w="3360"/>
        <w:gridCol w:w="3360"/>
      </w:tblGrid>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活动</w:t>
            </w:r>
          </w:p>
        </w:tc>
        <w:tc>
          <w:tcPr>
            <w:tcW w:w="336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男</w:t>
            </w:r>
          </w:p>
        </w:tc>
        <w:tc>
          <w:tcPr>
            <w:tcW w:w="336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女</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共计</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空余时间</w:t>
            </w:r>
            <w:r>
              <w:rPr>
                <w:sz w:val="18"/>
              </w:rPr>
              <w:t>*</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5</w:t>
            </w:r>
            <w:r>
              <w:rPr>
                <w:sz w:val="18"/>
              </w:rPr>
              <w:t>小时</w:t>
            </w:r>
            <w:r>
              <w:rPr>
                <w:sz w:val="18"/>
              </w:rPr>
              <w:t>34</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29</w:t>
            </w:r>
            <w:r>
              <w:rPr>
                <w:rFonts w:hint="eastAsia"/>
                <w:sz w:val="18"/>
              </w:rPr>
              <w:t>分</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进餐、个人护理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13</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08</w:t>
            </w:r>
            <w:r>
              <w:rPr>
                <w:rFonts w:hint="eastAsia"/>
                <w:sz w:val="18"/>
              </w:rPr>
              <w:t>分</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睡觉</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8</w:t>
            </w:r>
            <w:r>
              <w:rPr>
                <w:sz w:val="18"/>
              </w:rPr>
              <w:t>小时</w:t>
            </w:r>
            <w:r>
              <w:rPr>
                <w:sz w:val="18"/>
              </w:rPr>
              <w:t>17</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8</w:t>
            </w:r>
            <w:r>
              <w:rPr>
                <w:sz w:val="18"/>
              </w:rPr>
              <w:t>小时</w:t>
            </w:r>
            <w:r>
              <w:rPr>
                <w:sz w:val="18"/>
              </w:rPr>
              <w:t>24</w:t>
            </w:r>
            <w:r>
              <w:rPr>
                <w:rFonts w:hint="eastAsia"/>
                <w:sz w:val="18"/>
              </w:rPr>
              <w:t>分</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旅游</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09</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02</w:t>
            </w:r>
            <w:r>
              <w:rPr>
                <w:rFonts w:hint="eastAsia"/>
                <w:sz w:val="18"/>
              </w:rPr>
              <w:t>分</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家务</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39</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57</w:t>
            </w:r>
            <w:r>
              <w:rPr>
                <w:rFonts w:hint="eastAsia"/>
                <w:sz w:val="18"/>
              </w:rPr>
              <w:t>分</w:t>
            </w:r>
          </w:p>
        </w:tc>
      </w:tr>
      <w:tr w:rsidR="001A7779">
        <w:tblPrEx>
          <w:tblCellMar>
            <w:top w:w="0" w:type="dxa"/>
            <w:bottom w:w="0" w:type="dxa"/>
          </w:tblCellMar>
        </w:tblPrEx>
        <w:trPr>
          <w:cantSplit/>
        </w:trPr>
        <w:tc>
          <w:tcPr>
            <w:tcW w:w="3120" w:type="dxa"/>
            <w:tcBorders>
              <w:top w:val="single" w:sz="4" w:space="0" w:color="auto"/>
              <w:left w:val="single" w:sz="4" w:space="0" w:color="auto"/>
              <w:bottom w:val="single" w:sz="4" w:space="0" w:color="auto"/>
              <w:right w:val="single" w:sz="4" w:space="0" w:color="auto"/>
            </w:tcBorders>
          </w:tcPr>
          <w:p w:rsidR="001A7779" w:rsidRDefault="001A7779">
            <w:pPr>
              <w:tabs>
                <w:tab w:val="left" w:pos="630"/>
              </w:tabs>
              <w:spacing w:before="60" w:after="60" w:line="360" w:lineRule="exact"/>
              <w:rPr>
                <w:sz w:val="18"/>
              </w:rPr>
            </w:pPr>
            <w:r>
              <w:rPr>
                <w:rFonts w:hint="eastAsia"/>
                <w:sz w:val="18"/>
              </w:rPr>
              <w:t>有酬工作，学习</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07</w:t>
            </w:r>
            <w:r>
              <w:rPr>
                <w:rFonts w:hint="eastAsia"/>
                <w:sz w:val="18"/>
              </w:rPr>
              <w:t>分</w:t>
            </w:r>
          </w:p>
        </w:tc>
        <w:tc>
          <w:tcPr>
            <w:tcW w:w="3360" w:type="dxa"/>
            <w:tcBorders>
              <w:top w:val="single" w:sz="4" w:space="0" w:color="auto"/>
              <w:left w:val="single" w:sz="4" w:space="0" w:color="auto"/>
              <w:bottom w:val="single" w:sz="4" w:space="0" w:color="auto"/>
              <w:right w:val="single" w:sz="4" w:space="0" w:color="auto"/>
            </w:tcBorders>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59</w:t>
            </w:r>
            <w:r>
              <w:rPr>
                <w:rFonts w:hint="eastAsia"/>
                <w:sz w:val="18"/>
              </w:rPr>
              <w:t>分</w:t>
            </w:r>
          </w:p>
        </w:tc>
      </w:tr>
    </w:tbl>
    <w:p w:rsidR="001A7779" w:rsidRDefault="001A7779">
      <w:pPr>
        <w:tabs>
          <w:tab w:val="left" w:pos="630"/>
        </w:tabs>
        <w:spacing w:line="360" w:lineRule="exact"/>
        <w:rPr>
          <w:color w:val="000000"/>
          <w:sz w:val="18"/>
        </w:rPr>
      </w:pPr>
      <w:r>
        <w:rPr>
          <w:color w:val="000000"/>
          <w:sz w:val="18"/>
        </w:rPr>
        <w:t>*</w:t>
      </w:r>
      <w:r>
        <w:rPr>
          <w:rFonts w:hint="eastAsia"/>
          <w:color w:val="000000"/>
          <w:sz w:val="18"/>
        </w:rPr>
        <w:t xml:space="preserve">  </w:t>
      </w:r>
      <w:r>
        <w:rPr>
          <w:rFonts w:hint="eastAsia"/>
          <w:color w:val="000000"/>
          <w:sz w:val="18"/>
        </w:rPr>
        <w:t>空余时间包括其他所有活动，即义工和会议、帮助其他家庭、社交和娱乐、体育和室外活动、爱好和游戏、看电视、休息或不做事，以及未说明的时间利用。</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欧洲人如何支配其时间：</w:t>
      </w:r>
      <w:r>
        <w:rPr>
          <w:color w:val="000000"/>
          <w:sz w:val="18"/>
        </w:rPr>
        <w:t xml:space="preserve"> </w:t>
      </w:r>
      <w:r>
        <w:rPr>
          <w:rFonts w:hint="eastAsia"/>
          <w:color w:val="000000"/>
          <w:sz w:val="18"/>
        </w:rPr>
        <w:t>妇女与男子的日常生活（</w:t>
      </w:r>
      <w:r>
        <w:rPr>
          <w:color w:val="000000"/>
          <w:sz w:val="18"/>
        </w:rPr>
        <w:t>1998 – 2002</w:t>
      </w:r>
      <w:r>
        <w:rPr>
          <w:rFonts w:hint="eastAsia"/>
          <w:color w:val="000000"/>
          <w:sz w:val="18"/>
        </w:rPr>
        <w:t>年数据），</w:t>
      </w:r>
      <w:r>
        <w:rPr>
          <w:color w:val="000000"/>
          <w:sz w:val="18"/>
        </w:rPr>
        <w:t xml:space="preserve"> </w:t>
      </w:r>
      <w:r>
        <w:rPr>
          <w:rFonts w:hint="eastAsia"/>
          <w:color w:val="000000"/>
          <w:sz w:val="18"/>
        </w:rPr>
        <w:t>欧统处，</w:t>
      </w:r>
      <w:r>
        <w:rPr>
          <w:color w:val="000000"/>
          <w:sz w:val="18"/>
        </w:rPr>
        <w:t>2004</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49</w:t>
      </w:r>
      <w:r>
        <w:rPr>
          <w:rFonts w:ascii="SimHei" w:eastAsia="SimHei" w:hint="eastAsia"/>
          <w:color w:val="FF0000"/>
        </w:rPr>
        <w:t>：斯洛文尼亚就业男子和妇女的时间利用结构</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3360"/>
        <w:gridCol w:w="3360"/>
      </w:tblGrid>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活动</w:t>
            </w:r>
          </w:p>
        </w:tc>
        <w:tc>
          <w:tcPr>
            <w:tcW w:w="33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男</w:t>
            </w:r>
          </w:p>
        </w:tc>
        <w:tc>
          <w:tcPr>
            <w:tcW w:w="3360" w:type="dxa"/>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女</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共计</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24</w:t>
            </w:r>
            <w:r>
              <w:rPr>
                <w:rFonts w:hint="eastAsia"/>
                <w:sz w:val="18"/>
              </w:rPr>
              <w:t>小时</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空余时间</w:t>
            </w:r>
            <w:r>
              <w:rPr>
                <w:sz w:val="18"/>
              </w:rPr>
              <w:t>*</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52</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3</w:t>
            </w:r>
            <w:r>
              <w:rPr>
                <w:sz w:val="18"/>
              </w:rPr>
              <w:t>小时</w:t>
            </w:r>
            <w:r>
              <w:rPr>
                <w:sz w:val="18"/>
              </w:rPr>
              <w:t>51</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进餐、个人护理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07</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02</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睡觉</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8</w:t>
            </w:r>
            <w:r>
              <w:rPr>
                <w:sz w:val="18"/>
              </w:rPr>
              <w:t>小时</w:t>
            </w:r>
            <w:r>
              <w:rPr>
                <w:sz w:val="18"/>
              </w:rPr>
              <w:t>06</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8</w:t>
            </w:r>
            <w:r>
              <w:rPr>
                <w:sz w:val="18"/>
              </w:rPr>
              <w:t>小时</w:t>
            </w:r>
            <w:r>
              <w:rPr>
                <w:sz w:val="18"/>
              </w:rPr>
              <w:t>12</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旅游</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14</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1</w:t>
            </w:r>
            <w:r>
              <w:rPr>
                <w:sz w:val="18"/>
              </w:rPr>
              <w:t>小时</w:t>
            </w:r>
            <w:r>
              <w:rPr>
                <w:sz w:val="18"/>
              </w:rPr>
              <w:t>09</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家务</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2</w:t>
            </w:r>
            <w:r>
              <w:rPr>
                <w:sz w:val="18"/>
              </w:rPr>
              <w:t>小时</w:t>
            </w:r>
            <w:r>
              <w:rPr>
                <w:sz w:val="18"/>
              </w:rPr>
              <w:t>24</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24</w:t>
            </w:r>
            <w:r>
              <w:rPr>
                <w:rFonts w:hint="eastAsia"/>
                <w:sz w:val="18"/>
              </w:rPr>
              <w:t>分</w:t>
            </w:r>
          </w:p>
        </w:tc>
      </w:tr>
      <w:tr w:rsidR="001A7779">
        <w:tblPrEx>
          <w:tblCellMar>
            <w:top w:w="0" w:type="dxa"/>
            <w:bottom w:w="0" w:type="dxa"/>
          </w:tblCellMar>
        </w:tblPrEx>
        <w:trPr>
          <w:cantSplit/>
        </w:trPr>
        <w:tc>
          <w:tcPr>
            <w:tcW w:w="3120" w:type="dxa"/>
          </w:tcPr>
          <w:p w:rsidR="001A7779" w:rsidRDefault="001A7779">
            <w:pPr>
              <w:tabs>
                <w:tab w:val="left" w:pos="630"/>
              </w:tabs>
              <w:spacing w:before="60" w:after="60" w:line="360" w:lineRule="exact"/>
              <w:rPr>
                <w:sz w:val="18"/>
              </w:rPr>
            </w:pPr>
            <w:r>
              <w:rPr>
                <w:rFonts w:hint="eastAsia"/>
                <w:sz w:val="18"/>
              </w:rPr>
              <w:t>有酬工作，学习</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5</w:t>
            </w:r>
            <w:r>
              <w:rPr>
                <w:sz w:val="18"/>
              </w:rPr>
              <w:t>小时</w:t>
            </w:r>
            <w:r>
              <w:rPr>
                <w:sz w:val="18"/>
              </w:rPr>
              <w:t>20</w:t>
            </w:r>
            <w:r>
              <w:rPr>
                <w:rFonts w:hint="eastAsia"/>
                <w:sz w:val="18"/>
              </w:rPr>
              <w:t>分</w:t>
            </w:r>
          </w:p>
        </w:tc>
        <w:tc>
          <w:tcPr>
            <w:tcW w:w="3360" w:type="dxa"/>
          </w:tcPr>
          <w:p w:rsidR="001A7779" w:rsidRDefault="001A7779" w:rsidP="00B359E9">
            <w:pPr>
              <w:tabs>
                <w:tab w:val="left" w:pos="630"/>
              </w:tabs>
              <w:spacing w:before="60" w:after="60" w:line="360" w:lineRule="exact"/>
              <w:ind w:rightChars="480" w:right="31680"/>
              <w:jc w:val="right"/>
              <w:rPr>
                <w:sz w:val="18"/>
              </w:rPr>
            </w:pPr>
            <w:r>
              <w:rPr>
                <w:sz w:val="18"/>
              </w:rPr>
              <w:t>4</w:t>
            </w:r>
            <w:r>
              <w:rPr>
                <w:sz w:val="18"/>
              </w:rPr>
              <w:t>小时</w:t>
            </w:r>
            <w:r>
              <w:rPr>
                <w:sz w:val="18"/>
              </w:rPr>
              <w:t>23</w:t>
            </w:r>
            <w:r>
              <w:rPr>
                <w:rFonts w:hint="eastAsia"/>
                <w:sz w:val="18"/>
              </w:rPr>
              <w:t>分</w:t>
            </w:r>
          </w:p>
        </w:tc>
      </w:tr>
    </w:tbl>
    <w:p w:rsidR="001A7779" w:rsidRDefault="001A7779">
      <w:pPr>
        <w:tabs>
          <w:tab w:val="left" w:pos="630"/>
        </w:tabs>
        <w:spacing w:line="360" w:lineRule="exact"/>
        <w:rPr>
          <w:color w:val="000000"/>
          <w:sz w:val="18"/>
        </w:rPr>
      </w:pPr>
      <w:r>
        <w:rPr>
          <w:color w:val="000000"/>
          <w:sz w:val="18"/>
        </w:rPr>
        <w:t>*</w:t>
      </w:r>
      <w:r>
        <w:rPr>
          <w:rFonts w:hint="eastAsia"/>
          <w:color w:val="000000"/>
          <w:sz w:val="18"/>
        </w:rPr>
        <w:t xml:space="preserve">  </w:t>
      </w:r>
      <w:r>
        <w:rPr>
          <w:rFonts w:hint="eastAsia"/>
          <w:color w:val="000000"/>
          <w:sz w:val="18"/>
        </w:rPr>
        <w:t>空余时间：见上。</w:t>
      </w:r>
    </w:p>
    <w:p w:rsidR="001A7779" w:rsidRDefault="001A7779">
      <w:pPr>
        <w:tabs>
          <w:tab w:val="left" w:pos="630"/>
        </w:tabs>
        <w:spacing w:after="240" w:line="360" w:lineRule="exact"/>
        <w:rPr>
          <w:rFonts w:ascii="SimHei" w:eastAsia="SimHei"/>
          <w:color w:val="FF0000"/>
        </w:rPr>
      </w:pPr>
      <w:r>
        <w:rPr>
          <w:rFonts w:ascii="KaiTi_GB2312" w:eastAsia="KaiTi_GB2312" w:hint="eastAsia"/>
          <w:color w:val="0000FF"/>
          <w:sz w:val="18"/>
        </w:rPr>
        <w:t>资料来源：</w:t>
      </w:r>
      <w:r>
        <w:rPr>
          <w:rFonts w:hint="eastAsia"/>
          <w:color w:val="000000"/>
          <w:sz w:val="18"/>
        </w:rPr>
        <w:t>欧洲人如何支配其时间：</w:t>
      </w:r>
      <w:r>
        <w:rPr>
          <w:color w:val="000000"/>
          <w:sz w:val="18"/>
        </w:rPr>
        <w:t xml:space="preserve"> </w:t>
      </w:r>
      <w:r>
        <w:rPr>
          <w:rFonts w:hint="eastAsia"/>
          <w:color w:val="000000"/>
          <w:sz w:val="18"/>
        </w:rPr>
        <w:t>妇女与男子的日常生活（</w:t>
      </w:r>
      <w:r>
        <w:rPr>
          <w:color w:val="000000"/>
          <w:sz w:val="18"/>
        </w:rPr>
        <w:t>1998 – 2002</w:t>
      </w:r>
      <w:r>
        <w:rPr>
          <w:rFonts w:hint="eastAsia"/>
          <w:color w:val="000000"/>
          <w:sz w:val="18"/>
        </w:rPr>
        <w:t>年数据），</w:t>
      </w:r>
      <w:r>
        <w:rPr>
          <w:color w:val="000000"/>
          <w:sz w:val="18"/>
        </w:rPr>
        <w:t xml:space="preserve"> </w:t>
      </w:r>
      <w:r>
        <w:rPr>
          <w:rFonts w:hint="eastAsia"/>
          <w:color w:val="000000"/>
          <w:sz w:val="18"/>
        </w:rPr>
        <w:t>欧统处，</w:t>
      </w:r>
      <w:r>
        <w:rPr>
          <w:color w:val="000000"/>
          <w:sz w:val="18"/>
        </w:rPr>
        <w:t xml:space="preserve"> 2004</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50</w:t>
      </w:r>
      <w:r>
        <w:rPr>
          <w:rFonts w:ascii="SimHei" w:eastAsia="SimHei" w:hint="eastAsia"/>
          <w:color w:val="FF0000"/>
        </w:rPr>
        <w:t>：从事农业工作的妇女和农村妇女的主要收入和按照收入所占比例</w:t>
      </w:r>
      <w:r>
        <w:rPr>
          <w:rFonts w:ascii="SimHei" w:eastAsia="SimHei"/>
          <w:color w:val="FF0000"/>
        </w:rPr>
        <w:t xml:space="preserve"> </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1"/>
        <w:gridCol w:w="1840"/>
        <w:gridCol w:w="1840"/>
        <w:gridCol w:w="1839"/>
      </w:tblGrid>
      <w:tr w:rsidR="001A7779">
        <w:tblPrEx>
          <w:tblCellMar>
            <w:top w:w="0" w:type="dxa"/>
            <w:bottom w:w="0" w:type="dxa"/>
          </w:tblCellMar>
        </w:tblPrEx>
        <w:tc>
          <w:tcPr>
            <w:tcW w:w="2215" w:type="pct"/>
          </w:tcPr>
          <w:p w:rsidR="001A7779" w:rsidRDefault="001A7779">
            <w:pPr>
              <w:tabs>
                <w:tab w:val="left" w:pos="630"/>
              </w:tabs>
              <w:spacing w:before="60" w:after="60" w:line="360" w:lineRule="exact"/>
              <w:rPr>
                <w:rFonts w:eastAsia="SimHei"/>
                <w:color w:val="FF0000"/>
                <w:sz w:val="18"/>
              </w:rPr>
            </w:pPr>
            <w:r>
              <w:rPr>
                <w:rFonts w:eastAsia="SimHei" w:hint="eastAsia"/>
                <w:color w:val="FF0000"/>
                <w:sz w:val="18"/>
              </w:rPr>
              <w:t>收入类型</w:t>
            </w:r>
          </w:p>
        </w:tc>
        <w:tc>
          <w:tcPr>
            <w:tcW w:w="928"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共计</w:t>
            </w:r>
          </w:p>
        </w:tc>
        <w:tc>
          <w:tcPr>
            <w:tcW w:w="928"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从事农业工作的妇女</w:t>
            </w:r>
          </w:p>
        </w:tc>
        <w:tc>
          <w:tcPr>
            <w:tcW w:w="928" w:type="pct"/>
          </w:tcPr>
          <w:p w:rsidR="001A7779" w:rsidRDefault="001A7779">
            <w:pPr>
              <w:tabs>
                <w:tab w:val="left" w:pos="630"/>
              </w:tabs>
              <w:spacing w:before="60" w:after="60" w:line="360" w:lineRule="exact"/>
              <w:jc w:val="center"/>
              <w:rPr>
                <w:rFonts w:eastAsia="SimHei"/>
                <w:color w:val="FF0000"/>
                <w:sz w:val="18"/>
              </w:rPr>
            </w:pPr>
            <w:r>
              <w:rPr>
                <w:rFonts w:eastAsia="SimHei" w:hint="eastAsia"/>
                <w:color w:val="FF0000"/>
                <w:sz w:val="18"/>
              </w:rPr>
              <w:t>农村妇女</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无收入</w:t>
            </w:r>
          </w:p>
        </w:tc>
        <w:tc>
          <w:tcPr>
            <w:tcW w:w="928" w:type="pct"/>
          </w:tcPr>
          <w:p w:rsidR="001A7779" w:rsidRDefault="001A7779">
            <w:pPr>
              <w:tabs>
                <w:tab w:val="left" w:pos="630"/>
              </w:tabs>
              <w:spacing w:before="60" w:after="60" w:line="360" w:lineRule="exact"/>
              <w:jc w:val="center"/>
              <w:rPr>
                <w:sz w:val="18"/>
              </w:rPr>
            </w:pPr>
            <w:r>
              <w:rPr>
                <w:sz w:val="18"/>
              </w:rPr>
              <w:t>12.9</w:t>
            </w:r>
          </w:p>
        </w:tc>
        <w:tc>
          <w:tcPr>
            <w:tcW w:w="928" w:type="pct"/>
          </w:tcPr>
          <w:p w:rsidR="001A7779" w:rsidRDefault="001A7779">
            <w:pPr>
              <w:tabs>
                <w:tab w:val="left" w:pos="630"/>
              </w:tabs>
              <w:spacing w:before="60" w:after="60" w:line="360" w:lineRule="exact"/>
              <w:jc w:val="center"/>
              <w:rPr>
                <w:sz w:val="18"/>
              </w:rPr>
            </w:pPr>
            <w:r>
              <w:rPr>
                <w:sz w:val="18"/>
              </w:rPr>
              <w:t>12.8</w:t>
            </w:r>
          </w:p>
        </w:tc>
        <w:tc>
          <w:tcPr>
            <w:tcW w:w="928" w:type="pct"/>
          </w:tcPr>
          <w:p w:rsidR="001A7779" w:rsidRDefault="001A7779">
            <w:pPr>
              <w:tabs>
                <w:tab w:val="left" w:pos="630"/>
              </w:tabs>
              <w:spacing w:before="60" w:after="60" w:line="360" w:lineRule="exact"/>
              <w:jc w:val="center"/>
              <w:rPr>
                <w:sz w:val="18"/>
              </w:rPr>
            </w:pPr>
            <w:r>
              <w:rPr>
                <w:sz w:val="18"/>
              </w:rPr>
              <w:t>13.0</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奖学金</w:t>
            </w:r>
            <w:r>
              <w:rPr>
                <w:sz w:val="18"/>
              </w:rPr>
              <w:t>/</w:t>
            </w:r>
            <w:r>
              <w:rPr>
                <w:sz w:val="18"/>
              </w:rPr>
              <w:t>遗属抚恤金</w:t>
            </w:r>
            <w:r>
              <w:rPr>
                <w:sz w:val="18"/>
              </w:rPr>
              <w:t>*</w:t>
            </w:r>
          </w:p>
        </w:tc>
        <w:tc>
          <w:tcPr>
            <w:tcW w:w="928" w:type="pct"/>
          </w:tcPr>
          <w:p w:rsidR="001A7779" w:rsidRDefault="001A7779">
            <w:pPr>
              <w:tabs>
                <w:tab w:val="left" w:pos="630"/>
              </w:tabs>
              <w:spacing w:before="60" w:after="60" w:line="360" w:lineRule="exact"/>
              <w:jc w:val="center"/>
              <w:rPr>
                <w:sz w:val="18"/>
              </w:rPr>
            </w:pPr>
            <w:r>
              <w:rPr>
                <w:sz w:val="18"/>
              </w:rPr>
              <w:t>4.4</w:t>
            </w:r>
          </w:p>
        </w:tc>
        <w:tc>
          <w:tcPr>
            <w:tcW w:w="928" w:type="pct"/>
          </w:tcPr>
          <w:p w:rsidR="001A7779" w:rsidRDefault="001A7779">
            <w:pPr>
              <w:tabs>
                <w:tab w:val="left" w:pos="630"/>
              </w:tabs>
              <w:spacing w:before="60" w:after="60" w:line="360" w:lineRule="exact"/>
              <w:jc w:val="center"/>
              <w:rPr>
                <w:sz w:val="18"/>
              </w:rPr>
            </w:pPr>
            <w:r>
              <w:rPr>
                <w:sz w:val="18"/>
              </w:rPr>
              <w:t>7.1</w:t>
            </w:r>
          </w:p>
        </w:tc>
        <w:tc>
          <w:tcPr>
            <w:tcW w:w="928" w:type="pct"/>
          </w:tcPr>
          <w:p w:rsidR="001A7779" w:rsidRDefault="001A7779">
            <w:pPr>
              <w:tabs>
                <w:tab w:val="left" w:pos="630"/>
              </w:tabs>
              <w:spacing w:before="60" w:after="60" w:line="360" w:lineRule="exact"/>
              <w:jc w:val="center"/>
              <w:rPr>
                <w:sz w:val="18"/>
              </w:rPr>
            </w:pPr>
            <w:r>
              <w:rPr>
                <w:sz w:val="18"/>
              </w:rPr>
              <w:t>2.5</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退休金、</w:t>
            </w:r>
            <w:r>
              <w:rPr>
                <w:sz w:val="18"/>
              </w:rPr>
              <w:t>残废抚恤金</w:t>
            </w:r>
            <w:r>
              <w:rPr>
                <w:rFonts w:hint="eastAsia"/>
                <w:sz w:val="18"/>
              </w:rPr>
              <w:t>、</w:t>
            </w:r>
            <w:r>
              <w:rPr>
                <w:sz w:val="18"/>
              </w:rPr>
              <w:t>老</w:t>
            </w:r>
            <w:r>
              <w:rPr>
                <w:rFonts w:hint="eastAsia"/>
                <w:sz w:val="18"/>
              </w:rPr>
              <w:t>龄</w:t>
            </w:r>
            <w:r>
              <w:rPr>
                <w:sz w:val="18"/>
              </w:rPr>
              <w:t>或健康状况社会援助</w:t>
            </w:r>
          </w:p>
        </w:tc>
        <w:tc>
          <w:tcPr>
            <w:tcW w:w="928" w:type="pct"/>
          </w:tcPr>
          <w:p w:rsidR="001A7779" w:rsidRDefault="001A7779">
            <w:pPr>
              <w:tabs>
                <w:tab w:val="left" w:pos="630"/>
              </w:tabs>
              <w:spacing w:before="60" w:after="60" w:line="360" w:lineRule="exact"/>
              <w:jc w:val="center"/>
              <w:rPr>
                <w:sz w:val="18"/>
              </w:rPr>
            </w:pPr>
            <w:r>
              <w:rPr>
                <w:sz w:val="18"/>
              </w:rPr>
              <w:t>3.8</w:t>
            </w:r>
          </w:p>
        </w:tc>
        <w:tc>
          <w:tcPr>
            <w:tcW w:w="928" w:type="pct"/>
          </w:tcPr>
          <w:p w:rsidR="001A7779" w:rsidRDefault="001A7779">
            <w:pPr>
              <w:tabs>
                <w:tab w:val="left" w:pos="630"/>
              </w:tabs>
              <w:spacing w:before="60" w:after="60" w:line="360" w:lineRule="exact"/>
              <w:jc w:val="center"/>
              <w:rPr>
                <w:sz w:val="18"/>
              </w:rPr>
            </w:pPr>
            <w:r>
              <w:rPr>
                <w:sz w:val="18"/>
              </w:rPr>
              <w:t>2.8</w:t>
            </w:r>
          </w:p>
        </w:tc>
        <w:tc>
          <w:tcPr>
            <w:tcW w:w="928" w:type="pct"/>
          </w:tcPr>
          <w:p w:rsidR="001A7779" w:rsidRDefault="001A7779">
            <w:pPr>
              <w:tabs>
                <w:tab w:val="left" w:pos="630"/>
              </w:tabs>
              <w:spacing w:before="60" w:after="60" w:line="360" w:lineRule="exact"/>
              <w:jc w:val="center"/>
              <w:rPr>
                <w:sz w:val="18"/>
              </w:rPr>
            </w:pPr>
            <w:r>
              <w:rPr>
                <w:sz w:val="18"/>
              </w:rPr>
              <w:t>4.5</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农业</w:t>
            </w:r>
            <w:r>
              <w:rPr>
                <w:sz w:val="18"/>
              </w:rPr>
              <w:t xml:space="preserve"> – </w:t>
            </w:r>
            <w:r>
              <w:rPr>
                <w:rFonts w:hint="eastAsia"/>
                <w:sz w:val="18"/>
              </w:rPr>
              <w:t>退休金和残疾保险不适用</w:t>
            </w:r>
          </w:p>
        </w:tc>
        <w:tc>
          <w:tcPr>
            <w:tcW w:w="928" w:type="pct"/>
          </w:tcPr>
          <w:p w:rsidR="001A7779" w:rsidRDefault="001A7779">
            <w:pPr>
              <w:tabs>
                <w:tab w:val="left" w:pos="630"/>
              </w:tabs>
              <w:spacing w:before="60" w:after="60" w:line="360" w:lineRule="exact"/>
              <w:jc w:val="center"/>
              <w:rPr>
                <w:sz w:val="18"/>
              </w:rPr>
            </w:pPr>
            <w:r>
              <w:rPr>
                <w:sz w:val="18"/>
              </w:rPr>
              <w:t>0.9</w:t>
            </w:r>
          </w:p>
        </w:tc>
        <w:tc>
          <w:tcPr>
            <w:tcW w:w="928" w:type="pct"/>
          </w:tcPr>
          <w:p w:rsidR="001A7779" w:rsidRDefault="001A7779">
            <w:pPr>
              <w:tabs>
                <w:tab w:val="left" w:pos="630"/>
              </w:tabs>
              <w:spacing w:before="60" w:after="60" w:line="360" w:lineRule="exact"/>
              <w:jc w:val="center"/>
              <w:rPr>
                <w:sz w:val="18"/>
              </w:rPr>
            </w:pPr>
            <w:r>
              <w:rPr>
                <w:sz w:val="18"/>
              </w:rPr>
              <w:t>2.1</w:t>
            </w:r>
          </w:p>
        </w:tc>
        <w:tc>
          <w:tcPr>
            <w:tcW w:w="928" w:type="pct"/>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农业</w:t>
            </w:r>
            <w:r>
              <w:rPr>
                <w:rFonts w:hint="eastAsia"/>
                <w:sz w:val="18"/>
              </w:rPr>
              <w:t xml:space="preserve"> </w:t>
            </w:r>
            <w:r>
              <w:rPr>
                <w:sz w:val="18"/>
              </w:rPr>
              <w:t>–</w:t>
            </w:r>
            <w:r>
              <w:rPr>
                <w:rFonts w:hint="eastAsia"/>
                <w:sz w:val="18"/>
              </w:rPr>
              <w:t xml:space="preserve"> </w:t>
            </w:r>
            <w:r>
              <w:rPr>
                <w:rFonts w:hint="eastAsia"/>
                <w:sz w:val="18"/>
              </w:rPr>
              <w:t>退休金和残疾保险适用</w:t>
            </w:r>
          </w:p>
        </w:tc>
        <w:tc>
          <w:tcPr>
            <w:tcW w:w="928" w:type="pct"/>
          </w:tcPr>
          <w:p w:rsidR="001A7779" w:rsidRDefault="001A7779">
            <w:pPr>
              <w:tabs>
                <w:tab w:val="left" w:pos="630"/>
              </w:tabs>
              <w:spacing w:before="60" w:after="60" w:line="360" w:lineRule="exact"/>
              <w:jc w:val="center"/>
              <w:rPr>
                <w:sz w:val="18"/>
              </w:rPr>
            </w:pPr>
            <w:r>
              <w:rPr>
                <w:sz w:val="18"/>
              </w:rPr>
              <w:t>2.6</w:t>
            </w:r>
          </w:p>
        </w:tc>
        <w:tc>
          <w:tcPr>
            <w:tcW w:w="928" w:type="pct"/>
          </w:tcPr>
          <w:p w:rsidR="001A7779" w:rsidRDefault="001A7779">
            <w:pPr>
              <w:tabs>
                <w:tab w:val="left" w:pos="630"/>
              </w:tabs>
              <w:spacing w:before="60" w:after="60" w:line="360" w:lineRule="exact"/>
              <w:jc w:val="center"/>
              <w:rPr>
                <w:sz w:val="18"/>
              </w:rPr>
            </w:pPr>
            <w:r>
              <w:rPr>
                <w:sz w:val="18"/>
              </w:rPr>
              <w:t>5.7</w:t>
            </w:r>
          </w:p>
        </w:tc>
        <w:tc>
          <w:tcPr>
            <w:tcW w:w="928" w:type="pct"/>
          </w:tcPr>
          <w:p w:rsidR="001A7779" w:rsidRDefault="001A7779">
            <w:pPr>
              <w:tabs>
                <w:tab w:val="left" w:pos="630"/>
              </w:tabs>
              <w:spacing w:before="60" w:after="60" w:line="360" w:lineRule="exact"/>
              <w:jc w:val="center"/>
              <w:rPr>
                <w:sz w:val="18"/>
              </w:rPr>
            </w:pPr>
            <w:r>
              <w:rPr>
                <w:sz w:val="18"/>
              </w:rPr>
              <w:t>0.0</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就业</w:t>
            </w:r>
          </w:p>
        </w:tc>
        <w:tc>
          <w:tcPr>
            <w:tcW w:w="928" w:type="pct"/>
          </w:tcPr>
          <w:p w:rsidR="001A7779" w:rsidRDefault="001A7779">
            <w:pPr>
              <w:tabs>
                <w:tab w:val="left" w:pos="630"/>
              </w:tabs>
              <w:spacing w:before="60" w:after="60" w:line="360" w:lineRule="exact"/>
              <w:jc w:val="center"/>
              <w:rPr>
                <w:sz w:val="18"/>
              </w:rPr>
            </w:pPr>
            <w:r>
              <w:rPr>
                <w:sz w:val="18"/>
              </w:rPr>
              <w:t>65.7</w:t>
            </w:r>
          </w:p>
        </w:tc>
        <w:tc>
          <w:tcPr>
            <w:tcW w:w="928" w:type="pct"/>
          </w:tcPr>
          <w:p w:rsidR="001A7779" w:rsidRDefault="001A7779">
            <w:pPr>
              <w:tabs>
                <w:tab w:val="left" w:pos="630"/>
              </w:tabs>
              <w:spacing w:before="60" w:after="60" w:line="360" w:lineRule="exact"/>
              <w:jc w:val="center"/>
              <w:rPr>
                <w:sz w:val="18"/>
              </w:rPr>
            </w:pPr>
            <w:r>
              <w:rPr>
                <w:sz w:val="18"/>
              </w:rPr>
              <w:t>62.4</w:t>
            </w:r>
          </w:p>
        </w:tc>
        <w:tc>
          <w:tcPr>
            <w:tcW w:w="928" w:type="pct"/>
          </w:tcPr>
          <w:p w:rsidR="001A7779" w:rsidRDefault="001A7779">
            <w:pPr>
              <w:tabs>
                <w:tab w:val="left" w:pos="630"/>
              </w:tabs>
              <w:spacing w:before="60" w:after="60" w:line="360" w:lineRule="exact"/>
              <w:jc w:val="center"/>
              <w:rPr>
                <w:sz w:val="18"/>
              </w:rPr>
            </w:pPr>
            <w:r>
              <w:rPr>
                <w:sz w:val="18"/>
              </w:rPr>
              <w:t>68.0</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独立的有报酬的活动</w:t>
            </w:r>
            <w:r>
              <w:rPr>
                <w:sz w:val="18"/>
              </w:rPr>
              <w:t xml:space="preserve"> </w:t>
            </w:r>
          </w:p>
        </w:tc>
        <w:tc>
          <w:tcPr>
            <w:tcW w:w="928" w:type="pct"/>
          </w:tcPr>
          <w:p w:rsidR="001A7779" w:rsidRDefault="001A7779">
            <w:pPr>
              <w:tabs>
                <w:tab w:val="left" w:pos="630"/>
              </w:tabs>
              <w:spacing w:before="60" w:after="60" w:line="360" w:lineRule="exact"/>
              <w:jc w:val="center"/>
              <w:rPr>
                <w:sz w:val="18"/>
              </w:rPr>
            </w:pPr>
            <w:r>
              <w:rPr>
                <w:sz w:val="18"/>
              </w:rPr>
              <w:t>4.1</w:t>
            </w:r>
          </w:p>
        </w:tc>
        <w:tc>
          <w:tcPr>
            <w:tcW w:w="928" w:type="pct"/>
          </w:tcPr>
          <w:p w:rsidR="001A7779" w:rsidRDefault="001A7779">
            <w:pPr>
              <w:tabs>
                <w:tab w:val="left" w:pos="630"/>
              </w:tabs>
              <w:spacing w:before="60" w:after="60" w:line="360" w:lineRule="exact"/>
              <w:jc w:val="center"/>
              <w:rPr>
                <w:sz w:val="18"/>
              </w:rPr>
            </w:pPr>
            <w:r>
              <w:rPr>
                <w:sz w:val="18"/>
              </w:rPr>
              <w:t>2.1</w:t>
            </w:r>
          </w:p>
        </w:tc>
        <w:tc>
          <w:tcPr>
            <w:tcW w:w="928" w:type="pct"/>
          </w:tcPr>
          <w:p w:rsidR="001A7779" w:rsidRDefault="001A7779">
            <w:pPr>
              <w:tabs>
                <w:tab w:val="left" w:pos="630"/>
              </w:tabs>
              <w:spacing w:before="60" w:after="60" w:line="360" w:lineRule="exact"/>
              <w:jc w:val="center"/>
              <w:rPr>
                <w:sz w:val="18"/>
              </w:rPr>
            </w:pPr>
            <w:r>
              <w:rPr>
                <w:sz w:val="18"/>
              </w:rPr>
              <w:t>5.5</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补充性活动</w:t>
            </w:r>
          </w:p>
        </w:tc>
        <w:tc>
          <w:tcPr>
            <w:tcW w:w="928" w:type="pct"/>
          </w:tcPr>
          <w:p w:rsidR="001A7779" w:rsidRDefault="001A7779">
            <w:pPr>
              <w:tabs>
                <w:tab w:val="left" w:pos="630"/>
              </w:tabs>
              <w:spacing w:before="60" w:after="60" w:line="360" w:lineRule="exact"/>
              <w:jc w:val="center"/>
              <w:rPr>
                <w:sz w:val="18"/>
              </w:rPr>
            </w:pPr>
            <w:r>
              <w:rPr>
                <w:sz w:val="18"/>
              </w:rPr>
              <w:t>0.3</w:t>
            </w:r>
          </w:p>
        </w:tc>
        <w:tc>
          <w:tcPr>
            <w:tcW w:w="928" w:type="pct"/>
          </w:tcPr>
          <w:p w:rsidR="001A7779" w:rsidRDefault="001A7779">
            <w:pPr>
              <w:tabs>
                <w:tab w:val="left" w:pos="630"/>
              </w:tabs>
              <w:spacing w:before="60" w:after="60" w:line="360" w:lineRule="exact"/>
              <w:jc w:val="center"/>
              <w:rPr>
                <w:sz w:val="18"/>
              </w:rPr>
            </w:pPr>
            <w:r>
              <w:rPr>
                <w:sz w:val="18"/>
              </w:rPr>
              <w:t>0.0</w:t>
            </w:r>
          </w:p>
        </w:tc>
        <w:tc>
          <w:tcPr>
            <w:tcW w:w="928" w:type="pct"/>
          </w:tcPr>
          <w:p w:rsidR="001A7779" w:rsidRDefault="001A7779">
            <w:pPr>
              <w:tabs>
                <w:tab w:val="left" w:pos="630"/>
              </w:tabs>
              <w:spacing w:before="60" w:after="60" w:line="360" w:lineRule="exact"/>
              <w:jc w:val="center"/>
              <w:rPr>
                <w:sz w:val="18"/>
              </w:rPr>
            </w:pPr>
            <w:r>
              <w:rPr>
                <w:sz w:val="18"/>
              </w:rPr>
              <w:t>0.5</w:t>
            </w:r>
          </w:p>
        </w:tc>
      </w:tr>
      <w:tr w:rsidR="001A7779">
        <w:tblPrEx>
          <w:tblCellMar>
            <w:top w:w="0" w:type="dxa"/>
            <w:bottom w:w="0" w:type="dxa"/>
          </w:tblCellMar>
        </w:tblPrEx>
        <w:tc>
          <w:tcPr>
            <w:tcW w:w="2215" w:type="pct"/>
          </w:tcPr>
          <w:p w:rsidR="001A7779" w:rsidRDefault="001A7779">
            <w:pPr>
              <w:tabs>
                <w:tab w:val="left" w:pos="630"/>
              </w:tabs>
              <w:spacing w:before="60" w:after="60" w:line="360" w:lineRule="exact"/>
              <w:rPr>
                <w:sz w:val="18"/>
              </w:rPr>
            </w:pPr>
            <w:r>
              <w:rPr>
                <w:rFonts w:hint="eastAsia"/>
                <w:sz w:val="18"/>
              </w:rPr>
              <w:t>各种社会福利和津贴</w:t>
            </w:r>
          </w:p>
        </w:tc>
        <w:tc>
          <w:tcPr>
            <w:tcW w:w="928" w:type="pct"/>
          </w:tcPr>
          <w:p w:rsidR="001A7779" w:rsidRDefault="001A7779">
            <w:pPr>
              <w:tabs>
                <w:tab w:val="left" w:pos="630"/>
              </w:tabs>
              <w:spacing w:before="60" w:after="60" w:line="360" w:lineRule="exact"/>
              <w:jc w:val="center"/>
              <w:rPr>
                <w:sz w:val="18"/>
              </w:rPr>
            </w:pPr>
            <w:r>
              <w:rPr>
                <w:sz w:val="18"/>
              </w:rPr>
              <w:t>5.3</w:t>
            </w:r>
          </w:p>
        </w:tc>
        <w:tc>
          <w:tcPr>
            <w:tcW w:w="928" w:type="pct"/>
          </w:tcPr>
          <w:p w:rsidR="001A7779" w:rsidRDefault="001A7779">
            <w:pPr>
              <w:tabs>
                <w:tab w:val="left" w:pos="630"/>
              </w:tabs>
              <w:spacing w:before="60" w:after="60" w:line="360" w:lineRule="exact"/>
              <w:jc w:val="center"/>
              <w:rPr>
                <w:sz w:val="18"/>
              </w:rPr>
            </w:pPr>
            <w:r>
              <w:rPr>
                <w:sz w:val="18"/>
              </w:rPr>
              <w:t>5.0</w:t>
            </w:r>
          </w:p>
        </w:tc>
        <w:tc>
          <w:tcPr>
            <w:tcW w:w="928" w:type="pct"/>
          </w:tcPr>
          <w:p w:rsidR="001A7779" w:rsidRDefault="001A7779">
            <w:pPr>
              <w:tabs>
                <w:tab w:val="left" w:pos="630"/>
              </w:tabs>
              <w:spacing w:before="60" w:after="60" w:line="360" w:lineRule="exact"/>
              <w:jc w:val="center"/>
              <w:rPr>
                <w:sz w:val="18"/>
              </w:rPr>
            </w:pPr>
            <w:r>
              <w:rPr>
                <w:sz w:val="18"/>
              </w:rPr>
              <w:t>5.5</w:t>
            </w:r>
          </w:p>
        </w:tc>
      </w:tr>
    </w:tbl>
    <w:p w:rsidR="001A7779" w:rsidRDefault="001A7779">
      <w:pPr>
        <w:tabs>
          <w:tab w:val="left" w:pos="630"/>
        </w:tabs>
        <w:spacing w:line="360" w:lineRule="exact"/>
        <w:rPr>
          <w:color w:val="000000"/>
          <w:sz w:val="18"/>
        </w:rPr>
      </w:pPr>
      <w:r>
        <w:rPr>
          <w:color w:val="000000"/>
          <w:sz w:val="18"/>
        </w:rPr>
        <w:t>*</w:t>
      </w:r>
      <w:r>
        <w:rPr>
          <w:rFonts w:hint="eastAsia"/>
          <w:color w:val="000000"/>
          <w:sz w:val="18"/>
        </w:rPr>
        <w:t xml:space="preserve">  </w:t>
      </w:r>
      <w:r>
        <w:rPr>
          <w:color w:val="000000"/>
          <w:sz w:val="18"/>
        </w:rPr>
        <w:t>遗属抚恤金</w:t>
      </w:r>
      <w:r>
        <w:rPr>
          <w:rFonts w:hint="eastAsia"/>
          <w:color w:val="000000"/>
          <w:sz w:val="18"/>
        </w:rPr>
        <w:t>：给予已达到规定的可享受</w:t>
      </w:r>
      <w:r>
        <w:rPr>
          <w:color w:val="000000"/>
          <w:sz w:val="18"/>
        </w:rPr>
        <w:t>抚恤金</w:t>
      </w:r>
      <w:r>
        <w:rPr>
          <w:rFonts w:hint="eastAsia"/>
          <w:color w:val="000000"/>
          <w:sz w:val="18"/>
        </w:rPr>
        <w:t>期限的已故领取退休金者或已故被保险人的家庭成员的一种</w:t>
      </w:r>
      <w:r>
        <w:rPr>
          <w:color w:val="000000"/>
          <w:sz w:val="18"/>
        </w:rPr>
        <w:t>抚恤金</w:t>
      </w:r>
      <w:r>
        <w:rPr>
          <w:rFonts w:hint="eastAsia"/>
          <w:color w:val="000000"/>
          <w:sz w:val="18"/>
        </w:rPr>
        <w:t>。</w:t>
      </w:r>
      <w:r>
        <w:rPr>
          <w:color w:val="000000"/>
          <w:sz w:val="18"/>
        </w:rPr>
        <w:t xml:space="preserve"> </w:t>
      </w:r>
    </w:p>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斯洛文尼亚农村妇女调查，生物技术学院，卢布尔雅那大学，</w:t>
      </w:r>
      <w:r>
        <w:rPr>
          <w:rFonts w:hint="eastAsia"/>
          <w:color w:val="000000"/>
          <w:sz w:val="18"/>
        </w:rPr>
        <w:t>2002</w:t>
      </w:r>
      <w:r>
        <w:rPr>
          <w:rFonts w:hint="eastAsia"/>
          <w:color w:val="000000"/>
          <w:sz w:val="18"/>
        </w:rPr>
        <w:t>年。</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51：1991 </w:t>
      </w:r>
      <w:r>
        <w:rPr>
          <w:rFonts w:ascii="SimHei" w:eastAsia="SimHei" w:hint="eastAsia"/>
          <w:color w:val="FF0000"/>
        </w:rPr>
        <w:t>和</w:t>
      </w:r>
      <w:r>
        <w:rPr>
          <w:rFonts w:ascii="SimHei" w:eastAsia="SimHei"/>
          <w:color w:val="FF0000"/>
        </w:rPr>
        <w:t xml:space="preserve"> 2002</w:t>
      </w:r>
      <w:r>
        <w:rPr>
          <w:rFonts w:ascii="SimHei" w:eastAsia="SimHei" w:hint="eastAsia"/>
          <w:color w:val="FF0000"/>
        </w:rPr>
        <w:t>年人口普查按子女人数和家庭类型分列的家庭</w:t>
      </w:r>
    </w:p>
    <w:tbl>
      <w:tblPr>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2490"/>
        <w:gridCol w:w="2490"/>
      </w:tblGrid>
      <w:tr w:rsidR="001A7779">
        <w:tblPrEx>
          <w:tblCellMar>
            <w:top w:w="0" w:type="dxa"/>
            <w:bottom w:w="0" w:type="dxa"/>
          </w:tblCellMar>
        </w:tblPrEx>
        <w:tc>
          <w:tcPr>
            <w:tcW w:w="4930" w:type="dxa"/>
          </w:tcPr>
          <w:p w:rsidR="001A7779" w:rsidRDefault="001A7779">
            <w:pPr>
              <w:tabs>
                <w:tab w:val="left" w:pos="630"/>
              </w:tabs>
              <w:spacing w:before="60" w:after="60" w:line="360" w:lineRule="exact"/>
              <w:rPr>
                <w:rFonts w:ascii="SimHei" w:eastAsia="SimHei"/>
                <w:color w:val="FF0000"/>
                <w:sz w:val="18"/>
              </w:rPr>
            </w:pPr>
            <w:r>
              <w:rPr>
                <w:rFonts w:ascii="SimHei" w:eastAsia="SimHei" w:hint="eastAsia"/>
                <w:color w:val="FF0000"/>
                <w:sz w:val="18"/>
              </w:rPr>
              <w:t>家庭类型</w:t>
            </w:r>
          </w:p>
        </w:tc>
        <w:tc>
          <w:tcPr>
            <w:tcW w:w="249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1991</w:t>
            </w:r>
            <w:r>
              <w:rPr>
                <w:rFonts w:ascii="SimHei" w:eastAsia="SimHei" w:hint="eastAsia"/>
                <w:color w:val="FF0000"/>
                <w:sz w:val="18"/>
              </w:rPr>
              <w:t>年人口普查</w:t>
            </w:r>
            <w:r>
              <w:rPr>
                <w:rFonts w:ascii="SimHei" w:eastAsia="SimHei"/>
                <w:color w:val="FF0000"/>
                <w:sz w:val="18"/>
              </w:rPr>
              <w:t xml:space="preserve"> （%）</w:t>
            </w:r>
          </w:p>
        </w:tc>
        <w:tc>
          <w:tcPr>
            <w:tcW w:w="2490" w:type="dxa"/>
          </w:tcPr>
          <w:p w:rsidR="001A7779" w:rsidRDefault="001A7779">
            <w:pPr>
              <w:tabs>
                <w:tab w:val="left" w:pos="630"/>
              </w:tabs>
              <w:spacing w:before="60" w:after="60" w:line="36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年人口普查</w:t>
            </w:r>
            <w:r>
              <w:rPr>
                <w:rFonts w:ascii="SimHei" w:eastAsia="SimHei"/>
                <w:color w:val="FF0000"/>
                <w:sz w:val="18"/>
              </w:rPr>
              <w:t xml:space="preserve"> （%）</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rFonts w:hint="eastAsia"/>
                <w:sz w:val="18"/>
              </w:rPr>
              <w:t>已婚妇女，共计</w:t>
            </w:r>
          </w:p>
        </w:tc>
        <w:tc>
          <w:tcPr>
            <w:tcW w:w="2490" w:type="dxa"/>
          </w:tcPr>
          <w:p w:rsidR="001A7779" w:rsidRDefault="001A7779">
            <w:pPr>
              <w:tabs>
                <w:tab w:val="left" w:pos="630"/>
              </w:tabs>
              <w:spacing w:before="60" w:after="60" w:line="360" w:lineRule="exact"/>
              <w:jc w:val="center"/>
              <w:rPr>
                <w:sz w:val="18"/>
              </w:rPr>
            </w:pPr>
            <w:r>
              <w:rPr>
                <w:sz w:val="18"/>
              </w:rPr>
              <w:t>82</w:t>
            </w:r>
          </w:p>
        </w:tc>
        <w:tc>
          <w:tcPr>
            <w:tcW w:w="2490" w:type="dxa"/>
          </w:tcPr>
          <w:p w:rsidR="001A7779" w:rsidRDefault="001A7779">
            <w:pPr>
              <w:tabs>
                <w:tab w:val="left" w:pos="630"/>
              </w:tabs>
              <w:spacing w:before="60" w:after="60" w:line="360" w:lineRule="exact"/>
              <w:jc w:val="center"/>
              <w:rPr>
                <w:sz w:val="18"/>
              </w:rPr>
            </w:pPr>
            <w:r>
              <w:rPr>
                <w:sz w:val="18"/>
              </w:rPr>
              <w:t>81</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sz w:val="18"/>
              </w:rPr>
              <w:t>–</w:t>
            </w:r>
            <w:r>
              <w:rPr>
                <w:rFonts w:hint="eastAsia"/>
                <w:sz w:val="18"/>
              </w:rPr>
              <w:t xml:space="preserve"> </w:t>
            </w:r>
            <w:r>
              <w:rPr>
                <w:rFonts w:hint="eastAsia"/>
                <w:sz w:val="18"/>
              </w:rPr>
              <w:t>无子女已婚夫妇</w:t>
            </w:r>
          </w:p>
        </w:tc>
        <w:tc>
          <w:tcPr>
            <w:tcW w:w="2490" w:type="dxa"/>
          </w:tcPr>
          <w:p w:rsidR="001A7779" w:rsidRDefault="001A7779">
            <w:pPr>
              <w:tabs>
                <w:tab w:val="left" w:pos="630"/>
              </w:tabs>
              <w:spacing w:before="60" w:after="60" w:line="360" w:lineRule="exact"/>
              <w:jc w:val="center"/>
              <w:rPr>
                <w:sz w:val="18"/>
              </w:rPr>
            </w:pPr>
            <w:r>
              <w:rPr>
                <w:sz w:val="18"/>
              </w:rPr>
              <w:t>59</w:t>
            </w:r>
          </w:p>
        </w:tc>
        <w:tc>
          <w:tcPr>
            <w:tcW w:w="2490" w:type="dxa"/>
          </w:tcPr>
          <w:p w:rsidR="001A7779" w:rsidRDefault="001A7779">
            <w:pPr>
              <w:tabs>
                <w:tab w:val="left" w:pos="630"/>
              </w:tabs>
              <w:spacing w:before="60" w:after="60" w:line="360" w:lineRule="exact"/>
              <w:jc w:val="center"/>
              <w:rPr>
                <w:sz w:val="18"/>
              </w:rPr>
            </w:pPr>
            <w:r>
              <w:rPr>
                <w:sz w:val="18"/>
              </w:rPr>
              <w:t>53</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sz w:val="18"/>
              </w:rPr>
              <w:t>–</w:t>
            </w:r>
            <w:r>
              <w:rPr>
                <w:rFonts w:hint="eastAsia"/>
                <w:sz w:val="18"/>
              </w:rPr>
              <w:t xml:space="preserve"> </w:t>
            </w:r>
            <w:r>
              <w:rPr>
                <w:rFonts w:hint="eastAsia"/>
                <w:sz w:val="18"/>
              </w:rPr>
              <w:t>有子女已婚夫妇</w:t>
            </w:r>
          </w:p>
        </w:tc>
        <w:tc>
          <w:tcPr>
            <w:tcW w:w="2490" w:type="dxa"/>
          </w:tcPr>
          <w:p w:rsidR="001A7779" w:rsidRDefault="001A7779">
            <w:pPr>
              <w:tabs>
                <w:tab w:val="left" w:pos="630"/>
              </w:tabs>
              <w:spacing w:before="60" w:after="60" w:line="360" w:lineRule="exact"/>
              <w:jc w:val="center"/>
              <w:rPr>
                <w:sz w:val="18"/>
              </w:rPr>
            </w:pPr>
            <w:r>
              <w:rPr>
                <w:sz w:val="18"/>
              </w:rPr>
              <w:t>20</w:t>
            </w:r>
          </w:p>
        </w:tc>
        <w:tc>
          <w:tcPr>
            <w:tcW w:w="2490" w:type="dxa"/>
          </w:tcPr>
          <w:p w:rsidR="001A7779" w:rsidRDefault="001A7779">
            <w:pPr>
              <w:tabs>
                <w:tab w:val="left" w:pos="630"/>
              </w:tabs>
              <w:spacing w:before="60" w:after="60" w:line="360" w:lineRule="exact"/>
              <w:jc w:val="center"/>
              <w:rPr>
                <w:sz w:val="18"/>
              </w:rPr>
            </w:pPr>
            <w:r>
              <w:rPr>
                <w:sz w:val="18"/>
              </w:rPr>
              <w:t>21</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rFonts w:hint="eastAsia"/>
                <w:sz w:val="18"/>
              </w:rPr>
              <w:t>与子女共同生活的夫妇</w:t>
            </w:r>
          </w:p>
        </w:tc>
        <w:tc>
          <w:tcPr>
            <w:tcW w:w="2490" w:type="dxa"/>
          </w:tcPr>
          <w:p w:rsidR="001A7779" w:rsidRDefault="001A7779">
            <w:pPr>
              <w:tabs>
                <w:tab w:val="left" w:pos="630"/>
              </w:tabs>
              <w:spacing w:before="60" w:after="60" w:line="360" w:lineRule="exact"/>
              <w:jc w:val="center"/>
              <w:rPr>
                <w:sz w:val="18"/>
              </w:rPr>
            </w:pPr>
            <w:r>
              <w:rPr>
                <w:sz w:val="18"/>
              </w:rPr>
              <w:t>2</w:t>
            </w:r>
          </w:p>
        </w:tc>
        <w:tc>
          <w:tcPr>
            <w:tcW w:w="2490" w:type="dxa"/>
          </w:tcPr>
          <w:p w:rsidR="001A7779" w:rsidRDefault="001A7779">
            <w:pPr>
              <w:tabs>
                <w:tab w:val="left" w:pos="630"/>
              </w:tabs>
              <w:spacing w:before="60" w:after="60" w:line="360" w:lineRule="exact"/>
              <w:jc w:val="center"/>
              <w:rPr>
                <w:sz w:val="18"/>
              </w:rPr>
            </w:pPr>
            <w:r>
              <w:rPr>
                <w:sz w:val="18"/>
              </w:rPr>
              <w:t>5</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rFonts w:hint="eastAsia"/>
                <w:sz w:val="18"/>
              </w:rPr>
              <w:t>不与子女共同生活的夫妇</w:t>
            </w:r>
          </w:p>
        </w:tc>
        <w:tc>
          <w:tcPr>
            <w:tcW w:w="2490" w:type="dxa"/>
          </w:tcPr>
          <w:p w:rsidR="001A7779" w:rsidRDefault="001A7779">
            <w:pPr>
              <w:tabs>
                <w:tab w:val="left" w:pos="630"/>
              </w:tabs>
              <w:spacing w:before="60" w:after="60" w:line="360" w:lineRule="exact"/>
              <w:jc w:val="center"/>
              <w:rPr>
                <w:sz w:val="18"/>
              </w:rPr>
            </w:pPr>
            <w:r>
              <w:rPr>
                <w:sz w:val="18"/>
              </w:rPr>
              <w:t>1</w:t>
            </w:r>
          </w:p>
        </w:tc>
        <w:tc>
          <w:tcPr>
            <w:tcW w:w="2490" w:type="dxa"/>
          </w:tcPr>
          <w:p w:rsidR="001A7779" w:rsidRDefault="001A7779">
            <w:pPr>
              <w:tabs>
                <w:tab w:val="left" w:pos="630"/>
              </w:tabs>
              <w:spacing w:before="60" w:after="60" w:line="360" w:lineRule="exact"/>
              <w:jc w:val="center"/>
              <w:rPr>
                <w:sz w:val="18"/>
              </w:rPr>
            </w:pPr>
            <w:r>
              <w:rPr>
                <w:sz w:val="18"/>
              </w:rPr>
              <w:t>2</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rFonts w:hint="eastAsia"/>
                <w:sz w:val="18"/>
              </w:rPr>
              <w:t>单身父母，共计</w:t>
            </w:r>
          </w:p>
        </w:tc>
        <w:tc>
          <w:tcPr>
            <w:tcW w:w="2490" w:type="dxa"/>
          </w:tcPr>
          <w:p w:rsidR="001A7779" w:rsidRDefault="001A7779">
            <w:pPr>
              <w:tabs>
                <w:tab w:val="left" w:pos="630"/>
              </w:tabs>
              <w:spacing w:before="60" w:after="60" w:line="360" w:lineRule="exact"/>
              <w:jc w:val="center"/>
              <w:rPr>
                <w:sz w:val="18"/>
              </w:rPr>
            </w:pPr>
            <w:r>
              <w:rPr>
                <w:sz w:val="18"/>
              </w:rPr>
              <w:t>18</w:t>
            </w:r>
          </w:p>
        </w:tc>
        <w:tc>
          <w:tcPr>
            <w:tcW w:w="2490" w:type="dxa"/>
          </w:tcPr>
          <w:p w:rsidR="001A7779" w:rsidRDefault="001A7779">
            <w:pPr>
              <w:tabs>
                <w:tab w:val="left" w:pos="630"/>
              </w:tabs>
              <w:spacing w:before="60" w:after="60" w:line="360" w:lineRule="exact"/>
              <w:jc w:val="center"/>
              <w:rPr>
                <w:sz w:val="18"/>
              </w:rPr>
            </w:pPr>
            <w:r>
              <w:rPr>
                <w:sz w:val="18"/>
              </w:rPr>
              <w:t>19</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sz w:val="18"/>
              </w:rPr>
              <w:t>–</w:t>
            </w:r>
            <w:r>
              <w:rPr>
                <w:rFonts w:hint="eastAsia"/>
                <w:sz w:val="18"/>
              </w:rPr>
              <w:t xml:space="preserve"> </w:t>
            </w:r>
            <w:r>
              <w:rPr>
                <w:rFonts w:hint="eastAsia"/>
                <w:sz w:val="18"/>
              </w:rPr>
              <w:t>母亲与子女</w:t>
            </w:r>
          </w:p>
        </w:tc>
        <w:tc>
          <w:tcPr>
            <w:tcW w:w="2490" w:type="dxa"/>
          </w:tcPr>
          <w:p w:rsidR="001A7779" w:rsidRDefault="001A7779">
            <w:pPr>
              <w:tabs>
                <w:tab w:val="left" w:pos="630"/>
              </w:tabs>
              <w:spacing w:before="60" w:after="60" w:line="360" w:lineRule="exact"/>
              <w:jc w:val="center"/>
              <w:rPr>
                <w:sz w:val="18"/>
              </w:rPr>
            </w:pPr>
            <w:r>
              <w:rPr>
                <w:sz w:val="18"/>
              </w:rPr>
              <w:t>15</w:t>
            </w:r>
          </w:p>
        </w:tc>
        <w:tc>
          <w:tcPr>
            <w:tcW w:w="2490" w:type="dxa"/>
          </w:tcPr>
          <w:p w:rsidR="001A7779" w:rsidRDefault="001A7779">
            <w:pPr>
              <w:tabs>
                <w:tab w:val="left" w:pos="630"/>
              </w:tabs>
              <w:spacing w:before="60" w:after="60" w:line="360" w:lineRule="exact"/>
              <w:jc w:val="center"/>
              <w:rPr>
                <w:sz w:val="18"/>
              </w:rPr>
            </w:pPr>
            <w:r>
              <w:rPr>
                <w:sz w:val="18"/>
              </w:rPr>
              <w:t>16</w:t>
            </w:r>
          </w:p>
        </w:tc>
      </w:tr>
      <w:tr w:rsidR="001A7779">
        <w:tblPrEx>
          <w:tblCellMar>
            <w:top w:w="0" w:type="dxa"/>
            <w:bottom w:w="0" w:type="dxa"/>
          </w:tblCellMar>
        </w:tblPrEx>
        <w:tc>
          <w:tcPr>
            <w:tcW w:w="4930" w:type="dxa"/>
          </w:tcPr>
          <w:p w:rsidR="001A7779" w:rsidRDefault="001A7779">
            <w:pPr>
              <w:tabs>
                <w:tab w:val="left" w:pos="630"/>
              </w:tabs>
              <w:spacing w:before="60" w:after="60" w:line="360" w:lineRule="exact"/>
              <w:rPr>
                <w:sz w:val="18"/>
              </w:rPr>
            </w:pPr>
            <w:r>
              <w:rPr>
                <w:sz w:val="18"/>
              </w:rPr>
              <w:t>–</w:t>
            </w:r>
            <w:r>
              <w:rPr>
                <w:rFonts w:hint="eastAsia"/>
                <w:sz w:val="18"/>
              </w:rPr>
              <w:t xml:space="preserve"> </w:t>
            </w:r>
            <w:r>
              <w:rPr>
                <w:rFonts w:hint="eastAsia"/>
                <w:sz w:val="18"/>
              </w:rPr>
              <w:t>父亲与子女</w:t>
            </w:r>
          </w:p>
        </w:tc>
        <w:tc>
          <w:tcPr>
            <w:tcW w:w="2490" w:type="dxa"/>
          </w:tcPr>
          <w:p w:rsidR="001A7779" w:rsidRDefault="001A7779">
            <w:pPr>
              <w:tabs>
                <w:tab w:val="left" w:pos="630"/>
              </w:tabs>
              <w:spacing w:before="60" w:after="60" w:line="360" w:lineRule="exact"/>
              <w:jc w:val="center"/>
              <w:rPr>
                <w:sz w:val="18"/>
              </w:rPr>
            </w:pPr>
            <w:r>
              <w:rPr>
                <w:sz w:val="18"/>
              </w:rPr>
              <w:t>2</w:t>
            </w:r>
          </w:p>
        </w:tc>
        <w:tc>
          <w:tcPr>
            <w:tcW w:w="2490" w:type="dxa"/>
          </w:tcPr>
          <w:p w:rsidR="001A7779" w:rsidRDefault="001A7779">
            <w:pPr>
              <w:tabs>
                <w:tab w:val="left" w:pos="630"/>
              </w:tabs>
              <w:spacing w:before="60" w:after="60" w:line="360" w:lineRule="exact"/>
              <w:jc w:val="center"/>
              <w:rPr>
                <w:sz w:val="18"/>
              </w:rPr>
            </w:pPr>
            <w:r>
              <w:rPr>
                <w:sz w:val="18"/>
              </w:rPr>
              <w:t>3</w:t>
            </w:r>
          </w:p>
        </w:tc>
      </w:tr>
    </w:tbl>
    <w:p w:rsidR="001A7779" w:rsidRDefault="001A7779">
      <w:pPr>
        <w:tabs>
          <w:tab w:val="left" w:pos="630"/>
        </w:tabs>
        <w:spacing w:after="240" w:line="360" w:lineRule="exact"/>
        <w:rPr>
          <w:color w:val="000000"/>
          <w:sz w:val="18"/>
        </w:rPr>
      </w:pPr>
      <w:r>
        <w:rPr>
          <w:rFonts w:ascii="KaiTi_GB2312" w:eastAsia="KaiTi_GB2312" w:hint="eastAsia"/>
          <w:color w:val="0000FF"/>
          <w:sz w:val="18"/>
        </w:rPr>
        <w:t>资料来源：</w:t>
      </w:r>
      <w:r>
        <w:rPr>
          <w:rFonts w:hint="eastAsia"/>
          <w:color w:val="000000"/>
          <w:sz w:val="18"/>
        </w:rPr>
        <w:t>2004</w:t>
      </w:r>
      <w:r>
        <w:rPr>
          <w:rFonts w:hint="eastAsia"/>
          <w:color w:val="000000"/>
          <w:sz w:val="18"/>
        </w:rPr>
        <w:t>年《统计年鉴》，斯洛文尼亚共和国统计局和</w:t>
      </w:r>
      <w:r>
        <w:rPr>
          <w:rFonts w:hint="eastAsia"/>
          <w:color w:val="000000"/>
          <w:sz w:val="18"/>
        </w:rPr>
        <w:t>1991</w:t>
      </w:r>
      <w:r>
        <w:rPr>
          <w:rFonts w:hint="eastAsia"/>
          <w:color w:val="000000"/>
          <w:sz w:val="18"/>
        </w:rPr>
        <w:t>年</w:t>
      </w:r>
      <w:r>
        <w:rPr>
          <w:rFonts w:hint="eastAsia"/>
          <w:color w:val="000000"/>
          <w:sz w:val="18"/>
        </w:rPr>
        <w:t>3</w:t>
      </w:r>
      <w:r>
        <w:rPr>
          <w:rFonts w:hint="eastAsia"/>
          <w:color w:val="000000"/>
          <w:sz w:val="18"/>
        </w:rPr>
        <w:t>月</w:t>
      </w:r>
      <w:r>
        <w:rPr>
          <w:rFonts w:hint="eastAsia"/>
          <w:color w:val="000000"/>
          <w:sz w:val="18"/>
        </w:rPr>
        <w:t>31</w:t>
      </w:r>
      <w:r>
        <w:rPr>
          <w:rFonts w:hint="eastAsia"/>
          <w:color w:val="000000"/>
          <w:sz w:val="18"/>
        </w:rPr>
        <w:t>日人口、住户和住房普查，斯洛文尼亚共和国统计局。</w:t>
      </w:r>
      <w:r>
        <w:rPr>
          <w:color w:val="000000"/>
          <w:sz w:val="18"/>
        </w:rPr>
        <w:t xml:space="preserve"> </w:t>
      </w:r>
    </w:p>
    <w:p w:rsidR="001A7779" w:rsidRDefault="001A777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52</w:t>
      </w:r>
      <w:r>
        <w:rPr>
          <w:rFonts w:ascii="SimHei" w:eastAsia="SimHei" w:hint="eastAsia"/>
          <w:color w:val="FF0000"/>
        </w:rPr>
        <w:t>：</w:t>
      </w:r>
      <w:r>
        <w:rPr>
          <w:rFonts w:ascii="SimHei" w:eastAsia="SimHei"/>
          <w:color w:val="FF0000"/>
        </w:rPr>
        <w:t>2001</w:t>
      </w:r>
      <w:r>
        <w:rPr>
          <w:rFonts w:ascii="SimHei" w:eastAsia="SimHei" w:hint="eastAsia"/>
          <w:color w:val="FF0000"/>
        </w:rPr>
        <w:t>-</w:t>
      </w:r>
      <w:r>
        <w:rPr>
          <w:rFonts w:ascii="SimHei" w:eastAsia="SimHei"/>
          <w:color w:val="FF0000"/>
        </w:rPr>
        <w:t xml:space="preserve">2004 </w:t>
      </w:r>
      <w:r>
        <w:rPr>
          <w:rFonts w:ascii="SimHei" w:eastAsia="SimHei" w:hint="eastAsia"/>
          <w:color w:val="FF0000"/>
        </w:rPr>
        <w:t>年婚生子女和非婚生子女</w:t>
      </w:r>
      <w:r>
        <w:rPr>
          <w:rFonts w:ascii="SimHei" w:eastAsia="SimHei"/>
          <w:color w:val="FF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45"/>
        <w:gridCol w:w="2066"/>
        <w:gridCol w:w="2066"/>
        <w:gridCol w:w="2066"/>
        <w:gridCol w:w="2067"/>
      </w:tblGrid>
      <w:tr w:rsidR="001A7779">
        <w:tblPrEx>
          <w:tblCellMar>
            <w:top w:w="0" w:type="dxa"/>
            <w:bottom w:w="0" w:type="dxa"/>
          </w:tblCellMar>
        </w:tblPrEx>
        <w:tc>
          <w:tcPr>
            <w:tcW w:w="1645" w:type="dxa"/>
          </w:tcPr>
          <w:p w:rsidR="001A7779" w:rsidRDefault="001A7779">
            <w:pPr>
              <w:tabs>
                <w:tab w:val="left" w:pos="630"/>
              </w:tabs>
              <w:spacing w:before="60" w:after="60" w:line="360" w:lineRule="exact"/>
              <w:rPr>
                <w:sz w:val="18"/>
              </w:rPr>
            </w:pPr>
            <w:r>
              <w:rPr>
                <w:rFonts w:hint="eastAsia"/>
                <w:sz w:val="18"/>
              </w:rPr>
              <w:t>年份</w:t>
            </w:r>
          </w:p>
        </w:tc>
        <w:tc>
          <w:tcPr>
            <w:tcW w:w="2066" w:type="dxa"/>
          </w:tcPr>
          <w:p w:rsidR="001A7779" w:rsidRDefault="001A7779">
            <w:pPr>
              <w:tabs>
                <w:tab w:val="left" w:pos="630"/>
              </w:tabs>
              <w:spacing w:before="60" w:after="60" w:line="360" w:lineRule="exact"/>
              <w:jc w:val="center"/>
              <w:rPr>
                <w:sz w:val="18"/>
              </w:rPr>
            </w:pPr>
            <w:r>
              <w:rPr>
                <w:rFonts w:hint="eastAsia"/>
                <w:sz w:val="18"/>
              </w:rPr>
              <w:t>共计</w:t>
            </w:r>
          </w:p>
        </w:tc>
        <w:tc>
          <w:tcPr>
            <w:tcW w:w="2066" w:type="dxa"/>
          </w:tcPr>
          <w:p w:rsidR="001A7779" w:rsidRDefault="001A7779">
            <w:pPr>
              <w:tabs>
                <w:tab w:val="left" w:pos="630"/>
              </w:tabs>
              <w:spacing w:before="60" w:after="60" w:line="360" w:lineRule="exact"/>
              <w:jc w:val="center"/>
              <w:rPr>
                <w:sz w:val="18"/>
              </w:rPr>
            </w:pPr>
            <w:r>
              <w:rPr>
                <w:rFonts w:hint="eastAsia"/>
                <w:sz w:val="18"/>
              </w:rPr>
              <w:t>婚生</w:t>
            </w:r>
          </w:p>
        </w:tc>
        <w:tc>
          <w:tcPr>
            <w:tcW w:w="2066" w:type="dxa"/>
          </w:tcPr>
          <w:p w:rsidR="001A7779" w:rsidRDefault="001A7779">
            <w:pPr>
              <w:tabs>
                <w:tab w:val="left" w:pos="630"/>
              </w:tabs>
              <w:spacing w:before="60" w:after="60" w:line="360" w:lineRule="exact"/>
              <w:jc w:val="center"/>
              <w:rPr>
                <w:sz w:val="18"/>
              </w:rPr>
            </w:pPr>
            <w:r>
              <w:rPr>
                <w:rFonts w:hint="eastAsia"/>
                <w:sz w:val="18"/>
              </w:rPr>
              <w:t>非婚生</w:t>
            </w:r>
          </w:p>
        </w:tc>
        <w:tc>
          <w:tcPr>
            <w:tcW w:w="2067" w:type="dxa"/>
          </w:tcPr>
          <w:p w:rsidR="001A7779" w:rsidRDefault="001A7779">
            <w:pPr>
              <w:tabs>
                <w:tab w:val="left" w:pos="630"/>
              </w:tabs>
              <w:spacing w:before="60" w:after="60" w:line="360" w:lineRule="exact"/>
              <w:jc w:val="center"/>
              <w:rPr>
                <w:sz w:val="18"/>
              </w:rPr>
            </w:pPr>
            <w:r>
              <w:rPr>
                <w:rFonts w:hint="eastAsia"/>
                <w:sz w:val="18"/>
              </w:rPr>
              <w:t>非婚生子女所占比例</w:t>
            </w:r>
            <w:r>
              <w:rPr>
                <w:sz w:val="18"/>
              </w:rPr>
              <w:t>（</w:t>
            </w:r>
            <w:r>
              <w:rPr>
                <w:sz w:val="18"/>
              </w:rPr>
              <w:t>%</w:t>
            </w:r>
            <w:r>
              <w:rPr>
                <w:sz w:val="18"/>
              </w:rPr>
              <w:t>）</w:t>
            </w:r>
          </w:p>
        </w:tc>
      </w:tr>
      <w:tr w:rsidR="001A7779">
        <w:tblPrEx>
          <w:tblCellMar>
            <w:top w:w="0" w:type="dxa"/>
            <w:bottom w:w="0" w:type="dxa"/>
          </w:tblCellMar>
        </w:tblPrEx>
        <w:tc>
          <w:tcPr>
            <w:tcW w:w="1645" w:type="dxa"/>
          </w:tcPr>
          <w:p w:rsidR="001A7779" w:rsidRDefault="001A7779">
            <w:pPr>
              <w:pStyle w:val="a3"/>
              <w:tabs>
                <w:tab w:val="left" w:pos="630"/>
              </w:tabs>
              <w:adjustRightInd w:val="0"/>
              <w:spacing w:before="60" w:after="60" w:line="360" w:lineRule="exact"/>
              <w:textAlignment w:val="baseline"/>
              <w:rPr>
                <w:kern w:val="0"/>
                <w:szCs w:val="20"/>
              </w:rPr>
            </w:pPr>
            <w:r>
              <w:rPr>
                <w:kern w:val="0"/>
                <w:szCs w:val="20"/>
              </w:rPr>
              <w:t>2001</w:t>
            </w:r>
          </w:p>
        </w:tc>
        <w:tc>
          <w:tcPr>
            <w:tcW w:w="2066" w:type="dxa"/>
          </w:tcPr>
          <w:p w:rsidR="001A7779" w:rsidRDefault="001A7779" w:rsidP="00B359E9">
            <w:pPr>
              <w:pStyle w:val="Header"/>
              <w:pBdr>
                <w:bottom w:val="none" w:sz="0" w:space="0" w:color="auto"/>
              </w:pBdr>
              <w:tabs>
                <w:tab w:val="clear" w:pos="4320"/>
                <w:tab w:val="clear" w:pos="8640"/>
                <w:tab w:val="left" w:pos="630"/>
              </w:tabs>
              <w:spacing w:before="60" w:after="60" w:line="360" w:lineRule="exact"/>
              <w:ind w:rightChars="329" w:right="31680"/>
              <w:jc w:val="right"/>
            </w:pPr>
            <w:r>
              <w:t>17 477</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10 596</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6 881</w:t>
            </w:r>
          </w:p>
        </w:tc>
        <w:tc>
          <w:tcPr>
            <w:tcW w:w="2067" w:type="dxa"/>
          </w:tcPr>
          <w:p w:rsidR="001A7779" w:rsidRDefault="001A7779">
            <w:pPr>
              <w:tabs>
                <w:tab w:val="left" w:pos="630"/>
              </w:tabs>
              <w:spacing w:before="60" w:after="60" w:line="360" w:lineRule="exact"/>
              <w:jc w:val="center"/>
              <w:rPr>
                <w:sz w:val="18"/>
              </w:rPr>
            </w:pPr>
            <w:r>
              <w:rPr>
                <w:sz w:val="18"/>
              </w:rPr>
              <w:t>39.4</w:t>
            </w:r>
          </w:p>
        </w:tc>
      </w:tr>
      <w:tr w:rsidR="001A7779">
        <w:tblPrEx>
          <w:tblCellMar>
            <w:top w:w="0" w:type="dxa"/>
            <w:bottom w:w="0" w:type="dxa"/>
          </w:tblCellMar>
        </w:tblPrEx>
        <w:tc>
          <w:tcPr>
            <w:tcW w:w="1645" w:type="dxa"/>
          </w:tcPr>
          <w:p w:rsidR="001A7779" w:rsidRDefault="001A7779">
            <w:pPr>
              <w:tabs>
                <w:tab w:val="left" w:pos="630"/>
              </w:tabs>
              <w:spacing w:before="60" w:after="60" w:line="360" w:lineRule="exact"/>
              <w:rPr>
                <w:sz w:val="18"/>
              </w:rPr>
            </w:pPr>
            <w:r>
              <w:rPr>
                <w:sz w:val="18"/>
              </w:rPr>
              <w:t>2002</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17 501</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10 464</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7 037</w:t>
            </w:r>
          </w:p>
        </w:tc>
        <w:tc>
          <w:tcPr>
            <w:tcW w:w="2067" w:type="dxa"/>
          </w:tcPr>
          <w:p w:rsidR="001A7779" w:rsidRDefault="001A7779">
            <w:pPr>
              <w:tabs>
                <w:tab w:val="left" w:pos="630"/>
              </w:tabs>
              <w:spacing w:before="60" w:after="60" w:line="360" w:lineRule="exact"/>
              <w:jc w:val="center"/>
              <w:rPr>
                <w:sz w:val="18"/>
              </w:rPr>
            </w:pPr>
            <w:r>
              <w:rPr>
                <w:sz w:val="18"/>
              </w:rPr>
              <w:t>40.2</w:t>
            </w:r>
          </w:p>
        </w:tc>
      </w:tr>
      <w:tr w:rsidR="001A7779">
        <w:tblPrEx>
          <w:tblCellMar>
            <w:top w:w="0" w:type="dxa"/>
            <w:bottom w:w="0" w:type="dxa"/>
          </w:tblCellMar>
        </w:tblPrEx>
        <w:tc>
          <w:tcPr>
            <w:tcW w:w="1645" w:type="dxa"/>
          </w:tcPr>
          <w:p w:rsidR="001A7779" w:rsidRDefault="001A7779">
            <w:pPr>
              <w:tabs>
                <w:tab w:val="left" w:pos="630"/>
              </w:tabs>
              <w:spacing w:before="60" w:after="60" w:line="360" w:lineRule="exact"/>
              <w:rPr>
                <w:sz w:val="18"/>
              </w:rPr>
            </w:pPr>
            <w:r>
              <w:rPr>
                <w:sz w:val="18"/>
              </w:rPr>
              <w:t>2003</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17 321</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9 967</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7 354</w:t>
            </w:r>
          </w:p>
        </w:tc>
        <w:tc>
          <w:tcPr>
            <w:tcW w:w="2067" w:type="dxa"/>
          </w:tcPr>
          <w:p w:rsidR="001A7779" w:rsidRDefault="001A7779">
            <w:pPr>
              <w:tabs>
                <w:tab w:val="left" w:pos="630"/>
              </w:tabs>
              <w:spacing w:before="60" w:after="60" w:line="360" w:lineRule="exact"/>
              <w:jc w:val="center"/>
              <w:rPr>
                <w:sz w:val="18"/>
              </w:rPr>
            </w:pPr>
            <w:r>
              <w:rPr>
                <w:sz w:val="18"/>
              </w:rPr>
              <w:t>42.5</w:t>
            </w:r>
          </w:p>
        </w:tc>
      </w:tr>
      <w:tr w:rsidR="001A7779">
        <w:tblPrEx>
          <w:tblCellMar>
            <w:top w:w="0" w:type="dxa"/>
            <w:bottom w:w="0" w:type="dxa"/>
          </w:tblCellMar>
        </w:tblPrEx>
        <w:tc>
          <w:tcPr>
            <w:tcW w:w="1645" w:type="dxa"/>
          </w:tcPr>
          <w:p w:rsidR="001A7779" w:rsidRDefault="001A7779">
            <w:pPr>
              <w:tabs>
                <w:tab w:val="left" w:pos="630"/>
              </w:tabs>
              <w:spacing w:before="60" w:after="60" w:line="360" w:lineRule="exact"/>
              <w:rPr>
                <w:sz w:val="18"/>
              </w:rPr>
            </w:pPr>
            <w:r>
              <w:rPr>
                <w:sz w:val="18"/>
              </w:rPr>
              <w:t>2004</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17 961</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9 908</w:t>
            </w:r>
          </w:p>
        </w:tc>
        <w:tc>
          <w:tcPr>
            <w:tcW w:w="2066" w:type="dxa"/>
          </w:tcPr>
          <w:p w:rsidR="001A7779" w:rsidRDefault="001A7779" w:rsidP="00B359E9">
            <w:pPr>
              <w:tabs>
                <w:tab w:val="left" w:pos="630"/>
              </w:tabs>
              <w:spacing w:before="60" w:after="60" w:line="360" w:lineRule="exact"/>
              <w:ind w:rightChars="329" w:right="31680"/>
              <w:jc w:val="right"/>
              <w:rPr>
                <w:sz w:val="18"/>
              </w:rPr>
            </w:pPr>
            <w:r>
              <w:rPr>
                <w:sz w:val="18"/>
              </w:rPr>
              <w:t>8 053</w:t>
            </w:r>
          </w:p>
        </w:tc>
        <w:tc>
          <w:tcPr>
            <w:tcW w:w="2067" w:type="dxa"/>
          </w:tcPr>
          <w:p w:rsidR="001A7779" w:rsidRDefault="001A7779">
            <w:pPr>
              <w:pStyle w:val="Header"/>
              <w:pBdr>
                <w:bottom w:val="none" w:sz="0" w:space="0" w:color="auto"/>
              </w:pBdr>
              <w:tabs>
                <w:tab w:val="clear" w:pos="4320"/>
                <w:tab w:val="clear" w:pos="8640"/>
                <w:tab w:val="left" w:pos="630"/>
              </w:tabs>
              <w:spacing w:before="60" w:after="60" w:line="360" w:lineRule="exact"/>
            </w:pPr>
            <w:r>
              <w:t>44.8</w:t>
            </w:r>
          </w:p>
        </w:tc>
      </w:tr>
    </w:tbl>
    <w:p w:rsidR="001A7779" w:rsidRDefault="001A7779" w:rsidP="00700560">
      <w:pPr>
        <w:tabs>
          <w:tab w:val="left" w:pos="630"/>
        </w:tabs>
        <w:spacing w:after="120" w:line="360" w:lineRule="exact"/>
        <w:rPr>
          <w:rFonts w:hint="eastAsia"/>
          <w:color w:val="000000"/>
          <w:sz w:val="18"/>
        </w:rPr>
      </w:pPr>
      <w:r>
        <w:rPr>
          <w:rFonts w:ascii="KaiTi_GB2312" w:eastAsia="KaiTi_GB2312" w:hint="eastAsia"/>
          <w:color w:val="0000FF"/>
          <w:sz w:val="18"/>
        </w:rPr>
        <w:t>资料来源：</w:t>
      </w:r>
      <w:r>
        <w:rPr>
          <w:rFonts w:hint="eastAsia"/>
          <w:color w:val="000000"/>
          <w:sz w:val="18"/>
        </w:rPr>
        <w:t>2005</w:t>
      </w:r>
      <w:r>
        <w:rPr>
          <w:rFonts w:hint="eastAsia"/>
          <w:color w:val="000000"/>
          <w:sz w:val="18"/>
        </w:rPr>
        <w:t>年《统计年鉴》，斯洛文尼亚共和国统计局。</w:t>
      </w:r>
    </w:p>
    <w:p w:rsidR="001A7779" w:rsidRDefault="001A7779" w:rsidP="00700560">
      <w:pPr>
        <w:spacing w:after="120" w:line="360" w:lineRule="atLeast"/>
        <w:rPr>
          <w:rFonts w:eastAsia="SimHei" w:hint="eastAsia"/>
          <w:sz w:val="28"/>
          <w:lang w:val="en-GB"/>
        </w:rPr>
      </w:pPr>
    </w:p>
    <w:p w:rsidR="00700560" w:rsidRPr="00700560" w:rsidRDefault="00700560" w:rsidP="00700560">
      <w:pPr>
        <w:spacing w:after="120" w:line="360" w:lineRule="atLeast"/>
        <w:jc w:val="center"/>
        <w:rPr>
          <w:rFonts w:eastAsia="SimHei"/>
          <w:szCs w:val="21"/>
        </w:rPr>
      </w:pPr>
      <w:r w:rsidRPr="00700560">
        <w:rPr>
          <w:rFonts w:eastAsia="SimHei"/>
          <w:szCs w:val="21"/>
        </w:rPr>
        <w:t>––––––––––––––</w:t>
      </w:r>
    </w:p>
    <w:sectPr w:rsidR="00700560" w:rsidRPr="0070056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2T12:02:00Z" w:initials="Start">
    <w:p w:rsidR="00634A95" w:rsidRDefault="00634A95">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NO&gt;&gt;N0735128C&lt;&lt;ODS JOB NO&gt;&gt;</w:t>
      </w:r>
    </w:p>
    <w:p w:rsidR="00634A95" w:rsidRDefault="00634A95">
      <w:pPr>
        <w:pStyle w:val="CommentText"/>
      </w:pPr>
      <w:r>
        <w:t>&lt;&lt;ODS DOC SYMBOL1&gt;&gt; CEDAW/C/SVN/4&lt;&lt;ODS DOC SYMBOL1&gt;&gt;</w:t>
      </w:r>
    </w:p>
    <w:p w:rsidR="00634A95" w:rsidRDefault="00634A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F11" w:rsidRDefault="00D65F11" w:rsidP="001A7779">
      <w:pPr>
        <w:pStyle w:val="Hyperlink"/>
      </w:pPr>
      <w:r>
        <w:separator/>
      </w:r>
    </w:p>
  </w:endnote>
  <w:endnote w:type="continuationSeparator" w:id="0">
    <w:p w:rsidR="00D65F11" w:rsidRDefault="00D65F11" w:rsidP="001A7779">
      <w:pPr>
        <w:pStyle w:val="Hyperlin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34A95" w:rsidRDefault="00634A9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34A95" w:rsidRDefault="00634A9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tabs>
        <w:tab w:val="left" w:pos="-720"/>
        <w:tab w:val="left" w:pos="1"/>
        <w:tab w:val="left" w:pos="576"/>
        <w:tab w:val="left" w:pos="1152"/>
        <w:tab w:val="left" w:pos="1728"/>
        <w:tab w:val="left" w:pos="6480"/>
      </w:tabs>
      <w:ind w:left="570" w:hanging="570"/>
      <w:rPr>
        <w:b/>
        <w:bCs/>
        <w:sz w:val="18"/>
      </w:rPr>
    </w:pPr>
    <w:r>
      <w:rPr>
        <w:b/>
        <w:bCs/>
        <w:sz w:val="18"/>
      </w:rPr>
      <w:t>_____________________________________________________________________________________________________________</w:t>
    </w:r>
  </w:p>
  <w:p w:rsidR="00634A95" w:rsidRDefault="00634A95" w:rsidP="00922FEA">
    <w:pPr>
      <w:pStyle w:val="FootnoteText"/>
      <w:tabs>
        <w:tab w:val="right" w:pos="216"/>
        <w:tab w:val="left" w:pos="288"/>
        <w:tab w:val="right" w:pos="576"/>
        <w:tab w:val="left" w:pos="648"/>
      </w:tabs>
      <w:spacing w:after="120"/>
      <w:ind w:left="289" w:hanging="289"/>
      <w:rPr>
        <w:szCs w:val="22"/>
      </w:rPr>
    </w:pPr>
    <w:r>
      <w:rPr>
        <w:vertAlign w:val="superscript"/>
      </w:rPr>
      <w:tab/>
      <w:t>*</w:t>
    </w:r>
    <w:r>
      <w:rPr>
        <w:b/>
      </w:rPr>
      <w:tab/>
    </w:r>
    <w:r w:rsidRPr="00922FEA">
      <w:rPr>
        <w:rFonts w:eastAsia="SimSun" w:hint="eastAsia"/>
        <w:bCs/>
      </w:rPr>
      <w:t>2007</w:t>
    </w:r>
    <w:r w:rsidRPr="00922FEA">
      <w:rPr>
        <w:rFonts w:eastAsia="SimSun" w:hint="eastAsia"/>
        <w:bCs/>
      </w:rPr>
      <w:t>年</w:t>
    </w:r>
    <w:r w:rsidRPr="00922FEA">
      <w:rPr>
        <w:rFonts w:eastAsia="SimSun" w:hint="eastAsia"/>
        <w:bCs/>
      </w:rPr>
      <w:t>2</w:t>
    </w:r>
    <w:r w:rsidRPr="00922FEA">
      <w:rPr>
        <w:rFonts w:eastAsia="SimSun" w:hint="eastAsia"/>
        <w:bCs/>
      </w:rPr>
      <w:t>月</w:t>
    </w:r>
    <w:r w:rsidRPr="00922FEA">
      <w:rPr>
        <w:rFonts w:eastAsia="SimSun" w:hint="eastAsia"/>
        <w:bCs/>
      </w:rPr>
      <w:t>27</w:t>
    </w:r>
    <w:r w:rsidRPr="00922FEA">
      <w:rPr>
        <w:rFonts w:eastAsia="SimSun" w:hint="eastAsia"/>
        <w:bCs/>
      </w:rPr>
      <w:t>日秘书处收到斯洛文尼亚提交的第四次定期报告。</w:t>
    </w:r>
  </w:p>
  <w:p w:rsidR="00634A95" w:rsidRPr="00922FEA" w:rsidRDefault="00634A95" w:rsidP="00922FEA">
    <w:pPr>
      <w:pStyle w:val="FootnoteText"/>
      <w:tabs>
        <w:tab w:val="right" w:pos="216"/>
        <w:tab w:val="left" w:pos="288"/>
        <w:tab w:val="right" w:pos="576"/>
        <w:tab w:val="left" w:pos="648"/>
      </w:tabs>
      <w:spacing w:after="120" w:line="280" w:lineRule="exact"/>
      <w:ind w:left="289" w:hanging="289"/>
      <w:rPr>
        <w:rFonts w:ascii="SimSun" w:eastAsia="SimSun" w:hAnsi="SimSun"/>
      </w:rPr>
    </w:pPr>
    <w:r>
      <w:tab/>
    </w:r>
    <w:r>
      <w:tab/>
    </w:r>
    <w:r w:rsidRPr="00922FEA">
      <w:rPr>
        <w:rFonts w:ascii="SimSun" w:eastAsia="SimSun" w:hAnsi="SimSun" w:hint="eastAsia"/>
        <w:bCs/>
      </w:rPr>
      <w:t>平共处会第二十一</w:t>
    </w:r>
    <w:r w:rsidRPr="00922FEA">
      <w:rPr>
        <w:rFonts w:ascii="SimSun" w:eastAsia="SimSun" w:hAnsi="SimSun" w:hint="eastAsia"/>
        <w:szCs w:val="22"/>
      </w:rPr>
      <w:t>斯洛文尼亚</w:t>
    </w:r>
    <w:r w:rsidRPr="00922FEA">
      <w:rPr>
        <w:rFonts w:ascii="SimSun" w:eastAsia="SimSun" w:hAnsi="SimSun" w:hint="eastAsia"/>
        <w:bCs/>
      </w:rPr>
      <w:t>政府提交的初次报告，见经该委员会第十六届会议审议的CEDAW/C/SVN/1。斯洛文尼亚政府提交的第二次报告，见经该委员会第二十九届会议审议的CEDAW/C</w:t>
    </w:r>
    <w:r w:rsidRPr="00922FEA">
      <w:rPr>
        <w:rFonts w:ascii="SimSun" w:eastAsia="SimSun" w:hAnsi="SimSun"/>
        <w:bCs/>
      </w:rPr>
      <w:t>/</w:t>
    </w:r>
    <w:r w:rsidRPr="00922FEA">
      <w:rPr>
        <w:rFonts w:ascii="SimSun" w:eastAsia="SimSun" w:hAnsi="SimSun" w:hint="eastAsia"/>
        <w:bCs/>
      </w:rPr>
      <w:t>S</w:t>
    </w:r>
    <w:r w:rsidRPr="00922FEA">
      <w:rPr>
        <w:rFonts w:ascii="SimSun" w:eastAsia="SimSun" w:hAnsi="SimSun"/>
        <w:bCs/>
      </w:rPr>
      <w:t>VN/2</w:t>
    </w:r>
    <w:r w:rsidRPr="00922FEA">
      <w:rPr>
        <w:rFonts w:ascii="SimSun" w:eastAsia="SimSun" w:hAnsi="SimSun" w:hint="eastAsia"/>
        <w:bCs/>
      </w:rPr>
      <w:t>。斯洛文尼亚政府提交的第三次报告，见经该委员会第二十八届会议审议的CEDAW/C</w:t>
    </w:r>
    <w:r w:rsidRPr="00922FEA">
      <w:rPr>
        <w:rFonts w:ascii="SimSun" w:eastAsia="SimSun" w:hAnsi="SimSun"/>
        <w:bCs/>
      </w:rPr>
      <w:t>/</w:t>
    </w:r>
    <w:r w:rsidRPr="00922FEA">
      <w:rPr>
        <w:rFonts w:ascii="SimSun" w:eastAsia="SimSun" w:hAnsi="SimSun" w:hint="eastAsia"/>
        <w:bCs/>
      </w:rPr>
      <w:t>S</w:t>
    </w:r>
    <w:r w:rsidRPr="00922FEA">
      <w:rPr>
        <w:rFonts w:ascii="SimSun" w:eastAsia="SimSun" w:hAnsi="SimSun"/>
        <w:bCs/>
      </w:rPr>
      <w:t>VN/2</w:t>
    </w:r>
    <w:r w:rsidRPr="00922FEA">
      <w:rPr>
        <w:rFonts w:ascii="SimSun" w:eastAsia="SimSun" w:hAnsi="SimSun" w:hint="eastAsia"/>
        <w:bCs/>
      </w:rPr>
      <w:t>。</w:t>
    </w:r>
  </w:p>
  <w:p w:rsidR="00634A95" w:rsidRDefault="00634A95">
    <w:pPr>
      <w:pStyle w:val="FootnoteText"/>
      <w:rPr>
        <w:sz w:val="21"/>
      </w:rPr>
    </w:pPr>
    <w:r>
      <w:rPr>
        <w:rFonts w:hint="eastAsia"/>
        <w:sz w:val="21"/>
      </w:rPr>
      <w:t>07-35128</w:t>
    </w:r>
    <w:r>
      <w:rPr>
        <w:sz w:val="21"/>
      </w:rPr>
      <w:t>(C)    120907    120907</w:t>
    </w:r>
  </w:p>
  <w:p w:rsidR="00634A95" w:rsidRPr="00700560" w:rsidRDefault="00634A95">
    <w:pPr>
      <w:pStyle w:val="FootnoteText"/>
      <w:spacing w:afterLines="50" w:after="120"/>
      <w:rPr>
        <w:rFonts w:ascii="Barcode 3 of 9 by request" w:hAnsi="Barcode 3 of 9 by request"/>
        <w:b/>
        <w:bCs/>
        <w:sz w:val="21"/>
      </w:rPr>
    </w:pPr>
    <w:r w:rsidRPr="00700560">
      <w:rPr>
        <w:rFonts w:ascii="Barcode 3 of 9 by request" w:hAnsi="Barcode 3 of 9 by request"/>
        <w:b/>
        <w:bCs/>
        <w:sz w:val="21"/>
      </w:rPr>
      <w:t>*0735128*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8B5C16">
      <w:rPr>
        <w:rStyle w:val="PageNumber"/>
        <w:noProof/>
      </w:rPr>
      <w:t>8</w:t>
    </w:r>
    <w:r>
      <w:rPr>
        <w:rStyle w:val="PageNumber"/>
      </w:rPr>
      <w:fldChar w:fldCharType="end"/>
    </w:r>
  </w:p>
  <w:p w:rsidR="00634A95" w:rsidRDefault="00634A95">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8B5C16">
      <w:rPr>
        <w:rStyle w:val="PageNumber"/>
        <w:noProof/>
      </w:rPr>
      <w:t>9</w:t>
    </w:r>
    <w:r>
      <w:rPr>
        <w:rStyle w:val="PageNumber"/>
      </w:rPr>
      <w:fldChar w:fldCharType="end"/>
    </w:r>
  </w:p>
  <w:p w:rsidR="00634A95" w:rsidRDefault="00634A9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F11" w:rsidRDefault="00D65F11" w:rsidP="001A7779">
      <w:pPr>
        <w:pStyle w:val="Hyperlink"/>
      </w:pPr>
      <w:r>
        <w:separator/>
      </w:r>
    </w:p>
  </w:footnote>
  <w:footnote w:type="continuationSeparator" w:id="0">
    <w:p w:rsidR="00D65F11" w:rsidRDefault="00D65F11" w:rsidP="001A7779">
      <w:pPr>
        <w:pStyle w:val="Hyperlink"/>
      </w:pPr>
      <w:r>
        <w:continuationSeparator/>
      </w:r>
    </w:p>
  </w:footnote>
  <w:footnote w:id="1">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1</w:t>
      </w:r>
      <w:r>
        <w:rPr>
          <w:rFonts w:eastAsia="SimSun" w:hint="eastAsia"/>
        </w:rPr>
        <w:t>、</w:t>
      </w:r>
      <w:r>
        <w:rPr>
          <w:rFonts w:eastAsia="SimSun" w:hint="eastAsia"/>
        </w:rPr>
        <w:t>2</w:t>
      </w:r>
      <w:r>
        <w:rPr>
          <w:rFonts w:eastAsia="SimSun" w:hint="eastAsia"/>
        </w:rPr>
        <w:t>和</w:t>
      </w:r>
      <w:r>
        <w:rPr>
          <w:rFonts w:eastAsia="SimSun" w:hint="eastAsia"/>
        </w:rPr>
        <w:t>3</w:t>
      </w:r>
      <w:r>
        <w:rPr>
          <w:rFonts w:eastAsia="SimSun" w:hint="eastAsia"/>
        </w:rPr>
        <w:t>。</w:t>
      </w:r>
    </w:p>
  </w:footnote>
  <w:footnote w:id="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4</w:t>
      </w:r>
      <w:r>
        <w:rPr>
          <w:rFonts w:eastAsia="SimSun" w:hint="eastAsia"/>
        </w:rPr>
        <w:t>和表</w:t>
      </w:r>
      <w:r>
        <w:rPr>
          <w:rFonts w:eastAsia="SimSun" w:hint="eastAsia"/>
        </w:rPr>
        <w:t>5</w:t>
      </w:r>
      <w:r>
        <w:rPr>
          <w:rFonts w:eastAsia="SimSun" w:hint="eastAsia"/>
        </w:rPr>
        <w:t>。</w:t>
      </w:r>
    </w:p>
  </w:footnote>
  <w:footnote w:id="3">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资料来源：《卫生保健统计年鉴》，</w:t>
      </w:r>
      <w:r>
        <w:rPr>
          <w:rFonts w:eastAsia="SimSun" w:hint="eastAsia"/>
        </w:rPr>
        <w:t>2002</w:t>
      </w:r>
      <w:r>
        <w:rPr>
          <w:rFonts w:eastAsia="SimSun" w:hint="eastAsia"/>
        </w:rPr>
        <w:t>年。斯洛文尼亚共和国公共卫生研究所，</w:t>
      </w:r>
      <w:r>
        <w:rPr>
          <w:rFonts w:eastAsia="SimSun" w:hint="eastAsia"/>
        </w:rPr>
        <w:t>2004</w:t>
      </w:r>
      <w:r>
        <w:rPr>
          <w:rFonts w:eastAsia="SimSun" w:hint="eastAsia"/>
        </w:rPr>
        <w:t>年。</w:t>
      </w:r>
    </w:p>
  </w:footnote>
  <w:footnote w:id="4">
    <w:p w:rsidR="00634A95" w:rsidRDefault="00634A95">
      <w:pPr>
        <w:pStyle w:val="FootnoteText"/>
        <w:tabs>
          <w:tab w:val="left" w:pos="315"/>
        </w:tabs>
        <w:spacing w:after="60" w:line="260" w:lineRule="atLeast"/>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6</w:t>
      </w:r>
      <w:r>
        <w:rPr>
          <w:rFonts w:eastAsia="SimSun" w:hint="eastAsia"/>
        </w:rPr>
        <w:t>和表</w:t>
      </w:r>
      <w:r>
        <w:rPr>
          <w:rFonts w:eastAsia="SimSun" w:hint="eastAsia"/>
        </w:rPr>
        <w:t>7</w:t>
      </w:r>
      <w:r>
        <w:rPr>
          <w:rFonts w:eastAsia="SimSun" w:hint="eastAsia"/>
        </w:rPr>
        <w:t>。</w:t>
      </w:r>
    </w:p>
  </w:footnote>
  <w:footnote w:id="5">
    <w:p w:rsidR="00634A95" w:rsidRDefault="00634A95">
      <w:pPr>
        <w:pStyle w:val="FootnoteText"/>
        <w:tabs>
          <w:tab w:val="left" w:pos="315"/>
        </w:tabs>
        <w:spacing w:after="60" w:line="260" w:lineRule="atLeast"/>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8</w:t>
      </w:r>
      <w:r>
        <w:rPr>
          <w:rFonts w:eastAsia="SimSun" w:hint="eastAsia"/>
        </w:rPr>
        <w:t>。</w:t>
      </w:r>
    </w:p>
  </w:footnote>
  <w:footnote w:id="6">
    <w:p w:rsidR="00634A95" w:rsidRDefault="00634A95">
      <w:pPr>
        <w:pStyle w:val="FootnoteText"/>
        <w:tabs>
          <w:tab w:val="left" w:pos="315"/>
        </w:tabs>
        <w:spacing w:after="60" w:line="260" w:lineRule="atLeas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见附录</w:t>
      </w:r>
      <w:r>
        <w:rPr>
          <w:rFonts w:eastAsia="SimSun" w:hint="eastAsia"/>
        </w:rPr>
        <w:t>2</w:t>
      </w:r>
      <w:r>
        <w:rPr>
          <w:rFonts w:eastAsia="SimSun" w:hint="eastAsia"/>
        </w:rPr>
        <w:t>，表</w:t>
      </w:r>
      <w:r>
        <w:rPr>
          <w:rFonts w:eastAsia="SimSun" w:hint="eastAsia"/>
        </w:rPr>
        <w:t>9</w:t>
      </w:r>
      <w:r>
        <w:rPr>
          <w:rFonts w:eastAsia="SimSun" w:hint="eastAsia"/>
        </w:rPr>
        <w:t>和表</w:t>
      </w:r>
      <w:r>
        <w:rPr>
          <w:rFonts w:eastAsia="SimSun" w:hint="eastAsia"/>
        </w:rPr>
        <w:t>10</w:t>
      </w:r>
      <w:r>
        <w:rPr>
          <w:rFonts w:eastAsia="SimSun" w:hint="eastAsia"/>
        </w:rPr>
        <w:t>。</w:t>
      </w:r>
    </w:p>
  </w:footnote>
  <w:footnote w:id="7">
    <w:p w:rsidR="00634A95" w:rsidRDefault="00634A95">
      <w:pPr>
        <w:pStyle w:val="FootnoteText"/>
        <w:tabs>
          <w:tab w:val="left" w:pos="315"/>
        </w:tabs>
        <w:spacing w:after="60" w:line="260" w:lineRule="atLeast"/>
        <w:rPr>
          <w:rFonts w:eastAsia="SimSun" w:hint="eastAsia"/>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见附录</w:t>
      </w:r>
      <w:r>
        <w:rPr>
          <w:rFonts w:eastAsia="SimSun" w:hint="eastAsia"/>
        </w:rPr>
        <w:t>2</w:t>
      </w:r>
      <w:r>
        <w:rPr>
          <w:rFonts w:eastAsia="SimSun" w:hint="eastAsia"/>
        </w:rPr>
        <w:t>，表</w:t>
      </w:r>
      <w:r>
        <w:rPr>
          <w:rFonts w:eastAsia="SimSun" w:hint="eastAsia"/>
        </w:rPr>
        <w:t>11</w:t>
      </w:r>
      <w:r>
        <w:rPr>
          <w:rFonts w:eastAsia="SimSun" w:hint="eastAsia"/>
        </w:rPr>
        <w:t>。</w:t>
      </w:r>
    </w:p>
  </w:footnote>
  <w:footnote w:id="8">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在第四次妇女问题世界会议上通过，北京，</w:t>
      </w:r>
      <w:r>
        <w:rPr>
          <w:rFonts w:eastAsia="SimSun" w:hint="eastAsia"/>
        </w:rPr>
        <w:t>1995</w:t>
      </w:r>
      <w:r>
        <w:rPr>
          <w:rFonts w:eastAsia="SimSun" w:hint="eastAsia"/>
        </w:rPr>
        <w:t>年</w:t>
      </w:r>
      <w:r>
        <w:rPr>
          <w:rFonts w:eastAsia="SimSun" w:hint="eastAsia"/>
        </w:rPr>
        <w:t>9</w:t>
      </w:r>
      <w:r>
        <w:rPr>
          <w:rFonts w:eastAsia="SimSun" w:hint="eastAsia"/>
        </w:rPr>
        <w:t>月</w:t>
      </w:r>
      <w:r>
        <w:rPr>
          <w:rFonts w:eastAsia="SimSun" w:hint="eastAsia"/>
        </w:rPr>
        <w:t>4-15</w:t>
      </w:r>
      <w:r>
        <w:rPr>
          <w:rFonts w:eastAsia="SimSun" w:hint="eastAsia"/>
        </w:rPr>
        <w:t>日。</w:t>
      </w:r>
    </w:p>
  </w:footnote>
  <w:footnote w:id="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大会决议，联合国</w:t>
      </w:r>
      <w:r>
        <w:rPr>
          <w:rFonts w:eastAsia="SimSun"/>
        </w:rPr>
        <w:t>A/RES/S-23/2</w:t>
      </w:r>
      <w:r>
        <w:rPr>
          <w:rFonts w:eastAsia="SimSun" w:hint="eastAsia"/>
        </w:rPr>
        <w:t xml:space="preserve"> </w:t>
      </w:r>
      <w:r>
        <w:rPr>
          <w:rFonts w:eastAsia="SimSun" w:hint="eastAsia"/>
        </w:rPr>
        <w:t>和</w:t>
      </w:r>
      <w:r>
        <w:rPr>
          <w:rFonts w:eastAsia="SimSun"/>
        </w:rPr>
        <w:t xml:space="preserve"> A/RES/S-23/3</w:t>
      </w:r>
      <w:r>
        <w:rPr>
          <w:rFonts w:eastAsia="SimSun" w:hint="eastAsia"/>
        </w:rPr>
        <w:t>号文件。</w:t>
      </w:r>
    </w:p>
  </w:footnote>
  <w:footnote w:id="10">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欧洲人如何支配业余时间：妇女与男子的日常生活（</w:t>
      </w:r>
      <w:r>
        <w:rPr>
          <w:rFonts w:eastAsia="SimSun" w:hint="eastAsia"/>
        </w:rPr>
        <w:t>1998-2002</w:t>
      </w:r>
      <w:r>
        <w:rPr>
          <w:rFonts w:eastAsia="SimSun" w:hint="eastAsia"/>
        </w:rPr>
        <w:t>年资料）。欧统处，</w:t>
      </w:r>
      <w:r>
        <w:rPr>
          <w:rFonts w:eastAsia="SimSun" w:hint="eastAsia"/>
        </w:rPr>
        <w:t>2004</w:t>
      </w:r>
      <w:r>
        <w:rPr>
          <w:rFonts w:eastAsia="SimSun" w:hint="eastAsia"/>
        </w:rPr>
        <w:t>年。</w:t>
      </w:r>
    </w:p>
  </w:footnote>
  <w:footnote w:id="11">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在欧洲时间使用调查中，有报酬的工作和学习包括主要和次要工作以及有关活动、工作时间内的工休和差旅、在学校学习和业余时间找工作的时间。</w:t>
      </w:r>
    </w:p>
  </w:footnote>
  <w:footnote w:id="12">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hint="eastAsia"/>
        </w:rPr>
        <w:tab/>
      </w:r>
      <w:r>
        <w:rPr>
          <w:rFonts w:eastAsia="SimSun" w:hint="eastAsia"/>
        </w:rPr>
        <w:t>在欧洲时间使用调查中，家务劳动包括家务、儿童和成人照料、园艺、宠物照料、修建和修理、采购和服务，以及家庭管理。</w:t>
      </w:r>
    </w:p>
  </w:footnote>
  <w:footnote w:id="13">
    <w:p w:rsidR="00634A95" w:rsidRDefault="00634A95">
      <w:pPr>
        <w:pStyle w:val="FootnoteText"/>
        <w:tabs>
          <w:tab w:val="left" w:pos="315"/>
        </w:tabs>
        <w:spacing w:after="60" w:line="260" w:lineRule="atLeas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关于</w:t>
      </w:r>
      <w:r>
        <w:rPr>
          <w:rFonts w:eastAsia="SimSun" w:hint="eastAsia"/>
        </w:rPr>
        <w:t>2004</w:t>
      </w:r>
      <w:r>
        <w:rPr>
          <w:rFonts w:eastAsia="SimSun" w:hint="eastAsia"/>
        </w:rPr>
        <w:t>年斯洛文尼亚共和国劳动监察机构的工作的报告，</w:t>
      </w:r>
      <w:r>
        <w:rPr>
          <w:rFonts w:eastAsia="SimSun"/>
        </w:rPr>
        <w:t xml:space="preserve"> 2005</w:t>
      </w:r>
      <w:r>
        <w:rPr>
          <w:rFonts w:eastAsia="SimSun" w:hint="eastAsia"/>
        </w:rPr>
        <w:t>年</w:t>
      </w:r>
      <w:r>
        <w:rPr>
          <w:rFonts w:eastAsia="SimSun" w:hint="eastAsia"/>
        </w:rPr>
        <w:t>7</w:t>
      </w:r>
      <w:r>
        <w:rPr>
          <w:rFonts w:eastAsia="SimSun" w:hint="eastAsia"/>
        </w:rPr>
        <w:t>月。</w:t>
      </w:r>
    </w:p>
  </w:footnote>
  <w:footnote w:id="1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hint="eastAsia"/>
        </w:rPr>
        <w:t xml:space="preserve"> </w:t>
      </w:r>
      <w:r>
        <w:rPr>
          <w:rFonts w:eastAsia="SimSun" w:hint="eastAsia"/>
        </w:rPr>
        <w:tab/>
      </w:r>
      <w:r>
        <w:rPr>
          <w:rFonts w:eastAsia="SimSun" w:hint="eastAsia"/>
        </w:rPr>
        <w:t>资料来源：内政部，</w:t>
      </w:r>
      <w:r>
        <w:rPr>
          <w:rFonts w:eastAsia="SimSun" w:hint="eastAsia"/>
        </w:rPr>
        <w:t>2005</w:t>
      </w:r>
      <w:r>
        <w:rPr>
          <w:rFonts w:eastAsia="SimSun" w:hint="eastAsia"/>
        </w:rPr>
        <w:t>年。</w:t>
      </w:r>
    </w:p>
  </w:footnote>
  <w:footnote w:id="15">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13</w:t>
      </w:r>
      <w:r>
        <w:rPr>
          <w:rFonts w:eastAsia="SimSun" w:hint="eastAsia"/>
        </w:rPr>
        <w:t>。</w:t>
      </w:r>
    </w:p>
  </w:footnote>
  <w:footnote w:id="16">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14</w:t>
      </w:r>
      <w:r>
        <w:rPr>
          <w:rFonts w:eastAsia="SimSun" w:hint="eastAsia"/>
        </w:rPr>
        <w:t>。</w:t>
      </w:r>
    </w:p>
  </w:footnote>
  <w:footnote w:id="17">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t>Robnik</w:t>
      </w:r>
      <w:r>
        <w:rPr>
          <w:rFonts w:eastAsia="SimSun" w:hint="eastAsia"/>
        </w:rPr>
        <w:t>，</w:t>
      </w:r>
      <w:r>
        <w:rPr>
          <w:rFonts w:eastAsia="SimSun"/>
        </w:rPr>
        <w:t xml:space="preserve"> S., Skornšek – Pleš, T., Veselič, Š.</w:t>
      </w:r>
      <w:r>
        <w:rPr>
          <w:rFonts w:eastAsia="SimSun" w:hint="eastAsia"/>
        </w:rPr>
        <w:t>和负责处理对妇女的暴力问题专家理事会。“家庭中对妇女的暴力：状况分析”，</w:t>
      </w:r>
      <w:r>
        <w:rPr>
          <w:rFonts w:eastAsia="SimSun" w:hint="eastAsia"/>
        </w:rPr>
        <w:t>2003</w:t>
      </w:r>
      <w:r>
        <w:rPr>
          <w:rFonts w:eastAsia="SimSun" w:hint="eastAsia"/>
        </w:rPr>
        <w:t>年。</w:t>
      </w:r>
    </w:p>
  </w:footnote>
  <w:footnote w:id="18">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资料来源：内政部，</w:t>
      </w:r>
      <w:r>
        <w:rPr>
          <w:rFonts w:eastAsia="SimSun" w:hint="eastAsia"/>
        </w:rPr>
        <w:t>2005</w:t>
      </w:r>
      <w:r>
        <w:rPr>
          <w:rFonts w:eastAsia="SimSun" w:hint="eastAsia"/>
        </w:rPr>
        <w:t>年。</w:t>
      </w:r>
      <w:r>
        <w:rPr>
          <w:rFonts w:eastAsia="SimSun"/>
        </w:rPr>
        <w:t xml:space="preserve"> </w:t>
      </w:r>
    </w:p>
  </w:footnote>
  <w:footnote w:id="1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hint="eastAsia"/>
        </w:rPr>
        <w:t>2004</w:t>
      </w:r>
      <w:r>
        <w:rPr>
          <w:rFonts w:eastAsia="SimSun" w:hint="eastAsia"/>
        </w:rPr>
        <w:t>年关于斯洛文尼亚共和国劳动监察员的工作的报告，</w:t>
      </w:r>
      <w:r>
        <w:rPr>
          <w:rFonts w:eastAsia="SimSun" w:hint="eastAsia"/>
        </w:rPr>
        <w:t>2005</w:t>
      </w:r>
      <w:r>
        <w:rPr>
          <w:rFonts w:eastAsia="SimSun" w:hint="eastAsia"/>
        </w:rPr>
        <w:t>年。</w:t>
      </w:r>
    </w:p>
  </w:footnote>
  <w:footnote w:id="20">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资料来源：关于</w:t>
      </w:r>
      <w:r>
        <w:rPr>
          <w:rFonts w:eastAsia="SimSun" w:hint="eastAsia"/>
        </w:rPr>
        <w:t>2004</w:t>
      </w:r>
      <w:r>
        <w:rPr>
          <w:rFonts w:eastAsia="SimSun" w:hint="eastAsia"/>
        </w:rPr>
        <w:t>年部际工作组打击贩运人口的工作的报告。</w:t>
      </w:r>
    </w:p>
  </w:footnote>
  <w:footnote w:id="21">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15</w:t>
      </w:r>
      <w:r>
        <w:rPr>
          <w:rFonts w:eastAsia="SimSun" w:hint="eastAsia"/>
        </w:rPr>
        <w:t>和</w:t>
      </w:r>
      <w:r>
        <w:rPr>
          <w:rFonts w:eastAsia="SimSun" w:hint="eastAsia"/>
        </w:rPr>
        <w:t>16</w:t>
      </w:r>
      <w:r>
        <w:rPr>
          <w:rFonts w:eastAsia="SimSun" w:hint="eastAsia"/>
        </w:rPr>
        <w:t>。</w:t>
      </w:r>
    </w:p>
  </w:footnote>
  <w:footnote w:id="2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17</w:t>
      </w:r>
      <w:r>
        <w:rPr>
          <w:rFonts w:eastAsia="SimSun" w:hint="eastAsia"/>
        </w:rPr>
        <w:t>。</w:t>
      </w:r>
    </w:p>
  </w:footnote>
  <w:footnote w:id="23">
    <w:p w:rsidR="00634A95" w:rsidRDefault="00634A95">
      <w:pPr>
        <w:pStyle w:val="FootnoteText"/>
        <w:tabs>
          <w:tab w:val="left" w:pos="315"/>
        </w:tabs>
        <w:spacing w:after="60" w:line="260" w:lineRule="atLeast"/>
        <w:rPr>
          <w:rFonts w:eastAsia="SimSun"/>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szCs w:val="16"/>
        </w:rPr>
        <w:t>资料来源：</w:t>
      </w:r>
      <w:r>
        <w:rPr>
          <w:rFonts w:eastAsia="SimSun" w:hint="eastAsia"/>
          <w:szCs w:val="16"/>
        </w:rPr>
        <w:t>2005</w:t>
      </w:r>
      <w:r>
        <w:rPr>
          <w:rFonts w:eastAsia="SimSun" w:hint="eastAsia"/>
          <w:szCs w:val="16"/>
        </w:rPr>
        <w:t>年公共管理部。截至</w:t>
      </w:r>
      <w:r>
        <w:rPr>
          <w:rFonts w:eastAsia="SimSun" w:hint="eastAsia"/>
          <w:szCs w:val="16"/>
        </w:rPr>
        <w:t>2004</w:t>
      </w:r>
      <w:r>
        <w:rPr>
          <w:rFonts w:eastAsia="SimSun" w:hint="eastAsia"/>
          <w:szCs w:val="16"/>
        </w:rPr>
        <w:t>年</w:t>
      </w:r>
      <w:r>
        <w:rPr>
          <w:rFonts w:eastAsia="SimSun" w:hint="eastAsia"/>
          <w:szCs w:val="16"/>
        </w:rPr>
        <w:t>12</w:t>
      </w:r>
      <w:r>
        <w:rPr>
          <w:rFonts w:eastAsia="SimSun" w:hint="eastAsia"/>
          <w:szCs w:val="16"/>
        </w:rPr>
        <w:t>月</w:t>
      </w:r>
      <w:r>
        <w:rPr>
          <w:rFonts w:eastAsia="SimSun" w:hint="eastAsia"/>
          <w:szCs w:val="16"/>
        </w:rPr>
        <w:t>31</w:t>
      </w:r>
      <w:r>
        <w:rPr>
          <w:rFonts w:eastAsia="SimSun" w:hint="eastAsia"/>
          <w:szCs w:val="16"/>
        </w:rPr>
        <w:t>日。</w:t>
      </w:r>
    </w:p>
  </w:footnote>
  <w:footnote w:id="24">
    <w:p w:rsidR="00634A95" w:rsidRDefault="00634A95">
      <w:pPr>
        <w:pStyle w:val="FootnoteText"/>
        <w:tabs>
          <w:tab w:val="left" w:pos="315"/>
        </w:tabs>
        <w:spacing w:after="60" w:line="260" w:lineRule="atLeast"/>
        <w:rPr>
          <w:rFonts w:eastAsia="SimSun"/>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rPr>
        <w:t>资料来源：</w:t>
      </w:r>
      <w:r>
        <w:rPr>
          <w:rFonts w:eastAsia="SimSun"/>
        </w:rPr>
        <w:t xml:space="preserve"> http://interispo.sigov.si/delovnatelesa/</w:t>
      </w:r>
      <w:r>
        <w:rPr>
          <w:rFonts w:eastAsia="SimSun" w:hint="eastAsia"/>
        </w:rPr>
        <w:t>。截至</w:t>
      </w:r>
      <w:r>
        <w:rPr>
          <w:rFonts w:eastAsia="SimSun" w:hint="eastAsia"/>
        </w:rPr>
        <w:t>2004</w:t>
      </w:r>
      <w:r>
        <w:rPr>
          <w:rFonts w:eastAsia="SimSun" w:hint="eastAsia"/>
        </w:rPr>
        <w:t>年</w:t>
      </w:r>
      <w:r>
        <w:rPr>
          <w:rFonts w:eastAsia="SimSun" w:hint="eastAsia"/>
        </w:rPr>
        <w:t>3</w:t>
      </w:r>
      <w:r>
        <w:rPr>
          <w:rFonts w:eastAsia="SimSun" w:hint="eastAsia"/>
        </w:rPr>
        <w:t>月</w:t>
      </w:r>
      <w:r>
        <w:rPr>
          <w:rFonts w:eastAsia="SimSun" w:hint="eastAsia"/>
        </w:rPr>
        <w:t>17</w:t>
      </w:r>
      <w:r>
        <w:rPr>
          <w:rFonts w:eastAsia="SimSun" w:hint="eastAsia"/>
        </w:rPr>
        <w:t>日。</w:t>
      </w:r>
      <w:r>
        <w:rPr>
          <w:rFonts w:eastAsia="SimSun"/>
        </w:rPr>
        <w:t xml:space="preserve"> </w:t>
      </w:r>
    </w:p>
  </w:footnote>
  <w:footnote w:id="25">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rPr>
        <w:t xml:space="preserve"> http://www.sodisce.si/vsrs/default.asp?idall=1254&amp;showin=all</w:t>
      </w:r>
      <w:r>
        <w:rPr>
          <w:rFonts w:eastAsia="SimSun" w:hint="eastAsia"/>
        </w:rPr>
        <w:t>，截至</w:t>
      </w:r>
      <w:r>
        <w:rPr>
          <w:rFonts w:eastAsia="SimSun" w:hint="eastAsia"/>
        </w:rPr>
        <w:t>2005</w:t>
      </w:r>
      <w:r>
        <w:rPr>
          <w:rFonts w:eastAsia="SimSun" w:hint="eastAsia"/>
        </w:rPr>
        <w:t>年</w:t>
      </w:r>
      <w:r>
        <w:rPr>
          <w:rFonts w:eastAsia="SimSun" w:hint="eastAsia"/>
        </w:rPr>
        <w:t>7</w:t>
      </w:r>
      <w:r>
        <w:rPr>
          <w:rFonts w:eastAsia="SimSun" w:hint="eastAsia"/>
        </w:rPr>
        <w:t>月</w:t>
      </w:r>
      <w:r>
        <w:rPr>
          <w:rFonts w:eastAsia="SimSun" w:hint="eastAsia"/>
        </w:rPr>
        <w:t>12</w:t>
      </w:r>
      <w:r>
        <w:rPr>
          <w:rFonts w:eastAsia="SimSun" w:hint="eastAsia"/>
        </w:rPr>
        <w:t>日。见附录</w:t>
      </w:r>
      <w:r>
        <w:rPr>
          <w:rFonts w:eastAsia="SimSun" w:hint="eastAsia"/>
        </w:rPr>
        <w:t>2</w:t>
      </w:r>
      <w:r>
        <w:rPr>
          <w:rFonts w:eastAsia="SimSun" w:hint="eastAsia"/>
        </w:rPr>
        <w:t>，表</w:t>
      </w:r>
      <w:r>
        <w:rPr>
          <w:rFonts w:eastAsia="SimSun" w:hint="eastAsia"/>
        </w:rPr>
        <w:t>18</w:t>
      </w:r>
      <w:r>
        <w:rPr>
          <w:rFonts w:eastAsia="SimSun" w:hint="eastAsia"/>
        </w:rPr>
        <w:t>。</w:t>
      </w:r>
    </w:p>
  </w:footnote>
  <w:footnote w:id="26">
    <w:p w:rsidR="00634A95" w:rsidRDefault="00634A95">
      <w:pPr>
        <w:pStyle w:val="FootnoteText"/>
        <w:tabs>
          <w:tab w:val="left" w:pos="315"/>
        </w:tabs>
        <w:spacing w:after="60" w:line="260" w:lineRule="atLeast"/>
        <w:jc w:val="both"/>
        <w:rPr>
          <w:rFonts w:eastAsia="SimSun" w:hint="eastAsia"/>
        </w:rPr>
      </w:pPr>
      <w:r>
        <w:rPr>
          <w:rStyle w:val="FootnoteReference"/>
          <w:rFonts w:eastAsia="SimSun"/>
          <w:szCs w:val="16"/>
        </w:rPr>
        <w:footnoteRef/>
      </w:r>
      <w:r>
        <w:rPr>
          <w:rFonts w:eastAsia="SimSun"/>
          <w:szCs w:val="16"/>
        </w:rPr>
        <w:t xml:space="preserve"> </w:t>
      </w:r>
      <w:r>
        <w:rPr>
          <w:rFonts w:eastAsia="SimSun"/>
          <w:szCs w:val="16"/>
        </w:rPr>
        <w:tab/>
      </w:r>
      <w:r>
        <w:rPr>
          <w:rFonts w:eastAsia="SimSun" w:hint="eastAsia"/>
        </w:rPr>
        <w:t>资料来源：数据库</w:t>
      </w:r>
      <w:r>
        <w:rPr>
          <w:rFonts w:eastAsia="SimSun" w:hint="eastAsia"/>
        </w:rPr>
        <w:t>-</w:t>
      </w:r>
      <w:r>
        <w:rPr>
          <w:rFonts w:eastAsia="SimSun" w:hint="eastAsia"/>
        </w:rPr>
        <w:t>参与决策的妇女与男子，</w:t>
      </w:r>
      <w:r>
        <w:rPr>
          <w:rFonts w:eastAsia="SimSun" w:hint="eastAsia"/>
        </w:rPr>
        <w:t>2005</w:t>
      </w:r>
      <w:r>
        <w:rPr>
          <w:rFonts w:eastAsia="SimSun" w:hint="eastAsia"/>
        </w:rPr>
        <w:t>年。</w:t>
      </w:r>
      <w:r>
        <w:rPr>
          <w:rFonts w:eastAsia="SimSun"/>
        </w:rPr>
        <w:t>http://www.europa.eu.int/comm/employment_social/women_men_ stats/index_en.htm.</w:t>
      </w:r>
      <w:r>
        <w:rPr>
          <w:rFonts w:eastAsia="SimSun" w:hint="eastAsia"/>
        </w:rPr>
        <w:t>。</w:t>
      </w:r>
    </w:p>
  </w:footnote>
  <w:footnote w:id="27">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每家公司聘用两名经理，两名经理均为男性。资料来源：斯洛文尼亚工商总会。资料截至</w:t>
      </w:r>
      <w:r>
        <w:rPr>
          <w:rFonts w:eastAsia="SimSun" w:hint="eastAsia"/>
        </w:rPr>
        <w:t>2004</w:t>
      </w:r>
      <w:r>
        <w:rPr>
          <w:rFonts w:eastAsia="SimSun" w:hint="eastAsia"/>
        </w:rPr>
        <w:t>年</w:t>
      </w:r>
      <w:r>
        <w:rPr>
          <w:rFonts w:eastAsia="SimSun" w:hint="eastAsia"/>
        </w:rPr>
        <w:t>2</w:t>
      </w:r>
      <w:r>
        <w:rPr>
          <w:rFonts w:eastAsia="SimSun" w:hint="eastAsia"/>
        </w:rPr>
        <w:t>月</w:t>
      </w:r>
      <w:r>
        <w:rPr>
          <w:rFonts w:eastAsia="SimSun" w:hint="eastAsia"/>
        </w:rPr>
        <w:t>2</w:t>
      </w:r>
      <w:r>
        <w:rPr>
          <w:rFonts w:eastAsia="SimSun" w:hint="eastAsia"/>
        </w:rPr>
        <w:t>日。</w:t>
      </w:r>
    </w:p>
  </w:footnote>
  <w:footnote w:id="28">
    <w:p w:rsidR="00634A95" w:rsidRDefault="00634A95">
      <w:pPr>
        <w:pStyle w:val="FootnoteText"/>
        <w:tabs>
          <w:tab w:val="left" w:pos="315"/>
        </w:tabs>
        <w:spacing w:after="60" w:line="260" w:lineRule="atLeas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资料来源：斯洛文尼亚雇主协会，自己的计算，</w:t>
      </w:r>
      <w:r>
        <w:rPr>
          <w:rFonts w:eastAsia="SimSun" w:hint="eastAsia"/>
        </w:rPr>
        <w:t>2004</w:t>
      </w:r>
      <w:r>
        <w:rPr>
          <w:rFonts w:eastAsia="SimSun" w:hint="eastAsia"/>
        </w:rPr>
        <w:t>年。</w:t>
      </w:r>
      <w:r>
        <w:rPr>
          <w:rFonts w:eastAsia="SimSun"/>
        </w:rPr>
        <w:t xml:space="preserve"> www.zds.si</w:t>
      </w:r>
      <w:r>
        <w:rPr>
          <w:rFonts w:eastAsia="SimSun" w:hint="eastAsia"/>
        </w:rPr>
        <w:t>。</w:t>
      </w:r>
    </w:p>
  </w:footnote>
  <w:footnote w:id="29">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资料来源：斯洛文尼亚工商总会，自己的计算，</w:t>
      </w:r>
      <w:r>
        <w:rPr>
          <w:rFonts w:eastAsia="SimSun" w:hint="eastAsia"/>
        </w:rPr>
        <w:t>2004</w:t>
      </w:r>
      <w:r>
        <w:rPr>
          <w:rFonts w:eastAsia="SimSun" w:hint="eastAsia"/>
        </w:rPr>
        <w:t>年。</w:t>
      </w:r>
      <w:r>
        <w:rPr>
          <w:rFonts w:eastAsia="SimSun"/>
        </w:rPr>
        <w:t>www.gzs.si</w:t>
      </w:r>
      <w:r>
        <w:rPr>
          <w:rFonts w:eastAsia="SimSun" w:hint="eastAsia"/>
        </w:rPr>
        <w:t>。</w:t>
      </w:r>
    </w:p>
  </w:footnote>
  <w:footnote w:id="30">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资料来源：斯洛文尼亚手工业联合会，</w:t>
      </w:r>
      <w:r>
        <w:rPr>
          <w:rFonts w:eastAsia="SimSun" w:hint="eastAsia"/>
          <w:noProof/>
        </w:rPr>
        <w:t>自己的计算，</w:t>
      </w:r>
      <w:r>
        <w:rPr>
          <w:rFonts w:eastAsia="SimSun" w:hint="eastAsia"/>
          <w:noProof/>
        </w:rPr>
        <w:t>2004</w:t>
      </w:r>
      <w:r>
        <w:rPr>
          <w:rFonts w:eastAsia="SimSun" w:hint="eastAsia"/>
          <w:noProof/>
        </w:rPr>
        <w:t>年。</w:t>
      </w:r>
      <w:r>
        <w:rPr>
          <w:rFonts w:eastAsia="SimSun"/>
          <w:noProof/>
        </w:rPr>
        <w:t>www.ozs.si</w:t>
      </w:r>
      <w:r>
        <w:rPr>
          <w:rFonts w:eastAsia="SimSun" w:hint="eastAsia"/>
        </w:rPr>
        <w:t>。</w:t>
      </w:r>
    </w:p>
  </w:footnote>
  <w:footnote w:id="31">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资料来源：外交部，</w:t>
      </w:r>
      <w:r>
        <w:rPr>
          <w:rFonts w:eastAsia="SimSun" w:hint="eastAsia"/>
        </w:rPr>
        <w:t>2004</w:t>
      </w:r>
      <w:r>
        <w:rPr>
          <w:rFonts w:eastAsia="SimSun" w:hint="eastAsia"/>
        </w:rPr>
        <w:t>年。</w:t>
      </w:r>
      <w:r>
        <w:rPr>
          <w:rFonts w:eastAsia="SimSun"/>
        </w:rPr>
        <w:t xml:space="preserve"> </w:t>
      </w:r>
      <w:r>
        <w:rPr>
          <w:rFonts w:eastAsia="SimSun" w:hint="eastAsia"/>
        </w:rPr>
        <w:t>截至</w:t>
      </w:r>
      <w:r>
        <w:rPr>
          <w:rFonts w:eastAsia="SimSun" w:hint="eastAsia"/>
        </w:rPr>
        <w:t>2004</w:t>
      </w:r>
      <w:r>
        <w:rPr>
          <w:rFonts w:eastAsia="SimSun" w:hint="eastAsia"/>
        </w:rPr>
        <w:t>年</w:t>
      </w:r>
      <w:r>
        <w:rPr>
          <w:rFonts w:eastAsia="SimSun" w:hint="eastAsia"/>
        </w:rPr>
        <w:t>11</w:t>
      </w:r>
      <w:r>
        <w:rPr>
          <w:rFonts w:eastAsia="SimSun" w:hint="eastAsia"/>
        </w:rPr>
        <w:t>月</w:t>
      </w:r>
      <w:r>
        <w:rPr>
          <w:rFonts w:eastAsia="SimSun" w:hint="eastAsia"/>
        </w:rPr>
        <w:t>18</w:t>
      </w:r>
      <w:r>
        <w:rPr>
          <w:rFonts w:eastAsia="SimSun" w:hint="eastAsia"/>
        </w:rPr>
        <w:t>日的状况。见附录</w:t>
      </w:r>
      <w:r>
        <w:rPr>
          <w:rFonts w:eastAsia="SimSun" w:hint="eastAsia"/>
        </w:rPr>
        <w:t>2</w:t>
      </w:r>
      <w:r>
        <w:rPr>
          <w:rFonts w:eastAsia="SimSun" w:hint="eastAsia"/>
        </w:rPr>
        <w:t>，表</w:t>
      </w:r>
      <w:r>
        <w:rPr>
          <w:rFonts w:eastAsia="SimSun"/>
        </w:rPr>
        <w:t>19</w:t>
      </w:r>
      <w:r>
        <w:rPr>
          <w:rFonts w:eastAsia="SimSun" w:hint="eastAsia"/>
        </w:rPr>
        <w:t>。</w:t>
      </w:r>
    </w:p>
  </w:footnote>
  <w:footnote w:id="3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20</w:t>
      </w:r>
      <w:r>
        <w:rPr>
          <w:rFonts w:eastAsia="SimSun" w:hint="eastAsia"/>
        </w:rPr>
        <w:t>。</w:t>
      </w:r>
    </w:p>
  </w:footnote>
  <w:footnote w:id="33">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21</w:t>
      </w:r>
      <w:r>
        <w:rPr>
          <w:rFonts w:eastAsia="SimSun" w:hint="eastAsia"/>
        </w:rPr>
        <w:t>。</w:t>
      </w:r>
    </w:p>
  </w:footnote>
  <w:footnote w:id="3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22</w:t>
      </w:r>
      <w:r>
        <w:rPr>
          <w:rFonts w:eastAsia="SimSun" w:hint="eastAsia"/>
        </w:rPr>
        <w:t>。</w:t>
      </w:r>
    </w:p>
  </w:footnote>
  <w:footnote w:id="35">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24</w:t>
      </w:r>
      <w:r>
        <w:rPr>
          <w:rFonts w:eastAsia="SimSun" w:hint="eastAsia"/>
        </w:rPr>
        <w:t>。</w:t>
      </w:r>
    </w:p>
  </w:footnote>
  <w:footnote w:id="36">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25</w:t>
      </w:r>
      <w:r>
        <w:rPr>
          <w:rFonts w:eastAsia="SimSun" w:hint="eastAsia"/>
        </w:rPr>
        <w:t>和</w:t>
      </w:r>
      <w:r>
        <w:rPr>
          <w:rFonts w:eastAsia="SimSun" w:hint="eastAsia"/>
        </w:rPr>
        <w:t>26</w:t>
      </w:r>
      <w:r>
        <w:rPr>
          <w:rFonts w:eastAsia="SimSun" w:hint="eastAsia"/>
        </w:rPr>
        <w:t>。</w:t>
      </w:r>
    </w:p>
  </w:footnote>
  <w:footnote w:id="37">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27</w:t>
      </w:r>
      <w:r>
        <w:rPr>
          <w:rFonts w:eastAsia="SimSun" w:hint="eastAsia"/>
        </w:rPr>
        <w:t>。</w:t>
      </w:r>
    </w:p>
  </w:footnote>
  <w:footnote w:id="38">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28</w:t>
      </w:r>
      <w:r>
        <w:rPr>
          <w:rFonts w:eastAsia="SimSun" w:hint="eastAsia"/>
        </w:rPr>
        <w:t>。</w:t>
      </w:r>
    </w:p>
  </w:footnote>
  <w:footnote w:id="3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rPr>
        <w:t>SORS</w:t>
      </w:r>
      <w:r>
        <w:rPr>
          <w:rFonts w:eastAsia="SimSun" w:hint="eastAsia"/>
        </w:rPr>
        <w:t>，第</w:t>
      </w:r>
      <w:r>
        <w:rPr>
          <w:rFonts w:eastAsia="SimSun"/>
        </w:rPr>
        <w:t xml:space="preserve"> 118/2004</w:t>
      </w:r>
      <w:r>
        <w:rPr>
          <w:rFonts w:eastAsia="SimSun" w:hint="eastAsia"/>
        </w:rPr>
        <w:t>期统计信息（</w:t>
      </w:r>
      <w:r>
        <w:rPr>
          <w:rFonts w:eastAsia="SimSun" w:hint="eastAsia"/>
        </w:rPr>
        <w:t>2004</w:t>
      </w:r>
      <w:r>
        <w:rPr>
          <w:rFonts w:eastAsia="SimSun" w:hint="eastAsia"/>
        </w:rPr>
        <w:t>年</w:t>
      </w:r>
      <w:r>
        <w:rPr>
          <w:rFonts w:eastAsia="SimSun" w:hint="eastAsia"/>
        </w:rPr>
        <w:t>4</w:t>
      </w:r>
      <w:r>
        <w:rPr>
          <w:rFonts w:eastAsia="SimSun" w:hint="eastAsia"/>
        </w:rPr>
        <w:t>月</w:t>
      </w:r>
      <w:r>
        <w:rPr>
          <w:rFonts w:eastAsia="SimSun" w:hint="eastAsia"/>
        </w:rPr>
        <w:t>28</w:t>
      </w:r>
      <w:r>
        <w:rPr>
          <w:rFonts w:eastAsia="SimSun" w:hint="eastAsia"/>
        </w:rPr>
        <w:t>日）。见附录</w:t>
      </w:r>
      <w:r>
        <w:rPr>
          <w:rFonts w:eastAsia="SimSun" w:hint="eastAsia"/>
        </w:rPr>
        <w:t>2</w:t>
      </w:r>
      <w:r>
        <w:rPr>
          <w:rFonts w:eastAsia="SimSun" w:hint="eastAsia"/>
        </w:rPr>
        <w:t>，表</w:t>
      </w:r>
      <w:r>
        <w:rPr>
          <w:rFonts w:eastAsia="SimSun" w:hint="eastAsia"/>
        </w:rPr>
        <w:t>29</w:t>
      </w:r>
      <w:r>
        <w:rPr>
          <w:rFonts w:eastAsia="SimSun" w:hint="eastAsia"/>
        </w:rPr>
        <w:t>、</w:t>
      </w:r>
      <w:r>
        <w:rPr>
          <w:rFonts w:eastAsia="SimSun" w:hint="eastAsia"/>
        </w:rPr>
        <w:t>30</w:t>
      </w:r>
      <w:r>
        <w:rPr>
          <w:rFonts w:eastAsia="SimSun" w:hint="eastAsia"/>
        </w:rPr>
        <w:t>和</w:t>
      </w:r>
      <w:r>
        <w:rPr>
          <w:rFonts w:eastAsia="SimSun" w:hint="eastAsia"/>
        </w:rPr>
        <w:t>31</w:t>
      </w:r>
      <w:r>
        <w:rPr>
          <w:rFonts w:eastAsia="SimSun" w:hint="eastAsia"/>
        </w:rPr>
        <w:t>。</w:t>
      </w:r>
      <w:r>
        <w:rPr>
          <w:rFonts w:eastAsia="SimSun"/>
        </w:rPr>
        <w:t xml:space="preserve"> </w:t>
      </w:r>
    </w:p>
  </w:footnote>
  <w:footnote w:id="40">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rPr>
        <w:t>SORS</w:t>
      </w:r>
      <w:r>
        <w:rPr>
          <w:rFonts w:eastAsia="SimSun" w:hint="eastAsia"/>
        </w:rPr>
        <w:t>，第一统计出版物，</w:t>
      </w:r>
      <w:r>
        <w:rPr>
          <w:rFonts w:eastAsia="SimSun" w:hint="eastAsia"/>
        </w:rPr>
        <w:t>2004</w:t>
      </w:r>
      <w:r>
        <w:rPr>
          <w:rFonts w:eastAsia="SimSun" w:hint="eastAsia"/>
        </w:rPr>
        <w:t>年</w:t>
      </w:r>
      <w:r>
        <w:rPr>
          <w:rFonts w:eastAsia="SimSun" w:hint="eastAsia"/>
        </w:rPr>
        <w:t>4</w:t>
      </w:r>
      <w:r>
        <w:rPr>
          <w:rFonts w:eastAsia="SimSun" w:hint="eastAsia"/>
        </w:rPr>
        <w:t>月</w:t>
      </w:r>
      <w:r>
        <w:rPr>
          <w:rFonts w:eastAsia="SimSun" w:hint="eastAsia"/>
        </w:rPr>
        <w:t>13</w:t>
      </w:r>
      <w:r>
        <w:rPr>
          <w:rFonts w:eastAsia="SimSun" w:hint="eastAsia"/>
        </w:rPr>
        <w:t>日，第</w:t>
      </w:r>
      <w:r>
        <w:rPr>
          <w:rFonts w:eastAsia="SimSun" w:hint="eastAsia"/>
        </w:rPr>
        <w:t>48</w:t>
      </w:r>
      <w:r>
        <w:rPr>
          <w:rFonts w:eastAsia="SimSun" w:hint="eastAsia"/>
        </w:rPr>
        <w:t>期。见附录</w:t>
      </w:r>
      <w:r>
        <w:rPr>
          <w:rFonts w:eastAsia="SimSun" w:hint="eastAsia"/>
        </w:rPr>
        <w:t>2</w:t>
      </w:r>
      <w:r>
        <w:rPr>
          <w:rFonts w:eastAsia="SimSun" w:hint="eastAsia"/>
        </w:rPr>
        <w:t>，表</w:t>
      </w:r>
      <w:r>
        <w:rPr>
          <w:rFonts w:eastAsia="SimSun" w:hint="eastAsia"/>
        </w:rPr>
        <w:t>32</w:t>
      </w:r>
      <w:r>
        <w:rPr>
          <w:rFonts w:eastAsia="SimSun" w:hint="eastAsia"/>
        </w:rPr>
        <w:t>。</w:t>
      </w:r>
    </w:p>
  </w:footnote>
  <w:footnote w:id="41">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资料来源：斯洛文尼亚共和国劳动监察员，</w:t>
      </w:r>
      <w:r>
        <w:rPr>
          <w:rFonts w:eastAsia="SimSun" w:hint="eastAsia"/>
        </w:rPr>
        <w:t>2005</w:t>
      </w:r>
      <w:r>
        <w:rPr>
          <w:rFonts w:eastAsia="SimSun" w:hint="eastAsia"/>
        </w:rPr>
        <w:t>年</w:t>
      </w:r>
      <w:r>
        <w:rPr>
          <w:rFonts w:eastAsia="SimSun" w:hint="eastAsia"/>
        </w:rPr>
        <w:t>7</w:t>
      </w:r>
      <w:r>
        <w:rPr>
          <w:rFonts w:eastAsia="SimSun" w:hint="eastAsia"/>
        </w:rPr>
        <w:t>月。</w:t>
      </w:r>
    </w:p>
  </w:footnote>
  <w:footnote w:id="4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斯洛文尼亚共和国劳动监察员的工作报告，</w:t>
      </w:r>
      <w:r>
        <w:rPr>
          <w:rFonts w:eastAsia="SimSun" w:hint="eastAsia"/>
        </w:rPr>
        <w:t>2005</w:t>
      </w:r>
      <w:r>
        <w:rPr>
          <w:rFonts w:eastAsia="SimSun" w:hint="eastAsia"/>
        </w:rPr>
        <w:t>年</w:t>
      </w:r>
      <w:r>
        <w:rPr>
          <w:rFonts w:eastAsia="SimSun" w:hint="eastAsia"/>
        </w:rPr>
        <w:t>7</w:t>
      </w:r>
      <w:r>
        <w:rPr>
          <w:rFonts w:eastAsia="SimSun" w:hint="eastAsia"/>
        </w:rPr>
        <w:t>月。</w:t>
      </w:r>
    </w:p>
  </w:footnote>
  <w:footnote w:id="43">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因病、受伤、照料或其他原因缺勤登记簿，</w:t>
      </w:r>
      <w:r>
        <w:rPr>
          <w:rFonts w:eastAsia="SimSun" w:hint="eastAsia"/>
        </w:rPr>
        <w:t>2003</w:t>
      </w:r>
      <w:r>
        <w:rPr>
          <w:rFonts w:eastAsia="SimSun" w:hint="eastAsia"/>
        </w:rPr>
        <w:t>年。斯洛文尼亚共和国公共卫生研究所，</w:t>
      </w:r>
      <w:r>
        <w:rPr>
          <w:rFonts w:eastAsia="SimSun" w:hint="eastAsia"/>
        </w:rPr>
        <w:t>2004</w:t>
      </w:r>
      <w:r>
        <w:rPr>
          <w:rFonts w:eastAsia="SimSun" w:hint="eastAsia"/>
        </w:rPr>
        <w:t>年。</w:t>
      </w:r>
    </w:p>
  </w:footnote>
  <w:footnote w:id="4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32</w:t>
      </w:r>
      <w:r>
        <w:rPr>
          <w:rFonts w:eastAsia="SimSun" w:hint="eastAsia"/>
        </w:rPr>
        <w:t>和</w:t>
      </w:r>
      <w:r>
        <w:rPr>
          <w:rFonts w:eastAsia="SimSun" w:hint="eastAsia"/>
        </w:rPr>
        <w:t>33</w:t>
      </w:r>
      <w:r>
        <w:rPr>
          <w:rFonts w:eastAsia="SimSun" w:hint="eastAsia"/>
        </w:rPr>
        <w:t>。</w:t>
      </w:r>
      <w:r>
        <w:rPr>
          <w:rFonts w:eastAsia="SimSun"/>
        </w:rPr>
        <w:t xml:space="preserve"> </w:t>
      </w:r>
    </w:p>
  </w:footnote>
  <w:footnote w:id="45">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2004</w:t>
      </w:r>
      <w:r>
        <w:rPr>
          <w:rFonts w:eastAsia="SimSun" w:hint="eastAsia"/>
        </w:rPr>
        <w:t>年年度报告，斯洛文尼亚共和国就业服务局。</w:t>
      </w:r>
    </w:p>
  </w:footnote>
  <w:footnote w:id="46">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rPr>
        <w:t xml:space="preserve">  </w:t>
      </w:r>
      <w:r>
        <w:rPr>
          <w:rFonts w:eastAsia="SimSun" w:hint="eastAsia"/>
        </w:rPr>
        <w:t>职业人群（基于劳动力调查）。统计信息，第</w:t>
      </w:r>
      <w:r>
        <w:rPr>
          <w:rFonts w:eastAsia="SimSun"/>
        </w:rPr>
        <w:t>225/2004</w:t>
      </w:r>
      <w:r>
        <w:rPr>
          <w:rFonts w:eastAsia="SimSun" w:hint="eastAsia"/>
        </w:rPr>
        <w:t>期和第</w:t>
      </w:r>
      <w:r>
        <w:rPr>
          <w:rFonts w:eastAsia="SimSun"/>
        </w:rPr>
        <w:t>185/2005</w:t>
      </w:r>
      <w:r>
        <w:rPr>
          <w:rFonts w:eastAsia="SimSun" w:hint="eastAsia"/>
        </w:rPr>
        <w:t>期；</w:t>
      </w:r>
      <w:r>
        <w:rPr>
          <w:rFonts w:eastAsia="SimSun" w:hint="eastAsia"/>
        </w:rPr>
        <w:t>2005</w:t>
      </w:r>
      <w:r>
        <w:rPr>
          <w:rFonts w:eastAsia="SimSun" w:hint="eastAsia"/>
        </w:rPr>
        <w:t>年</w:t>
      </w:r>
      <w:r>
        <w:rPr>
          <w:rFonts w:eastAsia="SimSun" w:hint="eastAsia"/>
        </w:rPr>
        <w:t>7</w:t>
      </w:r>
      <w:r>
        <w:rPr>
          <w:rFonts w:eastAsia="SimSun" w:hint="eastAsia"/>
        </w:rPr>
        <w:t>月</w:t>
      </w:r>
      <w:r>
        <w:rPr>
          <w:rFonts w:eastAsia="SimSun" w:hint="eastAsia"/>
        </w:rPr>
        <w:t>15</w:t>
      </w:r>
      <w:r>
        <w:rPr>
          <w:rFonts w:eastAsia="SimSun" w:hint="eastAsia"/>
        </w:rPr>
        <w:t>日。斯洛文尼亚共和国统计局，</w:t>
      </w:r>
      <w:r>
        <w:rPr>
          <w:rFonts w:eastAsia="SimSun" w:hint="eastAsia"/>
        </w:rPr>
        <w:t>2004</w:t>
      </w:r>
      <w:r>
        <w:rPr>
          <w:rFonts w:eastAsia="SimSun" w:hint="eastAsia"/>
        </w:rPr>
        <w:t>年，</w:t>
      </w:r>
      <w:r>
        <w:rPr>
          <w:rFonts w:eastAsia="SimSun" w:hint="eastAsia"/>
        </w:rPr>
        <w:t>2005</w:t>
      </w:r>
      <w:r>
        <w:rPr>
          <w:rFonts w:eastAsia="SimSun" w:hint="eastAsia"/>
        </w:rPr>
        <w:t>年。</w:t>
      </w:r>
    </w:p>
  </w:footnote>
  <w:footnote w:id="47">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资料来源：职业人群（给予劳动力调查）。统计信息，第</w:t>
      </w:r>
      <w:r>
        <w:rPr>
          <w:rFonts w:eastAsia="SimSun"/>
        </w:rPr>
        <w:t xml:space="preserve"> 85/2005</w:t>
      </w:r>
      <w:r>
        <w:rPr>
          <w:rFonts w:eastAsia="SimSun" w:hint="eastAsia"/>
        </w:rPr>
        <w:t>期。斯洛文尼亚共和国统计局，</w:t>
      </w:r>
      <w:r>
        <w:rPr>
          <w:rFonts w:eastAsia="SimSun" w:hint="eastAsia"/>
        </w:rPr>
        <w:t>2004</w:t>
      </w:r>
      <w:r>
        <w:rPr>
          <w:rFonts w:eastAsia="SimSun" w:hint="eastAsia"/>
        </w:rPr>
        <w:t>年，</w:t>
      </w:r>
      <w:r>
        <w:rPr>
          <w:rFonts w:eastAsia="SimSun" w:hint="eastAsia"/>
        </w:rPr>
        <w:t>2005</w:t>
      </w:r>
      <w:r>
        <w:rPr>
          <w:rFonts w:eastAsia="SimSun" w:hint="eastAsia"/>
        </w:rPr>
        <w:t>年。</w:t>
      </w:r>
      <w:r>
        <w:rPr>
          <w:rFonts w:eastAsia="SimSun"/>
        </w:rPr>
        <w:t xml:space="preserve"> </w:t>
      </w:r>
    </w:p>
  </w:footnote>
  <w:footnote w:id="48">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另见：</w:t>
      </w:r>
      <w:r>
        <w:rPr>
          <w:rFonts w:eastAsia="SimSun"/>
        </w:rPr>
        <w:t xml:space="preserve"> Kanjuo Mrčela, A., Černigoj Sadar, N.</w:t>
      </w:r>
      <w:r>
        <w:rPr>
          <w:rFonts w:eastAsia="SimSun" w:hint="eastAsia"/>
        </w:rPr>
        <w:t>：中东欧</w:t>
      </w:r>
      <w:r>
        <w:rPr>
          <w:rFonts w:eastAsia="SimSun" w:hint="eastAsia"/>
        </w:rPr>
        <w:t>10</w:t>
      </w:r>
      <w:r>
        <w:rPr>
          <w:rFonts w:eastAsia="SimSun" w:hint="eastAsia"/>
        </w:rPr>
        <w:t>个候选国的性别问题、工作和就业状况。最后报告。国家：斯洛文尼亚。欧洲基金会：</w:t>
      </w:r>
      <w:r>
        <w:rPr>
          <w:rFonts w:eastAsia="SimSun" w:hint="eastAsia"/>
        </w:rPr>
        <w:t>2004</w:t>
      </w:r>
      <w:r>
        <w:rPr>
          <w:rFonts w:eastAsia="SimSun" w:hint="eastAsia"/>
        </w:rPr>
        <w:t>年。</w:t>
      </w:r>
    </w:p>
  </w:footnote>
  <w:footnote w:id="4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34</w:t>
      </w:r>
      <w:r>
        <w:rPr>
          <w:rFonts w:eastAsia="SimSun" w:hint="eastAsia"/>
        </w:rPr>
        <w:t>。</w:t>
      </w:r>
    </w:p>
  </w:footnote>
  <w:footnote w:id="50">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使用标准职业分类和标准活动分类。资料来源：职业人群（基于劳动力调查）。统计信息，第</w:t>
      </w:r>
      <w:r>
        <w:rPr>
          <w:rFonts w:eastAsia="SimSun" w:hint="eastAsia"/>
        </w:rPr>
        <w:t xml:space="preserve"> </w:t>
      </w:r>
      <w:r>
        <w:rPr>
          <w:rFonts w:eastAsia="SimSun"/>
        </w:rPr>
        <w:t>225/2004</w:t>
      </w:r>
      <w:r>
        <w:rPr>
          <w:rFonts w:eastAsia="SimSun" w:hint="eastAsia"/>
        </w:rPr>
        <w:t>期。斯洛文尼亚共和国统计局，</w:t>
      </w:r>
      <w:r>
        <w:rPr>
          <w:rFonts w:eastAsia="SimSun" w:hint="eastAsia"/>
        </w:rPr>
        <w:t>2004</w:t>
      </w:r>
      <w:r>
        <w:rPr>
          <w:rFonts w:eastAsia="SimSun" w:hint="eastAsia"/>
        </w:rPr>
        <w:t>年。见附录</w:t>
      </w:r>
      <w:r>
        <w:rPr>
          <w:rFonts w:eastAsia="SimSun" w:hint="eastAsia"/>
        </w:rPr>
        <w:t>2</w:t>
      </w:r>
      <w:r>
        <w:rPr>
          <w:rFonts w:eastAsia="SimSun" w:hint="eastAsia"/>
        </w:rPr>
        <w:t>，表</w:t>
      </w:r>
      <w:r>
        <w:rPr>
          <w:rFonts w:eastAsia="SimSun" w:hint="eastAsia"/>
        </w:rPr>
        <w:t>35</w:t>
      </w:r>
      <w:r>
        <w:rPr>
          <w:rFonts w:eastAsia="SimSun" w:hint="eastAsia"/>
        </w:rPr>
        <w:t>。</w:t>
      </w:r>
    </w:p>
  </w:footnote>
  <w:footnote w:id="51">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36</w:t>
      </w:r>
      <w:r>
        <w:rPr>
          <w:rFonts w:eastAsia="SimSun" w:hint="eastAsia"/>
        </w:rPr>
        <w:t>。</w:t>
      </w:r>
    </w:p>
  </w:footnote>
  <w:footnote w:id="52">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斯洛文尼亚共和国就业服务局</w:t>
      </w:r>
      <w:r>
        <w:rPr>
          <w:rFonts w:eastAsia="SimSun" w:hint="eastAsia"/>
        </w:rPr>
        <w:t>2000</w:t>
      </w:r>
      <w:r>
        <w:rPr>
          <w:rFonts w:eastAsia="SimSun" w:hint="eastAsia"/>
        </w:rPr>
        <w:t>、</w:t>
      </w:r>
      <w:r>
        <w:rPr>
          <w:rFonts w:eastAsia="SimSun" w:hint="eastAsia"/>
        </w:rPr>
        <w:t>2001</w:t>
      </w:r>
      <w:r>
        <w:rPr>
          <w:rFonts w:eastAsia="SimSun" w:hint="eastAsia"/>
        </w:rPr>
        <w:t>、</w:t>
      </w:r>
      <w:r>
        <w:rPr>
          <w:rFonts w:eastAsia="SimSun" w:hint="eastAsia"/>
        </w:rPr>
        <w:t>2002</w:t>
      </w:r>
      <w:r>
        <w:rPr>
          <w:rFonts w:eastAsia="SimSun" w:hint="eastAsia"/>
        </w:rPr>
        <w:t>、</w:t>
      </w:r>
      <w:r>
        <w:rPr>
          <w:rFonts w:eastAsia="SimSun" w:hint="eastAsia"/>
        </w:rPr>
        <w:t>2003</w:t>
      </w:r>
      <w:r>
        <w:rPr>
          <w:rFonts w:eastAsia="SimSun" w:hint="eastAsia"/>
        </w:rPr>
        <w:t>、</w:t>
      </w:r>
      <w:r>
        <w:rPr>
          <w:rFonts w:eastAsia="SimSun" w:hint="eastAsia"/>
        </w:rPr>
        <w:t>2004</w:t>
      </w:r>
      <w:r>
        <w:rPr>
          <w:rFonts w:eastAsia="SimSun" w:hint="eastAsia"/>
        </w:rPr>
        <w:t>年年度报告。见附录</w:t>
      </w:r>
      <w:r>
        <w:rPr>
          <w:rFonts w:eastAsia="SimSun" w:hint="eastAsia"/>
        </w:rPr>
        <w:t>2</w:t>
      </w:r>
      <w:r>
        <w:rPr>
          <w:rFonts w:eastAsia="SimSun" w:hint="eastAsia"/>
        </w:rPr>
        <w:t>，表</w:t>
      </w:r>
      <w:r>
        <w:rPr>
          <w:rFonts w:eastAsia="SimSun" w:hint="eastAsia"/>
        </w:rPr>
        <w:t>37</w:t>
      </w:r>
      <w:r>
        <w:rPr>
          <w:rFonts w:eastAsia="SimSun" w:hint="eastAsia"/>
        </w:rPr>
        <w:t>。</w:t>
      </w:r>
      <w:r>
        <w:rPr>
          <w:rFonts w:eastAsia="SimSun"/>
        </w:rPr>
        <w:t xml:space="preserve"> </w:t>
      </w:r>
    </w:p>
  </w:footnote>
  <w:footnote w:id="53">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38</w:t>
      </w:r>
      <w:r>
        <w:rPr>
          <w:rFonts w:eastAsia="SimSun" w:hint="eastAsia"/>
        </w:rPr>
        <w:t>。</w:t>
      </w:r>
    </w:p>
  </w:footnote>
  <w:footnote w:id="5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39</w:t>
      </w:r>
      <w:r>
        <w:rPr>
          <w:rFonts w:eastAsia="SimSun" w:hint="eastAsia"/>
        </w:rPr>
        <w:t>。</w:t>
      </w:r>
      <w:r>
        <w:rPr>
          <w:rFonts w:eastAsia="SimSun"/>
        </w:rPr>
        <w:t xml:space="preserve"> </w:t>
      </w:r>
    </w:p>
  </w:footnote>
  <w:footnote w:id="55">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资料来源：关于实施</w:t>
      </w:r>
      <w:r>
        <w:rPr>
          <w:rFonts w:eastAsia="SimSun" w:hint="eastAsia"/>
        </w:rPr>
        <w:t>2003</w:t>
      </w:r>
      <w:r>
        <w:rPr>
          <w:rFonts w:eastAsia="SimSun" w:hint="eastAsia"/>
        </w:rPr>
        <w:t>年积极就业政策方案的报告。</w:t>
      </w:r>
    </w:p>
  </w:footnote>
  <w:footnote w:id="56">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资料来源：关于实施</w:t>
      </w:r>
      <w:r>
        <w:rPr>
          <w:rFonts w:eastAsia="SimSun" w:hint="eastAsia"/>
        </w:rPr>
        <w:t>2004</w:t>
      </w:r>
      <w:r>
        <w:rPr>
          <w:rFonts w:eastAsia="SimSun" w:hint="eastAsia"/>
        </w:rPr>
        <w:t>年积极就业政策方案的报告。</w:t>
      </w:r>
    </w:p>
  </w:footnote>
  <w:footnote w:id="57">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从数据来看，孕产妇死亡率波动很大，原因在于活产婴儿数量不多（平均每年在</w:t>
      </w:r>
      <w:r>
        <w:rPr>
          <w:rFonts w:eastAsia="SimSun"/>
        </w:rPr>
        <w:t>17 000</w:t>
      </w:r>
      <w:r>
        <w:rPr>
          <w:rFonts w:eastAsia="SimSun" w:hint="eastAsia"/>
        </w:rPr>
        <w:t>至</w:t>
      </w:r>
      <w:r>
        <w:rPr>
          <w:rFonts w:eastAsia="SimSun"/>
        </w:rPr>
        <w:t>1</w:t>
      </w:r>
      <w:r>
        <w:rPr>
          <w:rFonts w:eastAsia="SimSun" w:hint="eastAsia"/>
        </w:rPr>
        <w:t xml:space="preserve">8 </w:t>
      </w:r>
      <w:r>
        <w:rPr>
          <w:rFonts w:eastAsia="SimSun"/>
        </w:rPr>
        <w:t>000</w:t>
      </w:r>
      <w:r>
        <w:rPr>
          <w:rFonts w:eastAsia="SimSun" w:hint="eastAsia"/>
        </w:rPr>
        <w:t>名之间不等）以及在计算孕产妇死亡率情况时采用了特定方法，因为除产前和围产期母亲死亡案例之外，数据也涵盖整个出生后时期。因此，五年平均数，而不是个别年份的数据，被视为比较可信的孕产妇死亡率指标。</w:t>
      </w:r>
    </w:p>
  </w:footnote>
  <w:footnote w:id="58">
    <w:p w:rsidR="00634A95" w:rsidRDefault="00634A95">
      <w:pPr>
        <w:pStyle w:val="FootnoteText"/>
        <w:tabs>
          <w:tab w:val="left" w:pos="315"/>
        </w:tabs>
        <w:spacing w:after="60" w:line="260" w:lineRule="atLeast"/>
        <w:rPr>
          <w:rFonts w:eastAsia="SimSun"/>
        </w:rPr>
      </w:pPr>
      <w:r>
        <w:rPr>
          <w:rFonts w:eastAsia="SimSun"/>
          <w:vertAlign w:val="superscript"/>
        </w:rPr>
        <w:footnoteRef/>
      </w:r>
      <w:r>
        <w:rPr>
          <w:rFonts w:eastAsia="SimSun"/>
          <w:vertAlign w:val="superscript"/>
        </w:rPr>
        <w:t xml:space="preserve"> </w:t>
      </w:r>
      <w:r>
        <w:rPr>
          <w:rFonts w:eastAsia="SimSun"/>
        </w:rPr>
        <w:tab/>
      </w:r>
      <w:r>
        <w:rPr>
          <w:rFonts w:eastAsia="SimSun" w:hint="eastAsia"/>
        </w:rPr>
        <w:t>资料来源：</w:t>
      </w:r>
      <w:r>
        <w:rPr>
          <w:rFonts w:eastAsia="SimSun" w:hint="eastAsia"/>
        </w:rPr>
        <w:t>2003</w:t>
      </w:r>
      <w:r>
        <w:rPr>
          <w:rFonts w:eastAsia="SimSun" w:hint="eastAsia"/>
        </w:rPr>
        <w:t>和</w:t>
      </w:r>
      <w:r>
        <w:rPr>
          <w:rFonts w:eastAsia="SimSun" w:hint="eastAsia"/>
        </w:rPr>
        <w:t>2004</w:t>
      </w:r>
      <w:r>
        <w:rPr>
          <w:rFonts w:eastAsia="SimSun" w:hint="eastAsia"/>
        </w:rPr>
        <w:t>年国家方案“</w:t>
      </w:r>
      <w:r>
        <w:rPr>
          <w:rFonts w:eastAsia="SimSun" w:hint="eastAsia"/>
        </w:rPr>
        <w:t>ZORA</w:t>
      </w:r>
      <w:r>
        <w:rPr>
          <w:rFonts w:eastAsia="SimSun" w:hint="eastAsia"/>
        </w:rPr>
        <w:t>”进展报告。肿瘤学研究所，卢布尔雅那，</w:t>
      </w:r>
      <w:r>
        <w:rPr>
          <w:rFonts w:eastAsia="SimSun" w:hint="eastAsia"/>
        </w:rPr>
        <w:t>2004</w:t>
      </w:r>
      <w:r>
        <w:rPr>
          <w:rFonts w:eastAsia="SimSun" w:hint="eastAsia"/>
        </w:rPr>
        <w:t>年。</w:t>
      </w:r>
      <w:r>
        <w:rPr>
          <w:rFonts w:eastAsia="SimSun"/>
        </w:rPr>
        <w:t xml:space="preserve"> </w:t>
      </w:r>
    </w:p>
  </w:footnote>
  <w:footnote w:id="59">
    <w:p w:rsidR="00634A95" w:rsidRDefault="00634A95">
      <w:pPr>
        <w:pStyle w:val="FootnoteText"/>
        <w:tabs>
          <w:tab w:val="left" w:pos="315"/>
        </w:tabs>
        <w:spacing w:after="60" w:line="260" w:lineRule="atLeast"/>
        <w:rPr>
          <w:rFonts w:eastAsia="SimSun"/>
        </w:rPr>
      </w:pPr>
      <w:r>
        <w:rPr>
          <w:rFonts w:eastAsia="SimSun"/>
          <w:vertAlign w:val="superscript"/>
        </w:rPr>
        <w:footnoteRef/>
      </w:r>
      <w:r>
        <w:rPr>
          <w:rFonts w:eastAsia="SimSun"/>
        </w:rPr>
        <w:t xml:space="preserve"> </w:t>
      </w:r>
      <w:r>
        <w:rPr>
          <w:rFonts w:eastAsia="SimSun"/>
        </w:rPr>
        <w:tab/>
      </w:r>
      <w:r>
        <w:rPr>
          <w:rFonts w:eastAsia="SimSun" w:hint="eastAsia"/>
        </w:rPr>
        <w:t>资料来源：</w:t>
      </w:r>
      <w:r>
        <w:rPr>
          <w:rFonts w:eastAsia="SimSun" w:hint="eastAsia"/>
        </w:rPr>
        <w:t>2002</w:t>
      </w:r>
      <w:r>
        <w:rPr>
          <w:rFonts w:eastAsia="SimSun" w:hint="eastAsia"/>
        </w:rPr>
        <w:t>年《卫生统计年鉴》。斯洛文尼亚共和国公共卫生研究所，</w:t>
      </w:r>
      <w:r>
        <w:rPr>
          <w:rFonts w:eastAsia="SimSun" w:hint="eastAsia"/>
        </w:rPr>
        <w:t>2004</w:t>
      </w:r>
      <w:r>
        <w:rPr>
          <w:rFonts w:eastAsia="SimSun" w:hint="eastAsia"/>
        </w:rPr>
        <w:t>年。</w:t>
      </w:r>
    </w:p>
  </w:footnote>
  <w:footnote w:id="60">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lang w:val="it-IT"/>
        </w:rPr>
        <w:t xml:space="preserve"> </w:t>
      </w:r>
      <w:r>
        <w:rPr>
          <w:rFonts w:eastAsia="SimSun"/>
          <w:lang w:val="it-IT"/>
        </w:rPr>
        <w:tab/>
        <w:t>Pinter</w:t>
      </w:r>
      <w:r>
        <w:rPr>
          <w:rFonts w:eastAsia="SimSun" w:hint="eastAsia"/>
          <w:lang w:val="en-GB"/>
        </w:rPr>
        <w:t>，</w:t>
      </w:r>
      <w:r>
        <w:rPr>
          <w:rFonts w:eastAsia="SimSun"/>
          <w:lang w:val="it-IT"/>
        </w:rPr>
        <w:t xml:space="preserve"> B. in Pretnar-Darovec, A.</w:t>
      </w:r>
      <w:r>
        <w:rPr>
          <w:rFonts w:eastAsia="SimSun"/>
          <w:i/>
          <w:lang w:val="it-IT"/>
        </w:rPr>
        <w:t xml:space="preserve"> </w:t>
      </w:r>
      <w:r>
        <w:rPr>
          <w:rFonts w:eastAsia="KaiTi_GB2312"/>
          <w:i/>
          <w:color w:val="0000FF"/>
          <w:lang w:val="it-IT"/>
        </w:rPr>
        <w:t xml:space="preserve">S kontracepcijo proti neželeni zanositvi </w:t>
      </w:r>
      <w:r>
        <w:rPr>
          <w:rFonts w:ascii="KaiTi_GB2312" w:eastAsia="KaiTi_GB2312"/>
          <w:iCs/>
          <w:color w:val="0000FF"/>
          <w:lang w:val="en-GB"/>
        </w:rPr>
        <w:t>（</w:t>
      </w:r>
      <w:r>
        <w:rPr>
          <w:rFonts w:ascii="KaiTi_GB2312" w:eastAsia="KaiTi_GB2312" w:hint="eastAsia"/>
          <w:iCs/>
          <w:color w:val="0000FF"/>
        </w:rPr>
        <w:t>防止意外怀孕的避孕</w:t>
      </w:r>
      <w:r>
        <w:rPr>
          <w:rFonts w:ascii="KaiTi_GB2312" w:eastAsia="KaiTi_GB2312"/>
          <w:iCs/>
          <w:color w:val="0000FF"/>
          <w:lang w:val="en-GB"/>
        </w:rPr>
        <w:t>）</w:t>
      </w:r>
      <w:r>
        <w:rPr>
          <w:rFonts w:eastAsia="SimSun" w:hint="eastAsia"/>
          <w:lang w:val="it-IT"/>
        </w:rPr>
        <w:t>。</w:t>
      </w:r>
      <w:r>
        <w:rPr>
          <w:rFonts w:eastAsia="SimSun"/>
          <w:lang w:val="it-IT"/>
        </w:rPr>
        <w:t xml:space="preserve"> Done at Pinter</w:t>
      </w:r>
      <w:r>
        <w:rPr>
          <w:rFonts w:eastAsia="SimSun" w:hint="eastAsia"/>
          <w:lang w:val="it-IT"/>
        </w:rPr>
        <w:t>，</w:t>
      </w:r>
      <w:r>
        <w:rPr>
          <w:rFonts w:eastAsia="SimSun"/>
          <w:lang w:val="it-IT"/>
        </w:rPr>
        <w:t xml:space="preserve"> B. in Pretnar-Darovec </w:t>
      </w:r>
      <w:r>
        <w:rPr>
          <w:rFonts w:eastAsia="SimSun" w:hint="eastAsia"/>
          <w:lang w:val="it-IT"/>
        </w:rPr>
        <w:t>（</w:t>
      </w:r>
      <w:r>
        <w:rPr>
          <w:rFonts w:eastAsia="SimSun" w:hint="eastAsia"/>
        </w:rPr>
        <w:t>编辑</w:t>
      </w:r>
      <w:r>
        <w:rPr>
          <w:rFonts w:eastAsia="SimSun" w:hint="eastAsia"/>
          <w:lang w:val="it-IT"/>
        </w:rPr>
        <w:t>）。</w:t>
      </w:r>
      <w:r>
        <w:rPr>
          <w:rFonts w:eastAsia="SimSun"/>
          <w:lang w:val="it-IT"/>
        </w:rPr>
        <w:t xml:space="preserve"> </w:t>
      </w:r>
      <w:r>
        <w:rPr>
          <w:rFonts w:eastAsia="SimSun"/>
          <w:i/>
          <w:lang w:val="it-IT"/>
        </w:rPr>
        <w:t>Umetna prekinitev nosečnosti</w:t>
      </w:r>
      <w:r>
        <w:rPr>
          <w:rFonts w:ascii="KaiTi_GB2312" w:eastAsia="KaiTi_GB2312" w:hint="eastAsia"/>
          <w:iCs/>
          <w:color w:val="0000FF"/>
          <w:lang w:val="it-IT"/>
        </w:rPr>
        <w:t>诉斯洛文尼亚（</w:t>
      </w:r>
      <w:r>
        <w:rPr>
          <w:rFonts w:ascii="KaiTi_GB2312" w:eastAsia="KaiTi_GB2312" w:hint="eastAsia"/>
          <w:iCs/>
          <w:color w:val="0000FF"/>
        </w:rPr>
        <w:t>斯洛文尼亚的人工流产</w:t>
      </w:r>
      <w:r>
        <w:rPr>
          <w:rFonts w:ascii="KaiTi_GB2312" w:eastAsia="KaiTi_GB2312" w:hint="eastAsia"/>
          <w:iCs/>
          <w:color w:val="0000FF"/>
          <w:lang w:val="it-IT"/>
        </w:rPr>
        <w:t>）</w:t>
      </w:r>
      <w:r>
        <w:rPr>
          <w:rFonts w:eastAsia="SimSun" w:hint="eastAsia"/>
        </w:rPr>
        <w:t>。</w:t>
      </w:r>
      <w:r>
        <w:rPr>
          <w:rFonts w:eastAsia="SimSun"/>
          <w:lang w:val="it-IT"/>
        </w:rPr>
        <w:t xml:space="preserve"> </w:t>
      </w:r>
      <w:r>
        <w:rPr>
          <w:rFonts w:eastAsia="SimSun"/>
        </w:rPr>
        <w:t>Zbornik. SPS</w:t>
      </w:r>
      <w:r>
        <w:rPr>
          <w:rFonts w:eastAsia="SimSun" w:hint="eastAsia"/>
        </w:rPr>
        <w:t>，产科学和妇科医学系</w:t>
      </w:r>
      <w:r>
        <w:rPr>
          <w:rFonts w:eastAsia="SimSun"/>
        </w:rPr>
        <w:t xml:space="preserve">, </w:t>
      </w:r>
      <w:r>
        <w:rPr>
          <w:rFonts w:eastAsia="SimSun" w:hint="eastAsia"/>
        </w:rPr>
        <w:t>卢布尔雅那大学医学中心，</w:t>
      </w:r>
      <w:r>
        <w:rPr>
          <w:rFonts w:eastAsia="SimSun" w:hint="eastAsia"/>
        </w:rPr>
        <w:t>2004</w:t>
      </w:r>
      <w:r>
        <w:rPr>
          <w:rFonts w:eastAsia="SimSun" w:hint="eastAsia"/>
        </w:rPr>
        <w:t>年。</w:t>
      </w:r>
    </w:p>
  </w:footnote>
  <w:footnote w:id="61">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资料来源：宫颈癌前期病变有组织筛查方案和登记处，</w:t>
      </w:r>
      <w:r>
        <w:rPr>
          <w:rFonts w:eastAsia="SimSun" w:hint="eastAsia"/>
        </w:rPr>
        <w:t>ZORA</w:t>
      </w:r>
      <w:r>
        <w:rPr>
          <w:rFonts w:eastAsia="SimSun" w:hint="eastAsia"/>
        </w:rPr>
        <w:t>。卢布尔雅那肿瘤学研究所。</w:t>
      </w:r>
    </w:p>
  </w:footnote>
  <w:footnote w:id="6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资料来源：斯洛文尼亚癌症登记处。卢布尔雅那肿瘤学研究所。</w:t>
      </w:r>
    </w:p>
  </w:footnote>
  <w:footnote w:id="63">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资料来源：斯洛文尼亚门诊按照</w:t>
      </w:r>
      <w:r>
        <w:rPr>
          <w:rFonts w:eastAsia="SimSun" w:hint="eastAsia"/>
        </w:rPr>
        <w:t>2002</w:t>
      </w:r>
      <w:r>
        <w:rPr>
          <w:rFonts w:eastAsia="SimSun" w:hint="eastAsia"/>
        </w:rPr>
        <w:t>年</w:t>
      </w:r>
      <w:r>
        <w:rPr>
          <w:rFonts w:eastAsia="SimSun" w:hint="eastAsia"/>
        </w:rPr>
        <w:t>ATC</w:t>
      </w:r>
      <w:r>
        <w:rPr>
          <w:rFonts w:eastAsia="SimSun" w:hint="eastAsia"/>
        </w:rPr>
        <w:t>分类开具的药物治疗。斯洛文尼亚共和国公共卫生研究所，</w:t>
      </w:r>
      <w:r>
        <w:rPr>
          <w:rFonts w:eastAsia="SimSun" w:hint="eastAsia"/>
        </w:rPr>
        <w:t>2003</w:t>
      </w:r>
      <w:r>
        <w:rPr>
          <w:rFonts w:eastAsia="SimSun" w:hint="eastAsia"/>
        </w:rPr>
        <w:t>年。</w:t>
      </w:r>
    </w:p>
  </w:footnote>
  <w:footnote w:id="6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hint="eastAsia"/>
        </w:rPr>
        <w:t>2002/2003</w:t>
      </w:r>
      <w:r>
        <w:rPr>
          <w:rFonts w:eastAsia="SimSun" w:hint="eastAsia"/>
        </w:rPr>
        <w:t>年人类发展报告——斯洛文尼亚》。斯洛文尼亚共和国宏观经济分析与发展研究所，</w:t>
      </w:r>
      <w:r>
        <w:rPr>
          <w:rFonts w:eastAsia="SimSun" w:hint="eastAsia"/>
        </w:rPr>
        <w:t>2004</w:t>
      </w:r>
      <w:r>
        <w:rPr>
          <w:rFonts w:eastAsia="SimSun" w:hint="eastAsia"/>
        </w:rPr>
        <w:t>年。</w:t>
      </w:r>
    </w:p>
  </w:footnote>
  <w:footnote w:id="65">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w:t>
      </w:r>
      <w:r>
        <w:rPr>
          <w:rFonts w:eastAsia="SimSun" w:hint="eastAsia"/>
        </w:rPr>
        <w:t>2002</w:t>
      </w:r>
      <w:r>
        <w:rPr>
          <w:rFonts w:eastAsia="SimSun" w:hint="eastAsia"/>
        </w:rPr>
        <w:t>年《卫生统计年鉴》。斯洛文尼亚共和国公共卫生研究所，</w:t>
      </w:r>
      <w:r>
        <w:rPr>
          <w:rFonts w:eastAsia="SimSun" w:hint="eastAsia"/>
        </w:rPr>
        <w:t>2004</w:t>
      </w:r>
      <w:r>
        <w:rPr>
          <w:rFonts w:eastAsia="SimSun" w:hint="eastAsia"/>
        </w:rPr>
        <w:t>年。</w:t>
      </w:r>
    </w:p>
  </w:footnote>
  <w:footnote w:id="66">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资料来源：妇女心理辅导协会。</w:t>
      </w:r>
    </w:p>
  </w:footnote>
  <w:footnote w:id="67">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资料来源：传染病、艾滋病和性传播疾病病房中心。斯洛文尼亚共和国公共卫生研究所。</w:t>
      </w:r>
    </w:p>
  </w:footnote>
  <w:footnote w:id="68">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资料来源：传染病、艾滋病和性传播疾病病房中心。斯洛文尼亚共和国公共卫生研究所，</w:t>
      </w:r>
      <w:r>
        <w:rPr>
          <w:rFonts w:eastAsia="SimSun" w:hint="eastAsia"/>
        </w:rPr>
        <w:t>2005</w:t>
      </w:r>
      <w:r>
        <w:rPr>
          <w:rFonts w:eastAsia="SimSun" w:hint="eastAsia"/>
        </w:rPr>
        <w:t>年</w:t>
      </w:r>
      <w:r>
        <w:rPr>
          <w:rFonts w:eastAsia="SimSun" w:hint="eastAsia"/>
        </w:rPr>
        <w:t>7</w:t>
      </w:r>
      <w:r>
        <w:rPr>
          <w:rFonts w:eastAsia="SimSun" w:hint="eastAsia"/>
        </w:rPr>
        <w:t>月。见附录</w:t>
      </w:r>
      <w:r>
        <w:rPr>
          <w:rFonts w:eastAsia="SimSun" w:hint="eastAsia"/>
        </w:rPr>
        <w:t>2</w:t>
      </w:r>
      <w:r>
        <w:rPr>
          <w:rFonts w:eastAsia="SimSun" w:hint="eastAsia"/>
        </w:rPr>
        <w:t>，表</w:t>
      </w:r>
      <w:r>
        <w:rPr>
          <w:rFonts w:eastAsia="SimSun" w:hint="eastAsia"/>
        </w:rPr>
        <w:t>44</w:t>
      </w:r>
      <w:r>
        <w:rPr>
          <w:rFonts w:eastAsia="SimSun" w:hint="eastAsia"/>
        </w:rPr>
        <w:t>。</w:t>
      </w:r>
    </w:p>
  </w:footnote>
  <w:footnote w:id="6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45</w:t>
      </w:r>
      <w:r>
        <w:rPr>
          <w:rFonts w:eastAsia="SimSun" w:hint="eastAsia"/>
        </w:rPr>
        <w:t>。</w:t>
      </w:r>
    </w:p>
  </w:footnote>
  <w:footnote w:id="70">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资料来源：劳动、家庭和社会事务部，</w:t>
      </w:r>
      <w:r>
        <w:rPr>
          <w:rFonts w:eastAsia="SimSun" w:hint="eastAsia"/>
        </w:rPr>
        <w:t>2005</w:t>
      </w:r>
      <w:r>
        <w:rPr>
          <w:rFonts w:eastAsia="SimSun" w:hint="eastAsia"/>
        </w:rPr>
        <w:t>年</w:t>
      </w:r>
      <w:r>
        <w:rPr>
          <w:rFonts w:eastAsia="SimSun" w:hint="eastAsia"/>
        </w:rPr>
        <w:t>5</w:t>
      </w:r>
      <w:r>
        <w:rPr>
          <w:rFonts w:eastAsia="SimSun" w:hint="eastAsia"/>
        </w:rPr>
        <w:t>月。</w:t>
      </w:r>
    </w:p>
  </w:footnote>
  <w:footnote w:id="71">
    <w:p w:rsidR="00634A95" w:rsidRDefault="00634A95">
      <w:pPr>
        <w:pStyle w:val="FootnoteText"/>
        <w:tabs>
          <w:tab w:val="left" w:pos="315"/>
        </w:tabs>
        <w:spacing w:after="60" w:line="260" w:lineRule="atLeast"/>
        <w:jc w:val="both"/>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以净收入等值低于贫困风险</w:t>
      </w:r>
      <w:r>
        <w:rPr>
          <w:rFonts w:ascii="SimSun" w:eastAsia="SimSun" w:hAnsi="SimSun" w:hint="eastAsia"/>
        </w:rPr>
        <w:t>阈</w:t>
      </w:r>
      <w:r>
        <w:rPr>
          <w:rFonts w:eastAsia="SimSun" w:hint="eastAsia"/>
        </w:rPr>
        <w:t>值的家庭人员所占百分比来表示。关于现金和实物收入方面的贫困风险水平的资料。</w:t>
      </w:r>
    </w:p>
  </w:footnote>
  <w:footnote w:id="72">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46</w:t>
      </w:r>
      <w:r>
        <w:rPr>
          <w:rFonts w:eastAsia="SimSun" w:hint="eastAsia"/>
        </w:rPr>
        <w:t>。</w:t>
      </w:r>
    </w:p>
  </w:footnote>
  <w:footnote w:id="73">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hint="eastAsia"/>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47</w:t>
      </w:r>
      <w:r>
        <w:rPr>
          <w:rFonts w:eastAsia="SimSun" w:hint="eastAsia"/>
        </w:rPr>
        <w:t>。</w:t>
      </w:r>
    </w:p>
  </w:footnote>
  <w:footnote w:id="74">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欧洲人如何支配其时间：妇女与男子的日常生活（</w:t>
      </w:r>
      <w:r>
        <w:rPr>
          <w:rFonts w:eastAsia="SimSun"/>
        </w:rPr>
        <w:t xml:space="preserve"> 1998 – 2002</w:t>
      </w:r>
      <w:r>
        <w:rPr>
          <w:rFonts w:eastAsia="SimSun" w:hint="eastAsia"/>
        </w:rPr>
        <w:t>年数据）。欧统处，</w:t>
      </w:r>
      <w:r>
        <w:rPr>
          <w:rFonts w:eastAsia="SimSun" w:hint="eastAsia"/>
        </w:rPr>
        <w:t>2004</w:t>
      </w:r>
      <w:r>
        <w:rPr>
          <w:rFonts w:eastAsia="SimSun" w:hint="eastAsia"/>
        </w:rPr>
        <w:t>年。见附录</w:t>
      </w:r>
      <w:r>
        <w:rPr>
          <w:rFonts w:eastAsia="SimSun" w:hint="eastAsia"/>
        </w:rPr>
        <w:t>2</w:t>
      </w:r>
      <w:r>
        <w:rPr>
          <w:rFonts w:eastAsia="SimSun" w:hint="eastAsia"/>
        </w:rPr>
        <w:t>，表</w:t>
      </w:r>
      <w:r>
        <w:rPr>
          <w:rFonts w:eastAsia="SimSun" w:hint="eastAsia"/>
        </w:rPr>
        <w:t>48</w:t>
      </w:r>
      <w:r>
        <w:rPr>
          <w:rFonts w:eastAsia="SimSun" w:hint="eastAsia"/>
        </w:rPr>
        <w:t>和</w:t>
      </w:r>
      <w:r>
        <w:rPr>
          <w:rFonts w:eastAsia="SimSun" w:hint="eastAsia"/>
        </w:rPr>
        <w:t>49</w:t>
      </w:r>
      <w:r>
        <w:rPr>
          <w:rFonts w:eastAsia="SimSun" w:hint="eastAsia"/>
        </w:rPr>
        <w:t>。</w:t>
      </w:r>
    </w:p>
  </w:footnote>
  <w:footnote w:id="75">
    <w:p w:rsidR="00634A95" w:rsidRDefault="00634A95">
      <w:pPr>
        <w:pStyle w:val="FootnoteText"/>
        <w:tabs>
          <w:tab w:val="left" w:pos="315"/>
        </w:tabs>
        <w:spacing w:after="60" w:line="260" w:lineRule="atLeas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调查对两类具有代表性的农村妇女抽样加以区分，即：</w:t>
      </w:r>
      <w:r>
        <w:rPr>
          <w:rFonts w:eastAsia="SimSun" w:hint="eastAsia"/>
        </w:rPr>
        <w:t>1.</w:t>
      </w:r>
      <w:r>
        <w:rPr>
          <w:rFonts w:eastAsia="SimSun" w:hint="eastAsia"/>
        </w:rPr>
        <w:t>在农庄生活的妇女，和</w:t>
      </w:r>
      <w:r>
        <w:rPr>
          <w:rFonts w:eastAsia="SimSun" w:hint="eastAsia"/>
        </w:rPr>
        <w:t xml:space="preserve">2. </w:t>
      </w:r>
      <w:r>
        <w:rPr>
          <w:rFonts w:eastAsia="SimSun" w:hint="eastAsia"/>
        </w:rPr>
        <w:t>不在农庄生活的妇女。</w:t>
      </w:r>
    </w:p>
  </w:footnote>
  <w:footnote w:id="76">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资料来源：卢布尔雅那大学生物技术学院。</w:t>
      </w:r>
      <w:r>
        <w:rPr>
          <w:rFonts w:eastAsia="SimSun" w:hint="eastAsia"/>
        </w:rPr>
        <w:t>2002</w:t>
      </w:r>
      <w:r>
        <w:rPr>
          <w:rFonts w:eastAsia="SimSun" w:hint="eastAsia"/>
        </w:rPr>
        <w:t>年斯洛文尼亚农村妇女调查。见附录</w:t>
      </w:r>
      <w:r>
        <w:rPr>
          <w:rFonts w:eastAsia="SimSun" w:hint="eastAsia"/>
        </w:rPr>
        <w:t>2</w:t>
      </w:r>
      <w:r>
        <w:rPr>
          <w:rFonts w:eastAsia="SimSun" w:hint="eastAsia"/>
        </w:rPr>
        <w:t>，表</w:t>
      </w:r>
      <w:r>
        <w:rPr>
          <w:rFonts w:eastAsia="SimSun" w:hint="eastAsia"/>
        </w:rPr>
        <w:t>50</w:t>
      </w:r>
      <w:r>
        <w:rPr>
          <w:rFonts w:eastAsia="SimSun" w:hint="eastAsia"/>
        </w:rPr>
        <w:t>。</w:t>
      </w:r>
    </w:p>
  </w:footnote>
  <w:footnote w:id="77">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资料来源：斯洛文尼亚共和国统计局，斯洛文尼亚农村妇女，</w:t>
      </w:r>
      <w:r>
        <w:rPr>
          <w:rFonts w:eastAsia="SimSun" w:hint="eastAsia"/>
        </w:rPr>
        <w:t>2005</w:t>
      </w:r>
      <w:r>
        <w:rPr>
          <w:rFonts w:eastAsia="SimSun" w:hint="eastAsia"/>
        </w:rPr>
        <w:t>年</w:t>
      </w:r>
      <w:r>
        <w:rPr>
          <w:rFonts w:eastAsia="SimSun" w:hint="eastAsia"/>
        </w:rPr>
        <w:t>10</w:t>
      </w:r>
      <w:r>
        <w:rPr>
          <w:rFonts w:eastAsia="SimSun" w:hint="eastAsia"/>
        </w:rPr>
        <w:t>月</w:t>
      </w:r>
      <w:r>
        <w:rPr>
          <w:rFonts w:eastAsia="SimSun" w:hint="eastAsia"/>
        </w:rPr>
        <w:t>14</w:t>
      </w:r>
      <w:r>
        <w:rPr>
          <w:rFonts w:eastAsia="SimSun" w:hint="eastAsia"/>
        </w:rPr>
        <w:t>日。</w:t>
      </w:r>
    </w:p>
  </w:footnote>
  <w:footnote w:id="78">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资料来源：关于罗姆人在斯洛文尼亚共和国的地位的报告（</w:t>
      </w:r>
      <w:r>
        <w:rPr>
          <w:rFonts w:eastAsia="SimSun" w:hint="eastAsia"/>
        </w:rPr>
        <w:t>2004</w:t>
      </w:r>
      <w:r>
        <w:rPr>
          <w:rFonts w:eastAsia="SimSun" w:hint="eastAsia"/>
        </w:rPr>
        <w:t>年），斯洛文尼亚共和国政府民族办公室，</w:t>
      </w:r>
      <w:r>
        <w:rPr>
          <w:rFonts w:eastAsia="SimSun" w:hint="eastAsia"/>
        </w:rPr>
        <w:t>2004</w:t>
      </w:r>
      <w:r>
        <w:rPr>
          <w:rFonts w:eastAsia="SimSun" w:hint="eastAsia"/>
        </w:rPr>
        <w:t>年。</w:t>
      </w:r>
    </w:p>
  </w:footnote>
  <w:footnote w:id="79">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51</w:t>
      </w:r>
      <w:r>
        <w:rPr>
          <w:rFonts w:eastAsia="SimSun" w:hint="eastAsia"/>
        </w:rPr>
        <w:t>。</w:t>
      </w:r>
      <w:r>
        <w:rPr>
          <w:rFonts w:eastAsia="SimSun"/>
        </w:rPr>
        <w:t xml:space="preserve"> </w:t>
      </w:r>
    </w:p>
  </w:footnote>
  <w:footnote w:id="80">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见附录</w:t>
      </w:r>
      <w:r>
        <w:rPr>
          <w:rFonts w:eastAsia="SimSun" w:hint="eastAsia"/>
        </w:rPr>
        <w:t>2</w:t>
      </w:r>
      <w:r>
        <w:rPr>
          <w:rFonts w:eastAsia="SimSun" w:hint="eastAsia"/>
        </w:rPr>
        <w:t>，表</w:t>
      </w:r>
      <w:r>
        <w:rPr>
          <w:rFonts w:eastAsia="SimSun" w:hint="eastAsia"/>
        </w:rPr>
        <w:t>52</w:t>
      </w:r>
      <w:r>
        <w:rPr>
          <w:rFonts w:eastAsia="SimSun" w:hint="eastAsia"/>
        </w:rPr>
        <w:t>。</w:t>
      </w:r>
    </w:p>
  </w:footnote>
  <w:footnote w:id="81">
    <w:p w:rsidR="00634A95" w:rsidRDefault="00634A95">
      <w:pPr>
        <w:pStyle w:val="FootnoteText"/>
        <w:tabs>
          <w:tab w:val="left" w:pos="315"/>
        </w:tabs>
        <w:spacing w:after="60" w:line="260" w:lineRule="atLeast"/>
        <w:rPr>
          <w:rFonts w:eastAsia="SimSun"/>
        </w:rPr>
      </w:pPr>
      <w:r>
        <w:rPr>
          <w:rStyle w:val="FootnoteReference"/>
          <w:rFonts w:eastAsia="SimSun"/>
        </w:rPr>
        <w:footnoteRef/>
      </w:r>
      <w:r>
        <w:rPr>
          <w:rFonts w:eastAsia="SimSun"/>
        </w:rPr>
        <w:t xml:space="preserve"> </w:t>
      </w:r>
      <w:r>
        <w:rPr>
          <w:rFonts w:eastAsia="SimSun"/>
        </w:rPr>
        <w:tab/>
      </w:r>
      <w:r>
        <w:rPr>
          <w:rFonts w:eastAsia="SimSun" w:hint="eastAsia"/>
        </w:rPr>
        <w:t>资料来源：劳动、家庭和社会事务部，</w:t>
      </w:r>
      <w:r>
        <w:rPr>
          <w:rFonts w:eastAsia="SimSun" w:hint="eastAsia"/>
        </w:rPr>
        <w:t>2005</w:t>
      </w:r>
      <w:r>
        <w:rPr>
          <w:rFonts w:eastAsia="SimSun"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4A95">
                  <w:tblPrEx>
                    <w:tblCellMar>
                      <w:top w:w="0" w:type="dxa"/>
                      <w:bottom w:w="0" w:type="dxa"/>
                    </w:tblCellMar>
                  </w:tblPrEx>
                  <w:trPr>
                    <w:trHeight w:hRule="exact" w:val="864"/>
                  </w:trPr>
                  <w:tc>
                    <w:tcPr>
                      <w:tcW w:w="4838" w:type="dxa"/>
                      <w:tcBorders>
                        <w:bottom w:val="single" w:sz="4" w:space="0" w:color="auto"/>
                      </w:tcBorders>
                      <w:vAlign w:val="bottom"/>
                    </w:tcPr>
                    <w:p w:rsidR="00634A95" w:rsidRDefault="00634A95">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634A95" w:rsidRDefault="00634A95">
                      <w:pPr>
                        <w:pStyle w:val="Header"/>
                        <w:pBdr>
                          <w:bottom w:val="none" w:sz="0" w:space="0" w:color="auto"/>
                        </w:pBdr>
                      </w:pPr>
                    </w:p>
                  </w:tc>
                </w:tr>
              </w:tbl>
              <w:p w:rsidR="00634A95" w:rsidRDefault="00634A9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4A95">
                  <w:tblPrEx>
                    <w:tblCellMar>
                      <w:top w:w="0" w:type="dxa"/>
                      <w:bottom w:w="0" w:type="dxa"/>
                    </w:tblCellMar>
                  </w:tblPrEx>
                  <w:trPr>
                    <w:trHeight w:hRule="exact" w:val="864"/>
                  </w:trPr>
                  <w:tc>
                    <w:tcPr>
                      <w:tcW w:w="4838" w:type="dxa"/>
                      <w:tcBorders>
                        <w:bottom w:val="single" w:sz="4" w:space="0" w:color="auto"/>
                      </w:tcBorders>
                      <w:vAlign w:val="bottom"/>
                    </w:tcPr>
                    <w:p w:rsidR="00634A95" w:rsidRDefault="00634A95">
                      <w:pPr>
                        <w:pStyle w:val="Header"/>
                        <w:pBdr>
                          <w:bottom w:val="none" w:sz="0" w:space="0" w:color="auto"/>
                        </w:pBdr>
                      </w:pPr>
                    </w:p>
                  </w:tc>
                  <w:tc>
                    <w:tcPr>
                      <w:tcW w:w="5048" w:type="dxa"/>
                      <w:tcBorders>
                        <w:bottom w:val="single" w:sz="4" w:space="0" w:color="auto"/>
                      </w:tcBorders>
                      <w:vAlign w:val="bottom"/>
                    </w:tcPr>
                    <w:p w:rsidR="00634A95" w:rsidRDefault="00634A95">
                      <w:pPr>
                        <w:pStyle w:val="Header"/>
                        <w:pBdr>
                          <w:bottom w:val="none" w:sz="0" w:space="0" w:color="auto"/>
                        </w:pBdr>
                        <w:spacing w:after="80"/>
                        <w:jc w:val="right"/>
                        <w:rPr>
                          <w:rFonts w:hint="eastAsia"/>
                          <w:b/>
                        </w:rPr>
                      </w:pPr>
                      <w:r>
                        <w:rPr>
                          <w:b/>
                        </w:rPr>
                        <w:t>CEDAW/C/NLD/4</w:t>
                      </w:r>
                    </w:p>
                  </w:tc>
                </w:tr>
              </w:tbl>
              <w:p w:rsidR="00634A95" w:rsidRDefault="00634A9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634A9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34A95" w:rsidRDefault="00634A9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634A95" w:rsidRDefault="00634A95">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634A95" w:rsidRDefault="00634A9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634A95" w:rsidRDefault="00634A95">
          <w:pPr>
            <w:spacing w:line="240" w:lineRule="auto"/>
            <w:jc w:val="right"/>
            <w:rPr>
              <w:position w:val="-4"/>
              <w:sz w:val="20"/>
            </w:rPr>
          </w:pPr>
          <w:r>
            <w:rPr>
              <w:position w:val="-4"/>
              <w:sz w:val="36"/>
            </w:rPr>
            <w:t>CEDAW</w:t>
          </w:r>
          <w:r>
            <w:rPr>
              <w:rFonts w:ascii="Arial" w:hAnsi="Arial" w:cs="Arial"/>
              <w:position w:val="-4"/>
            </w:rPr>
            <w:t>/</w:t>
          </w:r>
          <w:r>
            <w:rPr>
              <w:position w:val="-4"/>
            </w:rPr>
            <w:t>C/SVN/4</w:t>
          </w:r>
        </w:p>
      </w:tc>
    </w:tr>
    <w:tr w:rsidR="00634A95">
      <w:tblPrEx>
        <w:tblCellMar>
          <w:top w:w="0" w:type="dxa"/>
          <w:bottom w:w="0" w:type="dxa"/>
        </w:tblCellMar>
      </w:tblPrEx>
      <w:trPr>
        <w:trHeight w:hRule="exact" w:val="2880"/>
      </w:trPr>
      <w:tc>
        <w:tcPr>
          <w:tcW w:w="1267" w:type="dxa"/>
          <w:tcBorders>
            <w:left w:val="nil"/>
            <w:bottom w:val="single" w:sz="12" w:space="0" w:color="auto"/>
            <w:right w:val="nil"/>
          </w:tcBorders>
        </w:tcPr>
        <w:p w:rsidR="00634A95" w:rsidRDefault="00634A95">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634A95" w:rsidRDefault="00634A9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634A95" w:rsidRDefault="00634A95">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634A95" w:rsidRDefault="00634A95">
          <w:pPr>
            <w:pStyle w:val="Header"/>
            <w:pBdr>
              <w:bottom w:val="none" w:sz="0" w:space="0" w:color="auto"/>
            </w:pBdr>
            <w:spacing w:before="109"/>
          </w:pPr>
        </w:p>
      </w:tc>
      <w:tc>
        <w:tcPr>
          <w:tcW w:w="3199" w:type="dxa"/>
          <w:gridSpan w:val="2"/>
          <w:tcBorders>
            <w:left w:val="nil"/>
            <w:bottom w:val="single" w:sz="12" w:space="0" w:color="auto"/>
            <w:right w:val="nil"/>
          </w:tcBorders>
        </w:tcPr>
        <w:p w:rsidR="00634A95" w:rsidRDefault="00634A95">
          <w:pPr>
            <w:spacing w:before="240" w:line="240" w:lineRule="exact"/>
          </w:pPr>
          <w:r>
            <w:t>Distr.</w:t>
          </w:r>
          <w:r>
            <w:rPr>
              <w:lang w:val="en"/>
            </w:rPr>
            <w:t>：</w:t>
          </w:r>
          <w:r>
            <w:t>General</w:t>
          </w:r>
        </w:p>
        <w:p w:rsidR="00634A95" w:rsidRDefault="00634A95">
          <w:pPr>
            <w:spacing w:line="240" w:lineRule="exact"/>
            <w:rPr>
              <w:rFonts w:hint="eastAsia"/>
            </w:rPr>
          </w:pPr>
          <w:r>
            <w:t>8 May 2007</w:t>
          </w:r>
        </w:p>
        <w:p w:rsidR="00634A95" w:rsidRDefault="00634A95">
          <w:pPr>
            <w:spacing w:line="240" w:lineRule="exact"/>
          </w:pPr>
        </w:p>
        <w:p w:rsidR="00634A95" w:rsidRDefault="00634A95">
          <w:pPr>
            <w:spacing w:line="240" w:lineRule="exact"/>
          </w:pPr>
          <w:r>
            <w:t>Chinese</w:t>
          </w:r>
        </w:p>
        <w:p w:rsidR="00634A95" w:rsidRDefault="00634A95">
          <w:pPr>
            <w:spacing w:line="240" w:lineRule="exact"/>
          </w:pPr>
          <w:r>
            <w:t>Original</w:t>
          </w:r>
          <w:r>
            <w:rPr>
              <w:lang w:val="en"/>
            </w:rPr>
            <w:t>：</w:t>
          </w:r>
          <w:r>
            <w:t>English</w:t>
          </w:r>
        </w:p>
      </w:tc>
    </w:tr>
  </w:tbl>
  <w:p w:rsidR="00634A95" w:rsidRDefault="00634A95">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4A95">
                  <w:tblPrEx>
                    <w:tblCellMar>
                      <w:top w:w="0" w:type="dxa"/>
                      <w:bottom w:w="0" w:type="dxa"/>
                    </w:tblCellMar>
                  </w:tblPrEx>
                  <w:trPr>
                    <w:trHeight w:hRule="exact" w:val="864"/>
                  </w:trPr>
                  <w:tc>
                    <w:tcPr>
                      <w:tcW w:w="4838" w:type="dxa"/>
                      <w:tcBorders>
                        <w:bottom w:val="single" w:sz="4" w:space="0" w:color="auto"/>
                      </w:tcBorders>
                      <w:vAlign w:val="bottom"/>
                    </w:tcPr>
                    <w:p w:rsidR="00634A95" w:rsidRDefault="00634A95">
                      <w:pPr>
                        <w:pStyle w:val="Header"/>
                        <w:pBdr>
                          <w:bottom w:val="none" w:sz="0" w:space="0" w:color="auto"/>
                        </w:pBdr>
                        <w:spacing w:after="80"/>
                        <w:jc w:val="both"/>
                        <w:rPr>
                          <w:rFonts w:hint="eastAsia"/>
                          <w:b/>
                        </w:rPr>
                      </w:pPr>
                      <w:r>
                        <w:rPr>
                          <w:b/>
                        </w:rPr>
                        <w:t>CEDAW/C/SVN/4</w:t>
                      </w:r>
                    </w:p>
                  </w:tc>
                  <w:tc>
                    <w:tcPr>
                      <w:tcW w:w="5048" w:type="dxa"/>
                      <w:tcBorders>
                        <w:bottom w:val="single" w:sz="4" w:space="0" w:color="auto"/>
                      </w:tcBorders>
                      <w:vAlign w:val="bottom"/>
                    </w:tcPr>
                    <w:p w:rsidR="00634A95" w:rsidRDefault="00634A95">
                      <w:pPr>
                        <w:pStyle w:val="Header"/>
                        <w:pBdr>
                          <w:bottom w:val="none" w:sz="0" w:space="0" w:color="auto"/>
                        </w:pBdr>
                      </w:pPr>
                    </w:p>
                  </w:tc>
                </w:tr>
              </w:tbl>
              <w:p w:rsidR="00634A95" w:rsidRDefault="00634A9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A95" w:rsidRDefault="00634A9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4A95">
                  <w:tblPrEx>
                    <w:tblCellMar>
                      <w:top w:w="0" w:type="dxa"/>
                      <w:bottom w:w="0" w:type="dxa"/>
                    </w:tblCellMar>
                  </w:tblPrEx>
                  <w:trPr>
                    <w:trHeight w:hRule="exact" w:val="864"/>
                  </w:trPr>
                  <w:tc>
                    <w:tcPr>
                      <w:tcW w:w="4838" w:type="dxa"/>
                      <w:tcBorders>
                        <w:bottom w:val="single" w:sz="4" w:space="0" w:color="auto"/>
                      </w:tcBorders>
                      <w:vAlign w:val="bottom"/>
                    </w:tcPr>
                    <w:p w:rsidR="00634A95" w:rsidRDefault="00634A95">
                      <w:pPr>
                        <w:pStyle w:val="Header"/>
                        <w:pBdr>
                          <w:bottom w:val="none" w:sz="0" w:space="0" w:color="auto"/>
                        </w:pBdr>
                      </w:pPr>
                    </w:p>
                  </w:tc>
                  <w:tc>
                    <w:tcPr>
                      <w:tcW w:w="5048" w:type="dxa"/>
                      <w:tcBorders>
                        <w:bottom w:val="single" w:sz="4" w:space="0" w:color="auto"/>
                      </w:tcBorders>
                      <w:vAlign w:val="bottom"/>
                    </w:tcPr>
                    <w:p w:rsidR="00634A95" w:rsidRDefault="00634A95">
                      <w:pPr>
                        <w:pStyle w:val="Header"/>
                        <w:pBdr>
                          <w:bottom w:val="none" w:sz="0" w:space="0" w:color="auto"/>
                        </w:pBdr>
                        <w:spacing w:after="80"/>
                        <w:jc w:val="right"/>
                        <w:rPr>
                          <w:rFonts w:hint="eastAsia"/>
                          <w:b/>
                        </w:rPr>
                      </w:pPr>
                      <w:r>
                        <w:rPr>
                          <w:b/>
                        </w:rPr>
                        <w:t>CEDAW/C/SVN/4</w:t>
                      </w:r>
                    </w:p>
                  </w:tc>
                </w:tr>
              </w:tbl>
              <w:p w:rsidR="00634A95" w:rsidRDefault="00634A95"/>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25B6367"/>
    <w:multiLevelType w:val="hybridMultilevel"/>
    <w:tmpl w:val="749CF65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5654E5A"/>
    <w:multiLevelType w:val="hybridMultilevel"/>
    <w:tmpl w:val="43CA2044"/>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5"/>
  </w:num>
  <w:num w:numId="2">
    <w:abstractNumId w:val="6"/>
  </w:num>
  <w:num w:numId="3">
    <w:abstractNumId w:val="3"/>
  </w:num>
  <w:num w:numId="4">
    <w:abstractNumId w:val="4"/>
  </w:num>
  <w:num w:numId="5">
    <w:abstractNumId w:val="7"/>
  </w:num>
  <w:num w:numId="6">
    <w:abstractNumId w:val="0"/>
  </w:num>
  <w:num w:numId="7">
    <w:abstractNumId w:val="8"/>
  </w:num>
  <w:num w:numId="8">
    <w:abstractNumId w:val="2"/>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779"/>
    <w:rsid w:val="001A7779"/>
    <w:rsid w:val="002B3CCD"/>
    <w:rsid w:val="00634A95"/>
    <w:rsid w:val="00700560"/>
    <w:rsid w:val="008B5C16"/>
    <w:rsid w:val="00922FEA"/>
    <w:rsid w:val="00B359E9"/>
    <w:rsid w:val="00D65F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aliases w:val="Numbered -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character" w:customStyle="1" w:styleId="hl">
    <w:name w:val="hl"/>
    <w:rPr>
      <w:b/>
      <w:bCs/>
    </w:rPr>
  </w:style>
  <w:style w:type="character" w:customStyle="1" w:styleId="tw4winMark">
    <w:name w:val="tw4winMark"/>
    <w:rPr>
      <w:rFonts w:ascii="Times New Roman" w:hAnsi="Times New Roman" w:cs="Times New Roman"/>
      <w:vanish/>
      <w:color w:val="800080"/>
      <w:sz w:val="24"/>
      <w:szCs w:val="24"/>
      <w:vertAlign w:val="subscript"/>
    </w:rPr>
  </w:style>
  <w:style w:type="paragraph" w:styleId="BalloonText">
    <w:name w:val="Balloon Text"/>
    <w:basedOn w:val="Normal"/>
    <w:semiHidden/>
    <w:rsid w:val="002B3CC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21</TotalTime>
  <Pages>1</Pages>
  <Words>10139</Words>
  <Characters>57797</Characters>
  <Application>Microsoft Office Word</Application>
  <DocSecurity>4</DocSecurity>
  <Lines>481</Lines>
  <Paragraphs>135</Paragraphs>
  <ScaleCrop>false</ScaleCrop>
  <Company>infoll</Company>
  <LinksUpToDate>false</LinksUpToDate>
  <CharactersWithSpaces>67801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Zhenxue Sheng</cp:lastModifiedBy>
  <cp:revision>11</cp:revision>
  <cp:lastPrinted>2007-09-12T10:02:00Z</cp:lastPrinted>
  <dcterms:created xsi:type="dcterms:W3CDTF">2007-09-12T09:40:00Z</dcterms:created>
  <dcterms:modified xsi:type="dcterms:W3CDTF">2007-09-12T10:03:00Z</dcterms:modified>
</cp:coreProperties>
</file>