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2006</w:t>
      </w:r>
      <w:r>
        <w:rPr>
          <w:rFonts w:hint="eastAsia"/>
        </w:rPr>
        <w:t>年实质性会议</w:t>
      </w:r>
    </w:p>
    <w:p w:rsidR="00000000" w:rsidRDefault="00000000"/>
    <w:p w:rsidR="00000000" w:rsidRDefault="00000000">
      <w:pPr>
        <w:pStyle w:val="Heading2"/>
        <w:rPr>
          <w:rFonts w:hint="eastAsia"/>
        </w:rPr>
      </w:pPr>
      <w:r>
        <w:rPr>
          <w:rFonts w:hint="eastAsia"/>
        </w:rPr>
        <w:t>《经济、社会、文化权利国际公约》执行情况</w:t>
      </w:r>
    </w:p>
    <w:p w:rsidR="00000000" w:rsidRDefault="00000000">
      <w:pPr>
        <w:pStyle w:val="Heading3"/>
        <w:rPr>
          <w:rFonts w:hint="eastAsia"/>
        </w:rPr>
      </w:pPr>
      <w:r>
        <w:rPr>
          <w:rFonts w:hint="eastAsia"/>
        </w:rPr>
        <w:t>缔约国根据《公约》第</w:t>
      </w:r>
      <w:r>
        <w:rPr>
          <w:rFonts w:hint="eastAsia"/>
        </w:rPr>
        <w:t>16</w:t>
      </w:r>
      <w:r>
        <w:rPr>
          <w:rFonts w:hint="eastAsia"/>
        </w:rPr>
        <w:t>和第</w:t>
      </w:r>
      <w:r>
        <w:rPr>
          <w:rFonts w:hint="eastAsia"/>
        </w:rPr>
        <w:t>17</w:t>
      </w:r>
      <w:r>
        <w:rPr>
          <w:rFonts w:hint="eastAsia"/>
        </w:rPr>
        <w:t>条</w:t>
      </w:r>
      <w:r>
        <w:br/>
      </w:r>
      <w:r>
        <w:rPr>
          <w:rFonts w:hint="eastAsia"/>
        </w:rPr>
        <w:t>提交的第三次定期报告</w:t>
      </w:r>
    </w:p>
    <w:p w:rsidR="00000000" w:rsidRDefault="00000000">
      <w:pPr>
        <w:pStyle w:val="Heading3"/>
        <w:rPr>
          <w:rFonts w:hint="eastAsia"/>
        </w:rPr>
      </w:pPr>
      <w:r>
        <w:rPr>
          <w:rFonts w:hint="eastAsia"/>
        </w:rPr>
        <w:t>增</w:t>
      </w:r>
      <w:r>
        <w:t xml:space="preserve"> </w:t>
      </w:r>
      <w:r>
        <w:rPr>
          <w:rFonts w:hint="eastAsia"/>
        </w:rPr>
        <w:t xml:space="preserve"> </w:t>
      </w:r>
      <w:r>
        <w:rPr>
          <w:rFonts w:hint="eastAsia"/>
        </w:rPr>
        <w:t>编</w:t>
      </w:r>
    </w:p>
    <w:p w:rsidR="00000000" w:rsidRDefault="00000000">
      <w:pPr>
        <w:pStyle w:val="Heading3"/>
        <w:rPr>
          <w:rFonts w:hint="eastAsia"/>
          <w:u w:val="none"/>
        </w:rPr>
      </w:pPr>
      <w:r>
        <w:rPr>
          <w:rFonts w:ascii="Time New Roman" w:eastAsia="SimHei" w:hAnsi="Time New Roman"/>
          <w:u w:val="none"/>
        </w:rPr>
        <w:t xml:space="preserve">       </w:t>
      </w:r>
      <w:r>
        <w:rPr>
          <w:rFonts w:ascii="Time New Roman" w:eastAsia="SimHei" w:hAnsi="Time New Roman" w:hint="eastAsia"/>
          <w:u w:val="none"/>
        </w:rPr>
        <w:t>匈</w:t>
      </w:r>
      <w:r>
        <w:rPr>
          <w:rFonts w:ascii="Time New Roman" w:eastAsia="SimHei" w:hAnsi="Time New Roman"/>
          <w:u w:val="none"/>
        </w:rPr>
        <w:t xml:space="preserve"> </w:t>
      </w:r>
      <w:r>
        <w:rPr>
          <w:rFonts w:ascii="Time New Roman" w:eastAsia="SimHei" w:hAnsi="Time New Roman" w:hint="eastAsia"/>
          <w:u w:val="none"/>
        </w:rPr>
        <w:t>牙</w:t>
      </w:r>
      <w:r>
        <w:rPr>
          <w:rFonts w:ascii="Time New Roman" w:eastAsia="SimHei" w:hAnsi="Time New Roman"/>
          <w:u w:val="none"/>
        </w:rPr>
        <w:t xml:space="preserve"> </w:t>
      </w:r>
      <w:r>
        <w:rPr>
          <w:rFonts w:ascii="Time New Roman" w:eastAsia="SimHei" w:hAnsi="Time New Roman" w:hint="eastAsia"/>
          <w:u w:val="none"/>
        </w:rPr>
        <w:t>利</w:t>
      </w:r>
      <w:r>
        <w:rPr>
          <w:u w:val="none"/>
          <w:vertAlign w:val="superscript"/>
        </w:rPr>
        <w:t xml:space="preserve"> </w:t>
      </w:r>
      <w:r>
        <w:rPr>
          <w:rStyle w:val="FootnoteReference"/>
          <w:b w:val="0"/>
          <w:bCs/>
          <w:u w:val="none"/>
          <w:vertAlign w:val="baseline"/>
        </w:rPr>
        <w:footnoteReference w:customMarkFollows="1" w:id="1"/>
        <w:t>*</w:t>
      </w:r>
      <w:r>
        <w:rPr>
          <w:u w:val="none"/>
        </w:rPr>
        <w:t xml:space="preserve"> </w:t>
      </w:r>
      <w:r>
        <w:rPr>
          <w:rStyle w:val="FootnoteReference"/>
          <w:b w:val="0"/>
          <w:bCs/>
          <w:u w:val="none"/>
          <w:vertAlign w:val="baseline"/>
        </w:rPr>
        <w:footnoteReference w:customMarkFollows="1" w:id="2"/>
        <w:t>**</w:t>
      </w:r>
      <w:r>
        <w:rPr>
          <w:u w:val="none"/>
        </w:rPr>
        <w:t xml:space="preserve"> </w:t>
      </w:r>
      <w:r>
        <w:rPr>
          <w:rStyle w:val="FootnoteReference"/>
          <w:b w:val="0"/>
          <w:bCs/>
          <w:u w:val="none"/>
          <w:vertAlign w:val="baseline"/>
        </w:rPr>
        <w:footnoteReference w:customMarkFollows="1" w:id="3"/>
        <w:t>***</w:t>
      </w:r>
      <w:r>
        <w:rPr>
          <w:u w:val="none"/>
        </w:rPr>
        <w:t xml:space="preserve"> </w:t>
      </w:r>
    </w:p>
    <w:p w:rsidR="00000000" w:rsidRDefault="00000000">
      <w:pPr>
        <w:ind w:left="520"/>
        <w:jc w:val="right"/>
      </w:pPr>
      <w:r>
        <w:rPr>
          <w:rFonts w:hint="eastAsia"/>
        </w:rPr>
        <w:t>[2005</w:t>
      </w:r>
      <w:r>
        <w:rPr>
          <w:rFonts w:hint="eastAsia"/>
        </w:rPr>
        <w:t>年</w:t>
      </w:r>
      <w:r>
        <w:rPr>
          <w:rFonts w:hint="eastAsia"/>
        </w:rPr>
        <w:t>9</w:t>
      </w:r>
      <w:r>
        <w:rPr>
          <w:rFonts w:hint="eastAsia"/>
        </w:rPr>
        <w:t>月</w:t>
      </w:r>
      <w:r>
        <w:rPr>
          <w:rFonts w:hint="eastAsia"/>
        </w:rPr>
        <w:t>28</w:t>
      </w:r>
      <w:r>
        <w:rPr>
          <w:rFonts w:hint="eastAsia"/>
        </w:rPr>
        <w:t>日</w:t>
      </w:r>
      <w:r>
        <w:rPr>
          <w:rFonts w:hint="eastAsia"/>
        </w:rPr>
        <w:t>]</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u w:val="single"/>
        </w:rPr>
        <w:t>章</w:t>
      </w:r>
      <w:r>
        <w:rPr>
          <w:kern w:val="24"/>
          <w:sz w:val="26"/>
          <w:u w:val="single"/>
        </w:rPr>
        <w:tab/>
      </w:r>
      <w:r>
        <w:rPr>
          <w:rFonts w:hint="eastAsia"/>
          <w:kern w:val="24"/>
          <w:sz w:val="26"/>
          <w:u w:val="single"/>
        </w:rPr>
        <w:t>次</w:t>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ind w:left="1030"/>
      </w:pPr>
      <w:r>
        <w:rPr>
          <w:rFonts w:hint="eastAsia"/>
          <w:lang w:val="en-GB"/>
        </w:rPr>
        <w:t>导</w:t>
      </w:r>
      <w:r>
        <w:rPr>
          <w:rFonts w:hint="eastAsia"/>
          <w:lang w:val="en-GB"/>
        </w:rPr>
        <w:t xml:space="preserve">  </w:t>
      </w:r>
      <w:r>
        <w:rPr>
          <w:rFonts w:hint="eastAsia"/>
          <w:lang w:val="en-GB"/>
        </w:rPr>
        <w:t>言</w:t>
      </w:r>
      <w:r>
        <w:t>...................</w:t>
      </w:r>
      <w:r>
        <w:tab/>
      </w:r>
      <w:r>
        <w:tab/>
      </w:r>
      <w:r>
        <w:tab/>
        <w:t>1</w:t>
      </w:r>
      <w:r>
        <w:tab/>
      </w:r>
      <w:r>
        <w:tab/>
        <w:t>3</w:t>
      </w:r>
    </w:p>
    <w:p w:rsidR="00000000" w:rsidRDefault="00000000">
      <w:pPr>
        <w:pStyle w:val="a9"/>
        <w:ind w:left="1030"/>
        <w:rPr>
          <w:lang w:val="en-GB"/>
        </w:rPr>
      </w:pPr>
      <w:r>
        <w:rPr>
          <w:rFonts w:hint="eastAsia"/>
          <w:lang w:val="en-GB"/>
        </w:rPr>
        <w:t>第二条</w:t>
      </w:r>
      <w:r>
        <w:rPr>
          <w:rFonts w:hint="eastAsia"/>
          <w:spacing w:val="-50"/>
          <w:lang w:val="en-GB"/>
        </w:rPr>
        <w:t>―</w:t>
      </w:r>
      <w:r>
        <w:rPr>
          <w:rFonts w:hint="eastAsia"/>
          <w:lang w:val="en-GB"/>
        </w:rPr>
        <w:t>―所承认的权利的实现</w:t>
      </w:r>
      <w:r>
        <w:tab/>
      </w:r>
      <w:r>
        <w:tab/>
        <w:t>2</w:t>
      </w:r>
      <w:r>
        <w:tab/>
        <w:t>-</w:t>
      </w:r>
      <w:r>
        <w:tab/>
        <w:t>34</w:t>
      </w:r>
      <w:r>
        <w:tab/>
        <w:t>3</w:t>
      </w:r>
    </w:p>
    <w:p w:rsidR="00000000" w:rsidRDefault="00000000">
      <w:pPr>
        <w:pStyle w:val="a9"/>
        <w:ind w:left="1030"/>
        <w:rPr>
          <w:lang w:val="en-GB"/>
        </w:rPr>
      </w:pPr>
      <w:r>
        <w:rPr>
          <w:rFonts w:hint="eastAsia"/>
          <w:lang w:val="en-GB"/>
        </w:rPr>
        <w:t>第三条</w:t>
      </w:r>
      <w:r>
        <w:rPr>
          <w:rFonts w:hint="eastAsia"/>
          <w:spacing w:val="-50"/>
          <w:lang w:val="en-GB"/>
        </w:rPr>
        <w:t>―</w:t>
      </w:r>
      <w:r>
        <w:rPr>
          <w:rFonts w:hint="eastAsia"/>
          <w:lang w:val="en-GB"/>
        </w:rPr>
        <w:t>―男女机会平等</w:t>
      </w:r>
      <w:r>
        <w:tab/>
      </w:r>
      <w:r>
        <w:tab/>
        <w:t>35</w:t>
      </w:r>
      <w:r>
        <w:tab/>
        <w:t>-</w:t>
      </w:r>
      <w:r>
        <w:tab/>
        <w:t>62</w:t>
      </w:r>
      <w:r>
        <w:tab/>
        <w:t>10</w:t>
      </w:r>
    </w:p>
    <w:p w:rsidR="00000000" w:rsidRDefault="00000000">
      <w:pPr>
        <w:pStyle w:val="a9"/>
        <w:ind w:left="1030"/>
        <w:rPr>
          <w:lang w:val="en-GB"/>
        </w:rPr>
      </w:pPr>
      <w:r>
        <w:rPr>
          <w:rFonts w:hint="eastAsia"/>
          <w:lang w:val="en-GB"/>
        </w:rPr>
        <w:t>第六条</w:t>
      </w:r>
      <w:r>
        <w:rPr>
          <w:rFonts w:hint="eastAsia"/>
          <w:spacing w:val="-50"/>
          <w:lang w:val="en-GB"/>
        </w:rPr>
        <w:t>―</w:t>
      </w:r>
      <w:r>
        <w:rPr>
          <w:rFonts w:hint="eastAsia"/>
          <w:lang w:val="en-GB"/>
        </w:rPr>
        <w:t>―工作权</w:t>
      </w:r>
      <w:r>
        <w:rPr>
          <w:lang w:val="en-GB"/>
        </w:rPr>
        <w:t>....</w:t>
      </w:r>
      <w:r>
        <w:tab/>
      </w:r>
      <w:r>
        <w:tab/>
        <w:t>63</w:t>
      </w:r>
      <w:r>
        <w:tab/>
        <w:t>-</w:t>
      </w:r>
      <w:r>
        <w:tab/>
        <w:t>122</w:t>
      </w:r>
      <w:r>
        <w:tab/>
        <w:t>15</w:t>
      </w:r>
    </w:p>
    <w:p w:rsidR="00000000" w:rsidRDefault="00000000">
      <w:pPr>
        <w:pStyle w:val="a9"/>
        <w:ind w:left="1030"/>
        <w:rPr>
          <w:lang w:val="en-GB"/>
        </w:rPr>
      </w:pPr>
      <w:r>
        <w:rPr>
          <w:rFonts w:hint="eastAsia"/>
          <w:lang w:val="en-GB"/>
        </w:rPr>
        <w:t>第七条</w:t>
      </w:r>
      <w:r>
        <w:rPr>
          <w:rFonts w:hint="eastAsia"/>
          <w:spacing w:val="-50"/>
          <w:lang w:val="en-GB"/>
        </w:rPr>
        <w:t>―</w:t>
      </w:r>
      <w:r>
        <w:rPr>
          <w:rFonts w:hint="eastAsia"/>
          <w:lang w:val="en-GB"/>
        </w:rPr>
        <w:t>―公正有利的工作条件</w:t>
      </w:r>
      <w:r>
        <w:tab/>
      </w:r>
      <w:r>
        <w:tab/>
        <w:t>123</w:t>
      </w:r>
      <w:r>
        <w:tab/>
        <w:t>-</w:t>
      </w:r>
      <w:r>
        <w:tab/>
        <w:t>170</w:t>
      </w:r>
      <w:r>
        <w:tab/>
        <w:t>25</w:t>
      </w:r>
    </w:p>
    <w:p w:rsidR="00000000" w:rsidRDefault="00000000">
      <w:pPr>
        <w:pStyle w:val="a9"/>
        <w:ind w:left="1030"/>
        <w:rPr>
          <w:lang w:val="fr-FR"/>
        </w:rPr>
      </w:pPr>
      <w:r>
        <w:rPr>
          <w:rFonts w:hint="eastAsia"/>
          <w:lang w:val="fr-FR"/>
        </w:rPr>
        <w:t>第八条</w:t>
      </w:r>
      <w:r>
        <w:rPr>
          <w:rFonts w:hint="eastAsia"/>
          <w:spacing w:val="-50"/>
          <w:lang w:val="fr-FR"/>
        </w:rPr>
        <w:t>―</w:t>
      </w:r>
      <w:r>
        <w:rPr>
          <w:rFonts w:hint="eastAsia"/>
          <w:lang w:val="fr-FR"/>
        </w:rPr>
        <w:t>―工会</w:t>
      </w:r>
      <w:r>
        <w:rPr>
          <w:lang w:val="fr-FR"/>
        </w:rPr>
        <w:t>.................</w:t>
      </w:r>
      <w:r>
        <w:tab/>
      </w:r>
      <w:r>
        <w:tab/>
        <w:t>171</w:t>
      </w:r>
      <w:r>
        <w:tab/>
        <w:t>-</w:t>
      </w:r>
      <w:r>
        <w:tab/>
        <w:t>184</w:t>
      </w:r>
      <w:r>
        <w:tab/>
        <w:t>34</w:t>
      </w:r>
    </w:p>
    <w:p w:rsidR="00000000" w:rsidRDefault="00000000">
      <w:pPr>
        <w:pStyle w:val="a9"/>
        <w:ind w:left="1030"/>
        <w:rPr>
          <w:lang w:val="fr-FR"/>
        </w:rPr>
      </w:pPr>
      <w:r>
        <w:rPr>
          <w:rFonts w:hint="eastAsia"/>
          <w:lang w:val="fr-FR"/>
        </w:rPr>
        <w:t>第九条</w:t>
      </w:r>
      <w:r>
        <w:rPr>
          <w:rFonts w:hint="eastAsia"/>
          <w:spacing w:val="-50"/>
          <w:lang w:val="fr-FR"/>
        </w:rPr>
        <w:t>―</w:t>
      </w:r>
      <w:r>
        <w:rPr>
          <w:rFonts w:hint="eastAsia"/>
          <w:lang w:val="fr-FR"/>
        </w:rPr>
        <w:t>―社会保障</w:t>
      </w:r>
      <w:r>
        <w:rPr>
          <w:lang w:val="fr-FR"/>
        </w:rPr>
        <w:t>..............</w:t>
      </w:r>
      <w:r>
        <w:tab/>
      </w:r>
      <w:r>
        <w:tab/>
        <w:t>185</w:t>
      </w:r>
      <w:r>
        <w:tab/>
        <w:t>-</w:t>
      </w:r>
      <w:r>
        <w:tab/>
        <w:t>254</w:t>
      </w:r>
      <w:r>
        <w:tab/>
        <w:t>36</w:t>
      </w:r>
    </w:p>
    <w:p w:rsidR="00000000" w:rsidRDefault="00000000">
      <w:pPr>
        <w:pStyle w:val="a9"/>
        <w:ind w:left="1030"/>
        <w:rPr>
          <w:rFonts w:hint="eastAsia"/>
        </w:rPr>
      </w:pPr>
      <w:r>
        <w:rPr>
          <w:rFonts w:hint="eastAsia"/>
        </w:rPr>
        <w:t>第十条</w:t>
      </w:r>
      <w:r>
        <w:rPr>
          <w:rFonts w:hint="eastAsia"/>
          <w:spacing w:val="-50"/>
        </w:rPr>
        <w:t>―</w:t>
      </w:r>
      <w:r>
        <w:rPr>
          <w:rFonts w:hint="eastAsia"/>
        </w:rPr>
        <w:t>―保护家庭、母亲和儿童</w:t>
      </w:r>
      <w:r>
        <w:tab/>
      </w:r>
      <w:r>
        <w:tab/>
        <w:t>255</w:t>
      </w:r>
      <w:r>
        <w:tab/>
        <w:t>-</w:t>
      </w:r>
      <w:r>
        <w:tab/>
        <w:t>336</w:t>
      </w:r>
      <w:r>
        <w:tab/>
        <w:t>50</w:t>
      </w:r>
    </w:p>
    <w:p w:rsidR="00000000" w:rsidRDefault="00000000">
      <w:pPr>
        <w:pStyle w:val="a9"/>
        <w:ind w:left="1030"/>
        <w:rPr>
          <w:rFonts w:hint="eastAsia"/>
          <w:lang w:val="fr-FR"/>
        </w:rPr>
      </w:pPr>
      <w:r>
        <w:rPr>
          <w:rFonts w:hint="eastAsia"/>
          <w:lang w:val="fr-FR"/>
        </w:rPr>
        <w:t>第十一条</w:t>
      </w:r>
      <w:r>
        <w:rPr>
          <w:rFonts w:hint="eastAsia"/>
          <w:spacing w:val="-50"/>
          <w:lang w:val="fr-FR"/>
        </w:rPr>
        <w:t>―</w:t>
      </w:r>
      <w:r>
        <w:rPr>
          <w:rFonts w:hint="eastAsia"/>
          <w:lang w:val="fr-FR"/>
        </w:rPr>
        <w:t>―适足生活水准权</w:t>
      </w:r>
      <w:r>
        <w:tab/>
      </w:r>
      <w:r>
        <w:tab/>
        <w:t>337</w:t>
      </w:r>
      <w:r>
        <w:tab/>
        <w:t>-</w:t>
      </w:r>
      <w:r>
        <w:tab/>
        <w:t>442</w:t>
      </w:r>
      <w:r>
        <w:tab/>
        <w:t>82</w:t>
      </w:r>
    </w:p>
    <w:p w:rsidR="00000000" w:rsidRDefault="00000000">
      <w:pPr>
        <w:pStyle w:val="a9"/>
        <w:tabs>
          <w:tab w:val="clear" w:pos="510"/>
          <w:tab w:val="clear" w:pos="1021"/>
          <w:tab w:val="left" w:pos="1040"/>
        </w:tabs>
        <w:ind w:left="1950" w:hanging="1430"/>
        <w:rPr>
          <w:rFonts w:hint="eastAsia"/>
        </w:rPr>
      </w:pPr>
      <w:r>
        <w:rPr>
          <w:rFonts w:hint="eastAsia"/>
        </w:rPr>
        <w:t>第十二条</w:t>
      </w:r>
      <w:r>
        <w:rPr>
          <w:rFonts w:hint="eastAsia"/>
          <w:spacing w:val="-50"/>
        </w:rPr>
        <w:t>―</w:t>
      </w:r>
      <w:r>
        <w:rPr>
          <w:rFonts w:hint="eastAsia"/>
        </w:rPr>
        <w:t>―享有能达到的最高的体质和心理</w:t>
      </w:r>
      <w:r>
        <w:br/>
      </w:r>
      <w:r>
        <w:rPr>
          <w:rFonts w:hint="eastAsia"/>
        </w:rPr>
        <w:t>健康的标准的权利</w:t>
      </w:r>
      <w:r>
        <w:tab/>
      </w:r>
      <w:r>
        <w:tab/>
        <w:t>443</w:t>
      </w:r>
      <w:r>
        <w:tab/>
        <w:t>-</w:t>
      </w:r>
      <w:r>
        <w:tab/>
        <w:t>573</w:t>
      </w:r>
      <w:r>
        <w:tab/>
        <w:t>85</w:t>
      </w:r>
    </w:p>
    <w:p w:rsidR="00000000" w:rsidRDefault="00000000">
      <w:pPr>
        <w:pStyle w:val="a9"/>
        <w:tabs>
          <w:tab w:val="clear" w:pos="510"/>
          <w:tab w:val="clear" w:pos="1021"/>
          <w:tab w:val="left" w:pos="1040"/>
        </w:tabs>
        <w:ind w:left="1950" w:hanging="1430"/>
        <w:rPr>
          <w:rFonts w:hint="eastAsia"/>
        </w:rPr>
      </w:pPr>
      <w:r>
        <w:rPr>
          <w:rFonts w:hint="eastAsia"/>
        </w:rPr>
        <w:t>第十三条</w:t>
      </w:r>
      <w:r>
        <w:rPr>
          <w:rFonts w:hint="eastAsia"/>
          <w:spacing w:val="-50"/>
        </w:rPr>
        <w:t>―</w:t>
      </w:r>
      <w:r>
        <w:rPr>
          <w:rFonts w:hint="eastAsia"/>
        </w:rPr>
        <w:t>―教育权</w:t>
      </w:r>
      <w:r>
        <w:tab/>
      </w:r>
      <w:r>
        <w:tab/>
        <w:t>574</w:t>
      </w:r>
      <w:r>
        <w:tab/>
        <w:t>-</w:t>
      </w:r>
      <w:r>
        <w:tab/>
        <w:t>642</w:t>
      </w:r>
      <w:r>
        <w:tab/>
        <w:t>114</w:t>
      </w:r>
    </w:p>
    <w:p w:rsidR="00000000" w:rsidRDefault="00000000">
      <w:pPr>
        <w:pStyle w:val="a9"/>
        <w:tabs>
          <w:tab w:val="clear" w:pos="510"/>
          <w:tab w:val="clear" w:pos="1021"/>
          <w:tab w:val="left" w:pos="1040"/>
        </w:tabs>
        <w:ind w:left="1950" w:hanging="1430"/>
        <w:rPr>
          <w:rFonts w:hint="eastAsia"/>
          <w:snapToGrid/>
        </w:rPr>
      </w:pPr>
      <w:r>
        <w:rPr>
          <w:rFonts w:hint="eastAsia"/>
          <w:snapToGrid/>
        </w:rPr>
        <w:t>第十四条</w:t>
      </w:r>
      <w:r>
        <w:rPr>
          <w:rFonts w:hint="eastAsia"/>
          <w:snapToGrid/>
          <w:spacing w:val="-50"/>
        </w:rPr>
        <w:t>―</w:t>
      </w:r>
      <w:r>
        <w:rPr>
          <w:rFonts w:hint="eastAsia"/>
          <w:snapToGrid/>
        </w:rPr>
        <w:t>―</w:t>
      </w:r>
      <w:r>
        <w:rPr>
          <w:rFonts w:hint="eastAsia"/>
        </w:rPr>
        <w:t>免费和义务初级教育</w:t>
      </w:r>
      <w:r>
        <w:tab/>
      </w:r>
      <w:r>
        <w:tab/>
      </w:r>
      <w:r>
        <w:tab/>
        <w:t>643</w:t>
      </w:r>
      <w:r>
        <w:tab/>
        <w:t>131</w:t>
      </w:r>
    </w:p>
    <w:p w:rsidR="00000000" w:rsidRDefault="00000000">
      <w:pPr>
        <w:pStyle w:val="a9"/>
        <w:tabs>
          <w:tab w:val="clear" w:pos="510"/>
          <w:tab w:val="clear" w:pos="1021"/>
          <w:tab w:val="left" w:pos="1040"/>
        </w:tabs>
        <w:ind w:left="1950" w:hanging="1430"/>
        <w:rPr>
          <w:rFonts w:hint="eastAsia"/>
        </w:rPr>
      </w:pPr>
      <w:r>
        <w:rPr>
          <w:rFonts w:hint="eastAsia"/>
          <w:lang w:val="fr-FR"/>
        </w:rPr>
        <w:t>第</w:t>
      </w:r>
      <w:r>
        <w:rPr>
          <w:rFonts w:hint="eastAsia"/>
        </w:rPr>
        <w:t>十五</w:t>
      </w:r>
      <w:r>
        <w:rPr>
          <w:rFonts w:hint="eastAsia"/>
          <w:lang w:val="fr-FR"/>
        </w:rPr>
        <w:t>条</w:t>
      </w:r>
      <w:r>
        <w:rPr>
          <w:rFonts w:hint="eastAsia"/>
          <w:spacing w:val="-50"/>
        </w:rPr>
        <w:t>―</w:t>
      </w:r>
      <w:r>
        <w:rPr>
          <w:rFonts w:hint="eastAsia"/>
        </w:rPr>
        <w:t>―</w:t>
      </w:r>
      <w:r>
        <w:rPr>
          <w:rFonts w:hint="eastAsia"/>
          <w:lang w:val="fr-FR"/>
        </w:rPr>
        <w:t>文化生活参加权、科学进步受益权以及版权作品所产生的精神物质利益受保护权</w:t>
      </w:r>
      <w:r>
        <w:t>..................</w:t>
      </w:r>
      <w:r>
        <w:tab/>
      </w:r>
      <w:r>
        <w:tab/>
        <w:t>644</w:t>
      </w:r>
      <w:r>
        <w:tab/>
        <w:t>-</w:t>
      </w:r>
      <w:r>
        <w:tab/>
        <w:t>756</w:t>
      </w:r>
      <w:r>
        <w:tab/>
        <w:t>131</w:t>
      </w:r>
    </w:p>
    <w:p w:rsidR="00000000" w:rsidRDefault="00000000">
      <w:pPr>
        <w:ind w:left="520"/>
        <w:rPr>
          <w:rFonts w:hint="eastAsia"/>
        </w:rPr>
      </w:pPr>
    </w:p>
    <w:p w:rsidR="00000000" w:rsidRDefault="00000000"/>
    <w:p w:rsidR="00000000" w:rsidRDefault="00000000"/>
    <w:p w:rsidR="00000000" w:rsidRDefault="00000000">
      <w:pPr>
        <w:pStyle w:val="Heading2"/>
        <w:rPr>
          <w:lang w:val="en-GB"/>
        </w:rPr>
      </w:pPr>
      <w:r>
        <w:br w:type="page"/>
      </w:r>
      <w:r>
        <w:rPr>
          <w:rFonts w:hint="eastAsia"/>
          <w:lang w:val="en-GB"/>
        </w:rPr>
        <w:t>导</w:t>
      </w:r>
      <w:r>
        <w:rPr>
          <w:rFonts w:hint="eastAsia"/>
          <w:lang w:val="en-GB"/>
        </w:rPr>
        <w:t xml:space="preserve">  </w:t>
      </w:r>
      <w:r>
        <w:rPr>
          <w:rFonts w:hint="eastAsia"/>
          <w:lang w:val="en-GB"/>
        </w:rPr>
        <w:t>言</w:t>
      </w:r>
    </w:p>
    <w:p w:rsidR="00000000" w:rsidRDefault="00000000">
      <w:pPr>
        <w:spacing w:after="320"/>
        <w:rPr>
          <w:rFonts w:hint="eastAsia"/>
          <w:lang w:val="en-GB"/>
        </w:rPr>
      </w:pPr>
      <w:r>
        <w:rPr>
          <w:lang w:val="en-GB"/>
        </w:rPr>
        <w:tab/>
        <w:t xml:space="preserve">1.  </w:t>
      </w:r>
      <w:r>
        <w:rPr>
          <w:rFonts w:hint="eastAsia"/>
          <w:lang w:val="en-GB"/>
        </w:rPr>
        <w:t>匈牙利共和国政府谨向经济、社会、文化权利委员会提交根据《经济、社会、文化权利国际公约》第十六条和十七条编写的第三次定期报告</w:t>
      </w:r>
      <w:r>
        <w:rPr>
          <w:rFonts w:hint="eastAsia"/>
          <w:lang w:val="en-GB"/>
        </w:rPr>
        <w:t>(</w:t>
      </w:r>
      <w:r>
        <w:rPr>
          <w:rFonts w:hint="eastAsia"/>
          <w:lang w:val="en-GB"/>
        </w:rPr>
        <w:t>下称：《公约》</w:t>
      </w:r>
      <w:r>
        <w:rPr>
          <w:rFonts w:hint="eastAsia"/>
          <w:lang w:val="en-GB"/>
        </w:rPr>
        <w:t>)</w:t>
      </w:r>
      <w:r>
        <w:rPr>
          <w:rFonts w:hint="eastAsia"/>
          <w:lang w:val="en-GB"/>
        </w:rPr>
        <w:t>。第三次定期报告本应于</w:t>
      </w:r>
      <w:r>
        <w:rPr>
          <w:rFonts w:hint="eastAsia"/>
          <w:lang w:val="en-GB"/>
        </w:rPr>
        <w:t>1994</w:t>
      </w:r>
      <w:r>
        <w:rPr>
          <w:rFonts w:hint="eastAsia"/>
          <w:lang w:val="en-GB"/>
        </w:rPr>
        <w:t>年</w:t>
      </w:r>
      <w:r>
        <w:rPr>
          <w:rFonts w:hint="eastAsia"/>
          <w:lang w:val="en-GB"/>
        </w:rPr>
        <w:t>6</w:t>
      </w:r>
      <w:r>
        <w:rPr>
          <w:rFonts w:hint="eastAsia"/>
          <w:lang w:val="en-GB"/>
        </w:rPr>
        <w:t>月</w:t>
      </w:r>
      <w:r>
        <w:rPr>
          <w:rFonts w:hint="eastAsia"/>
          <w:lang w:val="en-GB"/>
        </w:rPr>
        <w:t>30</w:t>
      </w:r>
      <w:r>
        <w:rPr>
          <w:rFonts w:hint="eastAsia"/>
          <w:lang w:val="en-GB"/>
        </w:rPr>
        <w:t>日提交，第四次定期报告本应于</w:t>
      </w:r>
      <w:r>
        <w:rPr>
          <w:rFonts w:hint="eastAsia"/>
          <w:lang w:val="en-GB"/>
        </w:rPr>
        <w:t>1999</w:t>
      </w:r>
      <w:r>
        <w:rPr>
          <w:rFonts w:hint="eastAsia"/>
          <w:lang w:val="en-GB"/>
        </w:rPr>
        <w:t>年</w:t>
      </w:r>
      <w:r>
        <w:rPr>
          <w:rFonts w:hint="eastAsia"/>
          <w:lang w:val="en-GB"/>
        </w:rPr>
        <w:t>6</w:t>
      </w:r>
      <w:r>
        <w:rPr>
          <w:rFonts w:hint="eastAsia"/>
          <w:lang w:val="en-GB"/>
        </w:rPr>
        <w:t>月</w:t>
      </w:r>
      <w:r>
        <w:rPr>
          <w:rFonts w:hint="eastAsia"/>
          <w:lang w:val="en-GB"/>
        </w:rPr>
        <w:t>30</w:t>
      </w:r>
      <w:r>
        <w:rPr>
          <w:rFonts w:hint="eastAsia"/>
          <w:lang w:val="en-GB"/>
        </w:rPr>
        <w:t>日提交。因此，本报告是匈牙利共和国第三次和第四次定期报告的合并报告，所涉时间是</w:t>
      </w:r>
      <w:r>
        <w:rPr>
          <w:rFonts w:hint="eastAsia"/>
          <w:lang w:val="en-GB"/>
        </w:rPr>
        <w:t>1992</w:t>
      </w:r>
      <w:r>
        <w:rPr>
          <w:rFonts w:hint="eastAsia"/>
          <w:lang w:val="en-GB"/>
        </w:rPr>
        <w:t>年至</w:t>
      </w:r>
      <w:r>
        <w:rPr>
          <w:rFonts w:hint="eastAsia"/>
          <w:lang w:val="en-GB"/>
        </w:rPr>
        <w:t>2005</w:t>
      </w:r>
      <w:r>
        <w:rPr>
          <w:rFonts w:hint="eastAsia"/>
          <w:lang w:val="en-GB"/>
        </w:rPr>
        <w:t>年。涉及具体条款的统计数据另列于附件一。</w:t>
      </w:r>
    </w:p>
    <w:p w:rsidR="00000000" w:rsidRDefault="00000000">
      <w:pPr>
        <w:pStyle w:val="Heading2"/>
        <w:rPr>
          <w:lang w:val="en-GB"/>
        </w:rPr>
      </w:pPr>
      <w:bookmarkStart w:id="0" w:name="_Toc111981019"/>
      <w:bookmarkStart w:id="1" w:name="_Toc112060394"/>
      <w:bookmarkStart w:id="2" w:name="_Toc112069834"/>
      <w:bookmarkStart w:id="3" w:name="_Toc112147240"/>
      <w:bookmarkStart w:id="4" w:name="_Toc112155026"/>
      <w:bookmarkStart w:id="5" w:name="_Toc114315262"/>
      <w:bookmarkStart w:id="6" w:name="_Toc114315366"/>
      <w:bookmarkStart w:id="7" w:name="_Toc114399137"/>
      <w:bookmarkStart w:id="8" w:name="_Toc114561126"/>
      <w:bookmarkStart w:id="9" w:name="_Toc114572592"/>
      <w:bookmarkStart w:id="10" w:name="_Toc114572782"/>
      <w:bookmarkStart w:id="11" w:name="_Toc114573464"/>
      <w:bookmarkStart w:id="12" w:name="_Toc114574762"/>
      <w:bookmarkStart w:id="13" w:name="_Toc114574868"/>
      <w:bookmarkStart w:id="14" w:name="_Toc115668295"/>
      <w:r>
        <w:rPr>
          <w:rFonts w:hint="eastAsia"/>
          <w:lang w:val="en-GB"/>
        </w:rPr>
        <w:t>第二条</w:t>
      </w:r>
      <w:r>
        <w:rPr>
          <w:rFonts w:hint="eastAsia"/>
          <w:spacing w:val="-50"/>
          <w:lang w:val="en-GB"/>
        </w:rPr>
        <w:t>―</w:t>
      </w:r>
      <w:r>
        <w:rPr>
          <w:rFonts w:hint="eastAsia"/>
          <w:lang w:val="en-GB"/>
        </w:rPr>
        <w:t>―所承认的权利的实现</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rsidR="00000000" w:rsidRDefault="00000000">
      <w:pPr>
        <w:rPr>
          <w:rFonts w:hint="eastAsia"/>
          <w:lang w:val="en-GB"/>
        </w:rPr>
      </w:pPr>
      <w:r>
        <w:rPr>
          <w:lang w:val="en-GB"/>
        </w:rPr>
        <w:tab/>
        <w:t xml:space="preserve">2.  </w:t>
      </w:r>
      <w:r>
        <w:rPr>
          <w:rFonts w:hint="eastAsia"/>
          <w:lang w:val="en-GB"/>
        </w:rPr>
        <w:t>《宪法》第七条第一款</w:t>
      </w:r>
      <w:r>
        <w:rPr>
          <w:rFonts w:hint="eastAsia"/>
          <w:lang w:val="en-GB"/>
        </w:rPr>
        <w:t>(</w:t>
      </w:r>
      <w:r>
        <w:rPr>
          <w:rFonts w:hint="eastAsia"/>
          <w:lang w:val="en-GB"/>
        </w:rPr>
        <w:t>见附件二</w:t>
      </w:r>
      <w:r>
        <w:rPr>
          <w:rFonts w:hint="eastAsia"/>
          <w:lang w:val="en-GB"/>
        </w:rPr>
        <w:t>)</w:t>
      </w:r>
      <w:r>
        <w:rPr>
          <w:rFonts w:hint="eastAsia"/>
          <w:lang w:val="en-GB"/>
        </w:rPr>
        <w:t>宣布匈牙利共和国的法律制度接受公认的国际法原则，应将匈牙利的国内法与国际法下承担的义务协调起来。</w:t>
      </w:r>
    </w:p>
    <w:p w:rsidR="00000000" w:rsidRDefault="00000000">
      <w:pPr>
        <w:rPr>
          <w:rFonts w:hint="eastAsia"/>
          <w:lang w:val="en-GB"/>
        </w:rPr>
      </w:pPr>
      <w:r>
        <w:rPr>
          <w:lang w:val="en-GB"/>
        </w:rPr>
        <w:tab/>
        <w:t xml:space="preserve">3.  </w:t>
      </w:r>
      <w:r>
        <w:rPr>
          <w:rFonts w:hint="eastAsia"/>
          <w:lang w:val="en-GB"/>
        </w:rPr>
        <w:t>该条款的措辞并没有明确规定将国际法置于匈牙利的法律体系之中，也没有确定国际法国内法的高低级别。宪法法院的研究了国际条约和国内法律条款的关系之后，规定了一种三级关系制</w:t>
      </w:r>
      <w:r>
        <w:rPr>
          <w:lang w:val="en-GB"/>
        </w:rPr>
        <w:t xml:space="preserve">[53/1993 (X. 13.) </w:t>
      </w:r>
      <w:r>
        <w:rPr>
          <w:lang w:val="de-DE"/>
        </w:rPr>
        <w:t>宪法法院</w:t>
      </w:r>
      <w:r>
        <w:rPr>
          <w:rFonts w:hint="eastAsia"/>
          <w:lang w:val="en-GB"/>
        </w:rPr>
        <w:t>裁决</w:t>
      </w:r>
      <w:r>
        <w:rPr>
          <w:lang w:val="de-DE"/>
        </w:rPr>
        <w:t>，</w:t>
      </w:r>
      <w:r>
        <w:rPr>
          <w:lang w:val="de-DE"/>
        </w:rPr>
        <w:t>ABH 1993, 327.</w:t>
      </w:r>
      <w:r>
        <w:rPr>
          <w:lang w:val="en-GB"/>
        </w:rPr>
        <w:t>]</w:t>
      </w:r>
      <w:r>
        <w:rPr>
          <w:rFonts w:hint="eastAsia"/>
          <w:lang w:val="en-GB"/>
        </w:rPr>
        <w:t>。按此规定，《宪法》作为基本法高于其他一切法律，国内法宣布生效的国际条约处于《宪法》和其他法律之间</w:t>
      </w:r>
      <w:r>
        <w:rPr>
          <w:rFonts w:hint="eastAsia"/>
          <w:lang w:val="en-GB"/>
        </w:rPr>
        <w:t>(</w:t>
      </w:r>
      <w:r>
        <w:rPr>
          <w:rFonts w:hint="eastAsia"/>
          <w:lang w:val="en-GB"/>
        </w:rPr>
        <w:t>也包括法令</w:t>
      </w:r>
      <w:r>
        <w:rPr>
          <w:rFonts w:hint="eastAsia"/>
          <w:lang w:val="en-GB"/>
        </w:rPr>
        <w:t>)</w:t>
      </w:r>
      <w:r>
        <w:rPr>
          <w:rFonts w:hint="eastAsia"/>
          <w:lang w:val="en-GB"/>
        </w:rPr>
        <w:t>。因此，如果一项国际条约</w:t>
      </w:r>
      <w:r>
        <w:rPr>
          <w:rFonts w:hint="eastAsia"/>
          <w:lang w:val="en-GB"/>
        </w:rPr>
        <w:t>(</w:t>
      </w:r>
      <w:r>
        <w:rPr>
          <w:rFonts w:hint="eastAsia"/>
          <w:lang w:val="en-GB"/>
        </w:rPr>
        <w:t>如这里涉及的《公约》</w:t>
      </w:r>
      <w:r>
        <w:rPr>
          <w:rFonts w:hint="eastAsia"/>
          <w:lang w:val="en-GB"/>
        </w:rPr>
        <w:t>)</w:t>
      </w:r>
      <w:r>
        <w:rPr>
          <w:rFonts w:hint="eastAsia"/>
          <w:lang w:val="en-GB"/>
        </w:rPr>
        <w:t>与法源等级上低于国际条约的一项法律规定发生抵触，则优先适用国际条约</w:t>
      </w:r>
      <w:r>
        <w:rPr>
          <w:rFonts w:hint="eastAsia"/>
          <w:szCs w:val="24"/>
          <w:lang w:val="en-GB"/>
        </w:rPr>
        <w:t>。如果两个等级相同的法律准则发生抵触</w:t>
      </w:r>
      <w:r>
        <w:rPr>
          <w:rFonts w:hint="eastAsia"/>
          <w:szCs w:val="24"/>
          <w:lang w:val="en-GB"/>
        </w:rPr>
        <w:t>(</w:t>
      </w:r>
      <w:r>
        <w:rPr>
          <w:rFonts w:hint="eastAsia"/>
          <w:szCs w:val="24"/>
          <w:lang w:val="en-GB"/>
        </w:rPr>
        <w:t>这里可涉及一项法案和法令</w:t>
      </w:r>
      <w:r>
        <w:rPr>
          <w:rFonts w:hint="eastAsia"/>
          <w:szCs w:val="24"/>
          <w:lang w:val="en-GB"/>
        </w:rPr>
        <w:t>)</w:t>
      </w:r>
      <w:r>
        <w:rPr>
          <w:rFonts w:hint="eastAsia"/>
          <w:szCs w:val="24"/>
          <w:lang w:val="en-GB"/>
        </w:rPr>
        <w:t>，国际条约仍应该优先适用。</w:t>
      </w:r>
    </w:p>
    <w:p w:rsidR="00000000" w:rsidRDefault="00000000">
      <w:r>
        <w:rPr>
          <w:lang w:val="en-GB"/>
        </w:rPr>
        <w:tab/>
        <w:t xml:space="preserve">4.  </w:t>
      </w:r>
      <w:r>
        <w:rPr>
          <w:rFonts w:hint="eastAsia"/>
          <w:lang w:val="en-GB"/>
        </w:rPr>
        <w:t>匈牙利的法律体制有两种按宪法核查国际条约的办法。</w:t>
      </w:r>
      <w:r>
        <w:rPr>
          <w:rFonts w:hint="eastAsia"/>
          <w:lang w:val="en-GB"/>
        </w:rPr>
        <w:t>1989</w:t>
      </w:r>
      <w:r>
        <w:rPr>
          <w:rFonts w:hint="eastAsia"/>
          <w:lang w:val="en-GB"/>
        </w:rPr>
        <w:t>年关于宪法法院的第</w:t>
      </w:r>
      <w:r>
        <w:rPr>
          <w:rFonts w:hint="eastAsia"/>
          <w:lang w:val="en-GB"/>
        </w:rPr>
        <w:t>32</w:t>
      </w:r>
      <w:r>
        <w:rPr>
          <w:rFonts w:hint="eastAsia"/>
          <w:lang w:val="en-GB"/>
        </w:rPr>
        <w:t>号法令</w:t>
      </w:r>
      <w:r>
        <w:rPr>
          <w:lang w:val="en-GB"/>
        </w:rPr>
        <w:t>a)</w:t>
      </w:r>
      <w:r>
        <w:rPr>
          <w:rFonts w:hint="eastAsia"/>
          <w:lang w:val="en-GB"/>
        </w:rPr>
        <w:t>分节第一条规定：“宪法法院应对已经通过但尚未宣布生效的国际条约的条款是否符合宪法问题进行核查。”法令对可以启动事前宪法核查的人员的范围有限制，只有匈牙利共和国总统和政府才有此授权</w:t>
      </w:r>
      <w:r>
        <w:rPr>
          <w:lang w:val="en-GB"/>
        </w:rPr>
        <w:t>(</w:t>
      </w:r>
      <w:r>
        <w:rPr>
          <w:rFonts w:hint="eastAsia"/>
          <w:lang w:val="en-GB"/>
        </w:rPr>
        <w:t>上述法令的第</w:t>
      </w:r>
      <w:r>
        <w:rPr>
          <w:lang w:val="en-GB"/>
        </w:rPr>
        <w:t>21</w:t>
      </w:r>
      <w:r>
        <w:rPr>
          <w:rFonts w:hint="eastAsia"/>
          <w:lang w:val="en-GB"/>
        </w:rPr>
        <w:t>条第</w:t>
      </w:r>
      <w:r>
        <w:rPr>
          <w:lang w:val="en-GB"/>
        </w:rPr>
        <w:t>1</w:t>
      </w:r>
      <w:r>
        <w:rPr>
          <w:rFonts w:hint="eastAsia"/>
          <w:lang w:val="en-GB"/>
        </w:rPr>
        <w:t>款</w:t>
      </w:r>
      <w:r>
        <w:rPr>
          <w:lang w:val="en-GB"/>
        </w:rPr>
        <w:t>)</w:t>
      </w:r>
      <w:r>
        <w:rPr>
          <w:rFonts w:hint="eastAsia"/>
          <w:lang w:val="en-GB"/>
        </w:rPr>
        <w:t>。</w:t>
      </w:r>
    </w:p>
    <w:p w:rsidR="00000000" w:rsidRDefault="00000000">
      <w:r>
        <w:tab/>
        <w:t xml:space="preserve">5.  </w:t>
      </w:r>
      <w:r>
        <w:t>事后对已宣布生效的双边国际条约进行核查的范围已由宪法法院的实践加以解决。因此，宪法法院如果裁定一项国际条约全部或者部分不符合宪法，就会声明宣布该国际条约生效的法令违反宪法。这不影响匈牙利共和国所承担的国际义务。遇此情形，立法部门应对国际条约或《宪法》作出修改，解决国际法和国内法的抵触问题</w:t>
      </w:r>
      <w:r>
        <w:rPr>
          <w:lang w:val="en-GB"/>
        </w:rPr>
        <w:t xml:space="preserve">[4/1997. </w:t>
      </w:r>
      <w:r>
        <w:rPr>
          <w:lang w:val="de-DE"/>
        </w:rPr>
        <w:t xml:space="preserve">(I. 22.) </w:t>
      </w:r>
      <w:r>
        <w:rPr>
          <w:lang w:val="de-DE"/>
        </w:rPr>
        <w:t>宪法法院</w:t>
      </w:r>
      <w:r>
        <w:rPr>
          <w:rFonts w:hint="eastAsia"/>
          <w:lang w:val="de-DE"/>
        </w:rPr>
        <w:t>裁决</w:t>
      </w:r>
      <w:r>
        <w:rPr>
          <w:lang w:val="de-DE"/>
        </w:rPr>
        <w:t>，</w:t>
      </w:r>
      <w:r>
        <w:rPr>
          <w:lang w:val="de-DE"/>
        </w:rPr>
        <w:t>ABH 1997, 41.</w:t>
      </w:r>
      <w:r>
        <w:rPr>
          <w:lang w:val="en-GB"/>
        </w:rPr>
        <w:t>]</w:t>
      </w:r>
      <w:r>
        <w:t>。与事前宪法核查相比，事后对国际条约的核查可以由任何人发起，就像事后核查法令及其他国家指导法律文书一样</w:t>
      </w:r>
      <w:r>
        <w:rPr>
          <w:lang w:val="en-GB"/>
        </w:rPr>
        <w:t>(</w:t>
      </w:r>
      <w:r>
        <w:rPr>
          <w:rFonts w:hint="eastAsia"/>
          <w:lang w:val="en-GB"/>
        </w:rPr>
        <w:t>上述法令第</w:t>
      </w:r>
      <w:r>
        <w:rPr>
          <w:rFonts w:hint="eastAsia"/>
          <w:lang w:val="en-GB"/>
        </w:rPr>
        <w:t>21</w:t>
      </w:r>
      <w:r>
        <w:rPr>
          <w:rFonts w:hint="eastAsia"/>
          <w:lang w:val="en-GB"/>
        </w:rPr>
        <w:t>条第</w:t>
      </w:r>
      <w:r>
        <w:rPr>
          <w:lang w:val="en-GB"/>
        </w:rPr>
        <w:t>2</w:t>
      </w:r>
      <w:r>
        <w:rPr>
          <w:rFonts w:hint="eastAsia"/>
          <w:lang w:val="en-GB"/>
        </w:rPr>
        <w:t>款</w:t>
      </w:r>
      <w:r>
        <w:rPr>
          <w:lang w:val="en-GB"/>
        </w:rPr>
        <w:t>)</w:t>
      </w:r>
      <w:r>
        <w:rPr>
          <w:rFonts w:hint="eastAsia"/>
          <w:lang w:val="en-GB"/>
        </w:rPr>
        <w:t>。</w:t>
      </w:r>
    </w:p>
    <w:p w:rsidR="00000000" w:rsidRDefault="00000000">
      <w:r>
        <w:rPr>
          <w:lang w:val="en-GB"/>
        </w:rPr>
        <w:tab/>
        <w:t xml:space="preserve">6.  </w:t>
      </w:r>
      <w:r>
        <w:rPr>
          <w:rFonts w:hint="eastAsia"/>
          <w:lang w:val="en-GB"/>
        </w:rPr>
        <w:t>至于匈牙利法院适用《公约》条款的问题，必须指出，匈牙利的司法实践很少提到国际条约。综合性的人权公约尤其如此，因为其中规定的权利一般也受到国内法的保护</w:t>
      </w:r>
      <w:r>
        <w:rPr>
          <w:lang w:val="en-GB"/>
        </w:rPr>
        <w:t>[</w:t>
      </w:r>
      <w:r>
        <w:rPr>
          <w:rFonts w:hint="eastAsia"/>
        </w:rPr>
        <w:t>即受到宪法或者</w:t>
      </w:r>
      <w:r>
        <w:t>1959</w:t>
      </w:r>
      <w:r>
        <w:rPr>
          <w:rFonts w:hint="eastAsia"/>
        </w:rPr>
        <w:t>年关于民法的第四号法令</w:t>
      </w:r>
      <w:r>
        <w:rPr>
          <w:rFonts w:hint="eastAsia"/>
        </w:rPr>
        <w:t>(</w:t>
      </w:r>
      <w:r>
        <w:rPr>
          <w:rFonts w:hint="eastAsia"/>
        </w:rPr>
        <w:t>关于涉及人和知识产权的权利</w:t>
      </w:r>
      <w:r>
        <w:rPr>
          <w:rFonts w:hint="eastAsia"/>
        </w:rPr>
        <w:t>)</w:t>
      </w:r>
      <w:r>
        <w:rPr>
          <w:rFonts w:hint="eastAsia"/>
        </w:rPr>
        <w:t>的第七章的保护</w:t>
      </w:r>
      <w:r>
        <w:rPr>
          <w:lang w:val="en-GB"/>
        </w:rPr>
        <w:t>]</w:t>
      </w:r>
      <w:r>
        <w:rPr>
          <w:rFonts w:hint="eastAsia"/>
          <w:lang w:val="en-GB"/>
        </w:rPr>
        <w:t>。</w:t>
      </w:r>
    </w:p>
    <w:p w:rsidR="00000000" w:rsidRDefault="00000000">
      <w:pPr>
        <w:rPr>
          <w:rFonts w:hint="eastAsia"/>
          <w:lang w:val="en-GB"/>
        </w:rPr>
      </w:pPr>
      <w:r>
        <w:rPr>
          <w:lang w:val="en-GB"/>
        </w:rPr>
        <w:tab/>
        <w:t xml:space="preserve">7.  </w:t>
      </w:r>
      <w:r>
        <w:rPr>
          <w:rFonts w:hint="eastAsia"/>
          <w:lang w:val="en-GB"/>
        </w:rPr>
        <w:t>根据上述情况必定能够得出结论认为，匈牙利的司法实践很少提到国际条约，其中包括《公约》。</w:t>
      </w:r>
    </w:p>
    <w:p w:rsidR="00000000" w:rsidRDefault="00000000">
      <w:pPr>
        <w:rPr>
          <w:rFonts w:hint="eastAsia"/>
          <w:lang w:val="en-GB"/>
        </w:rPr>
      </w:pPr>
      <w:r>
        <w:rPr>
          <w:lang w:val="en-GB"/>
        </w:rPr>
        <w:tab/>
        <w:t xml:space="preserve">8.  </w:t>
      </w:r>
      <w:r>
        <w:rPr>
          <w:rFonts w:hint="eastAsia"/>
          <w:lang w:val="en-GB"/>
        </w:rPr>
        <w:t>如果《公约》保障的权利遭到侵犯时，《宪法》有规定确保予以法律补救。《宪法》第</w:t>
      </w:r>
      <w:r>
        <w:rPr>
          <w:rFonts w:hint="eastAsia"/>
          <w:lang w:val="en-GB"/>
        </w:rPr>
        <w:t>50</w:t>
      </w:r>
      <w:r>
        <w:rPr>
          <w:rFonts w:hint="eastAsia"/>
          <w:lang w:val="en-GB"/>
        </w:rPr>
        <w:t>条第一和第二款规定，匈牙利共和国法院保护、维持宪法秩序以及自然人、法人和未被承认为自治组织的组织的权利和合法利益，“法院应审查公共行政决定是否合法”。《宪法》第</w:t>
      </w:r>
      <w:r>
        <w:rPr>
          <w:rFonts w:hint="eastAsia"/>
          <w:lang w:val="en-GB"/>
        </w:rPr>
        <w:t>57</w:t>
      </w:r>
      <w:r>
        <w:rPr>
          <w:rFonts w:hint="eastAsia"/>
          <w:lang w:val="en-GB"/>
        </w:rPr>
        <w:t>条第一款规定：“在匈牙利共和国，人人……都有权请求依法建立的独立公正的法院通过公正公开的审讯确定自己在法律诉讼中的权利和义务。”第十二章列举的基本权利和义务在第</w:t>
      </w:r>
      <w:r>
        <w:rPr>
          <w:rFonts w:hint="eastAsia"/>
          <w:lang w:val="en-GB"/>
        </w:rPr>
        <w:t>57</w:t>
      </w:r>
      <w:r>
        <w:rPr>
          <w:rFonts w:hint="eastAsia"/>
          <w:lang w:val="en-GB"/>
        </w:rPr>
        <w:t>条第一款下提及的那些权利和义务的范围之内。因此，《宪法》保障可能给予的法律补救。</w:t>
      </w:r>
    </w:p>
    <w:p w:rsidR="00000000" w:rsidRDefault="00000000">
      <w:pPr>
        <w:rPr>
          <w:lang w:val="en-GB"/>
        </w:rPr>
      </w:pPr>
      <w:r>
        <w:rPr>
          <w:lang w:val="en-GB"/>
        </w:rPr>
        <w:tab/>
        <w:t xml:space="preserve">9.  </w:t>
      </w:r>
      <w:r>
        <w:rPr>
          <w:rFonts w:hint="eastAsia"/>
          <w:lang w:val="en-GB"/>
        </w:rPr>
        <w:t>除《宪法》之外，具体的法令也保障给予法律补救的可能性。</w:t>
      </w:r>
      <w:r>
        <w:rPr>
          <w:rFonts w:hint="eastAsia"/>
          <w:lang w:val="en-GB"/>
        </w:rPr>
        <w:t>(</w:t>
      </w:r>
      <w:r>
        <w:rPr>
          <w:rFonts w:hint="eastAsia"/>
          <w:lang w:val="en-GB"/>
        </w:rPr>
        <w:t>关于涉及人和知识产权的权利的</w:t>
      </w:r>
      <w:r>
        <w:rPr>
          <w:lang w:val="en-GB"/>
        </w:rPr>
        <w:t>)</w:t>
      </w:r>
      <w:r>
        <w:rPr>
          <w:rFonts w:hint="eastAsia"/>
          <w:lang w:val="en-GB"/>
        </w:rPr>
        <w:t>第十二章或《民法》保障的权利如遭到侵犯，也可以提起民事赔偿诉讼</w:t>
      </w:r>
      <w:r>
        <w:rPr>
          <w:lang w:val="en-GB"/>
        </w:rPr>
        <w:t>(</w:t>
      </w:r>
      <w:r>
        <w:rPr>
          <w:rFonts w:hint="eastAsia"/>
          <w:lang w:val="en-GB"/>
        </w:rPr>
        <w:t>《民法》第</w:t>
      </w:r>
      <w:r>
        <w:rPr>
          <w:rFonts w:hint="eastAsia"/>
          <w:lang w:val="en-GB"/>
        </w:rPr>
        <w:t>84</w:t>
      </w:r>
      <w:r>
        <w:rPr>
          <w:rFonts w:hint="eastAsia"/>
          <w:lang w:val="en-GB"/>
        </w:rPr>
        <w:t>条第一款</w:t>
      </w:r>
      <w:r>
        <w:rPr>
          <w:lang w:val="en-GB"/>
        </w:rPr>
        <w:t>)</w:t>
      </w:r>
      <w:r>
        <w:rPr>
          <w:rFonts w:hint="eastAsia"/>
          <w:lang w:val="en-GB"/>
        </w:rPr>
        <w:t>。上述条款</w:t>
      </w:r>
      <w:r>
        <w:rPr>
          <w:lang w:val="en-GB"/>
        </w:rPr>
        <w:t>a)</w:t>
      </w:r>
      <w:r>
        <w:rPr>
          <w:rFonts w:hint="eastAsia"/>
          <w:lang w:val="en-GB"/>
        </w:rPr>
        <w:t>至</w:t>
      </w:r>
      <w:r>
        <w:rPr>
          <w:lang w:val="en-GB"/>
        </w:rPr>
        <w:t xml:space="preserve"> e)</w:t>
      </w:r>
      <w:r>
        <w:rPr>
          <w:rFonts w:hint="eastAsia"/>
          <w:lang w:val="en-GB"/>
        </w:rPr>
        <w:t>分项具体规定了受害方可以提出的赔偿要求。</w:t>
      </w:r>
    </w:p>
    <w:p w:rsidR="00000000" w:rsidRDefault="00000000">
      <w:pPr>
        <w:spacing w:after="240"/>
        <w:rPr>
          <w:lang w:val="en-GB"/>
        </w:rPr>
      </w:pPr>
      <w:r>
        <w:rPr>
          <w:lang w:val="en-GB"/>
        </w:rPr>
        <w:tab/>
        <w:t xml:space="preserve">10.  </w:t>
      </w:r>
      <w:r>
        <w:rPr>
          <w:rFonts w:hint="eastAsia"/>
          <w:lang w:val="en-GB"/>
        </w:rPr>
        <w:t>联合国《经济、社会、文化权利国际公约》</w:t>
      </w:r>
      <w:r>
        <w:rPr>
          <w:rFonts w:hint="eastAsia"/>
          <w:lang w:val="en-GB"/>
        </w:rPr>
        <w:t>(</w:t>
      </w:r>
      <w:r>
        <w:rPr>
          <w:rFonts w:hint="eastAsia"/>
          <w:lang w:val="en-GB"/>
        </w:rPr>
        <w:t>下称：《公约》</w:t>
      </w:r>
      <w:r>
        <w:rPr>
          <w:rFonts w:hint="eastAsia"/>
          <w:lang w:val="en-GB"/>
        </w:rPr>
        <w:t>)</w:t>
      </w:r>
      <w:r>
        <w:rPr>
          <w:rFonts w:hint="eastAsia"/>
          <w:lang w:val="en-GB"/>
        </w:rPr>
        <w:t>保障的、也受到匈牙利法律保护的权利可分为两组：只保障公民享受的权利和保障公民和非公民均可享受的权利。</w:t>
      </w:r>
    </w:p>
    <w:tbl>
      <w:tblPr>
        <w:tblW w:w="936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B7" w:firstRow="1" w:lastRow="0" w:firstColumn="1" w:lastColumn="0" w:noHBand="0" w:noVBand="0"/>
      </w:tblPr>
      <w:tblGrid>
        <w:gridCol w:w="4680"/>
        <w:gridCol w:w="4680"/>
      </w:tblGrid>
      <w:tr w:rsidR="00000000">
        <w:tblPrEx>
          <w:tblCellMar>
            <w:top w:w="0" w:type="dxa"/>
            <w:bottom w:w="0" w:type="dxa"/>
          </w:tblCellMar>
        </w:tblPrEx>
        <w:tc>
          <w:tcPr>
            <w:tcW w:w="4680" w:type="dxa"/>
          </w:tcPr>
          <w:p w:rsidR="00000000" w:rsidRDefault="00000000">
            <w:pPr>
              <w:pStyle w:val="a2"/>
              <w:pageBreakBefore/>
              <w:spacing w:before="60" w:after="60"/>
              <w:ind w:right="113"/>
              <w:jc w:val="center"/>
              <w:rPr>
                <w:rFonts w:ascii="Time New Roman" w:eastAsia="SimHei" w:hAnsi="Time New Roman"/>
                <w:sz w:val="22"/>
                <w:lang w:val="en-GB"/>
              </w:rPr>
            </w:pPr>
            <w:r>
              <w:rPr>
                <w:lang w:val="en-GB"/>
              </w:rPr>
              <w:br w:type="page"/>
            </w:r>
            <w:r>
              <w:rPr>
                <w:rFonts w:ascii="Time New Roman" w:eastAsia="SimHei" w:hAnsi="Time New Roman" w:hint="eastAsia"/>
                <w:sz w:val="22"/>
                <w:lang w:val="en-GB"/>
              </w:rPr>
              <w:t>只保障公民享受的权利</w:t>
            </w:r>
          </w:p>
        </w:tc>
        <w:tc>
          <w:tcPr>
            <w:tcW w:w="4680" w:type="dxa"/>
          </w:tcPr>
          <w:p w:rsidR="00000000" w:rsidRDefault="00000000">
            <w:pPr>
              <w:pStyle w:val="a2"/>
              <w:pageBreakBefore/>
              <w:spacing w:before="60" w:after="60"/>
              <w:ind w:left="113"/>
              <w:jc w:val="center"/>
              <w:rPr>
                <w:rFonts w:ascii="Time New Roman" w:eastAsia="SimHei" w:hAnsi="Time New Roman"/>
                <w:sz w:val="22"/>
                <w:lang w:val="en-GB"/>
              </w:rPr>
            </w:pPr>
            <w:r>
              <w:rPr>
                <w:rFonts w:ascii="Time New Roman" w:eastAsia="SimHei" w:hAnsi="Time New Roman" w:hint="eastAsia"/>
                <w:sz w:val="22"/>
                <w:lang w:val="en-GB"/>
              </w:rPr>
              <w:t>保障公民和非公民均可享受的权利</w:t>
            </w:r>
          </w:p>
        </w:tc>
      </w:tr>
      <w:tr w:rsidR="00000000">
        <w:tblPrEx>
          <w:tblCellMar>
            <w:top w:w="0" w:type="dxa"/>
            <w:bottom w:w="0" w:type="dxa"/>
          </w:tblCellMar>
        </w:tblPrEx>
        <w:tc>
          <w:tcPr>
            <w:tcW w:w="4680" w:type="dxa"/>
            <w:vAlign w:val="center"/>
          </w:tcPr>
          <w:p w:rsidR="00000000" w:rsidRDefault="00000000">
            <w:pPr>
              <w:pStyle w:val="a2"/>
              <w:ind w:right="113"/>
              <w:rPr>
                <w:rFonts w:hint="eastAsia"/>
                <w:sz w:val="22"/>
                <w:lang w:val="en-GB"/>
              </w:rPr>
            </w:pPr>
            <w:r>
              <w:rPr>
                <w:sz w:val="22"/>
                <w:lang w:val="en-GB"/>
              </w:rPr>
              <w:t xml:space="preserve">1.) </w:t>
            </w:r>
            <w:r>
              <w:rPr>
                <w:rFonts w:eastAsia="KaiTi_GB2312" w:hint="eastAsia"/>
                <w:iCs/>
                <w:snapToGrid/>
                <w:spacing w:val="0"/>
                <w:sz w:val="22"/>
                <w:lang w:val="en-GB"/>
              </w:rPr>
              <w:t>包括社会保险在内的社会保障权</w:t>
            </w:r>
            <w:r>
              <w:rPr>
                <w:i/>
                <w:sz w:val="22"/>
                <w:lang w:val="en-GB"/>
              </w:rPr>
              <w:t xml:space="preserve"> </w:t>
            </w:r>
            <w:r>
              <w:rPr>
                <w:sz w:val="22"/>
                <w:lang w:val="en-GB"/>
              </w:rPr>
              <w:t>(</w:t>
            </w:r>
            <w:r>
              <w:rPr>
                <w:rFonts w:hint="eastAsia"/>
                <w:sz w:val="22"/>
                <w:lang w:val="en-GB"/>
              </w:rPr>
              <w:t>《公约》第九条；《宪法》第</w:t>
            </w:r>
            <w:r>
              <w:rPr>
                <w:sz w:val="22"/>
                <w:lang w:val="en-GB"/>
              </w:rPr>
              <w:t>. 70/E</w:t>
            </w:r>
            <w:r>
              <w:rPr>
                <w:rFonts w:hint="eastAsia"/>
                <w:sz w:val="22"/>
                <w:lang w:val="en-GB"/>
              </w:rPr>
              <w:t>条第一和第二款</w:t>
            </w:r>
            <w:r>
              <w:rPr>
                <w:sz w:val="22"/>
                <w:lang w:val="en-GB"/>
              </w:rPr>
              <w:t>)</w:t>
            </w:r>
            <w:r>
              <w:rPr>
                <w:sz w:val="22"/>
                <w:lang w:val="en-GB"/>
              </w:rPr>
              <w:t>；</w:t>
            </w:r>
          </w:p>
          <w:p w:rsidR="00000000" w:rsidRDefault="00000000">
            <w:pPr>
              <w:pStyle w:val="a2"/>
              <w:ind w:right="113"/>
              <w:rPr>
                <w:rFonts w:hint="eastAsia"/>
                <w:sz w:val="22"/>
                <w:lang w:val="en-GB"/>
              </w:rPr>
            </w:pPr>
            <w:r>
              <w:rPr>
                <w:rFonts w:hint="eastAsia"/>
                <w:sz w:val="22"/>
                <w:lang w:val="en-GB"/>
              </w:rPr>
              <w:t>这一权利已经由</w:t>
            </w:r>
            <w:r>
              <w:rPr>
                <w:rFonts w:hint="eastAsia"/>
                <w:sz w:val="22"/>
                <w:lang w:val="en-GB"/>
              </w:rPr>
              <w:t>1997</w:t>
            </w:r>
            <w:r>
              <w:rPr>
                <w:rFonts w:hint="eastAsia"/>
                <w:sz w:val="22"/>
                <w:lang w:val="en-GB"/>
              </w:rPr>
              <w:t>年第八十号法令第</w:t>
            </w:r>
            <w:r>
              <w:rPr>
                <w:rFonts w:hint="eastAsia"/>
                <w:sz w:val="22"/>
                <w:lang w:val="en-GB"/>
              </w:rPr>
              <w:t>13</w:t>
            </w:r>
            <w:r>
              <w:rPr>
                <w:rFonts w:hint="eastAsia"/>
                <w:sz w:val="22"/>
                <w:lang w:val="en-GB"/>
              </w:rPr>
              <w:t>条</w:t>
            </w:r>
            <w:r>
              <w:rPr>
                <w:sz w:val="22"/>
                <w:lang w:val="en-GB"/>
              </w:rPr>
              <w:t>a)</w:t>
            </w:r>
            <w:r>
              <w:rPr>
                <w:rFonts w:hint="eastAsia"/>
                <w:sz w:val="22"/>
                <w:lang w:val="en-GB"/>
              </w:rPr>
              <w:t>款规定予以扩大，该条规定在匈牙利加入欧洲联盟之后，欧洲经济区的公民按共同体的规定应有权得到社会保障服务；</w:t>
            </w:r>
            <w:r>
              <w:rPr>
                <w:rFonts w:hint="eastAsia"/>
                <w:sz w:val="22"/>
                <w:lang w:val="en-GB"/>
              </w:rPr>
              <w:t>1997</w:t>
            </w:r>
            <w:r>
              <w:rPr>
                <w:rFonts w:hint="eastAsia"/>
                <w:sz w:val="22"/>
                <w:lang w:val="en-GB"/>
              </w:rPr>
              <w:t>年第八十三号法令第</w:t>
            </w:r>
            <w:r>
              <w:rPr>
                <w:sz w:val="22"/>
                <w:lang w:val="en-GB"/>
              </w:rPr>
              <w:t>8/A</w:t>
            </w:r>
            <w:r>
              <w:rPr>
                <w:rFonts w:hint="eastAsia"/>
                <w:sz w:val="22"/>
                <w:lang w:val="en-GB"/>
              </w:rPr>
              <w:t>条将有权得到卫生保障服务的人的范围扩大到欧经区的公民；</w:t>
            </w:r>
            <w:r>
              <w:rPr>
                <w:rFonts w:hint="eastAsia"/>
                <w:sz w:val="22"/>
                <w:lang w:val="en-GB"/>
              </w:rPr>
              <w:t>1998</w:t>
            </w:r>
            <w:r>
              <w:rPr>
                <w:rFonts w:hint="eastAsia"/>
                <w:sz w:val="22"/>
                <w:lang w:val="en-GB"/>
              </w:rPr>
              <w:t>年第二十六号法令第</w:t>
            </w:r>
            <w:r>
              <w:rPr>
                <w:sz w:val="22"/>
                <w:lang w:val="en-GB"/>
              </w:rPr>
              <w:t>23</w:t>
            </w:r>
            <w:r>
              <w:rPr>
                <w:rFonts w:hint="eastAsia"/>
                <w:sz w:val="22"/>
                <w:lang w:val="en-GB"/>
              </w:rPr>
              <w:t>条第</w:t>
            </w:r>
            <w:r>
              <w:rPr>
                <w:sz w:val="22"/>
                <w:lang w:val="en-GB"/>
              </w:rPr>
              <w:t>2</w:t>
            </w:r>
            <w:r>
              <w:rPr>
                <w:rFonts w:hint="eastAsia"/>
                <w:sz w:val="22"/>
                <w:lang w:val="en-GB"/>
              </w:rPr>
              <w:t>款将给予残疾人各种形式支助的范围扩大到欧经区的公民。这些修订分别由</w:t>
            </w:r>
            <w:r>
              <w:rPr>
                <w:rFonts w:hint="eastAsia"/>
                <w:sz w:val="22"/>
                <w:lang w:val="en-GB"/>
              </w:rPr>
              <w:t>2001</w:t>
            </w:r>
            <w:r>
              <w:rPr>
                <w:rFonts w:hint="eastAsia"/>
                <w:sz w:val="22"/>
                <w:lang w:val="en-GB"/>
              </w:rPr>
              <w:t>年第七十号法令第</w:t>
            </w:r>
            <w:r>
              <w:rPr>
                <w:sz w:val="22"/>
                <w:lang w:val="en-GB"/>
              </w:rPr>
              <w:t>27</w:t>
            </w:r>
            <w:r>
              <w:rPr>
                <w:rFonts w:hint="eastAsia"/>
                <w:sz w:val="22"/>
                <w:lang w:val="en-GB"/>
              </w:rPr>
              <w:t>条、第</w:t>
            </w:r>
            <w:r>
              <w:rPr>
                <w:sz w:val="22"/>
                <w:lang w:val="en-GB"/>
              </w:rPr>
              <w:t>14</w:t>
            </w:r>
            <w:r>
              <w:rPr>
                <w:rFonts w:hint="eastAsia"/>
                <w:sz w:val="22"/>
                <w:lang w:val="en-GB"/>
              </w:rPr>
              <w:t>条和第</w:t>
            </w:r>
            <w:r>
              <w:rPr>
                <w:sz w:val="22"/>
                <w:lang w:val="en-GB"/>
              </w:rPr>
              <w:t>39</w:t>
            </w:r>
            <w:r>
              <w:rPr>
                <w:rFonts w:hint="eastAsia"/>
                <w:sz w:val="22"/>
                <w:lang w:val="en-GB"/>
              </w:rPr>
              <w:t>条第一款规定形成法律。</w:t>
            </w:r>
          </w:p>
        </w:tc>
        <w:tc>
          <w:tcPr>
            <w:tcW w:w="4680" w:type="dxa"/>
          </w:tcPr>
          <w:p w:rsidR="00000000" w:rsidRDefault="00000000">
            <w:pPr>
              <w:pStyle w:val="a2"/>
              <w:ind w:left="113"/>
              <w:rPr>
                <w:sz w:val="22"/>
                <w:lang w:val="en-GB"/>
              </w:rPr>
            </w:pPr>
            <w:r>
              <w:rPr>
                <w:sz w:val="22"/>
                <w:lang w:val="en-GB"/>
              </w:rPr>
              <w:t>3.)</w:t>
            </w:r>
            <w:r>
              <w:rPr>
                <w:rFonts w:hint="eastAsia"/>
                <w:sz w:val="22"/>
                <w:lang w:val="en-GB"/>
              </w:rPr>
              <w:t xml:space="preserve"> </w:t>
            </w:r>
            <w:r>
              <w:rPr>
                <w:rFonts w:eastAsia="KaiTi_GB2312" w:hint="eastAsia"/>
                <w:snapToGrid/>
                <w:spacing w:val="0"/>
                <w:sz w:val="22"/>
                <w:lang w:val="en-GB"/>
              </w:rPr>
              <w:t>组织工会和参加他所选择的工会的权利</w:t>
            </w:r>
            <w:r>
              <w:rPr>
                <w:sz w:val="22"/>
                <w:lang w:val="en-GB"/>
              </w:rPr>
              <w:t>(</w:t>
            </w:r>
            <w:r>
              <w:rPr>
                <w:rFonts w:hint="eastAsia"/>
                <w:sz w:val="22"/>
                <w:lang w:val="en-GB"/>
              </w:rPr>
              <w:t>《公约》第八条；《宪法》第</w:t>
            </w:r>
            <w:r>
              <w:rPr>
                <w:sz w:val="22"/>
                <w:lang w:val="en-GB"/>
              </w:rPr>
              <w:t>4</w:t>
            </w:r>
            <w:r>
              <w:rPr>
                <w:rFonts w:hint="eastAsia"/>
                <w:sz w:val="22"/>
                <w:lang w:val="en-GB"/>
              </w:rPr>
              <w:t>条、第</w:t>
            </w:r>
            <w:r>
              <w:rPr>
                <w:sz w:val="22"/>
                <w:lang w:val="en-GB"/>
              </w:rPr>
              <w:t>63</w:t>
            </w:r>
            <w:r>
              <w:rPr>
                <w:rFonts w:hint="eastAsia"/>
                <w:sz w:val="22"/>
                <w:lang w:val="en-GB"/>
              </w:rPr>
              <w:t>条第一款和第</w:t>
            </w:r>
            <w:r>
              <w:rPr>
                <w:sz w:val="22"/>
                <w:lang w:val="en-GB"/>
              </w:rPr>
              <w:t>70/</w:t>
            </w:r>
            <w:r>
              <w:rPr>
                <w:sz w:val="22"/>
              </w:rPr>
              <w:t>C</w:t>
            </w:r>
            <w:r>
              <w:rPr>
                <w:rFonts w:hint="eastAsia"/>
                <w:sz w:val="22"/>
              </w:rPr>
              <w:t>条</w:t>
            </w:r>
            <w:r>
              <w:rPr>
                <w:sz w:val="22"/>
                <w:lang w:val="en-GB"/>
              </w:rPr>
              <w:t>)</w:t>
            </w:r>
          </w:p>
        </w:tc>
      </w:tr>
      <w:tr w:rsidR="00000000">
        <w:tblPrEx>
          <w:tblCellMar>
            <w:top w:w="0" w:type="dxa"/>
            <w:bottom w:w="0" w:type="dxa"/>
          </w:tblCellMar>
        </w:tblPrEx>
        <w:tc>
          <w:tcPr>
            <w:tcW w:w="4680" w:type="dxa"/>
            <w:vAlign w:val="center"/>
          </w:tcPr>
          <w:p w:rsidR="00000000" w:rsidRDefault="00000000">
            <w:pPr>
              <w:pStyle w:val="a2"/>
              <w:ind w:right="113"/>
              <w:rPr>
                <w:sz w:val="22"/>
                <w:lang w:val="en-GB"/>
              </w:rPr>
            </w:pPr>
            <w:r>
              <w:rPr>
                <w:sz w:val="22"/>
                <w:lang w:val="en-GB"/>
              </w:rPr>
              <w:t>2.)</w:t>
            </w:r>
            <w:r>
              <w:rPr>
                <w:iCs/>
                <w:sz w:val="22"/>
                <w:lang w:val="en-GB"/>
              </w:rPr>
              <w:t xml:space="preserve"> </w:t>
            </w:r>
            <w:r>
              <w:rPr>
                <w:rFonts w:eastAsia="KaiTi_GB2312" w:hint="eastAsia"/>
                <w:iCs/>
                <w:snapToGrid/>
                <w:spacing w:val="0"/>
                <w:sz w:val="22"/>
                <w:lang w:val="en-GB"/>
              </w:rPr>
              <w:t>受教育权</w:t>
            </w:r>
            <w:r>
              <w:rPr>
                <w:sz w:val="22"/>
                <w:lang w:val="en-GB"/>
              </w:rPr>
              <w:t>(</w:t>
            </w:r>
            <w:r>
              <w:rPr>
                <w:rFonts w:hint="eastAsia"/>
                <w:sz w:val="22"/>
                <w:lang w:val="en-GB"/>
              </w:rPr>
              <w:t>《公约》第十三条；《宪法》第</w:t>
            </w:r>
            <w:r>
              <w:rPr>
                <w:sz w:val="22"/>
                <w:lang w:val="en-GB"/>
              </w:rPr>
              <w:t>70/F</w:t>
            </w:r>
            <w:r>
              <w:rPr>
                <w:rFonts w:hint="eastAsia"/>
                <w:sz w:val="22"/>
                <w:lang w:val="en-GB"/>
              </w:rPr>
              <w:t>条第一和第</w:t>
            </w:r>
            <w:r>
              <w:rPr>
                <w:sz w:val="22"/>
                <w:lang w:val="en-GB"/>
              </w:rPr>
              <w:t>70/J</w:t>
            </w:r>
            <w:r>
              <w:rPr>
                <w:rFonts w:hint="eastAsia"/>
                <w:sz w:val="22"/>
                <w:lang w:val="en-GB"/>
              </w:rPr>
              <w:t>条</w:t>
            </w:r>
            <w:r>
              <w:rPr>
                <w:sz w:val="22"/>
                <w:lang w:val="en-GB"/>
              </w:rPr>
              <w:t>)</w:t>
            </w:r>
          </w:p>
        </w:tc>
        <w:tc>
          <w:tcPr>
            <w:tcW w:w="4680" w:type="dxa"/>
          </w:tcPr>
          <w:p w:rsidR="00000000" w:rsidRDefault="00000000">
            <w:pPr>
              <w:pStyle w:val="a2"/>
              <w:ind w:left="113"/>
              <w:rPr>
                <w:sz w:val="22"/>
                <w:lang w:val="en-GB"/>
              </w:rPr>
            </w:pPr>
            <w:r>
              <w:rPr>
                <w:sz w:val="22"/>
                <w:lang w:val="en-GB"/>
              </w:rPr>
              <w:t xml:space="preserve">4.) </w:t>
            </w:r>
            <w:r>
              <w:rPr>
                <w:rFonts w:eastAsia="KaiTi_GB2312" w:hint="eastAsia"/>
                <w:iCs/>
                <w:snapToGrid/>
                <w:spacing w:val="0"/>
                <w:sz w:val="22"/>
                <w:lang w:val="en-GB"/>
              </w:rPr>
              <w:t>男女有平等的权利</w:t>
            </w:r>
            <w:r>
              <w:rPr>
                <w:sz w:val="22"/>
                <w:lang w:val="en-GB"/>
              </w:rPr>
              <w:t>(</w:t>
            </w:r>
            <w:r>
              <w:rPr>
                <w:rFonts w:hint="eastAsia"/>
                <w:sz w:val="22"/>
                <w:lang w:val="en-GB"/>
              </w:rPr>
              <w:t>《公约》第三条；《宪法》中引用了《公约》条文的第</w:t>
            </w:r>
            <w:r>
              <w:rPr>
                <w:rFonts w:hint="eastAsia"/>
                <w:sz w:val="22"/>
                <w:lang w:val="en-GB"/>
              </w:rPr>
              <w:t>66</w:t>
            </w:r>
            <w:r>
              <w:rPr>
                <w:rFonts w:hint="eastAsia"/>
                <w:sz w:val="22"/>
                <w:lang w:val="en-GB"/>
              </w:rPr>
              <w:t>条第一款</w:t>
            </w:r>
            <w:r>
              <w:rPr>
                <w:sz w:val="22"/>
                <w:lang w:val="en-GB"/>
              </w:rPr>
              <w:t>)</w:t>
            </w:r>
          </w:p>
        </w:tc>
      </w:tr>
      <w:tr w:rsidR="00000000">
        <w:tblPrEx>
          <w:tblCellMar>
            <w:top w:w="0" w:type="dxa"/>
            <w:bottom w:w="0" w:type="dxa"/>
          </w:tblCellMar>
        </w:tblPrEx>
        <w:tc>
          <w:tcPr>
            <w:tcW w:w="4680" w:type="dxa"/>
          </w:tcPr>
          <w:p w:rsidR="00000000" w:rsidRDefault="00000000">
            <w:pPr>
              <w:pStyle w:val="a2"/>
              <w:ind w:right="113"/>
              <w:rPr>
                <w:sz w:val="22"/>
                <w:lang w:val="en-GB"/>
              </w:rPr>
            </w:pPr>
          </w:p>
        </w:tc>
        <w:tc>
          <w:tcPr>
            <w:tcW w:w="4680" w:type="dxa"/>
          </w:tcPr>
          <w:p w:rsidR="00000000" w:rsidRDefault="00000000">
            <w:pPr>
              <w:pStyle w:val="a2"/>
              <w:ind w:left="113"/>
              <w:rPr>
                <w:sz w:val="22"/>
                <w:lang w:val="en-GB"/>
              </w:rPr>
            </w:pPr>
            <w:r>
              <w:rPr>
                <w:sz w:val="22"/>
                <w:lang w:val="en-GB"/>
              </w:rPr>
              <w:t>5.)</w:t>
            </w:r>
            <w:r>
              <w:rPr>
                <w:rFonts w:eastAsia="KaiTi_GB2312"/>
                <w:iCs/>
                <w:snapToGrid/>
                <w:spacing w:val="0"/>
                <w:sz w:val="22"/>
                <w:lang w:val="en-GB"/>
              </w:rPr>
              <w:t xml:space="preserve"> </w:t>
            </w:r>
            <w:r>
              <w:rPr>
                <w:rFonts w:eastAsia="KaiTi_GB2312" w:hint="eastAsia"/>
                <w:iCs/>
                <w:snapToGrid/>
                <w:spacing w:val="0"/>
                <w:sz w:val="22"/>
                <w:lang w:val="en-GB"/>
              </w:rPr>
              <w:t>工作权和凭其自由选择和接受的工作来谋生的权利</w:t>
            </w:r>
            <w:r>
              <w:rPr>
                <w:sz w:val="22"/>
                <w:lang w:val="en-GB"/>
              </w:rPr>
              <w:t>(</w:t>
            </w:r>
            <w:r>
              <w:rPr>
                <w:rFonts w:hint="eastAsia"/>
                <w:sz w:val="22"/>
                <w:lang w:val="en-GB"/>
              </w:rPr>
              <w:t>《公约》第六条；《宪法》第</w:t>
            </w:r>
            <w:r>
              <w:rPr>
                <w:sz w:val="22"/>
                <w:lang w:val="en-GB"/>
              </w:rPr>
              <w:t>70/B</w:t>
            </w:r>
            <w:r>
              <w:rPr>
                <w:rFonts w:hint="eastAsia"/>
                <w:sz w:val="22"/>
                <w:lang w:val="en-GB"/>
              </w:rPr>
              <w:t>条</w:t>
            </w:r>
            <w:r>
              <w:rPr>
                <w:sz w:val="22"/>
                <w:lang w:val="en-GB"/>
              </w:rPr>
              <w:t>)</w:t>
            </w:r>
          </w:p>
        </w:tc>
      </w:tr>
      <w:tr w:rsidR="00000000">
        <w:tblPrEx>
          <w:tblCellMar>
            <w:top w:w="0" w:type="dxa"/>
            <w:bottom w:w="0" w:type="dxa"/>
          </w:tblCellMar>
        </w:tblPrEx>
        <w:tc>
          <w:tcPr>
            <w:tcW w:w="4680" w:type="dxa"/>
          </w:tcPr>
          <w:p w:rsidR="00000000" w:rsidRDefault="00000000">
            <w:pPr>
              <w:pStyle w:val="a2"/>
              <w:ind w:right="113"/>
              <w:rPr>
                <w:sz w:val="22"/>
                <w:lang w:val="en-GB"/>
              </w:rPr>
            </w:pPr>
          </w:p>
        </w:tc>
        <w:tc>
          <w:tcPr>
            <w:tcW w:w="4680" w:type="dxa"/>
          </w:tcPr>
          <w:p w:rsidR="00000000" w:rsidRDefault="00000000">
            <w:pPr>
              <w:pStyle w:val="a2"/>
              <w:ind w:left="113"/>
              <w:rPr>
                <w:sz w:val="22"/>
                <w:lang w:val="en-GB"/>
              </w:rPr>
            </w:pPr>
            <w:r>
              <w:rPr>
                <w:sz w:val="22"/>
                <w:lang w:val="en-GB"/>
              </w:rPr>
              <w:t xml:space="preserve">6.) </w:t>
            </w:r>
            <w:r>
              <w:rPr>
                <w:rFonts w:eastAsia="KaiTi_GB2312" w:hint="eastAsia"/>
                <w:snapToGrid/>
                <w:spacing w:val="0"/>
                <w:sz w:val="22"/>
                <w:lang w:val="en-GB"/>
              </w:rPr>
              <w:t>享受公正和良好的工作条件权</w:t>
            </w:r>
            <w:r>
              <w:rPr>
                <w:sz w:val="22"/>
                <w:lang w:val="en-GB"/>
              </w:rPr>
              <w:t>(</w:t>
            </w:r>
            <w:r>
              <w:rPr>
                <w:rFonts w:hint="eastAsia"/>
                <w:sz w:val="22"/>
                <w:lang w:val="en-GB"/>
              </w:rPr>
              <w:t>《公约》第七条；《宪法》第</w:t>
            </w:r>
            <w:r>
              <w:rPr>
                <w:sz w:val="22"/>
                <w:lang w:val="en-GB"/>
              </w:rPr>
              <w:t>70/B</w:t>
            </w:r>
            <w:r>
              <w:rPr>
                <w:rFonts w:hint="eastAsia"/>
                <w:sz w:val="22"/>
                <w:lang w:val="en-GB"/>
              </w:rPr>
              <w:t>条第二至第四款</w:t>
            </w:r>
            <w:r>
              <w:rPr>
                <w:sz w:val="22"/>
                <w:lang w:val="en-GB"/>
              </w:rPr>
              <w:t>)</w:t>
            </w:r>
          </w:p>
        </w:tc>
      </w:tr>
      <w:tr w:rsidR="00000000">
        <w:tblPrEx>
          <w:tblCellMar>
            <w:top w:w="0" w:type="dxa"/>
            <w:bottom w:w="0" w:type="dxa"/>
          </w:tblCellMar>
        </w:tblPrEx>
        <w:tc>
          <w:tcPr>
            <w:tcW w:w="4680" w:type="dxa"/>
          </w:tcPr>
          <w:p w:rsidR="00000000" w:rsidRDefault="00000000">
            <w:pPr>
              <w:pStyle w:val="a2"/>
              <w:ind w:right="113"/>
              <w:rPr>
                <w:sz w:val="22"/>
                <w:lang w:val="en-GB"/>
              </w:rPr>
            </w:pPr>
          </w:p>
        </w:tc>
        <w:tc>
          <w:tcPr>
            <w:tcW w:w="4680" w:type="dxa"/>
          </w:tcPr>
          <w:p w:rsidR="00000000" w:rsidRDefault="00000000">
            <w:pPr>
              <w:pStyle w:val="a2"/>
              <w:ind w:left="113"/>
              <w:rPr>
                <w:sz w:val="22"/>
                <w:lang w:val="en-GB"/>
              </w:rPr>
            </w:pPr>
            <w:r>
              <w:rPr>
                <w:sz w:val="22"/>
                <w:lang w:val="en-GB"/>
              </w:rPr>
              <w:t>7.)</w:t>
            </w:r>
            <w:r>
              <w:rPr>
                <w:rFonts w:eastAsia="KaiTi_GB2312"/>
                <w:iCs/>
                <w:snapToGrid/>
                <w:spacing w:val="0"/>
                <w:sz w:val="22"/>
                <w:lang w:val="en-GB"/>
              </w:rPr>
              <w:t xml:space="preserve"> </w:t>
            </w:r>
            <w:r>
              <w:rPr>
                <w:rFonts w:eastAsia="KaiTi_GB2312" w:hint="eastAsia"/>
                <w:iCs/>
                <w:snapToGrid/>
                <w:spacing w:val="0"/>
                <w:sz w:val="22"/>
                <w:lang w:val="en-GB"/>
              </w:rPr>
              <w:t>保护家庭</w:t>
            </w:r>
            <w:r>
              <w:rPr>
                <w:rFonts w:eastAsia="KaiTi_GB2312"/>
                <w:iCs/>
                <w:snapToGrid/>
                <w:spacing w:val="0"/>
                <w:sz w:val="22"/>
              </w:rPr>
              <w:t>、</w:t>
            </w:r>
            <w:r>
              <w:rPr>
                <w:rFonts w:eastAsia="KaiTi_GB2312" w:hint="eastAsia"/>
                <w:iCs/>
                <w:snapToGrid/>
                <w:spacing w:val="0"/>
                <w:sz w:val="22"/>
                <w:lang w:val="en-GB"/>
              </w:rPr>
              <w:t>儿童和母亲</w:t>
            </w:r>
            <w:r>
              <w:rPr>
                <w:sz w:val="22"/>
                <w:lang w:val="en-GB"/>
              </w:rPr>
              <w:t>(</w:t>
            </w:r>
            <w:r>
              <w:rPr>
                <w:sz w:val="22"/>
                <w:lang w:val="en-GB"/>
              </w:rPr>
              <w:t>《公约》</w:t>
            </w:r>
            <w:r>
              <w:rPr>
                <w:rFonts w:hint="eastAsia"/>
                <w:sz w:val="22"/>
                <w:lang w:val="en-GB"/>
              </w:rPr>
              <w:t>第十条；</w:t>
            </w:r>
            <w:r>
              <w:rPr>
                <w:sz w:val="22"/>
                <w:lang w:val="en-GB"/>
              </w:rPr>
              <w:t>《宪法》</w:t>
            </w:r>
            <w:r>
              <w:rPr>
                <w:rFonts w:hint="eastAsia"/>
                <w:sz w:val="22"/>
                <w:lang w:val="en-GB"/>
              </w:rPr>
              <w:t>第</w:t>
            </w:r>
            <w:r>
              <w:rPr>
                <w:rFonts w:hint="eastAsia"/>
                <w:sz w:val="22"/>
                <w:lang w:val="en-GB"/>
              </w:rPr>
              <w:t>15</w:t>
            </w:r>
            <w:r>
              <w:rPr>
                <w:rFonts w:hint="eastAsia"/>
                <w:sz w:val="22"/>
                <w:lang w:val="en-GB"/>
              </w:rPr>
              <w:t>条、逐字沿用</w:t>
            </w:r>
            <w:r>
              <w:rPr>
                <w:sz w:val="22"/>
                <w:lang w:val="en-GB"/>
              </w:rPr>
              <w:t>《公约》</w:t>
            </w:r>
            <w:r>
              <w:rPr>
                <w:rFonts w:hint="eastAsia"/>
                <w:sz w:val="22"/>
                <w:lang w:val="en-GB"/>
              </w:rPr>
              <w:t>条文的第</w:t>
            </w:r>
            <w:r>
              <w:rPr>
                <w:sz w:val="22"/>
                <w:lang w:val="en-GB"/>
              </w:rPr>
              <w:t>66</w:t>
            </w:r>
            <w:r>
              <w:rPr>
                <w:rFonts w:hint="eastAsia"/>
                <w:sz w:val="22"/>
                <w:lang w:val="en-GB"/>
              </w:rPr>
              <w:t>条第二至三款和第</w:t>
            </w:r>
            <w:r>
              <w:rPr>
                <w:sz w:val="22"/>
                <w:lang w:val="en-GB"/>
              </w:rPr>
              <w:t>67</w:t>
            </w:r>
            <w:r>
              <w:rPr>
                <w:rFonts w:hint="eastAsia"/>
                <w:sz w:val="22"/>
                <w:lang w:val="en-GB"/>
              </w:rPr>
              <w:t>条</w:t>
            </w:r>
            <w:r>
              <w:rPr>
                <w:sz w:val="22"/>
                <w:lang w:val="en-GB"/>
              </w:rPr>
              <w:t>)</w:t>
            </w:r>
          </w:p>
        </w:tc>
      </w:tr>
      <w:tr w:rsidR="00000000">
        <w:tblPrEx>
          <w:tblCellMar>
            <w:top w:w="0" w:type="dxa"/>
            <w:bottom w:w="0" w:type="dxa"/>
          </w:tblCellMar>
        </w:tblPrEx>
        <w:tc>
          <w:tcPr>
            <w:tcW w:w="4680" w:type="dxa"/>
          </w:tcPr>
          <w:p w:rsidR="00000000" w:rsidRDefault="00000000">
            <w:pPr>
              <w:pStyle w:val="a2"/>
              <w:ind w:right="113"/>
              <w:rPr>
                <w:sz w:val="22"/>
                <w:lang w:val="en-GB"/>
              </w:rPr>
            </w:pPr>
          </w:p>
        </w:tc>
        <w:tc>
          <w:tcPr>
            <w:tcW w:w="4680" w:type="dxa"/>
          </w:tcPr>
          <w:p w:rsidR="00000000" w:rsidRDefault="00000000">
            <w:pPr>
              <w:pStyle w:val="a2"/>
              <w:ind w:left="113"/>
              <w:rPr>
                <w:sz w:val="22"/>
                <w:lang w:val="en-GB"/>
              </w:rPr>
            </w:pPr>
            <w:r>
              <w:rPr>
                <w:sz w:val="22"/>
                <w:lang w:val="en-GB"/>
              </w:rPr>
              <w:t>8.)</w:t>
            </w:r>
            <w:r>
              <w:rPr>
                <w:iCs/>
                <w:sz w:val="22"/>
                <w:lang w:val="en-GB"/>
              </w:rPr>
              <w:t xml:space="preserve"> </w:t>
            </w:r>
            <w:r>
              <w:rPr>
                <w:rFonts w:eastAsia="KaiTi_GB2312" w:hint="eastAsia"/>
                <w:iCs/>
                <w:snapToGrid/>
                <w:spacing w:val="0"/>
                <w:sz w:val="22"/>
                <w:lang w:val="en-GB"/>
              </w:rPr>
              <w:t>享有能达到的最高的体质和心理健康标准的权利</w:t>
            </w:r>
            <w:r>
              <w:rPr>
                <w:sz w:val="22"/>
                <w:lang w:val="en-GB"/>
              </w:rPr>
              <w:t>(</w:t>
            </w:r>
            <w:r>
              <w:rPr>
                <w:sz w:val="22"/>
                <w:lang w:val="en-GB"/>
              </w:rPr>
              <w:t>《公约》</w:t>
            </w:r>
            <w:r>
              <w:rPr>
                <w:rFonts w:hint="eastAsia"/>
                <w:sz w:val="22"/>
                <w:lang w:val="en-GB"/>
              </w:rPr>
              <w:t>第十二条；</w:t>
            </w:r>
            <w:r>
              <w:rPr>
                <w:sz w:val="22"/>
                <w:lang w:val="en-GB"/>
              </w:rPr>
              <w:t>《宪法》</w:t>
            </w:r>
            <w:r>
              <w:rPr>
                <w:rFonts w:hint="eastAsia"/>
                <w:sz w:val="22"/>
                <w:lang w:val="en-GB"/>
              </w:rPr>
              <w:t>第</w:t>
            </w:r>
            <w:r>
              <w:rPr>
                <w:sz w:val="22"/>
                <w:lang w:val="en-GB"/>
              </w:rPr>
              <w:t>70/D</w:t>
            </w:r>
            <w:r>
              <w:rPr>
                <w:rFonts w:hint="eastAsia"/>
                <w:sz w:val="22"/>
                <w:lang w:val="en-GB"/>
              </w:rPr>
              <w:t>条</w:t>
            </w:r>
            <w:r>
              <w:rPr>
                <w:sz w:val="22"/>
                <w:lang w:val="en-GB"/>
              </w:rPr>
              <w:t>)</w:t>
            </w:r>
          </w:p>
        </w:tc>
      </w:tr>
      <w:tr w:rsidR="00000000">
        <w:tblPrEx>
          <w:tblCellMar>
            <w:top w:w="0" w:type="dxa"/>
            <w:bottom w:w="0" w:type="dxa"/>
          </w:tblCellMar>
        </w:tblPrEx>
        <w:tc>
          <w:tcPr>
            <w:tcW w:w="4680" w:type="dxa"/>
          </w:tcPr>
          <w:p w:rsidR="00000000" w:rsidRDefault="00000000">
            <w:pPr>
              <w:pStyle w:val="a2"/>
              <w:ind w:right="113"/>
              <w:rPr>
                <w:sz w:val="22"/>
                <w:lang w:val="en-GB"/>
              </w:rPr>
            </w:pPr>
          </w:p>
        </w:tc>
        <w:tc>
          <w:tcPr>
            <w:tcW w:w="4680" w:type="dxa"/>
          </w:tcPr>
          <w:p w:rsidR="00000000" w:rsidRDefault="00000000">
            <w:pPr>
              <w:pStyle w:val="a2"/>
              <w:ind w:left="113"/>
              <w:rPr>
                <w:sz w:val="22"/>
                <w:lang w:val="en-GB"/>
              </w:rPr>
            </w:pPr>
            <w:r>
              <w:rPr>
                <w:sz w:val="22"/>
                <w:lang w:val="en-GB"/>
              </w:rPr>
              <w:t>9.)</w:t>
            </w:r>
            <w:r>
              <w:rPr>
                <w:rFonts w:eastAsia="KaiTi_GB2312"/>
                <w:iCs/>
                <w:snapToGrid/>
                <w:spacing w:val="0"/>
                <w:sz w:val="22"/>
                <w:lang w:val="en-GB"/>
              </w:rPr>
              <w:t xml:space="preserve"> </w:t>
            </w:r>
            <w:r>
              <w:rPr>
                <w:rFonts w:eastAsia="KaiTi_GB2312" w:hint="eastAsia"/>
                <w:iCs/>
                <w:snapToGrid/>
                <w:spacing w:val="0"/>
                <w:sz w:val="22"/>
                <w:lang w:val="en-GB"/>
              </w:rPr>
              <w:t>参加文化生活和享受科学进步及其应用所产生的利益的权利</w:t>
            </w:r>
            <w:r>
              <w:rPr>
                <w:sz w:val="22"/>
                <w:lang w:val="en-GB"/>
              </w:rPr>
              <w:t>(</w:t>
            </w:r>
            <w:r>
              <w:rPr>
                <w:sz w:val="22"/>
                <w:lang w:val="en-GB"/>
              </w:rPr>
              <w:t>《公约》</w:t>
            </w:r>
            <w:r>
              <w:rPr>
                <w:rFonts w:hint="eastAsia"/>
                <w:sz w:val="22"/>
                <w:lang w:val="en-GB"/>
              </w:rPr>
              <w:t>第十五条；</w:t>
            </w:r>
            <w:r>
              <w:rPr>
                <w:sz w:val="22"/>
                <w:lang w:val="en-GB"/>
              </w:rPr>
              <w:t>《宪法》</w:t>
            </w:r>
            <w:r>
              <w:rPr>
                <w:rFonts w:hint="eastAsia"/>
                <w:sz w:val="22"/>
                <w:lang w:val="en-GB"/>
              </w:rPr>
              <w:t>第</w:t>
            </w:r>
            <w:r>
              <w:rPr>
                <w:sz w:val="22"/>
                <w:lang w:val="en-GB"/>
              </w:rPr>
              <w:t>70/G</w:t>
            </w:r>
            <w:r>
              <w:rPr>
                <w:rFonts w:hint="eastAsia"/>
                <w:sz w:val="22"/>
                <w:lang w:val="en-GB"/>
              </w:rPr>
              <w:t>条第一款</w:t>
            </w:r>
            <w:r>
              <w:rPr>
                <w:sz w:val="22"/>
                <w:lang w:val="en-GB"/>
              </w:rPr>
              <w:t>)</w:t>
            </w:r>
          </w:p>
        </w:tc>
      </w:tr>
      <w:tr w:rsidR="00000000">
        <w:tblPrEx>
          <w:tblCellMar>
            <w:top w:w="0" w:type="dxa"/>
            <w:bottom w:w="0" w:type="dxa"/>
          </w:tblCellMar>
        </w:tblPrEx>
        <w:tc>
          <w:tcPr>
            <w:tcW w:w="4680" w:type="dxa"/>
          </w:tcPr>
          <w:p w:rsidR="00000000" w:rsidRDefault="00000000">
            <w:pPr>
              <w:pStyle w:val="a2"/>
              <w:ind w:right="113"/>
              <w:rPr>
                <w:sz w:val="22"/>
                <w:lang w:val="en-GB"/>
              </w:rPr>
            </w:pPr>
          </w:p>
        </w:tc>
        <w:tc>
          <w:tcPr>
            <w:tcW w:w="4680" w:type="dxa"/>
          </w:tcPr>
          <w:p w:rsidR="00000000" w:rsidRDefault="00000000">
            <w:pPr>
              <w:pStyle w:val="a2"/>
              <w:ind w:left="113"/>
              <w:rPr>
                <w:sz w:val="22"/>
                <w:lang w:val="en-GB"/>
              </w:rPr>
            </w:pPr>
            <w:r>
              <w:rPr>
                <w:sz w:val="22"/>
                <w:lang w:val="en-GB"/>
              </w:rPr>
              <w:t>10.)</w:t>
            </w:r>
            <w:r>
              <w:rPr>
                <w:rFonts w:eastAsia="KaiTi_GB2312" w:hint="eastAsia"/>
                <w:iCs/>
                <w:snapToGrid/>
                <w:spacing w:val="0"/>
                <w:sz w:val="22"/>
                <w:lang w:val="en-GB"/>
              </w:rPr>
              <w:t xml:space="preserve"> </w:t>
            </w:r>
            <w:r>
              <w:rPr>
                <w:rFonts w:eastAsia="KaiTi_GB2312" w:hint="eastAsia"/>
                <w:iCs/>
                <w:snapToGrid/>
                <w:spacing w:val="0"/>
                <w:sz w:val="22"/>
                <w:lang w:val="en-GB"/>
              </w:rPr>
              <w:t>罢工权</w:t>
            </w:r>
            <w:r>
              <w:rPr>
                <w:rFonts w:hint="eastAsia"/>
                <w:iCs/>
                <w:sz w:val="22"/>
                <w:lang w:val="en-GB"/>
              </w:rPr>
              <w:t xml:space="preserve"> </w:t>
            </w:r>
            <w:r>
              <w:rPr>
                <w:sz w:val="22"/>
                <w:lang w:val="en-GB"/>
              </w:rPr>
              <w:t>(</w:t>
            </w:r>
            <w:r>
              <w:rPr>
                <w:sz w:val="22"/>
                <w:lang w:val="en-GB"/>
              </w:rPr>
              <w:t>《公约》</w:t>
            </w:r>
            <w:r>
              <w:rPr>
                <w:rFonts w:hint="eastAsia"/>
                <w:sz w:val="22"/>
                <w:lang w:val="en-GB"/>
              </w:rPr>
              <w:t>第八条第二款；</w:t>
            </w:r>
            <w:r>
              <w:rPr>
                <w:sz w:val="22"/>
                <w:lang w:val="en-GB"/>
              </w:rPr>
              <w:t>《宪法》</w:t>
            </w:r>
            <w:r>
              <w:rPr>
                <w:rFonts w:hint="eastAsia"/>
                <w:sz w:val="22"/>
                <w:lang w:val="en-GB"/>
              </w:rPr>
              <w:t>第</w:t>
            </w:r>
            <w:r>
              <w:rPr>
                <w:sz w:val="22"/>
                <w:lang w:val="en-GB"/>
              </w:rPr>
              <w:t>70/C</w:t>
            </w:r>
            <w:r>
              <w:rPr>
                <w:rFonts w:hint="eastAsia"/>
                <w:sz w:val="22"/>
                <w:lang w:val="en-GB"/>
              </w:rPr>
              <w:t>条</w:t>
            </w:r>
            <w:r>
              <w:rPr>
                <w:sz w:val="22"/>
                <w:lang w:val="en-GB"/>
              </w:rPr>
              <w:t>)</w:t>
            </w:r>
          </w:p>
        </w:tc>
      </w:tr>
    </w:tbl>
    <w:p w:rsidR="00000000" w:rsidRDefault="00000000">
      <w:pPr>
        <w:rPr>
          <w:rFonts w:hint="eastAsia"/>
          <w:lang w:val="en-GB"/>
        </w:rPr>
      </w:pPr>
    </w:p>
    <w:p w:rsidR="00000000" w:rsidRDefault="00000000">
      <w:pPr>
        <w:rPr>
          <w:rFonts w:hint="eastAsia"/>
          <w:lang w:val="en-GB"/>
        </w:rPr>
      </w:pPr>
      <w:r>
        <w:rPr>
          <w:lang w:val="en-GB"/>
        </w:rPr>
        <w:tab/>
        <w:t xml:space="preserve">11.  </w:t>
      </w:r>
      <w:r>
        <w:rPr>
          <w:lang w:val="en-GB"/>
        </w:rPr>
        <w:t>《宪法》</w:t>
      </w:r>
      <w:r>
        <w:rPr>
          <w:rFonts w:hint="eastAsia"/>
          <w:lang w:val="en-GB"/>
        </w:rPr>
        <w:t>第</w:t>
      </w:r>
      <w:r>
        <w:rPr>
          <w:rFonts w:hint="eastAsia"/>
          <w:lang w:val="en-GB"/>
        </w:rPr>
        <w:t>8</w:t>
      </w:r>
      <w:r>
        <w:rPr>
          <w:rFonts w:hint="eastAsia"/>
          <w:lang w:val="en-GB"/>
        </w:rPr>
        <w:t>条</w:t>
      </w:r>
      <w:r>
        <w:rPr>
          <w:rFonts w:hint="eastAsia"/>
          <w:lang w:val="en-GB"/>
        </w:rPr>
        <w:t>(</w:t>
      </w:r>
      <w:r>
        <w:rPr>
          <w:rFonts w:hint="eastAsia"/>
          <w:lang w:val="en-GB"/>
        </w:rPr>
        <w:t>第二款</w:t>
      </w:r>
      <w:r>
        <w:rPr>
          <w:rFonts w:hint="eastAsia"/>
          <w:lang w:val="en-GB"/>
        </w:rPr>
        <w:t>)</w:t>
      </w:r>
      <w:r>
        <w:rPr>
          <w:rFonts w:hint="eastAsia"/>
          <w:lang w:val="en-GB"/>
        </w:rPr>
        <w:t>规定：“匈牙利共和国关于基本权利和义务的法规由各项法令决定”，因此，介绍对《公约》保障的权利采取的某些反歧视措施的最好办法似乎是审查含有同等待遇规定的各项法令。这些法令如下：</w:t>
      </w:r>
    </w:p>
    <w:p w:rsidR="00000000" w:rsidRDefault="00000000">
      <w:pPr>
        <w:rPr>
          <w:lang w:val="hu-HU"/>
        </w:rPr>
      </w:pPr>
    </w:p>
    <w:tbl>
      <w:tblPr>
        <w:tblW w:w="936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7" w:firstRow="1" w:lastRow="0" w:firstColumn="1" w:lastColumn="0" w:noHBand="0" w:noVBand="0"/>
      </w:tblPr>
      <w:tblGrid>
        <w:gridCol w:w="2730"/>
        <w:gridCol w:w="6630"/>
      </w:tblGrid>
      <w:tr w:rsidR="00000000">
        <w:tblPrEx>
          <w:tblCellMar>
            <w:top w:w="0" w:type="dxa"/>
            <w:bottom w:w="0" w:type="dxa"/>
          </w:tblCellMar>
        </w:tblPrEx>
        <w:trPr>
          <w:cantSplit/>
        </w:trPr>
        <w:tc>
          <w:tcPr>
            <w:tcW w:w="2730" w:type="dxa"/>
            <w:vMerge w:val="restart"/>
          </w:tcPr>
          <w:p w:rsidR="00000000" w:rsidRDefault="00000000">
            <w:pPr>
              <w:pStyle w:val="a2"/>
              <w:ind w:right="113"/>
              <w:rPr>
                <w:sz w:val="22"/>
                <w:lang w:val="en-GB"/>
              </w:rPr>
            </w:pPr>
            <w:r>
              <w:rPr>
                <w:sz w:val="22"/>
                <w:lang w:val="en-GB"/>
              </w:rPr>
              <w:t>1)</w:t>
            </w:r>
            <w:r>
              <w:rPr>
                <w:rFonts w:hint="eastAsia"/>
                <w:sz w:val="22"/>
                <w:lang w:val="en-GB"/>
              </w:rPr>
              <w:t xml:space="preserve"> </w:t>
            </w:r>
            <w:r>
              <w:rPr>
                <w:rFonts w:eastAsia="KaiTi_GB2312" w:hint="eastAsia"/>
                <w:snapToGrid/>
                <w:spacing w:val="0"/>
                <w:sz w:val="22"/>
                <w:lang w:val="en-GB"/>
              </w:rPr>
              <w:t>工作权</w:t>
            </w:r>
          </w:p>
        </w:tc>
        <w:tc>
          <w:tcPr>
            <w:tcW w:w="6630" w:type="dxa"/>
          </w:tcPr>
          <w:p w:rsidR="00000000" w:rsidRDefault="00000000">
            <w:pPr>
              <w:pStyle w:val="a2"/>
              <w:ind w:left="113"/>
              <w:rPr>
                <w:sz w:val="22"/>
              </w:rPr>
            </w:pPr>
            <w:r>
              <w:rPr>
                <w:rFonts w:hint="eastAsia"/>
                <w:sz w:val="22"/>
              </w:rPr>
              <w:t>1991</w:t>
            </w:r>
            <w:r>
              <w:rPr>
                <w:rFonts w:hint="eastAsia"/>
                <w:sz w:val="22"/>
              </w:rPr>
              <w:t>年</w:t>
            </w:r>
            <w:r>
              <w:rPr>
                <w:sz w:val="22"/>
              </w:rPr>
              <w:t>第</w:t>
            </w:r>
            <w:r>
              <w:rPr>
                <w:rFonts w:hint="eastAsia"/>
                <w:sz w:val="22"/>
              </w:rPr>
              <w:t>四</w:t>
            </w:r>
            <w:r>
              <w:rPr>
                <w:sz w:val="22"/>
              </w:rPr>
              <w:t>号法令</w:t>
            </w:r>
            <w:r>
              <w:rPr>
                <w:rFonts w:hint="eastAsia"/>
                <w:sz w:val="22"/>
              </w:rPr>
              <w:t>关于促进就业和失业津贴的</w:t>
            </w:r>
            <w:r>
              <w:rPr>
                <w:sz w:val="22"/>
              </w:rPr>
              <w:t>第</w:t>
            </w:r>
            <w:r>
              <w:rPr>
                <w:rFonts w:hint="eastAsia"/>
                <w:sz w:val="22"/>
              </w:rPr>
              <w:t>2</w:t>
            </w:r>
            <w:r>
              <w:rPr>
                <w:sz w:val="22"/>
              </w:rPr>
              <w:t>条</w:t>
            </w:r>
          </w:p>
        </w:tc>
      </w:tr>
      <w:tr w:rsidR="00000000">
        <w:tblPrEx>
          <w:tblCellMar>
            <w:top w:w="0" w:type="dxa"/>
            <w:bottom w:w="0" w:type="dxa"/>
          </w:tblCellMar>
        </w:tblPrEx>
        <w:trPr>
          <w:cantSplit/>
        </w:trPr>
        <w:tc>
          <w:tcPr>
            <w:tcW w:w="2730" w:type="dxa"/>
            <w:vMerge/>
          </w:tcPr>
          <w:p w:rsidR="00000000" w:rsidRDefault="00000000">
            <w:pPr>
              <w:pStyle w:val="a2"/>
              <w:ind w:right="113"/>
              <w:rPr>
                <w:sz w:val="22"/>
                <w:lang w:val="en-GB"/>
              </w:rPr>
            </w:pPr>
          </w:p>
        </w:tc>
        <w:tc>
          <w:tcPr>
            <w:tcW w:w="6630" w:type="dxa"/>
          </w:tcPr>
          <w:p w:rsidR="00000000" w:rsidRDefault="00000000">
            <w:pPr>
              <w:pStyle w:val="a2"/>
              <w:ind w:left="113"/>
              <w:rPr>
                <w:sz w:val="22"/>
                <w:lang w:val="en-GB"/>
              </w:rPr>
            </w:pPr>
            <w:r>
              <w:rPr>
                <w:rFonts w:hint="eastAsia"/>
                <w:sz w:val="22"/>
                <w:lang w:val="en-GB"/>
              </w:rPr>
              <w:t>1992</w:t>
            </w:r>
            <w:r>
              <w:rPr>
                <w:rFonts w:hint="eastAsia"/>
                <w:sz w:val="22"/>
                <w:lang w:val="en-GB"/>
              </w:rPr>
              <w:t>年关于劳动法的</w:t>
            </w:r>
            <w:r>
              <w:rPr>
                <w:sz w:val="22"/>
                <w:lang w:val="en-GB"/>
              </w:rPr>
              <w:t>第</w:t>
            </w:r>
            <w:r>
              <w:rPr>
                <w:rFonts w:hint="eastAsia"/>
                <w:sz w:val="22"/>
                <w:lang w:val="en-GB"/>
              </w:rPr>
              <w:t>二十二</w:t>
            </w:r>
            <w:r>
              <w:rPr>
                <w:sz w:val="22"/>
                <w:lang w:val="en-GB"/>
              </w:rPr>
              <w:t>号法令第</w:t>
            </w:r>
            <w:r>
              <w:rPr>
                <w:rFonts w:hint="eastAsia"/>
                <w:sz w:val="22"/>
                <w:lang w:val="en-GB"/>
              </w:rPr>
              <w:t>5</w:t>
            </w:r>
            <w:r>
              <w:rPr>
                <w:sz w:val="22"/>
                <w:lang w:val="en-GB"/>
              </w:rPr>
              <w:t>条第</w:t>
            </w:r>
            <w:r>
              <w:rPr>
                <w:rFonts w:hint="eastAsia"/>
                <w:sz w:val="22"/>
                <w:lang w:val="en-GB"/>
              </w:rPr>
              <w:t>1</w:t>
            </w:r>
            <w:r>
              <w:rPr>
                <w:sz w:val="22"/>
                <w:lang w:val="en-GB"/>
              </w:rPr>
              <w:t>款</w:t>
            </w:r>
            <w:r>
              <w:rPr>
                <w:sz w:val="22"/>
                <w:lang w:val="en-GB"/>
              </w:rPr>
              <w:t>(</w:t>
            </w:r>
            <w:r>
              <w:rPr>
                <w:rFonts w:hint="eastAsia"/>
                <w:sz w:val="22"/>
                <w:lang w:val="en-GB"/>
              </w:rPr>
              <w:t>经协调</w:t>
            </w:r>
            <w:r>
              <w:rPr>
                <w:sz w:val="22"/>
                <w:lang w:val="en-GB"/>
              </w:rPr>
              <w:t>1992</w:t>
            </w:r>
            <w:r>
              <w:rPr>
                <w:rFonts w:hint="eastAsia"/>
                <w:sz w:val="22"/>
                <w:lang w:val="en-GB"/>
              </w:rPr>
              <w:t>年关于劳动法的</w:t>
            </w:r>
            <w:r>
              <w:rPr>
                <w:sz w:val="22"/>
                <w:lang w:val="en-GB"/>
              </w:rPr>
              <w:t>第</w:t>
            </w:r>
            <w:r>
              <w:rPr>
                <w:rFonts w:hint="eastAsia"/>
                <w:sz w:val="22"/>
                <w:lang w:val="en-GB"/>
              </w:rPr>
              <w:t>二十二</w:t>
            </w:r>
            <w:r>
              <w:rPr>
                <w:sz w:val="22"/>
                <w:lang w:val="en-GB"/>
              </w:rPr>
              <w:t>号法令</w:t>
            </w:r>
            <w:r>
              <w:rPr>
                <w:rFonts w:hint="eastAsia"/>
                <w:sz w:val="22"/>
                <w:lang w:val="en-GB"/>
              </w:rPr>
              <w:t>和相关</w:t>
            </w:r>
            <w:r>
              <w:rPr>
                <w:sz w:val="22"/>
                <w:lang w:val="en-GB"/>
              </w:rPr>
              <w:t>法令</w:t>
            </w:r>
            <w:r>
              <w:rPr>
                <w:rFonts w:hint="eastAsia"/>
                <w:sz w:val="22"/>
                <w:lang w:val="en-GB"/>
              </w:rPr>
              <w:t>的</w:t>
            </w:r>
            <w:r>
              <w:rPr>
                <w:rFonts w:hint="eastAsia"/>
                <w:sz w:val="22"/>
                <w:lang w:val="en-GB"/>
              </w:rPr>
              <w:t>2003</w:t>
            </w:r>
            <w:r>
              <w:rPr>
                <w:rFonts w:hint="eastAsia"/>
                <w:sz w:val="22"/>
                <w:lang w:val="en-GB"/>
              </w:rPr>
              <w:t>年</w:t>
            </w:r>
            <w:r>
              <w:rPr>
                <w:sz w:val="22"/>
                <w:lang w:val="en-GB"/>
              </w:rPr>
              <w:t>第</w:t>
            </w:r>
            <w:r>
              <w:rPr>
                <w:rFonts w:hint="eastAsia"/>
                <w:sz w:val="22"/>
                <w:lang w:val="en-GB"/>
              </w:rPr>
              <w:t>二十</w:t>
            </w:r>
            <w:r>
              <w:rPr>
                <w:sz w:val="22"/>
                <w:lang w:val="en-GB"/>
              </w:rPr>
              <w:t>号法令第</w:t>
            </w:r>
            <w:r>
              <w:rPr>
                <w:rFonts w:hint="eastAsia"/>
                <w:sz w:val="22"/>
                <w:lang w:val="en-GB"/>
              </w:rPr>
              <w:t>1</w:t>
            </w:r>
            <w:r>
              <w:rPr>
                <w:sz w:val="22"/>
                <w:lang w:val="en-GB"/>
              </w:rPr>
              <w:t>条</w:t>
            </w:r>
            <w:r>
              <w:rPr>
                <w:rFonts w:hint="eastAsia"/>
                <w:sz w:val="22"/>
                <w:lang w:val="en-GB"/>
              </w:rPr>
              <w:t>修订</w:t>
            </w:r>
            <w:r>
              <w:rPr>
                <w:sz w:val="22"/>
                <w:lang w:val="en-GB"/>
              </w:rPr>
              <w:t>)</w:t>
            </w:r>
          </w:p>
        </w:tc>
      </w:tr>
      <w:tr w:rsidR="00000000">
        <w:tblPrEx>
          <w:tblCellMar>
            <w:top w:w="0" w:type="dxa"/>
            <w:bottom w:w="0" w:type="dxa"/>
          </w:tblCellMar>
        </w:tblPrEx>
        <w:trPr>
          <w:cantSplit/>
        </w:trPr>
        <w:tc>
          <w:tcPr>
            <w:tcW w:w="2730" w:type="dxa"/>
            <w:vMerge/>
          </w:tcPr>
          <w:p w:rsidR="00000000" w:rsidRDefault="00000000">
            <w:pPr>
              <w:pStyle w:val="a2"/>
              <w:ind w:right="113"/>
              <w:rPr>
                <w:sz w:val="22"/>
                <w:lang w:val="en-GB"/>
              </w:rPr>
            </w:pPr>
          </w:p>
        </w:tc>
        <w:tc>
          <w:tcPr>
            <w:tcW w:w="6630" w:type="dxa"/>
          </w:tcPr>
          <w:p w:rsidR="00000000" w:rsidRDefault="00000000">
            <w:pPr>
              <w:pStyle w:val="a2"/>
              <w:ind w:left="113"/>
              <w:rPr>
                <w:sz w:val="22"/>
                <w:lang w:val="en-GB"/>
              </w:rPr>
            </w:pPr>
            <w:r>
              <w:rPr>
                <w:rFonts w:hint="eastAsia"/>
                <w:sz w:val="22"/>
                <w:lang w:val="en-GB"/>
              </w:rPr>
              <w:t>关于公务员法律地位的</w:t>
            </w:r>
            <w:r>
              <w:rPr>
                <w:sz w:val="22"/>
                <w:lang w:val="en-GB"/>
              </w:rPr>
              <w:t>1992</w:t>
            </w:r>
            <w:r>
              <w:rPr>
                <w:rFonts w:hint="eastAsia"/>
                <w:sz w:val="22"/>
                <w:lang w:val="en-GB"/>
              </w:rPr>
              <w:t>年</w:t>
            </w:r>
            <w:r>
              <w:rPr>
                <w:sz w:val="22"/>
                <w:lang w:val="en-GB"/>
              </w:rPr>
              <w:t>第</w:t>
            </w:r>
            <w:r>
              <w:rPr>
                <w:rFonts w:hint="eastAsia"/>
                <w:sz w:val="22"/>
                <w:lang w:val="en-GB"/>
              </w:rPr>
              <w:t>三十三</w:t>
            </w:r>
            <w:r>
              <w:rPr>
                <w:sz w:val="22"/>
                <w:lang w:val="en-GB"/>
              </w:rPr>
              <w:t>号法令</w:t>
            </w:r>
            <w:r>
              <w:rPr>
                <w:rFonts w:hint="eastAsia"/>
                <w:sz w:val="22"/>
                <w:lang w:val="en-GB"/>
              </w:rPr>
              <w:t>的</w:t>
            </w:r>
            <w:r>
              <w:rPr>
                <w:sz w:val="22"/>
                <w:lang w:val="en-GB"/>
              </w:rPr>
              <w:t>第</w:t>
            </w:r>
            <w:r>
              <w:rPr>
                <w:rFonts w:hint="eastAsia"/>
                <w:sz w:val="22"/>
                <w:lang w:val="en-GB"/>
              </w:rPr>
              <w:t>4</w:t>
            </w:r>
            <w:r>
              <w:rPr>
                <w:sz w:val="22"/>
                <w:lang w:val="en-GB"/>
              </w:rPr>
              <w:t>条第</w:t>
            </w:r>
            <w:r>
              <w:rPr>
                <w:rFonts w:hint="eastAsia"/>
                <w:sz w:val="22"/>
                <w:lang w:val="en-GB"/>
              </w:rPr>
              <w:t>1</w:t>
            </w:r>
            <w:r>
              <w:rPr>
                <w:sz w:val="22"/>
                <w:lang w:val="en-GB"/>
              </w:rPr>
              <w:t>款</w:t>
            </w:r>
          </w:p>
        </w:tc>
      </w:tr>
      <w:tr w:rsidR="00000000">
        <w:tblPrEx>
          <w:tblCellMar>
            <w:top w:w="0" w:type="dxa"/>
            <w:bottom w:w="0" w:type="dxa"/>
          </w:tblCellMar>
        </w:tblPrEx>
        <w:trPr>
          <w:cantSplit/>
        </w:trPr>
        <w:tc>
          <w:tcPr>
            <w:tcW w:w="2730" w:type="dxa"/>
            <w:vMerge/>
          </w:tcPr>
          <w:p w:rsidR="00000000" w:rsidRDefault="00000000">
            <w:pPr>
              <w:pStyle w:val="a2"/>
              <w:ind w:right="113"/>
              <w:rPr>
                <w:sz w:val="22"/>
                <w:lang w:val="en-GB"/>
              </w:rPr>
            </w:pPr>
          </w:p>
        </w:tc>
        <w:tc>
          <w:tcPr>
            <w:tcW w:w="6630" w:type="dxa"/>
          </w:tcPr>
          <w:p w:rsidR="00000000" w:rsidRDefault="00000000">
            <w:pPr>
              <w:pStyle w:val="a2"/>
              <w:ind w:left="113"/>
              <w:rPr>
                <w:sz w:val="22"/>
                <w:lang w:val="en-GB"/>
              </w:rPr>
            </w:pPr>
            <w:r>
              <w:rPr>
                <w:rFonts w:hint="eastAsia"/>
                <w:sz w:val="22"/>
                <w:lang w:val="en-GB"/>
              </w:rPr>
              <w:t>宣布《关于无国籍人地位的公约》生效的</w:t>
            </w:r>
            <w:r>
              <w:rPr>
                <w:rFonts w:hint="eastAsia"/>
                <w:sz w:val="22"/>
                <w:lang w:val="en-GB"/>
              </w:rPr>
              <w:t>2002</w:t>
            </w:r>
            <w:r>
              <w:rPr>
                <w:rFonts w:hint="eastAsia"/>
                <w:sz w:val="22"/>
                <w:lang w:val="en-GB"/>
              </w:rPr>
              <w:t>年</w:t>
            </w:r>
            <w:r>
              <w:rPr>
                <w:sz w:val="22"/>
                <w:lang w:val="en-GB"/>
              </w:rPr>
              <w:t>第</w:t>
            </w:r>
            <w:r>
              <w:rPr>
                <w:rFonts w:hint="eastAsia"/>
                <w:sz w:val="22"/>
                <w:lang w:val="en-GB"/>
              </w:rPr>
              <w:t>二</w:t>
            </w:r>
            <w:r>
              <w:rPr>
                <w:sz w:val="22"/>
                <w:lang w:val="en-GB"/>
              </w:rPr>
              <w:t>号法令第</w:t>
            </w:r>
            <w:r>
              <w:rPr>
                <w:rFonts w:hint="eastAsia"/>
                <w:sz w:val="22"/>
                <w:lang w:val="en-GB"/>
              </w:rPr>
              <w:t>17</w:t>
            </w:r>
            <w:r>
              <w:rPr>
                <w:sz w:val="22"/>
                <w:lang w:val="en-GB"/>
              </w:rPr>
              <w:t>条</w:t>
            </w:r>
          </w:p>
        </w:tc>
      </w:tr>
      <w:tr w:rsidR="00000000">
        <w:tblPrEx>
          <w:tblCellMar>
            <w:top w:w="0" w:type="dxa"/>
            <w:bottom w:w="0" w:type="dxa"/>
          </w:tblCellMar>
        </w:tblPrEx>
        <w:trPr>
          <w:cantSplit/>
        </w:trPr>
        <w:tc>
          <w:tcPr>
            <w:tcW w:w="2730" w:type="dxa"/>
            <w:vMerge/>
          </w:tcPr>
          <w:p w:rsidR="00000000" w:rsidRDefault="00000000">
            <w:pPr>
              <w:pStyle w:val="a2"/>
              <w:ind w:right="113"/>
              <w:rPr>
                <w:sz w:val="22"/>
                <w:lang w:val="en-GB"/>
              </w:rPr>
            </w:pPr>
          </w:p>
        </w:tc>
        <w:tc>
          <w:tcPr>
            <w:tcW w:w="6630" w:type="dxa"/>
          </w:tcPr>
          <w:p w:rsidR="00000000" w:rsidRDefault="00000000">
            <w:pPr>
              <w:pStyle w:val="a2"/>
              <w:ind w:left="113"/>
              <w:rPr>
                <w:sz w:val="22"/>
                <w:lang w:val="en-GB"/>
              </w:rPr>
            </w:pPr>
            <w:r>
              <w:rPr>
                <w:rFonts w:hint="eastAsia"/>
                <w:sz w:val="22"/>
                <w:lang w:val="en-GB"/>
              </w:rPr>
              <w:t>关于残疾人权利和平等机会的</w:t>
            </w:r>
            <w:r>
              <w:rPr>
                <w:rFonts w:hint="eastAsia"/>
                <w:sz w:val="22"/>
                <w:lang w:val="en-GB"/>
              </w:rPr>
              <w:t>1998</w:t>
            </w:r>
            <w:r>
              <w:rPr>
                <w:rFonts w:hint="eastAsia"/>
                <w:sz w:val="22"/>
                <w:lang w:val="en-GB"/>
              </w:rPr>
              <w:t>年</w:t>
            </w:r>
            <w:r>
              <w:rPr>
                <w:sz w:val="22"/>
                <w:lang w:val="en-GB"/>
              </w:rPr>
              <w:t>第</w:t>
            </w:r>
            <w:r>
              <w:rPr>
                <w:rFonts w:hint="eastAsia"/>
                <w:sz w:val="22"/>
                <w:lang w:val="en-GB"/>
              </w:rPr>
              <w:t>二十六</w:t>
            </w:r>
            <w:r>
              <w:rPr>
                <w:sz w:val="22"/>
                <w:lang w:val="en-GB"/>
              </w:rPr>
              <w:t>号法令第</w:t>
            </w:r>
            <w:r>
              <w:rPr>
                <w:rFonts w:hint="eastAsia"/>
                <w:sz w:val="22"/>
                <w:lang w:val="en-GB"/>
              </w:rPr>
              <w:t>16</w:t>
            </w:r>
            <w:r>
              <w:rPr>
                <w:sz w:val="22"/>
                <w:lang w:val="en-GB"/>
              </w:rPr>
              <w:t>条</w:t>
            </w:r>
          </w:p>
        </w:tc>
      </w:tr>
      <w:tr w:rsidR="00000000">
        <w:tblPrEx>
          <w:tblCellMar>
            <w:top w:w="0" w:type="dxa"/>
            <w:bottom w:w="0" w:type="dxa"/>
          </w:tblCellMar>
        </w:tblPrEx>
        <w:tc>
          <w:tcPr>
            <w:tcW w:w="2730" w:type="dxa"/>
          </w:tcPr>
          <w:p w:rsidR="00000000" w:rsidRDefault="00000000">
            <w:pPr>
              <w:pStyle w:val="a2"/>
              <w:ind w:left="308" w:right="113" w:hanging="308"/>
              <w:rPr>
                <w:sz w:val="22"/>
                <w:lang w:val="en-GB"/>
              </w:rPr>
            </w:pPr>
            <w:r>
              <w:rPr>
                <w:sz w:val="22"/>
                <w:lang w:val="en-GB"/>
              </w:rPr>
              <w:t>2)</w:t>
            </w:r>
            <w:r>
              <w:rPr>
                <w:rFonts w:eastAsia="KaiTi_GB2312"/>
                <w:iCs/>
                <w:snapToGrid/>
                <w:spacing w:val="0"/>
                <w:sz w:val="22"/>
                <w:lang w:val="en-GB"/>
              </w:rPr>
              <w:t xml:space="preserve"> </w:t>
            </w:r>
            <w:r>
              <w:rPr>
                <w:rFonts w:eastAsia="KaiTi_GB2312" w:hint="eastAsia"/>
                <w:iCs/>
                <w:snapToGrid/>
                <w:spacing w:val="0"/>
                <w:sz w:val="22"/>
                <w:lang w:val="en-GB"/>
              </w:rPr>
              <w:t>包括社会保险在内的社会保障权</w:t>
            </w:r>
          </w:p>
        </w:tc>
        <w:tc>
          <w:tcPr>
            <w:tcW w:w="6630" w:type="dxa"/>
          </w:tcPr>
          <w:p w:rsidR="00000000" w:rsidRDefault="00000000">
            <w:pPr>
              <w:pStyle w:val="a2"/>
              <w:ind w:left="113"/>
              <w:rPr>
                <w:sz w:val="22"/>
                <w:lang w:val="en-GB"/>
              </w:rPr>
            </w:pPr>
            <w:r>
              <w:rPr>
                <w:rFonts w:hint="eastAsia"/>
                <w:sz w:val="22"/>
                <w:lang w:val="en-GB"/>
              </w:rPr>
              <w:t>关于社会行政管理和社会津贴的</w:t>
            </w:r>
            <w:r>
              <w:rPr>
                <w:rFonts w:hint="eastAsia"/>
                <w:sz w:val="22"/>
                <w:lang w:val="en-GB"/>
              </w:rPr>
              <w:t>1993</w:t>
            </w:r>
            <w:r>
              <w:rPr>
                <w:rFonts w:hint="eastAsia"/>
                <w:sz w:val="22"/>
                <w:lang w:val="en-GB"/>
              </w:rPr>
              <w:t>年</w:t>
            </w:r>
            <w:r>
              <w:rPr>
                <w:sz w:val="22"/>
                <w:lang w:val="en-GB"/>
              </w:rPr>
              <w:t>第</w:t>
            </w:r>
            <w:r>
              <w:rPr>
                <w:rFonts w:hint="eastAsia"/>
                <w:sz w:val="22"/>
                <w:lang w:val="en-GB"/>
              </w:rPr>
              <w:t>三</w:t>
            </w:r>
            <w:r>
              <w:rPr>
                <w:sz w:val="22"/>
                <w:lang w:val="en-GB"/>
              </w:rPr>
              <w:t>号法令第</w:t>
            </w:r>
            <w:r>
              <w:rPr>
                <w:sz w:val="22"/>
                <w:lang w:val="en-GB"/>
              </w:rPr>
              <w:t>94/E</w:t>
            </w:r>
            <w:r>
              <w:rPr>
                <w:sz w:val="22"/>
                <w:lang w:val="en-GB"/>
              </w:rPr>
              <w:t>条第</w:t>
            </w:r>
            <w:r>
              <w:rPr>
                <w:rFonts w:hint="eastAsia"/>
                <w:sz w:val="22"/>
                <w:lang w:val="en-GB"/>
              </w:rPr>
              <w:t>2</w:t>
            </w:r>
            <w:r>
              <w:rPr>
                <w:sz w:val="22"/>
                <w:lang w:val="en-GB"/>
              </w:rPr>
              <w:t>款</w:t>
            </w:r>
          </w:p>
        </w:tc>
      </w:tr>
      <w:tr w:rsidR="00000000">
        <w:tblPrEx>
          <w:tblCellMar>
            <w:top w:w="0" w:type="dxa"/>
            <w:bottom w:w="0" w:type="dxa"/>
          </w:tblCellMar>
        </w:tblPrEx>
        <w:trPr>
          <w:cantSplit/>
        </w:trPr>
        <w:tc>
          <w:tcPr>
            <w:tcW w:w="2730" w:type="dxa"/>
            <w:vMerge w:val="restart"/>
          </w:tcPr>
          <w:p w:rsidR="00000000" w:rsidRDefault="00000000">
            <w:pPr>
              <w:pStyle w:val="a2"/>
              <w:ind w:left="308" w:right="113" w:hanging="308"/>
              <w:rPr>
                <w:rFonts w:hint="eastAsia"/>
                <w:sz w:val="22"/>
                <w:lang w:val="en-GB"/>
              </w:rPr>
            </w:pPr>
            <w:r>
              <w:rPr>
                <w:sz w:val="22"/>
                <w:lang w:val="en-GB"/>
              </w:rPr>
              <w:t>3)</w:t>
            </w:r>
            <w:r>
              <w:rPr>
                <w:rFonts w:eastAsia="KaiTi_GB2312"/>
                <w:iCs/>
                <w:snapToGrid/>
                <w:spacing w:val="0"/>
                <w:sz w:val="22"/>
                <w:lang w:val="en-GB"/>
              </w:rPr>
              <w:t xml:space="preserve"> </w:t>
            </w:r>
            <w:r>
              <w:rPr>
                <w:rFonts w:eastAsia="KaiTi_GB2312" w:hint="eastAsia"/>
                <w:iCs/>
                <w:snapToGrid/>
                <w:spacing w:val="0"/>
                <w:sz w:val="22"/>
                <w:lang w:val="en-GB"/>
              </w:rPr>
              <w:t>受教育权</w:t>
            </w:r>
          </w:p>
        </w:tc>
        <w:tc>
          <w:tcPr>
            <w:tcW w:w="6630" w:type="dxa"/>
          </w:tcPr>
          <w:p w:rsidR="00000000" w:rsidRDefault="00000000">
            <w:pPr>
              <w:pStyle w:val="a2"/>
              <w:ind w:left="113"/>
              <w:rPr>
                <w:sz w:val="22"/>
                <w:lang w:val="en-GB"/>
              </w:rPr>
            </w:pPr>
            <w:r>
              <w:rPr>
                <w:rFonts w:hint="eastAsia"/>
                <w:sz w:val="22"/>
                <w:lang w:val="en-GB"/>
              </w:rPr>
              <w:t>关于公共教育的</w:t>
            </w:r>
            <w:r>
              <w:rPr>
                <w:sz w:val="22"/>
                <w:lang w:val="en-GB"/>
              </w:rPr>
              <w:t>1993</w:t>
            </w:r>
            <w:r>
              <w:rPr>
                <w:rFonts w:hint="eastAsia"/>
                <w:sz w:val="22"/>
                <w:lang w:val="en-GB"/>
              </w:rPr>
              <w:t>年</w:t>
            </w:r>
            <w:r>
              <w:rPr>
                <w:sz w:val="22"/>
                <w:lang w:val="en-GB"/>
              </w:rPr>
              <w:t>第</w:t>
            </w:r>
            <w:r>
              <w:rPr>
                <w:rFonts w:hint="eastAsia"/>
                <w:sz w:val="22"/>
                <w:lang w:val="en-GB"/>
              </w:rPr>
              <w:t>七十九</w:t>
            </w:r>
            <w:r>
              <w:rPr>
                <w:sz w:val="22"/>
                <w:lang w:val="en-GB"/>
              </w:rPr>
              <w:t>号法令第</w:t>
            </w:r>
            <w:r>
              <w:rPr>
                <w:rFonts w:hint="eastAsia"/>
                <w:sz w:val="22"/>
                <w:lang w:val="en-GB"/>
              </w:rPr>
              <w:t>4</w:t>
            </w:r>
            <w:r>
              <w:rPr>
                <w:sz w:val="22"/>
                <w:lang w:val="en-GB"/>
              </w:rPr>
              <w:t>条第</w:t>
            </w:r>
            <w:r>
              <w:rPr>
                <w:sz w:val="22"/>
                <w:lang w:val="en-GB"/>
              </w:rPr>
              <w:t>7-15</w:t>
            </w:r>
            <w:r>
              <w:rPr>
                <w:sz w:val="22"/>
                <w:lang w:val="en-GB"/>
              </w:rPr>
              <w:t>款</w:t>
            </w:r>
            <w:r>
              <w:rPr>
                <w:sz w:val="22"/>
                <w:lang w:val="en-GB"/>
              </w:rPr>
              <w:t>(</w:t>
            </w:r>
            <w:r>
              <w:rPr>
                <w:rFonts w:hint="eastAsia"/>
                <w:sz w:val="22"/>
                <w:lang w:val="en-GB"/>
              </w:rPr>
              <w:t>上述</w:t>
            </w:r>
            <w:r>
              <w:rPr>
                <w:sz w:val="22"/>
                <w:lang w:val="en-GB"/>
              </w:rPr>
              <w:t>法令</w:t>
            </w:r>
            <w:r>
              <w:rPr>
                <w:rFonts w:hint="eastAsia"/>
                <w:sz w:val="22"/>
                <w:lang w:val="en-GB"/>
              </w:rPr>
              <w:t>第</w:t>
            </w:r>
            <w:r>
              <w:rPr>
                <w:rFonts w:hint="eastAsia"/>
                <w:sz w:val="22"/>
                <w:lang w:val="en-GB"/>
              </w:rPr>
              <w:t>8-15</w:t>
            </w:r>
            <w:r>
              <w:rPr>
                <w:rFonts w:hint="eastAsia"/>
                <w:sz w:val="22"/>
                <w:lang w:val="en-GB"/>
              </w:rPr>
              <w:t>条经</w:t>
            </w:r>
            <w:r>
              <w:rPr>
                <w:rFonts w:hint="eastAsia"/>
                <w:sz w:val="22"/>
                <w:lang w:val="en-GB"/>
              </w:rPr>
              <w:t>2003</w:t>
            </w:r>
            <w:r>
              <w:rPr>
                <w:rFonts w:hint="eastAsia"/>
                <w:sz w:val="22"/>
                <w:lang w:val="en-GB"/>
              </w:rPr>
              <w:t>年</w:t>
            </w:r>
            <w:r>
              <w:rPr>
                <w:sz w:val="22"/>
                <w:lang w:val="en-GB"/>
              </w:rPr>
              <w:t>第</w:t>
            </w:r>
            <w:r>
              <w:rPr>
                <w:rFonts w:hint="eastAsia"/>
                <w:sz w:val="22"/>
                <w:lang w:val="en-GB"/>
              </w:rPr>
              <w:t>六十一号</w:t>
            </w:r>
            <w:r>
              <w:rPr>
                <w:sz w:val="22"/>
                <w:lang w:val="en-GB"/>
              </w:rPr>
              <w:t>法令第</w:t>
            </w:r>
            <w:r>
              <w:rPr>
                <w:rFonts w:hint="eastAsia"/>
                <w:sz w:val="22"/>
                <w:lang w:val="en-GB"/>
              </w:rPr>
              <w:t>13</w:t>
            </w:r>
            <w:r>
              <w:rPr>
                <w:sz w:val="22"/>
                <w:lang w:val="en-GB"/>
              </w:rPr>
              <w:t>条第</w:t>
            </w:r>
            <w:r>
              <w:rPr>
                <w:rFonts w:hint="eastAsia"/>
                <w:sz w:val="22"/>
                <w:lang w:val="en-GB"/>
              </w:rPr>
              <w:t>5</w:t>
            </w:r>
            <w:r>
              <w:rPr>
                <w:sz w:val="22"/>
                <w:lang w:val="en-GB"/>
              </w:rPr>
              <w:t>款</w:t>
            </w:r>
            <w:r>
              <w:rPr>
                <w:rFonts w:hint="eastAsia"/>
                <w:sz w:val="22"/>
                <w:lang w:val="en-GB"/>
              </w:rPr>
              <w:t>修订</w:t>
            </w:r>
            <w:r>
              <w:rPr>
                <w:sz w:val="22"/>
                <w:lang w:val="en-GB"/>
              </w:rPr>
              <w:t>)</w:t>
            </w:r>
          </w:p>
        </w:tc>
      </w:tr>
      <w:tr w:rsidR="00000000">
        <w:tblPrEx>
          <w:tblCellMar>
            <w:top w:w="0" w:type="dxa"/>
            <w:bottom w:w="0" w:type="dxa"/>
          </w:tblCellMar>
        </w:tblPrEx>
        <w:trPr>
          <w:cantSplit/>
        </w:trPr>
        <w:tc>
          <w:tcPr>
            <w:tcW w:w="2730" w:type="dxa"/>
            <w:vMerge/>
          </w:tcPr>
          <w:p w:rsidR="00000000" w:rsidRDefault="00000000">
            <w:pPr>
              <w:pStyle w:val="a2"/>
              <w:ind w:left="308" w:right="113" w:hanging="308"/>
              <w:rPr>
                <w:sz w:val="22"/>
                <w:lang w:val="en-GB"/>
              </w:rPr>
            </w:pPr>
          </w:p>
        </w:tc>
        <w:tc>
          <w:tcPr>
            <w:tcW w:w="6630" w:type="dxa"/>
          </w:tcPr>
          <w:p w:rsidR="00000000" w:rsidRDefault="00000000">
            <w:pPr>
              <w:pStyle w:val="a2"/>
              <w:ind w:left="113"/>
              <w:rPr>
                <w:sz w:val="22"/>
                <w:lang w:val="en-GB"/>
              </w:rPr>
            </w:pPr>
            <w:r>
              <w:rPr>
                <w:rFonts w:hint="eastAsia"/>
                <w:sz w:val="22"/>
                <w:lang w:val="en-GB"/>
              </w:rPr>
              <w:t>关于博物馆和公共图书馆的</w:t>
            </w:r>
            <w:r>
              <w:rPr>
                <w:sz w:val="22"/>
                <w:lang w:val="en-GB"/>
              </w:rPr>
              <w:t>1997</w:t>
            </w:r>
            <w:r>
              <w:rPr>
                <w:sz w:val="22"/>
                <w:lang w:val="en-GB"/>
              </w:rPr>
              <w:t>第</w:t>
            </w:r>
            <w:r>
              <w:rPr>
                <w:rFonts w:hint="eastAsia"/>
                <w:sz w:val="22"/>
                <w:lang w:val="en-GB"/>
              </w:rPr>
              <w:t>一百四十</w:t>
            </w:r>
            <w:r>
              <w:rPr>
                <w:sz w:val="22"/>
                <w:lang w:val="en-GB"/>
              </w:rPr>
              <w:t>号法令第</w:t>
            </w:r>
            <w:r>
              <w:rPr>
                <w:rFonts w:hint="eastAsia"/>
                <w:sz w:val="22"/>
                <w:lang w:val="en-GB"/>
              </w:rPr>
              <w:t>2</w:t>
            </w:r>
            <w:r>
              <w:rPr>
                <w:sz w:val="22"/>
                <w:lang w:val="en-GB"/>
              </w:rPr>
              <w:t>条</w:t>
            </w:r>
          </w:p>
        </w:tc>
      </w:tr>
      <w:tr w:rsidR="00000000">
        <w:tblPrEx>
          <w:tblCellMar>
            <w:top w:w="0" w:type="dxa"/>
            <w:bottom w:w="0" w:type="dxa"/>
          </w:tblCellMar>
        </w:tblPrEx>
        <w:trPr>
          <w:cantSplit/>
        </w:trPr>
        <w:tc>
          <w:tcPr>
            <w:tcW w:w="2730" w:type="dxa"/>
            <w:vMerge w:val="restart"/>
          </w:tcPr>
          <w:p w:rsidR="00000000" w:rsidRDefault="00000000">
            <w:pPr>
              <w:pStyle w:val="a2"/>
              <w:ind w:left="308" w:right="113" w:hanging="308"/>
              <w:rPr>
                <w:sz w:val="22"/>
                <w:lang w:val="en-GB"/>
              </w:rPr>
            </w:pPr>
            <w:r>
              <w:rPr>
                <w:sz w:val="22"/>
                <w:lang w:val="en-GB"/>
              </w:rPr>
              <w:t xml:space="preserve">4) </w:t>
            </w:r>
            <w:r>
              <w:rPr>
                <w:rFonts w:eastAsia="KaiTi_GB2312" w:hint="eastAsia"/>
                <w:snapToGrid/>
                <w:spacing w:val="0"/>
                <w:sz w:val="22"/>
                <w:lang w:val="en-GB"/>
              </w:rPr>
              <w:t>享受公正和良好的工作条件权</w:t>
            </w:r>
          </w:p>
        </w:tc>
        <w:tc>
          <w:tcPr>
            <w:tcW w:w="6630" w:type="dxa"/>
          </w:tcPr>
          <w:p w:rsidR="00000000" w:rsidRDefault="00000000">
            <w:pPr>
              <w:pStyle w:val="a2"/>
              <w:ind w:left="113"/>
              <w:rPr>
                <w:sz w:val="22"/>
                <w:lang w:val="en-GB"/>
              </w:rPr>
            </w:pPr>
            <w:r>
              <w:rPr>
                <w:rFonts w:hint="eastAsia"/>
                <w:sz w:val="22"/>
                <w:lang w:val="en-GB"/>
              </w:rPr>
              <w:t>关于武装部队正式成员服役问题的</w:t>
            </w:r>
            <w:r>
              <w:rPr>
                <w:rFonts w:hint="eastAsia"/>
                <w:sz w:val="22"/>
                <w:lang w:val="en-GB"/>
              </w:rPr>
              <w:t>1996</w:t>
            </w:r>
            <w:r>
              <w:rPr>
                <w:rFonts w:hint="eastAsia"/>
                <w:sz w:val="22"/>
                <w:lang w:val="en-GB"/>
              </w:rPr>
              <w:t>年</w:t>
            </w:r>
            <w:r>
              <w:rPr>
                <w:sz w:val="22"/>
                <w:lang w:val="en-GB"/>
              </w:rPr>
              <w:t>第</w:t>
            </w:r>
            <w:r>
              <w:rPr>
                <w:rFonts w:hint="eastAsia"/>
                <w:sz w:val="22"/>
                <w:lang w:val="en-GB"/>
              </w:rPr>
              <w:t>四十三</w:t>
            </w:r>
            <w:r>
              <w:rPr>
                <w:sz w:val="22"/>
                <w:lang w:val="en-GB"/>
              </w:rPr>
              <w:t>号法令第</w:t>
            </w:r>
            <w:r>
              <w:rPr>
                <w:sz w:val="22"/>
                <w:lang w:val="en-GB"/>
              </w:rPr>
              <w:t>6</w:t>
            </w:r>
            <w:r>
              <w:rPr>
                <w:sz w:val="22"/>
                <w:lang w:val="en-GB"/>
              </w:rPr>
              <w:t>条</w:t>
            </w:r>
          </w:p>
        </w:tc>
      </w:tr>
      <w:tr w:rsidR="00000000">
        <w:tblPrEx>
          <w:tblCellMar>
            <w:top w:w="0" w:type="dxa"/>
            <w:bottom w:w="0" w:type="dxa"/>
          </w:tblCellMar>
        </w:tblPrEx>
        <w:trPr>
          <w:cantSplit/>
        </w:trPr>
        <w:tc>
          <w:tcPr>
            <w:tcW w:w="2730" w:type="dxa"/>
            <w:vMerge/>
          </w:tcPr>
          <w:p w:rsidR="00000000" w:rsidRDefault="00000000">
            <w:pPr>
              <w:pStyle w:val="a2"/>
              <w:ind w:right="113"/>
              <w:rPr>
                <w:sz w:val="22"/>
                <w:lang w:val="en-GB"/>
              </w:rPr>
            </w:pPr>
          </w:p>
        </w:tc>
        <w:tc>
          <w:tcPr>
            <w:tcW w:w="6630" w:type="dxa"/>
          </w:tcPr>
          <w:p w:rsidR="00000000" w:rsidRDefault="00000000">
            <w:pPr>
              <w:pStyle w:val="a2"/>
              <w:ind w:left="113"/>
              <w:rPr>
                <w:sz w:val="22"/>
              </w:rPr>
            </w:pPr>
            <w:r>
              <w:rPr>
                <w:rFonts w:hint="eastAsia"/>
                <w:sz w:val="22"/>
              </w:rPr>
              <w:t>关于劳动监督的</w:t>
            </w:r>
            <w:r>
              <w:rPr>
                <w:rFonts w:hint="eastAsia"/>
                <w:sz w:val="22"/>
              </w:rPr>
              <w:t>1996</w:t>
            </w:r>
            <w:r>
              <w:rPr>
                <w:rFonts w:hint="eastAsia"/>
                <w:sz w:val="22"/>
              </w:rPr>
              <w:t>年</w:t>
            </w:r>
            <w:r>
              <w:rPr>
                <w:sz w:val="22"/>
              </w:rPr>
              <w:t>第</w:t>
            </w:r>
            <w:r>
              <w:rPr>
                <w:rFonts w:hint="eastAsia"/>
                <w:sz w:val="22"/>
              </w:rPr>
              <w:t>七十五</w:t>
            </w:r>
            <w:r>
              <w:rPr>
                <w:sz w:val="22"/>
              </w:rPr>
              <w:t>号法令第</w:t>
            </w:r>
            <w:r>
              <w:rPr>
                <w:sz w:val="22"/>
              </w:rPr>
              <w:t>3</w:t>
            </w:r>
            <w:r>
              <w:rPr>
                <w:sz w:val="22"/>
              </w:rPr>
              <w:t>条第</w:t>
            </w:r>
            <w:r>
              <w:rPr>
                <w:sz w:val="22"/>
              </w:rPr>
              <w:t>1</w:t>
            </w:r>
            <w:r>
              <w:rPr>
                <w:sz w:val="22"/>
              </w:rPr>
              <w:t>款</w:t>
            </w:r>
          </w:p>
        </w:tc>
      </w:tr>
      <w:tr w:rsidR="00000000">
        <w:tblPrEx>
          <w:tblCellMar>
            <w:top w:w="0" w:type="dxa"/>
            <w:bottom w:w="0" w:type="dxa"/>
          </w:tblCellMar>
        </w:tblPrEx>
        <w:trPr>
          <w:cantSplit/>
        </w:trPr>
        <w:tc>
          <w:tcPr>
            <w:tcW w:w="2730" w:type="dxa"/>
            <w:vMerge/>
          </w:tcPr>
          <w:p w:rsidR="00000000" w:rsidRDefault="00000000">
            <w:pPr>
              <w:pStyle w:val="a2"/>
              <w:ind w:right="113"/>
              <w:rPr>
                <w:sz w:val="22"/>
                <w:lang w:val="en-GB"/>
              </w:rPr>
            </w:pPr>
          </w:p>
        </w:tc>
        <w:tc>
          <w:tcPr>
            <w:tcW w:w="6630" w:type="dxa"/>
          </w:tcPr>
          <w:p w:rsidR="00000000" w:rsidRDefault="00000000">
            <w:pPr>
              <w:pStyle w:val="a2"/>
              <w:ind w:left="113"/>
              <w:rPr>
                <w:sz w:val="22"/>
                <w:lang w:val="en-GB"/>
              </w:rPr>
            </w:pPr>
            <w:r>
              <w:rPr>
                <w:rFonts w:hint="eastAsia"/>
                <w:sz w:val="22"/>
                <w:lang w:val="en-GB"/>
              </w:rPr>
              <w:t>关于匈牙利军队正式人员和合同人员的法律地位的</w:t>
            </w:r>
            <w:r>
              <w:rPr>
                <w:rFonts w:hint="eastAsia"/>
                <w:sz w:val="22"/>
                <w:lang w:val="en-GB"/>
              </w:rPr>
              <w:t>2001</w:t>
            </w:r>
            <w:r>
              <w:rPr>
                <w:rFonts w:hint="eastAsia"/>
                <w:sz w:val="22"/>
                <w:lang w:val="en-GB"/>
              </w:rPr>
              <w:t>年</w:t>
            </w:r>
            <w:r>
              <w:rPr>
                <w:sz w:val="22"/>
                <w:lang w:val="en-GB"/>
              </w:rPr>
              <w:t>第</w:t>
            </w:r>
            <w:r>
              <w:rPr>
                <w:rFonts w:hint="eastAsia"/>
                <w:sz w:val="22"/>
                <w:lang w:val="en-GB"/>
              </w:rPr>
              <w:t>九十五</w:t>
            </w:r>
            <w:r>
              <w:rPr>
                <w:sz w:val="22"/>
                <w:lang w:val="en-GB"/>
              </w:rPr>
              <w:t>号法令第</w:t>
            </w:r>
            <w:r>
              <w:rPr>
                <w:sz w:val="22"/>
                <w:lang w:val="en-GB"/>
              </w:rPr>
              <w:t>6</w:t>
            </w:r>
            <w:r>
              <w:rPr>
                <w:sz w:val="22"/>
                <w:lang w:val="en-GB"/>
              </w:rPr>
              <w:t>条</w:t>
            </w:r>
          </w:p>
        </w:tc>
      </w:tr>
      <w:tr w:rsidR="00000000">
        <w:tblPrEx>
          <w:tblCellMar>
            <w:top w:w="0" w:type="dxa"/>
            <w:bottom w:w="0" w:type="dxa"/>
          </w:tblCellMar>
        </w:tblPrEx>
        <w:trPr>
          <w:cantSplit/>
        </w:trPr>
        <w:tc>
          <w:tcPr>
            <w:tcW w:w="2730" w:type="dxa"/>
            <w:vMerge/>
          </w:tcPr>
          <w:p w:rsidR="00000000" w:rsidRDefault="00000000">
            <w:pPr>
              <w:pStyle w:val="a2"/>
              <w:ind w:right="113"/>
              <w:rPr>
                <w:sz w:val="22"/>
                <w:lang w:val="en-GB"/>
              </w:rPr>
            </w:pPr>
          </w:p>
        </w:tc>
        <w:tc>
          <w:tcPr>
            <w:tcW w:w="6630" w:type="dxa"/>
          </w:tcPr>
          <w:p w:rsidR="00000000" w:rsidRDefault="00000000">
            <w:pPr>
              <w:pStyle w:val="a2"/>
              <w:ind w:left="113"/>
              <w:rPr>
                <w:sz w:val="22"/>
                <w:lang w:val="en-GB"/>
              </w:rPr>
            </w:pPr>
            <w:r>
              <w:rPr>
                <w:rFonts w:hint="eastAsia"/>
                <w:sz w:val="22"/>
                <w:lang w:val="en-GB"/>
              </w:rPr>
              <w:t>关于公诉服务和资料处理的</w:t>
            </w:r>
            <w:r>
              <w:rPr>
                <w:rFonts w:hint="eastAsia"/>
                <w:sz w:val="22"/>
                <w:lang w:val="en-GB"/>
              </w:rPr>
              <w:t>1994</w:t>
            </w:r>
            <w:r>
              <w:rPr>
                <w:rFonts w:hint="eastAsia"/>
                <w:sz w:val="22"/>
                <w:lang w:val="en-GB"/>
              </w:rPr>
              <w:t>年</w:t>
            </w:r>
            <w:r>
              <w:rPr>
                <w:sz w:val="22"/>
                <w:lang w:val="en-GB"/>
              </w:rPr>
              <w:t>第</w:t>
            </w:r>
            <w:r>
              <w:rPr>
                <w:rFonts w:hint="eastAsia"/>
                <w:sz w:val="22"/>
                <w:lang w:val="en-GB"/>
              </w:rPr>
              <w:t>八十</w:t>
            </w:r>
            <w:r>
              <w:rPr>
                <w:sz w:val="22"/>
                <w:lang w:val="en-GB"/>
              </w:rPr>
              <w:t>号法令第</w:t>
            </w:r>
            <w:r>
              <w:rPr>
                <w:sz w:val="22"/>
                <w:lang w:val="en-GB"/>
              </w:rPr>
              <w:t>6</w:t>
            </w:r>
            <w:r>
              <w:rPr>
                <w:sz w:val="22"/>
                <w:lang w:val="en-GB"/>
              </w:rPr>
              <w:t>条第</w:t>
            </w:r>
            <w:r>
              <w:rPr>
                <w:sz w:val="22"/>
                <w:lang w:val="en-GB"/>
              </w:rPr>
              <w:t>1</w:t>
            </w:r>
            <w:r>
              <w:rPr>
                <w:sz w:val="22"/>
                <w:lang w:val="en-GB"/>
              </w:rPr>
              <w:t>款</w:t>
            </w:r>
            <w:r>
              <w:rPr>
                <w:sz w:val="22"/>
                <w:lang w:val="en-GB"/>
              </w:rPr>
              <w:t>(</w:t>
            </w:r>
            <w:r>
              <w:rPr>
                <w:rFonts w:hint="eastAsia"/>
                <w:sz w:val="22"/>
                <w:lang w:val="en-GB"/>
              </w:rPr>
              <w:t>经</w:t>
            </w:r>
            <w:r>
              <w:rPr>
                <w:rFonts w:hint="eastAsia"/>
                <w:sz w:val="22"/>
                <w:lang w:val="en-GB"/>
              </w:rPr>
              <w:t>2003</w:t>
            </w:r>
            <w:r>
              <w:rPr>
                <w:rFonts w:hint="eastAsia"/>
                <w:sz w:val="22"/>
                <w:lang w:val="en-GB"/>
              </w:rPr>
              <w:t>年</w:t>
            </w:r>
            <w:r>
              <w:rPr>
                <w:sz w:val="22"/>
                <w:lang w:val="en-GB"/>
              </w:rPr>
              <w:t>第</w:t>
            </w:r>
            <w:r>
              <w:rPr>
                <w:rFonts w:hint="eastAsia"/>
                <w:sz w:val="22"/>
                <w:lang w:val="en-GB"/>
              </w:rPr>
              <w:t>二十</w:t>
            </w:r>
            <w:r>
              <w:rPr>
                <w:sz w:val="22"/>
                <w:lang w:val="en-GB"/>
              </w:rPr>
              <w:t>号法令第</w:t>
            </w:r>
            <w:r>
              <w:rPr>
                <w:sz w:val="22"/>
                <w:lang w:val="en-GB"/>
              </w:rPr>
              <w:t>57</w:t>
            </w:r>
            <w:r>
              <w:rPr>
                <w:sz w:val="22"/>
                <w:lang w:val="en-GB"/>
              </w:rPr>
              <w:t>条第</w:t>
            </w:r>
            <w:r>
              <w:rPr>
                <w:rFonts w:hint="eastAsia"/>
                <w:sz w:val="22"/>
                <w:lang w:val="en-GB"/>
              </w:rPr>
              <w:t>1</w:t>
            </w:r>
            <w:r>
              <w:rPr>
                <w:sz w:val="22"/>
                <w:lang w:val="en-GB"/>
              </w:rPr>
              <w:t>款</w:t>
            </w:r>
            <w:r>
              <w:rPr>
                <w:rFonts w:hint="eastAsia"/>
                <w:sz w:val="22"/>
                <w:lang w:val="en-GB"/>
              </w:rPr>
              <w:t>修订</w:t>
            </w:r>
            <w:r>
              <w:rPr>
                <w:sz w:val="22"/>
                <w:lang w:val="en-GB"/>
              </w:rPr>
              <w:t>)</w:t>
            </w:r>
          </w:p>
        </w:tc>
      </w:tr>
      <w:tr w:rsidR="00000000">
        <w:tblPrEx>
          <w:tblCellMar>
            <w:top w:w="0" w:type="dxa"/>
            <w:bottom w:w="0" w:type="dxa"/>
          </w:tblCellMar>
        </w:tblPrEx>
        <w:trPr>
          <w:cantSplit/>
        </w:trPr>
        <w:tc>
          <w:tcPr>
            <w:tcW w:w="2730" w:type="dxa"/>
            <w:vMerge/>
          </w:tcPr>
          <w:p w:rsidR="00000000" w:rsidRDefault="00000000">
            <w:pPr>
              <w:pStyle w:val="a2"/>
              <w:ind w:right="113"/>
              <w:rPr>
                <w:sz w:val="22"/>
                <w:lang w:val="en-GB"/>
              </w:rPr>
            </w:pPr>
          </w:p>
        </w:tc>
        <w:tc>
          <w:tcPr>
            <w:tcW w:w="6630" w:type="dxa"/>
          </w:tcPr>
          <w:p w:rsidR="00000000" w:rsidRDefault="00000000">
            <w:pPr>
              <w:pStyle w:val="a2"/>
              <w:ind w:left="113"/>
              <w:rPr>
                <w:sz w:val="22"/>
                <w:lang w:val="en-GB"/>
              </w:rPr>
            </w:pPr>
            <w:r>
              <w:rPr>
                <w:rFonts w:hint="eastAsia"/>
                <w:sz w:val="22"/>
                <w:lang w:val="en-GB"/>
              </w:rPr>
              <w:t>宣布</w:t>
            </w:r>
            <w:r>
              <w:rPr>
                <w:rFonts w:hint="eastAsia"/>
                <w:sz w:val="22"/>
                <w:lang w:val="en-GB"/>
              </w:rPr>
              <w:t>1964</w:t>
            </w:r>
            <w:r>
              <w:rPr>
                <w:rFonts w:hint="eastAsia"/>
                <w:sz w:val="22"/>
                <w:lang w:val="en-GB"/>
              </w:rPr>
              <w:t>年国际劳工大会通过的关于就业政策的《</w:t>
            </w:r>
            <w:r>
              <w:rPr>
                <w:rFonts w:hint="eastAsia"/>
                <w:sz w:val="22"/>
              </w:rPr>
              <w:t>第</w:t>
            </w:r>
            <w:r>
              <w:rPr>
                <w:rFonts w:hint="eastAsia"/>
                <w:sz w:val="22"/>
              </w:rPr>
              <w:t>122</w:t>
            </w:r>
            <w:r>
              <w:rPr>
                <w:rFonts w:hint="eastAsia"/>
                <w:sz w:val="22"/>
              </w:rPr>
              <w:t>号公约</w:t>
            </w:r>
            <w:r>
              <w:rPr>
                <w:rFonts w:hint="eastAsia"/>
                <w:sz w:val="22"/>
                <w:lang w:val="en-GB"/>
              </w:rPr>
              <w:t>》</w:t>
            </w:r>
            <w:r>
              <w:rPr>
                <w:rFonts w:hint="eastAsia"/>
                <w:sz w:val="22"/>
              </w:rPr>
              <w:t>生效的</w:t>
            </w:r>
            <w:r>
              <w:rPr>
                <w:rFonts w:hint="eastAsia"/>
                <w:sz w:val="22"/>
                <w:lang w:val="en-GB"/>
              </w:rPr>
              <w:t>2000</w:t>
            </w:r>
            <w:r>
              <w:rPr>
                <w:rFonts w:hint="eastAsia"/>
                <w:sz w:val="22"/>
                <w:lang w:val="en-GB"/>
              </w:rPr>
              <w:t>年</w:t>
            </w:r>
            <w:r>
              <w:rPr>
                <w:sz w:val="22"/>
                <w:lang w:val="en-GB"/>
              </w:rPr>
              <w:t>第</w:t>
            </w:r>
            <w:r>
              <w:rPr>
                <w:rFonts w:hint="eastAsia"/>
                <w:sz w:val="22"/>
                <w:lang w:val="en-GB"/>
              </w:rPr>
              <w:t>六十二</w:t>
            </w:r>
            <w:r>
              <w:rPr>
                <w:sz w:val="22"/>
                <w:lang w:val="en-GB"/>
              </w:rPr>
              <w:t>号法令第</w:t>
            </w:r>
            <w:r>
              <w:rPr>
                <w:rFonts w:hint="eastAsia"/>
                <w:sz w:val="22"/>
                <w:lang w:val="en-GB"/>
              </w:rPr>
              <w:t>1</w:t>
            </w:r>
            <w:r>
              <w:rPr>
                <w:sz w:val="22"/>
                <w:lang w:val="en-GB"/>
              </w:rPr>
              <w:t>条</w:t>
            </w:r>
            <w:r>
              <w:rPr>
                <w:sz w:val="22"/>
                <w:lang w:val="en-GB"/>
              </w:rPr>
              <w:t xml:space="preserve"> </w:t>
            </w:r>
            <w:r>
              <w:rPr>
                <w:sz w:val="22"/>
                <w:lang w:val="en-GB"/>
              </w:rPr>
              <w:t>第</w:t>
            </w:r>
            <w:r>
              <w:rPr>
                <w:rFonts w:hint="eastAsia"/>
                <w:sz w:val="22"/>
                <w:lang w:val="en-GB"/>
              </w:rPr>
              <w:t>2</w:t>
            </w:r>
            <w:r>
              <w:rPr>
                <w:sz w:val="22"/>
                <w:lang w:val="en-GB"/>
              </w:rPr>
              <w:t>款</w:t>
            </w:r>
          </w:p>
        </w:tc>
      </w:tr>
      <w:tr w:rsidR="00000000">
        <w:tblPrEx>
          <w:tblCellMar>
            <w:top w:w="0" w:type="dxa"/>
            <w:bottom w:w="0" w:type="dxa"/>
          </w:tblCellMar>
        </w:tblPrEx>
        <w:trPr>
          <w:cantSplit/>
        </w:trPr>
        <w:tc>
          <w:tcPr>
            <w:tcW w:w="2730" w:type="dxa"/>
            <w:vMerge w:val="restart"/>
          </w:tcPr>
          <w:p w:rsidR="00000000" w:rsidRDefault="00000000">
            <w:pPr>
              <w:pStyle w:val="a2"/>
              <w:ind w:right="113"/>
              <w:rPr>
                <w:sz w:val="22"/>
                <w:lang w:val="en-GB"/>
              </w:rPr>
            </w:pPr>
            <w:r>
              <w:rPr>
                <w:sz w:val="22"/>
                <w:lang w:val="en-GB"/>
              </w:rPr>
              <w:t xml:space="preserve">5) </w:t>
            </w:r>
            <w:r>
              <w:rPr>
                <w:rFonts w:eastAsia="KaiTi_GB2312" w:hint="eastAsia"/>
                <w:snapToGrid/>
                <w:spacing w:val="0"/>
                <w:sz w:val="22"/>
                <w:lang w:val="en-GB"/>
              </w:rPr>
              <w:t>组织工会和参加他所选择的工会的权利</w:t>
            </w:r>
          </w:p>
        </w:tc>
        <w:tc>
          <w:tcPr>
            <w:tcW w:w="6630" w:type="dxa"/>
          </w:tcPr>
          <w:p w:rsidR="00000000" w:rsidRDefault="00000000">
            <w:pPr>
              <w:pStyle w:val="a2"/>
              <w:ind w:left="113"/>
              <w:rPr>
                <w:sz w:val="22"/>
                <w:lang w:val="en-GB"/>
              </w:rPr>
            </w:pPr>
            <w:r>
              <w:rPr>
                <w:rFonts w:hint="eastAsia"/>
                <w:sz w:val="22"/>
                <w:lang w:val="en-GB"/>
              </w:rPr>
              <w:t>关于实行义务兵役制的士兵服役问题的</w:t>
            </w:r>
            <w:r>
              <w:rPr>
                <w:rFonts w:hint="eastAsia"/>
                <w:sz w:val="22"/>
                <w:lang w:val="en-GB"/>
              </w:rPr>
              <w:t>1996</w:t>
            </w:r>
            <w:r>
              <w:rPr>
                <w:rFonts w:hint="eastAsia"/>
                <w:sz w:val="22"/>
                <w:lang w:val="en-GB"/>
              </w:rPr>
              <w:t>年</w:t>
            </w:r>
            <w:r>
              <w:rPr>
                <w:sz w:val="22"/>
                <w:lang w:val="en-GB"/>
              </w:rPr>
              <w:t>第</w:t>
            </w:r>
            <w:r>
              <w:rPr>
                <w:rFonts w:hint="eastAsia"/>
                <w:sz w:val="22"/>
                <w:lang w:val="en-GB"/>
              </w:rPr>
              <w:t>四十四</w:t>
            </w:r>
            <w:r>
              <w:rPr>
                <w:sz w:val="22"/>
                <w:lang w:val="en-GB"/>
              </w:rPr>
              <w:t>号法令第</w:t>
            </w:r>
            <w:r>
              <w:rPr>
                <w:sz w:val="22"/>
                <w:lang w:val="en-GB"/>
              </w:rPr>
              <w:t>30</w:t>
            </w:r>
            <w:r>
              <w:rPr>
                <w:sz w:val="22"/>
                <w:lang w:val="en-GB"/>
              </w:rPr>
              <w:t>条第</w:t>
            </w:r>
            <w:r>
              <w:rPr>
                <w:sz w:val="22"/>
                <w:lang w:val="en-GB"/>
              </w:rPr>
              <w:t>1</w:t>
            </w:r>
            <w:r>
              <w:rPr>
                <w:sz w:val="22"/>
                <w:lang w:val="en-GB"/>
              </w:rPr>
              <w:t>款</w:t>
            </w:r>
          </w:p>
        </w:tc>
      </w:tr>
      <w:tr w:rsidR="00000000">
        <w:tblPrEx>
          <w:tblCellMar>
            <w:top w:w="0" w:type="dxa"/>
            <w:bottom w:w="0" w:type="dxa"/>
          </w:tblCellMar>
        </w:tblPrEx>
        <w:trPr>
          <w:cantSplit/>
        </w:trPr>
        <w:tc>
          <w:tcPr>
            <w:tcW w:w="2730" w:type="dxa"/>
            <w:vMerge/>
          </w:tcPr>
          <w:p w:rsidR="00000000" w:rsidRDefault="00000000">
            <w:pPr>
              <w:pStyle w:val="a2"/>
              <w:ind w:right="113"/>
              <w:rPr>
                <w:sz w:val="22"/>
                <w:lang w:val="en-GB"/>
              </w:rPr>
            </w:pPr>
          </w:p>
        </w:tc>
        <w:tc>
          <w:tcPr>
            <w:tcW w:w="6630" w:type="dxa"/>
          </w:tcPr>
          <w:p w:rsidR="00000000" w:rsidRDefault="00000000">
            <w:pPr>
              <w:pStyle w:val="a2"/>
              <w:ind w:left="113"/>
              <w:rPr>
                <w:sz w:val="22"/>
                <w:lang w:val="en-GB"/>
              </w:rPr>
            </w:pPr>
            <w:r>
              <w:rPr>
                <w:rFonts w:hint="eastAsia"/>
                <w:sz w:val="22"/>
                <w:lang w:val="en-GB"/>
              </w:rPr>
              <w:t>关于《劳动法》的</w:t>
            </w:r>
            <w:r>
              <w:rPr>
                <w:sz w:val="22"/>
                <w:lang w:val="en-GB"/>
              </w:rPr>
              <w:t>1992</w:t>
            </w:r>
            <w:r>
              <w:rPr>
                <w:rFonts w:hint="eastAsia"/>
                <w:sz w:val="22"/>
                <w:lang w:val="en-GB"/>
              </w:rPr>
              <w:t>年</w:t>
            </w:r>
            <w:r>
              <w:rPr>
                <w:sz w:val="22"/>
                <w:lang w:val="en-GB"/>
              </w:rPr>
              <w:t>第</w:t>
            </w:r>
            <w:r>
              <w:rPr>
                <w:rFonts w:hint="eastAsia"/>
                <w:sz w:val="22"/>
                <w:lang w:val="en-GB"/>
              </w:rPr>
              <w:t>二十二</w:t>
            </w:r>
            <w:r>
              <w:rPr>
                <w:sz w:val="22"/>
                <w:lang w:val="en-GB"/>
              </w:rPr>
              <w:t>号法令第</w:t>
            </w:r>
            <w:r>
              <w:rPr>
                <w:sz w:val="22"/>
                <w:lang w:val="en-GB"/>
              </w:rPr>
              <w:t>15</w:t>
            </w:r>
            <w:r>
              <w:rPr>
                <w:sz w:val="22"/>
                <w:lang w:val="en-GB"/>
              </w:rPr>
              <w:t>条第</w:t>
            </w:r>
            <w:r>
              <w:rPr>
                <w:sz w:val="22"/>
                <w:lang w:val="en-GB"/>
              </w:rPr>
              <w:t>1</w:t>
            </w:r>
            <w:r>
              <w:rPr>
                <w:sz w:val="22"/>
                <w:lang w:val="en-GB"/>
              </w:rPr>
              <w:t>款</w:t>
            </w:r>
          </w:p>
        </w:tc>
      </w:tr>
      <w:tr w:rsidR="00000000">
        <w:tblPrEx>
          <w:tblCellMar>
            <w:top w:w="0" w:type="dxa"/>
            <w:bottom w:w="0" w:type="dxa"/>
          </w:tblCellMar>
        </w:tblPrEx>
        <w:tc>
          <w:tcPr>
            <w:tcW w:w="2730" w:type="dxa"/>
          </w:tcPr>
          <w:p w:rsidR="00000000" w:rsidRDefault="00000000">
            <w:pPr>
              <w:pStyle w:val="a2"/>
              <w:ind w:right="113"/>
              <w:rPr>
                <w:sz w:val="22"/>
                <w:lang w:val="en-GB"/>
              </w:rPr>
            </w:pPr>
            <w:r>
              <w:rPr>
                <w:sz w:val="22"/>
                <w:lang w:val="en-GB"/>
              </w:rPr>
              <w:t>6)</w:t>
            </w:r>
            <w:r>
              <w:rPr>
                <w:rFonts w:eastAsia="KaiTi_GB2312"/>
                <w:iCs/>
                <w:snapToGrid/>
                <w:spacing w:val="0"/>
                <w:sz w:val="22"/>
                <w:lang w:val="en-GB"/>
              </w:rPr>
              <w:t xml:space="preserve"> </w:t>
            </w:r>
            <w:r>
              <w:rPr>
                <w:rFonts w:eastAsia="KaiTi_GB2312" w:hint="eastAsia"/>
                <w:iCs/>
                <w:snapToGrid/>
                <w:spacing w:val="0"/>
                <w:sz w:val="22"/>
                <w:lang w:val="en-GB"/>
              </w:rPr>
              <w:t>保护家庭</w:t>
            </w:r>
            <w:r>
              <w:rPr>
                <w:rFonts w:eastAsia="KaiTi_GB2312"/>
                <w:iCs/>
                <w:snapToGrid/>
                <w:spacing w:val="0"/>
                <w:sz w:val="22"/>
              </w:rPr>
              <w:t>、</w:t>
            </w:r>
            <w:r>
              <w:rPr>
                <w:rFonts w:eastAsia="KaiTi_GB2312" w:hint="eastAsia"/>
                <w:iCs/>
                <w:snapToGrid/>
                <w:spacing w:val="0"/>
                <w:sz w:val="22"/>
                <w:lang w:val="en-GB"/>
              </w:rPr>
              <w:t>儿童和母亲</w:t>
            </w:r>
          </w:p>
        </w:tc>
        <w:tc>
          <w:tcPr>
            <w:tcW w:w="6630" w:type="dxa"/>
          </w:tcPr>
          <w:p w:rsidR="00000000" w:rsidRDefault="00000000">
            <w:pPr>
              <w:pStyle w:val="a2"/>
              <w:ind w:left="113"/>
              <w:rPr>
                <w:sz w:val="22"/>
                <w:lang w:val="en-GB"/>
              </w:rPr>
            </w:pPr>
            <w:r>
              <w:rPr>
                <w:rFonts w:hint="eastAsia"/>
                <w:sz w:val="22"/>
                <w:lang w:val="en-GB"/>
              </w:rPr>
              <w:t>关于儿童保护和实施儿童保护的</w:t>
            </w:r>
            <w:r>
              <w:rPr>
                <w:sz w:val="22"/>
                <w:lang w:val="en-GB"/>
              </w:rPr>
              <w:t>1997</w:t>
            </w:r>
            <w:r>
              <w:rPr>
                <w:rFonts w:hint="eastAsia"/>
                <w:sz w:val="22"/>
                <w:lang w:val="en-GB"/>
              </w:rPr>
              <w:t>年</w:t>
            </w:r>
            <w:r>
              <w:rPr>
                <w:sz w:val="22"/>
                <w:lang w:val="en-GB"/>
              </w:rPr>
              <w:t>第</w:t>
            </w:r>
            <w:r>
              <w:rPr>
                <w:rFonts w:hint="eastAsia"/>
                <w:sz w:val="22"/>
                <w:lang w:val="en-GB"/>
              </w:rPr>
              <w:t>三十一</w:t>
            </w:r>
            <w:r>
              <w:rPr>
                <w:sz w:val="22"/>
                <w:lang w:val="en-GB"/>
              </w:rPr>
              <w:t>号法令第</w:t>
            </w:r>
            <w:r>
              <w:rPr>
                <w:sz w:val="22"/>
                <w:lang w:val="en-GB"/>
              </w:rPr>
              <w:t>3</w:t>
            </w:r>
            <w:r>
              <w:rPr>
                <w:sz w:val="22"/>
                <w:lang w:val="en-GB"/>
              </w:rPr>
              <w:t>条第</w:t>
            </w:r>
            <w:r>
              <w:rPr>
                <w:sz w:val="22"/>
                <w:lang w:val="en-GB"/>
              </w:rPr>
              <w:t>2</w:t>
            </w:r>
            <w:r>
              <w:rPr>
                <w:sz w:val="22"/>
                <w:lang w:val="en-GB"/>
              </w:rPr>
              <w:t>款</w:t>
            </w:r>
          </w:p>
        </w:tc>
      </w:tr>
      <w:tr w:rsidR="00000000">
        <w:tblPrEx>
          <w:tblCellMar>
            <w:top w:w="0" w:type="dxa"/>
            <w:bottom w:w="0" w:type="dxa"/>
          </w:tblCellMar>
        </w:tblPrEx>
        <w:tc>
          <w:tcPr>
            <w:tcW w:w="2730" w:type="dxa"/>
          </w:tcPr>
          <w:p w:rsidR="00000000" w:rsidRDefault="00000000">
            <w:pPr>
              <w:pStyle w:val="a2"/>
              <w:ind w:right="113"/>
              <w:rPr>
                <w:rFonts w:hint="eastAsia"/>
                <w:sz w:val="22"/>
                <w:lang w:val="en-GB"/>
              </w:rPr>
            </w:pPr>
            <w:r>
              <w:rPr>
                <w:sz w:val="22"/>
                <w:lang w:val="en-GB"/>
              </w:rPr>
              <w:t xml:space="preserve">7) </w:t>
            </w:r>
            <w:r>
              <w:rPr>
                <w:rFonts w:eastAsia="KaiTi_GB2312" w:hint="eastAsia"/>
                <w:iCs/>
                <w:snapToGrid/>
                <w:spacing w:val="0"/>
                <w:sz w:val="22"/>
                <w:lang w:val="en-GB"/>
              </w:rPr>
              <w:t>健康权</w:t>
            </w:r>
          </w:p>
        </w:tc>
        <w:tc>
          <w:tcPr>
            <w:tcW w:w="6630" w:type="dxa"/>
          </w:tcPr>
          <w:p w:rsidR="00000000" w:rsidRDefault="00000000">
            <w:pPr>
              <w:pStyle w:val="a2"/>
              <w:ind w:left="113"/>
              <w:rPr>
                <w:sz w:val="22"/>
                <w:lang w:val="en-GB"/>
              </w:rPr>
            </w:pPr>
            <w:r>
              <w:rPr>
                <w:rFonts w:hint="eastAsia"/>
                <w:sz w:val="22"/>
                <w:lang w:val="en-GB"/>
              </w:rPr>
              <w:t>关于公共卫生的</w:t>
            </w:r>
            <w:r>
              <w:rPr>
                <w:rFonts w:hint="eastAsia"/>
                <w:sz w:val="22"/>
                <w:lang w:val="en-GB"/>
              </w:rPr>
              <w:t>1997</w:t>
            </w:r>
            <w:r>
              <w:rPr>
                <w:rFonts w:hint="eastAsia"/>
                <w:sz w:val="22"/>
                <w:lang w:val="en-GB"/>
              </w:rPr>
              <w:t>年</w:t>
            </w:r>
            <w:r>
              <w:rPr>
                <w:sz w:val="22"/>
                <w:lang w:val="en-GB"/>
              </w:rPr>
              <w:t>第</w:t>
            </w:r>
            <w:r>
              <w:rPr>
                <w:rFonts w:hint="eastAsia"/>
                <w:sz w:val="22"/>
                <w:lang w:val="en-GB"/>
              </w:rPr>
              <w:t>一百五十四</w:t>
            </w:r>
            <w:r>
              <w:rPr>
                <w:sz w:val="22"/>
                <w:lang w:val="en-GB"/>
              </w:rPr>
              <w:t>号法令第</w:t>
            </w:r>
            <w:r>
              <w:rPr>
                <w:rFonts w:hint="eastAsia"/>
                <w:sz w:val="22"/>
                <w:lang w:val="en-GB"/>
              </w:rPr>
              <w:t>7</w:t>
            </w:r>
            <w:r>
              <w:rPr>
                <w:sz w:val="22"/>
                <w:lang w:val="en-GB"/>
              </w:rPr>
              <w:t>条第</w:t>
            </w:r>
            <w:r>
              <w:rPr>
                <w:rFonts w:hint="eastAsia"/>
                <w:sz w:val="22"/>
                <w:lang w:val="en-GB"/>
              </w:rPr>
              <w:t>1</w:t>
            </w:r>
            <w:r>
              <w:rPr>
                <w:sz w:val="22"/>
                <w:lang w:val="en-GB"/>
              </w:rPr>
              <w:t>款</w:t>
            </w:r>
            <w:r>
              <w:rPr>
                <w:rFonts w:hint="eastAsia"/>
                <w:sz w:val="22"/>
                <w:lang w:val="en-GB"/>
              </w:rPr>
              <w:t>、</w:t>
            </w:r>
            <w:r>
              <w:rPr>
                <w:sz w:val="22"/>
                <w:lang w:val="en-GB"/>
              </w:rPr>
              <w:t>第</w:t>
            </w:r>
            <w:r>
              <w:rPr>
                <w:sz w:val="22"/>
                <w:lang w:val="en-GB"/>
              </w:rPr>
              <w:t>9</w:t>
            </w:r>
            <w:r>
              <w:rPr>
                <w:sz w:val="22"/>
                <w:lang w:val="en-GB"/>
              </w:rPr>
              <w:t>条第</w:t>
            </w:r>
            <w:r>
              <w:rPr>
                <w:sz w:val="22"/>
                <w:lang w:val="en-GB"/>
              </w:rPr>
              <w:t>4</w:t>
            </w:r>
            <w:r>
              <w:rPr>
                <w:sz w:val="22"/>
                <w:lang w:val="en-GB"/>
              </w:rPr>
              <w:t>款</w:t>
            </w:r>
            <w:r>
              <w:rPr>
                <w:rFonts w:hint="eastAsia"/>
                <w:sz w:val="22"/>
                <w:lang w:val="en-GB"/>
              </w:rPr>
              <w:t>和</w:t>
            </w:r>
            <w:r>
              <w:rPr>
                <w:sz w:val="22"/>
                <w:lang w:val="en-GB"/>
              </w:rPr>
              <w:t>第</w:t>
            </w:r>
            <w:r>
              <w:rPr>
                <w:sz w:val="22"/>
                <w:lang w:val="en-GB"/>
              </w:rPr>
              <w:t>30</w:t>
            </w:r>
            <w:r>
              <w:rPr>
                <w:sz w:val="22"/>
                <w:lang w:val="en-GB"/>
              </w:rPr>
              <w:t>条第</w:t>
            </w:r>
            <w:r>
              <w:rPr>
                <w:sz w:val="22"/>
                <w:lang w:val="en-GB"/>
              </w:rPr>
              <w:t>5</w:t>
            </w:r>
            <w:r>
              <w:rPr>
                <w:sz w:val="22"/>
                <w:lang w:val="en-GB"/>
              </w:rPr>
              <w:t>款</w:t>
            </w:r>
          </w:p>
        </w:tc>
      </w:tr>
    </w:tbl>
    <w:p w:rsidR="00000000" w:rsidRDefault="00000000">
      <w:pPr>
        <w:rPr>
          <w:lang w:val="en-GB"/>
        </w:rPr>
      </w:pPr>
    </w:p>
    <w:p w:rsidR="00000000" w:rsidRDefault="00000000">
      <w:pPr>
        <w:rPr>
          <w:rFonts w:hint="eastAsia"/>
          <w:lang w:val="en-GB"/>
        </w:rPr>
      </w:pPr>
      <w:r>
        <w:rPr>
          <w:lang w:val="en-GB"/>
        </w:rPr>
        <w:tab/>
        <w:t xml:space="preserve">12.  </w:t>
      </w:r>
      <w:r>
        <w:rPr>
          <w:rFonts w:hint="eastAsia"/>
          <w:lang w:val="en-GB"/>
        </w:rPr>
        <w:t>政府按照目前的立法方案</w:t>
      </w:r>
      <w:r>
        <w:rPr>
          <w:rFonts w:hint="eastAsia"/>
          <w:lang w:val="en-GB"/>
        </w:rPr>
        <w:t>.</w:t>
      </w:r>
      <w:r>
        <w:rPr>
          <w:rFonts w:hint="eastAsia"/>
          <w:lang w:val="en-GB"/>
        </w:rPr>
        <w:t>一直在制定一项全面的禁止歧视法令。在进行了为时两年的准备工作之后，政府在</w:t>
      </w:r>
      <w:r>
        <w:rPr>
          <w:rFonts w:hint="eastAsia"/>
          <w:lang w:val="en-GB"/>
        </w:rPr>
        <w:t>2003</w:t>
      </w:r>
      <w:r>
        <w:rPr>
          <w:rFonts w:hint="eastAsia"/>
          <w:lang w:val="en-GB"/>
        </w:rPr>
        <w:t>年</w:t>
      </w:r>
      <w:r>
        <w:rPr>
          <w:rFonts w:hint="eastAsia"/>
          <w:lang w:val="en-GB"/>
        </w:rPr>
        <w:t>9</w:t>
      </w:r>
      <w:r>
        <w:rPr>
          <w:rFonts w:hint="eastAsia"/>
          <w:lang w:val="en-GB"/>
        </w:rPr>
        <w:t>月向国会提交了关于平等待遇和增进机会平等的第</w:t>
      </w:r>
      <w:r>
        <w:rPr>
          <w:lang w:val="en-GB"/>
        </w:rPr>
        <w:t>T/5585</w:t>
      </w:r>
      <w:r>
        <w:rPr>
          <w:rFonts w:hint="eastAsia"/>
          <w:lang w:val="en-GB"/>
        </w:rPr>
        <w:t>号法案。法案于</w:t>
      </w:r>
      <w:r>
        <w:rPr>
          <w:rFonts w:hint="eastAsia"/>
          <w:lang w:val="en-GB"/>
        </w:rPr>
        <w:t>2003</w:t>
      </w:r>
      <w:r>
        <w:rPr>
          <w:rFonts w:hint="eastAsia"/>
          <w:lang w:val="en-GB"/>
        </w:rPr>
        <w:t>年</w:t>
      </w:r>
      <w:r>
        <w:rPr>
          <w:rFonts w:hint="eastAsia"/>
          <w:lang w:val="en-GB"/>
        </w:rPr>
        <w:t>12</w:t>
      </w:r>
      <w:r>
        <w:rPr>
          <w:rFonts w:hint="eastAsia"/>
          <w:lang w:val="en-GB"/>
        </w:rPr>
        <w:t>月</w:t>
      </w:r>
      <w:r>
        <w:rPr>
          <w:rFonts w:hint="eastAsia"/>
          <w:lang w:val="en-GB"/>
        </w:rPr>
        <w:t>28</w:t>
      </w:r>
      <w:r>
        <w:rPr>
          <w:rFonts w:hint="eastAsia"/>
          <w:lang w:val="en-GB"/>
        </w:rPr>
        <w:t>日获得通过，成为关于平等待遇和增进机会平等的</w:t>
      </w:r>
      <w:r>
        <w:rPr>
          <w:rFonts w:hint="eastAsia"/>
          <w:lang w:val="en-GB"/>
        </w:rPr>
        <w:t>2003</w:t>
      </w:r>
      <w:r>
        <w:rPr>
          <w:rFonts w:hint="eastAsia"/>
          <w:lang w:val="en-GB"/>
        </w:rPr>
        <w:t>年第一百二十五号法令</w:t>
      </w:r>
      <w:r>
        <w:rPr>
          <w:rFonts w:hint="eastAsia"/>
          <w:lang w:val="en-GB"/>
        </w:rPr>
        <w:t>(</w:t>
      </w:r>
      <w:r>
        <w:rPr>
          <w:rFonts w:hint="eastAsia"/>
          <w:lang w:val="en-GB"/>
        </w:rPr>
        <w:t>见附件三</w:t>
      </w:r>
      <w:r>
        <w:rPr>
          <w:rFonts w:hint="eastAsia"/>
          <w:lang w:val="en-GB"/>
        </w:rPr>
        <w:t>)</w:t>
      </w:r>
      <w:r>
        <w:rPr>
          <w:rFonts w:hint="eastAsia"/>
          <w:lang w:val="en-GB"/>
        </w:rPr>
        <w:t>。</w:t>
      </w:r>
    </w:p>
    <w:p w:rsidR="00000000" w:rsidRDefault="00000000">
      <w:pPr>
        <w:rPr>
          <w:rFonts w:hint="eastAsia"/>
        </w:rPr>
      </w:pPr>
      <w:r>
        <w:rPr>
          <w:lang w:val="en-GB"/>
        </w:rPr>
        <w:tab/>
        <w:t xml:space="preserve">13.  </w:t>
      </w:r>
      <w:r>
        <w:rPr>
          <w:rFonts w:hint="eastAsia"/>
          <w:lang w:val="en-GB"/>
        </w:rPr>
        <w:t>法案是一个框架性条例，规定笼统而且是横向展开的，目的是建立统一的概念。与之相比，各分支法令就属于特别法。此外，上述法令制定统一的用语，其目的是为了对某些法令中的禁止否定性歧视的规定作出修改并使之现代化。</w:t>
      </w:r>
    </w:p>
    <w:p w:rsidR="00000000" w:rsidRDefault="00000000">
      <w:pPr>
        <w:rPr>
          <w:rFonts w:hint="eastAsia"/>
          <w:lang w:val="en-GB"/>
        </w:rPr>
      </w:pPr>
      <w:r>
        <w:rPr>
          <w:lang w:val="en-GB"/>
        </w:rPr>
        <w:tab/>
        <w:t xml:space="preserve">14.  </w:t>
      </w:r>
      <w:r>
        <w:rPr>
          <w:rFonts w:hint="eastAsia"/>
          <w:lang w:val="en-GB"/>
        </w:rPr>
        <w:t>为了确保与欧洲共同体的法律协调一致，该法令吸收了关于落实人之间不论其种族或族裔出身如何一律平等对待的原则的第</w:t>
      </w:r>
      <w:r>
        <w:rPr>
          <w:lang w:val="en-GB"/>
        </w:rPr>
        <w:t>2000/43/EC</w:t>
      </w:r>
      <w:r>
        <w:rPr>
          <w:rFonts w:hint="eastAsia"/>
          <w:lang w:val="en-GB"/>
        </w:rPr>
        <w:t>号指令以及关于制定就业和职业方面平等对待的一般框架的第</w:t>
      </w:r>
      <w:r>
        <w:rPr>
          <w:lang w:val="en-GB"/>
        </w:rPr>
        <w:t>2000/78/EC</w:t>
      </w:r>
      <w:r>
        <w:rPr>
          <w:rFonts w:hint="eastAsia"/>
          <w:lang w:val="en-GB"/>
        </w:rPr>
        <w:t>号指令。而且，该法令还包含有关条款，从而与</w:t>
      </w:r>
      <w:r>
        <w:rPr>
          <w:rFonts w:hint="eastAsia"/>
          <w:lang w:val="en-GB"/>
        </w:rPr>
        <w:t>2002</w:t>
      </w:r>
      <w:r>
        <w:rPr>
          <w:rFonts w:hint="eastAsia"/>
          <w:lang w:val="en-GB"/>
        </w:rPr>
        <w:t>年修改的关于落实就业和培训方面男女平等对待原则的第</w:t>
      </w:r>
      <w:r>
        <w:rPr>
          <w:lang w:val="en-GB"/>
        </w:rPr>
        <w:t>76/207/EC</w:t>
      </w:r>
      <w:r>
        <w:rPr>
          <w:rFonts w:hint="eastAsia"/>
          <w:lang w:val="en-GB"/>
        </w:rPr>
        <w:t>号指令协调一致。该法令列举了法律保护的各种手段以及</w:t>
      </w:r>
      <w:r>
        <w:rPr>
          <w:rFonts w:hint="eastAsia"/>
          <w:lang w:val="en-GB"/>
        </w:rPr>
        <w:t>2005</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日起启动国家机会平等方案的命令。</w:t>
      </w:r>
    </w:p>
    <w:p w:rsidR="00000000" w:rsidRDefault="00000000">
      <w:pPr>
        <w:rPr>
          <w:rFonts w:hint="eastAsia"/>
          <w:lang w:val="en-GB"/>
        </w:rPr>
      </w:pPr>
      <w:r>
        <w:rPr>
          <w:lang w:val="en-GB"/>
        </w:rPr>
        <w:tab/>
        <w:t xml:space="preserve">15.  </w:t>
      </w:r>
      <w:r>
        <w:rPr>
          <w:rFonts w:hint="eastAsia"/>
          <w:lang w:val="en-GB"/>
        </w:rPr>
        <w:t>关于经济、社会、文化权利能否强制实行的问题，法令提高了《宪法》第</w:t>
      </w:r>
      <w:r>
        <w:rPr>
          <w:rFonts w:hint="eastAsia"/>
          <w:lang w:val="en-GB"/>
        </w:rPr>
        <w:t>57</w:t>
      </w:r>
      <w:r>
        <w:rPr>
          <w:rFonts w:hint="eastAsia"/>
          <w:lang w:val="en-GB"/>
        </w:rPr>
        <w:t>条第一款，其中规定：“在匈牙利共和国，人人……都有权请求依法建立的独立公正的法院通过公正公开的审讯确定自己在法律诉讼中的权利和义务。”《宪法》第十二章</w:t>
      </w:r>
      <w:r>
        <w:rPr>
          <w:rFonts w:hint="eastAsia"/>
          <w:lang w:val="en-GB"/>
        </w:rPr>
        <w:t>(</w:t>
      </w:r>
      <w:r>
        <w:rPr>
          <w:rFonts w:hint="eastAsia"/>
          <w:lang w:val="en-GB"/>
        </w:rPr>
        <w:t>基本权利和义务</w:t>
      </w:r>
      <w:r>
        <w:rPr>
          <w:lang w:val="en-GB"/>
        </w:rPr>
        <w:t>)</w:t>
      </w:r>
      <w:r>
        <w:rPr>
          <w:rFonts w:hint="eastAsia"/>
          <w:lang w:val="en-GB"/>
        </w:rPr>
        <w:t>是基本权利的最高法源，第</w:t>
      </w:r>
      <w:r>
        <w:rPr>
          <w:rFonts w:hint="eastAsia"/>
          <w:lang w:val="en-GB"/>
        </w:rPr>
        <w:t>57</w:t>
      </w:r>
      <w:r>
        <w:rPr>
          <w:rFonts w:hint="eastAsia"/>
          <w:lang w:val="en-GB"/>
        </w:rPr>
        <w:t>条第一款无条件适用于这些基本权利。</w:t>
      </w:r>
    </w:p>
    <w:p w:rsidR="00000000" w:rsidRDefault="00000000">
      <w:pPr>
        <w:rPr>
          <w:rFonts w:hint="eastAsia"/>
          <w:lang w:val="en-GB"/>
        </w:rPr>
      </w:pPr>
      <w:r>
        <w:rPr>
          <w:lang w:val="en-GB"/>
        </w:rPr>
        <w:tab/>
        <w:t xml:space="preserve">16.  </w:t>
      </w:r>
      <w:r>
        <w:rPr>
          <w:rFonts w:hint="eastAsia"/>
          <w:lang w:val="en-GB"/>
        </w:rPr>
        <w:t>关于这一特定问题，宪法法院尚未作出任何裁决，但是在其关于某些国际条约适用问题的裁定中，宪法法院宣布：“《宪法》第七条第一款规定将国际法和国内法协调起来，由此可见宪法规定，法院在确定是否不准公众参加听证会的问题时要考虑到</w:t>
      </w:r>
      <w:r>
        <w:rPr>
          <w:rFonts w:hint="eastAsia"/>
          <w:lang w:val="en-GB"/>
        </w:rPr>
        <w:t>1976</w:t>
      </w:r>
      <w:r>
        <w:rPr>
          <w:rFonts w:hint="eastAsia"/>
          <w:lang w:val="en-GB"/>
        </w:rPr>
        <w:t>年《第八号政令》宣布生效的《经济、社会、文化权利国际公约》的规定以及</w:t>
      </w:r>
      <w:r>
        <w:rPr>
          <w:rFonts w:hint="eastAsia"/>
          <w:lang w:val="en-GB"/>
        </w:rPr>
        <w:t>1993</w:t>
      </w:r>
      <w:r>
        <w:rPr>
          <w:rFonts w:hint="eastAsia"/>
          <w:lang w:val="en-GB"/>
        </w:rPr>
        <w:t>年第三十一号法令宣布生效的《保护人权和基本自由公约》的规定</w:t>
      </w:r>
      <w:r>
        <w:rPr>
          <w:lang w:val="en-GB"/>
        </w:rPr>
        <w:t xml:space="preserve">[58/1995. (IX. 15.) </w:t>
      </w:r>
      <w:r>
        <w:rPr>
          <w:lang w:val="de-DE"/>
        </w:rPr>
        <w:t>宪法法院</w:t>
      </w:r>
      <w:r>
        <w:rPr>
          <w:rFonts w:hint="eastAsia"/>
          <w:lang w:val="de-DE"/>
        </w:rPr>
        <w:t>裁定</w:t>
      </w:r>
      <w:r>
        <w:rPr>
          <w:lang w:val="de-DE"/>
        </w:rPr>
        <w:t>，</w:t>
      </w:r>
      <w:r>
        <w:rPr>
          <w:lang w:val="de-DE"/>
        </w:rPr>
        <w:t>ABH 1995, 289.</w:t>
      </w:r>
      <w:r>
        <w:rPr>
          <w:lang w:val="en-GB"/>
        </w:rPr>
        <w:t>]</w:t>
      </w:r>
      <w:r>
        <w:rPr>
          <w:rFonts w:hint="eastAsia"/>
          <w:lang w:val="en-GB"/>
        </w:rPr>
        <w:t>。以此类推可以断定，法院在处理侵犯</w:t>
      </w:r>
      <w:r>
        <w:rPr>
          <w:rFonts w:hint="eastAsia"/>
          <w:lang w:val="en-GB"/>
        </w:rPr>
        <w:t>/</w:t>
      </w:r>
      <w:r>
        <w:rPr>
          <w:rFonts w:hint="eastAsia"/>
          <w:lang w:val="en-GB"/>
        </w:rPr>
        <w:t>限制国际义务产生的基本权利的案件时，必须考虑到作为适用法的某些国际法律文书的有关规定。</w:t>
      </w:r>
    </w:p>
    <w:p w:rsidR="00000000" w:rsidRDefault="00000000">
      <w:pPr>
        <w:rPr>
          <w:rFonts w:hint="eastAsia"/>
        </w:rPr>
      </w:pPr>
      <w:r>
        <w:tab/>
        <w:t xml:space="preserve">17.  </w:t>
      </w:r>
      <w:r>
        <w:rPr>
          <w:rFonts w:hint="eastAsia"/>
        </w:rPr>
        <w:t>国际法律义务产生的权利照例可由法院执行。但是，这些经济、社会、文化权利实际上能否执行的问题在若干方面属于例外情况。</w:t>
      </w:r>
    </w:p>
    <w:p w:rsidR="00000000" w:rsidRDefault="00000000">
      <w:pPr>
        <w:rPr>
          <w:rFonts w:hint="eastAsia"/>
          <w:lang w:val="en-GB"/>
        </w:rPr>
      </w:pPr>
      <w:r>
        <w:rPr>
          <w:lang w:val="en-GB"/>
        </w:rPr>
        <w:tab/>
        <w:t xml:space="preserve">18.  </w:t>
      </w:r>
      <w:r>
        <w:rPr>
          <w:rFonts w:hint="eastAsia"/>
          <w:lang w:val="en-GB"/>
        </w:rPr>
        <w:t>《公约》规定的所谓第二代权利与普遍设想受到《宪法》保护的社会权利并不完全吻合。而且，《宪法》规定其中有些权利不是实质性权利，而是国家的肯定性义务。也就是说，大部分社会权利不是个人的权利，因为法院无法执行。所以，《公约》规定保护的权利并不是全部都可以由匈牙利法院执行的。关于受到《公约》保护的有些权利，可以确定以下权利受到保护：</w:t>
      </w:r>
    </w:p>
    <w:p w:rsidR="00000000" w:rsidRDefault="00000000">
      <w:pPr>
        <w:rPr>
          <w:rFonts w:hint="eastAsia"/>
          <w:lang w:val="de-DE"/>
        </w:rPr>
      </w:pPr>
      <w:r>
        <w:rPr>
          <w:lang w:val="en-GB"/>
        </w:rPr>
        <w:tab/>
        <w:t xml:space="preserve">19.  </w:t>
      </w:r>
      <w:r>
        <w:rPr>
          <w:rFonts w:hint="eastAsia"/>
          <w:lang w:val="en-GB"/>
        </w:rPr>
        <w:t>据宪法法院认为，对工作权</w:t>
      </w:r>
      <w:r>
        <w:rPr>
          <w:lang w:val="en-GB"/>
        </w:rPr>
        <w:t>(</w:t>
      </w:r>
      <w:r>
        <w:rPr>
          <w:rFonts w:hint="eastAsia"/>
          <w:lang w:val="en-GB"/>
        </w:rPr>
        <w:t>参见</w:t>
      </w:r>
      <w:r>
        <w:rPr>
          <w:lang w:val="en-GB"/>
        </w:rPr>
        <w:t>ABH 1999, 402.)</w:t>
      </w:r>
      <w:r>
        <w:rPr>
          <w:rFonts w:hint="eastAsia"/>
          <w:lang w:val="en-GB"/>
        </w:rPr>
        <w:t>周围实质性权利必须作广义的解释，以便将选择自由包括进去，从事各种各样活动、专业、“工作”，包括建立和经营事业的权利</w:t>
      </w:r>
      <w:r>
        <w:rPr>
          <w:lang w:val="en-GB"/>
        </w:rPr>
        <w:t xml:space="preserve">[21/1994. </w:t>
      </w:r>
      <w:r>
        <w:rPr>
          <w:lang w:val="de-DE"/>
        </w:rPr>
        <w:t xml:space="preserve">(IV. 16) </w:t>
      </w:r>
      <w:r>
        <w:rPr>
          <w:lang w:val="de-DE"/>
        </w:rPr>
        <w:t>宪法法院</w:t>
      </w:r>
      <w:r>
        <w:rPr>
          <w:rFonts w:hint="eastAsia"/>
          <w:lang w:val="de-DE"/>
        </w:rPr>
        <w:t>裁定</w:t>
      </w:r>
      <w:r>
        <w:rPr>
          <w:lang w:val="de-DE"/>
        </w:rPr>
        <w:t>，</w:t>
      </w:r>
      <w:r>
        <w:rPr>
          <w:lang w:val="de-DE"/>
        </w:rPr>
        <w:t>ABH 1994, 120.</w:t>
      </w:r>
      <w:r>
        <w:rPr>
          <w:lang w:val="en-GB"/>
        </w:rPr>
        <w:t>]</w:t>
      </w:r>
      <w:r>
        <w:rPr>
          <w:rFonts w:hint="eastAsia"/>
          <w:lang w:val="en-GB"/>
        </w:rPr>
        <w:t>。</w:t>
      </w:r>
    </w:p>
    <w:p w:rsidR="00000000" w:rsidRDefault="00000000">
      <w:pPr>
        <w:rPr>
          <w:rFonts w:hint="eastAsia"/>
          <w:iCs/>
          <w:lang w:val="en-GB"/>
        </w:rPr>
      </w:pPr>
      <w:r>
        <w:rPr>
          <w:lang w:val="en-GB"/>
        </w:rPr>
        <w:tab/>
        <w:t xml:space="preserve">20.  </w:t>
      </w:r>
      <w:r>
        <w:rPr>
          <w:rFonts w:hint="eastAsia"/>
          <w:lang w:val="en-GB"/>
        </w:rPr>
        <w:t>宪定的</w:t>
      </w:r>
      <w:r>
        <w:rPr>
          <w:rFonts w:eastAsia="KaiTi_GB2312" w:hint="eastAsia"/>
          <w:iCs/>
          <w:snapToGrid/>
          <w:spacing w:val="0"/>
          <w:lang w:val="en-GB"/>
        </w:rPr>
        <w:t>同工同酬</w:t>
      </w:r>
      <w:r>
        <w:rPr>
          <w:rFonts w:hint="eastAsia"/>
          <w:iCs/>
          <w:lang w:val="en-GB"/>
        </w:rPr>
        <w:t>原则</w:t>
      </w:r>
      <w:r>
        <w:rPr>
          <w:rFonts w:hint="eastAsia"/>
          <w:iCs/>
          <w:lang w:val="en-GB"/>
        </w:rPr>
        <w:t>(</w:t>
      </w:r>
      <w:r>
        <w:rPr>
          <w:rFonts w:hint="eastAsia"/>
          <w:iCs/>
          <w:lang w:val="en-GB"/>
        </w:rPr>
        <w:t>《宪法》第</w:t>
      </w:r>
      <w:r>
        <w:rPr>
          <w:lang w:val="en-GB"/>
        </w:rPr>
        <w:t>70/B</w:t>
      </w:r>
      <w:r>
        <w:rPr>
          <w:rFonts w:hint="eastAsia"/>
          <w:lang w:val="en-GB"/>
        </w:rPr>
        <w:t>条第二款</w:t>
      </w:r>
      <w:r>
        <w:rPr>
          <w:rFonts w:hint="eastAsia"/>
          <w:lang w:val="en-GB"/>
        </w:rPr>
        <w:t>)</w:t>
      </w:r>
      <w:r>
        <w:rPr>
          <w:rFonts w:hint="eastAsia"/>
          <w:lang w:val="en-GB"/>
        </w:rPr>
        <w:t>应该视为</w:t>
      </w:r>
      <w:r>
        <w:rPr>
          <w:rFonts w:eastAsia="KaiTi_GB2312" w:hint="eastAsia"/>
          <w:iCs/>
          <w:snapToGrid/>
          <w:spacing w:val="0"/>
          <w:u w:val="single"/>
          <w:lang w:val="en-GB"/>
        </w:rPr>
        <w:t>享受公正和有利工作条件的权利</w:t>
      </w:r>
      <w:r>
        <w:rPr>
          <w:rFonts w:hint="eastAsia"/>
          <w:iCs/>
          <w:lang w:val="en-GB"/>
        </w:rPr>
        <w:t>的一部分实质性权利</w:t>
      </w:r>
      <w:r>
        <w:rPr>
          <w:iCs/>
          <w:lang w:val="en-GB"/>
        </w:rPr>
        <w:t>(</w:t>
      </w:r>
      <w:r>
        <w:rPr>
          <w:rFonts w:hint="eastAsia"/>
          <w:iCs/>
          <w:lang w:val="en-GB"/>
        </w:rPr>
        <w:t>《公约》第七条、《宪法》第</w:t>
      </w:r>
      <w:r>
        <w:rPr>
          <w:lang w:val="en-GB"/>
        </w:rPr>
        <w:t>70/B</w:t>
      </w:r>
      <w:r>
        <w:rPr>
          <w:rFonts w:hint="eastAsia"/>
          <w:lang w:val="en-GB"/>
        </w:rPr>
        <w:t>条第二至四款</w:t>
      </w:r>
      <w:r>
        <w:rPr>
          <w:rFonts w:hint="eastAsia"/>
          <w:lang w:val="en-GB"/>
        </w:rPr>
        <w:t>)</w:t>
      </w:r>
      <w:r>
        <w:rPr>
          <w:rFonts w:hint="eastAsia"/>
          <w:lang w:val="en-GB"/>
        </w:rPr>
        <w:t>。</w:t>
      </w:r>
    </w:p>
    <w:p w:rsidR="00000000" w:rsidRDefault="00000000">
      <w:pPr>
        <w:rPr>
          <w:rFonts w:hint="eastAsia"/>
          <w:lang w:val="de-DE"/>
        </w:rPr>
      </w:pPr>
      <w:r>
        <w:rPr>
          <w:lang w:val="de-DE"/>
        </w:rPr>
        <w:tab/>
        <w:t xml:space="preserve">21.  </w:t>
      </w:r>
      <w:r>
        <w:rPr>
          <w:rFonts w:hint="eastAsia"/>
          <w:lang w:val="de-DE"/>
        </w:rPr>
        <w:t>据宪法法院裁定，“</w:t>
      </w:r>
      <w:r>
        <w:rPr>
          <w:rFonts w:hint="eastAsia"/>
          <w:iCs/>
          <w:lang w:val="en-GB"/>
        </w:rPr>
        <w:t>《宪法》第</w:t>
      </w:r>
      <w:r>
        <w:rPr>
          <w:lang w:val="en-GB"/>
        </w:rPr>
        <w:t>70/B</w:t>
      </w:r>
      <w:r>
        <w:rPr>
          <w:rFonts w:hint="eastAsia"/>
          <w:lang w:val="en-GB"/>
        </w:rPr>
        <w:t>条必须解释为第</w:t>
      </w:r>
      <w:r>
        <w:rPr>
          <w:lang w:val="en-GB"/>
        </w:rPr>
        <w:t>70/A</w:t>
      </w:r>
      <w:r>
        <w:rPr>
          <w:rFonts w:hint="eastAsia"/>
          <w:lang w:val="en-GB"/>
        </w:rPr>
        <w:t>节对工作世界的详细规定，一般地禁止否定性歧视。”</w:t>
      </w:r>
      <w:r>
        <w:rPr>
          <w:lang w:val="en-GB"/>
        </w:rPr>
        <w:t xml:space="preserve"> </w:t>
      </w:r>
      <w:r>
        <w:rPr>
          <w:rFonts w:hint="eastAsia"/>
          <w:lang w:val="en-GB"/>
        </w:rPr>
        <w:t>第</w:t>
      </w:r>
      <w:r>
        <w:rPr>
          <w:lang w:val="en-GB"/>
        </w:rPr>
        <w:t>70/A</w:t>
      </w:r>
      <w:r>
        <w:rPr>
          <w:rFonts w:hint="eastAsia"/>
          <w:lang w:val="en-GB"/>
        </w:rPr>
        <w:t>条禁止否定性歧视的规定与《宪法》第</w:t>
      </w:r>
      <w:r>
        <w:rPr>
          <w:rFonts w:hint="eastAsia"/>
          <w:lang w:val="en-GB"/>
        </w:rPr>
        <w:t>54</w:t>
      </w:r>
      <w:r>
        <w:rPr>
          <w:rFonts w:hint="eastAsia"/>
          <w:lang w:val="en-GB"/>
        </w:rPr>
        <w:t>条第一款保护的人类尊严权有关。宪法法院裁定：“如果歧视侵犯了人类尊严权，则《宪法》第</w:t>
      </w:r>
      <w:r>
        <w:rPr>
          <w:lang w:val="en-GB"/>
        </w:rPr>
        <w:t>70/A</w:t>
      </w:r>
      <w:r>
        <w:rPr>
          <w:rFonts w:hint="eastAsia"/>
          <w:lang w:val="en-GB"/>
        </w:rPr>
        <w:t>条的禁止规定应适用于整个法律体系</w:t>
      </w:r>
      <w:r>
        <w:rPr>
          <w:lang w:val="en-GB"/>
        </w:rPr>
        <w:t xml:space="preserve">[61/1992. </w:t>
      </w:r>
      <w:r>
        <w:rPr>
          <w:lang w:val="de-DE"/>
        </w:rPr>
        <w:t xml:space="preserve">(XI. 20.) </w:t>
      </w:r>
      <w:r>
        <w:rPr>
          <w:lang w:val="de-DE"/>
        </w:rPr>
        <w:t>宪法法院</w:t>
      </w:r>
      <w:r>
        <w:rPr>
          <w:rFonts w:hint="eastAsia"/>
          <w:lang w:val="de-DE"/>
        </w:rPr>
        <w:t>裁定</w:t>
      </w:r>
      <w:r>
        <w:rPr>
          <w:lang w:val="de-DE"/>
        </w:rPr>
        <w:t>，</w:t>
      </w:r>
      <w:r>
        <w:rPr>
          <w:lang w:val="de-DE"/>
        </w:rPr>
        <w:t>1992, 280.</w:t>
      </w:r>
      <w:r>
        <w:rPr>
          <w:lang w:val="en-GB"/>
        </w:rPr>
        <w:t>]</w:t>
      </w:r>
      <w:r>
        <w:rPr>
          <w:rFonts w:hint="eastAsia"/>
          <w:lang w:val="en-GB"/>
        </w:rPr>
        <w:t>。</w:t>
      </w:r>
    </w:p>
    <w:p w:rsidR="00000000" w:rsidRDefault="00000000">
      <w:pPr>
        <w:rPr>
          <w:rFonts w:hint="eastAsia"/>
          <w:lang w:val="en-GB"/>
        </w:rPr>
      </w:pPr>
      <w:r>
        <w:rPr>
          <w:lang w:val="de-DE"/>
        </w:rPr>
        <w:tab/>
        <w:t xml:space="preserve">22.  </w:t>
      </w:r>
      <w:r>
        <w:rPr>
          <w:rFonts w:hint="eastAsia"/>
          <w:lang w:val="en-GB"/>
        </w:rPr>
        <w:t>根据同等保护人类尊严的规定，禁止否定性歧视规定适用的那些实质性权利，像同工同酬原则一样受到宪法的保护。既然可以在法院直接援用作为基本权利的人类尊严权以及禁止否定性歧视的原则，当然也可以同样援用同工同酬原则。</w:t>
      </w:r>
    </w:p>
    <w:p w:rsidR="00000000" w:rsidRDefault="00000000">
      <w:pPr>
        <w:rPr>
          <w:rFonts w:hint="eastAsia"/>
          <w:iCs/>
          <w:lang w:val="en-GB"/>
        </w:rPr>
      </w:pPr>
      <w:r>
        <w:rPr>
          <w:lang w:val="en-GB"/>
        </w:rPr>
        <w:tab/>
        <w:t xml:space="preserve">23.  </w:t>
      </w:r>
      <w:r>
        <w:rPr>
          <w:rFonts w:hint="eastAsia"/>
          <w:lang w:val="en-GB"/>
        </w:rPr>
        <w:t>制约反应工作数量和质量的</w:t>
      </w:r>
      <w:r>
        <w:rPr>
          <w:rFonts w:eastAsia="KaiTi_GB2312" w:hint="eastAsia"/>
          <w:iCs/>
          <w:snapToGrid/>
          <w:spacing w:val="0"/>
          <w:u w:val="single"/>
          <w:lang w:val="en-GB"/>
        </w:rPr>
        <w:t>工资公平权</w:t>
      </w:r>
      <w:r>
        <w:rPr>
          <w:rFonts w:hint="eastAsia"/>
          <w:iCs/>
          <w:lang w:val="en-GB"/>
        </w:rPr>
        <w:t>以及休息和休闲权，据指出宪法法院的实践和匈牙利各级法院的判例法中并没有提到这些权利。因此这些权利是否可以执行问题并不明确。</w:t>
      </w:r>
    </w:p>
    <w:p w:rsidR="00000000" w:rsidRDefault="00000000">
      <w:pPr>
        <w:rPr>
          <w:rFonts w:hint="eastAsia"/>
        </w:rPr>
      </w:pPr>
      <w:r>
        <w:rPr>
          <w:lang w:val="en-GB"/>
        </w:rPr>
        <w:tab/>
        <w:t xml:space="preserve">24.  </w:t>
      </w:r>
      <w:r>
        <w:rPr>
          <w:rFonts w:hint="eastAsia"/>
          <w:lang w:val="en-GB"/>
        </w:rPr>
        <w:t>宪法法院从结社自由权演绎出</w:t>
      </w:r>
      <w:r>
        <w:rPr>
          <w:rFonts w:eastAsia="KaiTi_GB2312" w:hint="eastAsia"/>
          <w:iCs/>
          <w:snapToGrid/>
          <w:spacing w:val="0"/>
          <w:u w:val="single"/>
          <w:lang w:val="en-GB"/>
        </w:rPr>
        <w:t>组织工会权</w:t>
      </w:r>
      <w:r>
        <w:rPr>
          <w:lang w:val="en-GB"/>
        </w:rPr>
        <w:t>(</w:t>
      </w:r>
      <w:r>
        <w:rPr>
          <w:rFonts w:hint="eastAsia"/>
          <w:lang w:val="en-GB"/>
        </w:rPr>
        <w:t>《公约》第八条、《宪法》第四条、第</w:t>
      </w:r>
      <w:r>
        <w:rPr>
          <w:rFonts w:hint="eastAsia"/>
          <w:lang w:val="en-GB"/>
        </w:rPr>
        <w:t>63</w:t>
      </w:r>
      <w:r>
        <w:rPr>
          <w:rFonts w:hint="eastAsia"/>
          <w:lang w:val="en-GB"/>
        </w:rPr>
        <w:t>条第一款和第</w:t>
      </w:r>
      <w:r>
        <w:rPr>
          <w:lang w:val="en-GB"/>
        </w:rPr>
        <w:t>70/C</w:t>
      </w:r>
      <w:r>
        <w:rPr>
          <w:rFonts w:hint="eastAsia"/>
          <w:lang w:val="en-GB"/>
        </w:rPr>
        <w:t>条</w:t>
      </w:r>
      <w:r>
        <w:rPr>
          <w:rFonts w:hint="eastAsia"/>
          <w:lang w:val="en-GB"/>
        </w:rPr>
        <w:t>)</w:t>
      </w:r>
      <w:r>
        <w:rPr>
          <w:rFonts w:hint="eastAsia"/>
          <w:lang w:val="en-GB"/>
        </w:rPr>
        <w:t>，将组织工会权解释为结社自由权的特殊反映</w:t>
      </w:r>
      <w:r>
        <w:rPr>
          <w:lang w:val="en-GB"/>
        </w:rPr>
        <w:t xml:space="preserve">[41/1995. </w:t>
      </w:r>
      <w:r>
        <w:rPr>
          <w:lang w:val="de-DE"/>
        </w:rPr>
        <w:t xml:space="preserve">(VI. 17.) </w:t>
      </w:r>
      <w:r>
        <w:rPr>
          <w:lang w:val="de-DE"/>
        </w:rPr>
        <w:t>宪法法院</w:t>
      </w:r>
      <w:r>
        <w:rPr>
          <w:rFonts w:hint="eastAsia"/>
          <w:lang w:val="de-DE"/>
        </w:rPr>
        <w:t>裁定</w:t>
      </w:r>
      <w:r>
        <w:rPr>
          <w:lang w:val="de-DE"/>
        </w:rPr>
        <w:t>，</w:t>
      </w:r>
      <w:r>
        <w:rPr>
          <w:lang w:val="de-DE"/>
        </w:rPr>
        <w:t>ABH 1995, 177-187.</w:t>
      </w:r>
      <w:r>
        <w:rPr>
          <w:lang w:val="en-GB"/>
        </w:rPr>
        <w:t>]</w:t>
      </w:r>
      <w:r>
        <w:rPr>
          <w:rFonts w:hint="eastAsia"/>
          <w:lang w:val="en-GB"/>
        </w:rPr>
        <w:t>。因此，在解释《宪法》第</w:t>
      </w:r>
      <w:r>
        <w:rPr>
          <w:lang w:val="de-DE"/>
        </w:rPr>
        <w:t>70/C</w:t>
      </w:r>
      <w:r>
        <w:rPr>
          <w:rFonts w:hint="eastAsia"/>
          <w:lang w:val="de-DE"/>
        </w:rPr>
        <w:t>条第一款的时候，必须考虑到法院对结社自由权的内容所作的裁定。在法庭上也同样可以援引罢工权</w:t>
      </w:r>
      <w:r>
        <w:rPr>
          <w:lang w:val="de-DE"/>
        </w:rPr>
        <w:t>(</w:t>
      </w:r>
      <w:r>
        <w:rPr>
          <w:rFonts w:hint="eastAsia"/>
          <w:lang w:val="de-DE"/>
        </w:rPr>
        <w:t>《公约》第八条第二款；《宪法》第</w:t>
      </w:r>
      <w:r>
        <w:rPr>
          <w:lang w:val="en-GB"/>
        </w:rPr>
        <w:t>70/C</w:t>
      </w:r>
      <w:r>
        <w:rPr>
          <w:rFonts w:hint="eastAsia"/>
          <w:lang w:val="en-GB"/>
        </w:rPr>
        <w:t>条第二款</w:t>
      </w:r>
      <w:r>
        <w:rPr>
          <w:rFonts w:hint="eastAsia"/>
          <w:lang w:val="en-GB"/>
        </w:rPr>
        <w:t>)</w:t>
      </w:r>
      <w:r>
        <w:rPr>
          <w:rFonts w:hint="eastAsia"/>
          <w:lang w:val="en-GB"/>
        </w:rPr>
        <w:t>。</w:t>
      </w:r>
    </w:p>
    <w:p w:rsidR="00000000" w:rsidRDefault="00000000">
      <w:pPr>
        <w:rPr>
          <w:lang w:val="en-GB"/>
        </w:rPr>
      </w:pPr>
      <w:r>
        <w:rPr>
          <w:lang w:val="en-GB"/>
        </w:rPr>
        <w:tab/>
        <w:t xml:space="preserve">25.  </w:t>
      </w:r>
      <w:r>
        <w:rPr>
          <w:rFonts w:hint="eastAsia"/>
          <w:lang w:val="en-GB"/>
        </w:rPr>
        <w:t>关于</w:t>
      </w:r>
      <w:r>
        <w:rPr>
          <w:rFonts w:eastAsia="KaiTi_GB2312" w:hint="eastAsia"/>
          <w:snapToGrid/>
          <w:spacing w:val="0"/>
          <w:u w:val="single"/>
          <w:lang w:val="en-GB"/>
        </w:rPr>
        <w:t>保护家庭、儿童和母亲的权利</w:t>
      </w:r>
      <w:r>
        <w:rPr>
          <w:rFonts w:eastAsia="KaiTi_GB2312" w:hint="eastAsia"/>
          <w:snapToGrid/>
          <w:spacing w:val="0"/>
          <w:lang w:val="en-GB"/>
        </w:rPr>
        <w:t>(</w:t>
      </w:r>
      <w:r>
        <w:rPr>
          <w:rFonts w:hint="eastAsia"/>
          <w:lang w:val="en-GB"/>
        </w:rPr>
        <w:t>《公约》第十条；《宪法》第</w:t>
      </w:r>
      <w:r>
        <w:rPr>
          <w:rFonts w:hint="eastAsia"/>
          <w:lang w:val="en-GB"/>
        </w:rPr>
        <w:t>66</w:t>
      </w:r>
      <w:r>
        <w:rPr>
          <w:rFonts w:hint="eastAsia"/>
          <w:lang w:val="en-GB"/>
        </w:rPr>
        <w:t>条第二至三款以及第</w:t>
      </w:r>
      <w:r>
        <w:rPr>
          <w:rFonts w:hint="eastAsia"/>
          <w:lang w:val="en-GB"/>
        </w:rPr>
        <w:t>67</w:t>
      </w:r>
      <w:r>
        <w:rPr>
          <w:rFonts w:hint="eastAsia"/>
          <w:lang w:val="en-GB"/>
        </w:rPr>
        <w:t>条第一至二款</w:t>
      </w:r>
      <w:r>
        <w:rPr>
          <w:rFonts w:hint="eastAsia"/>
          <w:lang w:val="en-GB"/>
        </w:rPr>
        <w:t>)</w:t>
      </w:r>
      <w:r>
        <w:rPr>
          <w:rFonts w:hint="eastAsia"/>
          <w:lang w:val="en-GB"/>
        </w:rPr>
        <w:t>，宪法法院曾数次就儿童的宪</w:t>
      </w:r>
      <w:r>
        <w:rPr>
          <w:rFonts w:hint="eastAsia"/>
        </w:rPr>
        <w:t>定</w:t>
      </w:r>
      <w:r>
        <w:rPr>
          <w:rFonts w:hint="eastAsia"/>
          <w:lang w:val="en-GB"/>
        </w:rPr>
        <w:t>权利发表了意见。如果某项法令、如这里所涉及的关于家庭法的</w:t>
      </w:r>
      <w:r>
        <w:rPr>
          <w:rFonts w:hint="eastAsia"/>
          <w:lang w:val="en-GB"/>
        </w:rPr>
        <w:t>1952</w:t>
      </w:r>
      <w:r>
        <w:rPr>
          <w:rFonts w:hint="eastAsia"/>
          <w:lang w:val="en-GB"/>
        </w:rPr>
        <w:t>年第四号法令不包含有关上述保护的具体规定</w:t>
      </w:r>
      <w:r>
        <w:rPr>
          <w:lang w:val="en-GB"/>
        </w:rPr>
        <w:t xml:space="preserve">(2299/B/199 </w:t>
      </w:r>
      <w:r>
        <w:rPr>
          <w:lang w:val="en-GB"/>
        </w:rPr>
        <w:t>宪法法院</w:t>
      </w:r>
      <w:r>
        <w:rPr>
          <w:rFonts w:hint="eastAsia"/>
          <w:lang w:val="en-GB"/>
        </w:rPr>
        <w:t>裁定</w:t>
      </w:r>
      <w:r>
        <w:rPr>
          <w:lang w:val="en-GB"/>
        </w:rPr>
        <w:t>，</w:t>
      </w:r>
      <w:r>
        <w:rPr>
          <w:lang w:val="en-GB"/>
        </w:rPr>
        <w:t>ABH 1992, 572.)</w:t>
      </w:r>
      <w:r>
        <w:rPr>
          <w:rFonts w:hint="eastAsia"/>
          <w:lang w:val="en-GB"/>
        </w:rPr>
        <w:t>，即便如此，主管的执法部门应实行并保障《宪法》第</w:t>
      </w:r>
      <w:r>
        <w:rPr>
          <w:rFonts w:hint="eastAsia"/>
          <w:lang w:val="en-GB"/>
        </w:rPr>
        <w:t>67</w:t>
      </w:r>
      <w:r>
        <w:rPr>
          <w:rFonts w:hint="eastAsia"/>
          <w:lang w:val="en-GB"/>
        </w:rPr>
        <w:t>条第一款规定保护的这种权利。法院在早先的一项裁决中已经裁定“即使无法援引任何具体的法律条款，保护宪定权利是主管的执法部门的一项义务”</w:t>
      </w:r>
      <w:r>
        <w:rPr>
          <w:lang w:val="en-GB"/>
        </w:rPr>
        <w:t xml:space="preserve"> (1097/B/1993 </w:t>
      </w:r>
      <w:r>
        <w:rPr>
          <w:lang w:val="en-GB"/>
        </w:rPr>
        <w:t>宪法法院</w:t>
      </w:r>
      <w:r>
        <w:rPr>
          <w:rFonts w:hint="eastAsia"/>
          <w:lang w:val="en-GB"/>
        </w:rPr>
        <w:t>裁定</w:t>
      </w:r>
      <w:r>
        <w:rPr>
          <w:lang w:val="en-GB"/>
        </w:rPr>
        <w:t>，</w:t>
      </w:r>
      <w:r>
        <w:rPr>
          <w:lang w:val="en-GB"/>
        </w:rPr>
        <w:t>ABH, 1996, 467.)</w:t>
      </w:r>
      <w:r>
        <w:rPr>
          <w:rFonts w:hint="eastAsia"/>
          <w:lang w:val="en-GB"/>
        </w:rPr>
        <w:t>。</w:t>
      </w:r>
    </w:p>
    <w:p w:rsidR="00000000" w:rsidRDefault="00000000">
      <w:pPr>
        <w:rPr>
          <w:rFonts w:hint="eastAsia"/>
          <w:lang w:val="de-DE"/>
        </w:rPr>
      </w:pPr>
      <w:r>
        <w:rPr>
          <w:iCs/>
          <w:lang w:val="en-GB"/>
        </w:rPr>
        <w:tab/>
        <w:t xml:space="preserve">26.  </w:t>
      </w:r>
      <w:r>
        <w:rPr>
          <w:rFonts w:eastAsia="KaiTi_GB2312" w:hint="eastAsia"/>
          <w:iCs/>
          <w:snapToGrid/>
          <w:spacing w:val="0"/>
          <w:u w:val="single"/>
          <w:lang w:val="en-GB"/>
        </w:rPr>
        <w:t>参加文化生活和享受科学进步及其应用所产生的利益的权利</w:t>
      </w:r>
      <w:r>
        <w:rPr>
          <w:rFonts w:hint="eastAsia"/>
          <w:lang w:val="en-GB"/>
        </w:rPr>
        <w:t>(</w:t>
      </w:r>
      <w:r>
        <w:rPr>
          <w:rFonts w:hint="eastAsia"/>
          <w:lang w:val="en-GB"/>
        </w:rPr>
        <w:t>《公约》第十五条；《宪法》第</w:t>
      </w:r>
      <w:r>
        <w:rPr>
          <w:lang w:val="en-GB"/>
        </w:rPr>
        <w:t>70/G</w:t>
      </w:r>
      <w:r>
        <w:rPr>
          <w:rFonts w:hint="eastAsia"/>
          <w:lang w:val="en-GB"/>
        </w:rPr>
        <w:t>条</w:t>
      </w:r>
      <w:r>
        <w:rPr>
          <w:rFonts w:hint="eastAsia"/>
          <w:lang w:val="en-GB"/>
        </w:rPr>
        <w:t>)</w:t>
      </w:r>
      <w:r>
        <w:rPr>
          <w:rFonts w:hint="eastAsia"/>
          <w:lang w:val="en-GB"/>
        </w:rPr>
        <w:t>。宪法法院注重作为文化生活权的一部分的科学生活自由权的实质性。宪法法院裁定：“科学生活自由权是言论自由这样基本权利的表现，可以从中演绎出来”</w:t>
      </w:r>
      <w:r>
        <w:rPr>
          <w:lang w:val="en-GB"/>
        </w:rPr>
        <w:t xml:space="preserve">[34/1994. </w:t>
      </w:r>
      <w:r>
        <w:rPr>
          <w:lang w:val="de-DE"/>
        </w:rPr>
        <w:t xml:space="preserve">(VI. 24.) </w:t>
      </w:r>
      <w:r>
        <w:rPr>
          <w:lang w:val="de-DE"/>
        </w:rPr>
        <w:t>宪法法院</w:t>
      </w:r>
      <w:r>
        <w:rPr>
          <w:rFonts w:hint="eastAsia"/>
          <w:lang w:val="de-DE"/>
        </w:rPr>
        <w:t>裁定</w:t>
      </w:r>
      <w:r>
        <w:rPr>
          <w:lang w:val="de-DE"/>
        </w:rPr>
        <w:t>，</w:t>
      </w:r>
      <w:r>
        <w:rPr>
          <w:lang w:val="de-DE"/>
        </w:rPr>
        <w:t>ABH 1994, 183.</w:t>
      </w:r>
      <w:r>
        <w:rPr>
          <w:lang w:val="en-GB"/>
        </w:rPr>
        <w:t>]</w:t>
      </w:r>
      <w:r>
        <w:rPr>
          <w:rFonts w:hint="eastAsia"/>
          <w:lang w:val="en-GB"/>
        </w:rPr>
        <w:t>。《公约》规定保护的文化权利的范围比科学生活自由权的范围广，因此，匈牙利法院无法执行那些不在科学生活自由权范围内的文化权利。</w:t>
      </w:r>
    </w:p>
    <w:p w:rsidR="00000000" w:rsidRDefault="00000000">
      <w:pPr>
        <w:rPr>
          <w:rFonts w:hint="eastAsia"/>
          <w:lang w:val="de-DE"/>
        </w:rPr>
      </w:pPr>
      <w:r>
        <w:rPr>
          <w:lang w:val="de-DE"/>
        </w:rPr>
        <w:tab/>
        <w:t xml:space="preserve">27.  </w:t>
      </w:r>
      <w:r>
        <w:rPr>
          <w:rFonts w:hint="eastAsia"/>
          <w:lang w:val="de-DE"/>
        </w:rPr>
        <w:t>据宪法法院裁定，</w:t>
      </w:r>
      <w:r>
        <w:rPr>
          <w:rFonts w:eastAsia="KaiTi_GB2312" w:hint="eastAsia"/>
          <w:iCs/>
          <w:snapToGrid/>
          <w:spacing w:val="0"/>
          <w:u w:val="single"/>
          <w:lang w:val="de-DE"/>
        </w:rPr>
        <w:t>包括社会保险在内的社会保障权</w:t>
      </w:r>
      <w:r>
        <w:rPr>
          <w:rFonts w:hint="eastAsia"/>
          <w:iCs/>
          <w:snapToGrid/>
          <w:lang w:val="de-DE"/>
        </w:rPr>
        <w:t>(</w:t>
      </w:r>
      <w:r>
        <w:rPr>
          <w:rFonts w:hint="eastAsia"/>
          <w:lang w:val="de-DE"/>
        </w:rPr>
        <w:t>《公约》第九条；《宪法》第</w:t>
      </w:r>
      <w:r>
        <w:rPr>
          <w:lang w:val="de-DE"/>
        </w:rPr>
        <w:t>70/E</w:t>
      </w:r>
      <w:r>
        <w:rPr>
          <w:rFonts w:hint="eastAsia"/>
          <w:lang w:val="de-DE"/>
        </w:rPr>
        <w:t>条</w:t>
      </w:r>
      <w:r>
        <w:rPr>
          <w:rFonts w:hint="eastAsia"/>
          <w:lang w:val="de-DE"/>
        </w:rPr>
        <w:t>)</w:t>
      </w:r>
      <w:r>
        <w:rPr>
          <w:rFonts w:hint="eastAsia"/>
          <w:lang w:val="de-DE"/>
        </w:rPr>
        <w:t>尽管宣布为实质性权利，但它不是一项实质性权利，因此并不由此产生任何可执行的权利要求</w:t>
      </w:r>
      <w:r>
        <w:rPr>
          <w:lang w:val="en-GB"/>
        </w:rPr>
        <w:t>[</w:t>
      </w:r>
      <w:r>
        <w:rPr>
          <w:lang w:val="de-DE"/>
        </w:rPr>
        <w:t xml:space="preserve">45/1991. (IX. 10.) </w:t>
      </w:r>
      <w:r>
        <w:rPr>
          <w:lang w:val="de-DE"/>
        </w:rPr>
        <w:t>宪法法院</w:t>
      </w:r>
      <w:r>
        <w:rPr>
          <w:rFonts w:hint="eastAsia"/>
          <w:lang w:val="de-DE"/>
        </w:rPr>
        <w:t>裁定</w:t>
      </w:r>
      <w:r>
        <w:rPr>
          <w:lang w:val="de-DE"/>
        </w:rPr>
        <w:t>，</w:t>
      </w:r>
      <w:r>
        <w:rPr>
          <w:lang w:val="de-DE"/>
        </w:rPr>
        <w:t>ABH 1991, 206.</w:t>
      </w:r>
      <w:r>
        <w:rPr>
          <w:lang w:val="en-GB"/>
        </w:rPr>
        <w:t>]</w:t>
      </w:r>
      <w:r>
        <w:rPr>
          <w:rFonts w:hint="eastAsia"/>
          <w:lang w:val="de-DE"/>
        </w:rPr>
        <w:t>。根据法院的解释，《宪法》第</w:t>
      </w:r>
      <w:r>
        <w:rPr>
          <w:lang w:val="de-DE"/>
        </w:rPr>
        <w:t>70/E</w:t>
      </w:r>
      <w:r>
        <w:rPr>
          <w:rFonts w:hint="eastAsia"/>
          <w:lang w:val="de-DE"/>
        </w:rPr>
        <w:t>条第一至二款规定国家的一项职责，载有国家一项不确定的义务</w:t>
      </w:r>
      <w:r>
        <w:rPr>
          <w:lang w:val="en-GB"/>
        </w:rPr>
        <w:t>[</w:t>
      </w:r>
      <w:r>
        <w:rPr>
          <w:lang w:val="de-DE"/>
        </w:rPr>
        <w:t xml:space="preserve">43/1995. (VI. 30.) </w:t>
      </w:r>
      <w:r>
        <w:rPr>
          <w:lang w:val="de-DE"/>
        </w:rPr>
        <w:t>宪法法院</w:t>
      </w:r>
      <w:r>
        <w:rPr>
          <w:rFonts w:hint="eastAsia"/>
          <w:lang w:val="de-DE"/>
        </w:rPr>
        <w:t>裁定</w:t>
      </w:r>
      <w:r>
        <w:rPr>
          <w:lang w:val="de-DE"/>
        </w:rPr>
        <w:t>，</w:t>
      </w:r>
      <w:r>
        <w:rPr>
          <w:lang w:val="de-DE"/>
        </w:rPr>
        <w:t>ABH 1995, 191.</w:t>
      </w:r>
      <w:r>
        <w:rPr>
          <w:lang w:val="en-GB"/>
        </w:rPr>
        <w:t>]</w:t>
      </w:r>
      <w:r>
        <w:rPr>
          <w:rFonts w:hint="eastAsia"/>
          <w:lang w:val="en-GB"/>
        </w:rPr>
        <w:t>。因此不能在法庭上直接援引这一权利。</w:t>
      </w:r>
    </w:p>
    <w:p w:rsidR="00000000" w:rsidRDefault="00000000">
      <w:pPr>
        <w:rPr>
          <w:rFonts w:hint="eastAsia"/>
          <w:lang w:val="en-GB"/>
        </w:rPr>
      </w:pPr>
      <w:r>
        <w:rPr>
          <w:lang w:val="en-GB"/>
        </w:rPr>
        <w:tab/>
        <w:t xml:space="preserve">28.  </w:t>
      </w:r>
      <w:r>
        <w:rPr>
          <w:rFonts w:hint="eastAsia"/>
          <w:lang w:val="en-GB"/>
        </w:rPr>
        <w:t>《公约》第</w:t>
      </w:r>
      <w:r>
        <w:rPr>
          <w:rFonts w:hint="eastAsia"/>
          <w:lang w:val="en-GB"/>
        </w:rPr>
        <w:t>11</w:t>
      </w:r>
      <w:r>
        <w:rPr>
          <w:rFonts w:hint="eastAsia"/>
          <w:lang w:val="en-GB"/>
        </w:rPr>
        <w:t>条规定了</w:t>
      </w:r>
      <w:r>
        <w:rPr>
          <w:rFonts w:eastAsia="KaiTi_GB2312" w:hint="eastAsia"/>
          <w:iCs/>
          <w:snapToGrid/>
          <w:spacing w:val="0"/>
          <w:u w:val="single"/>
          <w:lang w:val="en-GB"/>
        </w:rPr>
        <w:t>获得相当的生活水准</w:t>
      </w:r>
      <w:r>
        <w:rPr>
          <w:rFonts w:hint="eastAsia"/>
          <w:iCs/>
          <w:lang w:val="en-GB"/>
        </w:rPr>
        <w:t>，</w:t>
      </w:r>
      <w:r>
        <w:rPr>
          <w:rFonts w:hint="eastAsia"/>
          <w:lang w:val="en-GB"/>
        </w:rPr>
        <w:t>包括食物的权利。宪法法院曾数次遇到这个问题。法院第</w:t>
      </w:r>
      <w:r>
        <w:rPr>
          <w:lang w:val="en-GB"/>
        </w:rPr>
        <w:t>772/B/1990</w:t>
      </w:r>
      <w:r>
        <w:rPr>
          <w:rFonts w:hint="eastAsia"/>
          <w:lang w:val="en-GB"/>
        </w:rPr>
        <w:t>号裁决裁定，“社会保障权所指的并不是固定报酬权，并不意味着公民先前达到的生活水准不会因为经济状况不佳而有所下降”。后来又有一项裁决维持了这种意见</w:t>
      </w:r>
      <w:r>
        <w:rPr>
          <w:lang w:val="en-GB"/>
        </w:rPr>
        <w:t xml:space="preserve">[43/1995. </w:t>
      </w:r>
      <w:r>
        <w:rPr>
          <w:lang w:val="de-DE"/>
        </w:rPr>
        <w:t xml:space="preserve">(VI. 30.) </w:t>
      </w:r>
      <w:r>
        <w:rPr>
          <w:lang w:val="de-DE"/>
        </w:rPr>
        <w:t>宪法法院</w:t>
      </w:r>
      <w:r>
        <w:rPr>
          <w:rFonts w:hint="eastAsia"/>
          <w:lang w:val="de-DE"/>
        </w:rPr>
        <w:t>裁定</w:t>
      </w:r>
      <w:r>
        <w:rPr>
          <w:lang w:val="de-DE"/>
        </w:rPr>
        <w:t>，</w:t>
      </w:r>
      <w:r>
        <w:rPr>
          <w:lang w:val="de-DE"/>
        </w:rPr>
        <w:t>ABH 1995, 192.</w:t>
      </w:r>
      <w:r>
        <w:rPr>
          <w:lang w:val="en-GB"/>
        </w:rPr>
        <w:t>]</w:t>
      </w:r>
      <w:r>
        <w:rPr>
          <w:rFonts w:hint="eastAsia"/>
          <w:lang w:val="en-GB"/>
        </w:rPr>
        <w:t>。</w:t>
      </w:r>
    </w:p>
    <w:p w:rsidR="00000000" w:rsidRDefault="00000000">
      <w:pPr>
        <w:rPr>
          <w:rFonts w:hint="eastAsia"/>
          <w:lang w:val="en-GB"/>
        </w:rPr>
      </w:pPr>
      <w:r>
        <w:rPr>
          <w:lang w:val="en-GB"/>
        </w:rPr>
        <w:tab/>
        <w:t xml:space="preserve">29.  </w:t>
      </w:r>
      <w:r>
        <w:rPr>
          <w:rFonts w:hint="eastAsia"/>
          <w:lang w:val="en-GB"/>
        </w:rPr>
        <w:t>宪法法院解释说，社会保障权是国家的一项义务，并裁定只有“</w:t>
      </w:r>
      <w:r>
        <w:rPr>
          <w:rFonts w:eastAsia="KaiTi_GB2312" w:hint="eastAsia"/>
          <w:snapToGrid/>
          <w:spacing w:val="0"/>
          <w:lang w:val="en-GB"/>
        </w:rPr>
        <w:t>维持生活权</w:t>
      </w:r>
      <w:r>
        <w:rPr>
          <w:rFonts w:hint="eastAsia"/>
          <w:lang w:val="en-GB"/>
        </w:rPr>
        <w:t>”可以视为能够从人类尊严权</w:t>
      </w:r>
      <w:r>
        <w:rPr>
          <w:rFonts w:hint="eastAsia"/>
          <w:lang w:val="en-GB"/>
        </w:rPr>
        <w:t>(</w:t>
      </w:r>
      <w:r>
        <w:rPr>
          <w:rFonts w:hint="eastAsia"/>
          <w:lang w:val="en-GB"/>
        </w:rPr>
        <w:t>《宪法》第</w:t>
      </w:r>
      <w:r>
        <w:rPr>
          <w:rFonts w:hint="eastAsia"/>
          <w:lang w:val="en-GB"/>
        </w:rPr>
        <w:t>54</w:t>
      </w:r>
      <w:r>
        <w:rPr>
          <w:rFonts w:hint="eastAsia"/>
          <w:lang w:val="en-GB"/>
        </w:rPr>
        <w:t>条第一款</w:t>
      </w:r>
      <w:r>
        <w:rPr>
          <w:rFonts w:hint="eastAsia"/>
          <w:lang w:val="en-GB"/>
        </w:rPr>
        <w:t>)</w:t>
      </w:r>
      <w:r>
        <w:rPr>
          <w:rFonts w:hint="eastAsia"/>
          <w:lang w:val="en-GB"/>
        </w:rPr>
        <w:t>演绎出来的个人权利</w:t>
      </w:r>
      <w:r>
        <w:rPr>
          <w:lang w:val="en-GB"/>
        </w:rPr>
        <w:t xml:space="preserve">[32/1998. </w:t>
      </w:r>
      <w:r>
        <w:rPr>
          <w:lang w:val="de-DE"/>
        </w:rPr>
        <w:t xml:space="preserve">(VI. 25.) </w:t>
      </w:r>
      <w:r>
        <w:rPr>
          <w:lang w:val="de-DE"/>
        </w:rPr>
        <w:t>宪法法院</w:t>
      </w:r>
      <w:r>
        <w:rPr>
          <w:rFonts w:hint="eastAsia"/>
          <w:lang w:val="de-DE"/>
        </w:rPr>
        <w:t>裁定</w:t>
      </w:r>
      <w:r>
        <w:rPr>
          <w:lang w:val="de-DE"/>
        </w:rPr>
        <w:t>, ABH 1998, 251.</w:t>
      </w:r>
      <w:r>
        <w:rPr>
          <w:lang w:val="en-GB"/>
        </w:rPr>
        <w:t>]</w:t>
      </w:r>
      <w:r>
        <w:rPr>
          <w:lang w:val="en-GB"/>
        </w:rPr>
        <w:t>。免受饥饿权与维持生活权有逻辑联系。</w:t>
      </w:r>
    </w:p>
    <w:p w:rsidR="00000000" w:rsidRDefault="00000000">
      <w:pPr>
        <w:rPr>
          <w:rFonts w:hint="eastAsia"/>
          <w:lang w:val="en-GB"/>
        </w:rPr>
      </w:pPr>
      <w:r>
        <w:rPr>
          <w:lang w:val="en-GB"/>
        </w:rPr>
        <w:tab/>
        <w:t xml:space="preserve">30.  </w:t>
      </w:r>
      <w:r>
        <w:rPr>
          <w:rFonts w:hint="eastAsia"/>
          <w:lang w:val="en-GB"/>
        </w:rPr>
        <w:t>宪法法院的后来的一项裁决中认为，从维持生活权不能推导出确定的部分权利，如住房权</w:t>
      </w:r>
      <w:r>
        <w:rPr>
          <w:lang w:val="en-GB"/>
        </w:rPr>
        <w:t xml:space="preserve">[42/2000. </w:t>
      </w:r>
      <w:r>
        <w:rPr>
          <w:lang w:val="de-DE"/>
        </w:rPr>
        <w:t xml:space="preserve">(XI. 8.) </w:t>
      </w:r>
      <w:r>
        <w:rPr>
          <w:lang w:val="de-DE"/>
        </w:rPr>
        <w:t>宪法法院</w:t>
      </w:r>
      <w:r>
        <w:rPr>
          <w:rFonts w:hint="eastAsia"/>
          <w:lang w:val="de-DE"/>
        </w:rPr>
        <w:t>裁定</w:t>
      </w:r>
      <w:r>
        <w:rPr>
          <w:lang w:val="de-DE"/>
        </w:rPr>
        <w:t>，</w:t>
      </w:r>
      <w:r>
        <w:rPr>
          <w:lang w:val="de-DE"/>
        </w:rPr>
        <w:t>ABH 2000, 329.</w:t>
      </w:r>
      <w:r>
        <w:rPr>
          <w:lang w:val="en-GB"/>
        </w:rPr>
        <w:t>]</w:t>
      </w:r>
      <w:r>
        <w:rPr>
          <w:rFonts w:hint="eastAsia"/>
          <w:lang w:val="en-GB"/>
        </w:rPr>
        <w:t>。因此，免受饥饿权也不能认为是一项可由法庭上直接强制实施的基本权利。</w:t>
      </w:r>
    </w:p>
    <w:p w:rsidR="00000000" w:rsidRDefault="00000000">
      <w:pPr>
        <w:rPr>
          <w:rFonts w:hint="eastAsia"/>
          <w:lang w:val="de-DE"/>
        </w:rPr>
      </w:pPr>
      <w:r>
        <w:rPr>
          <w:lang w:val="en-GB"/>
        </w:rPr>
        <w:tab/>
        <w:t xml:space="preserve">31.  </w:t>
      </w:r>
      <w:r>
        <w:rPr>
          <w:rFonts w:hint="eastAsia"/>
          <w:lang w:val="en-GB"/>
        </w:rPr>
        <w:t>宪法法院解释说，身心健康权不是从《宪法》直接可以推导出来的一项基本权利，而是国家的一项宪定义务，但受国家经济力量的限制</w:t>
      </w:r>
      <w:r>
        <w:rPr>
          <w:lang w:val="en-GB"/>
        </w:rPr>
        <w:t xml:space="preserve">[56/1995. </w:t>
      </w:r>
      <w:r>
        <w:rPr>
          <w:lang w:val="de-DE"/>
        </w:rPr>
        <w:t xml:space="preserve">(IX. 15.) </w:t>
      </w:r>
      <w:r>
        <w:rPr>
          <w:lang w:val="de-DE"/>
        </w:rPr>
        <w:t>宪法法院</w:t>
      </w:r>
      <w:r>
        <w:rPr>
          <w:rFonts w:hint="eastAsia"/>
          <w:lang w:val="de-DE"/>
        </w:rPr>
        <w:t>裁定</w:t>
      </w:r>
      <w:r>
        <w:rPr>
          <w:lang w:val="de-DE"/>
        </w:rPr>
        <w:t>，</w:t>
      </w:r>
      <w:r>
        <w:rPr>
          <w:lang w:val="de-DE"/>
        </w:rPr>
        <w:t>ABH 1995, 270.</w:t>
      </w:r>
      <w:r>
        <w:rPr>
          <w:lang w:val="en-GB"/>
        </w:rPr>
        <w:t>]</w:t>
      </w:r>
      <w:r>
        <w:rPr>
          <w:rFonts w:hint="eastAsia"/>
          <w:lang w:val="en-GB"/>
        </w:rPr>
        <w:t>。宪法法院的后来的若干裁决中重申了这一立场，指出：“</w:t>
      </w:r>
      <w:r>
        <w:rPr>
          <w:rFonts w:hint="eastAsia"/>
          <w:iCs/>
          <w:lang w:val="en-GB"/>
        </w:rPr>
        <w:t>享有能达到的最高的体质和心理健康标准的权利……本身不能解释为一种实质性权利，其中所含的义务要求立法部门确保在身心健康的某些领域内享有实质性权利。”因此可以断定，身心健康这种社会权利不是法院可以强制实施的，从中并不产生个人应得的权利。</w:t>
      </w:r>
    </w:p>
    <w:p w:rsidR="00000000" w:rsidRDefault="00000000">
      <w:pPr>
        <w:rPr>
          <w:rFonts w:hint="eastAsia"/>
          <w:lang w:val="de-DE"/>
        </w:rPr>
      </w:pPr>
      <w:r>
        <w:rPr>
          <w:lang w:val="de-DE"/>
        </w:rPr>
        <w:tab/>
        <w:t xml:space="preserve">32.  </w:t>
      </w:r>
      <w:r>
        <w:rPr>
          <w:rFonts w:hint="eastAsia"/>
          <w:lang w:val="de-DE"/>
        </w:rPr>
        <w:t>《匈牙利宪法》规定</w:t>
      </w:r>
      <w:r>
        <w:rPr>
          <w:rFonts w:eastAsia="KaiTi_GB2312" w:hint="eastAsia"/>
          <w:snapToGrid/>
          <w:spacing w:val="0"/>
          <w:u w:val="single"/>
          <w:lang w:val="de-DE"/>
        </w:rPr>
        <w:t>教育权</w:t>
      </w:r>
      <w:r>
        <w:rPr>
          <w:rFonts w:hint="eastAsia"/>
          <w:lang w:val="de-DE"/>
        </w:rPr>
        <w:t>是国家的一项义务</w:t>
      </w:r>
      <w:r>
        <w:rPr>
          <w:lang w:val="de-DE"/>
        </w:rPr>
        <w:t>(</w:t>
      </w:r>
      <w:r>
        <w:rPr>
          <w:rFonts w:hint="eastAsia"/>
          <w:lang w:val="de-DE"/>
        </w:rPr>
        <w:t>《公约》第十三条；《宪法》第</w:t>
      </w:r>
      <w:r>
        <w:rPr>
          <w:lang w:val="en-GB"/>
        </w:rPr>
        <w:t>70/F</w:t>
      </w:r>
      <w:r>
        <w:rPr>
          <w:rFonts w:hint="eastAsia"/>
          <w:lang w:val="en-GB"/>
        </w:rPr>
        <w:t>条第一款</w:t>
      </w:r>
      <w:r>
        <w:rPr>
          <w:rFonts w:hint="eastAsia"/>
          <w:lang w:val="en-GB"/>
        </w:rPr>
        <w:t>)</w:t>
      </w:r>
      <w:r>
        <w:rPr>
          <w:rFonts w:hint="eastAsia"/>
          <w:lang w:val="en-GB"/>
        </w:rPr>
        <w:t>。根据</w:t>
      </w:r>
      <w:r>
        <w:rPr>
          <w:rFonts w:hint="eastAsia"/>
          <w:lang w:val="de-DE"/>
        </w:rPr>
        <w:t>第</w:t>
      </w:r>
      <w:r>
        <w:rPr>
          <w:lang w:val="en-GB"/>
        </w:rPr>
        <w:t>70/F</w:t>
      </w:r>
      <w:r>
        <w:rPr>
          <w:rFonts w:hint="eastAsia"/>
          <w:lang w:val="en-GB"/>
        </w:rPr>
        <w:t>条第一款的规定，这项权利在匈牙利共和国得到保障。第二款列举了国家保障这项权利的各种手段</w:t>
      </w:r>
      <w:r>
        <w:rPr>
          <w:rFonts w:hint="eastAsia"/>
          <w:lang w:val="en-GB"/>
        </w:rPr>
        <w:t>(</w:t>
      </w:r>
      <w:r>
        <w:rPr>
          <w:rFonts w:hint="eastAsia"/>
          <w:lang w:val="en-GB"/>
        </w:rPr>
        <w:t>传播并普遍能够学习文化、免费义务小学教育等</w:t>
      </w:r>
      <w:r>
        <w:rPr>
          <w:rFonts w:hint="eastAsia"/>
          <w:lang w:val="en-GB"/>
        </w:rPr>
        <w:t>)</w:t>
      </w:r>
      <w:r>
        <w:rPr>
          <w:rFonts w:hint="eastAsia"/>
          <w:lang w:val="en-GB"/>
        </w:rPr>
        <w:t>。关于接受高等教育权，宪法法院裁定，高等教育方面的文化权可以通过若干办法实现。对兑现这项义务的质疑不能在法院提出，没有兑现这项义务视为追查政治责任创造了基础，对义务履行情况的核查由国会进行</w:t>
      </w:r>
      <w:r>
        <w:rPr>
          <w:lang w:val="en-GB"/>
        </w:rPr>
        <w:t xml:space="preserve">(1310/D/1990. </w:t>
      </w:r>
      <w:r>
        <w:rPr>
          <w:lang w:val="de-DE"/>
        </w:rPr>
        <w:t>宪法法院</w:t>
      </w:r>
      <w:r>
        <w:rPr>
          <w:rFonts w:hint="eastAsia"/>
          <w:lang w:val="de-DE"/>
        </w:rPr>
        <w:t>裁定</w:t>
      </w:r>
      <w:r>
        <w:rPr>
          <w:lang w:val="de-DE"/>
        </w:rPr>
        <w:t>，</w:t>
      </w:r>
      <w:r>
        <w:rPr>
          <w:lang w:val="de-DE"/>
        </w:rPr>
        <w:t>ABH 1995, 586.)</w:t>
      </w:r>
      <w:r>
        <w:rPr>
          <w:rFonts w:hint="eastAsia"/>
          <w:lang w:val="de-DE"/>
        </w:rPr>
        <w:t>。</w:t>
      </w:r>
    </w:p>
    <w:p w:rsidR="00000000" w:rsidRDefault="00000000">
      <w:pPr>
        <w:rPr>
          <w:rFonts w:hint="eastAsia"/>
          <w:lang w:val="de-DE"/>
        </w:rPr>
      </w:pPr>
      <w:r>
        <w:rPr>
          <w:lang w:val="de-DE"/>
        </w:rPr>
        <w:tab/>
        <w:t xml:space="preserve">33.  </w:t>
      </w:r>
      <w:r>
        <w:rPr>
          <w:rFonts w:hint="eastAsia"/>
          <w:lang w:val="de-DE"/>
        </w:rPr>
        <w:t>另一方面，国家在教育的某些领域里的义务产生可以强制实施的个人权利</w:t>
      </w:r>
      <w:r>
        <w:rPr>
          <w:rFonts w:hint="eastAsia"/>
          <w:lang w:val="de-DE"/>
        </w:rPr>
        <w:t>(</w:t>
      </w:r>
      <w:r>
        <w:rPr>
          <w:rFonts w:hint="eastAsia"/>
          <w:lang w:val="de-DE"/>
        </w:rPr>
        <w:t>例如，家长和学生参加免费小学教育的权利</w:t>
      </w:r>
      <w:r>
        <w:rPr>
          <w:rFonts w:hint="eastAsia"/>
          <w:lang w:val="de-DE"/>
        </w:rPr>
        <w:t>)</w:t>
      </w:r>
      <w:r>
        <w:rPr>
          <w:lang w:val="en-GB"/>
        </w:rPr>
        <w:t xml:space="preserve">[22/1997. </w:t>
      </w:r>
      <w:r>
        <w:rPr>
          <w:lang w:val="de-DE"/>
        </w:rPr>
        <w:t xml:space="preserve">(IV. 25.) </w:t>
      </w:r>
      <w:r>
        <w:rPr>
          <w:lang w:val="de-DE"/>
        </w:rPr>
        <w:t>宪法法院</w:t>
      </w:r>
      <w:r>
        <w:rPr>
          <w:rFonts w:hint="eastAsia"/>
          <w:lang w:val="de-DE"/>
        </w:rPr>
        <w:t>裁定</w:t>
      </w:r>
      <w:r>
        <w:rPr>
          <w:lang w:val="de-DE"/>
        </w:rPr>
        <w:t>，</w:t>
      </w:r>
      <w:r>
        <w:rPr>
          <w:lang w:val="de-DE"/>
        </w:rPr>
        <w:t>ABH 1997, 113.</w:t>
      </w:r>
      <w:r>
        <w:rPr>
          <w:lang w:val="en-GB"/>
        </w:rPr>
        <w:t>]</w:t>
      </w:r>
      <w:r>
        <w:rPr>
          <w:rFonts w:hint="eastAsia"/>
          <w:lang w:val="en-GB"/>
        </w:rPr>
        <w:t>。</w:t>
      </w:r>
    </w:p>
    <w:p w:rsidR="00000000" w:rsidRDefault="00000000">
      <w:pPr>
        <w:spacing w:after="320"/>
        <w:rPr>
          <w:rFonts w:hint="eastAsia"/>
          <w:lang w:val="en-GB"/>
        </w:rPr>
      </w:pPr>
      <w:r>
        <w:rPr>
          <w:lang w:val="de-DE"/>
        </w:rPr>
        <w:tab/>
        <w:t xml:space="preserve">34.  </w:t>
      </w:r>
      <w:r>
        <w:rPr>
          <w:rFonts w:hint="eastAsia"/>
          <w:lang w:val="de-DE"/>
        </w:rPr>
        <w:t>1976</w:t>
      </w:r>
      <w:r>
        <w:rPr>
          <w:rFonts w:hint="eastAsia"/>
          <w:lang w:val="de-DE"/>
        </w:rPr>
        <w:t>年第</w:t>
      </w:r>
      <w:r>
        <w:rPr>
          <w:rFonts w:hint="eastAsia"/>
          <w:lang w:val="de-DE"/>
        </w:rPr>
        <w:t>9</w:t>
      </w:r>
      <w:r>
        <w:rPr>
          <w:rFonts w:hint="eastAsia"/>
          <w:lang w:val="de-DE"/>
        </w:rPr>
        <w:t>号法令</w:t>
      </w:r>
      <w:r>
        <w:rPr>
          <w:rFonts w:hint="eastAsia"/>
          <w:lang w:val="de-DE"/>
        </w:rPr>
        <w:t>(1976</w:t>
      </w:r>
      <w:r>
        <w:rPr>
          <w:rFonts w:hint="eastAsia"/>
          <w:lang w:val="de-DE"/>
        </w:rPr>
        <w:t>年</w:t>
      </w:r>
      <w:r>
        <w:rPr>
          <w:rFonts w:hint="eastAsia"/>
          <w:lang w:val="de-DE"/>
        </w:rPr>
        <w:t>1</w:t>
      </w:r>
      <w:r>
        <w:rPr>
          <w:rFonts w:hint="eastAsia"/>
          <w:lang w:val="de-DE"/>
        </w:rPr>
        <w:t>月</w:t>
      </w:r>
      <w:r>
        <w:rPr>
          <w:rFonts w:hint="eastAsia"/>
          <w:lang w:val="de-DE"/>
        </w:rPr>
        <w:t>3</w:t>
      </w:r>
      <w:r>
        <w:rPr>
          <w:rFonts w:hint="eastAsia"/>
          <w:lang w:val="de-DE"/>
        </w:rPr>
        <w:t>日生效</w:t>
      </w:r>
      <w:r>
        <w:rPr>
          <w:rFonts w:hint="eastAsia"/>
          <w:lang w:val="de-DE"/>
        </w:rPr>
        <w:t>)</w:t>
      </w:r>
      <w:r>
        <w:rPr>
          <w:rFonts w:hint="eastAsia"/>
          <w:lang w:val="de-DE"/>
        </w:rPr>
        <w:t>将《公约》植入匈牙利的法律体系之中，宣布</w:t>
      </w:r>
      <w:r>
        <w:rPr>
          <w:rFonts w:hint="eastAsia"/>
          <w:lang w:val="de-DE"/>
        </w:rPr>
        <w:t>1966</w:t>
      </w:r>
      <w:r>
        <w:rPr>
          <w:rFonts w:hint="eastAsia"/>
          <w:lang w:val="de-DE"/>
        </w:rPr>
        <w:t>年</w:t>
      </w:r>
      <w:r>
        <w:rPr>
          <w:rFonts w:hint="eastAsia"/>
          <w:lang w:val="de-DE"/>
        </w:rPr>
        <w:t>12</w:t>
      </w:r>
      <w:r>
        <w:rPr>
          <w:rFonts w:hint="eastAsia"/>
          <w:lang w:val="de-DE"/>
        </w:rPr>
        <w:t>月</w:t>
      </w:r>
      <w:r>
        <w:rPr>
          <w:rFonts w:hint="eastAsia"/>
          <w:lang w:val="de-DE"/>
        </w:rPr>
        <w:t>16</w:t>
      </w:r>
      <w:r>
        <w:rPr>
          <w:rFonts w:hint="eastAsia"/>
          <w:lang w:val="de-DE"/>
        </w:rPr>
        <w:t>日联合国大会第二十一届会议通过的《经济、社会、文化权利国际公约》对匈牙利生效。在</w:t>
      </w:r>
      <w:r>
        <w:rPr>
          <w:rFonts w:hint="eastAsia"/>
          <w:lang w:val="de-DE"/>
        </w:rPr>
        <w:t>1989</w:t>
      </w:r>
      <w:r>
        <w:rPr>
          <w:rFonts w:hint="eastAsia"/>
          <w:lang w:val="de-DE"/>
        </w:rPr>
        <w:t>年政权变更之前的那一时期内，匈牙利共和国总统委员会曾经发布了若干政令。这一机构根据</w:t>
      </w:r>
      <w:r>
        <w:rPr>
          <w:rFonts w:hint="eastAsia"/>
          <w:lang w:val="de-DE"/>
        </w:rPr>
        <w:t>1989</w:t>
      </w:r>
      <w:r>
        <w:rPr>
          <w:rFonts w:hint="eastAsia"/>
          <w:lang w:val="de-DE"/>
        </w:rPr>
        <w:t>年第</w:t>
      </w:r>
      <w:r>
        <w:rPr>
          <w:rFonts w:hint="eastAsia"/>
        </w:rPr>
        <w:t>三十一</w:t>
      </w:r>
      <w:r>
        <w:rPr>
          <w:rFonts w:hint="eastAsia"/>
          <w:lang w:val="de-DE"/>
        </w:rPr>
        <w:t>号法令第</w:t>
      </w:r>
      <w:r>
        <w:rPr>
          <w:rFonts w:hint="eastAsia"/>
          <w:lang w:val="de-DE"/>
        </w:rPr>
        <w:t>38</w:t>
      </w:r>
      <w:r>
        <w:rPr>
          <w:rFonts w:hint="eastAsia"/>
          <w:lang w:val="de-DE"/>
        </w:rPr>
        <w:t>条第二款予以撤消。自此没有发布过任何政令，但是现有的政令仍然保持其效力和有效性。宪法法院对仍然有效的</w:t>
      </w:r>
      <w:r>
        <w:rPr>
          <w:rFonts w:hint="eastAsia"/>
        </w:rPr>
        <w:t>政</w:t>
      </w:r>
      <w:r>
        <w:rPr>
          <w:rFonts w:hint="eastAsia"/>
          <w:lang w:val="de-DE"/>
        </w:rPr>
        <w:t>令</w:t>
      </w:r>
      <w:r>
        <w:rPr>
          <w:rFonts w:hint="eastAsia"/>
        </w:rPr>
        <w:t>做了评估，认为是与法令体系相当的一个体系</w:t>
      </w:r>
      <w:r>
        <w:rPr>
          <w:lang w:val="en-GB"/>
        </w:rPr>
        <w:t xml:space="preserve">[7/1994. </w:t>
      </w:r>
      <w:r>
        <w:rPr>
          <w:lang w:val="de-DE"/>
        </w:rPr>
        <w:t xml:space="preserve">(II. 18.) </w:t>
      </w:r>
      <w:r>
        <w:rPr>
          <w:lang w:val="de-DE"/>
        </w:rPr>
        <w:t>宪法法院</w:t>
      </w:r>
      <w:r>
        <w:rPr>
          <w:rFonts w:hint="eastAsia"/>
          <w:lang w:val="de-DE"/>
        </w:rPr>
        <w:t>裁定</w:t>
      </w:r>
      <w:r>
        <w:rPr>
          <w:lang w:val="de-DE"/>
        </w:rPr>
        <w:t>，</w:t>
      </w:r>
      <w:r>
        <w:rPr>
          <w:lang w:val="de-DE"/>
        </w:rPr>
        <w:t>ABH 1994, 58.</w:t>
      </w:r>
      <w:r>
        <w:rPr>
          <w:lang w:val="en-GB"/>
        </w:rPr>
        <w:t>]</w:t>
      </w:r>
      <w:r>
        <w:rPr>
          <w:rFonts w:hint="eastAsia"/>
        </w:rPr>
        <w:t>。</w:t>
      </w:r>
    </w:p>
    <w:p w:rsidR="00000000" w:rsidRDefault="00000000">
      <w:pPr>
        <w:pStyle w:val="Heading2"/>
        <w:rPr>
          <w:lang w:val="en-GB"/>
        </w:rPr>
      </w:pPr>
      <w:r>
        <w:rPr>
          <w:rFonts w:hint="eastAsia"/>
          <w:lang w:val="en-GB"/>
        </w:rPr>
        <w:t>第三条</w:t>
      </w:r>
      <w:r>
        <w:rPr>
          <w:rFonts w:hint="eastAsia"/>
          <w:spacing w:val="-50"/>
          <w:lang w:val="en-GB"/>
        </w:rPr>
        <w:t>―</w:t>
      </w:r>
      <w:r>
        <w:rPr>
          <w:rFonts w:hint="eastAsia"/>
          <w:lang w:val="en-GB"/>
        </w:rPr>
        <w:t>―男女机会平等</w:t>
      </w:r>
    </w:p>
    <w:p w:rsidR="00000000" w:rsidRDefault="00000000">
      <w:pPr>
        <w:pStyle w:val="Heading3"/>
      </w:pPr>
      <w:r>
        <w:rPr>
          <w:rFonts w:hint="eastAsia"/>
        </w:rPr>
        <w:t>统计和分析</w:t>
      </w:r>
    </w:p>
    <w:p w:rsidR="00000000" w:rsidRDefault="00000000">
      <w:pPr>
        <w:pStyle w:val="Heading4"/>
        <w:ind w:left="520"/>
        <w:rPr>
          <w:rFonts w:hint="eastAsia"/>
          <w:lang w:val="en-GB"/>
        </w:rPr>
      </w:pPr>
      <w:r>
        <w:rPr>
          <w:rFonts w:hint="eastAsia"/>
          <w:u w:val="none"/>
          <w:lang w:val="en-GB"/>
        </w:rPr>
        <w:t xml:space="preserve">1.  </w:t>
      </w:r>
      <w:r>
        <w:rPr>
          <w:rFonts w:hint="eastAsia"/>
          <w:lang w:val="en-GB"/>
        </w:rPr>
        <w:t>工作与就业</w:t>
      </w:r>
    </w:p>
    <w:p w:rsidR="00000000" w:rsidRDefault="00000000">
      <w:pPr>
        <w:rPr>
          <w:rFonts w:hint="eastAsia"/>
          <w:lang w:val="en-GB"/>
        </w:rPr>
      </w:pPr>
      <w:r>
        <w:rPr>
          <w:lang w:val="en-GB"/>
        </w:rPr>
        <w:tab/>
        <w:t xml:space="preserve">35.  </w:t>
      </w:r>
      <w:r>
        <w:rPr>
          <w:rFonts w:hint="eastAsia"/>
          <w:lang w:val="en-GB"/>
        </w:rPr>
        <w:t>男女就业水平都很低，这是匈牙利就业政策面临的一个重大挑战。女性占总就业人数的</w:t>
      </w:r>
      <w:r>
        <w:rPr>
          <w:rFonts w:hint="eastAsia"/>
          <w:lang w:val="en-GB"/>
        </w:rPr>
        <w:t>45%</w:t>
      </w:r>
      <w:r>
        <w:rPr>
          <w:rFonts w:hint="eastAsia"/>
          <w:lang w:val="en-GB"/>
        </w:rPr>
        <w:t>。</w:t>
      </w:r>
      <w:r>
        <w:rPr>
          <w:rFonts w:hint="eastAsia"/>
          <w:lang w:val="en-GB"/>
        </w:rPr>
        <w:t>2003</w:t>
      </w:r>
      <w:r>
        <w:rPr>
          <w:rFonts w:hint="eastAsia"/>
          <w:lang w:val="en-GB"/>
        </w:rPr>
        <w:t>年的失业率为</w:t>
      </w:r>
      <w:r>
        <w:rPr>
          <w:rFonts w:hint="eastAsia"/>
          <w:lang w:val="en-GB"/>
        </w:rPr>
        <w:t>5.6%</w:t>
      </w:r>
      <w:r>
        <w:rPr>
          <w:rFonts w:hint="eastAsia"/>
          <w:spacing w:val="-50"/>
          <w:lang w:val="en-GB"/>
        </w:rPr>
        <w:t>―</w:t>
      </w:r>
      <w:r>
        <w:rPr>
          <w:rFonts w:hint="eastAsia"/>
          <w:lang w:val="en-GB"/>
        </w:rPr>
        <w:t>―比男性就业率</w:t>
      </w:r>
      <w:r>
        <w:rPr>
          <w:rFonts w:hint="eastAsia"/>
          <w:lang w:val="en-GB"/>
        </w:rPr>
        <w:t>(</w:t>
      </w:r>
      <w:r>
        <w:rPr>
          <w:lang w:val="en-GB"/>
        </w:rPr>
        <w:t>6.1%</w:t>
      </w:r>
      <w:r>
        <w:rPr>
          <w:rFonts w:hint="eastAsia"/>
          <w:lang w:val="en-GB"/>
        </w:rPr>
        <w:t>)</w:t>
      </w:r>
      <w:r>
        <w:rPr>
          <w:rFonts w:hint="eastAsia"/>
          <w:lang w:val="en-GB"/>
        </w:rPr>
        <w:t>低</w:t>
      </w:r>
      <w:r>
        <w:rPr>
          <w:rFonts w:hint="eastAsia"/>
          <w:lang w:val="en-GB"/>
        </w:rPr>
        <w:t>0.5%</w:t>
      </w:r>
      <w:r>
        <w:rPr>
          <w:rFonts w:hint="eastAsia"/>
          <w:lang w:val="en-GB"/>
        </w:rPr>
        <w:t>。但是，女性不积极争取就业的比例比较高。造成就业水平低的部分原因是托儿服务和福利体系的粗放性。兼职工作和其他形式灵活的就业机会少，使有子女的妇女重返劳动市场问题复杂化。</w:t>
      </w:r>
      <w:r>
        <w:rPr>
          <w:rFonts w:hint="eastAsia"/>
          <w:lang w:val="en-GB"/>
        </w:rPr>
        <w:t>2003</w:t>
      </w:r>
      <w:r>
        <w:rPr>
          <w:rFonts w:hint="eastAsia"/>
          <w:lang w:val="en-GB"/>
        </w:rPr>
        <w:t>年，部分时间工作的人占就业总数的</w:t>
      </w:r>
      <w:r>
        <w:rPr>
          <w:lang w:val="en-GB"/>
        </w:rPr>
        <w:t>4%</w:t>
      </w:r>
      <w:r>
        <w:rPr>
          <w:rFonts w:hint="eastAsia"/>
          <w:spacing w:val="-50"/>
          <w:lang w:val="en-GB"/>
        </w:rPr>
        <w:t>―</w:t>
      </w:r>
      <w:r>
        <w:rPr>
          <w:rFonts w:hint="eastAsia"/>
          <w:lang w:val="en-GB"/>
        </w:rPr>
        <w:t>―男性占</w:t>
      </w:r>
      <w:r>
        <w:rPr>
          <w:rFonts w:hint="eastAsia"/>
          <w:lang w:val="en-GB"/>
        </w:rPr>
        <w:t>2.8%</w:t>
      </w:r>
      <w:r>
        <w:rPr>
          <w:rFonts w:hint="eastAsia"/>
        </w:rPr>
        <w:t>，</w:t>
      </w:r>
      <w:r>
        <w:rPr>
          <w:rFonts w:hint="eastAsia"/>
          <w:lang w:val="en-GB"/>
        </w:rPr>
        <w:t>女性占</w:t>
      </w:r>
      <w:r>
        <w:rPr>
          <w:rFonts w:hint="eastAsia"/>
          <w:lang w:val="en-GB"/>
        </w:rPr>
        <w:t>5.4%</w:t>
      </w:r>
      <w:r>
        <w:rPr>
          <w:rFonts w:hint="eastAsia"/>
          <w:lang w:val="en-GB"/>
        </w:rPr>
        <w:t>。</w:t>
      </w:r>
    </w:p>
    <w:p w:rsidR="00000000" w:rsidRDefault="00000000">
      <w:pPr>
        <w:rPr>
          <w:rFonts w:hint="eastAsia"/>
          <w:lang w:val="en-GB"/>
        </w:rPr>
      </w:pPr>
      <w:r>
        <w:rPr>
          <w:lang w:val="en-GB"/>
        </w:rPr>
        <w:tab/>
        <w:t xml:space="preserve">36.  </w:t>
      </w:r>
      <w:r>
        <w:rPr>
          <w:rFonts w:hint="eastAsia"/>
          <w:lang w:val="en-GB"/>
        </w:rPr>
        <w:t>就业情况的特点是男女之间存在横向和垂直分隔现象。横向分隔的表现是女性在报酬低于平均水平的部门和行业就业的比例高得多。垂直分隔的表现是，私营部门的高级主管只有</w:t>
      </w:r>
      <w:r>
        <w:rPr>
          <w:rFonts w:hint="eastAsia"/>
          <w:lang w:val="en-GB"/>
        </w:rPr>
        <w:t>1/10</w:t>
      </w:r>
      <w:r>
        <w:rPr>
          <w:rFonts w:hint="eastAsia"/>
          <w:lang w:val="en-GB"/>
        </w:rPr>
        <w:t>是女性，全部企业主中只有</w:t>
      </w:r>
      <w:r>
        <w:rPr>
          <w:rFonts w:hint="eastAsia"/>
          <w:lang w:val="en-GB"/>
        </w:rPr>
        <w:t>30%</w:t>
      </w:r>
      <w:r>
        <w:rPr>
          <w:rFonts w:hint="eastAsia"/>
          <w:lang w:val="en-GB"/>
        </w:rPr>
        <w:t>是女性。</w:t>
      </w:r>
    </w:p>
    <w:p w:rsidR="00000000" w:rsidRDefault="00000000">
      <w:pPr>
        <w:spacing w:after="240"/>
        <w:rPr>
          <w:rFonts w:hint="eastAsia"/>
          <w:lang w:val="en-GB"/>
        </w:rPr>
      </w:pPr>
      <w:r>
        <w:rPr>
          <w:lang w:val="en-GB"/>
        </w:rPr>
        <w:tab/>
        <w:t xml:space="preserve">37.  </w:t>
      </w:r>
      <w:r>
        <w:rPr>
          <w:rFonts w:hint="eastAsia"/>
          <w:lang w:val="en-GB"/>
        </w:rPr>
        <w:t>尽管女性的合格程度比较高，但是</w:t>
      </w:r>
      <w:r>
        <w:rPr>
          <w:rFonts w:hint="eastAsia"/>
          <w:lang w:val="en-GB"/>
        </w:rPr>
        <w:t>2003</w:t>
      </w:r>
      <w:r>
        <w:rPr>
          <w:rFonts w:hint="eastAsia"/>
          <w:lang w:val="en-GB"/>
        </w:rPr>
        <w:t>年女性的平均毛收入比男性低</w:t>
      </w:r>
      <w:r>
        <w:rPr>
          <w:rFonts w:hint="eastAsia"/>
          <w:lang w:val="en-GB"/>
        </w:rPr>
        <w:t>19%</w:t>
      </w:r>
      <w:r>
        <w:rPr>
          <w:rFonts w:hint="eastAsia"/>
          <w:lang w:val="en-GB"/>
        </w:rPr>
        <w:t>。无论是在公营部门还是在私营部门，女性从事同等可比的职业，作一般认为相等的工作，所得工资平均低</w:t>
      </w:r>
      <w:r>
        <w:rPr>
          <w:lang w:val="en-GB"/>
        </w:rPr>
        <w:t>13%</w:t>
      </w:r>
      <w:r>
        <w:rPr>
          <w:rFonts w:hint="eastAsia"/>
          <w:lang w:val="en-GB"/>
        </w:rPr>
        <w:t>至</w:t>
      </w:r>
      <w:r>
        <w:rPr>
          <w:lang w:val="en-GB"/>
        </w:rPr>
        <w:t>14%</w:t>
      </w:r>
      <w:r>
        <w:rPr>
          <w:lang w:val="en-GB"/>
        </w:rPr>
        <w:t>。</w:t>
      </w:r>
    </w:p>
    <w:p w:rsidR="00000000" w:rsidRDefault="00000000">
      <w:pPr>
        <w:pStyle w:val="Heading4"/>
        <w:ind w:left="520"/>
        <w:rPr>
          <w:lang w:val="en-GB"/>
        </w:rPr>
      </w:pPr>
      <w:r>
        <w:rPr>
          <w:u w:val="none"/>
          <w:lang w:val="en-GB"/>
        </w:rPr>
        <w:t xml:space="preserve">2.  </w:t>
      </w:r>
      <w:r>
        <w:rPr>
          <w:rFonts w:hint="eastAsia"/>
          <w:snapToGrid/>
          <w:lang w:val="en-GB"/>
        </w:rPr>
        <w:t>教育和培训</w:t>
      </w:r>
    </w:p>
    <w:p w:rsidR="00000000" w:rsidRDefault="00000000">
      <w:pPr>
        <w:spacing w:after="240"/>
        <w:rPr>
          <w:rFonts w:hint="eastAsia"/>
          <w:lang w:val="en-GB"/>
        </w:rPr>
      </w:pPr>
      <w:r>
        <w:rPr>
          <w:lang w:val="en-GB"/>
        </w:rPr>
        <w:tab/>
      </w:r>
      <w:r>
        <w:rPr>
          <w:rFonts w:hint="eastAsia"/>
          <w:lang w:val="en-GB"/>
        </w:rPr>
        <w:t>38.</w:t>
      </w:r>
      <w:r>
        <w:rPr>
          <w:lang w:val="en-GB"/>
        </w:rPr>
        <w:t xml:space="preserve">  </w:t>
      </w:r>
      <w:r>
        <w:rPr>
          <w:rFonts w:hint="eastAsia"/>
          <w:lang w:val="en-GB"/>
        </w:rPr>
        <w:t>匈牙利妇女、首先是年轻妇女的教育水平在不断提高。就学龄而言，女性的条件比男性高。另一方面，对男女在各个领域里的传统作用仍然存在成见。获得大学学位的妇女比获得大专学位的妇女少得多。在科学研究方面，既可以看到男女分别有自己的专门领域，又能看到女性比例普遍偏低的现象。</w:t>
      </w:r>
    </w:p>
    <w:p w:rsidR="00000000" w:rsidRDefault="00000000">
      <w:pPr>
        <w:pStyle w:val="Heading4"/>
        <w:ind w:left="520"/>
        <w:rPr>
          <w:lang w:val="en-GB"/>
        </w:rPr>
      </w:pPr>
      <w:r>
        <w:rPr>
          <w:u w:val="none"/>
          <w:lang w:val="en-GB"/>
        </w:rPr>
        <w:t xml:space="preserve">3.  </w:t>
      </w:r>
      <w:r>
        <w:rPr>
          <w:rFonts w:hint="eastAsia"/>
          <w:lang w:val="en-GB"/>
        </w:rPr>
        <w:t>健</w:t>
      </w:r>
      <w:r>
        <w:rPr>
          <w:lang w:val="en-GB"/>
        </w:rPr>
        <w:t xml:space="preserve">  </w:t>
      </w:r>
      <w:r>
        <w:rPr>
          <w:rFonts w:hint="eastAsia"/>
          <w:lang w:val="en-GB"/>
        </w:rPr>
        <w:t>康</w:t>
      </w:r>
    </w:p>
    <w:p w:rsidR="00000000" w:rsidRDefault="00000000">
      <w:pPr>
        <w:rPr>
          <w:rFonts w:hint="eastAsia"/>
          <w:lang w:val="en-GB"/>
        </w:rPr>
      </w:pPr>
      <w:r>
        <w:rPr>
          <w:lang w:val="en-GB"/>
        </w:rPr>
        <w:tab/>
      </w:r>
      <w:r>
        <w:rPr>
          <w:rFonts w:hint="eastAsia"/>
          <w:lang w:val="en-GB"/>
        </w:rPr>
        <w:t>39.</w:t>
      </w:r>
      <w:r>
        <w:rPr>
          <w:lang w:val="en-GB"/>
        </w:rPr>
        <w:t xml:space="preserve">  </w:t>
      </w:r>
      <w:r>
        <w:rPr>
          <w:rFonts w:hint="eastAsia"/>
          <w:lang w:val="en-GB"/>
        </w:rPr>
        <w:t>自</w:t>
      </w:r>
      <w:r>
        <w:rPr>
          <w:rFonts w:hint="eastAsia"/>
          <w:lang w:val="en-GB"/>
        </w:rPr>
        <w:t>1981</w:t>
      </w:r>
      <w:r>
        <w:rPr>
          <w:rFonts w:hint="eastAsia"/>
          <w:lang w:val="en-GB"/>
        </w:rPr>
        <w:t>年以来，人口缩减了大约</w:t>
      </w:r>
      <w:r>
        <w:rPr>
          <w:lang w:val="en-GB"/>
        </w:rPr>
        <w:t>6.3%</w:t>
      </w:r>
      <w:r>
        <w:rPr>
          <w:rFonts w:hint="eastAsia"/>
          <w:lang w:val="en-GB"/>
        </w:rPr>
        <w:t>。平均预期寿命近几年来一直在缓缓上升。</w:t>
      </w:r>
      <w:r>
        <w:rPr>
          <w:rFonts w:hint="eastAsia"/>
          <w:lang w:val="en-GB"/>
        </w:rPr>
        <w:t>2002</w:t>
      </w:r>
      <w:r>
        <w:rPr>
          <w:rFonts w:hint="eastAsia"/>
          <w:lang w:val="en-GB"/>
        </w:rPr>
        <w:t>年女性新生儿平均预期寿命是</w:t>
      </w:r>
      <w:r>
        <w:rPr>
          <w:rFonts w:hint="eastAsia"/>
          <w:lang w:val="en-GB"/>
        </w:rPr>
        <w:t>76.6</w:t>
      </w:r>
      <w:r>
        <w:rPr>
          <w:rFonts w:hint="eastAsia"/>
          <w:lang w:val="en-GB"/>
        </w:rPr>
        <w:t>岁，男性为</w:t>
      </w:r>
      <w:r>
        <w:rPr>
          <w:rFonts w:hint="eastAsia"/>
          <w:lang w:val="en-GB"/>
        </w:rPr>
        <w:t>68.3</w:t>
      </w:r>
      <w:r>
        <w:rPr>
          <w:rFonts w:hint="eastAsia"/>
          <w:lang w:val="en-GB"/>
        </w:rPr>
        <w:t>岁。根据匈牙利中央统计局的资料，</w:t>
      </w:r>
      <w:r>
        <w:rPr>
          <w:lang w:val="en-GB"/>
        </w:rPr>
        <w:t>1990</w:t>
      </w:r>
      <w:r>
        <w:rPr>
          <w:rFonts w:hint="eastAsia"/>
          <w:lang w:val="en-GB"/>
        </w:rPr>
        <w:t>年至</w:t>
      </w:r>
      <w:r>
        <w:rPr>
          <w:rFonts w:hint="eastAsia"/>
          <w:lang w:val="en-GB"/>
        </w:rPr>
        <w:t>2002</w:t>
      </w:r>
      <w:r>
        <w:rPr>
          <w:rFonts w:hint="eastAsia"/>
          <w:lang w:val="en-GB"/>
        </w:rPr>
        <w:t>年新生儿平均预期寿命慢慢有所上升。</w:t>
      </w:r>
    </w:p>
    <w:p w:rsidR="00000000" w:rsidRDefault="00000000">
      <w:pPr>
        <w:spacing w:after="160"/>
        <w:rPr>
          <w:rFonts w:hint="eastAsia"/>
          <w:lang w:val="en-GB"/>
        </w:rPr>
      </w:pPr>
      <w:r>
        <w:rPr>
          <w:lang w:val="en-GB"/>
        </w:rPr>
        <w:tab/>
      </w:r>
      <w:r>
        <w:rPr>
          <w:rFonts w:hint="eastAsia"/>
          <w:lang w:val="en-GB"/>
        </w:rPr>
        <w:t>40.</w:t>
      </w:r>
      <w:r>
        <w:rPr>
          <w:lang w:val="en-GB"/>
        </w:rPr>
        <w:t xml:space="preserve">  </w:t>
      </w:r>
      <w:r>
        <w:rPr>
          <w:rFonts w:hint="eastAsia"/>
          <w:lang w:val="en-GB"/>
        </w:rPr>
        <w:t>流产数目与新生儿数目相比仍然高得惊人。</w:t>
      </w:r>
      <w:r>
        <w:rPr>
          <w:rFonts w:hint="eastAsia"/>
          <w:lang w:val="en-GB"/>
        </w:rPr>
        <w:t>2002</w:t>
      </w:r>
      <w:r>
        <w:rPr>
          <w:rFonts w:hint="eastAsia"/>
          <w:lang w:val="en-GB"/>
        </w:rPr>
        <w:t>年每百活产的引流数为</w:t>
      </w:r>
      <w:r>
        <w:rPr>
          <w:rFonts w:hint="eastAsia"/>
          <w:lang w:val="en-GB"/>
        </w:rPr>
        <w:t>57.9</w:t>
      </w:r>
      <w:r>
        <w:rPr>
          <w:rFonts w:hint="eastAsia"/>
          <w:lang w:val="en-GB"/>
        </w:rPr>
        <w:t>人，然而这方面人数渐渐在减少。</w:t>
      </w:r>
    </w:p>
    <w:p w:rsidR="00000000" w:rsidRDefault="00000000">
      <w:pPr>
        <w:pStyle w:val="Heading4"/>
        <w:ind w:left="520" w:hanging="520"/>
        <w:rPr>
          <w:lang w:val="en-GB"/>
        </w:rPr>
      </w:pPr>
      <w:r>
        <w:rPr>
          <w:u w:val="none"/>
          <w:lang w:val="en-GB"/>
        </w:rPr>
        <w:tab/>
        <w:t xml:space="preserve">4.  </w:t>
      </w:r>
      <w:r>
        <w:rPr>
          <w:rFonts w:hint="eastAsia"/>
          <w:lang w:val="en-GB"/>
        </w:rPr>
        <w:t>社会保护</w:t>
      </w:r>
    </w:p>
    <w:p w:rsidR="00000000" w:rsidRDefault="00000000">
      <w:pPr>
        <w:rPr>
          <w:rFonts w:hint="eastAsia"/>
          <w:lang w:val="en-GB"/>
        </w:rPr>
      </w:pPr>
      <w:r>
        <w:rPr>
          <w:lang w:val="en-GB"/>
        </w:rPr>
        <w:tab/>
      </w:r>
      <w:r>
        <w:rPr>
          <w:rFonts w:hint="eastAsia"/>
          <w:lang w:val="en-GB"/>
        </w:rPr>
        <w:t>41.</w:t>
      </w:r>
      <w:r>
        <w:rPr>
          <w:lang w:val="en-GB"/>
        </w:rPr>
        <w:t xml:space="preserve">  </w:t>
      </w:r>
      <w:r>
        <w:rPr>
          <w:rFonts w:hint="eastAsia"/>
          <w:lang w:val="en-GB"/>
        </w:rPr>
        <w:t>虽然男女的贫困率都在</w:t>
      </w:r>
      <w:r>
        <w:rPr>
          <w:rFonts w:hint="eastAsia"/>
          <w:lang w:val="en-GB"/>
        </w:rPr>
        <w:t>10%</w:t>
      </w:r>
      <w:r>
        <w:rPr>
          <w:rFonts w:hint="eastAsia"/>
          <w:lang w:val="en-GB"/>
        </w:rPr>
        <w:t>左右，贫困男子和贫困妇女的社会地位却大相径庭。这是由于男女进入劳动市场的程度有差异。</w:t>
      </w:r>
    </w:p>
    <w:p w:rsidR="00000000" w:rsidRDefault="00000000">
      <w:pPr>
        <w:rPr>
          <w:rFonts w:hint="eastAsia"/>
          <w:lang w:val="en-GB"/>
        </w:rPr>
      </w:pPr>
      <w:r>
        <w:rPr>
          <w:lang w:val="en-GB"/>
        </w:rPr>
        <w:tab/>
      </w:r>
      <w:r>
        <w:rPr>
          <w:rFonts w:hint="eastAsia"/>
          <w:lang w:val="en-GB"/>
        </w:rPr>
        <w:t>42.</w:t>
      </w:r>
      <w:r>
        <w:rPr>
          <w:lang w:val="en-GB"/>
        </w:rPr>
        <w:t xml:space="preserve">  </w:t>
      </w:r>
      <w:r>
        <w:rPr>
          <w:rFonts w:hint="eastAsia"/>
          <w:lang w:val="en-GB"/>
        </w:rPr>
        <w:t>1990</w:t>
      </w:r>
      <w:r>
        <w:rPr>
          <w:rFonts w:hint="eastAsia"/>
          <w:lang w:val="en-GB"/>
        </w:rPr>
        <w:t>年至</w:t>
      </w:r>
      <w:r>
        <w:rPr>
          <w:rFonts w:hint="eastAsia"/>
          <w:lang w:val="en-GB"/>
        </w:rPr>
        <w:t>2002</w:t>
      </w:r>
      <w:r>
        <w:rPr>
          <w:rFonts w:hint="eastAsia"/>
          <w:lang w:val="en-GB"/>
        </w:rPr>
        <w:t>年，每百件协议婚姻的平均离婚数</w:t>
      </w:r>
      <w:r>
        <w:rPr>
          <w:rFonts w:hint="eastAsia"/>
          <w:lang w:val="en-GB"/>
        </w:rPr>
        <w:t>(</w:t>
      </w:r>
      <w:r>
        <w:rPr>
          <w:rFonts w:hint="eastAsia"/>
          <w:lang w:val="en-GB"/>
        </w:rPr>
        <w:t>总离婚率</w:t>
      </w:r>
      <w:r>
        <w:rPr>
          <w:rFonts w:hint="eastAsia"/>
          <w:lang w:val="en-GB"/>
        </w:rPr>
        <w:t>)</w:t>
      </w:r>
      <w:r>
        <w:rPr>
          <w:rFonts w:hint="eastAsia"/>
          <w:lang w:val="en-GB"/>
        </w:rPr>
        <w:t>展示出一种增长的趋势。</w:t>
      </w:r>
      <w:r>
        <w:rPr>
          <w:rFonts w:hint="eastAsia"/>
          <w:lang w:val="en-GB"/>
        </w:rPr>
        <w:t>2002</w:t>
      </w:r>
      <w:r>
        <w:rPr>
          <w:rFonts w:hint="eastAsia"/>
          <w:lang w:val="en-GB"/>
        </w:rPr>
        <w:t>年的总离婚率为</w:t>
      </w:r>
      <w:r>
        <w:rPr>
          <w:lang w:val="en-GB"/>
        </w:rPr>
        <w:t>0.42</w:t>
      </w:r>
      <w:r>
        <w:rPr>
          <w:rFonts w:hint="eastAsia"/>
          <w:lang w:val="en-GB"/>
        </w:rPr>
        <w:t>。绝大多数单身父母是妇女。</w:t>
      </w:r>
    </w:p>
    <w:p w:rsidR="00000000" w:rsidRDefault="00000000">
      <w:pPr>
        <w:spacing w:after="320"/>
        <w:rPr>
          <w:rFonts w:hint="eastAsia"/>
          <w:lang w:val="en-GB"/>
        </w:rPr>
      </w:pPr>
      <w:r>
        <w:rPr>
          <w:lang w:val="en-GB"/>
        </w:rPr>
        <w:tab/>
      </w:r>
      <w:r>
        <w:rPr>
          <w:rFonts w:hint="eastAsia"/>
          <w:lang w:val="en-GB"/>
        </w:rPr>
        <w:t>43.</w:t>
      </w:r>
      <w:r>
        <w:rPr>
          <w:lang w:val="en-GB"/>
        </w:rPr>
        <w:t xml:space="preserve">  </w:t>
      </w:r>
      <w:r>
        <w:rPr>
          <w:rFonts w:hint="eastAsia"/>
          <w:lang w:val="en-GB"/>
        </w:rPr>
        <w:t>三分之一的家庭有未成年人，</w:t>
      </w:r>
      <w:r>
        <w:rPr>
          <w:rFonts w:hint="eastAsia"/>
          <w:lang w:val="en-GB"/>
        </w:rPr>
        <w:t>40%</w:t>
      </w:r>
      <w:r>
        <w:rPr>
          <w:rFonts w:hint="eastAsia"/>
          <w:lang w:val="en-GB"/>
        </w:rPr>
        <w:t>的家庭还有其他需赡养的家庭成员。在大多数情况下，赡养这些家属的任务落在妇女身上。</w:t>
      </w:r>
    </w:p>
    <w:p w:rsidR="00000000" w:rsidRDefault="00000000">
      <w:pPr>
        <w:pStyle w:val="Heading3"/>
      </w:pPr>
      <w:r>
        <w:rPr>
          <w:rFonts w:hint="eastAsia"/>
        </w:rPr>
        <w:t>政府的方案和措施</w:t>
      </w:r>
    </w:p>
    <w:p w:rsidR="00000000" w:rsidRDefault="00000000">
      <w:pPr>
        <w:pStyle w:val="Heading4"/>
        <w:ind w:left="520"/>
        <w:rPr>
          <w:lang w:val="en-GB"/>
        </w:rPr>
      </w:pPr>
      <w:r>
        <w:rPr>
          <w:u w:val="none"/>
          <w:lang w:val="en-GB"/>
        </w:rPr>
        <w:t xml:space="preserve">1.  </w:t>
      </w:r>
      <w:r>
        <w:rPr>
          <w:rFonts w:hint="eastAsia"/>
          <w:lang w:val="en-GB"/>
        </w:rPr>
        <w:t>工作与就业</w:t>
      </w:r>
    </w:p>
    <w:p w:rsidR="00000000" w:rsidRDefault="00000000">
      <w:pPr>
        <w:rPr>
          <w:rFonts w:hint="eastAsia"/>
          <w:lang w:val="en-GB"/>
        </w:rPr>
      </w:pPr>
      <w:r>
        <w:rPr>
          <w:lang w:val="en-GB"/>
        </w:rPr>
        <w:tab/>
      </w:r>
      <w:r>
        <w:rPr>
          <w:rFonts w:hint="eastAsia"/>
          <w:lang w:val="en-GB"/>
        </w:rPr>
        <w:t>44.</w:t>
      </w:r>
      <w:r>
        <w:rPr>
          <w:lang w:val="en-GB"/>
        </w:rPr>
        <w:t xml:space="preserve">  </w:t>
      </w:r>
      <w:r>
        <w:rPr>
          <w:rFonts w:hint="eastAsia"/>
          <w:lang w:val="en-GB"/>
        </w:rPr>
        <w:t>在《人力资源开发业务方案》的框架内，在欧洲社会基金的支持下实行一个题为“鼓励妇女重返劳动市场”的方案，其目标是举办针对个人的培训和支助性服务事业，帮助妇女重返劳动市场或者创办实业，在这个过程中要考虑到妇女的具体需要。</w:t>
      </w:r>
    </w:p>
    <w:p w:rsidR="00000000" w:rsidRDefault="00000000">
      <w:pPr>
        <w:rPr>
          <w:rFonts w:hint="eastAsia"/>
          <w:lang w:val="en-GB"/>
        </w:rPr>
      </w:pPr>
      <w:r>
        <w:rPr>
          <w:lang w:val="en-GB"/>
        </w:rPr>
        <w:tab/>
      </w:r>
      <w:r>
        <w:rPr>
          <w:rFonts w:hint="eastAsia"/>
          <w:lang w:val="en-GB"/>
        </w:rPr>
        <w:t>45.</w:t>
      </w:r>
      <w:r>
        <w:rPr>
          <w:lang w:val="en-GB"/>
        </w:rPr>
        <w:t xml:space="preserve">  </w:t>
      </w:r>
      <w:r>
        <w:rPr>
          <w:rFonts w:hint="eastAsia"/>
          <w:lang w:val="en-GB"/>
        </w:rPr>
        <w:t>题为“促使家庭生活和工作完美结合”的方案的目的是大力推广家庭友好型工作场所和人力资源管理方法，特别注意加强妇女在劳动市场的地位。在这个方案的范围内，约有</w:t>
      </w:r>
      <w:r>
        <w:rPr>
          <w:lang w:val="en-GB"/>
        </w:rPr>
        <w:t>4000</w:t>
      </w:r>
      <w:r>
        <w:rPr>
          <w:rFonts w:hint="eastAsia"/>
          <w:lang w:val="en-GB"/>
        </w:rPr>
        <w:t>名妇女可以利用个性化的服务。</w:t>
      </w:r>
    </w:p>
    <w:p w:rsidR="00000000" w:rsidRDefault="00000000">
      <w:pPr>
        <w:spacing w:after="240"/>
        <w:rPr>
          <w:rFonts w:hint="eastAsia"/>
          <w:lang w:val="en-GB"/>
        </w:rPr>
      </w:pPr>
      <w:r>
        <w:rPr>
          <w:lang w:val="en-GB"/>
        </w:rPr>
        <w:tab/>
      </w:r>
      <w:r>
        <w:rPr>
          <w:rFonts w:hint="eastAsia"/>
          <w:lang w:val="en-GB"/>
        </w:rPr>
        <w:t>46.</w:t>
      </w:r>
      <w:r>
        <w:rPr>
          <w:lang w:val="en-GB"/>
        </w:rPr>
        <w:t xml:space="preserve">  </w:t>
      </w:r>
      <w:r>
        <w:rPr>
          <w:rFonts w:hint="eastAsia"/>
          <w:lang w:val="en-GB"/>
        </w:rPr>
        <w:t>减少目前男女之间横向和垂直分隔现象的目标自</w:t>
      </w:r>
      <w:r>
        <w:rPr>
          <w:lang w:val="en-GB"/>
        </w:rPr>
        <w:t>2004</w:t>
      </w:r>
      <w:r>
        <w:rPr>
          <w:lang w:val="en-GB"/>
        </w:rPr>
        <w:t>年起得到欧洲联盟</w:t>
      </w:r>
      <w:r>
        <w:rPr>
          <w:lang w:val="en-GB"/>
        </w:rPr>
        <w:t>“</w:t>
      </w:r>
      <w:r>
        <w:rPr>
          <w:lang w:val="en-GB"/>
        </w:rPr>
        <w:t>平等</w:t>
      </w:r>
      <w:r>
        <w:rPr>
          <w:lang w:val="en-GB"/>
        </w:rPr>
        <w:t>”</w:t>
      </w:r>
      <w:r>
        <w:rPr>
          <w:lang w:val="en-GB"/>
        </w:rPr>
        <w:t>社区倡议的支持。</w:t>
      </w:r>
      <w:r>
        <w:rPr>
          <w:rFonts w:hint="eastAsia"/>
          <w:lang w:val="en-GB"/>
        </w:rPr>
        <w:t>为减少横向分隔，方案首先支持提高觉悟的活动，鼓励青年到历来在性别上是对方主宰的就业领地试一试，还鼓励女性更多地参与研究和创新工作，从事技术和自然科学工作。为了减少垂直分隔，方案支持提高觉悟的倡议和支持妇女获得晋升的新方法。</w:t>
      </w:r>
    </w:p>
    <w:p w:rsidR="00000000" w:rsidRDefault="00000000">
      <w:pPr>
        <w:pStyle w:val="Heading4"/>
        <w:ind w:left="520"/>
        <w:rPr>
          <w:lang w:val="en-GB"/>
        </w:rPr>
      </w:pPr>
      <w:r>
        <w:rPr>
          <w:u w:val="none"/>
          <w:lang w:val="en-GB"/>
        </w:rPr>
        <w:t xml:space="preserve">2.  </w:t>
      </w:r>
      <w:r>
        <w:rPr>
          <w:rFonts w:hint="eastAsia"/>
          <w:lang w:val="en-GB"/>
        </w:rPr>
        <w:t>社会保护、家庭支持系统</w:t>
      </w:r>
    </w:p>
    <w:p w:rsidR="00000000" w:rsidRDefault="00000000">
      <w:pPr>
        <w:rPr>
          <w:lang w:val="en-GB"/>
        </w:rPr>
      </w:pPr>
      <w:r>
        <w:rPr>
          <w:lang w:val="en-GB"/>
        </w:rPr>
        <w:tab/>
      </w:r>
      <w:r>
        <w:rPr>
          <w:rFonts w:hint="eastAsia"/>
          <w:lang w:val="en-GB"/>
        </w:rPr>
        <w:t>47.</w:t>
      </w:r>
      <w:r>
        <w:rPr>
          <w:lang w:val="en-GB"/>
        </w:rPr>
        <w:t xml:space="preserve">  </w:t>
      </w:r>
      <w:r>
        <w:rPr>
          <w:rFonts w:hint="eastAsia"/>
          <w:lang w:val="en-GB"/>
        </w:rPr>
        <w:t>为了贴补学年开始时家庭的额外开支，</w:t>
      </w:r>
      <w:r>
        <w:rPr>
          <w:rFonts w:hint="eastAsia"/>
          <w:lang w:val="en-GB"/>
        </w:rPr>
        <w:t>2002</w:t>
      </w:r>
      <w:r>
        <w:rPr>
          <w:rFonts w:hint="eastAsia"/>
          <w:lang w:val="en-GB"/>
        </w:rPr>
        <w:t>年为每个符合条件的个人额外增加了一个月的家庭津贴、在每年八月份学期开始前发放。</w:t>
      </w:r>
    </w:p>
    <w:p w:rsidR="00000000" w:rsidRDefault="00000000">
      <w:pPr>
        <w:rPr>
          <w:lang w:val="en-GB"/>
        </w:rPr>
      </w:pPr>
      <w:r>
        <w:rPr>
          <w:lang w:val="en-GB"/>
        </w:rPr>
        <w:tab/>
      </w:r>
      <w:r>
        <w:rPr>
          <w:rFonts w:hint="eastAsia"/>
          <w:lang w:val="en-GB"/>
        </w:rPr>
        <w:t>48.</w:t>
      </w:r>
      <w:r>
        <w:rPr>
          <w:lang w:val="en-GB"/>
        </w:rPr>
        <w:t xml:space="preserve">  </w:t>
      </w:r>
      <w:r>
        <w:rPr>
          <w:rFonts w:hint="eastAsia"/>
          <w:lang w:val="en-GB"/>
        </w:rPr>
        <w:t>为了贴补生育造成的额外开支，也增加了产妇津贴。</w:t>
      </w:r>
      <w:r>
        <w:rPr>
          <w:rFonts w:hint="eastAsia"/>
          <w:lang w:val="en-GB"/>
        </w:rPr>
        <w:t>2003</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日起，在分娩时一次发放的产妇津贴已从原先相当于最低养老金的</w:t>
      </w:r>
      <w:r>
        <w:rPr>
          <w:rFonts w:hint="eastAsia"/>
          <w:lang w:val="en-GB"/>
        </w:rPr>
        <w:t>150%</w:t>
      </w:r>
      <w:r>
        <w:rPr>
          <w:rFonts w:hint="eastAsia"/>
          <w:lang w:val="en-GB"/>
        </w:rPr>
        <w:t>增加到</w:t>
      </w:r>
      <w:r>
        <w:rPr>
          <w:lang w:val="en-GB"/>
        </w:rPr>
        <w:t>225%</w:t>
      </w:r>
      <w:r>
        <w:rPr>
          <w:rFonts w:hint="eastAsia"/>
          <w:lang w:val="en-GB"/>
        </w:rPr>
        <w:t>。</w:t>
      </w:r>
    </w:p>
    <w:p w:rsidR="00000000" w:rsidRDefault="00000000">
      <w:pPr>
        <w:rPr>
          <w:lang w:val="en-GB"/>
        </w:rPr>
      </w:pPr>
      <w:r>
        <w:rPr>
          <w:lang w:val="en-GB"/>
        </w:rPr>
        <w:tab/>
      </w:r>
      <w:r>
        <w:rPr>
          <w:rFonts w:hint="eastAsia"/>
          <w:lang w:val="en-GB"/>
        </w:rPr>
        <w:t>49.</w:t>
      </w:r>
      <w:r>
        <w:rPr>
          <w:lang w:val="en-GB"/>
        </w:rPr>
        <w:t xml:space="preserve">  </w:t>
      </w:r>
      <w:r>
        <w:rPr>
          <w:rFonts w:hint="eastAsia"/>
          <w:lang w:val="en-GB"/>
        </w:rPr>
        <w:t>生育双胞胎的家庭按每个新生儿发放的产妇津贴增加到最低退休金的</w:t>
      </w:r>
      <w:r>
        <w:rPr>
          <w:lang w:val="en-GB"/>
        </w:rPr>
        <w:t>300%</w:t>
      </w:r>
      <w:r>
        <w:rPr>
          <w:rFonts w:hint="eastAsia"/>
          <w:lang w:val="en-GB"/>
        </w:rPr>
        <w:t>。生育双胞胎家庭的保育津贴自</w:t>
      </w:r>
      <w:r>
        <w:rPr>
          <w:rFonts w:hint="eastAsia"/>
          <w:lang w:val="en-GB"/>
        </w:rPr>
        <w:t>2003</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日以来已增加一倍，贴补满足经常性和连带性需求的额外开支。同时，领取保育津贴的期限为抚养双胞胎的家庭已经延长到孩子上学的年龄。</w:t>
      </w:r>
    </w:p>
    <w:p w:rsidR="00000000" w:rsidRDefault="00000000">
      <w:pPr>
        <w:spacing w:after="240"/>
        <w:rPr>
          <w:lang w:val="en-GB"/>
        </w:rPr>
      </w:pPr>
      <w:r>
        <w:rPr>
          <w:lang w:val="en-GB"/>
        </w:rPr>
        <w:tab/>
        <w:t xml:space="preserve">50.  </w:t>
      </w:r>
      <w:r>
        <w:rPr>
          <w:rFonts w:hint="eastAsia"/>
          <w:lang w:val="en-GB"/>
        </w:rPr>
        <w:t>可以提前领取养老金的条件所规定的发放期自</w:t>
      </w:r>
      <w:r>
        <w:rPr>
          <w:rFonts w:hint="eastAsia"/>
          <w:lang w:val="en-GB"/>
        </w:rPr>
        <w:t>2003</w:t>
      </w:r>
      <w:r>
        <w:rPr>
          <w:rFonts w:hint="eastAsia"/>
          <w:lang w:val="en-GB"/>
        </w:rPr>
        <w:t>年起，对</w:t>
      </w:r>
      <w:r>
        <w:rPr>
          <w:rFonts w:hint="eastAsia"/>
          <w:lang w:val="en-GB"/>
        </w:rPr>
        <w:t>1946</w:t>
      </w:r>
      <w:r>
        <w:rPr>
          <w:rFonts w:hint="eastAsia"/>
          <w:lang w:val="en-GB"/>
        </w:rPr>
        <w:t>年以后出生的妇女和</w:t>
      </w:r>
      <w:r>
        <w:rPr>
          <w:rFonts w:hint="eastAsia"/>
          <w:lang w:val="en-GB"/>
        </w:rPr>
        <w:t>1940</w:t>
      </w:r>
      <w:r>
        <w:rPr>
          <w:rFonts w:hint="eastAsia"/>
          <w:lang w:val="en-GB"/>
        </w:rPr>
        <w:t>年以后出生的男子来说须包括保育津贴，凡是领取折减提前退休金的，这条规定都适用。津贴期的延长每年涉及</w:t>
      </w:r>
      <w:r>
        <w:rPr>
          <w:rFonts w:hint="eastAsia"/>
          <w:lang w:val="en-GB"/>
        </w:rPr>
        <w:t>1500</w:t>
      </w:r>
      <w:r>
        <w:rPr>
          <w:rFonts w:hint="eastAsia"/>
          <w:lang w:val="en-GB"/>
        </w:rPr>
        <w:t>至</w:t>
      </w:r>
      <w:r>
        <w:rPr>
          <w:rFonts w:hint="eastAsia"/>
          <w:lang w:val="en-GB"/>
        </w:rPr>
        <w:t>2000</w:t>
      </w:r>
      <w:r>
        <w:rPr>
          <w:rFonts w:hint="eastAsia"/>
          <w:lang w:val="en-GB"/>
        </w:rPr>
        <w:t>人。</w:t>
      </w:r>
    </w:p>
    <w:p w:rsidR="00000000" w:rsidRDefault="00000000">
      <w:pPr>
        <w:pStyle w:val="Heading4"/>
        <w:ind w:left="520"/>
        <w:rPr>
          <w:lang w:val="en-GB"/>
        </w:rPr>
      </w:pPr>
      <w:r>
        <w:rPr>
          <w:u w:val="none"/>
          <w:lang w:val="en-GB"/>
        </w:rPr>
        <w:t xml:space="preserve">3.  </w:t>
      </w:r>
      <w:r>
        <w:rPr>
          <w:rFonts w:hint="eastAsia"/>
          <w:lang w:val="en-GB"/>
        </w:rPr>
        <w:t>卫</w:t>
      </w:r>
      <w:r>
        <w:rPr>
          <w:lang w:val="en-GB"/>
        </w:rPr>
        <w:t xml:space="preserve">  </w:t>
      </w:r>
      <w:r>
        <w:rPr>
          <w:rFonts w:hint="eastAsia"/>
          <w:lang w:val="en-GB"/>
        </w:rPr>
        <w:t>生</w:t>
      </w:r>
    </w:p>
    <w:p w:rsidR="00000000" w:rsidRDefault="00000000">
      <w:pPr>
        <w:rPr>
          <w:rFonts w:hint="eastAsia"/>
          <w:lang w:val="en-GB"/>
        </w:rPr>
      </w:pPr>
      <w:r>
        <w:rPr>
          <w:lang w:val="en-GB"/>
        </w:rPr>
        <w:tab/>
        <w:t xml:space="preserve">51.  </w:t>
      </w:r>
      <w:r>
        <w:rPr>
          <w:lang w:val="en-GB"/>
        </w:rPr>
        <w:t>《国家卫公共生方案》列出了未来十年的任务，计划将出生时的预期寿命延长三年，降低主要死因造成的死亡率，提高匈牙利人民的健康状况。</w:t>
      </w:r>
    </w:p>
    <w:p w:rsidR="00000000" w:rsidRDefault="00000000">
      <w:pPr>
        <w:rPr>
          <w:rFonts w:hint="eastAsia"/>
          <w:lang w:val="en-GB"/>
        </w:rPr>
      </w:pPr>
      <w:r>
        <w:rPr>
          <w:lang w:val="en-GB"/>
        </w:rPr>
        <w:tab/>
        <w:t xml:space="preserve">52.  </w:t>
      </w:r>
      <w:r>
        <w:rPr>
          <w:rFonts w:hint="eastAsia"/>
          <w:lang w:val="en-GB"/>
        </w:rPr>
        <w:t>在进行公务卫生检测过程中，优先进行以下检测：</w:t>
      </w:r>
    </w:p>
    <w:p w:rsidR="00000000" w:rsidRDefault="00000000">
      <w:pPr>
        <w:pStyle w:val="a"/>
        <w:ind w:left="1550"/>
        <w:rPr>
          <w:lang w:val="en-GB"/>
        </w:rPr>
      </w:pPr>
      <w:r>
        <w:rPr>
          <w:rFonts w:hint="eastAsia"/>
          <w:lang w:val="en-GB"/>
        </w:rPr>
        <w:t>乳腺癌检测：对</w:t>
      </w:r>
      <w:r>
        <w:rPr>
          <w:lang w:val="en-GB"/>
        </w:rPr>
        <w:t>45</w:t>
      </w:r>
      <w:r>
        <w:rPr>
          <w:rFonts w:hint="eastAsia"/>
          <w:lang w:val="en-GB"/>
        </w:rPr>
        <w:t>岁至</w:t>
      </w:r>
      <w:r>
        <w:rPr>
          <w:lang w:val="en-GB"/>
        </w:rPr>
        <w:t>65</w:t>
      </w:r>
      <w:r>
        <w:rPr>
          <w:rFonts w:hint="eastAsia"/>
          <w:lang w:val="en-GB"/>
        </w:rPr>
        <w:t>岁的妇女每两年进行一次乳腺透视检查，</w:t>
      </w:r>
    </w:p>
    <w:p w:rsidR="00000000" w:rsidRDefault="00000000">
      <w:pPr>
        <w:pStyle w:val="a"/>
        <w:ind w:left="1550"/>
        <w:rPr>
          <w:lang w:val="en-GB"/>
        </w:rPr>
      </w:pPr>
      <w:r>
        <w:rPr>
          <w:rFonts w:hint="eastAsia"/>
          <w:lang w:val="en-GB"/>
        </w:rPr>
        <w:t>骨盆检测，对</w:t>
      </w:r>
      <w:r>
        <w:rPr>
          <w:lang w:val="en-GB"/>
        </w:rPr>
        <w:t>25</w:t>
      </w:r>
      <w:r>
        <w:rPr>
          <w:rFonts w:hint="eastAsia"/>
          <w:lang w:val="en-GB"/>
        </w:rPr>
        <w:t>岁至</w:t>
      </w:r>
      <w:r>
        <w:rPr>
          <w:lang w:val="en-GB"/>
        </w:rPr>
        <w:t>65</w:t>
      </w:r>
      <w:r>
        <w:rPr>
          <w:rFonts w:hint="eastAsia"/>
          <w:lang w:val="en-GB"/>
        </w:rPr>
        <w:t>岁的妇女至少每三年进行一次妇科检查，包括细胞学检测，</w:t>
      </w:r>
    </w:p>
    <w:p w:rsidR="00000000" w:rsidRDefault="00000000">
      <w:pPr>
        <w:pStyle w:val="a"/>
        <w:ind w:left="1550"/>
        <w:rPr>
          <w:lang w:val="en-GB"/>
        </w:rPr>
      </w:pPr>
      <w:r>
        <w:rPr>
          <w:rFonts w:hint="eastAsia"/>
          <w:lang w:val="en-GB"/>
        </w:rPr>
        <w:t>结肠检测：在大便隐血化验排查基础上，对</w:t>
      </w:r>
      <w:r>
        <w:rPr>
          <w:lang w:val="en-GB"/>
        </w:rPr>
        <w:t>50</w:t>
      </w:r>
      <w:r>
        <w:rPr>
          <w:rFonts w:hint="eastAsia"/>
          <w:lang w:val="en-GB"/>
        </w:rPr>
        <w:t>岁至</w:t>
      </w:r>
      <w:r>
        <w:rPr>
          <w:lang w:val="en-GB"/>
        </w:rPr>
        <w:t>70</w:t>
      </w:r>
      <w:r>
        <w:rPr>
          <w:rFonts w:hint="eastAsia"/>
          <w:lang w:val="en-GB"/>
        </w:rPr>
        <w:t>岁的男女每两年进行一次检查。</w:t>
      </w:r>
    </w:p>
    <w:p w:rsidR="00000000" w:rsidRDefault="00000000">
      <w:pPr>
        <w:rPr>
          <w:rFonts w:hint="eastAsia"/>
          <w:lang w:val="en-GB"/>
        </w:rPr>
      </w:pPr>
      <w:r>
        <w:rPr>
          <w:lang w:val="en-GB"/>
        </w:rPr>
        <w:tab/>
      </w:r>
      <w:r>
        <w:rPr>
          <w:rFonts w:hint="eastAsia"/>
          <w:lang w:val="en-GB"/>
        </w:rPr>
        <w:t>53.</w:t>
      </w:r>
      <w:r>
        <w:rPr>
          <w:lang w:val="en-GB"/>
        </w:rPr>
        <w:t xml:space="preserve">  </w:t>
      </w:r>
      <w:r>
        <w:rPr>
          <w:rFonts w:hint="eastAsia"/>
          <w:lang w:val="en-GB"/>
        </w:rPr>
        <w:t>这个方案的另一重要目标是提高年轻人的意识，预防艾滋病毒</w:t>
      </w:r>
      <w:r>
        <w:rPr>
          <w:rFonts w:hint="eastAsia"/>
          <w:lang w:val="en-GB"/>
        </w:rPr>
        <w:t>/</w:t>
      </w:r>
      <w:r>
        <w:rPr>
          <w:rFonts w:hint="eastAsia"/>
          <w:lang w:val="en-GB"/>
        </w:rPr>
        <w:t>艾滋病感染，减少性传播疾病的蔓延。这项具体行动计划的重点之一是安装保险套自动销售机，散发介绍性知识的传单，在青年问询处提供咨询服务。</w:t>
      </w:r>
    </w:p>
    <w:p w:rsidR="00000000" w:rsidRDefault="00000000">
      <w:pPr>
        <w:spacing w:after="320"/>
      </w:pPr>
      <w:r>
        <w:rPr>
          <w:rFonts w:hint="eastAsia"/>
          <w:lang w:val="en-GB"/>
        </w:rPr>
        <w:tab/>
        <w:t>54.  2002</w:t>
      </w:r>
      <w:r>
        <w:rPr>
          <w:rFonts w:hint="eastAsia"/>
          <w:lang w:val="en-GB"/>
        </w:rPr>
        <w:t>年，政府通过了一项决议，规定政府在落实减少吸毒问题的国家战略方案中短期目标方面的任务。决议特别注重孕妇和吸毒者的子女，为他们开展特别方案。</w:t>
      </w:r>
    </w:p>
    <w:p w:rsidR="00000000" w:rsidRDefault="00000000">
      <w:pPr>
        <w:pStyle w:val="Heading3"/>
      </w:pPr>
      <w:r>
        <w:rPr>
          <w:rFonts w:hint="eastAsia"/>
        </w:rPr>
        <w:t>法律体系</w:t>
      </w:r>
    </w:p>
    <w:p w:rsidR="00000000" w:rsidRDefault="00000000">
      <w:pPr>
        <w:pStyle w:val="Heading4"/>
        <w:ind w:left="520"/>
        <w:rPr>
          <w:lang w:val="en-GB"/>
        </w:rPr>
      </w:pPr>
      <w:r>
        <w:rPr>
          <w:u w:val="none"/>
          <w:lang w:val="en-GB"/>
        </w:rPr>
        <w:t xml:space="preserve">1.  </w:t>
      </w:r>
      <w:r>
        <w:rPr>
          <w:rFonts w:hint="eastAsia"/>
          <w:lang w:val="en-GB"/>
        </w:rPr>
        <w:t>一般条例</w:t>
      </w:r>
    </w:p>
    <w:p w:rsidR="00000000" w:rsidRDefault="00000000">
      <w:pPr>
        <w:spacing w:after="240"/>
        <w:rPr>
          <w:rFonts w:hint="eastAsia"/>
          <w:lang w:val="en-GB"/>
        </w:rPr>
      </w:pPr>
      <w:r>
        <w:rPr>
          <w:lang w:val="en-GB"/>
        </w:rPr>
        <w:tab/>
      </w:r>
      <w:r>
        <w:rPr>
          <w:rFonts w:hint="eastAsia"/>
          <w:lang w:val="en-GB"/>
        </w:rPr>
        <w:t>55.</w:t>
      </w:r>
      <w:r>
        <w:rPr>
          <w:lang w:val="en-GB"/>
        </w:rPr>
        <w:t xml:space="preserve">  </w:t>
      </w:r>
      <w:r>
        <w:rPr>
          <w:rFonts w:hint="eastAsia"/>
          <w:lang w:val="en-GB"/>
        </w:rPr>
        <w:t>2003</w:t>
      </w:r>
      <w:r>
        <w:rPr>
          <w:rFonts w:hint="eastAsia"/>
          <w:lang w:val="en-GB"/>
        </w:rPr>
        <w:t>年通过了平等待遇和促进机会平等法令。在匈牙利共和国，《宪法》和其他法规明确规定禁止歧视，但是这一新条例的通过具有非同一般的重要意义。这项《法令》规定促进机会平等首先是国家的义务，明确宣布目的是为遭受歧视的人提供切实有效的法律保护。《法令》允许为了公众利益而强制执行权利主张，反转违法案的举证责任，命令设立一个专门处理侵犯平等待遇的主管机构</w:t>
      </w:r>
      <w:r>
        <w:rPr>
          <w:rFonts w:hint="eastAsia"/>
          <w:lang w:val="en-GB"/>
        </w:rPr>
        <w:t>(</w:t>
      </w:r>
      <w:r>
        <w:rPr>
          <w:rFonts w:hint="eastAsia"/>
          <w:lang w:val="en-GB"/>
        </w:rPr>
        <w:t>该机构已于</w:t>
      </w:r>
      <w:r>
        <w:rPr>
          <w:rFonts w:hint="eastAsia"/>
          <w:lang w:val="en-GB"/>
        </w:rPr>
        <w:t>2005</w:t>
      </w:r>
      <w:r>
        <w:rPr>
          <w:rFonts w:hint="eastAsia"/>
          <w:lang w:val="en-GB"/>
        </w:rPr>
        <w:t>年开始运作</w:t>
      </w:r>
      <w:r>
        <w:rPr>
          <w:rFonts w:hint="eastAsia"/>
          <w:lang w:val="en-GB"/>
        </w:rPr>
        <w:t>)</w:t>
      </w:r>
      <w:r>
        <w:rPr>
          <w:rFonts w:hint="eastAsia"/>
          <w:lang w:val="en-GB"/>
        </w:rPr>
        <w:t>。这项《法令》与欧洲共同体这方面的立法协调一致起来。</w:t>
      </w:r>
    </w:p>
    <w:p w:rsidR="00000000" w:rsidRDefault="00000000">
      <w:pPr>
        <w:pStyle w:val="Heading4"/>
        <w:ind w:left="520"/>
        <w:rPr>
          <w:lang w:val="en-GB"/>
        </w:rPr>
      </w:pPr>
      <w:r>
        <w:rPr>
          <w:u w:val="none"/>
          <w:lang w:val="en-GB"/>
        </w:rPr>
        <w:t xml:space="preserve">2.  </w:t>
      </w:r>
      <w:r>
        <w:rPr>
          <w:rFonts w:hint="eastAsia"/>
          <w:lang w:val="en-GB"/>
        </w:rPr>
        <w:t>工作与就业</w:t>
      </w:r>
    </w:p>
    <w:p w:rsidR="00000000" w:rsidRDefault="00000000">
      <w:pPr>
        <w:rPr>
          <w:rFonts w:hint="eastAsia"/>
          <w:lang w:val="en-GB"/>
        </w:rPr>
      </w:pPr>
      <w:r>
        <w:rPr>
          <w:lang w:val="en-GB"/>
        </w:rPr>
        <w:tab/>
      </w:r>
      <w:r>
        <w:rPr>
          <w:rFonts w:hint="eastAsia"/>
          <w:lang w:val="en-GB"/>
        </w:rPr>
        <w:t>56.</w:t>
      </w:r>
      <w:r>
        <w:rPr>
          <w:lang w:val="en-GB"/>
        </w:rPr>
        <w:t xml:space="preserve">  </w:t>
      </w:r>
      <w:r>
        <w:rPr>
          <w:rFonts w:hint="eastAsia"/>
          <w:lang w:val="en-GB"/>
        </w:rPr>
        <w:t>2001</w:t>
      </w:r>
      <w:r>
        <w:rPr>
          <w:rFonts w:hint="eastAsia"/>
          <w:lang w:val="en-GB"/>
        </w:rPr>
        <w:t>年对《劳动法》的修订</w:t>
      </w:r>
      <w:r>
        <w:rPr>
          <w:lang w:val="en-GB"/>
        </w:rPr>
        <w:t>(1992</w:t>
      </w:r>
      <w:r>
        <w:rPr>
          <w:rFonts w:hint="eastAsia"/>
          <w:lang w:val="en-GB"/>
        </w:rPr>
        <w:t>年第二十二号法令</w:t>
      </w:r>
      <w:r>
        <w:rPr>
          <w:lang w:val="en-GB"/>
        </w:rPr>
        <w:t>)</w:t>
      </w:r>
      <w:r>
        <w:rPr>
          <w:rFonts w:hint="eastAsia"/>
          <w:lang w:val="en-GB"/>
        </w:rPr>
        <w:t>提出了‘同工同酬’的概念。根据这一条例规定，自</w:t>
      </w:r>
      <w:r>
        <w:rPr>
          <w:rFonts w:hint="eastAsia"/>
          <w:lang w:val="en-GB"/>
        </w:rPr>
        <w:t>2004</w:t>
      </w:r>
      <w:r>
        <w:rPr>
          <w:rFonts w:hint="eastAsia"/>
          <w:lang w:val="en-GB"/>
        </w:rPr>
        <w:t>年起，在确定工作报酬时需遵守平等待遇的规定。</w:t>
      </w:r>
    </w:p>
    <w:p w:rsidR="00000000" w:rsidRDefault="00000000">
      <w:pPr>
        <w:rPr>
          <w:rFonts w:hint="eastAsia"/>
          <w:lang w:val="en-GB"/>
        </w:rPr>
      </w:pPr>
      <w:r>
        <w:rPr>
          <w:lang w:val="en-GB"/>
        </w:rPr>
        <w:tab/>
      </w:r>
      <w:r>
        <w:rPr>
          <w:rFonts w:hint="eastAsia"/>
          <w:lang w:val="en-GB"/>
        </w:rPr>
        <w:t>57.</w:t>
      </w:r>
      <w:r>
        <w:rPr>
          <w:lang w:val="en-GB"/>
        </w:rPr>
        <w:t xml:space="preserve">  </w:t>
      </w:r>
      <w:r>
        <w:rPr>
          <w:rFonts w:hint="eastAsia"/>
          <w:lang w:val="en-GB"/>
        </w:rPr>
        <w:t>根据促进失业人员就业和衣食供应法令的规定，自</w:t>
      </w:r>
      <w:r>
        <w:rPr>
          <w:rFonts w:hint="eastAsia"/>
          <w:lang w:val="en-GB"/>
        </w:rPr>
        <w:t>2001</w:t>
      </w:r>
      <w:r>
        <w:rPr>
          <w:rFonts w:hint="eastAsia"/>
          <w:lang w:val="en-GB"/>
        </w:rPr>
        <w:t>年</w:t>
      </w:r>
      <w:r>
        <w:rPr>
          <w:rFonts w:hint="eastAsia"/>
          <w:lang w:val="en-GB"/>
        </w:rPr>
        <w:t>7</w:t>
      </w:r>
      <w:r>
        <w:rPr>
          <w:rFonts w:hint="eastAsia"/>
          <w:lang w:val="en-GB"/>
        </w:rPr>
        <w:t>月</w:t>
      </w:r>
      <w:r>
        <w:rPr>
          <w:rFonts w:hint="eastAsia"/>
          <w:lang w:val="en-GB"/>
        </w:rPr>
        <w:t>1</w:t>
      </w:r>
      <w:r>
        <w:rPr>
          <w:rFonts w:hint="eastAsia"/>
          <w:lang w:val="en-GB"/>
        </w:rPr>
        <w:t>日起即有可能支持为劳动中心提出或接受的那些领取孕妇和产假津贴、产妇津贴或保育津贴的人进行培训。自</w:t>
      </w:r>
      <w:r>
        <w:rPr>
          <w:rFonts w:hint="eastAsia"/>
          <w:lang w:val="en-GB"/>
        </w:rPr>
        <w:t>2003</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日起，根据上述法令的规定可以支持部分时间就业和进行远程工作。</w:t>
      </w:r>
    </w:p>
    <w:p w:rsidR="00000000" w:rsidRDefault="00000000">
      <w:pPr>
        <w:rPr>
          <w:rFonts w:hint="eastAsia"/>
          <w:lang w:val="en-GB"/>
        </w:rPr>
      </w:pPr>
      <w:r>
        <w:rPr>
          <w:lang w:val="en-GB"/>
        </w:rPr>
        <w:tab/>
      </w:r>
      <w:r>
        <w:rPr>
          <w:rFonts w:hint="eastAsia"/>
          <w:lang w:val="en-GB"/>
        </w:rPr>
        <w:t>58.</w:t>
      </w:r>
      <w:r>
        <w:rPr>
          <w:lang w:val="en-GB"/>
        </w:rPr>
        <w:t xml:space="preserve">  </w:t>
      </w:r>
      <w:r>
        <w:rPr>
          <w:rFonts w:hint="eastAsia"/>
          <w:lang w:val="en-GB"/>
        </w:rPr>
        <w:t>凡是抚养</w:t>
      </w:r>
      <w:r>
        <w:rPr>
          <w:rFonts w:hint="eastAsia"/>
          <w:lang w:val="en-GB"/>
        </w:rPr>
        <w:t>14</w:t>
      </w:r>
      <w:r>
        <w:rPr>
          <w:rFonts w:hint="eastAsia"/>
          <w:lang w:val="en-GB"/>
        </w:rPr>
        <w:t>岁以下的子女的和失业超过三个月的，如可部分时间就业，即可得到财政援助，从劳动市场基金拨款为这种工作人员支付工资和保费，报销交通费。</w:t>
      </w:r>
    </w:p>
    <w:p w:rsidR="00000000" w:rsidRDefault="00000000">
      <w:pPr>
        <w:rPr>
          <w:rFonts w:hint="eastAsia"/>
          <w:lang w:val="en-GB"/>
        </w:rPr>
      </w:pPr>
      <w:r>
        <w:rPr>
          <w:lang w:val="en-GB"/>
        </w:rPr>
        <w:tab/>
      </w:r>
      <w:r>
        <w:rPr>
          <w:rFonts w:hint="eastAsia"/>
          <w:lang w:val="en-GB"/>
        </w:rPr>
        <w:t>59.</w:t>
      </w:r>
      <w:r>
        <w:rPr>
          <w:lang w:val="en-GB"/>
        </w:rPr>
        <w:t xml:space="preserve">  </w:t>
      </w:r>
      <w:r>
        <w:rPr>
          <w:rFonts w:hint="eastAsia"/>
          <w:lang w:val="en-GB"/>
        </w:rPr>
        <w:t>1998</w:t>
      </w:r>
      <w:r>
        <w:rPr>
          <w:rFonts w:hint="eastAsia"/>
          <w:lang w:val="en-GB"/>
        </w:rPr>
        <w:t>年关于家庭支助的第八十四号法令的修订案为子女已满一周岁的母亲重返劳动市场提供了机会。在她们上班的时间里，祖父母或外祖父母可照顾孩子，而他们的开支因此而增加的部分最有子女抚养津贴予以补偿，当然是在他们本身所得的养老金之外再予以补偿。</w:t>
      </w:r>
    </w:p>
    <w:p w:rsidR="00000000" w:rsidRDefault="00000000">
      <w:pPr>
        <w:spacing w:after="320"/>
        <w:rPr>
          <w:rFonts w:hint="eastAsia"/>
          <w:lang w:val="en-GB"/>
        </w:rPr>
      </w:pPr>
      <w:r>
        <w:rPr>
          <w:lang w:val="en-GB"/>
        </w:rPr>
        <w:tab/>
      </w:r>
      <w:r>
        <w:rPr>
          <w:rFonts w:hint="eastAsia"/>
          <w:lang w:val="en-GB"/>
        </w:rPr>
        <w:t>60.</w:t>
      </w:r>
      <w:r>
        <w:rPr>
          <w:lang w:val="en-GB"/>
        </w:rPr>
        <w:t xml:space="preserve">  </w:t>
      </w:r>
      <w:r>
        <w:rPr>
          <w:rFonts w:hint="eastAsia"/>
          <w:lang w:val="en-GB"/>
        </w:rPr>
        <w:t>1998</w:t>
      </w:r>
      <w:r>
        <w:rPr>
          <w:rFonts w:hint="eastAsia"/>
          <w:lang w:val="en-GB"/>
        </w:rPr>
        <w:t>年关于健康保费的第六十六号法令的修正案于</w:t>
      </w:r>
      <w:r>
        <w:rPr>
          <w:rFonts w:hint="eastAsia"/>
          <w:lang w:val="en-GB"/>
        </w:rPr>
        <w:t>2005</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日生效，雇主不需为之支付健康保费的工作人员数目因而增加。这项规定可望使雇主更愿意雇佣抚养子女的妇女。</w:t>
      </w:r>
    </w:p>
    <w:p w:rsidR="00000000" w:rsidRDefault="00000000">
      <w:pPr>
        <w:pStyle w:val="Heading4"/>
        <w:ind w:left="520"/>
        <w:rPr>
          <w:lang w:val="en-GB"/>
        </w:rPr>
      </w:pPr>
      <w:r>
        <w:rPr>
          <w:u w:val="none"/>
          <w:lang w:val="en-GB"/>
        </w:rPr>
        <w:t xml:space="preserve">3.  </w:t>
      </w:r>
      <w:r>
        <w:rPr>
          <w:rFonts w:hint="eastAsia"/>
          <w:lang w:val="en-GB"/>
        </w:rPr>
        <w:t>社会保护和健康</w:t>
      </w:r>
    </w:p>
    <w:p w:rsidR="00000000" w:rsidRDefault="00000000">
      <w:pPr>
        <w:rPr>
          <w:rFonts w:hint="eastAsia"/>
          <w:lang w:val="en-GB"/>
        </w:rPr>
      </w:pPr>
      <w:r>
        <w:rPr>
          <w:lang w:val="en-GB"/>
        </w:rPr>
        <w:tab/>
      </w:r>
      <w:r>
        <w:rPr>
          <w:rFonts w:hint="eastAsia"/>
          <w:lang w:val="en-GB"/>
        </w:rPr>
        <w:t>61.</w:t>
      </w:r>
      <w:r>
        <w:rPr>
          <w:lang w:val="en-GB"/>
        </w:rPr>
        <w:t xml:space="preserve">  </w:t>
      </w:r>
      <w:r>
        <w:rPr>
          <w:rFonts w:hint="eastAsia"/>
          <w:lang w:val="en-GB"/>
        </w:rPr>
        <w:t>《</w:t>
      </w:r>
      <w:r>
        <w:rPr>
          <w:rFonts w:hint="eastAsia"/>
          <w:lang w:val="en-GB"/>
        </w:rPr>
        <w:t>1993</w:t>
      </w:r>
      <w:r>
        <w:rPr>
          <w:rFonts w:hint="eastAsia"/>
          <w:lang w:val="en-GB"/>
        </w:rPr>
        <w:t>年关于社会行政和社会效益法令》介绍“家庭支持”说是一种个人社会服务。家庭支持中心的责任之一是，除了预防出现社会、经济、精神、家庭或其他危机情况之外，还为遇到这种危机的的家庭和个人提供帮助。家庭支持中心还同儿童保护和公共卫生系统密切合作。</w:t>
      </w:r>
    </w:p>
    <w:p w:rsidR="00000000" w:rsidRDefault="00000000">
      <w:pPr>
        <w:spacing w:after="320"/>
        <w:rPr>
          <w:rFonts w:hint="eastAsia"/>
          <w:lang w:val="en-GB"/>
        </w:rPr>
      </w:pPr>
      <w:r>
        <w:rPr>
          <w:lang w:val="en-GB"/>
        </w:rPr>
        <w:tab/>
      </w:r>
      <w:r>
        <w:rPr>
          <w:rFonts w:hint="eastAsia"/>
          <w:lang w:val="en-GB"/>
        </w:rPr>
        <w:t>62.</w:t>
      </w:r>
      <w:r>
        <w:rPr>
          <w:lang w:val="en-GB"/>
        </w:rPr>
        <w:t xml:space="preserve">  </w:t>
      </w:r>
      <w:r>
        <w:rPr>
          <w:rFonts w:hint="eastAsia"/>
          <w:lang w:val="en-GB"/>
        </w:rPr>
        <w:t>根据</w:t>
      </w:r>
      <w:r>
        <w:rPr>
          <w:rFonts w:hint="eastAsia"/>
          <w:lang w:val="en-GB"/>
        </w:rPr>
        <w:t>1997</w:t>
      </w:r>
      <w:r>
        <w:rPr>
          <w:rFonts w:hint="eastAsia"/>
          <w:lang w:val="en-GB"/>
        </w:rPr>
        <w:t>年第一百五十四号法令，地方当局提供一种地区上门卫生服务。上门卫生服务人员的主要责任是通过定期家访为孕妇提供保护和咨询意见，照顾三岁以下儿童。这种服务的主要意图是防止、确认和消除家庭遇到的卫生、精神和社会威胁。</w:t>
      </w:r>
    </w:p>
    <w:p w:rsidR="00000000" w:rsidRDefault="00000000">
      <w:pPr>
        <w:pStyle w:val="Heading2"/>
        <w:rPr>
          <w:lang w:val="en-GB"/>
        </w:rPr>
      </w:pPr>
      <w:r>
        <w:rPr>
          <w:rFonts w:hint="eastAsia"/>
          <w:lang w:val="en-GB"/>
        </w:rPr>
        <w:t>第六条</w:t>
      </w:r>
      <w:r>
        <w:rPr>
          <w:rFonts w:hint="eastAsia"/>
          <w:spacing w:val="-50"/>
          <w:lang w:val="en-GB"/>
        </w:rPr>
        <w:t>―</w:t>
      </w:r>
      <w:r>
        <w:rPr>
          <w:rFonts w:hint="eastAsia"/>
          <w:lang w:val="en-GB"/>
        </w:rPr>
        <w:t>―工作权</w:t>
      </w:r>
    </w:p>
    <w:p w:rsidR="00000000" w:rsidRDefault="00000000">
      <w:pPr>
        <w:spacing w:after="240"/>
        <w:rPr>
          <w:rFonts w:hint="eastAsia"/>
          <w:lang w:val="en-GB"/>
        </w:rPr>
      </w:pPr>
      <w:r>
        <w:rPr>
          <w:lang w:val="en-GB"/>
        </w:rPr>
        <w:tab/>
      </w:r>
      <w:r>
        <w:rPr>
          <w:rFonts w:hint="eastAsia"/>
          <w:lang w:val="en-GB"/>
        </w:rPr>
        <w:t>63.</w:t>
      </w:r>
      <w:r>
        <w:rPr>
          <w:lang w:val="en-GB"/>
        </w:rPr>
        <w:t xml:space="preserve">  </w:t>
      </w:r>
      <w:r>
        <w:rPr>
          <w:rFonts w:hint="eastAsia"/>
          <w:lang w:val="en-GB"/>
        </w:rPr>
        <w:t>匈牙利批准了《劳工组织就业政策公约》</w:t>
      </w:r>
      <w:r>
        <w:rPr>
          <w:rFonts w:hint="eastAsia"/>
          <w:lang w:val="en-GB"/>
        </w:rPr>
        <w:t>(1994</w:t>
      </w:r>
      <w:r>
        <w:rPr>
          <w:rFonts w:hint="eastAsia"/>
          <w:lang w:val="en-GB"/>
        </w:rPr>
        <w:t>年第</w:t>
      </w:r>
      <w:r>
        <w:rPr>
          <w:rFonts w:hint="eastAsia"/>
          <w:lang w:val="en-GB"/>
        </w:rPr>
        <w:t>122</w:t>
      </w:r>
      <w:r>
        <w:rPr>
          <w:rFonts w:hint="eastAsia"/>
          <w:lang w:val="en-GB"/>
        </w:rPr>
        <w:t>号</w:t>
      </w:r>
      <w:r>
        <w:rPr>
          <w:rFonts w:hint="eastAsia"/>
          <w:lang w:val="en-GB"/>
        </w:rPr>
        <w:t>)</w:t>
      </w:r>
      <w:r>
        <w:rPr>
          <w:rFonts w:hint="eastAsia"/>
          <w:lang w:val="en-GB"/>
        </w:rPr>
        <w:t>以及《劳工组织</w:t>
      </w:r>
      <w:r>
        <w:rPr>
          <w:lang w:val="en-GB"/>
        </w:rPr>
        <w:t>(</w:t>
      </w:r>
      <w:r>
        <w:rPr>
          <w:rFonts w:hint="eastAsia"/>
          <w:lang w:val="en-GB"/>
        </w:rPr>
        <w:t>就业与职业</w:t>
      </w:r>
      <w:r>
        <w:rPr>
          <w:rFonts w:hint="eastAsia"/>
          <w:lang w:val="en-GB"/>
        </w:rPr>
        <w:t>)</w:t>
      </w:r>
      <w:r>
        <w:rPr>
          <w:rFonts w:hint="eastAsia"/>
          <w:lang w:val="en-GB"/>
        </w:rPr>
        <w:t>歧视公约》</w:t>
      </w:r>
      <w:r>
        <w:rPr>
          <w:rFonts w:hint="eastAsia"/>
          <w:lang w:val="en-GB"/>
        </w:rPr>
        <w:t>(</w:t>
      </w:r>
      <w:r>
        <w:rPr>
          <w:lang w:val="en-GB"/>
        </w:rPr>
        <w:t>1958</w:t>
      </w:r>
      <w:r>
        <w:rPr>
          <w:rFonts w:hint="eastAsia"/>
          <w:lang w:val="en-GB"/>
        </w:rPr>
        <w:t>年第</w:t>
      </w:r>
      <w:r>
        <w:rPr>
          <w:rFonts w:hint="eastAsia"/>
          <w:lang w:val="en-GB"/>
        </w:rPr>
        <w:t>111</w:t>
      </w:r>
      <w:r>
        <w:rPr>
          <w:rFonts w:hint="eastAsia"/>
          <w:lang w:val="en-GB"/>
        </w:rPr>
        <w:t>号</w:t>
      </w:r>
      <w:r>
        <w:rPr>
          <w:rFonts w:hint="eastAsia"/>
          <w:lang w:val="en-GB"/>
        </w:rPr>
        <w:t>)</w:t>
      </w:r>
      <w:r>
        <w:rPr>
          <w:rFonts w:hint="eastAsia"/>
          <w:lang w:val="en-GB"/>
        </w:rPr>
        <w:t>。</w:t>
      </w:r>
      <w:r>
        <w:rPr>
          <w:rFonts w:hint="eastAsia"/>
          <w:lang w:val="en-GB"/>
        </w:rPr>
        <w:t>(</w:t>
      </w:r>
      <w:r>
        <w:rPr>
          <w:rFonts w:hint="eastAsia"/>
          <w:lang w:val="en-GB"/>
        </w:rPr>
        <w:t>我们在</w:t>
      </w:r>
      <w:r>
        <w:rPr>
          <w:rFonts w:hint="eastAsia"/>
          <w:lang w:val="en-GB"/>
        </w:rPr>
        <w:t>2003</w:t>
      </w:r>
      <w:r>
        <w:rPr>
          <w:rFonts w:hint="eastAsia"/>
          <w:lang w:val="en-GB"/>
        </w:rPr>
        <w:t>年提出的关于为执行劳工组织第</w:t>
      </w:r>
      <w:r>
        <w:rPr>
          <w:rFonts w:hint="eastAsia"/>
          <w:lang w:val="en-GB"/>
        </w:rPr>
        <w:t>122</w:t>
      </w:r>
      <w:r>
        <w:rPr>
          <w:rFonts w:hint="eastAsia"/>
          <w:lang w:val="en-GB"/>
        </w:rPr>
        <w:t>号和第</w:t>
      </w:r>
      <w:r>
        <w:rPr>
          <w:rFonts w:hint="eastAsia"/>
          <w:lang w:val="en-GB"/>
        </w:rPr>
        <w:t>111</w:t>
      </w:r>
      <w:r>
        <w:rPr>
          <w:rFonts w:hint="eastAsia"/>
          <w:lang w:val="en-GB"/>
        </w:rPr>
        <w:t>号公约的采取的措施的报告附于文后。</w:t>
      </w:r>
      <w:r>
        <w:rPr>
          <w:rFonts w:hint="eastAsia"/>
          <w:lang w:val="en-GB"/>
        </w:rPr>
        <w:t>)</w:t>
      </w:r>
    </w:p>
    <w:p w:rsidR="00000000" w:rsidRDefault="00000000">
      <w:pPr>
        <w:pStyle w:val="Heading3"/>
      </w:pPr>
      <w:r>
        <w:rPr>
          <w:rFonts w:hint="eastAsia"/>
        </w:rPr>
        <w:t>劳动市场的情况</w:t>
      </w:r>
    </w:p>
    <w:p w:rsidR="00000000" w:rsidRDefault="00000000">
      <w:pPr>
        <w:pStyle w:val="Heading4"/>
        <w:rPr>
          <w:rFonts w:eastAsia="KaiTi_GB2312"/>
          <w:snapToGrid/>
          <w:spacing w:val="0"/>
          <w:u w:val="none"/>
          <w:lang w:val="en-GB"/>
        </w:rPr>
      </w:pPr>
      <w:r>
        <w:rPr>
          <w:rFonts w:eastAsia="KaiTi_GB2312" w:hint="eastAsia"/>
          <w:snapToGrid/>
          <w:spacing w:val="0"/>
          <w:u w:val="none"/>
          <w:lang w:val="en-GB"/>
        </w:rPr>
        <w:t>就业趋势</w:t>
      </w:r>
    </w:p>
    <w:p w:rsidR="00000000" w:rsidRDefault="00000000">
      <w:pPr>
        <w:rPr>
          <w:rFonts w:hint="eastAsia"/>
          <w:lang w:val="en-GB"/>
        </w:rPr>
      </w:pPr>
      <w:r>
        <w:rPr>
          <w:lang w:val="en-GB"/>
        </w:rPr>
        <w:tab/>
      </w:r>
      <w:r>
        <w:rPr>
          <w:rFonts w:hint="eastAsia"/>
          <w:lang w:val="en-GB"/>
        </w:rPr>
        <w:t>64.</w:t>
      </w:r>
      <w:r>
        <w:rPr>
          <w:lang w:val="en-GB"/>
        </w:rPr>
        <w:t xml:space="preserve">  </w:t>
      </w:r>
      <w:r>
        <w:rPr>
          <w:rFonts w:hint="eastAsia"/>
          <w:lang w:val="en-GB"/>
        </w:rPr>
        <w:t>1990</w:t>
      </w:r>
      <w:r>
        <w:rPr>
          <w:rFonts w:hint="eastAsia"/>
          <w:lang w:val="en-GB"/>
        </w:rPr>
        <w:t>年代前半期，在政治变革之后的经济衰退年代里，匈牙利原有的</w:t>
      </w:r>
      <w:r>
        <w:rPr>
          <w:rFonts w:hint="eastAsia"/>
          <w:lang w:val="en-GB"/>
        </w:rPr>
        <w:t>500</w:t>
      </w:r>
      <w:r>
        <w:rPr>
          <w:rFonts w:hint="eastAsia"/>
          <w:lang w:val="en-GB"/>
        </w:rPr>
        <w:t>万在业人口降至</w:t>
      </w:r>
      <w:r>
        <w:rPr>
          <w:rFonts w:hint="eastAsia"/>
          <w:lang w:val="en-GB"/>
        </w:rPr>
        <w:t>360</w:t>
      </w:r>
      <w:r>
        <w:rPr>
          <w:rFonts w:hint="eastAsia"/>
          <w:lang w:val="en-GB"/>
        </w:rPr>
        <w:t>万，下降了</w:t>
      </w:r>
      <w:r>
        <w:rPr>
          <w:rFonts w:hint="eastAsia"/>
          <w:lang w:val="en-GB"/>
        </w:rPr>
        <w:t>25%</w:t>
      </w:r>
      <w:r>
        <w:rPr>
          <w:rFonts w:hint="eastAsia"/>
          <w:lang w:val="en-GB"/>
        </w:rPr>
        <w:t>。</w:t>
      </w:r>
      <w:r>
        <w:rPr>
          <w:rFonts w:hint="eastAsia"/>
          <w:lang w:val="en-GB"/>
        </w:rPr>
        <w:t>1998</w:t>
      </w:r>
      <w:r>
        <w:rPr>
          <w:rFonts w:hint="eastAsia"/>
          <w:lang w:val="en-GB"/>
        </w:rPr>
        <w:t>年开始回升，当时国内生产总值增长率超过</w:t>
      </w:r>
      <w:r>
        <w:rPr>
          <w:rFonts w:hint="eastAsia"/>
          <w:lang w:val="en-GB"/>
        </w:rPr>
        <w:t>4%</w:t>
      </w:r>
      <w:r>
        <w:rPr>
          <w:rFonts w:hint="eastAsia"/>
          <w:lang w:val="en-GB"/>
        </w:rPr>
        <w:t>。国内生产总值增长大部分是由于生产率的提高，只有一小部分原因是由于劳动市场参与率提高。采用现代生产方法和技术，改进工作的组织管理，促使上一时期生产率年均增长</w:t>
      </w:r>
      <w:r>
        <w:rPr>
          <w:rFonts w:hint="eastAsia"/>
          <w:lang w:val="en-GB"/>
        </w:rPr>
        <w:t>3%</w:t>
      </w:r>
      <w:r>
        <w:rPr>
          <w:rFonts w:hint="eastAsia"/>
          <w:lang w:val="en-GB"/>
        </w:rPr>
        <w:t>。</w:t>
      </w:r>
    </w:p>
    <w:p w:rsidR="00000000" w:rsidRDefault="00000000">
      <w:r>
        <w:rPr>
          <w:lang w:val="en-GB"/>
        </w:rPr>
        <w:tab/>
      </w:r>
      <w:r>
        <w:rPr>
          <w:rFonts w:hint="eastAsia"/>
          <w:lang w:val="en-GB"/>
        </w:rPr>
        <w:t>65.</w:t>
      </w:r>
      <w:r>
        <w:t xml:space="preserve">  1998</w:t>
      </w:r>
      <w:r>
        <w:rPr>
          <w:rFonts w:hint="eastAsia"/>
        </w:rPr>
        <w:t>年就业增长</w:t>
      </w:r>
      <w:r>
        <w:t>1.4%</w:t>
      </w:r>
      <w:r>
        <w:rPr>
          <w:rFonts w:hint="eastAsia"/>
        </w:rPr>
        <w:t>，</w:t>
      </w:r>
      <w:r>
        <w:rPr>
          <w:rFonts w:hint="eastAsia"/>
        </w:rPr>
        <w:t>1999</w:t>
      </w:r>
      <w:r>
        <w:rPr>
          <w:rFonts w:hint="eastAsia"/>
        </w:rPr>
        <w:t>年增长</w:t>
      </w:r>
      <w:r>
        <w:rPr>
          <w:rFonts w:hint="eastAsia"/>
        </w:rPr>
        <w:t>3.1%</w:t>
      </w:r>
      <w:r>
        <w:rPr>
          <w:rFonts w:hint="eastAsia"/>
        </w:rPr>
        <w:t>。由于世界经济放缓，经济增长速度也开始下降。</w:t>
      </w:r>
      <w:r>
        <w:rPr>
          <w:rFonts w:hint="eastAsia"/>
        </w:rPr>
        <w:t>2001</w:t>
      </w:r>
      <w:r>
        <w:rPr>
          <w:rFonts w:hint="eastAsia"/>
        </w:rPr>
        <w:t>年就业率停滞，</w:t>
      </w:r>
      <w:r>
        <w:rPr>
          <w:rFonts w:hint="eastAsia"/>
        </w:rPr>
        <w:t>2002</w:t>
      </w:r>
      <w:r>
        <w:rPr>
          <w:rFonts w:hint="eastAsia"/>
        </w:rPr>
        <w:t>年上半年开始下降。工业投资和生产收缩，从</w:t>
      </w:r>
      <w:r>
        <w:rPr>
          <w:rFonts w:hint="eastAsia"/>
        </w:rPr>
        <w:t>18.3%</w:t>
      </w:r>
      <w:r>
        <w:rPr>
          <w:rFonts w:hint="eastAsia"/>
        </w:rPr>
        <w:t>下降到</w:t>
      </w:r>
      <w:r>
        <w:t>2.6</w:t>
      </w:r>
      <w:r>
        <w:rPr>
          <w:rFonts w:hint="eastAsia"/>
        </w:rPr>
        <w:t>%</w:t>
      </w:r>
      <w:r>
        <w:rPr>
          <w:rFonts w:hint="eastAsia"/>
        </w:rPr>
        <w:t>，对就业率产生消极影响。</w:t>
      </w:r>
    </w:p>
    <w:p w:rsidR="00000000" w:rsidRDefault="00000000">
      <w:r>
        <w:tab/>
      </w:r>
      <w:r>
        <w:rPr>
          <w:lang w:val="en-GB"/>
        </w:rPr>
        <w:t xml:space="preserve">66.  </w:t>
      </w:r>
      <w:r>
        <w:rPr>
          <w:rFonts w:hint="eastAsia"/>
          <w:lang w:val="en-GB"/>
        </w:rPr>
        <w:t>除国际经济衰退之外，只是经济政策措施也使形势恶化。这些措施包括提高最低工资和福林的汇率，前者使劳动力更加昂贵。有些企业将部分或全部生产能力移至其他国家</w:t>
      </w:r>
      <w:r>
        <w:rPr>
          <w:rFonts w:hint="eastAsia"/>
        </w:rPr>
        <w:t>，经济继续重组。农业和煤矿的就业下降。一些低薪的经济部门，主要是纺织、成衣和制鞋业暂时解雇工人。但是，经济各部门解雇的人当中大部分都能够比较快找到工作，主要是外国资本的投资项目或者是建筑或服务业的工作。</w:t>
      </w:r>
    </w:p>
    <w:p w:rsidR="00000000" w:rsidRDefault="00000000">
      <w:pPr>
        <w:rPr>
          <w:lang w:val="en-GB"/>
        </w:rPr>
      </w:pPr>
      <w:r>
        <w:tab/>
      </w:r>
      <w:r>
        <w:rPr>
          <w:rFonts w:hint="eastAsia"/>
          <w:lang w:val="en-GB"/>
        </w:rPr>
        <w:t>67.</w:t>
      </w:r>
      <w:r>
        <w:rPr>
          <w:lang w:val="en-GB"/>
        </w:rPr>
        <w:t xml:space="preserve">  </w:t>
      </w:r>
      <w:r>
        <w:rPr>
          <w:rFonts w:hint="eastAsia"/>
          <w:lang w:val="en-GB"/>
        </w:rPr>
        <w:t>2002</w:t>
      </w:r>
      <w:r>
        <w:rPr>
          <w:rFonts w:hint="eastAsia"/>
          <w:lang w:val="en-GB"/>
        </w:rPr>
        <w:t>年，以前是一个吸收劳动力部门的加工业开始减员，由于服务业增加劳动力，就业率因而持平。总之，服务部门就业率的提高有助于达到</w:t>
      </w:r>
      <w:r>
        <w:rPr>
          <w:rFonts w:hint="eastAsia"/>
          <w:lang w:val="en-GB"/>
        </w:rPr>
        <w:t>2001</w:t>
      </w:r>
      <w:r>
        <w:rPr>
          <w:rFonts w:hint="eastAsia"/>
          <w:lang w:val="en-GB"/>
        </w:rPr>
        <w:t>年的就业水平。</w:t>
      </w:r>
    </w:p>
    <w:p w:rsidR="00000000" w:rsidRDefault="00000000">
      <w:pPr>
        <w:rPr>
          <w:lang w:val="en-GB"/>
        </w:rPr>
      </w:pPr>
      <w:r>
        <w:rPr>
          <w:lang w:val="en-GB"/>
        </w:rPr>
        <w:tab/>
        <w:t xml:space="preserve">68.  </w:t>
      </w:r>
      <w:r>
        <w:rPr>
          <w:rFonts w:hint="eastAsia"/>
          <w:lang w:val="en-GB"/>
        </w:rPr>
        <w:t>自</w:t>
      </w:r>
      <w:r>
        <w:rPr>
          <w:rFonts w:hint="eastAsia"/>
          <w:lang w:val="en-GB"/>
        </w:rPr>
        <w:t>2002</w:t>
      </w:r>
      <w:r>
        <w:rPr>
          <w:rFonts w:hint="eastAsia"/>
          <w:lang w:val="en-GB"/>
        </w:rPr>
        <w:t>年下半年以来，就业一直在增加。</w:t>
      </w:r>
      <w:r>
        <w:rPr>
          <w:rFonts w:hint="eastAsia"/>
          <w:lang w:val="en-GB"/>
        </w:rPr>
        <w:t>2003</w:t>
      </w:r>
      <w:r>
        <w:rPr>
          <w:rFonts w:hint="eastAsia"/>
          <w:lang w:val="en-GB"/>
        </w:rPr>
        <w:t>年第二季度就业人数比</w:t>
      </w:r>
      <w:r>
        <w:rPr>
          <w:rFonts w:hint="eastAsia"/>
          <w:lang w:val="en-GB"/>
        </w:rPr>
        <w:t>2002</w:t>
      </w:r>
      <w:r>
        <w:rPr>
          <w:rFonts w:hint="eastAsia"/>
          <w:lang w:val="en-GB"/>
        </w:rPr>
        <w:t>年同期增长了</w:t>
      </w:r>
      <w:r>
        <w:rPr>
          <w:rFonts w:hint="eastAsia"/>
          <w:lang w:val="en-GB"/>
        </w:rPr>
        <w:t>1.5%</w:t>
      </w:r>
      <w:r>
        <w:rPr>
          <w:rFonts w:hint="eastAsia"/>
          <w:lang w:val="en-GB"/>
        </w:rPr>
        <w:t>，第三季度同比增长了</w:t>
      </w:r>
      <w:r>
        <w:rPr>
          <w:lang w:val="en-GB"/>
        </w:rPr>
        <w:t>1.7%</w:t>
      </w:r>
      <w:r>
        <w:rPr>
          <w:rFonts w:hint="eastAsia"/>
          <w:lang w:val="en-GB"/>
        </w:rPr>
        <w:t>。最近的详细统计数字表明，</w:t>
      </w:r>
      <w:r>
        <w:rPr>
          <w:rFonts w:hint="eastAsia"/>
          <w:lang w:val="en-GB"/>
        </w:rPr>
        <w:t>2003</w:t>
      </w:r>
      <w:r>
        <w:rPr>
          <w:rFonts w:hint="eastAsia"/>
          <w:lang w:val="en-GB"/>
        </w:rPr>
        <w:t>年第二季度就业人数达到</w:t>
      </w:r>
      <w:r>
        <w:rPr>
          <w:lang w:val="en-GB"/>
        </w:rPr>
        <w:t>3924000</w:t>
      </w:r>
      <w:r>
        <w:rPr>
          <w:rFonts w:hint="eastAsia"/>
          <w:lang w:val="en-GB"/>
        </w:rPr>
        <w:t>人，</w:t>
      </w:r>
      <w:r>
        <w:rPr>
          <w:rFonts w:hint="eastAsia"/>
          <w:lang w:val="en-GB"/>
        </w:rPr>
        <w:t>15</w:t>
      </w:r>
      <w:r>
        <w:rPr>
          <w:rFonts w:hint="eastAsia"/>
          <w:lang w:val="en-GB"/>
        </w:rPr>
        <w:t>岁至</w:t>
      </w:r>
      <w:r>
        <w:rPr>
          <w:rFonts w:hint="eastAsia"/>
          <w:lang w:val="en-GB"/>
        </w:rPr>
        <w:t>64</w:t>
      </w:r>
      <w:r>
        <w:rPr>
          <w:rFonts w:hint="eastAsia"/>
          <w:lang w:val="en-GB"/>
        </w:rPr>
        <w:t>岁这一年龄组的就业率为</w:t>
      </w:r>
      <w:r>
        <w:rPr>
          <w:rFonts w:hint="eastAsia"/>
          <w:lang w:val="en-GB"/>
        </w:rPr>
        <w:t>57%</w:t>
      </w:r>
      <w:r>
        <w:rPr>
          <w:rFonts w:hint="eastAsia"/>
          <w:lang w:val="en-GB"/>
        </w:rPr>
        <w:t>，男性就业率相当于</w:t>
      </w:r>
      <w:r>
        <w:rPr>
          <w:lang w:val="en-GB"/>
        </w:rPr>
        <w:t>63.5</w:t>
      </w:r>
      <w:r>
        <w:rPr>
          <w:rFonts w:hint="eastAsia"/>
          <w:lang w:val="en-GB"/>
        </w:rPr>
        <w:t>%</w:t>
      </w:r>
      <w:r>
        <w:rPr>
          <w:rFonts w:hint="eastAsia"/>
          <w:lang w:val="en-GB"/>
        </w:rPr>
        <w:t>，女性为</w:t>
      </w:r>
      <w:r>
        <w:rPr>
          <w:rFonts w:hint="eastAsia"/>
          <w:lang w:val="en-GB"/>
        </w:rPr>
        <w:t>50.9%</w:t>
      </w:r>
      <w:r>
        <w:rPr>
          <w:rFonts w:hint="eastAsia"/>
          <w:lang w:val="en-GB"/>
        </w:rPr>
        <w:t>。每年年龄组的男性就业率都超过女性就业率。就业人数中女性的比例达到</w:t>
      </w:r>
      <w:r>
        <w:rPr>
          <w:lang w:val="en-GB"/>
        </w:rPr>
        <w:t>46%</w:t>
      </w:r>
      <w:r>
        <w:rPr>
          <w:rFonts w:hint="eastAsia"/>
          <w:lang w:val="en-GB"/>
        </w:rPr>
        <w:t>，略有上升，因为女性就业上升幅度大于男性。</w:t>
      </w:r>
    </w:p>
    <w:p w:rsidR="00000000" w:rsidRDefault="00000000">
      <w:pPr>
        <w:spacing w:after="240"/>
        <w:rPr>
          <w:lang w:val="en-GB"/>
        </w:rPr>
      </w:pPr>
      <w:r>
        <w:rPr>
          <w:lang w:val="en-GB"/>
        </w:rPr>
        <w:tab/>
        <w:t xml:space="preserve">69.  </w:t>
      </w:r>
      <w:r>
        <w:rPr>
          <w:rFonts w:hint="eastAsia"/>
          <w:lang w:val="en-GB"/>
        </w:rPr>
        <w:t>匈牙利非正规就业水平比较低：</w:t>
      </w:r>
      <w:r>
        <w:rPr>
          <w:rFonts w:hint="eastAsia"/>
          <w:lang w:val="en-GB"/>
        </w:rPr>
        <w:t>2002</w:t>
      </w:r>
      <w:r>
        <w:rPr>
          <w:rFonts w:hint="eastAsia"/>
          <w:lang w:val="en-GB"/>
        </w:rPr>
        <w:t>年，部分时间工作的人占积极求职劳动力的</w:t>
      </w:r>
      <w:r>
        <w:rPr>
          <w:rFonts w:hint="eastAsia"/>
          <w:lang w:val="en-GB"/>
        </w:rPr>
        <w:t>3.9</w:t>
      </w:r>
      <w:r>
        <w:rPr>
          <w:lang w:val="en-GB"/>
        </w:rPr>
        <w:t>%</w:t>
      </w:r>
      <w:r>
        <w:rPr>
          <w:rFonts w:hint="eastAsia"/>
          <w:lang w:val="en-GB"/>
        </w:rPr>
        <w:t>，定期合同工占积极求职劳动力的</w:t>
      </w:r>
      <w:r>
        <w:rPr>
          <w:lang w:val="en-GB"/>
        </w:rPr>
        <w:t>6.3%</w:t>
      </w:r>
      <w:r>
        <w:rPr>
          <w:rFonts w:hint="eastAsia"/>
          <w:lang w:val="en-GB"/>
        </w:rPr>
        <w:t>。</w:t>
      </w:r>
    </w:p>
    <w:p w:rsidR="00000000" w:rsidRDefault="00000000">
      <w:pPr>
        <w:pStyle w:val="Heading4"/>
        <w:rPr>
          <w:rFonts w:eastAsia="KaiTi_GB2312"/>
          <w:snapToGrid/>
          <w:spacing w:val="0"/>
          <w:u w:val="none"/>
          <w:lang w:val="en-GB"/>
        </w:rPr>
      </w:pPr>
      <w:r>
        <w:rPr>
          <w:rFonts w:eastAsia="KaiTi_GB2312" w:hint="eastAsia"/>
          <w:snapToGrid/>
          <w:spacing w:val="0"/>
          <w:u w:val="none"/>
          <w:lang w:val="en-GB"/>
        </w:rPr>
        <w:t>失业趋势</w:t>
      </w:r>
    </w:p>
    <w:p w:rsidR="00000000" w:rsidRDefault="00000000">
      <w:pPr>
        <w:rPr>
          <w:lang w:val="en-GB"/>
        </w:rPr>
      </w:pPr>
      <w:r>
        <w:rPr>
          <w:lang w:val="en-GB"/>
        </w:rPr>
        <w:tab/>
        <w:t xml:space="preserve">70.  </w:t>
      </w:r>
      <w:r>
        <w:rPr>
          <w:rFonts w:hint="eastAsia"/>
          <w:lang w:val="en-GB"/>
        </w:rPr>
        <w:t>匈牙利的失业于</w:t>
      </w:r>
      <w:r>
        <w:rPr>
          <w:rFonts w:hint="eastAsia"/>
          <w:lang w:val="en-GB"/>
        </w:rPr>
        <w:t>1993</w:t>
      </w:r>
      <w:r>
        <w:rPr>
          <w:rFonts w:hint="eastAsia"/>
          <w:lang w:val="en-GB"/>
        </w:rPr>
        <w:t>年达到最高点，失业率接近</w:t>
      </w:r>
      <w:r>
        <w:rPr>
          <w:rFonts w:hint="eastAsia"/>
          <w:lang w:val="en-GB"/>
        </w:rPr>
        <w:t>13%</w:t>
      </w:r>
      <w:r>
        <w:rPr>
          <w:rFonts w:hint="eastAsia"/>
          <w:lang w:val="en-GB"/>
        </w:rPr>
        <w:t>。自此，失业逐步减少，直至</w:t>
      </w:r>
      <w:r>
        <w:rPr>
          <w:rFonts w:hint="eastAsia"/>
          <w:lang w:val="en-GB"/>
        </w:rPr>
        <w:t>2001</w:t>
      </w:r>
      <w:r>
        <w:rPr>
          <w:rFonts w:hint="eastAsia"/>
          <w:lang w:val="en-GB"/>
        </w:rPr>
        <w:t>年，部分是由于失业津贴制度的规章更加严格。但是，这有副作用，对那些在劳动市场处境最不利的人也停止了发放津贴。这些人与就业中心的联系中断，这就减少了他们重返劳动市场的机会。</w:t>
      </w:r>
    </w:p>
    <w:p w:rsidR="00000000" w:rsidRDefault="00000000">
      <w:r>
        <w:rPr>
          <w:lang w:val="en-GB"/>
        </w:rPr>
        <w:tab/>
        <w:t xml:space="preserve">71.  </w:t>
      </w:r>
      <w:r>
        <w:rPr>
          <w:rFonts w:hint="eastAsia"/>
          <w:lang w:val="en-GB"/>
        </w:rPr>
        <w:t>2002</w:t>
      </w:r>
      <w:r>
        <w:rPr>
          <w:rFonts w:hint="eastAsia"/>
          <w:lang w:val="en-GB"/>
        </w:rPr>
        <w:t>年通过了新的立法，加强了现有鼓励就业的支持方式</w:t>
      </w:r>
      <w:r>
        <w:rPr>
          <w:rFonts w:hint="eastAsia"/>
        </w:rPr>
        <w:t>，提高了培训和再培训班期间发放的资助款金额、敦促人们报名参加劳动市场的培训。新立法使规章条例能够更加优惠地适用于处境最不利的社会群体成员，例如老年人和罗姆人。为鼓励推广非正规的就业形式，新立法增加了对部分时间就业和远程工作的支助。</w:t>
      </w:r>
    </w:p>
    <w:p w:rsidR="00000000" w:rsidRDefault="00000000">
      <w:pPr>
        <w:rPr>
          <w:rFonts w:hint="eastAsia"/>
          <w:lang w:val="en-GB"/>
        </w:rPr>
      </w:pPr>
      <w:r>
        <w:rPr>
          <w:lang w:val="en-GB"/>
        </w:rPr>
        <w:tab/>
        <w:t xml:space="preserve">72.  </w:t>
      </w:r>
      <w:r>
        <w:rPr>
          <w:rFonts w:hint="eastAsia"/>
          <w:lang w:val="en-GB"/>
        </w:rPr>
        <w:t>1990</w:t>
      </w:r>
      <w:r>
        <w:rPr>
          <w:rFonts w:hint="eastAsia"/>
          <w:lang w:val="en-GB"/>
        </w:rPr>
        <w:t>年代前半期特有的衰退型失业具有结构性特点。除了失业之外，某些行业还遇到了劳力十分短缺的局面。</w:t>
      </w:r>
    </w:p>
    <w:p w:rsidR="00000000" w:rsidRDefault="00000000">
      <w:pPr>
        <w:spacing w:after="240"/>
        <w:rPr>
          <w:rFonts w:hint="eastAsia"/>
          <w:lang w:val="en-GB"/>
        </w:rPr>
      </w:pPr>
      <w:r>
        <w:rPr>
          <w:lang w:val="en-GB"/>
        </w:rPr>
        <w:tab/>
        <w:t xml:space="preserve">73.  </w:t>
      </w:r>
      <w:r>
        <w:rPr>
          <w:rFonts w:hint="eastAsia"/>
          <w:lang w:val="en-GB"/>
        </w:rPr>
        <w:t>中央统计局指出，</w:t>
      </w:r>
      <w:r>
        <w:rPr>
          <w:lang w:val="en-GB"/>
        </w:rPr>
        <w:t>2002</w:t>
      </w:r>
      <w:r>
        <w:rPr>
          <w:rFonts w:hint="eastAsia"/>
          <w:lang w:val="en-GB"/>
        </w:rPr>
        <w:t>至</w:t>
      </w:r>
      <w:r>
        <w:rPr>
          <w:rFonts w:hint="eastAsia"/>
          <w:lang w:val="en-GB"/>
        </w:rPr>
        <w:t>2003</w:t>
      </w:r>
      <w:r>
        <w:rPr>
          <w:rFonts w:hint="eastAsia"/>
          <w:lang w:val="en-GB"/>
        </w:rPr>
        <w:t>年期间，就业水平一改季节性变化的格局，出现了几乎凝固不动的局面。统计数字表明，</w:t>
      </w:r>
      <w:r>
        <w:rPr>
          <w:rFonts w:hint="eastAsia"/>
          <w:lang w:val="en-GB"/>
        </w:rPr>
        <w:t>2003</w:t>
      </w:r>
      <w:r>
        <w:rPr>
          <w:rFonts w:hint="eastAsia"/>
          <w:lang w:val="en-GB"/>
        </w:rPr>
        <w:t>年</w:t>
      </w:r>
      <w:r>
        <w:rPr>
          <w:rFonts w:hint="eastAsia"/>
          <w:lang w:val="en-GB"/>
        </w:rPr>
        <w:t>6</w:t>
      </w:r>
      <w:r>
        <w:rPr>
          <w:rFonts w:hint="eastAsia"/>
          <w:lang w:val="en-GB"/>
        </w:rPr>
        <w:t>月至</w:t>
      </w:r>
      <w:r>
        <w:rPr>
          <w:rFonts w:hint="eastAsia"/>
          <w:lang w:val="en-GB"/>
        </w:rPr>
        <w:t>8</w:t>
      </w:r>
      <w:r>
        <w:rPr>
          <w:rFonts w:hint="eastAsia"/>
          <w:lang w:val="en-GB"/>
        </w:rPr>
        <w:t>月，</w:t>
      </w:r>
      <w:r>
        <w:rPr>
          <w:rFonts w:hint="eastAsia"/>
          <w:lang w:val="en-GB"/>
        </w:rPr>
        <w:t>15</w:t>
      </w:r>
      <w:r>
        <w:rPr>
          <w:rFonts w:hint="eastAsia"/>
          <w:lang w:val="en-GB"/>
        </w:rPr>
        <w:t>岁至</w:t>
      </w:r>
      <w:r>
        <w:rPr>
          <w:rFonts w:hint="eastAsia"/>
          <w:lang w:val="en-GB"/>
        </w:rPr>
        <w:t>74</w:t>
      </w:r>
      <w:r>
        <w:rPr>
          <w:rFonts w:hint="eastAsia"/>
          <w:lang w:val="en-GB"/>
        </w:rPr>
        <w:t>岁年龄组有</w:t>
      </w:r>
      <w:r>
        <w:rPr>
          <w:rFonts w:hint="eastAsia"/>
          <w:lang w:val="en-GB"/>
        </w:rPr>
        <w:t>239000</w:t>
      </w:r>
      <w:r>
        <w:rPr>
          <w:rFonts w:hint="eastAsia"/>
          <w:lang w:val="en-GB"/>
        </w:rPr>
        <w:t>人失业，相当于</w:t>
      </w:r>
      <w:r>
        <w:rPr>
          <w:rFonts w:hint="eastAsia"/>
          <w:lang w:val="en-GB"/>
        </w:rPr>
        <w:t>5.7%</w:t>
      </w:r>
      <w:r>
        <w:rPr>
          <w:rFonts w:hint="eastAsia"/>
          <w:lang w:val="en-GB"/>
        </w:rPr>
        <w:t>的失业率。同期，</w:t>
      </w:r>
      <w:r>
        <w:rPr>
          <w:rFonts w:hint="eastAsia"/>
          <w:lang w:val="en-GB"/>
        </w:rPr>
        <w:t>15</w:t>
      </w:r>
      <w:r>
        <w:rPr>
          <w:rFonts w:hint="eastAsia"/>
          <w:lang w:val="en-GB"/>
        </w:rPr>
        <w:t>岁至</w:t>
      </w:r>
      <w:r>
        <w:rPr>
          <w:rFonts w:hint="eastAsia"/>
          <w:lang w:val="en-GB"/>
        </w:rPr>
        <w:t>24</w:t>
      </w:r>
      <w:r>
        <w:rPr>
          <w:rFonts w:hint="eastAsia"/>
          <w:lang w:val="en-GB"/>
        </w:rPr>
        <w:t>岁人口中的失业率达到</w:t>
      </w:r>
      <w:r>
        <w:rPr>
          <w:rFonts w:hint="eastAsia"/>
          <w:lang w:val="en-GB"/>
        </w:rPr>
        <w:t>13.2%</w:t>
      </w:r>
      <w:r>
        <w:rPr>
          <w:rFonts w:hint="eastAsia"/>
          <w:lang w:val="en-GB"/>
        </w:rPr>
        <w:t>，与前一年相应的统计数字相比下降</w:t>
      </w:r>
      <w:r>
        <w:rPr>
          <w:rFonts w:hint="eastAsia"/>
          <w:lang w:val="en-GB"/>
        </w:rPr>
        <w:t>0.4%</w:t>
      </w:r>
      <w:r>
        <w:rPr>
          <w:rFonts w:hint="eastAsia"/>
          <w:lang w:val="en-GB"/>
        </w:rPr>
        <w:t>。</w:t>
      </w:r>
    </w:p>
    <w:p w:rsidR="00000000" w:rsidRDefault="00000000">
      <w:pPr>
        <w:pStyle w:val="Heading4"/>
        <w:rPr>
          <w:rFonts w:eastAsia="KaiTi_GB2312"/>
          <w:snapToGrid/>
          <w:spacing w:val="0"/>
          <w:u w:val="none"/>
          <w:lang w:val="en-GB"/>
        </w:rPr>
      </w:pPr>
      <w:bookmarkStart w:id="15" w:name="_Toc111981028"/>
      <w:bookmarkStart w:id="16" w:name="_Toc112060403"/>
      <w:bookmarkStart w:id="17" w:name="_Toc112069843"/>
      <w:bookmarkStart w:id="18" w:name="_Toc112147249"/>
      <w:bookmarkStart w:id="19" w:name="_Toc112155035"/>
      <w:bookmarkStart w:id="20" w:name="_Toc114315271"/>
      <w:bookmarkStart w:id="21" w:name="_Toc114315375"/>
      <w:bookmarkStart w:id="22" w:name="_Toc114399146"/>
      <w:bookmarkStart w:id="23" w:name="_Toc114561135"/>
      <w:bookmarkStart w:id="24" w:name="_Toc114572601"/>
      <w:bookmarkStart w:id="25" w:name="_Toc114572791"/>
      <w:bookmarkStart w:id="26" w:name="_Toc114573473"/>
      <w:bookmarkStart w:id="27" w:name="_Toc114574771"/>
      <w:bookmarkStart w:id="28" w:name="_Toc114574877"/>
      <w:bookmarkStart w:id="29" w:name="_Toc115668304"/>
      <w:r>
        <w:rPr>
          <w:rFonts w:eastAsia="KaiTi_GB2312" w:hint="eastAsia"/>
          <w:snapToGrid/>
          <w:spacing w:val="0"/>
          <w:u w:val="none"/>
          <w:lang w:val="en-GB"/>
        </w:rPr>
        <w:t>不积极求职，在劳动市场处境不利的人</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Pr>
          <w:rFonts w:eastAsia="KaiTi_GB2312"/>
          <w:snapToGrid/>
          <w:spacing w:val="0"/>
          <w:u w:val="none"/>
          <w:lang w:val="en-GB"/>
        </w:rPr>
        <w:t xml:space="preserve"> </w:t>
      </w:r>
    </w:p>
    <w:p w:rsidR="00000000" w:rsidRDefault="00000000">
      <w:pPr>
        <w:rPr>
          <w:rFonts w:hint="eastAsia"/>
          <w:lang w:val="en-GB"/>
        </w:rPr>
      </w:pPr>
      <w:r>
        <w:rPr>
          <w:lang w:val="en-GB"/>
        </w:rPr>
        <w:tab/>
      </w:r>
      <w:r>
        <w:rPr>
          <w:rFonts w:hint="eastAsia"/>
          <w:lang w:val="en-GB"/>
        </w:rPr>
        <w:t>74.</w:t>
      </w:r>
      <w:r>
        <w:rPr>
          <w:lang w:val="en-GB"/>
        </w:rPr>
        <w:t xml:space="preserve">  </w:t>
      </w:r>
      <w:r>
        <w:rPr>
          <w:rFonts w:hint="eastAsia"/>
          <w:lang w:val="en-GB"/>
        </w:rPr>
        <w:t>就业水平低加上失业水平也低，这是‘典型的匈牙利’特征。其他失业率相当的欧洲国家一般是就业水平低的同时失业率比较高，而匈牙利就业率低的同时劳动市场求职率也低，即不积极求职的人数高。年龄在</w:t>
      </w:r>
      <w:r>
        <w:rPr>
          <w:rFonts w:hint="eastAsia"/>
          <w:lang w:val="en-GB"/>
        </w:rPr>
        <w:t>15</w:t>
      </w:r>
      <w:r>
        <w:rPr>
          <w:rFonts w:hint="eastAsia"/>
          <w:lang w:val="en-GB"/>
        </w:rPr>
        <w:t>岁至</w:t>
      </w:r>
      <w:r>
        <w:rPr>
          <w:rFonts w:hint="eastAsia"/>
          <w:lang w:val="en-GB"/>
        </w:rPr>
        <w:t>64</w:t>
      </w:r>
      <w:r>
        <w:rPr>
          <w:rFonts w:hint="eastAsia"/>
          <w:lang w:val="en-GB"/>
        </w:rPr>
        <w:t>岁的匈牙利人，每十个人中有四个不积极求职。他们既不工作也不积极寻找工作。其中</w:t>
      </w:r>
      <w:r>
        <w:rPr>
          <w:rFonts w:hint="eastAsia"/>
          <w:lang w:val="en-GB"/>
        </w:rPr>
        <w:t>30%</w:t>
      </w:r>
      <w:r>
        <w:rPr>
          <w:rFonts w:hint="eastAsia"/>
          <w:lang w:val="en-GB"/>
        </w:rPr>
        <w:t>的学习，</w:t>
      </w:r>
      <w:r>
        <w:rPr>
          <w:lang w:val="en-GB"/>
        </w:rPr>
        <w:t>13%</w:t>
      </w:r>
      <w:r>
        <w:rPr>
          <w:rFonts w:hint="eastAsia"/>
          <w:lang w:val="en-GB"/>
        </w:rPr>
        <w:t>照顾子女，</w:t>
      </w:r>
      <w:r>
        <w:rPr>
          <w:lang w:val="en-GB"/>
        </w:rPr>
        <w:t>36%</w:t>
      </w:r>
      <w:r>
        <w:rPr>
          <w:rFonts w:hint="eastAsia"/>
          <w:lang w:val="en-GB"/>
        </w:rPr>
        <w:t>退休。但是，有</w:t>
      </w:r>
      <w:r>
        <w:rPr>
          <w:rFonts w:hint="eastAsia"/>
          <w:lang w:val="en-GB"/>
        </w:rPr>
        <w:t>50</w:t>
      </w:r>
      <w:r>
        <w:rPr>
          <w:rFonts w:hint="eastAsia"/>
          <w:lang w:val="en-GB"/>
        </w:rPr>
        <w:t>万人没有任何合法收入，由家庭抚养同时</w:t>
      </w:r>
      <w:r>
        <w:rPr>
          <w:rFonts w:hint="eastAsia"/>
          <w:lang w:val="en-GB"/>
        </w:rPr>
        <w:t>/</w:t>
      </w:r>
      <w:r>
        <w:rPr>
          <w:rFonts w:hint="eastAsia"/>
          <w:lang w:val="en-GB"/>
        </w:rPr>
        <w:t>或者做黑市工作。</w:t>
      </w:r>
    </w:p>
    <w:p w:rsidR="00000000" w:rsidRDefault="00000000">
      <w:pPr>
        <w:rPr>
          <w:rFonts w:hint="eastAsia"/>
          <w:lang w:val="en-GB"/>
        </w:rPr>
      </w:pPr>
      <w:r>
        <w:rPr>
          <w:lang w:val="en-GB"/>
        </w:rPr>
        <w:tab/>
      </w:r>
      <w:r>
        <w:rPr>
          <w:rFonts w:hint="eastAsia"/>
          <w:lang w:val="en-GB"/>
        </w:rPr>
        <w:t>75.</w:t>
      </w:r>
      <w:r>
        <w:rPr>
          <w:lang w:val="en-GB"/>
        </w:rPr>
        <w:t xml:space="preserve">  </w:t>
      </w:r>
      <w:r>
        <w:rPr>
          <w:rFonts w:hint="eastAsia"/>
          <w:lang w:val="en-GB"/>
        </w:rPr>
        <w:t>失业和不积极求职，即缺乏稳定的就业，是处境不利的根源之一。有些处境不利的群体即使经济增长也没有得到任何好处，所以他们在劳动市场的处境只有在得到有针对性的计划或补助的具体支助才会有所改善。这些群体一般包括学历低、身有残疾、健康状况欠佳以及属于罗姆族的人。</w:t>
      </w:r>
    </w:p>
    <w:p w:rsidR="00000000" w:rsidRDefault="00000000">
      <w:pPr>
        <w:rPr>
          <w:rFonts w:hint="eastAsia"/>
          <w:lang w:val="en-GB"/>
        </w:rPr>
      </w:pPr>
      <w:r>
        <w:rPr>
          <w:lang w:val="en-GB"/>
        </w:rPr>
        <w:tab/>
      </w:r>
      <w:r>
        <w:rPr>
          <w:rFonts w:hint="eastAsia"/>
          <w:lang w:val="en-GB"/>
        </w:rPr>
        <w:t>76.</w:t>
      </w:r>
      <w:r>
        <w:rPr>
          <w:lang w:val="en-GB"/>
        </w:rPr>
        <w:t xml:space="preserve">  </w:t>
      </w:r>
      <w:r>
        <w:rPr>
          <w:rFonts w:hint="eastAsia"/>
          <w:lang w:val="en-GB"/>
        </w:rPr>
        <w:t>资历低的人参与劳动市场求职的比率远远落后于欧盟的平均水平，这些群体中的失业率最高。</w:t>
      </w:r>
      <w:r>
        <w:rPr>
          <w:rFonts w:hint="eastAsia"/>
          <w:lang w:val="en-GB"/>
        </w:rPr>
        <w:t>2003</w:t>
      </w:r>
      <w:r>
        <w:rPr>
          <w:rFonts w:hint="eastAsia"/>
          <w:lang w:val="en-GB"/>
        </w:rPr>
        <w:t>年第二季度的平均失业率为</w:t>
      </w:r>
      <w:r>
        <w:rPr>
          <w:lang w:val="en-GB"/>
        </w:rPr>
        <w:t>5.7%</w:t>
      </w:r>
      <w:r>
        <w:rPr>
          <w:rFonts w:hint="eastAsia"/>
          <w:lang w:val="en-GB"/>
        </w:rPr>
        <w:t>。</w:t>
      </w:r>
      <w:r>
        <w:rPr>
          <w:rFonts w:hint="eastAsia"/>
          <w:lang w:val="en-GB"/>
        </w:rPr>
        <w:t>29%</w:t>
      </w:r>
      <w:r>
        <w:rPr>
          <w:rFonts w:hint="eastAsia"/>
          <w:lang w:val="en-GB"/>
        </w:rPr>
        <w:t>的失业人员没有完成小学八年的学业。</w:t>
      </w:r>
    </w:p>
    <w:p w:rsidR="00000000" w:rsidRDefault="00000000">
      <w:pPr>
        <w:rPr>
          <w:rFonts w:hint="eastAsia"/>
          <w:lang w:val="en-GB"/>
        </w:rPr>
      </w:pPr>
      <w:r>
        <w:rPr>
          <w:lang w:val="en-GB"/>
        </w:rPr>
        <w:tab/>
      </w:r>
      <w:r>
        <w:rPr>
          <w:rFonts w:hint="eastAsia"/>
          <w:lang w:val="en-GB"/>
        </w:rPr>
        <w:t>7</w:t>
      </w:r>
      <w:r>
        <w:rPr>
          <w:lang w:val="en-GB"/>
        </w:rPr>
        <w:t>7</w:t>
      </w:r>
      <w:r>
        <w:rPr>
          <w:rFonts w:hint="eastAsia"/>
          <w:lang w:val="en-GB"/>
        </w:rPr>
        <w:t>.</w:t>
      </w:r>
      <w:r>
        <w:rPr>
          <w:lang w:val="en-GB"/>
        </w:rPr>
        <w:t xml:space="preserve">  </w:t>
      </w:r>
      <w:r>
        <w:rPr>
          <w:rFonts w:hint="eastAsia"/>
          <w:lang w:val="en-GB"/>
        </w:rPr>
        <w:t>残疾人参与劳动市场求职的人数微乎其微。中央统计局</w:t>
      </w:r>
      <w:r>
        <w:rPr>
          <w:rFonts w:hint="eastAsia"/>
          <w:lang w:val="en-GB"/>
        </w:rPr>
        <w:t>2002</w:t>
      </w:r>
      <w:r>
        <w:rPr>
          <w:rFonts w:hint="eastAsia"/>
          <w:lang w:val="en-GB"/>
        </w:rPr>
        <w:t>年的劳动力调查显示有</w:t>
      </w:r>
      <w:r>
        <w:rPr>
          <w:lang w:val="en-GB"/>
        </w:rPr>
        <w:t>656000</w:t>
      </w:r>
      <w:r>
        <w:rPr>
          <w:rFonts w:hint="eastAsia"/>
          <w:lang w:val="en-GB"/>
        </w:rPr>
        <w:t>个处在工作年龄段的人自称健康受到永久性破坏。其中</w:t>
      </w:r>
      <w:r>
        <w:rPr>
          <w:rFonts w:hint="eastAsia"/>
          <w:lang w:val="en-GB"/>
        </w:rPr>
        <w:t>95000</w:t>
      </w:r>
      <w:r>
        <w:rPr>
          <w:rFonts w:hint="eastAsia"/>
          <w:lang w:val="en-GB"/>
        </w:rPr>
        <w:t>人与就业部门有联系，即使这些人里面也有将近</w:t>
      </w:r>
      <w:r>
        <w:rPr>
          <w:rFonts w:hint="eastAsia"/>
          <w:lang w:val="en-GB"/>
        </w:rPr>
        <w:t>1</w:t>
      </w:r>
      <w:r>
        <w:rPr>
          <w:rFonts w:hint="eastAsia"/>
          <w:lang w:val="en-GB"/>
        </w:rPr>
        <w:t>万人失业。健康受到永久性破坏或残疾的人在劳动市场找到工作的可能性十分有限。其中不到</w:t>
      </w:r>
      <w:r>
        <w:rPr>
          <w:rFonts w:hint="eastAsia"/>
          <w:lang w:val="en-GB"/>
        </w:rPr>
        <w:t>20%</w:t>
      </w:r>
      <w:r>
        <w:rPr>
          <w:rFonts w:hint="eastAsia"/>
          <w:lang w:val="en-GB"/>
        </w:rPr>
        <w:t>个人在特殊的</w:t>
      </w:r>
      <w:r>
        <w:rPr>
          <w:rFonts w:hint="eastAsia"/>
          <w:lang w:val="en-GB"/>
        </w:rPr>
        <w:t>(</w:t>
      </w:r>
      <w:r>
        <w:rPr>
          <w:rFonts w:hint="eastAsia"/>
          <w:lang w:val="en-GB"/>
        </w:rPr>
        <w:t>所谓受庇护的或领补贴的</w:t>
      </w:r>
      <w:r>
        <w:rPr>
          <w:rFonts w:hint="eastAsia"/>
          <w:lang w:val="en-GB"/>
        </w:rPr>
        <w:t>)</w:t>
      </w:r>
      <w:r>
        <w:rPr>
          <w:rFonts w:hint="eastAsia"/>
          <w:lang w:val="en-GB"/>
        </w:rPr>
        <w:t>工作场所就业。</w:t>
      </w:r>
    </w:p>
    <w:p w:rsidR="00000000" w:rsidRDefault="00000000">
      <w:pPr>
        <w:rPr>
          <w:rFonts w:hint="eastAsia"/>
          <w:lang w:val="en-GB"/>
        </w:rPr>
      </w:pPr>
      <w:r>
        <w:rPr>
          <w:lang w:val="en-GB"/>
        </w:rPr>
        <w:tab/>
      </w:r>
      <w:r>
        <w:rPr>
          <w:rFonts w:hint="eastAsia"/>
          <w:lang w:val="en-GB"/>
        </w:rPr>
        <w:t>78.</w:t>
      </w:r>
      <w:r>
        <w:rPr>
          <w:lang w:val="en-GB"/>
        </w:rPr>
        <w:t xml:space="preserve">  </w:t>
      </w:r>
      <w:r>
        <w:rPr>
          <w:rFonts w:hint="eastAsia"/>
          <w:lang w:val="en-GB"/>
        </w:rPr>
        <w:t>专业估计称罗姆人的人口约在</w:t>
      </w:r>
      <w:r>
        <w:rPr>
          <w:lang w:val="en-GB"/>
        </w:rPr>
        <w:t>45</w:t>
      </w:r>
      <w:r>
        <w:rPr>
          <w:lang w:val="en-GB"/>
        </w:rPr>
        <w:t>万至</w:t>
      </w:r>
      <w:r>
        <w:rPr>
          <w:lang w:val="en-GB"/>
        </w:rPr>
        <w:t>60</w:t>
      </w:r>
      <w:r>
        <w:rPr>
          <w:lang w:val="en-GB"/>
        </w:rPr>
        <w:t>万之间。和非罗姆人人口的情况相反，罗姆人的人数的增加，</w:t>
      </w:r>
      <w:r>
        <w:rPr>
          <w:rFonts w:hint="eastAsia"/>
          <w:lang w:val="en-GB"/>
        </w:rPr>
        <w:t>人口</w:t>
      </w:r>
      <w:r>
        <w:rPr>
          <w:lang w:val="en-GB"/>
        </w:rPr>
        <w:t>统计学家预测罗姆人在人口中的比重在今后</w:t>
      </w:r>
      <w:r>
        <w:rPr>
          <w:lang w:val="en-GB"/>
        </w:rPr>
        <w:t>50</w:t>
      </w:r>
      <w:r>
        <w:rPr>
          <w:lang w:val="en-GB"/>
        </w:rPr>
        <w:t>年内将从现在的</w:t>
      </w:r>
      <w:r>
        <w:rPr>
          <w:lang w:val="en-GB"/>
        </w:rPr>
        <w:t>5%</w:t>
      </w:r>
      <w:r>
        <w:rPr>
          <w:lang w:val="en-GB"/>
        </w:rPr>
        <w:t>上升到</w:t>
      </w:r>
      <w:r>
        <w:rPr>
          <w:lang w:val="en-GB"/>
        </w:rPr>
        <w:t>11%</w:t>
      </w:r>
      <w:r>
        <w:rPr>
          <w:lang w:val="en-GB"/>
        </w:rPr>
        <w:t>。他们的就业情况指标全部都比大部分人口的更糟糕。这其中有种种原因，这些原因彼此都有因果联系：学历低，集中在经济条件差的地区，在劳动市场上受歧视。与非罗姆人人口相比，他们的就业率只有非罗姆人的一半，失业率却高出</w:t>
      </w:r>
      <w:r>
        <w:rPr>
          <w:rFonts w:hint="eastAsia"/>
          <w:lang w:val="en-GB"/>
        </w:rPr>
        <w:t>三至五</w:t>
      </w:r>
      <w:r>
        <w:rPr>
          <w:lang w:val="en-GB"/>
        </w:rPr>
        <w:t>倍</w:t>
      </w:r>
      <w:r>
        <w:rPr>
          <w:rFonts w:hint="eastAsia"/>
          <w:lang w:val="en-GB"/>
        </w:rPr>
        <w:t>，受赡养人与工薪族之比高出三倍。约长达</w:t>
      </w:r>
      <w:r>
        <w:rPr>
          <w:lang w:val="en-GB"/>
        </w:rPr>
        <w:t>十几年年的永久性失业，不积极求职越来越可能成为他们的标准生活方式。</w:t>
      </w:r>
    </w:p>
    <w:p w:rsidR="00000000" w:rsidRDefault="00000000">
      <w:pPr>
        <w:rPr>
          <w:rFonts w:hint="eastAsia"/>
          <w:lang w:val="en-GB"/>
        </w:rPr>
      </w:pPr>
      <w:r>
        <w:rPr>
          <w:lang w:val="en-GB"/>
        </w:rPr>
        <w:tab/>
      </w:r>
      <w:r>
        <w:rPr>
          <w:rFonts w:hint="eastAsia"/>
          <w:lang w:val="en-GB"/>
        </w:rPr>
        <w:t>79.</w:t>
      </w:r>
      <w:r>
        <w:rPr>
          <w:lang w:val="en-GB"/>
        </w:rPr>
        <w:t xml:space="preserve">  </w:t>
      </w:r>
      <w:r>
        <w:rPr>
          <w:rFonts w:hint="eastAsia"/>
          <w:lang w:val="en-GB"/>
        </w:rPr>
        <w:t>因此需要一种复杂的办法来处理罗姆人多元多重的失业问题。制定各种方案提高他们的就业水平的技能，减少区域性的不利条件，减少歧视现象，提高各种积极方案的有效性，这一切都是当务之急。</w:t>
      </w:r>
    </w:p>
    <w:p w:rsidR="00000000" w:rsidRDefault="00000000">
      <w:pPr>
        <w:rPr>
          <w:rFonts w:hint="eastAsia"/>
          <w:lang w:val="en-GB"/>
        </w:rPr>
      </w:pPr>
      <w:r>
        <w:rPr>
          <w:lang w:val="en-GB"/>
        </w:rPr>
        <w:tab/>
      </w:r>
      <w:r>
        <w:rPr>
          <w:rFonts w:hint="eastAsia"/>
          <w:lang w:val="en-GB"/>
        </w:rPr>
        <w:t>80.</w:t>
      </w:r>
      <w:r>
        <w:rPr>
          <w:lang w:val="en-GB"/>
        </w:rPr>
        <w:t xml:space="preserve">  </w:t>
      </w:r>
      <w:r>
        <w:rPr>
          <w:rFonts w:hint="eastAsia"/>
          <w:lang w:val="en-GB"/>
        </w:rPr>
        <w:t>制定中央和州级的全面方案，建立相互联系的服务和支持部门，与处理和评估现有方案的经验教训一样，对协助长期失业的人来说具有特别重要的意义。如果负责罗姆人方案的人士、顾问以及方案组织者努力把罗姆人包括进来，那么方案落实工作就会更加圆满成功。有些州制定了有关方案，聘用一些教师，在劳动中心的支持下，努力防止罗姆族青年辍学，帮助他们提高学习成绩，开展与学校学习课程有关的课外活动</w:t>
      </w:r>
      <w:r>
        <w:rPr>
          <w:rFonts w:hint="eastAsia"/>
          <w:lang w:val="en-GB"/>
        </w:rPr>
        <w:t>(</w:t>
      </w:r>
      <w:r>
        <w:rPr>
          <w:rFonts w:hint="eastAsia"/>
          <w:lang w:val="en-GB"/>
        </w:rPr>
        <w:t>协助缩小差距、复习，帮助调整适应等</w:t>
      </w:r>
      <w:r>
        <w:rPr>
          <w:rFonts w:hint="eastAsia"/>
          <w:lang w:val="en-GB"/>
        </w:rPr>
        <w:t>)</w:t>
      </w:r>
      <w:r>
        <w:rPr>
          <w:rFonts w:hint="eastAsia"/>
          <w:lang w:val="en-GB"/>
        </w:rPr>
        <w:t>。聘用罗姆人担任校长和福利助理，可以起到类似的作用。</w:t>
      </w:r>
    </w:p>
    <w:p w:rsidR="00000000" w:rsidRDefault="00000000">
      <w:pPr>
        <w:rPr>
          <w:rFonts w:hint="eastAsia"/>
          <w:lang w:val="en-GB"/>
        </w:rPr>
      </w:pPr>
      <w:r>
        <w:rPr>
          <w:lang w:val="en-GB"/>
        </w:rPr>
        <w:tab/>
      </w:r>
      <w:r>
        <w:rPr>
          <w:rFonts w:hint="eastAsia"/>
          <w:lang w:val="en-GB"/>
        </w:rPr>
        <w:t>81.</w:t>
      </w:r>
      <w:r>
        <w:rPr>
          <w:lang w:val="en-GB"/>
        </w:rPr>
        <w:t xml:space="preserve">  </w:t>
      </w:r>
      <w:r>
        <w:rPr>
          <w:rFonts w:hint="eastAsia"/>
          <w:lang w:val="en-GB"/>
        </w:rPr>
        <w:t>长期失业人员的就业和培训方案获得成功的社区主要是由于当地的吉卜赛自治政府和吉卜赛人建立的协会与当地的就业办公室和当地政府积极合作，往往还签有合作协议。当地政府同意组织举办缩小差距的培训，动员学员参加并坚持培训，开办福利保障网，组织开展社区服务工作。</w:t>
      </w:r>
    </w:p>
    <w:p w:rsidR="00000000" w:rsidRDefault="00000000">
      <w:pPr>
        <w:rPr>
          <w:rFonts w:hint="eastAsia"/>
          <w:lang w:val="en-GB"/>
        </w:rPr>
      </w:pPr>
      <w:r>
        <w:rPr>
          <w:lang w:val="en-GB"/>
        </w:rPr>
        <w:tab/>
      </w:r>
      <w:r>
        <w:rPr>
          <w:rFonts w:hint="eastAsia"/>
          <w:lang w:val="en-GB"/>
        </w:rPr>
        <w:t>82.</w:t>
      </w:r>
      <w:r>
        <w:rPr>
          <w:lang w:val="en-GB"/>
        </w:rPr>
        <w:t xml:space="preserve">  </w:t>
      </w:r>
      <w:r>
        <w:rPr>
          <w:rFonts w:hint="eastAsia"/>
          <w:lang w:val="en-GB"/>
        </w:rPr>
        <w:t>劳动部门通过提供额外的支持，采取扶持行动，造福包括罗姆人在内的处境不利群体。当地吉卜赛自治政府或是罗姆族负责安排工作的人在协助参加提高就业本领课程的学员时可以明确地示范和采用扶持行动。</w:t>
      </w:r>
    </w:p>
    <w:p w:rsidR="00000000" w:rsidRDefault="00000000">
      <w:pPr>
        <w:rPr>
          <w:rFonts w:hint="eastAsia"/>
          <w:lang w:val="en-GB"/>
        </w:rPr>
      </w:pPr>
      <w:r>
        <w:rPr>
          <w:lang w:val="en-GB"/>
        </w:rPr>
        <w:tab/>
      </w:r>
      <w:r>
        <w:rPr>
          <w:rFonts w:hint="eastAsia"/>
          <w:lang w:val="en-GB"/>
        </w:rPr>
        <w:t>83.</w:t>
      </w:r>
      <w:r>
        <w:rPr>
          <w:lang w:val="en-GB"/>
        </w:rPr>
        <w:t xml:space="preserve">  </w:t>
      </w:r>
      <w:r>
        <w:rPr>
          <w:rFonts w:hint="eastAsia"/>
          <w:lang w:val="en-GB"/>
        </w:rPr>
        <w:t>2002</w:t>
      </w:r>
      <w:r>
        <w:rPr>
          <w:rFonts w:hint="eastAsia"/>
          <w:lang w:val="en-GB"/>
        </w:rPr>
        <w:t>年启动了并在</w:t>
      </w:r>
      <w:r>
        <w:rPr>
          <w:rFonts w:hint="eastAsia"/>
          <w:lang w:val="en-GB"/>
        </w:rPr>
        <w:t>2003</w:t>
      </w:r>
      <w:r>
        <w:rPr>
          <w:rFonts w:hint="eastAsia"/>
          <w:lang w:val="en-GB"/>
        </w:rPr>
        <w:t>年继续实施一个称作“</w:t>
      </w:r>
      <w:r>
        <w:rPr>
          <w:rFonts w:eastAsia="KaiTi_GB2312" w:hint="eastAsia"/>
          <w:snapToGrid/>
          <w:spacing w:val="0"/>
          <w:lang w:val="en-GB"/>
        </w:rPr>
        <w:t>打击工作领域排斥现象</w:t>
      </w:r>
      <w:r>
        <w:rPr>
          <w:rFonts w:hint="eastAsia"/>
          <w:lang w:val="en-GB"/>
        </w:rPr>
        <w:t>”的标志性新方案。方案的直接目标是，根据地方政府的一项倡议，通过福利和环境卫生方面的公共工程将长期失业或将受到社会排斥危险的人员吸收进来。一项具体的内容是支持罗姆人进入劳动市场。方案可望减少这一地区登记在册的长期失业人员的人数以及这些地区定期接受当地政府福利援助的人数。“平等”方案是一项欧社基金式的实验性项目，教育部对方案的落实工作从业务上进行监督。这一项目的意图是向</w:t>
      </w:r>
      <w:r>
        <w:rPr>
          <w:rFonts w:hint="eastAsia"/>
          <w:lang w:val="en-GB"/>
        </w:rPr>
        <w:t>300</w:t>
      </w:r>
      <w:r>
        <w:rPr>
          <w:rFonts w:hint="eastAsia"/>
          <w:lang w:val="en-GB"/>
        </w:rPr>
        <w:t>多名学员传授一些有市场的职业，提高他们在初级劳动市场找到工作的机会。</w:t>
      </w:r>
    </w:p>
    <w:p w:rsidR="00000000" w:rsidRDefault="00000000">
      <w:pPr>
        <w:rPr>
          <w:rFonts w:hint="eastAsia"/>
          <w:lang w:val="en-GB"/>
        </w:rPr>
      </w:pPr>
      <w:r>
        <w:rPr>
          <w:lang w:val="en-GB"/>
        </w:rPr>
        <w:tab/>
      </w:r>
      <w:r>
        <w:rPr>
          <w:rFonts w:hint="eastAsia"/>
          <w:lang w:val="en-GB"/>
        </w:rPr>
        <w:t>84.</w:t>
      </w:r>
      <w:r>
        <w:rPr>
          <w:lang w:val="en-GB"/>
        </w:rPr>
        <w:t xml:space="preserve">  </w:t>
      </w:r>
      <w:r>
        <w:rPr>
          <w:rFonts w:hint="eastAsia"/>
          <w:lang w:val="en-GB"/>
        </w:rPr>
        <w:t>老一辈人重返劳动市场的困难在于他们比较难以调整自己去适应劳动市场已经改变了的要求。</w:t>
      </w:r>
      <w:r>
        <w:rPr>
          <w:rFonts w:hint="eastAsia"/>
          <w:lang w:val="en-GB"/>
        </w:rPr>
        <w:t>50</w:t>
      </w:r>
      <w:r>
        <w:rPr>
          <w:rFonts w:hint="eastAsia"/>
          <w:lang w:val="en-GB"/>
        </w:rPr>
        <w:t>岁以上失业人口的资历条件十分不利。</w:t>
      </w:r>
    </w:p>
    <w:p w:rsidR="00000000" w:rsidRDefault="00000000">
      <w:pPr>
        <w:rPr>
          <w:rFonts w:hint="eastAsia"/>
          <w:lang w:val="en-GB"/>
        </w:rPr>
      </w:pPr>
      <w:r>
        <w:rPr>
          <w:lang w:val="en-GB"/>
        </w:rPr>
        <w:tab/>
      </w:r>
      <w:r>
        <w:rPr>
          <w:rFonts w:hint="eastAsia"/>
          <w:lang w:val="en-GB"/>
        </w:rPr>
        <w:t>85.</w:t>
      </w:r>
      <w:r>
        <w:rPr>
          <w:lang w:val="en-GB"/>
        </w:rPr>
        <w:t xml:space="preserve">  </w:t>
      </w:r>
      <w:r>
        <w:rPr>
          <w:rFonts w:hint="eastAsia"/>
          <w:lang w:val="en-GB"/>
        </w:rPr>
        <w:t>无家可归者的人数居估计在</w:t>
      </w:r>
      <w:r>
        <w:rPr>
          <w:rFonts w:hint="eastAsia"/>
          <w:lang w:val="en-GB"/>
        </w:rPr>
        <w:t>30000</w:t>
      </w:r>
      <w:r>
        <w:rPr>
          <w:rFonts w:hint="eastAsia"/>
          <w:lang w:val="en-GB"/>
        </w:rPr>
        <w:t>至</w:t>
      </w:r>
      <w:r>
        <w:rPr>
          <w:rFonts w:hint="eastAsia"/>
          <w:lang w:val="en-GB"/>
        </w:rPr>
        <w:t>35000</w:t>
      </w:r>
      <w:r>
        <w:rPr>
          <w:rFonts w:hint="eastAsia"/>
          <w:lang w:val="en-GB"/>
        </w:rPr>
        <w:t>左右。专项调查的结果表明，相当一部分</w:t>
      </w:r>
      <w:r>
        <w:rPr>
          <w:rFonts w:hint="eastAsia"/>
          <w:lang w:val="en-GB"/>
        </w:rPr>
        <w:t>(25%</w:t>
      </w:r>
      <w:r>
        <w:rPr>
          <w:rFonts w:hint="eastAsia"/>
          <w:lang w:val="en-GB"/>
        </w:rPr>
        <w:t>至</w:t>
      </w:r>
      <w:r>
        <w:rPr>
          <w:rFonts w:hint="eastAsia"/>
          <w:lang w:val="en-GB"/>
        </w:rPr>
        <w:t>30%)</w:t>
      </w:r>
      <w:r>
        <w:rPr>
          <w:rFonts w:hint="eastAsia"/>
          <w:lang w:val="en-GB"/>
        </w:rPr>
        <w:t>住在流浪人员收容所的人有正常的工资收入，偶尔有工作做的人所占比例也不相上下。流落街头原因多种。因此，只有给予综合的援助，即医疗、社会和有关就业的服务结合起来，才是解决这个问题的有效之道。</w:t>
      </w:r>
    </w:p>
    <w:p w:rsidR="00000000" w:rsidRDefault="00000000">
      <w:pPr>
        <w:rPr>
          <w:rFonts w:hint="eastAsia"/>
          <w:lang w:val="en-GB"/>
        </w:rPr>
      </w:pPr>
      <w:r>
        <w:rPr>
          <w:lang w:val="en-GB"/>
        </w:rPr>
        <w:tab/>
      </w:r>
      <w:r>
        <w:rPr>
          <w:rFonts w:hint="eastAsia"/>
          <w:lang w:val="en-GB"/>
        </w:rPr>
        <w:t>86.</w:t>
      </w:r>
      <w:r>
        <w:rPr>
          <w:lang w:val="en-GB"/>
        </w:rPr>
        <w:t xml:space="preserve">  </w:t>
      </w:r>
      <w:r>
        <w:rPr>
          <w:rFonts w:hint="eastAsia"/>
          <w:lang w:val="en-GB"/>
        </w:rPr>
        <w:t>妇女的就业情况指标与男子的相比呈现出一幅不同的画面。她们的有些劳动市场指标优于欧盟的平均指标，而有些则不如，但是，匈牙利男女的统计数字的出入没有那么大。从</w:t>
      </w:r>
      <w:r>
        <w:rPr>
          <w:rFonts w:hint="eastAsia"/>
          <w:lang w:val="en-GB"/>
        </w:rPr>
        <w:t>1990</w:t>
      </w:r>
      <w:r>
        <w:rPr>
          <w:rFonts w:hint="eastAsia"/>
          <w:lang w:val="en-GB"/>
        </w:rPr>
        <w:t>年至</w:t>
      </w:r>
      <w:r>
        <w:rPr>
          <w:rFonts w:hint="eastAsia"/>
          <w:lang w:val="en-GB"/>
        </w:rPr>
        <w:t>1997</w:t>
      </w:r>
      <w:r>
        <w:rPr>
          <w:rFonts w:hint="eastAsia"/>
          <w:lang w:val="en-GB"/>
        </w:rPr>
        <w:t>年，妇女的就业率和积极求职率有所下降，下降幅度与男子的相差无几。</w:t>
      </w:r>
      <w:r>
        <w:rPr>
          <w:rFonts w:hint="eastAsia"/>
          <w:lang w:val="en-GB"/>
        </w:rPr>
        <w:t>1997</w:t>
      </w:r>
      <w:r>
        <w:rPr>
          <w:rFonts w:hint="eastAsia"/>
          <w:lang w:val="en-GB"/>
        </w:rPr>
        <w:t>年之后，妇女的就业情况指标比男子的升势更大。妇女的就业人数低于男子的就业人数，因为后者退休年龄比较高，上学率较低。</w:t>
      </w:r>
    </w:p>
    <w:p w:rsidR="00000000" w:rsidRDefault="00000000">
      <w:pPr>
        <w:rPr>
          <w:rFonts w:hint="eastAsia"/>
          <w:lang w:val="en-GB"/>
        </w:rPr>
      </w:pPr>
      <w:r>
        <w:rPr>
          <w:lang w:val="en-GB"/>
        </w:rPr>
        <w:tab/>
      </w:r>
      <w:r>
        <w:rPr>
          <w:rFonts w:hint="eastAsia"/>
          <w:lang w:val="en-GB"/>
        </w:rPr>
        <w:t>87.</w:t>
      </w:r>
      <w:r>
        <w:rPr>
          <w:lang w:val="en-GB"/>
        </w:rPr>
        <w:t xml:space="preserve">  </w:t>
      </w:r>
      <w:r>
        <w:rPr>
          <w:rFonts w:hint="eastAsia"/>
          <w:lang w:val="en-GB"/>
        </w:rPr>
        <w:t>自</w:t>
      </w:r>
      <w:r>
        <w:rPr>
          <w:rFonts w:hint="eastAsia"/>
          <w:lang w:val="en-GB"/>
        </w:rPr>
        <w:t>1993</w:t>
      </w:r>
      <w:r>
        <w:rPr>
          <w:rFonts w:hint="eastAsia"/>
          <w:lang w:val="en-GB"/>
        </w:rPr>
        <w:t>年开展第一次生活方式清查以来，未接受过产妇津贴的在职母亲的比例有所下降。根据</w:t>
      </w:r>
      <w:r>
        <w:rPr>
          <w:rFonts w:hint="eastAsia"/>
          <w:lang w:val="en-GB"/>
        </w:rPr>
        <w:t>2002</w:t>
      </w:r>
      <w:r>
        <w:rPr>
          <w:rFonts w:hint="eastAsia"/>
          <w:lang w:val="en-GB"/>
        </w:rPr>
        <w:t>年调查的结果看，超过五分之一的母亲生育之前没有工作过。至于那些工作过的母亲，有些人在她们领取一种产假补贴期间就已经失去工作。</w:t>
      </w:r>
      <w:r>
        <w:rPr>
          <w:rFonts w:hint="eastAsia"/>
          <w:lang w:val="en-GB"/>
        </w:rPr>
        <w:t>2002</w:t>
      </w:r>
      <w:r>
        <w:rPr>
          <w:rFonts w:hint="eastAsia"/>
          <w:lang w:val="en-GB"/>
        </w:rPr>
        <w:t>年，生育前就参加工作的而当时正领取产妇津贴的母亲中，超过</w:t>
      </w:r>
      <w:r>
        <w:rPr>
          <w:rFonts w:hint="eastAsia"/>
          <w:lang w:val="en-GB"/>
        </w:rPr>
        <w:t>12%</w:t>
      </w:r>
      <w:r>
        <w:rPr>
          <w:rFonts w:hint="eastAsia"/>
          <w:lang w:val="en-GB"/>
        </w:rPr>
        <w:t>的人失去工作，而</w:t>
      </w:r>
      <w:r>
        <w:rPr>
          <w:rFonts w:hint="eastAsia"/>
          <w:lang w:val="en-GB"/>
        </w:rPr>
        <w:t>1993</w:t>
      </w:r>
      <w:r>
        <w:rPr>
          <w:rFonts w:hint="eastAsia"/>
          <w:lang w:val="en-GB"/>
        </w:rPr>
        <w:t>年只有</w:t>
      </w:r>
      <w:r>
        <w:rPr>
          <w:lang w:val="en-GB"/>
        </w:rPr>
        <w:t>8.6%</w:t>
      </w:r>
      <w:r>
        <w:rPr>
          <w:rFonts w:hint="eastAsia"/>
          <w:lang w:val="en-GB"/>
        </w:rPr>
        <w:t>。</w:t>
      </w:r>
      <w:r>
        <w:rPr>
          <w:rFonts w:hint="eastAsia"/>
          <w:lang w:val="en-GB"/>
        </w:rPr>
        <w:t>1993</w:t>
      </w:r>
      <w:r>
        <w:rPr>
          <w:rFonts w:hint="eastAsia"/>
          <w:lang w:val="en-GB"/>
        </w:rPr>
        <w:t>年至</w:t>
      </w:r>
      <w:r>
        <w:rPr>
          <w:rFonts w:hint="eastAsia"/>
          <w:lang w:val="en-GB"/>
        </w:rPr>
        <w:t>2002</w:t>
      </w:r>
      <w:r>
        <w:rPr>
          <w:rFonts w:hint="eastAsia"/>
          <w:lang w:val="en-GB"/>
        </w:rPr>
        <w:t>年这一时期内，工商企业趋于十分稳定，随着儿童保育支助的推出</w:t>
      </w:r>
      <w:r>
        <w:rPr>
          <w:rFonts w:hint="eastAsia"/>
          <w:lang w:val="en-GB"/>
        </w:rPr>
        <w:t>(</w:t>
      </w:r>
      <w:r>
        <w:rPr>
          <w:rFonts w:hint="eastAsia"/>
          <w:lang w:val="en-GB"/>
        </w:rPr>
        <w:t>由此领取产假补助的约</w:t>
      </w:r>
      <w:r>
        <w:rPr>
          <w:lang w:val="en-GB"/>
        </w:rPr>
        <w:t>30</w:t>
      </w:r>
      <w:r>
        <w:rPr>
          <w:rFonts w:hint="eastAsia"/>
          <w:lang w:val="en-GB"/>
        </w:rPr>
        <w:t>万妇女中有五分之一领取</w:t>
      </w:r>
      <w:r>
        <w:rPr>
          <w:rFonts w:hint="eastAsia"/>
          <w:lang w:val="en-GB"/>
        </w:rPr>
        <w:t>)</w:t>
      </w:r>
      <w:r>
        <w:rPr>
          <w:rFonts w:hint="eastAsia"/>
          <w:lang w:val="en-GB"/>
        </w:rPr>
        <w:t>，平均请假时间有所增加，因而产妇补贴期满后工作单位停业的可能性增加。尽管法律有保障，许多母亲还是获悉雇主不想再要她们回去，而想到别的地方工作的妇女比较少。</w:t>
      </w:r>
      <w:r>
        <w:rPr>
          <w:rFonts w:hint="eastAsia"/>
          <w:lang w:val="en-GB"/>
        </w:rPr>
        <w:t>(</w:t>
      </w:r>
      <w:r>
        <w:rPr>
          <w:rFonts w:hint="eastAsia"/>
          <w:lang w:val="en-GB"/>
        </w:rPr>
        <w:t>但是，个中原因往往与单位有关：单位离家远或是需要两三班倒班工作对于子女幼小的母亲是力不从心的。</w:t>
      </w:r>
      <w:r>
        <w:rPr>
          <w:rFonts w:hint="eastAsia"/>
          <w:lang w:val="en-GB"/>
        </w:rPr>
        <w:t>)2002</w:t>
      </w:r>
      <w:r>
        <w:rPr>
          <w:rFonts w:hint="eastAsia"/>
          <w:lang w:val="en-GB"/>
        </w:rPr>
        <w:t>年，领取产假津贴的人现有工作的妇女中只有</w:t>
      </w:r>
      <w:r>
        <w:rPr>
          <w:rFonts w:hint="eastAsia"/>
          <w:lang w:val="en-GB"/>
        </w:rPr>
        <w:t>45%</w:t>
      </w:r>
      <w:r>
        <w:rPr>
          <w:rFonts w:hint="eastAsia"/>
          <w:lang w:val="en-GB"/>
        </w:rPr>
        <w:t>认为产假后会回到原单位工作。</w:t>
      </w:r>
    </w:p>
    <w:p w:rsidR="00000000" w:rsidRDefault="00000000">
      <w:pPr>
        <w:rPr>
          <w:rFonts w:hint="eastAsia"/>
          <w:lang w:val="en-GB"/>
        </w:rPr>
      </w:pPr>
      <w:r>
        <w:rPr>
          <w:lang w:val="en-GB"/>
        </w:rPr>
        <w:tab/>
      </w:r>
      <w:r>
        <w:rPr>
          <w:rFonts w:hint="eastAsia"/>
          <w:lang w:val="en-GB"/>
        </w:rPr>
        <w:t>88.</w:t>
      </w:r>
      <w:r>
        <w:rPr>
          <w:lang w:val="en-GB"/>
        </w:rPr>
        <w:t xml:space="preserve">  </w:t>
      </w:r>
      <w:r>
        <w:rPr>
          <w:rFonts w:hint="eastAsia"/>
          <w:lang w:val="en-GB"/>
        </w:rPr>
        <w:t>单位往往认为孩子幼小的母亲因为孩子生病而请假的可能性会比一般的大得多。这不仅从工作安排的角度来看</w:t>
      </w:r>
      <w:r>
        <w:rPr>
          <w:rFonts w:hint="eastAsia"/>
          <w:lang w:val="en-GB"/>
        </w:rPr>
        <w:t>(</w:t>
      </w:r>
      <w:r>
        <w:rPr>
          <w:rFonts w:hint="eastAsia"/>
          <w:lang w:val="en-GB"/>
        </w:rPr>
        <w:t>由于人手缺乏，一切活动都要由无论如何要完成“最高产量”的精干队伍去完成</w:t>
      </w:r>
      <w:r>
        <w:rPr>
          <w:rFonts w:hint="eastAsia"/>
          <w:lang w:val="en-GB"/>
        </w:rPr>
        <w:t>)</w:t>
      </w:r>
      <w:r>
        <w:rPr>
          <w:rFonts w:hint="eastAsia"/>
          <w:lang w:val="en-GB"/>
        </w:rPr>
        <w:t>，而且从财务角度看</w:t>
      </w:r>
      <w:r>
        <w:rPr>
          <w:rFonts w:hint="eastAsia"/>
          <w:lang w:val="en-GB"/>
        </w:rPr>
        <w:t>(</w:t>
      </w:r>
      <w:r>
        <w:rPr>
          <w:rFonts w:hint="eastAsia"/>
          <w:lang w:val="en-GB"/>
        </w:rPr>
        <w:t>前十天病假由单位照付工资、而且留在家里照顾生病子女的病假一般都是由子女幼小的母亲一年分几次请</w:t>
      </w:r>
      <w:r>
        <w:rPr>
          <w:rFonts w:hint="eastAsia"/>
          <w:lang w:val="en-GB"/>
        </w:rPr>
        <w:t>)</w:t>
      </w:r>
      <w:r>
        <w:rPr>
          <w:rFonts w:hint="eastAsia"/>
          <w:lang w:val="en-GB"/>
        </w:rPr>
        <w:t>，都是很不利的。因此，单位避免聘用子女年幼的母亲。不仅子女年幼的母亲，而且过了这个时期的母亲也会直言不讳，说把做工作和做母亲这两件事情协调起来，今天要比从前难得多，有时候如果没有家人和父母一辈人的帮助简直就是不可能的。</w:t>
      </w:r>
    </w:p>
    <w:p w:rsidR="00000000" w:rsidRDefault="00000000">
      <w:pPr>
        <w:spacing w:after="240"/>
        <w:rPr>
          <w:rFonts w:hint="eastAsia"/>
          <w:lang w:val="en-GB"/>
        </w:rPr>
      </w:pPr>
      <w:r>
        <w:rPr>
          <w:lang w:val="en-GB"/>
        </w:rPr>
        <w:tab/>
      </w:r>
      <w:r>
        <w:rPr>
          <w:rFonts w:hint="eastAsia"/>
          <w:lang w:val="en-GB"/>
        </w:rPr>
        <w:t>89.</w:t>
      </w:r>
      <w:r>
        <w:rPr>
          <w:lang w:val="en-GB"/>
        </w:rPr>
        <w:t xml:space="preserve">  </w:t>
      </w:r>
      <w:r>
        <w:rPr>
          <w:rFonts w:hint="eastAsia"/>
          <w:lang w:val="en-GB"/>
        </w:rPr>
        <w:t>2002</w:t>
      </w:r>
      <w:r>
        <w:rPr>
          <w:rFonts w:hint="eastAsia"/>
          <w:lang w:val="en-GB"/>
        </w:rPr>
        <w:t>年，有一个子女的妇女的就业率高于</w:t>
      </w:r>
      <w:r>
        <w:rPr>
          <w:rFonts w:hint="eastAsia"/>
          <w:lang w:val="en-GB"/>
        </w:rPr>
        <w:t>15</w:t>
      </w:r>
      <w:r>
        <w:rPr>
          <w:rFonts w:hint="eastAsia"/>
          <w:lang w:val="en-GB"/>
        </w:rPr>
        <w:t>岁至</w:t>
      </w:r>
      <w:r>
        <w:rPr>
          <w:rFonts w:hint="eastAsia"/>
          <w:lang w:val="en-GB"/>
        </w:rPr>
        <w:t>64</w:t>
      </w:r>
      <w:r>
        <w:rPr>
          <w:rFonts w:hint="eastAsia"/>
          <w:lang w:val="en-GB"/>
        </w:rPr>
        <w:t>岁全部妇女的就业率</w:t>
      </w:r>
      <w:r>
        <w:rPr>
          <w:rFonts w:hint="eastAsia"/>
          <w:lang w:val="en-GB"/>
        </w:rPr>
        <w:t>(</w:t>
      </w:r>
      <w:r>
        <w:rPr>
          <w:rFonts w:hint="eastAsia"/>
          <w:lang w:val="en-GB"/>
        </w:rPr>
        <w:t>两者分别为</w:t>
      </w:r>
      <w:r>
        <w:rPr>
          <w:lang w:val="en-GB"/>
        </w:rPr>
        <w:t>60.2%</w:t>
      </w:r>
      <w:r>
        <w:rPr>
          <w:rFonts w:hint="eastAsia"/>
          <w:lang w:val="en-GB"/>
        </w:rPr>
        <w:t>和</w:t>
      </w:r>
      <w:r>
        <w:rPr>
          <w:rFonts w:hint="eastAsia"/>
          <w:lang w:val="en-GB"/>
        </w:rPr>
        <w:t>55.3%)</w:t>
      </w:r>
      <w:r>
        <w:rPr>
          <w:rFonts w:hint="eastAsia"/>
          <w:lang w:val="en-GB"/>
        </w:rPr>
        <w:t>，失业率略高于平均水平。这样的子女的妇女的就业率略低于平均水平</w:t>
      </w:r>
      <w:r>
        <w:rPr>
          <w:rFonts w:hint="eastAsia"/>
          <w:lang w:val="en-GB"/>
        </w:rPr>
        <w:t>(</w:t>
      </w:r>
      <w:r>
        <w:rPr>
          <w:lang w:val="en-GB"/>
        </w:rPr>
        <w:t>52.</w:t>
      </w:r>
      <w:r>
        <w:rPr>
          <w:rFonts w:hint="eastAsia"/>
          <w:lang w:val="en-GB"/>
        </w:rPr>
        <w:t>2</w:t>
      </w:r>
      <w:r>
        <w:rPr>
          <w:lang w:val="en-GB"/>
        </w:rPr>
        <w:t>%</w:t>
      </w:r>
      <w:r>
        <w:rPr>
          <w:rFonts w:hint="eastAsia"/>
          <w:lang w:val="en-GB"/>
        </w:rPr>
        <w:t>)</w:t>
      </w:r>
      <w:r>
        <w:rPr>
          <w:rFonts w:hint="eastAsia"/>
          <w:lang w:val="en-GB"/>
        </w:rPr>
        <w:t>，但大大低于家庭规模大的妇女</w:t>
      </w:r>
      <w:r>
        <w:rPr>
          <w:rFonts w:hint="eastAsia"/>
          <w:lang w:val="en-GB"/>
        </w:rPr>
        <w:t>(</w:t>
      </w:r>
      <w:r>
        <w:rPr>
          <w:rFonts w:hint="eastAsia"/>
          <w:lang w:val="en-GB"/>
        </w:rPr>
        <w:t>三个或三个以上子女</w:t>
      </w:r>
      <w:r>
        <w:rPr>
          <w:rFonts w:hint="eastAsia"/>
          <w:lang w:val="en-GB"/>
        </w:rPr>
        <w:t>)</w:t>
      </w:r>
      <w:r>
        <w:rPr>
          <w:rFonts w:hint="eastAsia"/>
          <w:lang w:val="en-GB"/>
        </w:rPr>
        <w:t>，这部分妇女中只有</w:t>
      </w:r>
      <w:r>
        <w:rPr>
          <w:rFonts w:hint="eastAsia"/>
          <w:lang w:val="en-GB"/>
        </w:rPr>
        <w:t>18.6%</w:t>
      </w:r>
      <w:r>
        <w:rPr>
          <w:rFonts w:hint="eastAsia"/>
          <w:lang w:val="en-GB"/>
        </w:rPr>
        <w:t>的人就业。按照这里使用的子女的定义</w:t>
      </w:r>
      <w:r>
        <w:rPr>
          <w:rFonts w:hint="eastAsia"/>
          <w:lang w:val="en-GB"/>
        </w:rPr>
        <w:t>(15</w:t>
      </w:r>
      <w:r>
        <w:rPr>
          <w:rFonts w:hint="eastAsia"/>
          <w:lang w:val="en-GB"/>
        </w:rPr>
        <w:t>岁以下的</w:t>
      </w:r>
      <w:r>
        <w:rPr>
          <w:rFonts w:hint="eastAsia"/>
          <w:lang w:val="en-GB"/>
        </w:rPr>
        <w:t>)</w:t>
      </w:r>
      <w:r>
        <w:rPr>
          <w:rFonts w:hint="eastAsia"/>
          <w:lang w:val="en-GB"/>
        </w:rPr>
        <w:t>，有三个或三个以上子女的母亲中也相当多的人有资格，实际上绝大部分都享有产妇待遇，但是，她们的失业率达到</w:t>
      </w:r>
      <w:r>
        <w:rPr>
          <w:lang w:val="en-GB"/>
        </w:rPr>
        <w:t>11.20%</w:t>
      </w:r>
      <w:r>
        <w:rPr>
          <w:rFonts w:hint="eastAsia"/>
          <w:lang w:val="en-GB"/>
        </w:rPr>
        <w:t>，是</w:t>
      </w:r>
      <w:r>
        <w:rPr>
          <w:rFonts w:hint="eastAsia"/>
          <w:lang w:val="en-GB"/>
        </w:rPr>
        <w:t>15</w:t>
      </w:r>
      <w:r>
        <w:rPr>
          <w:rFonts w:hint="eastAsia"/>
          <w:lang w:val="en-GB"/>
        </w:rPr>
        <w:t>岁至</w:t>
      </w:r>
      <w:r>
        <w:rPr>
          <w:lang w:val="en-GB"/>
        </w:rPr>
        <w:t>64</w:t>
      </w:r>
      <w:r>
        <w:rPr>
          <w:rFonts w:hint="eastAsia"/>
          <w:lang w:val="en-GB"/>
        </w:rPr>
        <w:t>岁妇女平均失业率的</w:t>
      </w:r>
      <w:r>
        <w:rPr>
          <w:rFonts w:hint="eastAsia"/>
          <w:lang w:val="en-GB"/>
        </w:rPr>
        <w:t>2.5</w:t>
      </w:r>
      <w:r>
        <w:rPr>
          <w:rFonts w:hint="eastAsia"/>
          <w:lang w:val="en-GB"/>
        </w:rPr>
        <w:t>倍。这表明，她们不再到劳动市场求职似乎并不是出于自愿。</w:t>
      </w:r>
    </w:p>
    <w:p w:rsidR="00000000" w:rsidRDefault="00000000">
      <w:pPr>
        <w:pStyle w:val="Heading4"/>
        <w:rPr>
          <w:lang w:val="en-GB"/>
        </w:rPr>
      </w:pPr>
      <w:r>
        <w:rPr>
          <w:rFonts w:eastAsia="KaiTi_GB2312" w:hint="eastAsia"/>
          <w:snapToGrid/>
          <w:spacing w:val="0"/>
          <w:u w:val="none"/>
          <w:lang w:val="en-GB"/>
        </w:rPr>
        <w:t>区域之间就业、失业的差距</w:t>
      </w:r>
    </w:p>
    <w:p w:rsidR="00000000" w:rsidRDefault="00000000">
      <w:pPr>
        <w:rPr>
          <w:rFonts w:hint="eastAsia"/>
          <w:lang w:val="en-GB"/>
        </w:rPr>
      </w:pPr>
      <w:r>
        <w:rPr>
          <w:lang w:val="en-GB"/>
        </w:rPr>
        <w:tab/>
      </w:r>
      <w:r>
        <w:rPr>
          <w:rFonts w:hint="eastAsia"/>
          <w:lang w:val="en-GB"/>
        </w:rPr>
        <w:t>90.</w:t>
      </w:r>
      <w:r>
        <w:rPr>
          <w:lang w:val="en-GB"/>
        </w:rPr>
        <w:t xml:space="preserve">  </w:t>
      </w:r>
      <w:r>
        <w:rPr>
          <w:rFonts w:hint="eastAsia"/>
          <w:lang w:val="en-GB"/>
        </w:rPr>
        <w:t>匈牙利各地区之间就业和失业的差距与国际上相比不算过大。但是，在匈牙利区域一级进行的分析没有反映出地方劳动市场的实际情况。劳动市场相对来说比较小，分成封闭性的地方劳动市场，其规模与一个小区恰好相当。区域之间的差别大多数可以从州之间的差别反映出来，甚或从小区或定居点之间的差别更能反映出来。小区的各种比率之间的差别不断扩大，而某个小区的相对位置并不改变。这是由于不是短期之内就会变化的稳定原因</w:t>
      </w:r>
      <w:r>
        <w:rPr>
          <w:rFonts w:hint="eastAsia"/>
          <w:lang w:val="en-GB"/>
        </w:rPr>
        <w:t>(</w:t>
      </w:r>
      <w:r>
        <w:rPr>
          <w:rFonts w:hint="eastAsia"/>
          <w:lang w:val="en-GB"/>
        </w:rPr>
        <w:t>与通勤往返和迁徙有关的限制、交通困难、新工作地点集中、罗姆人少数民族的地域分布等等</w:t>
      </w:r>
      <w:r>
        <w:rPr>
          <w:rFonts w:hint="eastAsia"/>
          <w:lang w:val="en-GB"/>
        </w:rPr>
        <w:t>)</w:t>
      </w:r>
      <w:r>
        <w:rPr>
          <w:rFonts w:hint="eastAsia"/>
          <w:lang w:val="en-GB"/>
        </w:rPr>
        <w:t>才是造成区域之间失业差距的真正原因。</w:t>
      </w:r>
    </w:p>
    <w:p w:rsidR="00000000" w:rsidRDefault="00000000">
      <w:pPr>
        <w:rPr>
          <w:rFonts w:hint="eastAsia"/>
          <w:lang w:val="en-GB"/>
        </w:rPr>
      </w:pPr>
      <w:r>
        <w:rPr>
          <w:lang w:val="en-GB"/>
        </w:rPr>
        <w:tab/>
      </w:r>
      <w:r>
        <w:rPr>
          <w:rFonts w:hint="eastAsia"/>
          <w:lang w:val="en-GB"/>
        </w:rPr>
        <w:t>91.</w:t>
      </w:r>
      <w:r>
        <w:rPr>
          <w:lang w:val="en-GB"/>
        </w:rPr>
        <w:t xml:space="preserve">  </w:t>
      </w:r>
      <w:r>
        <w:rPr>
          <w:rFonts w:hint="eastAsia"/>
          <w:lang w:val="en-GB"/>
        </w:rPr>
        <w:t>区域之间就业和失业差距在</w:t>
      </w:r>
      <w:r>
        <w:rPr>
          <w:rFonts w:hint="eastAsia"/>
          <w:lang w:val="en-GB"/>
        </w:rPr>
        <w:t>1998</w:t>
      </w:r>
      <w:r>
        <w:rPr>
          <w:rFonts w:hint="eastAsia"/>
          <w:lang w:val="en-GB"/>
        </w:rPr>
        <w:t>年至</w:t>
      </w:r>
      <w:r>
        <w:rPr>
          <w:rFonts w:hint="eastAsia"/>
          <w:lang w:val="en-GB"/>
        </w:rPr>
        <w:t>2001</w:t>
      </w:r>
      <w:r>
        <w:rPr>
          <w:rFonts w:hint="eastAsia"/>
          <w:lang w:val="en-GB"/>
        </w:rPr>
        <w:t>年之间似乎有所缩小，但是在</w:t>
      </w:r>
      <w:r>
        <w:rPr>
          <w:rFonts w:hint="eastAsia"/>
          <w:lang w:val="en-GB"/>
        </w:rPr>
        <w:t>2002</w:t>
      </w:r>
      <w:r>
        <w:rPr>
          <w:rFonts w:hint="eastAsia"/>
          <w:lang w:val="en-GB"/>
        </w:rPr>
        <w:t>年又开始扩大。匈牙利北部和北部大平原两区的条件始终是最差的，它们的就业率比最高的跨多瑙河西区</w:t>
      </w:r>
      <w:r>
        <w:rPr>
          <w:rFonts w:hint="eastAsia"/>
          <w:lang w:val="en-GB"/>
        </w:rPr>
        <w:t>(</w:t>
      </w:r>
      <w:r>
        <w:rPr>
          <w:lang w:val="en-GB"/>
        </w:rPr>
        <w:t>Western Transdanubia</w:t>
      </w:r>
      <w:r>
        <w:rPr>
          <w:rFonts w:hint="eastAsia"/>
          <w:lang w:val="en-GB"/>
        </w:rPr>
        <w:t>)</w:t>
      </w:r>
      <w:r>
        <w:rPr>
          <w:rFonts w:hint="eastAsia"/>
          <w:lang w:val="en-GB"/>
        </w:rPr>
        <w:t>分别低</w:t>
      </w:r>
      <w:r>
        <w:rPr>
          <w:lang w:val="en-GB"/>
        </w:rPr>
        <w:t>12.5</w:t>
      </w:r>
      <w:r>
        <w:rPr>
          <w:rFonts w:hint="eastAsia"/>
          <w:lang w:val="en-GB"/>
        </w:rPr>
        <w:t>%</w:t>
      </w:r>
      <w:r>
        <w:rPr>
          <w:rFonts w:hint="eastAsia"/>
          <w:lang w:val="en-GB"/>
        </w:rPr>
        <w:t>和</w:t>
      </w:r>
      <w:r>
        <w:rPr>
          <w:lang w:val="en-GB"/>
        </w:rPr>
        <w:t>12.3%</w:t>
      </w:r>
      <w:r>
        <w:rPr>
          <w:rFonts w:hint="eastAsia"/>
          <w:lang w:val="en-GB"/>
        </w:rPr>
        <w:t>。自</w:t>
      </w:r>
      <w:r>
        <w:rPr>
          <w:rFonts w:hint="eastAsia"/>
          <w:lang w:val="en-GB"/>
        </w:rPr>
        <w:t>1998</w:t>
      </w:r>
      <w:r>
        <w:rPr>
          <w:rFonts w:hint="eastAsia"/>
          <w:lang w:val="en-GB"/>
        </w:rPr>
        <w:t>年以来，就业率最高的一直是跨多瑙河西区，但是</w:t>
      </w:r>
      <w:r>
        <w:rPr>
          <w:rFonts w:hint="eastAsia"/>
          <w:lang w:val="en-GB"/>
        </w:rPr>
        <w:t>1998</w:t>
      </w:r>
      <w:r>
        <w:rPr>
          <w:rFonts w:hint="eastAsia"/>
          <w:lang w:val="en-GB"/>
        </w:rPr>
        <w:t>年和</w:t>
      </w:r>
      <w:r>
        <w:rPr>
          <w:rFonts w:hint="eastAsia"/>
          <w:lang w:val="en-GB"/>
        </w:rPr>
        <w:t>2002</w:t>
      </w:r>
      <w:r>
        <w:rPr>
          <w:rFonts w:hint="eastAsia"/>
          <w:lang w:val="en-GB"/>
        </w:rPr>
        <w:t>年失业率最低的确是匈牙利中部地区。</w:t>
      </w:r>
    </w:p>
    <w:p w:rsidR="00000000" w:rsidRDefault="00000000">
      <w:pPr>
        <w:spacing w:after="320"/>
        <w:rPr>
          <w:rFonts w:hint="eastAsia"/>
          <w:lang w:val="en-GB"/>
        </w:rPr>
      </w:pPr>
      <w:r>
        <w:rPr>
          <w:lang w:val="en-GB"/>
        </w:rPr>
        <w:tab/>
      </w:r>
      <w:r>
        <w:rPr>
          <w:rFonts w:hint="eastAsia"/>
          <w:lang w:val="en-GB"/>
        </w:rPr>
        <w:t>92.</w:t>
      </w:r>
      <w:r>
        <w:rPr>
          <w:lang w:val="en-GB"/>
        </w:rPr>
        <w:t xml:space="preserve">  </w:t>
      </w:r>
      <w:r>
        <w:rPr>
          <w:rFonts w:hint="eastAsia"/>
          <w:lang w:val="en-GB"/>
        </w:rPr>
        <w:t>《劳动力调查》并没有创造条件使人可以研究各州和小区的统计资料，因为调查抽样的规模涉及区域的代表性问题</w:t>
      </w:r>
      <w:r>
        <w:rPr>
          <w:lang w:val="en-GB"/>
        </w:rPr>
        <w:t>(NUTS2</w:t>
      </w:r>
      <w:r>
        <w:rPr>
          <w:rFonts w:hint="eastAsia"/>
          <w:lang w:val="en-GB"/>
        </w:rPr>
        <w:t>级</w:t>
      </w:r>
      <w:r>
        <w:rPr>
          <w:lang w:val="en-GB"/>
        </w:rPr>
        <w:t>)</w:t>
      </w:r>
      <w:r>
        <w:rPr>
          <w:rFonts w:hint="eastAsia"/>
          <w:lang w:val="en-GB"/>
        </w:rPr>
        <w:t>，因此很需要更多的统计资料来源。</w:t>
      </w:r>
    </w:p>
    <w:p w:rsidR="00000000" w:rsidRDefault="00000000">
      <w:pPr>
        <w:jc w:val="center"/>
        <w:rPr>
          <w:i/>
          <w:iCs/>
          <w:lang w:val="en-GB"/>
        </w:rPr>
      </w:pPr>
      <w:r>
        <w:rPr>
          <w:i/>
          <w:iCs/>
          <w:lang w:val="en-GB"/>
        </w:rPr>
        <w:t>Unemployment by regions - Register based unemployment rate 2003</w:t>
      </w:r>
    </w:p>
    <w:p w:rsidR="00000000" w:rsidRDefault="00000000">
      <w:pPr>
        <w:rPr>
          <w:lang w:val="en-GB"/>
        </w:rPr>
      </w:pPr>
    </w:p>
    <w:bookmarkStart w:id="30" w:name="_MON_1117634558"/>
    <w:bookmarkStart w:id="31" w:name="_MON_1138432893"/>
    <w:bookmarkStart w:id="32" w:name="_MON_1138432922"/>
    <w:bookmarkStart w:id="33" w:name="_MON_1138433063"/>
    <w:bookmarkEnd w:id="30"/>
    <w:bookmarkEnd w:id="31"/>
    <w:bookmarkEnd w:id="32"/>
    <w:bookmarkEnd w:id="33"/>
    <w:p w:rsidR="00000000" w:rsidRDefault="00000000">
      <w:pPr>
        <w:jc w:val="center"/>
        <w:rPr>
          <w:rFonts w:hint="eastAsia"/>
          <w:lang w:val="en-GB"/>
        </w:rPr>
      </w:pPr>
      <w:r>
        <w:rPr>
          <w:lang w:val="en-GB"/>
        </w:rPr>
        <w:object w:dxaOrig="12223" w:dyaOrig="74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4.75pt;height:204.75pt" o:ole="" fillcolor="window">
            <v:fill color2="#ff9"/>
            <v:imagedata r:id="rId7" o:title=""/>
          </v:shape>
          <o:OLEObject Type="Embed" ProgID="Word.Picture.8" ShapeID="_x0000_i1025" DrawAspect="Content" ObjectID="_1395882441" r:id="rId8"/>
        </w:object>
      </w:r>
    </w:p>
    <w:p w:rsidR="00000000" w:rsidRDefault="00000000">
      <w:pPr>
        <w:spacing w:after="160"/>
        <w:rPr>
          <w:rFonts w:hint="eastAsia"/>
          <w:lang w:val="en-GB"/>
        </w:rPr>
      </w:pPr>
    </w:p>
    <w:p w:rsidR="00000000" w:rsidRDefault="00000000">
      <w:pPr>
        <w:pStyle w:val="Heading3"/>
      </w:pPr>
      <w:r>
        <w:rPr>
          <w:rFonts w:hint="eastAsia"/>
        </w:rPr>
        <w:t>就业政策的目标</w:t>
      </w:r>
    </w:p>
    <w:p w:rsidR="00000000" w:rsidRDefault="00000000">
      <w:pPr>
        <w:rPr>
          <w:rFonts w:hint="eastAsia"/>
          <w:lang w:val="en-GB"/>
        </w:rPr>
      </w:pPr>
      <w:r>
        <w:rPr>
          <w:lang w:val="en-GB"/>
        </w:rPr>
        <w:tab/>
      </w:r>
      <w:r>
        <w:rPr>
          <w:rFonts w:hint="eastAsia"/>
          <w:lang w:val="en-GB"/>
        </w:rPr>
        <w:t>93.</w:t>
      </w:r>
      <w:r>
        <w:rPr>
          <w:lang w:val="en-GB"/>
        </w:rPr>
        <w:t xml:space="preserve">  </w:t>
      </w:r>
      <w:r>
        <w:rPr>
          <w:rFonts w:hint="eastAsia"/>
          <w:lang w:val="en-GB"/>
        </w:rPr>
        <w:t>匈牙利政府将就业率的普遍提高视为最重要的目标和任务。提高就业率需要增强灵活性，创造一个有利就业的环境。指望可持续增长和经济竞争力的提高，必不可少的就是要开发人力资源。提高就业，形成一个比较灵活的劳动市场以及促进人力资源开发方面的投资，并且要具备条件得到欧洲联盟结构性资金的资助，都需要加强机构的力量和就业的法律框架。</w:t>
      </w:r>
    </w:p>
    <w:p w:rsidR="00000000" w:rsidRDefault="00000000">
      <w:pPr>
        <w:spacing w:after="240"/>
        <w:rPr>
          <w:rFonts w:hint="eastAsia"/>
          <w:lang w:val="en-GB"/>
        </w:rPr>
      </w:pPr>
      <w:r>
        <w:rPr>
          <w:lang w:val="en-GB"/>
        </w:rPr>
        <w:tab/>
      </w:r>
      <w:r>
        <w:rPr>
          <w:rFonts w:hint="eastAsia"/>
          <w:lang w:val="en-GB"/>
        </w:rPr>
        <w:t>94.</w:t>
      </w:r>
      <w:r>
        <w:rPr>
          <w:lang w:val="en-GB"/>
        </w:rPr>
        <w:t xml:space="preserve">  </w:t>
      </w:r>
      <w:r>
        <w:rPr>
          <w:rFonts w:hint="eastAsia"/>
          <w:lang w:val="en-GB"/>
        </w:rPr>
        <w:t>经济和经济竞争力的提高、社会保障体系的可持续性，需要劳动市场现有的劳动力大大扩大。要实现这个目标，需要在劳动市场的供应与需求两方面都采取措施。</w:t>
      </w:r>
    </w:p>
    <w:p w:rsidR="00000000" w:rsidRDefault="00000000">
      <w:pPr>
        <w:pStyle w:val="Heading4"/>
        <w:rPr>
          <w:lang w:val="en-GB"/>
        </w:rPr>
      </w:pPr>
      <w:r>
        <w:rPr>
          <w:rFonts w:eastAsia="KaiTi_GB2312" w:hint="eastAsia"/>
          <w:snapToGrid/>
          <w:spacing w:val="0"/>
          <w:u w:val="none"/>
          <w:lang w:val="en-GB"/>
        </w:rPr>
        <w:t>劳动市场的需求方面</w:t>
      </w:r>
    </w:p>
    <w:p w:rsidR="00000000" w:rsidRDefault="00000000">
      <w:pPr>
        <w:rPr>
          <w:rFonts w:hint="eastAsia"/>
          <w:lang w:val="en-GB"/>
        </w:rPr>
      </w:pPr>
      <w:r>
        <w:rPr>
          <w:lang w:val="en-GB"/>
        </w:rPr>
        <w:tab/>
      </w:r>
      <w:r>
        <w:rPr>
          <w:rFonts w:hint="eastAsia"/>
          <w:lang w:val="en-GB"/>
        </w:rPr>
        <w:t>95.</w:t>
      </w:r>
      <w:r>
        <w:rPr>
          <w:lang w:val="en-GB"/>
        </w:rPr>
        <w:t xml:space="preserve">  </w:t>
      </w:r>
      <w:r>
        <w:rPr>
          <w:rFonts w:hint="eastAsia"/>
          <w:lang w:val="en-GB"/>
        </w:rPr>
        <w:t>提高就业率的先决条件在劳动市场的需求方面时创造就业机会和提高聘用潜力。这就需要外国投资的进一步参与，逐步削减劳力成本，增强中小企业的聘用潜力，建立稳定的金融和法律环境，以增强小企业的安全。</w:t>
      </w:r>
    </w:p>
    <w:p w:rsidR="00000000" w:rsidRDefault="00000000">
      <w:pPr>
        <w:spacing w:after="240"/>
        <w:rPr>
          <w:rFonts w:hint="eastAsia"/>
          <w:lang w:val="en-GB"/>
        </w:rPr>
      </w:pPr>
      <w:r>
        <w:rPr>
          <w:lang w:val="en-GB"/>
        </w:rPr>
        <w:tab/>
      </w:r>
      <w:r>
        <w:rPr>
          <w:rFonts w:hint="eastAsia"/>
          <w:lang w:val="en-GB"/>
        </w:rPr>
        <w:t>96.</w:t>
      </w:r>
      <w:r>
        <w:rPr>
          <w:lang w:val="en-GB"/>
        </w:rPr>
        <w:t xml:space="preserve">  </w:t>
      </w:r>
      <w:r>
        <w:rPr>
          <w:rFonts w:hint="eastAsia"/>
          <w:lang w:val="en-GB"/>
        </w:rPr>
        <w:t>至于创造就业机会，潜力大的主要是服务部门。与人口发展趋势和家庭结构有关的各种进展情况表明服务部门在增长。政府目标是创造条件，以便更好地利用服务部门的聘用潜力，找出并支持社会福利、家庭服务、辅助性服务方面的活动和就业新形式</w:t>
      </w:r>
      <w:r>
        <w:rPr>
          <w:rFonts w:hint="eastAsia"/>
          <w:lang w:val="en-GB"/>
        </w:rPr>
        <w:t>/</w:t>
      </w:r>
      <w:r>
        <w:rPr>
          <w:rFonts w:hint="eastAsia"/>
          <w:lang w:val="en-GB"/>
        </w:rPr>
        <w:t>模式。</w:t>
      </w:r>
    </w:p>
    <w:p w:rsidR="00000000" w:rsidRDefault="00000000">
      <w:pPr>
        <w:pStyle w:val="Heading4"/>
        <w:rPr>
          <w:lang w:val="en-GB"/>
        </w:rPr>
      </w:pPr>
      <w:bookmarkStart w:id="34" w:name="_Toc111981036"/>
      <w:bookmarkStart w:id="35" w:name="_Toc112060408"/>
      <w:bookmarkStart w:id="36" w:name="_Toc112069847"/>
      <w:bookmarkStart w:id="37" w:name="_Toc112147253"/>
      <w:bookmarkStart w:id="38" w:name="_Toc112155039"/>
      <w:bookmarkStart w:id="39" w:name="_Toc114315275"/>
      <w:bookmarkStart w:id="40" w:name="_Toc114315379"/>
      <w:bookmarkStart w:id="41" w:name="_Toc114399150"/>
      <w:bookmarkStart w:id="42" w:name="_Toc114561139"/>
      <w:bookmarkStart w:id="43" w:name="_Toc114572605"/>
      <w:bookmarkStart w:id="44" w:name="_Toc114572795"/>
      <w:bookmarkStart w:id="45" w:name="_Toc114573477"/>
      <w:bookmarkStart w:id="46" w:name="_Toc114574775"/>
      <w:bookmarkStart w:id="47" w:name="_Toc114574881"/>
      <w:bookmarkStart w:id="48" w:name="_Toc115668308"/>
      <w:r>
        <w:rPr>
          <w:rFonts w:eastAsia="KaiTi_GB2312" w:hint="eastAsia"/>
          <w:snapToGrid/>
          <w:spacing w:val="0"/>
          <w:u w:val="none"/>
          <w:lang w:val="en-GB"/>
        </w:rPr>
        <w:t>劳动市场的供应方面</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rsidR="00000000" w:rsidRDefault="00000000">
      <w:pPr>
        <w:rPr>
          <w:rFonts w:hint="eastAsia"/>
          <w:lang w:val="en-GB"/>
        </w:rPr>
      </w:pPr>
      <w:r>
        <w:rPr>
          <w:lang w:val="en-GB"/>
        </w:rPr>
        <w:tab/>
      </w:r>
      <w:r>
        <w:rPr>
          <w:rFonts w:hint="eastAsia"/>
          <w:lang w:val="en-GB"/>
        </w:rPr>
        <w:t>97.</w:t>
      </w:r>
      <w:r>
        <w:rPr>
          <w:lang w:val="en-GB"/>
        </w:rPr>
        <w:t xml:space="preserve">  </w:t>
      </w:r>
      <w:r>
        <w:rPr>
          <w:rFonts w:hint="eastAsia"/>
          <w:lang w:val="en-GB"/>
        </w:rPr>
        <w:t>在供应方面，可以帮助失业者和不积极求职人员以及进入劳动市场的路被切断的人员重返劳动市场，防止失业常态化，藉此提高就业率。如果要取得持久效果，必须使个性化的劳动市场服务项目、工作安排和咨询服务必须成为就业服务活动中一项重大的工作。这种服务还必须将援手伸向那些至今仍然在就业服务部门视线之外的不积极求职的失业人员。要防止并成功克服失业现象，必须注重增加参与积极劳动市场政策的人数以及捐款的数目，也要注重提高实效，包括职业介绍所的就业率。</w:t>
      </w:r>
    </w:p>
    <w:p w:rsidR="00000000" w:rsidRDefault="00000000">
      <w:pPr>
        <w:spacing w:after="240"/>
        <w:rPr>
          <w:rFonts w:hint="eastAsia"/>
          <w:lang w:val="en-GB"/>
        </w:rPr>
      </w:pPr>
      <w:r>
        <w:rPr>
          <w:lang w:val="en-GB"/>
        </w:rPr>
        <w:tab/>
      </w:r>
      <w:r>
        <w:rPr>
          <w:rFonts w:hint="eastAsia"/>
          <w:lang w:val="en-GB"/>
        </w:rPr>
        <w:t xml:space="preserve">98.  </w:t>
      </w:r>
      <w:r>
        <w:rPr>
          <w:rFonts w:hint="eastAsia"/>
          <w:lang w:val="en-GB"/>
        </w:rPr>
        <w:t>就业和工资地区差别的缩小需要全面的方案配套和资源已纠正不平衡状态。公共投资和就业促进计划的重点主要放在欠发达地区，将有助于在那些仍然缺乏必要资本或创业潜力的地区创造就业机会，提高企业的业绩，而且也有助于将封闭的地区吸纳到各自所在的地区或区域的血液循环之中。这一切还可以配上重大的公共工程项目。</w:t>
      </w:r>
    </w:p>
    <w:p w:rsidR="00000000" w:rsidRDefault="00000000">
      <w:pPr>
        <w:pStyle w:val="Heading4"/>
        <w:rPr>
          <w:rFonts w:eastAsia="KaiTi_GB2312"/>
          <w:snapToGrid/>
          <w:spacing w:val="0"/>
          <w:u w:val="none"/>
          <w:lang w:val="en-GB"/>
        </w:rPr>
      </w:pPr>
      <w:r>
        <w:rPr>
          <w:rFonts w:eastAsia="KaiTi_GB2312" w:hint="eastAsia"/>
          <w:snapToGrid/>
          <w:spacing w:val="0"/>
          <w:u w:val="none"/>
          <w:lang w:val="en-GB"/>
        </w:rPr>
        <w:t>残疾人的权利</w:t>
      </w:r>
    </w:p>
    <w:p w:rsidR="00000000" w:rsidRDefault="00000000">
      <w:pPr>
        <w:rPr>
          <w:rFonts w:hint="eastAsia"/>
          <w:lang w:val="en-GB"/>
        </w:rPr>
      </w:pPr>
      <w:r>
        <w:rPr>
          <w:lang w:val="en-GB"/>
        </w:rPr>
        <w:tab/>
      </w:r>
      <w:r>
        <w:rPr>
          <w:rFonts w:hint="eastAsia"/>
          <w:lang w:val="en-GB"/>
        </w:rPr>
        <w:t>99.</w:t>
      </w:r>
      <w:r>
        <w:rPr>
          <w:lang w:val="en-GB"/>
        </w:rPr>
        <w:t xml:space="preserve">  </w:t>
      </w:r>
      <w:r>
        <w:rPr>
          <w:rFonts w:hint="eastAsia"/>
          <w:lang w:val="en-GB"/>
        </w:rPr>
        <w:t>在残疾人的权利方面，关于残疾人权利及保障其机会平等的</w:t>
      </w:r>
      <w:r>
        <w:rPr>
          <w:rFonts w:hint="eastAsia"/>
          <w:lang w:val="en-GB"/>
        </w:rPr>
        <w:t>1998</w:t>
      </w:r>
      <w:r>
        <w:rPr>
          <w:rFonts w:hint="eastAsia"/>
          <w:lang w:val="en-GB"/>
        </w:rPr>
        <w:t>年第二十六号法令第五条规定，残疾人有权生活在能够辨认感觉得到的安全环境之中，可以自由出入公共场所。这包括在公交系统以及楼宇建筑中能够辨别方向。</w:t>
      </w:r>
    </w:p>
    <w:p w:rsidR="00000000" w:rsidRDefault="00000000">
      <w:pPr>
        <w:rPr>
          <w:lang w:val="en-GB"/>
        </w:rPr>
      </w:pPr>
      <w:r>
        <w:rPr>
          <w:lang w:val="en-GB"/>
        </w:rPr>
        <w:tab/>
      </w:r>
      <w:r>
        <w:rPr>
          <w:rFonts w:hint="eastAsia"/>
          <w:lang w:val="en-GB"/>
        </w:rPr>
        <w:t xml:space="preserve">100. </w:t>
      </w:r>
      <w:r>
        <w:rPr>
          <w:lang w:val="en-GB"/>
        </w:rPr>
        <w:t xml:space="preserve"> </w:t>
      </w:r>
      <w:r>
        <w:rPr>
          <w:rFonts w:hint="eastAsia"/>
          <w:lang w:val="en-GB"/>
        </w:rPr>
        <w:t>上述同一法令中关于就业的</w:t>
      </w:r>
      <w:r>
        <w:rPr>
          <w:rFonts w:hint="eastAsia"/>
          <w:lang w:val="en-GB"/>
        </w:rPr>
        <w:t>15</w:t>
      </w:r>
      <w:r>
        <w:rPr>
          <w:rFonts w:hint="eastAsia"/>
          <w:lang w:val="en-GB"/>
        </w:rPr>
        <w:t>条和</w:t>
      </w:r>
      <w:r>
        <w:rPr>
          <w:rFonts w:hint="eastAsia"/>
          <w:lang w:val="en-GB"/>
        </w:rPr>
        <w:t>16</w:t>
      </w:r>
      <w:r>
        <w:rPr>
          <w:rFonts w:hint="eastAsia"/>
          <w:lang w:val="en-GB"/>
        </w:rPr>
        <w:t>条规定，残疾人有权就业，以融入一般单位就业为宜，如果没有这种就业，也有权获得集中保护性就业。提供这种就业的单位必须保证对工作环境、劳动工具和设备作适当的改造，尽量使之符合所涉工作的要求。这种改造涉及的费用可向中央财政预算申请赠款予以补偿。</w:t>
      </w:r>
    </w:p>
    <w:p w:rsidR="00000000" w:rsidRDefault="00000000">
      <w:pPr>
        <w:spacing w:after="240"/>
        <w:rPr>
          <w:lang w:val="en-GB"/>
        </w:rPr>
      </w:pPr>
      <w:r>
        <w:rPr>
          <w:lang w:val="en-GB"/>
        </w:rPr>
        <w:tab/>
      </w:r>
      <w:r>
        <w:rPr>
          <w:rFonts w:hint="eastAsia"/>
          <w:lang w:val="en-GB"/>
        </w:rPr>
        <w:t>101.</w:t>
      </w:r>
      <w:r>
        <w:rPr>
          <w:lang w:val="en-GB"/>
        </w:rPr>
        <w:t xml:space="preserve">  </w:t>
      </w:r>
      <w:r>
        <w:rPr>
          <w:rFonts w:hint="eastAsia"/>
          <w:lang w:val="en-GB"/>
        </w:rPr>
        <w:t>目前有</w:t>
      </w:r>
      <w:r>
        <w:rPr>
          <w:rFonts w:hint="eastAsia"/>
          <w:lang w:val="en-GB"/>
        </w:rPr>
        <w:t>20%</w:t>
      </w:r>
      <w:r>
        <w:rPr>
          <w:rFonts w:hint="eastAsia"/>
          <w:lang w:val="en-GB"/>
        </w:rPr>
        <w:t>的公共建筑可容许残疾人自由进出，其余的</w:t>
      </w:r>
      <w:r>
        <w:rPr>
          <w:rFonts w:hint="eastAsia"/>
          <w:lang w:val="en-GB"/>
        </w:rPr>
        <w:t>80%</w:t>
      </w:r>
      <w:r>
        <w:rPr>
          <w:rFonts w:hint="eastAsia"/>
          <w:lang w:val="en-GB"/>
        </w:rPr>
        <w:t>的建筑正在改建。许多为保障自由进出而进行的改建工作由于资金短缺还不能动工。</w:t>
      </w:r>
    </w:p>
    <w:p w:rsidR="00000000" w:rsidRDefault="00000000">
      <w:pPr>
        <w:pStyle w:val="Heading4"/>
        <w:rPr>
          <w:rFonts w:eastAsia="KaiTi_GB2312"/>
          <w:snapToGrid/>
          <w:spacing w:val="0"/>
          <w:u w:val="none"/>
          <w:lang w:val="en-GB"/>
        </w:rPr>
      </w:pPr>
      <w:bookmarkStart w:id="49" w:name="_Toc111981038"/>
      <w:bookmarkStart w:id="50" w:name="_Toc112060410"/>
      <w:bookmarkStart w:id="51" w:name="_Toc112069849"/>
      <w:bookmarkStart w:id="52" w:name="_Toc112147255"/>
      <w:bookmarkStart w:id="53" w:name="_Toc112155041"/>
      <w:bookmarkStart w:id="54" w:name="_Toc114315277"/>
      <w:bookmarkStart w:id="55" w:name="_Toc114315381"/>
      <w:bookmarkStart w:id="56" w:name="_Toc114399152"/>
      <w:bookmarkStart w:id="57" w:name="_Toc114561141"/>
      <w:bookmarkStart w:id="58" w:name="_Toc114572607"/>
      <w:bookmarkStart w:id="59" w:name="_Toc114572797"/>
      <w:bookmarkStart w:id="60" w:name="_Toc114573479"/>
      <w:bookmarkStart w:id="61" w:name="_Toc114574777"/>
      <w:bookmarkStart w:id="62" w:name="_Toc114574883"/>
      <w:bookmarkStart w:id="63" w:name="_Toc115668310"/>
      <w:r>
        <w:rPr>
          <w:rFonts w:eastAsia="KaiTi_GB2312" w:hint="eastAsia"/>
          <w:snapToGrid/>
          <w:spacing w:val="0"/>
          <w:u w:val="none"/>
          <w:lang w:val="en-GB"/>
        </w:rPr>
        <w:t>劳动法立法</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rsidR="00000000" w:rsidRDefault="00000000">
      <w:pPr>
        <w:rPr>
          <w:lang w:val="en-GB"/>
        </w:rPr>
      </w:pPr>
      <w:r>
        <w:rPr>
          <w:lang w:val="en-GB"/>
        </w:rPr>
        <w:tab/>
        <w:t>102.</w:t>
      </w:r>
      <w:r>
        <w:rPr>
          <w:lang w:val="en-GB"/>
        </w:rPr>
        <w:tab/>
        <w:t xml:space="preserve">  </w:t>
      </w:r>
      <w:r>
        <w:rPr>
          <w:rFonts w:hint="eastAsia"/>
          <w:lang w:val="en-GB"/>
        </w:rPr>
        <w:t>1989</w:t>
      </w:r>
      <w:r>
        <w:rPr>
          <w:rFonts w:hint="eastAsia"/>
          <w:lang w:val="en-GB"/>
        </w:rPr>
        <w:t>年</w:t>
      </w:r>
      <w:r>
        <w:rPr>
          <w:rFonts w:hint="eastAsia"/>
          <w:lang w:val="en-GB"/>
        </w:rPr>
        <w:t>10</w:t>
      </w:r>
      <w:r>
        <w:rPr>
          <w:rFonts w:hint="eastAsia"/>
          <w:lang w:val="en-GB"/>
        </w:rPr>
        <w:t>月</w:t>
      </w:r>
      <w:r>
        <w:rPr>
          <w:rFonts w:hint="eastAsia"/>
          <w:lang w:val="en-GB"/>
        </w:rPr>
        <w:t>23</w:t>
      </w:r>
      <w:r>
        <w:rPr>
          <w:rFonts w:hint="eastAsia"/>
          <w:lang w:val="en-GB"/>
        </w:rPr>
        <w:t>日生效的《关于匈牙利共和国宪法的</w:t>
      </w:r>
      <w:r>
        <w:rPr>
          <w:rFonts w:hint="eastAsia"/>
          <w:lang w:val="en-GB"/>
        </w:rPr>
        <w:t>1949</w:t>
      </w:r>
      <w:r>
        <w:rPr>
          <w:rFonts w:hint="eastAsia"/>
          <w:lang w:val="en-GB"/>
        </w:rPr>
        <w:t>年第</w:t>
      </w:r>
      <w:r>
        <w:rPr>
          <w:rFonts w:hint="eastAsia"/>
          <w:lang w:val="en-GB"/>
        </w:rPr>
        <w:t>20</w:t>
      </w:r>
      <w:r>
        <w:rPr>
          <w:rFonts w:hint="eastAsia"/>
          <w:lang w:val="en-GB"/>
        </w:rPr>
        <w:t>号法令》规定，匈牙利共和国每个公民都有工作权，都有自由选择工作和职业的权利。根据</w:t>
      </w:r>
      <w:r>
        <w:rPr>
          <w:rFonts w:hint="eastAsia"/>
          <w:lang w:val="en-GB"/>
        </w:rPr>
        <w:t>1992</w:t>
      </w:r>
      <w:r>
        <w:rPr>
          <w:rFonts w:hint="eastAsia"/>
          <w:lang w:val="en-GB"/>
        </w:rPr>
        <w:t>年关于《劳动法》的第</w:t>
      </w:r>
      <w:r>
        <w:rPr>
          <w:rFonts w:hint="eastAsia"/>
          <w:lang w:val="en-GB"/>
        </w:rPr>
        <w:t>22</w:t>
      </w:r>
      <w:r>
        <w:rPr>
          <w:rFonts w:hint="eastAsia"/>
          <w:lang w:val="en-GB"/>
        </w:rPr>
        <w:t>号法令的规定，除非立法另有规定，都是一般都通过工作合同</w:t>
      </w:r>
      <w:r>
        <w:rPr>
          <w:rFonts w:hint="eastAsia"/>
          <w:lang w:val="en-GB"/>
        </w:rPr>
        <w:t>(</w:t>
      </w:r>
      <w:r>
        <w:rPr>
          <w:rFonts w:hint="eastAsia"/>
          <w:lang w:val="en-GB"/>
        </w:rPr>
        <w:t>即合同各方相互表明意图</w:t>
      </w:r>
      <w:r>
        <w:rPr>
          <w:rFonts w:hint="eastAsia"/>
          <w:lang w:val="en-GB"/>
        </w:rPr>
        <w:t>)</w:t>
      </w:r>
      <w:r>
        <w:rPr>
          <w:rFonts w:hint="eastAsia"/>
          <w:lang w:val="en-GB"/>
        </w:rPr>
        <w:t>建立一种雇用关系。同样，也可以通过合同各方相互表明对合同进行修订的意图而作出修订。自</w:t>
      </w:r>
      <w:r>
        <w:rPr>
          <w:rFonts w:hint="eastAsia"/>
          <w:lang w:val="en-GB"/>
        </w:rPr>
        <w:t>2003</w:t>
      </w:r>
      <w:r>
        <w:rPr>
          <w:rFonts w:hint="eastAsia"/>
          <w:lang w:val="en-GB"/>
        </w:rPr>
        <w:t>年</w:t>
      </w:r>
      <w:r>
        <w:rPr>
          <w:rFonts w:hint="eastAsia"/>
          <w:lang w:val="en-GB"/>
        </w:rPr>
        <w:t>7</w:t>
      </w:r>
      <w:r>
        <w:rPr>
          <w:rFonts w:hint="eastAsia"/>
          <w:lang w:val="en-GB"/>
        </w:rPr>
        <w:t>月</w:t>
      </w:r>
      <w:r>
        <w:rPr>
          <w:rFonts w:hint="eastAsia"/>
          <w:lang w:val="en-GB"/>
        </w:rPr>
        <w:t>1</w:t>
      </w:r>
      <w:r>
        <w:rPr>
          <w:rFonts w:hint="eastAsia"/>
          <w:lang w:val="en-GB"/>
        </w:rPr>
        <w:t>日以来，起草书面工作合同一直是雇主的义务，如果没有这种合同，则只有雇员有权提出工作合同的有效性问题。</w:t>
      </w:r>
    </w:p>
    <w:p w:rsidR="00000000" w:rsidRDefault="00000000">
      <w:pPr>
        <w:rPr>
          <w:lang w:val="en-GB"/>
        </w:rPr>
      </w:pPr>
      <w:r>
        <w:rPr>
          <w:lang w:val="en-GB"/>
        </w:rPr>
        <w:tab/>
        <w:t xml:space="preserve">103.  </w:t>
      </w:r>
      <w:r>
        <w:rPr>
          <w:rFonts w:hint="eastAsia"/>
          <w:lang w:val="en-GB"/>
        </w:rPr>
        <w:t>此外，订立合同的自由还包括具体规定合同内容的自由。</w:t>
      </w:r>
    </w:p>
    <w:p w:rsidR="00000000" w:rsidRDefault="00000000">
      <w:pPr>
        <w:rPr>
          <w:lang w:val="en-GB"/>
        </w:rPr>
      </w:pPr>
      <w:r>
        <w:rPr>
          <w:lang w:val="en-GB"/>
        </w:rPr>
        <w:tab/>
        <w:t xml:space="preserve">104.  </w:t>
      </w:r>
      <w:r>
        <w:rPr>
          <w:rFonts w:hint="eastAsia"/>
          <w:lang w:val="en-GB"/>
        </w:rPr>
        <w:t>《劳动法》第</w:t>
      </w:r>
      <w:r>
        <w:rPr>
          <w:rFonts w:hint="eastAsia"/>
          <w:lang w:val="en-GB"/>
        </w:rPr>
        <w:t>77</w:t>
      </w:r>
      <w:r>
        <w:rPr>
          <w:rFonts w:hint="eastAsia"/>
          <w:lang w:val="en-GB"/>
        </w:rPr>
        <w:t>条第一款还真有一条促进自由选择工作的规定。可以要求雇员作出的声明或填写的表格以及参加的学能测验只限于不侵犯其隐私权的，提供的情况只限于从即将建立的雇用关系的角度看是必不可少的情况。自</w:t>
      </w:r>
      <w:r>
        <w:rPr>
          <w:rFonts w:hint="eastAsia"/>
          <w:lang w:val="en-GB"/>
        </w:rPr>
        <w:t>2003</w:t>
      </w:r>
      <w:r>
        <w:rPr>
          <w:rFonts w:hint="eastAsia"/>
          <w:lang w:val="en-GB"/>
        </w:rPr>
        <w:t>年</w:t>
      </w:r>
      <w:r>
        <w:rPr>
          <w:rFonts w:hint="eastAsia"/>
          <w:lang w:val="en-GB"/>
        </w:rPr>
        <w:t>7</w:t>
      </w:r>
      <w:r>
        <w:rPr>
          <w:rFonts w:hint="eastAsia"/>
          <w:lang w:val="en-GB"/>
        </w:rPr>
        <w:t>月</w:t>
      </w:r>
      <w:r>
        <w:rPr>
          <w:rFonts w:hint="eastAsia"/>
          <w:lang w:val="en-GB"/>
        </w:rPr>
        <w:t>1</w:t>
      </w:r>
      <w:r>
        <w:rPr>
          <w:rFonts w:hint="eastAsia"/>
          <w:lang w:val="en-GB"/>
        </w:rPr>
        <w:t>日以来有一条现行规定禁止强制雇员作怀孕化验或者提交这种化验报告，但这种化验如果属于适用法规定进行的一套工作能力测验者除外。</w:t>
      </w:r>
    </w:p>
    <w:p w:rsidR="00000000" w:rsidRDefault="00000000">
      <w:pPr>
        <w:rPr>
          <w:lang w:val="en-GB"/>
        </w:rPr>
      </w:pPr>
      <w:r>
        <w:rPr>
          <w:lang w:val="en-GB"/>
        </w:rPr>
        <w:tab/>
        <w:t xml:space="preserve">105.  </w:t>
      </w:r>
      <w:r>
        <w:rPr>
          <w:lang w:val="en-GB"/>
        </w:rPr>
        <w:t>《劳动法》第</w:t>
      </w:r>
      <w:r>
        <w:rPr>
          <w:lang w:val="en-GB"/>
        </w:rPr>
        <w:t>72</w:t>
      </w:r>
      <w:r>
        <w:rPr>
          <w:lang w:val="en-GB"/>
        </w:rPr>
        <w:t>条规定只有满</w:t>
      </w:r>
      <w:r>
        <w:rPr>
          <w:lang w:val="en-GB"/>
        </w:rPr>
        <w:t>16</w:t>
      </w:r>
      <w:r>
        <w:rPr>
          <w:lang w:val="en-GB"/>
        </w:rPr>
        <w:t>岁的人才可以订立雇员工作合同。</w:t>
      </w:r>
    </w:p>
    <w:p w:rsidR="00000000" w:rsidRDefault="00000000">
      <w:pPr>
        <w:rPr>
          <w:rFonts w:hint="eastAsia"/>
          <w:lang w:val="en-GB"/>
        </w:rPr>
      </w:pPr>
      <w:r>
        <w:rPr>
          <w:lang w:val="en-GB"/>
        </w:rPr>
        <w:tab/>
        <w:t xml:space="preserve">106.  </w:t>
      </w:r>
      <w:r>
        <w:rPr>
          <w:rFonts w:hint="eastAsia"/>
          <w:lang w:val="en-GB"/>
        </w:rPr>
        <w:t>除保护上述人权之外，《宪法》和《劳动法》都载有规定保障个人的基本政治和经济自由。确立经济自由的主要是《宪法》涉及雇员工资权的第</w:t>
      </w:r>
      <w:r>
        <w:rPr>
          <w:lang w:val="en-GB"/>
        </w:rPr>
        <w:t>70/B</w:t>
      </w:r>
      <w:r>
        <w:rPr>
          <w:rFonts w:hint="eastAsia"/>
          <w:lang w:val="en-GB"/>
        </w:rPr>
        <w:t>条第二款，其中规定同工必须同酬，不得有任何歧视。《劳动法》第八节第二款为工资权进一步提供保障，规定雇员不得事先放弃任何保障其工资或人格得到保护的权利，不得订立任何侵犯这种权利、于其不利的协议。</w:t>
      </w:r>
    </w:p>
    <w:p w:rsidR="00000000" w:rsidRDefault="00000000">
      <w:pPr>
        <w:spacing w:after="240"/>
        <w:rPr>
          <w:rFonts w:hint="eastAsia"/>
          <w:lang w:val="en-GB"/>
        </w:rPr>
      </w:pPr>
      <w:r>
        <w:rPr>
          <w:lang w:val="en-GB"/>
        </w:rPr>
        <w:tab/>
      </w:r>
      <w:r>
        <w:rPr>
          <w:rFonts w:hint="eastAsia"/>
          <w:lang w:val="en-GB"/>
        </w:rPr>
        <w:t>107.</w:t>
      </w:r>
      <w:r>
        <w:rPr>
          <w:lang w:val="en-GB"/>
        </w:rPr>
        <w:t xml:space="preserve">  </w:t>
      </w:r>
      <w:r>
        <w:rPr>
          <w:rFonts w:hint="eastAsia"/>
          <w:lang w:val="en-GB"/>
        </w:rPr>
        <w:t>《劳动法》第二部分规定了雇员和雇主双方的代表组织之间的关系，以保护雇员的社会和经济权利，维持和平的工作关系。这些规定确立了组织权，简要说明雇员如何参与规定工作条件的过程。第二部分确定了集体谈判的程序以及旨在预防和制止劳工纠纷的程序。《宪法》第</w:t>
      </w:r>
      <w:r>
        <w:rPr>
          <w:lang w:val="en-GB"/>
        </w:rPr>
        <w:t>70/C</w:t>
      </w:r>
      <w:r>
        <w:rPr>
          <w:rFonts w:hint="eastAsia"/>
          <w:lang w:val="en-GB"/>
        </w:rPr>
        <w:t>条第一款也确立了组织权，规定人人都有权与其他人一起组织或参加组织，以保护其社会和经济权利。</w:t>
      </w:r>
    </w:p>
    <w:p w:rsidR="00000000" w:rsidRDefault="00000000">
      <w:pPr>
        <w:pStyle w:val="Heading4"/>
        <w:rPr>
          <w:rFonts w:eastAsia="KaiTi_GB2312"/>
          <w:snapToGrid/>
          <w:spacing w:val="0"/>
          <w:u w:val="none"/>
          <w:lang w:val="en-GB"/>
        </w:rPr>
      </w:pPr>
      <w:bookmarkStart w:id="64" w:name="_Toc111981039"/>
      <w:bookmarkStart w:id="65" w:name="_Toc112060411"/>
      <w:bookmarkStart w:id="66" w:name="_Toc112069850"/>
      <w:bookmarkStart w:id="67" w:name="_Toc112147256"/>
      <w:bookmarkStart w:id="68" w:name="_Toc112155042"/>
      <w:bookmarkStart w:id="69" w:name="_Toc114315278"/>
      <w:bookmarkStart w:id="70" w:name="_Toc114315382"/>
      <w:bookmarkStart w:id="71" w:name="_Toc114399153"/>
      <w:bookmarkStart w:id="72" w:name="_Toc114561142"/>
      <w:bookmarkStart w:id="73" w:name="_Toc114572608"/>
      <w:bookmarkStart w:id="74" w:name="_Toc114572798"/>
      <w:bookmarkStart w:id="75" w:name="_Toc114573480"/>
      <w:bookmarkStart w:id="76" w:name="_Toc114574778"/>
      <w:bookmarkStart w:id="77" w:name="_Toc114574884"/>
      <w:bookmarkStart w:id="78" w:name="_Toc115668311"/>
      <w:r>
        <w:rPr>
          <w:rFonts w:eastAsia="KaiTi_GB2312" w:hint="eastAsia"/>
          <w:snapToGrid/>
          <w:spacing w:val="0"/>
          <w:u w:val="none"/>
          <w:lang w:val="en-GB"/>
        </w:rPr>
        <w:t>职业培训、成人培训</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000000" w:rsidRDefault="00000000">
      <w:pPr>
        <w:rPr>
          <w:rFonts w:hint="eastAsia"/>
          <w:lang w:val="en-GB"/>
        </w:rPr>
      </w:pPr>
      <w:r>
        <w:rPr>
          <w:lang w:val="en-GB"/>
        </w:rPr>
        <w:tab/>
      </w:r>
      <w:r>
        <w:rPr>
          <w:rFonts w:hint="eastAsia"/>
          <w:lang w:val="en-GB"/>
        </w:rPr>
        <w:t>108.</w:t>
      </w:r>
      <w:r>
        <w:rPr>
          <w:lang w:val="en-GB"/>
        </w:rPr>
        <w:t xml:space="preserve">  </w:t>
      </w:r>
      <w:r>
        <w:rPr>
          <w:rFonts w:hint="eastAsia"/>
          <w:lang w:val="en-GB"/>
        </w:rPr>
        <w:t>2002</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日生效的一项新的立法最匈牙利对职业培训和成人培训做了区分。</w:t>
      </w:r>
    </w:p>
    <w:p w:rsidR="00000000" w:rsidRDefault="00000000">
      <w:pPr>
        <w:rPr>
          <w:lang w:val="en-GB"/>
        </w:rPr>
      </w:pPr>
      <w:r>
        <w:rPr>
          <w:lang w:val="en-GB"/>
        </w:rPr>
        <w:tab/>
      </w:r>
      <w:r>
        <w:rPr>
          <w:rFonts w:hint="eastAsia"/>
          <w:lang w:val="en-GB"/>
        </w:rPr>
        <w:t>109.</w:t>
      </w:r>
      <w:r>
        <w:rPr>
          <w:lang w:val="en-GB"/>
        </w:rPr>
        <w:t xml:space="preserve">  </w:t>
      </w:r>
      <w:r>
        <w:rPr>
          <w:rFonts w:hint="eastAsia"/>
          <w:lang w:val="en-GB"/>
        </w:rPr>
        <w:t>成人培训的目的是提供一般的培训，职业培训和语言培训的对象是与任何公共教育或高等教育机构既没有作为学员的法律关系，也没有作为学生的法律关系。根据这一点，今天也有</w:t>
      </w:r>
      <w:r>
        <w:rPr>
          <w:rFonts w:hint="eastAsia"/>
          <w:lang w:val="en-GB"/>
        </w:rPr>
        <w:t>50</w:t>
      </w:r>
      <w:r>
        <w:rPr>
          <w:rFonts w:hint="eastAsia"/>
          <w:lang w:val="en-GB"/>
        </w:rPr>
        <w:t>万人参加成人培训，其中因而每年包括大约</w:t>
      </w:r>
      <w:r>
        <w:rPr>
          <w:rFonts w:hint="eastAsia"/>
          <w:lang w:val="en-GB"/>
        </w:rPr>
        <w:t>15</w:t>
      </w:r>
      <w:r>
        <w:rPr>
          <w:rFonts w:hint="eastAsia"/>
          <w:lang w:val="en-GB"/>
        </w:rPr>
        <w:t>万成人攻读职业资格证书。《成人培训法令》从终生学习的原则出发，也为了质量的保障，有为成人多作贡献的意图，因此提出了向成人培训机构按人提供经费的做法，向参加培训人员提供税收优待。按人提供经费的成人培训的对象群体不断在变化。</w:t>
      </w:r>
      <w:r>
        <w:rPr>
          <w:rFonts w:hint="eastAsia"/>
          <w:lang w:val="en-GB"/>
        </w:rPr>
        <w:t>2003</w:t>
      </w:r>
      <w:r>
        <w:rPr>
          <w:rFonts w:hint="eastAsia"/>
          <w:lang w:val="en-GB"/>
        </w:rPr>
        <w:t>年涉及这些没有职业证书的人和残疾人。但是，税收优待的对象是在立案教育机构学习一个经过认可的课程的所有成年人。</w:t>
      </w:r>
    </w:p>
    <w:p w:rsidR="00000000" w:rsidRDefault="00000000">
      <w:pPr>
        <w:spacing w:after="240"/>
        <w:rPr>
          <w:rFonts w:hint="eastAsia"/>
          <w:lang w:val="en-GB"/>
        </w:rPr>
      </w:pPr>
      <w:r>
        <w:rPr>
          <w:lang w:val="en-GB"/>
        </w:rPr>
        <w:tab/>
      </w:r>
      <w:r>
        <w:rPr>
          <w:rFonts w:hint="eastAsia"/>
          <w:lang w:val="en-GB"/>
        </w:rPr>
        <w:t>110.</w:t>
      </w:r>
      <w:r>
        <w:rPr>
          <w:lang w:val="en-GB"/>
        </w:rPr>
        <w:t xml:space="preserve">  </w:t>
      </w:r>
      <w:r>
        <w:rPr>
          <w:rFonts w:hint="eastAsia"/>
          <w:lang w:val="en-GB"/>
        </w:rPr>
        <w:t>国家资格一览表列有国家承认的所有职业资格。这种资格目前有</w:t>
      </w:r>
      <w:r>
        <w:rPr>
          <w:rFonts w:hint="eastAsia"/>
          <w:lang w:val="en-GB"/>
        </w:rPr>
        <w:t>812</w:t>
      </w:r>
      <w:r>
        <w:rPr>
          <w:rFonts w:hint="eastAsia"/>
          <w:lang w:val="en-GB"/>
        </w:rPr>
        <w:t>项，包括主流教育计划中提供给残疾人的</w:t>
      </w:r>
      <w:r>
        <w:rPr>
          <w:rFonts w:hint="eastAsia"/>
          <w:lang w:val="en-GB"/>
        </w:rPr>
        <w:t>73</w:t>
      </w:r>
      <w:r>
        <w:rPr>
          <w:rFonts w:hint="eastAsia"/>
          <w:lang w:val="en-GB"/>
        </w:rPr>
        <w:t>种职业资格。培训班有基础培训班、再培训班、继续培训班、失业人员培训班、康复培训班等等。雇主得保证向自己的雇员提供培训，这种机会的重要意义得到国家的重视，并且通过立法予以支持。除了《职业培训法令》和《成人培训法令》之外，我们继续更新了《公共教育法令》、《高等教育法令》以及《职业培训捐款法令》，后者特别切合这一问题。</w:t>
      </w:r>
    </w:p>
    <w:p w:rsidR="00000000" w:rsidRDefault="00000000">
      <w:pPr>
        <w:pStyle w:val="Heading4"/>
        <w:rPr>
          <w:rFonts w:eastAsia="KaiTi_GB2312"/>
          <w:snapToGrid/>
          <w:spacing w:val="0"/>
          <w:u w:val="none"/>
          <w:lang w:val="en-GB"/>
        </w:rPr>
      </w:pPr>
      <w:r>
        <w:rPr>
          <w:rFonts w:eastAsia="KaiTi_GB2312" w:hint="eastAsia"/>
          <w:snapToGrid/>
          <w:spacing w:val="0"/>
          <w:u w:val="none"/>
          <w:lang w:val="en-GB"/>
        </w:rPr>
        <w:t>禁止歧视</w:t>
      </w:r>
    </w:p>
    <w:p w:rsidR="00000000" w:rsidRDefault="00000000">
      <w:pPr>
        <w:rPr>
          <w:rFonts w:hint="eastAsia"/>
          <w:lang w:val="en-GB"/>
        </w:rPr>
      </w:pPr>
      <w:r>
        <w:rPr>
          <w:lang w:val="en-GB"/>
        </w:rPr>
        <w:tab/>
      </w:r>
      <w:r>
        <w:rPr>
          <w:rFonts w:hint="eastAsia"/>
          <w:lang w:val="en-GB"/>
        </w:rPr>
        <w:t>111.</w:t>
      </w:r>
      <w:r>
        <w:rPr>
          <w:lang w:val="en-GB"/>
        </w:rPr>
        <w:t xml:space="preserve">  </w:t>
      </w:r>
      <w:r>
        <w:rPr>
          <w:rFonts w:hint="eastAsia"/>
          <w:lang w:val="en-GB"/>
        </w:rPr>
        <w:t>匈牙利法律不允许工作权方面任何形式的歧视。在我们的立法里面，《宪法》第</w:t>
      </w:r>
      <w:r>
        <w:rPr>
          <w:lang w:val="en-GB"/>
        </w:rPr>
        <w:t>70/A</w:t>
      </w:r>
      <w:r>
        <w:rPr>
          <w:rFonts w:hint="eastAsia"/>
          <w:lang w:val="en-GB"/>
        </w:rPr>
        <w:t>条规定禁止歧视。《劳动法》第五条规定从广义上，特别是在雇用关系方面禁止消极歧视。根据《劳动法》第五条第一款，歧视的理由可能有如下几项：雇员的性别、宗教、政治信仰、参加雇员代表组织、与此相关的活动、部分时间聘用、具体规定的聘用期及其他一切与就业无关的情况。</w:t>
      </w:r>
    </w:p>
    <w:p w:rsidR="00000000" w:rsidRDefault="00000000">
      <w:pPr>
        <w:rPr>
          <w:rFonts w:hint="eastAsia"/>
          <w:lang w:val="en-GB"/>
        </w:rPr>
      </w:pPr>
      <w:r>
        <w:rPr>
          <w:lang w:val="en-GB"/>
        </w:rPr>
        <w:tab/>
      </w:r>
      <w:r>
        <w:rPr>
          <w:rFonts w:hint="eastAsia"/>
          <w:lang w:val="en-GB"/>
        </w:rPr>
        <w:t>112.</w:t>
      </w:r>
      <w:r>
        <w:rPr>
          <w:lang w:val="en-GB"/>
        </w:rPr>
        <w:t xml:space="preserve">  </w:t>
      </w:r>
      <w:r>
        <w:rPr>
          <w:rFonts w:hint="eastAsia"/>
          <w:lang w:val="en-GB"/>
        </w:rPr>
        <w:t>《劳动法》也注意到间接的消极歧视，雇主并不对明确划定的一组雇员实行消极歧视，在表面上对所有人都是平等对待的。雇主可以采取形式上一致的措施，但是事实证明这种措施对一些人、那些可以认为大多数同属一类的人过分的不利。如果采取某种措施或者详细规定似乎是歧视性的条件是适当而且必要的，或者是可以用客观事实证明是合理的，那么就没有发生间接的歧视。如果出现法律纠纷，雇主必须证明存在这样的事实。</w:t>
      </w:r>
    </w:p>
    <w:p w:rsidR="00000000" w:rsidRDefault="00000000">
      <w:pPr>
        <w:rPr>
          <w:rFonts w:hint="eastAsia"/>
          <w:lang w:val="en-GB"/>
        </w:rPr>
      </w:pPr>
      <w:r>
        <w:rPr>
          <w:lang w:val="en-GB"/>
        </w:rPr>
        <w:tab/>
      </w:r>
      <w:r>
        <w:rPr>
          <w:rFonts w:hint="eastAsia"/>
          <w:lang w:val="en-GB"/>
        </w:rPr>
        <w:t>113.</w:t>
      </w:r>
      <w:r>
        <w:rPr>
          <w:lang w:val="en-GB"/>
        </w:rPr>
        <w:t xml:space="preserve">  </w:t>
      </w:r>
      <w:r>
        <w:rPr>
          <w:rFonts w:hint="eastAsia"/>
          <w:lang w:val="en-GB"/>
        </w:rPr>
        <w:t>在建立雇用关系的同时，可以适用禁止规定，包括禁止出现在雇用关系建立之前的、或者涉及任何促进其建立的过程</w:t>
      </w:r>
      <w:r>
        <w:rPr>
          <w:rFonts w:hint="eastAsia"/>
          <w:lang w:val="en-GB"/>
        </w:rPr>
        <w:t>/</w:t>
      </w:r>
      <w:r>
        <w:rPr>
          <w:rFonts w:hint="eastAsia"/>
          <w:lang w:val="en-GB"/>
        </w:rPr>
        <w:t>程序的、雇用关系存在期间权利的形式和义务的履行、涉及债务的承担或者终止雇用关系的规章、措施、条件或做法。</w:t>
      </w:r>
    </w:p>
    <w:p w:rsidR="00000000" w:rsidRDefault="00000000">
      <w:pPr>
        <w:rPr>
          <w:rFonts w:hint="eastAsia"/>
          <w:lang w:val="en-GB"/>
        </w:rPr>
      </w:pPr>
      <w:r>
        <w:rPr>
          <w:lang w:val="en-GB"/>
        </w:rPr>
        <w:tab/>
      </w:r>
      <w:r>
        <w:rPr>
          <w:rFonts w:hint="eastAsia"/>
          <w:lang w:val="en-GB"/>
        </w:rPr>
        <w:t>114.</w:t>
      </w:r>
      <w:r>
        <w:rPr>
          <w:lang w:val="en-GB"/>
        </w:rPr>
        <w:t xml:space="preserve">  </w:t>
      </w:r>
      <w:r>
        <w:rPr>
          <w:rFonts w:hint="eastAsia"/>
          <w:lang w:val="en-GB"/>
        </w:rPr>
        <w:t>而且，消极歧视甚至还包括这样的一种区别对待，在处理提升问题时，仅仅以上面所列的一个理由——而在其他方面条件相同的情况下，就认定一个雇员不如另外一个雇员。不过，这并不意味着一个雇员有了一定的经验或者往往已经取得一定的资格就一定有资格得到提升。</w:t>
      </w:r>
    </w:p>
    <w:p w:rsidR="00000000" w:rsidRDefault="00000000">
      <w:pPr>
        <w:rPr>
          <w:rFonts w:hint="eastAsia"/>
          <w:lang w:val="en-GB"/>
        </w:rPr>
      </w:pPr>
      <w:r>
        <w:rPr>
          <w:lang w:val="en-GB"/>
        </w:rPr>
        <w:tab/>
      </w:r>
      <w:r>
        <w:rPr>
          <w:rFonts w:hint="eastAsia"/>
          <w:lang w:val="en-GB"/>
        </w:rPr>
        <w:t>115.</w:t>
      </w:r>
      <w:r>
        <w:rPr>
          <w:lang w:val="en-GB"/>
        </w:rPr>
        <w:t xml:space="preserve">  </w:t>
      </w:r>
      <w:r>
        <w:rPr>
          <w:rFonts w:hint="eastAsia"/>
          <w:lang w:val="en-GB"/>
        </w:rPr>
        <w:t>一般性禁止歧视规定只有一个例外，那就是工作的性质或特点显然要求作出这样的区别对待。这可以由立法加以规定，以保护年轻雇员或怀孕的妇女，否则雇主也可以规定这样的条例。</w:t>
      </w:r>
    </w:p>
    <w:p w:rsidR="00000000" w:rsidRDefault="00000000">
      <w:r>
        <w:rPr>
          <w:lang w:val="en-GB"/>
        </w:rPr>
        <w:tab/>
        <w:t xml:space="preserve">116.  </w:t>
      </w:r>
      <w:r>
        <w:rPr>
          <w:rFonts w:hint="eastAsia"/>
          <w:lang w:val="en-GB"/>
        </w:rPr>
        <w:t>根据关于劳动监察的</w:t>
      </w:r>
      <w:r>
        <w:rPr>
          <w:lang w:val="en-GB"/>
        </w:rPr>
        <w:t>1996</w:t>
      </w:r>
      <w:r>
        <w:rPr>
          <w:rFonts w:hint="eastAsia"/>
          <w:lang w:val="en-GB"/>
        </w:rPr>
        <w:t>年第七十五号法令第三条，劳动监察员和职业卫生与安全监察员受权监察禁止消极歧视规定的执行情况。</w:t>
      </w:r>
      <w:r>
        <w:rPr>
          <w:rFonts w:hint="eastAsia"/>
        </w:rPr>
        <w:t>因此，对《劳动监察法令》做了修订，以便对雇主起草关于工作关系的法律文书</w:t>
      </w:r>
      <w:r>
        <w:rPr>
          <w:rFonts w:hint="eastAsia"/>
        </w:rPr>
        <w:t>(</w:t>
      </w:r>
      <w:r>
        <w:rPr>
          <w:rFonts w:hint="eastAsia"/>
        </w:rPr>
        <w:t>如雇用关系</w:t>
      </w:r>
      <w:r>
        <w:rPr>
          <w:rFonts w:hint="eastAsia"/>
        </w:rPr>
        <w:t>)</w:t>
      </w:r>
      <w:r>
        <w:rPr>
          <w:rFonts w:hint="eastAsia"/>
        </w:rPr>
        <w:t>的程序进行监督，又需要对招聘通知和实际的遴选过程进行监督。</w:t>
      </w:r>
    </w:p>
    <w:p w:rsidR="00000000" w:rsidRDefault="00000000">
      <w:pPr>
        <w:rPr>
          <w:lang w:val="en-GB"/>
        </w:rPr>
      </w:pPr>
      <w:r>
        <w:rPr>
          <w:rFonts w:hint="eastAsia"/>
        </w:rPr>
        <w:tab/>
      </w:r>
      <w:r>
        <w:rPr>
          <w:lang w:val="en-GB"/>
        </w:rPr>
        <w:t>117.</w:t>
      </w:r>
      <w:r>
        <w:rPr>
          <w:rFonts w:hint="eastAsia"/>
          <w:lang w:val="en-GB"/>
        </w:rPr>
        <w:t xml:space="preserve">  </w:t>
      </w:r>
      <w:r>
        <w:rPr>
          <w:rFonts w:hint="eastAsia"/>
          <w:lang w:val="en-GB"/>
        </w:rPr>
        <w:t>关于就业的促进和失业人员的扶持问题的</w:t>
      </w:r>
      <w:r>
        <w:rPr>
          <w:lang w:val="en-GB"/>
        </w:rPr>
        <w:t>1991</w:t>
      </w:r>
      <w:r>
        <w:rPr>
          <w:rFonts w:hint="eastAsia"/>
          <w:lang w:val="en-GB"/>
        </w:rPr>
        <w:t>年第四号法令第二条第一款也包含禁止根据性别、年龄、种族、出身、宗教、政治信仰或参加雇员代表组织与否实行消极歧视的规定。</w:t>
      </w:r>
    </w:p>
    <w:p w:rsidR="00000000" w:rsidRDefault="00000000">
      <w:pPr>
        <w:rPr>
          <w:lang w:val="en-GB"/>
        </w:rPr>
      </w:pPr>
      <w:r>
        <w:rPr>
          <w:rFonts w:hint="eastAsia"/>
          <w:lang w:val="en-GB"/>
        </w:rPr>
        <w:tab/>
      </w:r>
      <w:r>
        <w:rPr>
          <w:lang w:val="en-GB"/>
        </w:rPr>
        <w:t>118.</w:t>
      </w:r>
      <w:r>
        <w:rPr>
          <w:rFonts w:hint="eastAsia"/>
          <w:lang w:val="en-GB"/>
        </w:rPr>
        <w:t xml:space="preserve">  </w:t>
      </w:r>
      <w:r>
        <w:rPr>
          <w:rFonts w:hint="eastAsia"/>
          <w:lang w:val="en-GB"/>
        </w:rPr>
        <w:t>尽管有上述规定，经验却表明劳动市场上存在地位特别的群体，因为他们的处境与一般的不同。这类群体包括罗姆人、残疾人、瘾君子、而且从某种角度看还有妇女，青年和上年纪的雇员。</w:t>
      </w:r>
    </w:p>
    <w:p w:rsidR="00000000" w:rsidRDefault="00000000">
      <w:pPr>
        <w:rPr>
          <w:lang w:val="en-GB"/>
        </w:rPr>
      </w:pPr>
      <w:r>
        <w:rPr>
          <w:rFonts w:hint="eastAsia"/>
          <w:lang w:val="en-GB"/>
        </w:rPr>
        <w:tab/>
      </w:r>
      <w:r>
        <w:rPr>
          <w:lang w:val="en-GB"/>
        </w:rPr>
        <w:t>119.</w:t>
      </w:r>
      <w:r>
        <w:rPr>
          <w:rFonts w:hint="eastAsia"/>
          <w:lang w:val="en-GB"/>
        </w:rPr>
        <w:t xml:space="preserve">  </w:t>
      </w:r>
      <w:r>
        <w:rPr>
          <w:rFonts w:hint="eastAsia"/>
          <w:lang w:val="en-GB"/>
        </w:rPr>
        <w:t>牙利不允许收集储存有关种族、肤色、性别、宗教或国籍的资料。</w:t>
      </w:r>
    </w:p>
    <w:p w:rsidR="00000000" w:rsidRDefault="00000000">
      <w:pPr>
        <w:rPr>
          <w:lang w:val="en-GB"/>
        </w:rPr>
      </w:pPr>
      <w:r>
        <w:rPr>
          <w:rFonts w:hint="eastAsia"/>
          <w:lang w:val="en-GB"/>
        </w:rPr>
        <w:tab/>
      </w:r>
      <w:r>
        <w:rPr>
          <w:lang w:val="en-GB"/>
        </w:rPr>
        <w:t>120.</w:t>
      </w:r>
      <w:r>
        <w:rPr>
          <w:rFonts w:hint="eastAsia"/>
          <w:lang w:val="en-GB"/>
        </w:rPr>
        <w:t xml:space="preserve">  </w:t>
      </w:r>
      <w:r>
        <w:rPr>
          <w:rFonts w:hint="eastAsia"/>
          <w:lang w:val="en-GB"/>
        </w:rPr>
        <w:t>《劳动法》自</w:t>
      </w:r>
      <w:r>
        <w:rPr>
          <w:lang w:val="en-GB"/>
        </w:rPr>
        <w:t>1992</w:t>
      </w:r>
      <w:r>
        <w:rPr>
          <w:rFonts w:hint="eastAsia"/>
          <w:lang w:val="en-GB"/>
        </w:rPr>
        <w:t>年</w:t>
      </w:r>
      <w:r>
        <w:rPr>
          <w:lang w:val="en-GB"/>
        </w:rPr>
        <w:t>7</w:t>
      </w:r>
      <w:r>
        <w:rPr>
          <w:rFonts w:hint="eastAsia"/>
          <w:lang w:val="en-GB"/>
        </w:rPr>
        <w:t>月</w:t>
      </w:r>
      <w:r>
        <w:rPr>
          <w:lang w:val="en-GB"/>
        </w:rPr>
        <w:t>1</w:t>
      </w:r>
      <w:r>
        <w:rPr>
          <w:rFonts w:hint="eastAsia"/>
          <w:lang w:val="en-GB"/>
        </w:rPr>
        <w:t>日生效以来已经过</w:t>
      </w:r>
      <w:r>
        <w:rPr>
          <w:lang w:val="en-GB"/>
        </w:rPr>
        <w:t>38</w:t>
      </w:r>
      <w:r>
        <w:rPr>
          <w:rFonts w:hint="eastAsia"/>
          <w:lang w:val="en-GB"/>
        </w:rPr>
        <w:t>次修订，这实际体现在对《劳动法》若干章节所</w:t>
      </w:r>
      <w:r>
        <w:rPr>
          <w:rFonts w:hint="eastAsia"/>
          <w:lang w:val="zh-CN"/>
        </w:rPr>
        <w:t>作</w:t>
      </w:r>
      <w:r>
        <w:rPr>
          <w:rFonts w:hint="eastAsia"/>
          <w:lang w:val="en-GB"/>
        </w:rPr>
        <w:t>为数不多的更改</w:t>
      </w:r>
      <w:r>
        <w:rPr>
          <w:rFonts w:hint="eastAsia"/>
          <w:lang w:val="zh-CN"/>
        </w:rPr>
        <w:t>上</w:t>
      </w:r>
      <w:r>
        <w:rPr>
          <w:rFonts w:hint="eastAsia"/>
          <w:lang w:val="en-GB"/>
        </w:rPr>
        <w:t>。作出这些更改的原因是必须使得我国的立法与欧洲联盟的共同体法律协调一致起来。欧盟的有些关于劳动法的指令通过修订立法而融入国内法。对劳动和自由选择就业权影响比较大的修订已经在上文有所阐述。</w:t>
      </w:r>
    </w:p>
    <w:p w:rsidR="00000000" w:rsidRDefault="00000000">
      <w:pPr>
        <w:rPr>
          <w:lang w:val="en-GB"/>
        </w:rPr>
      </w:pPr>
      <w:r>
        <w:rPr>
          <w:rFonts w:hint="eastAsia"/>
          <w:lang w:val="en-GB"/>
        </w:rPr>
        <w:tab/>
      </w:r>
      <w:r>
        <w:rPr>
          <w:lang w:val="en-GB"/>
        </w:rPr>
        <w:t>121.</w:t>
      </w:r>
      <w:r>
        <w:rPr>
          <w:rFonts w:hint="eastAsia"/>
          <w:lang w:val="en-GB"/>
        </w:rPr>
        <w:t xml:space="preserve">  </w:t>
      </w:r>
      <w:r>
        <w:rPr>
          <w:rFonts w:hint="eastAsia"/>
          <w:lang w:val="en-GB"/>
        </w:rPr>
        <w:t>为了扩大视角，有必要提到即将执行的一些立法措施。《平等待遇和促进机会平等法案》于</w:t>
      </w:r>
      <w:r>
        <w:rPr>
          <w:lang w:val="en-GB"/>
        </w:rPr>
        <w:t>2003</w:t>
      </w:r>
      <w:r>
        <w:rPr>
          <w:rFonts w:hint="eastAsia"/>
          <w:lang w:val="en-GB"/>
        </w:rPr>
        <w:t>年</w:t>
      </w:r>
      <w:r>
        <w:rPr>
          <w:lang w:val="en-GB"/>
        </w:rPr>
        <w:t>12</w:t>
      </w:r>
      <w:r>
        <w:rPr>
          <w:rFonts w:hint="eastAsia"/>
          <w:lang w:val="en-GB"/>
        </w:rPr>
        <w:t>月通过。</w:t>
      </w:r>
      <w:r>
        <w:rPr>
          <w:rFonts w:hint="eastAsia"/>
          <w:lang w:val="en-GB"/>
        </w:rPr>
        <w:t>(</w:t>
      </w:r>
      <w:r>
        <w:rPr>
          <w:lang w:val="en-GB"/>
        </w:rPr>
        <w:t>2003</w:t>
      </w:r>
      <w:r>
        <w:rPr>
          <w:rFonts w:hint="eastAsia"/>
          <w:lang w:val="en-GB"/>
        </w:rPr>
        <w:t>年第</w:t>
      </w:r>
      <w:r>
        <w:rPr>
          <w:lang w:val="en-GB"/>
        </w:rPr>
        <w:t>125</w:t>
      </w:r>
      <w:r>
        <w:rPr>
          <w:rFonts w:hint="eastAsia"/>
          <w:lang w:val="en-GB"/>
        </w:rPr>
        <w:t>号法令</w:t>
      </w:r>
      <w:r>
        <w:rPr>
          <w:rFonts w:hint="eastAsia"/>
          <w:lang w:val="en-GB"/>
        </w:rPr>
        <w:t>)</w:t>
      </w:r>
      <w:r>
        <w:rPr>
          <w:rFonts w:hint="eastAsia"/>
          <w:lang w:val="en-GB"/>
        </w:rPr>
        <w:t>这项法令根据每一个相关立法领域的一贯原则对这整个问题进行全面处理。</w:t>
      </w:r>
    </w:p>
    <w:p w:rsidR="00000000" w:rsidRDefault="00000000">
      <w:pPr>
        <w:spacing w:after="320"/>
      </w:pPr>
      <w:r>
        <w:rPr>
          <w:rFonts w:hint="eastAsia"/>
          <w:lang w:val="en-GB"/>
        </w:rPr>
        <w:tab/>
      </w:r>
      <w:r>
        <w:rPr>
          <w:lang w:val="en-GB"/>
        </w:rPr>
        <w:t>122.</w:t>
      </w:r>
      <w:r>
        <w:rPr>
          <w:rFonts w:hint="eastAsia"/>
          <w:lang w:val="en-GB"/>
        </w:rPr>
        <w:t xml:space="preserve">  </w:t>
      </w:r>
      <w:r>
        <w:rPr>
          <w:rFonts w:hint="eastAsia"/>
          <w:lang w:val="en-GB"/>
        </w:rPr>
        <w:t>议程项目包括作为特殊的法律关系的远程工作的问题以及对《劳动法》中有关这同一问题的规定的修订。远程工作从就业政策的角度看是一种新型的就业形式，最初是对年轻合格的人才以及那些轻易适应信息社会需要的人员采用的。远程工作的推广对妇女</w:t>
      </w:r>
      <w:r>
        <w:rPr>
          <w:rFonts w:hint="eastAsia"/>
          <w:lang w:val="en-GB"/>
        </w:rPr>
        <w:t>(</w:t>
      </w:r>
      <w:r>
        <w:rPr>
          <w:rFonts w:hint="eastAsia"/>
          <w:lang w:val="en-GB"/>
        </w:rPr>
        <w:t>拖家带口的母亲</w:t>
      </w:r>
      <w:r>
        <w:rPr>
          <w:rFonts w:hint="eastAsia"/>
          <w:lang w:val="en-GB"/>
        </w:rPr>
        <w:t>)</w:t>
      </w:r>
      <w:r>
        <w:rPr>
          <w:rFonts w:hint="eastAsia"/>
          <w:lang w:val="en-GB"/>
        </w:rPr>
        <w:t>以及那些工作能力发生变化离不开家的人是一个特别敏感的问题。就这样越来越多的社会群体自由选择工作和就业的权利得不到法律规定的保护，成为日常的现实问题。</w:t>
      </w:r>
    </w:p>
    <w:p w:rsidR="00000000" w:rsidRDefault="00000000">
      <w:pPr>
        <w:pStyle w:val="Heading2"/>
        <w:rPr>
          <w:lang w:val="en-GB"/>
        </w:rPr>
      </w:pPr>
      <w:r>
        <w:rPr>
          <w:rFonts w:hint="eastAsia"/>
          <w:lang w:val="en-GB"/>
        </w:rPr>
        <w:t>第七条</w:t>
      </w:r>
      <w:r>
        <w:rPr>
          <w:rFonts w:hint="eastAsia"/>
          <w:spacing w:val="-50"/>
          <w:lang w:val="en-GB"/>
        </w:rPr>
        <w:t>―</w:t>
      </w:r>
      <w:r>
        <w:rPr>
          <w:rFonts w:hint="eastAsia"/>
          <w:lang w:val="en-GB"/>
        </w:rPr>
        <w:t>―公正有利的工作条件</w:t>
      </w:r>
    </w:p>
    <w:p w:rsidR="00000000" w:rsidRDefault="00000000">
      <w:pPr>
        <w:rPr>
          <w:lang w:val="en-GB"/>
        </w:rPr>
      </w:pPr>
      <w:r>
        <w:rPr>
          <w:lang w:val="en-GB"/>
        </w:rPr>
        <w:tab/>
        <w:t xml:space="preserve">123.  </w:t>
      </w:r>
      <w:r>
        <w:rPr>
          <w:rFonts w:hint="eastAsia"/>
          <w:lang w:val="en-GB"/>
        </w:rPr>
        <w:t>匈牙利批准了与《公约》第七条有关的劳工组织如下几项公约：</w:t>
      </w:r>
    </w:p>
    <w:p w:rsidR="00000000" w:rsidRDefault="00000000">
      <w:pPr>
        <w:pStyle w:val="a"/>
        <w:ind w:left="1550"/>
        <w:rPr>
          <w:lang w:val="en-GB"/>
        </w:rPr>
      </w:pPr>
      <w:r>
        <w:rPr>
          <w:lang w:val="en-GB"/>
        </w:rPr>
        <w:t>1956</w:t>
      </w:r>
      <w:r>
        <w:rPr>
          <w:rFonts w:hint="eastAsia"/>
          <w:lang w:val="en-GB"/>
        </w:rPr>
        <w:t>年</w:t>
      </w:r>
      <w:r>
        <w:rPr>
          <w:lang w:val="en-GB"/>
        </w:rPr>
        <w:t>6</w:t>
      </w:r>
      <w:r>
        <w:rPr>
          <w:rFonts w:hint="eastAsia"/>
          <w:lang w:val="en-GB"/>
        </w:rPr>
        <w:t>月</w:t>
      </w:r>
      <w:r>
        <w:rPr>
          <w:lang w:val="en-GB"/>
        </w:rPr>
        <w:t>8</w:t>
      </w:r>
      <w:r>
        <w:rPr>
          <w:rFonts w:hint="eastAsia"/>
          <w:lang w:val="en-GB"/>
        </w:rPr>
        <w:t>日批准的《劳工组织关于同等报酬的第</w:t>
      </w:r>
      <w:r>
        <w:rPr>
          <w:lang w:val="en-GB"/>
        </w:rPr>
        <w:t>100</w:t>
      </w:r>
      <w:r>
        <w:rPr>
          <w:rFonts w:hint="eastAsia"/>
          <w:lang w:val="en-GB"/>
        </w:rPr>
        <w:t>号公约》。</w:t>
      </w:r>
    </w:p>
    <w:p w:rsidR="00000000" w:rsidRDefault="00000000">
      <w:pPr>
        <w:pStyle w:val="a"/>
        <w:ind w:left="1550"/>
        <w:rPr>
          <w:lang w:val="en-GB"/>
        </w:rPr>
      </w:pPr>
      <w:r>
        <w:rPr>
          <w:lang w:val="en-GB"/>
        </w:rPr>
        <w:t>1956</w:t>
      </w:r>
      <w:r>
        <w:rPr>
          <w:rFonts w:hint="eastAsia"/>
          <w:lang w:val="en-GB"/>
        </w:rPr>
        <w:t>年</w:t>
      </w:r>
      <w:r>
        <w:rPr>
          <w:lang w:val="en-GB"/>
        </w:rPr>
        <w:t>6</w:t>
      </w:r>
      <w:r>
        <w:rPr>
          <w:rFonts w:hint="eastAsia"/>
          <w:lang w:val="en-GB"/>
        </w:rPr>
        <w:t>月</w:t>
      </w:r>
      <w:r>
        <w:rPr>
          <w:rFonts w:hint="eastAsia"/>
          <w:lang w:val="en-GB"/>
        </w:rPr>
        <w:t>8</w:t>
      </w:r>
      <w:r>
        <w:rPr>
          <w:rFonts w:hint="eastAsia"/>
          <w:lang w:val="en-GB"/>
        </w:rPr>
        <w:t>日批准的《劳工组织</w:t>
      </w:r>
      <w:r>
        <w:rPr>
          <w:lang w:val="en-GB"/>
        </w:rPr>
        <w:t>1921</w:t>
      </w:r>
      <w:r>
        <w:rPr>
          <w:rFonts w:hint="eastAsia"/>
          <w:lang w:val="en-GB"/>
        </w:rPr>
        <w:t>年关于</w:t>
      </w:r>
      <w:r>
        <w:rPr>
          <w:rFonts w:hint="eastAsia"/>
          <w:lang w:val="en-GB"/>
        </w:rPr>
        <w:t>(</w:t>
      </w:r>
      <w:r>
        <w:rPr>
          <w:rFonts w:hint="eastAsia"/>
          <w:lang w:val="en-GB"/>
        </w:rPr>
        <w:t>工业企业</w:t>
      </w:r>
      <w:r>
        <w:rPr>
          <w:lang w:val="en-GB"/>
        </w:rPr>
        <w:t>)</w:t>
      </w:r>
      <w:r>
        <w:rPr>
          <w:rFonts w:hint="eastAsia"/>
          <w:lang w:val="en-GB"/>
        </w:rPr>
        <w:t>每周休息的第</w:t>
      </w:r>
      <w:r>
        <w:rPr>
          <w:lang w:val="en-GB"/>
        </w:rPr>
        <w:t>14</w:t>
      </w:r>
      <w:r>
        <w:rPr>
          <w:rFonts w:hint="eastAsia"/>
          <w:lang w:val="en-GB"/>
        </w:rPr>
        <w:t>号公约》。</w:t>
      </w:r>
    </w:p>
    <w:p w:rsidR="00000000" w:rsidRDefault="00000000">
      <w:pPr>
        <w:pStyle w:val="a"/>
        <w:ind w:left="1550"/>
        <w:rPr>
          <w:lang w:val="en-GB"/>
        </w:rPr>
      </w:pPr>
      <w:r>
        <w:rPr>
          <w:lang w:val="en-GB"/>
        </w:rPr>
        <w:t>1998</w:t>
      </w:r>
      <w:r>
        <w:rPr>
          <w:rFonts w:hint="eastAsia"/>
          <w:lang w:val="en-GB"/>
        </w:rPr>
        <w:t>年</w:t>
      </w:r>
      <w:r>
        <w:rPr>
          <w:lang w:val="en-GB"/>
        </w:rPr>
        <w:t>8</w:t>
      </w:r>
      <w:r>
        <w:rPr>
          <w:rFonts w:hint="eastAsia"/>
          <w:lang w:val="en-GB"/>
        </w:rPr>
        <w:t>月</w:t>
      </w:r>
      <w:r>
        <w:rPr>
          <w:lang w:val="en-GB"/>
        </w:rPr>
        <w:t>19</w:t>
      </w:r>
      <w:r>
        <w:rPr>
          <w:rFonts w:hint="eastAsia"/>
          <w:lang w:val="en-GB"/>
        </w:rPr>
        <w:t>日批准的《劳工组织</w:t>
      </w:r>
      <w:r>
        <w:rPr>
          <w:lang w:val="en-GB"/>
        </w:rPr>
        <w:t>1970</w:t>
      </w:r>
      <w:r>
        <w:rPr>
          <w:rFonts w:hint="eastAsia"/>
          <w:lang w:val="en-GB"/>
        </w:rPr>
        <w:t>年关于带酬休假的第</w:t>
      </w:r>
      <w:r>
        <w:rPr>
          <w:lang w:val="en-GB"/>
        </w:rPr>
        <w:t>132</w:t>
      </w:r>
      <w:r>
        <w:rPr>
          <w:rFonts w:hint="eastAsia"/>
          <w:lang w:val="en-GB"/>
        </w:rPr>
        <w:t>号公约》</w:t>
      </w:r>
      <w:r>
        <w:rPr>
          <w:lang w:val="en-GB"/>
        </w:rPr>
        <w:t>(</w:t>
      </w:r>
      <w:r>
        <w:rPr>
          <w:rFonts w:hint="eastAsia"/>
          <w:lang w:val="en-GB"/>
        </w:rPr>
        <w:t>修订本</w:t>
      </w:r>
      <w:r>
        <w:rPr>
          <w:lang w:val="en-GB"/>
        </w:rPr>
        <w:t>)</w:t>
      </w:r>
      <w:r>
        <w:rPr>
          <w:rFonts w:hint="eastAsia"/>
          <w:lang w:val="en-GB"/>
        </w:rPr>
        <w:t>。</w:t>
      </w:r>
    </w:p>
    <w:p w:rsidR="00000000" w:rsidRDefault="00000000">
      <w:pPr>
        <w:pStyle w:val="a"/>
        <w:ind w:left="1550"/>
        <w:rPr>
          <w:lang w:val="en-GB"/>
        </w:rPr>
      </w:pPr>
      <w:r>
        <w:rPr>
          <w:lang w:val="en-GB"/>
        </w:rPr>
        <w:t>1994</w:t>
      </w:r>
      <w:r>
        <w:rPr>
          <w:rFonts w:hint="eastAsia"/>
          <w:lang w:val="en-GB"/>
        </w:rPr>
        <w:t>年</w:t>
      </w:r>
      <w:r>
        <w:rPr>
          <w:lang w:val="en-GB"/>
        </w:rPr>
        <w:t>1</w:t>
      </w:r>
      <w:r>
        <w:rPr>
          <w:rFonts w:hint="eastAsia"/>
          <w:lang w:val="en-GB"/>
        </w:rPr>
        <w:t>月</w:t>
      </w:r>
      <w:r>
        <w:rPr>
          <w:lang w:val="en-GB"/>
        </w:rPr>
        <w:t>4</w:t>
      </w:r>
      <w:r>
        <w:rPr>
          <w:rFonts w:hint="eastAsia"/>
          <w:lang w:val="en-GB"/>
        </w:rPr>
        <w:t>日批准的《劳工组织</w:t>
      </w:r>
      <w:r>
        <w:rPr>
          <w:lang w:val="en-GB"/>
        </w:rPr>
        <w:t>1947</w:t>
      </w:r>
      <w:r>
        <w:rPr>
          <w:rFonts w:hint="eastAsia"/>
          <w:lang w:val="en-GB"/>
        </w:rPr>
        <w:t>年关于劳动监察的第</w:t>
      </w:r>
      <w:r>
        <w:rPr>
          <w:lang w:val="en-GB"/>
        </w:rPr>
        <w:t>81</w:t>
      </w:r>
      <w:r>
        <w:rPr>
          <w:rFonts w:hint="eastAsia"/>
          <w:lang w:val="en-GB"/>
        </w:rPr>
        <w:t>号公约》。</w:t>
      </w:r>
    </w:p>
    <w:p w:rsidR="00000000" w:rsidRDefault="00000000">
      <w:pPr>
        <w:pStyle w:val="a"/>
        <w:ind w:left="1550"/>
        <w:rPr>
          <w:lang w:val="en-GB"/>
        </w:rPr>
      </w:pPr>
      <w:r>
        <w:rPr>
          <w:lang w:val="en-GB"/>
        </w:rPr>
        <w:t>1994</w:t>
      </w:r>
      <w:r>
        <w:rPr>
          <w:rFonts w:hint="eastAsia"/>
          <w:lang w:val="en-GB"/>
        </w:rPr>
        <w:t>年</w:t>
      </w:r>
      <w:r>
        <w:rPr>
          <w:lang w:val="en-GB"/>
        </w:rPr>
        <w:t>1</w:t>
      </w:r>
      <w:r>
        <w:rPr>
          <w:rFonts w:hint="eastAsia"/>
          <w:lang w:val="en-GB"/>
        </w:rPr>
        <w:t>月</w:t>
      </w:r>
      <w:r>
        <w:rPr>
          <w:lang w:val="en-GB"/>
        </w:rPr>
        <w:t>4</w:t>
      </w:r>
      <w:r>
        <w:rPr>
          <w:rFonts w:hint="eastAsia"/>
          <w:lang w:val="en-GB"/>
        </w:rPr>
        <w:t>日批准的《劳工组织</w:t>
      </w:r>
      <w:r>
        <w:rPr>
          <w:lang w:val="en-GB"/>
        </w:rPr>
        <w:t>1969</w:t>
      </w:r>
      <w:r>
        <w:rPr>
          <w:rFonts w:hint="eastAsia"/>
          <w:lang w:val="en-GB"/>
        </w:rPr>
        <w:t>年关于</w:t>
      </w:r>
      <w:r>
        <w:rPr>
          <w:rFonts w:hint="eastAsia"/>
          <w:lang w:val="en-GB"/>
        </w:rPr>
        <w:t>(</w:t>
      </w:r>
      <w:r>
        <w:rPr>
          <w:rFonts w:hint="eastAsia"/>
          <w:lang w:val="en-GB"/>
        </w:rPr>
        <w:t>农业</w:t>
      </w:r>
      <w:r>
        <w:rPr>
          <w:rFonts w:hint="eastAsia"/>
          <w:lang w:val="en-GB"/>
        </w:rPr>
        <w:t>)</w:t>
      </w:r>
      <w:r>
        <w:rPr>
          <w:rFonts w:hint="eastAsia"/>
          <w:lang w:val="en-GB"/>
        </w:rPr>
        <w:t>劳动监察的第</w:t>
      </w:r>
      <w:r>
        <w:rPr>
          <w:lang w:val="en-GB"/>
        </w:rPr>
        <w:t>129</w:t>
      </w:r>
      <w:r>
        <w:rPr>
          <w:rFonts w:hint="eastAsia"/>
          <w:lang w:val="en-GB"/>
        </w:rPr>
        <w:t>号公约》。</w:t>
      </w:r>
    </w:p>
    <w:p w:rsidR="00000000" w:rsidRDefault="00000000">
      <w:pPr>
        <w:pStyle w:val="a"/>
        <w:ind w:left="1550"/>
        <w:rPr>
          <w:lang w:val="en-GB"/>
        </w:rPr>
      </w:pPr>
      <w:r>
        <w:rPr>
          <w:lang w:val="en-GB"/>
        </w:rPr>
        <w:t>1994</w:t>
      </w:r>
      <w:r>
        <w:rPr>
          <w:rFonts w:hint="eastAsia"/>
          <w:lang w:val="en-GB"/>
        </w:rPr>
        <w:t>年</w:t>
      </w:r>
      <w:r>
        <w:rPr>
          <w:lang w:val="en-GB"/>
        </w:rPr>
        <w:t>1</w:t>
      </w:r>
      <w:r>
        <w:rPr>
          <w:rFonts w:hint="eastAsia"/>
          <w:lang w:val="en-GB"/>
        </w:rPr>
        <w:t>月</w:t>
      </w:r>
      <w:r>
        <w:rPr>
          <w:lang w:val="en-GB"/>
        </w:rPr>
        <w:t>4</w:t>
      </w:r>
      <w:r>
        <w:rPr>
          <w:rFonts w:hint="eastAsia"/>
          <w:lang w:val="en-GB"/>
        </w:rPr>
        <w:t>日批准的《劳工组织</w:t>
      </w:r>
      <w:r>
        <w:rPr>
          <w:lang w:val="en-GB"/>
        </w:rPr>
        <w:t>1981</w:t>
      </w:r>
      <w:r>
        <w:rPr>
          <w:rFonts w:hint="eastAsia"/>
          <w:lang w:val="en-GB"/>
        </w:rPr>
        <w:t>年关于职业安全与保健的第</w:t>
      </w:r>
      <w:r>
        <w:rPr>
          <w:lang w:val="en-GB"/>
        </w:rPr>
        <w:t>155</w:t>
      </w:r>
      <w:r>
        <w:rPr>
          <w:rFonts w:hint="eastAsia"/>
          <w:lang w:val="en-GB"/>
        </w:rPr>
        <w:t>号公约》。</w:t>
      </w:r>
    </w:p>
    <w:p w:rsidR="00000000" w:rsidRDefault="00000000">
      <w:pPr>
        <w:rPr>
          <w:lang w:val="en-GB"/>
        </w:rPr>
      </w:pPr>
      <w:r>
        <w:rPr>
          <w:rFonts w:hint="eastAsia"/>
          <w:lang w:val="en-GB"/>
        </w:rPr>
        <w:tab/>
      </w:r>
      <w:r>
        <w:rPr>
          <w:lang w:val="en-GB"/>
        </w:rPr>
        <w:t>124.</w:t>
      </w:r>
      <w:r>
        <w:rPr>
          <w:rFonts w:hint="eastAsia"/>
          <w:lang w:val="en-GB"/>
        </w:rPr>
        <w:t xml:space="preserve">  </w:t>
      </w:r>
      <w:r>
        <w:rPr>
          <w:rFonts w:hint="eastAsia"/>
          <w:lang w:val="en-GB"/>
        </w:rPr>
        <w:t>匈牙利没有批准《劳工组织</w:t>
      </w:r>
      <w:r>
        <w:rPr>
          <w:lang w:val="en-GB"/>
        </w:rPr>
        <w:t>1970</w:t>
      </w:r>
      <w:r>
        <w:rPr>
          <w:rFonts w:hint="eastAsia"/>
          <w:lang w:val="en-GB"/>
        </w:rPr>
        <w:t>年关于</w:t>
      </w:r>
      <w:r>
        <w:rPr>
          <w:rFonts w:hint="eastAsia"/>
          <w:lang w:val="en-GB"/>
        </w:rPr>
        <w:t>(</w:t>
      </w:r>
      <w:r>
        <w:rPr>
          <w:rFonts w:hint="eastAsia"/>
          <w:lang w:val="en-GB"/>
        </w:rPr>
        <w:t>发展中国家</w:t>
      </w:r>
      <w:r>
        <w:rPr>
          <w:lang w:val="en-GB"/>
        </w:rPr>
        <w:t>)</w:t>
      </w:r>
      <w:r>
        <w:rPr>
          <w:rFonts w:hint="eastAsia"/>
          <w:lang w:val="en-GB"/>
        </w:rPr>
        <w:t>确定最低工资的第</w:t>
      </w:r>
      <w:r>
        <w:rPr>
          <w:lang w:val="en-GB"/>
        </w:rPr>
        <w:t>131</w:t>
      </w:r>
      <w:r>
        <w:rPr>
          <w:rFonts w:hint="eastAsia"/>
          <w:lang w:val="en-GB"/>
        </w:rPr>
        <w:t>号公约》。匈牙利没有批准《劳工组织</w:t>
      </w:r>
      <w:r>
        <w:rPr>
          <w:lang w:val="en-GB"/>
        </w:rPr>
        <w:t>1957</w:t>
      </w:r>
      <w:r>
        <w:rPr>
          <w:rFonts w:hint="eastAsia"/>
          <w:lang w:val="en-GB"/>
        </w:rPr>
        <w:t>年关于</w:t>
      </w:r>
      <w:r>
        <w:rPr>
          <w:rFonts w:hint="eastAsia"/>
          <w:lang w:val="en-GB"/>
        </w:rPr>
        <w:t>(</w:t>
      </w:r>
      <w:r>
        <w:rPr>
          <w:rFonts w:hint="eastAsia"/>
          <w:lang w:val="en-GB"/>
        </w:rPr>
        <w:t>商业和办事处所</w:t>
      </w:r>
      <w:r>
        <w:rPr>
          <w:rFonts w:hint="eastAsia"/>
          <w:lang w:val="en-GB"/>
        </w:rPr>
        <w:t>)</w:t>
      </w:r>
      <w:r>
        <w:rPr>
          <w:rFonts w:hint="eastAsia"/>
          <w:lang w:val="en-GB"/>
        </w:rPr>
        <w:t>每周休息的第</w:t>
      </w:r>
      <w:r>
        <w:rPr>
          <w:lang w:val="en-GB"/>
        </w:rPr>
        <w:t>106</w:t>
      </w:r>
      <w:r>
        <w:rPr>
          <w:rFonts w:hint="eastAsia"/>
          <w:lang w:val="en-GB"/>
        </w:rPr>
        <w:t>号公约》。</w:t>
      </w:r>
      <w:r>
        <w:rPr>
          <w:lang w:val="en-GB"/>
        </w:rPr>
        <w:t xml:space="preserve"> </w:t>
      </w:r>
    </w:p>
    <w:p w:rsidR="00000000" w:rsidRDefault="00000000">
      <w:pPr>
        <w:spacing w:after="320"/>
        <w:rPr>
          <w:lang w:val="en-GB"/>
        </w:rPr>
      </w:pPr>
      <w:r>
        <w:rPr>
          <w:rFonts w:hint="eastAsia"/>
          <w:lang w:val="en-GB"/>
        </w:rPr>
        <w:tab/>
      </w:r>
      <w:r>
        <w:rPr>
          <w:lang w:val="en-GB"/>
        </w:rPr>
        <w:t>125.</w:t>
      </w:r>
      <w:r>
        <w:rPr>
          <w:rFonts w:hint="eastAsia"/>
          <w:lang w:val="en-GB"/>
        </w:rPr>
        <w:t xml:space="preserve">  </w:t>
      </w:r>
      <w:r>
        <w:rPr>
          <w:rFonts w:hint="eastAsia"/>
          <w:lang w:val="en-GB"/>
        </w:rPr>
        <w:t>随本报告附上我们</w:t>
      </w:r>
      <w:r>
        <w:rPr>
          <w:lang w:val="en-GB"/>
        </w:rPr>
        <w:t>2003</w:t>
      </w:r>
      <w:r>
        <w:rPr>
          <w:rFonts w:hint="eastAsia"/>
          <w:lang w:val="en-GB"/>
        </w:rPr>
        <w:t>年提出的报告，介绍我们采取了哪些措施落实《劳工组织关于</w:t>
      </w:r>
      <w:r>
        <w:rPr>
          <w:rFonts w:hint="eastAsia"/>
          <w:lang w:val="en-GB"/>
        </w:rPr>
        <w:t>(</w:t>
      </w:r>
      <w:r>
        <w:rPr>
          <w:rFonts w:hint="eastAsia"/>
          <w:lang w:val="en-GB"/>
        </w:rPr>
        <w:t>工业企业</w:t>
      </w:r>
      <w:r>
        <w:rPr>
          <w:lang w:val="en-GB"/>
        </w:rPr>
        <w:t xml:space="preserve">) </w:t>
      </w:r>
      <w:r>
        <w:rPr>
          <w:rFonts w:hint="eastAsia"/>
          <w:lang w:val="en-GB"/>
        </w:rPr>
        <w:t>每周休息的第</w:t>
      </w:r>
      <w:r>
        <w:rPr>
          <w:lang w:val="en-GB"/>
        </w:rPr>
        <w:t>14</w:t>
      </w:r>
      <w:r>
        <w:rPr>
          <w:rFonts w:hint="eastAsia"/>
          <w:lang w:val="en-GB"/>
        </w:rPr>
        <w:t>号公约》、《劳工组织关于同等报酬的第</w:t>
      </w:r>
      <w:r>
        <w:rPr>
          <w:lang w:val="en-GB"/>
        </w:rPr>
        <w:t>100</w:t>
      </w:r>
      <w:r>
        <w:rPr>
          <w:rFonts w:hint="eastAsia"/>
          <w:lang w:val="en-GB"/>
        </w:rPr>
        <w:t>号公约》和《劳工组织关于带酬休假的第</w:t>
      </w:r>
      <w:r>
        <w:rPr>
          <w:lang w:val="en-GB"/>
        </w:rPr>
        <w:t>132</w:t>
      </w:r>
      <w:r>
        <w:rPr>
          <w:rFonts w:hint="eastAsia"/>
          <w:lang w:val="en-GB"/>
        </w:rPr>
        <w:t>号公约》</w:t>
      </w:r>
      <w:r>
        <w:rPr>
          <w:lang w:val="en-GB"/>
        </w:rPr>
        <w:t>(</w:t>
      </w:r>
      <w:r>
        <w:rPr>
          <w:rFonts w:hint="eastAsia"/>
          <w:lang w:val="en-GB"/>
        </w:rPr>
        <w:t>修订本</w:t>
      </w:r>
      <w:r>
        <w:rPr>
          <w:lang w:val="en-GB"/>
        </w:rPr>
        <w:t>)</w:t>
      </w:r>
      <w:r>
        <w:rPr>
          <w:rFonts w:hint="eastAsia"/>
          <w:lang w:val="en-GB"/>
        </w:rPr>
        <w:t>的情况。</w:t>
      </w:r>
    </w:p>
    <w:p w:rsidR="00000000" w:rsidRDefault="00000000">
      <w:pPr>
        <w:pStyle w:val="Heading3"/>
      </w:pPr>
      <w:r>
        <w:rPr>
          <w:rFonts w:hint="eastAsia"/>
        </w:rPr>
        <w:t>工</w:t>
      </w:r>
      <w:r>
        <w:t xml:space="preserve">  </w:t>
      </w:r>
      <w:r>
        <w:rPr>
          <w:rFonts w:hint="eastAsia"/>
        </w:rPr>
        <w:t>资</w:t>
      </w:r>
    </w:p>
    <w:p w:rsidR="00000000" w:rsidRDefault="00000000">
      <w:pPr>
        <w:rPr>
          <w:rFonts w:hint="eastAsia"/>
          <w:lang w:val="en-GB"/>
        </w:rPr>
      </w:pPr>
      <w:r>
        <w:rPr>
          <w:lang w:val="en-GB"/>
        </w:rPr>
        <w:tab/>
      </w:r>
      <w:r>
        <w:rPr>
          <w:rFonts w:hint="eastAsia"/>
          <w:lang w:val="en-GB"/>
        </w:rPr>
        <w:t>126.</w:t>
      </w:r>
      <w:r>
        <w:rPr>
          <w:lang w:val="en-GB"/>
        </w:rPr>
        <w:t xml:space="preserve">  </w:t>
      </w:r>
      <w:r>
        <w:rPr>
          <w:rFonts w:hint="eastAsia"/>
          <w:lang w:val="en-GB"/>
        </w:rPr>
        <w:t>规定工资确定基本办法的立法有：</w:t>
      </w:r>
    </w:p>
    <w:p w:rsidR="00000000" w:rsidRDefault="00000000">
      <w:pPr>
        <w:ind w:left="1040"/>
        <w:rPr>
          <w:rFonts w:hint="eastAsia"/>
          <w:lang w:val="en-GB"/>
        </w:rPr>
      </w:pPr>
      <w:r>
        <w:rPr>
          <w:rFonts w:hint="eastAsia"/>
          <w:lang w:val="en-GB"/>
        </w:rPr>
        <w:t>私营部门的《劳动法》</w:t>
      </w:r>
      <w:r>
        <w:rPr>
          <w:rFonts w:hint="eastAsia"/>
          <w:lang w:val="en-GB"/>
        </w:rPr>
        <w:t>(1992</w:t>
      </w:r>
      <w:r>
        <w:rPr>
          <w:rFonts w:hint="eastAsia"/>
          <w:lang w:val="en-GB"/>
        </w:rPr>
        <w:t>年第</w:t>
      </w:r>
      <w:r>
        <w:rPr>
          <w:rFonts w:hint="eastAsia"/>
          <w:lang w:val="en-GB"/>
        </w:rPr>
        <w:t>22</w:t>
      </w:r>
      <w:r>
        <w:rPr>
          <w:rFonts w:hint="eastAsia"/>
          <w:lang w:val="en-GB"/>
        </w:rPr>
        <w:t>号法令</w:t>
      </w:r>
      <w:r>
        <w:rPr>
          <w:rFonts w:hint="eastAsia"/>
          <w:lang w:val="en-GB"/>
        </w:rPr>
        <w:t>)</w:t>
      </w:r>
      <w:r>
        <w:rPr>
          <w:rFonts w:hint="eastAsia"/>
          <w:lang w:val="en-GB"/>
        </w:rPr>
        <w:t>，</w:t>
      </w:r>
    </w:p>
    <w:p w:rsidR="00000000" w:rsidRDefault="00000000">
      <w:pPr>
        <w:ind w:left="1040"/>
        <w:rPr>
          <w:lang w:val="en-GB"/>
        </w:rPr>
      </w:pPr>
      <w:r>
        <w:rPr>
          <w:rFonts w:hint="eastAsia"/>
          <w:lang w:val="en-GB"/>
        </w:rPr>
        <w:t>关于公务员法律地位的</w:t>
      </w:r>
      <w:r>
        <w:rPr>
          <w:rFonts w:hint="eastAsia"/>
          <w:lang w:val="en-GB"/>
        </w:rPr>
        <w:t>1992</w:t>
      </w:r>
      <w:r>
        <w:rPr>
          <w:rFonts w:hint="eastAsia"/>
          <w:lang w:val="en-GB"/>
        </w:rPr>
        <w:t>年第</w:t>
      </w:r>
      <w:r>
        <w:rPr>
          <w:rFonts w:hint="eastAsia"/>
          <w:lang w:val="en-GB"/>
        </w:rPr>
        <w:t>23</w:t>
      </w:r>
      <w:r>
        <w:rPr>
          <w:rFonts w:hint="eastAsia"/>
          <w:lang w:val="en-GB"/>
        </w:rPr>
        <w:t>号法令以及</w:t>
      </w:r>
    </w:p>
    <w:p w:rsidR="00000000" w:rsidRDefault="00000000">
      <w:pPr>
        <w:ind w:left="1040"/>
        <w:rPr>
          <w:rFonts w:hint="eastAsia"/>
          <w:lang w:val="en-GB"/>
        </w:rPr>
      </w:pPr>
      <w:r>
        <w:rPr>
          <w:rFonts w:hint="eastAsia"/>
          <w:lang w:val="en-GB"/>
        </w:rPr>
        <w:t>关于公共部门政府雇员的法律地位的</w:t>
      </w:r>
      <w:r>
        <w:rPr>
          <w:rFonts w:hint="eastAsia"/>
          <w:lang w:val="en-GB"/>
        </w:rPr>
        <w:t>1992</w:t>
      </w:r>
      <w:r>
        <w:rPr>
          <w:rFonts w:hint="eastAsia"/>
          <w:lang w:val="en-GB"/>
        </w:rPr>
        <w:t>年第</w:t>
      </w:r>
      <w:r>
        <w:rPr>
          <w:rFonts w:hint="eastAsia"/>
          <w:lang w:val="en-GB"/>
        </w:rPr>
        <w:t>33</w:t>
      </w:r>
      <w:r>
        <w:rPr>
          <w:rFonts w:hint="eastAsia"/>
          <w:lang w:val="en-GB"/>
        </w:rPr>
        <w:t>号法令。</w:t>
      </w:r>
    </w:p>
    <w:p w:rsidR="00000000" w:rsidRDefault="00000000">
      <w:pPr>
        <w:rPr>
          <w:rFonts w:hint="eastAsia"/>
          <w:lang w:val="en-GB"/>
        </w:rPr>
      </w:pPr>
      <w:r>
        <w:rPr>
          <w:lang w:val="en-GB"/>
        </w:rPr>
        <w:tab/>
      </w:r>
      <w:r>
        <w:rPr>
          <w:rFonts w:hint="eastAsia"/>
          <w:lang w:val="en-GB"/>
        </w:rPr>
        <w:t>127.</w:t>
      </w:r>
      <w:r>
        <w:rPr>
          <w:lang w:val="en-GB"/>
        </w:rPr>
        <w:t xml:space="preserve">  </w:t>
      </w:r>
      <w:r>
        <w:rPr>
          <w:rFonts w:hint="eastAsia"/>
          <w:lang w:val="en-GB"/>
        </w:rPr>
        <w:t>按雇用关系，雇主必须支付工资、雇员有权得到这种工资。任何与此不符的协议均无效。《劳动法》的规定里也包含衡量业绩的标准具体规定的办法。按计件工资支付办法，</w:t>
      </w:r>
      <w:r>
        <w:rPr>
          <w:rFonts w:hint="eastAsia"/>
          <w:lang w:val="en-GB"/>
        </w:rPr>
        <w:t>100%</w:t>
      </w:r>
      <w:r>
        <w:rPr>
          <w:rFonts w:hint="eastAsia"/>
          <w:lang w:val="en-GB"/>
        </w:rPr>
        <w:t>的业绩与一定的报酬挂钩。</w:t>
      </w:r>
    </w:p>
    <w:p w:rsidR="00000000" w:rsidRDefault="00000000">
      <w:pPr>
        <w:rPr>
          <w:lang w:val="en-GB"/>
        </w:rPr>
      </w:pPr>
      <w:r>
        <w:rPr>
          <w:lang w:val="en-GB"/>
        </w:rPr>
        <w:tab/>
        <w:t xml:space="preserve">128.  </w:t>
      </w:r>
      <w:r>
        <w:rPr>
          <w:rFonts w:hint="eastAsia"/>
          <w:lang w:val="en-GB"/>
        </w:rPr>
        <w:t>竞争就业部门的工资水平，除最低工资外，由有关各方的协议规定或者由所涉具体企业或行业的集体协议规定。全职雇员的计件工资的各种因素都必须明确规定，这样如果工作要求全部达到并且全部完成工时，雇员应得工资至少应该达到法定的最低工资。如果是否达到工作要求在很大程度上取决于超越雇员能力的各种因素，则必须确定保障工资水平。</w:t>
      </w:r>
    </w:p>
    <w:p w:rsidR="00000000" w:rsidRDefault="00000000">
      <w:pPr>
        <w:rPr>
          <w:lang w:val="en-GB"/>
        </w:rPr>
      </w:pPr>
      <w:r>
        <w:rPr>
          <w:lang w:val="en-GB"/>
        </w:rPr>
        <w:tab/>
        <w:t xml:space="preserve">129.  </w:t>
      </w:r>
      <w:r>
        <w:rPr>
          <w:rFonts w:hint="eastAsia"/>
          <w:lang w:val="en-GB"/>
        </w:rPr>
        <w:t>计件工资的确定办法决不能造成对雇员的歧视。</w:t>
      </w:r>
    </w:p>
    <w:p w:rsidR="00000000" w:rsidRDefault="00000000">
      <w:pPr>
        <w:rPr>
          <w:lang w:val="en-GB"/>
        </w:rPr>
      </w:pPr>
      <w:r>
        <w:rPr>
          <w:lang w:val="en-GB"/>
        </w:rPr>
        <w:tab/>
        <w:t xml:space="preserve">130.  </w:t>
      </w:r>
      <w:r>
        <w:rPr>
          <w:rFonts w:hint="eastAsia"/>
          <w:lang w:val="en-GB"/>
        </w:rPr>
        <w:t>法定最低工资由政府征得全国协调利益委员会的同意之后予以确定。匈牙利有一个通用的最低工资标准，允许偏离这一标准的唯一条件是雇员的工作条件提高。</w:t>
      </w:r>
    </w:p>
    <w:p w:rsidR="00000000" w:rsidRDefault="00000000">
      <w:pPr>
        <w:rPr>
          <w:lang w:val="en-GB"/>
        </w:rPr>
      </w:pPr>
      <w:r>
        <w:rPr>
          <w:lang w:val="en-GB"/>
        </w:rPr>
        <w:tab/>
        <w:t xml:space="preserve">131.  </w:t>
      </w:r>
      <w:r>
        <w:rPr>
          <w:rFonts w:hint="eastAsia"/>
          <w:lang w:val="en-GB"/>
        </w:rPr>
        <w:t>确定最低工资标准时必须考虑到以下各点：雇员的需要、国家的工资水平、最低生活费用、社会保障津贴、各个社会群体的生活水平。经济情况也必须考虑进去：经济增长的要求、生产率水平以及尽量保持高就业率的需要。</w:t>
      </w:r>
    </w:p>
    <w:p w:rsidR="00000000" w:rsidRDefault="00000000">
      <w:pPr>
        <w:rPr>
          <w:lang w:val="en-GB"/>
        </w:rPr>
      </w:pPr>
      <w:r>
        <w:rPr>
          <w:lang w:val="en-GB"/>
        </w:rPr>
        <w:tab/>
        <w:t xml:space="preserve">132.  </w:t>
      </w:r>
      <w:r>
        <w:rPr>
          <w:rFonts w:hint="eastAsia"/>
          <w:lang w:val="en-GB"/>
        </w:rPr>
        <w:t>必须经常审查最低工资水平。对全国工资谈判情况进行调查时政府的责任，这种谈判每年都举行。立法规定必须支付法定最低工资，构筑遵守这些立法的情况由国家劳动和职业安全总监察长定期进行监督检查。</w:t>
      </w:r>
    </w:p>
    <w:p w:rsidR="00000000" w:rsidRDefault="00000000">
      <w:pPr>
        <w:spacing w:after="240"/>
        <w:rPr>
          <w:lang w:val="en-GB"/>
        </w:rPr>
      </w:pPr>
      <w:r>
        <w:rPr>
          <w:lang w:val="en-GB"/>
        </w:rPr>
        <w:tab/>
        <w:t xml:space="preserve">133.  </w:t>
      </w:r>
      <w:r>
        <w:rPr>
          <w:rFonts w:hint="eastAsia"/>
          <w:lang w:val="en-GB"/>
        </w:rPr>
        <w:t>最低工资到</w:t>
      </w:r>
      <w:r>
        <w:rPr>
          <w:lang w:val="en-GB"/>
        </w:rPr>
        <w:t>1990</w:t>
      </w:r>
      <w:r>
        <w:rPr>
          <w:rFonts w:hint="eastAsia"/>
          <w:lang w:val="en-GB"/>
        </w:rPr>
        <w:t>年代末已逐渐失去其真正的价值，而且它的价值与平均收入和贫困线相比也有所下降。</w:t>
      </w:r>
      <w:r>
        <w:rPr>
          <w:lang w:val="en-GB"/>
        </w:rPr>
        <w:t>2001</w:t>
      </w:r>
      <w:r>
        <w:rPr>
          <w:rFonts w:hint="eastAsia"/>
          <w:lang w:val="en-GB"/>
        </w:rPr>
        <w:t>至</w:t>
      </w:r>
      <w:r>
        <w:rPr>
          <w:lang w:val="en-GB"/>
        </w:rPr>
        <w:t>2002</w:t>
      </w:r>
      <w:r>
        <w:rPr>
          <w:rFonts w:hint="eastAsia"/>
          <w:lang w:val="en-GB"/>
        </w:rPr>
        <w:t>年，政府采取下述措施之后，最低工资的名义价值几乎翻了一番。这大大提高了与平均工资和贫困线之比。</w:t>
      </w:r>
    </w:p>
    <w:p w:rsidR="00000000" w:rsidRDefault="00000000">
      <w:pPr>
        <w:pStyle w:val="Heading4"/>
        <w:rPr>
          <w:rFonts w:eastAsia="KaiTi_GB2312"/>
          <w:snapToGrid/>
          <w:spacing w:val="0"/>
          <w:u w:val="none"/>
          <w:lang w:val="en-GB"/>
        </w:rPr>
      </w:pPr>
      <w:r>
        <w:rPr>
          <w:rFonts w:eastAsia="KaiTi_GB2312" w:hint="eastAsia"/>
          <w:snapToGrid/>
          <w:spacing w:val="0"/>
          <w:u w:val="none"/>
          <w:lang w:val="en-GB"/>
        </w:rPr>
        <w:t>歧</w:t>
      </w:r>
      <w:r>
        <w:rPr>
          <w:rFonts w:eastAsia="KaiTi_GB2312"/>
          <w:snapToGrid/>
          <w:spacing w:val="0"/>
          <w:u w:val="none"/>
          <w:lang w:val="en-GB"/>
        </w:rPr>
        <w:t xml:space="preserve">  </w:t>
      </w:r>
      <w:r>
        <w:rPr>
          <w:rFonts w:eastAsia="KaiTi_GB2312" w:hint="eastAsia"/>
          <w:snapToGrid/>
          <w:spacing w:val="0"/>
          <w:u w:val="none"/>
          <w:lang w:val="en-GB"/>
        </w:rPr>
        <w:t>视</w:t>
      </w:r>
    </w:p>
    <w:p w:rsidR="00000000" w:rsidRDefault="00000000">
      <w:pPr>
        <w:rPr>
          <w:lang w:val="en-GB"/>
        </w:rPr>
      </w:pPr>
      <w:r>
        <w:rPr>
          <w:lang w:val="en-GB"/>
        </w:rPr>
        <w:tab/>
        <w:t xml:space="preserve">134.  </w:t>
      </w:r>
      <w:r>
        <w:rPr>
          <w:rFonts w:hint="eastAsia"/>
          <w:lang w:val="en-GB"/>
        </w:rPr>
        <w:t>匈牙利的《劳动法》确立了同值工作同酬的原则。这项原则要求在确定同值工作或者说公认同值的工作的报酬时禁止对雇员实行无理的歧视。在确定工作的同等价值是必须考虑到工作的要求：所做工作的性质、工作质量、工作数量、工作条件、需要具备的资格、体力和脑力的付出，需要的经验、所负责任。</w:t>
      </w:r>
    </w:p>
    <w:p w:rsidR="00000000" w:rsidRDefault="00000000">
      <w:pPr>
        <w:spacing w:after="240"/>
        <w:rPr>
          <w:lang w:val="en-GB"/>
        </w:rPr>
      </w:pPr>
      <w:r>
        <w:rPr>
          <w:lang w:val="en-GB"/>
        </w:rPr>
        <w:tab/>
        <w:t xml:space="preserve">135.  </w:t>
      </w:r>
      <w:r>
        <w:rPr>
          <w:rFonts w:hint="eastAsia"/>
          <w:lang w:val="en-GB"/>
        </w:rPr>
        <w:t>不同性别不同收入的做法近年来在匈牙利几乎没有改变。男女担任类似可比的工作，女性的收入比男性低</w:t>
      </w:r>
      <w:r>
        <w:rPr>
          <w:lang w:val="en-GB"/>
        </w:rPr>
        <w:t>13-14%</w:t>
      </w:r>
      <w:r>
        <w:rPr>
          <w:rFonts w:hint="eastAsia"/>
          <w:lang w:val="en-GB"/>
        </w:rPr>
        <w:t>。</w:t>
      </w:r>
    </w:p>
    <w:p w:rsidR="00000000" w:rsidRDefault="00000000">
      <w:pPr>
        <w:pStyle w:val="Heading4"/>
        <w:rPr>
          <w:rFonts w:eastAsia="KaiTi_GB2312"/>
          <w:snapToGrid/>
          <w:spacing w:val="0"/>
          <w:u w:val="none"/>
          <w:lang w:val="en-GB"/>
        </w:rPr>
      </w:pPr>
      <w:r>
        <w:rPr>
          <w:rFonts w:eastAsia="KaiTi_GB2312" w:hint="eastAsia"/>
          <w:snapToGrid/>
          <w:spacing w:val="0"/>
          <w:u w:val="none"/>
          <w:lang w:val="en-GB"/>
        </w:rPr>
        <w:t>实际工资</w:t>
      </w:r>
    </w:p>
    <w:p w:rsidR="00000000" w:rsidRDefault="00000000">
      <w:pPr>
        <w:rPr>
          <w:lang w:val="en-GB"/>
        </w:rPr>
      </w:pPr>
      <w:r>
        <w:rPr>
          <w:lang w:val="en-GB"/>
        </w:rPr>
        <w:tab/>
        <w:t>136.  2001</w:t>
      </w:r>
      <w:r>
        <w:rPr>
          <w:rFonts w:hint="eastAsia"/>
          <w:lang w:val="en-GB"/>
        </w:rPr>
        <w:t>至</w:t>
      </w:r>
      <w:r>
        <w:rPr>
          <w:lang w:val="en-GB"/>
        </w:rPr>
        <w:t>2003</w:t>
      </w:r>
      <w:r>
        <w:rPr>
          <w:rFonts w:hint="eastAsia"/>
          <w:lang w:val="en-GB"/>
        </w:rPr>
        <w:t>年匈牙利实际工资的增幅特别强劲，这三年期间增加了将近</w:t>
      </w:r>
      <w:r>
        <w:rPr>
          <w:lang w:val="en-GB"/>
        </w:rPr>
        <w:t>33%</w:t>
      </w:r>
      <w:r>
        <w:rPr>
          <w:rFonts w:hint="eastAsia"/>
          <w:lang w:val="en-GB"/>
        </w:rPr>
        <w:t>。预算内机构</w:t>
      </w:r>
      <w:r>
        <w:rPr>
          <w:rFonts w:hint="eastAsia"/>
          <w:lang w:val="en-GB"/>
        </w:rPr>
        <w:t>(</w:t>
      </w:r>
      <w:r>
        <w:rPr>
          <w:rFonts w:hint="eastAsia"/>
          <w:lang w:val="en-GB"/>
        </w:rPr>
        <w:t>公共部门</w:t>
      </w:r>
      <w:r>
        <w:rPr>
          <w:rFonts w:hint="eastAsia"/>
          <w:lang w:val="en-GB"/>
        </w:rPr>
        <w:t>)</w:t>
      </w:r>
      <w:r>
        <w:rPr>
          <w:rFonts w:hint="eastAsia"/>
          <w:lang w:val="en-GB"/>
        </w:rPr>
        <w:t>的增幅特别高</w:t>
      </w:r>
      <w:r>
        <w:rPr>
          <w:lang w:val="en-GB"/>
        </w:rPr>
        <w:t>，</w:t>
      </w:r>
      <w:r>
        <w:rPr>
          <w:rFonts w:hint="eastAsia"/>
          <w:lang w:val="en-GB"/>
        </w:rPr>
        <w:t>工资增幅达到</w:t>
      </w:r>
      <w:r>
        <w:rPr>
          <w:lang w:val="en-GB"/>
        </w:rPr>
        <w:t>50%</w:t>
      </w:r>
      <w:r>
        <w:rPr>
          <w:rFonts w:hint="eastAsia"/>
          <w:lang w:val="en-GB"/>
        </w:rPr>
        <w:t>多。竞争性部门</w:t>
      </w:r>
      <w:r>
        <w:rPr>
          <w:rFonts w:hint="eastAsia"/>
          <w:lang w:val="en-GB"/>
        </w:rPr>
        <w:t>(</w:t>
      </w:r>
      <w:r>
        <w:rPr>
          <w:rFonts w:hint="eastAsia"/>
          <w:lang w:val="en-GB"/>
        </w:rPr>
        <w:t>企业</w:t>
      </w:r>
      <w:r>
        <w:rPr>
          <w:rFonts w:hint="eastAsia"/>
          <w:lang w:val="en-GB"/>
        </w:rPr>
        <w:t>)</w:t>
      </w:r>
      <w:r>
        <w:rPr>
          <w:rFonts w:hint="eastAsia"/>
          <w:lang w:val="en-GB"/>
        </w:rPr>
        <w:t>工资增长幅度也同样可观</w:t>
      </w:r>
      <w:r>
        <w:rPr>
          <w:rFonts w:hint="eastAsia"/>
          <w:lang w:val="en-GB"/>
        </w:rPr>
        <w:t>(</w:t>
      </w:r>
      <w:r>
        <w:rPr>
          <w:rFonts w:hint="eastAsia"/>
          <w:lang w:val="en-GB"/>
        </w:rPr>
        <w:t>约</w:t>
      </w:r>
      <w:r>
        <w:rPr>
          <w:lang w:val="en-GB"/>
        </w:rPr>
        <w:t>26%</w:t>
      </w:r>
      <w:r>
        <w:rPr>
          <w:rFonts w:hint="eastAsia"/>
          <w:lang w:val="en-GB"/>
        </w:rPr>
        <w:t>)</w:t>
      </w:r>
      <w:r>
        <w:rPr>
          <w:rFonts w:hint="eastAsia"/>
          <w:lang w:val="en-GB"/>
        </w:rPr>
        <w:t>，但是仍然低于在公共部门。</w:t>
      </w:r>
    </w:p>
    <w:p w:rsidR="00000000" w:rsidRDefault="00000000">
      <w:pPr>
        <w:rPr>
          <w:rFonts w:hint="eastAsia"/>
          <w:lang w:val="en-GB"/>
        </w:rPr>
      </w:pPr>
      <w:r>
        <w:rPr>
          <w:lang w:val="en-GB"/>
        </w:rPr>
        <w:tab/>
        <w:t xml:space="preserve">137.  </w:t>
      </w:r>
      <w:r>
        <w:rPr>
          <w:rFonts w:hint="eastAsia"/>
          <w:lang w:val="en-GB"/>
        </w:rPr>
        <w:t>由于增幅差别大，公共部门的平均工资目前比竞争性部门的高。</w:t>
      </w:r>
      <w:r>
        <w:rPr>
          <w:lang w:val="en-GB"/>
        </w:rPr>
        <w:t>200</w:t>
      </w:r>
      <w:r>
        <w:rPr>
          <w:rFonts w:hint="eastAsia"/>
          <w:lang w:val="en-GB"/>
        </w:rPr>
        <w:t>0</w:t>
      </w:r>
      <w:r>
        <w:rPr>
          <w:rFonts w:hint="eastAsia"/>
          <w:lang w:val="en-GB"/>
        </w:rPr>
        <w:t>年公共部门平均收入达到每月</w:t>
      </w:r>
      <w:r>
        <w:rPr>
          <w:lang w:val="en-GB"/>
        </w:rPr>
        <w:t>86,210</w:t>
      </w:r>
      <w:r>
        <w:rPr>
          <w:rFonts w:hint="eastAsia"/>
          <w:lang w:val="en-GB"/>
        </w:rPr>
        <w:t>福林，竞争性部门为</w:t>
      </w:r>
      <w:r>
        <w:rPr>
          <w:lang w:val="en-GB"/>
        </w:rPr>
        <w:t>88,425</w:t>
      </w:r>
      <w:r>
        <w:rPr>
          <w:rFonts w:hint="eastAsia"/>
          <w:lang w:val="en-GB"/>
        </w:rPr>
        <w:t>福林。</w:t>
      </w:r>
      <w:r>
        <w:rPr>
          <w:lang w:val="en-GB"/>
        </w:rPr>
        <w:t>2002</w:t>
      </w:r>
      <w:r>
        <w:rPr>
          <w:rFonts w:hint="eastAsia"/>
          <w:lang w:val="en-GB"/>
        </w:rPr>
        <w:t>年，公共部门的平均收入上升到</w:t>
      </w:r>
      <w:r>
        <w:rPr>
          <w:lang w:val="en-GB"/>
        </w:rPr>
        <w:t>136,891</w:t>
      </w:r>
      <w:r>
        <w:rPr>
          <w:rFonts w:hint="eastAsia"/>
          <w:lang w:val="en-GB"/>
        </w:rPr>
        <w:t>福林，高于竞争性部门每月平均的</w:t>
      </w:r>
      <w:r>
        <w:rPr>
          <w:lang w:val="en-GB"/>
        </w:rPr>
        <w:t>116,555</w:t>
      </w:r>
      <w:r>
        <w:rPr>
          <w:rFonts w:hint="eastAsia"/>
          <w:lang w:val="en-GB"/>
        </w:rPr>
        <w:t>福林。</w:t>
      </w:r>
    </w:p>
    <w:p w:rsidR="00000000" w:rsidRDefault="00000000">
      <w:pPr>
        <w:spacing w:after="320"/>
        <w:rPr>
          <w:lang w:val="en-GB"/>
        </w:rPr>
      </w:pPr>
      <w:r>
        <w:rPr>
          <w:lang w:val="en-GB"/>
        </w:rPr>
        <w:tab/>
        <w:t xml:space="preserve">138.  </w:t>
      </w:r>
      <w:r>
        <w:rPr>
          <w:rFonts w:hint="eastAsia"/>
          <w:lang w:val="en-GB"/>
        </w:rPr>
        <w:t>2001</w:t>
      </w:r>
      <w:r>
        <w:rPr>
          <w:rFonts w:hint="eastAsia"/>
          <w:lang w:val="en-GB"/>
        </w:rPr>
        <w:t>至</w:t>
      </w:r>
      <w:r>
        <w:rPr>
          <w:rFonts w:hint="eastAsia"/>
          <w:lang w:val="en-GB"/>
        </w:rPr>
        <w:t>2003</w:t>
      </w:r>
      <w:r>
        <w:rPr>
          <w:rFonts w:hint="eastAsia"/>
          <w:lang w:val="en-GB"/>
        </w:rPr>
        <w:t>年，公共部门所有工种的工资大幅增长，其首要目标是消除公共部门可比工种的主要劣势。在增加工资前的一个时期里，公认为可比的</w:t>
      </w:r>
      <w:r>
        <w:rPr>
          <w:rFonts w:hint="eastAsia"/>
          <w:lang w:val="en-GB"/>
        </w:rPr>
        <w:t>(</w:t>
      </w:r>
      <w:r>
        <w:rPr>
          <w:rFonts w:hint="eastAsia"/>
          <w:lang w:val="en-GB"/>
        </w:rPr>
        <w:t>即需要类似资格的</w:t>
      </w:r>
      <w:r>
        <w:rPr>
          <w:lang w:val="en-GB"/>
        </w:rPr>
        <w:t>)</w:t>
      </w:r>
      <w:r>
        <w:rPr>
          <w:rFonts w:hint="eastAsia"/>
          <w:lang w:val="en-GB"/>
        </w:rPr>
        <w:t>工种相当于平均落后约</w:t>
      </w:r>
      <w:r>
        <w:rPr>
          <w:lang w:val="en-GB"/>
        </w:rPr>
        <w:t>35%</w:t>
      </w:r>
      <w:r>
        <w:rPr>
          <w:rFonts w:hint="eastAsia"/>
          <w:lang w:val="en-GB"/>
        </w:rPr>
        <w:t>。这些数字出现大幅下降，有些工种甚至完全消除了落后状态。</w:t>
      </w:r>
    </w:p>
    <w:p w:rsidR="00000000" w:rsidRDefault="00000000">
      <w:pPr>
        <w:pStyle w:val="Heading3"/>
      </w:pPr>
      <w:r>
        <w:rPr>
          <w:rFonts w:hint="eastAsia"/>
        </w:rPr>
        <w:t>职业卫生和安全</w:t>
      </w:r>
    </w:p>
    <w:p w:rsidR="00000000" w:rsidRDefault="00000000">
      <w:pPr>
        <w:rPr>
          <w:lang w:val="en-GB"/>
        </w:rPr>
      </w:pPr>
      <w:r>
        <w:rPr>
          <w:lang w:val="en-GB"/>
        </w:rPr>
        <w:tab/>
        <w:t xml:space="preserve">139.  </w:t>
      </w:r>
      <w:r>
        <w:rPr>
          <w:rFonts w:hint="eastAsia"/>
          <w:lang w:val="en-GB"/>
        </w:rPr>
        <w:t>有关工作安全对健康无害问题的立法，如关于职业安全的</w:t>
      </w:r>
      <w:r>
        <w:rPr>
          <w:lang w:val="en-GB"/>
        </w:rPr>
        <w:t>1993</w:t>
      </w:r>
      <w:r>
        <w:rPr>
          <w:rFonts w:hint="eastAsia"/>
          <w:lang w:val="en-GB"/>
        </w:rPr>
        <w:t>年第九十三号法令对一个一般条例所规定的那样，涉及到受聘从事有组织工作的人员。《职业安全的法令》第九条第</w:t>
      </w:r>
      <w:r>
        <w:rPr>
          <w:rFonts w:hint="eastAsia"/>
          <w:lang w:val="en-GB"/>
        </w:rPr>
        <w:t>87</w:t>
      </w:r>
      <w:r>
        <w:rPr>
          <w:rFonts w:hint="eastAsia"/>
          <w:lang w:val="en-GB"/>
        </w:rPr>
        <w:t>款将有组织工作定义如下：</w:t>
      </w:r>
    </w:p>
    <w:p w:rsidR="00000000" w:rsidRDefault="00000000">
      <w:pPr>
        <w:ind w:left="1040"/>
        <w:rPr>
          <w:rFonts w:hint="eastAsia"/>
          <w:lang w:val="en-GB"/>
        </w:rPr>
      </w:pPr>
      <w:r>
        <w:rPr>
          <w:lang w:val="en-GB"/>
        </w:rPr>
        <w:tab/>
      </w:r>
      <w:r>
        <w:rPr>
          <w:rFonts w:hint="eastAsia"/>
          <w:lang w:val="en-GB"/>
        </w:rPr>
        <w:t>“</w:t>
      </w:r>
      <w:r>
        <w:rPr>
          <w:rFonts w:eastAsia="KaiTi_GB2312" w:hint="eastAsia"/>
          <w:iCs/>
          <w:snapToGrid/>
          <w:spacing w:val="0"/>
          <w:lang w:val="en-GB"/>
        </w:rPr>
        <w:t>有组织工作</w:t>
      </w:r>
      <w:r>
        <w:rPr>
          <w:rFonts w:hint="eastAsia"/>
          <w:lang w:val="en-GB"/>
        </w:rPr>
        <w:t>：在一种雇用关系的框架内，在公务员制度里或者在公共服务的法律关系中，或者象合作社成员资格的一种具有雇用关系性质的法律关系中，在学员或学生从事实习训练的法律关系中，在教养所</w:t>
      </w:r>
      <w:r>
        <w:rPr>
          <w:rFonts w:hint="eastAsia"/>
          <w:lang w:val="en-GB"/>
        </w:rPr>
        <w:t>(</w:t>
      </w:r>
      <w:r>
        <w:rPr>
          <w:rFonts w:hint="eastAsia"/>
          <w:lang w:val="en-GB"/>
        </w:rPr>
        <w:t>被拘押或囚禁</w:t>
      </w:r>
      <w:r>
        <w:rPr>
          <w:rFonts w:hint="eastAsia"/>
          <w:lang w:val="en-GB"/>
        </w:rPr>
        <w:t>)</w:t>
      </w:r>
      <w:r>
        <w:rPr>
          <w:rFonts w:hint="eastAsia"/>
          <w:lang w:val="en-GB"/>
        </w:rPr>
        <w:t>的法律关系中，在一项公共行政决议的作用之下，或者是武装部队成员、武装组织、专业性公共消防队和专业性地方政府消防队的成员及其他执法组织在各自法律关系的框架内完成的任何工作，文职部门所做的工作以及工作单位提出的、掌管的或批准的社会工作项目。”</w:t>
      </w:r>
    </w:p>
    <w:p w:rsidR="00000000" w:rsidRDefault="00000000">
      <w:pPr>
        <w:rPr>
          <w:rFonts w:hint="eastAsia"/>
          <w:lang w:val="en-GB"/>
        </w:rPr>
      </w:pPr>
      <w:r>
        <w:rPr>
          <w:lang w:val="en-GB"/>
        </w:rPr>
        <w:tab/>
        <w:t xml:space="preserve">140.  </w:t>
      </w:r>
      <w:r>
        <w:rPr>
          <w:rFonts w:hint="eastAsia"/>
          <w:lang w:val="en-GB"/>
        </w:rPr>
        <w:t>为了确保工作安全、对健康无害，雇主必须根据《职业安全的法令》的规定，遵守部委有关政令的规定，确保有关规定得到遵照实行，要求其工作人员遵守这些规定。</w:t>
      </w:r>
    </w:p>
    <w:p w:rsidR="00000000" w:rsidRDefault="00000000">
      <w:pPr>
        <w:rPr>
          <w:rFonts w:hint="eastAsia"/>
          <w:lang w:val="en-GB"/>
        </w:rPr>
      </w:pPr>
      <w:r>
        <w:rPr>
          <w:lang w:val="en-GB"/>
        </w:rPr>
        <w:tab/>
        <w:t xml:space="preserve">141.  </w:t>
      </w:r>
      <w:r>
        <w:rPr>
          <w:rFonts w:hint="eastAsia"/>
          <w:lang w:val="en-GB"/>
        </w:rPr>
        <w:t>代表雇员在工作安全方面利益的职业安全代表</w:t>
      </w:r>
      <w:r>
        <w:rPr>
          <w:rFonts w:hint="eastAsia"/>
          <w:spacing w:val="-50"/>
          <w:lang w:val="en-GB"/>
        </w:rPr>
        <w:t>―</w:t>
      </w:r>
      <w:r>
        <w:rPr>
          <w:rFonts w:hint="eastAsia"/>
          <w:lang w:val="en-GB"/>
        </w:rPr>
        <w:t>―如果已经选出这种代表</w:t>
      </w:r>
      <w:r>
        <w:rPr>
          <w:rFonts w:hint="eastAsia"/>
          <w:spacing w:val="-50"/>
          <w:lang w:val="en-GB"/>
        </w:rPr>
        <w:t>―</w:t>
      </w:r>
      <w:r>
        <w:rPr>
          <w:rFonts w:hint="eastAsia"/>
          <w:lang w:val="en-GB"/>
        </w:rPr>
        <w:t>―为了实际落实有关立法和条例的规定，可提出意见，就雇主强制管辖范围外的问题提出建议。</w:t>
      </w:r>
    </w:p>
    <w:p w:rsidR="00000000" w:rsidRDefault="00000000">
      <w:pPr>
        <w:spacing w:after="240"/>
        <w:rPr>
          <w:rFonts w:hint="eastAsia"/>
          <w:lang w:val="en-GB"/>
        </w:rPr>
      </w:pPr>
      <w:r>
        <w:rPr>
          <w:lang w:val="en-GB"/>
        </w:rPr>
        <w:tab/>
        <w:t xml:space="preserve">142.  </w:t>
      </w:r>
      <w:r>
        <w:rPr>
          <w:rFonts w:hint="eastAsia"/>
          <w:lang w:val="en-GB"/>
        </w:rPr>
        <w:t>国家劳动和职业安全总监察署的劳动和职业安全监察员根据《职业安全法令》的授权，负责检查雇主是否履行其法定义务，采取措施确保工作安全，对健康无害。</w:t>
      </w:r>
    </w:p>
    <w:p w:rsidR="00000000" w:rsidRDefault="00000000">
      <w:pPr>
        <w:pStyle w:val="Heading4"/>
        <w:rPr>
          <w:rFonts w:eastAsia="KaiTi_GB2312"/>
          <w:snapToGrid/>
          <w:spacing w:val="0"/>
          <w:u w:val="none"/>
          <w:lang w:val="en-GB"/>
        </w:rPr>
      </w:pPr>
      <w:r>
        <w:rPr>
          <w:rFonts w:eastAsia="KaiTi_GB2312" w:hint="eastAsia"/>
          <w:snapToGrid/>
          <w:spacing w:val="0"/>
          <w:u w:val="none"/>
          <w:lang w:val="en-GB"/>
        </w:rPr>
        <w:t>立法对职业安全的掌控</w:t>
      </w:r>
    </w:p>
    <w:p w:rsidR="00000000" w:rsidRDefault="00000000">
      <w:pPr>
        <w:rPr>
          <w:rFonts w:hint="eastAsia"/>
          <w:lang w:val="en-GB"/>
        </w:rPr>
      </w:pPr>
      <w:r>
        <w:rPr>
          <w:lang w:val="en-GB"/>
        </w:rPr>
        <w:tab/>
        <w:t xml:space="preserve">143.  </w:t>
      </w:r>
      <w:r>
        <w:rPr>
          <w:lang w:val="en-GB"/>
        </w:rPr>
        <w:t>《</w:t>
      </w:r>
      <w:r>
        <w:rPr>
          <w:rFonts w:hint="eastAsia"/>
          <w:lang w:val="en-GB"/>
        </w:rPr>
        <w:t>劳动法》规定了匈牙利队职业安全的全部要求。《劳动法》近年来已数次修订。</w:t>
      </w:r>
      <w:r>
        <w:rPr>
          <w:lang w:val="en-GB"/>
        </w:rPr>
        <w:t>2001</w:t>
      </w:r>
      <w:r>
        <w:rPr>
          <w:lang w:val="en-GB"/>
        </w:rPr>
        <w:t>年第</w:t>
      </w:r>
      <w:r>
        <w:rPr>
          <w:rFonts w:hint="eastAsia"/>
          <w:lang w:val="en-GB"/>
        </w:rPr>
        <w:t>七十八号法令规定了风险评估、职业安全培训、职业安全代表、职业安全罚款、劳动和职业安全监察署的执法权限等新规则，对预防和工作地点这两个概念做了规定。</w:t>
      </w:r>
      <w:r>
        <w:rPr>
          <w:lang w:val="en-GB"/>
        </w:rPr>
        <w:t>200</w:t>
      </w:r>
      <w:r>
        <w:rPr>
          <w:rFonts w:hint="eastAsia"/>
          <w:lang w:val="en-GB"/>
        </w:rPr>
        <w:t>2</w:t>
      </w:r>
      <w:r>
        <w:rPr>
          <w:lang w:val="en-GB"/>
        </w:rPr>
        <w:t>年第</w:t>
      </w:r>
      <w:r>
        <w:rPr>
          <w:rFonts w:hint="eastAsia"/>
          <w:lang w:val="en-GB"/>
        </w:rPr>
        <w:t>五十三号修订法令协调更新了如下的规定：劳动工具</w:t>
      </w:r>
      <w:r>
        <w:rPr>
          <w:rFonts w:hint="eastAsia"/>
          <w:lang w:val="en-GB"/>
        </w:rPr>
        <w:t>/</w:t>
      </w:r>
      <w:r>
        <w:rPr>
          <w:rFonts w:hint="eastAsia"/>
          <w:lang w:val="en-GB"/>
        </w:rPr>
        <w:t>设备职业安全合格证书的颁发、危险劳动工具</w:t>
      </w:r>
      <w:r>
        <w:rPr>
          <w:rFonts w:hint="eastAsia"/>
          <w:lang w:val="en-GB"/>
        </w:rPr>
        <w:t>/</w:t>
      </w:r>
      <w:r>
        <w:rPr>
          <w:rFonts w:hint="eastAsia"/>
          <w:lang w:val="en-GB"/>
        </w:rPr>
        <w:t>设备的确定、工具</w:t>
      </w:r>
      <w:r>
        <w:rPr>
          <w:rFonts w:hint="eastAsia"/>
          <w:lang w:val="en-GB"/>
        </w:rPr>
        <w:t>/</w:t>
      </w:r>
      <w:r>
        <w:rPr>
          <w:rFonts w:hint="eastAsia"/>
          <w:lang w:val="en-GB"/>
        </w:rPr>
        <w:t>设备符合职业安全规定的安装、职业安全的初步评估、职业安全代表的选举、以及职业安全专家的运作。该修订法令调整了工商企业改址的概念，而且针对关于直接身处工作环境里的人员的法律条例，将工作地点的概念扩大适用于全部工作都是纯粹独立进行的私人个体户。法令将雇主的概念适用于那些聘用雇员个人和安排工人岗位的人。</w:t>
      </w:r>
    </w:p>
    <w:p w:rsidR="00000000" w:rsidRDefault="00000000">
      <w:pPr>
        <w:spacing w:after="240"/>
        <w:rPr>
          <w:rFonts w:hint="eastAsia"/>
          <w:lang w:val="en-GB"/>
        </w:rPr>
      </w:pPr>
      <w:r>
        <w:rPr>
          <w:lang w:val="en-GB"/>
        </w:rPr>
        <w:tab/>
        <w:t xml:space="preserve">144.  </w:t>
      </w:r>
      <w:r>
        <w:rPr>
          <w:rFonts w:hint="eastAsia"/>
          <w:lang w:val="en-GB"/>
        </w:rPr>
        <w:t>劳动部关于落实《劳动法》某些规定的第</w:t>
      </w:r>
      <w:r>
        <w:rPr>
          <w:lang w:val="en-GB"/>
        </w:rPr>
        <w:t>5/1993 (XII.26.)</w:t>
      </w:r>
      <w:r>
        <w:rPr>
          <w:rFonts w:hint="eastAsia"/>
          <w:lang w:val="en-GB"/>
        </w:rPr>
        <w:t>号部长令修订了就业和劳动部关于危险劳动工具</w:t>
      </w:r>
      <w:r>
        <w:rPr>
          <w:rFonts w:hint="eastAsia"/>
          <w:lang w:val="en-GB"/>
        </w:rPr>
        <w:t>/</w:t>
      </w:r>
      <w:r>
        <w:rPr>
          <w:rFonts w:hint="eastAsia"/>
          <w:lang w:val="en-GB"/>
        </w:rPr>
        <w:t>设备的第</w:t>
      </w:r>
      <w:r>
        <w:rPr>
          <w:lang w:val="en-GB"/>
        </w:rPr>
        <w:t>11/2002 (XII.28.)</w:t>
      </w:r>
      <w:r>
        <w:rPr>
          <w:rFonts w:hint="eastAsia"/>
          <w:lang w:val="en-GB"/>
        </w:rPr>
        <w:t>号部长令。上述政令规定危险级别属于第三级、雇员超过</w:t>
      </w:r>
      <w:r>
        <w:rPr>
          <w:lang w:val="en-GB"/>
        </w:rPr>
        <w:t>50</w:t>
      </w:r>
      <w:r>
        <w:rPr>
          <w:rFonts w:hint="eastAsia"/>
          <w:lang w:val="en-GB"/>
        </w:rPr>
        <w:t>人的雇主必须聘用一位合格的职业安全专家。政令修订了职业安全活动许可证颁发条件</w:t>
      </w:r>
      <w:r>
        <w:rPr>
          <w:rFonts w:hint="eastAsia"/>
          <w:lang w:val="en-GB"/>
        </w:rPr>
        <w:t>(2004</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日起生效</w:t>
      </w:r>
      <w:r>
        <w:rPr>
          <w:rFonts w:hint="eastAsia"/>
          <w:lang w:val="en-GB"/>
        </w:rPr>
        <w:t>)</w:t>
      </w:r>
      <w:r>
        <w:rPr>
          <w:rFonts w:hint="eastAsia"/>
          <w:lang w:val="en-GB"/>
        </w:rPr>
        <w:t>。为遵守欧统局统计资料内容的规定而补充制定的工伤事故报表也自</w:t>
      </w:r>
      <w:r>
        <w:rPr>
          <w:rFonts w:hint="eastAsia"/>
          <w:lang w:val="en-GB"/>
        </w:rPr>
        <w:t>2004</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日起生效采用。</w:t>
      </w:r>
    </w:p>
    <w:p w:rsidR="00000000" w:rsidRDefault="00000000">
      <w:pPr>
        <w:pStyle w:val="Heading4"/>
        <w:rPr>
          <w:rFonts w:eastAsia="KaiTi_GB2312"/>
          <w:snapToGrid/>
          <w:spacing w:val="0"/>
          <w:u w:val="none"/>
          <w:lang w:val="en-GB"/>
        </w:rPr>
      </w:pPr>
      <w:r>
        <w:rPr>
          <w:rFonts w:eastAsia="KaiTi_GB2312" w:hint="eastAsia"/>
          <w:snapToGrid/>
          <w:spacing w:val="0"/>
          <w:u w:val="none"/>
          <w:lang w:val="en-GB"/>
        </w:rPr>
        <w:t>工伤事故的趋势</w:t>
      </w:r>
    </w:p>
    <w:p w:rsidR="00000000" w:rsidRDefault="00000000">
      <w:pPr>
        <w:rPr>
          <w:rFonts w:hint="eastAsia"/>
          <w:lang w:val="en-GB"/>
        </w:rPr>
      </w:pPr>
      <w:r>
        <w:rPr>
          <w:lang w:val="en-GB"/>
        </w:rPr>
        <w:tab/>
        <w:t xml:space="preserve">145.  </w:t>
      </w:r>
      <w:r>
        <w:rPr>
          <w:rFonts w:hint="eastAsia"/>
          <w:lang w:val="en-GB"/>
        </w:rPr>
        <w:t>附件中的表格反映的工伤事故数量自</w:t>
      </w:r>
      <w:r>
        <w:rPr>
          <w:lang w:val="en-GB"/>
        </w:rPr>
        <w:t>1997</w:t>
      </w:r>
      <w:r>
        <w:rPr>
          <w:lang w:val="en-GB"/>
        </w:rPr>
        <w:t>年以</w:t>
      </w:r>
      <w:r>
        <w:rPr>
          <w:rFonts w:hint="eastAsia"/>
          <w:lang w:val="en-GB"/>
        </w:rPr>
        <w:t>来略降</w:t>
      </w:r>
      <w:r>
        <w:rPr>
          <w:lang w:val="en-GB"/>
        </w:rPr>
        <w:t>6%</w:t>
      </w:r>
      <w:r>
        <w:rPr>
          <w:lang w:val="en-GB"/>
        </w:rPr>
        <w:t>。工</w:t>
      </w:r>
      <w:r>
        <w:rPr>
          <w:rFonts w:hint="eastAsia"/>
          <w:lang w:val="en-GB"/>
        </w:rPr>
        <w:t>伤事故发生频率的各种指标情况如下：</w:t>
      </w:r>
      <w:r>
        <w:rPr>
          <w:lang w:val="en-GB"/>
        </w:rPr>
        <w:t>1997</w:t>
      </w:r>
      <w:r>
        <w:rPr>
          <w:lang w:val="en-GB"/>
        </w:rPr>
        <w:t>年每</w:t>
      </w:r>
      <w:r>
        <w:rPr>
          <w:lang w:val="en-GB"/>
        </w:rPr>
        <w:t>1000</w:t>
      </w:r>
      <w:r>
        <w:rPr>
          <w:rFonts w:hint="eastAsia"/>
          <w:lang w:val="en-GB"/>
        </w:rPr>
        <w:t>雇员</w:t>
      </w:r>
      <w:r>
        <w:rPr>
          <w:lang w:val="en-GB"/>
        </w:rPr>
        <w:t>7.9</w:t>
      </w:r>
      <w:r>
        <w:rPr>
          <w:lang w:val="en-GB"/>
        </w:rPr>
        <w:t>起，致命工</w:t>
      </w:r>
      <w:r>
        <w:rPr>
          <w:rFonts w:hint="eastAsia"/>
          <w:lang w:val="en-GB"/>
        </w:rPr>
        <w:t>伤事故每</w:t>
      </w:r>
      <w:r>
        <w:rPr>
          <w:lang w:val="en-GB"/>
        </w:rPr>
        <w:t>10</w:t>
      </w:r>
      <w:r>
        <w:rPr>
          <w:lang w:val="en-GB"/>
        </w:rPr>
        <w:t>万雇</w:t>
      </w:r>
      <w:r>
        <w:rPr>
          <w:rFonts w:hint="eastAsia"/>
          <w:lang w:val="en-GB"/>
        </w:rPr>
        <w:t>员</w:t>
      </w:r>
      <w:r>
        <w:rPr>
          <w:lang w:val="en-GB"/>
        </w:rPr>
        <w:t>4.1</w:t>
      </w:r>
      <w:r>
        <w:rPr>
          <w:lang w:val="en-GB"/>
        </w:rPr>
        <w:t>起</w:t>
      </w:r>
      <w:r>
        <w:rPr>
          <w:lang w:val="en-GB"/>
        </w:rPr>
        <w:t>(</w:t>
      </w:r>
      <w:r>
        <w:rPr>
          <w:lang w:val="en-GB"/>
        </w:rPr>
        <w:t>据中央</w:t>
      </w:r>
      <w:r>
        <w:rPr>
          <w:rFonts w:hint="eastAsia"/>
          <w:lang w:val="en-GB"/>
        </w:rPr>
        <w:t>统计局的统计数字表明当时的工作人员总数为</w:t>
      </w:r>
      <w:r>
        <w:rPr>
          <w:lang w:val="en-GB"/>
        </w:rPr>
        <w:t>3,646,300</w:t>
      </w:r>
      <w:r>
        <w:rPr>
          <w:lang w:val="en-GB"/>
        </w:rPr>
        <w:t>人</w:t>
      </w:r>
      <w:r>
        <w:rPr>
          <w:lang w:val="en-GB"/>
        </w:rPr>
        <w:t>)</w:t>
      </w:r>
      <w:r>
        <w:rPr>
          <w:lang w:val="en-GB"/>
        </w:rPr>
        <w:t>。</w:t>
      </w:r>
      <w:r>
        <w:rPr>
          <w:lang w:val="en-GB"/>
        </w:rPr>
        <w:t>2002</w:t>
      </w:r>
      <w:r>
        <w:rPr>
          <w:lang w:val="en-GB"/>
        </w:rPr>
        <w:t>年，工</w:t>
      </w:r>
      <w:r>
        <w:rPr>
          <w:rFonts w:hint="eastAsia"/>
          <w:lang w:val="en-GB"/>
        </w:rPr>
        <w:t>伤事故每</w:t>
      </w:r>
      <w:r>
        <w:rPr>
          <w:lang w:val="en-GB"/>
        </w:rPr>
        <w:t>1000</w:t>
      </w:r>
      <w:r>
        <w:rPr>
          <w:lang w:val="en-GB"/>
        </w:rPr>
        <w:t>名雇</w:t>
      </w:r>
      <w:r>
        <w:rPr>
          <w:rFonts w:hint="eastAsia"/>
          <w:lang w:val="en-GB"/>
        </w:rPr>
        <w:t>员</w:t>
      </w:r>
      <w:r>
        <w:rPr>
          <w:lang w:val="en-GB"/>
        </w:rPr>
        <w:t>6.5</w:t>
      </w:r>
      <w:r>
        <w:rPr>
          <w:lang w:val="en-GB"/>
        </w:rPr>
        <w:t>起，致命工</w:t>
      </w:r>
      <w:r>
        <w:rPr>
          <w:rFonts w:hint="eastAsia"/>
          <w:lang w:val="en-GB"/>
        </w:rPr>
        <w:t>伤事故每</w:t>
      </w:r>
      <w:r>
        <w:rPr>
          <w:lang w:val="en-GB"/>
        </w:rPr>
        <w:t>10</w:t>
      </w:r>
      <w:r>
        <w:rPr>
          <w:lang w:val="en-GB"/>
        </w:rPr>
        <w:t>万雇</w:t>
      </w:r>
      <w:r>
        <w:rPr>
          <w:rFonts w:hint="eastAsia"/>
          <w:lang w:val="en-GB"/>
        </w:rPr>
        <w:t>员</w:t>
      </w:r>
      <w:r>
        <w:rPr>
          <w:lang w:val="en-GB"/>
        </w:rPr>
        <w:t>4.2</w:t>
      </w:r>
      <w:r>
        <w:rPr>
          <w:lang w:val="en-GB"/>
        </w:rPr>
        <w:t>起</w:t>
      </w:r>
      <w:r>
        <w:rPr>
          <w:lang w:val="en-GB"/>
        </w:rPr>
        <w:t>(</w:t>
      </w:r>
      <w:r>
        <w:rPr>
          <w:lang w:val="en-GB"/>
        </w:rPr>
        <w:t>据中央</w:t>
      </w:r>
      <w:r>
        <w:rPr>
          <w:rFonts w:hint="eastAsia"/>
          <w:lang w:val="en-GB"/>
        </w:rPr>
        <w:t>统计局统计资料表明当时工作人员总数为</w:t>
      </w:r>
      <w:r>
        <w:rPr>
          <w:lang w:val="en-GB"/>
        </w:rPr>
        <w:t>3,870,600</w:t>
      </w:r>
      <w:r>
        <w:rPr>
          <w:rFonts w:hint="eastAsia"/>
          <w:lang w:val="en-GB"/>
        </w:rPr>
        <w:t>人</w:t>
      </w:r>
      <w:r>
        <w:rPr>
          <w:rFonts w:hint="eastAsia"/>
          <w:lang w:val="en-GB"/>
        </w:rPr>
        <w:t>)</w:t>
      </w:r>
      <w:r>
        <w:rPr>
          <w:rFonts w:hint="eastAsia"/>
          <w:lang w:val="en-GB"/>
        </w:rPr>
        <w:t>。</w:t>
      </w:r>
    </w:p>
    <w:p w:rsidR="00000000" w:rsidRDefault="00000000">
      <w:pPr>
        <w:rPr>
          <w:rFonts w:hint="eastAsia"/>
          <w:lang w:val="en-GB"/>
        </w:rPr>
      </w:pPr>
      <w:r>
        <w:rPr>
          <w:lang w:val="en-GB"/>
        </w:rPr>
        <w:tab/>
        <w:t>146.  (</w:t>
      </w:r>
      <w:r>
        <w:rPr>
          <w:lang w:val="en-GB"/>
        </w:rPr>
        <w:t>危</w:t>
      </w:r>
      <w:r>
        <w:rPr>
          <w:rFonts w:hint="eastAsia"/>
          <w:lang w:val="en-GB"/>
        </w:rPr>
        <w:t>险工伤事故范围内的</w:t>
      </w:r>
      <w:r>
        <w:rPr>
          <w:lang w:val="en-GB"/>
        </w:rPr>
        <w:t>)</w:t>
      </w:r>
      <w:r>
        <w:rPr>
          <w:lang w:val="en-GB"/>
        </w:rPr>
        <w:t>致命工</w:t>
      </w:r>
      <w:r>
        <w:rPr>
          <w:rFonts w:hint="eastAsia"/>
          <w:lang w:val="en-GB"/>
        </w:rPr>
        <w:t>伤事故的数目大幅增加，这种情况相当不利。形成这个统计结果的决定性因素是运输部门致命工伤事故增加了</w:t>
      </w:r>
      <w:r>
        <w:rPr>
          <w:lang w:val="en-GB"/>
        </w:rPr>
        <w:t>10%</w:t>
      </w:r>
      <w:r>
        <w:rPr>
          <w:lang w:val="en-GB"/>
        </w:rPr>
        <w:t>，建筑</w:t>
      </w:r>
      <w:r>
        <w:rPr>
          <w:rFonts w:hint="eastAsia"/>
          <w:lang w:val="en-GB"/>
        </w:rPr>
        <w:t>业增加</w:t>
      </w:r>
      <w:r>
        <w:rPr>
          <w:lang w:val="en-GB"/>
        </w:rPr>
        <w:t>36%</w:t>
      </w:r>
      <w:r>
        <w:rPr>
          <w:lang w:val="en-GB"/>
        </w:rPr>
        <w:t>。</w:t>
      </w:r>
    </w:p>
    <w:p w:rsidR="00000000" w:rsidRDefault="00000000">
      <w:pPr>
        <w:rPr>
          <w:rFonts w:hint="eastAsia"/>
          <w:lang w:val="en-GB"/>
        </w:rPr>
      </w:pPr>
      <w:r>
        <w:rPr>
          <w:lang w:val="en-GB"/>
        </w:rPr>
        <w:tab/>
        <w:t xml:space="preserve">147.  </w:t>
      </w:r>
      <w:r>
        <w:rPr>
          <w:rFonts w:hint="eastAsia"/>
          <w:lang w:val="en-GB"/>
        </w:rPr>
        <w:t>建筑业的大部分事故是</w:t>
      </w:r>
      <w:r>
        <w:t>从高处摔下</w:t>
      </w:r>
      <w:r>
        <w:rPr>
          <w:rFonts w:hint="eastAsia"/>
        </w:rPr>
        <w:t>造成的。原因是雇员和雇主都没有确实妥当防范这种情况的发生。这部分是由于如下的经济因素：雇主不保证按要求搭建脚手架，也不保证提供个人保护用品，目的是为了省钱。同时，雇员自以为有经验，往往是多年的经验，连这显然的安全操作规定都不遵守。</w:t>
      </w:r>
    </w:p>
    <w:p w:rsidR="00000000" w:rsidRDefault="00000000">
      <w:pPr>
        <w:spacing w:after="320"/>
        <w:rPr>
          <w:lang w:val="en-GB"/>
        </w:rPr>
      </w:pPr>
      <w:r>
        <w:rPr>
          <w:lang w:val="en-GB"/>
        </w:rPr>
        <w:tab/>
        <w:t xml:space="preserve">148.  </w:t>
      </w:r>
      <w:r>
        <w:rPr>
          <w:rFonts w:hint="eastAsia"/>
          <w:lang w:val="en-GB"/>
        </w:rPr>
        <w:t>建筑业中致命工伤事故发生数量处于第二位的是深层结构建造部门，其下水道建造部门。造成死亡的直接原因是沟渠工作面支撑设施不足，原因还在于‘节省’支撑材料以及赶工期。</w:t>
      </w:r>
    </w:p>
    <w:p w:rsidR="00000000" w:rsidRDefault="00000000">
      <w:pPr>
        <w:pStyle w:val="Heading3"/>
      </w:pPr>
      <w:r>
        <w:rPr>
          <w:rFonts w:hint="eastAsia"/>
        </w:rPr>
        <w:t>劳动法关于休息时间和业余时间的规定</w:t>
      </w:r>
    </w:p>
    <w:p w:rsidR="00000000" w:rsidRDefault="00000000">
      <w:pPr>
        <w:rPr>
          <w:rFonts w:hint="eastAsia"/>
          <w:lang w:val="en-GB"/>
        </w:rPr>
      </w:pPr>
      <w:r>
        <w:rPr>
          <w:lang w:val="en-GB"/>
        </w:rPr>
        <w:tab/>
        <w:t xml:space="preserve">149.  </w:t>
      </w:r>
      <w:r>
        <w:rPr>
          <w:rFonts w:hint="eastAsia"/>
          <w:lang w:val="en-GB"/>
        </w:rPr>
        <w:t>《劳动法》专辟一章规定工作时间和工休期</w:t>
      </w:r>
      <w:r>
        <w:rPr>
          <w:rFonts w:hint="eastAsia"/>
          <w:lang w:val="en-GB"/>
        </w:rPr>
        <w:t>(</w:t>
      </w:r>
      <w:r>
        <w:rPr>
          <w:rFonts w:hint="eastAsia"/>
          <w:lang w:val="en-GB"/>
        </w:rPr>
        <w:t>第六章第三部分</w:t>
      </w:r>
      <w:r>
        <w:rPr>
          <w:rFonts w:hint="eastAsia"/>
          <w:lang w:val="en-GB"/>
        </w:rPr>
        <w:t>)</w:t>
      </w:r>
      <w:r>
        <w:rPr>
          <w:rFonts w:hint="eastAsia"/>
          <w:lang w:val="en-GB"/>
        </w:rPr>
        <w:t>。关于休息时间，雇主至少必须作出如下规定：</w:t>
      </w:r>
    </w:p>
    <w:p w:rsidR="00000000" w:rsidRDefault="00000000">
      <w:pPr>
        <w:pStyle w:val="a"/>
        <w:ind w:left="1550"/>
        <w:rPr>
          <w:lang w:val="en-GB"/>
        </w:rPr>
      </w:pPr>
      <w:r>
        <w:rPr>
          <w:rFonts w:hint="eastAsia"/>
          <w:lang w:val="en-GB"/>
        </w:rPr>
        <w:t>工间休息一般至少</w:t>
      </w:r>
      <w:r>
        <w:rPr>
          <w:lang w:val="en-GB"/>
        </w:rPr>
        <w:t>20</w:t>
      </w:r>
      <w:r>
        <w:rPr>
          <w:rFonts w:hint="eastAsia"/>
          <w:lang w:val="en-GB"/>
        </w:rPr>
        <w:t>分钟，</w:t>
      </w:r>
    </w:p>
    <w:p w:rsidR="00000000" w:rsidRDefault="00000000">
      <w:pPr>
        <w:pStyle w:val="a"/>
        <w:ind w:left="1550"/>
        <w:rPr>
          <w:lang w:val="en-GB"/>
        </w:rPr>
      </w:pPr>
      <w:r>
        <w:rPr>
          <w:rFonts w:hint="eastAsia"/>
          <w:lang w:val="en-GB"/>
        </w:rPr>
        <w:t>每天休息至少是</w:t>
      </w:r>
      <w:r>
        <w:rPr>
          <w:lang w:val="en-GB"/>
        </w:rPr>
        <w:t>11</w:t>
      </w:r>
      <w:r>
        <w:rPr>
          <w:rFonts w:hint="eastAsia"/>
          <w:lang w:val="en-GB"/>
        </w:rPr>
        <w:t>小时，</w:t>
      </w:r>
    </w:p>
    <w:p w:rsidR="00000000" w:rsidRDefault="00000000">
      <w:pPr>
        <w:pStyle w:val="a"/>
        <w:ind w:left="1550"/>
        <w:rPr>
          <w:lang w:val="en-GB"/>
        </w:rPr>
      </w:pPr>
      <w:r>
        <w:rPr>
          <w:rFonts w:hint="eastAsia"/>
          <w:lang w:val="en-GB"/>
        </w:rPr>
        <w:t>每周休息两天，</w:t>
      </w:r>
    </w:p>
    <w:p w:rsidR="00000000" w:rsidRDefault="00000000">
      <w:pPr>
        <w:pStyle w:val="a"/>
        <w:ind w:left="1550"/>
        <w:rPr>
          <w:lang w:val="en-GB"/>
        </w:rPr>
      </w:pPr>
      <w:r>
        <w:rPr>
          <w:rFonts w:hint="eastAsia"/>
          <w:lang w:val="en-GB"/>
        </w:rPr>
        <w:t>假期。</w:t>
      </w:r>
    </w:p>
    <w:p w:rsidR="00000000" w:rsidRDefault="00000000">
      <w:pPr>
        <w:rPr>
          <w:lang w:val="en-GB"/>
        </w:rPr>
      </w:pPr>
      <w:r>
        <w:rPr>
          <w:lang w:val="en-GB"/>
        </w:rPr>
        <w:tab/>
        <w:t xml:space="preserve">150.  </w:t>
      </w:r>
      <w:r>
        <w:rPr>
          <w:rFonts w:hint="eastAsia"/>
          <w:lang w:val="en-GB"/>
        </w:rPr>
        <w:t>雇员至少有权停止工作一般休息</w:t>
      </w:r>
      <w:r>
        <w:rPr>
          <w:lang w:val="en-GB"/>
        </w:rPr>
        <w:t>20</w:t>
      </w:r>
      <w:r>
        <w:rPr>
          <w:rFonts w:hint="eastAsia"/>
          <w:lang w:val="en-GB"/>
        </w:rPr>
        <w:t>分钟</w:t>
      </w:r>
    </w:p>
    <w:p w:rsidR="00000000" w:rsidRDefault="00000000">
      <w:pPr>
        <w:pStyle w:val="a"/>
        <w:ind w:left="1550"/>
        <w:rPr>
          <w:lang w:val="en-GB"/>
        </w:rPr>
      </w:pPr>
      <w:r>
        <w:rPr>
          <w:rFonts w:hint="eastAsia"/>
          <w:lang w:val="en-GB"/>
        </w:rPr>
        <w:t>如果每天正常班工作时间，</w:t>
      </w:r>
    </w:p>
    <w:p w:rsidR="00000000" w:rsidRDefault="00000000">
      <w:pPr>
        <w:pStyle w:val="a"/>
        <w:ind w:left="1550"/>
        <w:rPr>
          <w:lang w:val="en-GB"/>
        </w:rPr>
      </w:pPr>
      <w:r>
        <w:rPr>
          <w:rFonts w:hint="eastAsia"/>
          <w:lang w:val="en-GB"/>
        </w:rPr>
        <w:t>或者特殊班工作时间超过六小时，</w:t>
      </w:r>
    </w:p>
    <w:p w:rsidR="00000000" w:rsidRDefault="00000000">
      <w:pPr>
        <w:pStyle w:val="a"/>
        <w:ind w:left="1550"/>
        <w:rPr>
          <w:lang w:val="en-GB"/>
        </w:rPr>
      </w:pPr>
      <w:r>
        <w:rPr>
          <w:rFonts w:hint="eastAsia"/>
          <w:lang w:val="en-GB"/>
        </w:rPr>
        <w:t>在每工作三小时之后，</w:t>
      </w:r>
    </w:p>
    <w:p w:rsidR="00000000" w:rsidRDefault="00000000">
      <w:pPr>
        <w:rPr>
          <w:lang w:val="en-GB"/>
        </w:rPr>
      </w:pPr>
      <w:r>
        <w:rPr>
          <w:rFonts w:hint="eastAsia"/>
          <w:lang w:val="en-GB"/>
        </w:rPr>
        <w:t>这种休息按照《劳动法》规定主要是为了用餐，如果其他法律有规定或者有关各方商定，这种休息才算在工作时间内，一般情况下不算作工作时间</w:t>
      </w:r>
      <w:r>
        <w:rPr>
          <w:rFonts w:hint="eastAsia"/>
          <w:lang w:val="en-GB"/>
        </w:rPr>
        <w:t>(</w:t>
      </w:r>
      <w:r>
        <w:rPr>
          <w:rFonts w:hint="eastAsia"/>
          <w:lang w:val="en-GB"/>
        </w:rPr>
        <w:t>《劳动法》第</w:t>
      </w:r>
      <w:r>
        <w:rPr>
          <w:lang w:val="en-GB"/>
        </w:rPr>
        <w:t>117</w:t>
      </w:r>
      <w:r>
        <w:rPr>
          <w:rFonts w:hint="eastAsia"/>
          <w:lang w:val="en-GB"/>
        </w:rPr>
        <w:t>条</w:t>
      </w:r>
      <w:r>
        <w:rPr>
          <w:lang w:val="en-GB"/>
        </w:rPr>
        <w:t>(1)</w:t>
      </w:r>
      <w:r>
        <w:rPr>
          <w:rFonts w:hint="eastAsia"/>
          <w:lang w:val="en-GB"/>
        </w:rPr>
        <w:t>分节</w:t>
      </w:r>
      <w:r>
        <w:t xml:space="preserve">a) </w:t>
      </w:r>
      <w:r>
        <w:rPr>
          <w:rFonts w:hint="eastAsia"/>
          <w:lang w:val="en-GB"/>
        </w:rPr>
        <w:t>款和第</w:t>
      </w:r>
      <w:r>
        <w:rPr>
          <w:rFonts w:hint="eastAsia"/>
          <w:lang w:val="en-GB"/>
        </w:rPr>
        <w:t>122</w:t>
      </w:r>
      <w:r>
        <w:rPr>
          <w:rFonts w:hint="eastAsia"/>
          <w:lang w:val="en-GB"/>
        </w:rPr>
        <w:t>条</w:t>
      </w:r>
      <w:r>
        <w:rPr>
          <w:rFonts w:hint="eastAsia"/>
          <w:lang w:val="en-GB"/>
        </w:rPr>
        <w:t>)</w:t>
      </w:r>
      <w:r>
        <w:rPr>
          <w:rFonts w:hint="eastAsia"/>
          <w:lang w:val="en-GB"/>
        </w:rPr>
        <w:t>。</w:t>
      </w:r>
    </w:p>
    <w:p w:rsidR="00000000" w:rsidRDefault="00000000">
      <w:pPr>
        <w:rPr>
          <w:lang w:val="en-GB"/>
        </w:rPr>
      </w:pPr>
      <w:r>
        <w:rPr>
          <w:lang w:val="en-GB"/>
        </w:rPr>
        <w:tab/>
        <w:t xml:space="preserve">151.  </w:t>
      </w:r>
      <w:r>
        <w:rPr>
          <w:rFonts w:hint="eastAsia"/>
          <w:lang w:val="en-GB"/>
        </w:rPr>
        <w:t>从一天工作结束到第二天工作开始之间的休息时间至少要达到</w:t>
      </w:r>
      <w:r>
        <w:rPr>
          <w:lang w:val="en-GB"/>
        </w:rPr>
        <w:t>11</w:t>
      </w:r>
      <w:r>
        <w:rPr>
          <w:rFonts w:hint="eastAsia"/>
          <w:lang w:val="en-GB"/>
        </w:rPr>
        <w:t>小时，但是在某些情况下至少达到</w:t>
      </w:r>
      <w:r>
        <w:rPr>
          <w:lang w:val="en-GB"/>
        </w:rPr>
        <w:t>8</w:t>
      </w:r>
      <w:r>
        <w:rPr>
          <w:rFonts w:hint="eastAsia"/>
          <w:lang w:val="en-GB"/>
        </w:rPr>
        <w:t>小时。每天休息</w:t>
      </w:r>
      <w:r>
        <w:rPr>
          <w:lang w:val="en-GB"/>
        </w:rPr>
        <w:t>8</w:t>
      </w:r>
      <w:r>
        <w:rPr>
          <w:rFonts w:hint="eastAsia"/>
          <w:lang w:val="en-GB"/>
        </w:rPr>
        <w:t>小时只可以由集体协议规定</w:t>
      </w:r>
      <w:r>
        <w:rPr>
          <w:lang w:val="en-GB"/>
        </w:rPr>
        <w:t>(</w:t>
      </w:r>
      <w:r>
        <w:rPr>
          <w:rFonts w:hint="eastAsia"/>
          <w:lang w:val="en-GB"/>
        </w:rPr>
        <w:t>即不得由各方的协议规定</w:t>
      </w:r>
      <w:r>
        <w:rPr>
          <w:rFonts w:hint="eastAsia"/>
          <w:lang w:val="en-GB"/>
        </w:rPr>
        <w:t>)</w:t>
      </w:r>
      <w:r>
        <w:rPr>
          <w:rFonts w:hint="eastAsia"/>
          <w:lang w:val="en-GB"/>
        </w:rPr>
        <w:t>。这只有在待命工作、连续工作两班或者几班或者从事季节性工作的情况下才有可能</w:t>
      </w:r>
      <w:r>
        <w:rPr>
          <w:lang w:val="en-GB"/>
        </w:rPr>
        <w:t>(</w:t>
      </w:r>
      <w:r>
        <w:rPr>
          <w:rFonts w:hint="eastAsia"/>
          <w:lang w:val="en-GB"/>
        </w:rPr>
        <w:t>《劳动法》第</w:t>
      </w:r>
      <w:r>
        <w:rPr>
          <w:lang w:val="en-GB"/>
        </w:rPr>
        <w:t>123</w:t>
      </w:r>
      <w:r>
        <w:rPr>
          <w:rFonts w:hint="eastAsia"/>
          <w:lang w:val="en-GB"/>
        </w:rPr>
        <w:t>条</w:t>
      </w:r>
      <w:r>
        <w:rPr>
          <w:lang w:val="en-GB"/>
        </w:rPr>
        <w:t>(1)</w:t>
      </w:r>
      <w:r>
        <w:rPr>
          <w:rFonts w:hint="eastAsia"/>
          <w:lang w:val="en-GB"/>
        </w:rPr>
        <w:t>和</w:t>
      </w:r>
      <w:r>
        <w:rPr>
          <w:lang w:val="en-GB"/>
        </w:rPr>
        <w:t>(2)</w:t>
      </w:r>
      <w:r>
        <w:rPr>
          <w:rFonts w:hint="eastAsia"/>
          <w:lang w:val="en-GB"/>
        </w:rPr>
        <w:t>分节</w:t>
      </w:r>
      <w:r>
        <w:rPr>
          <w:rFonts w:hint="eastAsia"/>
          <w:lang w:val="en-GB"/>
        </w:rPr>
        <w:t>)</w:t>
      </w:r>
      <w:r>
        <w:rPr>
          <w:rFonts w:hint="eastAsia"/>
          <w:lang w:val="en-GB"/>
        </w:rPr>
        <w:t>。</w:t>
      </w:r>
    </w:p>
    <w:p w:rsidR="00000000" w:rsidRDefault="00000000">
      <w:pPr>
        <w:rPr>
          <w:rFonts w:hint="eastAsia"/>
          <w:lang w:val="en-GB"/>
        </w:rPr>
      </w:pPr>
      <w:r>
        <w:rPr>
          <w:lang w:val="en-GB"/>
        </w:rPr>
        <w:tab/>
        <w:t xml:space="preserve">152.  </w:t>
      </w:r>
      <w:r>
        <w:rPr>
          <w:rFonts w:hint="eastAsia"/>
          <w:lang w:val="en-GB"/>
        </w:rPr>
        <w:t>如责成雇员从事特殊班的工作，必须遵守每日总休息时间的规定，每日休息时间一概规定为连续休息时间。如果雇主不保证每天从一天工作结束到第二天工作正常时间开始之前的法定休息时间</w:t>
      </w:r>
      <w:r>
        <w:rPr>
          <w:rFonts w:hint="eastAsia"/>
          <w:lang w:val="en-GB"/>
        </w:rPr>
        <w:t>(</w:t>
      </w:r>
      <w:r>
        <w:rPr>
          <w:rFonts w:hint="eastAsia"/>
          <w:lang w:val="en-GB"/>
        </w:rPr>
        <w:t>如由于从事特殊班工作</w:t>
      </w:r>
      <w:r>
        <w:rPr>
          <w:rFonts w:hint="eastAsia"/>
          <w:lang w:val="en-GB"/>
        </w:rPr>
        <w:t>)</w:t>
      </w:r>
      <w:r>
        <w:rPr>
          <w:rFonts w:hint="eastAsia"/>
          <w:lang w:val="en-GB"/>
        </w:rPr>
        <w:t>，则雇员重新开始工作的时间只能是在他每日有权休息的时间里已经得到休息之后。第二天雇员完全有理由晚开始工作。同样，只有集体协议才可以规定雇员在待命期之后没有资格再休息</w:t>
      </w:r>
      <w:r>
        <w:rPr>
          <w:rFonts w:hint="eastAsia"/>
          <w:lang w:val="en-GB"/>
        </w:rPr>
        <w:t>(</w:t>
      </w:r>
      <w:r>
        <w:rPr>
          <w:rFonts w:hint="eastAsia"/>
          <w:lang w:val="en-GB"/>
        </w:rPr>
        <w:t>《劳动法》第</w:t>
      </w:r>
      <w:r>
        <w:rPr>
          <w:lang w:val="en-GB"/>
        </w:rPr>
        <w:t>123</w:t>
      </w:r>
      <w:r>
        <w:rPr>
          <w:rFonts w:hint="eastAsia"/>
          <w:lang w:val="en-GB"/>
        </w:rPr>
        <w:t>条</w:t>
      </w:r>
      <w:r>
        <w:rPr>
          <w:lang w:val="en-GB"/>
        </w:rPr>
        <w:t>(3)</w:t>
      </w:r>
      <w:r>
        <w:rPr>
          <w:rFonts w:hint="eastAsia"/>
          <w:lang w:val="en-GB"/>
        </w:rPr>
        <w:t>分节</w:t>
      </w:r>
      <w:r>
        <w:rPr>
          <w:rFonts w:hint="eastAsia"/>
          <w:lang w:val="en-GB"/>
        </w:rPr>
        <w:t>)</w:t>
      </w:r>
      <w:r>
        <w:rPr>
          <w:rFonts w:hint="eastAsia"/>
          <w:lang w:val="en-GB"/>
        </w:rPr>
        <w:t>。</w:t>
      </w:r>
    </w:p>
    <w:p w:rsidR="00000000" w:rsidRDefault="00000000">
      <w:pPr>
        <w:spacing w:after="240"/>
        <w:rPr>
          <w:rFonts w:hint="eastAsia"/>
          <w:lang w:val="en-GB"/>
        </w:rPr>
      </w:pPr>
      <w:r>
        <w:rPr>
          <w:lang w:val="en-GB"/>
        </w:rPr>
        <w:tab/>
        <w:t xml:space="preserve">153.  </w:t>
      </w:r>
      <w:r>
        <w:rPr>
          <w:rFonts w:hint="eastAsia"/>
          <w:lang w:val="en-GB"/>
        </w:rPr>
        <w:t>每周休息时间的一般规则是雇员每周必须得到两天休息时间，其中有一天必须是星期日。法令允许这条一般规则可以有两种变通办法：或则保证雇员可以按特别规定的时间休息，而不是休息一天，或则就是允许雇员合并休息几天。因此，如果工作时间有周期性，则雇员可以根据自己的工作时间表得到总数为</w:t>
      </w:r>
      <w:r>
        <w:rPr>
          <w:lang w:val="en-GB"/>
        </w:rPr>
        <w:t>48</w:t>
      </w:r>
      <w:r>
        <w:rPr>
          <w:rFonts w:hint="eastAsia"/>
          <w:lang w:val="en-GB"/>
        </w:rPr>
        <w:t>小时的连续休息时间，而不是按必须包括星期日在内的休息天进行休息。</w:t>
      </w:r>
    </w:p>
    <w:p w:rsidR="00000000" w:rsidRDefault="00000000">
      <w:pPr>
        <w:pStyle w:val="Heading4"/>
        <w:rPr>
          <w:rFonts w:eastAsia="KaiTi_GB2312"/>
          <w:snapToGrid/>
          <w:spacing w:val="0"/>
          <w:u w:val="none"/>
          <w:lang w:val="en-GB"/>
        </w:rPr>
      </w:pPr>
      <w:r>
        <w:rPr>
          <w:rFonts w:eastAsia="KaiTi_GB2312" w:hint="eastAsia"/>
          <w:snapToGrid/>
          <w:spacing w:val="0"/>
          <w:u w:val="none"/>
          <w:lang w:val="en-GB"/>
        </w:rPr>
        <w:t>休假工资</w:t>
      </w:r>
    </w:p>
    <w:p w:rsidR="00000000" w:rsidRDefault="00000000">
      <w:pPr>
        <w:rPr>
          <w:rFonts w:hint="eastAsia"/>
          <w:lang w:val="en-GB"/>
        </w:rPr>
      </w:pPr>
      <w:r>
        <w:rPr>
          <w:lang w:val="en-GB"/>
        </w:rPr>
        <w:tab/>
        <w:t xml:space="preserve">154.  </w:t>
      </w:r>
      <w:r>
        <w:rPr>
          <w:rFonts w:hint="eastAsia"/>
          <w:lang w:val="en-GB"/>
        </w:rPr>
        <w:t>依照一般规则规定，雇员在法定假日不得工作，有权得到这一期间的请假费。请假费相当于雇员停工休假这段时间的基本工资；外加按比例正常工资补助额；同时领取</w:t>
      </w:r>
      <w:r>
        <w:rPr>
          <w:rFonts w:hint="eastAsia"/>
          <w:iCs/>
          <w:lang w:val="en-GB"/>
        </w:rPr>
        <w:t>额</w:t>
      </w:r>
      <w:r>
        <w:rPr>
          <w:rFonts w:hint="eastAsia"/>
          <w:lang w:val="en-GB"/>
        </w:rPr>
        <w:t>外工作和加班完成工作的按比例平均额外补助</w:t>
      </w:r>
      <w:r>
        <w:rPr>
          <w:rFonts w:hint="eastAsia"/>
          <w:lang w:val="en-GB"/>
        </w:rPr>
        <w:t>(</w:t>
      </w:r>
      <w:r>
        <w:rPr>
          <w:rFonts w:hint="eastAsia"/>
          <w:lang w:val="en-GB"/>
        </w:rPr>
        <w:t>《劳动法》第</w:t>
      </w:r>
      <w:r>
        <w:rPr>
          <w:lang w:val="en-GB"/>
        </w:rPr>
        <w:t>151/A</w:t>
      </w:r>
      <w:r>
        <w:rPr>
          <w:rFonts w:hint="eastAsia"/>
          <w:lang w:val="en-GB"/>
        </w:rPr>
        <w:t>条</w:t>
      </w:r>
      <w:r>
        <w:rPr>
          <w:lang w:val="en-GB"/>
        </w:rPr>
        <w:t>(1)</w:t>
      </w:r>
      <w:r>
        <w:rPr>
          <w:rFonts w:hint="eastAsia"/>
          <w:lang w:val="en-GB"/>
        </w:rPr>
        <w:t>分节</w:t>
      </w:r>
      <w:r>
        <w:rPr>
          <w:rFonts w:hint="eastAsia"/>
          <w:lang w:val="en-GB"/>
        </w:rPr>
        <w:t>)</w:t>
      </w:r>
      <w:r>
        <w:rPr>
          <w:rFonts w:hint="eastAsia"/>
          <w:lang w:val="en-GB"/>
        </w:rPr>
        <w:t>。</w:t>
      </w:r>
    </w:p>
    <w:p w:rsidR="00000000" w:rsidRDefault="00000000">
      <w:pPr>
        <w:rPr>
          <w:lang w:val="en-GB"/>
        </w:rPr>
      </w:pPr>
      <w:r>
        <w:rPr>
          <w:lang w:val="en-GB"/>
        </w:rPr>
        <w:tab/>
        <w:t xml:space="preserve">155.  </w:t>
      </w:r>
      <w:r>
        <w:rPr>
          <w:rFonts w:hint="eastAsia"/>
          <w:lang w:val="en-GB"/>
        </w:rPr>
        <w:t>在有些情况下允许假日上班：</w:t>
      </w:r>
    </w:p>
    <w:p w:rsidR="00000000" w:rsidRDefault="00000000">
      <w:pPr>
        <w:pStyle w:val="a"/>
        <w:ind w:left="1550"/>
        <w:rPr>
          <w:rFonts w:hint="eastAsia"/>
          <w:lang w:val="en-GB"/>
        </w:rPr>
      </w:pPr>
      <w:r>
        <w:rPr>
          <w:rFonts w:hint="eastAsia"/>
          <w:lang w:val="en-GB"/>
        </w:rPr>
        <w:t>正常班：如果工作方式连续不断或者单位</w:t>
      </w:r>
      <w:r>
        <w:rPr>
          <w:rFonts w:hint="eastAsia"/>
          <w:lang w:val="en-GB"/>
        </w:rPr>
        <w:t>(</w:t>
      </w:r>
      <w:r>
        <w:rPr>
          <w:rFonts w:hint="eastAsia"/>
          <w:lang w:val="en-GB"/>
        </w:rPr>
        <w:t>或者工作</w:t>
      </w:r>
      <w:r>
        <w:rPr>
          <w:lang w:val="en-GB"/>
        </w:rPr>
        <w:t>)</w:t>
      </w:r>
      <w:r>
        <w:rPr>
          <w:rFonts w:hint="eastAsia"/>
          <w:lang w:val="en-GB"/>
        </w:rPr>
        <w:t>的业务性质要求连续作业。</w:t>
      </w:r>
    </w:p>
    <w:p w:rsidR="00000000" w:rsidRDefault="00000000">
      <w:pPr>
        <w:pStyle w:val="a"/>
        <w:ind w:left="1550"/>
        <w:rPr>
          <w:rFonts w:hint="eastAsia"/>
          <w:lang w:val="en-GB"/>
        </w:rPr>
      </w:pPr>
      <w:r>
        <w:rPr>
          <w:lang w:val="en-GB"/>
        </w:rPr>
        <w:t>特殊班：雇员可能需要在特别排定成正常工作时间的</w:t>
      </w:r>
      <w:r>
        <w:rPr>
          <w:rFonts w:hint="eastAsia"/>
          <w:lang w:val="en-GB"/>
        </w:rPr>
        <w:t>天里上班或者在遇到不可抗力时</w:t>
      </w:r>
      <w:r>
        <w:rPr>
          <w:rFonts w:hint="eastAsia"/>
          <w:lang w:val="en-GB"/>
        </w:rPr>
        <w:t>(</w:t>
      </w:r>
      <w:r>
        <w:rPr>
          <w:rFonts w:hint="eastAsia"/>
          <w:lang w:val="en-GB"/>
        </w:rPr>
        <w:t>由于事故、自然灾害、损坏或者为了消除对生命、健康、人生完整性构成的直接危害</w:t>
      </w:r>
      <w:r>
        <w:rPr>
          <w:lang w:val="en-GB"/>
        </w:rPr>
        <w:t>)</w:t>
      </w:r>
      <w:r>
        <w:rPr>
          <w:lang w:val="en-GB"/>
        </w:rPr>
        <w:t>而需要</w:t>
      </w:r>
      <w:r>
        <w:rPr>
          <w:rFonts w:hint="eastAsia"/>
          <w:lang w:val="en-GB"/>
        </w:rPr>
        <w:t>上班</w:t>
      </w:r>
      <w:r>
        <w:rPr>
          <w:rFonts w:hint="eastAsia"/>
          <w:lang w:val="en-GB"/>
        </w:rPr>
        <w:t>(</w:t>
      </w:r>
      <w:r>
        <w:rPr>
          <w:rFonts w:hint="eastAsia"/>
          <w:lang w:val="en-GB"/>
        </w:rPr>
        <w:t>《劳动法》第</w:t>
      </w:r>
      <w:r>
        <w:rPr>
          <w:lang w:val="en-GB"/>
        </w:rPr>
        <w:t>125</w:t>
      </w:r>
      <w:r>
        <w:rPr>
          <w:lang w:val="en-GB"/>
        </w:rPr>
        <w:t>节</w:t>
      </w:r>
      <w:r>
        <w:rPr>
          <w:lang w:val="en-GB"/>
        </w:rPr>
        <w:t>)</w:t>
      </w:r>
      <w:r>
        <w:rPr>
          <w:rFonts w:hint="eastAsia"/>
          <w:lang w:val="en-GB"/>
        </w:rPr>
        <w:t>。</w:t>
      </w:r>
    </w:p>
    <w:p w:rsidR="00000000" w:rsidRDefault="00000000">
      <w:pPr>
        <w:rPr>
          <w:rFonts w:hint="eastAsia"/>
          <w:lang w:val="en-GB"/>
        </w:rPr>
      </w:pPr>
      <w:r>
        <w:rPr>
          <w:lang w:val="en-GB"/>
        </w:rPr>
        <w:tab/>
        <w:t xml:space="preserve">156.  </w:t>
      </w:r>
      <w:r>
        <w:rPr>
          <w:rFonts w:hint="eastAsia"/>
          <w:lang w:val="en-GB"/>
        </w:rPr>
        <w:t>《劳动法》第</w:t>
      </w:r>
      <w:r>
        <w:rPr>
          <w:lang w:val="en-GB"/>
        </w:rPr>
        <w:t>149</w:t>
      </w:r>
      <w:r>
        <w:rPr>
          <w:lang w:val="en-GB"/>
        </w:rPr>
        <w:t>条详细规定了雇员在法定假日上正常班或特殊班之后除了其正常工资之外还应</w:t>
      </w:r>
      <w:r>
        <w:rPr>
          <w:rFonts w:hint="eastAsia"/>
          <w:lang w:val="en-GB"/>
        </w:rPr>
        <w:t>支付的</w:t>
      </w:r>
      <w:r>
        <w:rPr>
          <w:lang w:val="en-GB"/>
        </w:rPr>
        <w:t>报酬的名目。</w:t>
      </w:r>
    </w:p>
    <w:p w:rsidR="00000000" w:rsidRDefault="00000000">
      <w:pPr>
        <w:rPr>
          <w:rFonts w:hint="eastAsia"/>
          <w:lang w:val="en-GB"/>
        </w:rPr>
      </w:pPr>
      <w:r>
        <w:rPr>
          <w:lang w:val="en-GB"/>
        </w:rPr>
        <w:tab/>
        <w:t xml:space="preserve">157.  </w:t>
      </w:r>
      <w:r>
        <w:rPr>
          <w:rFonts w:hint="eastAsia"/>
          <w:lang w:val="en-GB"/>
        </w:rPr>
        <w:t>法定假日上正常班：</w:t>
      </w:r>
    </w:p>
    <w:p w:rsidR="00000000" w:rsidRDefault="00000000">
      <w:pPr>
        <w:pStyle w:val="a"/>
        <w:ind w:left="1550"/>
        <w:rPr>
          <w:rFonts w:hint="eastAsia"/>
          <w:lang w:val="en-GB"/>
        </w:rPr>
      </w:pPr>
      <w:r>
        <w:rPr>
          <w:rFonts w:hint="eastAsia"/>
          <w:lang w:val="en-GB"/>
        </w:rPr>
        <w:t>如果雇员领取月薪，则有权在正常月工资以外领取法定假日上班应得工资，</w:t>
      </w:r>
    </w:p>
    <w:p w:rsidR="00000000" w:rsidRDefault="00000000">
      <w:pPr>
        <w:pStyle w:val="a"/>
        <w:ind w:left="1550"/>
        <w:rPr>
          <w:rFonts w:hint="eastAsia"/>
          <w:lang w:val="en-GB"/>
        </w:rPr>
      </w:pPr>
      <w:r>
        <w:rPr>
          <w:rFonts w:hint="eastAsia"/>
          <w:lang w:val="en-GB"/>
        </w:rPr>
        <w:t>如果雇员领取计件工资或计时工资，则有权在法定假日上班应得工资以外领取请假费。</w:t>
      </w:r>
    </w:p>
    <w:p w:rsidR="00000000" w:rsidRDefault="00000000">
      <w:pPr>
        <w:spacing w:after="240"/>
        <w:rPr>
          <w:rFonts w:hint="eastAsia"/>
          <w:lang w:val="en-GB"/>
        </w:rPr>
      </w:pPr>
      <w:r>
        <w:rPr>
          <w:lang w:val="en-GB"/>
        </w:rPr>
        <w:tab/>
        <w:t xml:space="preserve">158.  </w:t>
      </w:r>
      <w:r>
        <w:rPr>
          <w:rFonts w:hint="eastAsia"/>
          <w:lang w:val="en-GB"/>
        </w:rPr>
        <w:t>雇员必须在法定假日完成特派工作的，有权在上述工资之外领取</w:t>
      </w:r>
      <w:r>
        <w:rPr>
          <w:rFonts w:hint="eastAsia"/>
          <w:lang w:val="en-GB"/>
        </w:rPr>
        <w:t>100%</w:t>
      </w:r>
      <w:r>
        <w:rPr>
          <w:rFonts w:hint="eastAsia"/>
          <w:lang w:val="en-GB"/>
        </w:rPr>
        <w:t>的补助工资。如果雇员获准补休，则这种补助减半。这种休息期或休息日必须在下一个月准予补上。如果特派工作十分频繁或者该项工作的报酬的计算太复杂，雇主可以确定一笔统一的费用，取代上述补助工资。</w:t>
      </w:r>
    </w:p>
    <w:p w:rsidR="00000000" w:rsidRDefault="00000000">
      <w:pPr>
        <w:pStyle w:val="Heading4"/>
        <w:rPr>
          <w:rFonts w:eastAsia="KaiTi_GB2312"/>
          <w:snapToGrid/>
          <w:spacing w:val="0"/>
          <w:u w:val="none"/>
          <w:lang w:val="en-GB"/>
        </w:rPr>
      </w:pPr>
      <w:r>
        <w:rPr>
          <w:rFonts w:eastAsia="KaiTi_GB2312" w:hint="eastAsia"/>
          <w:snapToGrid/>
          <w:spacing w:val="0"/>
          <w:u w:val="none"/>
          <w:lang w:val="en-GB"/>
        </w:rPr>
        <w:t>工作时间的合理限制</w:t>
      </w:r>
    </w:p>
    <w:p w:rsidR="00000000" w:rsidRDefault="00000000">
      <w:pPr>
        <w:rPr>
          <w:rFonts w:hint="eastAsia"/>
          <w:lang w:val="en-GB"/>
        </w:rPr>
      </w:pPr>
      <w:r>
        <w:rPr>
          <w:lang w:val="en-GB"/>
        </w:rPr>
        <w:tab/>
        <w:t xml:space="preserve">159.  </w:t>
      </w:r>
      <w:r>
        <w:rPr>
          <w:rFonts w:hint="eastAsia"/>
          <w:lang w:val="en-GB"/>
        </w:rPr>
        <w:t>依照《劳动法》的规定，每日工作时间指一个日历日或连续不断</w:t>
      </w:r>
      <w:r>
        <w:rPr>
          <w:lang w:val="en-GB"/>
        </w:rPr>
        <w:t>24</w:t>
      </w:r>
      <w:r>
        <w:rPr>
          <w:rFonts w:hint="eastAsia"/>
          <w:lang w:val="en-GB"/>
        </w:rPr>
        <w:t>小时的一段时间内的工作时间的长度。周工作时间指一个日历周或连续不断</w:t>
      </w:r>
      <w:r>
        <w:rPr>
          <w:lang w:val="en-GB"/>
        </w:rPr>
        <w:t>168</w:t>
      </w:r>
      <w:r>
        <w:rPr>
          <w:rFonts w:hint="eastAsia"/>
          <w:lang w:val="en-GB"/>
        </w:rPr>
        <w:t>小时的一段时间内的工作时间的长度</w:t>
      </w:r>
      <w:r>
        <w:rPr>
          <w:rFonts w:hint="eastAsia"/>
          <w:lang w:val="en-GB"/>
        </w:rPr>
        <w:t>(</w:t>
      </w:r>
      <w:r>
        <w:rPr>
          <w:rFonts w:hint="eastAsia"/>
          <w:lang w:val="en-GB"/>
        </w:rPr>
        <w:t>《劳动法》第</w:t>
      </w:r>
      <w:r>
        <w:rPr>
          <w:lang w:val="en-GB"/>
        </w:rPr>
        <w:t>171</w:t>
      </w:r>
      <w:r>
        <w:rPr>
          <w:rFonts w:hint="eastAsia"/>
          <w:lang w:val="en-GB"/>
        </w:rPr>
        <w:t>条</w:t>
      </w:r>
      <w:r>
        <w:rPr>
          <w:lang w:val="en-GB"/>
        </w:rPr>
        <w:t>(1)</w:t>
      </w:r>
      <w:r>
        <w:rPr>
          <w:rFonts w:hint="eastAsia"/>
          <w:lang w:val="en-GB"/>
        </w:rPr>
        <w:t>分节</w:t>
      </w:r>
      <w:r>
        <w:rPr>
          <w:lang w:val="en-GB"/>
        </w:rPr>
        <w:t>b)</w:t>
      </w:r>
      <w:r>
        <w:rPr>
          <w:rFonts w:hint="eastAsia"/>
          <w:lang w:val="en-GB"/>
        </w:rPr>
        <w:t>和</w:t>
      </w:r>
      <w:r>
        <w:rPr>
          <w:lang w:val="en-GB"/>
        </w:rPr>
        <w:t>c)</w:t>
      </w:r>
      <w:r>
        <w:rPr>
          <w:rFonts w:hint="eastAsia"/>
          <w:lang w:val="en-GB"/>
        </w:rPr>
        <w:t>款</w:t>
      </w:r>
      <w:r>
        <w:rPr>
          <w:lang w:val="en-GB"/>
        </w:rPr>
        <w:t>)</w:t>
      </w:r>
      <w:r>
        <w:rPr>
          <w:rFonts w:hint="eastAsia"/>
          <w:lang w:val="en-GB"/>
        </w:rPr>
        <w:t>。工作时间为每日</w:t>
      </w:r>
      <w:r>
        <w:rPr>
          <w:lang w:val="en-GB"/>
        </w:rPr>
        <w:t>8</w:t>
      </w:r>
      <w:r>
        <w:rPr>
          <w:rFonts w:hint="eastAsia"/>
          <w:lang w:val="en-GB"/>
        </w:rPr>
        <w:t>小时，每周</w:t>
      </w:r>
      <w:r>
        <w:rPr>
          <w:lang w:val="en-GB"/>
        </w:rPr>
        <w:t>40</w:t>
      </w:r>
      <w:r>
        <w:rPr>
          <w:rFonts w:hint="eastAsia"/>
          <w:lang w:val="en-GB"/>
        </w:rPr>
        <w:t>小时。雇用关系适用的条例</w:t>
      </w:r>
      <w:r>
        <w:rPr>
          <w:rFonts w:hint="eastAsia"/>
          <w:lang w:val="en-GB"/>
        </w:rPr>
        <w:t>(</w:t>
      </w:r>
      <w:r>
        <w:rPr>
          <w:rFonts w:hint="eastAsia"/>
          <w:lang w:val="en-GB"/>
        </w:rPr>
        <w:t>如集体协议</w:t>
      </w:r>
      <w:r>
        <w:rPr>
          <w:rFonts w:hint="eastAsia"/>
          <w:lang w:val="en-GB"/>
        </w:rPr>
        <w:t>)</w:t>
      </w:r>
      <w:r>
        <w:rPr>
          <w:rFonts w:hint="eastAsia"/>
          <w:lang w:val="en-GB"/>
        </w:rPr>
        <w:t>可具体规定比这种规定短的工作时间。如果待命工作而且雇员是雇主</w:t>
      </w:r>
      <w:r>
        <w:rPr>
          <w:rFonts w:hint="eastAsia"/>
          <w:lang w:val="en-GB"/>
        </w:rPr>
        <w:t>(</w:t>
      </w:r>
      <w:r>
        <w:rPr>
          <w:rFonts w:hint="eastAsia"/>
          <w:lang w:val="en-GB"/>
        </w:rPr>
        <w:t>或者业主</w:t>
      </w:r>
      <w:r>
        <w:rPr>
          <w:rFonts w:hint="eastAsia"/>
          <w:lang w:val="en-GB"/>
        </w:rPr>
        <w:t>)</w:t>
      </w:r>
      <w:r>
        <w:rPr>
          <w:rFonts w:hint="eastAsia"/>
          <w:lang w:val="en-GB"/>
        </w:rPr>
        <w:t>的近亲，每日工作时间可能会超过</w:t>
      </w:r>
      <w:r>
        <w:rPr>
          <w:lang w:val="en-GB"/>
        </w:rPr>
        <w:t>8</w:t>
      </w:r>
      <w:r>
        <w:rPr>
          <w:rFonts w:hint="eastAsia"/>
          <w:lang w:val="en-GB"/>
        </w:rPr>
        <w:t>小时，但每天不得超过</w:t>
      </w:r>
      <w:r>
        <w:rPr>
          <w:lang w:val="en-GB"/>
        </w:rPr>
        <w:t>12</w:t>
      </w:r>
      <w:r>
        <w:rPr>
          <w:rFonts w:hint="eastAsia"/>
          <w:lang w:val="en-GB"/>
        </w:rPr>
        <w:t>小时，每周不超过</w:t>
      </w:r>
      <w:r>
        <w:rPr>
          <w:lang w:val="en-GB"/>
        </w:rPr>
        <w:t>60</w:t>
      </w:r>
      <w:r>
        <w:rPr>
          <w:rFonts w:hint="eastAsia"/>
          <w:lang w:val="en-GB"/>
        </w:rPr>
        <w:t>小时。相关的法令和集体协议可规定最长工作时间，在这时间内雇员可以从事某项活动而不至于损害健康或者遇到任何危险</w:t>
      </w:r>
      <w:r>
        <w:rPr>
          <w:rFonts w:hint="eastAsia"/>
          <w:lang w:val="en-GB"/>
        </w:rPr>
        <w:t>(</w:t>
      </w:r>
      <w:r>
        <w:rPr>
          <w:rFonts w:hint="eastAsia"/>
          <w:lang w:val="en-GB"/>
        </w:rPr>
        <w:t>《劳动法》第</w:t>
      </w:r>
      <w:r>
        <w:rPr>
          <w:lang w:val="en-GB"/>
        </w:rPr>
        <w:t>117/B</w:t>
      </w:r>
      <w:r>
        <w:rPr>
          <w:rFonts w:hint="eastAsia"/>
          <w:lang w:val="en-GB"/>
        </w:rPr>
        <w:t>条</w:t>
      </w:r>
      <w:r>
        <w:rPr>
          <w:rFonts w:hint="eastAsia"/>
          <w:lang w:val="en-GB"/>
        </w:rPr>
        <w:t>)</w:t>
      </w:r>
      <w:r>
        <w:rPr>
          <w:rFonts w:hint="eastAsia"/>
          <w:lang w:val="en-GB"/>
        </w:rPr>
        <w:t>。</w:t>
      </w:r>
    </w:p>
    <w:p w:rsidR="00000000" w:rsidRDefault="00000000">
      <w:pPr>
        <w:rPr>
          <w:rFonts w:hint="eastAsia"/>
          <w:lang w:val="en-GB"/>
        </w:rPr>
      </w:pPr>
      <w:r>
        <w:rPr>
          <w:lang w:val="en-GB"/>
        </w:rPr>
        <w:tab/>
        <w:t xml:space="preserve">160.  </w:t>
      </w:r>
      <w:r>
        <w:rPr>
          <w:rFonts w:hint="eastAsia"/>
          <w:lang w:val="en-GB"/>
        </w:rPr>
        <w:t>工作时间不仅可以按工作日也可以按工作时间周期规定，工作时间周期应该在每日工作时间的基础上确定。雇员待命工作的、连续或倒班工作的、或从事季节性工作的，甚至可以在集体协议中具体规定年工时。工作时间周期的起始日和最后一日必须确定并以书面通知雇员。这种书面通知也可以当地习惯的方式予以发表或张贴。采用更长的工作时间周期绝不得违反有关工作时间的规则</w:t>
      </w:r>
      <w:r>
        <w:rPr>
          <w:rFonts w:hint="eastAsia"/>
          <w:lang w:val="en-GB"/>
        </w:rPr>
        <w:t>(</w:t>
      </w:r>
      <w:r>
        <w:rPr>
          <w:rFonts w:hint="eastAsia"/>
          <w:lang w:val="en-GB"/>
        </w:rPr>
        <w:t>《劳动法》第</w:t>
      </w:r>
      <w:r>
        <w:rPr>
          <w:lang w:val="en-GB"/>
        </w:rPr>
        <w:t>118</w:t>
      </w:r>
      <w:r>
        <w:rPr>
          <w:rFonts w:hint="eastAsia"/>
          <w:lang w:val="en-GB"/>
        </w:rPr>
        <w:t>条和第</w:t>
      </w:r>
      <w:r>
        <w:rPr>
          <w:lang w:val="en-GB"/>
        </w:rPr>
        <w:t>118/A</w:t>
      </w:r>
      <w:r>
        <w:rPr>
          <w:rFonts w:hint="eastAsia"/>
          <w:lang w:val="en-GB"/>
        </w:rPr>
        <w:t>条</w:t>
      </w:r>
      <w:r>
        <w:rPr>
          <w:rFonts w:hint="eastAsia"/>
          <w:lang w:val="en-GB"/>
        </w:rPr>
        <w:t>)</w:t>
      </w:r>
      <w:r>
        <w:rPr>
          <w:rFonts w:hint="eastAsia"/>
          <w:lang w:val="en-GB"/>
        </w:rPr>
        <w:t>。</w:t>
      </w:r>
    </w:p>
    <w:p w:rsidR="00000000" w:rsidRDefault="00000000">
      <w:pPr>
        <w:rPr>
          <w:rFonts w:hint="eastAsia"/>
          <w:lang w:val="en-GB"/>
        </w:rPr>
      </w:pPr>
      <w:r>
        <w:rPr>
          <w:lang w:val="en-GB"/>
        </w:rPr>
        <w:tab/>
        <w:t xml:space="preserve">161.  </w:t>
      </w:r>
      <w:r>
        <w:rPr>
          <w:rFonts w:hint="eastAsia"/>
          <w:lang w:val="en-GB"/>
        </w:rPr>
        <w:t>工作时间表由雇主负责排定，雇主必须考虑到健康和安全工作的要求。每日工作时间合计不得超过</w:t>
      </w:r>
      <w:r>
        <w:rPr>
          <w:lang w:val="en-GB"/>
        </w:rPr>
        <w:t>12</w:t>
      </w:r>
      <w:r>
        <w:rPr>
          <w:rFonts w:hint="eastAsia"/>
          <w:lang w:val="en-GB"/>
        </w:rPr>
        <w:t>小时，每周合计不得超过</w:t>
      </w:r>
      <w:r>
        <w:rPr>
          <w:lang w:val="en-GB"/>
        </w:rPr>
        <w:t>48</w:t>
      </w:r>
      <w:r>
        <w:rPr>
          <w:rFonts w:hint="eastAsia"/>
          <w:lang w:val="en-GB"/>
        </w:rPr>
        <w:t>小时。待命工作每天不得超过</w:t>
      </w:r>
      <w:r>
        <w:rPr>
          <w:lang w:val="en-GB"/>
        </w:rPr>
        <w:t>24</w:t>
      </w:r>
      <w:r>
        <w:rPr>
          <w:rFonts w:hint="eastAsia"/>
          <w:lang w:val="en-GB"/>
        </w:rPr>
        <w:t>小时或每周</w:t>
      </w:r>
      <w:r>
        <w:rPr>
          <w:lang w:val="en-GB"/>
        </w:rPr>
        <w:t>72</w:t>
      </w:r>
      <w:r>
        <w:rPr>
          <w:rFonts w:hint="eastAsia"/>
          <w:lang w:val="en-GB"/>
        </w:rPr>
        <w:t>小时。如果雇员受聘从事相关立法规定属于可能有害健康的工作，则夜班工作不得超过</w:t>
      </w:r>
      <w:r>
        <w:rPr>
          <w:lang w:val="en-GB"/>
        </w:rPr>
        <w:t>8</w:t>
      </w:r>
      <w:r>
        <w:rPr>
          <w:rFonts w:hint="eastAsia"/>
          <w:lang w:val="en-GB"/>
        </w:rPr>
        <w:t>小时。如果待命工作时间无法衡量，则采用每日和每周工作时间限制的规则时，则必须将整个待命工作期视为工作时间。</w:t>
      </w:r>
    </w:p>
    <w:p w:rsidR="00000000" w:rsidRDefault="00000000">
      <w:pPr>
        <w:spacing w:after="240"/>
        <w:rPr>
          <w:lang w:val="en-GB"/>
        </w:rPr>
      </w:pPr>
      <w:r>
        <w:rPr>
          <w:lang w:val="en-GB"/>
        </w:rPr>
        <w:tab/>
        <w:t xml:space="preserve">162.  </w:t>
      </w:r>
      <w:r>
        <w:rPr>
          <w:rFonts w:hint="eastAsia"/>
          <w:lang w:val="en-GB"/>
        </w:rPr>
        <w:t>雇主可以具体规定连续若干工作日的不规则工作时间安排，《劳动法》对这种情况有限制规定，每日工作时间不得少于</w:t>
      </w:r>
      <w:r>
        <w:rPr>
          <w:rFonts w:hint="eastAsia"/>
          <w:lang w:val="en-GB"/>
        </w:rPr>
        <w:t>4</w:t>
      </w:r>
      <w:r>
        <w:rPr>
          <w:rFonts w:hint="eastAsia"/>
          <w:lang w:val="en-GB"/>
        </w:rPr>
        <w:t>小时。每日</w:t>
      </w:r>
      <w:r>
        <w:rPr>
          <w:rFonts w:hint="eastAsia"/>
          <w:lang w:val="en-GB"/>
        </w:rPr>
        <w:t>4</w:t>
      </w:r>
      <w:r>
        <w:rPr>
          <w:rFonts w:hint="eastAsia"/>
          <w:lang w:val="en-GB"/>
        </w:rPr>
        <w:t>小时的限制是否也适用于兼职就业，这往往造成这条规定的不确定性。因此，《劳动法》允许雇主和雇员在相互同意的基础上具体规定每日兼职工作时间可少于</w:t>
      </w:r>
      <w:r>
        <w:rPr>
          <w:rFonts w:hint="eastAsia"/>
          <w:lang w:val="en-GB"/>
        </w:rPr>
        <w:t>4</w:t>
      </w:r>
      <w:r>
        <w:rPr>
          <w:rFonts w:hint="eastAsia"/>
          <w:lang w:val="en-GB"/>
        </w:rPr>
        <w:t>小时</w:t>
      </w:r>
      <w:r>
        <w:rPr>
          <w:rFonts w:hint="eastAsia"/>
          <w:lang w:val="en-GB"/>
        </w:rPr>
        <w:t>(</w:t>
      </w:r>
      <w:r>
        <w:rPr>
          <w:rFonts w:hint="eastAsia"/>
          <w:lang w:val="en-GB"/>
        </w:rPr>
        <w:t>例如，雇员可部分时间受聘担任邮差，每日两小时</w:t>
      </w:r>
      <w:r>
        <w:rPr>
          <w:rFonts w:hint="eastAsia"/>
          <w:lang w:val="en-GB"/>
        </w:rPr>
        <w:t>)</w:t>
      </w:r>
      <w:r>
        <w:rPr>
          <w:rFonts w:hint="eastAsia"/>
          <w:lang w:val="en-GB"/>
        </w:rPr>
        <w:t>。因此，妇女或单身父亲如本人愿意可受聘只按不规则工作时间安排或分两段工作时间工作，而且不可命令这类雇员晚上工作。关于禁止晚上工作问题，我们要指出，未成年雇员不得受聘从事夜间工作</w:t>
      </w:r>
      <w:r>
        <w:rPr>
          <w:rFonts w:hint="eastAsia"/>
          <w:lang w:val="en-GB"/>
        </w:rPr>
        <w:t>(</w:t>
      </w:r>
      <w:r>
        <w:rPr>
          <w:rFonts w:hint="eastAsia"/>
          <w:lang w:val="en-GB"/>
        </w:rPr>
        <w:t>《劳动法》第</w:t>
      </w:r>
      <w:r>
        <w:rPr>
          <w:rFonts w:hint="eastAsia"/>
          <w:lang w:val="en-GB"/>
        </w:rPr>
        <w:t>119</w:t>
      </w:r>
      <w:r>
        <w:rPr>
          <w:rFonts w:hint="eastAsia"/>
          <w:lang w:val="en-GB"/>
        </w:rPr>
        <w:t>条、第</w:t>
      </w:r>
      <w:r>
        <w:rPr>
          <w:rFonts w:hint="eastAsia"/>
          <w:lang w:val="en-GB"/>
        </w:rPr>
        <w:t>120</w:t>
      </w:r>
      <w:r>
        <w:rPr>
          <w:rFonts w:hint="eastAsia"/>
          <w:lang w:val="en-GB"/>
        </w:rPr>
        <w:t>条、第</w:t>
      </w:r>
      <w:r>
        <w:rPr>
          <w:lang w:val="en-GB"/>
        </w:rPr>
        <w:t>129/A</w:t>
      </w:r>
      <w:r>
        <w:rPr>
          <w:rFonts w:hint="eastAsia"/>
          <w:lang w:val="en-GB"/>
        </w:rPr>
        <w:t>条第</w:t>
      </w:r>
      <w:r>
        <w:rPr>
          <w:lang w:val="en-GB"/>
        </w:rPr>
        <w:t>(5)</w:t>
      </w:r>
      <w:r>
        <w:rPr>
          <w:rFonts w:hint="eastAsia"/>
          <w:lang w:val="en-GB"/>
        </w:rPr>
        <w:t>分节</w:t>
      </w:r>
      <w:r>
        <w:rPr>
          <w:rFonts w:hint="eastAsia"/>
          <w:lang w:val="en-GB"/>
        </w:rPr>
        <w:t>)</w:t>
      </w:r>
      <w:r>
        <w:rPr>
          <w:rFonts w:hint="eastAsia"/>
          <w:lang w:val="en-GB"/>
        </w:rPr>
        <w:t>。</w:t>
      </w:r>
    </w:p>
    <w:p w:rsidR="00000000" w:rsidRDefault="00000000">
      <w:pPr>
        <w:pStyle w:val="Heading4"/>
        <w:rPr>
          <w:rFonts w:eastAsia="KaiTi_GB2312"/>
          <w:snapToGrid/>
          <w:spacing w:val="0"/>
          <w:u w:val="none"/>
          <w:lang w:val="en-GB"/>
        </w:rPr>
      </w:pPr>
      <w:r>
        <w:rPr>
          <w:rFonts w:eastAsia="KaiTi_GB2312"/>
          <w:snapToGrid/>
          <w:spacing w:val="0"/>
          <w:u w:val="none"/>
          <w:lang w:val="en-GB"/>
        </w:rPr>
        <w:t>正规带薪假</w:t>
      </w:r>
    </w:p>
    <w:p w:rsidR="00000000" w:rsidRDefault="00000000">
      <w:pPr>
        <w:rPr>
          <w:lang w:val="en-GB"/>
        </w:rPr>
      </w:pPr>
      <w:r>
        <w:rPr>
          <w:lang w:val="en-GB"/>
        </w:rPr>
        <w:tab/>
        <w:t xml:space="preserve">163.  </w:t>
      </w:r>
      <w:r>
        <w:rPr>
          <w:rFonts w:hint="eastAsia"/>
          <w:lang w:val="en-GB"/>
        </w:rPr>
        <w:t>节</w:t>
      </w:r>
      <w:r>
        <w:rPr>
          <w:lang w:val="en-GB"/>
        </w:rPr>
        <w:t>假日</w:t>
      </w:r>
      <w:r>
        <w:rPr>
          <w:rFonts w:hint="eastAsia"/>
          <w:lang w:val="en-GB"/>
        </w:rPr>
        <w:t>是给予雇员的带薪休息时间。节假日可以是：</w:t>
      </w:r>
    </w:p>
    <w:p w:rsidR="00000000" w:rsidRDefault="00000000">
      <w:pPr>
        <w:pStyle w:val="a"/>
        <w:ind w:left="1550"/>
        <w:rPr>
          <w:lang w:val="en-GB"/>
        </w:rPr>
      </w:pPr>
      <w:r>
        <w:rPr>
          <w:rFonts w:hint="eastAsia"/>
          <w:lang w:val="en-GB"/>
        </w:rPr>
        <w:t>由基本假和额外假组成的正规假</w:t>
      </w:r>
      <w:r>
        <w:rPr>
          <w:rFonts w:hint="eastAsia"/>
          <w:lang w:val="en-GB"/>
        </w:rPr>
        <w:t>(</w:t>
      </w:r>
      <w:r>
        <w:rPr>
          <w:rFonts w:hint="eastAsia"/>
          <w:lang w:val="en-GB"/>
        </w:rPr>
        <w:t>《劳动法》第</w:t>
      </w:r>
      <w:r>
        <w:rPr>
          <w:lang w:val="en-GB"/>
        </w:rPr>
        <w:t>130</w:t>
      </w:r>
      <w:r>
        <w:rPr>
          <w:rFonts w:hint="eastAsia"/>
          <w:lang w:val="en-GB"/>
        </w:rPr>
        <w:t>至</w:t>
      </w:r>
      <w:r>
        <w:rPr>
          <w:lang w:val="en-GB"/>
        </w:rPr>
        <w:t>136</w:t>
      </w:r>
      <w:r>
        <w:rPr>
          <w:rFonts w:hint="eastAsia"/>
          <w:lang w:val="en-GB"/>
        </w:rPr>
        <w:t>条</w:t>
      </w:r>
      <w:r>
        <w:rPr>
          <w:rFonts w:hint="eastAsia"/>
          <w:lang w:val="en-GB"/>
        </w:rPr>
        <w:t>)</w:t>
      </w:r>
      <w:r>
        <w:rPr>
          <w:rFonts w:hint="eastAsia"/>
          <w:lang w:val="en-GB"/>
        </w:rPr>
        <w:t>，</w:t>
      </w:r>
    </w:p>
    <w:p w:rsidR="00000000" w:rsidRDefault="00000000">
      <w:pPr>
        <w:pStyle w:val="a"/>
        <w:ind w:left="1550"/>
        <w:rPr>
          <w:u w:val="single"/>
          <w:lang w:val="en-GB"/>
        </w:rPr>
      </w:pPr>
      <w:r>
        <w:rPr>
          <w:rFonts w:hint="eastAsia"/>
          <w:lang w:val="en-GB"/>
        </w:rPr>
        <w:t>根据集体协议或聘用合同给予的额外假。</w:t>
      </w:r>
    </w:p>
    <w:p w:rsidR="00000000" w:rsidRDefault="00000000">
      <w:pPr>
        <w:rPr>
          <w:rFonts w:hint="eastAsia"/>
          <w:u w:val="single"/>
          <w:lang w:val="en-GB"/>
        </w:rPr>
      </w:pPr>
      <w:r>
        <w:rPr>
          <w:lang w:val="en-GB"/>
        </w:rPr>
        <w:tab/>
        <w:t xml:space="preserve">164.  </w:t>
      </w:r>
      <w:r>
        <w:rPr>
          <w:rFonts w:hint="eastAsia"/>
          <w:u w:val="single"/>
          <w:lang w:val="en-GB"/>
        </w:rPr>
        <w:t>基本假</w:t>
      </w:r>
      <w:r>
        <w:rPr>
          <w:rFonts w:hint="eastAsia"/>
          <w:lang w:val="en-GB"/>
        </w:rPr>
        <w:t>：节假日按工作日给予。雇员在每一个雇用关系中，因而也在以后的</w:t>
      </w:r>
      <w:r>
        <w:rPr>
          <w:rFonts w:hint="eastAsia"/>
          <w:spacing w:val="-50"/>
          <w:lang w:val="en-GB"/>
        </w:rPr>
        <w:t>―</w:t>
      </w:r>
      <w:r>
        <w:rPr>
          <w:rFonts w:hint="eastAsia"/>
          <w:lang w:val="en-GB"/>
        </w:rPr>
        <w:t>―很可能是平行的</w:t>
      </w:r>
      <w:r>
        <w:rPr>
          <w:rFonts w:hint="eastAsia"/>
          <w:spacing w:val="-50"/>
          <w:lang w:val="en-GB"/>
        </w:rPr>
        <w:t>―</w:t>
      </w:r>
      <w:r>
        <w:rPr>
          <w:rFonts w:hint="eastAsia"/>
          <w:lang w:val="en-GB"/>
        </w:rPr>
        <w:t>―雇用关系中，都有权休节假日。休假的长度必须与每一个雇主分别确定。即使雇主没有全职聘用雇员，雇员也有权享受正规的年假。因此，受聘部分时间工作的雇员也应该享受休假，比如，每日受聘工作</w:t>
      </w:r>
      <w:r>
        <w:rPr>
          <w:lang w:val="en-GB"/>
        </w:rPr>
        <w:t>6</w:t>
      </w:r>
      <w:r>
        <w:rPr>
          <w:rFonts w:hint="eastAsia"/>
          <w:lang w:val="en-GB"/>
        </w:rPr>
        <w:t>小时的雇员在休假期间应该得到与每天工作</w:t>
      </w:r>
      <w:r>
        <w:rPr>
          <w:lang w:val="en-GB"/>
        </w:rPr>
        <w:t>6</w:t>
      </w:r>
      <w:r>
        <w:rPr>
          <w:rFonts w:hint="eastAsia"/>
          <w:lang w:val="en-GB"/>
        </w:rPr>
        <w:t>小时相应的报酬。根据这种一般规则，雇用关系终止期间不应支付报酬，但《劳动法》第</w:t>
      </w:r>
      <w:r>
        <w:rPr>
          <w:lang w:val="en-GB"/>
        </w:rPr>
        <w:t>130</w:t>
      </w:r>
      <w:r>
        <w:rPr>
          <w:rFonts w:hint="eastAsia"/>
          <w:lang w:val="en-GB"/>
        </w:rPr>
        <w:t>条第</w:t>
      </w:r>
      <w:r>
        <w:rPr>
          <w:lang w:val="en-GB"/>
        </w:rPr>
        <w:t>(2)</w:t>
      </w:r>
      <w:r>
        <w:rPr>
          <w:rFonts w:hint="eastAsia"/>
          <w:lang w:val="en-GB"/>
        </w:rPr>
        <w:t>分节规定的情况除外，例如因工作生病丧失工作能力期间或产假期间。基本假按雇员的年龄规定，从最少的</w:t>
      </w:r>
      <w:r>
        <w:rPr>
          <w:lang w:val="en-GB"/>
        </w:rPr>
        <w:t>20</w:t>
      </w:r>
      <w:r>
        <w:rPr>
          <w:rFonts w:hint="eastAsia"/>
          <w:lang w:val="en-GB"/>
        </w:rPr>
        <w:t>天到最多</w:t>
      </w:r>
      <w:r>
        <w:rPr>
          <w:lang w:val="en-GB"/>
        </w:rPr>
        <w:t>30</w:t>
      </w:r>
      <w:r>
        <w:rPr>
          <w:rFonts w:hint="eastAsia"/>
          <w:lang w:val="en-GB"/>
        </w:rPr>
        <w:t>天不等。</w:t>
      </w:r>
    </w:p>
    <w:p w:rsidR="00000000" w:rsidRDefault="00000000">
      <w:pPr>
        <w:rPr>
          <w:rFonts w:hint="eastAsia"/>
          <w:lang w:val="en-GB"/>
        </w:rPr>
      </w:pPr>
      <w:r>
        <w:rPr>
          <w:lang w:val="en-GB"/>
        </w:rPr>
        <w:tab/>
        <w:t xml:space="preserve">165.  </w:t>
      </w:r>
      <w:r>
        <w:rPr>
          <w:rFonts w:hint="eastAsia"/>
          <w:lang w:val="en-GB"/>
        </w:rPr>
        <w:t>《劳动法》对</w:t>
      </w:r>
      <w:r>
        <w:rPr>
          <w:rFonts w:hint="eastAsia"/>
          <w:u w:val="single"/>
          <w:lang w:val="en-GB"/>
        </w:rPr>
        <w:t>额外假</w:t>
      </w:r>
      <w:r>
        <w:rPr>
          <w:rFonts w:hint="eastAsia"/>
          <w:lang w:val="en-GB"/>
        </w:rPr>
        <w:t>规定了如下的规则：</w:t>
      </w:r>
    </w:p>
    <w:p w:rsidR="00000000" w:rsidRDefault="00000000">
      <w:pPr>
        <w:pStyle w:val="a"/>
        <w:ind w:left="1550"/>
        <w:rPr>
          <w:rFonts w:hint="eastAsia"/>
          <w:lang w:val="en-GB"/>
        </w:rPr>
      </w:pPr>
      <w:r>
        <w:rPr>
          <w:rFonts w:hint="eastAsia"/>
          <w:lang w:val="en-GB"/>
        </w:rPr>
        <w:t>年轻雇员每年有权享受五个工作日的额外假。</w:t>
      </w:r>
    </w:p>
    <w:p w:rsidR="00000000" w:rsidRDefault="00000000">
      <w:pPr>
        <w:pStyle w:val="a"/>
        <w:ind w:left="1550"/>
        <w:rPr>
          <w:rFonts w:hint="eastAsia"/>
          <w:lang w:val="en-GB"/>
        </w:rPr>
      </w:pPr>
      <w:r>
        <w:rPr>
          <w:rFonts w:hint="eastAsia"/>
          <w:lang w:val="en-GB"/>
        </w:rPr>
        <w:t>根据父母的决定其中主要负责抚养子女的一方及单身父母亲有权休额外假，时间可达</w:t>
      </w:r>
    </w:p>
    <w:p w:rsidR="00000000" w:rsidRDefault="00000000">
      <w:pPr>
        <w:pStyle w:val="a0"/>
        <w:ind w:left="2070"/>
        <w:rPr>
          <w:rFonts w:hint="eastAsia"/>
          <w:lang w:val="en-GB"/>
        </w:rPr>
      </w:pPr>
      <w:r>
        <w:rPr>
          <w:rFonts w:hint="eastAsia"/>
          <w:lang w:val="en-GB"/>
        </w:rPr>
        <w:t>一个孩子每年两天，</w:t>
      </w:r>
    </w:p>
    <w:p w:rsidR="00000000" w:rsidRDefault="00000000">
      <w:pPr>
        <w:pStyle w:val="a0"/>
        <w:ind w:left="2070"/>
        <w:rPr>
          <w:lang w:val="en-GB"/>
        </w:rPr>
      </w:pPr>
      <w:r>
        <w:rPr>
          <w:rFonts w:hint="eastAsia"/>
          <w:lang w:val="en-GB"/>
        </w:rPr>
        <w:t>两孩子每年四天，</w:t>
      </w:r>
    </w:p>
    <w:p w:rsidR="00000000" w:rsidRDefault="00000000">
      <w:pPr>
        <w:pStyle w:val="a0"/>
        <w:ind w:left="2070"/>
        <w:rPr>
          <w:lang w:val="en-GB"/>
        </w:rPr>
      </w:pPr>
      <w:r>
        <w:rPr>
          <w:rFonts w:hint="eastAsia"/>
          <w:lang w:val="en-GB"/>
        </w:rPr>
        <w:t>两个以上孩子每年总共七天。</w:t>
      </w:r>
    </w:p>
    <w:p w:rsidR="00000000" w:rsidRDefault="00000000">
      <w:pPr>
        <w:pStyle w:val="a"/>
        <w:ind w:left="1550"/>
        <w:rPr>
          <w:rFonts w:hint="eastAsia"/>
          <w:lang w:val="en-GB"/>
        </w:rPr>
      </w:pPr>
      <w:r>
        <w:rPr>
          <w:rFonts w:hint="eastAsia"/>
          <w:lang w:val="en-GB"/>
        </w:rPr>
        <w:t>父母有权休额外假，直到孩子满</w:t>
      </w:r>
      <w:r>
        <w:rPr>
          <w:lang w:val="en-GB"/>
        </w:rPr>
        <w:t>16</w:t>
      </w:r>
      <w:r>
        <w:rPr>
          <w:rFonts w:hint="eastAsia"/>
          <w:lang w:val="en-GB"/>
        </w:rPr>
        <w:t>岁。</w:t>
      </w:r>
    </w:p>
    <w:p w:rsidR="00000000" w:rsidRDefault="00000000">
      <w:pPr>
        <w:pStyle w:val="a"/>
        <w:ind w:left="1550"/>
        <w:rPr>
          <w:rFonts w:hint="eastAsia"/>
          <w:lang w:val="en-GB"/>
        </w:rPr>
      </w:pPr>
      <w:r>
        <w:rPr>
          <w:rFonts w:hint="eastAsia"/>
          <w:lang w:val="en-GB"/>
        </w:rPr>
        <w:t>盲人雇员每年有权额外休假五天。</w:t>
      </w:r>
    </w:p>
    <w:p w:rsidR="00000000" w:rsidRDefault="00000000">
      <w:pPr>
        <w:pStyle w:val="a"/>
        <w:ind w:left="1550"/>
        <w:rPr>
          <w:rFonts w:hint="eastAsia"/>
          <w:u w:val="single"/>
          <w:lang w:val="en-GB"/>
        </w:rPr>
      </w:pPr>
      <w:r>
        <w:rPr>
          <w:rFonts w:hint="eastAsia"/>
          <w:lang w:val="en-GB"/>
        </w:rPr>
        <w:t>永远在地下劳动或每天至少三小时从事受到致电离辐射工作的雇员每年有权额外休假五天。</w:t>
      </w:r>
    </w:p>
    <w:p w:rsidR="00000000" w:rsidRDefault="00000000">
      <w:pPr>
        <w:rPr>
          <w:rFonts w:hint="eastAsia"/>
          <w:lang w:val="en-GB"/>
        </w:rPr>
      </w:pPr>
      <w:r>
        <w:rPr>
          <w:lang w:val="en-GB"/>
        </w:rPr>
        <w:tab/>
        <w:t xml:space="preserve">166.  </w:t>
      </w:r>
      <w:r>
        <w:rPr>
          <w:rFonts w:hint="eastAsia"/>
          <w:u w:val="single"/>
          <w:lang w:val="en-GB"/>
        </w:rPr>
        <w:t>集体协议或就业合同规定的额外假</w:t>
      </w:r>
      <w:r>
        <w:rPr>
          <w:rFonts w:hint="eastAsia"/>
          <w:lang w:val="en-GB"/>
        </w:rPr>
        <w:t>：除了《劳动法》的规定之外，集体协议或就业合同也可以规定额外的假期。一般说来，必须让雇员有机会在准假之前对自己的假期表示看法。除了雇用关系的前三个月之外，基本假的四分之一必须按雇员要求请假的时间准予。雇主必须至少提前一个月通知雇员批准的休假时间。</w:t>
      </w:r>
    </w:p>
    <w:p w:rsidR="00000000" w:rsidRDefault="00000000">
      <w:pPr>
        <w:rPr>
          <w:lang w:val="en-GB"/>
        </w:rPr>
      </w:pPr>
      <w:r>
        <w:rPr>
          <w:lang w:val="en-GB"/>
        </w:rPr>
        <w:tab/>
        <w:t xml:space="preserve">167.  </w:t>
      </w:r>
      <w:r>
        <w:rPr>
          <w:rFonts w:hint="eastAsia"/>
          <w:lang w:val="en-GB"/>
        </w:rPr>
        <w:t>《劳动法》规定在两种情况下可以</w:t>
      </w:r>
      <w:r>
        <w:rPr>
          <w:rFonts w:hint="eastAsia"/>
          <w:u w:val="single"/>
          <w:lang w:val="en-GB"/>
        </w:rPr>
        <w:t>补发休假工资</w:t>
      </w:r>
      <w:r>
        <w:rPr>
          <w:rFonts w:hint="eastAsia"/>
          <w:lang w:val="en-GB"/>
        </w:rPr>
        <w:t>：</w:t>
      </w:r>
    </w:p>
    <w:p w:rsidR="00000000" w:rsidRDefault="00000000">
      <w:pPr>
        <w:pStyle w:val="a"/>
        <w:ind w:left="1550"/>
        <w:rPr>
          <w:lang w:val="en-GB"/>
        </w:rPr>
      </w:pPr>
      <w:r>
        <w:rPr>
          <w:rFonts w:hint="eastAsia"/>
          <w:lang w:val="en-GB"/>
        </w:rPr>
        <w:t>雇用关系终止时，</w:t>
      </w:r>
    </w:p>
    <w:p w:rsidR="00000000" w:rsidRDefault="00000000">
      <w:pPr>
        <w:pStyle w:val="a"/>
        <w:spacing w:after="320"/>
        <w:ind w:left="1550"/>
        <w:rPr>
          <w:lang w:val="en-GB"/>
        </w:rPr>
      </w:pPr>
      <w:r>
        <w:rPr>
          <w:rFonts w:hint="eastAsia"/>
          <w:lang w:val="en-GB"/>
        </w:rPr>
        <w:t>征兵</w:t>
      </w:r>
      <w:r>
        <w:rPr>
          <w:rFonts w:hint="eastAsia"/>
          <w:lang w:val="en-GB"/>
        </w:rPr>
        <w:t>(</w:t>
      </w:r>
      <w:r>
        <w:rPr>
          <w:rFonts w:hint="eastAsia"/>
          <w:lang w:val="en-GB"/>
        </w:rPr>
        <w:t>已经废止</w:t>
      </w:r>
      <w:r>
        <w:rPr>
          <w:rFonts w:hint="eastAsia"/>
          <w:lang w:val="en-GB"/>
        </w:rPr>
        <w:t>)</w:t>
      </w:r>
      <w:r>
        <w:rPr>
          <w:rFonts w:hint="eastAsia"/>
          <w:lang w:val="en-GB"/>
        </w:rPr>
        <w:t>入伍，如果该雇员在入伍之前尚未得到批准休比例假。</w:t>
      </w:r>
    </w:p>
    <w:p w:rsidR="00000000" w:rsidRDefault="00000000">
      <w:pPr>
        <w:pStyle w:val="Heading3"/>
      </w:pPr>
      <w:r>
        <w:rPr>
          <w:rFonts w:hint="eastAsia"/>
        </w:rPr>
        <w:t>行使权利</w:t>
      </w:r>
    </w:p>
    <w:p w:rsidR="00000000" w:rsidRDefault="00000000">
      <w:pPr>
        <w:rPr>
          <w:rFonts w:hint="eastAsia"/>
          <w:lang w:val="en-GB"/>
        </w:rPr>
      </w:pPr>
      <w:r>
        <w:rPr>
          <w:lang w:val="en-GB"/>
        </w:rPr>
        <w:tab/>
        <w:t xml:space="preserve">168.  </w:t>
      </w:r>
      <w:r>
        <w:rPr>
          <w:rFonts w:hint="eastAsia"/>
          <w:lang w:val="en-GB"/>
        </w:rPr>
        <w:t>法律并不禁止任何一类雇员行使上述权利。根据《劳动法》的规定，可能引起法律争端的情况有</w:t>
      </w:r>
    </w:p>
    <w:p w:rsidR="00000000" w:rsidRDefault="00000000">
      <w:pPr>
        <w:pStyle w:val="a"/>
        <w:ind w:left="1550"/>
        <w:rPr>
          <w:rFonts w:hint="eastAsia"/>
          <w:lang w:val="en-GB"/>
        </w:rPr>
      </w:pPr>
      <w:r>
        <w:rPr>
          <w:rFonts w:hint="eastAsia"/>
          <w:lang w:val="en-GB"/>
        </w:rPr>
        <w:t>雇员难以实现雇用关系规定的一种权利要求，或者</w:t>
      </w:r>
    </w:p>
    <w:p w:rsidR="00000000" w:rsidRDefault="00000000">
      <w:pPr>
        <w:pStyle w:val="a"/>
        <w:ind w:left="1550"/>
        <w:rPr>
          <w:rFonts w:hint="eastAsia"/>
          <w:lang w:val="en-GB"/>
        </w:rPr>
      </w:pPr>
      <w:r>
        <w:rPr>
          <w:rFonts w:hint="eastAsia"/>
          <w:lang w:val="en-GB"/>
        </w:rPr>
        <w:t>工会或</w:t>
      </w:r>
    </w:p>
    <w:p w:rsidR="00000000" w:rsidRDefault="00000000">
      <w:pPr>
        <w:pStyle w:val="a"/>
        <w:ind w:left="1550"/>
        <w:rPr>
          <w:rFonts w:hint="eastAsia"/>
          <w:lang w:val="en-GB"/>
        </w:rPr>
      </w:pPr>
      <w:r>
        <w:rPr>
          <w:rFonts w:hint="eastAsia"/>
          <w:lang w:val="en-GB"/>
        </w:rPr>
        <w:t>劳工委员会</w:t>
      </w:r>
      <w:r>
        <w:rPr>
          <w:rFonts w:hint="eastAsia"/>
          <w:lang w:val="en-GB"/>
        </w:rPr>
        <w:t>(</w:t>
      </w:r>
      <w:r>
        <w:rPr>
          <w:rFonts w:hint="eastAsia"/>
          <w:lang w:val="en-GB"/>
        </w:rPr>
        <w:t>劳工代表</w:t>
      </w:r>
      <w:r>
        <w:rPr>
          <w:rFonts w:hint="eastAsia"/>
          <w:lang w:val="en-GB"/>
        </w:rPr>
        <w:t>)</w:t>
      </w:r>
      <w:r>
        <w:rPr>
          <w:rFonts w:hint="eastAsia"/>
          <w:lang w:val="en-GB"/>
        </w:rPr>
        <w:t>难以实现《劳动法》、集体协议或劳动协议产生一种权利要求。</w:t>
      </w:r>
    </w:p>
    <w:p w:rsidR="00000000" w:rsidRDefault="00000000">
      <w:r>
        <w:rPr>
          <w:rFonts w:hint="eastAsia"/>
          <w:lang w:val="en-GB"/>
        </w:rPr>
        <w:t>此种劳动争端应由法院裁决</w:t>
      </w:r>
      <w:r>
        <w:rPr>
          <w:rFonts w:hint="eastAsia"/>
          <w:lang w:val="en-GB"/>
        </w:rPr>
        <w:t>(</w:t>
      </w:r>
      <w:r>
        <w:rPr>
          <w:rFonts w:hint="eastAsia"/>
          <w:lang w:val="en-GB"/>
        </w:rPr>
        <w:t>《劳动法》第</w:t>
      </w:r>
      <w:r>
        <w:rPr>
          <w:rFonts w:hint="eastAsia"/>
          <w:lang w:val="en-GB"/>
        </w:rPr>
        <w:t>199</w:t>
      </w:r>
      <w:r>
        <w:rPr>
          <w:rFonts w:hint="eastAsia"/>
          <w:lang w:val="en-GB"/>
        </w:rPr>
        <w:t>节</w:t>
      </w:r>
      <w:r>
        <w:rPr>
          <w:rFonts w:hint="eastAsia"/>
          <w:lang w:val="en-GB"/>
        </w:rPr>
        <w:t>)</w:t>
      </w:r>
      <w:r>
        <w:rPr>
          <w:rFonts w:hint="eastAsia"/>
          <w:lang w:val="en-GB"/>
        </w:rPr>
        <w:t>。</w:t>
      </w:r>
    </w:p>
    <w:p w:rsidR="00000000" w:rsidRDefault="00000000">
      <w:pPr>
        <w:rPr>
          <w:rFonts w:hint="eastAsia"/>
          <w:lang w:val="en-GB"/>
        </w:rPr>
      </w:pPr>
      <w:r>
        <w:rPr>
          <w:lang w:val="en-GB"/>
        </w:rPr>
        <w:tab/>
        <w:t xml:space="preserve">169.  </w:t>
      </w:r>
      <w:r>
        <w:rPr>
          <w:rFonts w:hint="eastAsia"/>
          <w:lang w:val="en-GB"/>
        </w:rPr>
        <w:t>除上述规定之外，如果雇主采取一种不合法的措施，直接影响到雇员或代表组织，在该雇主的组织里有代表性的工会还有权提出反对。</w:t>
      </w:r>
    </w:p>
    <w:p w:rsidR="00000000" w:rsidRDefault="00000000">
      <w:pPr>
        <w:spacing w:after="320"/>
        <w:rPr>
          <w:rFonts w:hint="eastAsia"/>
          <w:lang w:val="en-GB"/>
        </w:rPr>
      </w:pPr>
      <w:r>
        <w:rPr>
          <w:lang w:val="en-GB"/>
        </w:rPr>
        <w:tab/>
        <w:t xml:space="preserve">170.  </w:t>
      </w:r>
      <w:r>
        <w:rPr>
          <w:rFonts w:hint="eastAsia"/>
          <w:lang w:val="en-GB"/>
        </w:rPr>
        <w:t>《劳动法》</w:t>
      </w:r>
      <w:r>
        <w:rPr>
          <w:lang w:val="en-GB"/>
        </w:rPr>
        <w:t>1995</w:t>
      </w:r>
      <w:r>
        <w:rPr>
          <w:rFonts w:hint="eastAsia"/>
          <w:lang w:val="en-GB"/>
        </w:rPr>
        <w:t>年修订案</w:t>
      </w:r>
      <w:r>
        <w:rPr>
          <w:rFonts w:hint="eastAsia"/>
          <w:lang w:val="en-GB"/>
        </w:rPr>
        <w:t>(1995</w:t>
      </w:r>
      <w:r>
        <w:rPr>
          <w:rFonts w:hint="eastAsia"/>
          <w:lang w:val="en-GB"/>
        </w:rPr>
        <w:t>年第</w:t>
      </w:r>
      <w:r>
        <w:rPr>
          <w:lang w:val="en-GB"/>
        </w:rPr>
        <w:t>55</w:t>
      </w:r>
      <w:r>
        <w:rPr>
          <w:rFonts w:hint="eastAsia"/>
          <w:lang w:val="en-GB"/>
        </w:rPr>
        <w:t>号法令</w:t>
      </w:r>
      <w:r>
        <w:rPr>
          <w:rFonts w:hint="eastAsia"/>
          <w:lang w:val="en-GB"/>
        </w:rPr>
        <w:t>)</w:t>
      </w:r>
      <w:r>
        <w:rPr>
          <w:rFonts w:hint="eastAsia"/>
          <w:lang w:val="en-GB"/>
        </w:rPr>
        <w:t>规定雇员甚至可以在组织内建立工会。工会的权利包括向雇员介绍他们应有的经济、社会和文化权利和责任，以及涉及他们的生活和工作条件的权利，代表工会会员与雇主或公共机构交涉劳资关系和雇用关系方面的问题</w:t>
      </w:r>
      <w:r>
        <w:rPr>
          <w:rFonts w:hint="eastAsia"/>
          <w:lang w:val="en-GB"/>
        </w:rPr>
        <w:t>(</w:t>
      </w:r>
      <w:r>
        <w:rPr>
          <w:rFonts w:hint="eastAsia"/>
          <w:lang w:val="en-GB"/>
        </w:rPr>
        <w:t>《劳动法》第</w:t>
      </w:r>
      <w:r>
        <w:rPr>
          <w:lang w:val="en-GB"/>
        </w:rPr>
        <w:t>19</w:t>
      </w:r>
      <w:r>
        <w:rPr>
          <w:rFonts w:hint="eastAsia"/>
          <w:lang w:val="en-GB"/>
        </w:rPr>
        <w:t>节</w:t>
      </w:r>
      <w:r>
        <w:rPr>
          <w:rFonts w:hint="eastAsia"/>
          <w:lang w:val="en-GB"/>
        </w:rPr>
        <w:t>)</w:t>
      </w:r>
      <w:r>
        <w:rPr>
          <w:rFonts w:hint="eastAsia"/>
          <w:lang w:val="en-GB"/>
        </w:rPr>
        <w:t>。而且工会还有权核查工作条件方面的立法的遵守情况。为此，工会可以要求主管机构提供有关雇用关系适用的条例的遵守情况。这种情况或资料必须依法提供给工会。工会可以将核查中确定存在的错误或补助支出提请负责执行法规的机构注意，如果该机构未采取必要措施，则可提起有关诉讼。主持这种诉讼的机构必须将诉讼结果通知工会</w:t>
      </w:r>
      <w:r>
        <w:rPr>
          <w:rFonts w:hint="eastAsia"/>
          <w:lang w:val="en-GB"/>
        </w:rPr>
        <w:t>(</w:t>
      </w:r>
      <w:r>
        <w:rPr>
          <w:rFonts w:hint="eastAsia"/>
          <w:lang w:val="en-GB"/>
        </w:rPr>
        <w:t>《劳动法》第</w:t>
      </w:r>
      <w:r>
        <w:rPr>
          <w:lang w:val="en-GB"/>
        </w:rPr>
        <w:t>22</w:t>
      </w:r>
      <w:r>
        <w:rPr>
          <w:rFonts w:hint="eastAsia"/>
          <w:lang w:val="en-GB"/>
        </w:rPr>
        <w:t>节</w:t>
      </w:r>
      <w:r>
        <w:rPr>
          <w:rFonts w:hint="eastAsia"/>
          <w:lang w:val="en-GB"/>
        </w:rPr>
        <w:t>)</w:t>
      </w:r>
      <w:r>
        <w:rPr>
          <w:rFonts w:hint="eastAsia"/>
          <w:lang w:val="en-GB"/>
        </w:rPr>
        <w:t>。特殊职业有关安全要求是计划制定的关于远程工作的条例的内容之一。</w:t>
      </w:r>
    </w:p>
    <w:p w:rsidR="00000000" w:rsidRDefault="00000000">
      <w:pPr>
        <w:pStyle w:val="Heading2"/>
        <w:rPr>
          <w:rFonts w:hint="eastAsia"/>
          <w:lang w:val="fr-FR"/>
        </w:rPr>
      </w:pPr>
      <w:r>
        <w:rPr>
          <w:rFonts w:hint="eastAsia"/>
          <w:lang w:val="fr-FR"/>
        </w:rPr>
        <w:t>第八条</w:t>
      </w:r>
      <w:r>
        <w:rPr>
          <w:rFonts w:hint="eastAsia"/>
          <w:spacing w:val="-50"/>
          <w:lang w:val="fr-FR"/>
        </w:rPr>
        <w:t>―</w:t>
      </w:r>
      <w:r>
        <w:rPr>
          <w:rFonts w:hint="eastAsia"/>
          <w:lang w:val="fr-FR"/>
        </w:rPr>
        <w:t>―工会</w:t>
      </w:r>
    </w:p>
    <w:p w:rsidR="00000000" w:rsidRDefault="00000000">
      <w:pPr>
        <w:rPr>
          <w:rFonts w:hint="eastAsia"/>
        </w:rPr>
      </w:pPr>
      <w:r>
        <w:rPr>
          <w:rFonts w:hint="eastAsia"/>
          <w:lang w:val="fr-FR"/>
        </w:rPr>
        <w:tab/>
        <w:t xml:space="preserve">171.  </w:t>
      </w:r>
      <w:r>
        <w:rPr>
          <w:rFonts w:hint="eastAsia"/>
          <w:lang w:val="fr-FR"/>
        </w:rPr>
        <w:t>匈牙利于</w:t>
      </w:r>
      <w:r>
        <w:rPr>
          <w:rFonts w:hint="eastAsia"/>
          <w:lang w:val="fr-FR"/>
        </w:rPr>
        <w:t>1957</w:t>
      </w:r>
      <w:r>
        <w:rPr>
          <w:rFonts w:hint="eastAsia"/>
          <w:lang w:val="fr-FR"/>
        </w:rPr>
        <w:t>年</w:t>
      </w:r>
      <w:r>
        <w:rPr>
          <w:rFonts w:hint="eastAsia"/>
          <w:lang w:val="fr-FR"/>
        </w:rPr>
        <w:t>6</w:t>
      </w:r>
      <w:r>
        <w:rPr>
          <w:rFonts w:hint="eastAsia"/>
          <w:lang w:val="fr-FR"/>
        </w:rPr>
        <w:t>月</w:t>
      </w:r>
      <w:r>
        <w:rPr>
          <w:rFonts w:hint="eastAsia"/>
          <w:lang w:val="fr-FR"/>
        </w:rPr>
        <w:t>6</w:t>
      </w:r>
      <w:r>
        <w:rPr>
          <w:rFonts w:hint="eastAsia"/>
          <w:lang w:val="fr-FR"/>
        </w:rPr>
        <w:t>日批准了</w:t>
      </w:r>
      <w:r>
        <w:rPr>
          <w:rFonts w:hint="eastAsia"/>
        </w:rPr>
        <w:t>《劳工组织关于结社自由和保护组织权利公约》</w:t>
      </w:r>
      <w:r>
        <w:rPr>
          <w:rFonts w:hint="eastAsia"/>
        </w:rPr>
        <w:t>(</w:t>
      </w:r>
      <w:r>
        <w:rPr>
          <w:rFonts w:hint="eastAsia"/>
        </w:rPr>
        <w:t>第</w:t>
      </w:r>
      <w:r>
        <w:rPr>
          <w:rFonts w:hint="eastAsia"/>
        </w:rPr>
        <w:t>87</w:t>
      </w:r>
      <w:r>
        <w:rPr>
          <w:rFonts w:hint="eastAsia"/>
        </w:rPr>
        <w:t>号</w:t>
      </w:r>
      <w:r>
        <w:rPr>
          <w:rFonts w:hint="eastAsia"/>
        </w:rPr>
        <w:t>)</w:t>
      </w:r>
      <w:r>
        <w:rPr>
          <w:rFonts w:hint="eastAsia"/>
        </w:rPr>
        <w:t>，并于</w:t>
      </w:r>
      <w:r>
        <w:rPr>
          <w:rFonts w:hint="eastAsia"/>
        </w:rPr>
        <w:t>1994</w:t>
      </w:r>
      <w:r>
        <w:rPr>
          <w:rFonts w:hint="eastAsia"/>
        </w:rPr>
        <w:t>年</w:t>
      </w:r>
      <w:r>
        <w:rPr>
          <w:rFonts w:hint="eastAsia"/>
        </w:rPr>
        <w:t>1</w:t>
      </w:r>
      <w:r>
        <w:rPr>
          <w:rFonts w:hint="eastAsia"/>
        </w:rPr>
        <w:t>月</w:t>
      </w:r>
      <w:r>
        <w:rPr>
          <w:rFonts w:hint="eastAsia"/>
        </w:rPr>
        <w:t>4</w:t>
      </w:r>
      <w:r>
        <w:rPr>
          <w:rFonts w:hint="eastAsia"/>
        </w:rPr>
        <w:t>日批准了《劳工组织组织权利和集体谈判权利公约》</w:t>
      </w:r>
      <w:r>
        <w:rPr>
          <w:rFonts w:hint="eastAsia"/>
        </w:rPr>
        <w:t>(</w:t>
      </w:r>
      <w:r>
        <w:rPr>
          <w:rFonts w:hint="eastAsia"/>
        </w:rPr>
        <w:t>第</w:t>
      </w:r>
      <w:r>
        <w:rPr>
          <w:rFonts w:hint="eastAsia"/>
        </w:rPr>
        <w:t>98</w:t>
      </w:r>
      <w:r>
        <w:rPr>
          <w:rFonts w:hint="eastAsia"/>
        </w:rPr>
        <w:t>号</w:t>
      </w:r>
      <w:r>
        <w:rPr>
          <w:rFonts w:hint="eastAsia"/>
        </w:rPr>
        <w:t>)</w:t>
      </w:r>
      <w:r>
        <w:rPr>
          <w:rFonts w:hint="eastAsia"/>
        </w:rPr>
        <w:t>和《劳工组织劳工关系</w:t>
      </w:r>
      <w:r>
        <w:rPr>
          <w:rFonts w:hint="eastAsia"/>
        </w:rPr>
        <w:t>(</w:t>
      </w:r>
      <w:r>
        <w:rPr>
          <w:rFonts w:hint="eastAsia"/>
        </w:rPr>
        <w:t>公务</w:t>
      </w:r>
      <w:r>
        <w:rPr>
          <w:rFonts w:hint="eastAsia"/>
        </w:rPr>
        <w:t>)</w:t>
      </w:r>
      <w:r>
        <w:rPr>
          <w:rFonts w:hint="eastAsia"/>
        </w:rPr>
        <w:t>公约》</w:t>
      </w:r>
      <w:r>
        <w:rPr>
          <w:rFonts w:hint="eastAsia"/>
        </w:rPr>
        <w:t>(</w:t>
      </w:r>
      <w:r>
        <w:rPr>
          <w:rFonts w:hint="eastAsia"/>
        </w:rPr>
        <w:t>第</w:t>
      </w:r>
      <w:r>
        <w:rPr>
          <w:rFonts w:hint="eastAsia"/>
        </w:rPr>
        <w:t>151</w:t>
      </w:r>
      <w:r>
        <w:rPr>
          <w:rFonts w:hint="eastAsia"/>
        </w:rPr>
        <w:t>号</w:t>
      </w:r>
      <w:r>
        <w:rPr>
          <w:rFonts w:hint="eastAsia"/>
        </w:rPr>
        <w:t>)</w:t>
      </w:r>
      <w:r>
        <w:rPr>
          <w:rFonts w:hint="eastAsia"/>
        </w:rPr>
        <w:t>。</w:t>
      </w:r>
    </w:p>
    <w:p w:rsidR="00000000" w:rsidRDefault="00000000">
      <w:pPr>
        <w:rPr>
          <w:rFonts w:hint="eastAsia"/>
          <w:lang w:val="fr-FR"/>
        </w:rPr>
      </w:pPr>
      <w:r>
        <w:rPr>
          <w:rFonts w:hint="eastAsia"/>
          <w:lang w:val="fr-FR"/>
        </w:rPr>
        <w:tab/>
        <w:t xml:space="preserve">172.  </w:t>
      </w:r>
      <w:r>
        <w:rPr>
          <w:rFonts w:hint="eastAsia"/>
          <w:lang w:val="fr-FR"/>
        </w:rPr>
        <w:t>关于采取措施执行劳工组织第</w:t>
      </w:r>
      <w:r>
        <w:rPr>
          <w:rFonts w:hint="eastAsia"/>
          <w:lang w:val="fr-FR"/>
        </w:rPr>
        <w:t>87</w:t>
      </w:r>
      <w:r>
        <w:rPr>
          <w:rFonts w:hint="eastAsia"/>
          <w:lang w:val="fr-FR"/>
        </w:rPr>
        <w:t>号和第</w:t>
      </w:r>
      <w:r>
        <w:rPr>
          <w:rFonts w:hint="eastAsia"/>
          <w:lang w:val="fr-FR"/>
        </w:rPr>
        <w:t>98</w:t>
      </w:r>
      <w:r>
        <w:rPr>
          <w:rFonts w:hint="eastAsia"/>
          <w:lang w:val="fr-FR"/>
        </w:rPr>
        <w:t>号公约条款的</w:t>
      </w:r>
      <w:r>
        <w:rPr>
          <w:rFonts w:hint="eastAsia"/>
          <w:lang w:val="fr-FR"/>
        </w:rPr>
        <w:t>2003</w:t>
      </w:r>
      <w:r>
        <w:rPr>
          <w:rFonts w:hint="eastAsia"/>
          <w:lang w:val="fr-FR"/>
        </w:rPr>
        <w:t>年报告可见本报告附件。</w:t>
      </w:r>
    </w:p>
    <w:p w:rsidR="00000000" w:rsidRDefault="00000000">
      <w:pPr>
        <w:pStyle w:val="Heading3"/>
        <w:rPr>
          <w:rFonts w:hint="eastAsia"/>
          <w:lang w:val="fr-FR"/>
        </w:rPr>
      </w:pPr>
      <w:r>
        <w:rPr>
          <w:rFonts w:hint="eastAsia"/>
          <w:lang w:val="fr-FR"/>
        </w:rPr>
        <w:t>工会运作</w:t>
      </w:r>
    </w:p>
    <w:p w:rsidR="00000000" w:rsidRDefault="00000000">
      <w:pPr>
        <w:rPr>
          <w:rFonts w:hint="eastAsia"/>
          <w:lang w:val="fr-FR"/>
        </w:rPr>
      </w:pPr>
      <w:r>
        <w:rPr>
          <w:lang w:val="fr-FR"/>
        </w:rPr>
        <w:tab/>
        <w:t xml:space="preserve">173.  </w:t>
      </w:r>
      <w:r>
        <w:rPr>
          <w:rFonts w:hint="eastAsia"/>
          <w:lang w:val="fr-FR"/>
        </w:rPr>
        <w:t>根据《结社法令》规定，可以在匈牙利成立工会。结社自由是匈牙利共和国承认的基本人权，不受干扰的行使结社自由受到法律保障。结社自由赋予每个人创建组织和</w:t>
      </w:r>
      <w:r>
        <w:rPr>
          <w:rFonts w:hint="eastAsia"/>
          <w:lang w:val="fr-FR"/>
        </w:rPr>
        <w:t>/</w:t>
      </w:r>
      <w:r>
        <w:rPr>
          <w:rFonts w:hint="eastAsia"/>
          <w:lang w:val="fr-FR"/>
        </w:rPr>
        <w:t>或与其他人结社或参加这些组织活动的权利。可以成立社会组织</w:t>
      </w:r>
      <w:r>
        <w:rPr>
          <w:rFonts w:hint="eastAsia"/>
          <w:spacing w:val="-50"/>
          <w:lang w:val="fr-FR"/>
        </w:rPr>
        <w:t>―</w:t>
      </w:r>
      <w:r>
        <w:rPr>
          <w:rFonts w:hint="eastAsia"/>
          <w:lang w:val="fr-FR"/>
        </w:rPr>
        <w:t>―因而也可以成立工会</w:t>
      </w:r>
      <w:r>
        <w:rPr>
          <w:rFonts w:hint="eastAsia"/>
          <w:spacing w:val="-50"/>
          <w:lang w:val="fr-FR"/>
        </w:rPr>
        <w:t>―</w:t>
      </w:r>
      <w:r>
        <w:rPr>
          <w:rFonts w:hint="eastAsia"/>
          <w:lang w:val="fr-FR"/>
        </w:rPr>
        <w:t>―从事符合宪法并不为法律所禁止的活动。创建一个社会组织</w:t>
      </w:r>
      <w:r>
        <w:rPr>
          <w:rFonts w:hint="eastAsia"/>
          <w:lang w:val="fr-FR"/>
        </w:rPr>
        <w:t>(</w:t>
      </w:r>
      <w:r>
        <w:rPr>
          <w:rFonts w:hint="eastAsia"/>
          <w:lang w:val="fr-FR"/>
        </w:rPr>
        <w:t>当然也包括工会</w:t>
      </w:r>
      <w:r>
        <w:rPr>
          <w:rFonts w:hint="eastAsia"/>
          <w:lang w:val="fr-FR"/>
        </w:rPr>
        <w:t>)</w:t>
      </w:r>
      <w:r>
        <w:rPr>
          <w:rFonts w:hint="eastAsia"/>
          <w:lang w:val="fr-FR"/>
        </w:rPr>
        <w:t>，需要一份至少由</w:t>
      </w:r>
      <w:r>
        <w:rPr>
          <w:rFonts w:hint="eastAsia"/>
          <w:lang w:val="fr-FR"/>
        </w:rPr>
        <w:t>10</w:t>
      </w:r>
      <w:r>
        <w:rPr>
          <w:rFonts w:hint="eastAsia"/>
          <w:lang w:val="fr-FR"/>
        </w:rPr>
        <w:t>名发起成员签署的声明；他们在声明书中宣告组织成立，决定组织章程，并选举产生管理和代表机构。</w:t>
      </w:r>
    </w:p>
    <w:p w:rsidR="00000000" w:rsidRDefault="00000000">
      <w:pPr>
        <w:rPr>
          <w:rFonts w:hint="eastAsia"/>
          <w:lang w:val="fr-FR"/>
        </w:rPr>
      </w:pPr>
      <w:r>
        <w:rPr>
          <w:lang w:val="fr-FR"/>
        </w:rPr>
        <w:tab/>
        <w:t xml:space="preserve">174.  </w:t>
      </w:r>
      <w:r>
        <w:rPr>
          <w:rFonts w:hint="eastAsia"/>
          <w:lang w:val="fr-FR"/>
        </w:rPr>
        <w:t>《宪法》和《劳动法》都对工会问题做出了规定。《宪法》规定“工会及其他代表性组织保护和代表雇员、合作社成员和企业家的利益。”根据《劳动法》，工会系指任何一个雇员组织，其主要目的是与雇佣关系一起共同促进和保护雇员利益。</w:t>
      </w:r>
    </w:p>
    <w:p w:rsidR="00000000" w:rsidRDefault="00000000">
      <w:pPr>
        <w:rPr>
          <w:rFonts w:hint="eastAsia"/>
          <w:lang w:val="fr-FR"/>
        </w:rPr>
      </w:pPr>
      <w:r>
        <w:rPr>
          <w:lang w:val="fr-FR"/>
        </w:rPr>
        <w:tab/>
        <w:t xml:space="preserve">175.  </w:t>
      </w:r>
      <w:r>
        <w:rPr>
          <w:rFonts w:hint="eastAsia"/>
          <w:lang w:val="fr-FR"/>
        </w:rPr>
        <w:t>雇员甚至可以在工作组织内部成立工会。工会的权利包括：在工作组织内部运作各种机构，使会员参与这些机构的运作过程；向雇员通告其财务、社会和文化方面的权利与责任，以及有关他们生活、工作条件方面的权利与责任；在有关劳资关系的问题上以及与雇主或公共机构的雇佣关系上代表会员的利益。</w:t>
      </w:r>
    </w:p>
    <w:p w:rsidR="00000000" w:rsidRDefault="00000000">
      <w:pPr>
        <w:rPr>
          <w:rFonts w:hint="eastAsia"/>
          <w:lang w:val="fr-FR"/>
        </w:rPr>
      </w:pPr>
      <w:r>
        <w:rPr>
          <w:lang w:val="fr-FR"/>
        </w:rPr>
        <w:tab/>
        <w:t>17</w:t>
      </w:r>
      <w:r>
        <w:rPr>
          <w:rFonts w:hint="eastAsia"/>
          <w:lang w:val="fr-FR"/>
        </w:rPr>
        <w:t>6</w:t>
      </w:r>
      <w:r>
        <w:rPr>
          <w:lang w:val="fr-FR"/>
        </w:rPr>
        <w:t xml:space="preserve">.  </w:t>
      </w:r>
      <w:r>
        <w:rPr>
          <w:rFonts w:hint="eastAsia"/>
          <w:lang w:val="fr-FR"/>
        </w:rPr>
        <w:t>依照《劳动法》的规定，工会有权缔结集体协议。</w:t>
      </w:r>
    </w:p>
    <w:p w:rsidR="00000000" w:rsidRDefault="00000000">
      <w:pPr>
        <w:rPr>
          <w:rFonts w:hint="eastAsia"/>
          <w:lang w:val="fr-FR"/>
        </w:rPr>
      </w:pPr>
      <w:r>
        <w:rPr>
          <w:lang w:val="fr-FR"/>
        </w:rPr>
        <w:tab/>
        <w:t xml:space="preserve">177.  </w:t>
      </w:r>
      <w:r>
        <w:rPr>
          <w:rFonts w:hint="eastAsia"/>
          <w:lang w:val="fr-FR"/>
        </w:rPr>
        <w:t>匈牙利的工会可以自由加入任何工会联合会。在全国利益协调委员会中具有席位的六家全国性工会联合会全部是欧工联成员。</w:t>
      </w:r>
    </w:p>
    <w:p w:rsidR="00000000" w:rsidRDefault="00000000">
      <w:pPr>
        <w:rPr>
          <w:rFonts w:hint="eastAsia"/>
          <w:lang w:val="fr-FR"/>
        </w:rPr>
      </w:pPr>
      <w:r>
        <w:rPr>
          <w:rFonts w:hint="eastAsia"/>
          <w:lang w:val="fr-FR"/>
        </w:rPr>
        <w:tab/>
        <w:t xml:space="preserve">178.  </w:t>
      </w:r>
      <w:r>
        <w:rPr>
          <w:rFonts w:hint="eastAsia"/>
          <w:lang w:val="fr-FR"/>
        </w:rPr>
        <w:t>匈牙利有企业级的工会、部门性工会、行业工会协会以及全国性工会联合会。</w:t>
      </w:r>
    </w:p>
    <w:p w:rsidR="00000000" w:rsidRDefault="00000000">
      <w:pPr>
        <w:rPr>
          <w:rFonts w:hint="eastAsia"/>
          <w:lang w:val="fr-FR"/>
        </w:rPr>
      </w:pPr>
      <w:r>
        <w:rPr>
          <w:rFonts w:hint="eastAsia"/>
          <w:lang w:val="fr-FR"/>
        </w:rPr>
        <w:tab/>
        <w:t xml:space="preserve">179.  </w:t>
      </w:r>
      <w:r>
        <w:rPr>
          <w:rFonts w:hint="eastAsia"/>
          <w:lang w:val="fr-FR"/>
        </w:rPr>
        <w:t>下列工会联合会是全国利益协调委员会的成员，该委员会是三方进行全国性社会对话的场所：</w:t>
      </w:r>
    </w:p>
    <w:p w:rsidR="00000000" w:rsidRDefault="00000000">
      <w:pPr>
        <w:pStyle w:val="a"/>
        <w:ind w:left="1550"/>
        <w:rPr>
          <w:rFonts w:hint="eastAsia"/>
          <w:lang w:val="fr-FR"/>
        </w:rPr>
      </w:pPr>
      <w:r>
        <w:rPr>
          <w:rFonts w:hint="eastAsia"/>
          <w:lang w:val="fr-FR"/>
        </w:rPr>
        <w:t>全国汽车工会协会</w:t>
      </w:r>
    </w:p>
    <w:p w:rsidR="00000000" w:rsidRDefault="00000000">
      <w:pPr>
        <w:pStyle w:val="a"/>
        <w:ind w:left="1550"/>
        <w:rPr>
          <w:rFonts w:hint="eastAsia"/>
          <w:lang w:val="fr-FR"/>
        </w:rPr>
      </w:pPr>
      <w:r>
        <w:rPr>
          <w:rFonts w:hint="eastAsia"/>
          <w:lang w:val="fr-FR"/>
        </w:rPr>
        <w:t>知识分子工会集团</w:t>
      </w:r>
    </w:p>
    <w:p w:rsidR="00000000" w:rsidRDefault="00000000">
      <w:pPr>
        <w:pStyle w:val="a"/>
        <w:ind w:left="1550"/>
        <w:rPr>
          <w:rFonts w:hint="eastAsia"/>
          <w:lang w:val="fr-FR"/>
        </w:rPr>
      </w:pPr>
      <w:r>
        <w:rPr>
          <w:rFonts w:hint="eastAsia"/>
          <w:lang w:val="fr-FR"/>
        </w:rPr>
        <w:t>自由工会民主联合会</w:t>
      </w:r>
    </w:p>
    <w:p w:rsidR="00000000" w:rsidRDefault="00000000">
      <w:pPr>
        <w:pStyle w:val="a"/>
        <w:ind w:left="1550"/>
        <w:rPr>
          <w:rFonts w:hint="eastAsia"/>
          <w:lang w:val="fr-FR"/>
        </w:rPr>
      </w:pPr>
      <w:r>
        <w:rPr>
          <w:rFonts w:hint="eastAsia"/>
          <w:lang w:val="fr-FR"/>
        </w:rPr>
        <w:t>匈牙利全国工会联合会</w:t>
      </w:r>
    </w:p>
    <w:p w:rsidR="00000000" w:rsidRDefault="00000000">
      <w:pPr>
        <w:pStyle w:val="a"/>
        <w:ind w:left="1550"/>
        <w:rPr>
          <w:rFonts w:hint="eastAsia"/>
          <w:lang w:val="fr-FR"/>
        </w:rPr>
      </w:pPr>
      <w:r>
        <w:rPr>
          <w:rFonts w:hint="eastAsia"/>
          <w:lang w:val="fr-FR"/>
        </w:rPr>
        <w:t>全国工人理事会联盟</w:t>
      </w:r>
    </w:p>
    <w:p w:rsidR="00000000" w:rsidRDefault="00000000">
      <w:pPr>
        <w:pStyle w:val="a"/>
        <w:ind w:left="1550"/>
        <w:rPr>
          <w:rFonts w:hint="eastAsia"/>
          <w:lang w:val="fr-FR"/>
        </w:rPr>
      </w:pPr>
      <w:r>
        <w:rPr>
          <w:rFonts w:hint="eastAsia"/>
          <w:lang w:val="fr-FR"/>
        </w:rPr>
        <w:t>工会合作论坛</w:t>
      </w:r>
    </w:p>
    <w:p w:rsidR="00000000" w:rsidRDefault="00000000">
      <w:pPr>
        <w:spacing w:after="320"/>
        <w:rPr>
          <w:rFonts w:hint="eastAsia"/>
          <w:lang w:val="fr-FR"/>
        </w:rPr>
      </w:pPr>
      <w:r>
        <w:rPr>
          <w:rFonts w:hint="eastAsia"/>
          <w:lang w:val="fr-FR"/>
        </w:rPr>
        <w:tab/>
        <w:t xml:space="preserve">180.  </w:t>
      </w:r>
      <w:r>
        <w:rPr>
          <w:rFonts w:hint="eastAsia"/>
          <w:lang w:val="fr-FR"/>
        </w:rPr>
        <w:t>全体雇员中约</w:t>
      </w:r>
      <w:r>
        <w:rPr>
          <w:rFonts w:hint="eastAsia"/>
          <w:lang w:val="fr-FR"/>
        </w:rPr>
        <w:t>20%</w:t>
      </w:r>
      <w:r>
        <w:rPr>
          <w:rFonts w:hint="eastAsia"/>
          <w:lang w:val="fr-FR"/>
        </w:rPr>
        <w:t>是工会成员，而缔结集体协议的约占三分之一。</w:t>
      </w:r>
    </w:p>
    <w:p w:rsidR="00000000" w:rsidRDefault="00000000">
      <w:pPr>
        <w:pStyle w:val="Heading3"/>
        <w:rPr>
          <w:rFonts w:hint="eastAsia"/>
          <w:lang w:val="fr-FR"/>
        </w:rPr>
      </w:pPr>
      <w:r>
        <w:rPr>
          <w:rFonts w:hint="eastAsia"/>
          <w:lang w:val="fr-FR"/>
        </w:rPr>
        <w:t>罢</w:t>
      </w:r>
      <w:r>
        <w:rPr>
          <w:lang w:val="fr-FR"/>
        </w:rPr>
        <w:t xml:space="preserve"> </w:t>
      </w:r>
      <w:r>
        <w:rPr>
          <w:rFonts w:hint="eastAsia"/>
          <w:lang w:val="fr-FR"/>
        </w:rPr>
        <w:t>工</w:t>
      </w:r>
      <w:r>
        <w:rPr>
          <w:lang w:val="fr-FR"/>
        </w:rPr>
        <w:t xml:space="preserve"> </w:t>
      </w:r>
      <w:r>
        <w:rPr>
          <w:rFonts w:hint="eastAsia"/>
          <w:lang w:val="fr-FR"/>
        </w:rPr>
        <w:t>权</w:t>
      </w:r>
    </w:p>
    <w:p w:rsidR="00000000" w:rsidRDefault="00000000">
      <w:pPr>
        <w:rPr>
          <w:rFonts w:hint="eastAsia"/>
          <w:lang w:val="fr-FR"/>
        </w:rPr>
      </w:pPr>
      <w:r>
        <w:rPr>
          <w:rFonts w:hint="eastAsia"/>
          <w:lang w:val="fr-FR"/>
        </w:rPr>
        <w:tab/>
        <w:t xml:space="preserve">181.  </w:t>
      </w:r>
      <w:r>
        <w:rPr>
          <w:rFonts w:hint="eastAsia"/>
          <w:lang w:val="fr-FR"/>
        </w:rPr>
        <w:t>罢工权是匈牙利共和国《宪法》赋予的基本权利。《关于宪法的</w:t>
      </w:r>
      <w:r>
        <w:rPr>
          <w:rFonts w:hint="eastAsia"/>
          <w:lang w:val="fr-FR"/>
        </w:rPr>
        <w:t>1949</w:t>
      </w:r>
      <w:r>
        <w:rPr>
          <w:rFonts w:hint="eastAsia"/>
          <w:lang w:val="fr-FR"/>
        </w:rPr>
        <w:t>年第二十号法令》第</w:t>
      </w:r>
      <w:r>
        <w:rPr>
          <w:rFonts w:hint="eastAsia"/>
          <w:lang w:val="fr-FR"/>
        </w:rPr>
        <w:t>70/C</w:t>
      </w:r>
      <w:r>
        <w:rPr>
          <w:rFonts w:hint="eastAsia"/>
          <w:lang w:val="fr-FR"/>
        </w:rPr>
        <w:t>条规定，人人有权与其他人一起成立旨在保护自己经济或社会权利的组织，或者加入这样的组织。罢工权可以依照规定适用条例的法律行使。有一条保障规则规定：《罢工权法令》的通过需获得国会到会议员的三分之二赞成票。</w:t>
      </w:r>
    </w:p>
    <w:p w:rsidR="00000000" w:rsidRDefault="00000000">
      <w:pPr>
        <w:rPr>
          <w:rFonts w:hint="eastAsia"/>
          <w:lang w:val="fr-FR"/>
        </w:rPr>
      </w:pPr>
      <w:r>
        <w:rPr>
          <w:rFonts w:hint="eastAsia"/>
          <w:lang w:val="fr-FR"/>
        </w:rPr>
        <w:tab/>
        <w:t xml:space="preserve">182.  </w:t>
      </w:r>
      <w:r>
        <w:rPr>
          <w:rFonts w:hint="eastAsia"/>
          <w:lang w:val="fr-FR"/>
        </w:rPr>
        <w:t>罢工受《</w:t>
      </w:r>
      <w:r>
        <w:rPr>
          <w:rFonts w:hint="eastAsia"/>
          <w:lang w:val="fr-FR"/>
        </w:rPr>
        <w:t>1989</w:t>
      </w:r>
      <w:r>
        <w:rPr>
          <w:rFonts w:hint="eastAsia"/>
          <w:lang w:val="fr-FR"/>
        </w:rPr>
        <w:t>年第七号法令》的节制。《法令》禁止司法组织、武装部队、武装组织、执法机构和文职国家安全机构举行罢工。公共行政机构可根据政府和有关工会的协议举行罢工。除此之外，如果罢工直接、严重地危害到人的生命、人身安全、健康或环境，或者罢工妨碍了对自然灾害的预防，罢工权也须受到限制。第三类限制罢工权的情况涉及提供公共服务的机构。这些机构只有在不妨碍提供足够水准服务的情况下，才可以行使罢工权。</w:t>
      </w:r>
    </w:p>
    <w:p w:rsidR="00000000" w:rsidRDefault="00000000">
      <w:pPr>
        <w:rPr>
          <w:rFonts w:hint="eastAsia"/>
          <w:lang w:val="fr-FR"/>
        </w:rPr>
      </w:pPr>
      <w:r>
        <w:rPr>
          <w:rFonts w:hint="eastAsia"/>
          <w:lang w:val="fr-FR"/>
        </w:rPr>
        <w:tab/>
        <w:t xml:space="preserve">183.  </w:t>
      </w:r>
      <w:r>
        <w:rPr>
          <w:rFonts w:hint="eastAsia"/>
          <w:lang w:val="fr-FR"/>
        </w:rPr>
        <w:t>如不具备所有法律条件就发动罢工，或者罢工追求的目标违反了《宪法》规定，或者发动罢工是为了反对修改权属于法院的某项雇主措施，或者甚至是在集体协议的有效期内为了修改集体协议的条款发动罢工，则属不合法罢工。法律指定劳动法院来裁决某次罢工是否合法。请求裁决没有时间限制，可以在罢工期间或之后的任何时间内提交。劳动法院应以非诉讼性程序裁决该案件。这意味着法院不举行庭审，但是法院如果认为有必要或者为了进一步求证，可以传讯有关当事方。</w:t>
      </w:r>
    </w:p>
    <w:p w:rsidR="00000000" w:rsidRDefault="00000000">
      <w:pPr>
        <w:spacing w:after="320"/>
        <w:rPr>
          <w:rFonts w:hint="eastAsia"/>
          <w:lang w:val="fr-FR"/>
        </w:rPr>
      </w:pPr>
      <w:r>
        <w:rPr>
          <w:rFonts w:hint="eastAsia"/>
          <w:lang w:val="fr-FR"/>
        </w:rPr>
        <w:tab/>
        <w:t xml:space="preserve">184.  </w:t>
      </w:r>
      <w:r>
        <w:rPr>
          <w:rFonts w:hint="eastAsia"/>
          <w:lang w:val="fr-FR"/>
        </w:rPr>
        <w:t>自上一份报告以来，《罢工权</w:t>
      </w:r>
      <w:r>
        <w:rPr>
          <w:rFonts w:hint="eastAsia"/>
          <w:lang w:val="fr-FR"/>
        </w:rPr>
        <w:t>1989</w:t>
      </w:r>
      <w:r>
        <w:rPr>
          <w:rFonts w:hint="eastAsia"/>
          <w:lang w:val="fr-FR"/>
        </w:rPr>
        <w:t>年第五十二号法令》只修订了一次。《</w:t>
      </w:r>
      <w:r>
        <w:rPr>
          <w:rFonts w:hint="eastAsia"/>
          <w:lang w:val="fr-FR"/>
        </w:rPr>
        <w:t>1995</w:t>
      </w:r>
      <w:r>
        <w:rPr>
          <w:rFonts w:hint="eastAsia"/>
          <w:lang w:val="fr-FR"/>
        </w:rPr>
        <w:t>年第</w:t>
      </w:r>
      <w:r>
        <w:rPr>
          <w:rFonts w:hint="eastAsia"/>
          <w:lang w:val="fr-FR"/>
        </w:rPr>
        <w:t>125</w:t>
      </w:r>
      <w:r>
        <w:rPr>
          <w:rFonts w:hint="eastAsia"/>
          <w:lang w:val="fr-FR"/>
        </w:rPr>
        <w:t>号法令》修改了第</w:t>
      </w:r>
      <w:r>
        <w:rPr>
          <w:rFonts w:hint="eastAsia"/>
          <w:lang w:val="fr-FR"/>
        </w:rPr>
        <w:t>3</w:t>
      </w:r>
      <w:r>
        <w:rPr>
          <w:rFonts w:hint="eastAsia"/>
          <w:lang w:val="fr-FR"/>
        </w:rPr>
        <w:t>条第</w:t>
      </w:r>
      <w:r>
        <w:rPr>
          <w:rFonts w:hint="eastAsia"/>
          <w:lang w:val="fr-FR"/>
        </w:rPr>
        <w:t>(2)</w:t>
      </w:r>
      <w:r>
        <w:rPr>
          <w:rFonts w:hint="eastAsia"/>
          <w:lang w:val="fr-FR"/>
        </w:rPr>
        <w:t>分节的条文，因此将文职国家安全机构增列到罢工权受限制的公共机构名单中。司法机构在这方面确立了统一的做法，最高法院就此颁发了《指南》决议，而且也就一些个别案件作了裁决。</w:t>
      </w:r>
    </w:p>
    <w:p w:rsidR="00000000" w:rsidRDefault="00000000">
      <w:pPr>
        <w:pStyle w:val="Heading2"/>
        <w:rPr>
          <w:rFonts w:hint="eastAsia"/>
          <w:lang w:val="fr-FR"/>
        </w:rPr>
      </w:pPr>
      <w:r>
        <w:rPr>
          <w:rFonts w:hint="eastAsia"/>
          <w:lang w:val="fr-FR"/>
        </w:rPr>
        <w:t>第九条</w:t>
      </w:r>
      <w:r>
        <w:rPr>
          <w:rFonts w:hint="eastAsia"/>
          <w:spacing w:val="-50"/>
          <w:lang w:val="fr-FR"/>
        </w:rPr>
        <w:t>―</w:t>
      </w:r>
      <w:r>
        <w:rPr>
          <w:rFonts w:hint="eastAsia"/>
          <w:lang w:val="fr-FR"/>
        </w:rPr>
        <w:t>―社会保障</w:t>
      </w:r>
    </w:p>
    <w:p w:rsidR="00000000" w:rsidRDefault="00000000">
      <w:pPr>
        <w:rPr>
          <w:rFonts w:hint="eastAsia"/>
          <w:lang w:val="fr-FR"/>
        </w:rPr>
      </w:pPr>
      <w:r>
        <w:rPr>
          <w:rFonts w:hint="eastAsia"/>
          <w:lang w:val="fr-FR"/>
        </w:rPr>
        <w:tab/>
        <w:t xml:space="preserve">185.  </w:t>
      </w:r>
      <w:r>
        <w:rPr>
          <w:rFonts w:hint="eastAsia"/>
          <w:lang w:val="fr-FR"/>
        </w:rPr>
        <w:t>根据《宪法》第</w:t>
      </w:r>
      <w:r>
        <w:rPr>
          <w:rFonts w:hint="eastAsia"/>
          <w:lang w:val="fr-FR"/>
        </w:rPr>
        <w:t>70/E</w:t>
      </w:r>
      <w:r>
        <w:rPr>
          <w:rFonts w:hint="eastAsia"/>
          <w:lang w:val="fr-FR"/>
        </w:rPr>
        <w:t>条规定，“</w:t>
      </w:r>
      <w:r>
        <w:rPr>
          <w:rFonts w:eastAsia="KaiTi_GB2312" w:hint="eastAsia"/>
          <w:snapToGrid/>
          <w:spacing w:val="0"/>
          <w:lang w:val="fr-FR"/>
        </w:rPr>
        <w:t>匈牙利共和国公民有权获得社会保障；他们有权获得安度晚年所需支助，并在生病、残疾、丧偶、遗孤和非本人过错失业的情况下有权获得支助。匈牙利共和国通过社会保障体系和社会机构体系来落实获得社会支助权</w:t>
      </w:r>
      <w:r>
        <w:rPr>
          <w:rFonts w:hint="eastAsia"/>
          <w:lang w:val="fr-FR"/>
        </w:rPr>
        <w:t>。”</w:t>
      </w:r>
    </w:p>
    <w:p w:rsidR="00000000" w:rsidRDefault="00000000">
      <w:pPr>
        <w:rPr>
          <w:rFonts w:hint="eastAsia"/>
          <w:lang w:val="fr-FR"/>
        </w:rPr>
      </w:pPr>
      <w:r>
        <w:rPr>
          <w:rFonts w:hint="eastAsia"/>
          <w:lang w:val="fr-FR"/>
        </w:rPr>
        <w:tab/>
        <w:t xml:space="preserve">186.  </w:t>
      </w:r>
      <w:r>
        <w:rPr>
          <w:rFonts w:hint="eastAsia"/>
          <w:lang w:val="fr-FR"/>
        </w:rPr>
        <w:t>匈牙利社会保障体系由三个主要分支体系构成：</w:t>
      </w:r>
    </w:p>
    <w:p w:rsidR="00000000" w:rsidRDefault="00000000">
      <w:pPr>
        <w:pStyle w:val="a"/>
        <w:ind w:left="1550"/>
        <w:rPr>
          <w:rFonts w:hint="eastAsia"/>
          <w:lang w:val="fr-FR"/>
        </w:rPr>
      </w:pPr>
      <w:r>
        <w:rPr>
          <w:rFonts w:hint="eastAsia"/>
          <w:lang w:val="fr-FR"/>
        </w:rPr>
        <w:t>强制性社会保障体系</w:t>
      </w:r>
    </w:p>
    <w:p w:rsidR="00000000" w:rsidRDefault="00000000">
      <w:pPr>
        <w:pStyle w:val="a0"/>
        <w:ind w:left="2070"/>
        <w:rPr>
          <w:rFonts w:hint="eastAsia"/>
          <w:lang w:val="fr-FR"/>
        </w:rPr>
      </w:pPr>
      <w:r>
        <w:rPr>
          <w:rFonts w:hint="eastAsia"/>
          <w:lang w:val="fr-FR"/>
        </w:rPr>
        <w:t>健康保险部门</w:t>
      </w:r>
    </w:p>
    <w:p w:rsidR="00000000" w:rsidRDefault="00000000">
      <w:pPr>
        <w:pStyle w:val="a0"/>
        <w:ind w:left="2070"/>
        <w:rPr>
          <w:rFonts w:hint="eastAsia"/>
          <w:lang w:val="fr-FR"/>
        </w:rPr>
      </w:pPr>
      <w:r>
        <w:rPr>
          <w:rFonts w:hint="eastAsia"/>
          <w:lang w:val="fr-FR"/>
        </w:rPr>
        <w:t>养恤金保险部门</w:t>
      </w:r>
    </w:p>
    <w:p w:rsidR="00000000" w:rsidRDefault="00000000">
      <w:pPr>
        <w:pStyle w:val="a"/>
        <w:ind w:left="1550"/>
        <w:rPr>
          <w:rFonts w:hint="eastAsia"/>
          <w:lang w:val="fr-FR"/>
        </w:rPr>
      </w:pPr>
      <w:r>
        <w:rPr>
          <w:rFonts w:hint="eastAsia"/>
          <w:lang w:val="fr-FR"/>
        </w:rPr>
        <w:t>失业处理机制</w:t>
      </w:r>
    </w:p>
    <w:p w:rsidR="00000000" w:rsidRDefault="00000000">
      <w:pPr>
        <w:pStyle w:val="a"/>
        <w:ind w:left="1550"/>
        <w:rPr>
          <w:rFonts w:hint="eastAsia"/>
          <w:lang w:val="fr-FR"/>
        </w:rPr>
      </w:pPr>
      <w:r>
        <w:rPr>
          <w:rFonts w:hint="eastAsia"/>
          <w:lang w:val="fr-FR"/>
        </w:rPr>
        <w:t>社会福利</w:t>
      </w:r>
      <w:r>
        <w:rPr>
          <w:rFonts w:hint="eastAsia"/>
          <w:lang w:val="fr-FR"/>
        </w:rPr>
        <w:t>(</w:t>
      </w:r>
      <w:r>
        <w:rPr>
          <w:rFonts w:hint="eastAsia"/>
          <w:lang w:val="fr-FR"/>
        </w:rPr>
        <w:t>包括家庭福利和儿童保护服务</w:t>
      </w:r>
      <w:r>
        <w:rPr>
          <w:rFonts w:hint="eastAsia"/>
          <w:lang w:val="fr-FR"/>
        </w:rPr>
        <w:t>)</w:t>
      </w:r>
    </w:p>
    <w:p w:rsidR="00000000" w:rsidRDefault="00000000">
      <w:pPr>
        <w:pStyle w:val="a0"/>
        <w:ind w:left="2070"/>
        <w:rPr>
          <w:rFonts w:hint="eastAsia"/>
          <w:lang w:val="fr-FR"/>
        </w:rPr>
      </w:pPr>
      <w:r>
        <w:rPr>
          <w:rFonts w:hint="eastAsia"/>
          <w:lang w:val="fr-FR"/>
        </w:rPr>
        <w:t>现金津贴，</w:t>
      </w:r>
    </w:p>
    <w:p w:rsidR="00000000" w:rsidRDefault="00000000">
      <w:pPr>
        <w:pStyle w:val="a0"/>
        <w:ind w:left="2070"/>
        <w:rPr>
          <w:rFonts w:hint="eastAsia"/>
          <w:lang w:val="fr-FR"/>
        </w:rPr>
      </w:pPr>
      <w:r>
        <w:rPr>
          <w:rFonts w:hint="eastAsia"/>
          <w:lang w:val="fr-FR"/>
        </w:rPr>
        <w:t>实物服务型，和</w:t>
      </w:r>
    </w:p>
    <w:p w:rsidR="00000000" w:rsidRDefault="00000000">
      <w:pPr>
        <w:pStyle w:val="a0"/>
        <w:ind w:left="2070"/>
        <w:rPr>
          <w:rFonts w:hint="eastAsia"/>
          <w:lang w:val="fr-FR"/>
        </w:rPr>
      </w:pPr>
      <w:r>
        <w:rPr>
          <w:rFonts w:hint="eastAsia"/>
          <w:lang w:val="fr-FR"/>
        </w:rPr>
        <w:t>个人服务型。</w:t>
      </w:r>
    </w:p>
    <w:p w:rsidR="00000000" w:rsidRDefault="00000000">
      <w:pPr>
        <w:rPr>
          <w:rFonts w:hint="eastAsia"/>
          <w:lang w:val="fr-FR"/>
        </w:rPr>
      </w:pPr>
      <w:r>
        <w:rPr>
          <w:rFonts w:hint="eastAsia"/>
          <w:lang w:val="fr-FR"/>
        </w:rPr>
        <w:tab/>
        <w:t xml:space="preserve">187.  </w:t>
      </w:r>
      <w:r>
        <w:rPr>
          <w:rFonts w:hint="eastAsia"/>
          <w:lang w:val="fr-FR"/>
        </w:rPr>
        <w:t>社会保障体系的运作一部分以保险为基础</w:t>
      </w:r>
      <w:r>
        <w:rPr>
          <w:rFonts w:hint="eastAsia"/>
          <w:lang w:val="fr-FR"/>
        </w:rPr>
        <w:t>(</w:t>
      </w:r>
      <w:r>
        <w:rPr>
          <w:rFonts w:hint="eastAsia"/>
          <w:lang w:val="fr-FR"/>
        </w:rPr>
        <w:t>养老保险、健康保险和失业福利</w:t>
      </w:r>
      <w:r>
        <w:rPr>
          <w:rFonts w:hint="eastAsia"/>
          <w:lang w:val="fr-FR"/>
        </w:rPr>
        <w:t>)</w:t>
      </w:r>
      <w:r>
        <w:rPr>
          <w:rFonts w:hint="eastAsia"/>
          <w:lang w:val="fr-FR"/>
        </w:rPr>
        <w:t>，一部分则通过税收的再分配进行。</w:t>
      </w:r>
    </w:p>
    <w:p w:rsidR="00000000" w:rsidRDefault="00000000">
      <w:pPr>
        <w:spacing w:after="320"/>
        <w:rPr>
          <w:rFonts w:hint="eastAsia"/>
          <w:lang w:val="fr-FR"/>
        </w:rPr>
      </w:pPr>
      <w:r>
        <w:rPr>
          <w:rFonts w:hint="eastAsia"/>
          <w:lang w:val="fr-FR"/>
        </w:rPr>
        <w:tab/>
        <w:t xml:space="preserve">188.  </w:t>
      </w:r>
      <w:r>
        <w:rPr>
          <w:rFonts w:hint="eastAsia"/>
          <w:lang w:val="fr-FR"/>
        </w:rPr>
        <w:t>社会援助一部分以公共津贴的形式，一部分则以地理上所属</w:t>
      </w:r>
      <w:r>
        <w:rPr>
          <w:rFonts w:hint="eastAsia"/>
          <w:lang w:val="fr-FR"/>
        </w:rPr>
        <w:t>(</w:t>
      </w:r>
      <w:r>
        <w:rPr>
          <w:rFonts w:hint="eastAsia"/>
          <w:lang w:val="fr-FR"/>
        </w:rPr>
        <w:t>按常住地确定的</w:t>
      </w:r>
      <w:r>
        <w:rPr>
          <w:rFonts w:hint="eastAsia"/>
          <w:lang w:val="fr-FR"/>
        </w:rPr>
        <w:t>)</w:t>
      </w:r>
      <w:r>
        <w:rPr>
          <w:rFonts w:hint="eastAsia"/>
          <w:lang w:val="fr-FR"/>
        </w:rPr>
        <w:t>主管地方政府运作的援助项目的形式提供给目标群体。</w:t>
      </w:r>
    </w:p>
    <w:p w:rsidR="00000000" w:rsidRDefault="00000000">
      <w:pPr>
        <w:pStyle w:val="Heading3"/>
        <w:rPr>
          <w:rFonts w:hint="eastAsia"/>
          <w:lang w:val="fr-FR"/>
        </w:rPr>
      </w:pPr>
      <w:r>
        <w:rPr>
          <w:rFonts w:hint="eastAsia"/>
          <w:lang w:val="fr-FR"/>
        </w:rPr>
        <w:t>匈牙利的强制性社会保障体系</w:t>
      </w:r>
    </w:p>
    <w:p w:rsidR="00000000" w:rsidRDefault="00000000">
      <w:pPr>
        <w:rPr>
          <w:rFonts w:hint="eastAsia"/>
          <w:lang w:val="fr-FR"/>
        </w:rPr>
      </w:pPr>
      <w:r>
        <w:rPr>
          <w:lang w:val="fr-FR"/>
        </w:rPr>
        <w:tab/>
        <w:t xml:space="preserve">189.  </w:t>
      </w:r>
      <w:r>
        <w:rPr>
          <w:rFonts w:hint="eastAsia"/>
          <w:lang w:val="fr-FR"/>
        </w:rPr>
        <w:t>根据《关于有权获得社会保障福利和私营养恤金的人员以及这些保险的覆盖范围的</w:t>
      </w:r>
      <w:r>
        <w:rPr>
          <w:rFonts w:hint="eastAsia"/>
          <w:lang w:val="fr-FR"/>
        </w:rPr>
        <w:t>1997</w:t>
      </w:r>
      <w:r>
        <w:rPr>
          <w:rFonts w:hint="eastAsia"/>
          <w:lang w:val="fr-FR"/>
        </w:rPr>
        <w:t>年第八十号法令》第</w:t>
      </w:r>
      <w:r>
        <w:rPr>
          <w:rFonts w:hint="eastAsia"/>
          <w:lang w:val="fr-FR"/>
        </w:rPr>
        <w:t>14</w:t>
      </w:r>
      <w:r>
        <w:rPr>
          <w:rFonts w:hint="eastAsia"/>
          <w:lang w:val="fr-FR"/>
        </w:rPr>
        <w:t>条第</w:t>
      </w:r>
      <w:r>
        <w:rPr>
          <w:rFonts w:hint="eastAsia"/>
          <w:lang w:val="fr-FR"/>
        </w:rPr>
        <w:t>(1)</w:t>
      </w:r>
      <w:r>
        <w:rPr>
          <w:rFonts w:hint="eastAsia"/>
          <w:lang w:val="fr-FR"/>
        </w:rPr>
        <w:t>款</w:t>
      </w:r>
      <w:r>
        <w:rPr>
          <w:rFonts w:hint="eastAsia"/>
          <w:lang w:val="fr-FR"/>
        </w:rPr>
        <w:t>(</w:t>
      </w:r>
      <w:r>
        <w:rPr>
          <w:rFonts w:hint="eastAsia"/>
          <w:lang w:val="fr-FR"/>
        </w:rPr>
        <w:t>《社会保障法令》</w:t>
      </w:r>
      <w:r>
        <w:rPr>
          <w:rFonts w:hint="eastAsia"/>
          <w:lang w:val="fr-FR"/>
        </w:rPr>
        <w:t>)</w:t>
      </w:r>
      <w:r>
        <w:rPr>
          <w:rFonts w:hint="eastAsia"/>
          <w:lang w:val="fr-FR"/>
        </w:rPr>
        <w:t>的规定，“可以在健康保险和养老保险计划的框架内使用社会保障服务。”</w:t>
      </w:r>
    </w:p>
    <w:p w:rsidR="00000000" w:rsidRDefault="00000000">
      <w:pPr>
        <w:rPr>
          <w:rFonts w:hint="eastAsia"/>
          <w:lang w:val="fr-FR"/>
        </w:rPr>
      </w:pPr>
      <w:r>
        <w:rPr>
          <w:rFonts w:hint="eastAsia"/>
          <w:lang w:val="fr-FR"/>
        </w:rPr>
        <w:tab/>
        <w:t xml:space="preserve">190.  </w:t>
      </w:r>
      <w:r>
        <w:rPr>
          <w:rFonts w:hint="eastAsia"/>
          <w:lang w:val="fr-FR"/>
        </w:rPr>
        <w:t>依照《社会保障法令》第</w:t>
      </w:r>
      <w:r>
        <w:rPr>
          <w:rFonts w:hint="eastAsia"/>
          <w:lang w:val="fr-FR"/>
        </w:rPr>
        <w:t>14</w:t>
      </w:r>
      <w:r>
        <w:rPr>
          <w:rFonts w:hint="eastAsia"/>
          <w:lang w:val="fr-FR"/>
        </w:rPr>
        <w:t>条第</w:t>
      </w:r>
      <w:r>
        <w:rPr>
          <w:rFonts w:hint="eastAsia"/>
          <w:lang w:val="fr-FR"/>
        </w:rPr>
        <w:t>(2)</w:t>
      </w:r>
      <w:r>
        <w:rPr>
          <w:rFonts w:hint="eastAsia"/>
          <w:lang w:val="fr-FR"/>
        </w:rPr>
        <w:t>分节和第</w:t>
      </w:r>
      <w:r>
        <w:rPr>
          <w:rFonts w:hint="eastAsia"/>
          <w:lang w:val="fr-FR"/>
        </w:rPr>
        <w:t>(3)</w:t>
      </w:r>
      <w:r>
        <w:rPr>
          <w:rFonts w:hint="eastAsia"/>
          <w:lang w:val="fr-FR"/>
        </w:rPr>
        <w:t>分节的规定，健康保险和养老保险福利的总体结构如下：</w:t>
      </w:r>
    </w:p>
    <w:p w:rsidR="00000000" w:rsidRDefault="00000000">
      <w:pPr>
        <w:ind w:left="1040"/>
        <w:rPr>
          <w:rFonts w:hint="eastAsia"/>
          <w:u w:val="single"/>
          <w:lang w:val="fr-FR"/>
        </w:rPr>
      </w:pPr>
      <w:r>
        <w:rPr>
          <w:rFonts w:hint="eastAsia"/>
          <w:lang w:val="fr-FR"/>
        </w:rPr>
        <w:t xml:space="preserve">A.  </w:t>
      </w:r>
      <w:r>
        <w:rPr>
          <w:rFonts w:hint="eastAsia"/>
          <w:u w:val="single"/>
          <w:lang w:val="fr-FR"/>
        </w:rPr>
        <w:t>健康保险服务</w:t>
      </w:r>
      <w:r>
        <w:rPr>
          <w:rFonts w:hint="eastAsia"/>
          <w:lang w:val="fr-FR"/>
        </w:rPr>
        <w:t>：</w:t>
      </w:r>
    </w:p>
    <w:p w:rsidR="00000000" w:rsidRDefault="00000000">
      <w:pPr>
        <w:ind w:left="1560"/>
        <w:rPr>
          <w:rFonts w:hint="eastAsia"/>
          <w:lang w:val="fr-FR"/>
        </w:rPr>
      </w:pPr>
      <w:r>
        <w:rPr>
          <w:rFonts w:hint="eastAsia"/>
          <w:lang w:val="fr-FR"/>
        </w:rPr>
        <w:t>1.</w:t>
      </w:r>
      <w:r>
        <w:rPr>
          <w:lang w:val="fr-FR"/>
        </w:rPr>
        <w:tab/>
      </w:r>
      <w:r>
        <w:rPr>
          <w:rFonts w:hint="eastAsia"/>
          <w:lang w:val="fr-FR"/>
        </w:rPr>
        <w:t>实物保健服务</w:t>
      </w:r>
    </w:p>
    <w:p w:rsidR="00000000" w:rsidRDefault="00000000">
      <w:pPr>
        <w:ind w:left="1560"/>
        <w:rPr>
          <w:rFonts w:hint="eastAsia"/>
          <w:lang w:val="fr-FR"/>
        </w:rPr>
      </w:pPr>
      <w:r>
        <w:rPr>
          <w:rFonts w:hint="eastAsia"/>
          <w:lang w:val="fr-FR"/>
        </w:rPr>
        <w:t>2</w:t>
      </w:r>
      <w:r>
        <w:rPr>
          <w:lang w:val="fr-FR"/>
        </w:rPr>
        <w:t>.</w:t>
      </w:r>
      <w:r>
        <w:rPr>
          <w:lang w:val="fr-FR"/>
        </w:rPr>
        <w:tab/>
      </w:r>
      <w:r>
        <w:rPr>
          <w:rFonts w:hint="eastAsia"/>
          <w:lang w:val="fr-FR"/>
        </w:rPr>
        <w:t>现金津贴</w:t>
      </w:r>
    </w:p>
    <w:p w:rsidR="00000000" w:rsidRDefault="00000000">
      <w:pPr>
        <w:pStyle w:val="a0"/>
        <w:ind w:left="2590"/>
        <w:rPr>
          <w:rFonts w:hint="eastAsia"/>
          <w:lang w:val="fr-FR"/>
        </w:rPr>
      </w:pPr>
      <w:r>
        <w:rPr>
          <w:rFonts w:hint="eastAsia"/>
          <w:lang w:val="fr-FR"/>
        </w:rPr>
        <w:t>产期</w:t>
      </w:r>
      <w:r>
        <w:rPr>
          <w:rFonts w:hint="eastAsia"/>
          <w:lang w:val="fr-FR"/>
        </w:rPr>
        <w:t>/</w:t>
      </w:r>
      <w:r>
        <w:rPr>
          <w:rFonts w:hint="eastAsia"/>
          <w:lang w:val="fr-FR"/>
        </w:rPr>
        <w:t>分娩补助</w:t>
      </w:r>
    </w:p>
    <w:p w:rsidR="00000000" w:rsidRDefault="00000000">
      <w:pPr>
        <w:pStyle w:val="a0"/>
        <w:ind w:left="2590"/>
        <w:rPr>
          <w:rFonts w:hint="eastAsia"/>
          <w:lang w:val="fr-FR"/>
        </w:rPr>
      </w:pPr>
      <w:r>
        <w:rPr>
          <w:rFonts w:hint="eastAsia"/>
          <w:lang w:val="fr-FR"/>
        </w:rPr>
        <w:t>儿童保育津贴</w:t>
      </w:r>
    </w:p>
    <w:p w:rsidR="00000000" w:rsidRDefault="00000000">
      <w:pPr>
        <w:pStyle w:val="a0"/>
        <w:ind w:left="2590"/>
        <w:rPr>
          <w:rFonts w:hint="eastAsia"/>
          <w:lang w:val="fr-FR"/>
        </w:rPr>
      </w:pPr>
      <w:r>
        <w:rPr>
          <w:rFonts w:hint="eastAsia"/>
          <w:lang w:val="fr-FR"/>
        </w:rPr>
        <w:t>病假工资</w:t>
      </w:r>
    </w:p>
    <w:p w:rsidR="00000000" w:rsidRDefault="00000000">
      <w:pPr>
        <w:ind w:left="1560"/>
        <w:rPr>
          <w:rFonts w:hint="eastAsia"/>
          <w:lang w:val="fr-FR"/>
        </w:rPr>
      </w:pPr>
      <w:r>
        <w:rPr>
          <w:rFonts w:hint="eastAsia"/>
          <w:lang w:val="fr-FR"/>
        </w:rPr>
        <w:t>3.</w:t>
      </w:r>
      <w:r>
        <w:rPr>
          <w:lang w:val="fr-FR"/>
        </w:rPr>
        <w:tab/>
      </w:r>
      <w:r>
        <w:rPr>
          <w:rFonts w:hint="eastAsia"/>
          <w:lang w:val="fr-FR"/>
        </w:rPr>
        <w:t>与事故相关的福利</w:t>
      </w:r>
    </w:p>
    <w:p w:rsidR="00000000" w:rsidRDefault="00000000">
      <w:pPr>
        <w:pStyle w:val="a0"/>
        <w:ind w:left="2070"/>
        <w:rPr>
          <w:rFonts w:hint="eastAsia"/>
          <w:lang w:val="fr-FR"/>
        </w:rPr>
      </w:pPr>
      <w:r>
        <w:rPr>
          <w:rFonts w:hint="eastAsia"/>
          <w:lang w:val="fr-FR"/>
        </w:rPr>
        <w:t>事故后保健服务</w:t>
      </w:r>
    </w:p>
    <w:p w:rsidR="00000000" w:rsidRDefault="00000000">
      <w:pPr>
        <w:pStyle w:val="a0"/>
        <w:ind w:left="2070"/>
        <w:rPr>
          <w:rFonts w:hint="eastAsia"/>
          <w:lang w:val="fr-FR"/>
        </w:rPr>
      </w:pPr>
      <w:r>
        <w:rPr>
          <w:rFonts w:hint="eastAsia"/>
          <w:lang w:val="fr-FR"/>
        </w:rPr>
        <w:t>与事故相关的病假工资</w:t>
      </w:r>
    </w:p>
    <w:p w:rsidR="00000000" w:rsidRDefault="00000000">
      <w:pPr>
        <w:pStyle w:val="a0"/>
        <w:ind w:left="2590"/>
        <w:rPr>
          <w:rFonts w:hint="eastAsia"/>
          <w:lang w:val="fr-FR"/>
        </w:rPr>
      </w:pPr>
      <w:r>
        <w:rPr>
          <w:rFonts w:hint="eastAsia"/>
          <w:lang w:val="fr-FR"/>
        </w:rPr>
        <w:t>与事故相关的长期津贴</w:t>
      </w:r>
    </w:p>
    <w:p w:rsidR="00000000" w:rsidRDefault="00000000">
      <w:pPr>
        <w:ind w:left="1040"/>
        <w:rPr>
          <w:rFonts w:hint="eastAsia"/>
          <w:u w:val="single"/>
          <w:lang w:val="fr-FR"/>
        </w:rPr>
      </w:pPr>
      <w:r>
        <w:rPr>
          <w:rFonts w:hint="eastAsia"/>
          <w:lang w:val="fr-FR"/>
        </w:rPr>
        <w:t xml:space="preserve">B.  </w:t>
      </w:r>
      <w:r>
        <w:rPr>
          <w:rFonts w:hint="eastAsia"/>
          <w:u w:val="single"/>
          <w:lang w:val="fr-FR"/>
        </w:rPr>
        <w:t>养恤金保险福利</w:t>
      </w:r>
      <w:r>
        <w:rPr>
          <w:rFonts w:hint="eastAsia"/>
          <w:lang w:val="fr-FR"/>
        </w:rPr>
        <w:t>：</w:t>
      </w:r>
    </w:p>
    <w:p w:rsidR="00000000" w:rsidRDefault="00000000">
      <w:pPr>
        <w:ind w:left="1560"/>
        <w:rPr>
          <w:rFonts w:hint="eastAsia"/>
          <w:lang w:val="fr-FR"/>
        </w:rPr>
      </w:pPr>
      <w:r>
        <w:rPr>
          <w:rFonts w:hint="eastAsia"/>
          <w:lang w:val="fr-FR"/>
        </w:rPr>
        <w:t>4.</w:t>
      </w:r>
      <w:r>
        <w:rPr>
          <w:lang w:val="fr-FR"/>
        </w:rPr>
        <w:tab/>
      </w:r>
      <w:r>
        <w:rPr>
          <w:rFonts w:hint="eastAsia"/>
          <w:lang w:val="fr-FR"/>
        </w:rPr>
        <w:t>直接有权领取的社会保障养恤金</w:t>
      </w:r>
    </w:p>
    <w:p w:rsidR="00000000" w:rsidRDefault="00000000">
      <w:pPr>
        <w:pStyle w:val="a0"/>
        <w:ind w:left="2590"/>
        <w:rPr>
          <w:rFonts w:hint="eastAsia"/>
          <w:lang w:val="fr-FR"/>
        </w:rPr>
      </w:pPr>
      <w:r>
        <w:rPr>
          <w:rFonts w:hint="eastAsia"/>
          <w:lang w:val="fr-FR"/>
        </w:rPr>
        <w:t>养老金</w:t>
      </w:r>
    </w:p>
    <w:p w:rsidR="00000000" w:rsidRDefault="00000000">
      <w:pPr>
        <w:pStyle w:val="a0"/>
        <w:ind w:left="2590"/>
        <w:rPr>
          <w:rFonts w:hint="eastAsia"/>
          <w:lang w:val="fr-FR"/>
        </w:rPr>
      </w:pPr>
      <w:r>
        <w:rPr>
          <w:rFonts w:hint="eastAsia"/>
          <w:lang w:val="fr-FR"/>
        </w:rPr>
        <w:t>残疾抚恤金</w:t>
      </w:r>
    </w:p>
    <w:p w:rsidR="00000000" w:rsidRDefault="00000000">
      <w:pPr>
        <w:pStyle w:val="a0"/>
        <w:ind w:left="2590"/>
        <w:rPr>
          <w:rFonts w:hint="eastAsia"/>
          <w:lang w:val="fr-FR"/>
        </w:rPr>
      </w:pPr>
      <w:r>
        <w:rPr>
          <w:rFonts w:hint="eastAsia"/>
          <w:lang w:val="fr-FR"/>
        </w:rPr>
        <w:t>与事故相关的残疾抚恤金</w:t>
      </w:r>
    </w:p>
    <w:p w:rsidR="00000000" w:rsidRDefault="00000000">
      <w:pPr>
        <w:ind w:left="1560"/>
        <w:rPr>
          <w:rFonts w:hint="eastAsia"/>
          <w:lang w:val="fr-FR"/>
        </w:rPr>
      </w:pPr>
      <w:r>
        <w:rPr>
          <w:rFonts w:hint="eastAsia"/>
          <w:lang w:val="fr-FR"/>
        </w:rPr>
        <w:t>5.</w:t>
      </w:r>
      <w:r>
        <w:rPr>
          <w:lang w:val="fr-FR"/>
        </w:rPr>
        <w:tab/>
      </w:r>
      <w:r>
        <w:rPr>
          <w:rFonts w:hint="eastAsia"/>
          <w:lang w:val="fr-FR"/>
        </w:rPr>
        <w:t>遗属退休福利</w:t>
      </w:r>
    </w:p>
    <w:p w:rsidR="00000000" w:rsidRDefault="00000000">
      <w:pPr>
        <w:pStyle w:val="a0"/>
        <w:ind w:left="2590"/>
        <w:rPr>
          <w:rFonts w:hint="eastAsia"/>
          <w:lang w:val="fr-FR"/>
        </w:rPr>
      </w:pPr>
      <w:r>
        <w:rPr>
          <w:rFonts w:hint="eastAsia"/>
          <w:lang w:val="fr-FR"/>
        </w:rPr>
        <w:t>鳏</w:t>
      </w:r>
      <w:r>
        <w:rPr>
          <w:rFonts w:hint="eastAsia"/>
          <w:lang w:val="fr-FR"/>
        </w:rPr>
        <w:t>(</w:t>
      </w:r>
      <w:r>
        <w:rPr>
          <w:rFonts w:hint="eastAsia"/>
          <w:lang w:val="fr-FR"/>
        </w:rPr>
        <w:t>寡</w:t>
      </w:r>
      <w:r>
        <w:rPr>
          <w:rFonts w:hint="eastAsia"/>
          <w:lang w:val="fr-FR"/>
        </w:rPr>
        <w:t>)</w:t>
      </w:r>
      <w:r>
        <w:rPr>
          <w:rFonts w:hint="eastAsia"/>
          <w:lang w:val="fr-FR"/>
        </w:rPr>
        <w:t>抚恤金</w:t>
      </w:r>
    </w:p>
    <w:p w:rsidR="00000000" w:rsidRDefault="00000000">
      <w:pPr>
        <w:pStyle w:val="a0"/>
        <w:ind w:left="2590"/>
        <w:rPr>
          <w:rFonts w:hint="eastAsia"/>
          <w:lang w:val="fr-FR"/>
        </w:rPr>
      </w:pPr>
      <w:r>
        <w:rPr>
          <w:rFonts w:hint="eastAsia"/>
          <w:lang w:val="fr-FR"/>
        </w:rPr>
        <w:t>遗孤津贴</w:t>
      </w:r>
    </w:p>
    <w:p w:rsidR="00000000" w:rsidRDefault="00000000">
      <w:pPr>
        <w:pStyle w:val="a0"/>
        <w:ind w:left="2590"/>
        <w:rPr>
          <w:rFonts w:hint="eastAsia"/>
          <w:lang w:val="fr-FR"/>
        </w:rPr>
      </w:pPr>
      <w:r>
        <w:rPr>
          <w:rFonts w:hint="eastAsia"/>
          <w:lang w:val="fr-FR"/>
        </w:rPr>
        <w:t>双亲抚恤金</w:t>
      </w:r>
    </w:p>
    <w:p w:rsidR="00000000" w:rsidRDefault="00000000">
      <w:pPr>
        <w:pStyle w:val="a0"/>
        <w:ind w:left="2590"/>
        <w:rPr>
          <w:rFonts w:hint="eastAsia"/>
          <w:lang w:val="fr-FR"/>
        </w:rPr>
      </w:pPr>
      <w:r>
        <w:rPr>
          <w:rFonts w:hint="eastAsia"/>
          <w:lang w:val="fr-FR"/>
        </w:rPr>
        <w:t>与事故相关的遗属退休福利</w:t>
      </w:r>
    </w:p>
    <w:p w:rsidR="00000000" w:rsidRDefault="00000000">
      <w:pPr>
        <w:spacing w:after="240"/>
        <w:rPr>
          <w:rFonts w:hint="eastAsia"/>
          <w:lang w:val="fr-FR"/>
        </w:rPr>
      </w:pPr>
      <w:r>
        <w:rPr>
          <w:lang w:val="fr-FR"/>
        </w:rPr>
        <w:tab/>
        <w:t xml:space="preserve">191.  </w:t>
      </w:r>
      <w:r>
        <w:rPr>
          <w:rFonts w:hint="eastAsia"/>
          <w:lang w:val="fr-FR"/>
        </w:rPr>
        <w:t>社会保障框架内提供的服务，部分可使用服务，部分可申请现金津贴。在法律具体规定的其他情况下，只有受保人才有权享有整套社会保障服务。</w:t>
      </w:r>
    </w:p>
    <w:p w:rsidR="00000000" w:rsidRDefault="00000000">
      <w:pPr>
        <w:pStyle w:val="Heading4"/>
        <w:rPr>
          <w:rFonts w:eastAsia="KaiTi_GB2312" w:hint="eastAsia"/>
          <w:snapToGrid/>
          <w:spacing w:val="0"/>
          <w:u w:val="none"/>
          <w:lang w:val="en-GB"/>
        </w:rPr>
      </w:pPr>
      <w:r>
        <w:rPr>
          <w:rFonts w:eastAsia="KaiTi_GB2312" w:hint="eastAsia"/>
          <w:snapToGrid/>
          <w:spacing w:val="0"/>
          <w:u w:val="none"/>
          <w:lang w:val="en-GB"/>
        </w:rPr>
        <w:t>健康保险服务</w:t>
      </w:r>
    </w:p>
    <w:p w:rsidR="00000000" w:rsidRDefault="00000000">
      <w:pPr>
        <w:rPr>
          <w:rFonts w:hint="eastAsia"/>
          <w:lang w:val="fr-FR"/>
        </w:rPr>
      </w:pPr>
      <w:r>
        <w:rPr>
          <w:rFonts w:hint="eastAsia"/>
          <w:lang w:val="fr-FR"/>
        </w:rPr>
        <w:tab/>
        <w:t xml:space="preserve">192.  </w:t>
      </w:r>
      <w:r>
        <w:rPr>
          <w:rFonts w:hint="eastAsia"/>
          <w:lang w:val="fr-FR"/>
        </w:rPr>
        <w:t>根据有关强制性健康保险服务的《第八十三号法令》</w:t>
      </w:r>
      <w:r>
        <w:rPr>
          <w:rFonts w:hint="eastAsia"/>
          <w:lang w:val="fr-FR"/>
        </w:rPr>
        <w:t>(</w:t>
      </w:r>
      <w:r>
        <w:rPr>
          <w:rFonts w:hint="eastAsia"/>
          <w:lang w:val="fr-FR"/>
        </w:rPr>
        <w:t>《健康保险法令》</w:t>
      </w:r>
      <w:r>
        <w:rPr>
          <w:rFonts w:hint="eastAsia"/>
          <w:lang w:val="fr-FR"/>
        </w:rPr>
        <w:t>)</w:t>
      </w:r>
      <w:r>
        <w:rPr>
          <w:rFonts w:hint="eastAsia"/>
          <w:lang w:val="fr-FR"/>
        </w:rPr>
        <w:t>的规定，可以使用以下健康保险服务：</w:t>
      </w:r>
    </w:p>
    <w:p w:rsidR="00000000" w:rsidRDefault="00000000">
      <w:pPr>
        <w:numPr>
          <w:ilvl w:val="0"/>
          <w:numId w:val="170"/>
        </w:numPr>
        <w:rPr>
          <w:rFonts w:hint="eastAsia"/>
          <w:lang w:val="fr-FR"/>
        </w:rPr>
      </w:pPr>
      <w:r>
        <w:rPr>
          <w:rFonts w:hint="eastAsia"/>
          <w:lang w:val="fr-FR"/>
        </w:rPr>
        <w:t>保健服务</w:t>
      </w:r>
    </w:p>
    <w:p w:rsidR="00000000" w:rsidRDefault="00000000">
      <w:pPr>
        <w:numPr>
          <w:ilvl w:val="0"/>
          <w:numId w:val="170"/>
        </w:numPr>
        <w:rPr>
          <w:rFonts w:hint="eastAsia"/>
          <w:lang w:val="fr-FR"/>
        </w:rPr>
      </w:pPr>
      <w:r>
        <w:rPr>
          <w:rFonts w:hint="eastAsia"/>
          <w:lang w:val="fr-FR"/>
        </w:rPr>
        <w:t>现金津贴</w:t>
      </w:r>
    </w:p>
    <w:p w:rsidR="00000000" w:rsidRDefault="00000000">
      <w:pPr>
        <w:numPr>
          <w:ilvl w:val="0"/>
          <w:numId w:val="170"/>
        </w:numPr>
        <w:rPr>
          <w:rFonts w:hint="eastAsia"/>
          <w:lang w:val="fr-FR"/>
        </w:rPr>
      </w:pPr>
      <w:r>
        <w:rPr>
          <w:rFonts w:hint="eastAsia"/>
          <w:lang w:val="fr-FR"/>
        </w:rPr>
        <w:t>与事故相关的服务</w:t>
      </w:r>
    </w:p>
    <w:p w:rsidR="00000000" w:rsidRDefault="00000000">
      <w:pPr>
        <w:rPr>
          <w:rFonts w:hint="eastAsia"/>
          <w:lang w:val="fr-FR"/>
        </w:rPr>
      </w:pPr>
      <w:r>
        <w:rPr>
          <w:rFonts w:hint="eastAsia"/>
          <w:lang w:val="fr-FR"/>
        </w:rPr>
        <w:tab/>
        <w:t xml:space="preserve">193.  1.  </w:t>
      </w:r>
      <w:r>
        <w:rPr>
          <w:rFonts w:hint="eastAsia"/>
          <w:lang w:val="fr-FR"/>
        </w:rPr>
        <w:t>对于</w:t>
      </w:r>
      <w:r>
        <w:rPr>
          <w:rFonts w:eastAsia="KaiTi_GB2312" w:hint="eastAsia"/>
          <w:snapToGrid/>
          <w:spacing w:val="0"/>
          <w:lang w:val="fr-FR"/>
        </w:rPr>
        <w:t>保健服务</w:t>
      </w:r>
      <w:r>
        <w:rPr>
          <w:rFonts w:hint="eastAsia"/>
          <w:lang w:val="fr-FR"/>
        </w:rPr>
        <w:t>，有些可免费获得，有些则通过提供价格补贴、或健康保险基金支付部分费用或双方平均分摊费用提供。</w:t>
      </w:r>
      <w:r>
        <w:rPr>
          <w:rFonts w:eastAsia="KaiTi_GB2312" w:hint="eastAsia"/>
          <w:snapToGrid/>
          <w:spacing w:val="0"/>
          <w:lang w:val="fr-FR"/>
        </w:rPr>
        <w:t>免费保健服务包括</w:t>
      </w:r>
      <w:r>
        <w:rPr>
          <w:rFonts w:hint="eastAsia"/>
          <w:lang w:val="fr-FR"/>
        </w:rPr>
        <w:t>：</w:t>
      </w:r>
    </w:p>
    <w:p w:rsidR="00000000" w:rsidRDefault="00000000">
      <w:pPr>
        <w:pStyle w:val="ac"/>
        <w:rPr>
          <w:rFonts w:hint="eastAsia"/>
          <w:lang w:val="fr-FR"/>
        </w:rPr>
      </w:pPr>
      <w:r>
        <w:rPr>
          <w:rFonts w:hint="eastAsia"/>
          <w:lang w:val="fr-FR"/>
        </w:rPr>
        <w:t>a.</w:t>
      </w:r>
      <w:r>
        <w:rPr>
          <w:lang w:val="fr-FR"/>
        </w:rPr>
        <w:tab/>
      </w:r>
      <w:r>
        <w:rPr>
          <w:rFonts w:hint="eastAsia"/>
          <w:lang w:val="fr-FR"/>
        </w:rPr>
        <w:t>预防和早期确诊疾病的保健服务</w:t>
      </w:r>
    </w:p>
    <w:p w:rsidR="00000000" w:rsidRDefault="00000000">
      <w:pPr>
        <w:pStyle w:val="ac"/>
        <w:rPr>
          <w:rFonts w:hint="eastAsia"/>
          <w:lang w:val="fr-FR"/>
        </w:rPr>
      </w:pPr>
      <w:r>
        <w:rPr>
          <w:rFonts w:hint="eastAsia"/>
          <w:lang w:val="fr-FR"/>
        </w:rPr>
        <w:t>b.</w:t>
      </w:r>
      <w:r>
        <w:rPr>
          <w:lang w:val="fr-FR"/>
        </w:rPr>
        <w:tab/>
      </w:r>
      <w:r>
        <w:rPr>
          <w:rFonts w:hint="eastAsia"/>
          <w:lang w:val="fr-FR"/>
        </w:rPr>
        <w:t>以治疗为目的的福利</w:t>
      </w:r>
    </w:p>
    <w:p w:rsidR="00000000" w:rsidRDefault="00000000">
      <w:pPr>
        <w:ind w:left="1560"/>
        <w:rPr>
          <w:rFonts w:hint="eastAsia"/>
          <w:lang w:val="fr-FR"/>
        </w:rPr>
      </w:pPr>
      <w:r>
        <w:rPr>
          <w:rFonts w:hint="eastAsia"/>
          <w:lang w:val="fr-FR"/>
        </w:rPr>
        <w:t>初级保健医生的诊疗</w:t>
      </w:r>
    </w:p>
    <w:p w:rsidR="00000000" w:rsidRDefault="00000000">
      <w:pPr>
        <w:ind w:left="1560"/>
        <w:rPr>
          <w:rFonts w:hint="eastAsia"/>
          <w:lang w:val="fr-FR"/>
        </w:rPr>
      </w:pPr>
      <w:r>
        <w:rPr>
          <w:rFonts w:hint="eastAsia"/>
          <w:lang w:val="fr-FR"/>
        </w:rPr>
        <w:t>牙科</w:t>
      </w:r>
    </w:p>
    <w:p w:rsidR="00000000" w:rsidRDefault="00000000">
      <w:pPr>
        <w:ind w:left="1560"/>
        <w:rPr>
          <w:rFonts w:hint="eastAsia"/>
          <w:lang w:val="fr-FR"/>
        </w:rPr>
      </w:pPr>
      <w:r>
        <w:rPr>
          <w:rFonts w:hint="eastAsia"/>
          <w:lang w:val="fr-FR"/>
        </w:rPr>
        <w:t>门诊治疗</w:t>
      </w:r>
    </w:p>
    <w:p w:rsidR="00000000" w:rsidRDefault="00000000">
      <w:pPr>
        <w:ind w:left="1560"/>
        <w:rPr>
          <w:rFonts w:hint="eastAsia"/>
          <w:lang w:val="fr-FR"/>
        </w:rPr>
      </w:pPr>
      <w:r>
        <w:rPr>
          <w:rFonts w:hint="eastAsia"/>
          <w:lang w:val="fr-FR"/>
        </w:rPr>
        <w:t>住院治疗</w:t>
      </w:r>
    </w:p>
    <w:p w:rsidR="00000000" w:rsidRDefault="00000000">
      <w:pPr>
        <w:pStyle w:val="ac"/>
        <w:rPr>
          <w:rFonts w:hint="eastAsia"/>
          <w:lang w:val="fr-FR"/>
        </w:rPr>
      </w:pPr>
      <w:r>
        <w:rPr>
          <w:lang w:val="fr-FR"/>
        </w:rPr>
        <w:t>c</w:t>
      </w:r>
      <w:r>
        <w:rPr>
          <w:rFonts w:hint="eastAsia"/>
          <w:lang w:val="fr-FR"/>
        </w:rPr>
        <w:t>.</w:t>
      </w:r>
      <w:r>
        <w:rPr>
          <w:lang w:val="fr-FR"/>
        </w:rPr>
        <w:tab/>
      </w:r>
      <w:r>
        <w:rPr>
          <w:rFonts w:hint="eastAsia"/>
          <w:lang w:val="fr-FR"/>
        </w:rPr>
        <w:t>其他保健服务</w:t>
      </w:r>
    </w:p>
    <w:p w:rsidR="00000000" w:rsidRDefault="00000000">
      <w:pPr>
        <w:ind w:left="1560"/>
        <w:rPr>
          <w:rFonts w:hint="eastAsia"/>
          <w:lang w:val="fr-FR"/>
        </w:rPr>
      </w:pPr>
      <w:r>
        <w:rPr>
          <w:rFonts w:hint="eastAsia"/>
          <w:lang w:val="fr-FR"/>
        </w:rPr>
        <w:t>妇产科诊疗</w:t>
      </w:r>
    </w:p>
    <w:p w:rsidR="00000000" w:rsidRDefault="00000000">
      <w:pPr>
        <w:ind w:left="1560"/>
        <w:rPr>
          <w:rFonts w:hint="eastAsia"/>
          <w:lang w:val="fr-FR"/>
        </w:rPr>
      </w:pPr>
      <w:r>
        <w:rPr>
          <w:rFonts w:hint="eastAsia"/>
          <w:lang w:val="fr-FR"/>
        </w:rPr>
        <w:t>医疗康复</w:t>
      </w:r>
    </w:p>
    <w:p w:rsidR="00000000" w:rsidRDefault="00000000">
      <w:pPr>
        <w:ind w:left="1560"/>
        <w:rPr>
          <w:rFonts w:hint="eastAsia"/>
          <w:lang w:val="fr-FR"/>
        </w:rPr>
      </w:pPr>
      <w:r>
        <w:rPr>
          <w:rFonts w:hint="eastAsia"/>
          <w:lang w:val="fr-FR"/>
        </w:rPr>
        <w:t>病患运输，急诊</w:t>
      </w:r>
    </w:p>
    <w:p w:rsidR="00000000" w:rsidRDefault="00000000">
      <w:pPr>
        <w:rPr>
          <w:rFonts w:hint="eastAsia"/>
          <w:lang w:val="fr-FR"/>
        </w:rPr>
      </w:pPr>
      <w:r>
        <w:rPr>
          <w:lang w:val="fr-FR"/>
        </w:rPr>
        <w:tab/>
      </w:r>
      <w:r>
        <w:rPr>
          <w:rFonts w:hint="eastAsia"/>
          <w:lang w:val="fr-FR"/>
        </w:rPr>
        <w:t xml:space="preserve">194.  </w:t>
      </w:r>
      <w:r>
        <w:rPr>
          <w:rFonts w:hint="eastAsia"/>
          <w:lang w:val="fr-FR"/>
        </w:rPr>
        <w:t>药品、医疗器械和保健的使用可以得到国家提供的价格补贴。</w:t>
      </w:r>
    </w:p>
    <w:p w:rsidR="00000000" w:rsidRDefault="00000000">
      <w:pPr>
        <w:rPr>
          <w:rFonts w:hint="eastAsia"/>
          <w:lang w:val="fr-FR"/>
        </w:rPr>
      </w:pPr>
      <w:r>
        <w:rPr>
          <w:lang w:val="fr-FR"/>
        </w:rPr>
        <w:tab/>
        <w:t xml:space="preserve">195.  </w:t>
      </w:r>
      <w:r>
        <w:rPr>
          <w:rFonts w:hint="eastAsia"/>
          <w:lang w:val="fr-FR"/>
        </w:rPr>
        <w:t>受保人自己支付部分费用可使用服务有：没有处方使用某些只有持医生处方才可使用的牙科用品或服务；受保人如因情况紧急无法去医生提出的保健机构而去其他保健机构就医；在法律具体规定的某些情况下，受保人自己要求进行的保健服务或在保健机构内享受特殊待遇</w:t>
      </w:r>
      <w:r>
        <w:rPr>
          <w:rFonts w:hint="eastAsia"/>
          <w:lang w:val="fr-FR"/>
        </w:rPr>
        <w:t>(</w:t>
      </w:r>
      <w:r>
        <w:rPr>
          <w:rFonts w:hint="eastAsia"/>
          <w:lang w:val="fr-FR"/>
        </w:rPr>
        <w:t>单人病房、特殊餐、或更高质量的膳食或住宿</w:t>
      </w:r>
      <w:r>
        <w:rPr>
          <w:rFonts w:hint="eastAsia"/>
          <w:lang w:val="fr-FR"/>
        </w:rPr>
        <w:t>)</w:t>
      </w:r>
      <w:r>
        <w:rPr>
          <w:rFonts w:hint="eastAsia"/>
          <w:lang w:val="fr-FR"/>
        </w:rPr>
        <w:t>造成额外费用。</w:t>
      </w:r>
    </w:p>
    <w:p w:rsidR="00000000" w:rsidRDefault="00000000">
      <w:pPr>
        <w:spacing w:after="240"/>
        <w:rPr>
          <w:rFonts w:hint="eastAsia"/>
          <w:lang w:val="fr-FR"/>
        </w:rPr>
      </w:pPr>
      <w:r>
        <w:rPr>
          <w:rFonts w:hint="eastAsia"/>
          <w:lang w:val="fr-FR"/>
        </w:rPr>
        <w:tab/>
        <w:t xml:space="preserve">196.  </w:t>
      </w:r>
      <w:r>
        <w:rPr>
          <w:rFonts w:hint="eastAsia"/>
          <w:lang w:val="fr-FR"/>
        </w:rPr>
        <w:t>对那些没有资格按法律规定的方式享有保健服务的人员，国家健康保险基金的主任在健康保险基金预算规定的限制范围内，可以基于平衡法提供这些保健服务。</w:t>
      </w:r>
    </w:p>
    <w:p w:rsidR="00000000" w:rsidRDefault="00000000">
      <w:pPr>
        <w:pStyle w:val="Heading4"/>
        <w:spacing w:after="120"/>
        <w:ind w:left="520"/>
        <w:rPr>
          <w:rFonts w:eastAsia="KaiTi_GB2312" w:hint="eastAsia"/>
          <w:snapToGrid/>
          <w:spacing w:val="0"/>
          <w:u w:val="none"/>
          <w:lang w:val="en-GB"/>
        </w:rPr>
      </w:pPr>
      <w:r>
        <w:rPr>
          <w:rFonts w:eastAsia="KaiTi_GB2312" w:hint="eastAsia"/>
          <w:snapToGrid/>
          <w:spacing w:val="0"/>
          <w:u w:val="none"/>
          <w:lang w:val="en-GB"/>
        </w:rPr>
        <w:t xml:space="preserve">2.  </w:t>
      </w:r>
      <w:r>
        <w:rPr>
          <w:rFonts w:eastAsia="KaiTi_GB2312" w:hint="eastAsia"/>
          <w:snapToGrid/>
          <w:spacing w:val="0"/>
          <w:u w:val="none"/>
          <w:lang w:val="en-GB"/>
        </w:rPr>
        <w:t>现金津贴</w:t>
      </w:r>
    </w:p>
    <w:p w:rsidR="00000000" w:rsidRDefault="00000000">
      <w:pPr>
        <w:numPr>
          <w:ilvl w:val="0"/>
          <w:numId w:val="172"/>
        </w:numPr>
        <w:tabs>
          <w:tab w:val="clear" w:pos="1531"/>
          <w:tab w:val="num" w:pos="1690"/>
        </w:tabs>
        <w:ind w:left="2051" w:hanging="621"/>
        <w:rPr>
          <w:rFonts w:hint="eastAsia"/>
          <w:lang w:val="en-GB"/>
        </w:rPr>
      </w:pPr>
      <w:r>
        <w:rPr>
          <w:rFonts w:hint="eastAsia"/>
          <w:lang w:val="en-GB"/>
        </w:rPr>
        <w:t>怀孕</w:t>
      </w:r>
      <w:r>
        <w:rPr>
          <w:rFonts w:hint="eastAsia"/>
          <w:spacing w:val="-50"/>
          <w:lang w:val="en-GB"/>
        </w:rPr>
        <w:t>―</w:t>
      </w:r>
      <w:r>
        <w:rPr>
          <w:rFonts w:hint="eastAsia"/>
          <w:lang w:val="en-GB"/>
        </w:rPr>
        <w:t>―产假津贴</w:t>
      </w:r>
    </w:p>
    <w:p w:rsidR="00000000" w:rsidRDefault="00000000">
      <w:pPr>
        <w:numPr>
          <w:ilvl w:val="0"/>
          <w:numId w:val="172"/>
        </w:numPr>
        <w:tabs>
          <w:tab w:val="clear" w:pos="1531"/>
          <w:tab w:val="num" w:pos="1690"/>
        </w:tabs>
        <w:ind w:left="2051" w:hanging="621"/>
        <w:rPr>
          <w:rFonts w:hint="eastAsia"/>
          <w:lang w:val="en-GB"/>
        </w:rPr>
      </w:pPr>
      <w:r>
        <w:rPr>
          <w:rFonts w:hint="eastAsia"/>
          <w:lang w:val="en-GB"/>
        </w:rPr>
        <w:t>儿童保育费</w:t>
      </w:r>
    </w:p>
    <w:p w:rsidR="00000000" w:rsidRDefault="00000000">
      <w:pPr>
        <w:numPr>
          <w:ilvl w:val="0"/>
          <w:numId w:val="172"/>
        </w:numPr>
        <w:tabs>
          <w:tab w:val="clear" w:pos="1531"/>
          <w:tab w:val="num" w:pos="1690"/>
        </w:tabs>
        <w:spacing w:after="240"/>
        <w:ind w:left="2051" w:hanging="621"/>
        <w:rPr>
          <w:rFonts w:hint="eastAsia"/>
          <w:lang w:val="en-GB"/>
        </w:rPr>
      </w:pPr>
      <w:r>
        <w:rPr>
          <w:rFonts w:hint="eastAsia"/>
          <w:lang w:val="en-GB"/>
        </w:rPr>
        <w:t>病假工资</w:t>
      </w:r>
    </w:p>
    <w:p w:rsidR="00000000" w:rsidRDefault="00000000">
      <w:pPr>
        <w:rPr>
          <w:rFonts w:hint="eastAsia"/>
          <w:lang w:val="en-GB"/>
        </w:rPr>
      </w:pPr>
      <w:r>
        <w:rPr>
          <w:rFonts w:hint="eastAsia"/>
          <w:lang w:val="en-GB"/>
        </w:rPr>
        <w:tab/>
        <w:t xml:space="preserve">197.  </w:t>
      </w:r>
      <w:r>
        <w:rPr>
          <w:rFonts w:hint="eastAsia"/>
          <w:lang w:val="en-GB"/>
        </w:rPr>
        <w:t>在分娩前两年内至少已投保了</w:t>
      </w:r>
      <w:r>
        <w:rPr>
          <w:rFonts w:hint="eastAsia"/>
          <w:lang w:val="en-GB"/>
        </w:rPr>
        <w:t>180</w:t>
      </w:r>
      <w:r>
        <w:rPr>
          <w:rFonts w:hint="eastAsia"/>
          <w:lang w:val="en-GB"/>
        </w:rPr>
        <w:t>天的妇女可以享受</w:t>
      </w:r>
      <w:r>
        <w:rPr>
          <w:rFonts w:eastAsia="KaiTi_GB2312" w:hint="eastAsia"/>
          <w:lang w:val="en-GB"/>
        </w:rPr>
        <w:t>怀孕</w:t>
      </w:r>
      <w:r>
        <w:rPr>
          <w:rFonts w:hint="eastAsia"/>
          <w:spacing w:val="-50"/>
          <w:lang w:val="en-GB"/>
        </w:rPr>
        <w:t>―</w:t>
      </w:r>
      <w:r>
        <w:rPr>
          <w:rFonts w:hint="eastAsia"/>
          <w:lang w:val="en-GB"/>
        </w:rPr>
        <w:t>―</w:t>
      </w:r>
      <w:r>
        <w:rPr>
          <w:rFonts w:eastAsia="KaiTi_GB2312" w:hint="eastAsia"/>
          <w:lang w:val="en-GB"/>
        </w:rPr>
        <w:t>生产津贴</w:t>
      </w:r>
      <w:r>
        <w:rPr>
          <w:rFonts w:hint="eastAsia"/>
          <w:lang w:val="en-GB"/>
        </w:rPr>
        <w:t>，而且</w:t>
      </w:r>
    </w:p>
    <w:p w:rsidR="00000000" w:rsidRDefault="00000000">
      <w:pPr>
        <w:pStyle w:val="a0"/>
        <w:ind w:left="1550"/>
        <w:rPr>
          <w:rFonts w:hint="eastAsia"/>
          <w:lang w:val="en-GB"/>
        </w:rPr>
      </w:pPr>
      <w:r>
        <w:rPr>
          <w:rFonts w:hint="eastAsia"/>
          <w:lang w:val="en-GB"/>
        </w:rPr>
        <w:t>在保险期内或在保险期后的四十二天内分娩，或</w:t>
      </w:r>
    </w:p>
    <w:p w:rsidR="00000000" w:rsidRDefault="00000000">
      <w:pPr>
        <w:pStyle w:val="a0"/>
        <w:ind w:left="1550"/>
        <w:rPr>
          <w:rFonts w:hint="eastAsia"/>
          <w:lang w:val="en-GB"/>
        </w:rPr>
      </w:pPr>
      <w:r>
        <w:rPr>
          <w:rFonts w:hint="eastAsia"/>
          <w:lang w:val="en-GB"/>
        </w:rPr>
        <w:t>在保险期后的四十二天之后分娩，须在领取病假工资或个人与事故有关的病假工资的期限内，或在病假工资结束后二十八天内。</w:t>
      </w:r>
    </w:p>
    <w:p w:rsidR="00000000" w:rsidRDefault="00000000">
      <w:pPr>
        <w:rPr>
          <w:rFonts w:hint="eastAsia"/>
          <w:lang w:val="en-GB"/>
        </w:rPr>
      </w:pPr>
      <w:r>
        <w:rPr>
          <w:rFonts w:hint="eastAsia"/>
          <w:lang w:val="en-GB"/>
        </w:rPr>
        <w:tab/>
        <w:t xml:space="preserve">198.  </w:t>
      </w:r>
      <w:r>
        <w:rPr>
          <w:rFonts w:hint="eastAsia"/>
          <w:lang w:val="en-GB"/>
        </w:rPr>
        <w:t>怀孕</w:t>
      </w:r>
      <w:r>
        <w:rPr>
          <w:rFonts w:hint="eastAsia"/>
          <w:spacing w:val="-50"/>
          <w:lang w:val="en-GB"/>
        </w:rPr>
        <w:t>―</w:t>
      </w:r>
      <w:r>
        <w:rPr>
          <w:rFonts w:hint="eastAsia"/>
          <w:lang w:val="en-GB"/>
        </w:rPr>
        <w:t>―生产津贴期限等同于产假期限。怀孕</w:t>
      </w:r>
      <w:r>
        <w:rPr>
          <w:rFonts w:hint="eastAsia"/>
          <w:spacing w:val="-50"/>
          <w:lang w:val="en-GB"/>
        </w:rPr>
        <w:t>―</w:t>
      </w:r>
      <w:r>
        <w:rPr>
          <w:rFonts w:hint="eastAsia"/>
          <w:lang w:val="en-GB"/>
        </w:rPr>
        <w:t>―生产津贴应是日平均工资的</w:t>
      </w:r>
      <w:r>
        <w:rPr>
          <w:rFonts w:hint="eastAsia"/>
          <w:lang w:val="en-GB"/>
        </w:rPr>
        <w:t>70%</w:t>
      </w:r>
      <w:r>
        <w:rPr>
          <w:rFonts w:hint="eastAsia"/>
          <w:lang w:val="en-GB"/>
        </w:rPr>
        <w:t>。</w:t>
      </w:r>
    </w:p>
    <w:p w:rsidR="00000000" w:rsidRDefault="00000000">
      <w:pPr>
        <w:rPr>
          <w:rFonts w:hint="eastAsia"/>
          <w:lang w:val="en-GB"/>
        </w:rPr>
      </w:pPr>
      <w:r>
        <w:rPr>
          <w:rFonts w:hint="eastAsia"/>
          <w:lang w:val="en-GB"/>
        </w:rPr>
        <w:tab/>
        <w:t xml:space="preserve">199.  </w:t>
      </w:r>
      <w:r>
        <w:rPr>
          <w:rFonts w:hint="eastAsia"/>
          <w:lang w:val="en-GB"/>
        </w:rPr>
        <w:t>自</w:t>
      </w:r>
      <w:r>
        <w:rPr>
          <w:rFonts w:hint="eastAsia"/>
          <w:lang w:val="en-GB"/>
        </w:rPr>
        <w:t>2000</w:t>
      </w:r>
      <w:r>
        <w:rPr>
          <w:rFonts w:hint="eastAsia"/>
          <w:lang w:val="en-GB"/>
        </w:rPr>
        <w:t>年</w:t>
      </w:r>
      <w:r>
        <w:rPr>
          <w:rFonts w:hint="eastAsia"/>
          <w:lang w:val="en-GB"/>
        </w:rPr>
        <w:t>1</w:t>
      </w:r>
      <w:r>
        <w:rPr>
          <w:rFonts w:hint="eastAsia"/>
          <w:lang w:val="en-GB"/>
        </w:rPr>
        <w:t>月</w:t>
      </w:r>
      <w:r>
        <w:rPr>
          <w:rFonts w:hint="eastAsia"/>
          <w:lang w:val="en-GB"/>
        </w:rPr>
        <w:t>1</w:t>
      </w:r>
      <w:r>
        <w:rPr>
          <w:rFonts w:hint="eastAsia"/>
          <w:lang w:val="en-GB"/>
        </w:rPr>
        <w:t>日起，保育福利项目又增加推出了</w:t>
      </w:r>
      <w:r>
        <w:rPr>
          <w:rFonts w:eastAsia="KaiTi_GB2312" w:hint="eastAsia"/>
          <w:snapToGrid/>
          <w:spacing w:val="0"/>
          <w:lang w:val="en-GB"/>
        </w:rPr>
        <w:t>儿童保育费</w:t>
      </w:r>
      <w:r>
        <w:rPr>
          <w:rFonts w:hint="eastAsia"/>
          <w:lang w:val="en-GB"/>
        </w:rPr>
        <w:t>。如果父母在子女出生以前通过雇佣单位准确投保，到子女满二岁之前，父母一直可以领取儿童保育费。领取金额以父母以前的工资为基础</w:t>
      </w:r>
      <w:r>
        <w:rPr>
          <w:rFonts w:hint="eastAsia"/>
          <w:lang w:val="en-GB"/>
        </w:rPr>
        <w:t>(70%)</w:t>
      </w:r>
      <w:r>
        <w:rPr>
          <w:rFonts w:hint="eastAsia"/>
          <w:lang w:val="en-GB"/>
        </w:rPr>
        <w:t>，但有上限。</w:t>
      </w:r>
      <w:r>
        <w:rPr>
          <w:rFonts w:hint="eastAsia"/>
          <w:lang w:val="en-GB"/>
        </w:rPr>
        <w:t>2001</w:t>
      </w:r>
      <w:r>
        <w:rPr>
          <w:rFonts w:hint="eastAsia"/>
          <w:lang w:val="en-GB"/>
        </w:rPr>
        <w:t>年上限是</w:t>
      </w:r>
      <w:r>
        <w:rPr>
          <w:rFonts w:hint="eastAsia"/>
          <w:lang w:val="en-GB"/>
        </w:rPr>
        <w:t>80,000</w:t>
      </w:r>
      <w:r>
        <w:rPr>
          <w:rFonts w:hint="eastAsia"/>
          <w:lang w:val="en-GB"/>
        </w:rPr>
        <w:t>福林，</w:t>
      </w:r>
      <w:r>
        <w:rPr>
          <w:rFonts w:hint="eastAsia"/>
          <w:lang w:val="en-GB"/>
        </w:rPr>
        <w:t>2002</w:t>
      </w:r>
      <w:r>
        <w:rPr>
          <w:rFonts w:hint="eastAsia"/>
          <w:lang w:val="en-GB"/>
        </w:rPr>
        <w:t>年是</w:t>
      </w:r>
      <w:r>
        <w:rPr>
          <w:rFonts w:hint="eastAsia"/>
          <w:lang w:val="en-GB"/>
        </w:rPr>
        <w:t>83,000</w:t>
      </w:r>
      <w:r>
        <w:rPr>
          <w:rFonts w:hint="eastAsia"/>
          <w:lang w:val="en-GB"/>
        </w:rPr>
        <w:t>福林，</w:t>
      </w:r>
      <w:r>
        <w:rPr>
          <w:rFonts w:hint="eastAsia"/>
          <w:lang w:val="en-GB"/>
        </w:rPr>
        <w:t>2003</w:t>
      </w:r>
      <w:r>
        <w:rPr>
          <w:rFonts w:hint="eastAsia"/>
          <w:lang w:val="en-GB"/>
        </w:rPr>
        <w:t>年也是</w:t>
      </w:r>
      <w:r>
        <w:rPr>
          <w:rFonts w:hint="eastAsia"/>
          <w:lang w:val="en-GB"/>
        </w:rPr>
        <w:t>83,000</w:t>
      </w:r>
      <w:r>
        <w:rPr>
          <w:rFonts w:hint="eastAsia"/>
          <w:lang w:val="en-GB"/>
        </w:rPr>
        <w:t>福林。</w:t>
      </w:r>
      <w:r>
        <w:rPr>
          <w:rFonts w:hint="eastAsia"/>
          <w:lang w:val="en-GB"/>
        </w:rPr>
        <w:t>2001</w:t>
      </w:r>
      <w:r>
        <w:rPr>
          <w:rFonts w:hint="eastAsia"/>
          <w:lang w:val="en-GB"/>
        </w:rPr>
        <w:t>年父母领取儿童保育费的金额平均每月为</w:t>
      </w:r>
      <w:r>
        <w:rPr>
          <w:rFonts w:hint="eastAsia"/>
          <w:lang w:val="en-GB"/>
        </w:rPr>
        <w:t>62,904</w:t>
      </w:r>
      <w:r>
        <w:rPr>
          <w:rFonts w:hint="eastAsia"/>
          <w:lang w:val="en-GB"/>
        </w:rPr>
        <w:t>福林，</w:t>
      </w:r>
      <w:r>
        <w:rPr>
          <w:rFonts w:hint="eastAsia"/>
          <w:lang w:val="en-GB"/>
        </w:rPr>
        <w:t>2002</w:t>
      </w:r>
      <w:r>
        <w:rPr>
          <w:rFonts w:hint="eastAsia"/>
          <w:lang w:val="en-GB"/>
        </w:rPr>
        <w:t>年为</w:t>
      </w:r>
      <w:r>
        <w:rPr>
          <w:rFonts w:hint="eastAsia"/>
          <w:lang w:val="en-GB"/>
        </w:rPr>
        <w:t>70,167</w:t>
      </w:r>
      <w:r>
        <w:rPr>
          <w:rFonts w:hint="eastAsia"/>
          <w:lang w:val="en-GB"/>
        </w:rPr>
        <w:t>福林。</w:t>
      </w:r>
      <w:r>
        <w:rPr>
          <w:rFonts w:hint="eastAsia"/>
          <w:lang w:val="en-GB"/>
        </w:rPr>
        <w:t>2003</w:t>
      </w:r>
      <w:r>
        <w:rPr>
          <w:rFonts w:hint="eastAsia"/>
          <w:lang w:val="en-GB"/>
        </w:rPr>
        <w:t>年</w:t>
      </w:r>
      <w:r>
        <w:rPr>
          <w:rFonts w:hint="eastAsia"/>
          <w:lang w:val="en-GB"/>
        </w:rPr>
        <w:t>12</w:t>
      </w:r>
      <w:r>
        <w:rPr>
          <w:rFonts w:hint="eastAsia"/>
          <w:lang w:val="en-GB"/>
        </w:rPr>
        <w:t>月，向</w:t>
      </w:r>
      <w:r>
        <w:rPr>
          <w:rFonts w:hint="eastAsia"/>
          <w:lang w:val="en-GB"/>
        </w:rPr>
        <w:t>80,175</w:t>
      </w:r>
      <w:r>
        <w:rPr>
          <w:rFonts w:hint="eastAsia"/>
          <w:lang w:val="en-GB"/>
        </w:rPr>
        <w:t>位父母支付了儿童保育费。儿童保育费的资金来自于付给健康保险基金的保费。</w:t>
      </w:r>
    </w:p>
    <w:p w:rsidR="00000000" w:rsidRDefault="00000000">
      <w:pPr>
        <w:rPr>
          <w:rFonts w:hint="eastAsia"/>
          <w:lang w:val="en-GB"/>
        </w:rPr>
      </w:pPr>
      <w:r>
        <w:rPr>
          <w:rFonts w:hint="eastAsia"/>
          <w:lang w:val="en-GB"/>
        </w:rPr>
        <w:tab/>
        <w:t xml:space="preserve">200.  </w:t>
      </w:r>
      <w:r>
        <w:rPr>
          <w:rFonts w:hint="eastAsia"/>
          <w:lang w:val="en-GB"/>
        </w:rPr>
        <w:t>在保险期内或在保险期后的前三天内丧失行为能力，而且履行义务支付《健康保险法令》中规定的健康保险费的人员，有权获得病假工资。</w:t>
      </w:r>
    </w:p>
    <w:p w:rsidR="00000000" w:rsidRDefault="00000000">
      <w:pPr>
        <w:rPr>
          <w:rFonts w:hint="eastAsia"/>
          <w:lang w:val="en-GB"/>
        </w:rPr>
      </w:pPr>
      <w:r>
        <w:rPr>
          <w:rFonts w:hint="eastAsia"/>
          <w:lang w:val="en-GB"/>
        </w:rPr>
        <w:tab/>
        <w:t xml:space="preserve">201.  </w:t>
      </w:r>
      <w:r>
        <w:rPr>
          <w:rFonts w:hint="eastAsia"/>
          <w:lang w:val="en-GB"/>
        </w:rPr>
        <w:t>病假工资期限等同于无工作能力的期限但不超过：</w:t>
      </w:r>
    </w:p>
    <w:p w:rsidR="00000000" w:rsidRDefault="00000000">
      <w:pPr>
        <w:pStyle w:val="a0"/>
        <w:numPr>
          <w:ilvl w:val="0"/>
          <w:numId w:val="175"/>
        </w:numPr>
        <w:tabs>
          <w:tab w:val="clear" w:pos="227"/>
        </w:tabs>
        <w:ind w:left="1531"/>
        <w:rPr>
          <w:rFonts w:hint="eastAsia"/>
          <w:lang w:val="en-GB"/>
        </w:rPr>
      </w:pPr>
      <w:r>
        <w:rPr>
          <w:rFonts w:hint="eastAsia"/>
          <w:lang w:val="en-GB"/>
        </w:rPr>
        <w:t>保险期内一年，保险期后</w:t>
      </w:r>
      <w:r>
        <w:rPr>
          <w:rFonts w:hint="eastAsia"/>
          <w:lang w:val="en-GB"/>
        </w:rPr>
        <w:t>90</w:t>
      </w:r>
      <w:r>
        <w:rPr>
          <w:rFonts w:hint="eastAsia"/>
          <w:lang w:val="en-GB"/>
        </w:rPr>
        <w:t>天；</w:t>
      </w:r>
    </w:p>
    <w:p w:rsidR="00000000" w:rsidRDefault="00000000">
      <w:pPr>
        <w:pStyle w:val="a0"/>
        <w:numPr>
          <w:ilvl w:val="0"/>
          <w:numId w:val="175"/>
        </w:numPr>
        <w:tabs>
          <w:tab w:val="clear" w:pos="227"/>
        </w:tabs>
        <w:ind w:left="1531"/>
        <w:rPr>
          <w:rFonts w:hint="eastAsia"/>
          <w:lang w:val="en-GB"/>
        </w:rPr>
      </w:pPr>
      <w:r>
        <w:rPr>
          <w:rFonts w:hint="eastAsia"/>
          <w:lang w:val="en-GB"/>
        </w:rPr>
        <w:t>如果领取病假工资的合法理由是看护或母乳喂养</w:t>
      </w:r>
      <w:r>
        <w:rPr>
          <w:rFonts w:hint="eastAsia"/>
          <w:lang w:val="en-GB"/>
        </w:rPr>
        <w:t>1</w:t>
      </w:r>
      <w:r>
        <w:rPr>
          <w:rFonts w:hint="eastAsia"/>
          <w:lang w:val="en-GB"/>
        </w:rPr>
        <w:t>岁以下的子女，则直到子女年满</w:t>
      </w:r>
      <w:r>
        <w:rPr>
          <w:rFonts w:hint="eastAsia"/>
          <w:lang w:val="en-GB"/>
        </w:rPr>
        <w:t>1</w:t>
      </w:r>
      <w:r>
        <w:rPr>
          <w:rFonts w:hint="eastAsia"/>
          <w:lang w:val="en-GB"/>
        </w:rPr>
        <w:t>岁；</w:t>
      </w:r>
    </w:p>
    <w:p w:rsidR="00000000" w:rsidRDefault="00000000">
      <w:pPr>
        <w:pStyle w:val="a0"/>
        <w:numPr>
          <w:ilvl w:val="0"/>
          <w:numId w:val="175"/>
        </w:numPr>
        <w:tabs>
          <w:tab w:val="clear" w:pos="227"/>
        </w:tabs>
        <w:ind w:left="1531"/>
        <w:rPr>
          <w:rFonts w:hint="eastAsia"/>
          <w:lang w:val="en-GB"/>
        </w:rPr>
      </w:pPr>
      <w:r>
        <w:rPr>
          <w:rFonts w:hint="eastAsia"/>
          <w:lang w:val="en-GB"/>
        </w:rPr>
        <w:t>如果领取病假工资的合法理由是看护</w:t>
      </w:r>
      <w:r>
        <w:rPr>
          <w:rFonts w:hint="eastAsia"/>
          <w:lang w:val="en-GB"/>
        </w:rPr>
        <w:t>1</w:t>
      </w:r>
      <w:r>
        <w:rPr>
          <w:rFonts w:hint="eastAsia"/>
          <w:lang w:val="en-GB"/>
        </w:rPr>
        <w:t>岁至</w:t>
      </w:r>
      <w:r>
        <w:rPr>
          <w:rFonts w:hint="eastAsia"/>
          <w:lang w:val="en-GB"/>
        </w:rPr>
        <w:t>3</w:t>
      </w:r>
      <w:r>
        <w:rPr>
          <w:rFonts w:hint="eastAsia"/>
          <w:lang w:val="en-GB"/>
        </w:rPr>
        <w:t>岁的子女，则为每年八十四天；</w:t>
      </w:r>
    </w:p>
    <w:p w:rsidR="00000000" w:rsidRDefault="00000000">
      <w:pPr>
        <w:pStyle w:val="a0"/>
        <w:numPr>
          <w:ilvl w:val="0"/>
          <w:numId w:val="175"/>
        </w:numPr>
        <w:tabs>
          <w:tab w:val="clear" w:pos="227"/>
        </w:tabs>
        <w:ind w:left="1531"/>
        <w:rPr>
          <w:rFonts w:hint="eastAsia"/>
          <w:lang w:val="en-GB"/>
        </w:rPr>
      </w:pPr>
      <w:r>
        <w:rPr>
          <w:rFonts w:hint="eastAsia"/>
          <w:lang w:val="en-GB"/>
        </w:rPr>
        <w:t>如果领取病假工资的合法理由是看护</w:t>
      </w:r>
      <w:r>
        <w:rPr>
          <w:rFonts w:hint="eastAsia"/>
          <w:lang w:val="en-GB"/>
        </w:rPr>
        <w:t>3</w:t>
      </w:r>
      <w:r>
        <w:rPr>
          <w:rFonts w:hint="eastAsia"/>
          <w:lang w:val="en-GB"/>
        </w:rPr>
        <w:t>岁至</w:t>
      </w:r>
      <w:r>
        <w:rPr>
          <w:rFonts w:hint="eastAsia"/>
          <w:lang w:val="en-GB"/>
        </w:rPr>
        <w:t>6</w:t>
      </w:r>
      <w:r>
        <w:rPr>
          <w:rFonts w:hint="eastAsia"/>
          <w:lang w:val="en-GB"/>
        </w:rPr>
        <w:t>岁的子女，则为每年四十二天</w:t>
      </w:r>
      <w:r>
        <w:rPr>
          <w:rFonts w:hint="eastAsia"/>
          <w:lang w:val="en-GB"/>
        </w:rPr>
        <w:t>(</w:t>
      </w:r>
      <w:r>
        <w:rPr>
          <w:rFonts w:hint="eastAsia"/>
          <w:lang w:val="en-GB"/>
        </w:rPr>
        <w:t>单亲则为八十四天</w:t>
      </w:r>
      <w:r>
        <w:rPr>
          <w:rFonts w:hint="eastAsia"/>
          <w:lang w:val="en-GB"/>
        </w:rPr>
        <w:t>)</w:t>
      </w:r>
      <w:r>
        <w:rPr>
          <w:rFonts w:hint="eastAsia"/>
          <w:lang w:val="en-GB"/>
        </w:rPr>
        <w:t>；</w:t>
      </w:r>
    </w:p>
    <w:p w:rsidR="00000000" w:rsidRDefault="00000000">
      <w:pPr>
        <w:pStyle w:val="a0"/>
        <w:numPr>
          <w:ilvl w:val="0"/>
          <w:numId w:val="175"/>
        </w:numPr>
        <w:tabs>
          <w:tab w:val="clear" w:pos="227"/>
        </w:tabs>
        <w:ind w:left="1531"/>
        <w:rPr>
          <w:rFonts w:hint="eastAsia"/>
          <w:lang w:val="en-GB"/>
        </w:rPr>
      </w:pPr>
      <w:r>
        <w:rPr>
          <w:rFonts w:hint="eastAsia"/>
          <w:lang w:val="en-GB"/>
        </w:rPr>
        <w:t>如果领取病假工资的合法理由是看护</w:t>
      </w:r>
      <w:r>
        <w:rPr>
          <w:rFonts w:hint="eastAsia"/>
          <w:lang w:val="en-GB"/>
        </w:rPr>
        <w:t>6</w:t>
      </w:r>
      <w:r>
        <w:rPr>
          <w:rFonts w:hint="eastAsia"/>
          <w:lang w:val="en-GB"/>
        </w:rPr>
        <w:t>岁至</w:t>
      </w:r>
      <w:r>
        <w:rPr>
          <w:rFonts w:hint="eastAsia"/>
          <w:lang w:val="en-GB"/>
        </w:rPr>
        <w:t>12</w:t>
      </w:r>
      <w:r>
        <w:rPr>
          <w:rFonts w:hint="eastAsia"/>
          <w:lang w:val="en-GB"/>
        </w:rPr>
        <w:t>岁的子女，则为每年十四天</w:t>
      </w:r>
      <w:r>
        <w:rPr>
          <w:rFonts w:hint="eastAsia"/>
          <w:lang w:val="en-GB"/>
        </w:rPr>
        <w:t>(</w:t>
      </w:r>
      <w:r>
        <w:rPr>
          <w:rFonts w:hint="eastAsia"/>
          <w:lang w:val="en-GB"/>
        </w:rPr>
        <w:t>单亲则为二十八天</w:t>
      </w:r>
      <w:r>
        <w:rPr>
          <w:rFonts w:hint="eastAsia"/>
          <w:lang w:val="en-GB"/>
        </w:rPr>
        <w:t>)</w:t>
      </w:r>
      <w:r>
        <w:rPr>
          <w:rFonts w:hint="eastAsia"/>
          <w:lang w:val="en-GB"/>
        </w:rPr>
        <w:t>。</w:t>
      </w:r>
    </w:p>
    <w:p w:rsidR="00000000" w:rsidRDefault="00000000">
      <w:pPr>
        <w:spacing w:after="240"/>
      </w:pPr>
      <w:r>
        <w:rPr>
          <w:lang w:val="en-GB"/>
        </w:rPr>
        <w:tab/>
        <w:t xml:space="preserve">202.  </w:t>
      </w:r>
      <w:r>
        <w:rPr>
          <w:rFonts w:hint="eastAsia"/>
          <w:lang w:val="en-GB"/>
        </w:rPr>
        <w:t>在至少连续两年投保的情况下，病假工资金额应为参考日均收入的</w:t>
      </w:r>
      <w:r>
        <w:rPr>
          <w:rFonts w:hint="eastAsia"/>
          <w:lang w:val="en-GB"/>
        </w:rPr>
        <w:t>70%</w:t>
      </w:r>
      <w:r>
        <w:rPr>
          <w:rFonts w:hint="eastAsia"/>
          <w:lang w:val="en-GB"/>
        </w:rPr>
        <w:t>，而在保险期短于上述时间的情况下，或在住院治疗期间，应为参考日均收入的</w:t>
      </w:r>
      <w:r>
        <w:rPr>
          <w:rFonts w:hint="eastAsia"/>
          <w:lang w:val="en-GB"/>
        </w:rPr>
        <w:t>60%</w:t>
      </w:r>
      <w:r>
        <w:rPr>
          <w:rFonts w:hint="eastAsia"/>
          <w:lang w:val="en-GB"/>
        </w:rPr>
        <w:t>。</w:t>
      </w:r>
    </w:p>
    <w:p w:rsidR="00000000" w:rsidRDefault="00000000">
      <w:pPr>
        <w:pStyle w:val="Heading4"/>
        <w:spacing w:after="0"/>
        <w:ind w:left="522"/>
        <w:rPr>
          <w:rFonts w:eastAsia="KaiTi_GB2312" w:hint="eastAsia"/>
          <w:snapToGrid/>
          <w:spacing w:val="0"/>
          <w:u w:val="none"/>
          <w:lang w:val="en-GB"/>
        </w:rPr>
      </w:pPr>
      <w:r>
        <w:rPr>
          <w:u w:val="none"/>
          <w:lang w:val="en-GB"/>
        </w:rPr>
        <w:t xml:space="preserve">3.  </w:t>
      </w:r>
      <w:r>
        <w:rPr>
          <w:rFonts w:eastAsia="KaiTi_GB2312" w:hint="eastAsia"/>
          <w:snapToGrid/>
          <w:spacing w:val="0"/>
          <w:u w:val="none"/>
          <w:lang w:val="en-GB"/>
        </w:rPr>
        <w:t>与事故相关的服务</w:t>
      </w:r>
    </w:p>
    <w:p w:rsidR="00000000" w:rsidRDefault="00000000">
      <w:pPr>
        <w:pStyle w:val="a0"/>
        <w:numPr>
          <w:ilvl w:val="0"/>
          <w:numId w:val="177"/>
        </w:numPr>
        <w:tabs>
          <w:tab w:val="clear" w:pos="227"/>
          <w:tab w:val="num" w:pos="1527"/>
        </w:tabs>
        <w:ind w:left="1527"/>
        <w:rPr>
          <w:rFonts w:hint="eastAsia"/>
          <w:lang w:val="en-GB"/>
        </w:rPr>
      </w:pPr>
      <w:r>
        <w:rPr>
          <w:rFonts w:hint="eastAsia"/>
          <w:lang w:val="en-GB"/>
        </w:rPr>
        <w:t>与事故相关的保健服务</w:t>
      </w:r>
    </w:p>
    <w:p w:rsidR="00000000" w:rsidRDefault="00000000">
      <w:pPr>
        <w:pStyle w:val="a0"/>
        <w:numPr>
          <w:ilvl w:val="0"/>
          <w:numId w:val="177"/>
        </w:numPr>
        <w:tabs>
          <w:tab w:val="clear" w:pos="227"/>
          <w:tab w:val="num" w:pos="1527"/>
        </w:tabs>
        <w:ind w:left="1527"/>
        <w:rPr>
          <w:rFonts w:hint="eastAsia"/>
          <w:lang w:val="en-GB"/>
        </w:rPr>
      </w:pPr>
      <w:r>
        <w:rPr>
          <w:rFonts w:hint="eastAsia"/>
          <w:lang w:val="en-GB"/>
        </w:rPr>
        <w:t>事故病假工资</w:t>
      </w:r>
    </w:p>
    <w:p w:rsidR="00000000" w:rsidRDefault="00000000">
      <w:pPr>
        <w:pStyle w:val="a0"/>
        <w:numPr>
          <w:ilvl w:val="0"/>
          <w:numId w:val="177"/>
        </w:numPr>
        <w:tabs>
          <w:tab w:val="clear" w:pos="227"/>
          <w:tab w:val="num" w:pos="1527"/>
        </w:tabs>
        <w:spacing w:after="240"/>
        <w:ind w:left="1527"/>
        <w:rPr>
          <w:rFonts w:hint="eastAsia"/>
          <w:lang w:val="en-GB"/>
        </w:rPr>
      </w:pPr>
      <w:r>
        <w:rPr>
          <w:rFonts w:hint="eastAsia"/>
          <w:lang w:val="en-GB"/>
        </w:rPr>
        <w:t>事故年金</w:t>
      </w:r>
    </w:p>
    <w:p w:rsidR="00000000" w:rsidRDefault="00000000">
      <w:pPr>
        <w:rPr>
          <w:rFonts w:hint="eastAsia"/>
          <w:lang w:val="en-GB"/>
        </w:rPr>
      </w:pPr>
      <w:r>
        <w:rPr>
          <w:rFonts w:hint="eastAsia"/>
          <w:lang w:val="en-GB"/>
        </w:rPr>
        <w:tab/>
        <w:t xml:space="preserve">203.  </w:t>
      </w:r>
      <w:r>
        <w:rPr>
          <w:rFonts w:hint="eastAsia"/>
          <w:lang w:val="en-GB"/>
        </w:rPr>
        <w:t>健康状况因为工伤事故或职业病而恶化的人员有权享有作为与事故相关服务的</w:t>
      </w:r>
      <w:r>
        <w:rPr>
          <w:rFonts w:eastAsia="KaiTi_GB2312" w:hint="eastAsia"/>
          <w:snapToGrid/>
          <w:spacing w:val="0"/>
          <w:lang w:val="en-GB"/>
        </w:rPr>
        <w:t>与事故相关的保健服务</w:t>
      </w:r>
      <w:r>
        <w:rPr>
          <w:rFonts w:hint="eastAsia"/>
          <w:lang w:val="en-GB"/>
        </w:rPr>
        <w:t>、病假工资和年金。</w:t>
      </w:r>
    </w:p>
    <w:p w:rsidR="00000000" w:rsidRDefault="00000000">
      <w:pPr>
        <w:rPr>
          <w:rFonts w:hint="eastAsia"/>
          <w:lang w:val="en-GB"/>
        </w:rPr>
      </w:pPr>
      <w:r>
        <w:rPr>
          <w:rFonts w:hint="eastAsia"/>
          <w:lang w:val="en-GB"/>
        </w:rPr>
        <w:tab/>
        <w:t xml:space="preserve">204.  </w:t>
      </w:r>
      <w:r>
        <w:rPr>
          <w:rFonts w:eastAsia="KaiTi_GB2312" w:hint="eastAsia"/>
          <w:snapToGrid/>
          <w:spacing w:val="0"/>
          <w:lang w:val="en-GB"/>
        </w:rPr>
        <w:t>事故病假工资</w:t>
      </w:r>
      <w:r>
        <w:rPr>
          <w:rFonts w:hint="eastAsia"/>
          <w:lang w:val="en-GB"/>
        </w:rPr>
        <w:t>适用于在保险期内或在保险期后前三天内由于工伤事故而丧失谋生能力的人员。事故病假工资的金额等于，有资格领取事故病假工资的起始日之前的那个日历月当月工作获得的日历日收入以及作为投保人健康保险费基数的日历日收入。如果投保人在有资格领取事故病假工资的前三个月内没有义务缴纳健康保险费，或者合同中没有标明收入金额，病假工资的金额等于按事故前领取的实际收入计算的日历日日均工资。</w:t>
      </w:r>
    </w:p>
    <w:p w:rsidR="00000000" w:rsidRDefault="00000000">
      <w:pPr>
        <w:rPr>
          <w:rFonts w:hint="eastAsia"/>
          <w:lang w:val="en-GB"/>
        </w:rPr>
      </w:pPr>
      <w:r>
        <w:rPr>
          <w:rFonts w:hint="eastAsia"/>
          <w:lang w:val="en-GB"/>
        </w:rPr>
        <w:tab/>
        <w:t xml:space="preserve">205.  </w:t>
      </w:r>
      <w:r>
        <w:rPr>
          <w:rFonts w:hint="eastAsia"/>
          <w:lang w:val="en-GB"/>
        </w:rPr>
        <w:t>由于工伤事故工作能力减退百分之五十以上但没有资格领取与事故有关的残疾抚恤金的，有权领取</w:t>
      </w:r>
      <w:r>
        <w:rPr>
          <w:rFonts w:eastAsia="KaiTi_GB2312" w:hint="eastAsia"/>
          <w:snapToGrid/>
          <w:spacing w:val="0"/>
          <w:lang w:val="en-GB"/>
        </w:rPr>
        <w:t>事故年金</w:t>
      </w:r>
      <w:r>
        <w:rPr>
          <w:rFonts w:hint="eastAsia"/>
          <w:lang w:val="en-GB"/>
        </w:rPr>
        <w:t>。如果工作能力减退没有超过百分之二十五，事故年金的支付期限不应超过两年；如果超过百分之二十五，事故年金的支付期限在工作能力减退期内没有限制。与此相反，对于由于硅肺病或石棉沉滞症引起的工作能力减退程度不超过百分之二十五的人员，事故年金的支付在减退期内没有时间限制。事故年金的支付程度取决于工伤事故引起的工作能力减退程度。根据工作能力减退程度：</w:t>
      </w:r>
    </w:p>
    <w:p w:rsidR="00000000" w:rsidRDefault="00000000">
      <w:pPr>
        <w:numPr>
          <w:ilvl w:val="0"/>
          <w:numId w:val="178"/>
        </w:numPr>
        <w:rPr>
          <w:rFonts w:hint="eastAsia"/>
          <w:lang w:val="en-GB"/>
        </w:rPr>
      </w:pPr>
      <w:r>
        <w:rPr>
          <w:rFonts w:hint="eastAsia"/>
          <w:lang w:val="en-GB"/>
        </w:rPr>
        <w:t>工作能力减退</w:t>
      </w:r>
      <w:r>
        <w:rPr>
          <w:rFonts w:hint="eastAsia"/>
          <w:lang w:val="en-GB"/>
        </w:rPr>
        <w:t>16%-25%</w:t>
      </w:r>
      <w:r>
        <w:rPr>
          <w:rFonts w:hint="eastAsia"/>
          <w:lang w:val="en-GB"/>
        </w:rPr>
        <w:t>的人员属于事故类别</w:t>
      </w:r>
      <w:r>
        <w:rPr>
          <w:rFonts w:hint="eastAsia"/>
          <w:lang w:val="en-GB"/>
        </w:rPr>
        <w:t>1,</w:t>
      </w:r>
    </w:p>
    <w:p w:rsidR="00000000" w:rsidRDefault="00000000">
      <w:pPr>
        <w:numPr>
          <w:ilvl w:val="0"/>
          <w:numId w:val="178"/>
        </w:numPr>
        <w:rPr>
          <w:rFonts w:hint="eastAsia"/>
          <w:lang w:val="en-GB"/>
        </w:rPr>
      </w:pPr>
      <w:r>
        <w:rPr>
          <w:rFonts w:hint="eastAsia"/>
          <w:lang w:val="en-GB"/>
        </w:rPr>
        <w:t>工作能力减退</w:t>
      </w:r>
      <w:r>
        <w:rPr>
          <w:rFonts w:hint="eastAsia"/>
          <w:lang w:val="en-GB"/>
        </w:rPr>
        <w:t>26%-35%</w:t>
      </w:r>
      <w:r>
        <w:rPr>
          <w:rFonts w:hint="eastAsia"/>
          <w:lang w:val="en-GB"/>
        </w:rPr>
        <w:t>的人员属于事故类别</w:t>
      </w:r>
      <w:r>
        <w:rPr>
          <w:rFonts w:hint="eastAsia"/>
          <w:lang w:val="en-GB"/>
        </w:rPr>
        <w:t>2,</w:t>
      </w:r>
    </w:p>
    <w:p w:rsidR="00000000" w:rsidRDefault="00000000">
      <w:pPr>
        <w:numPr>
          <w:ilvl w:val="0"/>
          <w:numId w:val="178"/>
        </w:numPr>
        <w:rPr>
          <w:rFonts w:hint="eastAsia"/>
          <w:lang w:val="en-GB"/>
        </w:rPr>
      </w:pPr>
      <w:r>
        <w:rPr>
          <w:rFonts w:hint="eastAsia"/>
          <w:lang w:val="en-GB"/>
        </w:rPr>
        <w:t>工作能力减退</w:t>
      </w:r>
      <w:r>
        <w:rPr>
          <w:rFonts w:hint="eastAsia"/>
          <w:lang w:val="en-GB"/>
        </w:rPr>
        <w:t>36%-49%</w:t>
      </w:r>
      <w:r>
        <w:rPr>
          <w:rFonts w:hint="eastAsia"/>
          <w:lang w:val="en-GB"/>
        </w:rPr>
        <w:t>的人员属于事故类别</w:t>
      </w:r>
      <w:r>
        <w:rPr>
          <w:rFonts w:hint="eastAsia"/>
          <w:lang w:val="en-GB"/>
        </w:rPr>
        <w:t>3,</w:t>
      </w:r>
    </w:p>
    <w:p w:rsidR="00000000" w:rsidRDefault="00000000">
      <w:pPr>
        <w:numPr>
          <w:ilvl w:val="0"/>
          <w:numId w:val="178"/>
        </w:numPr>
        <w:rPr>
          <w:rFonts w:hint="eastAsia"/>
          <w:lang w:val="en-GB"/>
        </w:rPr>
      </w:pPr>
      <w:r>
        <w:rPr>
          <w:rFonts w:hint="eastAsia"/>
          <w:lang w:val="en-GB"/>
        </w:rPr>
        <w:t>工作能力减退</w:t>
      </w:r>
      <w:r>
        <w:rPr>
          <w:rFonts w:hint="eastAsia"/>
          <w:lang w:val="en-GB"/>
        </w:rPr>
        <w:t>50%-66%</w:t>
      </w:r>
      <w:r>
        <w:rPr>
          <w:rFonts w:hint="eastAsia"/>
          <w:lang w:val="en-GB"/>
        </w:rPr>
        <w:t>的人员属于事故类别</w:t>
      </w:r>
      <w:r>
        <w:rPr>
          <w:rFonts w:hint="eastAsia"/>
          <w:lang w:val="en-GB"/>
        </w:rPr>
        <w:t>4</w:t>
      </w:r>
      <w:r>
        <w:rPr>
          <w:rFonts w:hint="eastAsia"/>
          <w:lang w:val="en-GB"/>
        </w:rPr>
        <w:t>。</w:t>
      </w:r>
    </w:p>
    <w:p w:rsidR="00000000" w:rsidRDefault="00000000">
      <w:pPr>
        <w:spacing w:after="320"/>
        <w:rPr>
          <w:rFonts w:hint="eastAsia"/>
          <w:lang w:val="en-GB"/>
        </w:rPr>
      </w:pPr>
      <w:r>
        <w:rPr>
          <w:rFonts w:hint="eastAsia"/>
          <w:lang w:val="en-GB"/>
        </w:rPr>
        <w:tab/>
        <w:t xml:space="preserve">206.  </w:t>
      </w:r>
      <w:r>
        <w:rPr>
          <w:rFonts w:hint="eastAsia"/>
          <w:lang w:val="en-GB"/>
        </w:rPr>
        <w:t>根据上述事故类别，事故年金的金额依次分别为月平均收入的百分之八、十、十五和三十。</w:t>
      </w:r>
    </w:p>
    <w:p w:rsidR="00000000" w:rsidRDefault="00000000">
      <w:pPr>
        <w:pStyle w:val="Heading3"/>
        <w:rPr>
          <w:rFonts w:hint="eastAsia"/>
          <w:lang w:val="fr-FR"/>
        </w:rPr>
      </w:pPr>
      <w:r>
        <w:rPr>
          <w:rFonts w:hint="eastAsia"/>
          <w:lang w:val="fr-FR"/>
        </w:rPr>
        <w:t>退休福利</w:t>
      </w:r>
    </w:p>
    <w:p w:rsidR="00000000" w:rsidRDefault="00000000">
      <w:pPr>
        <w:rPr>
          <w:rFonts w:hint="eastAsia"/>
          <w:lang w:val="fr-FR"/>
        </w:rPr>
      </w:pPr>
      <w:r>
        <w:rPr>
          <w:rFonts w:hint="eastAsia"/>
          <w:lang w:val="fr-FR"/>
        </w:rPr>
        <w:tab/>
        <w:t xml:space="preserve">207.  </w:t>
      </w:r>
      <w:r>
        <w:rPr>
          <w:rFonts w:hint="eastAsia"/>
          <w:lang w:val="fr-FR"/>
        </w:rPr>
        <w:t>根据《社会保险养恤金</w:t>
      </w:r>
      <w:r>
        <w:rPr>
          <w:rFonts w:hint="eastAsia"/>
          <w:lang w:val="fr-FR"/>
        </w:rPr>
        <w:t>1997</w:t>
      </w:r>
      <w:r>
        <w:rPr>
          <w:rFonts w:hint="eastAsia"/>
          <w:lang w:val="fr-FR"/>
        </w:rPr>
        <w:t>年第八十一号法令》规定，可以要求获得</w:t>
      </w:r>
    </w:p>
    <w:p w:rsidR="00000000" w:rsidRDefault="00000000">
      <w:pPr>
        <w:pStyle w:val="a0"/>
        <w:ind w:left="1550"/>
        <w:rPr>
          <w:rFonts w:hint="eastAsia"/>
          <w:lang w:val="fr-FR"/>
        </w:rPr>
      </w:pPr>
      <w:r>
        <w:rPr>
          <w:rFonts w:hint="eastAsia"/>
          <w:lang w:val="fr-FR"/>
        </w:rPr>
        <w:t>直接有权领取的退休福利，或</w:t>
      </w:r>
    </w:p>
    <w:p w:rsidR="00000000" w:rsidRDefault="00000000">
      <w:pPr>
        <w:pStyle w:val="a0"/>
        <w:ind w:left="1550"/>
        <w:rPr>
          <w:rFonts w:hint="eastAsia"/>
          <w:lang w:val="fr-FR"/>
        </w:rPr>
      </w:pPr>
      <w:r>
        <w:rPr>
          <w:rFonts w:hint="eastAsia"/>
          <w:lang w:val="fr-FR"/>
        </w:rPr>
        <w:t>遗属退休福利</w:t>
      </w:r>
    </w:p>
    <w:p w:rsidR="00000000" w:rsidRDefault="00000000">
      <w:pPr>
        <w:spacing w:after="240"/>
        <w:rPr>
          <w:rFonts w:hint="eastAsia"/>
          <w:lang w:val="fr-FR"/>
        </w:rPr>
      </w:pPr>
      <w:r>
        <w:rPr>
          <w:rFonts w:hint="eastAsia"/>
          <w:lang w:val="fr-FR"/>
        </w:rPr>
        <w:t>这两个退休福利都是属于累计完成规定的服务年限的投保人、或其亲属可以领取的现金福利。</w:t>
      </w:r>
    </w:p>
    <w:p w:rsidR="00000000" w:rsidRDefault="00000000">
      <w:pPr>
        <w:pStyle w:val="Heading4"/>
        <w:spacing w:after="0"/>
        <w:ind w:left="522"/>
        <w:rPr>
          <w:rFonts w:eastAsia="KaiTi_GB2312" w:hint="eastAsia"/>
          <w:spacing w:val="0"/>
          <w:lang w:val="fr-FR"/>
        </w:rPr>
      </w:pPr>
      <w:r>
        <w:rPr>
          <w:u w:val="none"/>
          <w:lang w:val="fr-FR"/>
        </w:rPr>
        <w:t>(</w:t>
      </w:r>
      <w:r>
        <w:rPr>
          <w:rFonts w:hint="eastAsia"/>
          <w:u w:val="none"/>
          <w:lang w:val="fr-FR"/>
        </w:rPr>
        <w:t>1)</w:t>
      </w:r>
      <w:r>
        <w:rPr>
          <w:u w:val="none"/>
          <w:lang w:val="fr-FR"/>
        </w:rPr>
        <w:tab/>
      </w:r>
      <w:r>
        <w:rPr>
          <w:rFonts w:eastAsia="KaiTi_GB2312" w:hint="eastAsia"/>
          <w:snapToGrid/>
          <w:spacing w:val="0"/>
          <w:u w:val="none"/>
          <w:lang w:val="fr-FR"/>
        </w:rPr>
        <w:t>直接有权领取的退休福利</w:t>
      </w:r>
    </w:p>
    <w:p w:rsidR="00000000" w:rsidRDefault="00000000">
      <w:pPr>
        <w:numPr>
          <w:ilvl w:val="0"/>
          <w:numId w:val="180"/>
        </w:numPr>
        <w:rPr>
          <w:rFonts w:hint="eastAsia"/>
          <w:lang w:val="fr-FR"/>
        </w:rPr>
      </w:pPr>
      <w:r>
        <w:rPr>
          <w:rFonts w:hint="eastAsia"/>
          <w:lang w:val="fr-FR"/>
        </w:rPr>
        <w:t>养老金</w:t>
      </w:r>
    </w:p>
    <w:p w:rsidR="00000000" w:rsidRDefault="00000000">
      <w:pPr>
        <w:numPr>
          <w:ilvl w:val="0"/>
          <w:numId w:val="180"/>
        </w:numPr>
        <w:rPr>
          <w:rFonts w:hint="eastAsia"/>
          <w:lang w:val="fr-FR"/>
        </w:rPr>
      </w:pPr>
      <w:r>
        <w:rPr>
          <w:rFonts w:hint="eastAsia"/>
          <w:lang w:val="fr-FR"/>
        </w:rPr>
        <w:t>残疾抚恤金</w:t>
      </w:r>
    </w:p>
    <w:p w:rsidR="00000000" w:rsidRDefault="00000000">
      <w:pPr>
        <w:numPr>
          <w:ilvl w:val="0"/>
          <w:numId w:val="180"/>
        </w:numPr>
        <w:spacing w:after="240"/>
        <w:rPr>
          <w:rFonts w:hint="eastAsia"/>
          <w:lang w:val="fr-FR"/>
        </w:rPr>
      </w:pPr>
      <w:r>
        <w:rPr>
          <w:rFonts w:hint="eastAsia"/>
          <w:lang w:val="fr-FR"/>
        </w:rPr>
        <w:t>与事故相关的残疾抚恤金</w:t>
      </w:r>
    </w:p>
    <w:p w:rsidR="00000000" w:rsidRDefault="00000000">
      <w:pPr>
        <w:rPr>
          <w:rFonts w:hint="eastAsia"/>
          <w:lang w:val="fr-FR"/>
        </w:rPr>
      </w:pPr>
      <w:r>
        <w:rPr>
          <w:rFonts w:hint="eastAsia"/>
          <w:lang w:val="fr-FR"/>
        </w:rPr>
        <w:tab/>
        <w:t xml:space="preserve">208.  </w:t>
      </w:r>
      <w:r>
        <w:rPr>
          <w:rFonts w:hint="eastAsia"/>
          <w:lang w:val="fr-FR"/>
        </w:rPr>
        <w:t>投保人如达到规定年龄，并积累了法律规定的服务年限，应当向投保人支付</w:t>
      </w:r>
      <w:r>
        <w:rPr>
          <w:rFonts w:eastAsia="KaiTi_GB2312" w:hint="eastAsia"/>
          <w:snapToGrid/>
          <w:spacing w:val="0"/>
          <w:lang w:val="fr-FR"/>
        </w:rPr>
        <w:t>养老金</w:t>
      </w:r>
      <w:r>
        <w:rPr>
          <w:rFonts w:hint="eastAsia"/>
          <w:lang w:val="fr-FR"/>
        </w:rPr>
        <w:t>。</w:t>
      </w:r>
    </w:p>
    <w:p w:rsidR="00000000" w:rsidRDefault="00000000">
      <w:pPr>
        <w:rPr>
          <w:rFonts w:hint="eastAsia"/>
          <w:lang w:val="fr-FR"/>
        </w:rPr>
      </w:pPr>
      <w:r>
        <w:rPr>
          <w:rFonts w:hint="eastAsia"/>
          <w:lang w:val="fr-FR"/>
        </w:rPr>
        <w:tab/>
        <w:t xml:space="preserve">209.  </w:t>
      </w:r>
      <w:r>
        <w:rPr>
          <w:rFonts w:hint="eastAsia"/>
          <w:lang w:val="fr-FR"/>
        </w:rPr>
        <w:t>任何人工作潜能至少丧失</w:t>
      </w:r>
      <w:r>
        <w:rPr>
          <w:rFonts w:hint="eastAsia"/>
          <w:lang w:val="fr-FR"/>
        </w:rPr>
        <w:t>67%</w:t>
      </w:r>
      <w:r>
        <w:rPr>
          <w:rFonts w:hint="eastAsia"/>
          <w:lang w:val="fr-FR"/>
        </w:rPr>
        <w:t>的力，达到规定的服务年限，不经常性工作，或者其收入较之丧失能力之前大幅下降，应当向这些人支付</w:t>
      </w:r>
      <w:r>
        <w:rPr>
          <w:rFonts w:eastAsia="KaiTi_GB2312" w:hint="eastAsia"/>
          <w:snapToGrid/>
          <w:spacing w:val="0"/>
          <w:lang w:val="fr-FR"/>
        </w:rPr>
        <w:t>残疾抚恤金</w:t>
      </w:r>
      <w:r>
        <w:rPr>
          <w:rFonts w:hint="eastAsia"/>
          <w:lang w:val="fr-FR"/>
        </w:rPr>
        <w:t>。如果领取抚恤金的人员恢复行为能力，或者经常工作，并且前四个月工资并不明显低于丧失能力之前从事的工作中可正常赚取的收入，则领取残疾抚恤金的资格即告终止。</w:t>
      </w:r>
    </w:p>
    <w:p w:rsidR="00000000" w:rsidRDefault="00000000">
      <w:pPr>
        <w:spacing w:after="240"/>
        <w:rPr>
          <w:rFonts w:hint="eastAsia"/>
          <w:lang w:val="fr-FR"/>
        </w:rPr>
      </w:pPr>
      <w:r>
        <w:rPr>
          <w:rFonts w:hint="eastAsia"/>
          <w:lang w:val="fr-FR"/>
        </w:rPr>
        <w:tab/>
        <w:t xml:space="preserve">210.  </w:t>
      </w:r>
      <w:r>
        <w:rPr>
          <w:rFonts w:hint="eastAsia"/>
          <w:lang w:val="fr-FR"/>
        </w:rPr>
        <w:t>任何人主要由于与职业有关的事故导致工作潜能丧失</w:t>
      </w:r>
      <w:r>
        <w:rPr>
          <w:rFonts w:hint="eastAsia"/>
          <w:lang w:val="fr-FR"/>
        </w:rPr>
        <w:t>67%(</w:t>
      </w:r>
      <w:r>
        <w:rPr>
          <w:rFonts w:hint="eastAsia"/>
          <w:lang w:val="fr-FR"/>
        </w:rPr>
        <w:t>如果硅肺病引起的则是</w:t>
      </w:r>
      <w:r>
        <w:rPr>
          <w:rFonts w:hint="eastAsia"/>
          <w:lang w:val="fr-FR"/>
        </w:rPr>
        <w:t>50%)</w:t>
      </w:r>
      <w:r>
        <w:rPr>
          <w:rFonts w:hint="eastAsia"/>
          <w:lang w:val="fr-FR"/>
        </w:rPr>
        <w:t>，而且不能经常性工作，或者其收入较之丧失能力之前大幅下降的，有资格领取</w:t>
      </w:r>
      <w:r>
        <w:rPr>
          <w:rFonts w:hint="eastAsia"/>
          <w:i/>
          <w:iCs/>
          <w:lang w:val="fr-FR"/>
        </w:rPr>
        <w:t>与</w:t>
      </w:r>
      <w:r>
        <w:rPr>
          <w:rFonts w:eastAsia="KaiTi_GB2312" w:hint="eastAsia"/>
          <w:snapToGrid/>
          <w:spacing w:val="0"/>
          <w:lang w:val="fr-FR"/>
        </w:rPr>
        <w:t>事故相关的残疾抚恤金</w:t>
      </w:r>
      <w:r>
        <w:rPr>
          <w:rFonts w:hint="eastAsia"/>
          <w:lang w:val="fr-FR"/>
        </w:rPr>
        <w:t>。</w:t>
      </w:r>
    </w:p>
    <w:p w:rsidR="00000000" w:rsidRDefault="00000000">
      <w:pPr>
        <w:pStyle w:val="Heading4"/>
        <w:ind w:left="520"/>
        <w:rPr>
          <w:rFonts w:eastAsia="KaiTi_GB2312" w:hint="eastAsia"/>
          <w:snapToGrid/>
          <w:spacing w:val="0"/>
          <w:u w:val="none"/>
          <w:lang w:val="fr-FR"/>
        </w:rPr>
      </w:pPr>
      <w:r>
        <w:rPr>
          <w:u w:val="none"/>
          <w:lang w:val="fr-FR"/>
        </w:rPr>
        <w:t>(</w:t>
      </w:r>
      <w:r>
        <w:rPr>
          <w:rFonts w:hint="eastAsia"/>
          <w:u w:val="none"/>
          <w:lang w:val="fr-FR"/>
        </w:rPr>
        <w:t>2)</w:t>
      </w:r>
      <w:r>
        <w:rPr>
          <w:u w:val="none"/>
          <w:lang w:val="fr-FR"/>
        </w:rPr>
        <w:tab/>
      </w:r>
      <w:r>
        <w:rPr>
          <w:rFonts w:eastAsia="KaiTi_GB2312" w:hint="eastAsia"/>
          <w:snapToGrid/>
          <w:spacing w:val="0"/>
          <w:u w:val="none"/>
          <w:lang w:val="fr-FR"/>
        </w:rPr>
        <w:t>遗属享有的退休福利</w:t>
      </w:r>
    </w:p>
    <w:p w:rsidR="00000000" w:rsidRDefault="00000000">
      <w:pPr>
        <w:rPr>
          <w:rFonts w:hint="eastAsia"/>
          <w:lang w:val="fr-FR"/>
        </w:rPr>
      </w:pPr>
      <w:r>
        <w:rPr>
          <w:rFonts w:hint="eastAsia"/>
          <w:lang w:val="fr-FR"/>
        </w:rPr>
        <w:tab/>
        <w:t xml:space="preserve">211.  </w:t>
      </w:r>
      <w:r>
        <w:rPr>
          <w:rFonts w:hint="eastAsia"/>
          <w:lang w:val="fr-FR"/>
        </w:rPr>
        <w:t>配偶、离异配偶或在亡者生前不间断同居一年且共同拥有孩子或不间断同居十年以上的同居者，有权领取</w:t>
      </w:r>
      <w:r>
        <w:rPr>
          <w:rFonts w:eastAsia="KaiTi_GB2312" w:hint="eastAsia"/>
          <w:snapToGrid/>
          <w:spacing w:val="0"/>
          <w:lang w:val="fr-FR"/>
        </w:rPr>
        <w:t>鳏</w:t>
      </w:r>
      <w:r>
        <w:rPr>
          <w:rFonts w:eastAsia="KaiTi_GB2312" w:hint="eastAsia"/>
          <w:snapToGrid/>
          <w:spacing w:val="0"/>
          <w:lang w:val="fr-FR"/>
        </w:rPr>
        <w:t>(</w:t>
      </w:r>
      <w:r>
        <w:rPr>
          <w:rFonts w:eastAsia="KaiTi_GB2312" w:hint="eastAsia"/>
          <w:snapToGrid/>
          <w:spacing w:val="0"/>
          <w:lang w:val="fr-FR"/>
        </w:rPr>
        <w:t>寡</w:t>
      </w:r>
      <w:r>
        <w:rPr>
          <w:rFonts w:eastAsia="KaiTi_GB2312" w:hint="eastAsia"/>
          <w:snapToGrid/>
          <w:spacing w:val="0"/>
          <w:lang w:val="fr-FR"/>
        </w:rPr>
        <w:t>)</w:t>
      </w:r>
      <w:r>
        <w:rPr>
          <w:rFonts w:eastAsia="KaiTi_GB2312" w:hint="eastAsia"/>
          <w:snapToGrid/>
          <w:spacing w:val="0"/>
          <w:lang w:val="fr-FR"/>
        </w:rPr>
        <w:t>抚恤金</w:t>
      </w:r>
      <w:r>
        <w:rPr>
          <w:rFonts w:hint="eastAsia"/>
          <w:lang w:val="fr-FR"/>
        </w:rPr>
        <w:t>。如果未亡同居者在整个或部分同居期间已经领取鳏</w:t>
      </w:r>
      <w:r>
        <w:rPr>
          <w:rFonts w:hint="eastAsia"/>
          <w:lang w:val="fr-FR"/>
        </w:rPr>
        <w:t>(</w:t>
      </w:r>
      <w:r>
        <w:rPr>
          <w:rFonts w:hint="eastAsia"/>
          <w:lang w:val="fr-FR"/>
        </w:rPr>
        <w:t>寡</w:t>
      </w:r>
      <w:r>
        <w:rPr>
          <w:rFonts w:hint="eastAsia"/>
          <w:lang w:val="fr-FR"/>
        </w:rPr>
        <w:t>)</w:t>
      </w:r>
      <w:r>
        <w:rPr>
          <w:rFonts w:hint="eastAsia"/>
          <w:lang w:val="fr-FR"/>
        </w:rPr>
        <w:t>抚恤金或与事故相关的鳏</w:t>
      </w:r>
      <w:r>
        <w:rPr>
          <w:rFonts w:hint="eastAsia"/>
          <w:lang w:val="fr-FR"/>
        </w:rPr>
        <w:t>(</w:t>
      </w:r>
      <w:r>
        <w:rPr>
          <w:rFonts w:hint="eastAsia"/>
          <w:lang w:val="fr-FR"/>
        </w:rPr>
        <w:t>寡</w:t>
      </w:r>
      <w:r>
        <w:rPr>
          <w:rFonts w:hint="eastAsia"/>
          <w:lang w:val="fr-FR"/>
        </w:rPr>
        <w:t>)</w:t>
      </w:r>
      <w:r>
        <w:rPr>
          <w:rFonts w:hint="eastAsia"/>
          <w:lang w:val="fr-FR"/>
        </w:rPr>
        <w:t>抚恤金，则不得再领取。如果有些人员死亡时已经积累了领取养老金或残疾抚恤金必须完成的服务年限，或者死亡时是养老金或残疾抚恤金的领取人员，这些人员的有关家属可以领取鳏</w:t>
      </w:r>
      <w:r>
        <w:rPr>
          <w:rFonts w:hint="eastAsia"/>
          <w:lang w:val="fr-FR"/>
        </w:rPr>
        <w:t>(</w:t>
      </w:r>
      <w:r>
        <w:rPr>
          <w:rFonts w:hint="eastAsia"/>
          <w:lang w:val="fr-FR"/>
        </w:rPr>
        <w:t>寡</w:t>
      </w:r>
      <w:r>
        <w:rPr>
          <w:rFonts w:hint="eastAsia"/>
          <w:lang w:val="fr-FR"/>
        </w:rPr>
        <w:t>)</w:t>
      </w:r>
      <w:r>
        <w:rPr>
          <w:rFonts w:hint="eastAsia"/>
          <w:lang w:val="fr-FR"/>
        </w:rPr>
        <w:t>抚恤金。</w:t>
      </w:r>
    </w:p>
    <w:p w:rsidR="00000000" w:rsidRDefault="00000000">
      <w:pPr>
        <w:rPr>
          <w:rFonts w:hint="eastAsia"/>
          <w:lang w:val="fr-FR"/>
        </w:rPr>
      </w:pPr>
      <w:r>
        <w:rPr>
          <w:rFonts w:hint="eastAsia"/>
          <w:lang w:val="fr-FR"/>
        </w:rPr>
        <w:tab/>
        <w:t xml:space="preserve">212.  </w:t>
      </w:r>
      <w:r>
        <w:rPr>
          <w:rFonts w:hint="eastAsia"/>
          <w:lang w:val="fr-FR"/>
        </w:rPr>
        <w:t>如果父</w:t>
      </w:r>
      <w:r>
        <w:rPr>
          <w:rFonts w:hint="eastAsia"/>
          <w:lang w:val="fr-FR"/>
        </w:rPr>
        <w:t>(</w:t>
      </w:r>
      <w:r>
        <w:rPr>
          <w:rFonts w:hint="eastAsia"/>
          <w:lang w:val="fr-FR"/>
        </w:rPr>
        <w:t>母</w:t>
      </w:r>
      <w:r>
        <w:rPr>
          <w:rFonts w:hint="eastAsia"/>
          <w:lang w:val="fr-FR"/>
        </w:rPr>
        <w:t>)</w:t>
      </w:r>
      <w:r>
        <w:rPr>
          <w:rFonts w:hint="eastAsia"/>
          <w:lang w:val="fr-FR"/>
        </w:rPr>
        <w:t>死亡时已经积累了领取养老金或残疾抚恤金必须完成的服务年限，或者父</w:t>
      </w:r>
      <w:r>
        <w:rPr>
          <w:rFonts w:hint="eastAsia"/>
          <w:lang w:val="fr-FR"/>
        </w:rPr>
        <w:t>(</w:t>
      </w:r>
      <w:r>
        <w:rPr>
          <w:rFonts w:hint="eastAsia"/>
          <w:lang w:val="fr-FR"/>
        </w:rPr>
        <w:t>母</w:t>
      </w:r>
      <w:r>
        <w:rPr>
          <w:rFonts w:hint="eastAsia"/>
          <w:lang w:val="fr-FR"/>
        </w:rPr>
        <w:t>)</w:t>
      </w:r>
      <w:r>
        <w:rPr>
          <w:rFonts w:hint="eastAsia"/>
          <w:lang w:val="fr-FR"/>
        </w:rPr>
        <w:t>死亡时是养老金或残疾抚恤金的领取人员，任何子女</w:t>
      </w:r>
      <w:r>
        <w:rPr>
          <w:rFonts w:hint="eastAsia"/>
          <w:lang w:val="fr-FR"/>
        </w:rPr>
        <w:t>(</w:t>
      </w:r>
      <w:r>
        <w:rPr>
          <w:rFonts w:hint="eastAsia"/>
          <w:lang w:val="fr-FR"/>
        </w:rPr>
        <w:t>包括婚生子女、同户已婚夫妇抚养的子女和同户同居伙伴共同抚养的但是在以往的婚姻或同居关系中出生的子女</w:t>
      </w:r>
      <w:r>
        <w:rPr>
          <w:rFonts w:hint="eastAsia"/>
          <w:lang w:val="fr-FR"/>
        </w:rPr>
        <w:t>)</w:t>
      </w:r>
      <w:r>
        <w:rPr>
          <w:rFonts w:hint="eastAsia"/>
          <w:lang w:val="fr-FR"/>
        </w:rPr>
        <w:t>都有权领取</w:t>
      </w:r>
      <w:r>
        <w:rPr>
          <w:rFonts w:eastAsia="KaiTi_GB2312" w:hint="eastAsia"/>
          <w:snapToGrid/>
          <w:spacing w:val="0"/>
          <w:lang w:val="fr-FR"/>
        </w:rPr>
        <w:t>遗孤津贴</w:t>
      </w:r>
      <w:r>
        <w:rPr>
          <w:rFonts w:hint="eastAsia"/>
          <w:lang w:val="fr-FR"/>
        </w:rPr>
        <w:t>。每个子女的遗孤津贴等于死亡父</w:t>
      </w:r>
      <w:r>
        <w:rPr>
          <w:rFonts w:hint="eastAsia"/>
          <w:lang w:val="fr-FR"/>
        </w:rPr>
        <w:t>(</w:t>
      </w:r>
      <w:r>
        <w:rPr>
          <w:rFonts w:hint="eastAsia"/>
          <w:lang w:val="fr-FR"/>
        </w:rPr>
        <w:t>母</w:t>
      </w:r>
      <w:r>
        <w:rPr>
          <w:rFonts w:hint="eastAsia"/>
          <w:lang w:val="fr-FR"/>
        </w:rPr>
        <w:t>)</w:t>
      </w:r>
      <w:r>
        <w:rPr>
          <w:rFonts w:hint="eastAsia"/>
          <w:lang w:val="fr-FR"/>
        </w:rPr>
        <w:t>享有金额的</w:t>
      </w:r>
      <w:r>
        <w:rPr>
          <w:rFonts w:hint="eastAsia"/>
          <w:lang w:val="fr-FR"/>
        </w:rPr>
        <w:t>30%</w:t>
      </w:r>
      <w:r>
        <w:rPr>
          <w:rFonts w:hint="eastAsia"/>
          <w:lang w:val="fr-FR"/>
        </w:rPr>
        <w:t>。</w:t>
      </w:r>
    </w:p>
    <w:p w:rsidR="00000000" w:rsidRDefault="00000000">
      <w:pPr>
        <w:rPr>
          <w:rFonts w:hint="eastAsia"/>
          <w:lang w:val="fr-FR"/>
        </w:rPr>
      </w:pPr>
      <w:r>
        <w:rPr>
          <w:rFonts w:hint="eastAsia"/>
          <w:lang w:val="fr-FR"/>
        </w:rPr>
        <w:tab/>
        <w:t xml:space="preserve">213.  </w:t>
      </w:r>
      <w:r>
        <w:rPr>
          <w:rFonts w:hint="eastAsia"/>
          <w:lang w:val="fr-FR"/>
        </w:rPr>
        <w:t>子女死亡时已经积累了领取养老金或残疾抚恤金必须完成的的服务年限，或者子女死亡时是养老金或残疾抚恤金的领取人员，其父</w:t>
      </w:r>
      <w:r>
        <w:rPr>
          <w:rFonts w:hint="eastAsia"/>
          <w:lang w:val="fr-FR"/>
        </w:rPr>
        <w:t>(</w:t>
      </w:r>
      <w:r>
        <w:rPr>
          <w:rFonts w:hint="eastAsia"/>
          <w:lang w:val="fr-FR"/>
        </w:rPr>
        <w:t>母</w:t>
      </w:r>
      <w:r>
        <w:rPr>
          <w:rFonts w:hint="eastAsia"/>
          <w:lang w:val="fr-FR"/>
        </w:rPr>
        <w:t>)</w:t>
      </w:r>
      <w:r>
        <w:rPr>
          <w:rFonts w:hint="eastAsia"/>
          <w:lang w:val="fr-FR"/>
        </w:rPr>
        <w:t>亲在子女死亡时已残疾，或者年满六十五岁并在子女死亡之前的一整年内主要由该子女赡养的，父母的任何一方都可以领取</w:t>
      </w:r>
      <w:r>
        <w:rPr>
          <w:rFonts w:eastAsia="KaiTi_GB2312" w:hint="eastAsia"/>
          <w:snapToGrid/>
          <w:spacing w:val="0"/>
          <w:lang w:val="fr-FR"/>
        </w:rPr>
        <w:t>双亲抚恤金</w:t>
      </w:r>
      <w:r>
        <w:rPr>
          <w:rFonts w:hint="eastAsia"/>
          <w:lang w:val="fr-FR"/>
        </w:rPr>
        <w:t>。这些规定也同样适用于祖父母和孙子女。</w:t>
      </w:r>
    </w:p>
    <w:p w:rsidR="00000000" w:rsidRDefault="00000000">
      <w:pPr>
        <w:rPr>
          <w:rFonts w:hint="eastAsia"/>
          <w:lang w:val="fr-FR"/>
        </w:rPr>
      </w:pPr>
      <w:r>
        <w:rPr>
          <w:rFonts w:hint="eastAsia"/>
          <w:lang w:val="fr-FR"/>
        </w:rPr>
        <w:tab/>
        <w:t xml:space="preserve">214.  </w:t>
      </w:r>
      <w:r>
        <w:rPr>
          <w:rFonts w:hint="eastAsia"/>
          <w:lang w:val="fr-FR"/>
        </w:rPr>
        <w:t>如果受伤人员由于工作引起的事故死亡，其家属有权领取</w:t>
      </w:r>
      <w:r>
        <w:rPr>
          <w:rFonts w:eastAsia="KaiTi_GB2312" w:hint="eastAsia"/>
          <w:snapToGrid/>
          <w:spacing w:val="0"/>
          <w:lang w:val="fr-FR"/>
        </w:rPr>
        <w:t>与事故有关的退休福利</w:t>
      </w:r>
      <w:r>
        <w:rPr>
          <w:rFonts w:hint="eastAsia"/>
          <w:lang w:val="fr-FR"/>
        </w:rPr>
        <w:t>。甚至在与事故有关的退休福利的领取人员不是因为由工作引起的事故死亡的情况下，遗属也有资格领取与事故有关的退休福利。如果受伤人员在领取与事故有关的退休福利期间不是因为由工作引起的事故死亡，只要能够推定该人员若在世仍有资格领取与事故有关的退休福利，其家属就有资格领取与事故有关的退休福利。如果不论亡者积累了多少服务年限其家属都应有资格领取与事故有关的退休福利，授予遗属退休福利的一般规定适用于准许遗属领取的与事故有关的退休福利。</w:t>
      </w:r>
    </w:p>
    <w:p w:rsidR="00000000" w:rsidRDefault="00000000">
      <w:pPr>
        <w:spacing w:after="240"/>
        <w:rPr>
          <w:rFonts w:hint="eastAsia"/>
          <w:lang w:val="fr-FR"/>
        </w:rPr>
      </w:pPr>
      <w:r>
        <w:rPr>
          <w:rFonts w:hint="eastAsia"/>
          <w:lang w:val="fr-FR"/>
        </w:rPr>
        <w:tab/>
        <w:t xml:space="preserve">215.  </w:t>
      </w:r>
      <w:r>
        <w:rPr>
          <w:rFonts w:hint="eastAsia"/>
          <w:lang w:val="fr-FR"/>
        </w:rPr>
        <w:t>在有可能缔结协议的情况下，该法令为那些在强制性体系内没有资格享受退休福利的人员提供退休福利。</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社会保障服务的资金来源</w:t>
      </w:r>
    </w:p>
    <w:p w:rsidR="00000000" w:rsidRDefault="00000000">
      <w:pPr>
        <w:rPr>
          <w:rFonts w:hint="eastAsia"/>
          <w:lang w:val="fr-FR"/>
        </w:rPr>
      </w:pPr>
      <w:r>
        <w:rPr>
          <w:rFonts w:hint="eastAsia"/>
          <w:lang w:val="fr-FR"/>
        </w:rPr>
        <w:tab/>
        <w:t xml:space="preserve">216.  </w:t>
      </w:r>
      <w:r>
        <w:rPr>
          <w:rFonts w:hint="eastAsia"/>
          <w:lang w:val="fr-FR"/>
        </w:rPr>
        <w:t>健康保险服务、残疾抚恤金和与事故相关的残疾抚恤金由社会保险基金提供资金。国家保证健康保险服务的资金供应。但是，有些服务的资金来源于青年、健康、社会和家庭事务部。</w:t>
      </w:r>
    </w:p>
    <w:p w:rsidR="00000000" w:rsidRDefault="00000000">
      <w:pPr>
        <w:spacing w:after="240"/>
        <w:rPr>
          <w:rFonts w:hint="eastAsia"/>
          <w:lang w:val="fr-FR"/>
        </w:rPr>
      </w:pPr>
      <w:r>
        <w:rPr>
          <w:rFonts w:hint="eastAsia"/>
          <w:lang w:val="fr-FR"/>
        </w:rPr>
        <w:tab/>
        <w:t xml:space="preserve">217.  </w:t>
      </w:r>
      <w:r>
        <w:rPr>
          <w:rFonts w:hint="eastAsia"/>
          <w:lang w:val="fr-FR"/>
        </w:rPr>
        <w:t>依照《健康保险法令》的规定，在其框架内可以根据身体状况合理地使用健康保险中的保健服务。在履行缴纳健康保险费的义务后，可以按比例使用现金福利。</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义务性社会保障服务的资金来源</w:t>
      </w:r>
    </w:p>
    <w:p w:rsidR="00000000" w:rsidRDefault="00000000">
      <w:pPr>
        <w:rPr>
          <w:rFonts w:hint="eastAsia"/>
          <w:lang w:val="fr-FR"/>
        </w:rPr>
      </w:pPr>
      <w:r>
        <w:rPr>
          <w:rFonts w:hint="eastAsia"/>
          <w:lang w:val="fr-FR"/>
        </w:rPr>
        <w:tab/>
        <w:t xml:space="preserve">218.  </w:t>
      </w:r>
      <w:r>
        <w:rPr>
          <w:rFonts w:hint="eastAsia"/>
          <w:lang w:val="fr-FR"/>
        </w:rPr>
        <w:t>国家预算主要依靠收纳保费来保证义务性社会保障服务的资金来源。除法律规定的例外情况之外，考虑到一致性的原则，主要是支付社会保障服务费用的人员有权使用社会保障服务。</w:t>
      </w:r>
    </w:p>
    <w:p w:rsidR="00000000" w:rsidRDefault="00000000">
      <w:pPr>
        <w:rPr>
          <w:rFonts w:hint="eastAsia"/>
          <w:lang w:val="fr-FR"/>
        </w:rPr>
      </w:pPr>
      <w:r>
        <w:rPr>
          <w:rFonts w:hint="eastAsia"/>
          <w:lang w:val="fr-FR"/>
        </w:rPr>
        <w:tab/>
        <w:t xml:space="preserve">219.  </w:t>
      </w:r>
      <w:r>
        <w:rPr>
          <w:rFonts w:hint="eastAsia"/>
          <w:lang w:val="fr-FR"/>
        </w:rPr>
        <w:t>投保方应当为健康保险和养恤金供款。雇主应当为养恤金和健康保险供款，而且还应当为病假福利供款。参加私营养恤金基金的人员应当承担养恤金供款和交纳会费作为供款。</w:t>
      </w:r>
    </w:p>
    <w:p w:rsidR="00000000" w:rsidRDefault="00000000">
      <w:pPr>
        <w:rPr>
          <w:rFonts w:hint="eastAsia"/>
          <w:lang w:val="fr-FR"/>
        </w:rPr>
      </w:pPr>
      <w:r>
        <w:rPr>
          <w:rFonts w:hint="eastAsia"/>
          <w:lang w:val="fr-FR"/>
        </w:rPr>
        <w:tab/>
        <w:t xml:space="preserve">220.  </w:t>
      </w:r>
      <w:r>
        <w:rPr>
          <w:rFonts w:hint="eastAsia"/>
          <w:lang w:val="fr-FR"/>
        </w:rPr>
        <w:t>与前些年</w:t>
      </w:r>
      <w:r>
        <w:rPr>
          <w:rFonts w:hint="eastAsia"/>
          <w:lang w:val="fr-FR"/>
        </w:rPr>
        <w:t>44-33%</w:t>
      </w:r>
      <w:r>
        <w:rPr>
          <w:rFonts w:hint="eastAsia"/>
          <w:lang w:val="fr-FR"/>
        </w:rPr>
        <w:t>的社会保障缴款相比，自</w:t>
      </w:r>
      <w:r>
        <w:rPr>
          <w:rFonts w:hint="eastAsia"/>
          <w:lang w:val="fr-FR"/>
        </w:rPr>
        <w:t>2001</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日起，私营企业主被认为是保障对象的以及雇主应当承担</w:t>
      </w:r>
      <w:r>
        <w:rPr>
          <w:rFonts w:hint="eastAsia"/>
          <w:lang w:val="fr-FR"/>
        </w:rPr>
        <w:t>31%</w:t>
      </w:r>
      <w:r>
        <w:rPr>
          <w:rFonts w:hint="eastAsia"/>
          <w:lang w:val="fr-FR"/>
        </w:rPr>
        <w:t>的社会保障缴款。其中，养恤金缴款为</w:t>
      </w:r>
      <w:r>
        <w:rPr>
          <w:rFonts w:hint="eastAsia"/>
          <w:lang w:val="fr-FR"/>
        </w:rPr>
        <w:t>20%</w:t>
      </w:r>
      <w:r>
        <w:rPr>
          <w:rFonts w:hint="eastAsia"/>
          <w:lang w:val="fr-FR"/>
        </w:rPr>
        <w:t>，健康保险费为</w:t>
      </w:r>
      <w:r>
        <w:rPr>
          <w:rFonts w:hint="eastAsia"/>
          <w:lang w:val="fr-FR"/>
        </w:rPr>
        <w:t>11%</w:t>
      </w:r>
      <w:r>
        <w:rPr>
          <w:rFonts w:hint="eastAsia"/>
          <w:lang w:val="fr-FR"/>
        </w:rPr>
        <w:t>。</w:t>
      </w:r>
    </w:p>
    <w:p w:rsidR="00000000" w:rsidRDefault="00000000">
      <w:pPr>
        <w:rPr>
          <w:rFonts w:hint="eastAsia"/>
          <w:lang w:val="fr-FR"/>
        </w:rPr>
      </w:pPr>
      <w:r>
        <w:rPr>
          <w:rFonts w:hint="eastAsia"/>
          <w:lang w:val="fr-FR"/>
        </w:rPr>
        <w:tab/>
        <w:t>221.  2002</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日起，社会保障缴款的比例下降到</w:t>
      </w:r>
      <w:r>
        <w:rPr>
          <w:rFonts w:hint="eastAsia"/>
          <w:lang w:val="fr-FR"/>
        </w:rPr>
        <w:t>29%</w:t>
      </w:r>
      <w:r>
        <w:rPr>
          <w:rFonts w:hint="eastAsia"/>
          <w:lang w:val="fr-FR"/>
        </w:rPr>
        <w:t>，其中养恤金缴款为</w:t>
      </w:r>
      <w:r>
        <w:rPr>
          <w:rFonts w:hint="eastAsia"/>
          <w:lang w:val="fr-FR"/>
        </w:rPr>
        <w:t>18%</w:t>
      </w:r>
      <w:r>
        <w:rPr>
          <w:rFonts w:hint="eastAsia"/>
          <w:lang w:val="fr-FR"/>
        </w:rPr>
        <w:t>，而健康保险费为</w:t>
      </w:r>
      <w:r>
        <w:rPr>
          <w:rFonts w:hint="eastAsia"/>
          <w:lang w:val="fr-FR"/>
        </w:rPr>
        <w:t>11%</w:t>
      </w:r>
      <w:r>
        <w:rPr>
          <w:rFonts w:hint="eastAsia"/>
          <w:lang w:val="fr-FR"/>
        </w:rPr>
        <w:t>。雇主应当根据构成缴款基础的每笔实际支付或入账工资，依法交纳社会保障缴款。</w:t>
      </w:r>
    </w:p>
    <w:p w:rsidR="00000000" w:rsidRDefault="00000000">
      <w:pPr>
        <w:rPr>
          <w:rFonts w:hint="eastAsia"/>
          <w:lang w:val="fr-FR"/>
        </w:rPr>
      </w:pPr>
      <w:r>
        <w:rPr>
          <w:rFonts w:hint="eastAsia"/>
          <w:lang w:val="fr-FR"/>
        </w:rPr>
        <w:tab/>
        <w:t xml:space="preserve">222.  </w:t>
      </w:r>
      <w:r>
        <w:rPr>
          <w:rFonts w:hint="eastAsia"/>
          <w:lang w:val="fr-FR"/>
        </w:rPr>
        <w:t>投保方的养恤金缴款比例是</w:t>
      </w:r>
    </w:p>
    <w:p w:rsidR="00000000" w:rsidRDefault="00000000">
      <w:pPr>
        <w:pStyle w:val="a0"/>
        <w:ind w:left="1550"/>
        <w:rPr>
          <w:rFonts w:hint="eastAsia"/>
          <w:lang w:val="fr-FR"/>
        </w:rPr>
      </w:pPr>
      <w:r>
        <w:rPr>
          <w:rFonts w:hint="eastAsia"/>
          <w:lang w:val="fr-FR"/>
        </w:rPr>
        <w:t>对于完全受保于社会保障养恤金基金的人员，是</w:t>
      </w:r>
      <w:r>
        <w:rPr>
          <w:rFonts w:hint="eastAsia"/>
          <w:lang w:val="fr-FR"/>
        </w:rPr>
        <w:t>8.5%</w:t>
      </w:r>
      <w:r>
        <w:rPr>
          <w:rFonts w:hint="eastAsia"/>
          <w:lang w:val="fr-FR"/>
        </w:rPr>
        <w:t>；</w:t>
      </w:r>
    </w:p>
    <w:p w:rsidR="00000000" w:rsidRDefault="00000000">
      <w:pPr>
        <w:pStyle w:val="a0"/>
        <w:ind w:left="1550"/>
        <w:rPr>
          <w:rFonts w:hint="eastAsia"/>
          <w:lang w:val="fr-FR"/>
        </w:rPr>
      </w:pPr>
      <w:r>
        <w:rPr>
          <w:rFonts w:hint="eastAsia"/>
          <w:lang w:val="fr-FR"/>
        </w:rPr>
        <w:t>对于参加私营养恤金基金的人员，</w:t>
      </w:r>
      <w:r>
        <w:rPr>
          <w:rFonts w:hint="eastAsia"/>
          <w:lang w:val="fr-FR"/>
        </w:rPr>
        <w:t>2003</w:t>
      </w:r>
      <w:r>
        <w:rPr>
          <w:rFonts w:hint="eastAsia"/>
          <w:lang w:val="fr-FR"/>
        </w:rPr>
        <w:t>年是</w:t>
      </w:r>
      <w:r>
        <w:rPr>
          <w:rFonts w:hint="eastAsia"/>
          <w:lang w:val="fr-FR"/>
        </w:rPr>
        <w:t>1.5%</w:t>
      </w:r>
      <w:r>
        <w:rPr>
          <w:rFonts w:hint="eastAsia"/>
          <w:lang w:val="fr-FR"/>
        </w:rPr>
        <w:t>，</w:t>
      </w:r>
      <w:r>
        <w:rPr>
          <w:rFonts w:hint="eastAsia"/>
          <w:lang w:val="fr-FR"/>
        </w:rPr>
        <w:t>2004</w:t>
      </w:r>
      <w:r>
        <w:rPr>
          <w:rFonts w:hint="eastAsia"/>
          <w:lang w:val="fr-FR"/>
        </w:rPr>
        <w:t>年是</w:t>
      </w:r>
      <w:r>
        <w:rPr>
          <w:rFonts w:hint="eastAsia"/>
          <w:lang w:val="fr-FR"/>
        </w:rPr>
        <w:t>0.5%</w:t>
      </w:r>
      <w:r>
        <w:rPr>
          <w:rFonts w:hint="eastAsia"/>
          <w:lang w:val="fr-FR"/>
        </w:rPr>
        <w:t>。</w:t>
      </w:r>
    </w:p>
    <w:p w:rsidR="00000000" w:rsidRDefault="00000000">
      <w:pPr>
        <w:rPr>
          <w:rFonts w:hint="eastAsia"/>
          <w:lang w:val="fr-FR"/>
        </w:rPr>
      </w:pPr>
      <w:r>
        <w:rPr>
          <w:rFonts w:hint="eastAsia"/>
          <w:lang w:val="fr-FR"/>
        </w:rPr>
        <w:tab/>
        <w:t>223.  2002</w:t>
      </w:r>
      <w:r>
        <w:rPr>
          <w:rFonts w:hint="eastAsia"/>
          <w:lang w:val="fr-FR"/>
        </w:rPr>
        <w:t>年投保方健康保险费的支付比例是</w:t>
      </w:r>
      <w:r>
        <w:rPr>
          <w:rFonts w:hint="eastAsia"/>
          <w:lang w:val="fr-FR"/>
        </w:rPr>
        <w:t>3%</w:t>
      </w:r>
      <w:r>
        <w:rPr>
          <w:rFonts w:hint="eastAsia"/>
          <w:lang w:val="fr-FR"/>
        </w:rPr>
        <w:t>，</w:t>
      </w:r>
      <w:r>
        <w:rPr>
          <w:rFonts w:hint="eastAsia"/>
          <w:lang w:val="fr-FR"/>
        </w:rPr>
        <w:t>2004</w:t>
      </w:r>
      <w:r>
        <w:rPr>
          <w:rFonts w:hint="eastAsia"/>
          <w:lang w:val="fr-FR"/>
        </w:rPr>
        <w:t>年是</w:t>
      </w:r>
      <w:r>
        <w:rPr>
          <w:rFonts w:hint="eastAsia"/>
          <w:lang w:val="fr-FR"/>
        </w:rPr>
        <w:t>4%</w:t>
      </w:r>
      <w:r>
        <w:rPr>
          <w:rFonts w:hint="eastAsia"/>
          <w:lang w:val="fr-FR"/>
        </w:rPr>
        <w:t>。为了提高竞争力，</w:t>
      </w:r>
      <w:r>
        <w:rPr>
          <w:rFonts w:hint="eastAsia"/>
          <w:lang w:val="fr-FR"/>
        </w:rPr>
        <w:t>1992</w:t>
      </w:r>
      <w:r>
        <w:rPr>
          <w:rFonts w:hint="eastAsia"/>
          <w:lang w:val="fr-FR"/>
        </w:rPr>
        <w:t>年至</w:t>
      </w:r>
      <w:r>
        <w:rPr>
          <w:rFonts w:hint="eastAsia"/>
          <w:lang w:val="fr-FR"/>
        </w:rPr>
        <w:t>2004</w:t>
      </w:r>
      <w:r>
        <w:rPr>
          <w:rFonts w:hint="eastAsia"/>
          <w:lang w:val="fr-FR"/>
        </w:rPr>
        <w:t>年雇主支付的社会保障缴款比例逐步降低了</w:t>
      </w:r>
      <w:r>
        <w:rPr>
          <w:rFonts w:hint="eastAsia"/>
          <w:lang w:val="fr-FR"/>
        </w:rPr>
        <w:t>15%</w:t>
      </w:r>
      <w:r>
        <w:rPr>
          <w:rFonts w:hint="eastAsia"/>
          <w:lang w:val="fr-FR"/>
        </w:rPr>
        <w:t>。其中，养恤金缴款降低了</w:t>
      </w:r>
      <w:r>
        <w:rPr>
          <w:rFonts w:hint="eastAsia"/>
          <w:lang w:val="fr-FR"/>
        </w:rPr>
        <w:t>6.5%</w:t>
      </w:r>
      <w:r>
        <w:rPr>
          <w:rFonts w:hint="eastAsia"/>
          <w:lang w:val="fr-FR"/>
        </w:rPr>
        <w:t>，而健康保险费降低了</w:t>
      </w:r>
      <w:r>
        <w:rPr>
          <w:rFonts w:hint="eastAsia"/>
          <w:lang w:val="fr-FR"/>
        </w:rPr>
        <w:t>8.5%</w:t>
      </w:r>
      <w:r>
        <w:rPr>
          <w:rFonts w:hint="eastAsia"/>
          <w:lang w:val="fr-FR"/>
        </w:rPr>
        <w:t>。</w:t>
      </w:r>
      <w:r>
        <w:rPr>
          <w:rFonts w:hint="eastAsia"/>
          <w:lang w:val="fr-FR"/>
        </w:rPr>
        <w:t>1997</w:t>
      </w:r>
      <w:r>
        <w:rPr>
          <w:rFonts w:hint="eastAsia"/>
          <w:lang w:val="fr-FR"/>
        </w:rPr>
        <w:t>年推出了病假福利缴款。在很多情况下，这是一笔固定金额的缴款。政府的目标是逐步废除这类缴款。</w:t>
      </w:r>
    </w:p>
    <w:p w:rsidR="00000000" w:rsidRDefault="00000000">
      <w:pPr>
        <w:rPr>
          <w:rFonts w:hint="eastAsia"/>
          <w:lang w:val="fr-FR"/>
        </w:rPr>
      </w:pPr>
      <w:r>
        <w:rPr>
          <w:rFonts w:hint="eastAsia"/>
          <w:lang w:val="fr-FR"/>
        </w:rPr>
        <w:tab/>
        <w:t>224.  1992</w:t>
      </w:r>
      <w:r>
        <w:rPr>
          <w:rFonts w:hint="eastAsia"/>
          <w:lang w:val="fr-FR"/>
        </w:rPr>
        <w:t>年至</w:t>
      </w:r>
      <w:r>
        <w:rPr>
          <w:rFonts w:hint="eastAsia"/>
          <w:lang w:val="fr-FR"/>
        </w:rPr>
        <w:t>2004</w:t>
      </w:r>
      <w:r>
        <w:rPr>
          <w:rFonts w:hint="eastAsia"/>
          <w:lang w:val="fr-FR"/>
        </w:rPr>
        <w:t>年间，在雇主支付的健康保险费从</w:t>
      </w:r>
      <w:r>
        <w:rPr>
          <w:rFonts w:hint="eastAsia"/>
          <w:lang w:val="fr-FR"/>
        </w:rPr>
        <w:t>44%</w:t>
      </w:r>
      <w:r>
        <w:rPr>
          <w:rFonts w:hint="eastAsia"/>
          <w:lang w:val="fr-FR"/>
        </w:rPr>
        <w:t>下降到</w:t>
      </w:r>
      <w:r>
        <w:rPr>
          <w:rFonts w:hint="eastAsia"/>
          <w:lang w:val="fr-FR"/>
        </w:rPr>
        <w:t>29%</w:t>
      </w:r>
      <w:r>
        <w:rPr>
          <w:rFonts w:hint="eastAsia"/>
          <w:lang w:val="fr-FR"/>
        </w:rPr>
        <w:t>的同时，投保人支付的保费从</w:t>
      </w:r>
      <w:r>
        <w:rPr>
          <w:rFonts w:hint="eastAsia"/>
          <w:lang w:val="fr-FR"/>
        </w:rPr>
        <w:t>10%</w:t>
      </w:r>
      <w:r>
        <w:rPr>
          <w:rFonts w:hint="eastAsia"/>
          <w:lang w:val="fr-FR"/>
        </w:rPr>
        <w:t>上升到了</w:t>
      </w:r>
      <w:r>
        <w:rPr>
          <w:rFonts w:hint="eastAsia"/>
          <w:lang w:val="fr-FR"/>
        </w:rPr>
        <w:t>12.5%</w:t>
      </w:r>
      <w:r>
        <w:rPr>
          <w:rFonts w:hint="eastAsia"/>
          <w:lang w:val="fr-FR"/>
        </w:rPr>
        <w:t>。</w:t>
      </w:r>
      <w:r>
        <w:rPr>
          <w:rFonts w:hint="eastAsia"/>
          <w:lang w:val="fr-FR"/>
        </w:rPr>
        <w:t>1998</w:t>
      </w:r>
      <w:r>
        <w:rPr>
          <w:rFonts w:hint="eastAsia"/>
          <w:lang w:val="fr-FR"/>
        </w:rPr>
        <w:t>年至</w:t>
      </w:r>
      <w:r>
        <w:rPr>
          <w:rFonts w:hint="eastAsia"/>
          <w:lang w:val="fr-FR"/>
        </w:rPr>
        <w:t>2003</w:t>
      </w:r>
      <w:r>
        <w:rPr>
          <w:rFonts w:hint="eastAsia"/>
          <w:lang w:val="fr-FR"/>
        </w:rPr>
        <w:t>年健康保险费是</w:t>
      </w:r>
      <w:r>
        <w:rPr>
          <w:rFonts w:hint="eastAsia"/>
          <w:lang w:val="fr-FR"/>
        </w:rPr>
        <w:t>3%</w:t>
      </w:r>
      <w:r>
        <w:rPr>
          <w:rFonts w:hint="eastAsia"/>
          <w:lang w:val="fr-FR"/>
        </w:rPr>
        <w:t>。检查期内</w:t>
      </w:r>
      <w:r>
        <w:rPr>
          <w:rFonts w:hint="eastAsia"/>
          <w:lang w:val="fr-FR"/>
        </w:rPr>
        <w:t>(1992</w:t>
      </w:r>
      <w:r>
        <w:rPr>
          <w:rFonts w:hint="eastAsia"/>
          <w:lang w:val="fr-FR"/>
        </w:rPr>
        <w:t>年至</w:t>
      </w:r>
      <w:r>
        <w:rPr>
          <w:rFonts w:hint="eastAsia"/>
          <w:lang w:val="fr-FR"/>
        </w:rPr>
        <w:t>2004</w:t>
      </w:r>
      <w:r>
        <w:rPr>
          <w:rFonts w:hint="eastAsia"/>
          <w:lang w:val="fr-FR"/>
        </w:rPr>
        <w:t>年</w:t>
      </w:r>
      <w:r>
        <w:rPr>
          <w:rFonts w:hint="eastAsia"/>
          <w:lang w:val="fr-FR"/>
        </w:rPr>
        <w:t>)</w:t>
      </w:r>
      <w:r>
        <w:rPr>
          <w:rFonts w:hint="eastAsia"/>
          <w:lang w:val="fr-FR"/>
        </w:rPr>
        <w:t>其他年度都是</w:t>
      </w:r>
      <w:r>
        <w:rPr>
          <w:rFonts w:hint="eastAsia"/>
          <w:lang w:val="fr-FR"/>
        </w:rPr>
        <w:t>4%</w:t>
      </w:r>
      <w:r>
        <w:rPr>
          <w:rFonts w:hint="eastAsia"/>
          <w:lang w:val="fr-FR"/>
        </w:rPr>
        <w:t>。</w:t>
      </w:r>
    </w:p>
    <w:p w:rsidR="00000000" w:rsidRDefault="00000000">
      <w:pPr>
        <w:rPr>
          <w:rFonts w:hint="eastAsia"/>
          <w:lang w:val="fr-FR"/>
        </w:rPr>
      </w:pPr>
      <w:r>
        <w:rPr>
          <w:rFonts w:hint="eastAsia"/>
          <w:lang w:val="fr-FR"/>
        </w:rPr>
        <w:tab/>
        <w:t xml:space="preserve">225.  </w:t>
      </w:r>
      <w:r>
        <w:rPr>
          <w:rFonts w:hint="eastAsia"/>
          <w:lang w:val="fr-FR"/>
        </w:rPr>
        <w:t>在社会保障缴款的逐渐降低的同时，社会保障的收支名义上都增长了，但是随国民总收入相应发生周期性的变化。</w:t>
      </w:r>
      <w:r>
        <w:rPr>
          <w:rFonts w:hint="eastAsia"/>
          <w:lang w:val="fr-FR"/>
        </w:rPr>
        <w:t>1995</w:t>
      </w:r>
      <w:r>
        <w:rPr>
          <w:rFonts w:hint="eastAsia"/>
          <w:lang w:val="fr-FR"/>
        </w:rPr>
        <w:t>年，</w:t>
      </w:r>
      <w:r>
        <w:rPr>
          <w:rFonts w:hint="eastAsia"/>
          <w:lang w:val="fr-FR"/>
        </w:rPr>
        <w:t>44%+10%</w:t>
      </w:r>
      <w:r>
        <w:rPr>
          <w:rFonts w:hint="eastAsia"/>
          <w:lang w:val="fr-FR"/>
        </w:rPr>
        <w:t>的保费收入之外，社会保障费用达到了国民总收入的</w:t>
      </w:r>
      <w:r>
        <w:rPr>
          <w:rFonts w:hint="eastAsia"/>
          <w:lang w:val="fr-FR"/>
        </w:rPr>
        <w:t>17.1%</w:t>
      </w:r>
      <w:r>
        <w:rPr>
          <w:rFonts w:hint="eastAsia"/>
          <w:lang w:val="fr-FR"/>
        </w:rPr>
        <w:t>。</w:t>
      </w:r>
      <w:r>
        <w:rPr>
          <w:rFonts w:hint="eastAsia"/>
          <w:lang w:val="fr-FR"/>
        </w:rPr>
        <w:t>2002</w:t>
      </w:r>
      <w:r>
        <w:rPr>
          <w:rFonts w:hint="eastAsia"/>
          <w:lang w:val="fr-FR"/>
        </w:rPr>
        <w:t>年，</w:t>
      </w:r>
      <w:r>
        <w:rPr>
          <w:rFonts w:hint="eastAsia"/>
          <w:lang w:val="fr-FR"/>
        </w:rPr>
        <w:t>29%+11%</w:t>
      </w:r>
      <w:r>
        <w:rPr>
          <w:rFonts w:hint="eastAsia"/>
          <w:lang w:val="fr-FR"/>
        </w:rPr>
        <w:t>的保费收入之外，社会保障费用降到了国民总收入的</w:t>
      </w:r>
      <w:r>
        <w:rPr>
          <w:rFonts w:hint="eastAsia"/>
          <w:lang w:val="fr-FR"/>
        </w:rPr>
        <w:t>15.9%</w:t>
      </w:r>
      <w:r>
        <w:rPr>
          <w:rFonts w:hint="eastAsia"/>
          <w:lang w:val="fr-FR"/>
        </w:rPr>
        <w:t>，仍然保持同样的逆差，而社保收入、保证金和中央预算为基金费用的供款提高了</w:t>
      </w:r>
      <w:r>
        <w:rPr>
          <w:rFonts w:hint="eastAsia"/>
          <w:lang w:val="fr-FR"/>
        </w:rPr>
        <w:t>2%</w:t>
      </w:r>
      <w:r>
        <w:rPr>
          <w:rFonts w:hint="eastAsia"/>
          <w:lang w:val="fr-FR"/>
        </w:rPr>
        <w:t>。</w:t>
      </w:r>
    </w:p>
    <w:p w:rsidR="00000000" w:rsidRDefault="00000000">
      <w:pPr>
        <w:spacing w:after="320"/>
        <w:rPr>
          <w:rFonts w:hint="eastAsia"/>
          <w:lang w:val="fr-FR"/>
        </w:rPr>
      </w:pPr>
      <w:r>
        <w:rPr>
          <w:rFonts w:hint="eastAsia"/>
          <w:lang w:val="fr-FR"/>
        </w:rPr>
        <w:tab/>
        <w:t xml:space="preserve">226.  </w:t>
      </w:r>
      <w:r>
        <w:rPr>
          <w:rFonts w:hint="eastAsia"/>
          <w:lang w:val="fr-FR"/>
        </w:rPr>
        <w:t>退休福利和保健服务与国民总收入之比发生了重大变化。退休福利费用在占国民总收入</w:t>
      </w:r>
      <w:r>
        <w:rPr>
          <w:rFonts w:hint="eastAsia"/>
          <w:lang w:val="fr-FR"/>
        </w:rPr>
        <w:t>9.0%</w:t>
      </w:r>
      <w:r>
        <w:rPr>
          <w:rFonts w:hint="eastAsia"/>
          <w:lang w:val="fr-FR"/>
        </w:rPr>
        <w:t>至</w:t>
      </w:r>
      <w:r>
        <w:rPr>
          <w:rFonts w:hint="eastAsia"/>
          <w:lang w:val="fr-FR"/>
        </w:rPr>
        <w:t>9.9%</w:t>
      </w:r>
      <w:r>
        <w:rPr>
          <w:rFonts w:hint="eastAsia"/>
          <w:lang w:val="fr-FR"/>
        </w:rPr>
        <w:t>之间上下变动。保健服务费用在占国民总收入的</w:t>
      </w:r>
      <w:r>
        <w:rPr>
          <w:rFonts w:hint="eastAsia"/>
          <w:lang w:val="fr-FR"/>
        </w:rPr>
        <w:t>2.99%</w:t>
      </w:r>
      <w:r>
        <w:rPr>
          <w:rFonts w:hint="eastAsia"/>
          <w:lang w:val="fr-FR"/>
        </w:rPr>
        <w:t>和</w:t>
      </w:r>
      <w:r>
        <w:rPr>
          <w:rFonts w:hint="eastAsia"/>
          <w:lang w:val="fr-FR"/>
        </w:rPr>
        <w:t>3.7%</w:t>
      </w:r>
      <w:r>
        <w:rPr>
          <w:rFonts w:hint="eastAsia"/>
          <w:lang w:val="fr-FR"/>
        </w:rPr>
        <w:t>之间变动。药品和医疗器械则在占国民总收入的</w:t>
      </w:r>
      <w:r>
        <w:rPr>
          <w:rFonts w:hint="eastAsia"/>
          <w:lang w:val="fr-FR"/>
        </w:rPr>
        <w:t>1.4%</w:t>
      </w:r>
      <w:r>
        <w:rPr>
          <w:rFonts w:hint="eastAsia"/>
          <w:lang w:val="fr-FR"/>
        </w:rPr>
        <w:t>和</w:t>
      </w:r>
      <w:r>
        <w:rPr>
          <w:rFonts w:hint="eastAsia"/>
          <w:lang w:val="fr-FR"/>
        </w:rPr>
        <w:t>1.7%</w:t>
      </w:r>
      <w:r>
        <w:rPr>
          <w:rFonts w:hint="eastAsia"/>
          <w:lang w:val="fr-FR"/>
        </w:rPr>
        <w:t>之间变动，而病假工资则是在</w:t>
      </w:r>
      <w:r>
        <w:rPr>
          <w:rFonts w:hint="eastAsia"/>
          <w:lang w:val="fr-FR"/>
        </w:rPr>
        <w:t>0.5%</w:t>
      </w:r>
      <w:r>
        <w:rPr>
          <w:rFonts w:hint="eastAsia"/>
          <w:lang w:val="fr-FR"/>
        </w:rPr>
        <w:t>和</w:t>
      </w:r>
      <w:r>
        <w:rPr>
          <w:rFonts w:hint="eastAsia"/>
          <w:lang w:val="fr-FR"/>
        </w:rPr>
        <w:t>0.8%</w:t>
      </w:r>
      <w:r>
        <w:rPr>
          <w:rFonts w:hint="eastAsia"/>
          <w:lang w:val="fr-FR"/>
        </w:rPr>
        <w:t>之间变动。</w:t>
      </w:r>
    </w:p>
    <w:p w:rsidR="00000000" w:rsidRDefault="00000000">
      <w:pPr>
        <w:pStyle w:val="Heading3"/>
        <w:rPr>
          <w:rFonts w:hint="eastAsia"/>
          <w:lang w:val="fr-FR"/>
        </w:rPr>
      </w:pPr>
      <w:r>
        <w:rPr>
          <w:rFonts w:hint="eastAsia"/>
          <w:lang w:val="fr-FR"/>
        </w:rPr>
        <w:t>匈牙利的养恤金体系</w:t>
      </w:r>
    </w:p>
    <w:p w:rsidR="00000000" w:rsidRDefault="00000000">
      <w:pPr>
        <w:spacing w:after="240"/>
        <w:rPr>
          <w:rFonts w:hint="eastAsia"/>
          <w:lang w:val="fr-FR"/>
        </w:rPr>
      </w:pPr>
      <w:r>
        <w:rPr>
          <w:rFonts w:hint="eastAsia"/>
          <w:lang w:val="fr-FR"/>
        </w:rPr>
        <w:tab/>
        <w:t xml:space="preserve">227.  </w:t>
      </w:r>
      <w:r>
        <w:rPr>
          <w:rFonts w:hint="eastAsia"/>
          <w:lang w:val="fr-FR"/>
        </w:rPr>
        <w:t>匈牙利的养恤金体系几乎已有一个世纪的历史。和许多发达国家类似，在二次世界大战之后，也是二战的后果，以往的资金储备充足的制度转变成现收现付制度。现收现付制度使养恤金体系有可能标准化，到</w:t>
      </w:r>
      <w:r>
        <w:rPr>
          <w:rFonts w:hint="eastAsia"/>
          <w:lang w:val="fr-FR"/>
        </w:rPr>
        <w:t>1975</w:t>
      </w:r>
      <w:r>
        <w:rPr>
          <w:rFonts w:hint="eastAsia"/>
          <w:lang w:val="fr-FR"/>
        </w:rPr>
        <w:t>年已经逐渐扩大到覆盖所有有工作收入的人员。到</w:t>
      </w:r>
      <w:r>
        <w:rPr>
          <w:rFonts w:hint="eastAsia"/>
          <w:lang w:val="fr-FR"/>
        </w:rPr>
        <w:t>1980</w:t>
      </w:r>
      <w:r>
        <w:rPr>
          <w:rFonts w:hint="eastAsia"/>
          <w:lang w:val="fr-FR"/>
        </w:rPr>
        <w:t>年代末</w:t>
      </w:r>
      <w:r>
        <w:rPr>
          <w:rFonts w:hint="eastAsia"/>
          <w:lang w:val="fr-FR"/>
        </w:rPr>
        <w:t>1990</w:t>
      </w:r>
      <w:r>
        <w:rPr>
          <w:rFonts w:hint="eastAsia"/>
          <w:lang w:val="fr-FR"/>
        </w:rPr>
        <w:t>年代初，该制度的问题开始显现。政治制度发生了变化，随之而来的经济危机使养恤金体系中存在的问题更加严重</w:t>
      </w:r>
      <w:r>
        <w:rPr>
          <w:rFonts w:hint="eastAsia"/>
          <w:lang w:val="fr-FR"/>
        </w:rPr>
        <w:t>(</w:t>
      </w:r>
      <w:r>
        <w:rPr>
          <w:rFonts w:hint="eastAsia"/>
          <w:lang w:val="fr-FR"/>
        </w:rPr>
        <w:t>匈牙利在短期之内失去了五分之一的国民生产总值</w:t>
      </w:r>
      <w:r>
        <w:rPr>
          <w:rFonts w:hint="eastAsia"/>
          <w:lang w:val="fr-FR"/>
        </w:rPr>
        <w:t>)</w:t>
      </w:r>
      <w:r>
        <w:rPr>
          <w:rFonts w:hint="eastAsia"/>
          <w:lang w:val="fr-FR"/>
        </w:rPr>
        <w:t>。在危机期间，随后出现的失业使得几乎一代代人提前退休，同时保费的交纳人数急剧下降。</w:t>
      </w:r>
      <w:r>
        <w:rPr>
          <w:rFonts w:hint="eastAsia"/>
          <w:lang w:val="fr-FR"/>
        </w:rPr>
        <w:t>1990</w:t>
      </w:r>
      <w:r>
        <w:rPr>
          <w:rFonts w:hint="eastAsia"/>
          <w:lang w:val="fr-FR"/>
        </w:rPr>
        <w:t>年代上半期，由于缺乏适当的社会保障体系，养恤金体系被迫担负起社会任务。</w:t>
      </w:r>
      <w:r>
        <w:rPr>
          <w:rFonts w:hint="eastAsia"/>
          <w:lang w:val="fr-FR"/>
        </w:rPr>
        <w:t>1990</w:t>
      </w:r>
      <w:r>
        <w:rPr>
          <w:rFonts w:hint="eastAsia"/>
          <w:lang w:val="fr-FR"/>
        </w:rPr>
        <w:t>年代初期发动的渐进改革起到了保证财务平衡的作用，另一方面则是为了降低社会再分配因素的比重。</w:t>
      </w:r>
      <w:r>
        <w:rPr>
          <w:rFonts w:hint="eastAsia"/>
          <w:lang w:val="fr-FR"/>
        </w:rPr>
        <w:t>1998</w:t>
      </w:r>
      <w:r>
        <w:rPr>
          <w:rFonts w:hint="eastAsia"/>
          <w:lang w:val="fr-FR"/>
        </w:rPr>
        <w:t>年，养恤金体系转变成称之为混合筹资体系，在现收现付制社会保障这个支柱之外，又出现了资金储备充足的第二支柱。</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第一支柱</w:t>
      </w:r>
    </w:p>
    <w:p w:rsidR="00000000" w:rsidRDefault="00000000">
      <w:pPr>
        <w:spacing w:after="240"/>
        <w:rPr>
          <w:rFonts w:hint="eastAsia"/>
          <w:lang w:val="fr-FR"/>
        </w:rPr>
      </w:pPr>
      <w:r>
        <w:rPr>
          <w:rFonts w:hint="eastAsia"/>
          <w:lang w:val="fr-FR"/>
        </w:rPr>
        <w:tab/>
        <w:t xml:space="preserve">228.  </w:t>
      </w:r>
      <w:r>
        <w:rPr>
          <w:rFonts w:hint="eastAsia"/>
          <w:lang w:val="fr-FR"/>
        </w:rPr>
        <w:t>养恤金体系的第一支柱，称之为社会保障养恤金体系，是规定现收现付的福利计划。养恤金支付款主要来自于雇主及投保人向养恤金保险基金缴纳的养恤金保险费和养恤金保费，但是养恤金保险基金如出现赤字，也能从国家预算中得到相当多的补贴。而三分之二以上残疾抚恤金的支付款来自于健康保险基金向养恤金保险基金的划拨。</w:t>
      </w:r>
      <w:r>
        <w:rPr>
          <w:rFonts w:hint="eastAsia"/>
          <w:lang w:val="fr-FR"/>
        </w:rPr>
        <w:t>(</w:t>
      </w:r>
      <w:r>
        <w:rPr>
          <w:rFonts w:hint="eastAsia"/>
          <w:lang w:val="fr-FR"/>
        </w:rPr>
        <w:t>决定此安排的基本考虑是，在退休年龄之前丧失工作能力是保健问题，其费用在到达退休年龄之前应当由健康保险基金承担。</w:t>
      </w:r>
      <w:r>
        <w:rPr>
          <w:rFonts w:hint="eastAsia"/>
          <w:lang w:val="fr-FR"/>
        </w:rPr>
        <w:t>)</w:t>
      </w:r>
      <w:r>
        <w:rPr>
          <w:rFonts w:hint="eastAsia"/>
          <w:lang w:val="fr-FR"/>
        </w:rPr>
        <w:t>养恤金保险基金管理者即全国养恤金保险理事会，在养恤金体系内除养恤金之外还支付所谓的常规社会福利，其资金由中央预算提供。</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第二支柱</w:t>
      </w:r>
    </w:p>
    <w:p w:rsidR="00000000" w:rsidRDefault="00000000">
      <w:pPr>
        <w:rPr>
          <w:rFonts w:hint="eastAsia"/>
          <w:lang w:val="fr-FR"/>
        </w:rPr>
      </w:pPr>
      <w:r>
        <w:rPr>
          <w:rFonts w:hint="eastAsia"/>
          <w:lang w:val="fr-FR"/>
        </w:rPr>
        <w:tab/>
        <w:t xml:space="preserve">229.  </w:t>
      </w:r>
      <w:r>
        <w:rPr>
          <w:rFonts w:hint="eastAsia"/>
          <w:lang w:val="fr-FR"/>
        </w:rPr>
        <w:t>在保健服务方面，社会保障所资助的服务还不能满足所有需求。其中主要的原因之一是缺乏足够的资源。建立以自愿支付为基础并提供保健服务的基金是解决此问题的一种方式。</w:t>
      </w:r>
      <w:r>
        <w:rPr>
          <w:rFonts w:hint="eastAsia"/>
          <w:lang w:val="fr-FR"/>
        </w:rPr>
        <w:t>1993</w:t>
      </w:r>
      <w:r>
        <w:rPr>
          <w:rFonts w:hint="eastAsia"/>
          <w:lang w:val="fr-FR"/>
        </w:rPr>
        <w:t>年推出的自愿互助保健基金已经成为匈牙利最重要的以医疗为目的的储蓄机构。</w:t>
      </w:r>
    </w:p>
    <w:p w:rsidR="00000000" w:rsidRDefault="00000000">
      <w:pPr>
        <w:rPr>
          <w:rFonts w:hint="eastAsia"/>
          <w:lang w:val="fr-FR"/>
        </w:rPr>
      </w:pPr>
      <w:r>
        <w:rPr>
          <w:rFonts w:hint="eastAsia"/>
          <w:lang w:val="fr-FR"/>
        </w:rPr>
        <w:tab/>
        <w:t>230.  1990</w:t>
      </w:r>
      <w:r>
        <w:rPr>
          <w:rFonts w:hint="eastAsia"/>
          <w:lang w:val="fr-FR"/>
        </w:rPr>
        <w:t>年代养恤金体系的改革导致匈牙利于</w:t>
      </w:r>
      <w:r>
        <w:rPr>
          <w:rFonts w:hint="eastAsia"/>
          <w:lang w:val="fr-FR"/>
        </w:rPr>
        <w:t>1998</w:t>
      </w:r>
      <w:r>
        <w:rPr>
          <w:rFonts w:hint="eastAsia"/>
          <w:lang w:val="fr-FR"/>
        </w:rPr>
        <w:t>年建立起一个双柱体系。这意味着，一方面强制性国家体系已经被部分私有化，另一方面自</w:t>
      </w:r>
      <w:r>
        <w:rPr>
          <w:rFonts w:hint="eastAsia"/>
          <w:lang w:val="fr-FR"/>
        </w:rPr>
        <w:t>1994</w:t>
      </w:r>
      <w:r>
        <w:rPr>
          <w:rFonts w:hint="eastAsia"/>
          <w:lang w:val="fr-FR"/>
        </w:rPr>
        <w:t>年以来已经推出了自愿养恤金基金体系。</w:t>
      </w:r>
      <w:r>
        <w:rPr>
          <w:rFonts w:hint="eastAsia"/>
          <w:lang w:val="fr-FR"/>
        </w:rPr>
        <w:t>30%</w:t>
      </w:r>
      <w:r>
        <w:rPr>
          <w:rFonts w:hint="eastAsia"/>
          <w:lang w:val="fr-FR"/>
        </w:rPr>
        <w:t>有收入的人员已参加了这个体系。</w:t>
      </w:r>
      <w:r>
        <w:rPr>
          <w:rFonts w:hint="eastAsia"/>
          <w:lang w:val="fr-FR"/>
        </w:rPr>
        <w:t>1998</w:t>
      </w:r>
      <w:r>
        <w:rPr>
          <w:rFonts w:hint="eastAsia"/>
          <w:lang w:val="fr-FR"/>
        </w:rPr>
        <w:t>年，在强制性养恤金保险体系的结构性改革过程中，借助国有体系的部分私有化，在强制性养恤金体系内建立了两个支柱。对刚开始工作的人员而言，必须参加作为养恤金体系内第二支柱的私营养恤金基金。对已经参加工作的人员而言，第二支柱是任选的。对那些参加私营养恤金基金的人员而言，社会保障养恤金支柱占强制性体系的四分之三。这些人员每年都有可能更换其所属的私人基金，但是目前还不可能在两种体系间转换。</w:t>
      </w:r>
    </w:p>
    <w:p w:rsidR="00000000" w:rsidRDefault="00000000">
      <w:pPr>
        <w:spacing w:after="240"/>
        <w:rPr>
          <w:rFonts w:hint="eastAsia"/>
          <w:lang w:val="fr-FR"/>
        </w:rPr>
      </w:pPr>
      <w:r>
        <w:rPr>
          <w:rFonts w:hint="eastAsia"/>
          <w:lang w:val="fr-FR"/>
        </w:rPr>
        <w:tab/>
        <w:t xml:space="preserve">231.  </w:t>
      </w:r>
      <w:r>
        <w:rPr>
          <w:rFonts w:hint="eastAsia"/>
          <w:lang w:val="fr-FR"/>
        </w:rPr>
        <w:t>退休福利每年按加权平均消费者价格增长率和工资平均净增率增长。</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有关社会保障退休福利和养恤金类社会服务的数据</w:t>
      </w:r>
    </w:p>
    <w:p w:rsidR="00000000" w:rsidRDefault="00000000">
      <w:pPr>
        <w:rPr>
          <w:rFonts w:hint="eastAsia"/>
          <w:lang w:val="fr-FR"/>
        </w:rPr>
      </w:pPr>
      <w:r>
        <w:rPr>
          <w:rFonts w:hint="eastAsia"/>
          <w:lang w:val="fr-FR"/>
        </w:rPr>
        <w:tab/>
        <w:t>232.  1992</w:t>
      </w:r>
      <w:r>
        <w:rPr>
          <w:rFonts w:hint="eastAsia"/>
          <w:lang w:val="fr-FR"/>
        </w:rPr>
        <w:t>年至</w:t>
      </w:r>
      <w:r>
        <w:rPr>
          <w:rFonts w:hint="eastAsia"/>
          <w:lang w:val="fr-FR"/>
        </w:rPr>
        <w:t>2002</w:t>
      </w:r>
      <w:r>
        <w:rPr>
          <w:rFonts w:hint="eastAsia"/>
          <w:lang w:val="fr-FR"/>
        </w:rPr>
        <w:t>年，享受社会保障退休福利和养恤金类社会服务的人数增加了</w:t>
      </w:r>
      <w:r>
        <w:rPr>
          <w:rFonts w:hint="eastAsia"/>
          <w:lang w:val="fr-FR"/>
        </w:rPr>
        <w:t>300,000</w:t>
      </w:r>
      <w:r>
        <w:rPr>
          <w:rFonts w:hint="eastAsia"/>
          <w:lang w:val="fr-FR"/>
        </w:rPr>
        <w:t>人，从</w:t>
      </w:r>
      <w:r>
        <w:rPr>
          <w:rFonts w:hint="eastAsia"/>
          <w:lang w:val="fr-FR"/>
        </w:rPr>
        <w:t>2,750,000</w:t>
      </w:r>
      <w:r>
        <w:rPr>
          <w:rFonts w:hint="eastAsia"/>
          <w:lang w:val="fr-FR"/>
        </w:rPr>
        <w:t>人增加到</w:t>
      </w:r>
      <w:r>
        <w:rPr>
          <w:rFonts w:hint="eastAsia"/>
          <w:lang w:val="fr-FR"/>
        </w:rPr>
        <w:t>3,070,000</w:t>
      </w:r>
      <w:r>
        <w:rPr>
          <w:rFonts w:hint="eastAsia"/>
          <w:lang w:val="fr-FR"/>
        </w:rPr>
        <w:t>人，增长</w:t>
      </w:r>
      <w:r>
        <w:rPr>
          <w:rFonts w:hint="eastAsia"/>
          <w:lang w:val="fr-FR"/>
        </w:rPr>
        <w:t>11.6%</w:t>
      </w:r>
      <w:r>
        <w:rPr>
          <w:rFonts w:hint="eastAsia"/>
          <w:lang w:val="fr-FR"/>
        </w:rPr>
        <w:t>，其中一半归因于残疾抚恤金投保人的增长。其他领取福利或使用服务的人数也增长了</w:t>
      </w:r>
      <w:r>
        <w:rPr>
          <w:rFonts w:hint="eastAsia"/>
          <w:lang w:val="fr-FR"/>
        </w:rPr>
        <w:t>100,000</w:t>
      </w:r>
      <w:r>
        <w:rPr>
          <w:rFonts w:hint="eastAsia"/>
          <w:lang w:val="fr-FR"/>
        </w:rPr>
        <w:t>人，尤其是工作能力发生变化的人员在增长。总人口中使用服务或领取福利的人数比例从</w:t>
      </w:r>
      <w:r>
        <w:rPr>
          <w:rFonts w:hint="eastAsia"/>
          <w:lang w:val="fr-FR"/>
        </w:rPr>
        <w:t>27.1%</w:t>
      </w:r>
      <w:r>
        <w:rPr>
          <w:rFonts w:hint="eastAsia"/>
          <w:lang w:val="fr-FR"/>
        </w:rPr>
        <w:t>增加到</w:t>
      </w:r>
      <w:r>
        <w:rPr>
          <w:rFonts w:hint="eastAsia"/>
          <w:lang w:val="fr-FR"/>
        </w:rPr>
        <w:t>30.2%</w:t>
      </w:r>
      <w:r>
        <w:rPr>
          <w:rFonts w:hint="eastAsia"/>
          <w:lang w:val="fr-FR"/>
        </w:rPr>
        <w:t>。</w:t>
      </w:r>
    </w:p>
    <w:p w:rsidR="00000000" w:rsidRDefault="00000000">
      <w:pPr>
        <w:rPr>
          <w:rFonts w:hint="eastAsia"/>
          <w:lang w:val="fr-FR"/>
        </w:rPr>
      </w:pPr>
      <w:r>
        <w:rPr>
          <w:rFonts w:hint="eastAsia"/>
          <w:lang w:val="fr-FR"/>
        </w:rPr>
        <w:tab/>
        <w:t xml:space="preserve">233.  </w:t>
      </w:r>
      <w:r>
        <w:rPr>
          <w:rFonts w:hint="eastAsia"/>
          <w:lang w:val="fr-FR"/>
        </w:rPr>
        <w:t>领取社会保障退休福利或使用养恤金类社会服务人员的收入从全职雇员平均净收入的</w:t>
      </w:r>
      <w:r>
        <w:rPr>
          <w:rFonts w:hint="eastAsia"/>
          <w:lang w:val="fr-FR"/>
        </w:rPr>
        <w:t>62.4%(1992</w:t>
      </w:r>
      <w:r>
        <w:rPr>
          <w:rFonts w:hint="eastAsia"/>
          <w:lang w:val="fr-FR"/>
        </w:rPr>
        <w:t>年</w:t>
      </w:r>
      <w:r>
        <w:rPr>
          <w:rFonts w:hint="eastAsia"/>
          <w:lang w:val="fr-FR"/>
        </w:rPr>
        <w:t>)</w:t>
      </w:r>
      <w:r>
        <w:rPr>
          <w:rFonts w:hint="eastAsia"/>
          <w:lang w:val="fr-FR"/>
        </w:rPr>
        <w:t>下降到</w:t>
      </w:r>
      <w:r>
        <w:rPr>
          <w:rFonts w:hint="eastAsia"/>
          <w:lang w:val="fr-FR"/>
        </w:rPr>
        <w:t>2002</w:t>
      </w:r>
      <w:r>
        <w:rPr>
          <w:rFonts w:hint="eastAsia"/>
          <w:lang w:val="fr-FR"/>
        </w:rPr>
        <w:t>年的</w:t>
      </w:r>
      <w:r>
        <w:rPr>
          <w:rFonts w:hint="eastAsia"/>
          <w:lang w:val="fr-FR"/>
        </w:rPr>
        <w:t>57.3%</w:t>
      </w:r>
      <w:r>
        <w:rPr>
          <w:rFonts w:hint="eastAsia"/>
          <w:lang w:val="fr-FR"/>
        </w:rPr>
        <w:t>。这种趋势的部分原因在于退休福利的增长小于在职雇员的净工资增长。另一个原因在于，享受这些服务的人员构成也已发生变化，由于工作能力变化领取较低收入的残疾抚恤金和福利的人员比例变得更高了。</w:t>
      </w:r>
    </w:p>
    <w:p w:rsidR="00000000" w:rsidRDefault="00000000">
      <w:pPr>
        <w:rPr>
          <w:rFonts w:hint="eastAsia"/>
          <w:lang w:val="fr-FR"/>
        </w:rPr>
      </w:pPr>
      <w:r>
        <w:rPr>
          <w:rFonts w:hint="eastAsia"/>
          <w:lang w:val="fr-FR"/>
        </w:rPr>
        <w:tab/>
        <w:t xml:space="preserve">234.  </w:t>
      </w:r>
      <w:r>
        <w:rPr>
          <w:rFonts w:hint="eastAsia"/>
          <w:lang w:val="fr-FR"/>
        </w:rPr>
        <w:t>社会保障退休福利的支付资金来自于在职职工的缴款。雇主支付的缴款是总收入的</w:t>
      </w:r>
      <w:r>
        <w:rPr>
          <w:rFonts w:hint="eastAsia"/>
          <w:lang w:val="fr-FR"/>
        </w:rPr>
        <w:t>18%</w:t>
      </w:r>
      <w:r>
        <w:rPr>
          <w:rFonts w:hint="eastAsia"/>
          <w:lang w:val="fr-FR"/>
        </w:rPr>
        <w:t>，而投保人支付的缴款则是总收入的</w:t>
      </w:r>
      <w:r>
        <w:rPr>
          <w:rFonts w:hint="eastAsia"/>
          <w:lang w:val="fr-FR"/>
        </w:rPr>
        <w:t>8.5%</w:t>
      </w:r>
      <w:r>
        <w:rPr>
          <w:rFonts w:hint="eastAsia"/>
          <w:lang w:val="fr-FR"/>
        </w:rPr>
        <w:t>。</w:t>
      </w:r>
    </w:p>
    <w:p w:rsidR="00000000" w:rsidRDefault="00000000">
      <w:pPr>
        <w:rPr>
          <w:rFonts w:hint="eastAsia"/>
          <w:lang w:val="fr-FR"/>
        </w:rPr>
      </w:pPr>
      <w:r>
        <w:rPr>
          <w:rFonts w:hint="eastAsia"/>
          <w:lang w:val="fr-FR"/>
        </w:rPr>
        <w:tab/>
        <w:t>235.  1992</w:t>
      </w:r>
      <w:r>
        <w:rPr>
          <w:rFonts w:hint="eastAsia"/>
          <w:lang w:val="fr-FR"/>
        </w:rPr>
        <w:t>年，养恤金和养恤金类社会服务负担的费用为</w:t>
      </w:r>
      <w:r>
        <w:rPr>
          <w:rFonts w:hint="eastAsia"/>
          <w:lang w:val="fr-FR"/>
        </w:rPr>
        <w:t>3,217</w:t>
      </w:r>
      <w:r>
        <w:rPr>
          <w:rFonts w:hint="eastAsia"/>
          <w:lang w:val="fr-FR"/>
        </w:rPr>
        <w:t>亿福林，而这些费用到</w:t>
      </w:r>
      <w:r>
        <w:rPr>
          <w:rFonts w:hint="eastAsia"/>
          <w:lang w:val="fr-FR"/>
        </w:rPr>
        <w:t>2002</w:t>
      </w:r>
      <w:r>
        <w:rPr>
          <w:rFonts w:hint="eastAsia"/>
          <w:lang w:val="fr-FR"/>
        </w:rPr>
        <w:t>年增长到了</w:t>
      </w:r>
      <w:r>
        <w:rPr>
          <w:rFonts w:hint="eastAsia"/>
          <w:lang w:val="fr-FR"/>
        </w:rPr>
        <w:t>16,963</w:t>
      </w:r>
      <w:r>
        <w:rPr>
          <w:rFonts w:hint="eastAsia"/>
          <w:lang w:val="fr-FR"/>
        </w:rPr>
        <w:t>亿福林。这些费用增长了四倍多，但是在国内生产总值中的比例从</w:t>
      </w:r>
      <w:r>
        <w:rPr>
          <w:rFonts w:hint="eastAsia"/>
          <w:lang w:val="fr-FR"/>
        </w:rPr>
        <w:t>11%</w:t>
      </w:r>
      <w:r>
        <w:rPr>
          <w:rFonts w:hint="eastAsia"/>
          <w:lang w:val="fr-FR"/>
        </w:rPr>
        <w:t>下降到了</w:t>
      </w:r>
      <w:r>
        <w:rPr>
          <w:rFonts w:hint="eastAsia"/>
          <w:lang w:val="fr-FR"/>
        </w:rPr>
        <w:t>10%</w:t>
      </w:r>
      <w:r>
        <w:rPr>
          <w:rFonts w:hint="eastAsia"/>
          <w:lang w:val="fr-FR"/>
        </w:rPr>
        <w:t>。下降的原因在于，除投保人数增长了约</w:t>
      </w:r>
      <w:r>
        <w:rPr>
          <w:rFonts w:hint="eastAsia"/>
          <w:lang w:val="fr-FR"/>
        </w:rPr>
        <w:t>12%</w:t>
      </w:r>
      <w:r>
        <w:rPr>
          <w:rFonts w:hint="eastAsia"/>
          <w:lang w:val="fr-FR"/>
        </w:rPr>
        <w:t>之外，</w:t>
      </w:r>
      <w:r>
        <w:rPr>
          <w:rFonts w:hint="eastAsia"/>
          <w:lang w:val="fr-FR"/>
        </w:rPr>
        <w:t>(</w:t>
      </w:r>
      <w:r>
        <w:rPr>
          <w:rFonts w:hint="eastAsia"/>
          <w:lang w:val="fr-FR"/>
        </w:rPr>
        <w:t>与经济增长和在职人口的工资相比</w:t>
      </w:r>
      <w:r>
        <w:rPr>
          <w:rFonts w:hint="eastAsia"/>
          <w:lang w:val="fr-FR"/>
        </w:rPr>
        <w:t>)</w:t>
      </w:r>
      <w:r>
        <w:rPr>
          <w:rFonts w:hint="eastAsia"/>
          <w:lang w:val="fr-FR"/>
        </w:rPr>
        <w:t>服务费用水平相对下降。在检查期内</w:t>
      </w:r>
      <w:r>
        <w:rPr>
          <w:rFonts w:hint="eastAsia"/>
          <w:lang w:val="fr-FR"/>
        </w:rPr>
        <w:t>(1992</w:t>
      </w:r>
      <w:r>
        <w:rPr>
          <w:rFonts w:hint="eastAsia"/>
          <w:lang w:val="fr-FR"/>
        </w:rPr>
        <w:t>年至</w:t>
      </w:r>
      <w:r>
        <w:rPr>
          <w:rFonts w:hint="eastAsia"/>
          <w:lang w:val="fr-FR"/>
        </w:rPr>
        <w:t>2002</w:t>
      </w:r>
      <w:r>
        <w:rPr>
          <w:rFonts w:hint="eastAsia"/>
          <w:lang w:val="fr-FR"/>
        </w:rPr>
        <w:t>年</w:t>
      </w:r>
      <w:r>
        <w:rPr>
          <w:rFonts w:hint="eastAsia"/>
          <w:lang w:val="fr-FR"/>
        </w:rPr>
        <w:t>)</w:t>
      </w:r>
      <w:r>
        <w:rPr>
          <w:rFonts w:hint="eastAsia"/>
          <w:lang w:val="fr-FR"/>
        </w:rPr>
        <w:t>，退休福利的购买力增长了</w:t>
      </w:r>
      <w:r>
        <w:rPr>
          <w:rFonts w:hint="eastAsia"/>
          <w:lang w:val="fr-FR"/>
        </w:rPr>
        <w:t>8.9%</w:t>
      </w:r>
      <w:r>
        <w:rPr>
          <w:rFonts w:hint="eastAsia"/>
          <w:lang w:val="fr-FR"/>
        </w:rPr>
        <w:t>。在检查期内，社会保障退休福利和养恤金类社会服务负担的费用在中央预算费用中的比例从</w:t>
      </w:r>
      <w:r>
        <w:rPr>
          <w:rFonts w:hint="eastAsia"/>
          <w:lang w:val="fr-FR"/>
        </w:rPr>
        <w:t>18.6%</w:t>
      </w:r>
      <w:r>
        <w:rPr>
          <w:rFonts w:hint="eastAsia"/>
          <w:lang w:val="fr-FR"/>
        </w:rPr>
        <w:t>增加到了</w:t>
      </w:r>
      <w:r>
        <w:rPr>
          <w:rFonts w:hint="eastAsia"/>
          <w:lang w:val="fr-FR"/>
        </w:rPr>
        <w:t>29.1%</w:t>
      </w:r>
      <w:r>
        <w:rPr>
          <w:rFonts w:hint="eastAsia"/>
          <w:lang w:val="fr-FR"/>
        </w:rPr>
        <w:t>。主要原因在于中央预算的再分配作用已大大削弱。</w:t>
      </w:r>
    </w:p>
    <w:p w:rsidR="00000000" w:rsidRDefault="00000000">
      <w:pPr>
        <w:spacing w:after="320"/>
        <w:rPr>
          <w:rFonts w:hint="eastAsia"/>
          <w:lang w:val="fr-FR"/>
        </w:rPr>
      </w:pPr>
      <w:r>
        <w:rPr>
          <w:rFonts w:hint="eastAsia"/>
          <w:lang w:val="fr-FR"/>
        </w:rPr>
        <w:tab/>
        <w:t xml:space="preserve">236.  </w:t>
      </w:r>
      <w:r>
        <w:rPr>
          <w:rFonts w:hint="eastAsia"/>
          <w:lang w:val="fr-FR"/>
        </w:rPr>
        <w:t>根据</w:t>
      </w:r>
      <w:r>
        <w:rPr>
          <w:rFonts w:hint="eastAsia"/>
          <w:lang w:val="fr-FR"/>
        </w:rPr>
        <w:t>2001</w:t>
      </w:r>
      <w:r>
        <w:rPr>
          <w:rFonts w:hint="eastAsia"/>
          <w:lang w:val="fr-FR"/>
        </w:rPr>
        <w:t>年国家预算基础费用合并表，国内生产总值的</w:t>
      </w:r>
      <w:r>
        <w:rPr>
          <w:rFonts w:hint="eastAsia"/>
          <w:lang w:val="fr-FR"/>
        </w:rPr>
        <w:t>4.2%</w:t>
      </w:r>
      <w:r>
        <w:rPr>
          <w:rFonts w:hint="eastAsia"/>
          <w:lang w:val="fr-FR"/>
        </w:rPr>
        <w:t>划拨给保健服务</w:t>
      </w:r>
      <w:r>
        <w:rPr>
          <w:rFonts w:hint="eastAsia"/>
          <w:lang w:val="fr-FR"/>
        </w:rPr>
        <w:t>(</w:t>
      </w:r>
      <w:r>
        <w:rPr>
          <w:rFonts w:hint="eastAsia"/>
          <w:lang w:val="fr-FR"/>
        </w:rPr>
        <w:t>医院活动和服务、家庭医生和儿科医生的服务、牙科和其他保健服务</w:t>
      </w:r>
      <w:r>
        <w:rPr>
          <w:rFonts w:hint="eastAsia"/>
          <w:lang w:val="fr-FR"/>
        </w:rPr>
        <w:t>)</w:t>
      </w:r>
      <w:r>
        <w:rPr>
          <w:rFonts w:hint="eastAsia"/>
          <w:lang w:val="fr-FR"/>
        </w:rPr>
        <w:t>，国内生产总值的</w:t>
      </w:r>
      <w:r>
        <w:rPr>
          <w:rFonts w:hint="eastAsia"/>
          <w:lang w:val="fr-FR"/>
        </w:rPr>
        <w:t>10.4%</w:t>
      </w:r>
      <w:r>
        <w:rPr>
          <w:rFonts w:hint="eastAsia"/>
          <w:lang w:val="fr-FR"/>
        </w:rPr>
        <w:t>划拨给社会保障费用</w:t>
      </w:r>
      <w:r>
        <w:rPr>
          <w:rFonts w:hint="eastAsia"/>
          <w:lang w:val="fr-FR"/>
        </w:rPr>
        <w:t>(</w:t>
      </w:r>
      <w:r>
        <w:rPr>
          <w:rFonts w:hint="eastAsia"/>
          <w:lang w:val="fr-FR"/>
        </w:rPr>
        <w:t>病假工资、妇产科服务、与事故有关的临时福利、退休福利和其他社会保障服务</w:t>
      </w:r>
      <w:r>
        <w:rPr>
          <w:rFonts w:hint="eastAsia"/>
          <w:lang w:val="fr-FR"/>
        </w:rPr>
        <w:t>)</w:t>
      </w:r>
      <w:r>
        <w:rPr>
          <w:rFonts w:hint="eastAsia"/>
          <w:lang w:val="fr-FR"/>
        </w:rPr>
        <w:t>。从社会保障分支体系的费用看，划拨给保健服务的资金占国内生产总值的</w:t>
      </w:r>
      <w:r>
        <w:rPr>
          <w:rFonts w:hint="eastAsia"/>
          <w:lang w:val="fr-FR"/>
        </w:rPr>
        <w:t>1.8%</w:t>
      </w:r>
      <w:r>
        <w:rPr>
          <w:rFonts w:hint="eastAsia"/>
          <w:lang w:val="fr-FR"/>
        </w:rPr>
        <w:t>，划拨给社会保障服务的占</w:t>
      </w:r>
      <w:r>
        <w:rPr>
          <w:rFonts w:hint="eastAsia"/>
          <w:lang w:val="fr-FR"/>
        </w:rPr>
        <w:t>9.6%</w:t>
      </w:r>
      <w:r>
        <w:rPr>
          <w:rFonts w:hint="eastAsia"/>
          <w:lang w:val="fr-FR"/>
        </w:rPr>
        <w:t>。地方政府划拨给保健服务的费用占国内生产总值的</w:t>
      </w:r>
      <w:r>
        <w:rPr>
          <w:rFonts w:hint="eastAsia"/>
          <w:lang w:val="fr-FR"/>
        </w:rPr>
        <w:t>1.7%</w:t>
      </w:r>
      <w:r>
        <w:rPr>
          <w:rFonts w:hint="eastAsia"/>
          <w:lang w:val="fr-FR"/>
        </w:rPr>
        <w:t>，这里指的是地方政府向其所属保健服务机构的投资。</w:t>
      </w:r>
    </w:p>
    <w:p w:rsidR="00000000" w:rsidRDefault="00000000">
      <w:pPr>
        <w:pStyle w:val="Heading3"/>
        <w:rPr>
          <w:rFonts w:hint="eastAsia"/>
          <w:lang w:val="fr-FR"/>
        </w:rPr>
      </w:pPr>
      <w:r>
        <w:rPr>
          <w:rFonts w:hint="eastAsia"/>
          <w:lang w:val="fr-FR"/>
        </w:rPr>
        <w:t>失业福利</w:t>
      </w:r>
    </w:p>
    <w:p w:rsidR="00000000" w:rsidRDefault="00000000">
      <w:pPr>
        <w:rPr>
          <w:rFonts w:hint="eastAsia"/>
          <w:lang w:val="fr-FR"/>
        </w:rPr>
      </w:pPr>
      <w:r>
        <w:rPr>
          <w:rFonts w:hint="eastAsia"/>
          <w:lang w:val="fr-FR"/>
        </w:rPr>
        <w:tab/>
        <w:t xml:space="preserve">237.  </w:t>
      </w:r>
      <w:r>
        <w:rPr>
          <w:rFonts w:hint="eastAsia"/>
          <w:lang w:val="fr-FR"/>
        </w:rPr>
        <w:t>《就业法令》第五章载有下列为失业者提供的服务：</w:t>
      </w:r>
    </w:p>
    <w:p w:rsidR="00000000" w:rsidRDefault="00000000">
      <w:pPr>
        <w:pStyle w:val="a0"/>
        <w:ind w:left="1550"/>
        <w:rPr>
          <w:rFonts w:hint="eastAsia"/>
          <w:lang w:val="fr-FR"/>
        </w:rPr>
      </w:pPr>
      <w:r>
        <w:rPr>
          <w:rFonts w:hint="eastAsia"/>
          <w:lang w:val="fr-FR"/>
        </w:rPr>
        <w:t>失业福利</w:t>
      </w:r>
    </w:p>
    <w:p w:rsidR="00000000" w:rsidRDefault="00000000">
      <w:pPr>
        <w:pStyle w:val="a0"/>
        <w:ind w:left="1550"/>
        <w:rPr>
          <w:rFonts w:hint="eastAsia"/>
          <w:lang w:val="fr-FR"/>
        </w:rPr>
      </w:pPr>
      <w:r>
        <w:rPr>
          <w:rFonts w:hint="eastAsia"/>
          <w:lang w:val="fr-FR"/>
        </w:rPr>
        <w:t>退休前失业福利</w:t>
      </w:r>
    </w:p>
    <w:p w:rsidR="00000000" w:rsidRDefault="00000000">
      <w:pPr>
        <w:pStyle w:val="a0"/>
        <w:ind w:left="1550"/>
        <w:rPr>
          <w:rFonts w:hint="eastAsia"/>
          <w:lang w:val="fr-FR"/>
        </w:rPr>
      </w:pPr>
      <w:r>
        <w:rPr>
          <w:rFonts w:hint="eastAsia"/>
          <w:lang w:val="fr-FR"/>
        </w:rPr>
        <w:t>交通费报销</w:t>
      </w:r>
    </w:p>
    <w:p w:rsidR="00000000" w:rsidRDefault="00000000">
      <w:pPr>
        <w:pStyle w:val="a0"/>
        <w:ind w:left="1550"/>
        <w:rPr>
          <w:rFonts w:hint="eastAsia"/>
          <w:lang w:val="fr-FR"/>
        </w:rPr>
      </w:pPr>
      <w:r>
        <w:rPr>
          <w:rFonts w:hint="eastAsia"/>
          <w:lang w:val="fr-FR"/>
        </w:rPr>
        <w:t>奖励求职津贴</w:t>
      </w:r>
    </w:p>
    <w:p w:rsidR="00000000" w:rsidRDefault="00000000">
      <w:pPr>
        <w:rPr>
          <w:rFonts w:hint="eastAsia"/>
          <w:lang w:val="fr-FR"/>
        </w:rPr>
      </w:pPr>
      <w:r>
        <w:rPr>
          <w:rFonts w:hint="eastAsia"/>
          <w:lang w:val="fr-FR"/>
        </w:rPr>
        <w:tab/>
        <w:t xml:space="preserve">238.  </w:t>
      </w:r>
      <w:r>
        <w:rPr>
          <w:rFonts w:hint="eastAsia"/>
          <w:lang w:val="fr-FR"/>
        </w:rPr>
        <w:t>这个福利体系由两部分组成。以保险为基础发放的</w:t>
      </w:r>
      <w:r>
        <w:rPr>
          <w:rFonts w:eastAsia="KaiTi_GB2312" w:hint="eastAsia"/>
          <w:snapToGrid/>
          <w:spacing w:val="0"/>
          <w:lang w:val="fr-FR"/>
        </w:rPr>
        <w:t>失业福利</w:t>
      </w:r>
      <w:r>
        <w:rPr>
          <w:rFonts w:hint="eastAsia"/>
          <w:lang w:val="fr-FR"/>
        </w:rPr>
        <w:t>，以及由纳税人支付的</w:t>
      </w:r>
      <w:r>
        <w:rPr>
          <w:rFonts w:eastAsia="KaiTi_GB2312" w:hint="eastAsia"/>
          <w:snapToGrid/>
          <w:spacing w:val="0"/>
          <w:lang w:val="fr-FR"/>
        </w:rPr>
        <w:t>支助类津贴</w:t>
      </w:r>
      <w:r>
        <w:rPr>
          <w:rFonts w:hint="eastAsia"/>
          <w:lang w:val="fr-FR"/>
        </w:rPr>
        <w:t>。</w:t>
      </w:r>
    </w:p>
    <w:p w:rsidR="00000000" w:rsidRDefault="00000000">
      <w:pPr>
        <w:rPr>
          <w:rFonts w:hint="eastAsia"/>
          <w:lang w:val="fr-FR"/>
        </w:rPr>
      </w:pPr>
      <w:r>
        <w:rPr>
          <w:rFonts w:hint="eastAsia"/>
          <w:lang w:val="fr-FR"/>
        </w:rPr>
        <w:tab/>
        <w:t xml:space="preserve">239.  </w:t>
      </w:r>
      <w:r>
        <w:rPr>
          <w:rFonts w:hint="eastAsia"/>
          <w:lang w:val="fr-FR"/>
        </w:rPr>
        <w:t>失业人员有权享受《就业法令》规定的失业福利，可以领取一笔作为一种福利措施的失业津贴、奖励福利、提前退休失业补助和</w:t>
      </w:r>
      <w:r>
        <w:rPr>
          <w:rFonts w:hint="eastAsia"/>
          <w:lang w:val="fr-FR"/>
        </w:rPr>
        <w:t>/</w:t>
      </w:r>
      <w:r>
        <w:rPr>
          <w:rFonts w:hint="eastAsia"/>
          <w:lang w:val="fr-FR"/>
        </w:rPr>
        <w:t>或费用报销。以保险制度为基础的失业津贴领取完毕以后，还有税收资助的援助。</w:t>
      </w:r>
    </w:p>
    <w:p w:rsidR="00000000" w:rsidRDefault="00000000">
      <w:pPr>
        <w:rPr>
          <w:rFonts w:hint="eastAsia"/>
          <w:lang w:val="fr-FR"/>
        </w:rPr>
      </w:pPr>
      <w:r>
        <w:rPr>
          <w:rFonts w:hint="eastAsia"/>
          <w:lang w:val="fr-FR"/>
        </w:rPr>
        <w:tab/>
        <w:t xml:space="preserve">240.  </w:t>
      </w:r>
      <w:r>
        <w:rPr>
          <w:rFonts w:hint="eastAsia"/>
          <w:lang w:val="fr-FR"/>
        </w:rPr>
        <w:t>某人在失业之前四年内至少工作了两百天，无权享受残疾或事故福利，不领病假工资，而且希望工作但主管就业中心不能提供合适工作的，此人即有权享受失业福利</w:t>
      </w:r>
      <w:r>
        <w:rPr>
          <w:rFonts w:hint="eastAsia"/>
          <w:lang w:val="fr-FR"/>
        </w:rPr>
        <w:t>(</w:t>
      </w:r>
      <w:r>
        <w:rPr>
          <w:rFonts w:hint="eastAsia"/>
          <w:lang w:val="fr-FR"/>
        </w:rPr>
        <w:t>《就业法令》，第</w:t>
      </w:r>
      <w:r>
        <w:rPr>
          <w:rFonts w:hint="eastAsia"/>
          <w:lang w:val="fr-FR"/>
        </w:rPr>
        <w:t>25</w:t>
      </w:r>
      <w:r>
        <w:rPr>
          <w:rFonts w:hint="eastAsia"/>
          <w:lang w:val="fr-FR"/>
        </w:rPr>
        <w:t>段</w:t>
      </w:r>
      <w:r>
        <w:rPr>
          <w:rFonts w:hint="eastAsia"/>
          <w:lang w:val="fr-FR"/>
        </w:rPr>
        <w:t>)</w:t>
      </w:r>
      <w:r>
        <w:rPr>
          <w:rFonts w:hint="eastAsia"/>
          <w:lang w:val="fr-FR"/>
        </w:rPr>
        <w:t>。</w:t>
      </w:r>
    </w:p>
    <w:p w:rsidR="00000000" w:rsidRDefault="00000000">
      <w:pPr>
        <w:rPr>
          <w:rFonts w:hint="eastAsia"/>
          <w:lang w:val="fr-FR"/>
        </w:rPr>
      </w:pPr>
      <w:r>
        <w:rPr>
          <w:rFonts w:hint="eastAsia"/>
          <w:lang w:val="fr-FR"/>
        </w:rPr>
        <w:tab/>
        <w:t xml:space="preserve">241.  </w:t>
      </w:r>
      <w:r>
        <w:rPr>
          <w:rFonts w:hint="eastAsia"/>
          <w:lang w:val="fr-FR"/>
        </w:rPr>
        <w:t>失业福利的期限按就业时间计算，每工作五天就可以享受一天的福利。因此工作</w:t>
      </w:r>
      <w:r>
        <w:rPr>
          <w:rFonts w:hint="eastAsia"/>
          <w:lang w:val="fr-FR"/>
        </w:rPr>
        <w:t>200</w:t>
      </w:r>
      <w:r>
        <w:rPr>
          <w:rFonts w:hint="eastAsia"/>
          <w:lang w:val="fr-FR"/>
        </w:rPr>
        <w:t>天可以享受</w:t>
      </w:r>
      <w:r>
        <w:rPr>
          <w:rFonts w:hint="eastAsia"/>
          <w:lang w:val="fr-FR"/>
        </w:rPr>
        <w:t>40</w:t>
      </w:r>
      <w:r>
        <w:rPr>
          <w:rFonts w:hint="eastAsia"/>
          <w:lang w:val="fr-FR"/>
        </w:rPr>
        <w:t>天的失业福利。可以享受失业福利的最长期限是</w:t>
      </w:r>
      <w:r>
        <w:rPr>
          <w:rFonts w:hint="eastAsia"/>
          <w:lang w:val="fr-FR"/>
        </w:rPr>
        <w:t>270</w:t>
      </w:r>
      <w:r>
        <w:rPr>
          <w:rFonts w:hint="eastAsia"/>
          <w:lang w:val="fr-FR"/>
        </w:rPr>
        <w:t>天。</w:t>
      </w:r>
      <w:r>
        <w:rPr>
          <w:rFonts w:hint="eastAsia"/>
          <w:lang w:val="fr-FR"/>
        </w:rPr>
        <w:t>(</w:t>
      </w:r>
      <w:r>
        <w:rPr>
          <w:rFonts w:hint="eastAsia"/>
          <w:lang w:val="fr-FR"/>
        </w:rPr>
        <w:t>《就业法令》，第</w:t>
      </w:r>
      <w:r>
        <w:rPr>
          <w:rFonts w:hint="eastAsia"/>
          <w:lang w:val="fr-FR"/>
        </w:rPr>
        <w:t>27</w:t>
      </w:r>
      <w:r>
        <w:rPr>
          <w:rFonts w:hint="eastAsia"/>
          <w:lang w:val="fr-FR"/>
        </w:rPr>
        <w:t>段第</w:t>
      </w:r>
      <w:r>
        <w:rPr>
          <w:rFonts w:hint="eastAsia"/>
          <w:lang w:val="fr-FR"/>
        </w:rPr>
        <w:t>(3)</w:t>
      </w:r>
      <w:r>
        <w:rPr>
          <w:rFonts w:hint="eastAsia"/>
          <w:lang w:val="fr-FR"/>
        </w:rPr>
        <w:t>分段</w:t>
      </w:r>
      <w:r>
        <w:rPr>
          <w:rFonts w:hint="eastAsia"/>
          <w:lang w:val="fr-FR"/>
        </w:rPr>
        <w:t>)</w:t>
      </w:r>
    </w:p>
    <w:p w:rsidR="00000000" w:rsidRDefault="00000000">
      <w:pPr>
        <w:rPr>
          <w:rFonts w:hint="eastAsia"/>
          <w:lang w:val="fr-FR"/>
        </w:rPr>
      </w:pPr>
      <w:r>
        <w:rPr>
          <w:rFonts w:hint="eastAsia"/>
          <w:lang w:val="fr-FR"/>
        </w:rPr>
        <w:tab/>
        <w:t xml:space="preserve">242.  </w:t>
      </w:r>
      <w:r>
        <w:rPr>
          <w:rFonts w:hint="eastAsia"/>
          <w:lang w:val="fr-FR"/>
        </w:rPr>
        <w:t>失业福利的金额是失业人员平均收入的</w:t>
      </w:r>
      <w:r>
        <w:rPr>
          <w:rFonts w:hint="eastAsia"/>
          <w:lang w:val="fr-FR"/>
        </w:rPr>
        <w:t>65%</w:t>
      </w:r>
      <w:r>
        <w:rPr>
          <w:rFonts w:hint="eastAsia"/>
          <w:lang w:val="fr-FR"/>
        </w:rPr>
        <w:t>。失业福利的最低金额等于享受失业福利首日按理可得的最低养老金的</w:t>
      </w:r>
      <w:r>
        <w:rPr>
          <w:rFonts w:hint="eastAsia"/>
          <w:lang w:val="fr-FR"/>
        </w:rPr>
        <w:t>90%</w:t>
      </w:r>
      <w:r>
        <w:rPr>
          <w:rFonts w:hint="eastAsia"/>
          <w:lang w:val="fr-FR"/>
        </w:rPr>
        <w:t>。失业福利的上限是此种计算方法确定金额的两倍。</w:t>
      </w:r>
      <w:r>
        <w:rPr>
          <w:rFonts w:hint="eastAsia"/>
          <w:lang w:val="fr-FR"/>
        </w:rPr>
        <w:t>2003</w:t>
      </w:r>
      <w:r>
        <w:rPr>
          <w:rFonts w:hint="eastAsia"/>
          <w:lang w:val="fr-FR"/>
        </w:rPr>
        <w:t>年最低金额是</w:t>
      </w:r>
      <w:r>
        <w:rPr>
          <w:rFonts w:hint="eastAsia"/>
          <w:lang w:val="fr-FR"/>
        </w:rPr>
        <w:t>19,620</w:t>
      </w:r>
      <w:r>
        <w:rPr>
          <w:rFonts w:hint="eastAsia"/>
          <w:lang w:val="fr-FR"/>
        </w:rPr>
        <w:t>福林</w:t>
      </w:r>
      <w:r>
        <w:rPr>
          <w:rFonts w:hint="eastAsia"/>
          <w:lang w:val="fr-FR"/>
        </w:rPr>
        <w:t>/</w:t>
      </w:r>
      <w:r>
        <w:rPr>
          <w:rFonts w:hint="eastAsia"/>
          <w:lang w:val="fr-FR"/>
        </w:rPr>
        <w:t>月。如果失业人员的平均收入低于以此种方法确定的最低金额，则领取金额为平均收入。</w:t>
      </w:r>
    </w:p>
    <w:p w:rsidR="00000000" w:rsidRDefault="00000000">
      <w:pPr>
        <w:rPr>
          <w:rFonts w:hint="eastAsia"/>
          <w:lang w:val="fr-FR"/>
        </w:rPr>
      </w:pPr>
      <w:r>
        <w:rPr>
          <w:rFonts w:hint="eastAsia"/>
          <w:lang w:val="fr-FR"/>
        </w:rPr>
        <w:tab/>
        <w:t xml:space="preserve">243.  </w:t>
      </w:r>
      <w:r>
        <w:rPr>
          <w:rFonts w:hint="eastAsia"/>
          <w:lang w:val="fr-FR"/>
        </w:rPr>
        <w:t>提前退休失业福利是为临近退休年龄的在职人员提供福利的依据，等于某段时间最低养老金的</w:t>
      </w:r>
      <w:r>
        <w:rPr>
          <w:rFonts w:hint="eastAsia"/>
          <w:lang w:val="fr-FR"/>
        </w:rPr>
        <w:t>80%</w:t>
      </w:r>
      <w:r>
        <w:rPr>
          <w:rFonts w:hint="eastAsia"/>
          <w:lang w:val="fr-FR"/>
        </w:rPr>
        <w:t>。</w:t>
      </w:r>
    </w:p>
    <w:p w:rsidR="00000000" w:rsidRDefault="00000000">
      <w:pPr>
        <w:rPr>
          <w:rFonts w:hint="eastAsia"/>
          <w:lang w:val="fr-FR"/>
        </w:rPr>
      </w:pPr>
      <w:r>
        <w:rPr>
          <w:rFonts w:hint="eastAsia"/>
          <w:lang w:val="fr-FR"/>
        </w:rPr>
        <w:tab/>
        <w:t xml:space="preserve">244.  </w:t>
      </w:r>
      <w:r>
        <w:rPr>
          <w:rFonts w:hint="eastAsia"/>
          <w:lang w:val="fr-FR"/>
        </w:rPr>
        <w:t>领取提前退休失业福利的资格标准是：至少已领取了</w:t>
      </w:r>
      <w:r>
        <w:rPr>
          <w:rFonts w:hint="eastAsia"/>
          <w:lang w:val="fr-FR"/>
        </w:rPr>
        <w:t>140</w:t>
      </w:r>
      <w:r>
        <w:rPr>
          <w:rFonts w:hint="eastAsia"/>
          <w:lang w:val="fr-FR"/>
        </w:rPr>
        <w:t>天的失业福利，离退休年龄不超过</w:t>
      </w:r>
      <w:r>
        <w:rPr>
          <w:rFonts w:hint="eastAsia"/>
          <w:lang w:val="fr-FR"/>
        </w:rPr>
        <w:t>5</w:t>
      </w:r>
      <w:r>
        <w:rPr>
          <w:rFonts w:hint="eastAsia"/>
          <w:lang w:val="fr-FR"/>
        </w:rPr>
        <w:t>年，工龄以达到有资格领取养老金的年限，在提前退休失业福利支付期期满前三年内已达到领取提前退休失业福利的年龄要求，而且找不到工作。</w:t>
      </w:r>
      <w:r>
        <w:rPr>
          <w:rFonts w:hint="eastAsia"/>
          <w:lang w:val="fr-FR"/>
        </w:rPr>
        <w:t>2000</w:t>
      </w:r>
      <w:r>
        <w:rPr>
          <w:rFonts w:hint="eastAsia"/>
          <w:lang w:val="fr-FR"/>
        </w:rPr>
        <w:t>年提前退休失业福利的金额为每月</w:t>
      </w:r>
      <w:r>
        <w:rPr>
          <w:rFonts w:hint="eastAsia"/>
          <w:lang w:val="fr-FR"/>
        </w:rPr>
        <w:t>13,280</w:t>
      </w:r>
      <w:r>
        <w:rPr>
          <w:rFonts w:hint="eastAsia"/>
          <w:lang w:val="fr-FR"/>
        </w:rPr>
        <w:t>匈牙利福林。</w:t>
      </w:r>
    </w:p>
    <w:p w:rsidR="00000000" w:rsidRDefault="00000000">
      <w:pPr>
        <w:rPr>
          <w:rFonts w:hint="eastAsia"/>
          <w:lang w:val="fr-FR"/>
        </w:rPr>
      </w:pPr>
      <w:r>
        <w:rPr>
          <w:rFonts w:hint="eastAsia"/>
          <w:lang w:val="fr-FR"/>
        </w:rPr>
        <w:tab/>
        <w:t xml:space="preserve">245.  </w:t>
      </w:r>
      <w:r>
        <w:rPr>
          <w:rFonts w:hint="eastAsia"/>
          <w:lang w:val="fr-FR"/>
        </w:rPr>
        <w:t>如果有人失业，领取失业福利</w:t>
      </w:r>
      <w:r>
        <w:rPr>
          <w:rFonts w:hint="eastAsia"/>
          <w:lang w:val="fr-FR"/>
        </w:rPr>
        <w:t>180</w:t>
      </w:r>
      <w:r>
        <w:rPr>
          <w:rFonts w:hint="eastAsia"/>
          <w:lang w:val="fr-FR"/>
        </w:rPr>
        <w:t>天以上，或这些福利由于参与有收益的活动、接受培训和失业福利资格到期而终止，以及在领取失业福利期间及之后配合就业中心、尽了努力仍然无法找到合适的工作，该人员应当领取奖励福利。</w:t>
      </w:r>
    </w:p>
    <w:p w:rsidR="00000000" w:rsidRDefault="00000000">
      <w:pPr>
        <w:rPr>
          <w:rFonts w:hint="eastAsia"/>
          <w:lang w:val="fr-FR"/>
        </w:rPr>
      </w:pPr>
      <w:r>
        <w:rPr>
          <w:rFonts w:hint="eastAsia"/>
          <w:lang w:val="fr-FR"/>
        </w:rPr>
        <w:tab/>
        <w:t xml:space="preserve">246.  </w:t>
      </w:r>
      <w:r>
        <w:rPr>
          <w:rFonts w:hint="eastAsia"/>
          <w:lang w:val="fr-FR"/>
        </w:rPr>
        <w:t>奖励福利期限为</w:t>
      </w:r>
      <w:r>
        <w:rPr>
          <w:rFonts w:hint="eastAsia"/>
          <w:lang w:val="fr-FR"/>
        </w:rPr>
        <w:t>180</w:t>
      </w:r>
      <w:r>
        <w:rPr>
          <w:rFonts w:hint="eastAsia"/>
          <w:lang w:val="fr-FR"/>
        </w:rPr>
        <w:t>天，在递交申请时年满</w:t>
      </w:r>
      <w:r>
        <w:rPr>
          <w:rFonts w:hint="eastAsia"/>
          <w:lang w:val="fr-FR"/>
        </w:rPr>
        <w:t>45</w:t>
      </w:r>
      <w:r>
        <w:rPr>
          <w:rFonts w:hint="eastAsia"/>
          <w:lang w:val="fr-FR"/>
        </w:rPr>
        <w:t>岁的人员则为</w:t>
      </w:r>
      <w:r>
        <w:rPr>
          <w:rFonts w:hint="eastAsia"/>
          <w:lang w:val="fr-FR"/>
        </w:rPr>
        <w:t>270</w:t>
      </w:r>
      <w:r>
        <w:rPr>
          <w:rFonts w:hint="eastAsia"/>
          <w:lang w:val="fr-FR"/>
        </w:rPr>
        <w:t>天。为寻找工作者提供的奖励福利金额为有资格享受奖励福利首日强制性最低养老金的</w:t>
      </w:r>
      <w:r>
        <w:rPr>
          <w:rFonts w:hint="eastAsia"/>
          <w:lang w:val="fr-FR"/>
        </w:rPr>
        <w:t>85%</w:t>
      </w:r>
      <w:r>
        <w:rPr>
          <w:rFonts w:hint="eastAsia"/>
          <w:lang w:val="fr-FR"/>
        </w:rPr>
        <w:t>。</w:t>
      </w:r>
    </w:p>
    <w:p w:rsidR="00000000" w:rsidRDefault="00000000">
      <w:pPr>
        <w:rPr>
          <w:rFonts w:hint="eastAsia"/>
          <w:lang w:val="fr-FR"/>
        </w:rPr>
      </w:pPr>
      <w:r>
        <w:rPr>
          <w:rFonts w:hint="eastAsia"/>
          <w:lang w:val="fr-FR"/>
        </w:rPr>
        <w:tab/>
        <w:t xml:space="preserve">247.  </w:t>
      </w:r>
      <w:r>
        <w:rPr>
          <w:rFonts w:hint="eastAsia"/>
          <w:lang w:val="fr-FR"/>
        </w:rPr>
        <w:t>失业人员</w:t>
      </w:r>
      <w:r>
        <w:rPr>
          <w:rFonts w:hint="eastAsia"/>
          <w:lang w:val="fr-FR"/>
        </w:rPr>
        <w:t>(</w:t>
      </w:r>
      <w:r>
        <w:rPr>
          <w:rFonts w:hint="eastAsia"/>
          <w:lang w:val="fr-FR"/>
        </w:rPr>
        <w:t>包括首次寻找工作人员</w:t>
      </w:r>
      <w:r>
        <w:rPr>
          <w:rFonts w:hint="eastAsia"/>
          <w:lang w:val="fr-FR"/>
        </w:rPr>
        <w:t>)</w:t>
      </w:r>
      <w:r>
        <w:rPr>
          <w:rFonts w:hint="eastAsia"/>
          <w:lang w:val="fr-FR"/>
        </w:rPr>
        <w:t>在申请失业福利时</w:t>
      </w:r>
      <w:r>
        <w:rPr>
          <w:rFonts w:hint="eastAsia"/>
          <w:lang w:val="fr-FR"/>
        </w:rPr>
        <w:t>(</w:t>
      </w:r>
      <w:r>
        <w:rPr>
          <w:rFonts w:hint="eastAsia"/>
          <w:lang w:val="fr-FR"/>
        </w:rPr>
        <w:t>例如往返住区之间</w:t>
      </w:r>
      <w:r>
        <w:rPr>
          <w:rFonts w:hint="eastAsia"/>
          <w:lang w:val="fr-FR"/>
        </w:rPr>
        <w:t>)</w:t>
      </w:r>
      <w:r>
        <w:rPr>
          <w:rFonts w:hint="eastAsia"/>
          <w:lang w:val="fr-FR"/>
        </w:rPr>
        <w:t>以及在寻找工作时</w:t>
      </w:r>
      <w:r>
        <w:rPr>
          <w:rFonts w:hint="eastAsia"/>
          <w:lang w:val="fr-FR"/>
        </w:rPr>
        <w:t>(</w:t>
      </w:r>
      <w:r>
        <w:rPr>
          <w:rFonts w:hint="eastAsia"/>
          <w:lang w:val="fr-FR"/>
        </w:rPr>
        <w:t>包括往返住所与就业中心之间和为获得就业中心所需职业健康证书</w:t>
      </w:r>
      <w:r>
        <w:rPr>
          <w:rFonts w:hint="eastAsia"/>
          <w:lang w:val="fr-FR"/>
        </w:rPr>
        <w:t>)</w:t>
      </w:r>
      <w:r>
        <w:rPr>
          <w:rFonts w:hint="eastAsia"/>
          <w:lang w:val="fr-FR"/>
        </w:rPr>
        <w:t>正当搭乘长途公共交通的费用，可以报销。</w:t>
      </w:r>
    </w:p>
    <w:p w:rsidR="00000000" w:rsidRDefault="00000000">
      <w:pPr>
        <w:rPr>
          <w:rFonts w:hint="eastAsia"/>
          <w:lang w:val="fr-FR"/>
        </w:rPr>
      </w:pPr>
      <w:r>
        <w:rPr>
          <w:rFonts w:hint="eastAsia"/>
          <w:lang w:val="fr-FR"/>
        </w:rPr>
        <w:tab/>
        <w:t xml:space="preserve">248.  </w:t>
      </w:r>
      <w:r>
        <w:rPr>
          <w:rFonts w:hint="eastAsia"/>
          <w:lang w:val="fr-FR"/>
        </w:rPr>
        <w:t>失业福利资格在</w:t>
      </w:r>
      <w:r>
        <w:rPr>
          <w:rFonts w:hint="eastAsia"/>
          <w:lang w:val="fr-FR"/>
        </w:rPr>
        <w:t>2000</w:t>
      </w:r>
      <w:r>
        <w:rPr>
          <w:rFonts w:hint="eastAsia"/>
          <w:lang w:val="fr-FR"/>
        </w:rPr>
        <w:t>年</w:t>
      </w:r>
      <w:r>
        <w:rPr>
          <w:rFonts w:hint="eastAsia"/>
          <w:lang w:val="fr-FR"/>
        </w:rPr>
        <w:t>5</w:t>
      </w:r>
      <w:r>
        <w:rPr>
          <w:rFonts w:hint="eastAsia"/>
          <w:lang w:val="fr-FR"/>
        </w:rPr>
        <w:t>月</w:t>
      </w:r>
      <w:r>
        <w:rPr>
          <w:rFonts w:hint="eastAsia"/>
          <w:lang w:val="fr-FR"/>
        </w:rPr>
        <w:t>1</w:t>
      </w:r>
      <w:r>
        <w:rPr>
          <w:rFonts w:hint="eastAsia"/>
          <w:lang w:val="fr-FR"/>
        </w:rPr>
        <w:t>日前到期的人员，以及就业中心不能提供合适工作的人员，可以从当地政府申请收入补助。其资格标准是家庭人均收入低于最低养老金的</w:t>
      </w:r>
      <w:r>
        <w:rPr>
          <w:rFonts w:hint="eastAsia"/>
          <w:lang w:val="fr-FR"/>
        </w:rPr>
        <w:t>80%</w:t>
      </w:r>
      <w:r>
        <w:rPr>
          <w:rFonts w:hint="eastAsia"/>
          <w:lang w:val="fr-FR"/>
        </w:rPr>
        <w:t>。收入补助最多可以申请两年，金额为最低养老金的</w:t>
      </w:r>
      <w:r>
        <w:rPr>
          <w:rFonts w:hint="eastAsia"/>
          <w:lang w:val="fr-FR"/>
        </w:rPr>
        <w:t>80%</w:t>
      </w:r>
      <w:r>
        <w:rPr>
          <w:rFonts w:hint="eastAsia"/>
          <w:lang w:val="fr-FR"/>
        </w:rPr>
        <w:t>。另一个标准是失业人员应当配合就业中心，并应认真考虑就业中心提供的工作机会。</w:t>
      </w:r>
    </w:p>
    <w:p w:rsidR="00000000" w:rsidRDefault="00000000">
      <w:pPr>
        <w:rPr>
          <w:rFonts w:hint="eastAsia"/>
          <w:lang w:val="fr-FR"/>
        </w:rPr>
      </w:pPr>
      <w:r>
        <w:rPr>
          <w:rFonts w:hint="eastAsia"/>
          <w:lang w:val="fr-FR"/>
        </w:rPr>
        <w:tab/>
        <w:t>249.  2000</w:t>
      </w:r>
      <w:r>
        <w:rPr>
          <w:rFonts w:hint="eastAsia"/>
          <w:lang w:val="fr-FR"/>
        </w:rPr>
        <w:t>年</w:t>
      </w:r>
      <w:r>
        <w:rPr>
          <w:rFonts w:hint="eastAsia"/>
          <w:lang w:val="fr-FR"/>
        </w:rPr>
        <w:t>5</w:t>
      </w:r>
      <w:r>
        <w:rPr>
          <w:rFonts w:hint="eastAsia"/>
          <w:lang w:val="fr-FR"/>
        </w:rPr>
        <w:t>月之后不再接受失业人员的收入补助申请，这意味着此类支助将逐渐消失。目前的领取人员在失业福利到期后并符合规定的标准，有资格领取常规社会支助。</w:t>
      </w:r>
    </w:p>
    <w:p w:rsidR="00000000" w:rsidRDefault="00000000">
      <w:pPr>
        <w:rPr>
          <w:rFonts w:hint="eastAsia"/>
          <w:lang w:val="fr-FR"/>
        </w:rPr>
      </w:pPr>
      <w:r>
        <w:rPr>
          <w:rFonts w:hint="eastAsia"/>
          <w:lang w:val="fr-FR"/>
        </w:rPr>
        <w:tab/>
        <w:t xml:space="preserve">250.  </w:t>
      </w:r>
      <w:r>
        <w:rPr>
          <w:rFonts w:hint="eastAsia"/>
          <w:lang w:val="fr-FR"/>
        </w:rPr>
        <w:t>如果在失业福利到期后，处于经济活跃年龄的失业人员每月收入不超过当时适用的养老金最低限额的</w:t>
      </w:r>
      <w:r>
        <w:rPr>
          <w:rFonts w:hint="eastAsia"/>
          <w:lang w:val="fr-FR"/>
        </w:rPr>
        <w:t>70%(2002</w:t>
      </w:r>
      <w:r>
        <w:rPr>
          <w:rFonts w:hint="eastAsia"/>
          <w:lang w:val="fr-FR"/>
        </w:rPr>
        <w:t>年为</w:t>
      </w:r>
      <w:r>
        <w:rPr>
          <w:rFonts w:hint="eastAsia"/>
          <w:lang w:val="fr-FR"/>
        </w:rPr>
        <w:t>20,100</w:t>
      </w:r>
      <w:r>
        <w:rPr>
          <w:rFonts w:hint="eastAsia"/>
          <w:lang w:val="fr-FR"/>
        </w:rPr>
        <w:t>福林，</w:t>
      </w:r>
      <w:r>
        <w:rPr>
          <w:rFonts w:hint="eastAsia"/>
          <w:lang w:val="fr-FR"/>
        </w:rPr>
        <w:t>2003</w:t>
      </w:r>
      <w:r>
        <w:rPr>
          <w:rFonts w:hint="eastAsia"/>
          <w:lang w:val="fr-FR"/>
        </w:rPr>
        <w:t>年为</w:t>
      </w:r>
      <w:r>
        <w:rPr>
          <w:rFonts w:hint="eastAsia"/>
          <w:lang w:val="fr-FR"/>
        </w:rPr>
        <w:t>21,800</w:t>
      </w:r>
      <w:r>
        <w:rPr>
          <w:rFonts w:hint="eastAsia"/>
          <w:lang w:val="fr-FR"/>
        </w:rPr>
        <w:t>福林</w:t>
      </w:r>
      <w:r>
        <w:rPr>
          <w:rFonts w:hint="eastAsia"/>
          <w:lang w:val="fr-FR"/>
        </w:rPr>
        <w:t>)</w:t>
      </w:r>
      <w:r>
        <w:rPr>
          <w:rFonts w:hint="eastAsia"/>
          <w:lang w:val="fr-FR"/>
        </w:rPr>
        <w:t>，其家庭人均收入不超过当时适用的养老金最低限额的</w:t>
      </w:r>
      <w:r>
        <w:rPr>
          <w:rFonts w:hint="eastAsia"/>
          <w:lang w:val="fr-FR"/>
        </w:rPr>
        <w:t>80%</w:t>
      </w:r>
      <w:r>
        <w:rPr>
          <w:rFonts w:hint="eastAsia"/>
          <w:lang w:val="fr-FR"/>
        </w:rPr>
        <w:t>，没有财产，而且在寻找工作中配合当地政府和</w:t>
      </w:r>
      <w:r>
        <w:rPr>
          <w:rFonts w:hint="eastAsia"/>
          <w:lang w:val="fr-FR"/>
        </w:rPr>
        <w:t>/</w:t>
      </w:r>
      <w:r>
        <w:rPr>
          <w:rFonts w:hint="eastAsia"/>
          <w:lang w:val="fr-FR"/>
        </w:rPr>
        <w:t>或就业中心的安排，地方政府向这些人员提供常规社会支助。</w:t>
      </w:r>
    </w:p>
    <w:p w:rsidR="00000000" w:rsidRDefault="00000000">
      <w:pPr>
        <w:rPr>
          <w:rFonts w:hint="eastAsia"/>
          <w:lang w:val="fr-FR"/>
        </w:rPr>
      </w:pPr>
      <w:r>
        <w:rPr>
          <w:rFonts w:hint="eastAsia"/>
          <w:lang w:val="fr-FR"/>
        </w:rPr>
        <w:tab/>
        <w:t xml:space="preserve">251.  </w:t>
      </w:r>
      <w:r>
        <w:rPr>
          <w:rFonts w:hint="eastAsia"/>
          <w:lang w:val="fr-FR"/>
        </w:rPr>
        <w:t>地方政府组织社区服务就业项目，以改善处于经济活跃年龄的失业人员在劳动市场上的地位，在此期间</w:t>
      </w:r>
      <w:r>
        <w:rPr>
          <w:rFonts w:hint="eastAsia"/>
          <w:lang w:val="fr-FR"/>
        </w:rPr>
        <w:t>(</w:t>
      </w:r>
      <w:r>
        <w:rPr>
          <w:rFonts w:hint="eastAsia"/>
          <w:lang w:val="fr-FR"/>
        </w:rPr>
        <w:t>至少</w:t>
      </w:r>
      <w:r>
        <w:rPr>
          <w:rFonts w:hint="eastAsia"/>
          <w:lang w:val="fr-FR"/>
        </w:rPr>
        <w:t>30</w:t>
      </w:r>
      <w:r>
        <w:rPr>
          <w:rFonts w:hint="eastAsia"/>
          <w:lang w:val="fr-FR"/>
        </w:rPr>
        <w:t>天</w:t>
      </w:r>
      <w:r>
        <w:rPr>
          <w:rFonts w:hint="eastAsia"/>
          <w:lang w:val="fr-FR"/>
        </w:rPr>
        <w:t>)</w:t>
      </w:r>
      <w:r>
        <w:rPr>
          <w:rFonts w:hint="eastAsia"/>
          <w:lang w:val="fr-FR"/>
        </w:rPr>
        <w:t>该人员领取最低工资，或者常规社会支助。在发放常规社会支助之前，地方政府有义务检查该人员的就业潜力，如果在规定期限内不可能找到工作，政府将宣布他们有资格领取支助。</w:t>
      </w:r>
      <w:r>
        <w:rPr>
          <w:rFonts w:hint="eastAsia"/>
          <w:lang w:val="fr-FR"/>
        </w:rPr>
        <w:t>(</w:t>
      </w:r>
      <w:r>
        <w:rPr>
          <w:rFonts w:hint="eastAsia"/>
          <w:lang w:val="fr-FR"/>
        </w:rPr>
        <w:t>《社会法令》，第</w:t>
      </w:r>
      <w:r>
        <w:rPr>
          <w:rFonts w:hint="eastAsia"/>
          <w:lang w:val="fr-FR"/>
        </w:rPr>
        <w:t>37/A</w:t>
      </w:r>
      <w:r>
        <w:rPr>
          <w:rFonts w:hint="eastAsia"/>
          <w:lang w:val="fr-FR"/>
        </w:rPr>
        <w:t>段</w:t>
      </w:r>
      <w:r>
        <w:rPr>
          <w:rFonts w:hint="eastAsia"/>
          <w:lang w:val="fr-FR"/>
        </w:rPr>
        <w:t>)</w:t>
      </w:r>
    </w:p>
    <w:p w:rsidR="00000000" w:rsidRDefault="00000000">
      <w:pPr>
        <w:rPr>
          <w:rFonts w:hint="eastAsia"/>
          <w:lang w:val="fr-FR"/>
        </w:rPr>
      </w:pPr>
      <w:r>
        <w:rPr>
          <w:rFonts w:hint="eastAsia"/>
          <w:lang w:val="fr-FR"/>
        </w:rPr>
        <w:tab/>
        <w:t>252.  2002</w:t>
      </w:r>
      <w:r>
        <w:rPr>
          <w:rFonts w:hint="eastAsia"/>
          <w:lang w:val="fr-FR"/>
        </w:rPr>
        <w:t>年每月平均有</w:t>
      </w:r>
      <w:r>
        <w:rPr>
          <w:rFonts w:hint="eastAsia"/>
          <w:lang w:val="fr-FR"/>
        </w:rPr>
        <w:t>132,479</w:t>
      </w:r>
      <w:r>
        <w:rPr>
          <w:rFonts w:hint="eastAsia"/>
          <w:lang w:val="fr-FR"/>
        </w:rPr>
        <w:t>名处于经济活跃年龄的失业人员领取常规社会支助。</w:t>
      </w:r>
      <w:r>
        <w:rPr>
          <w:rFonts w:hint="eastAsia"/>
          <w:lang w:val="fr-FR"/>
        </w:rPr>
        <w:t>2003</w:t>
      </w:r>
      <w:r>
        <w:rPr>
          <w:rFonts w:hint="eastAsia"/>
          <w:lang w:val="fr-FR"/>
        </w:rPr>
        <w:t>年是</w:t>
      </w:r>
      <w:r>
        <w:rPr>
          <w:rFonts w:hint="eastAsia"/>
          <w:lang w:val="fr-FR"/>
        </w:rPr>
        <w:t>123,276</w:t>
      </w:r>
      <w:r>
        <w:rPr>
          <w:rFonts w:hint="eastAsia"/>
          <w:lang w:val="fr-FR"/>
        </w:rPr>
        <w:t>人。</w:t>
      </w:r>
      <w:r>
        <w:rPr>
          <w:rFonts w:hint="eastAsia"/>
          <w:lang w:val="fr-FR"/>
        </w:rPr>
        <w:t>2002</w:t>
      </w:r>
      <w:r>
        <w:rPr>
          <w:rFonts w:hint="eastAsia"/>
          <w:lang w:val="fr-FR"/>
        </w:rPr>
        <w:t>年每月平均参加社区服务就业的人数达</w:t>
      </w:r>
      <w:r>
        <w:rPr>
          <w:rFonts w:hint="eastAsia"/>
          <w:lang w:val="fr-FR"/>
        </w:rPr>
        <w:t>12,500</w:t>
      </w:r>
      <w:r>
        <w:rPr>
          <w:rFonts w:hint="eastAsia"/>
          <w:lang w:val="fr-FR"/>
        </w:rPr>
        <w:t>名，而</w:t>
      </w:r>
      <w:r>
        <w:rPr>
          <w:rFonts w:hint="eastAsia"/>
          <w:lang w:val="fr-FR"/>
        </w:rPr>
        <w:t>2003</w:t>
      </w:r>
      <w:r>
        <w:rPr>
          <w:rFonts w:hint="eastAsia"/>
          <w:lang w:val="fr-FR"/>
        </w:rPr>
        <w:t>年为</w:t>
      </w:r>
      <w:r>
        <w:rPr>
          <w:rFonts w:hint="eastAsia"/>
          <w:lang w:val="fr-FR"/>
        </w:rPr>
        <w:t>15,700</w:t>
      </w:r>
      <w:r>
        <w:rPr>
          <w:rFonts w:hint="eastAsia"/>
          <w:lang w:val="fr-FR"/>
        </w:rPr>
        <w:t>名。</w:t>
      </w:r>
    </w:p>
    <w:p w:rsidR="00000000" w:rsidRDefault="00000000">
      <w:pPr>
        <w:rPr>
          <w:rFonts w:hint="eastAsia"/>
          <w:lang w:val="fr-FR"/>
        </w:rPr>
      </w:pPr>
      <w:r>
        <w:rPr>
          <w:rFonts w:hint="eastAsia"/>
          <w:lang w:val="fr-FR"/>
        </w:rPr>
        <w:tab/>
        <w:t>253.  2002</w:t>
      </w:r>
      <w:r>
        <w:rPr>
          <w:rFonts w:hint="eastAsia"/>
          <w:lang w:val="fr-FR"/>
        </w:rPr>
        <w:t>年处于经济活跃年龄的失业人员领取的常规社会支助的</w:t>
      </w:r>
      <w:r>
        <w:rPr>
          <w:rFonts w:hint="eastAsia"/>
          <w:lang w:val="fr-FR"/>
        </w:rPr>
        <w:t>75%</w:t>
      </w:r>
      <w:r>
        <w:rPr>
          <w:rFonts w:hint="eastAsia"/>
          <w:lang w:val="fr-FR"/>
        </w:rPr>
        <w:t>来自中央预算，</w:t>
      </w:r>
      <w:r>
        <w:rPr>
          <w:rFonts w:hint="eastAsia"/>
          <w:lang w:val="fr-FR"/>
        </w:rPr>
        <w:t>2003</w:t>
      </w:r>
      <w:r>
        <w:rPr>
          <w:rFonts w:hint="eastAsia"/>
          <w:lang w:val="fr-FR"/>
        </w:rPr>
        <w:t>年是</w:t>
      </w:r>
      <w:r>
        <w:rPr>
          <w:rFonts w:hint="eastAsia"/>
          <w:lang w:val="fr-FR"/>
        </w:rPr>
        <w:t>90%</w:t>
      </w:r>
      <w:r>
        <w:rPr>
          <w:rFonts w:hint="eastAsia"/>
          <w:lang w:val="fr-FR"/>
        </w:rPr>
        <w:t>，而</w:t>
      </w:r>
      <w:r>
        <w:rPr>
          <w:rFonts w:hint="eastAsia"/>
          <w:lang w:val="fr-FR"/>
        </w:rPr>
        <w:t>75%</w:t>
      </w:r>
      <w:r>
        <w:rPr>
          <w:rFonts w:hint="eastAsia"/>
          <w:lang w:val="fr-FR"/>
        </w:rPr>
        <w:t>的收入补助来自劳动市场基金。安排有薪社区服务的费用和相关行政</w:t>
      </w:r>
      <w:r>
        <w:rPr>
          <w:rFonts w:hint="eastAsia"/>
          <w:lang w:val="fr-FR"/>
        </w:rPr>
        <w:t>/</w:t>
      </w:r>
      <w:r>
        <w:rPr>
          <w:rFonts w:hint="eastAsia"/>
          <w:lang w:val="fr-FR"/>
        </w:rPr>
        <w:t>管理费用同样可以在劳动市场基金中报销。劳动市场基金是单独的公共基金，其资金来源是：雇主按实付和扣减的雇员工资</w:t>
      </w:r>
      <w:r>
        <w:rPr>
          <w:rFonts w:hint="eastAsia"/>
          <w:lang w:val="fr-FR"/>
        </w:rPr>
        <w:t>/</w:t>
      </w:r>
      <w:r>
        <w:rPr>
          <w:rFonts w:hint="eastAsia"/>
          <w:lang w:val="fr-FR"/>
        </w:rPr>
        <w:t>报酬总额</w:t>
      </w:r>
      <w:r>
        <w:rPr>
          <w:rFonts w:hint="eastAsia"/>
          <w:lang w:val="fr-FR"/>
        </w:rPr>
        <w:t>(</w:t>
      </w:r>
      <w:r>
        <w:rPr>
          <w:rFonts w:hint="eastAsia"/>
          <w:lang w:val="fr-FR"/>
        </w:rPr>
        <w:t>收入</w:t>
      </w:r>
      <w:r>
        <w:rPr>
          <w:rFonts w:hint="eastAsia"/>
          <w:lang w:val="fr-FR"/>
        </w:rPr>
        <w:t>)</w:t>
      </w:r>
      <w:r>
        <w:rPr>
          <w:rFonts w:hint="eastAsia"/>
          <w:lang w:val="fr-FR"/>
        </w:rPr>
        <w:t>的</w:t>
      </w:r>
      <w:r>
        <w:rPr>
          <w:rFonts w:hint="eastAsia"/>
          <w:lang w:val="fr-FR"/>
        </w:rPr>
        <w:t>3%</w:t>
      </w:r>
      <w:r>
        <w:rPr>
          <w:rFonts w:hint="eastAsia"/>
          <w:lang w:val="fr-FR"/>
        </w:rPr>
        <w:t>计算的缴款以及雇员缴纳的上述收入的</w:t>
      </w:r>
      <w:r>
        <w:rPr>
          <w:rFonts w:hint="eastAsia"/>
          <w:lang w:val="fr-FR"/>
        </w:rPr>
        <w:t>1%</w:t>
      </w:r>
      <w:r>
        <w:rPr>
          <w:rFonts w:hint="eastAsia"/>
          <w:lang w:val="fr-FR"/>
        </w:rPr>
        <w:t>。</w:t>
      </w:r>
    </w:p>
    <w:p w:rsidR="00000000" w:rsidRDefault="00000000">
      <w:pPr>
        <w:spacing w:after="320"/>
        <w:rPr>
          <w:rFonts w:hint="eastAsia"/>
          <w:lang w:val="fr-FR"/>
        </w:rPr>
      </w:pPr>
      <w:r>
        <w:rPr>
          <w:rFonts w:hint="eastAsia"/>
          <w:lang w:val="fr-FR"/>
        </w:rPr>
        <w:tab/>
        <w:t xml:space="preserve">254.  </w:t>
      </w:r>
      <w:r>
        <w:rPr>
          <w:rFonts w:hint="eastAsia"/>
          <w:lang w:val="fr-FR"/>
        </w:rPr>
        <w:t>下列表格说明了登记失业人数和领取失业福利</w:t>
      </w:r>
      <w:r>
        <w:rPr>
          <w:rFonts w:hint="eastAsia"/>
          <w:lang w:val="fr-FR"/>
        </w:rPr>
        <w:t>/</w:t>
      </w:r>
      <w:r>
        <w:rPr>
          <w:rFonts w:hint="eastAsia"/>
          <w:lang w:val="fr-FR"/>
        </w:rPr>
        <w:t>支助人数的变化趋势。</w:t>
      </w:r>
    </w:p>
    <w:p w:rsidR="00000000" w:rsidRDefault="00000000">
      <w:pPr>
        <w:pStyle w:val="Heading3"/>
        <w:rPr>
          <w:rFonts w:ascii="Time New Roman" w:eastAsia="SimHei" w:hAnsi="Time New Roman" w:hint="eastAsia"/>
          <w:iCs/>
          <w:u w:val="none"/>
          <w:lang w:val="fr-FR"/>
        </w:rPr>
      </w:pPr>
      <w:r>
        <w:rPr>
          <w:rFonts w:ascii="Time New Roman" w:eastAsia="SimHei" w:hAnsi="Time New Roman" w:hint="eastAsia"/>
          <w:u w:val="none"/>
          <w:lang w:val="fr-FR"/>
        </w:rPr>
        <w:t>登记失业人数以及失业福利</w:t>
      </w:r>
      <w:r>
        <w:rPr>
          <w:rFonts w:ascii="Time New Roman" w:eastAsia="SimHei" w:hAnsi="Time New Roman" w:hint="eastAsia"/>
          <w:u w:val="none"/>
          <w:lang w:val="fr-FR"/>
        </w:rPr>
        <w:t>/</w:t>
      </w:r>
      <w:r>
        <w:rPr>
          <w:rFonts w:ascii="Time New Roman" w:eastAsia="SimHei" w:hAnsi="Time New Roman" w:hint="eastAsia"/>
          <w:u w:val="none"/>
          <w:lang w:val="fr-FR"/>
        </w:rPr>
        <w:t>支助领取人数的变化趋势</w:t>
      </w:r>
      <w:r>
        <w:rPr>
          <w:rFonts w:ascii="Time New Roman" w:eastAsia="SimHei" w:hAnsi="Time New Roman"/>
          <w:u w:val="none"/>
          <w:lang w:val="fr-FR"/>
        </w:rPr>
        <w:br/>
      </w:r>
      <w:r>
        <w:rPr>
          <w:rFonts w:ascii="Time New Roman" w:eastAsia="SimHei" w:hAnsi="Time New Roman" w:hint="eastAsia"/>
          <w:u w:val="none"/>
          <w:lang w:val="fr-FR"/>
        </w:rPr>
        <w:t>(</w:t>
      </w:r>
      <w:r>
        <w:rPr>
          <w:rFonts w:ascii="Time New Roman" w:eastAsia="SimHei" w:hAnsi="Time New Roman" w:hint="eastAsia"/>
          <w:b/>
          <w:iCs/>
          <w:u w:val="none"/>
          <w:lang w:val="fr-FR"/>
        </w:rPr>
        <w:t>1996</w:t>
      </w:r>
      <w:r>
        <w:rPr>
          <w:rFonts w:ascii="Time New Roman" w:eastAsia="SimHei" w:hAnsi="Time New Roman" w:hint="eastAsia"/>
          <w:iCs/>
          <w:u w:val="none"/>
          <w:lang w:val="en-GB"/>
        </w:rPr>
        <w:t>至</w:t>
      </w:r>
      <w:r>
        <w:rPr>
          <w:rFonts w:ascii="Time New Roman" w:eastAsia="SimHei" w:hAnsi="Time New Roman" w:hint="eastAsia"/>
          <w:b/>
          <w:iCs/>
          <w:u w:val="none"/>
          <w:lang w:val="fr-FR"/>
        </w:rPr>
        <w:t>2000</w:t>
      </w:r>
      <w:r>
        <w:rPr>
          <w:rFonts w:ascii="Time New Roman" w:eastAsia="SimHei" w:hAnsi="Time New Roman" w:hint="eastAsia"/>
          <w:iCs/>
          <w:u w:val="none"/>
          <w:lang w:val="en-GB"/>
        </w:rPr>
        <w:t>年</w:t>
      </w:r>
      <w:r>
        <w:rPr>
          <w:rFonts w:ascii="Time New Roman" w:eastAsia="SimHei" w:hAnsi="Time New Roman" w:hint="eastAsia"/>
          <w:iCs/>
          <w:u w:val="none"/>
          <w:lang w:val="fr-FR"/>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85"/>
        <w:gridCol w:w="2520"/>
        <w:gridCol w:w="2520"/>
        <w:gridCol w:w="2520"/>
      </w:tblGrid>
      <w:tr w:rsidR="00000000">
        <w:tblPrEx>
          <w:tblCellMar>
            <w:top w:w="0" w:type="dxa"/>
            <w:bottom w:w="0" w:type="dxa"/>
          </w:tblCellMar>
        </w:tblPrEx>
        <w:tc>
          <w:tcPr>
            <w:tcW w:w="1785" w:type="dxa"/>
            <w:vAlign w:val="center"/>
          </w:tcPr>
          <w:p w:rsidR="00000000" w:rsidRDefault="00000000">
            <w:pPr>
              <w:pStyle w:val="a2"/>
              <w:spacing w:after="60" w:line="280" w:lineRule="exact"/>
              <w:jc w:val="center"/>
              <w:rPr>
                <w:rFonts w:hint="eastAsia"/>
                <w:lang w:val="fr-FR"/>
              </w:rPr>
            </w:pPr>
            <w:r>
              <w:rPr>
                <w:rFonts w:hint="eastAsia"/>
                <w:lang w:val="en-GB"/>
              </w:rPr>
              <w:t>年</w:t>
            </w:r>
            <w:r>
              <w:rPr>
                <w:lang w:val="en-GB"/>
              </w:rPr>
              <w:t xml:space="preserve">  </w:t>
            </w:r>
            <w:r>
              <w:rPr>
                <w:rFonts w:hint="eastAsia"/>
                <w:lang w:val="en-GB"/>
              </w:rPr>
              <w:t>月</w:t>
            </w:r>
          </w:p>
        </w:tc>
        <w:tc>
          <w:tcPr>
            <w:tcW w:w="2520" w:type="dxa"/>
            <w:vAlign w:val="center"/>
          </w:tcPr>
          <w:p w:rsidR="00000000" w:rsidRDefault="00000000">
            <w:pPr>
              <w:pStyle w:val="a2"/>
              <w:spacing w:after="60" w:line="280" w:lineRule="exact"/>
              <w:jc w:val="center"/>
              <w:rPr>
                <w:lang w:val="en-GB"/>
              </w:rPr>
            </w:pPr>
            <w:r>
              <w:rPr>
                <w:rFonts w:hint="eastAsia"/>
                <w:lang w:val="fr-FR"/>
              </w:rPr>
              <w:t>登记失业人数</w:t>
            </w:r>
          </w:p>
        </w:tc>
        <w:tc>
          <w:tcPr>
            <w:tcW w:w="2520" w:type="dxa"/>
            <w:vAlign w:val="center"/>
          </w:tcPr>
          <w:p w:rsidR="00000000" w:rsidRDefault="00000000">
            <w:pPr>
              <w:pStyle w:val="a2"/>
              <w:spacing w:after="60" w:line="280" w:lineRule="exact"/>
              <w:jc w:val="center"/>
              <w:rPr>
                <w:rFonts w:hint="eastAsia"/>
                <w:lang w:val="en-GB"/>
              </w:rPr>
            </w:pPr>
            <w:r>
              <w:rPr>
                <w:rFonts w:hint="eastAsia"/>
                <w:lang w:val="fr-FR"/>
              </w:rPr>
              <w:t>领取失业福利人数</w:t>
            </w:r>
            <w:r>
              <w:rPr>
                <w:lang w:val="fr-FR"/>
              </w:rPr>
              <w:br/>
            </w:r>
            <w:r>
              <w:rPr>
                <w:rFonts w:hint="eastAsia"/>
                <w:lang w:val="en-GB"/>
              </w:rPr>
              <w:t>(</w:t>
            </w:r>
            <w:r>
              <w:rPr>
                <w:rFonts w:hint="eastAsia"/>
                <w:lang w:val="fr-FR"/>
              </w:rPr>
              <w:t>包括提前退休和</w:t>
            </w:r>
            <w:r>
              <w:rPr>
                <w:lang w:val="fr-FR"/>
              </w:rPr>
              <w:br/>
            </w:r>
            <w:r>
              <w:rPr>
                <w:rFonts w:hint="eastAsia"/>
                <w:lang w:val="fr-FR"/>
              </w:rPr>
              <w:t>首次求职者福利</w:t>
            </w:r>
            <w:r>
              <w:rPr>
                <w:rFonts w:hint="eastAsia"/>
                <w:lang w:val="en-GB"/>
              </w:rPr>
              <w:t>)</w:t>
            </w:r>
          </w:p>
        </w:tc>
        <w:tc>
          <w:tcPr>
            <w:tcW w:w="2520" w:type="dxa"/>
            <w:vAlign w:val="center"/>
          </w:tcPr>
          <w:p w:rsidR="00000000" w:rsidRDefault="00000000">
            <w:pPr>
              <w:pStyle w:val="a2"/>
              <w:spacing w:after="60" w:line="280" w:lineRule="exact"/>
              <w:jc w:val="center"/>
              <w:rPr>
                <w:lang w:val="en-GB"/>
              </w:rPr>
            </w:pPr>
            <w:r>
              <w:rPr>
                <w:rFonts w:hint="eastAsia"/>
                <w:lang w:val="en-GB"/>
              </w:rPr>
              <w:t>领取收入补贴和</w:t>
            </w:r>
            <w:r>
              <w:rPr>
                <w:lang w:val="en-GB"/>
              </w:rPr>
              <w:br/>
            </w:r>
            <w:r>
              <w:rPr>
                <w:rFonts w:hint="eastAsia"/>
                <w:lang w:val="en-GB"/>
              </w:rPr>
              <w:t>社会支助人数</w:t>
            </w:r>
          </w:p>
        </w:tc>
      </w:tr>
      <w:tr w:rsidR="00000000">
        <w:tblPrEx>
          <w:tblCellMar>
            <w:top w:w="0" w:type="dxa"/>
            <w:bottom w:w="0" w:type="dxa"/>
          </w:tblCellMar>
        </w:tblPrEx>
        <w:tc>
          <w:tcPr>
            <w:tcW w:w="1785" w:type="dxa"/>
          </w:tcPr>
          <w:p w:rsidR="00000000" w:rsidRDefault="00000000">
            <w:pPr>
              <w:pStyle w:val="a2"/>
              <w:spacing w:line="360" w:lineRule="exact"/>
              <w:rPr>
                <w:rFonts w:hint="eastAsia"/>
                <w:lang w:val="en-GB"/>
              </w:rPr>
            </w:pPr>
            <w:r>
              <w:rPr>
                <w:lang w:val="en-GB"/>
              </w:rPr>
              <w:t>1996</w:t>
            </w:r>
            <w:r>
              <w:rPr>
                <w:rFonts w:hint="eastAsia"/>
                <w:lang w:val="en-GB"/>
              </w:rPr>
              <w:t>年</w:t>
            </w:r>
            <w:r>
              <w:rPr>
                <w:rFonts w:hint="eastAsia"/>
                <w:lang w:val="en-GB"/>
              </w:rPr>
              <w:t>6</w:t>
            </w:r>
            <w:r>
              <w:rPr>
                <w:rFonts w:hint="eastAsia"/>
                <w:lang w:val="en-GB"/>
              </w:rPr>
              <w:t>月</w:t>
            </w:r>
          </w:p>
        </w:tc>
        <w:tc>
          <w:tcPr>
            <w:tcW w:w="2520" w:type="dxa"/>
            <w:vAlign w:val="center"/>
          </w:tcPr>
          <w:p w:rsidR="00000000" w:rsidRDefault="00000000">
            <w:pPr>
              <w:pStyle w:val="a2"/>
              <w:spacing w:line="360" w:lineRule="exact"/>
              <w:ind w:right="851"/>
              <w:jc w:val="right"/>
              <w:rPr>
                <w:lang w:val="en-GB"/>
              </w:rPr>
            </w:pPr>
            <w:r>
              <w:rPr>
                <w:lang w:val="en-GB"/>
              </w:rPr>
              <w:t>481,951</w:t>
            </w:r>
          </w:p>
        </w:tc>
        <w:tc>
          <w:tcPr>
            <w:tcW w:w="2520" w:type="dxa"/>
            <w:vAlign w:val="center"/>
          </w:tcPr>
          <w:p w:rsidR="00000000" w:rsidRDefault="00000000">
            <w:pPr>
              <w:pStyle w:val="a2"/>
              <w:spacing w:line="360" w:lineRule="exact"/>
              <w:ind w:right="851"/>
              <w:jc w:val="right"/>
              <w:rPr>
                <w:lang w:val="en-GB"/>
              </w:rPr>
            </w:pPr>
            <w:r>
              <w:rPr>
                <w:lang w:val="en-GB"/>
              </w:rPr>
              <w:t>166,306</w:t>
            </w:r>
          </w:p>
        </w:tc>
        <w:tc>
          <w:tcPr>
            <w:tcW w:w="2520" w:type="dxa"/>
            <w:vAlign w:val="center"/>
          </w:tcPr>
          <w:p w:rsidR="00000000" w:rsidRDefault="00000000">
            <w:pPr>
              <w:pStyle w:val="a2"/>
              <w:spacing w:line="360" w:lineRule="exact"/>
              <w:ind w:right="851"/>
              <w:jc w:val="right"/>
              <w:rPr>
                <w:lang w:val="en-GB"/>
              </w:rPr>
            </w:pPr>
            <w:r>
              <w:rPr>
                <w:lang w:val="en-GB"/>
              </w:rPr>
              <w:t>208,542</w:t>
            </w:r>
          </w:p>
        </w:tc>
      </w:tr>
      <w:tr w:rsidR="00000000">
        <w:tblPrEx>
          <w:tblCellMar>
            <w:top w:w="0" w:type="dxa"/>
            <w:bottom w:w="0" w:type="dxa"/>
          </w:tblCellMar>
        </w:tblPrEx>
        <w:tc>
          <w:tcPr>
            <w:tcW w:w="1785" w:type="dxa"/>
          </w:tcPr>
          <w:p w:rsidR="00000000" w:rsidRDefault="00000000">
            <w:pPr>
              <w:pStyle w:val="a2"/>
              <w:spacing w:line="360" w:lineRule="exact"/>
              <w:rPr>
                <w:rFonts w:hint="eastAsia"/>
                <w:lang w:val="en-GB"/>
              </w:rPr>
            </w:pPr>
            <w:r>
              <w:rPr>
                <w:lang w:val="en-GB"/>
              </w:rPr>
              <w:t>1996</w:t>
            </w:r>
            <w:r>
              <w:rPr>
                <w:rFonts w:hint="eastAsia"/>
                <w:lang w:val="en-GB"/>
              </w:rPr>
              <w:t>年</w:t>
            </w:r>
            <w:r>
              <w:rPr>
                <w:rFonts w:hint="eastAsia"/>
                <w:lang w:val="en-GB"/>
              </w:rPr>
              <w:t>12</w:t>
            </w:r>
            <w:r>
              <w:rPr>
                <w:rFonts w:hint="eastAsia"/>
                <w:lang w:val="en-GB"/>
              </w:rPr>
              <w:t>月</w:t>
            </w:r>
          </w:p>
        </w:tc>
        <w:tc>
          <w:tcPr>
            <w:tcW w:w="2520" w:type="dxa"/>
            <w:vAlign w:val="center"/>
          </w:tcPr>
          <w:p w:rsidR="00000000" w:rsidRDefault="00000000">
            <w:pPr>
              <w:pStyle w:val="a2"/>
              <w:spacing w:line="360" w:lineRule="exact"/>
              <w:ind w:right="851"/>
              <w:jc w:val="right"/>
              <w:rPr>
                <w:lang w:val="en-GB"/>
              </w:rPr>
            </w:pPr>
            <w:r>
              <w:rPr>
                <w:lang w:val="en-GB"/>
              </w:rPr>
              <w:t>477,459</w:t>
            </w:r>
          </w:p>
        </w:tc>
        <w:tc>
          <w:tcPr>
            <w:tcW w:w="2520" w:type="dxa"/>
            <w:vAlign w:val="center"/>
          </w:tcPr>
          <w:p w:rsidR="00000000" w:rsidRDefault="00000000">
            <w:pPr>
              <w:pStyle w:val="a2"/>
              <w:spacing w:line="360" w:lineRule="exact"/>
              <w:ind w:right="851"/>
              <w:jc w:val="right"/>
              <w:rPr>
                <w:lang w:val="en-GB"/>
              </w:rPr>
            </w:pPr>
            <w:r>
              <w:rPr>
                <w:lang w:val="en-GB"/>
              </w:rPr>
              <w:t>139,408</w:t>
            </w:r>
          </w:p>
        </w:tc>
        <w:tc>
          <w:tcPr>
            <w:tcW w:w="2520" w:type="dxa"/>
            <w:vAlign w:val="center"/>
          </w:tcPr>
          <w:p w:rsidR="00000000" w:rsidRDefault="00000000">
            <w:pPr>
              <w:pStyle w:val="a2"/>
              <w:spacing w:line="360" w:lineRule="exact"/>
              <w:ind w:right="851"/>
              <w:jc w:val="right"/>
              <w:rPr>
                <w:lang w:val="en-GB"/>
              </w:rPr>
            </w:pPr>
            <w:r>
              <w:rPr>
                <w:lang w:val="en-GB"/>
              </w:rPr>
              <w:t>211,615</w:t>
            </w:r>
          </w:p>
        </w:tc>
      </w:tr>
      <w:tr w:rsidR="00000000">
        <w:tblPrEx>
          <w:tblCellMar>
            <w:top w:w="0" w:type="dxa"/>
            <w:bottom w:w="0" w:type="dxa"/>
          </w:tblCellMar>
        </w:tblPrEx>
        <w:tc>
          <w:tcPr>
            <w:tcW w:w="1785" w:type="dxa"/>
          </w:tcPr>
          <w:p w:rsidR="00000000" w:rsidRDefault="00000000">
            <w:pPr>
              <w:pStyle w:val="a2"/>
              <w:spacing w:line="360" w:lineRule="exact"/>
              <w:rPr>
                <w:rFonts w:hint="eastAsia"/>
                <w:lang w:val="en-GB"/>
              </w:rPr>
            </w:pPr>
            <w:r>
              <w:rPr>
                <w:lang w:val="en-GB"/>
              </w:rPr>
              <w:t>1997</w:t>
            </w:r>
            <w:r>
              <w:rPr>
                <w:rFonts w:hint="eastAsia"/>
                <w:lang w:val="en-GB"/>
              </w:rPr>
              <w:t>年</w:t>
            </w:r>
            <w:r>
              <w:rPr>
                <w:rFonts w:hint="eastAsia"/>
                <w:lang w:val="en-GB"/>
              </w:rPr>
              <w:t>6</w:t>
            </w:r>
            <w:r>
              <w:rPr>
                <w:rFonts w:hint="eastAsia"/>
                <w:lang w:val="en-GB"/>
              </w:rPr>
              <w:t>月</w:t>
            </w:r>
          </w:p>
        </w:tc>
        <w:tc>
          <w:tcPr>
            <w:tcW w:w="2520" w:type="dxa"/>
            <w:vAlign w:val="center"/>
          </w:tcPr>
          <w:p w:rsidR="00000000" w:rsidRDefault="00000000">
            <w:pPr>
              <w:pStyle w:val="a2"/>
              <w:spacing w:line="360" w:lineRule="exact"/>
              <w:ind w:right="851"/>
              <w:jc w:val="right"/>
              <w:rPr>
                <w:lang w:val="en-GB"/>
              </w:rPr>
            </w:pPr>
            <w:r>
              <w:rPr>
                <w:lang w:val="en-GB"/>
              </w:rPr>
              <w:t>459,948</w:t>
            </w:r>
          </w:p>
        </w:tc>
        <w:tc>
          <w:tcPr>
            <w:tcW w:w="2520" w:type="dxa"/>
            <w:vAlign w:val="center"/>
          </w:tcPr>
          <w:p w:rsidR="00000000" w:rsidRDefault="00000000">
            <w:pPr>
              <w:pStyle w:val="a2"/>
              <w:spacing w:line="360" w:lineRule="exact"/>
              <w:ind w:right="851"/>
              <w:jc w:val="right"/>
              <w:rPr>
                <w:lang w:val="en-GB"/>
              </w:rPr>
            </w:pPr>
            <w:r>
              <w:rPr>
                <w:lang w:val="en-GB"/>
              </w:rPr>
              <w:t>137,870</w:t>
            </w:r>
          </w:p>
        </w:tc>
        <w:tc>
          <w:tcPr>
            <w:tcW w:w="2520" w:type="dxa"/>
            <w:vAlign w:val="center"/>
          </w:tcPr>
          <w:p w:rsidR="00000000" w:rsidRDefault="00000000">
            <w:pPr>
              <w:pStyle w:val="a2"/>
              <w:spacing w:line="360" w:lineRule="exact"/>
              <w:ind w:right="851"/>
              <w:jc w:val="right"/>
              <w:rPr>
                <w:lang w:val="en-GB"/>
              </w:rPr>
            </w:pPr>
            <w:r>
              <w:rPr>
                <w:lang w:val="en-GB"/>
              </w:rPr>
              <w:t>206,502</w:t>
            </w:r>
          </w:p>
        </w:tc>
      </w:tr>
      <w:tr w:rsidR="00000000">
        <w:tblPrEx>
          <w:tblCellMar>
            <w:top w:w="0" w:type="dxa"/>
            <w:bottom w:w="0" w:type="dxa"/>
          </w:tblCellMar>
        </w:tblPrEx>
        <w:tc>
          <w:tcPr>
            <w:tcW w:w="1785" w:type="dxa"/>
          </w:tcPr>
          <w:p w:rsidR="00000000" w:rsidRDefault="00000000">
            <w:pPr>
              <w:pStyle w:val="a2"/>
              <w:spacing w:line="360" w:lineRule="exact"/>
              <w:rPr>
                <w:lang w:val="en-GB"/>
              </w:rPr>
            </w:pPr>
            <w:r>
              <w:rPr>
                <w:lang w:val="en-GB"/>
              </w:rPr>
              <w:t>1997</w:t>
            </w:r>
            <w:r>
              <w:rPr>
                <w:rFonts w:hint="eastAsia"/>
                <w:lang w:val="en-GB"/>
              </w:rPr>
              <w:t>年</w:t>
            </w:r>
            <w:r>
              <w:rPr>
                <w:rFonts w:hint="eastAsia"/>
                <w:lang w:val="en-GB"/>
              </w:rPr>
              <w:t>12</w:t>
            </w:r>
            <w:r>
              <w:rPr>
                <w:rFonts w:hint="eastAsia"/>
                <w:lang w:val="en-GB"/>
              </w:rPr>
              <w:t>月</w:t>
            </w:r>
          </w:p>
        </w:tc>
        <w:tc>
          <w:tcPr>
            <w:tcW w:w="2520" w:type="dxa"/>
            <w:vAlign w:val="center"/>
          </w:tcPr>
          <w:p w:rsidR="00000000" w:rsidRDefault="00000000">
            <w:pPr>
              <w:pStyle w:val="a2"/>
              <w:spacing w:line="360" w:lineRule="exact"/>
              <w:ind w:right="851"/>
              <w:jc w:val="right"/>
              <w:rPr>
                <w:lang w:val="en-GB"/>
              </w:rPr>
            </w:pPr>
            <w:r>
              <w:rPr>
                <w:lang w:val="en-GB"/>
              </w:rPr>
              <w:t>463,962</w:t>
            </w:r>
          </w:p>
        </w:tc>
        <w:tc>
          <w:tcPr>
            <w:tcW w:w="2520" w:type="dxa"/>
            <w:vAlign w:val="center"/>
          </w:tcPr>
          <w:p w:rsidR="00000000" w:rsidRDefault="00000000">
            <w:pPr>
              <w:pStyle w:val="a2"/>
              <w:spacing w:line="360" w:lineRule="exact"/>
              <w:ind w:right="851"/>
              <w:jc w:val="right"/>
              <w:rPr>
                <w:lang w:val="en-GB"/>
              </w:rPr>
            </w:pPr>
            <w:r>
              <w:rPr>
                <w:lang w:val="en-GB"/>
              </w:rPr>
              <w:t>136,707</w:t>
            </w:r>
          </w:p>
        </w:tc>
        <w:tc>
          <w:tcPr>
            <w:tcW w:w="2520" w:type="dxa"/>
            <w:vAlign w:val="center"/>
          </w:tcPr>
          <w:p w:rsidR="00000000" w:rsidRDefault="00000000">
            <w:pPr>
              <w:pStyle w:val="a2"/>
              <w:spacing w:line="360" w:lineRule="exact"/>
              <w:ind w:right="851"/>
              <w:jc w:val="right"/>
              <w:rPr>
                <w:lang w:val="en-GB"/>
              </w:rPr>
            </w:pPr>
            <w:r>
              <w:rPr>
                <w:lang w:val="en-GB"/>
              </w:rPr>
              <w:t>194,522</w:t>
            </w:r>
          </w:p>
        </w:tc>
      </w:tr>
      <w:tr w:rsidR="00000000">
        <w:tblPrEx>
          <w:tblCellMar>
            <w:top w:w="0" w:type="dxa"/>
            <w:bottom w:w="0" w:type="dxa"/>
          </w:tblCellMar>
        </w:tblPrEx>
        <w:tc>
          <w:tcPr>
            <w:tcW w:w="1785" w:type="dxa"/>
          </w:tcPr>
          <w:p w:rsidR="00000000" w:rsidRDefault="00000000">
            <w:pPr>
              <w:pStyle w:val="a2"/>
              <w:spacing w:line="360" w:lineRule="exact"/>
              <w:rPr>
                <w:lang w:val="en-GB"/>
              </w:rPr>
            </w:pPr>
            <w:r>
              <w:rPr>
                <w:lang w:val="en-GB"/>
              </w:rPr>
              <w:t>1998</w:t>
            </w:r>
            <w:r>
              <w:rPr>
                <w:rFonts w:hint="eastAsia"/>
                <w:lang w:val="en-GB"/>
              </w:rPr>
              <w:t>年</w:t>
            </w:r>
            <w:r>
              <w:rPr>
                <w:rFonts w:hint="eastAsia"/>
                <w:lang w:val="en-GB"/>
              </w:rPr>
              <w:t>6</w:t>
            </w:r>
            <w:r>
              <w:rPr>
                <w:rFonts w:hint="eastAsia"/>
                <w:lang w:val="en-GB"/>
              </w:rPr>
              <w:t>月</w:t>
            </w:r>
          </w:p>
        </w:tc>
        <w:tc>
          <w:tcPr>
            <w:tcW w:w="2520" w:type="dxa"/>
            <w:vAlign w:val="center"/>
          </w:tcPr>
          <w:p w:rsidR="00000000" w:rsidRDefault="00000000">
            <w:pPr>
              <w:pStyle w:val="a2"/>
              <w:spacing w:line="360" w:lineRule="exact"/>
              <w:ind w:right="851"/>
              <w:jc w:val="right"/>
              <w:rPr>
                <w:lang w:val="en-GB"/>
              </w:rPr>
            </w:pPr>
            <w:r>
              <w:rPr>
                <w:lang w:val="en-GB"/>
              </w:rPr>
              <w:t>406,386</w:t>
            </w:r>
          </w:p>
        </w:tc>
        <w:tc>
          <w:tcPr>
            <w:tcW w:w="2520" w:type="dxa"/>
            <w:vAlign w:val="center"/>
          </w:tcPr>
          <w:p w:rsidR="00000000" w:rsidRDefault="00000000">
            <w:pPr>
              <w:pStyle w:val="a2"/>
              <w:spacing w:line="360" w:lineRule="exact"/>
              <w:ind w:right="851"/>
              <w:jc w:val="right"/>
              <w:rPr>
                <w:lang w:val="en-GB"/>
              </w:rPr>
            </w:pPr>
            <w:r>
              <w:rPr>
                <w:lang w:val="en-GB"/>
              </w:rPr>
              <w:t>121,280</w:t>
            </w:r>
          </w:p>
        </w:tc>
        <w:tc>
          <w:tcPr>
            <w:tcW w:w="2520" w:type="dxa"/>
            <w:vAlign w:val="center"/>
          </w:tcPr>
          <w:p w:rsidR="00000000" w:rsidRDefault="00000000">
            <w:pPr>
              <w:pStyle w:val="a2"/>
              <w:spacing w:line="360" w:lineRule="exact"/>
              <w:ind w:right="851"/>
              <w:jc w:val="right"/>
              <w:rPr>
                <w:lang w:val="en-GB"/>
              </w:rPr>
            </w:pPr>
            <w:r>
              <w:rPr>
                <w:lang w:val="en-GB"/>
              </w:rPr>
              <w:t>186,595</w:t>
            </w:r>
          </w:p>
        </w:tc>
      </w:tr>
      <w:tr w:rsidR="00000000">
        <w:tblPrEx>
          <w:tblCellMar>
            <w:top w:w="0" w:type="dxa"/>
            <w:bottom w:w="0" w:type="dxa"/>
          </w:tblCellMar>
        </w:tblPrEx>
        <w:tc>
          <w:tcPr>
            <w:tcW w:w="1785" w:type="dxa"/>
          </w:tcPr>
          <w:p w:rsidR="00000000" w:rsidRDefault="00000000">
            <w:pPr>
              <w:pStyle w:val="a2"/>
              <w:spacing w:line="360" w:lineRule="exact"/>
              <w:rPr>
                <w:lang w:val="en-GB"/>
              </w:rPr>
            </w:pPr>
            <w:r>
              <w:rPr>
                <w:lang w:val="en-GB"/>
              </w:rPr>
              <w:t>1998</w:t>
            </w:r>
            <w:r>
              <w:rPr>
                <w:rFonts w:hint="eastAsia"/>
                <w:lang w:val="en-GB"/>
              </w:rPr>
              <w:t>年</w:t>
            </w:r>
            <w:r>
              <w:rPr>
                <w:rFonts w:hint="eastAsia"/>
                <w:lang w:val="en-GB"/>
              </w:rPr>
              <w:t>12</w:t>
            </w:r>
            <w:r>
              <w:rPr>
                <w:rFonts w:hint="eastAsia"/>
                <w:lang w:val="en-GB"/>
              </w:rPr>
              <w:t>月</w:t>
            </w:r>
          </w:p>
        </w:tc>
        <w:tc>
          <w:tcPr>
            <w:tcW w:w="2520" w:type="dxa"/>
            <w:vAlign w:val="center"/>
          </w:tcPr>
          <w:p w:rsidR="00000000" w:rsidRDefault="00000000">
            <w:pPr>
              <w:pStyle w:val="a2"/>
              <w:spacing w:line="360" w:lineRule="exact"/>
              <w:ind w:right="851"/>
              <w:jc w:val="right"/>
              <w:rPr>
                <w:lang w:val="en-GB"/>
              </w:rPr>
            </w:pPr>
            <w:r>
              <w:rPr>
                <w:lang w:val="en-GB"/>
              </w:rPr>
              <w:t>404,094</w:t>
            </w:r>
          </w:p>
        </w:tc>
        <w:tc>
          <w:tcPr>
            <w:tcW w:w="2520" w:type="dxa"/>
            <w:vAlign w:val="center"/>
          </w:tcPr>
          <w:p w:rsidR="00000000" w:rsidRDefault="00000000">
            <w:pPr>
              <w:pStyle w:val="a2"/>
              <w:spacing w:line="360" w:lineRule="exact"/>
              <w:ind w:right="851"/>
              <w:jc w:val="right"/>
              <w:rPr>
                <w:lang w:val="en-GB"/>
              </w:rPr>
            </w:pPr>
            <w:r>
              <w:rPr>
                <w:lang w:val="en-GB"/>
              </w:rPr>
              <w:t>141,601</w:t>
            </w:r>
          </w:p>
        </w:tc>
        <w:tc>
          <w:tcPr>
            <w:tcW w:w="2520" w:type="dxa"/>
            <w:vAlign w:val="center"/>
          </w:tcPr>
          <w:p w:rsidR="00000000" w:rsidRDefault="00000000">
            <w:pPr>
              <w:pStyle w:val="a2"/>
              <w:spacing w:line="360" w:lineRule="exact"/>
              <w:ind w:right="851"/>
              <w:jc w:val="right"/>
              <w:rPr>
                <w:lang w:val="en-GB"/>
              </w:rPr>
            </w:pPr>
            <w:r>
              <w:rPr>
                <w:lang w:val="en-GB"/>
              </w:rPr>
              <w:t>157,964</w:t>
            </w:r>
          </w:p>
        </w:tc>
      </w:tr>
      <w:tr w:rsidR="00000000">
        <w:tblPrEx>
          <w:tblCellMar>
            <w:top w:w="0" w:type="dxa"/>
            <w:bottom w:w="0" w:type="dxa"/>
          </w:tblCellMar>
        </w:tblPrEx>
        <w:tc>
          <w:tcPr>
            <w:tcW w:w="1785" w:type="dxa"/>
          </w:tcPr>
          <w:p w:rsidR="00000000" w:rsidRDefault="00000000">
            <w:pPr>
              <w:pStyle w:val="a2"/>
              <w:spacing w:line="360" w:lineRule="exact"/>
              <w:rPr>
                <w:lang w:val="en-GB"/>
              </w:rPr>
            </w:pPr>
            <w:r>
              <w:rPr>
                <w:lang w:val="en-GB"/>
              </w:rPr>
              <w:t>1999</w:t>
            </w:r>
            <w:r>
              <w:rPr>
                <w:rFonts w:hint="eastAsia"/>
                <w:lang w:val="en-GB"/>
              </w:rPr>
              <w:t>年</w:t>
            </w:r>
            <w:r>
              <w:rPr>
                <w:rFonts w:hint="eastAsia"/>
                <w:lang w:val="en-GB"/>
              </w:rPr>
              <w:t>6</w:t>
            </w:r>
            <w:r>
              <w:rPr>
                <w:rFonts w:hint="eastAsia"/>
                <w:lang w:val="en-GB"/>
              </w:rPr>
              <w:t>月</w:t>
            </w:r>
          </w:p>
        </w:tc>
        <w:tc>
          <w:tcPr>
            <w:tcW w:w="2520" w:type="dxa"/>
            <w:vAlign w:val="center"/>
          </w:tcPr>
          <w:p w:rsidR="00000000" w:rsidRDefault="00000000">
            <w:pPr>
              <w:pStyle w:val="a2"/>
              <w:spacing w:line="360" w:lineRule="exact"/>
              <w:ind w:right="851"/>
              <w:jc w:val="right"/>
              <w:rPr>
                <w:lang w:val="en-GB"/>
              </w:rPr>
            </w:pPr>
            <w:r>
              <w:rPr>
                <w:lang w:val="en-GB"/>
              </w:rPr>
              <w:t>394,371</w:t>
            </w:r>
          </w:p>
        </w:tc>
        <w:tc>
          <w:tcPr>
            <w:tcW w:w="2520" w:type="dxa"/>
            <w:vAlign w:val="center"/>
          </w:tcPr>
          <w:p w:rsidR="00000000" w:rsidRDefault="00000000">
            <w:pPr>
              <w:pStyle w:val="a2"/>
              <w:spacing w:line="360" w:lineRule="exact"/>
              <w:ind w:right="851"/>
              <w:jc w:val="right"/>
              <w:rPr>
                <w:lang w:val="en-GB"/>
              </w:rPr>
            </w:pPr>
            <w:r>
              <w:rPr>
                <w:lang w:val="en-GB"/>
              </w:rPr>
              <w:t>133,221</w:t>
            </w:r>
          </w:p>
        </w:tc>
        <w:tc>
          <w:tcPr>
            <w:tcW w:w="2520" w:type="dxa"/>
            <w:vAlign w:val="center"/>
          </w:tcPr>
          <w:p w:rsidR="00000000" w:rsidRDefault="00000000">
            <w:pPr>
              <w:pStyle w:val="a2"/>
              <w:spacing w:line="360" w:lineRule="exact"/>
              <w:ind w:right="851"/>
              <w:jc w:val="right"/>
              <w:rPr>
                <w:lang w:val="en-GB"/>
              </w:rPr>
            </w:pPr>
            <w:r>
              <w:rPr>
                <w:lang w:val="en-GB"/>
              </w:rPr>
              <w:t>164,115</w:t>
            </w:r>
          </w:p>
        </w:tc>
      </w:tr>
      <w:tr w:rsidR="00000000">
        <w:tblPrEx>
          <w:tblCellMar>
            <w:top w:w="0" w:type="dxa"/>
            <w:bottom w:w="0" w:type="dxa"/>
          </w:tblCellMar>
        </w:tblPrEx>
        <w:tc>
          <w:tcPr>
            <w:tcW w:w="1785" w:type="dxa"/>
          </w:tcPr>
          <w:p w:rsidR="00000000" w:rsidRDefault="00000000">
            <w:pPr>
              <w:pStyle w:val="a2"/>
              <w:spacing w:line="360" w:lineRule="exact"/>
              <w:rPr>
                <w:lang w:val="en-GB"/>
              </w:rPr>
            </w:pPr>
            <w:r>
              <w:rPr>
                <w:lang w:val="en-GB"/>
              </w:rPr>
              <w:t>1999</w:t>
            </w:r>
            <w:r>
              <w:rPr>
                <w:rFonts w:hint="eastAsia"/>
                <w:lang w:val="en-GB"/>
              </w:rPr>
              <w:t>年</w:t>
            </w:r>
            <w:r>
              <w:rPr>
                <w:rFonts w:hint="eastAsia"/>
                <w:lang w:val="en-GB"/>
              </w:rPr>
              <w:t>12</w:t>
            </w:r>
            <w:r>
              <w:rPr>
                <w:rFonts w:hint="eastAsia"/>
                <w:lang w:val="en-GB"/>
              </w:rPr>
              <w:t>月</w:t>
            </w:r>
          </w:p>
        </w:tc>
        <w:tc>
          <w:tcPr>
            <w:tcW w:w="2520" w:type="dxa"/>
            <w:vAlign w:val="center"/>
          </w:tcPr>
          <w:p w:rsidR="00000000" w:rsidRDefault="00000000">
            <w:pPr>
              <w:pStyle w:val="a2"/>
              <w:spacing w:line="360" w:lineRule="exact"/>
              <w:ind w:right="851"/>
              <w:jc w:val="right"/>
              <w:rPr>
                <w:lang w:val="en-GB"/>
              </w:rPr>
            </w:pPr>
            <w:r>
              <w:rPr>
                <w:lang w:val="en-GB"/>
              </w:rPr>
              <w:t>404,509</w:t>
            </w:r>
          </w:p>
        </w:tc>
        <w:tc>
          <w:tcPr>
            <w:tcW w:w="2520" w:type="dxa"/>
            <w:vAlign w:val="center"/>
          </w:tcPr>
          <w:p w:rsidR="00000000" w:rsidRDefault="00000000">
            <w:pPr>
              <w:pStyle w:val="a2"/>
              <w:spacing w:line="360" w:lineRule="exact"/>
              <w:ind w:right="851"/>
              <w:jc w:val="right"/>
              <w:rPr>
                <w:lang w:val="en-GB"/>
              </w:rPr>
            </w:pPr>
            <w:r>
              <w:rPr>
                <w:lang w:val="en-GB"/>
              </w:rPr>
              <w:t>150,389</w:t>
            </w:r>
          </w:p>
        </w:tc>
        <w:tc>
          <w:tcPr>
            <w:tcW w:w="2520" w:type="dxa"/>
            <w:vAlign w:val="center"/>
          </w:tcPr>
          <w:p w:rsidR="00000000" w:rsidRDefault="00000000">
            <w:pPr>
              <w:pStyle w:val="a2"/>
              <w:spacing w:line="360" w:lineRule="exact"/>
              <w:ind w:right="851"/>
              <w:jc w:val="right"/>
              <w:rPr>
                <w:lang w:val="en-GB"/>
              </w:rPr>
            </w:pPr>
            <w:r>
              <w:rPr>
                <w:lang w:val="en-GB"/>
              </w:rPr>
              <w:t>148,729</w:t>
            </w:r>
          </w:p>
        </w:tc>
      </w:tr>
      <w:tr w:rsidR="00000000">
        <w:tblPrEx>
          <w:tblCellMar>
            <w:top w:w="0" w:type="dxa"/>
            <w:bottom w:w="0" w:type="dxa"/>
          </w:tblCellMar>
        </w:tblPrEx>
        <w:tc>
          <w:tcPr>
            <w:tcW w:w="1785" w:type="dxa"/>
          </w:tcPr>
          <w:p w:rsidR="00000000" w:rsidRDefault="00000000">
            <w:pPr>
              <w:pStyle w:val="a2"/>
              <w:spacing w:line="360" w:lineRule="exact"/>
              <w:rPr>
                <w:lang w:val="en-GB"/>
              </w:rPr>
            </w:pPr>
            <w:r>
              <w:rPr>
                <w:lang w:val="en-GB"/>
              </w:rPr>
              <w:t>2000</w:t>
            </w:r>
            <w:r>
              <w:rPr>
                <w:rFonts w:hint="eastAsia"/>
                <w:lang w:val="en-GB"/>
              </w:rPr>
              <w:t>年</w:t>
            </w:r>
            <w:r>
              <w:rPr>
                <w:rFonts w:hint="eastAsia"/>
                <w:lang w:val="en-GB"/>
              </w:rPr>
              <w:t>6</w:t>
            </w:r>
            <w:r>
              <w:rPr>
                <w:rFonts w:hint="eastAsia"/>
                <w:lang w:val="en-GB"/>
              </w:rPr>
              <w:t>月</w:t>
            </w:r>
          </w:p>
        </w:tc>
        <w:tc>
          <w:tcPr>
            <w:tcW w:w="2520" w:type="dxa"/>
            <w:vAlign w:val="center"/>
          </w:tcPr>
          <w:p w:rsidR="00000000" w:rsidRDefault="00000000">
            <w:pPr>
              <w:pStyle w:val="a2"/>
              <w:spacing w:line="360" w:lineRule="exact"/>
              <w:ind w:right="851"/>
              <w:jc w:val="right"/>
              <w:rPr>
                <w:lang w:val="en-GB"/>
              </w:rPr>
            </w:pPr>
            <w:r>
              <w:rPr>
                <w:lang w:val="en-GB"/>
              </w:rPr>
              <w:t>375,265</w:t>
            </w:r>
          </w:p>
        </w:tc>
        <w:tc>
          <w:tcPr>
            <w:tcW w:w="2520" w:type="dxa"/>
            <w:vAlign w:val="center"/>
          </w:tcPr>
          <w:p w:rsidR="00000000" w:rsidRDefault="00000000">
            <w:pPr>
              <w:pStyle w:val="a2"/>
              <w:spacing w:line="360" w:lineRule="exact"/>
              <w:ind w:right="851"/>
              <w:jc w:val="right"/>
              <w:rPr>
                <w:lang w:val="en-GB"/>
              </w:rPr>
            </w:pPr>
            <w:r>
              <w:rPr>
                <w:lang w:val="en-GB"/>
              </w:rPr>
              <w:t>122,451</w:t>
            </w:r>
          </w:p>
        </w:tc>
        <w:tc>
          <w:tcPr>
            <w:tcW w:w="2520" w:type="dxa"/>
            <w:vAlign w:val="center"/>
          </w:tcPr>
          <w:p w:rsidR="00000000" w:rsidRDefault="00000000">
            <w:pPr>
              <w:pStyle w:val="a2"/>
              <w:spacing w:line="360" w:lineRule="exact"/>
              <w:ind w:right="851"/>
              <w:jc w:val="right"/>
              <w:rPr>
                <w:lang w:val="en-GB"/>
              </w:rPr>
            </w:pPr>
            <w:r>
              <w:rPr>
                <w:lang w:val="en-GB"/>
              </w:rPr>
              <w:t>147,339</w:t>
            </w:r>
          </w:p>
        </w:tc>
      </w:tr>
      <w:tr w:rsidR="00000000">
        <w:tblPrEx>
          <w:tblCellMar>
            <w:top w:w="0" w:type="dxa"/>
            <w:bottom w:w="0" w:type="dxa"/>
          </w:tblCellMar>
        </w:tblPrEx>
        <w:tc>
          <w:tcPr>
            <w:tcW w:w="1785" w:type="dxa"/>
          </w:tcPr>
          <w:p w:rsidR="00000000" w:rsidRDefault="00000000">
            <w:pPr>
              <w:pStyle w:val="a2"/>
              <w:spacing w:line="360" w:lineRule="exact"/>
              <w:rPr>
                <w:lang w:val="en-GB"/>
              </w:rPr>
            </w:pPr>
            <w:r>
              <w:rPr>
                <w:lang w:val="en-GB"/>
              </w:rPr>
              <w:t>2000</w:t>
            </w:r>
            <w:r>
              <w:rPr>
                <w:rFonts w:hint="eastAsia"/>
                <w:lang w:val="en-GB"/>
              </w:rPr>
              <w:t>年</w:t>
            </w:r>
            <w:r>
              <w:rPr>
                <w:rFonts w:hint="eastAsia"/>
                <w:lang w:val="en-GB"/>
              </w:rPr>
              <w:t>12</w:t>
            </w:r>
            <w:r>
              <w:rPr>
                <w:rFonts w:hint="eastAsia"/>
                <w:lang w:val="en-GB"/>
              </w:rPr>
              <w:t>月</w:t>
            </w:r>
          </w:p>
        </w:tc>
        <w:tc>
          <w:tcPr>
            <w:tcW w:w="2520" w:type="dxa"/>
            <w:vAlign w:val="center"/>
          </w:tcPr>
          <w:p w:rsidR="00000000" w:rsidRDefault="00000000">
            <w:pPr>
              <w:pStyle w:val="a2"/>
              <w:spacing w:line="360" w:lineRule="exact"/>
              <w:ind w:right="851"/>
              <w:jc w:val="right"/>
              <w:rPr>
                <w:lang w:val="en-GB"/>
              </w:rPr>
            </w:pPr>
            <w:r>
              <w:rPr>
                <w:lang w:val="en-GB"/>
              </w:rPr>
              <w:t>372,409</w:t>
            </w:r>
          </w:p>
        </w:tc>
        <w:tc>
          <w:tcPr>
            <w:tcW w:w="2520" w:type="dxa"/>
            <w:vAlign w:val="center"/>
          </w:tcPr>
          <w:p w:rsidR="00000000" w:rsidRDefault="00000000">
            <w:pPr>
              <w:pStyle w:val="a2"/>
              <w:spacing w:line="360" w:lineRule="exact"/>
              <w:ind w:right="851"/>
              <w:jc w:val="right"/>
              <w:rPr>
                <w:lang w:val="en-GB"/>
              </w:rPr>
            </w:pPr>
            <w:r>
              <w:rPr>
                <w:lang w:val="en-GB"/>
              </w:rPr>
              <w:t>122,458</w:t>
            </w:r>
          </w:p>
        </w:tc>
        <w:tc>
          <w:tcPr>
            <w:tcW w:w="2520" w:type="dxa"/>
            <w:vAlign w:val="center"/>
          </w:tcPr>
          <w:p w:rsidR="00000000" w:rsidRDefault="00000000">
            <w:pPr>
              <w:pStyle w:val="a2"/>
              <w:spacing w:line="360" w:lineRule="exact"/>
              <w:ind w:right="851"/>
              <w:jc w:val="right"/>
              <w:rPr>
                <w:lang w:val="en-GB"/>
              </w:rPr>
            </w:pPr>
            <w:r>
              <w:rPr>
                <w:lang w:val="en-GB"/>
              </w:rPr>
              <w:t>137,282</w:t>
            </w:r>
          </w:p>
        </w:tc>
      </w:tr>
    </w:tbl>
    <w:p w:rsidR="00000000" w:rsidRDefault="00000000">
      <w:pPr>
        <w:spacing w:line="240" w:lineRule="auto"/>
        <w:rPr>
          <w:i/>
          <w:iCs/>
          <w:sz w:val="20"/>
          <w:lang w:val="en-GB"/>
        </w:rPr>
      </w:pPr>
    </w:p>
    <w:p w:rsidR="00000000" w:rsidRDefault="00000000">
      <w:pPr>
        <w:pStyle w:val="FootnoteText"/>
        <w:rPr>
          <w:rFonts w:hint="eastAsia"/>
          <w:i/>
          <w:iCs/>
          <w:sz w:val="20"/>
          <w:lang w:val="en-GB"/>
        </w:rPr>
      </w:pPr>
      <w:r>
        <w:rPr>
          <w:rFonts w:hint="eastAsia"/>
          <w:sz w:val="20"/>
          <w:u w:val="single"/>
          <w:lang w:val="en-GB"/>
        </w:rPr>
        <w:t>资料来源</w:t>
      </w:r>
      <w:r>
        <w:rPr>
          <w:rFonts w:hint="eastAsia"/>
          <w:sz w:val="20"/>
          <w:lang w:val="en-GB"/>
        </w:rPr>
        <w:t>：就业局，按月提供的数据，每月结算数字。</w:t>
      </w:r>
    </w:p>
    <w:p w:rsidR="00000000" w:rsidRDefault="00000000">
      <w:pPr>
        <w:rPr>
          <w:lang w:val="en-GB"/>
        </w:rPr>
      </w:pPr>
    </w:p>
    <w:p w:rsidR="00000000" w:rsidRDefault="00000000">
      <w:pPr>
        <w:pStyle w:val="Heading3"/>
        <w:rPr>
          <w:rFonts w:ascii="Time New Roman" w:eastAsia="SimHei" w:hAnsi="Time New Roman"/>
          <w:u w:val="none"/>
          <w:lang w:val="en-GB"/>
        </w:rPr>
      </w:pPr>
      <w:r>
        <w:rPr>
          <w:rFonts w:ascii="Time New Roman" w:eastAsia="SimHei" w:hAnsi="Time New Roman" w:hint="eastAsia"/>
          <w:u w:val="none"/>
          <w:lang w:val="en-GB"/>
        </w:rPr>
        <w:t>领取替代收入的补助和社会支助的人数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15"/>
        <w:gridCol w:w="3747"/>
        <w:gridCol w:w="3748"/>
      </w:tblGrid>
      <w:tr w:rsidR="00000000">
        <w:tblPrEx>
          <w:tblCellMar>
            <w:top w:w="0" w:type="dxa"/>
            <w:bottom w:w="0" w:type="dxa"/>
          </w:tblCellMar>
        </w:tblPrEx>
        <w:tc>
          <w:tcPr>
            <w:tcW w:w="1815" w:type="dxa"/>
            <w:vAlign w:val="center"/>
          </w:tcPr>
          <w:p w:rsidR="00000000" w:rsidRDefault="00000000">
            <w:pPr>
              <w:pStyle w:val="a2"/>
              <w:spacing w:after="60"/>
              <w:jc w:val="center"/>
              <w:rPr>
                <w:rFonts w:hint="eastAsia"/>
                <w:lang w:val="en-GB"/>
              </w:rPr>
            </w:pPr>
            <w:r>
              <w:rPr>
                <w:rFonts w:hint="eastAsia"/>
                <w:lang w:val="en-GB"/>
              </w:rPr>
              <w:t>年</w:t>
            </w:r>
            <w:r>
              <w:rPr>
                <w:lang w:val="en-GB"/>
              </w:rPr>
              <w:t xml:space="preserve">  </w:t>
            </w:r>
            <w:r>
              <w:rPr>
                <w:rFonts w:hint="eastAsia"/>
                <w:lang w:val="en-GB"/>
              </w:rPr>
              <w:t>月</w:t>
            </w:r>
          </w:p>
        </w:tc>
        <w:tc>
          <w:tcPr>
            <w:tcW w:w="3747" w:type="dxa"/>
            <w:vAlign w:val="center"/>
          </w:tcPr>
          <w:p w:rsidR="00000000" w:rsidRDefault="00000000">
            <w:pPr>
              <w:pStyle w:val="a2"/>
              <w:spacing w:after="60"/>
              <w:jc w:val="center"/>
              <w:rPr>
                <w:lang w:val="en-GB"/>
              </w:rPr>
            </w:pPr>
            <w:r>
              <w:rPr>
                <w:rFonts w:hint="eastAsia"/>
                <w:lang w:val="en-GB"/>
              </w:rPr>
              <w:t>处于经济活跃年龄的失业人数</w:t>
            </w:r>
          </w:p>
        </w:tc>
        <w:tc>
          <w:tcPr>
            <w:tcW w:w="3748" w:type="dxa"/>
            <w:vAlign w:val="center"/>
          </w:tcPr>
          <w:p w:rsidR="00000000" w:rsidRDefault="00000000">
            <w:pPr>
              <w:pStyle w:val="a2"/>
              <w:spacing w:after="60"/>
              <w:jc w:val="center"/>
              <w:rPr>
                <w:lang w:val="en-GB"/>
              </w:rPr>
            </w:pPr>
            <w:r>
              <w:rPr>
                <w:rFonts w:hint="eastAsia"/>
                <w:lang w:val="en-GB"/>
              </w:rPr>
              <w:t>领取替代收入的补助的人数</w:t>
            </w:r>
          </w:p>
        </w:tc>
      </w:tr>
      <w:tr w:rsidR="00000000">
        <w:tblPrEx>
          <w:tblCellMar>
            <w:top w:w="0" w:type="dxa"/>
            <w:bottom w:w="0" w:type="dxa"/>
          </w:tblCellMar>
        </w:tblPrEx>
        <w:tc>
          <w:tcPr>
            <w:tcW w:w="1815" w:type="dxa"/>
          </w:tcPr>
          <w:p w:rsidR="00000000" w:rsidRDefault="00000000">
            <w:pPr>
              <w:pStyle w:val="a2"/>
              <w:spacing w:line="360" w:lineRule="exact"/>
              <w:rPr>
                <w:rFonts w:hint="eastAsia"/>
                <w:lang w:val="en-GB"/>
              </w:rPr>
            </w:pPr>
            <w:r>
              <w:rPr>
                <w:lang w:val="en-GB"/>
              </w:rPr>
              <w:t>2001</w:t>
            </w:r>
            <w:r>
              <w:rPr>
                <w:rFonts w:hint="eastAsia"/>
                <w:lang w:val="en-GB"/>
              </w:rPr>
              <w:t>年</w:t>
            </w:r>
            <w:r>
              <w:rPr>
                <w:rFonts w:hint="eastAsia"/>
                <w:lang w:val="en-GB"/>
              </w:rPr>
              <w:t>6</w:t>
            </w:r>
            <w:r>
              <w:rPr>
                <w:rFonts w:hint="eastAsia"/>
                <w:lang w:val="en-GB"/>
              </w:rPr>
              <w:t>月</w:t>
            </w:r>
          </w:p>
        </w:tc>
        <w:tc>
          <w:tcPr>
            <w:tcW w:w="3747" w:type="dxa"/>
            <w:vAlign w:val="center"/>
          </w:tcPr>
          <w:p w:rsidR="00000000" w:rsidRDefault="00000000">
            <w:pPr>
              <w:pStyle w:val="a2"/>
              <w:spacing w:line="360" w:lineRule="exact"/>
              <w:jc w:val="center"/>
              <w:rPr>
                <w:lang w:val="en-GB"/>
              </w:rPr>
            </w:pPr>
            <w:r>
              <w:rPr>
                <w:lang w:val="en-GB"/>
              </w:rPr>
              <w:t>88,391</w:t>
            </w:r>
          </w:p>
        </w:tc>
        <w:tc>
          <w:tcPr>
            <w:tcW w:w="3748" w:type="dxa"/>
            <w:vAlign w:val="center"/>
          </w:tcPr>
          <w:p w:rsidR="00000000" w:rsidRDefault="00000000">
            <w:pPr>
              <w:pStyle w:val="a2"/>
              <w:spacing w:line="360" w:lineRule="exact"/>
              <w:jc w:val="center"/>
              <w:rPr>
                <w:lang w:val="en-GB"/>
              </w:rPr>
            </w:pPr>
            <w:r>
              <w:rPr>
                <w:lang w:val="en-GB"/>
              </w:rPr>
              <w:t>53,460</w:t>
            </w:r>
          </w:p>
        </w:tc>
      </w:tr>
      <w:tr w:rsidR="00000000">
        <w:tblPrEx>
          <w:tblCellMar>
            <w:top w:w="0" w:type="dxa"/>
            <w:bottom w:w="0" w:type="dxa"/>
          </w:tblCellMar>
        </w:tblPrEx>
        <w:tc>
          <w:tcPr>
            <w:tcW w:w="1815" w:type="dxa"/>
          </w:tcPr>
          <w:p w:rsidR="00000000" w:rsidRDefault="00000000">
            <w:pPr>
              <w:pStyle w:val="a2"/>
              <w:spacing w:line="360" w:lineRule="exact"/>
              <w:rPr>
                <w:rFonts w:hint="eastAsia"/>
                <w:lang w:val="en-GB"/>
              </w:rPr>
            </w:pPr>
            <w:r>
              <w:rPr>
                <w:lang w:val="en-GB"/>
              </w:rPr>
              <w:t>2001</w:t>
            </w:r>
            <w:r>
              <w:rPr>
                <w:rFonts w:hint="eastAsia"/>
                <w:lang w:val="en-GB"/>
              </w:rPr>
              <w:t>年</w:t>
            </w:r>
            <w:r>
              <w:rPr>
                <w:rFonts w:hint="eastAsia"/>
                <w:lang w:val="en-GB"/>
              </w:rPr>
              <w:t>12</w:t>
            </w:r>
            <w:r>
              <w:rPr>
                <w:rFonts w:hint="eastAsia"/>
                <w:lang w:val="en-GB"/>
              </w:rPr>
              <w:t>月</w:t>
            </w:r>
          </w:p>
        </w:tc>
        <w:tc>
          <w:tcPr>
            <w:tcW w:w="3747" w:type="dxa"/>
            <w:vAlign w:val="center"/>
          </w:tcPr>
          <w:p w:rsidR="00000000" w:rsidRDefault="00000000">
            <w:pPr>
              <w:pStyle w:val="a2"/>
              <w:spacing w:line="360" w:lineRule="exact"/>
              <w:jc w:val="center"/>
              <w:rPr>
                <w:lang w:val="en-GB"/>
              </w:rPr>
            </w:pPr>
            <w:r>
              <w:rPr>
                <w:lang w:val="en-GB"/>
              </w:rPr>
              <w:t>106,835</w:t>
            </w:r>
          </w:p>
        </w:tc>
        <w:tc>
          <w:tcPr>
            <w:tcW w:w="3748" w:type="dxa"/>
            <w:vAlign w:val="center"/>
          </w:tcPr>
          <w:p w:rsidR="00000000" w:rsidRDefault="00000000">
            <w:pPr>
              <w:pStyle w:val="a2"/>
              <w:spacing w:line="360" w:lineRule="exact"/>
              <w:jc w:val="center"/>
              <w:rPr>
                <w:lang w:val="en-GB"/>
              </w:rPr>
            </w:pPr>
            <w:r>
              <w:rPr>
                <w:lang w:val="en-GB"/>
              </w:rPr>
              <w:t>26,109</w:t>
            </w:r>
          </w:p>
        </w:tc>
      </w:tr>
      <w:tr w:rsidR="00000000">
        <w:tblPrEx>
          <w:tblCellMar>
            <w:top w:w="0" w:type="dxa"/>
            <w:bottom w:w="0" w:type="dxa"/>
          </w:tblCellMar>
        </w:tblPrEx>
        <w:tc>
          <w:tcPr>
            <w:tcW w:w="1815" w:type="dxa"/>
          </w:tcPr>
          <w:p w:rsidR="00000000" w:rsidRDefault="00000000">
            <w:pPr>
              <w:pStyle w:val="a2"/>
              <w:spacing w:line="360" w:lineRule="exact"/>
              <w:rPr>
                <w:lang w:val="en-GB"/>
              </w:rPr>
            </w:pPr>
            <w:r>
              <w:rPr>
                <w:lang w:val="en-GB"/>
              </w:rPr>
              <w:t>2002</w:t>
            </w:r>
            <w:r>
              <w:rPr>
                <w:rFonts w:hint="eastAsia"/>
                <w:lang w:val="en-GB"/>
              </w:rPr>
              <w:t>年</w:t>
            </w:r>
            <w:r>
              <w:rPr>
                <w:rFonts w:hint="eastAsia"/>
                <w:lang w:val="en-GB"/>
              </w:rPr>
              <w:t>6</w:t>
            </w:r>
            <w:r>
              <w:rPr>
                <w:rFonts w:hint="eastAsia"/>
                <w:lang w:val="en-GB"/>
              </w:rPr>
              <w:t>月</w:t>
            </w:r>
          </w:p>
        </w:tc>
        <w:tc>
          <w:tcPr>
            <w:tcW w:w="3747" w:type="dxa"/>
            <w:vAlign w:val="center"/>
          </w:tcPr>
          <w:p w:rsidR="00000000" w:rsidRDefault="00000000">
            <w:pPr>
              <w:pStyle w:val="a2"/>
              <w:spacing w:line="360" w:lineRule="exact"/>
              <w:jc w:val="center"/>
              <w:rPr>
                <w:lang w:val="en-GB"/>
              </w:rPr>
            </w:pPr>
            <w:r>
              <w:rPr>
                <w:lang w:val="en-GB"/>
              </w:rPr>
              <w:t>125,070</w:t>
            </w:r>
          </w:p>
        </w:tc>
        <w:tc>
          <w:tcPr>
            <w:tcW w:w="3748" w:type="dxa"/>
            <w:vAlign w:val="center"/>
          </w:tcPr>
          <w:p w:rsidR="00000000" w:rsidRDefault="00000000">
            <w:pPr>
              <w:pStyle w:val="a2"/>
              <w:spacing w:line="360" w:lineRule="exact"/>
              <w:jc w:val="center"/>
              <w:rPr>
                <w:lang w:val="en-GB"/>
              </w:rPr>
            </w:pPr>
            <w:r>
              <w:rPr>
                <w:lang w:val="en-GB"/>
              </w:rPr>
              <w:t>4,964</w:t>
            </w:r>
          </w:p>
        </w:tc>
      </w:tr>
      <w:tr w:rsidR="00000000">
        <w:tblPrEx>
          <w:tblCellMar>
            <w:top w:w="0" w:type="dxa"/>
            <w:bottom w:w="0" w:type="dxa"/>
          </w:tblCellMar>
        </w:tblPrEx>
        <w:tc>
          <w:tcPr>
            <w:tcW w:w="1815" w:type="dxa"/>
          </w:tcPr>
          <w:p w:rsidR="00000000" w:rsidRDefault="00000000">
            <w:pPr>
              <w:pStyle w:val="a2"/>
              <w:spacing w:line="360" w:lineRule="exact"/>
              <w:rPr>
                <w:lang w:val="en-GB"/>
              </w:rPr>
            </w:pPr>
            <w:r>
              <w:rPr>
                <w:lang w:val="en-GB"/>
              </w:rPr>
              <w:t>2002</w:t>
            </w:r>
            <w:r>
              <w:rPr>
                <w:rFonts w:hint="eastAsia"/>
                <w:lang w:val="en-GB"/>
              </w:rPr>
              <w:t>年</w:t>
            </w:r>
            <w:r>
              <w:rPr>
                <w:rFonts w:hint="eastAsia"/>
                <w:lang w:val="en-GB"/>
              </w:rPr>
              <w:t>12</w:t>
            </w:r>
            <w:r>
              <w:rPr>
                <w:rFonts w:hint="eastAsia"/>
                <w:lang w:val="en-GB"/>
              </w:rPr>
              <w:t>月</w:t>
            </w:r>
          </w:p>
        </w:tc>
        <w:tc>
          <w:tcPr>
            <w:tcW w:w="3747" w:type="dxa"/>
            <w:vAlign w:val="center"/>
          </w:tcPr>
          <w:p w:rsidR="00000000" w:rsidRDefault="00000000">
            <w:pPr>
              <w:pStyle w:val="a2"/>
              <w:spacing w:line="360" w:lineRule="exact"/>
              <w:jc w:val="center"/>
              <w:rPr>
                <w:lang w:val="en-GB"/>
              </w:rPr>
            </w:pPr>
            <w:r>
              <w:rPr>
                <w:lang w:val="en-GB"/>
              </w:rPr>
              <w:t>131,203</w:t>
            </w:r>
          </w:p>
        </w:tc>
        <w:tc>
          <w:tcPr>
            <w:tcW w:w="3748" w:type="dxa"/>
            <w:vAlign w:val="center"/>
          </w:tcPr>
          <w:p w:rsidR="00000000" w:rsidRDefault="00000000">
            <w:pPr>
              <w:pStyle w:val="a2"/>
              <w:spacing w:line="360" w:lineRule="exact"/>
              <w:jc w:val="center"/>
              <w:rPr>
                <w:lang w:val="en-GB"/>
              </w:rPr>
            </w:pPr>
            <w:r>
              <w:rPr>
                <w:lang w:val="en-GB"/>
              </w:rPr>
              <w:t>1,151</w:t>
            </w:r>
          </w:p>
        </w:tc>
      </w:tr>
      <w:tr w:rsidR="00000000">
        <w:tblPrEx>
          <w:tblCellMar>
            <w:top w:w="0" w:type="dxa"/>
            <w:bottom w:w="0" w:type="dxa"/>
          </w:tblCellMar>
        </w:tblPrEx>
        <w:tc>
          <w:tcPr>
            <w:tcW w:w="1815" w:type="dxa"/>
          </w:tcPr>
          <w:p w:rsidR="00000000" w:rsidRDefault="00000000">
            <w:pPr>
              <w:pStyle w:val="a2"/>
              <w:spacing w:line="360" w:lineRule="exact"/>
              <w:rPr>
                <w:lang w:val="en-GB"/>
              </w:rPr>
            </w:pPr>
            <w:r>
              <w:rPr>
                <w:lang w:val="en-GB"/>
              </w:rPr>
              <w:t>2003</w:t>
            </w:r>
            <w:r>
              <w:rPr>
                <w:rFonts w:hint="eastAsia"/>
                <w:lang w:val="en-GB"/>
              </w:rPr>
              <w:t>年</w:t>
            </w:r>
            <w:r>
              <w:rPr>
                <w:rFonts w:hint="eastAsia"/>
                <w:lang w:val="en-GB"/>
              </w:rPr>
              <w:t>6</w:t>
            </w:r>
            <w:r>
              <w:rPr>
                <w:rFonts w:hint="eastAsia"/>
                <w:lang w:val="en-GB"/>
              </w:rPr>
              <w:t>月</w:t>
            </w:r>
          </w:p>
        </w:tc>
        <w:tc>
          <w:tcPr>
            <w:tcW w:w="3747" w:type="dxa"/>
            <w:vAlign w:val="center"/>
          </w:tcPr>
          <w:p w:rsidR="00000000" w:rsidRDefault="00000000">
            <w:pPr>
              <w:pStyle w:val="a2"/>
              <w:spacing w:line="360" w:lineRule="exact"/>
              <w:jc w:val="center"/>
              <w:rPr>
                <w:rFonts w:hint="eastAsia"/>
                <w:lang w:val="en-GB"/>
              </w:rPr>
            </w:pPr>
            <w:r>
              <w:rPr>
                <w:rFonts w:hint="eastAsia"/>
                <w:lang w:val="en-GB"/>
              </w:rPr>
              <w:t>缺</w:t>
            </w:r>
          </w:p>
        </w:tc>
        <w:tc>
          <w:tcPr>
            <w:tcW w:w="3748" w:type="dxa"/>
            <w:vAlign w:val="center"/>
          </w:tcPr>
          <w:p w:rsidR="00000000" w:rsidRDefault="00000000">
            <w:pPr>
              <w:pStyle w:val="a2"/>
              <w:spacing w:line="360" w:lineRule="exact"/>
              <w:jc w:val="center"/>
              <w:rPr>
                <w:lang w:val="en-GB"/>
              </w:rPr>
            </w:pPr>
            <w:r>
              <w:rPr>
                <w:lang w:val="en-GB"/>
              </w:rPr>
              <w:t>825</w:t>
            </w:r>
          </w:p>
        </w:tc>
      </w:tr>
      <w:tr w:rsidR="00000000">
        <w:tblPrEx>
          <w:tblCellMar>
            <w:top w:w="0" w:type="dxa"/>
            <w:bottom w:w="0" w:type="dxa"/>
          </w:tblCellMar>
        </w:tblPrEx>
        <w:tc>
          <w:tcPr>
            <w:tcW w:w="1815" w:type="dxa"/>
          </w:tcPr>
          <w:p w:rsidR="00000000" w:rsidRDefault="00000000">
            <w:pPr>
              <w:pStyle w:val="a2"/>
              <w:spacing w:line="360" w:lineRule="exact"/>
              <w:rPr>
                <w:lang w:val="en-GB"/>
              </w:rPr>
            </w:pPr>
            <w:r>
              <w:rPr>
                <w:lang w:val="en-GB"/>
              </w:rPr>
              <w:t>2003</w:t>
            </w:r>
            <w:r>
              <w:rPr>
                <w:rFonts w:hint="eastAsia"/>
                <w:lang w:val="en-GB"/>
              </w:rPr>
              <w:t>年</w:t>
            </w:r>
            <w:r>
              <w:rPr>
                <w:rFonts w:hint="eastAsia"/>
                <w:lang w:val="en-GB"/>
              </w:rPr>
              <w:t>12</w:t>
            </w:r>
            <w:r>
              <w:rPr>
                <w:rFonts w:hint="eastAsia"/>
                <w:lang w:val="en-GB"/>
              </w:rPr>
              <w:t>月</w:t>
            </w:r>
          </w:p>
        </w:tc>
        <w:tc>
          <w:tcPr>
            <w:tcW w:w="3747" w:type="dxa"/>
            <w:vAlign w:val="center"/>
          </w:tcPr>
          <w:p w:rsidR="00000000" w:rsidRDefault="00000000">
            <w:pPr>
              <w:pStyle w:val="a2"/>
              <w:spacing w:line="360" w:lineRule="exact"/>
              <w:jc w:val="center"/>
              <w:rPr>
                <w:rFonts w:hint="eastAsia"/>
                <w:lang w:val="en-GB"/>
              </w:rPr>
            </w:pPr>
            <w:r>
              <w:rPr>
                <w:rFonts w:hint="eastAsia"/>
                <w:lang w:val="en-GB"/>
              </w:rPr>
              <w:t>缺</w:t>
            </w:r>
          </w:p>
        </w:tc>
        <w:tc>
          <w:tcPr>
            <w:tcW w:w="3748" w:type="dxa"/>
            <w:vAlign w:val="center"/>
          </w:tcPr>
          <w:p w:rsidR="00000000" w:rsidRDefault="00000000">
            <w:pPr>
              <w:pStyle w:val="a2"/>
              <w:spacing w:line="360" w:lineRule="exact"/>
              <w:jc w:val="center"/>
              <w:rPr>
                <w:lang w:val="en-GB"/>
              </w:rPr>
            </w:pPr>
            <w:r>
              <w:rPr>
                <w:lang w:val="en-GB"/>
              </w:rPr>
              <w:t>582</w:t>
            </w:r>
          </w:p>
        </w:tc>
      </w:tr>
    </w:tbl>
    <w:p w:rsidR="00000000" w:rsidRDefault="00000000">
      <w:pPr>
        <w:spacing w:line="240" w:lineRule="auto"/>
        <w:rPr>
          <w:i/>
          <w:sz w:val="20"/>
          <w:lang w:val="en-GB"/>
        </w:rPr>
      </w:pPr>
    </w:p>
    <w:p w:rsidR="00000000" w:rsidRDefault="00000000">
      <w:pPr>
        <w:pStyle w:val="FootnoteText"/>
        <w:rPr>
          <w:rFonts w:hint="eastAsia"/>
          <w:iCs/>
          <w:sz w:val="20"/>
          <w:lang w:val="en-GB"/>
        </w:rPr>
      </w:pPr>
      <w:r>
        <w:rPr>
          <w:rFonts w:hint="eastAsia"/>
          <w:iCs/>
          <w:sz w:val="20"/>
          <w:u w:val="single"/>
          <w:lang w:val="en-GB"/>
        </w:rPr>
        <w:t>资料来源</w:t>
      </w:r>
      <w:r>
        <w:rPr>
          <w:rFonts w:hint="eastAsia"/>
          <w:iCs/>
          <w:sz w:val="20"/>
          <w:lang w:val="en-GB"/>
        </w:rPr>
        <w:t>：中央统计局。</w:t>
      </w:r>
    </w:p>
    <w:p w:rsidR="00000000" w:rsidRDefault="00000000">
      <w:pPr>
        <w:rPr>
          <w:rFonts w:hint="eastAsia"/>
        </w:rPr>
      </w:pPr>
    </w:p>
    <w:p w:rsidR="00000000" w:rsidRDefault="00000000">
      <w:pPr>
        <w:pStyle w:val="Heading2"/>
        <w:rPr>
          <w:rFonts w:hint="eastAsia"/>
        </w:rPr>
      </w:pPr>
      <w:r>
        <w:br w:type="page"/>
      </w:r>
      <w:r>
        <w:rPr>
          <w:rFonts w:hint="eastAsia"/>
        </w:rPr>
        <w:t>第十条</w:t>
      </w:r>
      <w:r>
        <w:rPr>
          <w:rFonts w:hint="eastAsia"/>
          <w:spacing w:val="-50"/>
        </w:rPr>
        <w:t>―</w:t>
      </w:r>
      <w:r>
        <w:rPr>
          <w:rFonts w:hint="eastAsia"/>
        </w:rPr>
        <w:t>―保护家庭、母亲和儿童</w:t>
      </w:r>
    </w:p>
    <w:p w:rsidR="00000000" w:rsidRDefault="00000000">
      <w:pPr>
        <w:rPr>
          <w:rFonts w:hint="eastAsia"/>
        </w:rPr>
      </w:pPr>
      <w:r>
        <w:tab/>
      </w:r>
      <w:r>
        <w:rPr>
          <w:rFonts w:hint="eastAsia"/>
        </w:rPr>
        <w:t>255.</w:t>
      </w:r>
      <w:r>
        <w:t xml:space="preserve">  </w:t>
      </w:r>
      <w:r>
        <w:rPr>
          <w:rFonts w:hint="eastAsia"/>
        </w:rPr>
        <w:t>匈牙利共和国法律采用多种手段确保母亲和儿童在社会和经济上得到保护。《宪法》第</w:t>
      </w:r>
      <w:r>
        <w:rPr>
          <w:rFonts w:hint="eastAsia"/>
        </w:rPr>
        <w:t>67</w:t>
      </w:r>
      <w:r>
        <w:rPr>
          <w:rFonts w:hint="eastAsia"/>
        </w:rPr>
        <w:t>条规定：“</w:t>
      </w:r>
      <w:r>
        <w:rPr>
          <w:rFonts w:eastAsia="KaiTi_GB2312" w:hint="eastAsia"/>
          <w:snapToGrid/>
          <w:spacing w:val="0"/>
        </w:rPr>
        <w:t>(1)</w:t>
      </w:r>
      <w:r>
        <w:rPr>
          <w:rFonts w:eastAsia="KaiTi_GB2312"/>
          <w:snapToGrid/>
          <w:spacing w:val="0"/>
        </w:rPr>
        <w:t xml:space="preserve"> </w:t>
      </w:r>
      <w:r>
        <w:rPr>
          <w:rFonts w:eastAsia="KaiTi_GB2312" w:hint="eastAsia"/>
          <w:snapToGrid/>
          <w:spacing w:val="0"/>
        </w:rPr>
        <w:t>在匈牙利共和国，所有儿童均有权从其家庭以及国家和社会得到使其身心和道德上健康成长所必需的保护和照料。</w:t>
      </w:r>
      <w:r>
        <w:rPr>
          <w:rFonts w:eastAsia="KaiTi_GB2312" w:hint="eastAsia"/>
          <w:snapToGrid/>
          <w:spacing w:val="0"/>
        </w:rPr>
        <w:t>(3)</w:t>
      </w:r>
      <w:r>
        <w:rPr>
          <w:rFonts w:eastAsia="KaiTi_GB2312"/>
          <w:snapToGrid/>
          <w:spacing w:val="0"/>
        </w:rPr>
        <w:t xml:space="preserve"> </w:t>
      </w:r>
      <w:r>
        <w:rPr>
          <w:rFonts w:eastAsia="KaiTi_GB2312" w:hint="eastAsia"/>
          <w:snapToGrid/>
          <w:spacing w:val="0"/>
        </w:rPr>
        <w:t>另有专门条例规定国家在家庭和青年的处境与保护方面所应承担的责任。</w:t>
      </w:r>
      <w:r>
        <w:rPr>
          <w:rFonts w:hint="eastAsia"/>
        </w:rPr>
        <w:t>”</w:t>
      </w:r>
    </w:p>
    <w:p w:rsidR="00000000" w:rsidRDefault="00000000">
      <w:pPr>
        <w:rPr>
          <w:rFonts w:hint="eastAsia"/>
        </w:rPr>
      </w:pPr>
      <w:r>
        <w:tab/>
      </w:r>
      <w:r>
        <w:rPr>
          <w:rFonts w:hint="eastAsia"/>
        </w:rPr>
        <w:t>256.</w:t>
      </w:r>
      <w:r>
        <w:t xml:space="preserve">  </w:t>
      </w:r>
      <w:r>
        <w:rPr>
          <w:rFonts w:hint="eastAsia"/>
        </w:rPr>
        <w:t>《儿童保护法》概述了最重要的儿童权利，主要包括获得国家补助、由本人家庭抚养、保护其不受虐待和剥削、只在符合儿童利益的情况下与其父母分开，以及不得仅以经济原因而被迫脱离家庭等权利。《儿童保护法令》以多种现金福利形式为经济困难的多子女家庭提供援助。</w:t>
      </w:r>
    </w:p>
    <w:p w:rsidR="00000000" w:rsidRDefault="00000000">
      <w:pPr>
        <w:rPr>
          <w:rFonts w:hint="eastAsia"/>
        </w:rPr>
      </w:pPr>
      <w:r>
        <w:tab/>
      </w:r>
      <w:r>
        <w:rPr>
          <w:rFonts w:hint="eastAsia"/>
        </w:rPr>
        <w:t>257.</w:t>
      </w:r>
      <w:r>
        <w:t xml:space="preserve">  </w:t>
      </w:r>
      <w:r>
        <w:rPr>
          <w:rFonts w:hint="eastAsia"/>
        </w:rPr>
        <w:t>在匈牙利社会，家庭这一社会学概念使用范围很广。按照这一概念，家庭是社会的基本组成单位。一小群人共同生活在一起，由婚姻、家系或领养关系联结一起。统计概念范围略窄：只有父母和与其生活在一起的未婚子女被视为家庭成员。按照后一概念，可划分出三类家庭：</w:t>
      </w:r>
    </w:p>
    <w:p w:rsidR="00000000" w:rsidRDefault="00000000">
      <w:pPr>
        <w:pStyle w:val="a0"/>
        <w:ind w:left="1550"/>
        <w:rPr>
          <w:rFonts w:hint="eastAsia"/>
        </w:rPr>
      </w:pPr>
      <w:r>
        <w:rPr>
          <w:rFonts w:hint="eastAsia"/>
        </w:rPr>
        <w:t>已婚夫妇</w:t>
      </w:r>
    </w:p>
    <w:p w:rsidR="00000000" w:rsidRDefault="00000000">
      <w:pPr>
        <w:pStyle w:val="a0"/>
        <w:ind w:left="1550"/>
        <w:rPr>
          <w:rFonts w:hint="eastAsia"/>
        </w:rPr>
      </w:pPr>
      <w:r>
        <w:rPr>
          <w:rFonts w:hint="eastAsia"/>
        </w:rPr>
        <w:t>有子女的已婚夫妇</w:t>
      </w:r>
    </w:p>
    <w:p w:rsidR="00000000" w:rsidRDefault="00000000">
      <w:pPr>
        <w:pStyle w:val="a0"/>
        <w:ind w:left="1550"/>
        <w:rPr>
          <w:rFonts w:hint="eastAsia"/>
        </w:rPr>
      </w:pPr>
      <w:r>
        <w:rPr>
          <w:rFonts w:hint="eastAsia"/>
        </w:rPr>
        <w:t>有子女的单身父亲</w:t>
      </w:r>
      <w:r>
        <w:rPr>
          <w:rFonts w:hint="eastAsia"/>
        </w:rPr>
        <w:t>/</w:t>
      </w:r>
      <w:r>
        <w:rPr>
          <w:rFonts w:hint="eastAsia"/>
        </w:rPr>
        <w:t>母亲</w:t>
      </w:r>
    </w:p>
    <w:p w:rsidR="00000000" w:rsidRDefault="00000000">
      <w:pPr>
        <w:rPr>
          <w:rFonts w:hint="eastAsia"/>
        </w:rPr>
      </w:pPr>
      <w:r>
        <w:tab/>
      </w:r>
      <w:r>
        <w:rPr>
          <w:rFonts w:hint="eastAsia"/>
        </w:rPr>
        <w:t>258.</w:t>
      </w:r>
      <w:r>
        <w:t xml:space="preserve">  </w:t>
      </w:r>
      <w:r>
        <w:rPr>
          <w:rFonts w:hint="eastAsia"/>
        </w:rPr>
        <w:t>在匈牙利，儿童年满</w:t>
      </w:r>
      <w:r>
        <w:rPr>
          <w:rFonts w:hint="eastAsia"/>
        </w:rPr>
        <w:t>18</w:t>
      </w:r>
      <w:r>
        <w:rPr>
          <w:rFonts w:hint="eastAsia"/>
        </w:rPr>
        <w:t>岁即为法定成年，或者根据《关于家庭法的法令》规定，未成年人年满</w:t>
      </w:r>
      <w:r>
        <w:rPr>
          <w:rFonts w:hint="eastAsia"/>
        </w:rPr>
        <w:t>16</w:t>
      </w:r>
      <w:r>
        <w:rPr>
          <w:rFonts w:hint="eastAsia"/>
        </w:rPr>
        <w:t>岁，若征得公共监护当局的同意，可以结婚，因此而成为法定成年人。</w:t>
      </w:r>
    </w:p>
    <w:p w:rsidR="00000000" w:rsidRDefault="00000000">
      <w:pPr>
        <w:rPr>
          <w:rFonts w:hint="eastAsia"/>
        </w:rPr>
      </w:pPr>
      <w:r>
        <w:tab/>
      </w:r>
      <w:r>
        <w:rPr>
          <w:rFonts w:hint="eastAsia"/>
        </w:rPr>
        <w:t>259.</w:t>
      </w:r>
      <w:r>
        <w:t xml:space="preserve">  </w:t>
      </w:r>
      <w:r>
        <w:rPr>
          <w:rFonts w:hint="eastAsia"/>
        </w:rPr>
        <w:t>当事双方若缔结婚姻，均须到场登记，亲自声明他们想要结婚。公开举行婚姻仪式。结婚之前，准备结婚的当事双方应向登记员声明，尽其所知，他们的婚姻不存在任何法律障碍，他们还须证明这一点。</w:t>
      </w:r>
    </w:p>
    <w:p w:rsidR="00000000" w:rsidRDefault="00000000">
      <w:pPr>
        <w:spacing w:after="320"/>
        <w:rPr>
          <w:rFonts w:hint="eastAsia"/>
        </w:rPr>
      </w:pPr>
      <w:r>
        <w:tab/>
      </w:r>
      <w:r>
        <w:rPr>
          <w:rFonts w:hint="eastAsia"/>
        </w:rPr>
        <w:t>260.</w:t>
      </w:r>
      <w:r>
        <w:t xml:space="preserve">  </w:t>
      </w:r>
      <w:r>
        <w:rPr>
          <w:rFonts w:hint="eastAsia"/>
        </w:rPr>
        <w:t>为子女的供养和抚养提供经济支助的系统有四大支柱：</w:t>
      </w:r>
      <w:r>
        <w:rPr>
          <w:rFonts w:hint="eastAsia"/>
        </w:rPr>
        <w:t>(A)</w:t>
      </w:r>
      <w:r>
        <w:t xml:space="preserve"> </w:t>
      </w:r>
      <w:r>
        <w:rPr>
          <w:rFonts w:hint="eastAsia"/>
        </w:rPr>
        <w:t>家庭补助；</w:t>
      </w:r>
      <w:r>
        <w:rPr>
          <w:rFonts w:hint="eastAsia"/>
        </w:rPr>
        <w:t>(B)</w:t>
      </w:r>
      <w:r>
        <w:t xml:space="preserve"> </w:t>
      </w:r>
      <w:r>
        <w:rPr>
          <w:rFonts w:hint="eastAsia"/>
        </w:rPr>
        <w:t>低收入家庭现金支助；</w:t>
      </w:r>
      <w:r>
        <w:rPr>
          <w:rFonts w:hint="eastAsia"/>
        </w:rPr>
        <w:t>(C)</w:t>
      </w:r>
      <w:r>
        <w:t xml:space="preserve"> </w:t>
      </w:r>
      <w:r>
        <w:rPr>
          <w:rFonts w:hint="eastAsia"/>
        </w:rPr>
        <w:t>受抚养子女减免税；</w:t>
      </w:r>
      <w:r>
        <w:rPr>
          <w:rFonts w:hint="eastAsia"/>
        </w:rPr>
        <w:t>(D)</w:t>
      </w:r>
      <w:r>
        <w:t xml:space="preserve"> </w:t>
      </w:r>
      <w:r>
        <w:rPr>
          <w:rFonts w:hint="eastAsia"/>
        </w:rPr>
        <w:t>组建家庭补助。</w:t>
      </w:r>
    </w:p>
    <w:p w:rsidR="00000000" w:rsidRDefault="00000000">
      <w:pPr>
        <w:pStyle w:val="Heading3"/>
        <w:rPr>
          <w:rFonts w:hint="eastAsia"/>
        </w:rPr>
      </w:pPr>
      <w:r>
        <w:rPr>
          <w:rFonts w:hint="eastAsia"/>
        </w:rPr>
        <w:t>家庭补助</w:t>
      </w:r>
    </w:p>
    <w:p w:rsidR="00000000" w:rsidRDefault="00000000">
      <w:pPr>
        <w:spacing w:after="320"/>
        <w:ind w:firstLine="510"/>
        <w:rPr>
          <w:rFonts w:hint="eastAsia"/>
        </w:rPr>
      </w:pPr>
      <w:r>
        <w:rPr>
          <w:rFonts w:hint="eastAsia"/>
        </w:rPr>
        <w:t xml:space="preserve">261.  </w:t>
      </w:r>
      <w:r>
        <w:rPr>
          <w:rFonts w:hint="eastAsia"/>
        </w:rPr>
        <w:t>国家以多种渠道为儿童抚养提供现金补助。这些制度一方面可帮助支付儿童抚养费，一方面则可替代父母因照顾子女而失去的收入。对儿童抚养费的补助有直接补助和间接</w:t>
      </w:r>
      <w:r>
        <w:rPr>
          <w:rFonts w:hint="eastAsia"/>
        </w:rPr>
        <w:t>(</w:t>
      </w:r>
      <w:r>
        <w:rPr>
          <w:rFonts w:hint="eastAsia"/>
        </w:rPr>
        <w:t>即通过税收系统</w:t>
      </w:r>
      <w:r>
        <w:rPr>
          <w:rFonts w:hint="eastAsia"/>
        </w:rPr>
        <w:t>)</w:t>
      </w:r>
      <w:r>
        <w:rPr>
          <w:rFonts w:hint="eastAsia"/>
        </w:rPr>
        <w:t>补助两种形式。</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 xml:space="preserve">A/1  </w:t>
      </w:r>
      <w:r>
        <w:rPr>
          <w:rFonts w:eastAsia="KaiTi_GB2312" w:hint="eastAsia"/>
          <w:snapToGrid/>
          <w:spacing w:val="0"/>
          <w:u w:val="none"/>
          <w:lang w:val="fr-FR"/>
        </w:rPr>
        <w:t>儿童抚养津贴：家庭津贴和就学补助</w:t>
      </w:r>
    </w:p>
    <w:p w:rsidR="00000000" w:rsidRDefault="00000000">
      <w:pPr>
        <w:ind w:firstLine="510"/>
        <w:rPr>
          <w:rFonts w:hint="eastAsia"/>
        </w:rPr>
      </w:pPr>
      <w:r>
        <w:rPr>
          <w:rFonts w:hint="eastAsia"/>
        </w:rPr>
        <w:t xml:space="preserve">262.  </w:t>
      </w:r>
      <w:r>
        <w:rPr>
          <w:rFonts w:hint="eastAsia"/>
        </w:rPr>
        <w:t>凡有</w:t>
      </w:r>
      <w:r>
        <w:rPr>
          <w:rFonts w:hint="eastAsia"/>
        </w:rPr>
        <w:t>16</w:t>
      </w:r>
      <w:r>
        <w:rPr>
          <w:rFonts w:hint="eastAsia"/>
        </w:rPr>
        <w:t>岁以下子女</w:t>
      </w:r>
      <w:r>
        <w:rPr>
          <w:rFonts w:hint="eastAsia"/>
        </w:rPr>
        <w:t>(</w:t>
      </w:r>
      <w:r>
        <w:rPr>
          <w:rFonts w:hint="eastAsia"/>
        </w:rPr>
        <w:t>或在小学或中学就读的未满</w:t>
      </w:r>
      <w:r>
        <w:rPr>
          <w:rFonts w:hint="eastAsia"/>
        </w:rPr>
        <w:t>20</w:t>
      </w:r>
      <w:r>
        <w:rPr>
          <w:rFonts w:hint="eastAsia"/>
        </w:rPr>
        <w:t>岁的子女</w:t>
      </w:r>
      <w:r>
        <w:rPr>
          <w:rFonts w:hint="eastAsia"/>
        </w:rPr>
        <w:t>)</w:t>
      </w:r>
      <w:r>
        <w:rPr>
          <w:rFonts w:hint="eastAsia"/>
        </w:rPr>
        <w:t>的父母，每一子女可领取一笔儿童抚养津贴。在子女达到入学年龄前，该津贴称之为家庭津贴，之后称之为就学津贴。任何家庭，无论财产或收入状况如何，均可领取这项补助。资格的确认和随后补助的发放，由家庭补助发放点或由匈牙利国家财政部区域局进行。</w:t>
      </w:r>
    </w:p>
    <w:p w:rsidR="00000000" w:rsidRDefault="00000000">
      <w:pPr>
        <w:ind w:firstLine="510"/>
        <w:rPr>
          <w:rFonts w:hint="eastAsia"/>
        </w:rPr>
      </w:pPr>
      <w:r>
        <w:rPr>
          <w:rFonts w:hint="eastAsia"/>
        </w:rPr>
        <w:t xml:space="preserve">263.  </w:t>
      </w:r>
      <w:r>
        <w:rPr>
          <w:rFonts w:hint="eastAsia"/>
        </w:rPr>
        <w:t>截至</w:t>
      </w:r>
      <w:r>
        <w:rPr>
          <w:rFonts w:hint="eastAsia"/>
        </w:rPr>
        <w:t>2002</w:t>
      </w:r>
      <w:r>
        <w:rPr>
          <w:rFonts w:hint="eastAsia"/>
        </w:rPr>
        <w:t>年</w:t>
      </w:r>
      <w:r>
        <w:rPr>
          <w:rFonts w:hint="eastAsia"/>
        </w:rPr>
        <w:t>11</w:t>
      </w:r>
      <w:r>
        <w:rPr>
          <w:rFonts w:hint="eastAsia"/>
        </w:rPr>
        <w:t>月，就学津贴被取消。但在所有享有权利的情况下，家庭津贴是以与就学津贴相同的条件发放的。它仍然是一种由政府按月发放的儿童抚养和就学费用补贴。</w:t>
      </w:r>
    </w:p>
    <w:p w:rsidR="00000000" w:rsidRDefault="00000000">
      <w:pPr>
        <w:ind w:firstLine="510"/>
        <w:rPr>
          <w:rFonts w:hint="eastAsia"/>
        </w:rPr>
      </w:pPr>
      <w:r>
        <w:rPr>
          <w:rFonts w:hint="eastAsia"/>
        </w:rPr>
        <w:t xml:space="preserve">264.  </w:t>
      </w:r>
      <w:r>
        <w:rPr>
          <w:rFonts w:hint="eastAsia"/>
        </w:rPr>
        <w:t>有资格领取该项津贴的人，可以是父母、养父母、政府指定的养父母，或抚养一名学龄前或学龄儿童、或其自己家中有读小学或中学的子女的监护人。领取此种津贴的儿童月均人数，</w:t>
      </w:r>
      <w:r>
        <w:rPr>
          <w:rFonts w:hint="eastAsia"/>
        </w:rPr>
        <w:t>2001</w:t>
      </w:r>
      <w:r>
        <w:rPr>
          <w:rFonts w:hint="eastAsia"/>
        </w:rPr>
        <w:t>年为</w:t>
      </w:r>
      <w:r>
        <w:rPr>
          <w:rFonts w:hint="eastAsia"/>
        </w:rPr>
        <w:t>2,115,400</w:t>
      </w:r>
      <w:r>
        <w:rPr>
          <w:rFonts w:hint="eastAsia"/>
        </w:rPr>
        <w:t>人，</w:t>
      </w:r>
      <w:r>
        <w:rPr>
          <w:rFonts w:hint="eastAsia"/>
        </w:rPr>
        <w:t>2002</w:t>
      </w:r>
      <w:r>
        <w:rPr>
          <w:rFonts w:hint="eastAsia"/>
        </w:rPr>
        <w:t>年为</w:t>
      </w:r>
      <w:r>
        <w:rPr>
          <w:rFonts w:hint="eastAsia"/>
        </w:rPr>
        <w:t>2,045,600</w:t>
      </w:r>
      <w:r>
        <w:rPr>
          <w:rFonts w:hint="eastAsia"/>
        </w:rPr>
        <w:t>人。</w:t>
      </w:r>
      <w:r>
        <w:rPr>
          <w:rFonts w:hint="eastAsia"/>
        </w:rPr>
        <w:t>2003</w:t>
      </w:r>
      <w:r>
        <w:rPr>
          <w:rFonts w:hint="eastAsia"/>
        </w:rPr>
        <w:t>年</w:t>
      </w:r>
      <w:r>
        <w:rPr>
          <w:rFonts w:hint="eastAsia"/>
        </w:rPr>
        <w:t>12</w:t>
      </w:r>
      <w:r>
        <w:rPr>
          <w:rFonts w:hint="eastAsia"/>
        </w:rPr>
        <w:t>月，为</w:t>
      </w:r>
      <w:r>
        <w:rPr>
          <w:rFonts w:hint="eastAsia"/>
        </w:rPr>
        <w:t>2,118,741</w:t>
      </w:r>
      <w:r>
        <w:rPr>
          <w:rFonts w:hint="eastAsia"/>
        </w:rPr>
        <w:t>名儿童支付了这笔津贴。</w:t>
      </w:r>
    </w:p>
    <w:p w:rsidR="00000000" w:rsidRDefault="00000000">
      <w:pPr>
        <w:ind w:firstLine="510"/>
        <w:rPr>
          <w:rFonts w:hint="eastAsia"/>
        </w:rPr>
      </w:pPr>
      <w:r>
        <w:rPr>
          <w:rFonts w:hint="eastAsia"/>
        </w:rPr>
        <w:t xml:space="preserve">265.  </w:t>
      </w:r>
      <w:r>
        <w:rPr>
          <w:rFonts w:hint="eastAsia"/>
        </w:rPr>
        <w:t>月补助金额依子女人数、家庭类型</w:t>
      </w:r>
      <w:r>
        <w:rPr>
          <w:rFonts w:hint="eastAsia"/>
        </w:rPr>
        <w:t>(</w:t>
      </w:r>
      <w:r>
        <w:rPr>
          <w:rFonts w:hint="eastAsia"/>
        </w:rPr>
        <w:t>双亲或单亲</w:t>
      </w:r>
      <w:r>
        <w:rPr>
          <w:rFonts w:hint="eastAsia"/>
        </w:rPr>
        <w:t>)</w:t>
      </w:r>
      <w:r>
        <w:rPr>
          <w:rFonts w:hint="eastAsia"/>
        </w:rPr>
        <w:t>和子女健康状况的不同而有差别。月补助金额每年由国会在通过《预算法令》时予以确定。</w:t>
      </w:r>
      <w:r>
        <w:rPr>
          <w:rFonts w:hint="eastAsia"/>
        </w:rPr>
        <w:t>2003</w:t>
      </w:r>
      <w:r>
        <w:rPr>
          <w:rFonts w:hint="eastAsia"/>
        </w:rPr>
        <w:t>年，每月金额在</w:t>
      </w:r>
      <w:r>
        <w:rPr>
          <w:rFonts w:hint="eastAsia"/>
        </w:rPr>
        <w:t>4,600</w:t>
      </w:r>
      <w:r>
        <w:rPr>
          <w:rFonts w:hint="eastAsia"/>
        </w:rPr>
        <w:t>至</w:t>
      </w:r>
      <w:r>
        <w:rPr>
          <w:rFonts w:hint="eastAsia"/>
        </w:rPr>
        <w:t>12,600</w:t>
      </w:r>
      <w:r>
        <w:rPr>
          <w:rFonts w:hint="eastAsia"/>
        </w:rPr>
        <w:t>福林之间不等。如子女在公立学校读书，家庭将有资格领取家庭津贴，直至子女年满</w:t>
      </w:r>
      <w:r>
        <w:rPr>
          <w:rFonts w:hint="eastAsia"/>
        </w:rPr>
        <w:t>23</w:t>
      </w:r>
      <w:r>
        <w:rPr>
          <w:rFonts w:hint="eastAsia"/>
        </w:rPr>
        <w:t>岁，在</w:t>
      </w:r>
      <w:r>
        <w:rPr>
          <w:rFonts w:hint="eastAsia"/>
        </w:rPr>
        <w:t>2004</w:t>
      </w:r>
      <w:r>
        <w:rPr>
          <w:rFonts w:hint="eastAsia"/>
        </w:rPr>
        <w:t>年</w:t>
      </w:r>
      <w:r>
        <w:rPr>
          <w:rFonts w:hint="eastAsia"/>
        </w:rPr>
        <w:t>9</w:t>
      </w:r>
      <w:r>
        <w:rPr>
          <w:rFonts w:hint="eastAsia"/>
        </w:rPr>
        <w:t>月</w:t>
      </w:r>
      <w:r>
        <w:rPr>
          <w:rFonts w:hint="eastAsia"/>
        </w:rPr>
        <w:t>1</w:t>
      </w:r>
      <w:r>
        <w:rPr>
          <w:rFonts w:hint="eastAsia"/>
        </w:rPr>
        <w:t>日前达到的领取资格年龄限制范围内，津贴金额逐步增加</w:t>
      </w:r>
      <w:r>
        <w:rPr>
          <w:rFonts w:hint="eastAsia"/>
        </w:rPr>
        <w:t>(</w:t>
      </w:r>
      <w:r>
        <w:rPr>
          <w:rFonts w:hint="eastAsia"/>
        </w:rPr>
        <w:t>《家庭补助法令》，第</w:t>
      </w:r>
      <w:r>
        <w:rPr>
          <w:rFonts w:hint="eastAsia"/>
        </w:rPr>
        <w:t>6-7</w:t>
      </w:r>
      <w:r>
        <w:rPr>
          <w:rFonts w:hint="eastAsia"/>
        </w:rPr>
        <w:t>段</w:t>
      </w:r>
      <w:r>
        <w:rPr>
          <w:rFonts w:hint="eastAsia"/>
        </w:rPr>
        <w:t>)</w:t>
      </w:r>
      <w:r>
        <w:rPr>
          <w:rFonts w:hint="eastAsia"/>
        </w:rPr>
        <w:t>。</w:t>
      </w:r>
      <w:r>
        <w:rPr>
          <w:rFonts w:hint="eastAsia"/>
        </w:rPr>
        <w:t>7</w:t>
      </w:r>
      <w:r>
        <w:rPr>
          <w:rFonts w:hint="eastAsia"/>
        </w:rPr>
        <w:t>月份，家庭可领取双份家庭津贴。</w:t>
      </w:r>
    </w:p>
    <w:p w:rsidR="00000000" w:rsidRDefault="00000000">
      <w:pPr>
        <w:spacing w:after="320"/>
        <w:ind w:firstLine="510"/>
        <w:rPr>
          <w:rFonts w:hint="eastAsia"/>
        </w:rPr>
      </w:pPr>
      <w:r>
        <w:rPr>
          <w:rFonts w:hint="eastAsia"/>
        </w:rPr>
        <w:t xml:space="preserve">266.  </w:t>
      </w:r>
      <w:r>
        <w:rPr>
          <w:rFonts w:hint="eastAsia"/>
        </w:rPr>
        <w:t>以下形式的政府</w:t>
      </w:r>
      <w:r>
        <w:rPr>
          <w:rFonts w:ascii="Time New Roman" w:eastAsia="SimHei" w:hAnsi="Time New Roman" w:hint="eastAsia"/>
        </w:rPr>
        <w:t>补助</w:t>
      </w:r>
      <w:r>
        <w:rPr>
          <w:rFonts w:hint="eastAsia"/>
        </w:rPr>
        <w:t>用以</w:t>
      </w:r>
      <w:r>
        <w:rPr>
          <w:rFonts w:ascii="Time New Roman" w:eastAsia="SimHei" w:hAnsi="Time New Roman" w:hint="eastAsia"/>
        </w:rPr>
        <w:t>替代</w:t>
      </w:r>
      <w:r>
        <w:rPr>
          <w:rFonts w:hint="eastAsia"/>
        </w:rPr>
        <w:t>父母照料子女时所</w:t>
      </w:r>
      <w:r>
        <w:rPr>
          <w:rFonts w:ascii="Time New Roman" w:eastAsia="SimHei" w:hAnsi="Time New Roman" w:hint="eastAsia"/>
        </w:rPr>
        <w:t>损失的收入</w:t>
      </w:r>
      <w:r>
        <w:rPr>
          <w:rFonts w:hint="eastAsia"/>
        </w:rPr>
        <w:t>。</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 xml:space="preserve">A/2  </w:t>
      </w:r>
      <w:r>
        <w:rPr>
          <w:rFonts w:eastAsia="KaiTi_GB2312" w:hint="eastAsia"/>
          <w:snapToGrid/>
          <w:spacing w:val="0"/>
          <w:u w:val="none"/>
          <w:lang w:val="fr-FR"/>
        </w:rPr>
        <w:t>儿童保育补助</w:t>
      </w:r>
    </w:p>
    <w:p w:rsidR="00000000" w:rsidRDefault="00000000">
      <w:pPr>
        <w:ind w:firstLine="510"/>
        <w:rPr>
          <w:rFonts w:hint="eastAsia"/>
        </w:rPr>
      </w:pPr>
      <w:r>
        <w:rPr>
          <w:rFonts w:hint="eastAsia"/>
        </w:rPr>
        <w:t xml:space="preserve">267.  </w:t>
      </w:r>
      <w:r>
        <w:rPr>
          <w:rFonts w:hint="eastAsia"/>
        </w:rPr>
        <w:t>父母任一方照料未满</w:t>
      </w:r>
      <w:r>
        <w:rPr>
          <w:rFonts w:hint="eastAsia"/>
        </w:rPr>
        <w:t>3</w:t>
      </w:r>
      <w:r>
        <w:rPr>
          <w:rFonts w:hint="eastAsia"/>
        </w:rPr>
        <w:t>岁的子女，均可领取儿童保育补助。补助金额相当于现行养老金最低额，</w:t>
      </w:r>
      <w:r>
        <w:rPr>
          <w:rFonts w:hint="eastAsia"/>
        </w:rPr>
        <w:t>2001</w:t>
      </w:r>
      <w:r>
        <w:rPr>
          <w:rFonts w:hint="eastAsia"/>
        </w:rPr>
        <w:t>年为每月</w:t>
      </w:r>
      <w:r>
        <w:rPr>
          <w:rFonts w:hint="eastAsia"/>
        </w:rPr>
        <w:t>18,310</w:t>
      </w:r>
      <w:r>
        <w:rPr>
          <w:rFonts w:hint="eastAsia"/>
        </w:rPr>
        <w:t>福林，</w:t>
      </w:r>
      <w:r>
        <w:rPr>
          <w:rFonts w:hint="eastAsia"/>
        </w:rPr>
        <w:t>2002</w:t>
      </w:r>
      <w:r>
        <w:rPr>
          <w:rFonts w:hint="eastAsia"/>
        </w:rPr>
        <w:t>年为</w:t>
      </w:r>
      <w:r>
        <w:rPr>
          <w:rFonts w:hint="eastAsia"/>
        </w:rPr>
        <w:t>20,100</w:t>
      </w:r>
      <w:r>
        <w:rPr>
          <w:rFonts w:hint="eastAsia"/>
        </w:rPr>
        <w:t>福林，</w:t>
      </w:r>
      <w:r>
        <w:rPr>
          <w:rFonts w:hint="eastAsia"/>
        </w:rPr>
        <w:t>2003</w:t>
      </w:r>
      <w:r>
        <w:rPr>
          <w:rFonts w:hint="eastAsia"/>
        </w:rPr>
        <w:t>年为</w:t>
      </w:r>
      <w:r>
        <w:rPr>
          <w:rFonts w:hint="eastAsia"/>
        </w:rPr>
        <w:t>21,800</w:t>
      </w:r>
      <w:r>
        <w:rPr>
          <w:rFonts w:hint="eastAsia"/>
        </w:rPr>
        <w:t>福林。如子女患有慢性病或有严重残疾，照料子女的父母任一方均可领取此项补助，直至子女年满</w:t>
      </w:r>
      <w:r>
        <w:rPr>
          <w:rFonts w:hint="eastAsia"/>
        </w:rPr>
        <w:t>10</w:t>
      </w:r>
      <w:r>
        <w:rPr>
          <w:rFonts w:hint="eastAsia"/>
        </w:rPr>
        <w:t>岁。截至</w:t>
      </w:r>
      <w:r>
        <w:rPr>
          <w:rFonts w:hint="eastAsia"/>
        </w:rPr>
        <w:t>2003</w:t>
      </w:r>
      <w:r>
        <w:rPr>
          <w:rFonts w:hint="eastAsia"/>
        </w:rPr>
        <w:t>年</w:t>
      </w:r>
      <w:r>
        <w:rPr>
          <w:rFonts w:hint="eastAsia"/>
        </w:rPr>
        <w:t>1</w:t>
      </w:r>
      <w:r>
        <w:rPr>
          <w:rFonts w:hint="eastAsia"/>
        </w:rPr>
        <w:t>月</w:t>
      </w:r>
      <w:r>
        <w:rPr>
          <w:rFonts w:hint="eastAsia"/>
        </w:rPr>
        <w:t>1</w:t>
      </w:r>
      <w:r>
        <w:rPr>
          <w:rFonts w:hint="eastAsia"/>
        </w:rPr>
        <w:t>日，向双胞胎父母一方支付的补助金额是养老金最低额的一倍</w:t>
      </w:r>
      <w:r>
        <w:rPr>
          <w:rFonts w:hint="eastAsia"/>
        </w:rPr>
        <w:t>(43,600</w:t>
      </w:r>
      <w:r>
        <w:rPr>
          <w:rFonts w:hint="eastAsia"/>
        </w:rPr>
        <w:t>福林</w:t>
      </w:r>
      <w:r>
        <w:rPr>
          <w:rFonts w:hint="eastAsia"/>
        </w:rPr>
        <w:t>/</w:t>
      </w:r>
      <w:r>
        <w:rPr>
          <w:rFonts w:hint="eastAsia"/>
        </w:rPr>
        <w:t>月</w:t>
      </w:r>
      <w:r>
        <w:rPr>
          <w:rFonts w:hint="eastAsia"/>
        </w:rPr>
        <w:t>)</w:t>
      </w:r>
      <w:r>
        <w:rPr>
          <w:rFonts w:hint="eastAsia"/>
        </w:rPr>
        <w:t>，并一直支付到子女达到正式入学年龄</w:t>
      </w:r>
      <w:r>
        <w:rPr>
          <w:rFonts w:hint="eastAsia"/>
        </w:rPr>
        <w:t>(</w:t>
      </w:r>
      <w:r>
        <w:rPr>
          <w:rFonts w:hint="eastAsia"/>
        </w:rPr>
        <w:t>六岁</w:t>
      </w:r>
      <w:r>
        <w:rPr>
          <w:rFonts w:hint="eastAsia"/>
        </w:rPr>
        <w:t>)</w:t>
      </w:r>
      <w:r>
        <w:rPr>
          <w:rFonts w:hint="eastAsia"/>
        </w:rPr>
        <w:t>。如果双胞胎未同时达到入学年龄，则以其中后达到入学年龄者为准</w:t>
      </w:r>
      <w:r>
        <w:rPr>
          <w:rFonts w:hint="eastAsia"/>
        </w:rPr>
        <w:t>(</w:t>
      </w:r>
      <w:r>
        <w:rPr>
          <w:rFonts w:hint="eastAsia"/>
        </w:rPr>
        <w:t>《家庭补助法令》，第</w:t>
      </w:r>
      <w:r>
        <w:rPr>
          <w:rFonts w:hint="eastAsia"/>
        </w:rPr>
        <w:t>20(1)</w:t>
      </w:r>
      <w:r>
        <w:t>b</w:t>
      </w:r>
      <w:r>
        <w:rPr>
          <w:rFonts w:hint="eastAsia"/>
        </w:rPr>
        <w:t>段</w:t>
      </w:r>
      <w:r>
        <w:rPr>
          <w:rFonts w:hint="eastAsia"/>
        </w:rPr>
        <w:t>)</w:t>
      </w:r>
      <w:r>
        <w:rPr>
          <w:rFonts w:hint="eastAsia"/>
        </w:rPr>
        <w:t>。</w:t>
      </w:r>
    </w:p>
    <w:p w:rsidR="00000000" w:rsidRDefault="00000000">
      <w:pPr>
        <w:ind w:firstLine="510"/>
        <w:rPr>
          <w:rFonts w:hint="eastAsia"/>
        </w:rPr>
      </w:pPr>
      <w:r>
        <w:rPr>
          <w:rFonts w:hint="eastAsia"/>
        </w:rPr>
        <w:t xml:space="preserve">268.  </w:t>
      </w:r>
      <w:r>
        <w:rPr>
          <w:rFonts w:hint="eastAsia"/>
        </w:rPr>
        <w:t>领取福利的父母一方，在子女年满一岁半之前不得就业，其后也只能一天做</w:t>
      </w:r>
      <w:r>
        <w:rPr>
          <w:rFonts w:hint="eastAsia"/>
        </w:rPr>
        <w:t>4</w:t>
      </w:r>
      <w:r>
        <w:rPr>
          <w:rFonts w:hint="eastAsia"/>
        </w:rPr>
        <w:t>小时的有薪工作，或者如果在家中工作则无时间限制。</w:t>
      </w:r>
    </w:p>
    <w:p w:rsidR="00000000" w:rsidRDefault="00000000">
      <w:pPr>
        <w:ind w:firstLine="510"/>
        <w:rPr>
          <w:rFonts w:hint="eastAsia"/>
        </w:rPr>
      </w:pPr>
      <w:r>
        <w:rPr>
          <w:rFonts w:hint="eastAsia"/>
        </w:rPr>
        <w:t xml:space="preserve">269.  </w:t>
      </w:r>
      <w:r>
        <w:rPr>
          <w:rFonts w:hint="eastAsia"/>
        </w:rPr>
        <w:t>自</w:t>
      </w:r>
      <w:r>
        <w:rPr>
          <w:rFonts w:hint="eastAsia"/>
        </w:rPr>
        <w:t>2001</w:t>
      </w:r>
      <w:r>
        <w:rPr>
          <w:rFonts w:hint="eastAsia"/>
        </w:rPr>
        <w:t>年</w:t>
      </w:r>
      <w:r>
        <w:rPr>
          <w:rFonts w:hint="eastAsia"/>
        </w:rPr>
        <w:t>5</w:t>
      </w:r>
      <w:r>
        <w:rPr>
          <w:rFonts w:hint="eastAsia"/>
        </w:rPr>
        <w:t>月</w:t>
      </w:r>
      <w:r>
        <w:rPr>
          <w:rFonts w:hint="eastAsia"/>
        </w:rPr>
        <w:t>1</w:t>
      </w:r>
      <w:r>
        <w:rPr>
          <w:rFonts w:hint="eastAsia"/>
        </w:rPr>
        <w:t>日起，儿童的亲生父亲或母亲、养父或养母及其配偶，均可领取该补助。祖父母一方在以下情况下可领取儿童保育补助，即儿童满周岁以上；在父母家中照料；而且父母递交了书面声明，宣布正式放弃其领取儿童保育补助的权利，同意由祖父母一方申请领取</w:t>
      </w:r>
      <w:r>
        <w:rPr>
          <w:rFonts w:hint="eastAsia"/>
        </w:rPr>
        <w:t>(</w:t>
      </w:r>
      <w:r>
        <w:rPr>
          <w:rFonts w:hint="eastAsia"/>
        </w:rPr>
        <w:t>《家庭补助法令》，第</w:t>
      </w:r>
      <w:r>
        <w:rPr>
          <w:rFonts w:hint="eastAsia"/>
        </w:rPr>
        <w:t>20/A</w:t>
      </w:r>
      <w:r>
        <w:rPr>
          <w:rFonts w:hint="eastAsia"/>
        </w:rPr>
        <w:t>段</w:t>
      </w:r>
      <w:r>
        <w:rPr>
          <w:rFonts w:hint="eastAsia"/>
        </w:rPr>
        <w:t>)</w:t>
      </w:r>
      <w:r>
        <w:rPr>
          <w:rFonts w:hint="eastAsia"/>
        </w:rPr>
        <w:t>。</w:t>
      </w:r>
    </w:p>
    <w:p w:rsidR="00000000" w:rsidRDefault="00000000">
      <w:pPr>
        <w:spacing w:after="320"/>
        <w:ind w:firstLine="510"/>
        <w:rPr>
          <w:rFonts w:hint="eastAsia"/>
        </w:rPr>
      </w:pPr>
      <w:r>
        <w:rPr>
          <w:rFonts w:hint="eastAsia"/>
        </w:rPr>
        <w:t>270.  2001</w:t>
      </w:r>
      <w:r>
        <w:rPr>
          <w:rFonts w:hint="eastAsia"/>
        </w:rPr>
        <w:t>年和</w:t>
      </w:r>
      <w:r>
        <w:rPr>
          <w:rFonts w:hint="eastAsia"/>
        </w:rPr>
        <w:t>2002</w:t>
      </w:r>
      <w:r>
        <w:rPr>
          <w:rFonts w:hint="eastAsia"/>
        </w:rPr>
        <w:t>年领取儿童保育补助的月均人数分别为</w:t>
      </w:r>
      <w:r>
        <w:rPr>
          <w:rFonts w:hint="eastAsia"/>
        </w:rPr>
        <w:t>182,888</w:t>
      </w:r>
      <w:r>
        <w:rPr>
          <w:rFonts w:hint="eastAsia"/>
        </w:rPr>
        <w:t>和</w:t>
      </w:r>
      <w:r>
        <w:rPr>
          <w:rFonts w:hint="eastAsia"/>
        </w:rPr>
        <w:t>171,768</w:t>
      </w:r>
      <w:r>
        <w:rPr>
          <w:rFonts w:hint="eastAsia"/>
        </w:rPr>
        <w:t>人。</w:t>
      </w:r>
      <w:r>
        <w:rPr>
          <w:rFonts w:hint="eastAsia"/>
        </w:rPr>
        <w:t>2003</w:t>
      </w:r>
      <w:r>
        <w:rPr>
          <w:rFonts w:hint="eastAsia"/>
        </w:rPr>
        <w:t>年</w:t>
      </w:r>
      <w:r>
        <w:rPr>
          <w:rFonts w:hint="eastAsia"/>
        </w:rPr>
        <w:t>12</w:t>
      </w:r>
      <w:r>
        <w:rPr>
          <w:rFonts w:hint="eastAsia"/>
        </w:rPr>
        <w:t>月，为</w:t>
      </w:r>
      <w:r>
        <w:rPr>
          <w:rFonts w:hint="eastAsia"/>
        </w:rPr>
        <w:t>164,758</w:t>
      </w:r>
      <w:r>
        <w:rPr>
          <w:rFonts w:hint="eastAsia"/>
        </w:rPr>
        <w:t>人支付了这项儿童保育补助。</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 xml:space="preserve">A/3  </w:t>
      </w:r>
      <w:r>
        <w:rPr>
          <w:rFonts w:eastAsia="KaiTi_GB2312" w:hint="eastAsia"/>
          <w:snapToGrid/>
          <w:spacing w:val="0"/>
          <w:u w:val="none"/>
          <w:lang w:val="fr-FR"/>
        </w:rPr>
        <w:t>儿童抚养补助</w:t>
      </w:r>
    </w:p>
    <w:p w:rsidR="00000000" w:rsidRDefault="00000000">
      <w:pPr>
        <w:ind w:firstLine="510"/>
        <w:rPr>
          <w:rFonts w:hint="eastAsia"/>
        </w:rPr>
      </w:pPr>
      <w:r>
        <w:rPr>
          <w:rFonts w:hint="eastAsia"/>
        </w:rPr>
        <w:t xml:space="preserve">271.  </w:t>
      </w:r>
      <w:r>
        <w:rPr>
          <w:rFonts w:hint="eastAsia"/>
        </w:rPr>
        <w:t>如果父母在自己家中至少抚养了三名未成年子女，最小的子女年龄在</w:t>
      </w:r>
      <w:r>
        <w:rPr>
          <w:rFonts w:hint="eastAsia"/>
        </w:rPr>
        <w:t>3-8</w:t>
      </w:r>
      <w:r>
        <w:rPr>
          <w:rFonts w:hint="eastAsia"/>
        </w:rPr>
        <w:t>岁之间，其中一方可领取相当于儿童保育补助的儿童抚养补助。任何家庭，无论财产或收入状况如何，均可领取这项补助。申请人的资格由匈牙利国家财政部区域局来决定，该局也负责发放工作。父母一方按照儿童保育补助领取人的条件领取儿童抚养补助，同时亦可工作。</w:t>
      </w:r>
    </w:p>
    <w:p w:rsidR="00000000" w:rsidRDefault="00000000">
      <w:pPr>
        <w:spacing w:after="320"/>
        <w:ind w:firstLine="510"/>
        <w:rPr>
          <w:rFonts w:hint="eastAsia"/>
        </w:rPr>
      </w:pPr>
      <w:r>
        <w:rPr>
          <w:rFonts w:hint="eastAsia"/>
        </w:rPr>
        <w:t>272.  2001</w:t>
      </w:r>
      <w:r>
        <w:rPr>
          <w:rFonts w:hint="eastAsia"/>
        </w:rPr>
        <w:t>年和</w:t>
      </w:r>
      <w:r>
        <w:rPr>
          <w:rFonts w:hint="eastAsia"/>
        </w:rPr>
        <w:t>2002</w:t>
      </w:r>
      <w:r>
        <w:rPr>
          <w:rFonts w:hint="eastAsia"/>
        </w:rPr>
        <w:t>年领取儿童抚养补助的父母月均人数分别为</w:t>
      </w:r>
      <w:r>
        <w:rPr>
          <w:rFonts w:hint="eastAsia"/>
        </w:rPr>
        <w:t>51,333</w:t>
      </w:r>
      <w:r>
        <w:rPr>
          <w:rFonts w:hint="eastAsia"/>
        </w:rPr>
        <w:t>和</w:t>
      </w:r>
      <w:r>
        <w:rPr>
          <w:rFonts w:hint="eastAsia"/>
        </w:rPr>
        <w:t>50,336</w:t>
      </w:r>
      <w:r>
        <w:rPr>
          <w:rFonts w:hint="eastAsia"/>
        </w:rPr>
        <w:t>人。</w:t>
      </w:r>
      <w:r>
        <w:rPr>
          <w:rFonts w:hint="eastAsia"/>
        </w:rPr>
        <w:t>2003</w:t>
      </w:r>
      <w:r>
        <w:rPr>
          <w:rFonts w:hint="eastAsia"/>
        </w:rPr>
        <w:t>年</w:t>
      </w:r>
      <w:r>
        <w:rPr>
          <w:rFonts w:hint="eastAsia"/>
        </w:rPr>
        <w:t>12</w:t>
      </w:r>
      <w:r>
        <w:rPr>
          <w:rFonts w:hint="eastAsia"/>
        </w:rPr>
        <w:t>月，为</w:t>
      </w:r>
      <w:r>
        <w:rPr>
          <w:rFonts w:hint="eastAsia"/>
        </w:rPr>
        <w:t>46,567</w:t>
      </w:r>
      <w:r>
        <w:rPr>
          <w:rFonts w:hint="eastAsia"/>
        </w:rPr>
        <w:t>名父母支付了儿童抚养补助。儿童抚养补助和儿童保育补助发放期在确定养恤金资格时时算作上班时间，因此这两项补助必须支付</w:t>
      </w:r>
      <w:r>
        <w:rPr>
          <w:rFonts w:hint="eastAsia"/>
        </w:rPr>
        <w:t>8%</w:t>
      </w:r>
      <w:r>
        <w:rPr>
          <w:rFonts w:hint="eastAsia"/>
        </w:rPr>
        <w:t>的养恤金缴款。</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 xml:space="preserve">A/4  </w:t>
      </w:r>
      <w:r>
        <w:rPr>
          <w:rFonts w:eastAsia="KaiTi_GB2312" w:hint="eastAsia"/>
          <w:snapToGrid/>
          <w:spacing w:val="0"/>
          <w:u w:val="none"/>
          <w:lang w:val="fr-FR"/>
        </w:rPr>
        <w:t>儿童保育费</w:t>
      </w:r>
    </w:p>
    <w:p w:rsidR="00000000" w:rsidRDefault="00000000">
      <w:pPr>
        <w:spacing w:after="320"/>
        <w:ind w:firstLine="510"/>
        <w:rPr>
          <w:rFonts w:hint="eastAsia"/>
        </w:rPr>
      </w:pPr>
      <w:r>
        <w:rPr>
          <w:rFonts w:hint="eastAsia"/>
        </w:rPr>
        <w:t xml:space="preserve">273.  </w:t>
      </w:r>
      <w:r>
        <w:rPr>
          <w:rFonts w:hint="eastAsia"/>
        </w:rPr>
        <w:t>截至</w:t>
      </w:r>
      <w:r>
        <w:rPr>
          <w:rFonts w:hint="eastAsia"/>
        </w:rPr>
        <w:t>2000</w:t>
      </w:r>
      <w:r>
        <w:rPr>
          <w:rFonts w:hint="eastAsia"/>
        </w:rPr>
        <w:t>年</w:t>
      </w:r>
      <w:r>
        <w:rPr>
          <w:rFonts w:hint="eastAsia"/>
        </w:rPr>
        <w:t>1</w:t>
      </w:r>
      <w:r>
        <w:rPr>
          <w:rFonts w:hint="eastAsia"/>
        </w:rPr>
        <w:t>月</w:t>
      </w:r>
      <w:r>
        <w:rPr>
          <w:rFonts w:hint="eastAsia"/>
        </w:rPr>
        <w:t>1</w:t>
      </w:r>
      <w:r>
        <w:rPr>
          <w:rFonts w:hint="eastAsia"/>
        </w:rPr>
        <w:t>日，儿童保育福利清单范围扩大，增加了儿童保育费。在子女出生前通过工作适当投保的父母，可领取儿童保育费，直至子女年满二周岁。这笔保育费与父母以前的薪金挂钩</w:t>
      </w:r>
      <w:r>
        <w:rPr>
          <w:rFonts w:hint="eastAsia"/>
        </w:rPr>
        <w:t>(70%)</w:t>
      </w:r>
      <w:r>
        <w:rPr>
          <w:rFonts w:hint="eastAsia"/>
        </w:rPr>
        <w:t>，但有上限。</w:t>
      </w:r>
      <w:r>
        <w:rPr>
          <w:rFonts w:hint="eastAsia"/>
        </w:rPr>
        <w:t>2001</w:t>
      </w:r>
      <w:r>
        <w:rPr>
          <w:rFonts w:hint="eastAsia"/>
        </w:rPr>
        <w:t>年，上限为每月</w:t>
      </w:r>
      <w:r>
        <w:rPr>
          <w:rFonts w:hint="eastAsia"/>
        </w:rPr>
        <w:t>80,000</w:t>
      </w:r>
      <w:r>
        <w:rPr>
          <w:rFonts w:hint="eastAsia"/>
        </w:rPr>
        <w:t>福林，</w:t>
      </w:r>
      <w:r>
        <w:rPr>
          <w:rFonts w:hint="eastAsia"/>
        </w:rPr>
        <w:t>2002</w:t>
      </w:r>
      <w:r>
        <w:rPr>
          <w:rFonts w:hint="eastAsia"/>
        </w:rPr>
        <w:t>年为每月</w:t>
      </w:r>
      <w:r>
        <w:rPr>
          <w:rFonts w:hint="eastAsia"/>
        </w:rPr>
        <w:t>83,000</w:t>
      </w:r>
      <w:r>
        <w:rPr>
          <w:rFonts w:hint="eastAsia"/>
        </w:rPr>
        <w:t>福林，</w:t>
      </w:r>
      <w:r>
        <w:rPr>
          <w:rFonts w:hint="eastAsia"/>
        </w:rPr>
        <w:t>2003</w:t>
      </w:r>
      <w:r>
        <w:rPr>
          <w:rFonts w:hint="eastAsia"/>
        </w:rPr>
        <w:t>年仍为每月</w:t>
      </w:r>
      <w:r>
        <w:rPr>
          <w:rFonts w:hint="eastAsia"/>
        </w:rPr>
        <w:t>83,000</w:t>
      </w:r>
      <w:r>
        <w:rPr>
          <w:rFonts w:hint="eastAsia"/>
        </w:rPr>
        <w:t>福林。</w:t>
      </w:r>
      <w:r>
        <w:rPr>
          <w:rFonts w:hint="eastAsia"/>
        </w:rPr>
        <w:t>2001</w:t>
      </w:r>
      <w:r>
        <w:rPr>
          <w:rFonts w:hint="eastAsia"/>
        </w:rPr>
        <w:t>年领取儿童保育费的父母月均人数</w:t>
      </w:r>
      <w:r>
        <w:rPr>
          <w:rFonts w:hint="eastAsia"/>
        </w:rPr>
        <w:t>2001</w:t>
      </w:r>
      <w:r>
        <w:rPr>
          <w:rFonts w:hint="eastAsia"/>
        </w:rPr>
        <w:t>年为</w:t>
      </w:r>
      <w:r>
        <w:rPr>
          <w:rFonts w:hint="eastAsia"/>
        </w:rPr>
        <w:t>62,904</w:t>
      </w:r>
      <w:r>
        <w:rPr>
          <w:rFonts w:hint="eastAsia"/>
        </w:rPr>
        <w:t>人，</w:t>
      </w:r>
      <w:r>
        <w:rPr>
          <w:rFonts w:hint="eastAsia"/>
        </w:rPr>
        <w:t>2002</w:t>
      </w:r>
      <w:r>
        <w:rPr>
          <w:rFonts w:hint="eastAsia"/>
        </w:rPr>
        <w:t>年为</w:t>
      </w:r>
      <w:r>
        <w:rPr>
          <w:rFonts w:hint="eastAsia"/>
        </w:rPr>
        <w:t>70,167</w:t>
      </w:r>
      <w:r>
        <w:rPr>
          <w:rFonts w:hint="eastAsia"/>
        </w:rPr>
        <w:t>人。</w:t>
      </w:r>
      <w:r>
        <w:rPr>
          <w:rFonts w:hint="eastAsia"/>
        </w:rPr>
        <w:t>2003</w:t>
      </w:r>
      <w:r>
        <w:rPr>
          <w:rFonts w:hint="eastAsia"/>
        </w:rPr>
        <w:t>年</w:t>
      </w:r>
      <w:r>
        <w:rPr>
          <w:rFonts w:hint="eastAsia"/>
        </w:rPr>
        <w:t>12</w:t>
      </w:r>
      <w:r>
        <w:rPr>
          <w:rFonts w:hint="eastAsia"/>
        </w:rPr>
        <w:t>月，为</w:t>
      </w:r>
      <w:r>
        <w:rPr>
          <w:rFonts w:hint="eastAsia"/>
        </w:rPr>
        <w:t>80,175</w:t>
      </w:r>
      <w:r>
        <w:rPr>
          <w:rFonts w:hint="eastAsia"/>
        </w:rPr>
        <w:t>名父母支付了这项儿童保育费。儿童保育费的资金来自健康保险基金的保费。</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 xml:space="preserve">A/5  </w:t>
      </w:r>
      <w:r>
        <w:rPr>
          <w:rFonts w:eastAsia="KaiTi_GB2312" w:hint="eastAsia"/>
          <w:snapToGrid/>
          <w:spacing w:val="0"/>
          <w:u w:val="none"/>
          <w:lang w:val="fr-FR"/>
        </w:rPr>
        <w:t>产假津贴</w:t>
      </w:r>
    </w:p>
    <w:p w:rsidR="00000000" w:rsidRDefault="00000000">
      <w:pPr>
        <w:spacing w:after="320"/>
        <w:ind w:firstLine="510"/>
        <w:rPr>
          <w:rFonts w:hint="eastAsia"/>
        </w:rPr>
      </w:pPr>
      <w:r>
        <w:rPr>
          <w:rFonts w:hint="eastAsia"/>
        </w:rPr>
        <w:t xml:space="preserve">274.  </w:t>
      </w:r>
      <w:r>
        <w:rPr>
          <w:rFonts w:hint="eastAsia"/>
        </w:rPr>
        <w:t>产假津贴是子女出生时向家庭一次总付的作为补贴生育子女相关费用的一笔款项。领取资格是，怀孕期间母亲必须至少作过四次免费</w:t>
      </w:r>
      <w:r>
        <w:t>妊娠</w:t>
      </w:r>
      <w:r>
        <w:rPr>
          <w:rFonts w:hint="eastAsia"/>
        </w:rPr>
        <w:t>咨询，或者，如果早产，至少有过一次。产假津贴金额相当于最低限度养老金的</w:t>
      </w:r>
      <w:r>
        <w:rPr>
          <w:rFonts w:hint="eastAsia"/>
        </w:rPr>
        <w:t>150%</w:t>
      </w:r>
      <w:r>
        <w:rPr>
          <w:rFonts w:hint="eastAsia"/>
        </w:rPr>
        <w:t>；</w:t>
      </w:r>
      <w:r>
        <w:rPr>
          <w:rFonts w:hint="eastAsia"/>
        </w:rPr>
        <w:t>2001</w:t>
      </w:r>
      <w:r>
        <w:rPr>
          <w:rFonts w:hint="eastAsia"/>
        </w:rPr>
        <w:t>年每月为</w:t>
      </w:r>
      <w:r>
        <w:rPr>
          <w:rFonts w:hint="eastAsia"/>
        </w:rPr>
        <w:t>27,465</w:t>
      </w:r>
      <w:r>
        <w:rPr>
          <w:rFonts w:hint="eastAsia"/>
        </w:rPr>
        <w:t>福林，</w:t>
      </w:r>
      <w:r>
        <w:rPr>
          <w:rFonts w:hint="eastAsia"/>
        </w:rPr>
        <w:t>2002</w:t>
      </w:r>
      <w:r>
        <w:rPr>
          <w:rFonts w:hint="eastAsia"/>
        </w:rPr>
        <w:t>年每月为</w:t>
      </w:r>
      <w:r>
        <w:rPr>
          <w:rFonts w:hint="eastAsia"/>
        </w:rPr>
        <w:t>30,150</w:t>
      </w:r>
      <w:r>
        <w:rPr>
          <w:rFonts w:hint="eastAsia"/>
        </w:rPr>
        <w:t>福林。养父或养母如果在新生儿出生后</w:t>
      </w:r>
      <w:r>
        <w:rPr>
          <w:rFonts w:hint="eastAsia"/>
        </w:rPr>
        <w:t>180</w:t>
      </w:r>
      <w:r>
        <w:rPr>
          <w:rFonts w:hint="eastAsia"/>
        </w:rPr>
        <w:t>天内经最后裁定获准领养的，有资格领取产假津贴；监护人在</w:t>
      </w:r>
      <w:r>
        <w:rPr>
          <w:rFonts w:hint="eastAsia"/>
        </w:rPr>
        <w:t>180</w:t>
      </w:r>
      <w:r>
        <w:rPr>
          <w:rFonts w:hint="eastAsia"/>
        </w:rPr>
        <w:t>天内根据最后裁定承担起照料新生儿的责任的，也有资格领取。截至</w:t>
      </w:r>
      <w:r>
        <w:rPr>
          <w:rFonts w:hint="eastAsia"/>
        </w:rPr>
        <w:t>2003</w:t>
      </w:r>
      <w:r>
        <w:rPr>
          <w:rFonts w:hint="eastAsia"/>
        </w:rPr>
        <w:t>年</w:t>
      </w:r>
      <w:r>
        <w:rPr>
          <w:rFonts w:hint="eastAsia"/>
        </w:rPr>
        <w:t>1</w:t>
      </w:r>
      <w:r>
        <w:rPr>
          <w:rFonts w:hint="eastAsia"/>
        </w:rPr>
        <w:t>月</w:t>
      </w:r>
      <w:r>
        <w:rPr>
          <w:rFonts w:hint="eastAsia"/>
        </w:rPr>
        <w:t>1</w:t>
      </w:r>
      <w:r>
        <w:rPr>
          <w:rFonts w:hint="eastAsia"/>
        </w:rPr>
        <w:t>日，津贴数额重新定为在新生儿出生时可以领取的最低限度养老金的</w:t>
      </w:r>
      <w:r>
        <w:rPr>
          <w:rFonts w:hint="eastAsia"/>
        </w:rPr>
        <w:t>225%</w:t>
      </w:r>
      <w:r>
        <w:rPr>
          <w:rFonts w:hint="eastAsia"/>
        </w:rPr>
        <w:t>。</w:t>
      </w:r>
      <w:r>
        <w:rPr>
          <w:rFonts w:hint="eastAsia"/>
        </w:rPr>
        <w:t>2003</w:t>
      </w:r>
      <w:r>
        <w:rPr>
          <w:rFonts w:hint="eastAsia"/>
        </w:rPr>
        <w:t>年，津贴数额为</w:t>
      </w:r>
      <w:r>
        <w:rPr>
          <w:rFonts w:hint="eastAsia"/>
        </w:rPr>
        <w:t>49,050</w:t>
      </w:r>
      <w:r>
        <w:rPr>
          <w:rFonts w:hint="eastAsia"/>
        </w:rPr>
        <w:t>福林，双胞胎则为</w:t>
      </w:r>
      <w:r>
        <w:rPr>
          <w:rFonts w:hint="eastAsia"/>
        </w:rPr>
        <w:t>65,400</w:t>
      </w:r>
      <w:r>
        <w:rPr>
          <w:rFonts w:hint="eastAsia"/>
        </w:rPr>
        <w:t>福林</w:t>
      </w:r>
      <w:r>
        <w:rPr>
          <w:rFonts w:hint="eastAsia"/>
        </w:rPr>
        <w:t>(</w:t>
      </w:r>
      <w:r>
        <w:rPr>
          <w:rFonts w:hint="eastAsia"/>
        </w:rPr>
        <w:t>《家庭补助法令》，第</w:t>
      </w:r>
      <w:r>
        <w:rPr>
          <w:rFonts w:hint="eastAsia"/>
        </w:rPr>
        <w:t>29</w:t>
      </w:r>
      <w:r>
        <w:rPr>
          <w:rFonts w:hint="eastAsia"/>
        </w:rPr>
        <w:t>段</w:t>
      </w:r>
      <w:r>
        <w:rPr>
          <w:rFonts w:hint="eastAsia"/>
        </w:rPr>
        <w:t>)</w:t>
      </w:r>
      <w:r>
        <w:rPr>
          <w:rFonts w:hint="eastAsia"/>
        </w:rPr>
        <w:t>。</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 xml:space="preserve">A/6  </w:t>
      </w:r>
      <w:r>
        <w:rPr>
          <w:rFonts w:eastAsia="KaiTi_GB2312" w:hint="eastAsia"/>
          <w:snapToGrid/>
          <w:spacing w:val="0"/>
          <w:u w:val="none"/>
          <w:lang w:val="fr-FR"/>
        </w:rPr>
        <w:t>孕产津贴</w:t>
      </w:r>
    </w:p>
    <w:p w:rsidR="00000000" w:rsidRDefault="00000000">
      <w:pPr>
        <w:ind w:firstLine="510"/>
        <w:rPr>
          <w:rFonts w:hint="eastAsia"/>
        </w:rPr>
      </w:pPr>
      <w:r>
        <w:rPr>
          <w:rFonts w:hint="eastAsia"/>
        </w:rPr>
        <w:t xml:space="preserve">275.  </w:t>
      </w:r>
      <w:r>
        <w:rPr>
          <w:rFonts w:hint="eastAsia"/>
        </w:rPr>
        <w:t>领取孕产津贴的妇女须在生育前两年内至少投过</w:t>
      </w:r>
      <w:r>
        <w:rPr>
          <w:rFonts w:hint="eastAsia"/>
        </w:rPr>
        <w:t>180</w:t>
      </w:r>
      <w:r>
        <w:rPr>
          <w:rFonts w:hint="eastAsia"/>
        </w:rPr>
        <w:t>天保险，并</w:t>
      </w:r>
    </w:p>
    <w:p w:rsidR="00000000" w:rsidRDefault="00000000">
      <w:pPr>
        <w:numPr>
          <w:ilvl w:val="0"/>
          <w:numId w:val="181"/>
        </w:numPr>
        <w:rPr>
          <w:rFonts w:hint="eastAsia"/>
        </w:rPr>
      </w:pPr>
      <w:r>
        <w:rPr>
          <w:rFonts w:hint="eastAsia"/>
        </w:rPr>
        <w:t>在保险期内或保险终止后四十二天之内生育子女，或</w:t>
      </w:r>
    </w:p>
    <w:p w:rsidR="00000000" w:rsidRDefault="00000000">
      <w:pPr>
        <w:numPr>
          <w:ilvl w:val="0"/>
          <w:numId w:val="181"/>
        </w:numPr>
        <w:rPr>
          <w:rFonts w:hint="eastAsia"/>
        </w:rPr>
      </w:pPr>
      <w:r>
        <w:rPr>
          <w:rFonts w:hint="eastAsia"/>
        </w:rPr>
        <w:t>在保险终止后四十二天之后生育子女，而在此期间已向其支付病假工资或人身意外伤害病假工资，或在病假工资终止后二十八天之内。</w:t>
      </w:r>
    </w:p>
    <w:p w:rsidR="00000000" w:rsidRDefault="00000000">
      <w:pPr>
        <w:ind w:firstLine="510"/>
        <w:rPr>
          <w:rFonts w:hint="eastAsia"/>
        </w:rPr>
      </w:pPr>
      <w:r>
        <w:rPr>
          <w:rFonts w:hint="eastAsia"/>
        </w:rPr>
        <w:t xml:space="preserve">276.  </w:t>
      </w:r>
      <w:r>
        <w:rPr>
          <w:rFonts w:hint="eastAsia"/>
        </w:rPr>
        <w:t>孕产津贴发放期与生育假相等。</w:t>
      </w:r>
    </w:p>
    <w:p w:rsidR="00000000" w:rsidRDefault="00000000">
      <w:pPr>
        <w:spacing w:after="320"/>
        <w:ind w:firstLine="510"/>
        <w:rPr>
          <w:rFonts w:hint="eastAsia"/>
        </w:rPr>
      </w:pPr>
      <w:r>
        <w:rPr>
          <w:rFonts w:hint="eastAsia"/>
        </w:rPr>
        <w:t xml:space="preserve">277.  </w:t>
      </w:r>
      <w:r>
        <w:rPr>
          <w:rFonts w:hint="eastAsia"/>
        </w:rPr>
        <w:t>这些现金福利由中央预算支付，通过匈牙利国家财政部区域机构发放。</w:t>
      </w:r>
    </w:p>
    <w:p w:rsidR="00000000" w:rsidRDefault="00000000">
      <w:pPr>
        <w:pStyle w:val="Heading3"/>
        <w:rPr>
          <w:rFonts w:hint="eastAsia"/>
        </w:rPr>
      </w:pPr>
      <w:r>
        <w:rPr>
          <w:rFonts w:hint="eastAsia"/>
        </w:rPr>
        <w:t>低收入家庭现金支助</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 xml:space="preserve">B/1  </w:t>
      </w:r>
      <w:r>
        <w:rPr>
          <w:rFonts w:eastAsia="KaiTi_GB2312" w:hint="eastAsia"/>
          <w:snapToGrid/>
          <w:spacing w:val="0"/>
          <w:u w:val="none"/>
          <w:lang w:val="fr-FR"/>
        </w:rPr>
        <w:t>补充性家庭津贴</w:t>
      </w:r>
      <w:r>
        <w:rPr>
          <w:rFonts w:eastAsia="KaiTi_GB2312" w:hint="eastAsia"/>
          <w:snapToGrid/>
          <w:spacing w:val="0"/>
          <w:u w:val="none"/>
          <w:lang w:val="fr-FR"/>
        </w:rPr>
        <w:t>/</w:t>
      </w:r>
      <w:r>
        <w:rPr>
          <w:rFonts w:eastAsia="KaiTi_GB2312" w:hint="eastAsia"/>
          <w:snapToGrid/>
          <w:spacing w:val="0"/>
          <w:u w:val="none"/>
          <w:lang w:val="fr-FR"/>
        </w:rPr>
        <w:t>定期儿童保护补助</w:t>
      </w:r>
    </w:p>
    <w:p w:rsidR="00000000" w:rsidRDefault="00000000">
      <w:pPr>
        <w:ind w:firstLine="510"/>
        <w:rPr>
          <w:rFonts w:hint="eastAsia"/>
        </w:rPr>
      </w:pPr>
      <w:r>
        <w:rPr>
          <w:rFonts w:hint="eastAsia"/>
        </w:rPr>
        <w:t xml:space="preserve">278.  </w:t>
      </w:r>
      <w:r>
        <w:rPr>
          <w:rFonts w:hint="eastAsia"/>
        </w:rPr>
        <w:t>抚养一名或数名子女的家庭如果人均收入达不到最低限度养老金标准的，可领取定期儿童保护补助</w:t>
      </w:r>
      <w:r>
        <w:rPr>
          <w:rFonts w:hint="eastAsia"/>
        </w:rPr>
        <w:t>(2001</w:t>
      </w:r>
      <w:r>
        <w:rPr>
          <w:rFonts w:hint="eastAsia"/>
        </w:rPr>
        <w:t>年</w:t>
      </w:r>
      <w:r>
        <w:rPr>
          <w:rFonts w:hint="eastAsia"/>
        </w:rPr>
        <w:t>1</w:t>
      </w:r>
      <w:r>
        <w:rPr>
          <w:rFonts w:hint="eastAsia"/>
        </w:rPr>
        <w:t>月至</w:t>
      </w:r>
      <w:r>
        <w:rPr>
          <w:rFonts w:hint="eastAsia"/>
        </w:rPr>
        <w:t>2003</w:t>
      </w:r>
      <w:r>
        <w:rPr>
          <w:rFonts w:hint="eastAsia"/>
        </w:rPr>
        <w:t>年</w:t>
      </w:r>
      <w:r>
        <w:rPr>
          <w:rFonts w:hint="eastAsia"/>
        </w:rPr>
        <w:t>2</w:t>
      </w:r>
      <w:r>
        <w:rPr>
          <w:rFonts w:hint="eastAsia"/>
        </w:rPr>
        <w:t>月期间被称之为补充性津贴</w:t>
      </w:r>
      <w:r>
        <w:rPr>
          <w:rFonts w:hint="eastAsia"/>
        </w:rPr>
        <w:t>)</w:t>
      </w:r>
      <w:r>
        <w:rPr>
          <w:rFonts w:hint="eastAsia"/>
        </w:rPr>
        <w:t>。这项补助发放给符合法律规定条件的家庭。</w:t>
      </w:r>
    </w:p>
    <w:p w:rsidR="00000000" w:rsidRDefault="00000000">
      <w:pPr>
        <w:ind w:firstLine="510"/>
        <w:rPr>
          <w:rFonts w:hint="eastAsia"/>
        </w:rPr>
      </w:pPr>
      <w:r>
        <w:rPr>
          <w:rFonts w:hint="eastAsia"/>
        </w:rPr>
        <w:t xml:space="preserve">279.  </w:t>
      </w:r>
      <w:r>
        <w:rPr>
          <w:rFonts w:hint="eastAsia"/>
        </w:rPr>
        <w:t>定期儿童保护补助的目的在于促进家庭对子女的照料，防止出现不得不将子女托付他人照料的情况。如果抚养子女的家庭人均收入达不到最低限度养老金标准，地方政府的代表委员会将为该家庭提供定期儿童保护补助。不过，也有限制条件。负责结算的地方政府须下令调查家庭的财产状况，这些财产单独或加在一起，不得超过事先确定的价值。这一价值按以下方法计算：</w:t>
      </w:r>
    </w:p>
    <w:p w:rsidR="00000000" w:rsidRDefault="00000000">
      <w:pPr>
        <w:numPr>
          <w:ilvl w:val="0"/>
          <w:numId w:val="183"/>
        </w:numPr>
        <w:rPr>
          <w:rFonts w:hint="eastAsia"/>
        </w:rPr>
      </w:pPr>
      <w:r>
        <w:rPr>
          <w:rFonts w:hint="eastAsia"/>
        </w:rPr>
        <w:t>单独计算时，家庭成员的总资产不得超过最低限度养老金的二十五倍，或者</w:t>
      </w:r>
    </w:p>
    <w:p w:rsidR="00000000" w:rsidRDefault="00000000">
      <w:pPr>
        <w:numPr>
          <w:ilvl w:val="0"/>
          <w:numId w:val="183"/>
        </w:numPr>
        <w:rPr>
          <w:rFonts w:hint="eastAsia"/>
        </w:rPr>
      </w:pPr>
      <w:r>
        <w:rPr>
          <w:rFonts w:hint="eastAsia"/>
        </w:rPr>
        <w:t>加在一起计算时，不得超过最低限度养老金的七十五倍，假如变卖资产，也不会使资产持有人生存无着。供养子女的父亲或母亲或其他人实际居住使用的不动产，或因残障而使用的车辆，不列入资产计算范围</w:t>
      </w:r>
      <w:r>
        <w:rPr>
          <w:rFonts w:hint="eastAsia"/>
        </w:rPr>
        <w:t>(</w:t>
      </w:r>
      <w:r>
        <w:rPr>
          <w:rFonts w:hint="eastAsia"/>
        </w:rPr>
        <w:t>《儿童保护法令》，第</w:t>
      </w:r>
      <w:r>
        <w:rPr>
          <w:rFonts w:hint="eastAsia"/>
        </w:rPr>
        <w:t>19</w:t>
      </w:r>
      <w:r>
        <w:rPr>
          <w:rFonts w:hint="eastAsia"/>
        </w:rPr>
        <w:t>段</w:t>
      </w:r>
      <w:r>
        <w:rPr>
          <w:rFonts w:hint="eastAsia"/>
        </w:rPr>
        <w:t>)</w:t>
      </w:r>
      <w:r>
        <w:rPr>
          <w:rFonts w:hint="eastAsia"/>
        </w:rPr>
        <w:t>。</w:t>
      </w:r>
    </w:p>
    <w:p w:rsidR="00000000" w:rsidRDefault="00000000">
      <w:pPr>
        <w:ind w:firstLine="510"/>
        <w:rPr>
          <w:rFonts w:hint="eastAsia"/>
        </w:rPr>
      </w:pPr>
      <w:r>
        <w:rPr>
          <w:rFonts w:hint="eastAsia"/>
        </w:rPr>
        <w:t xml:space="preserve">280.  </w:t>
      </w:r>
      <w:r>
        <w:rPr>
          <w:rFonts w:hint="eastAsia"/>
        </w:rPr>
        <w:t>就《儿童保护法令》第</w:t>
      </w:r>
      <w:r>
        <w:rPr>
          <w:rFonts w:hint="eastAsia"/>
        </w:rPr>
        <w:t>20/A</w:t>
      </w:r>
      <w:r>
        <w:rPr>
          <w:rFonts w:hint="eastAsia"/>
        </w:rPr>
        <w:t>段而言，学生家庭，包括大学生家庭，可在</w:t>
      </w:r>
      <w:r>
        <w:rPr>
          <w:rFonts w:hint="eastAsia"/>
        </w:rPr>
        <w:t>7</w:t>
      </w:r>
      <w:r>
        <w:rPr>
          <w:rFonts w:hint="eastAsia"/>
        </w:rPr>
        <w:t>月份领取第</w:t>
      </w:r>
      <w:r>
        <w:rPr>
          <w:rFonts w:hint="eastAsia"/>
        </w:rPr>
        <w:t>13</w:t>
      </w:r>
      <w:r>
        <w:rPr>
          <w:rFonts w:hint="eastAsia"/>
        </w:rPr>
        <w:t>个月的补助，如果该学生只能在</w:t>
      </w:r>
      <w:r>
        <w:rPr>
          <w:rFonts w:hint="eastAsia"/>
        </w:rPr>
        <w:t>7</w:t>
      </w:r>
      <w:r>
        <w:rPr>
          <w:rFonts w:hint="eastAsia"/>
        </w:rPr>
        <w:t>月份之后提交入学证明，则根据第</w:t>
      </w:r>
      <w:r>
        <w:rPr>
          <w:rFonts w:hint="eastAsia"/>
        </w:rPr>
        <w:t>149/1997</w:t>
      </w:r>
      <w:r>
        <w:rPr>
          <w:rFonts w:hint="eastAsia"/>
        </w:rPr>
        <w:t>号政府法令第</w:t>
      </w:r>
      <w:r>
        <w:rPr>
          <w:rFonts w:hint="eastAsia"/>
        </w:rPr>
        <w:t>66/B</w:t>
      </w:r>
      <w:r>
        <w:rPr>
          <w:rFonts w:hint="eastAsia"/>
        </w:rPr>
        <w:t>段规定，可在</w:t>
      </w:r>
      <w:r>
        <w:rPr>
          <w:rFonts w:hint="eastAsia"/>
        </w:rPr>
        <w:t>10</w:t>
      </w:r>
      <w:r>
        <w:rPr>
          <w:rFonts w:hint="eastAsia"/>
        </w:rPr>
        <w:t>月份领取该项补助。补助一直提供至中学生满</w:t>
      </w:r>
      <w:r>
        <w:rPr>
          <w:rFonts w:hint="eastAsia"/>
        </w:rPr>
        <w:t>23</w:t>
      </w:r>
      <w:r>
        <w:rPr>
          <w:rFonts w:hint="eastAsia"/>
        </w:rPr>
        <w:t>岁，大学生满</w:t>
      </w:r>
      <w:r>
        <w:rPr>
          <w:rFonts w:hint="eastAsia"/>
        </w:rPr>
        <w:t>25</w:t>
      </w:r>
      <w:r>
        <w:rPr>
          <w:rFonts w:hint="eastAsia"/>
        </w:rPr>
        <w:t>岁。</w:t>
      </w:r>
    </w:p>
    <w:p w:rsidR="00000000" w:rsidRDefault="00000000">
      <w:pPr>
        <w:spacing w:after="320"/>
        <w:ind w:firstLine="510"/>
        <w:rPr>
          <w:rFonts w:hint="eastAsia"/>
        </w:rPr>
      </w:pPr>
      <w:r>
        <w:rPr>
          <w:rFonts w:hint="eastAsia"/>
        </w:rPr>
        <w:t>281.  2001</w:t>
      </w:r>
      <w:r>
        <w:rPr>
          <w:rFonts w:hint="eastAsia"/>
        </w:rPr>
        <w:t>年，补助金额为每名子女每月</w:t>
      </w:r>
      <w:r>
        <w:rPr>
          <w:rFonts w:hint="eastAsia"/>
        </w:rPr>
        <w:t>4,000</w:t>
      </w:r>
      <w:r>
        <w:rPr>
          <w:rFonts w:hint="eastAsia"/>
        </w:rPr>
        <w:t>福林，</w:t>
      </w:r>
      <w:r>
        <w:rPr>
          <w:rFonts w:hint="eastAsia"/>
        </w:rPr>
        <w:t>2002</w:t>
      </w:r>
      <w:r>
        <w:rPr>
          <w:rFonts w:hint="eastAsia"/>
        </w:rPr>
        <w:t>年每名子女每月</w:t>
      </w:r>
      <w:r>
        <w:rPr>
          <w:rFonts w:hint="eastAsia"/>
        </w:rPr>
        <w:t>4,200</w:t>
      </w:r>
      <w:r>
        <w:rPr>
          <w:rFonts w:hint="eastAsia"/>
        </w:rPr>
        <w:t>福林，截至</w:t>
      </w:r>
      <w:r>
        <w:rPr>
          <w:rFonts w:hint="eastAsia"/>
        </w:rPr>
        <w:t>2003</w:t>
      </w:r>
      <w:r>
        <w:rPr>
          <w:rFonts w:hint="eastAsia"/>
        </w:rPr>
        <w:t>年</w:t>
      </w:r>
      <w:r>
        <w:rPr>
          <w:rFonts w:hint="eastAsia"/>
        </w:rPr>
        <w:t>1</w:t>
      </w:r>
      <w:r>
        <w:rPr>
          <w:rFonts w:hint="eastAsia"/>
        </w:rPr>
        <w:t>月，每名子女每月</w:t>
      </w:r>
      <w:r>
        <w:rPr>
          <w:rFonts w:hint="eastAsia"/>
        </w:rPr>
        <w:t>4,6000</w:t>
      </w:r>
      <w:r>
        <w:rPr>
          <w:rFonts w:hint="eastAsia"/>
        </w:rPr>
        <w:t>福林。截至</w:t>
      </w:r>
      <w:r>
        <w:rPr>
          <w:rFonts w:hint="eastAsia"/>
        </w:rPr>
        <w:t>2004</w:t>
      </w:r>
      <w:r>
        <w:rPr>
          <w:rFonts w:hint="eastAsia"/>
        </w:rPr>
        <w:t>年，该金额确定为最低限度养老金的</w:t>
      </w:r>
      <w:r>
        <w:rPr>
          <w:rFonts w:hint="eastAsia"/>
        </w:rPr>
        <w:t>22%</w:t>
      </w:r>
      <w:r>
        <w:rPr>
          <w:rFonts w:hint="eastAsia"/>
        </w:rPr>
        <w:t>。</w:t>
      </w:r>
      <w:r>
        <w:rPr>
          <w:rFonts w:hint="eastAsia"/>
        </w:rPr>
        <w:t>2002</w:t>
      </w:r>
      <w:r>
        <w:rPr>
          <w:rFonts w:hint="eastAsia"/>
        </w:rPr>
        <w:t>年，为其支付子女补助的子女月均人数为</w:t>
      </w:r>
      <w:r>
        <w:rPr>
          <w:rFonts w:hint="eastAsia"/>
        </w:rPr>
        <w:t>760,000</w:t>
      </w:r>
      <w:r>
        <w:rPr>
          <w:rFonts w:hint="eastAsia"/>
        </w:rPr>
        <w:t>人。</w:t>
      </w:r>
      <w:r>
        <w:rPr>
          <w:rFonts w:hint="eastAsia"/>
        </w:rPr>
        <w:t>2003</w:t>
      </w:r>
      <w:r>
        <w:rPr>
          <w:rFonts w:hint="eastAsia"/>
        </w:rPr>
        <w:t>年，领取这项补助的家庭有子女</w:t>
      </w:r>
      <w:r>
        <w:rPr>
          <w:rFonts w:hint="eastAsia"/>
        </w:rPr>
        <w:t>713,000</w:t>
      </w:r>
      <w:r>
        <w:rPr>
          <w:rFonts w:hint="eastAsia"/>
        </w:rPr>
        <w:t>名，按照</w:t>
      </w:r>
      <w:r>
        <w:rPr>
          <w:rFonts w:hint="eastAsia"/>
        </w:rPr>
        <w:t>12</w:t>
      </w:r>
      <w:r>
        <w:rPr>
          <w:rFonts w:hint="eastAsia"/>
        </w:rPr>
        <w:t>月的统计，此种家庭合计</w:t>
      </w:r>
      <w:r>
        <w:rPr>
          <w:rFonts w:hint="eastAsia"/>
        </w:rPr>
        <w:t>360,000</w:t>
      </w:r>
      <w:r>
        <w:rPr>
          <w:rFonts w:hint="eastAsia"/>
        </w:rPr>
        <w:t>个。</w:t>
      </w:r>
      <w:r>
        <w:rPr>
          <w:rFonts w:hint="eastAsia"/>
        </w:rPr>
        <w:t>2002</w:t>
      </w:r>
      <w:r>
        <w:rPr>
          <w:rFonts w:hint="eastAsia"/>
        </w:rPr>
        <w:t>年，在此种补助项目下支付的总金额为</w:t>
      </w:r>
      <w:r>
        <w:rPr>
          <w:rFonts w:hint="eastAsia"/>
        </w:rPr>
        <w:t>39,452,000,000</w:t>
      </w:r>
      <w:r>
        <w:rPr>
          <w:rFonts w:hint="eastAsia"/>
        </w:rPr>
        <w:t>福林，</w:t>
      </w:r>
      <w:r>
        <w:rPr>
          <w:rFonts w:hint="eastAsia"/>
        </w:rPr>
        <w:t>2003</w:t>
      </w:r>
      <w:r>
        <w:rPr>
          <w:rFonts w:hint="eastAsia"/>
        </w:rPr>
        <w:t>年为</w:t>
      </w:r>
      <w:r>
        <w:rPr>
          <w:rFonts w:hint="eastAsia"/>
        </w:rPr>
        <w:t>35,000,000,000</w:t>
      </w:r>
      <w:r>
        <w:rPr>
          <w:rFonts w:hint="eastAsia"/>
        </w:rPr>
        <w:t>福林。在</w:t>
      </w:r>
      <w:r>
        <w:rPr>
          <w:rFonts w:hint="eastAsia"/>
        </w:rPr>
        <w:t>2002</w:t>
      </w:r>
      <w:r>
        <w:rPr>
          <w:rFonts w:hint="eastAsia"/>
        </w:rPr>
        <w:t>和</w:t>
      </w:r>
      <w:r>
        <w:rPr>
          <w:rFonts w:hint="eastAsia"/>
        </w:rPr>
        <w:t>2003</w:t>
      </w:r>
      <w:r>
        <w:rPr>
          <w:rFonts w:hint="eastAsia"/>
        </w:rPr>
        <w:t>年，为</w:t>
      </w:r>
      <w:r>
        <w:rPr>
          <w:rFonts w:hint="eastAsia"/>
        </w:rPr>
        <w:t>96%</w:t>
      </w:r>
      <w:r>
        <w:rPr>
          <w:rFonts w:hint="eastAsia"/>
        </w:rPr>
        <w:t>的未成年人家庭</w:t>
      </w:r>
      <w:r>
        <w:rPr>
          <w:rFonts w:hint="eastAsia"/>
        </w:rPr>
        <w:t>(</w:t>
      </w:r>
      <w:r>
        <w:rPr>
          <w:rFonts w:hint="eastAsia"/>
        </w:rPr>
        <w:t>以及</w:t>
      </w:r>
      <w:r>
        <w:rPr>
          <w:rFonts w:hint="eastAsia"/>
        </w:rPr>
        <w:t>32,000</w:t>
      </w:r>
      <w:r>
        <w:rPr>
          <w:rFonts w:hint="eastAsia"/>
        </w:rPr>
        <w:t>个其子女已成年但仍然在校读书的家庭</w:t>
      </w:r>
      <w:r>
        <w:rPr>
          <w:rFonts w:hint="eastAsia"/>
        </w:rPr>
        <w:t>)</w:t>
      </w:r>
      <w:r>
        <w:rPr>
          <w:rFonts w:hint="eastAsia"/>
        </w:rPr>
        <w:t>支付了定期儿童保护补助。</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 xml:space="preserve">B/2  </w:t>
      </w:r>
      <w:r>
        <w:rPr>
          <w:rFonts w:eastAsia="KaiTi_GB2312" w:hint="eastAsia"/>
          <w:snapToGrid/>
          <w:spacing w:val="0"/>
          <w:u w:val="none"/>
          <w:lang w:val="fr-FR"/>
        </w:rPr>
        <w:t>特殊儿童保护补助</w:t>
      </w:r>
    </w:p>
    <w:p w:rsidR="00000000" w:rsidRDefault="00000000">
      <w:pPr>
        <w:spacing w:after="320"/>
        <w:ind w:firstLine="510"/>
        <w:rPr>
          <w:rFonts w:hint="eastAsia"/>
        </w:rPr>
      </w:pPr>
      <w:r>
        <w:rPr>
          <w:rFonts w:hint="eastAsia"/>
        </w:rPr>
        <w:t xml:space="preserve">282.  </w:t>
      </w:r>
      <w:r>
        <w:rPr>
          <w:rFonts w:hint="eastAsia"/>
        </w:rPr>
        <w:t>如果抚养一名或数名子女的家庭暂时遇到困难，可能危及其家庭的生存，地方政府则为其提供特殊儿童保护补助。如果抚养子女的家庭暂时遇到可能危及其生存的困难，或者个人所处特殊境况可能危及家庭的生存，地方政府安置代表机构提供特殊儿童保护补助，其金额依照法令来确定。</w:t>
      </w:r>
      <w:r>
        <w:rPr>
          <w:rFonts w:hint="eastAsia"/>
        </w:rPr>
        <w:t>2001</w:t>
      </w:r>
      <w:r>
        <w:rPr>
          <w:rFonts w:hint="eastAsia"/>
        </w:rPr>
        <w:t>和</w:t>
      </w:r>
      <w:r>
        <w:rPr>
          <w:rFonts w:hint="eastAsia"/>
        </w:rPr>
        <w:t>2002</w:t>
      </w:r>
      <w:r>
        <w:rPr>
          <w:rFonts w:hint="eastAsia"/>
        </w:rPr>
        <w:t>年，地方政府分别提供了</w:t>
      </w:r>
      <w:r>
        <w:rPr>
          <w:rFonts w:hint="eastAsia"/>
        </w:rPr>
        <w:t>800,000</w:t>
      </w:r>
      <w:r>
        <w:rPr>
          <w:rFonts w:hint="eastAsia"/>
        </w:rPr>
        <w:t>和</w:t>
      </w:r>
      <w:r>
        <w:rPr>
          <w:rFonts w:hint="eastAsia"/>
        </w:rPr>
        <w:t>750,000</w:t>
      </w:r>
      <w:r>
        <w:rPr>
          <w:rFonts w:hint="eastAsia"/>
        </w:rPr>
        <w:t>笔此项补助。</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ab/>
      </w:r>
      <w:r>
        <w:rPr>
          <w:rFonts w:eastAsia="KaiTi_GB2312" w:hint="eastAsia"/>
          <w:snapToGrid/>
          <w:spacing w:val="0"/>
          <w:u w:val="none"/>
          <w:lang w:val="fr-FR"/>
        </w:rPr>
        <w:t>受抚养儿童税收减免福利</w:t>
      </w:r>
    </w:p>
    <w:p w:rsidR="00000000" w:rsidRDefault="00000000">
      <w:pPr>
        <w:ind w:firstLine="510"/>
        <w:rPr>
          <w:rFonts w:hint="eastAsia"/>
        </w:rPr>
      </w:pPr>
      <w:r>
        <w:rPr>
          <w:rFonts w:hint="eastAsia"/>
        </w:rPr>
        <w:t>283.  1998</w:t>
      </w:r>
      <w:r>
        <w:rPr>
          <w:rFonts w:hint="eastAsia"/>
        </w:rPr>
        <w:t>年实行受抚养儿童税收减免福利。该项福利金额取决于家里受抚养人人数。个人所得税法明确规定，可予以税收减免的受抚养人即为家庭为之领取一项津贴的儿童。这包括自己有资格领取津贴的儿童和妊娠期</w:t>
      </w:r>
      <w:r>
        <w:rPr>
          <w:rFonts w:hint="eastAsia"/>
        </w:rPr>
        <w:t>(</w:t>
      </w:r>
      <w:r>
        <w:rPr>
          <w:rFonts w:hint="eastAsia"/>
        </w:rPr>
        <w:t>受孕后第</w:t>
      </w:r>
      <w:r>
        <w:rPr>
          <w:rFonts w:hint="eastAsia"/>
        </w:rPr>
        <w:t>91</w:t>
      </w:r>
      <w:r>
        <w:rPr>
          <w:rFonts w:hint="eastAsia"/>
        </w:rPr>
        <w:t>天起至出生</w:t>
      </w:r>
      <w:r>
        <w:rPr>
          <w:rFonts w:hint="eastAsia"/>
        </w:rPr>
        <w:t>)</w:t>
      </w:r>
      <w:r>
        <w:rPr>
          <w:rFonts w:hint="eastAsia"/>
        </w:rPr>
        <w:t>间的胎儿</w:t>
      </w:r>
      <w:r>
        <w:rPr>
          <w:rFonts w:hint="eastAsia"/>
        </w:rPr>
        <w:t>(</w:t>
      </w:r>
      <w:r>
        <w:rPr>
          <w:rFonts w:hint="eastAsia"/>
        </w:rPr>
        <w:t>包括双胞胎</w:t>
      </w:r>
      <w:r>
        <w:rPr>
          <w:rFonts w:hint="eastAsia"/>
        </w:rPr>
        <w:t>)</w:t>
      </w:r>
      <w:r>
        <w:rPr>
          <w:rFonts w:hint="eastAsia"/>
        </w:rPr>
        <w:t>，以及领取残疾津贴的个人。</w:t>
      </w:r>
    </w:p>
    <w:p w:rsidR="00000000" w:rsidRDefault="00000000">
      <w:pPr>
        <w:ind w:firstLine="510"/>
        <w:rPr>
          <w:rFonts w:hint="eastAsia"/>
        </w:rPr>
      </w:pPr>
      <w:r>
        <w:rPr>
          <w:rFonts w:hint="eastAsia"/>
        </w:rPr>
        <w:t>284.  2002</w:t>
      </w:r>
      <w:r>
        <w:rPr>
          <w:rFonts w:hint="eastAsia"/>
        </w:rPr>
        <w:t>和</w:t>
      </w:r>
      <w:r>
        <w:rPr>
          <w:rFonts w:hint="eastAsia"/>
        </w:rPr>
        <w:t>2003</w:t>
      </w:r>
      <w:r>
        <w:rPr>
          <w:rFonts w:hint="eastAsia"/>
        </w:rPr>
        <w:t>年，按合格的儿童每人每月计算的受抚养人税收减免额如下：</w:t>
      </w:r>
    </w:p>
    <w:p w:rsidR="00000000" w:rsidRDefault="00000000">
      <w:pPr>
        <w:pStyle w:val="a0"/>
        <w:ind w:left="1550"/>
        <w:rPr>
          <w:rFonts w:hint="eastAsia"/>
        </w:rPr>
      </w:pPr>
      <w:r>
        <w:rPr>
          <w:rFonts w:hint="eastAsia"/>
        </w:rPr>
        <w:t>一名受抚养人，</w:t>
      </w:r>
      <w:r>
        <w:rPr>
          <w:rFonts w:hint="eastAsia"/>
        </w:rPr>
        <w:t>3,000</w:t>
      </w:r>
      <w:r>
        <w:rPr>
          <w:rFonts w:hint="eastAsia"/>
        </w:rPr>
        <w:t>福林；</w:t>
      </w:r>
    </w:p>
    <w:p w:rsidR="00000000" w:rsidRDefault="00000000">
      <w:pPr>
        <w:pStyle w:val="a0"/>
        <w:ind w:left="1550"/>
        <w:rPr>
          <w:rFonts w:hint="eastAsia"/>
        </w:rPr>
      </w:pPr>
      <w:r>
        <w:rPr>
          <w:rFonts w:hint="eastAsia"/>
        </w:rPr>
        <w:t>两名受抚养人，</w:t>
      </w:r>
      <w:r>
        <w:rPr>
          <w:rFonts w:hint="eastAsia"/>
        </w:rPr>
        <w:t>4,000</w:t>
      </w:r>
      <w:r>
        <w:rPr>
          <w:rFonts w:hint="eastAsia"/>
        </w:rPr>
        <w:t>福林；</w:t>
      </w:r>
    </w:p>
    <w:p w:rsidR="00000000" w:rsidRDefault="00000000">
      <w:pPr>
        <w:pStyle w:val="a0"/>
        <w:ind w:left="1550"/>
        <w:rPr>
          <w:rFonts w:hint="eastAsia"/>
        </w:rPr>
      </w:pPr>
      <w:r>
        <w:rPr>
          <w:rFonts w:hint="eastAsia"/>
        </w:rPr>
        <w:t>三名或三名以上受抚养人，</w:t>
      </w:r>
      <w:r>
        <w:rPr>
          <w:rFonts w:hint="eastAsia"/>
        </w:rPr>
        <w:t>10,000</w:t>
      </w:r>
      <w:r>
        <w:rPr>
          <w:rFonts w:hint="eastAsia"/>
        </w:rPr>
        <w:t>福林。</w:t>
      </w:r>
    </w:p>
    <w:p w:rsidR="00000000" w:rsidRDefault="00000000">
      <w:pPr>
        <w:ind w:firstLine="510"/>
        <w:rPr>
          <w:rFonts w:hint="eastAsia"/>
        </w:rPr>
      </w:pPr>
      <w:r>
        <w:rPr>
          <w:rFonts w:hint="eastAsia"/>
        </w:rPr>
        <w:t xml:space="preserve">285.  </w:t>
      </w:r>
      <w:r>
        <w:rPr>
          <w:rFonts w:hint="eastAsia"/>
        </w:rPr>
        <w:t>根据家庭补助法可领取家庭津贴的个人，同孕妇和其配偶或伴侣一样，如果共用一处住房，可申请家庭福利。</w:t>
      </w:r>
    </w:p>
    <w:p w:rsidR="00000000" w:rsidRDefault="00000000">
      <w:pPr>
        <w:spacing w:after="320"/>
        <w:ind w:firstLine="510"/>
        <w:rPr>
          <w:rFonts w:hint="eastAsia"/>
        </w:rPr>
      </w:pPr>
      <w:r>
        <w:rPr>
          <w:rFonts w:hint="eastAsia"/>
        </w:rPr>
        <w:t xml:space="preserve">286.  </w:t>
      </w:r>
      <w:r>
        <w:rPr>
          <w:rFonts w:hint="eastAsia"/>
        </w:rPr>
        <w:t>一名和同一名受抚养人，只能有一项减免税款。不过，享有权利者和他或她共用一处住房的配偶</w:t>
      </w:r>
      <w:r>
        <w:rPr>
          <w:rFonts w:hint="eastAsia"/>
        </w:rPr>
        <w:t>(</w:t>
      </w:r>
      <w:r>
        <w:rPr>
          <w:rFonts w:hint="eastAsia"/>
        </w:rPr>
        <w:t>截至</w:t>
      </w:r>
      <w:r>
        <w:rPr>
          <w:rFonts w:hint="eastAsia"/>
        </w:rPr>
        <w:t>2003</w:t>
      </w:r>
      <w:r>
        <w:rPr>
          <w:rFonts w:hint="eastAsia"/>
        </w:rPr>
        <w:t>年，也包括伴侣在内</w:t>
      </w:r>
      <w:r>
        <w:rPr>
          <w:rFonts w:hint="eastAsia"/>
        </w:rPr>
        <w:t>)</w:t>
      </w:r>
      <w:r>
        <w:rPr>
          <w:rFonts w:hint="eastAsia"/>
        </w:rPr>
        <w:t>，在纳税年度结束时可分摊这项减免税款，假如他们在纳税申报单上登记了这项分摊税款</w:t>
      </w:r>
      <w:r>
        <w:rPr>
          <w:rFonts w:hint="eastAsia"/>
        </w:rPr>
        <w:t>(</w:t>
      </w:r>
      <w:r>
        <w:rPr>
          <w:rFonts w:hint="eastAsia"/>
        </w:rPr>
        <w:t>工作说明</w:t>
      </w:r>
      <w:r>
        <w:rPr>
          <w:rFonts w:hint="eastAsia"/>
        </w:rPr>
        <w:t>)</w:t>
      </w:r>
      <w:r>
        <w:rPr>
          <w:rFonts w:hint="eastAsia"/>
        </w:rPr>
        <w:t>，并填入对方的纳税数额。减免规则</w:t>
      </w:r>
      <w:r>
        <w:rPr>
          <w:rFonts w:hint="eastAsia"/>
        </w:rPr>
        <w:t>2003</w:t>
      </w:r>
      <w:r>
        <w:rPr>
          <w:rFonts w:hint="eastAsia"/>
        </w:rPr>
        <w:t>年有所变化，习惯法意义上的妻子和丈夫也可分摊家庭减免税款。</w:t>
      </w:r>
    </w:p>
    <w:p w:rsidR="00000000" w:rsidRDefault="00000000">
      <w:pPr>
        <w:pStyle w:val="Heading3"/>
        <w:rPr>
          <w:rFonts w:hint="eastAsia"/>
        </w:rPr>
      </w:pPr>
      <w:r>
        <w:rPr>
          <w:rFonts w:hint="eastAsia"/>
        </w:rPr>
        <w:t>日间照料儿童</w:t>
      </w:r>
    </w:p>
    <w:p w:rsidR="00000000" w:rsidRDefault="00000000">
      <w:pPr>
        <w:ind w:firstLine="510"/>
        <w:rPr>
          <w:rFonts w:hint="eastAsia"/>
        </w:rPr>
      </w:pPr>
      <w:r>
        <w:rPr>
          <w:rFonts w:hint="eastAsia"/>
        </w:rPr>
        <w:t xml:space="preserve">287.  </w:t>
      </w:r>
      <w:r>
        <w:rPr>
          <w:rFonts w:hint="eastAsia"/>
        </w:rPr>
        <w:t>根据《儿童保护法令》，地方政府还有义务为其父母因工作、生病或其他原因而无法照料子女的儿童提供适当的日间照料和看管服务。首先应当为由一个人或老年人抚养的、或其单亲父母因社会处境不利而无法予以照料的儿童提供照料。</w:t>
      </w:r>
    </w:p>
    <w:p w:rsidR="00000000" w:rsidRDefault="00000000">
      <w:pPr>
        <w:ind w:firstLine="510"/>
        <w:rPr>
          <w:rFonts w:hint="eastAsia"/>
        </w:rPr>
      </w:pPr>
      <w:r>
        <w:rPr>
          <w:rFonts w:hint="eastAsia"/>
        </w:rPr>
        <w:t xml:space="preserve">288.  </w:t>
      </w:r>
      <w:r>
        <w:rPr>
          <w:rFonts w:hint="eastAsia"/>
        </w:rPr>
        <w:t>为了提供对儿童的日间照料，对于那些其父母、养父母或照料者因工作、生病或其他某种原因而无法在白天照料他们的儿童，必须安排与其年龄适合的看管、照料、教育、消遣和膳食。</w:t>
      </w:r>
    </w:p>
    <w:p w:rsidR="00000000" w:rsidRDefault="00000000">
      <w:pPr>
        <w:ind w:firstLine="510"/>
        <w:rPr>
          <w:rFonts w:hint="eastAsia"/>
        </w:rPr>
      </w:pPr>
      <w:r>
        <w:rPr>
          <w:rFonts w:hint="eastAsia"/>
        </w:rPr>
        <w:t xml:space="preserve">289.  </w:t>
      </w:r>
      <w:r>
        <w:rPr>
          <w:rFonts w:hint="eastAsia"/>
        </w:rPr>
        <w:t>必须主要为下列儿童提供日托服务：</w:t>
      </w:r>
    </w:p>
    <w:p w:rsidR="00000000" w:rsidRDefault="00000000">
      <w:pPr>
        <w:pStyle w:val="a0"/>
        <w:ind w:left="1550"/>
        <w:rPr>
          <w:rFonts w:hint="eastAsia"/>
        </w:rPr>
      </w:pPr>
      <w:r>
        <w:rPr>
          <w:rFonts w:hint="eastAsia"/>
        </w:rPr>
        <w:t>需要定期日托以利其身心发育的儿童；</w:t>
      </w:r>
    </w:p>
    <w:p w:rsidR="00000000" w:rsidRDefault="00000000">
      <w:pPr>
        <w:pStyle w:val="a0"/>
        <w:ind w:left="1550"/>
        <w:rPr>
          <w:rFonts w:hint="eastAsia"/>
        </w:rPr>
      </w:pPr>
      <w:r>
        <w:rPr>
          <w:rFonts w:hint="eastAsia"/>
        </w:rPr>
        <w:t>由一个人或老年人抚养、或所在家庭有三名或三名以上子女的儿童，除非该儿童的照料者领取儿童保育补助、儿童保育费或看护费；</w:t>
      </w:r>
    </w:p>
    <w:p w:rsidR="00000000" w:rsidRDefault="00000000">
      <w:pPr>
        <w:pStyle w:val="a0"/>
        <w:ind w:left="1550"/>
        <w:rPr>
          <w:rFonts w:hint="eastAsia"/>
        </w:rPr>
      </w:pPr>
      <w:r>
        <w:rPr>
          <w:rFonts w:hint="eastAsia"/>
        </w:rPr>
        <w:t>其单亲父母</w:t>
      </w:r>
      <w:r>
        <w:rPr>
          <w:rFonts w:hint="eastAsia"/>
        </w:rPr>
        <w:t>/</w:t>
      </w:r>
      <w:r>
        <w:rPr>
          <w:rFonts w:hint="eastAsia"/>
        </w:rPr>
        <w:t>监护人因其社会处境无法提供照料。</w:t>
      </w:r>
    </w:p>
    <w:p w:rsidR="00000000" w:rsidRDefault="00000000">
      <w:pPr>
        <w:ind w:firstLine="510"/>
        <w:rPr>
          <w:rFonts w:hint="eastAsia"/>
        </w:rPr>
      </w:pPr>
      <w:r>
        <w:rPr>
          <w:rFonts w:hint="eastAsia"/>
        </w:rPr>
        <w:t xml:space="preserve">290.  </w:t>
      </w:r>
      <w:r>
        <w:rPr>
          <w:rFonts w:hint="eastAsia"/>
        </w:rPr>
        <w:t>儿童日托的组织方式可以包括托儿所、一周全托托儿所、家庭日托、学前班、家庭照料、暑期日托班或夏令营，或符合《</w:t>
      </w:r>
      <w:r>
        <w:rPr>
          <w:rFonts w:hint="eastAsia"/>
        </w:rPr>
        <w:t>1993</w:t>
      </w:r>
      <w:r>
        <w:rPr>
          <w:rFonts w:hint="eastAsia"/>
        </w:rPr>
        <w:t>年关于公共教育的第七十九号法令》规定的学前班或课外日托班，具体情况依儿童年龄而定。</w:t>
      </w:r>
    </w:p>
    <w:p w:rsidR="00000000" w:rsidRDefault="00000000">
      <w:pPr>
        <w:ind w:firstLine="510"/>
        <w:rPr>
          <w:rFonts w:hint="eastAsia"/>
        </w:rPr>
      </w:pPr>
      <w:r>
        <w:rPr>
          <w:rFonts w:hint="eastAsia"/>
        </w:rPr>
        <w:t xml:space="preserve">291.  </w:t>
      </w:r>
      <w:r>
        <w:rPr>
          <w:rFonts w:hint="eastAsia"/>
        </w:rPr>
        <w:t>对于不进学校日托班的</w:t>
      </w:r>
      <w:r>
        <w:rPr>
          <w:rFonts w:hint="eastAsia"/>
        </w:rPr>
        <w:t>10</w:t>
      </w:r>
      <w:r>
        <w:rPr>
          <w:rFonts w:hint="eastAsia"/>
        </w:rPr>
        <w:t>岁以上的儿童，尤其是</w:t>
      </w:r>
      <w:r>
        <w:t>挂钥匙的</w:t>
      </w:r>
      <w:r>
        <w:rPr>
          <w:rFonts w:hint="eastAsia"/>
        </w:rPr>
        <w:t>儿童或因其他原因有危险的儿童，让他们参与日间运动或其他俱乐部活动，或在操场上及游戏室有组织地活动，以此种形式进行看管和安排，均符合日托的要求。如果经营者符合条件，尤其是法律规定的条件，这些场所还可提供膳食</w:t>
      </w:r>
      <w:r>
        <w:rPr>
          <w:rFonts w:hint="eastAsia"/>
        </w:rPr>
        <w:t>(</w:t>
      </w:r>
      <w:r>
        <w:rPr>
          <w:rFonts w:hint="eastAsia"/>
        </w:rPr>
        <w:t>《儿童保护法令》，第</w:t>
      </w:r>
      <w:r>
        <w:rPr>
          <w:rFonts w:hint="eastAsia"/>
        </w:rPr>
        <w:t>41</w:t>
      </w:r>
      <w:r>
        <w:rPr>
          <w:rFonts w:hint="eastAsia"/>
        </w:rPr>
        <w:t>段</w:t>
      </w:r>
      <w:r>
        <w:rPr>
          <w:rFonts w:hint="eastAsia"/>
        </w:rPr>
        <w:t>)</w:t>
      </w:r>
      <w:r>
        <w:rPr>
          <w:rFonts w:hint="eastAsia"/>
        </w:rPr>
        <w:t>。经</w:t>
      </w:r>
      <w:r>
        <w:rPr>
          <w:rFonts w:hint="eastAsia"/>
        </w:rPr>
        <w:t>2002</w:t>
      </w:r>
      <w:r>
        <w:rPr>
          <w:rFonts w:hint="eastAsia"/>
        </w:rPr>
        <w:t>年第</w:t>
      </w:r>
      <w:r>
        <w:rPr>
          <w:rFonts w:hint="eastAsia"/>
        </w:rPr>
        <w:t>9</w:t>
      </w:r>
      <w:r>
        <w:rPr>
          <w:rFonts w:hint="eastAsia"/>
        </w:rPr>
        <w:t>号法令修正的关于儿童保护和监护管理的</w:t>
      </w:r>
      <w:r>
        <w:rPr>
          <w:rFonts w:hint="eastAsia"/>
        </w:rPr>
        <w:t>1997</w:t>
      </w:r>
      <w:r>
        <w:rPr>
          <w:rFonts w:hint="eastAsia"/>
        </w:rPr>
        <w:t>年第</w:t>
      </w:r>
      <w:r>
        <w:rPr>
          <w:rFonts w:hint="eastAsia"/>
        </w:rPr>
        <w:t>31</w:t>
      </w:r>
      <w:r>
        <w:rPr>
          <w:rFonts w:hint="eastAsia"/>
        </w:rPr>
        <w:t>号法，就这些可选择的日托设施作出了规定，该法于</w:t>
      </w:r>
      <w:r>
        <w:rPr>
          <w:rFonts w:hint="eastAsia"/>
        </w:rPr>
        <w:t>2003</w:t>
      </w:r>
      <w:r>
        <w:rPr>
          <w:rFonts w:hint="eastAsia"/>
        </w:rPr>
        <w:t>年</w:t>
      </w:r>
      <w:r>
        <w:rPr>
          <w:rFonts w:hint="eastAsia"/>
        </w:rPr>
        <w:t>1</w:t>
      </w:r>
      <w:r>
        <w:rPr>
          <w:rFonts w:hint="eastAsia"/>
        </w:rPr>
        <w:t>月</w:t>
      </w:r>
      <w:r>
        <w:rPr>
          <w:rFonts w:hint="eastAsia"/>
        </w:rPr>
        <w:t>1</w:t>
      </w:r>
      <w:r>
        <w:rPr>
          <w:rFonts w:hint="eastAsia"/>
        </w:rPr>
        <w:t>日生效。</w:t>
      </w:r>
    </w:p>
    <w:p w:rsidR="00000000" w:rsidRDefault="00000000">
      <w:pPr>
        <w:ind w:firstLine="510"/>
        <w:rPr>
          <w:rFonts w:hint="eastAsia"/>
        </w:rPr>
      </w:pPr>
      <w:r>
        <w:rPr>
          <w:rFonts w:hint="eastAsia"/>
        </w:rPr>
        <w:t xml:space="preserve">292.  </w:t>
      </w:r>
      <w:r>
        <w:rPr>
          <w:rFonts w:hint="eastAsia"/>
        </w:rPr>
        <w:t>《儿童保护法令》提到</w:t>
      </w:r>
      <w:r>
        <w:rPr>
          <w:rFonts w:hint="eastAsia"/>
          <w:b/>
          <w:bCs/>
        </w:rPr>
        <w:t>三种形式的儿童日间照料</w:t>
      </w:r>
      <w:r>
        <w:rPr>
          <w:rFonts w:hint="eastAsia"/>
        </w:rPr>
        <w:t>：托儿所、家庭日托和家中看管儿童。</w:t>
      </w:r>
    </w:p>
    <w:p w:rsidR="00000000" w:rsidRDefault="00000000">
      <w:pPr>
        <w:ind w:firstLine="510"/>
        <w:rPr>
          <w:rFonts w:hint="eastAsia"/>
        </w:rPr>
      </w:pPr>
      <w:r>
        <w:rPr>
          <w:rFonts w:hint="eastAsia"/>
        </w:rPr>
        <w:t xml:space="preserve">293.  </w:t>
      </w:r>
      <w:r>
        <w:rPr>
          <w:rFonts w:hint="eastAsia"/>
          <w:b/>
          <w:bCs/>
        </w:rPr>
        <w:t>托儿所</w:t>
      </w:r>
      <w:r>
        <w:rPr>
          <w:rFonts w:hint="eastAsia"/>
        </w:rPr>
        <w:t>作为一种公共机构，为家庭抚养三岁以下的儿童提供日托和专业护理与教育。此外，根据公共教育法，如儿童保育专业人员和康复委员会作出支持的意见，残疾儿童可由托儿所照料至六周岁，如果这种安排将有助于他或她融入主流或康复的话。除了提供基本服务之外，托儿所还可对儿童进行定期看管，或作为儿童之家，为家庭提供咨询或其他儿童抚养方面的服务。</w:t>
      </w:r>
    </w:p>
    <w:p w:rsidR="00000000" w:rsidRDefault="00000000">
      <w:pPr>
        <w:ind w:firstLine="510"/>
        <w:rPr>
          <w:rFonts w:hint="eastAsia"/>
        </w:rPr>
      </w:pPr>
      <w:r>
        <w:rPr>
          <w:rFonts w:hint="eastAsia"/>
        </w:rPr>
        <w:t xml:space="preserve">294.  </w:t>
      </w:r>
      <w:r>
        <w:rPr>
          <w:rFonts w:hint="eastAsia"/>
        </w:rPr>
        <w:t>托儿所还可为残疾儿童提供及早融入主流和以康复为导向的教育。托儿所属于托儿所照料体制下的机构，根据专家意见和关于公共教育的</w:t>
      </w:r>
      <w:r>
        <w:rPr>
          <w:rFonts w:hint="eastAsia"/>
        </w:rPr>
        <w:t>1993</w:t>
      </w:r>
      <w:r>
        <w:rPr>
          <w:rFonts w:hint="eastAsia"/>
        </w:rPr>
        <w:t>年第</w:t>
      </w:r>
      <w:r>
        <w:rPr>
          <w:rFonts w:hint="eastAsia"/>
        </w:rPr>
        <w:t>79</w:t>
      </w:r>
      <w:r>
        <w:rPr>
          <w:rFonts w:hint="eastAsia"/>
        </w:rPr>
        <w:t>号法所指定的康复委员会的意见，对六岁之前的残疾儿童实施以发展为导向的培养和教育。</w:t>
      </w:r>
    </w:p>
    <w:p w:rsidR="00000000" w:rsidRDefault="00000000">
      <w:pPr>
        <w:ind w:firstLine="510"/>
        <w:rPr>
          <w:rFonts w:hint="eastAsia"/>
        </w:rPr>
      </w:pPr>
      <w:r>
        <w:rPr>
          <w:rFonts w:hint="eastAsia"/>
        </w:rPr>
        <w:t xml:space="preserve">295.  </w:t>
      </w:r>
      <w:r>
        <w:rPr>
          <w:rFonts w:hint="eastAsia"/>
        </w:rPr>
        <w:t>除了初级照料之外，托儿所还可为家庭提供以下服务，如专门咨询、临时儿童监护、儿童旅店，或协助抚养儿童的其他服务</w:t>
      </w:r>
      <w:r>
        <w:rPr>
          <w:rFonts w:hint="eastAsia"/>
        </w:rPr>
        <w:t>(</w:t>
      </w:r>
      <w:r>
        <w:rPr>
          <w:rFonts w:hint="eastAsia"/>
        </w:rPr>
        <w:t>《儿童保护法令》，第</w:t>
      </w:r>
      <w:r>
        <w:rPr>
          <w:rFonts w:hint="eastAsia"/>
        </w:rPr>
        <w:t>42</w:t>
      </w:r>
      <w:r>
        <w:rPr>
          <w:rFonts w:hint="eastAsia"/>
        </w:rPr>
        <w:t>段</w:t>
      </w:r>
      <w:r>
        <w:rPr>
          <w:rFonts w:hint="eastAsia"/>
        </w:rPr>
        <w:t>)</w:t>
      </w:r>
      <w:r>
        <w:rPr>
          <w:rFonts w:hint="eastAsia"/>
        </w:rPr>
        <w:t>。</w:t>
      </w:r>
    </w:p>
    <w:p w:rsidR="00000000" w:rsidRDefault="00000000">
      <w:pPr>
        <w:ind w:firstLine="510"/>
        <w:rPr>
          <w:rFonts w:hint="eastAsia"/>
        </w:rPr>
      </w:pPr>
      <w:r>
        <w:rPr>
          <w:rFonts w:hint="eastAsia"/>
        </w:rPr>
        <w:t xml:space="preserve">296.  </w:t>
      </w:r>
      <w:r>
        <w:rPr>
          <w:rFonts w:hint="eastAsia"/>
        </w:rPr>
        <w:t>母亲开始工作的一个条件，就是有适当的托儿所服务。不过，</w:t>
      </w:r>
      <w:r>
        <w:rPr>
          <w:rFonts w:hint="eastAsia"/>
        </w:rPr>
        <w:t>1990</w:t>
      </w:r>
      <w:r>
        <w:rPr>
          <w:rFonts w:hint="eastAsia"/>
        </w:rPr>
        <w:t>年至</w:t>
      </w:r>
      <w:r>
        <w:rPr>
          <w:rFonts w:hint="eastAsia"/>
        </w:rPr>
        <w:t>2002</w:t>
      </w:r>
      <w:r>
        <w:rPr>
          <w:rFonts w:hint="eastAsia"/>
        </w:rPr>
        <w:t>年期间，这一收托能力下降了</w:t>
      </w:r>
      <w:r>
        <w:rPr>
          <w:rFonts w:hint="eastAsia"/>
        </w:rPr>
        <w:t>50%</w:t>
      </w:r>
      <w:r>
        <w:rPr>
          <w:rFonts w:hint="eastAsia"/>
        </w:rPr>
        <w:t>以上。</w:t>
      </w:r>
    </w:p>
    <w:p w:rsidR="00000000" w:rsidRDefault="00000000">
      <w:pPr>
        <w:ind w:firstLine="510"/>
        <w:rPr>
          <w:rFonts w:hint="eastAsia"/>
        </w:rPr>
      </w:pPr>
      <w:r>
        <w:rPr>
          <w:rFonts w:hint="eastAsia"/>
        </w:rPr>
        <w:t xml:space="preserve">297.  </w:t>
      </w:r>
      <w:r>
        <w:rPr>
          <w:rFonts w:hint="eastAsia"/>
          <w:b/>
          <w:bCs/>
        </w:rPr>
        <w:t>家庭日托所</w:t>
      </w:r>
      <w:r>
        <w:rPr>
          <w:rFonts w:hint="eastAsia"/>
        </w:rPr>
        <w:t>为家庭所抚养的未进托儿所或学前班的幼儿提供日间照料。它们也照料未上学校举办的课外班的在校儿童。这些家庭日托中心为儿童提供与其年龄相称的日托服务，包括给予看管和协助，提供膳食，以及各种编排活动。家庭日托所的任务是满足残疾儿童的特殊需要</w:t>
      </w:r>
      <w:r>
        <w:rPr>
          <w:rFonts w:hint="eastAsia"/>
        </w:rPr>
        <w:t>(</w:t>
      </w:r>
      <w:r>
        <w:rPr>
          <w:rFonts w:hint="eastAsia"/>
        </w:rPr>
        <w:t>《儿童保护法令》，第</w:t>
      </w:r>
      <w:r>
        <w:rPr>
          <w:rFonts w:hint="eastAsia"/>
        </w:rPr>
        <w:t>43</w:t>
      </w:r>
      <w:r>
        <w:rPr>
          <w:rFonts w:hint="eastAsia"/>
        </w:rPr>
        <w:t>段</w:t>
      </w:r>
      <w:r>
        <w:rPr>
          <w:rFonts w:hint="eastAsia"/>
        </w:rPr>
        <w:t>)</w:t>
      </w:r>
      <w:r>
        <w:rPr>
          <w:rFonts w:hint="eastAsia"/>
        </w:rPr>
        <w:t>。</w:t>
      </w:r>
    </w:p>
    <w:p w:rsidR="00000000" w:rsidRDefault="00000000">
      <w:pPr>
        <w:ind w:firstLine="510"/>
        <w:rPr>
          <w:rFonts w:hint="eastAsia"/>
        </w:rPr>
      </w:pPr>
      <w:r>
        <w:rPr>
          <w:rFonts w:hint="eastAsia"/>
        </w:rPr>
        <w:t xml:space="preserve">298.  </w:t>
      </w:r>
      <w:r>
        <w:rPr>
          <w:rFonts w:hint="eastAsia"/>
        </w:rPr>
        <w:t>照料者在自己家中或其他为此改造过的场所接收儿童，最多照料</w:t>
      </w:r>
      <w:r>
        <w:rPr>
          <w:rFonts w:hint="eastAsia"/>
        </w:rPr>
        <w:t>5</w:t>
      </w:r>
      <w:r>
        <w:rPr>
          <w:rFonts w:hint="eastAsia"/>
        </w:rPr>
        <w:t>至</w:t>
      </w:r>
      <w:r>
        <w:rPr>
          <w:rFonts w:hint="eastAsia"/>
        </w:rPr>
        <w:t>7</w:t>
      </w:r>
      <w:r>
        <w:rPr>
          <w:rFonts w:hint="eastAsia"/>
        </w:rPr>
        <w:t>名</w:t>
      </w:r>
      <w:r>
        <w:rPr>
          <w:rFonts w:hint="eastAsia"/>
        </w:rPr>
        <w:t>20</w:t>
      </w:r>
      <w:r>
        <w:rPr>
          <w:rFonts w:hint="eastAsia"/>
        </w:rPr>
        <w:t>周至</w:t>
      </w:r>
      <w:r>
        <w:rPr>
          <w:rFonts w:hint="eastAsia"/>
        </w:rPr>
        <w:t>14</w:t>
      </w:r>
      <w:r>
        <w:rPr>
          <w:rFonts w:hint="eastAsia"/>
        </w:rPr>
        <w:t>岁的儿童。福利部第</w:t>
      </w:r>
      <w:r>
        <w:rPr>
          <w:rFonts w:hint="eastAsia"/>
        </w:rPr>
        <w:t>15/1998</w:t>
      </w:r>
      <w:r>
        <w:rPr>
          <w:rFonts w:hint="eastAsia"/>
        </w:rPr>
        <w:t>号法令对室内设施以及此种照料的人员和技术条件作出明确规定。在不能作为托儿所使用的狭小场地，或者学前班和课外班人满为患的情况下，尤其适宜采用这种形式的照料。《儿童保护法令》提出了这类儿童保育以及在家看管儿童问题，这一问题将在下文中详细讨论。建立全国性网络的工作刚刚起步，这也是具体数字不高的原因。</w:t>
      </w:r>
    </w:p>
    <w:p w:rsidR="00000000" w:rsidRDefault="00000000">
      <w:pPr>
        <w:ind w:firstLine="510"/>
        <w:rPr>
          <w:rFonts w:hint="eastAsia"/>
        </w:rPr>
      </w:pPr>
      <w:r>
        <w:rPr>
          <w:rFonts w:hint="eastAsia"/>
        </w:rPr>
        <w:t xml:space="preserve">299.  </w:t>
      </w:r>
      <w:r>
        <w:rPr>
          <w:rFonts w:hint="eastAsia"/>
        </w:rPr>
        <w:t>家庭日托是为未进托儿所或学前班的儿童以及未进课外活动中心的在校儿童提供非教育照料。家庭日托为住在家里的儿童提供与其年龄相称的日间看管、照料、膳食和消遣活动。对残疾儿童应当提供适合其特殊需要的照料</w:t>
      </w:r>
      <w:r>
        <w:rPr>
          <w:rFonts w:hint="eastAsia"/>
        </w:rPr>
        <w:t>(</w:t>
      </w:r>
      <w:r>
        <w:rPr>
          <w:rFonts w:hint="eastAsia"/>
        </w:rPr>
        <w:t>《儿童保护法令》，第</w:t>
      </w:r>
      <w:r>
        <w:rPr>
          <w:rFonts w:hint="eastAsia"/>
        </w:rPr>
        <w:t>43</w:t>
      </w:r>
      <w:r>
        <w:rPr>
          <w:rFonts w:hint="eastAsia"/>
        </w:rPr>
        <w:t>段</w:t>
      </w:r>
      <w:r>
        <w:rPr>
          <w:rFonts w:hint="eastAsia"/>
        </w:rPr>
        <w:t>)</w:t>
      </w:r>
      <w:r>
        <w:rPr>
          <w:rFonts w:hint="eastAsia"/>
        </w:rPr>
        <w:t>。</w:t>
      </w:r>
    </w:p>
    <w:p w:rsidR="00000000" w:rsidRDefault="00000000">
      <w:pPr>
        <w:ind w:firstLine="510"/>
        <w:rPr>
          <w:rFonts w:hint="eastAsia"/>
        </w:rPr>
      </w:pPr>
      <w:r>
        <w:rPr>
          <w:rFonts w:hint="eastAsia"/>
        </w:rPr>
        <w:t xml:space="preserve">300.  </w:t>
      </w:r>
      <w:r>
        <w:rPr>
          <w:rFonts w:hint="eastAsia"/>
          <w:b/>
          <w:bCs/>
        </w:rPr>
        <w:t>在家看管儿童</w:t>
      </w:r>
      <w:r>
        <w:rPr>
          <w:rFonts w:hint="eastAsia"/>
        </w:rPr>
        <w:t>为由于某种原因</w:t>
      </w:r>
      <w:r>
        <w:rPr>
          <w:rFonts w:hint="eastAsia"/>
        </w:rPr>
        <w:t>(</w:t>
      </w:r>
      <w:r>
        <w:rPr>
          <w:rFonts w:hint="eastAsia"/>
        </w:rPr>
        <w:t>比如生病</w:t>
      </w:r>
      <w:r>
        <w:rPr>
          <w:rFonts w:hint="eastAsia"/>
        </w:rPr>
        <w:t>)</w:t>
      </w:r>
      <w:r>
        <w:rPr>
          <w:rFonts w:hint="eastAsia"/>
        </w:rPr>
        <w:t>不能进提供日托服务的公共机构的儿童提供日间照料。照料者是父亲或母亲，或者法定监护人。这种形式的照料必须根据父亲或母亲的工作时间表来安排，因为父亲或母亲只能照料部分时间。家庭日托的持续时间必须根据父亲或母亲的工作时间表来调整</w:t>
      </w:r>
      <w:r>
        <w:rPr>
          <w:rFonts w:hint="eastAsia"/>
        </w:rPr>
        <w:t>(</w:t>
      </w:r>
      <w:r>
        <w:rPr>
          <w:rFonts w:hint="eastAsia"/>
        </w:rPr>
        <w:t>《儿童保护法令》，第</w:t>
      </w:r>
      <w:r>
        <w:rPr>
          <w:rFonts w:hint="eastAsia"/>
        </w:rPr>
        <w:t>44</w:t>
      </w:r>
      <w:r>
        <w:rPr>
          <w:rFonts w:hint="eastAsia"/>
        </w:rPr>
        <w:t>段</w:t>
      </w:r>
      <w:r>
        <w:rPr>
          <w:rFonts w:hint="eastAsia"/>
        </w:rPr>
        <w:t>)</w:t>
      </w:r>
      <w:r>
        <w:rPr>
          <w:rFonts w:hint="eastAsia"/>
        </w:rPr>
        <w:t>。照料者必须提供与儿童的年龄和健康状况相适宜的照料。</w:t>
      </w:r>
    </w:p>
    <w:p w:rsidR="00000000" w:rsidRDefault="00000000">
      <w:pPr>
        <w:ind w:firstLine="510"/>
        <w:rPr>
          <w:rFonts w:hint="eastAsia"/>
        </w:rPr>
      </w:pPr>
      <w:r>
        <w:rPr>
          <w:rFonts w:hint="eastAsia"/>
        </w:rPr>
        <w:t xml:space="preserve">301.  </w:t>
      </w:r>
      <w:r>
        <w:rPr>
          <w:rFonts w:hint="eastAsia"/>
        </w:rPr>
        <w:t>如果根据《公共教育法令》，儿童因残疾或重病在家中受教育，则提供家庭照料时，必须辅导该儿童的功课</w:t>
      </w:r>
      <w:r>
        <w:rPr>
          <w:rFonts w:hint="eastAsia"/>
        </w:rPr>
        <w:t>(</w:t>
      </w:r>
      <w:r>
        <w:rPr>
          <w:rFonts w:hint="eastAsia"/>
        </w:rPr>
        <w:t>《儿童保护法令》，第</w:t>
      </w:r>
      <w:r>
        <w:rPr>
          <w:rFonts w:hint="eastAsia"/>
        </w:rPr>
        <w:t>44</w:t>
      </w:r>
      <w:r>
        <w:rPr>
          <w:rFonts w:hint="eastAsia"/>
        </w:rPr>
        <w:t>段</w:t>
      </w:r>
      <w:r>
        <w:rPr>
          <w:rFonts w:hint="eastAsia"/>
        </w:rPr>
        <w:t>)</w:t>
      </w:r>
      <w:r>
        <w:rPr>
          <w:rFonts w:hint="eastAsia"/>
        </w:rPr>
        <w:t>。</w:t>
      </w:r>
    </w:p>
    <w:p w:rsidR="00000000" w:rsidRDefault="00000000">
      <w:pPr>
        <w:ind w:firstLine="510"/>
        <w:rPr>
          <w:rFonts w:hint="eastAsia"/>
        </w:rPr>
      </w:pPr>
      <w:r>
        <w:rPr>
          <w:rFonts w:hint="eastAsia"/>
        </w:rPr>
        <w:t xml:space="preserve">302.  </w:t>
      </w:r>
      <w:r>
        <w:rPr>
          <w:rFonts w:hint="eastAsia"/>
        </w:rPr>
        <w:t>儿童</w:t>
      </w:r>
      <w:r>
        <w:rPr>
          <w:rFonts w:hint="eastAsia"/>
        </w:rPr>
        <w:t>3</w:t>
      </w:r>
      <w:r>
        <w:rPr>
          <w:rFonts w:hint="eastAsia"/>
        </w:rPr>
        <w:t>岁起进学前班</w:t>
      </w:r>
      <w:r>
        <w:rPr>
          <w:rFonts w:hint="eastAsia"/>
        </w:rPr>
        <w:t>(</w:t>
      </w:r>
      <w:r>
        <w:rPr>
          <w:rFonts w:hint="eastAsia"/>
        </w:rPr>
        <w:t>幼儿园</w:t>
      </w:r>
      <w:r>
        <w:rPr>
          <w:rFonts w:hint="eastAsia"/>
        </w:rPr>
        <w:t>)</w:t>
      </w:r>
      <w:r>
        <w:rPr>
          <w:rFonts w:hint="eastAsia"/>
        </w:rPr>
        <w:t>，直至其发育程度达到入学所必需的水平，至多到</w:t>
      </w:r>
      <w:r>
        <w:rPr>
          <w:rFonts w:hint="eastAsia"/>
        </w:rPr>
        <w:t>7</w:t>
      </w:r>
      <w:r>
        <w:rPr>
          <w:rFonts w:hint="eastAsia"/>
        </w:rPr>
        <w:t>岁为止。从</w:t>
      </w:r>
      <w:r>
        <w:rPr>
          <w:rFonts w:hint="eastAsia"/>
        </w:rPr>
        <w:t>5</w:t>
      </w:r>
      <w:r>
        <w:rPr>
          <w:rFonts w:hint="eastAsia"/>
        </w:rPr>
        <w:t>岁起，作为入学准备，学前班就提供类似于学校教育的课程，但需完全适合于学前班的初级任务，即为儿童提供日托服务。</w:t>
      </w:r>
    </w:p>
    <w:p w:rsidR="00000000" w:rsidRDefault="00000000">
      <w:pPr>
        <w:spacing w:after="320"/>
        <w:ind w:firstLine="510"/>
        <w:rPr>
          <w:rFonts w:hint="eastAsia"/>
        </w:rPr>
      </w:pPr>
      <w:r>
        <w:rPr>
          <w:rFonts w:hint="eastAsia"/>
        </w:rPr>
        <w:t xml:space="preserve">303.  </w:t>
      </w:r>
      <w:r>
        <w:rPr>
          <w:rFonts w:hint="eastAsia"/>
        </w:rPr>
        <w:t>小学儿童可上</w:t>
      </w:r>
      <w:r>
        <w:rPr>
          <w:rFonts w:ascii="Time New Roman" w:eastAsia="SimHei" w:hAnsi="Time New Roman" w:hint="eastAsia"/>
        </w:rPr>
        <w:t>有老师看管的课外活动班</w:t>
      </w:r>
      <w:r>
        <w:rPr>
          <w:rFonts w:hint="eastAsia"/>
        </w:rPr>
        <w:t>。在这里，儿童上午复习学过的知识。课程根据课外活动班的基本功能来调整，即为儿童提供日间照料。</w:t>
      </w:r>
    </w:p>
    <w:p w:rsidR="00000000" w:rsidRDefault="00000000">
      <w:pPr>
        <w:pStyle w:val="Heading3"/>
        <w:rPr>
          <w:rFonts w:hint="eastAsia"/>
        </w:rPr>
      </w:pPr>
      <w:r>
        <w:rPr>
          <w:rFonts w:hint="eastAsia"/>
        </w:rPr>
        <w:t>组建家庭补助</w:t>
      </w:r>
    </w:p>
    <w:p w:rsidR="00000000" w:rsidRDefault="00000000">
      <w:pPr>
        <w:ind w:firstLine="510"/>
        <w:rPr>
          <w:rFonts w:hint="eastAsia"/>
        </w:rPr>
      </w:pPr>
      <w:r>
        <w:rPr>
          <w:rFonts w:hint="eastAsia"/>
        </w:rPr>
        <w:t xml:space="preserve">304.  </w:t>
      </w:r>
      <w:r>
        <w:rPr>
          <w:rFonts w:hint="eastAsia"/>
        </w:rPr>
        <w:t>《儿童保护法令》载有关于另一种形式补助的规定，即组建家庭补助</w:t>
      </w:r>
      <w:r>
        <w:rPr>
          <w:rFonts w:hint="eastAsia"/>
        </w:rPr>
        <w:t>(</w:t>
      </w:r>
      <w:r>
        <w:rPr>
          <w:rFonts w:hint="eastAsia"/>
        </w:rPr>
        <w:t>第</w:t>
      </w:r>
      <w:r>
        <w:rPr>
          <w:rFonts w:hint="eastAsia"/>
        </w:rPr>
        <w:t>25</w:t>
      </w:r>
      <w:r>
        <w:rPr>
          <w:rFonts w:hint="eastAsia"/>
        </w:rPr>
        <w:t>至</w:t>
      </w:r>
      <w:r>
        <w:rPr>
          <w:rFonts w:hint="eastAsia"/>
        </w:rPr>
        <w:t>27</w:t>
      </w:r>
      <w:r>
        <w:rPr>
          <w:rFonts w:hint="eastAsia"/>
        </w:rPr>
        <w:t>段</w:t>
      </w:r>
      <w:r>
        <w:rPr>
          <w:rFonts w:hint="eastAsia"/>
        </w:rPr>
        <w:t>)</w:t>
      </w:r>
      <w:r>
        <w:rPr>
          <w:rFonts w:hint="eastAsia"/>
        </w:rPr>
        <w:t>。</w:t>
      </w:r>
    </w:p>
    <w:p w:rsidR="00000000" w:rsidRDefault="00000000">
      <w:pPr>
        <w:ind w:firstLine="510"/>
        <w:rPr>
          <w:rFonts w:hint="eastAsia"/>
        </w:rPr>
      </w:pPr>
      <w:r>
        <w:rPr>
          <w:rFonts w:hint="eastAsia"/>
        </w:rPr>
        <w:t xml:space="preserve">305.  </w:t>
      </w:r>
      <w:r>
        <w:rPr>
          <w:rFonts w:hint="eastAsia"/>
        </w:rPr>
        <w:t>为组建家庭提供补助的目的，是推动即将脱离临时或长期国家监护的青年人购置住所，为他们提供一个永久性住房解决办法。</w:t>
      </w:r>
    </w:p>
    <w:p w:rsidR="00000000" w:rsidRDefault="00000000">
      <w:pPr>
        <w:ind w:firstLine="510"/>
        <w:rPr>
          <w:rFonts w:hint="eastAsia"/>
        </w:rPr>
      </w:pPr>
      <w:r>
        <w:rPr>
          <w:rFonts w:hint="eastAsia"/>
        </w:rPr>
        <w:t xml:space="preserve">306.  </w:t>
      </w:r>
      <w:r>
        <w:rPr>
          <w:rFonts w:hint="eastAsia"/>
        </w:rPr>
        <w:t>资格：至少连续三年由国家监护、成年时终止监护的青年人。终止监护时，他们所拥有的现金或财产不能超过最低限度养老金的</w:t>
      </w:r>
      <w:r>
        <w:rPr>
          <w:rFonts w:hint="eastAsia"/>
        </w:rPr>
        <w:t>60</w:t>
      </w:r>
      <w:r>
        <w:rPr>
          <w:rFonts w:hint="eastAsia"/>
        </w:rPr>
        <w:t>倍。青年人所得收入的储蓄，在计算这些资金时不应考虑在内。</w:t>
      </w:r>
    </w:p>
    <w:p w:rsidR="00000000" w:rsidRDefault="00000000">
      <w:pPr>
        <w:ind w:firstLine="510"/>
        <w:rPr>
          <w:rFonts w:hint="eastAsia"/>
        </w:rPr>
      </w:pPr>
      <w:r>
        <w:rPr>
          <w:rFonts w:hint="eastAsia"/>
        </w:rPr>
        <w:t xml:space="preserve">307.  </w:t>
      </w:r>
      <w:r>
        <w:rPr>
          <w:rFonts w:hint="eastAsia"/>
        </w:rPr>
        <w:t>青年人曾由国家监护，如果需要国家监护是因为父母的监护权被收走而且不可能指定一名监护人，因此无人监护，则该青年人虽然由国家监护不足三年，也应有权领取这项福利金。</w:t>
      </w:r>
    </w:p>
    <w:p w:rsidR="00000000" w:rsidRDefault="00000000">
      <w:pPr>
        <w:ind w:firstLine="510"/>
        <w:rPr>
          <w:rFonts w:hint="eastAsia"/>
        </w:rPr>
      </w:pPr>
      <w:r>
        <w:rPr>
          <w:rFonts w:hint="eastAsia"/>
        </w:rPr>
        <w:t xml:space="preserve">308.  </w:t>
      </w:r>
      <w:r>
        <w:rPr>
          <w:rFonts w:hint="eastAsia"/>
        </w:rPr>
        <w:t>补助可用于购买建房地皮、套房、房屋，或为居住而建造或改建某一设施，翻修或扩建套房，交纳租金或分租费，或偿还银行贷款以获取一所住房或为一所住房而先期储蓄。</w:t>
      </w:r>
    </w:p>
    <w:p w:rsidR="00000000" w:rsidRDefault="00000000">
      <w:pPr>
        <w:ind w:firstLine="510"/>
        <w:rPr>
          <w:rFonts w:hint="eastAsia"/>
        </w:rPr>
      </w:pPr>
      <w:r>
        <w:rPr>
          <w:rFonts w:hint="eastAsia"/>
        </w:rPr>
        <w:t xml:space="preserve">309.  </w:t>
      </w:r>
      <w:r>
        <w:rPr>
          <w:rFonts w:hint="eastAsia"/>
        </w:rPr>
        <w:t>组建家庭补助申请必须说明符合资格的情况。其中也必须有青年人的声明</w:t>
      </w:r>
      <w:r>
        <w:rPr>
          <w:rFonts w:hint="eastAsia"/>
        </w:rPr>
        <w:t>(</w:t>
      </w:r>
      <w:r>
        <w:rPr>
          <w:rFonts w:hint="eastAsia"/>
        </w:rPr>
        <w:t>或合作声明</w:t>
      </w:r>
      <w:r>
        <w:rPr>
          <w:rFonts w:hint="eastAsia"/>
        </w:rPr>
        <w:t>)</w:t>
      </w:r>
      <w:r>
        <w:rPr>
          <w:rFonts w:hint="eastAsia"/>
        </w:rPr>
        <w:t>，表示在使用这项补助时，愿意与以后负责照料的人进行合作，直至提出资金使用核算。</w:t>
      </w:r>
    </w:p>
    <w:p w:rsidR="00000000" w:rsidRDefault="00000000">
      <w:pPr>
        <w:ind w:firstLine="510"/>
        <w:rPr>
          <w:rFonts w:hint="eastAsia"/>
        </w:rPr>
      </w:pPr>
      <w:r>
        <w:rPr>
          <w:rFonts w:hint="eastAsia"/>
        </w:rPr>
        <w:t xml:space="preserve">310.  </w:t>
      </w:r>
      <w:r>
        <w:rPr>
          <w:rFonts w:hint="eastAsia"/>
        </w:rPr>
        <w:t>负责以后照料的人应当提供一年的帮助，以实现最初住房福利的目标。</w:t>
      </w:r>
    </w:p>
    <w:p w:rsidR="00000000" w:rsidRDefault="00000000">
      <w:pPr>
        <w:ind w:firstLine="510"/>
        <w:rPr>
          <w:rFonts w:hint="eastAsia"/>
        </w:rPr>
      </w:pPr>
      <w:r>
        <w:rPr>
          <w:rFonts w:hint="eastAsia"/>
        </w:rPr>
        <w:t xml:space="preserve">311.  </w:t>
      </w:r>
      <w:r>
        <w:rPr>
          <w:rFonts w:hint="eastAsia"/>
        </w:rPr>
        <w:t>组建家庭应付补助金额取决于受国家监护的年数和合格申请人的经济状况。以下为合格申请人没有任何财产时所应领取的金额，或者如果他或她有财产，包括他或她自己的财产在内的应收总金额：</w:t>
      </w:r>
    </w:p>
    <w:p w:rsidR="00000000" w:rsidRDefault="00000000">
      <w:pPr>
        <w:pStyle w:val="a0"/>
        <w:ind w:left="1550"/>
        <w:rPr>
          <w:rFonts w:hint="eastAsia"/>
        </w:rPr>
      </w:pPr>
      <w:r>
        <w:rPr>
          <w:rFonts w:hint="eastAsia"/>
        </w:rPr>
        <w:tab/>
      </w:r>
      <w:r>
        <w:rPr>
          <w:rFonts w:hint="eastAsia"/>
        </w:rPr>
        <w:t>受国家照料不足四年者，为最低限度养老金的</w:t>
      </w:r>
      <w:r>
        <w:rPr>
          <w:rFonts w:hint="eastAsia"/>
        </w:rPr>
        <w:t>40</w:t>
      </w:r>
      <w:r>
        <w:rPr>
          <w:rFonts w:hint="eastAsia"/>
        </w:rPr>
        <w:t>倍；</w:t>
      </w:r>
    </w:p>
    <w:p w:rsidR="00000000" w:rsidRDefault="00000000">
      <w:pPr>
        <w:pStyle w:val="a0"/>
        <w:ind w:left="1550"/>
        <w:rPr>
          <w:rFonts w:hint="eastAsia"/>
        </w:rPr>
      </w:pPr>
      <w:r>
        <w:rPr>
          <w:rFonts w:hint="eastAsia"/>
        </w:rPr>
        <w:tab/>
      </w:r>
      <w:r>
        <w:rPr>
          <w:rFonts w:hint="eastAsia"/>
        </w:rPr>
        <w:t>受国家照料四年以上者，为最低限度养老金的</w:t>
      </w:r>
      <w:r>
        <w:rPr>
          <w:rFonts w:hint="eastAsia"/>
        </w:rPr>
        <w:t>50</w:t>
      </w:r>
      <w:r>
        <w:rPr>
          <w:rFonts w:hint="eastAsia"/>
        </w:rPr>
        <w:t>倍；</w:t>
      </w:r>
    </w:p>
    <w:p w:rsidR="00000000" w:rsidRDefault="00000000">
      <w:pPr>
        <w:pStyle w:val="a0"/>
        <w:ind w:left="1550"/>
        <w:rPr>
          <w:rFonts w:hint="eastAsia"/>
        </w:rPr>
      </w:pPr>
      <w:r>
        <w:rPr>
          <w:rFonts w:hint="eastAsia"/>
        </w:rPr>
        <w:tab/>
      </w:r>
      <w:r>
        <w:rPr>
          <w:rFonts w:hint="eastAsia"/>
        </w:rPr>
        <w:t>受国家照料五年以上者，为最低限度养老金的</w:t>
      </w:r>
      <w:r>
        <w:rPr>
          <w:rFonts w:hint="eastAsia"/>
        </w:rPr>
        <w:t>60</w:t>
      </w:r>
      <w:r>
        <w:rPr>
          <w:rFonts w:hint="eastAsia"/>
        </w:rPr>
        <w:t>倍。</w:t>
      </w:r>
    </w:p>
    <w:p w:rsidR="00000000" w:rsidRDefault="00000000">
      <w:pPr>
        <w:ind w:firstLine="510"/>
        <w:rPr>
          <w:rFonts w:hint="eastAsia"/>
        </w:rPr>
      </w:pPr>
      <w:r>
        <w:rPr>
          <w:rFonts w:hint="eastAsia"/>
        </w:rPr>
        <w:t xml:space="preserve">312.  </w:t>
      </w:r>
      <w:r>
        <w:rPr>
          <w:rFonts w:hint="eastAsia"/>
        </w:rPr>
        <w:t>截至</w:t>
      </w:r>
      <w:r>
        <w:rPr>
          <w:rFonts w:hint="eastAsia"/>
        </w:rPr>
        <w:t>2003</w:t>
      </w:r>
      <w:r>
        <w:rPr>
          <w:rFonts w:hint="eastAsia"/>
        </w:rPr>
        <w:t>年</w:t>
      </w:r>
      <w:r>
        <w:rPr>
          <w:rFonts w:hint="eastAsia"/>
        </w:rPr>
        <w:t>1</w:t>
      </w:r>
      <w:r>
        <w:rPr>
          <w:rFonts w:hint="eastAsia"/>
        </w:rPr>
        <w:t>月</w:t>
      </w:r>
      <w:r>
        <w:rPr>
          <w:rFonts w:hint="eastAsia"/>
        </w:rPr>
        <w:t>1</w:t>
      </w:r>
      <w:r>
        <w:rPr>
          <w:rFonts w:hint="eastAsia"/>
        </w:rPr>
        <w:t>日，补助增长幅度依然不变。</w:t>
      </w:r>
    </w:p>
    <w:p w:rsidR="00000000" w:rsidRDefault="00000000">
      <w:pPr>
        <w:ind w:firstLine="510"/>
        <w:rPr>
          <w:rFonts w:hint="eastAsia"/>
        </w:rPr>
      </w:pPr>
      <w:r>
        <w:rPr>
          <w:rFonts w:hint="eastAsia"/>
        </w:rPr>
        <w:t xml:space="preserve">313.  </w:t>
      </w:r>
      <w:r>
        <w:rPr>
          <w:rFonts w:hint="eastAsia"/>
        </w:rPr>
        <w:t>在组建家庭补助使用后三十天内，并且不迟于有关合同</w:t>
      </w:r>
      <w:r>
        <w:rPr>
          <w:rFonts w:hint="eastAsia"/>
        </w:rPr>
        <w:t>(</w:t>
      </w:r>
      <w:r>
        <w:rPr>
          <w:rFonts w:hint="eastAsia"/>
        </w:rPr>
        <w:t>比如，出售或租赁合同</w:t>
      </w:r>
      <w:r>
        <w:rPr>
          <w:rFonts w:hint="eastAsia"/>
        </w:rPr>
        <w:t>)</w:t>
      </w:r>
      <w:r>
        <w:rPr>
          <w:rFonts w:hint="eastAsia"/>
        </w:rPr>
        <w:t>订立之日起十二个月内，青年人应提交对帐单，并出具证明文件，说明组建家庭补助的支出情况，证明该款项用于监护当局所核定的用途。</w:t>
      </w:r>
    </w:p>
    <w:p w:rsidR="00000000" w:rsidRDefault="00000000">
      <w:pPr>
        <w:ind w:firstLine="510"/>
        <w:rPr>
          <w:rFonts w:hint="eastAsia"/>
        </w:rPr>
      </w:pPr>
      <w:r>
        <w:rPr>
          <w:rFonts w:hint="eastAsia"/>
        </w:rPr>
        <w:t xml:space="preserve">314.  </w:t>
      </w:r>
      <w:r>
        <w:rPr>
          <w:rFonts w:hint="eastAsia"/>
        </w:rPr>
        <w:t>根据监护当局的决定，组建家庭补助应由国家监护局所在辖区的地方政府办事员经手发放，有关款额列入中央预算借项。</w:t>
      </w:r>
    </w:p>
    <w:p w:rsidR="00000000" w:rsidRDefault="00000000">
      <w:pPr>
        <w:ind w:firstLine="510"/>
        <w:rPr>
          <w:rFonts w:hint="eastAsia"/>
        </w:rPr>
      </w:pPr>
      <w:r>
        <w:rPr>
          <w:rFonts w:hint="eastAsia"/>
        </w:rPr>
        <w:t xml:space="preserve">315.  </w:t>
      </w:r>
      <w:r>
        <w:rPr>
          <w:rFonts w:hint="eastAsia"/>
        </w:rPr>
        <w:t>监护当局可在不动产登记处登记备案，禁止五年内向匈牙利国家转让用这一补助购买的不动产。</w:t>
      </w:r>
    </w:p>
    <w:p w:rsidR="00000000" w:rsidRDefault="00000000">
      <w:pPr>
        <w:ind w:firstLine="510"/>
        <w:rPr>
          <w:rFonts w:hint="eastAsia"/>
        </w:rPr>
      </w:pPr>
      <w:r>
        <w:rPr>
          <w:rFonts w:hint="eastAsia"/>
        </w:rPr>
        <w:t xml:space="preserve">316.  </w:t>
      </w:r>
      <w:r>
        <w:rPr>
          <w:rFonts w:hint="eastAsia"/>
        </w:rPr>
        <w:t>应有资格领取组建家庭补助的青年人的请求，如果其实际情况发生极大变化，监护当局可主动取消所记载的禁止转让规定。</w:t>
      </w:r>
    </w:p>
    <w:p w:rsidR="00000000" w:rsidRDefault="00000000">
      <w:pPr>
        <w:ind w:firstLine="510"/>
        <w:rPr>
          <w:rFonts w:hint="eastAsia"/>
        </w:rPr>
      </w:pPr>
      <w:r>
        <w:rPr>
          <w:rFonts w:hint="eastAsia"/>
        </w:rPr>
        <w:t xml:space="preserve">317.  </w:t>
      </w:r>
      <w:r>
        <w:rPr>
          <w:rFonts w:hint="eastAsia"/>
        </w:rPr>
        <w:t>监护当局应在儿童即将达到可领取组建家庭补助的年龄前六个月，向儿童发出书面通知。</w:t>
      </w:r>
    </w:p>
    <w:p w:rsidR="00000000" w:rsidRDefault="00000000">
      <w:pPr>
        <w:ind w:firstLine="510"/>
        <w:rPr>
          <w:rFonts w:hint="eastAsia"/>
        </w:rPr>
      </w:pPr>
      <w:r>
        <w:rPr>
          <w:rFonts w:hint="eastAsia"/>
        </w:rPr>
        <w:t xml:space="preserve">318.  </w:t>
      </w:r>
      <w:r>
        <w:rPr>
          <w:rFonts w:hint="eastAsia"/>
        </w:rPr>
        <w:t>凡符合以下条件的申请人，可提交组建家庭补助申请：</w:t>
      </w:r>
    </w:p>
    <w:p w:rsidR="00000000" w:rsidRDefault="00000000">
      <w:pPr>
        <w:pStyle w:val="a0"/>
        <w:ind w:left="1550"/>
        <w:rPr>
          <w:rFonts w:hint="eastAsia"/>
        </w:rPr>
      </w:pPr>
      <w:r>
        <w:rPr>
          <w:rFonts w:hint="eastAsia"/>
        </w:rPr>
        <w:t>已成年，但未满</w:t>
      </w:r>
      <w:r>
        <w:rPr>
          <w:rFonts w:hint="eastAsia"/>
        </w:rPr>
        <w:t>24</w:t>
      </w:r>
      <w:r>
        <w:rPr>
          <w:rFonts w:hint="eastAsia"/>
        </w:rPr>
        <w:t>周岁，</w:t>
      </w:r>
    </w:p>
    <w:p w:rsidR="00000000" w:rsidRDefault="00000000">
      <w:pPr>
        <w:pStyle w:val="a0"/>
        <w:spacing w:after="320"/>
        <w:ind w:left="1550"/>
        <w:rPr>
          <w:rFonts w:hint="eastAsia"/>
        </w:rPr>
      </w:pPr>
      <w:r>
        <w:rPr>
          <w:rFonts w:hint="eastAsia"/>
        </w:rPr>
        <w:t>如果青年人到法定年龄依然在校读书，在有关学业结束之前未满</w:t>
      </w:r>
      <w:r>
        <w:rPr>
          <w:rFonts w:hint="eastAsia"/>
        </w:rPr>
        <w:t>25</w:t>
      </w:r>
      <w:r>
        <w:rPr>
          <w:rFonts w:hint="eastAsia"/>
        </w:rPr>
        <w:t>周岁的。</w:t>
      </w:r>
    </w:p>
    <w:p w:rsidR="00000000" w:rsidRDefault="00000000">
      <w:pPr>
        <w:pStyle w:val="Heading3"/>
        <w:rPr>
          <w:rFonts w:hint="eastAsia"/>
        </w:rPr>
      </w:pPr>
      <w:r>
        <w:rPr>
          <w:rFonts w:hint="eastAsia"/>
        </w:rPr>
        <w:t>对母亲的保护</w:t>
      </w:r>
    </w:p>
    <w:p w:rsidR="00000000" w:rsidRDefault="00000000">
      <w:pPr>
        <w:ind w:firstLine="510"/>
        <w:rPr>
          <w:rFonts w:hint="eastAsia"/>
        </w:rPr>
      </w:pPr>
      <w:r>
        <w:rPr>
          <w:rFonts w:hint="eastAsia"/>
        </w:rPr>
        <w:t xml:space="preserve">319.  </w:t>
      </w:r>
      <w:r>
        <w:rPr>
          <w:rFonts w:hint="eastAsia"/>
        </w:rPr>
        <w:t>按照《宪法》第</w:t>
      </w:r>
      <w:r>
        <w:rPr>
          <w:rFonts w:hint="eastAsia"/>
        </w:rPr>
        <w:t>66</w:t>
      </w:r>
      <w:r>
        <w:rPr>
          <w:rFonts w:hint="eastAsia"/>
        </w:rPr>
        <w:t>条第</w:t>
      </w:r>
      <w:r>
        <w:rPr>
          <w:rFonts w:hint="eastAsia"/>
        </w:rPr>
        <w:t>2</w:t>
      </w:r>
      <w:r>
        <w:rPr>
          <w:rFonts w:hint="eastAsia"/>
        </w:rPr>
        <w:t>款，“另有单独的条例规定，在匈牙利共和国，母亲在生育子女前后应得到支助和保护。”</w:t>
      </w:r>
    </w:p>
    <w:p w:rsidR="00000000" w:rsidRDefault="00000000">
      <w:pPr>
        <w:ind w:firstLine="510"/>
        <w:rPr>
          <w:rFonts w:hint="eastAsia"/>
        </w:rPr>
      </w:pPr>
      <w:r>
        <w:rPr>
          <w:rFonts w:hint="eastAsia"/>
        </w:rPr>
        <w:t xml:space="preserve">320.  </w:t>
      </w:r>
      <w:r>
        <w:rPr>
          <w:rFonts w:hint="eastAsia"/>
        </w:rPr>
        <w:t>匈牙利社会支助制度涵盖范围极广，包括产期前后两个时期。加入适当保险的孕妇可免费获得孕产指导和保健服务。她有资格领取作为一项现金福利的孕产津贴和生育津贴。</w:t>
      </w:r>
    </w:p>
    <w:p w:rsidR="00000000" w:rsidRDefault="00000000">
      <w:pPr>
        <w:ind w:firstLine="510"/>
        <w:rPr>
          <w:rFonts w:hint="eastAsia"/>
        </w:rPr>
      </w:pPr>
      <w:r>
        <w:rPr>
          <w:rFonts w:hint="eastAsia"/>
        </w:rPr>
        <w:t xml:space="preserve">321.  </w:t>
      </w:r>
      <w:r>
        <w:rPr>
          <w:rFonts w:hint="eastAsia"/>
        </w:rPr>
        <w:t>作为一项社会福利，孕妇如果因妊娠反应无法工作，目前并不领取孕产津贴的，也有资格领取病假工资。父母如果照料其子女，在子女年满</w:t>
      </w:r>
      <w:r>
        <w:rPr>
          <w:rFonts w:hint="eastAsia"/>
        </w:rPr>
        <w:t>14</w:t>
      </w:r>
      <w:r>
        <w:rPr>
          <w:rFonts w:hint="eastAsia"/>
        </w:rPr>
        <w:t>岁之前有资格领取病假工资。</w:t>
      </w:r>
    </w:p>
    <w:p w:rsidR="00000000" w:rsidRDefault="00000000">
      <w:pPr>
        <w:ind w:firstLine="510"/>
        <w:rPr>
          <w:rFonts w:hint="eastAsia"/>
        </w:rPr>
      </w:pPr>
      <w:r>
        <w:rPr>
          <w:rFonts w:hint="eastAsia"/>
        </w:rPr>
        <w:t xml:space="preserve">322.  </w:t>
      </w:r>
      <w:r>
        <w:rPr>
          <w:rFonts w:hint="eastAsia"/>
        </w:rPr>
        <w:t>产假期为</w:t>
      </w:r>
      <w:r>
        <w:rPr>
          <w:rFonts w:hint="eastAsia"/>
        </w:rPr>
        <w:t>24</w:t>
      </w:r>
      <w:r>
        <w:rPr>
          <w:rFonts w:hint="eastAsia"/>
        </w:rPr>
        <w:t>周，可能的话，其中</w:t>
      </w:r>
      <w:r>
        <w:rPr>
          <w:rFonts w:hint="eastAsia"/>
        </w:rPr>
        <w:t>4</w:t>
      </w:r>
      <w:r>
        <w:rPr>
          <w:rFonts w:hint="eastAsia"/>
        </w:rPr>
        <w:t>周用于分娩之前。子女出生之时，父亲也有资格休假</w:t>
      </w:r>
      <w:r>
        <w:rPr>
          <w:rFonts w:hint="eastAsia"/>
        </w:rPr>
        <w:t>5</w:t>
      </w:r>
      <w:r>
        <w:rPr>
          <w:rFonts w:hint="eastAsia"/>
        </w:rPr>
        <w:t>天。</w:t>
      </w:r>
    </w:p>
    <w:p w:rsidR="00000000" w:rsidRDefault="00000000">
      <w:pPr>
        <w:ind w:firstLine="510"/>
        <w:rPr>
          <w:rFonts w:hint="eastAsia"/>
        </w:rPr>
      </w:pPr>
      <w:r>
        <w:rPr>
          <w:rFonts w:hint="eastAsia"/>
        </w:rPr>
        <w:t xml:space="preserve">323.  </w:t>
      </w:r>
      <w:r>
        <w:rPr>
          <w:rFonts w:hint="eastAsia"/>
        </w:rPr>
        <w:t>在</w:t>
      </w:r>
      <w:r>
        <w:rPr>
          <w:rFonts w:hint="eastAsia"/>
        </w:rPr>
        <w:t>1980</w:t>
      </w:r>
      <w:r>
        <w:rPr>
          <w:rFonts w:hint="eastAsia"/>
        </w:rPr>
        <w:t>年代末之前，家庭支助福利大多与社会保障有关，即只有那些因职业而直接享有权利者方可领取这些福利。在政治制度变革之后</w:t>
      </w:r>
      <w:r>
        <w:rPr>
          <w:rFonts w:hint="eastAsia"/>
        </w:rPr>
        <w:t>(1989-1990</w:t>
      </w:r>
      <w:r>
        <w:rPr>
          <w:rFonts w:hint="eastAsia"/>
        </w:rPr>
        <w:t>年</w:t>
      </w:r>
      <w:r>
        <w:rPr>
          <w:rFonts w:hint="eastAsia"/>
        </w:rPr>
        <w:t>)</w:t>
      </w:r>
      <w:r>
        <w:rPr>
          <w:rFonts w:hint="eastAsia"/>
        </w:rPr>
        <w:t>，家庭支助津贴成为解决多子女家庭贫困问题的手段。</w:t>
      </w:r>
      <w:r>
        <w:rPr>
          <w:rFonts w:hint="eastAsia"/>
        </w:rPr>
        <w:t>1990</w:t>
      </w:r>
      <w:r>
        <w:rPr>
          <w:rFonts w:hint="eastAsia"/>
        </w:rPr>
        <w:t>年代初注重儿童人数的增长问题。主要目的是重新确立家庭的原来含义，刺激人口增长。从</w:t>
      </w:r>
      <w:r>
        <w:rPr>
          <w:rFonts w:hint="eastAsia"/>
        </w:rPr>
        <w:t>1990</w:t>
      </w:r>
      <w:r>
        <w:rPr>
          <w:rFonts w:hint="eastAsia"/>
        </w:rPr>
        <w:t>年代中期起，家庭补助制度的主要目的是确保妇女享有平等权利，在劳动市场上的机会平等，加强儿童的权利。因此，又重新推出对托儿所的正规经费支助，国会于</w:t>
      </w:r>
      <w:r>
        <w:rPr>
          <w:rFonts w:hint="eastAsia"/>
        </w:rPr>
        <w:t>1997</w:t>
      </w:r>
      <w:r>
        <w:rPr>
          <w:rFonts w:hint="eastAsia"/>
        </w:rPr>
        <w:t>年通过了《儿童保护法令》。自</w:t>
      </w:r>
      <w:r>
        <w:rPr>
          <w:rFonts w:hint="eastAsia"/>
        </w:rPr>
        <w:t>1998</w:t>
      </w:r>
      <w:r>
        <w:rPr>
          <w:rFonts w:hint="eastAsia"/>
        </w:rPr>
        <w:t>年以来，儿童保育补助和儿童抚养补助成为人人享有的福利，无论其经济状况如何。保育费，其数额按投保人以前的薪金计算，对那些生育之前薪金优厚的人来说，确实是一次机会。家庭津贴也再次具有普遍性质。子女达到入学年龄后，这项福利就称为教育补助。目的是加强学校教育。</w:t>
      </w:r>
    </w:p>
    <w:p w:rsidR="00000000" w:rsidRDefault="00000000">
      <w:pPr>
        <w:ind w:firstLine="510"/>
        <w:rPr>
          <w:rFonts w:hint="eastAsia"/>
        </w:rPr>
      </w:pPr>
      <w:r>
        <w:rPr>
          <w:rFonts w:hint="eastAsia"/>
        </w:rPr>
        <w:t xml:space="preserve">324.  </w:t>
      </w:r>
      <w:r>
        <w:rPr>
          <w:rFonts w:hint="eastAsia"/>
        </w:rPr>
        <w:t>受抚养子女减免税福利是家庭支助系统的新内容，对于收入较高的家庭确实给予了支助。在学年之初，抚养子女的父母领取双倍家庭津贴。为确保妇女享有平等机会并加强传统的家庭模式，国会通过了一项关于祖父母领取儿童保育补助的资格问题的动议。这使母亲在子女年满</w:t>
      </w:r>
      <w:r>
        <w:rPr>
          <w:rFonts w:hint="eastAsia"/>
        </w:rPr>
        <w:t>1</w:t>
      </w:r>
      <w:r>
        <w:rPr>
          <w:rFonts w:hint="eastAsia"/>
        </w:rPr>
        <w:t>周岁之后有机会重返劳动力市场。</w:t>
      </w:r>
    </w:p>
    <w:p w:rsidR="00000000" w:rsidRDefault="00000000">
      <w:pPr>
        <w:ind w:firstLine="510"/>
        <w:rPr>
          <w:rFonts w:hint="eastAsia"/>
        </w:rPr>
      </w:pPr>
      <w:r>
        <w:rPr>
          <w:rFonts w:hint="eastAsia"/>
        </w:rPr>
        <w:t xml:space="preserve">325.  </w:t>
      </w:r>
      <w:r>
        <w:rPr>
          <w:rFonts w:hint="eastAsia"/>
        </w:rPr>
        <w:t>《儿童保护法令》于</w:t>
      </w:r>
      <w:r>
        <w:rPr>
          <w:rFonts w:hint="eastAsia"/>
        </w:rPr>
        <w:t>2003</w:t>
      </w:r>
      <w:r>
        <w:rPr>
          <w:rFonts w:hint="eastAsia"/>
        </w:rPr>
        <w:t>年</w:t>
      </w:r>
      <w:r>
        <w:rPr>
          <w:rFonts w:hint="eastAsia"/>
        </w:rPr>
        <w:t>1</w:t>
      </w:r>
      <w:r>
        <w:rPr>
          <w:rFonts w:hint="eastAsia"/>
        </w:rPr>
        <w:t>月</w:t>
      </w:r>
      <w:r>
        <w:rPr>
          <w:rFonts w:hint="eastAsia"/>
        </w:rPr>
        <w:t>1</w:t>
      </w:r>
      <w:r>
        <w:rPr>
          <w:rFonts w:hint="eastAsia"/>
        </w:rPr>
        <w:t>日作出修正，对接受福利和家庭处于危机境地的孕妇和单身母亲给予优先保护。根据此项修正，增加了对处于危机境地的孕妇的支助、援助和指导，包括为其提供临时住所</w:t>
      </w:r>
      <w:r>
        <w:rPr>
          <w:rFonts w:hint="eastAsia"/>
        </w:rPr>
        <w:t>(</w:t>
      </w:r>
      <w:r>
        <w:rPr>
          <w:rFonts w:hint="eastAsia"/>
        </w:rPr>
        <w:t>家庭临时住所</w:t>
      </w:r>
      <w:r>
        <w:rPr>
          <w:rFonts w:hint="eastAsia"/>
        </w:rPr>
        <w:t>)</w:t>
      </w:r>
      <w:r>
        <w:rPr>
          <w:rFonts w:hint="eastAsia"/>
        </w:rPr>
        <w:t>，将其安置在任何一家家庭收容所</w:t>
      </w:r>
      <w:r>
        <w:rPr>
          <w:rFonts w:hint="eastAsia"/>
        </w:rPr>
        <w:t>(</w:t>
      </w:r>
      <w:r>
        <w:rPr>
          <w:rFonts w:hint="eastAsia"/>
        </w:rPr>
        <w:t>第</w:t>
      </w:r>
      <w:r>
        <w:rPr>
          <w:rFonts w:hint="eastAsia"/>
        </w:rPr>
        <w:t>39</w:t>
      </w:r>
      <w:r>
        <w:rPr>
          <w:rFonts w:hint="eastAsia"/>
        </w:rPr>
        <w:t>段，</w:t>
      </w:r>
      <w:r>
        <w:rPr>
          <w:rFonts w:hint="eastAsia"/>
        </w:rPr>
        <w:t>(2)</w:t>
      </w:r>
      <w:r>
        <w:t>c</w:t>
      </w:r>
      <w:r>
        <w:rPr>
          <w:rFonts w:hint="eastAsia"/>
        </w:rPr>
        <w:t>)</w:t>
      </w:r>
      <w:r>
        <w:rPr>
          <w:rFonts w:hint="eastAsia"/>
        </w:rPr>
        <w:t>分段</w:t>
      </w:r>
      <w:r>
        <w:rPr>
          <w:rFonts w:hint="eastAsia"/>
        </w:rPr>
        <w:t>)</w:t>
      </w:r>
      <w:r>
        <w:rPr>
          <w:rFonts w:hint="eastAsia"/>
        </w:rPr>
        <w:t>。</w:t>
      </w:r>
    </w:p>
    <w:p w:rsidR="00000000" w:rsidRDefault="00000000">
      <w:pPr>
        <w:ind w:firstLine="510"/>
        <w:rPr>
          <w:rFonts w:hint="eastAsia"/>
        </w:rPr>
      </w:pPr>
      <w:r>
        <w:rPr>
          <w:rFonts w:hint="eastAsia"/>
        </w:rPr>
        <w:t xml:space="preserve">326.  </w:t>
      </w:r>
      <w:r>
        <w:rPr>
          <w:rFonts w:hint="eastAsia"/>
        </w:rPr>
        <w:t>截至</w:t>
      </w:r>
      <w:r>
        <w:rPr>
          <w:rFonts w:hint="eastAsia"/>
        </w:rPr>
        <w:t>2004</w:t>
      </w:r>
      <w:r>
        <w:rPr>
          <w:rFonts w:hint="eastAsia"/>
        </w:rPr>
        <w:t>年</w:t>
      </w:r>
      <w:r>
        <w:rPr>
          <w:rFonts w:hint="eastAsia"/>
        </w:rPr>
        <w:t>1</w:t>
      </w:r>
      <w:r>
        <w:rPr>
          <w:rFonts w:hint="eastAsia"/>
        </w:rPr>
        <w:t>月</w:t>
      </w:r>
      <w:r>
        <w:rPr>
          <w:rFonts w:hint="eastAsia"/>
        </w:rPr>
        <w:t>1</w:t>
      </w:r>
      <w:r>
        <w:rPr>
          <w:rFonts w:hint="eastAsia"/>
        </w:rPr>
        <w:t>日，在所有人口超过</w:t>
      </w:r>
      <w:r>
        <w:rPr>
          <w:rFonts w:hint="eastAsia"/>
        </w:rPr>
        <w:t>40,000</w:t>
      </w:r>
      <w:r>
        <w:rPr>
          <w:rFonts w:hint="eastAsia"/>
        </w:rPr>
        <w:t>人的城镇强制性建立了儿童保护中心，就是为了解决这一问题。医院社会工作将工作开展到产科和儿科病房，尤其侧重处于危机境地的孕妇和对家庭暴力受害者的保护</w:t>
      </w:r>
      <w:r>
        <w:rPr>
          <w:rFonts w:hint="eastAsia"/>
        </w:rPr>
        <w:t>(</w:t>
      </w:r>
      <w:r>
        <w:rPr>
          <w:rFonts w:hint="eastAsia"/>
        </w:rPr>
        <w:t>《儿童保护法令》第</w:t>
      </w:r>
      <w:r>
        <w:rPr>
          <w:rFonts w:hint="eastAsia"/>
        </w:rPr>
        <w:t>40</w:t>
      </w:r>
      <w:r>
        <w:rPr>
          <w:rFonts w:hint="eastAsia"/>
        </w:rPr>
        <w:t>段</w:t>
      </w:r>
      <w:r>
        <w:rPr>
          <w:rFonts w:hint="eastAsia"/>
        </w:rPr>
        <w:t>(3)</w:t>
      </w:r>
      <w:r>
        <w:t>c</w:t>
      </w:r>
      <w:r>
        <w:rPr>
          <w:rFonts w:hint="eastAsia"/>
        </w:rPr>
        <w:t>分段</w:t>
      </w:r>
      <w:r>
        <w:rPr>
          <w:rFonts w:hint="eastAsia"/>
        </w:rPr>
        <w:t>)</w:t>
      </w:r>
      <w:r>
        <w:rPr>
          <w:rFonts w:hint="eastAsia"/>
        </w:rPr>
        <w:t>。</w:t>
      </w:r>
    </w:p>
    <w:p w:rsidR="00000000" w:rsidRDefault="00000000">
      <w:pPr>
        <w:ind w:firstLine="510"/>
        <w:rPr>
          <w:rFonts w:hint="eastAsia"/>
        </w:rPr>
      </w:pPr>
      <w:r>
        <w:rPr>
          <w:rFonts w:hint="eastAsia"/>
        </w:rPr>
        <w:t xml:space="preserve">327.  </w:t>
      </w:r>
      <w:r>
        <w:rPr>
          <w:rFonts w:hint="eastAsia"/>
        </w:rPr>
        <w:t>上述修正案增加了一项义务，规定家庭临时住所必须接纳受虐待的孕妇和离开产科病房的妇女</w:t>
      </w:r>
      <w:r>
        <w:rPr>
          <w:rFonts w:hint="eastAsia"/>
        </w:rPr>
        <w:t>(</w:t>
      </w:r>
      <w:r>
        <w:rPr>
          <w:rFonts w:hint="eastAsia"/>
        </w:rPr>
        <w:t>《儿童保护法令》，第</w:t>
      </w:r>
      <w:r>
        <w:rPr>
          <w:rFonts w:hint="eastAsia"/>
        </w:rPr>
        <w:t>51</w:t>
      </w:r>
      <w:r>
        <w:rPr>
          <w:rFonts w:hint="eastAsia"/>
        </w:rPr>
        <w:t>段，</w:t>
      </w:r>
      <w:r>
        <w:rPr>
          <w:rFonts w:hint="eastAsia"/>
        </w:rPr>
        <w:t>(3)</w:t>
      </w:r>
      <w:r>
        <w:t>b</w:t>
      </w:r>
      <w:r>
        <w:rPr>
          <w:rFonts w:hint="eastAsia"/>
        </w:rPr>
        <w:t>)</w:t>
      </w:r>
      <w:r>
        <w:rPr>
          <w:rFonts w:hint="eastAsia"/>
        </w:rPr>
        <w:t>分段</w:t>
      </w:r>
      <w:r>
        <w:rPr>
          <w:rFonts w:hint="eastAsia"/>
        </w:rPr>
        <w:t>)</w:t>
      </w:r>
      <w:r>
        <w:rPr>
          <w:rFonts w:hint="eastAsia"/>
        </w:rPr>
        <w:t>，并授权所有人口愈</w:t>
      </w:r>
      <w:r>
        <w:rPr>
          <w:rFonts w:hint="eastAsia"/>
        </w:rPr>
        <w:t>30,000</w:t>
      </w:r>
      <w:r>
        <w:rPr>
          <w:rFonts w:hint="eastAsia"/>
        </w:rPr>
        <w:t>的城市在</w:t>
      </w:r>
      <w:r>
        <w:rPr>
          <w:rFonts w:hint="eastAsia"/>
        </w:rPr>
        <w:t>2005</w:t>
      </w:r>
      <w:r>
        <w:rPr>
          <w:rFonts w:hint="eastAsia"/>
        </w:rPr>
        <w:t>年</w:t>
      </w:r>
      <w:r>
        <w:rPr>
          <w:rFonts w:hint="eastAsia"/>
        </w:rPr>
        <w:t>1</w:t>
      </w:r>
      <w:r>
        <w:rPr>
          <w:rFonts w:hint="eastAsia"/>
        </w:rPr>
        <w:t>月</w:t>
      </w:r>
      <w:r>
        <w:rPr>
          <w:rFonts w:hint="eastAsia"/>
        </w:rPr>
        <w:t>1</w:t>
      </w:r>
      <w:r>
        <w:rPr>
          <w:rFonts w:hint="eastAsia"/>
        </w:rPr>
        <w:t>日之前建立起这种公共机构。</w:t>
      </w:r>
    </w:p>
    <w:p w:rsidR="00000000" w:rsidRDefault="00000000">
      <w:pPr>
        <w:ind w:firstLine="510"/>
        <w:rPr>
          <w:rFonts w:hint="eastAsia"/>
        </w:rPr>
      </w:pPr>
      <w:r>
        <w:rPr>
          <w:rFonts w:hint="eastAsia"/>
        </w:rPr>
        <w:t xml:space="preserve">328.  </w:t>
      </w:r>
      <w:r>
        <w:rPr>
          <w:rFonts w:hint="eastAsia"/>
        </w:rPr>
        <w:t>扩大了关于其他责任的规定范围，增加了一项义务，规定这些收容所、包括远离其常住地的住所必须接纳希望对其怀孕一事保密的妇女</w:t>
      </w:r>
      <w:r>
        <w:rPr>
          <w:rFonts w:hint="eastAsia"/>
        </w:rPr>
        <w:t>(</w:t>
      </w:r>
      <w:r>
        <w:rPr>
          <w:rFonts w:hint="eastAsia"/>
        </w:rPr>
        <w:t>《儿童保护法令》，第</w:t>
      </w:r>
      <w:r>
        <w:rPr>
          <w:rFonts w:hint="eastAsia"/>
        </w:rPr>
        <w:t>125</w:t>
      </w:r>
      <w:r>
        <w:rPr>
          <w:rFonts w:hint="eastAsia"/>
        </w:rPr>
        <w:t>段，第</w:t>
      </w:r>
      <w:r>
        <w:rPr>
          <w:rFonts w:hint="eastAsia"/>
        </w:rPr>
        <w:t>13</w:t>
      </w:r>
      <w:r>
        <w:rPr>
          <w:rFonts w:hint="eastAsia"/>
        </w:rPr>
        <w:t>分段</w:t>
      </w:r>
      <w:r>
        <w:rPr>
          <w:rFonts w:hint="eastAsia"/>
        </w:rPr>
        <w:t>)</w:t>
      </w:r>
      <w:r>
        <w:rPr>
          <w:rFonts w:hint="eastAsia"/>
        </w:rPr>
        <w:t>。</w:t>
      </w:r>
    </w:p>
    <w:p w:rsidR="00000000" w:rsidRDefault="00000000">
      <w:pPr>
        <w:ind w:firstLine="510"/>
        <w:rPr>
          <w:rFonts w:hint="eastAsia"/>
        </w:rPr>
      </w:pPr>
      <w:r>
        <w:rPr>
          <w:rFonts w:hint="eastAsia"/>
        </w:rPr>
        <w:t xml:space="preserve">329.  </w:t>
      </w:r>
      <w:r>
        <w:rPr>
          <w:rFonts w:hint="eastAsia"/>
        </w:rPr>
        <w:t>在工作场所实行以下法律保护：《劳动法》第</w:t>
      </w:r>
      <w:r>
        <w:rPr>
          <w:rFonts w:hint="eastAsia"/>
        </w:rPr>
        <w:t>75</w:t>
      </w:r>
      <w:r>
        <w:rPr>
          <w:rFonts w:hint="eastAsia"/>
        </w:rPr>
        <w:t>段</w:t>
      </w:r>
      <w:r>
        <w:rPr>
          <w:rFonts w:hint="eastAsia"/>
        </w:rPr>
        <w:t>(1)</w:t>
      </w:r>
      <w:r>
        <w:rPr>
          <w:rFonts w:hint="eastAsia"/>
        </w:rPr>
        <w:t>分段规定，“妇女和青年不得从事可对其身体状况或发育造成有害影响的工作”。</w:t>
      </w:r>
    </w:p>
    <w:p w:rsidR="00000000" w:rsidRDefault="00000000">
      <w:pPr>
        <w:ind w:firstLine="510"/>
        <w:rPr>
          <w:rFonts w:hint="eastAsia"/>
        </w:rPr>
      </w:pPr>
      <w:r>
        <w:rPr>
          <w:rFonts w:hint="eastAsia"/>
        </w:rPr>
        <w:t xml:space="preserve">330.  </w:t>
      </w:r>
      <w:r>
        <w:rPr>
          <w:rFonts w:hint="eastAsia"/>
        </w:rPr>
        <w:t>法律禁止强迫女雇员孕检或出具有关证明，除非根据法律规定，在决定雇员是否有资格担任该职务时确有这样做的必要</w:t>
      </w:r>
      <w:r>
        <w:rPr>
          <w:rFonts w:hint="eastAsia"/>
        </w:rPr>
        <w:t>(</w:t>
      </w:r>
      <w:r>
        <w:rPr>
          <w:rFonts w:hint="eastAsia"/>
        </w:rPr>
        <w:t>第</w:t>
      </w:r>
      <w:r>
        <w:rPr>
          <w:rFonts w:hint="eastAsia"/>
        </w:rPr>
        <w:t>77</w:t>
      </w:r>
      <w:r>
        <w:rPr>
          <w:rFonts w:hint="eastAsia"/>
        </w:rPr>
        <w:t>段</w:t>
      </w:r>
      <w:r>
        <w:rPr>
          <w:rFonts w:hint="eastAsia"/>
        </w:rPr>
        <w:t>(2)</w:t>
      </w:r>
      <w:r>
        <w:rPr>
          <w:rFonts w:hint="eastAsia"/>
        </w:rPr>
        <w:t>分段</w:t>
      </w:r>
      <w:r>
        <w:rPr>
          <w:rFonts w:hint="eastAsia"/>
        </w:rPr>
        <w:t>)</w:t>
      </w:r>
      <w:r>
        <w:rPr>
          <w:rFonts w:hint="eastAsia"/>
        </w:rPr>
        <w:t>。根据《劳动法》规定，孕妇和哺乳妇女另外还享受以下保护：</w:t>
      </w:r>
    </w:p>
    <w:p w:rsidR="00000000" w:rsidRDefault="00000000">
      <w:pPr>
        <w:numPr>
          <w:ilvl w:val="0"/>
          <w:numId w:val="185"/>
        </w:numPr>
        <w:rPr>
          <w:rFonts w:hint="eastAsia"/>
        </w:rPr>
      </w:pPr>
      <w:r>
        <w:rPr>
          <w:rFonts w:hint="eastAsia"/>
        </w:rPr>
        <w:t>妇女从怀孕至子女年满一周岁，不可聘用从事夜间工作</w:t>
      </w:r>
      <w:r>
        <w:rPr>
          <w:rFonts w:hint="eastAsia"/>
        </w:rPr>
        <w:t>(</w:t>
      </w:r>
      <w:r>
        <w:rPr>
          <w:rFonts w:hint="eastAsia"/>
        </w:rPr>
        <w:t>第</w:t>
      </w:r>
      <w:r>
        <w:rPr>
          <w:rFonts w:hint="eastAsia"/>
        </w:rPr>
        <w:t>121</w:t>
      </w:r>
      <w:r>
        <w:rPr>
          <w:rFonts w:hint="eastAsia"/>
        </w:rPr>
        <w:t>段</w:t>
      </w:r>
      <w:r>
        <w:rPr>
          <w:rFonts w:hint="eastAsia"/>
        </w:rPr>
        <w:t>)</w:t>
      </w:r>
      <w:r>
        <w:rPr>
          <w:rFonts w:hint="eastAsia"/>
        </w:rPr>
        <w:t>；</w:t>
      </w:r>
    </w:p>
    <w:p w:rsidR="00000000" w:rsidRDefault="00000000">
      <w:pPr>
        <w:numPr>
          <w:ilvl w:val="0"/>
          <w:numId w:val="185"/>
        </w:numPr>
        <w:rPr>
          <w:rFonts w:hint="eastAsia"/>
        </w:rPr>
      </w:pPr>
      <w:r>
        <w:rPr>
          <w:rFonts w:hint="eastAsia"/>
        </w:rPr>
        <w:t>对于怀孕至子女年满一周岁期间的妇女，不应要求其承担特殊的工作</w:t>
      </w:r>
      <w:r>
        <w:rPr>
          <w:rFonts w:hint="eastAsia"/>
        </w:rPr>
        <w:t>(</w:t>
      </w:r>
      <w:r>
        <w:rPr>
          <w:rFonts w:hint="eastAsia"/>
        </w:rPr>
        <w:t>第</w:t>
      </w:r>
      <w:r>
        <w:rPr>
          <w:rFonts w:hint="eastAsia"/>
        </w:rPr>
        <w:t>127</w:t>
      </w:r>
      <w:r>
        <w:rPr>
          <w:rFonts w:hint="eastAsia"/>
        </w:rPr>
        <w:t>段</w:t>
      </w:r>
      <w:r>
        <w:rPr>
          <w:rFonts w:hint="eastAsia"/>
        </w:rPr>
        <w:t>(6)</w:t>
      </w:r>
      <w:r>
        <w:rPr>
          <w:rFonts w:hint="eastAsia"/>
        </w:rPr>
        <w:t>分段和第</w:t>
      </w:r>
      <w:r>
        <w:rPr>
          <w:rFonts w:hint="eastAsia"/>
        </w:rPr>
        <w:t>129</w:t>
      </w:r>
      <w:r>
        <w:rPr>
          <w:rFonts w:hint="eastAsia"/>
        </w:rPr>
        <w:t>段</w:t>
      </w:r>
      <w:r>
        <w:rPr>
          <w:rFonts w:hint="eastAsia"/>
        </w:rPr>
        <w:t>)</w:t>
      </w:r>
      <w:r>
        <w:rPr>
          <w:rFonts w:hint="eastAsia"/>
        </w:rPr>
        <w:t>；</w:t>
      </w:r>
    </w:p>
    <w:p w:rsidR="00000000" w:rsidRDefault="00000000">
      <w:pPr>
        <w:numPr>
          <w:ilvl w:val="0"/>
          <w:numId w:val="185"/>
        </w:numPr>
        <w:rPr>
          <w:rFonts w:hint="eastAsia"/>
        </w:rPr>
      </w:pPr>
      <w:r>
        <w:rPr>
          <w:rFonts w:hint="eastAsia"/>
        </w:rPr>
        <w:t>妊娠期或生育期妇女应享有二十四周的产假。在可能的情况下，应安排此种假期从预产期前四周开始</w:t>
      </w:r>
      <w:r>
        <w:rPr>
          <w:rFonts w:hint="eastAsia"/>
        </w:rPr>
        <w:t>(</w:t>
      </w:r>
      <w:r>
        <w:rPr>
          <w:rFonts w:hint="eastAsia"/>
        </w:rPr>
        <w:t>第</w:t>
      </w:r>
      <w:r>
        <w:rPr>
          <w:rFonts w:hint="eastAsia"/>
        </w:rPr>
        <w:t>138</w:t>
      </w:r>
      <w:r>
        <w:rPr>
          <w:rFonts w:hint="eastAsia"/>
        </w:rPr>
        <w:t>段</w:t>
      </w:r>
      <w:r>
        <w:rPr>
          <w:rFonts w:hint="eastAsia"/>
        </w:rPr>
        <w:t>)</w:t>
      </w:r>
      <w:r>
        <w:rPr>
          <w:rFonts w:hint="eastAsia"/>
        </w:rPr>
        <w:t>；</w:t>
      </w:r>
    </w:p>
    <w:p w:rsidR="00000000" w:rsidRDefault="00000000">
      <w:pPr>
        <w:numPr>
          <w:ilvl w:val="0"/>
          <w:numId w:val="185"/>
        </w:numPr>
        <w:rPr>
          <w:rFonts w:hint="eastAsia"/>
        </w:rPr>
      </w:pPr>
      <w:r>
        <w:rPr>
          <w:rFonts w:hint="eastAsia"/>
        </w:rPr>
        <w:t>在哺乳期前六个月，妇女每天在班上应有两小时的哺乳时间，此后为每天一小时，直至第九个月结束</w:t>
      </w:r>
      <w:r>
        <w:rPr>
          <w:rFonts w:hint="eastAsia"/>
        </w:rPr>
        <w:t>(</w:t>
      </w:r>
      <w:r>
        <w:rPr>
          <w:rFonts w:hint="eastAsia"/>
        </w:rPr>
        <w:t>如果是多胞胎，哺乳时间应与子女人数相当</w:t>
      </w:r>
      <w:r>
        <w:rPr>
          <w:rFonts w:hint="eastAsia"/>
        </w:rPr>
        <w:t>(</w:t>
      </w:r>
      <w:r>
        <w:rPr>
          <w:rFonts w:hint="eastAsia"/>
        </w:rPr>
        <w:t>第</w:t>
      </w:r>
      <w:r>
        <w:rPr>
          <w:rFonts w:hint="eastAsia"/>
        </w:rPr>
        <w:t>138</w:t>
      </w:r>
      <w:r>
        <w:rPr>
          <w:rFonts w:hint="eastAsia"/>
        </w:rPr>
        <w:t>段</w:t>
      </w:r>
      <w:r>
        <w:rPr>
          <w:rFonts w:hint="eastAsia"/>
        </w:rPr>
        <w:t>)</w:t>
      </w:r>
      <w:r>
        <w:rPr>
          <w:rFonts w:hint="eastAsia"/>
        </w:rPr>
        <w:t>；</w:t>
      </w:r>
    </w:p>
    <w:p w:rsidR="00000000" w:rsidRDefault="00000000">
      <w:pPr>
        <w:numPr>
          <w:ilvl w:val="0"/>
          <w:numId w:val="185"/>
        </w:numPr>
        <w:rPr>
          <w:rFonts w:hint="eastAsia"/>
        </w:rPr>
      </w:pPr>
      <w:r>
        <w:rPr>
          <w:rFonts w:hint="eastAsia"/>
        </w:rPr>
        <w:t>在雇员怀孕期间、生育后三个月内，或休产假期间，雇主不得以通常的解聘方式终止与其的雇用关系</w:t>
      </w:r>
      <w:r>
        <w:rPr>
          <w:rFonts w:hint="eastAsia"/>
        </w:rPr>
        <w:t>(</w:t>
      </w:r>
      <w:r>
        <w:rPr>
          <w:rFonts w:hint="eastAsia"/>
        </w:rPr>
        <w:t>第</w:t>
      </w:r>
      <w:r>
        <w:rPr>
          <w:rFonts w:hint="eastAsia"/>
        </w:rPr>
        <w:t>90</w:t>
      </w:r>
      <w:r>
        <w:rPr>
          <w:rFonts w:hint="eastAsia"/>
        </w:rPr>
        <w:t>段</w:t>
      </w:r>
      <w:r>
        <w:rPr>
          <w:rFonts w:hint="eastAsia"/>
        </w:rPr>
        <w:t>)</w:t>
      </w:r>
      <w:r>
        <w:rPr>
          <w:rFonts w:hint="eastAsia"/>
        </w:rPr>
        <w:t>；</w:t>
      </w:r>
    </w:p>
    <w:p w:rsidR="00000000" w:rsidRDefault="00000000">
      <w:pPr>
        <w:numPr>
          <w:ilvl w:val="0"/>
          <w:numId w:val="185"/>
        </w:numPr>
        <w:spacing w:after="320"/>
        <w:rPr>
          <w:rFonts w:hint="eastAsia"/>
        </w:rPr>
      </w:pPr>
      <w:r>
        <w:rPr>
          <w:rFonts w:hint="eastAsia"/>
        </w:rPr>
        <w:t>对于确诊怀孕的妇女，从其怀孕开始直至子女年满周岁，应从医学角度考虑暂时安排该妇女从事适合其身体状况的工作，或者根据与工作有关的医疗报告，对其现有岗位的工作条件加以适当改变。经雇员认可，可指派其担任新的职务。暂时调整职位或未做调整但改变工作条件的妇女，其工资不得低于其以前的平等收入。如果雇主不能提供与其身体条件相称的岗位，则应解除该妇女的职务，但在此段时期内仍应向其发放应付的工资</w:t>
      </w:r>
      <w:r>
        <w:rPr>
          <w:rFonts w:hint="eastAsia"/>
        </w:rPr>
        <w:t>(</w:t>
      </w:r>
      <w:r>
        <w:rPr>
          <w:rFonts w:hint="eastAsia"/>
        </w:rPr>
        <w:t>第</w:t>
      </w:r>
      <w:r>
        <w:rPr>
          <w:rFonts w:hint="eastAsia"/>
        </w:rPr>
        <w:t>85</w:t>
      </w:r>
      <w:r>
        <w:rPr>
          <w:rFonts w:hint="eastAsia"/>
        </w:rPr>
        <w:t>段</w:t>
      </w:r>
      <w:r>
        <w:rPr>
          <w:rFonts w:hint="eastAsia"/>
        </w:rPr>
        <w:t>)</w:t>
      </w:r>
      <w:r>
        <w:rPr>
          <w:rFonts w:hint="eastAsia"/>
        </w:rPr>
        <w:t>。</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对单身母亲的保护</w:t>
      </w:r>
    </w:p>
    <w:p w:rsidR="00000000" w:rsidRDefault="00000000">
      <w:pPr>
        <w:ind w:firstLine="510"/>
        <w:rPr>
          <w:rFonts w:hint="eastAsia"/>
        </w:rPr>
      </w:pPr>
      <w:r>
        <w:rPr>
          <w:rFonts w:hint="eastAsia"/>
        </w:rPr>
        <w:t xml:space="preserve">331.  </w:t>
      </w:r>
      <w:r>
        <w:rPr>
          <w:rFonts w:hint="eastAsia"/>
        </w:rPr>
        <w:t>《儿童保护法令》的基本原则之一是，供养子女的方式必须适合于其具体情况和条件，如果因单身母亲抚养而给子女带来问题或部分问题，所提供的服务和支助必须考虑到这一情况。因此，这里要强调的是专门或主要针对单身母亲的几项服务。</w:t>
      </w:r>
    </w:p>
    <w:p w:rsidR="00000000" w:rsidRDefault="00000000">
      <w:pPr>
        <w:ind w:firstLine="510"/>
        <w:rPr>
          <w:rFonts w:hint="eastAsia"/>
        </w:rPr>
      </w:pPr>
      <w:r>
        <w:rPr>
          <w:rFonts w:hint="eastAsia"/>
        </w:rPr>
        <w:t xml:space="preserve">332.  </w:t>
      </w:r>
      <w:r>
        <w:rPr>
          <w:rFonts w:hint="eastAsia"/>
        </w:rPr>
        <w:t>儿童福利服务这项工作，是为处于社会危机境地的孕妇提供援助和支助，给予有关指导。该服务依靠外展儿科辅助保健网发挥这一功能。比如，单身母亲若因工作安排早晚无法照料子女，就必须委派一名儿童保育员为其在家照看子女。母亲若因其丈夫或伴侣的野蛮行为而不得不寻求庇护，或因婚外生育被逐出家门时，必须为其提供临时家庭收容所。下文提供了有关临时家庭收容所的详细资料。</w:t>
      </w:r>
    </w:p>
    <w:p w:rsidR="00000000" w:rsidRDefault="00000000">
      <w:pPr>
        <w:ind w:firstLine="510"/>
        <w:rPr>
          <w:rFonts w:hint="eastAsia"/>
        </w:rPr>
      </w:pPr>
      <w:r>
        <w:rPr>
          <w:rFonts w:hint="eastAsia"/>
        </w:rPr>
        <w:t xml:space="preserve">333.  </w:t>
      </w:r>
      <w:r>
        <w:rPr>
          <w:rFonts w:hint="eastAsia"/>
        </w:rPr>
        <w:t>目前在匈牙利独自抚养子女的母亲人数为</w:t>
      </w:r>
      <w:r>
        <w:rPr>
          <w:rFonts w:hint="eastAsia"/>
        </w:rPr>
        <w:t>378,674</w:t>
      </w:r>
      <w:r>
        <w:rPr>
          <w:rFonts w:hint="eastAsia"/>
        </w:rPr>
        <w:t>人，占总家庭数量的</w:t>
      </w:r>
      <w:r>
        <w:rPr>
          <w:rFonts w:hint="eastAsia"/>
        </w:rPr>
        <w:t>13%</w:t>
      </w:r>
      <w:r>
        <w:rPr>
          <w:rFonts w:hint="eastAsia"/>
        </w:rPr>
        <w:t>，其中</w:t>
      </w:r>
      <w:r>
        <w:rPr>
          <w:rFonts w:hint="eastAsia"/>
        </w:rPr>
        <w:t>164,273</w:t>
      </w:r>
      <w:r>
        <w:rPr>
          <w:rFonts w:hint="eastAsia"/>
        </w:rPr>
        <w:t>名母亲的子女年龄不足</w:t>
      </w:r>
      <w:r>
        <w:rPr>
          <w:rFonts w:hint="eastAsia"/>
        </w:rPr>
        <w:t>15</w:t>
      </w:r>
      <w:r>
        <w:rPr>
          <w:rFonts w:hint="eastAsia"/>
        </w:rPr>
        <w:t>岁</w:t>
      </w:r>
      <w:r>
        <w:rPr>
          <w:rFonts w:hint="eastAsia"/>
        </w:rPr>
        <w:t>(214,401</w:t>
      </w:r>
      <w:r>
        <w:rPr>
          <w:rFonts w:hint="eastAsia"/>
        </w:rPr>
        <w:t>名母亲抚养的子女年龄在</w:t>
      </w:r>
      <w:r>
        <w:rPr>
          <w:rFonts w:hint="eastAsia"/>
        </w:rPr>
        <w:t>15</w:t>
      </w:r>
      <w:r>
        <w:rPr>
          <w:rFonts w:hint="eastAsia"/>
        </w:rPr>
        <w:t>岁以上</w:t>
      </w:r>
      <w:r>
        <w:rPr>
          <w:rFonts w:hint="eastAsia"/>
        </w:rPr>
        <w:t>)</w:t>
      </w:r>
      <w:r>
        <w:rPr>
          <w:rFonts w:hint="eastAsia"/>
        </w:rPr>
        <w:t>。匈牙利共有</w:t>
      </w:r>
      <w:r>
        <w:rPr>
          <w:rFonts w:hint="eastAsia"/>
        </w:rPr>
        <w:t>70</w:t>
      </w:r>
      <w:r>
        <w:rPr>
          <w:rFonts w:hint="eastAsia"/>
        </w:rPr>
        <w:t>个临时家庭收容所，有</w:t>
      </w:r>
      <w:r>
        <w:rPr>
          <w:rFonts w:hint="eastAsia"/>
        </w:rPr>
        <w:t>1,827</w:t>
      </w:r>
      <w:r>
        <w:rPr>
          <w:rFonts w:hint="eastAsia"/>
        </w:rPr>
        <w:t>个位置。大多数</w:t>
      </w:r>
      <w:r>
        <w:rPr>
          <w:rFonts w:hint="eastAsia"/>
        </w:rPr>
        <w:t>(44</w:t>
      </w:r>
      <w:r>
        <w:rPr>
          <w:rFonts w:hint="eastAsia"/>
        </w:rPr>
        <w:t>个</w:t>
      </w:r>
      <w:r>
        <w:rPr>
          <w:rFonts w:hint="eastAsia"/>
        </w:rPr>
        <w:t>)</w:t>
      </w:r>
      <w:r>
        <w:rPr>
          <w:rFonts w:hint="eastAsia"/>
        </w:rPr>
        <w:t>为混合收容所，即不仅收容母亲与儿童，若遇到无家可归、失业或有其他社会问题，还收容父亲</w:t>
      </w:r>
      <w:r>
        <w:rPr>
          <w:rFonts w:hint="eastAsia"/>
        </w:rPr>
        <w:t>/</w:t>
      </w:r>
      <w:r>
        <w:rPr>
          <w:rFonts w:hint="eastAsia"/>
        </w:rPr>
        <w:t>母亲</w:t>
      </w:r>
      <w:r>
        <w:rPr>
          <w:rFonts w:hint="eastAsia"/>
        </w:rPr>
        <w:t>/</w:t>
      </w:r>
      <w:r>
        <w:rPr>
          <w:rFonts w:hint="eastAsia"/>
        </w:rPr>
        <w:t>儿童一类的家庭。</w:t>
      </w:r>
    </w:p>
    <w:p w:rsidR="00000000" w:rsidRDefault="00000000">
      <w:pPr>
        <w:ind w:firstLine="510"/>
        <w:rPr>
          <w:rFonts w:hint="eastAsia"/>
        </w:rPr>
      </w:pPr>
      <w:r>
        <w:rPr>
          <w:rFonts w:hint="eastAsia"/>
        </w:rPr>
        <w:t xml:space="preserve">334.  </w:t>
      </w:r>
      <w:r>
        <w:rPr>
          <w:rFonts w:hint="eastAsia"/>
        </w:rPr>
        <w:t>现有</w:t>
      </w:r>
      <w:r>
        <w:rPr>
          <w:rFonts w:hint="eastAsia"/>
        </w:rPr>
        <w:t>26</w:t>
      </w:r>
      <w:r>
        <w:rPr>
          <w:rFonts w:hint="eastAsia"/>
        </w:rPr>
        <w:t>个收容所，专门收容不一定是逃避野蛮行为的母亲，但她们是处于某种其他严重社会危机境地的单身母亲</w:t>
      </w:r>
      <w:r>
        <w:rPr>
          <w:rFonts w:hint="eastAsia"/>
        </w:rPr>
        <w:t>(</w:t>
      </w:r>
      <w:r>
        <w:rPr>
          <w:rFonts w:hint="eastAsia"/>
        </w:rPr>
        <w:t>比如，她们的工作岗位被裁掉，或者因照料生病子女而无社会出路，以及再无能力支付房租</w:t>
      </w:r>
      <w:r>
        <w:rPr>
          <w:rFonts w:hint="eastAsia"/>
        </w:rPr>
        <w:t>)</w:t>
      </w:r>
      <w:r>
        <w:rPr>
          <w:rFonts w:hint="eastAsia"/>
        </w:rPr>
        <w:t>。</w:t>
      </w:r>
    </w:p>
    <w:p w:rsidR="00000000" w:rsidRDefault="00000000">
      <w:pPr>
        <w:spacing w:after="320"/>
        <w:ind w:firstLine="510"/>
        <w:rPr>
          <w:rFonts w:hint="eastAsia"/>
        </w:rPr>
      </w:pPr>
      <w:r>
        <w:rPr>
          <w:rFonts w:hint="eastAsia"/>
        </w:rPr>
        <w:t xml:space="preserve">335.  </w:t>
      </w:r>
      <w:r>
        <w:rPr>
          <w:rFonts w:hint="eastAsia"/>
        </w:rPr>
        <w:t>社会组织在这些公共机构的运作方面起到十分重要的作用。即使《儿童保护法令》将临时家庭收容所列为儿童福利制度的一项主要服务，但目前大多数收容所仍由非政府组织在经营。收容人数最多的庇护所由宗教机构在经营，最小的庇护所则是由地方政府来管理。大多数庇护所都有临时许可证。一大部分庇护所未与所属地区主管当局订立服务合同。只有</w:t>
      </w:r>
      <w:r>
        <w:rPr>
          <w:rFonts w:hint="eastAsia"/>
        </w:rPr>
        <w:t>34%</w:t>
      </w:r>
      <w:r>
        <w:rPr>
          <w:rFonts w:hint="eastAsia"/>
        </w:rPr>
        <w:t>左右的机构有这样的合同，而其中所订立的合同涵盖其整个业务范围的机构仅为</w:t>
      </w:r>
      <w:r>
        <w:rPr>
          <w:rFonts w:hint="eastAsia"/>
        </w:rPr>
        <w:t>16%</w:t>
      </w:r>
      <w:r>
        <w:rPr>
          <w:rFonts w:hint="eastAsia"/>
        </w:rPr>
        <w:t>。</w:t>
      </w:r>
    </w:p>
    <w:p w:rsidR="00000000" w:rsidRDefault="00000000">
      <w:pPr>
        <w:pStyle w:val="Heading3"/>
        <w:rPr>
          <w:rFonts w:hint="eastAsia"/>
        </w:rPr>
      </w:pPr>
      <w:r>
        <w:rPr>
          <w:rFonts w:hint="eastAsia"/>
        </w:rPr>
        <w:t>国际援助对落实《公约》第十条的作用</w:t>
      </w:r>
    </w:p>
    <w:p w:rsidR="00000000" w:rsidRDefault="00000000">
      <w:pPr>
        <w:spacing w:after="240"/>
        <w:ind w:firstLine="510"/>
        <w:rPr>
          <w:rFonts w:hint="eastAsia"/>
        </w:rPr>
      </w:pPr>
      <w:r>
        <w:rPr>
          <w:rFonts w:hint="eastAsia"/>
        </w:rPr>
        <w:t xml:space="preserve">336.  </w:t>
      </w:r>
      <w:r>
        <w:rPr>
          <w:rFonts w:hint="eastAsia"/>
        </w:rPr>
        <w:t>匈牙利现已成为《欧洲社会宪章》成员国，我国加入欧洲联盟社会包容联合备忘录的工作也在进行之中。</w:t>
      </w:r>
    </w:p>
    <w:p w:rsidR="00000000" w:rsidRDefault="00000000">
      <w:pPr>
        <w:pStyle w:val="Heading2"/>
        <w:spacing w:after="240"/>
        <w:rPr>
          <w:rFonts w:hint="eastAsia"/>
          <w:lang w:val="fr-FR"/>
        </w:rPr>
      </w:pPr>
      <w:r>
        <w:rPr>
          <w:rFonts w:hint="eastAsia"/>
          <w:lang w:val="fr-FR"/>
        </w:rPr>
        <w:t>第十一条</w:t>
      </w:r>
      <w:r>
        <w:rPr>
          <w:rFonts w:hint="eastAsia"/>
          <w:spacing w:val="-50"/>
          <w:lang w:val="fr-FR"/>
        </w:rPr>
        <w:t>―</w:t>
      </w:r>
      <w:r>
        <w:rPr>
          <w:rFonts w:hint="eastAsia"/>
          <w:lang w:val="fr-FR"/>
        </w:rPr>
        <w:t>―适足生活水准权</w:t>
      </w:r>
    </w:p>
    <w:p w:rsidR="00000000" w:rsidRDefault="00000000">
      <w:pPr>
        <w:pStyle w:val="Heading3"/>
        <w:spacing w:after="160"/>
        <w:rPr>
          <w:rFonts w:hint="eastAsia"/>
          <w:lang w:val="fr-FR"/>
        </w:rPr>
      </w:pPr>
      <w:r>
        <w:rPr>
          <w:rFonts w:hint="eastAsia"/>
          <w:lang w:val="fr-FR"/>
        </w:rPr>
        <w:t>2002</w:t>
      </w:r>
      <w:r>
        <w:rPr>
          <w:rFonts w:hint="eastAsia"/>
          <w:lang w:val="fr-FR"/>
        </w:rPr>
        <w:t>年至</w:t>
      </w:r>
      <w:r>
        <w:rPr>
          <w:rFonts w:hint="eastAsia"/>
          <w:lang w:val="fr-FR"/>
        </w:rPr>
        <w:t>2003</w:t>
      </w:r>
      <w:r>
        <w:rPr>
          <w:rFonts w:hint="eastAsia"/>
          <w:lang w:val="fr-FR"/>
        </w:rPr>
        <w:t>年收入变化情况</w:t>
      </w:r>
    </w:p>
    <w:p w:rsidR="00000000" w:rsidRDefault="00000000">
      <w:pPr>
        <w:widowControl w:val="0"/>
        <w:ind w:firstLine="510"/>
        <w:rPr>
          <w:rFonts w:hint="eastAsia"/>
          <w:lang w:val="fr-FR"/>
        </w:rPr>
      </w:pPr>
      <w:r>
        <w:rPr>
          <w:lang w:val="fr-FR"/>
        </w:rPr>
        <w:t>337.</w:t>
      </w:r>
      <w:r>
        <w:rPr>
          <w:rFonts w:hint="eastAsia"/>
          <w:lang w:val="fr-FR"/>
        </w:rPr>
        <w:t xml:space="preserve">  2003</w:t>
      </w:r>
      <w:r>
        <w:rPr>
          <w:rFonts w:hint="eastAsia"/>
          <w:lang w:val="fr-FR"/>
        </w:rPr>
        <w:t>年</w:t>
      </w:r>
      <w:r>
        <w:rPr>
          <w:rFonts w:hint="eastAsia"/>
          <w:lang w:val="fr-FR"/>
        </w:rPr>
        <w:t>1</w:t>
      </w:r>
      <w:r>
        <w:rPr>
          <w:rFonts w:hint="eastAsia"/>
          <w:lang w:val="fr-FR"/>
        </w:rPr>
        <w:t>月至</w:t>
      </w:r>
      <w:r>
        <w:rPr>
          <w:rFonts w:hint="eastAsia"/>
          <w:lang w:val="fr-FR"/>
        </w:rPr>
        <w:t>10</w:t>
      </w:r>
      <w:r>
        <w:rPr>
          <w:rFonts w:hint="eastAsia"/>
          <w:lang w:val="fr-FR"/>
        </w:rPr>
        <w:t>月，平均名义毛收入较之上一年增长</w:t>
      </w:r>
      <w:r>
        <w:rPr>
          <w:rFonts w:hint="eastAsia"/>
          <w:lang w:val="fr-FR"/>
        </w:rPr>
        <w:t>12.9%</w:t>
      </w:r>
      <w:r>
        <w:rPr>
          <w:rFonts w:hint="eastAsia"/>
          <w:lang w:val="fr-FR"/>
        </w:rPr>
        <w:t>，平均净收入增长</w:t>
      </w:r>
      <w:r>
        <w:rPr>
          <w:rFonts w:hint="eastAsia"/>
          <w:lang w:val="fr-FR"/>
        </w:rPr>
        <w:t>15.9%</w:t>
      </w:r>
      <w:r>
        <w:rPr>
          <w:rFonts w:hint="eastAsia"/>
          <w:lang w:val="fr-FR"/>
        </w:rPr>
        <w:t>，实际值收入增长</w:t>
      </w:r>
      <w:r>
        <w:rPr>
          <w:rFonts w:hint="eastAsia"/>
          <w:lang w:val="fr-FR"/>
        </w:rPr>
        <w:t>10.9%(</w:t>
      </w:r>
      <w:r>
        <w:rPr>
          <w:rFonts w:hint="eastAsia"/>
          <w:lang w:val="fr-FR"/>
        </w:rPr>
        <w:t>通货膨胀率为</w:t>
      </w:r>
      <w:r>
        <w:rPr>
          <w:rFonts w:hint="eastAsia"/>
          <w:lang w:val="fr-FR"/>
        </w:rPr>
        <w:t>4.5%)</w:t>
      </w:r>
      <w:r>
        <w:rPr>
          <w:rFonts w:hint="eastAsia"/>
          <w:lang w:val="fr-FR"/>
        </w:rPr>
        <w:t>。这些主要归功于</w:t>
      </w:r>
      <w:r>
        <w:rPr>
          <w:rFonts w:hint="eastAsia"/>
          <w:lang w:val="fr-FR"/>
        </w:rPr>
        <w:t>2002</w:t>
      </w:r>
      <w:r>
        <w:rPr>
          <w:rFonts w:hint="eastAsia"/>
          <w:lang w:val="fr-FR"/>
        </w:rPr>
        <w:t>年</w:t>
      </w:r>
      <w:r>
        <w:rPr>
          <w:rFonts w:hint="eastAsia"/>
          <w:lang w:val="fr-FR"/>
        </w:rPr>
        <w:t>9</w:t>
      </w:r>
      <w:r>
        <w:rPr>
          <w:rFonts w:hint="eastAsia"/>
          <w:lang w:val="fr-FR"/>
        </w:rPr>
        <w:t>月推出的公务员最低工资增长</w:t>
      </w:r>
      <w:r>
        <w:rPr>
          <w:rFonts w:hint="eastAsia"/>
          <w:lang w:val="fr-FR"/>
        </w:rPr>
        <w:t>50%</w:t>
      </w:r>
      <w:r>
        <w:rPr>
          <w:rFonts w:hint="eastAsia"/>
          <w:lang w:val="fr-FR"/>
        </w:rPr>
        <w:t>方案的影响。</w:t>
      </w:r>
    </w:p>
    <w:p w:rsidR="00000000" w:rsidRDefault="00000000">
      <w:pPr>
        <w:ind w:firstLine="510"/>
        <w:rPr>
          <w:rFonts w:hint="eastAsia"/>
        </w:rPr>
      </w:pPr>
      <w:r>
        <w:t xml:space="preserve">338.  </w:t>
      </w:r>
      <w:r>
        <w:rPr>
          <w:rFonts w:hint="eastAsia"/>
        </w:rPr>
        <w:t>2003</w:t>
      </w:r>
      <w:r>
        <w:rPr>
          <w:rFonts w:hint="eastAsia"/>
          <w:lang w:val="fr-FR"/>
        </w:rPr>
        <w:t>年</w:t>
      </w:r>
      <w:r>
        <w:rPr>
          <w:rFonts w:hint="eastAsia"/>
        </w:rPr>
        <w:t>1</w:t>
      </w:r>
      <w:r>
        <w:rPr>
          <w:rFonts w:hint="eastAsia"/>
          <w:lang w:val="fr-FR"/>
        </w:rPr>
        <w:t>月至</w:t>
      </w:r>
      <w:r>
        <w:rPr>
          <w:rFonts w:hint="eastAsia"/>
        </w:rPr>
        <w:t>10</w:t>
      </w:r>
      <w:r>
        <w:rPr>
          <w:rFonts w:hint="eastAsia"/>
          <w:lang w:val="fr-FR"/>
        </w:rPr>
        <w:t>月</w:t>
      </w:r>
      <w:r>
        <w:rPr>
          <w:rFonts w:hint="eastAsia"/>
        </w:rPr>
        <w:t>，</w:t>
      </w:r>
      <w:r>
        <w:rPr>
          <w:rFonts w:hint="eastAsia"/>
        </w:rPr>
        <w:t>5</w:t>
      </w:r>
      <w:r>
        <w:rPr>
          <w:rFonts w:hint="eastAsia"/>
        </w:rPr>
        <w:t>人及以上规模的企业、国营机构和非盈利组织雇佣了约</w:t>
      </w:r>
      <w:r>
        <w:rPr>
          <w:rFonts w:hint="eastAsia"/>
        </w:rPr>
        <w:t>270</w:t>
      </w:r>
      <w:r>
        <w:rPr>
          <w:rFonts w:hint="eastAsia"/>
        </w:rPr>
        <w:t>万人，较之前一年增长了</w:t>
      </w:r>
      <w:r>
        <w:rPr>
          <w:rFonts w:hint="eastAsia"/>
        </w:rPr>
        <w:t>0.9%</w:t>
      </w:r>
      <w:r>
        <w:rPr>
          <w:rFonts w:hint="eastAsia"/>
        </w:rPr>
        <w:t>。农业和渔业部门的雇员人数下降了</w:t>
      </w:r>
      <w:r>
        <w:rPr>
          <w:rFonts w:hint="eastAsia"/>
        </w:rPr>
        <w:t>1.6%</w:t>
      </w:r>
      <w:r>
        <w:rPr>
          <w:rFonts w:hint="eastAsia"/>
        </w:rPr>
        <w:t>，而其他部门</w:t>
      </w:r>
      <w:r>
        <w:rPr>
          <w:rFonts w:hint="eastAsia"/>
        </w:rPr>
        <w:t>(</w:t>
      </w:r>
      <w:r>
        <w:rPr>
          <w:rFonts w:hint="eastAsia"/>
        </w:rPr>
        <w:t>建筑、贸易、旅游、金融服务和房地产</w:t>
      </w:r>
      <w:r>
        <w:rPr>
          <w:rFonts w:hint="eastAsia"/>
        </w:rPr>
        <w:t>)</w:t>
      </w:r>
      <w:r>
        <w:rPr>
          <w:rFonts w:hint="eastAsia"/>
        </w:rPr>
        <w:t>增长了</w:t>
      </w:r>
      <w:r>
        <w:rPr>
          <w:rFonts w:hint="eastAsia"/>
        </w:rPr>
        <w:t>1.8%</w:t>
      </w:r>
      <w:r>
        <w:rPr>
          <w:rFonts w:hint="eastAsia"/>
        </w:rPr>
        <w:t>至</w:t>
      </w:r>
      <w:r>
        <w:rPr>
          <w:rFonts w:hint="eastAsia"/>
        </w:rPr>
        <w:t>7.1%</w:t>
      </w:r>
      <w:r>
        <w:rPr>
          <w:rFonts w:hint="eastAsia"/>
        </w:rPr>
        <w:t>不等，因此私营部门的总体数字没有变化。公共部门中三个主要部门</w:t>
      </w:r>
      <w:r>
        <w:rPr>
          <w:rFonts w:hint="eastAsia"/>
        </w:rPr>
        <w:t>(</w:t>
      </w:r>
      <w:r>
        <w:rPr>
          <w:rFonts w:hint="eastAsia"/>
        </w:rPr>
        <w:t>行政管理、教育和卫生</w:t>
      </w:r>
      <w:r>
        <w:rPr>
          <w:rFonts w:hint="eastAsia"/>
        </w:rPr>
        <w:t>)</w:t>
      </w:r>
      <w:r>
        <w:rPr>
          <w:rFonts w:hint="eastAsia"/>
        </w:rPr>
        <w:t>的雇员人数总计增长了</w:t>
      </w:r>
      <w:r>
        <w:rPr>
          <w:rFonts w:hint="eastAsia"/>
        </w:rPr>
        <w:t>2.8%</w:t>
      </w:r>
      <w:r>
        <w:rPr>
          <w:rFonts w:hint="eastAsia"/>
        </w:rPr>
        <w:t>。</w:t>
      </w:r>
    </w:p>
    <w:p w:rsidR="00000000" w:rsidRDefault="00000000">
      <w:pPr>
        <w:ind w:firstLine="510"/>
        <w:rPr>
          <w:rFonts w:hint="eastAsia"/>
          <w:lang w:val="fr-FR"/>
        </w:rPr>
      </w:pPr>
      <w:r>
        <w:rPr>
          <w:rFonts w:hint="eastAsia"/>
        </w:rPr>
        <w:t>339.  2003</w:t>
      </w:r>
      <w:r>
        <w:rPr>
          <w:rFonts w:hint="eastAsia"/>
        </w:rPr>
        <w:t>年</w:t>
      </w:r>
      <w:r>
        <w:rPr>
          <w:rFonts w:hint="eastAsia"/>
        </w:rPr>
        <w:t>1</w:t>
      </w:r>
      <w:r>
        <w:rPr>
          <w:rFonts w:hint="eastAsia"/>
          <w:lang w:val="fr-FR"/>
        </w:rPr>
        <w:t>月至</w:t>
      </w:r>
      <w:r>
        <w:rPr>
          <w:rFonts w:hint="eastAsia"/>
        </w:rPr>
        <w:t>10</w:t>
      </w:r>
      <w:r>
        <w:rPr>
          <w:rFonts w:hint="eastAsia"/>
          <w:lang w:val="fr-FR"/>
        </w:rPr>
        <w:t>月</w:t>
      </w:r>
      <w:r>
        <w:rPr>
          <w:rFonts w:hint="eastAsia"/>
        </w:rPr>
        <w:t>，全职雇员</w:t>
      </w:r>
      <w:r>
        <w:rPr>
          <w:rFonts w:hint="eastAsia"/>
          <w:lang w:val="fr-FR"/>
        </w:rPr>
        <w:t>平均名义毛薪为</w:t>
      </w:r>
      <w:r>
        <w:rPr>
          <w:rFonts w:hint="eastAsia"/>
          <w:lang w:val="fr-FR"/>
        </w:rPr>
        <w:t>131,400</w:t>
      </w:r>
      <w:r>
        <w:rPr>
          <w:rFonts w:hint="eastAsia"/>
          <w:lang w:val="fr-FR"/>
        </w:rPr>
        <w:t>福林。其中，蓝领职工平均收入为</w:t>
      </w:r>
      <w:r>
        <w:rPr>
          <w:rFonts w:hint="eastAsia"/>
          <w:lang w:val="fr-FR"/>
        </w:rPr>
        <w:t>88,900</w:t>
      </w:r>
      <w:r>
        <w:rPr>
          <w:rFonts w:hint="eastAsia"/>
          <w:lang w:val="fr-FR"/>
        </w:rPr>
        <w:t>福林，白领职工平均收入为</w:t>
      </w:r>
      <w:r>
        <w:rPr>
          <w:rFonts w:hint="eastAsia"/>
          <w:lang w:val="fr-FR"/>
        </w:rPr>
        <w:t>183,700</w:t>
      </w:r>
      <w:r>
        <w:rPr>
          <w:rFonts w:hint="eastAsia"/>
          <w:lang w:val="fr-FR"/>
        </w:rPr>
        <w:t>福林。私营部门职工平均收入为</w:t>
      </w:r>
      <w:r>
        <w:rPr>
          <w:rFonts w:hint="eastAsia"/>
          <w:lang w:val="fr-FR"/>
        </w:rPr>
        <w:t>123,200</w:t>
      </w:r>
      <w:r>
        <w:rPr>
          <w:rFonts w:hint="eastAsia"/>
          <w:lang w:val="fr-FR"/>
        </w:rPr>
        <w:t>福林</w:t>
      </w:r>
      <w:r>
        <w:rPr>
          <w:rFonts w:hint="eastAsia"/>
          <w:lang w:val="fr-FR"/>
        </w:rPr>
        <w:t>(</w:t>
      </w:r>
      <w:r>
        <w:rPr>
          <w:rFonts w:hint="eastAsia"/>
          <w:lang w:val="fr-FR"/>
        </w:rPr>
        <w:t>蓝领职工为</w:t>
      </w:r>
      <w:r>
        <w:rPr>
          <w:rFonts w:hint="eastAsia"/>
          <w:lang w:val="fr-FR"/>
        </w:rPr>
        <w:t>87,700</w:t>
      </w:r>
      <w:r>
        <w:rPr>
          <w:rFonts w:hint="eastAsia"/>
          <w:lang w:val="fr-FR"/>
        </w:rPr>
        <w:t>福林，白领职工平均收入为</w:t>
      </w:r>
      <w:r>
        <w:rPr>
          <w:rFonts w:hint="eastAsia"/>
          <w:lang w:val="fr-FR"/>
        </w:rPr>
        <w:t>193,900</w:t>
      </w:r>
      <w:r>
        <w:rPr>
          <w:rFonts w:hint="eastAsia"/>
          <w:lang w:val="fr-FR"/>
        </w:rPr>
        <w:t>福林</w:t>
      </w:r>
      <w:r>
        <w:rPr>
          <w:rFonts w:hint="eastAsia"/>
          <w:lang w:val="fr-FR"/>
        </w:rPr>
        <w:t>)</w:t>
      </w:r>
      <w:r>
        <w:rPr>
          <w:rFonts w:hint="eastAsia"/>
          <w:lang w:val="fr-FR"/>
        </w:rPr>
        <w:t>，而公共部门职工平均收入为</w:t>
      </w:r>
      <w:r>
        <w:rPr>
          <w:rFonts w:hint="eastAsia"/>
          <w:lang w:val="fr-FR"/>
        </w:rPr>
        <w:t>150,800</w:t>
      </w:r>
      <w:r>
        <w:rPr>
          <w:rFonts w:hint="eastAsia"/>
          <w:lang w:val="fr-FR"/>
        </w:rPr>
        <w:t>福林</w:t>
      </w:r>
      <w:r>
        <w:rPr>
          <w:rFonts w:hint="eastAsia"/>
          <w:lang w:val="fr-FR"/>
        </w:rPr>
        <w:t>(</w:t>
      </w:r>
      <w:r>
        <w:rPr>
          <w:rFonts w:hint="eastAsia"/>
          <w:lang w:val="fr-FR"/>
        </w:rPr>
        <w:t>蓝领职工为</w:t>
      </w:r>
      <w:r>
        <w:rPr>
          <w:rFonts w:hint="eastAsia"/>
          <w:lang w:val="fr-FR"/>
        </w:rPr>
        <w:t>96,000</w:t>
      </w:r>
      <w:r>
        <w:rPr>
          <w:rFonts w:hint="eastAsia"/>
          <w:lang w:val="fr-FR"/>
        </w:rPr>
        <w:t>福林，白领职工平均收入为</w:t>
      </w:r>
      <w:r>
        <w:rPr>
          <w:rFonts w:hint="eastAsia"/>
          <w:lang w:val="fr-FR"/>
        </w:rPr>
        <w:t>173,600</w:t>
      </w:r>
      <w:r>
        <w:rPr>
          <w:rFonts w:hint="eastAsia"/>
          <w:lang w:val="fr-FR"/>
        </w:rPr>
        <w:t>福林</w:t>
      </w:r>
      <w:r>
        <w:rPr>
          <w:rFonts w:hint="eastAsia"/>
          <w:lang w:val="fr-FR"/>
        </w:rPr>
        <w:t>)</w:t>
      </w:r>
      <w:r>
        <w:rPr>
          <w:rFonts w:hint="eastAsia"/>
          <w:lang w:val="fr-FR"/>
        </w:rPr>
        <w:t>。在国民经济层面，该期间平均净工资为每月</w:t>
      </w:r>
      <w:r>
        <w:rPr>
          <w:rFonts w:hint="eastAsia"/>
          <w:lang w:val="fr-FR"/>
        </w:rPr>
        <w:t>85,900</w:t>
      </w:r>
      <w:r>
        <w:rPr>
          <w:rFonts w:hint="eastAsia"/>
          <w:lang w:val="fr-FR"/>
        </w:rPr>
        <w:t>福林。</w:t>
      </w:r>
    </w:p>
    <w:p w:rsidR="00000000" w:rsidRDefault="00000000">
      <w:pPr>
        <w:ind w:firstLine="510"/>
        <w:rPr>
          <w:rFonts w:hint="eastAsia"/>
          <w:lang w:val="fr-FR"/>
        </w:rPr>
      </w:pPr>
      <w:r>
        <w:rPr>
          <w:rFonts w:hint="eastAsia"/>
          <w:lang w:val="fr-FR"/>
        </w:rPr>
        <w:t xml:space="preserve">340.  </w:t>
      </w:r>
      <w:r>
        <w:rPr>
          <w:rFonts w:hint="eastAsia"/>
          <w:lang w:val="fr-FR"/>
        </w:rPr>
        <w:t>全国平均月收入为</w:t>
      </w:r>
      <w:r>
        <w:rPr>
          <w:rFonts w:hint="eastAsia"/>
          <w:lang w:val="fr-FR"/>
        </w:rPr>
        <w:t>136,900</w:t>
      </w:r>
      <w:r>
        <w:rPr>
          <w:rFonts w:hint="eastAsia"/>
          <w:lang w:val="fr-FR"/>
        </w:rPr>
        <w:t>福林，较之前一年增长了</w:t>
      </w:r>
      <w:r>
        <w:rPr>
          <w:rFonts w:hint="eastAsia"/>
          <w:lang w:val="fr-FR"/>
        </w:rPr>
        <w:t>13%</w:t>
      </w:r>
      <w:r>
        <w:rPr>
          <w:rFonts w:hint="eastAsia"/>
          <w:lang w:val="fr-FR"/>
        </w:rPr>
        <w:t>。补充工资的收入部分平均占</w:t>
      </w:r>
      <w:r>
        <w:rPr>
          <w:rFonts w:hint="eastAsia"/>
          <w:lang w:val="fr-FR"/>
        </w:rPr>
        <w:t>4%</w:t>
      </w:r>
      <w:r>
        <w:rPr>
          <w:rFonts w:hint="eastAsia"/>
          <w:lang w:val="fr-FR"/>
        </w:rPr>
        <w:t>。</w:t>
      </w:r>
    </w:p>
    <w:p w:rsidR="00000000" w:rsidRDefault="00000000">
      <w:pPr>
        <w:ind w:firstLine="510"/>
        <w:rPr>
          <w:rFonts w:hint="eastAsia"/>
          <w:lang w:val="fr-FR"/>
        </w:rPr>
      </w:pPr>
      <w:r>
        <w:rPr>
          <w:rFonts w:hint="eastAsia"/>
          <w:lang w:val="fr-FR"/>
        </w:rPr>
        <w:t>341.  2002</w:t>
      </w:r>
      <w:r>
        <w:rPr>
          <w:rFonts w:hint="eastAsia"/>
          <w:lang w:val="fr-FR"/>
        </w:rPr>
        <w:t>年名义总工资增长同上一年一样，达到</w:t>
      </w:r>
      <w:r>
        <w:rPr>
          <w:rFonts w:hint="eastAsia"/>
          <w:lang w:val="fr-FR"/>
        </w:rPr>
        <w:t>18.3%</w:t>
      </w:r>
      <w:r>
        <w:rPr>
          <w:rFonts w:hint="eastAsia"/>
          <w:lang w:val="fr-FR"/>
        </w:rPr>
        <w:t>。私营部门的增长略少，为</w:t>
      </w:r>
      <w:r>
        <w:rPr>
          <w:rFonts w:hint="eastAsia"/>
          <w:lang w:val="fr-FR"/>
        </w:rPr>
        <w:t>13.3%</w:t>
      </w:r>
      <w:r>
        <w:rPr>
          <w:rFonts w:hint="eastAsia"/>
          <w:lang w:val="fr-FR"/>
        </w:rPr>
        <w:t>，由于政府在</w:t>
      </w:r>
      <w:r>
        <w:rPr>
          <w:rFonts w:hint="eastAsia"/>
          <w:lang w:val="fr-FR"/>
        </w:rPr>
        <w:t>2001</w:t>
      </w:r>
      <w:r>
        <w:rPr>
          <w:rFonts w:hint="eastAsia"/>
          <w:lang w:val="fr-FR"/>
        </w:rPr>
        <w:t>年和</w:t>
      </w:r>
      <w:r>
        <w:rPr>
          <w:rFonts w:hint="eastAsia"/>
          <w:lang w:val="fr-FR"/>
        </w:rPr>
        <w:t>2002</w:t>
      </w:r>
      <w:r>
        <w:rPr>
          <w:rFonts w:hint="eastAsia"/>
          <w:lang w:val="fr-FR"/>
        </w:rPr>
        <w:t>年采取了措施，公共部门显著增长，达到了</w:t>
      </w:r>
      <w:r>
        <w:rPr>
          <w:rFonts w:hint="eastAsia"/>
          <w:lang w:val="fr-FR"/>
        </w:rPr>
        <w:t>29.2%</w:t>
      </w:r>
      <w:r>
        <w:rPr>
          <w:rFonts w:hint="eastAsia"/>
          <w:lang w:val="fr-FR"/>
        </w:rPr>
        <w:t>。这些措施包括：最低工资从</w:t>
      </w:r>
      <w:r>
        <w:rPr>
          <w:rFonts w:hint="eastAsia"/>
          <w:lang w:val="fr-FR"/>
        </w:rPr>
        <w:t>40,000</w:t>
      </w:r>
      <w:r>
        <w:rPr>
          <w:rFonts w:hint="eastAsia"/>
          <w:lang w:val="fr-FR"/>
        </w:rPr>
        <w:t>福林增加到了</w:t>
      </w:r>
      <w:r>
        <w:rPr>
          <w:rFonts w:hint="eastAsia"/>
          <w:lang w:val="fr-FR"/>
        </w:rPr>
        <w:t>50,000</w:t>
      </w:r>
      <w:r>
        <w:rPr>
          <w:rFonts w:hint="eastAsia"/>
          <w:lang w:val="fr-FR"/>
        </w:rPr>
        <w:t>福林，专业人员的工资增加</w:t>
      </w:r>
      <w:r>
        <w:rPr>
          <w:rFonts w:hint="eastAsia"/>
          <w:lang w:val="fr-FR"/>
        </w:rPr>
        <w:t>50%-70%</w:t>
      </w:r>
      <w:r>
        <w:rPr>
          <w:rFonts w:hint="eastAsia"/>
          <w:lang w:val="fr-FR"/>
        </w:rPr>
        <w:t>，公务员工资则增长</w:t>
      </w:r>
      <w:r>
        <w:rPr>
          <w:rFonts w:hint="eastAsia"/>
          <w:lang w:val="fr-FR"/>
        </w:rPr>
        <w:t>50%</w:t>
      </w:r>
      <w:r>
        <w:rPr>
          <w:rFonts w:hint="eastAsia"/>
          <w:lang w:val="fr-FR"/>
        </w:rPr>
        <w:t>。</w:t>
      </w:r>
    </w:p>
    <w:p w:rsidR="00000000" w:rsidRDefault="00000000">
      <w:pPr>
        <w:ind w:firstLine="510"/>
        <w:rPr>
          <w:rFonts w:hint="eastAsia"/>
          <w:lang w:val="fr-FR"/>
        </w:rPr>
      </w:pPr>
      <w:r>
        <w:rPr>
          <w:rFonts w:hint="eastAsia"/>
          <w:lang w:val="fr-FR"/>
        </w:rPr>
        <w:t xml:space="preserve">342.  </w:t>
      </w:r>
      <w:r>
        <w:rPr>
          <w:rFonts w:hint="eastAsia"/>
          <w:lang w:val="fr-FR"/>
        </w:rPr>
        <w:t>一些部门之间的差距有所下降，但是排名没有重大变化。薪水最为优渥的是金融部门，是全国平均收入的两倍。薪水最少的则是餐饮旅馆业和农业，不及全国平均收入的三分之二。</w:t>
      </w:r>
    </w:p>
    <w:p w:rsidR="00000000" w:rsidRDefault="00000000">
      <w:pPr>
        <w:ind w:firstLine="510"/>
        <w:rPr>
          <w:rFonts w:hint="eastAsia"/>
          <w:lang w:val="fr-FR"/>
        </w:rPr>
      </w:pPr>
      <w:r>
        <w:rPr>
          <w:rFonts w:hint="eastAsia"/>
          <w:lang w:val="fr-FR"/>
        </w:rPr>
        <w:t xml:space="preserve">343.  </w:t>
      </w:r>
      <w:r>
        <w:rPr>
          <w:rFonts w:hint="eastAsia"/>
          <w:lang w:val="fr-FR"/>
        </w:rPr>
        <w:t>在工资之外，职工还享受不同的额外福利</w:t>
      </w:r>
      <w:r>
        <w:rPr>
          <w:rFonts w:hint="eastAsia"/>
          <w:lang w:val="fr-FR"/>
        </w:rPr>
        <w:t>(</w:t>
      </w:r>
      <w:r>
        <w:rPr>
          <w:rFonts w:hint="eastAsia"/>
          <w:lang w:val="fr-FR"/>
        </w:rPr>
        <w:t>住房和午餐津贴、上班交通费用的部分报销等等</w:t>
      </w:r>
      <w:r>
        <w:rPr>
          <w:rFonts w:hint="eastAsia"/>
          <w:lang w:val="fr-FR"/>
        </w:rPr>
        <w:t>)</w:t>
      </w:r>
      <w:r>
        <w:rPr>
          <w:rFonts w:hint="eastAsia"/>
          <w:lang w:val="fr-FR"/>
        </w:rPr>
        <w:t>。</w:t>
      </w:r>
      <w:r>
        <w:rPr>
          <w:rFonts w:hint="eastAsia"/>
          <w:lang w:val="fr-FR"/>
        </w:rPr>
        <w:t>2002</w:t>
      </w:r>
      <w:r>
        <w:rPr>
          <w:rFonts w:hint="eastAsia"/>
          <w:lang w:val="fr-FR"/>
        </w:rPr>
        <w:t>年，全国平均月收入为</w:t>
      </w:r>
      <w:r>
        <w:rPr>
          <w:rFonts w:hint="eastAsia"/>
          <w:lang w:val="fr-FR"/>
        </w:rPr>
        <w:t>127,300</w:t>
      </w:r>
      <w:r>
        <w:rPr>
          <w:rFonts w:hint="eastAsia"/>
          <w:lang w:val="fr-FR"/>
        </w:rPr>
        <w:t>福林，较前一年名义上增长了</w:t>
      </w:r>
      <w:r>
        <w:rPr>
          <w:rFonts w:hint="eastAsia"/>
          <w:lang w:val="fr-FR"/>
        </w:rPr>
        <w:t>17.4%</w:t>
      </w:r>
      <w:r>
        <w:rPr>
          <w:rFonts w:hint="eastAsia"/>
          <w:lang w:val="fr-FR"/>
        </w:rPr>
        <w:t>。工资之外的收入部分在下降，</w:t>
      </w:r>
      <w:r>
        <w:rPr>
          <w:rFonts w:hint="eastAsia"/>
          <w:lang w:val="fr-FR"/>
        </w:rPr>
        <w:t>2002</w:t>
      </w:r>
      <w:r>
        <w:rPr>
          <w:rFonts w:hint="eastAsia"/>
          <w:lang w:val="fr-FR"/>
        </w:rPr>
        <w:t>年这部分平均占</w:t>
      </w:r>
      <w:r>
        <w:rPr>
          <w:rFonts w:hint="eastAsia"/>
          <w:lang w:val="fr-FR"/>
        </w:rPr>
        <w:t>3.8%</w:t>
      </w:r>
      <w:r>
        <w:rPr>
          <w:rFonts w:hint="eastAsia"/>
          <w:lang w:val="fr-FR"/>
        </w:rPr>
        <w:t>，而上一年则占</w:t>
      </w:r>
      <w:r>
        <w:rPr>
          <w:rFonts w:hint="eastAsia"/>
          <w:lang w:val="fr-FR"/>
        </w:rPr>
        <w:t>4.8%</w:t>
      </w:r>
      <w:r>
        <w:rPr>
          <w:rFonts w:hint="eastAsia"/>
          <w:lang w:val="fr-FR"/>
        </w:rPr>
        <w:t>。</w:t>
      </w:r>
    </w:p>
    <w:p w:rsidR="00000000" w:rsidRDefault="00000000">
      <w:pPr>
        <w:spacing w:after="160"/>
        <w:ind w:firstLine="510"/>
        <w:rPr>
          <w:rFonts w:hint="eastAsia"/>
          <w:lang w:val="fr-FR"/>
        </w:rPr>
      </w:pPr>
      <w:r>
        <w:rPr>
          <w:rFonts w:hint="eastAsia"/>
          <w:lang w:val="fr-FR"/>
        </w:rPr>
        <w:t>344.  2002</w:t>
      </w:r>
      <w:r>
        <w:rPr>
          <w:rFonts w:hint="eastAsia"/>
          <w:lang w:val="fr-FR"/>
        </w:rPr>
        <w:t>年平均名义净工资为</w:t>
      </w:r>
      <w:r>
        <w:rPr>
          <w:rFonts w:hint="eastAsia"/>
          <w:lang w:val="fr-FR"/>
        </w:rPr>
        <w:t>77,600</w:t>
      </w:r>
      <w:r>
        <w:rPr>
          <w:rFonts w:hint="eastAsia"/>
          <w:lang w:val="fr-FR"/>
        </w:rPr>
        <w:t>福林。白领职工净工资为</w:t>
      </w:r>
      <w:r>
        <w:rPr>
          <w:rFonts w:hint="eastAsia"/>
          <w:lang w:val="fr-FR"/>
        </w:rPr>
        <w:t>101,700</w:t>
      </w:r>
      <w:r>
        <w:rPr>
          <w:rFonts w:hint="eastAsia"/>
          <w:lang w:val="fr-FR"/>
        </w:rPr>
        <w:t>福林，蓝领职工净工资为</w:t>
      </w:r>
      <w:r>
        <w:rPr>
          <w:rFonts w:hint="eastAsia"/>
          <w:lang w:val="fr-FR"/>
        </w:rPr>
        <w:t>58,450</w:t>
      </w:r>
      <w:r>
        <w:rPr>
          <w:rFonts w:hint="eastAsia"/>
          <w:lang w:val="fr-FR"/>
        </w:rPr>
        <w:t>福林。与上一年相比，平均净工资增长了</w:t>
      </w:r>
      <w:r>
        <w:rPr>
          <w:rFonts w:hint="eastAsia"/>
          <w:lang w:val="fr-FR"/>
        </w:rPr>
        <w:t>19.6%</w:t>
      </w:r>
      <w:r>
        <w:rPr>
          <w:rFonts w:hint="eastAsia"/>
          <w:lang w:val="fr-FR"/>
        </w:rPr>
        <w:t>，比毛工资多增长</w:t>
      </w:r>
      <w:r>
        <w:rPr>
          <w:rFonts w:hint="eastAsia"/>
          <w:lang w:val="fr-FR"/>
        </w:rPr>
        <w:t>1.3%</w:t>
      </w:r>
      <w:r>
        <w:rPr>
          <w:rFonts w:hint="eastAsia"/>
          <w:lang w:val="fr-FR"/>
        </w:rPr>
        <w:t>。在私营部门，净工资增长比毛工资多增长</w:t>
      </w:r>
      <w:r>
        <w:rPr>
          <w:rFonts w:hint="eastAsia"/>
          <w:lang w:val="fr-FR"/>
        </w:rPr>
        <w:t>2.4%</w:t>
      </w:r>
      <w:r>
        <w:rPr>
          <w:rFonts w:hint="eastAsia"/>
          <w:lang w:val="fr-FR"/>
        </w:rPr>
        <w:t>，公共部门</w:t>
      </w:r>
      <w:r>
        <w:rPr>
          <w:rFonts w:hint="eastAsia"/>
          <w:lang w:val="fr-FR"/>
        </w:rPr>
        <w:t>(</w:t>
      </w:r>
      <w:r>
        <w:rPr>
          <w:rFonts w:hint="eastAsia"/>
          <w:lang w:val="fr-FR"/>
        </w:rPr>
        <w:t>这些部门领取最低工资的人仅占</w:t>
      </w:r>
      <w:r>
        <w:rPr>
          <w:rFonts w:hint="eastAsia"/>
          <w:lang w:val="fr-FR"/>
        </w:rPr>
        <w:t>4%)</w:t>
      </w:r>
      <w:r>
        <w:rPr>
          <w:rFonts w:hint="eastAsia"/>
          <w:lang w:val="fr-FR"/>
        </w:rPr>
        <w:t>净工资增长比毛工资少增长</w:t>
      </w:r>
      <w:r>
        <w:rPr>
          <w:rFonts w:hint="eastAsia"/>
          <w:lang w:val="fr-FR"/>
        </w:rPr>
        <w:t>1.7%</w:t>
      </w:r>
      <w:r>
        <w:rPr>
          <w:rFonts w:hint="eastAsia"/>
          <w:lang w:val="fr-FR"/>
        </w:rPr>
        <w:t>。</w:t>
      </w:r>
    </w:p>
    <w:p w:rsidR="00000000" w:rsidRDefault="00000000">
      <w:pPr>
        <w:pStyle w:val="Heading3"/>
        <w:spacing w:after="240"/>
        <w:rPr>
          <w:rFonts w:hint="eastAsia"/>
          <w:lang w:val="fr-FR"/>
        </w:rPr>
      </w:pPr>
      <w:r>
        <w:rPr>
          <w:rFonts w:hint="eastAsia"/>
          <w:lang w:val="fr-FR"/>
        </w:rPr>
        <w:t>温饱水平</w:t>
      </w:r>
    </w:p>
    <w:p w:rsidR="00000000" w:rsidRDefault="00000000">
      <w:pPr>
        <w:widowControl w:val="0"/>
        <w:ind w:firstLine="510"/>
        <w:rPr>
          <w:rFonts w:hint="eastAsia"/>
          <w:lang w:val="fr-FR"/>
        </w:rPr>
      </w:pPr>
      <w:r>
        <w:rPr>
          <w:rFonts w:hint="eastAsia"/>
          <w:lang w:val="fr-FR"/>
        </w:rPr>
        <w:t xml:space="preserve">345.  </w:t>
      </w:r>
      <w:r>
        <w:rPr>
          <w:rFonts w:hint="eastAsia"/>
          <w:lang w:val="fr-FR"/>
        </w:rPr>
        <w:t>温饱水平是由中央统计局根据食品消费标准价值计算的保证满足维持一种生活方式不变的基本需求</w:t>
      </w:r>
      <w:r>
        <w:rPr>
          <w:rFonts w:hint="eastAsia"/>
          <w:lang w:val="fr-FR"/>
        </w:rPr>
        <w:t>(</w:t>
      </w:r>
      <w:r>
        <w:rPr>
          <w:rFonts w:hint="eastAsia"/>
          <w:lang w:val="fr-FR"/>
        </w:rPr>
        <w:t>传统上也被认为是初级需求</w:t>
      </w:r>
      <w:r>
        <w:rPr>
          <w:rFonts w:hint="eastAsia"/>
          <w:lang w:val="fr-FR"/>
        </w:rPr>
        <w:t>)</w:t>
      </w:r>
      <w:r>
        <w:rPr>
          <w:rFonts w:hint="eastAsia"/>
          <w:lang w:val="fr-FR"/>
        </w:rPr>
        <w:t>所需的金额。</w:t>
      </w:r>
      <w:r>
        <w:rPr>
          <w:rFonts w:hint="eastAsia"/>
          <w:lang w:val="fr-FR"/>
        </w:rPr>
        <w:t>2002</w:t>
      </w:r>
      <w:r>
        <w:rPr>
          <w:rFonts w:hint="eastAsia"/>
          <w:lang w:val="fr-FR"/>
        </w:rPr>
        <w:t>年不同类型家庭每人每月温饱水平在</w:t>
      </w:r>
      <w:r>
        <w:rPr>
          <w:rFonts w:hint="eastAsia"/>
          <w:lang w:val="fr-FR"/>
        </w:rPr>
        <w:t>27,000</w:t>
      </w:r>
      <w:r>
        <w:rPr>
          <w:rFonts w:hint="eastAsia"/>
          <w:lang w:val="fr-FR"/>
        </w:rPr>
        <w:t>福林至</w:t>
      </w:r>
      <w:r>
        <w:rPr>
          <w:rFonts w:hint="eastAsia"/>
          <w:lang w:val="fr-FR"/>
        </w:rPr>
        <w:t>43,000</w:t>
      </w:r>
      <w:r>
        <w:rPr>
          <w:rFonts w:hint="eastAsia"/>
          <w:lang w:val="fr-FR"/>
        </w:rPr>
        <w:t>福林之间</w:t>
      </w:r>
      <w:r>
        <w:rPr>
          <w:rFonts w:hint="eastAsia"/>
          <w:lang w:val="fr-FR"/>
        </w:rPr>
        <w:t>(</w:t>
      </w:r>
      <w:r>
        <w:rPr>
          <w:rFonts w:hint="eastAsia"/>
          <w:lang w:val="fr-FR"/>
        </w:rPr>
        <w:t>营养标准的价值乘以</w:t>
      </w:r>
      <w:r>
        <w:rPr>
          <w:rFonts w:hint="eastAsia"/>
          <w:lang w:val="fr-FR"/>
        </w:rPr>
        <w:t>2.75)</w:t>
      </w:r>
      <w:r>
        <w:rPr>
          <w:rFonts w:hint="eastAsia"/>
          <w:lang w:val="fr-FR"/>
        </w:rPr>
        <w:t>，平均值为</w:t>
      </w:r>
      <w:r>
        <w:rPr>
          <w:rFonts w:hint="eastAsia"/>
          <w:lang w:val="fr-FR"/>
        </w:rPr>
        <w:t>33,900</w:t>
      </w:r>
      <w:r>
        <w:rPr>
          <w:rFonts w:hint="eastAsia"/>
          <w:lang w:val="fr-FR"/>
        </w:rPr>
        <w:t>福林。还有一项可与之相比较的数据，它是以各个家庭认为维持不同程度生存水平的必要金额为基础。根据这种计量方法，最低温饱水平为</w:t>
      </w:r>
      <w:r>
        <w:rPr>
          <w:rFonts w:hint="eastAsia"/>
          <w:lang w:val="fr-FR"/>
        </w:rPr>
        <w:t>30,900</w:t>
      </w:r>
      <w:r>
        <w:rPr>
          <w:rFonts w:hint="eastAsia"/>
          <w:lang w:val="fr-FR"/>
        </w:rPr>
        <w:t>福林，低于中央统计局计算的数字。</w:t>
      </w:r>
      <w:r>
        <w:rPr>
          <w:rFonts w:hint="eastAsia"/>
          <w:lang w:val="fr-FR"/>
        </w:rPr>
        <w:t>2002</w:t>
      </w:r>
      <w:r>
        <w:rPr>
          <w:rFonts w:hint="eastAsia"/>
          <w:lang w:val="fr-FR"/>
        </w:rPr>
        <w:t>年每消费单位的平均温饱水平为</w:t>
      </w:r>
      <w:r>
        <w:rPr>
          <w:rFonts w:hint="eastAsia"/>
          <w:lang w:val="fr-FR"/>
        </w:rPr>
        <w:t>43,108</w:t>
      </w:r>
      <w:r>
        <w:rPr>
          <w:rFonts w:hint="eastAsia"/>
          <w:lang w:val="fr-FR"/>
        </w:rPr>
        <w:t>福林。对两个成年人和两个儿童的典型家庭而言，温饱水平为</w:t>
      </w:r>
      <w:r>
        <w:rPr>
          <w:rFonts w:hint="eastAsia"/>
          <w:lang w:val="fr-FR"/>
        </w:rPr>
        <w:t>125,000</w:t>
      </w:r>
      <w:r>
        <w:rPr>
          <w:rFonts w:hint="eastAsia"/>
          <w:lang w:val="fr-FR"/>
        </w:rPr>
        <w:t>福林</w:t>
      </w:r>
      <w:r>
        <w:rPr>
          <w:rFonts w:hint="eastAsia"/>
          <w:lang w:val="fr-FR"/>
        </w:rPr>
        <w:t>(2001</w:t>
      </w:r>
      <w:r>
        <w:rPr>
          <w:rFonts w:hint="eastAsia"/>
          <w:lang w:val="fr-FR"/>
        </w:rPr>
        <w:t>年是</w:t>
      </w:r>
      <w:r>
        <w:rPr>
          <w:rFonts w:hint="eastAsia"/>
          <w:lang w:val="fr-FR"/>
        </w:rPr>
        <w:t>114,000</w:t>
      </w:r>
      <w:r>
        <w:rPr>
          <w:rFonts w:hint="eastAsia"/>
          <w:lang w:val="fr-FR"/>
        </w:rPr>
        <w:t>福林</w:t>
      </w:r>
      <w:r>
        <w:rPr>
          <w:rFonts w:hint="eastAsia"/>
          <w:lang w:val="fr-FR"/>
        </w:rPr>
        <w:t>)</w:t>
      </w:r>
      <w:r>
        <w:rPr>
          <w:rFonts w:hint="eastAsia"/>
          <w:lang w:val="fr-FR"/>
        </w:rPr>
        <w:t>。</w:t>
      </w:r>
    </w:p>
    <w:p w:rsidR="00000000" w:rsidRDefault="00000000">
      <w:pPr>
        <w:spacing w:after="240"/>
        <w:ind w:firstLine="510"/>
        <w:rPr>
          <w:lang w:val="fr-FR"/>
        </w:rPr>
      </w:pPr>
      <w:r>
        <w:rPr>
          <w:rFonts w:hint="eastAsia"/>
          <w:lang w:val="fr-FR"/>
        </w:rPr>
        <w:t>346.  2002</w:t>
      </w:r>
      <w:r>
        <w:rPr>
          <w:rFonts w:hint="eastAsia"/>
          <w:lang w:val="fr-FR"/>
        </w:rPr>
        <w:t>年，最低温饱水平的家庭中每人每月消费的若干食品如下：</w:t>
      </w:r>
      <w:r>
        <w:rPr>
          <w:rFonts w:hint="eastAsia"/>
          <w:lang w:val="fr-FR"/>
        </w:rPr>
        <w:t>5.1</w:t>
      </w:r>
      <w:r>
        <w:rPr>
          <w:rFonts w:hint="eastAsia"/>
          <w:lang w:val="fr-FR"/>
        </w:rPr>
        <w:t>公斤肉、</w:t>
      </w:r>
      <w:r>
        <w:rPr>
          <w:rFonts w:hint="eastAsia"/>
          <w:lang w:val="fr-FR"/>
        </w:rPr>
        <w:t>5.7</w:t>
      </w:r>
      <w:r>
        <w:rPr>
          <w:rFonts w:hint="eastAsia"/>
          <w:lang w:val="fr-FR"/>
        </w:rPr>
        <w:t>升牛奶、</w:t>
      </w:r>
      <w:r>
        <w:rPr>
          <w:rFonts w:hint="eastAsia"/>
          <w:lang w:val="fr-FR"/>
        </w:rPr>
        <w:t>1.4</w:t>
      </w:r>
      <w:r>
        <w:rPr>
          <w:rFonts w:hint="eastAsia"/>
          <w:lang w:val="fr-FR"/>
        </w:rPr>
        <w:t>公斤奶制品以及</w:t>
      </w:r>
      <w:r>
        <w:rPr>
          <w:rFonts w:hint="eastAsia"/>
          <w:lang w:val="fr-FR"/>
        </w:rPr>
        <w:t>9.7</w:t>
      </w:r>
      <w:r>
        <w:rPr>
          <w:rFonts w:hint="eastAsia"/>
          <w:lang w:val="fr-FR"/>
        </w:rPr>
        <w:t>公斤蔬菜和水果。</w:t>
      </w:r>
      <w:r>
        <w:rPr>
          <w:rFonts w:hint="eastAsia"/>
          <w:lang w:val="fr-FR"/>
        </w:rPr>
        <w:t>86%</w:t>
      </w:r>
      <w:r>
        <w:rPr>
          <w:rFonts w:hint="eastAsia"/>
          <w:lang w:val="fr-FR"/>
        </w:rPr>
        <w:t>的家庭有一架电话，</w:t>
      </w:r>
      <w:r>
        <w:rPr>
          <w:rFonts w:hint="eastAsia"/>
          <w:lang w:val="fr-FR"/>
        </w:rPr>
        <w:t>38%</w:t>
      </w:r>
      <w:r>
        <w:rPr>
          <w:rFonts w:hint="eastAsia"/>
          <w:lang w:val="fr-FR"/>
        </w:rPr>
        <w:t>的家庭有一辆汽车。</w:t>
      </w:r>
    </w:p>
    <w:p w:rsidR="00000000" w:rsidRDefault="00000000">
      <w:pPr>
        <w:spacing w:after="240"/>
        <w:ind w:firstLine="510"/>
        <w:jc w:val="center"/>
        <w:rPr>
          <w:u w:val="single"/>
        </w:rPr>
      </w:pPr>
      <w:r>
        <w:rPr>
          <w:rFonts w:hint="eastAsia"/>
          <w:u w:val="single"/>
        </w:rPr>
        <w:t>按其成员活动力分列的不同生活水平家庭的构成情况</w:t>
      </w:r>
    </w:p>
    <w:p w:rsidR="00000000" w:rsidRDefault="00000000">
      <w:pPr>
        <w:spacing w:after="240"/>
        <w:ind w:firstLine="510"/>
        <w:jc w:val="center"/>
        <w:rPr>
          <w:u w:val="single"/>
        </w:rPr>
      </w:pPr>
      <w:r>
        <w:rPr>
          <w:noProof/>
          <w:sz w:val="20"/>
        </w:rPr>
        <w:pict>
          <v:shape id="_x0000_s2050" type="#_x0000_t75" style="position:absolute;left:0;text-align:left;margin-left:26pt;margin-top:6.35pt;width:430.5pt;height:289.65pt;z-index:1;visibility:visible;mso-wrap-edited:f">
            <v:imagedata r:id="rId9" o:title=""/>
          </v:shape>
          <o:OLEObject Type="Embed" ProgID="Word.Picture.8" ShapeID="_x0000_s2050" DrawAspect="Content" ObjectID="_1395882442" r:id="rId10"/>
        </w:pict>
      </w:r>
    </w:p>
    <w:p w:rsidR="00000000" w:rsidRDefault="00000000">
      <w:pPr>
        <w:spacing w:after="240"/>
        <w:ind w:firstLine="510"/>
        <w:jc w:val="center"/>
        <w:rPr>
          <w:u w:val="single"/>
        </w:rPr>
      </w:pPr>
    </w:p>
    <w:p w:rsidR="00000000" w:rsidRDefault="00000000">
      <w:pPr>
        <w:spacing w:after="240"/>
        <w:ind w:firstLine="510"/>
        <w:jc w:val="center"/>
        <w:rPr>
          <w:u w:val="single"/>
        </w:rPr>
      </w:pPr>
    </w:p>
    <w:p w:rsidR="00000000" w:rsidRDefault="00000000">
      <w:pPr>
        <w:spacing w:after="240"/>
        <w:ind w:firstLine="510"/>
        <w:jc w:val="center"/>
        <w:rPr>
          <w:u w:val="single"/>
        </w:rPr>
      </w:pPr>
    </w:p>
    <w:p w:rsidR="00000000" w:rsidRDefault="00000000">
      <w:pPr>
        <w:spacing w:after="240"/>
        <w:ind w:firstLine="510"/>
        <w:jc w:val="center"/>
        <w:rPr>
          <w:u w:val="single"/>
        </w:rPr>
      </w:pPr>
    </w:p>
    <w:p w:rsidR="00000000" w:rsidRDefault="00000000">
      <w:pPr>
        <w:spacing w:after="240"/>
        <w:ind w:firstLine="510"/>
        <w:jc w:val="center"/>
        <w:rPr>
          <w:u w:val="single"/>
        </w:rPr>
      </w:pPr>
    </w:p>
    <w:p w:rsidR="00000000" w:rsidRDefault="00000000">
      <w:pPr>
        <w:spacing w:after="240"/>
        <w:ind w:firstLine="510"/>
        <w:jc w:val="center"/>
        <w:rPr>
          <w:u w:val="single"/>
        </w:rPr>
      </w:pPr>
    </w:p>
    <w:p w:rsidR="00000000" w:rsidRDefault="00000000">
      <w:pPr>
        <w:spacing w:after="240"/>
        <w:ind w:firstLine="510"/>
        <w:jc w:val="center"/>
        <w:rPr>
          <w:u w:val="single"/>
        </w:rPr>
      </w:pPr>
    </w:p>
    <w:p w:rsidR="00000000" w:rsidRDefault="00000000">
      <w:pPr>
        <w:spacing w:after="120"/>
        <w:ind w:firstLine="510"/>
        <w:jc w:val="center"/>
        <w:rPr>
          <w:u w:val="single"/>
        </w:rPr>
      </w:pPr>
    </w:p>
    <w:p w:rsidR="00000000" w:rsidRDefault="00000000">
      <w:pPr>
        <w:spacing w:after="120"/>
        <w:ind w:firstLine="510"/>
        <w:jc w:val="center"/>
        <w:rPr>
          <w:u w:val="single"/>
        </w:rPr>
      </w:pPr>
    </w:p>
    <w:p w:rsidR="00000000" w:rsidRDefault="00000000">
      <w:pPr>
        <w:spacing w:after="120"/>
        <w:ind w:firstLine="510"/>
        <w:jc w:val="center"/>
        <w:rPr>
          <w:u w:val="single"/>
          <w:lang w:val="fr-FR"/>
        </w:rPr>
      </w:pP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全国平均水平之下家庭的住房条件和消费特征</w:t>
      </w:r>
    </w:p>
    <w:p w:rsidR="00000000" w:rsidRDefault="00000000">
      <w:pPr>
        <w:ind w:firstLine="510"/>
        <w:rPr>
          <w:rFonts w:hint="eastAsia"/>
          <w:lang w:val="fr-FR"/>
        </w:rPr>
      </w:pPr>
      <w:r>
        <w:rPr>
          <w:rFonts w:hint="eastAsia"/>
          <w:lang w:val="fr-FR"/>
        </w:rPr>
        <w:t xml:space="preserve">347.  </w:t>
      </w:r>
      <w:r>
        <w:rPr>
          <w:rFonts w:hint="eastAsia"/>
          <w:u w:val="single"/>
          <w:lang w:val="fr-FR"/>
        </w:rPr>
        <w:t>公寓房面积</w:t>
      </w:r>
      <w:r>
        <w:rPr>
          <w:rFonts w:hint="eastAsia"/>
          <w:lang w:val="fr-FR"/>
        </w:rPr>
        <w:t>没有显著差异。另一方面每</w:t>
      </w:r>
      <w:r>
        <w:rPr>
          <w:rFonts w:hint="eastAsia"/>
          <w:lang w:val="fr-FR"/>
        </w:rPr>
        <w:t>100</w:t>
      </w:r>
      <w:r>
        <w:rPr>
          <w:rFonts w:hint="eastAsia"/>
          <w:lang w:val="fr-FR"/>
        </w:rPr>
        <w:t>间房居住人数大相径庭，这取决于不同家庭的规模。无经济活动有子女的家庭每</w:t>
      </w:r>
      <w:r>
        <w:rPr>
          <w:rFonts w:hint="eastAsia"/>
          <w:lang w:val="fr-FR"/>
        </w:rPr>
        <w:t>100</w:t>
      </w:r>
      <w:r>
        <w:rPr>
          <w:rFonts w:hint="eastAsia"/>
          <w:lang w:val="fr-FR"/>
        </w:rPr>
        <w:t>间房住</w:t>
      </w:r>
      <w:r>
        <w:rPr>
          <w:rFonts w:hint="eastAsia"/>
          <w:lang w:val="fr-FR"/>
        </w:rPr>
        <w:t>200</w:t>
      </w:r>
      <w:r>
        <w:rPr>
          <w:rFonts w:hint="eastAsia"/>
          <w:lang w:val="fr-FR"/>
        </w:rPr>
        <w:t>人，有三个或三个以上子女的家庭每</w:t>
      </w:r>
      <w:r>
        <w:rPr>
          <w:rFonts w:hint="eastAsia"/>
          <w:lang w:val="fr-FR"/>
        </w:rPr>
        <w:t>100</w:t>
      </w:r>
      <w:r>
        <w:rPr>
          <w:rFonts w:hint="eastAsia"/>
          <w:lang w:val="fr-FR"/>
        </w:rPr>
        <w:t>间房住</w:t>
      </w:r>
      <w:r>
        <w:rPr>
          <w:rFonts w:hint="eastAsia"/>
          <w:lang w:val="fr-FR"/>
        </w:rPr>
        <w:t>250</w:t>
      </w:r>
      <w:r>
        <w:rPr>
          <w:rFonts w:hint="eastAsia"/>
          <w:lang w:val="fr-FR"/>
        </w:rPr>
        <w:t>人。全国平均每</w:t>
      </w:r>
      <w:r>
        <w:rPr>
          <w:rFonts w:hint="eastAsia"/>
          <w:lang w:val="fr-FR"/>
        </w:rPr>
        <w:t>100</w:t>
      </w:r>
      <w:r>
        <w:rPr>
          <w:rFonts w:hint="eastAsia"/>
          <w:lang w:val="fr-FR"/>
        </w:rPr>
        <w:t>间房住</w:t>
      </w:r>
      <w:r>
        <w:rPr>
          <w:rFonts w:hint="eastAsia"/>
          <w:lang w:val="fr-FR"/>
        </w:rPr>
        <w:t>118</w:t>
      </w:r>
      <w:r>
        <w:rPr>
          <w:rFonts w:hint="eastAsia"/>
          <w:lang w:val="fr-FR"/>
        </w:rPr>
        <w:t>人。</w:t>
      </w:r>
    </w:p>
    <w:p w:rsidR="00000000" w:rsidRDefault="00000000">
      <w:pPr>
        <w:ind w:firstLine="510"/>
        <w:rPr>
          <w:rFonts w:hint="eastAsia"/>
          <w:lang w:val="fr-FR"/>
        </w:rPr>
      </w:pPr>
      <w:r>
        <w:rPr>
          <w:rFonts w:hint="eastAsia"/>
          <w:lang w:val="fr-FR"/>
        </w:rPr>
        <w:t xml:space="preserve">348.  </w:t>
      </w:r>
      <w:r>
        <w:rPr>
          <w:rFonts w:hint="eastAsia"/>
          <w:u w:val="single"/>
          <w:lang w:val="fr-FR"/>
        </w:rPr>
        <w:t>公用事业</w:t>
      </w:r>
      <w:r>
        <w:rPr>
          <w:rFonts w:hint="eastAsia"/>
          <w:lang w:val="fr-FR"/>
        </w:rPr>
        <w:t>：几乎所有的家庭都有电力供应。</w:t>
      </w:r>
      <w:r>
        <w:rPr>
          <w:rFonts w:hint="eastAsia"/>
          <w:lang w:val="fr-FR"/>
        </w:rPr>
        <w:t>93-96%</w:t>
      </w:r>
      <w:r>
        <w:rPr>
          <w:rFonts w:hint="eastAsia"/>
          <w:lang w:val="fr-FR"/>
        </w:rPr>
        <w:t>的家庭有自来水供应，但是无经济活动有子女的家庭除外，其比例为</w:t>
      </w:r>
      <w:r>
        <w:rPr>
          <w:rFonts w:hint="eastAsia"/>
          <w:lang w:val="fr-FR"/>
        </w:rPr>
        <w:t>81%(</w:t>
      </w:r>
      <w:r>
        <w:rPr>
          <w:rFonts w:hint="eastAsia"/>
          <w:lang w:val="fr-FR"/>
        </w:rPr>
        <w:t>有三个或三个以上子女的家庭为</w:t>
      </w:r>
      <w:r>
        <w:rPr>
          <w:rFonts w:hint="eastAsia"/>
          <w:lang w:val="fr-FR"/>
        </w:rPr>
        <w:t>74%)</w:t>
      </w:r>
      <w:r>
        <w:rPr>
          <w:rFonts w:hint="eastAsia"/>
          <w:lang w:val="fr-FR"/>
        </w:rPr>
        <w:t>。具有卫生设备的家庭比例略少。</w:t>
      </w:r>
    </w:p>
    <w:p w:rsidR="00000000" w:rsidRDefault="00000000">
      <w:pPr>
        <w:ind w:firstLine="510"/>
        <w:rPr>
          <w:rFonts w:hint="eastAsia"/>
          <w:lang w:val="fr-FR"/>
        </w:rPr>
      </w:pPr>
      <w:r>
        <w:rPr>
          <w:rFonts w:hint="eastAsia"/>
          <w:lang w:val="fr-FR"/>
        </w:rPr>
        <w:t xml:space="preserve">349.  </w:t>
      </w:r>
      <w:r>
        <w:rPr>
          <w:rFonts w:hint="eastAsia"/>
          <w:lang w:val="fr-FR"/>
        </w:rPr>
        <w:t>具有</w:t>
      </w:r>
      <w:r>
        <w:rPr>
          <w:rFonts w:hint="eastAsia"/>
          <w:u w:val="single"/>
          <w:lang w:val="fr-FR"/>
        </w:rPr>
        <w:t>下水管道</w:t>
      </w:r>
      <w:r>
        <w:rPr>
          <w:rFonts w:hint="eastAsia"/>
          <w:lang w:val="fr-FR"/>
        </w:rPr>
        <w:t>和</w:t>
      </w:r>
      <w:r>
        <w:rPr>
          <w:rFonts w:hint="eastAsia"/>
          <w:u w:val="single"/>
          <w:lang w:val="fr-FR"/>
        </w:rPr>
        <w:t>管道煤气</w:t>
      </w:r>
      <w:r>
        <w:rPr>
          <w:rFonts w:hint="eastAsia"/>
          <w:lang w:val="fr-FR"/>
        </w:rPr>
        <w:t>的家庭比例有很大的差异。无经济活动没有子女的家庭中有</w:t>
      </w:r>
      <w:r>
        <w:rPr>
          <w:rFonts w:hint="eastAsia"/>
          <w:lang w:val="fr-FR"/>
        </w:rPr>
        <w:t>30%</w:t>
      </w:r>
      <w:r>
        <w:rPr>
          <w:rFonts w:hint="eastAsia"/>
          <w:lang w:val="fr-FR"/>
        </w:rPr>
        <w:t>具有下水管道，而</w:t>
      </w:r>
      <w:r>
        <w:rPr>
          <w:rFonts w:hint="eastAsia"/>
          <w:lang w:val="fr-FR"/>
        </w:rPr>
        <w:t>42%</w:t>
      </w:r>
      <w:r>
        <w:rPr>
          <w:rFonts w:hint="eastAsia"/>
          <w:lang w:val="fr-FR"/>
        </w:rPr>
        <w:t>具有管道煤气</w:t>
      </w:r>
      <w:r>
        <w:rPr>
          <w:rFonts w:hint="eastAsia"/>
          <w:lang w:val="fr-FR"/>
        </w:rPr>
        <w:t>(</w:t>
      </w:r>
      <w:r>
        <w:rPr>
          <w:rFonts w:hint="eastAsia"/>
          <w:lang w:val="fr-FR"/>
        </w:rPr>
        <w:t>有三个或三个以上子女的家庭比例更小</w:t>
      </w:r>
      <w:r>
        <w:rPr>
          <w:rFonts w:hint="eastAsia"/>
          <w:lang w:val="fr-FR"/>
        </w:rPr>
        <w:t>)</w:t>
      </w:r>
      <w:r>
        <w:rPr>
          <w:rFonts w:hint="eastAsia"/>
          <w:lang w:val="fr-FR"/>
        </w:rPr>
        <w:t>；对处于温饱水平的家庭而言，中央统计局计算的比例分别是</w:t>
      </w:r>
      <w:r>
        <w:rPr>
          <w:rFonts w:hint="eastAsia"/>
          <w:lang w:val="fr-FR"/>
        </w:rPr>
        <w:t>55%</w:t>
      </w:r>
      <w:r>
        <w:rPr>
          <w:rFonts w:hint="eastAsia"/>
          <w:lang w:val="fr-FR"/>
        </w:rPr>
        <w:t>和</w:t>
      </w:r>
      <w:r>
        <w:rPr>
          <w:rFonts w:hint="eastAsia"/>
          <w:lang w:val="fr-FR"/>
        </w:rPr>
        <w:t>69%</w:t>
      </w:r>
      <w:r>
        <w:rPr>
          <w:rFonts w:hint="eastAsia"/>
          <w:lang w:val="fr-FR"/>
        </w:rPr>
        <w:t>，而全国平均水平是</w:t>
      </w:r>
      <w:r>
        <w:rPr>
          <w:rFonts w:hint="eastAsia"/>
          <w:lang w:val="fr-FR"/>
        </w:rPr>
        <w:t>60%</w:t>
      </w:r>
      <w:r>
        <w:rPr>
          <w:rFonts w:hint="eastAsia"/>
          <w:lang w:val="fr-FR"/>
        </w:rPr>
        <w:t>和</w:t>
      </w:r>
      <w:r>
        <w:rPr>
          <w:rFonts w:hint="eastAsia"/>
          <w:lang w:val="fr-FR"/>
        </w:rPr>
        <w:t>73%</w:t>
      </w:r>
      <w:r>
        <w:rPr>
          <w:rFonts w:hint="eastAsia"/>
          <w:lang w:val="fr-FR"/>
        </w:rPr>
        <w:t>。</w:t>
      </w:r>
    </w:p>
    <w:p w:rsidR="00000000" w:rsidRDefault="00000000">
      <w:pPr>
        <w:ind w:firstLine="510"/>
        <w:rPr>
          <w:rFonts w:hint="eastAsia"/>
          <w:lang w:val="fr-FR"/>
        </w:rPr>
      </w:pPr>
      <w:r>
        <w:rPr>
          <w:rFonts w:hint="eastAsia"/>
          <w:lang w:val="fr-FR"/>
        </w:rPr>
        <w:t xml:space="preserve">350.  </w:t>
      </w:r>
      <w:r>
        <w:rPr>
          <w:rFonts w:hint="eastAsia"/>
          <w:lang w:val="fr-FR"/>
        </w:rPr>
        <w:t>全国</w:t>
      </w:r>
      <w:r>
        <w:rPr>
          <w:rFonts w:hint="eastAsia"/>
          <w:u w:val="single"/>
          <w:lang w:val="fr-FR"/>
        </w:rPr>
        <w:t>电话</w:t>
      </w:r>
      <w:r>
        <w:rPr>
          <w:rFonts w:hint="eastAsia"/>
          <w:lang w:val="fr-FR"/>
        </w:rPr>
        <w:t>拥有率迅速发展的趋势非常明显：无经济活动有子女的家庭的比例为</w:t>
      </w:r>
      <w:r>
        <w:rPr>
          <w:rFonts w:hint="eastAsia"/>
          <w:lang w:val="fr-FR"/>
        </w:rPr>
        <w:t>68%</w:t>
      </w:r>
      <w:r>
        <w:rPr>
          <w:rFonts w:hint="eastAsia"/>
          <w:lang w:val="fr-FR"/>
        </w:rPr>
        <w:t>，</w:t>
      </w:r>
      <w:r>
        <w:rPr>
          <w:rFonts w:hint="eastAsia"/>
          <w:lang w:val="fr-FR"/>
        </w:rPr>
        <w:t>86%</w:t>
      </w:r>
      <w:r>
        <w:rPr>
          <w:rFonts w:hint="eastAsia"/>
          <w:lang w:val="fr-FR"/>
        </w:rPr>
        <w:t>处于温饱水平附近的家庭拥有固定或移动电话。全国平均水平为</w:t>
      </w:r>
      <w:r>
        <w:rPr>
          <w:rFonts w:hint="eastAsia"/>
          <w:lang w:val="fr-FR"/>
        </w:rPr>
        <w:t>88%</w:t>
      </w:r>
      <w:r>
        <w:rPr>
          <w:rFonts w:hint="eastAsia"/>
          <w:lang w:val="fr-FR"/>
        </w:rPr>
        <w:t>。</w:t>
      </w:r>
    </w:p>
    <w:p w:rsidR="00000000" w:rsidRDefault="00000000">
      <w:pPr>
        <w:spacing w:after="320"/>
        <w:ind w:firstLine="510"/>
        <w:rPr>
          <w:rFonts w:hint="eastAsia"/>
          <w:lang w:val="fr-FR"/>
        </w:rPr>
      </w:pPr>
      <w:r>
        <w:rPr>
          <w:rFonts w:hint="eastAsia"/>
          <w:lang w:val="fr-FR"/>
        </w:rPr>
        <w:t xml:space="preserve">351.  </w:t>
      </w:r>
      <w:r>
        <w:rPr>
          <w:rFonts w:hint="eastAsia"/>
          <w:u w:val="single"/>
          <w:lang w:val="fr-FR"/>
        </w:rPr>
        <w:t>耐用消费品</w:t>
      </w:r>
      <w:r>
        <w:rPr>
          <w:rFonts w:hint="eastAsia"/>
          <w:lang w:val="fr-FR"/>
        </w:rPr>
        <w:t>：不同生活水平的所有家庭中</w:t>
      </w:r>
      <w:r>
        <w:rPr>
          <w:rFonts w:hint="eastAsia"/>
          <w:lang w:val="fr-FR"/>
        </w:rPr>
        <w:t>88%</w:t>
      </w:r>
      <w:r>
        <w:rPr>
          <w:rFonts w:hint="eastAsia"/>
          <w:lang w:val="fr-FR"/>
        </w:rPr>
        <w:t>至</w:t>
      </w:r>
      <w:r>
        <w:rPr>
          <w:rFonts w:hint="eastAsia"/>
          <w:lang w:val="fr-FR"/>
        </w:rPr>
        <w:t>99%</w:t>
      </w:r>
      <w:r>
        <w:rPr>
          <w:rFonts w:hint="eastAsia"/>
          <w:lang w:val="fr-FR"/>
        </w:rPr>
        <w:t>拥有冰箱、洗衣机和彩色电视机。汽车、自动洗衣机和计算机的拥有率差异较大：</w:t>
      </w:r>
      <w:r>
        <w:rPr>
          <w:rFonts w:hint="eastAsia"/>
          <w:lang w:val="fr-FR"/>
        </w:rPr>
        <w:t>19%</w:t>
      </w:r>
      <w:r>
        <w:rPr>
          <w:rFonts w:hint="eastAsia"/>
          <w:lang w:val="fr-FR"/>
        </w:rPr>
        <w:t>的无经济活动有子女的家庭拥有一辆汽车</w:t>
      </w:r>
      <w:r>
        <w:rPr>
          <w:rFonts w:hint="eastAsia"/>
          <w:lang w:val="fr-FR"/>
        </w:rPr>
        <w:t>(</w:t>
      </w:r>
      <w:r>
        <w:rPr>
          <w:rFonts w:hint="eastAsia"/>
          <w:lang w:val="fr-FR"/>
        </w:rPr>
        <w:t>有三个或三个以上子女的家庭比例为</w:t>
      </w:r>
      <w:r>
        <w:rPr>
          <w:rFonts w:hint="eastAsia"/>
          <w:lang w:val="fr-FR"/>
        </w:rPr>
        <w:t>13%)</w:t>
      </w:r>
      <w:r>
        <w:rPr>
          <w:rFonts w:hint="eastAsia"/>
          <w:lang w:val="fr-FR"/>
        </w:rPr>
        <w:t>，根据中央统计局计算的数据，处于温饱水平的家庭拥有一辆汽车的比例为</w:t>
      </w:r>
      <w:r>
        <w:rPr>
          <w:rFonts w:hint="eastAsia"/>
          <w:lang w:val="fr-FR"/>
        </w:rPr>
        <w:t>44%</w:t>
      </w:r>
      <w:r>
        <w:rPr>
          <w:rFonts w:hint="eastAsia"/>
          <w:lang w:val="fr-FR"/>
        </w:rPr>
        <w:t>，全国平均为</w:t>
      </w:r>
      <w:r>
        <w:rPr>
          <w:rFonts w:hint="eastAsia"/>
          <w:lang w:val="fr-FR"/>
        </w:rPr>
        <w:t>44%</w:t>
      </w:r>
      <w:r>
        <w:rPr>
          <w:rFonts w:hint="eastAsia"/>
          <w:lang w:val="fr-FR"/>
        </w:rPr>
        <w:t>。自动洗衣机的指标分别为</w:t>
      </w:r>
      <w:r>
        <w:rPr>
          <w:rFonts w:hint="eastAsia"/>
          <w:lang w:val="fr-FR"/>
        </w:rPr>
        <w:t>40%(31%)</w:t>
      </w:r>
      <w:r>
        <w:rPr>
          <w:rFonts w:hint="eastAsia"/>
          <w:lang w:val="fr-FR"/>
        </w:rPr>
        <w:t>、</w:t>
      </w:r>
      <w:r>
        <w:rPr>
          <w:rFonts w:hint="eastAsia"/>
          <w:lang w:val="fr-FR"/>
        </w:rPr>
        <w:t>62%</w:t>
      </w:r>
      <w:r>
        <w:rPr>
          <w:rFonts w:hint="eastAsia"/>
          <w:lang w:val="fr-FR"/>
        </w:rPr>
        <w:t>和</w:t>
      </w:r>
      <w:r>
        <w:rPr>
          <w:rFonts w:hint="eastAsia"/>
          <w:lang w:val="fr-FR"/>
        </w:rPr>
        <w:t>67%</w:t>
      </w:r>
      <w:r>
        <w:rPr>
          <w:rFonts w:hint="eastAsia"/>
          <w:lang w:val="fr-FR"/>
        </w:rPr>
        <w:t>；计算机拥有比例则为</w:t>
      </w:r>
      <w:r>
        <w:rPr>
          <w:rFonts w:hint="eastAsia"/>
          <w:lang w:val="fr-FR"/>
        </w:rPr>
        <w:t>13%(5%)</w:t>
      </w:r>
      <w:r>
        <w:rPr>
          <w:rFonts w:hint="eastAsia"/>
          <w:lang w:val="fr-FR"/>
        </w:rPr>
        <w:t>、</w:t>
      </w:r>
      <w:r>
        <w:rPr>
          <w:rFonts w:hint="eastAsia"/>
          <w:lang w:val="fr-FR"/>
        </w:rPr>
        <w:t>18%</w:t>
      </w:r>
      <w:r>
        <w:rPr>
          <w:rFonts w:hint="eastAsia"/>
          <w:lang w:val="fr-FR"/>
        </w:rPr>
        <w:t>和</w:t>
      </w:r>
      <w:r>
        <w:rPr>
          <w:rFonts w:hint="eastAsia"/>
          <w:lang w:val="fr-FR"/>
        </w:rPr>
        <w:t>23%</w:t>
      </w:r>
      <w:r>
        <w:rPr>
          <w:rFonts w:hint="eastAsia"/>
          <w:lang w:val="fr-FR"/>
        </w:rPr>
        <w:t>。</w:t>
      </w:r>
    </w:p>
    <w:p w:rsidR="00000000" w:rsidRDefault="00000000">
      <w:pPr>
        <w:pStyle w:val="Heading3"/>
        <w:rPr>
          <w:rFonts w:hint="eastAsia"/>
          <w:lang w:val="fr-FR"/>
        </w:rPr>
      </w:pPr>
      <w:r>
        <w:rPr>
          <w:rFonts w:hint="eastAsia"/>
          <w:lang w:val="fr-FR"/>
        </w:rPr>
        <w:t>匈牙利贫穷状况</w:t>
      </w:r>
    </w:p>
    <w:p w:rsidR="00000000" w:rsidRDefault="00000000">
      <w:pPr>
        <w:ind w:firstLine="510"/>
        <w:rPr>
          <w:rFonts w:hint="eastAsia"/>
          <w:lang w:val="fr-FR"/>
        </w:rPr>
      </w:pPr>
      <w:r>
        <w:rPr>
          <w:rFonts w:hint="eastAsia"/>
          <w:lang w:val="fr-FR"/>
        </w:rPr>
        <w:t xml:space="preserve">352.  </w:t>
      </w:r>
      <w:r>
        <w:rPr>
          <w:rFonts w:hint="eastAsia"/>
          <w:lang w:val="fr-FR"/>
        </w:rPr>
        <w:t>导致匈牙利贫穷率</w:t>
      </w:r>
      <w:r>
        <w:rPr>
          <w:rFonts w:hint="eastAsia"/>
          <w:lang w:val="fr-FR"/>
        </w:rPr>
        <w:t>(</w:t>
      </w:r>
      <w:r>
        <w:rPr>
          <w:rFonts w:hint="eastAsia"/>
          <w:lang w:val="fr-FR"/>
        </w:rPr>
        <w:t>按人头计算</w:t>
      </w:r>
      <w:r>
        <w:rPr>
          <w:rFonts w:hint="eastAsia"/>
          <w:lang w:val="fr-FR"/>
        </w:rPr>
        <w:t>)</w:t>
      </w:r>
      <w:r>
        <w:rPr>
          <w:rFonts w:hint="eastAsia"/>
          <w:lang w:val="fr-FR"/>
        </w:rPr>
        <w:t>上升的因素有两项：总体国民收入的下降和收入分配不均的程度加剧。匈牙利的贫穷是“浅度”贫困：收入高度集中在贫困线附近。因此，收入水平的细小增长或下降都能导致贫困发生率发生重大变化。收入不均的不断加剧也对贫穷率的上升有部分影响。最穷的</w:t>
      </w:r>
      <w:r>
        <w:rPr>
          <w:rFonts w:hint="eastAsia"/>
          <w:lang w:val="fr-FR"/>
        </w:rPr>
        <w:t>10%</w:t>
      </w:r>
      <w:r>
        <w:rPr>
          <w:rFonts w:hint="eastAsia"/>
          <w:lang w:val="fr-FR"/>
        </w:rPr>
        <w:t>人口承受了实际收入的最大下降。</w:t>
      </w:r>
    </w:p>
    <w:p w:rsidR="00000000" w:rsidRDefault="00000000">
      <w:pPr>
        <w:ind w:firstLine="510"/>
        <w:rPr>
          <w:rFonts w:hint="eastAsia"/>
          <w:lang w:val="fr-FR"/>
        </w:rPr>
      </w:pPr>
      <w:r>
        <w:rPr>
          <w:rFonts w:hint="eastAsia"/>
          <w:lang w:val="fr-FR"/>
        </w:rPr>
        <w:t xml:space="preserve">353.  </w:t>
      </w:r>
      <w:r>
        <w:rPr>
          <w:rFonts w:hint="eastAsia"/>
          <w:lang w:val="fr-FR"/>
        </w:rPr>
        <w:t>匈牙利没有官方的或者被广泛使用的贫困线这一概念。社会转移支付体系使用的标准中，只有最低养恤金具有贫困意味。这个指标也被用作不同社会援助方案的基础。</w:t>
      </w:r>
      <w:r>
        <w:rPr>
          <w:rFonts w:hint="eastAsia"/>
          <w:lang w:val="fr-FR"/>
        </w:rPr>
        <w:t>1993</w:t>
      </w:r>
      <w:r>
        <w:rPr>
          <w:rFonts w:hint="eastAsia"/>
          <w:lang w:val="fr-FR"/>
        </w:rPr>
        <w:t>年的最低养恤金只相当于</w:t>
      </w:r>
      <w:r>
        <w:rPr>
          <w:rFonts w:hint="eastAsia"/>
          <w:lang w:val="fr-FR"/>
        </w:rPr>
        <w:t>1989</w:t>
      </w:r>
      <w:r>
        <w:rPr>
          <w:rFonts w:hint="eastAsia"/>
          <w:lang w:val="fr-FR"/>
        </w:rPr>
        <w:t>年实际价值的</w:t>
      </w:r>
      <w:r>
        <w:rPr>
          <w:rFonts w:hint="eastAsia"/>
          <w:lang w:val="fr-FR"/>
        </w:rPr>
        <w:t>73%</w:t>
      </w:r>
      <w:r>
        <w:rPr>
          <w:rFonts w:hint="eastAsia"/>
          <w:lang w:val="fr-FR"/>
        </w:rPr>
        <w:t>，在本文的分析中该概念被用于确定匈牙利最穷的人员。匈牙利历来习惯使用相对贫困线，这一概念常被设定为平均收入</w:t>
      </w:r>
      <w:r>
        <w:rPr>
          <w:rFonts w:hint="eastAsia"/>
          <w:lang w:val="fr-FR"/>
        </w:rPr>
        <w:t>/</w:t>
      </w:r>
      <w:r>
        <w:rPr>
          <w:rFonts w:hint="eastAsia"/>
          <w:lang w:val="fr-FR"/>
        </w:rPr>
        <w:t>支出分数</w:t>
      </w:r>
      <w:r>
        <w:rPr>
          <w:rFonts w:hint="eastAsia"/>
          <w:lang w:val="fr-FR"/>
        </w:rPr>
        <w:t>(1/3,1/2,2/3)</w:t>
      </w:r>
      <w:r>
        <w:rPr>
          <w:rFonts w:hint="eastAsia"/>
          <w:lang w:val="fr-FR"/>
        </w:rPr>
        <w:t>。</w:t>
      </w:r>
    </w:p>
    <w:p w:rsidR="00000000" w:rsidRDefault="00000000">
      <w:pPr>
        <w:ind w:firstLine="510"/>
        <w:rPr>
          <w:rFonts w:hint="eastAsia"/>
          <w:lang w:val="fr-FR"/>
        </w:rPr>
      </w:pPr>
      <w:r>
        <w:rPr>
          <w:rFonts w:hint="eastAsia"/>
          <w:lang w:val="fr-FR"/>
        </w:rPr>
        <w:t xml:space="preserve">354.  </w:t>
      </w:r>
      <w:r>
        <w:rPr>
          <w:rFonts w:hint="eastAsia"/>
          <w:lang w:val="fr-FR"/>
        </w:rPr>
        <w:t>来自就业、自营职业和企业经营的收入</w:t>
      </w:r>
      <w:r>
        <w:rPr>
          <w:rFonts w:hint="eastAsia"/>
          <w:lang w:val="fr-FR"/>
        </w:rPr>
        <w:t>(</w:t>
      </w:r>
      <w:r>
        <w:rPr>
          <w:rFonts w:hint="eastAsia"/>
          <w:lang w:val="fr-FR"/>
        </w:rPr>
        <w:t>但主要是工资收入</w:t>
      </w:r>
      <w:r>
        <w:rPr>
          <w:rFonts w:hint="eastAsia"/>
          <w:lang w:val="fr-FR"/>
        </w:rPr>
        <w:t>)</w:t>
      </w:r>
      <w:r>
        <w:rPr>
          <w:rFonts w:hint="eastAsia"/>
          <w:lang w:val="fr-FR"/>
        </w:rPr>
        <w:t>是个人和家庭的主要收入来源。在家庭收入来源中，就业收入</w:t>
      </w:r>
      <w:r>
        <w:rPr>
          <w:rFonts w:hint="eastAsia"/>
          <w:lang w:val="fr-FR"/>
        </w:rPr>
        <w:t>(</w:t>
      </w:r>
      <w:r>
        <w:rPr>
          <w:rFonts w:hint="eastAsia"/>
          <w:lang w:val="fr-FR"/>
        </w:rPr>
        <w:t>工资</w:t>
      </w:r>
      <w:r>
        <w:rPr>
          <w:rFonts w:hint="eastAsia"/>
          <w:lang w:val="fr-FR"/>
        </w:rPr>
        <w:t>)</w:t>
      </w:r>
      <w:r>
        <w:rPr>
          <w:rFonts w:hint="eastAsia"/>
          <w:lang w:val="fr-FR"/>
        </w:rPr>
        <w:t>的分布是最不均衡的，其收入组离差在转型年间显著扩大。</w:t>
      </w:r>
      <w:r>
        <w:rPr>
          <w:rFonts w:hint="eastAsia"/>
          <w:lang w:val="fr-FR"/>
        </w:rPr>
        <w:t>1989</w:t>
      </w:r>
      <w:r>
        <w:rPr>
          <w:rFonts w:hint="eastAsia"/>
          <w:lang w:val="fr-FR"/>
        </w:rPr>
        <w:t>年至</w:t>
      </w:r>
      <w:r>
        <w:rPr>
          <w:rFonts w:hint="eastAsia"/>
          <w:lang w:val="fr-FR"/>
        </w:rPr>
        <w:t>1993</w:t>
      </w:r>
      <w:r>
        <w:rPr>
          <w:rFonts w:hint="eastAsia"/>
          <w:lang w:val="fr-FR"/>
        </w:rPr>
        <w:t>年间，劳动力总收入的下降和国内生产总值的下降几乎差不多，但是这种下降更多是失业因素造成，而不是实际工资的下降。因此，拥有一份稳定工作的人生活得相当不错，尤其是从事正规部门工作就有可能从事第二职业，多一份收入来源。私营部门公司</w:t>
      </w:r>
      <w:r>
        <w:rPr>
          <w:rFonts w:hint="eastAsia"/>
          <w:lang w:val="fr-FR"/>
        </w:rPr>
        <w:t>(</w:t>
      </w:r>
      <w:r>
        <w:rPr>
          <w:rFonts w:hint="eastAsia"/>
          <w:lang w:val="fr-FR"/>
        </w:rPr>
        <w:t>通常与外国投资有关</w:t>
      </w:r>
      <w:r>
        <w:rPr>
          <w:rFonts w:hint="eastAsia"/>
          <w:lang w:val="fr-FR"/>
        </w:rPr>
        <w:t>)</w:t>
      </w:r>
      <w:r>
        <w:rPr>
          <w:rFonts w:hint="eastAsia"/>
          <w:lang w:val="fr-FR"/>
        </w:rPr>
        <w:t>内受过高等教育的职工，获得了巨大的实际工资收益。相反，教育程度较低、半技术工人和公务员实际工资出现下降。但是，受到经济转型影响最严重的是失业者、临时工、依靠国家支助长期在家看护儿童的人以及干脆从劳动力大军中退出的人</w:t>
      </w:r>
      <w:r>
        <w:rPr>
          <w:rFonts w:hint="eastAsia"/>
          <w:lang w:val="fr-FR"/>
        </w:rPr>
        <w:t>(</w:t>
      </w:r>
      <w:r>
        <w:rPr>
          <w:rFonts w:hint="eastAsia"/>
          <w:lang w:val="fr-FR"/>
        </w:rPr>
        <w:t>很多情况下依赖于残疾养恤金</w:t>
      </w:r>
      <w:r>
        <w:rPr>
          <w:rFonts w:hint="eastAsia"/>
          <w:lang w:val="fr-FR"/>
        </w:rPr>
        <w:t>)</w:t>
      </w:r>
      <w:r>
        <w:rPr>
          <w:rFonts w:hint="eastAsia"/>
          <w:lang w:val="fr-FR"/>
        </w:rPr>
        <w:t>。他们基本上已经没有能力获得稳定工资收入。</w:t>
      </w:r>
    </w:p>
    <w:p w:rsidR="00000000" w:rsidRDefault="00000000">
      <w:pPr>
        <w:ind w:firstLine="510"/>
        <w:rPr>
          <w:rFonts w:hint="eastAsia"/>
          <w:lang w:val="fr-FR"/>
        </w:rPr>
      </w:pPr>
      <w:r>
        <w:rPr>
          <w:rFonts w:hint="eastAsia"/>
          <w:lang w:val="fr-FR"/>
        </w:rPr>
        <w:t xml:space="preserve">355.  </w:t>
      </w:r>
      <w:r>
        <w:rPr>
          <w:rFonts w:hint="eastAsia"/>
          <w:lang w:val="fr-FR"/>
        </w:rPr>
        <w:t>在社会—经济群体中，最穷的家庭都是户主失业、暂时失业或依靠儿童保育福利作为收入的主要来源，这些家庭约占人口的</w:t>
      </w:r>
      <w:r>
        <w:rPr>
          <w:rFonts w:hint="eastAsia"/>
          <w:lang w:val="fr-FR"/>
        </w:rPr>
        <w:t>5%</w:t>
      </w:r>
      <w:r>
        <w:rPr>
          <w:rFonts w:hint="eastAsia"/>
          <w:lang w:val="fr-FR"/>
        </w:rPr>
        <w:t>。大约五分之一这样的家庭生活在最低养恤金水平之下。领取养恤金的人中，贫穷水平略高于平均数，但这个现象并不严重。但是，独自一人生活领取养老金的老年女性处于最穷的人之中。在受到失业影响的家庭中，户主失业的家庭要比其他成员失业的家庭更穷一些。如果户主失业，并领不到任何失业保险福利，贫困的发生率很高：超过</w:t>
      </w:r>
      <w:r>
        <w:rPr>
          <w:rFonts w:hint="eastAsia"/>
          <w:lang w:val="fr-FR"/>
        </w:rPr>
        <w:t>40%</w:t>
      </w:r>
      <w:r>
        <w:rPr>
          <w:rFonts w:hint="eastAsia"/>
          <w:lang w:val="fr-FR"/>
        </w:rPr>
        <w:t>的此类家庭生活在最低养恤金水平之下。</w:t>
      </w:r>
    </w:p>
    <w:p w:rsidR="00000000" w:rsidRDefault="00000000">
      <w:pPr>
        <w:ind w:firstLine="510"/>
        <w:rPr>
          <w:rFonts w:hint="eastAsia"/>
          <w:lang w:val="fr-FR"/>
        </w:rPr>
      </w:pPr>
      <w:r>
        <w:rPr>
          <w:rFonts w:hint="eastAsia"/>
          <w:lang w:val="fr-FR"/>
        </w:rPr>
        <w:t xml:space="preserve">356.  </w:t>
      </w:r>
      <w:r>
        <w:rPr>
          <w:rFonts w:hint="eastAsia"/>
          <w:lang w:val="fr-FR"/>
        </w:rPr>
        <w:t>从人口统计的角度来看，只有一个或两个子女的家庭贫困发生率最低。贫困发生率随着子女的增加而逐步上升，有着两个成人和四个或四个以上子女的家庭以及三个成人和三个或三个以上子女的家庭尤其贫困。在这些家庭中，五分之一生活在最低养恤金水平之下。贫困儿童主要生活在乡村以及家长受教育程度差而且至多打些零工的家庭中。这表明了贫穷有代代相传的倾向。匈牙利贫穷现象的生命周期形态呈正态</w:t>
      </w:r>
      <w:r>
        <w:rPr>
          <w:rFonts w:hint="eastAsia"/>
          <w:lang w:val="fr-FR"/>
        </w:rPr>
        <w:t>U</w:t>
      </w:r>
      <w:r>
        <w:rPr>
          <w:rFonts w:hint="eastAsia"/>
          <w:lang w:val="fr-FR"/>
        </w:rPr>
        <w:t>型反转分布，但是年轻人的年龄效应大于老年人，这反映了养恤金领取者享有相关福利以及年轻人失业率高。贫穷现象中存在显著的性别差异。以女性为户主的家庭要更贫穷一些，尤其是抚养儿童的单亲家庭。</w:t>
      </w:r>
    </w:p>
    <w:p w:rsidR="00000000" w:rsidRDefault="00000000">
      <w:pPr>
        <w:ind w:firstLine="510"/>
        <w:rPr>
          <w:rFonts w:hint="eastAsia"/>
          <w:lang w:val="fr-FR"/>
        </w:rPr>
      </w:pPr>
      <w:r>
        <w:rPr>
          <w:rFonts w:hint="eastAsia"/>
          <w:lang w:val="fr-FR"/>
        </w:rPr>
        <w:t xml:space="preserve">357.  </w:t>
      </w:r>
      <w:r>
        <w:rPr>
          <w:rFonts w:hint="eastAsia"/>
          <w:lang w:val="fr-FR"/>
        </w:rPr>
        <w:t>从地区来看，布达佩斯贫困发生率最低，主要是北部农村和南部平原地区贫困发生率最高。这种不均衡与农村比城市更为贫穷这一研究结果一致。</w:t>
      </w:r>
    </w:p>
    <w:p w:rsidR="00000000" w:rsidRDefault="00000000">
      <w:pPr>
        <w:ind w:firstLine="510"/>
        <w:rPr>
          <w:rFonts w:hint="eastAsia"/>
          <w:lang w:val="fr-FR"/>
        </w:rPr>
      </w:pPr>
      <w:r>
        <w:rPr>
          <w:rFonts w:hint="eastAsia"/>
          <w:lang w:val="fr-FR"/>
        </w:rPr>
        <w:t xml:space="preserve">358.  </w:t>
      </w:r>
      <w:r>
        <w:rPr>
          <w:rFonts w:hint="eastAsia"/>
          <w:lang w:val="fr-FR"/>
        </w:rPr>
        <w:t>匈牙利提出了一系列</w:t>
      </w:r>
      <w:r>
        <w:rPr>
          <w:rFonts w:hint="eastAsia"/>
          <w:u w:val="single"/>
          <w:lang w:val="fr-FR"/>
        </w:rPr>
        <w:t>现金转移方案</w:t>
      </w:r>
      <w:r>
        <w:rPr>
          <w:rFonts w:hint="eastAsia"/>
          <w:lang w:val="fr-FR"/>
        </w:rPr>
        <w:t>。转移制度包括以保费为基础的社会保险、领取收入补助权和按经济情况调查结果给与的社会援助。</w:t>
      </w:r>
      <w:r>
        <w:rPr>
          <w:rFonts w:hint="eastAsia"/>
          <w:lang w:val="fr-FR"/>
        </w:rPr>
        <w:t>1993</w:t>
      </w:r>
      <w:r>
        <w:rPr>
          <w:rFonts w:hint="eastAsia"/>
          <w:lang w:val="fr-FR"/>
        </w:rPr>
        <w:t>年，匈牙利广泛存在现金转移，受益者不少于</w:t>
      </w:r>
      <w:r>
        <w:rPr>
          <w:rFonts w:hint="eastAsia"/>
          <w:lang w:val="fr-FR"/>
        </w:rPr>
        <w:t>700</w:t>
      </w:r>
      <w:r>
        <w:rPr>
          <w:rFonts w:hint="eastAsia"/>
          <w:lang w:val="fr-FR"/>
        </w:rPr>
        <w:t>万人和</w:t>
      </w:r>
      <w:r>
        <w:rPr>
          <w:rFonts w:hint="eastAsia"/>
          <w:lang w:val="fr-FR"/>
        </w:rPr>
        <w:t>91%</w:t>
      </w:r>
      <w:r>
        <w:rPr>
          <w:rFonts w:hint="eastAsia"/>
          <w:lang w:val="fr-FR"/>
        </w:rPr>
        <w:t>的家庭。在研究调查的六项转移中，受惠于养恤金、家庭津贴和社会援助的家庭数量最多。</w:t>
      </w:r>
      <w:r>
        <w:rPr>
          <w:rFonts w:hint="eastAsia"/>
          <w:lang w:val="fr-FR"/>
        </w:rPr>
        <w:t>52%</w:t>
      </w:r>
      <w:r>
        <w:rPr>
          <w:rFonts w:hint="eastAsia"/>
          <w:lang w:val="fr-FR"/>
        </w:rPr>
        <w:t>的家庭领取养恤金，</w:t>
      </w:r>
      <w:r>
        <w:rPr>
          <w:rFonts w:hint="eastAsia"/>
          <w:lang w:val="fr-FR"/>
        </w:rPr>
        <w:t>44%</w:t>
      </w:r>
      <w:r>
        <w:rPr>
          <w:rFonts w:hint="eastAsia"/>
          <w:lang w:val="fr-FR"/>
        </w:rPr>
        <w:t>的家庭领取家庭津贴。最令人震惊的研究结果是各家庭的现金转移总值非常一致。</w:t>
      </w:r>
      <w:r>
        <w:rPr>
          <w:rFonts w:hint="eastAsia"/>
          <w:lang w:val="fr-FR"/>
        </w:rPr>
        <w:t>(</w:t>
      </w:r>
      <w:r>
        <w:rPr>
          <w:rFonts w:hint="eastAsia"/>
          <w:lang w:val="fr-FR"/>
        </w:rPr>
        <w:t>养恤金和家庭津贴等方案的这种效果并不出乎意料，但因为基于这些方案的设计意图，采用了例如社会援助等视经济情况调查结果而定的方案就不应当产生这样均衡的分布。</w:t>
      </w:r>
      <w:r>
        <w:rPr>
          <w:rFonts w:hint="eastAsia"/>
          <w:lang w:val="fr-FR"/>
        </w:rPr>
        <w:t>)</w:t>
      </w:r>
    </w:p>
    <w:p w:rsidR="00000000" w:rsidRDefault="00000000">
      <w:pPr>
        <w:ind w:firstLine="510"/>
        <w:rPr>
          <w:rFonts w:hint="eastAsia"/>
          <w:lang w:val="fr-FR"/>
        </w:rPr>
      </w:pPr>
      <w:r>
        <w:rPr>
          <w:rFonts w:hint="eastAsia"/>
          <w:lang w:val="fr-FR"/>
        </w:rPr>
        <w:t xml:space="preserve">359.  </w:t>
      </w:r>
      <w:r>
        <w:rPr>
          <w:rFonts w:hint="eastAsia"/>
          <w:lang w:val="fr-FR"/>
        </w:rPr>
        <w:t>在转型年间，劳动收入在家庭可支配总收入中的比例已经下降，总体而言，在整个</w:t>
      </w:r>
      <w:r>
        <w:rPr>
          <w:rFonts w:hint="eastAsia"/>
          <w:lang w:val="fr-FR"/>
        </w:rPr>
        <w:t>1993</w:t>
      </w:r>
      <w:r>
        <w:rPr>
          <w:rFonts w:hint="eastAsia"/>
          <w:lang w:val="fr-FR"/>
        </w:rPr>
        <w:t>年维持了实际价值的社会现金转移变得更加重要。</w:t>
      </w:r>
      <w:r>
        <w:rPr>
          <w:rFonts w:hint="eastAsia"/>
          <w:lang w:val="fr-FR"/>
        </w:rPr>
        <w:t>1993</w:t>
      </w:r>
      <w:r>
        <w:rPr>
          <w:rFonts w:hint="eastAsia"/>
          <w:lang w:val="fr-FR"/>
        </w:rPr>
        <w:t>年，现金转移提供了</w:t>
      </w:r>
      <w:r>
        <w:rPr>
          <w:rFonts w:hint="eastAsia"/>
          <w:lang w:val="fr-FR"/>
        </w:rPr>
        <w:t>38%</w:t>
      </w:r>
      <w:r>
        <w:rPr>
          <w:rFonts w:hint="eastAsia"/>
          <w:lang w:val="fr-FR"/>
        </w:rPr>
        <w:t>的家庭总收入，占国内生产总值的</w:t>
      </w:r>
      <w:r>
        <w:rPr>
          <w:rFonts w:hint="eastAsia"/>
          <w:lang w:val="fr-FR"/>
        </w:rPr>
        <w:t>20%</w:t>
      </w:r>
      <w:r>
        <w:rPr>
          <w:rFonts w:hint="eastAsia"/>
          <w:lang w:val="fr-FR"/>
        </w:rPr>
        <w:t>。在过去两年中，用于公共支出的现金转移下降，而且领取人数大致保持不变，因此福利金额下降。不同的现金转移在转型期间发挥了不同的作用，有些制度在避免贫穷方面效果更为显著。一般而言，主要因为方案规模和高额支付，和以往工资挂钩并旨在替代工资收入的以保险为基础的社会转移</w:t>
      </w:r>
      <w:r>
        <w:rPr>
          <w:rFonts w:hint="eastAsia"/>
          <w:lang w:val="fr-FR"/>
        </w:rPr>
        <w:t>(</w:t>
      </w:r>
      <w:r>
        <w:rPr>
          <w:rFonts w:hint="eastAsia"/>
          <w:lang w:val="fr-FR"/>
        </w:rPr>
        <w:t>养恤金、失业保险福利和儿童保育费用</w:t>
      </w:r>
      <w:r>
        <w:rPr>
          <w:rFonts w:hint="eastAsia"/>
          <w:lang w:val="fr-FR"/>
        </w:rPr>
        <w:t>)</w:t>
      </w:r>
      <w:r>
        <w:rPr>
          <w:rFonts w:hint="eastAsia"/>
          <w:lang w:val="fr-FR"/>
        </w:rPr>
        <w:t>在维持收入方面最为有效。</w:t>
      </w:r>
      <w:r>
        <w:rPr>
          <w:rFonts w:hint="eastAsia"/>
          <w:lang w:val="fr-FR"/>
        </w:rPr>
        <w:t>(</w:t>
      </w:r>
      <w:r>
        <w:rPr>
          <w:rFonts w:hint="eastAsia"/>
          <w:lang w:val="fr-FR"/>
        </w:rPr>
        <w:t>仅这些转移就达到了国内生产总值的</w:t>
      </w:r>
      <w:r>
        <w:rPr>
          <w:rFonts w:hint="eastAsia"/>
          <w:lang w:val="fr-FR"/>
        </w:rPr>
        <w:t>15%</w:t>
      </w:r>
      <w:r>
        <w:rPr>
          <w:rFonts w:hint="eastAsia"/>
          <w:lang w:val="fr-FR"/>
        </w:rPr>
        <w:t>。</w:t>
      </w:r>
      <w:r>
        <w:rPr>
          <w:rFonts w:hint="eastAsia"/>
          <w:lang w:val="fr-FR"/>
        </w:rPr>
        <w:t>)</w:t>
      </w:r>
      <w:r>
        <w:rPr>
          <w:rFonts w:hint="eastAsia"/>
          <w:lang w:val="fr-FR"/>
        </w:rPr>
        <w:t>社会援助主要由于目标不明确，而且对于最需要的人来说转移金额不足，因此在减贫方面效果略逊。</w:t>
      </w:r>
    </w:p>
    <w:p w:rsidR="00000000" w:rsidRDefault="00000000">
      <w:pPr>
        <w:ind w:firstLine="510"/>
        <w:rPr>
          <w:rFonts w:hint="eastAsia"/>
          <w:color w:val="FF0000"/>
          <w:lang w:val="fr-FR"/>
        </w:rPr>
      </w:pPr>
      <w:r>
        <w:rPr>
          <w:rFonts w:hint="eastAsia"/>
          <w:lang w:val="fr-FR"/>
        </w:rPr>
        <w:t xml:space="preserve">360.  </w:t>
      </w:r>
      <w:r>
        <w:rPr>
          <w:rFonts w:hint="eastAsia"/>
          <w:lang w:val="fr-FR"/>
        </w:rPr>
        <w:t>从静态的角度来看，现金转移避免了很多家庭陷入贫穷。实际上，现金转移使得约</w:t>
      </w:r>
      <w:r>
        <w:rPr>
          <w:rFonts w:hint="eastAsia"/>
          <w:lang w:val="fr-FR"/>
        </w:rPr>
        <w:t>60%</w:t>
      </w:r>
      <w:r>
        <w:rPr>
          <w:rFonts w:hint="eastAsia"/>
          <w:lang w:val="fr-FR"/>
        </w:rPr>
        <w:t>的家庭维持在平均家庭开支的三分之二上，如果养恤金不计算在内，则是</w:t>
      </w:r>
      <w:r>
        <w:rPr>
          <w:rFonts w:hint="eastAsia"/>
          <w:lang w:val="fr-FR"/>
        </w:rPr>
        <w:t>45%</w:t>
      </w:r>
      <w:r>
        <w:rPr>
          <w:rFonts w:hint="eastAsia"/>
          <w:lang w:val="fr-FR"/>
        </w:rPr>
        <w:t>。另一方面，由于现金转移的分布范围广，对于需求</w:t>
      </w:r>
      <w:r>
        <w:rPr>
          <w:rFonts w:hint="eastAsia"/>
          <w:lang w:val="fr-FR"/>
        </w:rPr>
        <w:t>(</w:t>
      </w:r>
      <w:r>
        <w:rPr>
          <w:rFonts w:hint="eastAsia"/>
          <w:lang w:val="fr-FR"/>
        </w:rPr>
        <w:t>或家庭收入水平</w:t>
      </w:r>
      <w:r>
        <w:rPr>
          <w:rFonts w:hint="eastAsia"/>
          <w:lang w:val="fr-FR"/>
        </w:rPr>
        <w:t>)</w:t>
      </w:r>
      <w:r>
        <w:rPr>
          <w:rFonts w:hint="eastAsia"/>
          <w:lang w:val="fr-FR"/>
        </w:rPr>
        <w:t>比较</w:t>
      </w:r>
      <w:r>
        <w:rPr>
          <w:rFonts w:hint="eastAsia"/>
          <w:lang w:val="fr-FR"/>
        </w:rPr>
        <w:t xml:space="preserve"> </w:t>
      </w:r>
      <w:r>
        <w:rPr>
          <w:rFonts w:hint="eastAsia"/>
          <w:lang w:val="fr-FR"/>
        </w:rPr>
        <w:t>“视而不见”，现金转移使得许多接受转移的家庭仍处于贫困之中。超过四分之一接受社会转移的家庭仍生活在贫困线下。</w:t>
      </w:r>
    </w:p>
    <w:p w:rsidR="00000000" w:rsidRDefault="00000000">
      <w:pPr>
        <w:ind w:firstLine="510"/>
        <w:rPr>
          <w:rFonts w:hint="eastAsia"/>
          <w:lang w:val="fr-FR"/>
        </w:rPr>
      </w:pPr>
      <w:r>
        <w:rPr>
          <w:rFonts w:hint="eastAsia"/>
          <w:lang w:val="fr-FR"/>
        </w:rPr>
        <w:t xml:space="preserve">361.  </w:t>
      </w:r>
      <w:r>
        <w:rPr>
          <w:rFonts w:hint="eastAsia"/>
          <w:lang w:val="fr-FR"/>
        </w:rPr>
        <w:t>出于稳定宏观经济不久前和现在都需要缩减开支，而现金转移却与这样的事实背道而驰。相当令人感兴趣的问题是，现金转移在何种程度上可以成为比较有效的减贫工具。</w:t>
      </w:r>
      <w:r>
        <w:rPr>
          <w:rFonts w:hint="eastAsia"/>
          <w:lang w:val="fr-FR"/>
        </w:rPr>
        <w:t>(</w:t>
      </w:r>
      <w:r>
        <w:rPr>
          <w:rFonts w:hint="eastAsia"/>
          <w:lang w:val="fr-FR"/>
        </w:rPr>
        <w:t>现金转移据承认还有别的重要目标。</w:t>
      </w:r>
      <w:r>
        <w:rPr>
          <w:rFonts w:hint="eastAsia"/>
          <w:lang w:val="fr-FR"/>
        </w:rPr>
        <w:t>)</w:t>
      </w:r>
      <w:r>
        <w:rPr>
          <w:rFonts w:hint="eastAsia"/>
          <w:lang w:val="fr-FR"/>
        </w:rPr>
        <w:t>很显然现金转移可以帮助穷人做更多的事情。但是，两个根本方面阻碍了更有效的减贫：</w:t>
      </w:r>
    </w:p>
    <w:p w:rsidR="00000000" w:rsidRDefault="00000000">
      <w:pPr>
        <w:pStyle w:val="a0"/>
        <w:ind w:left="1550"/>
        <w:rPr>
          <w:rFonts w:hint="eastAsia"/>
          <w:lang w:val="fr-FR"/>
        </w:rPr>
      </w:pPr>
      <w:r>
        <w:rPr>
          <w:rFonts w:hint="eastAsia"/>
          <w:lang w:val="fr-FR"/>
        </w:rPr>
        <w:t>受益者太多，但是也存在无意识的排斥，主要是由于酌情决定</w:t>
      </w:r>
      <w:r>
        <w:rPr>
          <w:rFonts w:hint="eastAsia"/>
          <w:lang w:val="fr-FR"/>
        </w:rPr>
        <w:t>(</w:t>
      </w:r>
      <w:r>
        <w:rPr>
          <w:rFonts w:hint="eastAsia"/>
          <w:lang w:val="fr-FR"/>
        </w:rPr>
        <w:t>社会援助</w:t>
      </w:r>
      <w:r>
        <w:rPr>
          <w:rFonts w:hint="eastAsia"/>
          <w:lang w:val="fr-FR"/>
        </w:rPr>
        <w:t>)</w:t>
      </w:r>
      <w:r>
        <w:rPr>
          <w:rFonts w:hint="eastAsia"/>
          <w:lang w:val="fr-FR"/>
        </w:rPr>
        <w:t>的方案。方案如果目标更为集中</w:t>
      </w:r>
      <w:r>
        <w:rPr>
          <w:rFonts w:hint="eastAsia"/>
          <w:lang w:val="fr-FR"/>
        </w:rPr>
        <w:t>(</w:t>
      </w:r>
      <w:r>
        <w:rPr>
          <w:rFonts w:hint="eastAsia"/>
          <w:lang w:val="fr-FR"/>
        </w:rPr>
        <w:t>更具有针对性</w:t>
      </w:r>
      <w:r>
        <w:rPr>
          <w:rFonts w:hint="eastAsia"/>
          <w:lang w:val="fr-FR"/>
        </w:rPr>
        <w:t>)</w:t>
      </w:r>
      <w:r>
        <w:rPr>
          <w:rFonts w:hint="eastAsia"/>
          <w:lang w:val="fr-FR"/>
        </w:rPr>
        <w:t>，就会很好发挥作用。</w:t>
      </w:r>
    </w:p>
    <w:p w:rsidR="00000000" w:rsidRDefault="00000000">
      <w:pPr>
        <w:pStyle w:val="a0"/>
        <w:spacing w:after="320"/>
        <w:ind w:left="1550"/>
        <w:rPr>
          <w:rFonts w:hint="eastAsia"/>
          <w:lang w:val="fr-FR"/>
        </w:rPr>
      </w:pPr>
      <w:r>
        <w:rPr>
          <w:rFonts w:hint="eastAsia"/>
          <w:lang w:val="fr-FR"/>
        </w:rPr>
        <w:t>由于受益者数量众多，而且分布均匀</w:t>
      </w:r>
      <w:r>
        <w:rPr>
          <w:rFonts w:hint="eastAsia"/>
          <w:lang w:val="fr-FR"/>
        </w:rPr>
        <w:t>(</w:t>
      </w:r>
      <w:r>
        <w:rPr>
          <w:rFonts w:hint="eastAsia"/>
          <w:lang w:val="fr-FR"/>
        </w:rPr>
        <w:t>在家庭收入方面</w:t>
      </w:r>
      <w:r>
        <w:rPr>
          <w:rFonts w:hint="eastAsia"/>
          <w:lang w:val="fr-FR"/>
        </w:rPr>
        <w:t>)</w:t>
      </w:r>
      <w:r>
        <w:rPr>
          <w:rFonts w:hint="eastAsia"/>
          <w:lang w:val="fr-FR"/>
        </w:rPr>
        <w:t>，最需要现金转移的情况得到的数额往往不够。以前收入几乎没有差别，支付同样的福利是合情合理的，而现在的福利基本没有对此重新进行调整。今后不会再这样，福利水平需要更仔细地和需求挂钩。</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除贫战略</w:t>
      </w:r>
      <w:r>
        <w:rPr>
          <w:rFonts w:hint="eastAsia"/>
          <w:snapToGrid/>
          <w:spacing w:val="-50"/>
          <w:u w:val="none"/>
        </w:rPr>
        <w:t>―</w:t>
      </w:r>
      <w:r>
        <w:rPr>
          <w:rFonts w:hint="eastAsia"/>
          <w:snapToGrid/>
          <w:u w:val="none"/>
        </w:rPr>
        <w:t>―</w:t>
      </w:r>
      <w:r>
        <w:rPr>
          <w:rFonts w:eastAsia="KaiTi_GB2312" w:hint="eastAsia"/>
          <w:snapToGrid/>
          <w:spacing w:val="0"/>
          <w:u w:val="none"/>
          <w:lang w:val="fr-FR"/>
        </w:rPr>
        <w:t>改革社会转移体系</w:t>
      </w:r>
    </w:p>
    <w:p w:rsidR="00000000" w:rsidRDefault="00000000">
      <w:pPr>
        <w:ind w:firstLine="510"/>
        <w:rPr>
          <w:rFonts w:hint="eastAsia"/>
          <w:lang w:val="fr-FR"/>
        </w:rPr>
      </w:pPr>
      <w:r>
        <w:rPr>
          <w:rFonts w:hint="eastAsia"/>
          <w:lang w:val="fr-FR"/>
        </w:rPr>
        <w:t xml:space="preserve">362.  </w:t>
      </w:r>
      <w:r>
        <w:rPr>
          <w:rFonts w:hint="eastAsia"/>
          <w:lang w:val="fr-FR"/>
        </w:rPr>
        <w:t>处理浅度贫困：对于浅度贫困现象，恰当的回应政策非常复杂，因为处于这一贫穷类别的人员属于不同群体</w:t>
      </w:r>
      <w:r>
        <w:rPr>
          <w:rFonts w:hint="eastAsia"/>
          <w:spacing w:val="-50"/>
          <w:lang w:val="fr-FR"/>
        </w:rPr>
        <w:t>―</w:t>
      </w:r>
      <w:r>
        <w:rPr>
          <w:rFonts w:hint="eastAsia"/>
          <w:lang w:val="fr-FR"/>
        </w:rPr>
        <w:t>―包括一些养恤金领取者、低工资职工、一些失业人员和子女众多的家庭。对每一个群体的恰当对策各有不同。此外，有证据表明陷入和脱离浅层贫困人员</w:t>
      </w:r>
      <w:r>
        <w:rPr>
          <w:rFonts w:hint="eastAsia"/>
          <w:lang w:val="fr-FR"/>
        </w:rPr>
        <w:t>(</w:t>
      </w:r>
      <w:r>
        <w:rPr>
          <w:rFonts w:hint="eastAsia"/>
          <w:lang w:val="fr-FR"/>
        </w:rPr>
        <w:t>家庭</w:t>
      </w:r>
      <w:r>
        <w:rPr>
          <w:rFonts w:hint="eastAsia"/>
          <w:lang w:val="fr-FR"/>
        </w:rPr>
        <w:t>)</w:t>
      </w:r>
      <w:r>
        <w:rPr>
          <w:rFonts w:hint="eastAsia"/>
          <w:lang w:val="fr-FR"/>
        </w:rPr>
        <w:t>的幅度非常大，比较接近贫困线的收入彼此非常接近。在这个收入水平上对人员进行区分几乎没有任何作用。</w:t>
      </w:r>
    </w:p>
    <w:p w:rsidR="00000000" w:rsidRDefault="00000000">
      <w:pPr>
        <w:ind w:firstLine="510"/>
        <w:rPr>
          <w:rFonts w:hint="eastAsia"/>
          <w:lang w:val="fr-FR"/>
        </w:rPr>
      </w:pPr>
      <w:r>
        <w:rPr>
          <w:lang w:val="fr-FR"/>
        </w:rPr>
        <w:t xml:space="preserve">363.  </w:t>
      </w:r>
      <w:r>
        <w:rPr>
          <w:rFonts w:hint="eastAsia"/>
          <w:lang w:val="fr-FR"/>
        </w:rPr>
        <w:t>对于这一收入区间的大部分人员而言，恢复经济增长、创造新职位以及建立基于生产力的实际工资增长是有效的解决办法。除了在劳动力市场上从事经济活动的人员可以受益以外，这些方法或许可以使得失业人员重返就业者队伍并以此为收入基础缴纳较高的到期即付养恤金。但是，在这些方法之外，对于大家庭来说，他们需要以现金转移革新制度为形式的具体政策干预。</w:t>
      </w:r>
    </w:p>
    <w:p w:rsidR="00000000" w:rsidRDefault="00000000">
      <w:pPr>
        <w:ind w:firstLine="510"/>
        <w:rPr>
          <w:rFonts w:hint="eastAsia"/>
          <w:lang w:val="fr-FR"/>
        </w:rPr>
      </w:pPr>
      <w:r>
        <w:rPr>
          <w:rFonts w:hint="eastAsia"/>
          <w:lang w:val="fr-FR"/>
        </w:rPr>
        <w:t xml:space="preserve">364.  </w:t>
      </w:r>
      <w:r>
        <w:rPr>
          <w:rFonts w:hint="eastAsia"/>
          <w:lang w:val="fr-FR"/>
        </w:rPr>
        <w:t>有三个或三个以上子女的家庭这一人口组在浅度贫困中的比例过大。子女的数量和户主的教育程度差以及劳动力市场地位低下紧密相关。因此，子女的数量也可以代表其他和贫穷紧密相关但较难作为目标特征的变量。家庭中子女多、教育程度差与劳动力市场地位低下之间的互相影响使得贫穷代代相传。这样的家庭作为一个贫穷群体应当被列入匈牙利政策制定者优先名单的前列。</w:t>
      </w:r>
    </w:p>
    <w:p w:rsidR="00000000" w:rsidRDefault="00000000">
      <w:pPr>
        <w:ind w:firstLine="510"/>
        <w:rPr>
          <w:rFonts w:hint="eastAsia"/>
          <w:lang w:val="fr-FR"/>
        </w:rPr>
      </w:pPr>
      <w:r>
        <w:rPr>
          <w:rFonts w:hint="eastAsia"/>
          <w:lang w:val="fr-FR"/>
        </w:rPr>
        <w:t xml:space="preserve">365.  </w:t>
      </w:r>
      <w:r>
        <w:rPr>
          <w:rFonts w:hint="eastAsia"/>
          <w:lang w:val="fr-FR"/>
        </w:rPr>
        <w:t>家庭津贴是用于避免因子女产生贫穷的主要现金转移方案；很显然，近年来家庭津贴对于这个目标做出了重要贡献。然而，以往的研究表明家庭津贴可以做得更多，对于改善其目标性也收到了不少建议。</w:t>
      </w:r>
      <w:r>
        <w:rPr>
          <w:rFonts w:hint="eastAsia"/>
          <w:lang w:val="fr-FR"/>
        </w:rPr>
        <w:t>(</w:t>
      </w:r>
      <w:r>
        <w:rPr>
          <w:rFonts w:hint="eastAsia"/>
          <w:lang w:val="fr-FR"/>
        </w:rPr>
        <w:t>这些建议集中于：对家庭津贴征税、借助分类指标确定目标、使用视经济情况调查结果而定的办法以及这些方法的结合运用。</w:t>
      </w:r>
      <w:r>
        <w:rPr>
          <w:rFonts w:hint="eastAsia"/>
          <w:lang w:val="fr-FR"/>
        </w:rPr>
        <w:t>)</w:t>
      </w:r>
      <w:r>
        <w:rPr>
          <w:rFonts w:hint="eastAsia"/>
          <w:lang w:val="fr-FR"/>
        </w:rPr>
        <w:t>家庭津贴在减贫方面远可以发挥更为关键的作用。更有效的确定家庭津贴目标这可以实质性地减少较高贫困线下的贫穷现象。</w:t>
      </w:r>
    </w:p>
    <w:p w:rsidR="00000000" w:rsidRDefault="00000000">
      <w:pPr>
        <w:ind w:firstLine="510"/>
        <w:rPr>
          <w:rFonts w:hint="eastAsia"/>
          <w:lang w:val="fr-FR"/>
        </w:rPr>
      </w:pPr>
      <w:r>
        <w:rPr>
          <w:rFonts w:hint="eastAsia"/>
          <w:lang w:val="fr-FR"/>
        </w:rPr>
        <w:t>366.  1995</w:t>
      </w:r>
      <w:r>
        <w:rPr>
          <w:rFonts w:hint="eastAsia"/>
          <w:lang w:val="fr-FR"/>
        </w:rPr>
        <w:t>年国会通过的措施</w:t>
      </w:r>
      <w:r>
        <w:rPr>
          <w:rFonts w:hint="eastAsia"/>
          <w:lang w:val="fr-FR"/>
        </w:rPr>
        <w:t>(</w:t>
      </w:r>
      <w:r>
        <w:rPr>
          <w:rFonts w:hint="eastAsia"/>
          <w:lang w:val="fr-FR"/>
        </w:rPr>
        <w:t>《第一百二十二号法令》</w:t>
      </w:r>
      <w:r>
        <w:rPr>
          <w:rFonts w:hint="eastAsia"/>
          <w:lang w:val="fr-FR"/>
        </w:rPr>
        <w:t>)</w:t>
      </w:r>
      <w:r>
        <w:rPr>
          <w:rFonts w:hint="eastAsia"/>
          <w:lang w:val="fr-FR"/>
        </w:rPr>
        <w:t>首次处理了家庭津贴的统一授予问题，该措施试图将这个转移制度的目标确定为需求较迫切的有子女的家庭。有三个或三个以上子女的所有家庭保有家庭津贴是此项改革中特别重要的特征。这些措施标志着重整已经向前迈出了一大步。</w:t>
      </w:r>
    </w:p>
    <w:p w:rsidR="00000000" w:rsidRDefault="00000000">
      <w:pPr>
        <w:ind w:firstLine="510"/>
        <w:rPr>
          <w:rFonts w:hint="eastAsia"/>
          <w:lang w:val="fr-FR"/>
        </w:rPr>
      </w:pPr>
      <w:r>
        <w:rPr>
          <w:rFonts w:hint="eastAsia"/>
          <w:lang w:val="fr-FR"/>
        </w:rPr>
        <w:t xml:space="preserve">367.  </w:t>
      </w:r>
      <w:r>
        <w:rPr>
          <w:rFonts w:hint="eastAsia"/>
          <w:lang w:val="fr-FR"/>
        </w:rPr>
        <w:t>帮助那些处于深度贫穷的人员：在处于深度贫穷的人员中，有一个群体处于特别弱势的地位，即用尽了和工资相关的失业保险福利仍然找不到工作的长期失业人员。如果没有其他政策干预，仅凭经济增长不可能使这些人员脱离贫穷。理论上，正在积极寻找工作的长期失业人员可以享受视经济情况调查结果而定的社会援助方案，这是匈牙利在</w:t>
      </w:r>
      <w:r>
        <w:rPr>
          <w:rFonts w:hint="eastAsia"/>
          <w:lang w:val="fr-FR"/>
        </w:rPr>
        <w:t>1993</w:t>
      </w:r>
      <w:r>
        <w:rPr>
          <w:rFonts w:hint="eastAsia"/>
          <w:lang w:val="fr-FR"/>
        </w:rPr>
        <w:t>年为这个特定目标群体推出的项目。但是，这笔援助最多只有最低养恤金的</w:t>
      </w:r>
      <w:r>
        <w:rPr>
          <w:rFonts w:hint="eastAsia"/>
          <w:lang w:val="fr-FR"/>
        </w:rPr>
        <w:t>80%</w:t>
      </w:r>
      <w:r>
        <w:rPr>
          <w:rFonts w:hint="eastAsia"/>
          <w:lang w:val="fr-FR"/>
        </w:rPr>
        <w:t>，数目不大，远不足以对严重贫困产生任何有意义的影响。该项方案迫切需要审查。</w:t>
      </w:r>
    </w:p>
    <w:p w:rsidR="00000000" w:rsidRDefault="00000000">
      <w:pPr>
        <w:ind w:firstLine="510"/>
        <w:rPr>
          <w:rFonts w:hint="eastAsia"/>
          <w:lang w:val="fr-FR"/>
        </w:rPr>
      </w:pPr>
      <w:r>
        <w:rPr>
          <w:rFonts w:hint="eastAsia"/>
          <w:lang w:val="fr-FR"/>
        </w:rPr>
        <w:t xml:space="preserve">368.  </w:t>
      </w:r>
      <w:r>
        <w:rPr>
          <w:rFonts w:hint="eastAsia"/>
          <w:lang w:val="fr-FR"/>
        </w:rPr>
        <w:t>多达近三百万的养恤金领取者是特别重要的一个群体。作为养恤金发放的现金转移对贫穷既有重大绝对影响，也有重大相对影响：它们使得</w:t>
      </w:r>
      <w:r>
        <w:rPr>
          <w:rFonts w:hint="eastAsia"/>
          <w:lang w:val="fr-FR"/>
        </w:rPr>
        <w:t>60%</w:t>
      </w:r>
      <w:r>
        <w:rPr>
          <w:rFonts w:hint="eastAsia"/>
          <w:lang w:val="fr-FR"/>
        </w:rPr>
        <w:t>多的领取家庭脱离了贫穷。但是这项方案成本高昂，主要由目前的工作人口负担，而且其中的一个领取群体</w:t>
      </w:r>
      <w:r>
        <w:rPr>
          <w:rFonts w:hint="eastAsia"/>
          <w:lang w:val="fr-FR"/>
        </w:rPr>
        <w:t>(</w:t>
      </w:r>
      <w:r>
        <w:rPr>
          <w:rFonts w:hint="eastAsia"/>
          <w:lang w:val="fr-FR"/>
        </w:rPr>
        <w:t>老年女性</w:t>
      </w:r>
      <w:r>
        <w:rPr>
          <w:rFonts w:hint="eastAsia"/>
          <w:lang w:val="fr-FR"/>
        </w:rPr>
        <w:t>)</w:t>
      </w:r>
      <w:r>
        <w:rPr>
          <w:rFonts w:hint="eastAsia"/>
          <w:lang w:val="fr-FR"/>
        </w:rPr>
        <w:t>还处于深度贫困中。养恤金在保持实现其他目标</w:t>
      </w:r>
      <w:r>
        <w:rPr>
          <w:rFonts w:hint="eastAsia"/>
          <w:lang w:val="fr-FR"/>
        </w:rPr>
        <w:t>(</w:t>
      </w:r>
      <w:r>
        <w:rPr>
          <w:rFonts w:hint="eastAsia"/>
          <w:lang w:val="fr-FR"/>
        </w:rPr>
        <w:t>均衡老年人收入和强制储蓄</w:t>
      </w:r>
      <w:r>
        <w:rPr>
          <w:rFonts w:hint="eastAsia"/>
          <w:lang w:val="fr-FR"/>
        </w:rPr>
        <w:t>)</w:t>
      </w:r>
      <w:r>
        <w:rPr>
          <w:rFonts w:hint="eastAsia"/>
          <w:lang w:val="fr-FR"/>
        </w:rPr>
        <w:t>的同时，在打击贫穷方面可以更有成效。一个机制是提高国家提供的最低养恤金的水平，并保证这确实是一个最低额，任何享受养恤金的人绝不会领到比这更少的数目。如果削减最高收入家庭</w:t>
      </w:r>
      <w:r>
        <w:rPr>
          <w:rFonts w:hint="eastAsia"/>
          <w:lang w:val="fr-FR"/>
        </w:rPr>
        <w:t>(</w:t>
      </w:r>
      <w:r>
        <w:rPr>
          <w:rFonts w:hint="eastAsia"/>
          <w:lang w:val="fr-FR"/>
        </w:rPr>
        <w:t>养老金领取者</w:t>
      </w:r>
      <w:r>
        <w:rPr>
          <w:rFonts w:hint="eastAsia"/>
          <w:lang w:val="fr-FR"/>
        </w:rPr>
        <w:t>)</w:t>
      </w:r>
      <w:r>
        <w:rPr>
          <w:rFonts w:hint="eastAsia"/>
          <w:lang w:val="fr-FR"/>
        </w:rPr>
        <w:t>领取的国家提供的养恤金数额，国家在不增加任何额外开支的情况下可以容易地负担该项计划。</w:t>
      </w:r>
    </w:p>
    <w:p w:rsidR="00000000" w:rsidRDefault="00000000">
      <w:pPr>
        <w:ind w:firstLine="510"/>
        <w:rPr>
          <w:rFonts w:hint="eastAsia"/>
          <w:lang w:val="fr-FR"/>
        </w:rPr>
      </w:pPr>
      <w:r>
        <w:rPr>
          <w:rFonts w:hint="eastAsia"/>
          <w:lang w:val="fr-FR"/>
        </w:rPr>
        <w:t>369.  1996</w:t>
      </w:r>
      <w:r>
        <w:rPr>
          <w:rFonts w:hint="eastAsia"/>
          <w:lang w:val="fr-FR"/>
        </w:rPr>
        <w:t>年</w:t>
      </w:r>
      <w:r>
        <w:rPr>
          <w:rFonts w:hint="eastAsia"/>
          <w:lang w:val="fr-FR"/>
        </w:rPr>
        <w:t>4</w:t>
      </w:r>
      <w:r>
        <w:rPr>
          <w:rFonts w:hint="eastAsia"/>
          <w:lang w:val="fr-FR"/>
        </w:rPr>
        <w:t>月儿童保育费和儿童保育补助合并，享受权利视经济情况调查结果而定，其收入标准与家庭津贴类似。这项替换后的津贴金额等同于最低养恤金。研究报告中的分析发现，休假在家看护子女的妇女是最贫穷的人之一，尽管儿童保育补助是帮助这些穷人最有效的方式之一，然而其福利水平不足以使这些家庭脱离贫穷。假设一些儿童保育费和儿童保育补助的领取者可以返回工作岗位，其他人替他们照顾子女，收入</w:t>
      </w:r>
      <w:r>
        <w:rPr>
          <w:rFonts w:hint="eastAsia"/>
          <w:lang w:val="fr-FR"/>
        </w:rPr>
        <w:t>/</w:t>
      </w:r>
      <w:r>
        <w:rPr>
          <w:rFonts w:hint="eastAsia"/>
          <w:lang w:val="fr-FR"/>
        </w:rPr>
        <w:t>开支结果也许可以成正数。对那些无法返回工作岗位的人</w:t>
      </w:r>
      <w:r>
        <w:rPr>
          <w:rFonts w:hint="eastAsia"/>
          <w:lang w:val="fr-FR"/>
        </w:rPr>
        <w:t>(</w:t>
      </w:r>
      <w:r>
        <w:rPr>
          <w:rFonts w:hint="eastAsia"/>
          <w:lang w:val="fr-FR"/>
        </w:rPr>
        <w:t>教育程度差且技术水平低</w:t>
      </w:r>
      <w:r>
        <w:rPr>
          <w:rFonts w:hint="eastAsia"/>
          <w:lang w:val="fr-FR"/>
        </w:rPr>
        <w:t>)</w:t>
      </w:r>
      <w:r>
        <w:rPr>
          <w:rFonts w:hint="eastAsia"/>
          <w:lang w:val="fr-FR"/>
        </w:rPr>
        <w:t>来说，有些人</w:t>
      </w:r>
      <w:r>
        <w:rPr>
          <w:rFonts w:hint="eastAsia"/>
          <w:lang w:val="fr-FR"/>
        </w:rPr>
        <w:t>(</w:t>
      </w:r>
      <w:r>
        <w:rPr>
          <w:rFonts w:hint="eastAsia"/>
          <w:lang w:val="fr-FR"/>
        </w:rPr>
        <w:t>尤其是单亲父母</w:t>
      </w:r>
      <w:r>
        <w:rPr>
          <w:rFonts w:hint="eastAsia"/>
          <w:lang w:val="fr-FR"/>
        </w:rPr>
        <w:t>)</w:t>
      </w:r>
      <w:r>
        <w:rPr>
          <w:rFonts w:hint="eastAsia"/>
          <w:lang w:val="fr-FR"/>
        </w:rPr>
        <w:t>的状况就会更为糟糕，或许有必要实行额外干预。</w:t>
      </w:r>
    </w:p>
    <w:p w:rsidR="00000000" w:rsidRDefault="00000000">
      <w:pPr>
        <w:ind w:firstLine="510"/>
        <w:rPr>
          <w:rFonts w:hint="eastAsia"/>
          <w:lang w:val="fr-FR"/>
        </w:rPr>
      </w:pPr>
      <w:r>
        <w:rPr>
          <w:rFonts w:hint="eastAsia"/>
          <w:lang w:val="fr-FR"/>
        </w:rPr>
        <w:t xml:space="preserve">370.  </w:t>
      </w:r>
      <w:r>
        <w:rPr>
          <w:rFonts w:hint="eastAsia"/>
          <w:lang w:val="fr-FR"/>
        </w:rPr>
        <w:t>所有现金转移制度中，匈牙利社会援助方案在减贫方面效率最低。将社会援助方案的职能作为社会保障网的最后一道，这是个严重失误。这个方案主要有两个问题：福利渗漏和忽略，支付水平低且差别大。目前太多的人接受太少的社会援助，不足以保证在最需要之处进行有意义的减贫。</w:t>
      </w:r>
    </w:p>
    <w:p w:rsidR="00000000" w:rsidRDefault="00000000">
      <w:pPr>
        <w:ind w:firstLine="510"/>
        <w:rPr>
          <w:rFonts w:hint="eastAsia"/>
          <w:lang w:val="fr-FR"/>
        </w:rPr>
      </w:pPr>
      <w:r>
        <w:rPr>
          <w:rFonts w:hint="eastAsia"/>
          <w:lang w:val="fr-FR"/>
        </w:rPr>
        <w:t xml:space="preserve">371.  </w:t>
      </w:r>
      <w:r>
        <w:rPr>
          <w:rFonts w:hint="eastAsia"/>
          <w:lang w:val="fr-FR"/>
        </w:rPr>
        <w:t>社会援助制度的一些缺点源自于《</w:t>
      </w:r>
      <w:r>
        <w:rPr>
          <w:rFonts w:hint="eastAsia"/>
          <w:lang w:val="fr-FR"/>
        </w:rPr>
        <w:t>1993</w:t>
      </w:r>
      <w:r>
        <w:rPr>
          <w:rFonts w:hint="eastAsia"/>
          <w:lang w:val="fr-FR"/>
        </w:rPr>
        <w:t>年社会服务福利管理和社会服务法令》</w:t>
      </w:r>
      <w:r>
        <w:rPr>
          <w:rFonts w:hint="eastAsia"/>
          <w:lang w:val="fr-FR"/>
        </w:rPr>
        <w:t>(</w:t>
      </w:r>
      <w:r>
        <w:rPr>
          <w:rFonts w:hint="eastAsia"/>
          <w:lang w:val="fr-FR"/>
        </w:rPr>
        <w:t>简称《社会法令》</w:t>
      </w:r>
      <w:r>
        <w:rPr>
          <w:rFonts w:hint="eastAsia"/>
          <w:lang w:val="fr-FR"/>
        </w:rPr>
        <w:t>)</w:t>
      </w:r>
      <w:r>
        <w:rPr>
          <w:rFonts w:hint="eastAsia"/>
          <w:lang w:val="fr-FR"/>
        </w:rPr>
        <w:t>的设计。</w:t>
      </w:r>
      <w:r>
        <w:rPr>
          <w:rFonts w:hint="eastAsia"/>
          <w:lang w:val="fr-FR"/>
        </w:rPr>
        <w:t>1993</w:t>
      </w:r>
      <w:r>
        <w:rPr>
          <w:rFonts w:hint="eastAsia"/>
          <w:lang w:val="fr-FR"/>
        </w:rPr>
        <w:t>年《社会法令》存在三个基本问题：收入上限定得太高，评估享受资格的标准没有实效而且也已经过时，全国性最低支助水准不存在</w:t>
      </w:r>
      <w:r>
        <w:rPr>
          <w:rFonts w:hint="eastAsia"/>
          <w:lang w:val="fr-FR"/>
        </w:rPr>
        <w:t>(</w:t>
      </w:r>
      <w:r>
        <w:rPr>
          <w:rFonts w:hint="eastAsia"/>
          <w:lang w:val="fr-FR"/>
        </w:rPr>
        <w:t>只有地方最低水准</w:t>
      </w:r>
      <w:r>
        <w:rPr>
          <w:rFonts w:hint="eastAsia"/>
          <w:lang w:val="fr-FR"/>
        </w:rPr>
        <w:t>)</w:t>
      </w:r>
      <w:r>
        <w:rPr>
          <w:rFonts w:hint="eastAsia"/>
          <w:lang w:val="fr-FR"/>
        </w:rPr>
        <w:t>。因此，现有的是一些现代西方处理社会援助各种办法的混合物，外加以往制度残留的主观、逐案而定的资格标准。</w:t>
      </w:r>
    </w:p>
    <w:p w:rsidR="00000000" w:rsidRDefault="00000000">
      <w:pPr>
        <w:spacing w:after="320"/>
        <w:ind w:firstLine="510"/>
        <w:rPr>
          <w:rFonts w:hint="eastAsia"/>
          <w:lang w:val="fr-FR"/>
        </w:rPr>
      </w:pPr>
      <w:r>
        <w:rPr>
          <w:rFonts w:hint="eastAsia"/>
          <w:lang w:val="fr-FR"/>
        </w:rPr>
        <w:t xml:space="preserve">372.  </w:t>
      </w:r>
      <w:r>
        <w:rPr>
          <w:rFonts w:hint="eastAsia"/>
          <w:lang w:val="fr-FR"/>
        </w:rPr>
        <w:t>享受国家授权的社会援助方案的公民类别可以扩大到那些很有可能陷入社会贫穷群体的其他人员。制定的福利水平应当保证受益者可以脱离最低贫困线，但又不会造成不必要的工作惰性。这个制度必须相当的融会贯通，行政手续简便，因而可以提高福利水准，更加切实有效地使潜在目标群体得到实惠。同时，可以降低享受资格的收入上限，以不超过最低养恤金的两倍或者</w:t>
      </w:r>
      <w:r>
        <w:rPr>
          <w:rFonts w:hint="eastAsia"/>
          <w:lang w:val="fr-FR"/>
        </w:rPr>
        <w:t>1.5</w:t>
      </w:r>
      <w:r>
        <w:rPr>
          <w:rFonts w:hint="eastAsia"/>
          <w:lang w:val="fr-FR"/>
        </w:rPr>
        <w:t>倍</w:t>
      </w:r>
      <w:r>
        <w:rPr>
          <w:rFonts w:hint="eastAsia"/>
          <w:lang w:val="fr-FR"/>
        </w:rPr>
        <w:t>(</w:t>
      </w:r>
      <w:r>
        <w:rPr>
          <w:rFonts w:hint="eastAsia"/>
          <w:lang w:val="fr-FR"/>
        </w:rPr>
        <w:t>最好按等值收入而不是人均收入计算</w:t>
      </w:r>
      <w:r>
        <w:rPr>
          <w:rFonts w:hint="eastAsia"/>
          <w:lang w:val="fr-FR"/>
        </w:rPr>
        <w:t>)</w:t>
      </w:r>
      <w:r>
        <w:rPr>
          <w:rFonts w:hint="eastAsia"/>
          <w:lang w:val="fr-FR"/>
        </w:rPr>
        <w:t>为宜。</w:t>
      </w:r>
    </w:p>
    <w:p w:rsidR="00000000" w:rsidRDefault="00000000">
      <w:pPr>
        <w:pStyle w:val="Heading3"/>
        <w:rPr>
          <w:rFonts w:hint="eastAsia"/>
          <w:lang w:val="fr-FR"/>
        </w:rPr>
      </w:pPr>
      <w:r>
        <w:rPr>
          <w:rFonts w:hint="eastAsia"/>
          <w:lang w:val="fr-FR"/>
        </w:rPr>
        <w:t>住</w:t>
      </w:r>
      <w:r>
        <w:rPr>
          <w:rFonts w:hint="eastAsia"/>
          <w:lang w:val="fr-FR"/>
        </w:rPr>
        <w:t xml:space="preserve">  </w:t>
      </w:r>
      <w:r>
        <w:rPr>
          <w:rFonts w:hint="eastAsia"/>
          <w:lang w:val="fr-FR"/>
        </w:rPr>
        <w:t>房</w:t>
      </w:r>
    </w:p>
    <w:p w:rsidR="00000000" w:rsidRDefault="00000000">
      <w:pPr>
        <w:spacing w:after="320"/>
        <w:ind w:firstLine="510"/>
        <w:rPr>
          <w:rFonts w:hint="eastAsia"/>
          <w:lang w:val="fr-FR"/>
        </w:rPr>
      </w:pPr>
      <w:r>
        <w:rPr>
          <w:rFonts w:hint="eastAsia"/>
          <w:lang w:val="fr-FR"/>
        </w:rPr>
        <w:t xml:space="preserve">373.  </w:t>
      </w:r>
      <w:r>
        <w:rPr>
          <w:rFonts w:ascii="Time New Roman" w:eastAsia="SimHei" w:hAnsi="Time New Roman" w:hint="eastAsia"/>
          <w:lang w:val="fr-FR"/>
        </w:rPr>
        <w:t>最低住房条件：</w:t>
      </w:r>
      <w:r>
        <w:rPr>
          <w:rFonts w:hint="eastAsia"/>
          <w:lang w:val="fr-FR"/>
        </w:rPr>
        <w:t>《关于城市计划和建筑工作国家标准的第</w:t>
      </w:r>
      <w:r>
        <w:rPr>
          <w:rFonts w:hint="eastAsia"/>
          <w:lang w:val="fr-FR"/>
        </w:rPr>
        <w:t>253/1997</w:t>
      </w:r>
      <w:r>
        <w:rPr>
          <w:rFonts w:hint="eastAsia"/>
          <w:lang w:val="fr-FR"/>
        </w:rPr>
        <w:t>号政令》</w:t>
      </w:r>
      <w:r>
        <w:rPr>
          <w:rFonts w:hint="eastAsia"/>
          <w:lang w:val="fr-FR"/>
        </w:rPr>
        <w:t>(</w:t>
      </w:r>
      <w:r>
        <w:rPr>
          <w:rFonts w:hint="eastAsia"/>
          <w:lang w:val="fr-FR"/>
        </w:rPr>
        <w:t>十二、</w:t>
      </w:r>
      <w:r>
        <w:rPr>
          <w:rFonts w:hint="eastAsia"/>
          <w:lang w:val="fr-FR"/>
        </w:rPr>
        <w:t>20</w:t>
      </w:r>
      <w:r>
        <w:rPr>
          <w:rFonts w:hint="eastAsia"/>
          <w:lang w:val="fr-FR"/>
        </w:rPr>
        <w:t>、</w:t>
      </w:r>
      <w:r>
        <w:rPr>
          <w:rFonts w:hint="eastAsia"/>
          <w:lang w:val="fr-FR"/>
        </w:rPr>
        <w:t>)</w:t>
      </w:r>
      <w:r>
        <w:rPr>
          <w:rFonts w:hint="eastAsia"/>
          <w:lang w:val="fr-FR"/>
        </w:rPr>
        <w:t>规定了住区结构、面积的使用、建筑物位置和高度方面的要求。有关保障最低住房条件方面，全国公共卫生和医务职员服务处负责加强《政令》规定的卫生保护和公共卫生标准，其中详细条款由《卫生部长政令》规定。</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国家住房福利的分配条件</w:t>
      </w:r>
    </w:p>
    <w:p w:rsidR="00000000" w:rsidRDefault="00000000">
      <w:pPr>
        <w:ind w:firstLine="510"/>
        <w:rPr>
          <w:rFonts w:hint="eastAsia"/>
          <w:lang w:val="fr-FR"/>
        </w:rPr>
      </w:pPr>
      <w:r>
        <w:rPr>
          <w:rFonts w:hint="eastAsia"/>
          <w:lang w:val="fr-FR"/>
        </w:rPr>
        <w:t xml:space="preserve">374.  </w:t>
      </w:r>
      <w:r>
        <w:rPr>
          <w:rFonts w:hint="eastAsia"/>
          <w:lang w:val="fr-FR"/>
        </w:rPr>
        <w:t>具有社会目的的国家补贴制度近年来已经变革了若干次。根据现行关于国家住房补贴的《第</w:t>
      </w:r>
      <w:r>
        <w:rPr>
          <w:rFonts w:hint="eastAsia"/>
          <w:lang w:val="fr-FR"/>
        </w:rPr>
        <w:t>12/2001</w:t>
      </w:r>
      <w:r>
        <w:rPr>
          <w:rFonts w:hint="eastAsia"/>
          <w:lang w:val="fr-FR"/>
        </w:rPr>
        <w:t>号政令》</w:t>
      </w:r>
      <w:r>
        <w:rPr>
          <w:rFonts w:hint="eastAsia"/>
          <w:lang w:val="fr-FR"/>
        </w:rPr>
        <w:t>(</w:t>
      </w:r>
      <w:r>
        <w:rPr>
          <w:rFonts w:hint="eastAsia"/>
          <w:lang w:val="fr-FR"/>
        </w:rPr>
        <w:t>一、</w:t>
      </w:r>
      <w:r>
        <w:rPr>
          <w:rFonts w:hint="eastAsia"/>
          <w:lang w:val="fr-FR"/>
        </w:rPr>
        <w:t>31</w:t>
      </w:r>
      <w:r>
        <w:rPr>
          <w:rFonts w:hint="eastAsia"/>
          <w:lang w:val="fr-FR"/>
        </w:rPr>
        <w:t>、</w:t>
      </w:r>
      <w:r>
        <w:rPr>
          <w:rFonts w:hint="eastAsia"/>
          <w:lang w:val="fr-FR"/>
        </w:rPr>
        <w:t>)</w:t>
      </w:r>
      <w:r>
        <w:rPr>
          <w:rFonts w:hint="eastAsia"/>
          <w:lang w:val="fr-FR"/>
        </w:rPr>
        <w:t>，国家补贴可用于：住房的建造、购买、扩建和现代化改造；住宅楼公用部分的现代化改造和集体水务投资。此外，地方政府也可以获得国家补贴用于：扩大出租房存量、住宅楼的节能现代化改造</w:t>
      </w:r>
      <w:r>
        <w:rPr>
          <w:rFonts w:hint="eastAsia"/>
          <w:lang w:val="fr-FR"/>
        </w:rPr>
        <w:t>/</w:t>
      </w:r>
      <w:r>
        <w:rPr>
          <w:rFonts w:hint="eastAsia"/>
          <w:lang w:val="fr-FR"/>
        </w:rPr>
        <w:t>翻修、大城镇住宅建筑群的现代化改造</w:t>
      </w:r>
      <w:r>
        <w:rPr>
          <w:rFonts w:hint="eastAsia"/>
          <w:lang w:val="fr-FR"/>
        </w:rPr>
        <w:t>/</w:t>
      </w:r>
      <w:r>
        <w:rPr>
          <w:rFonts w:hint="eastAsia"/>
          <w:lang w:val="fr-FR"/>
        </w:rPr>
        <w:t>翻修和宗教组织为养恤金领取人员建设的家园。</w:t>
      </w:r>
    </w:p>
    <w:p w:rsidR="00000000" w:rsidRDefault="00000000">
      <w:pPr>
        <w:ind w:firstLine="510"/>
        <w:rPr>
          <w:rFonts w:hint="eastAsia"/>
          <w:lang w:val="fr-FR"/>
        </w:rPr>
      </w:pPr>
      <w:r>
        <w:rPr>
          <w:rFonts w:hint="eastAsia"/>
          <w:lang w:val="fr-FR"/>
        </w:rPr>
        <w:t xml:space="preserve">375.  </w:t>
      </w:r>
      <w:r>
        <w:rPr>
          <w:rFonts w:hint="eastAsia"/>
          <w:lang w:val="fr-FR"/>
        </w:rPr>
        <w:t>《法令》具体规定了以下各种补贴：</w:t>
      </w:r>
    </w:p>
    <w:p w:rsidR="00000000" w:rsidRDefault="00000000">
      <w:pPr>
        <w:numPr>
          <w:ilvl w:val="0"/>
          <w:numId w:val="187"/>
        </w:numPr>
        <w:rPr>
          <w:rFonts w:hint="eastAsia"/>
          <w:lang w:val="fr-FR"/>
        </w:rPr>
      </w:pPr>
      <w:r>
        <w:rPr>
          <w:rFonts w:hint="eastAsia"/>
          <w:lang w:val="fr-FR"/>
        </w:rPr>
        <w:t>建造</w:t>
      </w:r>
      <w:r>
        <w:rPr>
          <w:rFonts w:hint="eastAsia"/>
          <w:lang w:val="fr-FR"/>
        </w:rPr>
        <w:t>(</w:t>
      </w:r>
      <w:r>
        <w:rPr>
          <w:rFonts w:hint="eastAsia"/>
          <w:lang w:val="fr-FR"/>
        </w:rPr>
        <w:t>购买</w:t>
      </w:r>
      <w:r>
        <w:rPr>
          <w:rFonts w:hint="eastAsia"/>
          <w:lang w:val="fr-FR"/>
        </w:rPr>
        <w:t>)</w:t>
      </w:r>
      <w:r>
        <w:rPr>
          <w:rFonts w:hint="eastAsia"/>
          <w:lang w:val="fr-FR"/>
        </w:rPr>
        <w:t>住房补贴，</w:t>
      </w:r>
    </w:p>
    <w:p w:rsidR="00000000" w:rsidRDefault="00000000">
      <w:pPr>
        <w:numPr>
          <w:ilvl w:val="0"/>
          <w:numId w:val="187"/>
        </w:numPr>
        <w:rPr>
          <w:rFonts w:hint="eastAsia"/>
          <w:lang w:val="fr-FR"/>
        </w:rPr>
      </w:pPr>
      <w:r>
        <w:rPr>
          <w:rFonts w:hint="eastAsia"/>
          <w:lang w:val="fr-FR"/>
        </w:rPr>
        <w:t>方便残疾人出入设施补贴，</w:t>
      </w:r>
    </w:p>
    <w:p w:rsidR="00000000" w:rsidRDefault="00000000">
      <w:pPr>
        <w:numPr>
          <w:ilvl w:val="0"/>
          <w:numId w:val="187"/>
        </w:numPr>
        <w:rPr>
          <w:rFonts w:hint="eastAsia"/>
          <w:lang w:val="fr-FR"/>
        </w:rPr>
      </w:pPr>
      <w:r>
        <w:rPr>
          <w:rFonts w:hint="eastAsia"/>
          <w:lang w:val="fr-FR"/>
        </w:rPr>
        <w:t>退税补贴，</w:t>
      </w:r>
    </w:p>
    <w:p w:rsidR="00000000" w:rsidRDefault="00000000">
      <w:pPr>
        <w:numPr>
          <w:ilvl w:val="0"/>
          <w:numId w:val="187"/>
        </w:numPr>
        <w:rPr>
          <w:rFonts w:hint="eastAsia"/>
          <w:lang w:val="fr-FR"/>
        </w:rPr>
      </w:pPr>
      <w:r>
        <w:rPr>
          <w:rFonts w:hint="eastAsia"/>
          <w:lang w:val="fr-FR"/>
        </w:rPr>
        <w:t>抵押债券利息补贴，</w:t>
      </w:r>
    </w:p>
    <w:p w:rsidR="00000000" w:rsidRDefault="00000000">
      <w:pPr>
        <w:numPr>
          <w:ilvl w:val="0"/>
          <w:numId w:val="187"/>
        </w:numPr>
        <w:rPr>
          <w:rFonts w:hint="eastAsia"/>
          <w:lang w:val="fr-FR"/>
        </w:rPr>
      </w:pPr>
      <w:r>
        <w:rPr>
          <w:rFonts w:hint="eastAsia"/>
          <w:lang w:val="fr-FR"/>
        </w:rPr>
        <w:t>补充性利息补贴，</w:t>
      </w:r>
    </w:p>
    <w:p w:rsidR="00000000" w:rsidRDefault="00000000">
      <w:pPr>
        <w:numPr>
          <w:ilvl w:val="0"/>
          <w:numId w:val="187"/>
        </w:numPr>
        <w:rPr>
          <w:rFonts w:hint="eastAsia"/>
        </w:rPr>
      </w:pPr>
      <w:r>
        <w:rPr>
          <w:rFonts w:hint="eastAsia"/>
        </w:rPr>
        <w:t>住宅楼翻修或供水设施建设的利息补贴，</w:t>
      </w:r>
    </w:p>
    <w:p w:rsidR="00000000" w:rsidRDefault="00000000">
      <w:pPr>
        <w:numPr>
          <w:ilvl w:val="0"/>
          <w:numId w:val="187"/>
        </w:numPr>
        <w:rPr>
          <w:rFonts w:hint="eastAsia"/>
        </w:rPr>
      </w:pPr>
      <w:r>
        <w:rPr>
          <w:rFonts w:hint="eastAsia"/>
        </w:rPr>
        <w:t>给地方政府的利息补贴，</w:t>
      </w:r>
    </w:p>
    <w:p w:rsidR="00000000" w:rsidRDefault="00000000">
      <w:pPr>
        <w:numPr>
          <w:ilvl w:val="0"/>
          <w:numId w:val="187"/>
        </w:numPr>
        <w:rPr>
          <w:rFonts w:hint="eastAsia"/>
        </w:rPr>
      </w:pPr>
      <w:r>
        <w:rPr>
          <w:rFonts w:hint="eastAsia"/>
        </w:rPr>
        <w:t>地方政府给予的补贴，</w:t>
      </w:r>
    </w:p>
    <w:p w:rsidR="00000000" w:rsidRDefault="00000000">
      <w:pPr>
        <w:numPr>
          <w:ilvl w:val="0"/>
          <w:numId w:val="187"/>
        </w:numPr>
        <w:rPr>
          <w:rFonts w:hint="eastAsia"/>
        </w:rPr>
      </w:pPr>
      <w:r>
        <w:rPr>
          <w:rFonts w:hint="eastAsia"/>
          <w:lang w:val="fr-FR"/>
        </w:rPr>
        <w:t>地方政府可以获得补贴用于：扩大市政出租房存量；借助大规模生产的技术对住宅楼进行节能现代化改造</w:t>
      </w:r>
      <w:r>
        <w:rPr>
          <w:rFonts w:hint="eastAsia"/>
          <w:lang w:val="fr-FR"/>
        </w:rPr>
        <w:t>/</w:t>
      </w:r>
      <w:r>
        <w:rPr>
          <w:rFonts w:hint="eastAsia"/>
          <w:lang w:val="fr-FR"/>
        </w:rPr>
        <w:t>翻修；大城镇住宅建筑群的现代化改造；创建有公用设施的建筑用地，补贴宗教组织对其拥有的居住用房地产进行现代化改造</w:t>
      </w:r>
      <w:r>
        <w:rPr>
          <w:rFonts w:hint="eastAsia"/>
          <w:lang w:val="fr-FR"/>
        </w:rPr>
        <w:t>/</w:t>
      </w:r>
      <w:r>
        <w:rPr>
          <w:rFonts w:hint="eastAsia"/>
          <w:lang w:val="fr-FR"/>
        </w:rPr>
        <w:t>翻修；建造养恤金领取人员住房。</w:t>
      </w:r>
    </w:p>
    <w:p w:rsidR="00000000" w:rsidRDefault="00000000">
      <w:pPr>
        <w:ind w:firstLine="510"/>
        <w:rPr>
          <w:rFonts w:hint="eastAsia"/>
        </w:rPr>
      </w:pPr>
      <w:r>
        <w:rPr>
          <w:rFonts w:hint="eastAsia"/>
        </w:rPr>
        <w:t xml:space="preserve">376.  </w:t>
      </w:r>
      <w:r>
        <w:rPr>
          <w:rFonts w:hint="eastAsia"/>
        </w:rPr>
        <w:t>年满</w:t>
      </w:r>
      <w:r>
        <w:rPr>
          <w:rFonts w:hint="eastAsia"/>
        </w:rPr>
        <w:t>18</w:t>
      </w:r>
      <w:r>
        <w:rPr>
          <w:rFonts w:hint="eastAsia"/>
        </w:rPr>
        <w:t>岁的匈牙利公民和至少年满</w:t>
      </w:r>
      <w:r>
        <w:rPr>
          <w:rFonts w:hint="eastAsia"/>
        </w:rPr>
        <w:t>16</w:t>
      </w:r>
      <w:r>
        <w:rPr>
          <w:rFonts w:hint="eastAsia"/>
        </w:rPr>
        <w:t>岁已纳入国家永久保健的未成年匈牙利公民根据上述</w:t>
      </w:r>
      <w:r>
        <w:rPr>
          <w:rFonts w:hint="eastAsia"/>
        </w:rPr>
        <w:t>(a)</w:t>
      </w:r>
      <w:r>
        <w:rPr>
          <w:rFonts w:hint="eastAsia"/>
        </w:rPr>
        <w:t>至</w:t>
      </w:r>
      <w:r>
        <w:rPr>
          <w:rFonts w:hint="eastAsia"/>
        </w:rPr>
        <w:t>(c)</w:t>
      </w:r>
      <w:r>
        <w:rPr>
          <w:rFonts w:hint="eastAsia"/>
        </w:rPr>
        <w:t>分段可以获得如下补贴</w:t>
      </w:r>
      <w:r>
        <w:rPr>
          <w:rFonts w:hint="eastAsia"/>
        </w:rPr>
        <w:t>(</w:t>
      </w:r>
      <w:r>
        <w:rPr>
          <w:rFonts w:hint="eastAsia"/>
        </w:rPr>
        <w:t>直接补贴</w:t>
      </w:r>
      <w:r>
        <w:rPr>
          <w:rFonts w:hint="eastAsia"/>
        </w:rPr>
        <w:t>)</w:t>
      </w:r>
      <w:r>
        <w:rPr>
          <w:rFonts w:hint="eastAsia"/>
        </w:rPr>
        <w:t>用于：</w:t>
      </w:r>
    </w:p>
    <w:p w:rsidR="00000000" w:rsidRDefault="00000000">
      <w:pPr>
        <w:pStyle w:val="a0"/>
        <w:ind w:left="1550"/>
        <w:rPr>
          <w:rFonts w:hint="eastAsia"/>
        </w:rPr>
      </w:pPr>
      <w:r>
        <w:rPr>
          <w:rFonts w:hint="eastAsia"/>
        </w:rPr>
        <w:t>建造新的住宅单位，</w:t>
      </w:r>
    </w:p>
    <w:p w:rsidR="00000000" w:rsidRDefault="00000000">
      <w:pPr>
        <w:pStyle w:val="a0"/>
        <w:ind w:left="1550"/>
        <w:rPr>
          <w:rFonts w:hint="eastAsia"/>
        </w:rPr>
      </w:pPr>
      <w:r>
        <w:rPr>
          <w:rFonts w:hint="eastAsia"/>
        </w:rPr>
        <w:t>购买新的住宅单位，</w:t>
      </w:r>
    </w:p>
    <w:p w:rsidR="00000000" w:rsidRDefault="00000000">
      <w:pPr>
        <w:pStyle w:val="a0"/>
        <w:ind w:left="1550"/>
        <w:rPr>
          <w:rFonts w:hint="eastAsia"/>
        </w:rPr>
      </w:pPr>
      <w:r>
        <w:rPr>
          <w:rFonts w:hint="eastAsia"/>
        </w:rPr>
        <w:t>获得所有权属于住房协会的新建住宅单位的永久使用权</w:t>
      </w:r>
    </w:p>
    <w:p w:rsidR="00000000" w:rsidRDefault="00000000">
      <w:pPr>
        <w:pStyle w:val="a0"/>
        <w:ind w:left="1550"/>
        <w:rPr>
          <w:rFonts w:hint="eastAsia"/>
        </w:rPr>
      </w:pPr>
      <w:r>
        <w:rPr>
          <w:rFonts w:hint="eastAsia"/>
        </w:rPr>
        <w:t>扩建住宅单位，清除通道障碍补贴和还息补助除外</w:t>
      </w:r>
    </w:p>
    <w:p w:rsidR="00000000" w:rsidRDefault="00000000">
      <w:pPr>
        <w:pStyle w:val="a0"/>
        <w:ind w:left="1550"/>
        <w:rPr>
          <w:rFonts w:hint="eastAsia"/>
        </w:rPr>
      </w:pPr>
      <w:r>
        <w:rPr>
          <w:rFonts w:hint="eastAsia"/>
        </w:rPr>
        <w:t>扶养三个或三个以上子女的家庭购买住宅单位可以获得购买住宅单位补贴</w:t>
      </w:r>
    </w:p>
    <w:p w:rsidR="00000000" w:rsidRDefault="00000000">
      <w:pPr>
        <w:ind w:firstLine="510"/>
        <w:rPr>
          <w:rFonts w:hint="eastAsia"/>
        </w:rPr>
      </w:pPr>
      <w:r>
        <w:rPr>
          <w:rFonts w:hint="eastAsia"/>
        </w:rPr>
        <w:t xml:space="preserve">377.  </w:t>
      </w:r>
      <w:r>
        <w:rPr>
          <w:rFonts w:hint="eastAsia"/>
        </w:rPr>
        <w:t>经济和交通部可以准许外国或无国籍公民获得直接支助。对夫妇来说，如果其中之一是匈牙利公民，无需批准即可获得直接支助。政令没有具体规定有关获得其他支助方面的公民权标准。</w:t>
      </w:r>
    </w:p>
    <w:p w:rsidR="00000000" w:rsidRDefault="00000000">
      <w:pPr>
        <w:ind w:firstLine="510"/>
      </w:pPr>
      <w:r>
        <w:rPr>
          <w:rFonts w:hint="eastAsia"/>
        </w:rPr>
        <w:t xml:space="preserve">378.  </w:t>
      </w:r>
      <w:r>
        <w:rPr>
          <w:rFonts w:hint="eastAsia"/>
        </w:rPr>
        <w:t>有资格领取</w:t>
      </w:r>
      <w:r>
        <w:rPr>
          <w:rFonts w:hint="eastAsia"/>
          <w:lang w:val="fr-FR"/>
        </w:rPr>
        <w:t>建造</w:t>
      </w:r>
      <w:r>
        <w:rPr>
          <w:rFonts w:hint="eastAsia"/>
        </w:rPr>
        <w:t>/</w:t>
      </w:r>
      <w:r>
        <w:rPr>
          <w:rFonts w:hint="eastAsia"/>
        </w:rPr>
        <w:t>购买住宅单位或获得永久使用权直接补贴的条件：申请人及其配偶、未正式结婚夫</w:t>
      </w:r>
      <w:r>
        <w:rPr>
          <w:rFonts w:hint="eastAsia"/>
        </w:rPr>
        <w:t>/</w:t>
      </w:r>
      <w:r>
        <w:rPr>
          <w:rFonts w:hint="eastAsia"/>
        </w:rPr>
        <w:t>妻、未成年子女或和申请人一起居住的家庭成员不应拥有居住性财产，没有永久使用住宅单位的权利，或对市政府所拥有的住宅单位以及与工作关系或工作职位有关的住宅单位没有合法租住权，或者已经书面弃权，并由出租人书面承认。</w:t>
      </w:r>
    </w:p>
    <w:p w:rsidR="00000000" w:rsidRDefault="00000000">
      <w:pPr>
        <w:ind w:firstLine="510"/>
        <w:rPr>
          <w:rFonts w:hint="eastAsia"/>
        </w:rPr>
      </w:pPr>
      <w:r>
        <w:rPr>
          <w:rFonts w:hint="eastAsia"/>
        </w:rPr>
        <w:t xml:space="preserve">379.  </w:t>
      </w:r>
      <w:r>
        <w:rPr>
          <w:rFonts w:hint="eastAsia"/>
        </w:rPr>
        <w:t>根据《政令》规定，工商业公司成员作为公司资产投入的住宅单位，以及用途永久性异于建筑许可中具体规定的用途、开始使用</w:t>
      </w:r>
      <w:r>
        <w:rPr>
          <w:rFonts w:hint="eastAsia"/>
        </w:rPr>
        <w:t>(</w:t>
      </w:r>
      <w:r>
        <w:rPr>
          <w:rFonts w:hint="eastAsia"/>
        </w:rPr>
        <w:t>维修</w:t>
      </w:r>
      <w:r>
        <w:rPr>
          <w:rFonts w:hint="eastAsia"/>
        </w:rPr>
        <w:t>)</w:t>
      </w:r>
      <w:r>
        <w:rPr>
          <w:rFonts w:hint="eastAsia"/>
        </w:rPr>
        <w:t>时规定的用途或适当用途的住宅单位，应与居住性财产一视同仁。</w:t>
      </w:r>
    </w:p>
    <w:p w:rsidR="00000000" w:rsidRDefault="00000000">
      <w:pPr>
        <w:ind w:firstLine="510"/>
        <w:rPr>
          <w:rFonts w:hint="eastAsia"/>
        </w:rPr>
      </w:pPr>
      <w:r>
        <w:rPr>
          <w:rFonts w:hint="eastAsia"/>
        </w:rPr>
        <w:t xml:space="preserve">380.  </w:t>
      </w:r>
      <w:r>
        <w:rPr>
          <w:rFonts w:hint="eastAsia"/>
        </w:rPr>
        <w:t>除了上述条件，如果申请人及其配偶、未正式结婚夫</w:t>
      </w:r>
      <w:r>
        <w:rPr>
          <w:rFonts w:hint="eastAsia"/>
        </w:rPr>
        <w:t>/</w:t>
      </w:r>
      <w:r>
        <w:rPr>
          <w:rFonts w:hint="eastAsia"/>
        </w:rPr>
        <w:t>妻、未成年子女或与申请人一起居住的家庭成员符合下列条件，也可以获得直接补贴：</w:t>
      </w:r>
    </w:p>
    <w:p w:rsidR="00000000" w:rsidRDefault="00000000">
      <w:pPr>
        <w:pStyle w:val="a0"/>
        <w:ind w:left="1550"/>
        <w:rPr>
          <w:rFonts w:hint="eastAsia"/>
        </w:rPr>
      </w:pPr>
      <w:r>
        <w:rPr>
          <w:rFonts w:hint="eastAsia"/>
        </w:rPr>
        <w:t>由于公共产权终止或继承遗产而归其所有的住宅单位中共同拥有至多不超过</w:t>
      </w:r>
      <w:r>
        <w:rPr>
          <w:rFonts w:hint="eastAsia"/>
        </w:rPr>
        <w:t>50%</w:t>
      </w:r>
      <w:r>
        <w:rPr>
          <w:rFonts w:hint="eastAsia"/>
        </w:rPr>
        <w:t>产权的，或者</w:t>
      </w:r>
    </w:p>
    <w:p w:rsidR="00000000" w:rsidRDefault="00000000">
      <w:pPr>
        <w:pStyle w:val="a0"/>
        <w:ind w:left="1550"/>
        <w:rPr>
          <w:rFonts w:hint="eastAsia"/>
        </w:rPr>
      </w:pPr>
      <w:r>
        <w:rPr>
          <w:rFonts w:hint="eastAsia"/>
        </w:rPr>
        <w:t>地方政府公证人命令或批准拆除其拥有的住宅单位的，或者</w:t>
      </w:r>
    </w:p>
    <w:p w:rsidR="00000000" w:rsidRDefault="00000000">
      <w:pPr>
        <w:pStyle w:val="a0"/>
        <w:ind w:left="1550"/>
        <w:rPr>
          <w:rFonts w:hint="eastAsia"/>
        </w:rPr>
      </w:pPr>
      <w:r>
        <w:rPr>
          <w:rFonts w:hint="eastAsia"/>
        </w:rPr>
        <w:t>1988</w:t>
      </w:r>
      <w:r>
        <w:rPr>
          <w:rFonts w:hint="eastAsia"/>
        </w:rPr>
        <w:t>年</w:t>
      </w:r>
      <w:r>
        <w:rPr>
          <w:rFonts w:hint="eastAsia"/>
        </w:rPr>
        <w:t>12</w:t>
      </w:r>
      <w:r>
        <w:rPr>
          <w:rFonts w:hint="eastAsia"/>
        </w:rPr>
        <w:t>月</w:t>
      </w:r>
      <w:r>
        <w:rPr>
          <w:rFonts w:hint="eastAsia"/>
        </w:rPr>
        <w:t>31</w:t>
      </w:r>
      <w:r>
        <w:rPr>
          <w:rFonts w:hint="eastAsia"/>
        </w:rPr>
        <w:t>日前获得住宅单位，但存在受益权问题，而且受益人目前仍居住在该单位中，或者</w:t>
      </w:r>
    </w:p>
    <w:p w:rsidR="00000000" w:rsidRDefault="00000000">
      <w:pPr>
        <w:pStyle w:val="a0"/>
        <w:ind w:left="1550"/>
        <w:rPr>
          <w:rFonts w:hint="eastAsia"/>
        </w:rPr>
      </w:pPr>
      <w:r>
        <w:rPr>
          <w:rFonts w:hint="eastAsia"/>
        </w:rPr>
        <w:t>1988</w:t>
      </w:r>
      <w:r>
        <w:rPr>
          <w:rFonts w:hint="eastAsia"/>
        </w:rPr>
        <w:t>年</w:t>
      </w:r>
      <w:r>
        <w:rPr>
          <w:rFonts w:hint="eastAsia"/>
        </w:rPr>
        <w:t>12</w:t>
      </w:r>
      <w:r>
        <w:rPr>
          <w:rFonts w:hint="eastAsia"/>
        </w:rPr>
        <w:t>月</w:t>
      </w:r>
      <w:r>
        <w:rPr>
          <w:rFonts w:hint="eastAsia"/>
        </w:rPr>
        <w:t>31</w:t>
      </w:r>
      <w:r>
        <w:rPr>
          <w:rFonts w:hint="eastAsia"/>
        </w:rPr>
        <w:t>日后通过继承遗产拥有住宅单位，但他人具有使用权，而且受益人目前仍居住在该单位中。</w:t>
      </w:r>
    </w:p>
    <w:p w:rsidR="00000000" w:rsidRDefault="00000000">
      <w:pPr>
        <w:ind w:firstLine="510"/>
        <w:rPr>
          <w:rFonts w:hint="eastAsia"/>
        </w:rPr>
      </w:pPr>
      <w:r>
        <w:rPr>
          <w:rFonts w:hint="eastAsia"/>
        </w:rPr>
        <w:t xml:space="preserve">381.  </w:t>
      </w:r>
      <w:r>
        <w:rPr>
          <w:rFonts w:hint="eastAsia"/>
        </w:rPr>
        <w:t>如果公寓房</w:t>
      </w:r>
      <w:r>
        <w:rPr>
          <w:rFonts w:hint="eastAsia"/>
          <w:lang w:val="fr-FR"/>
        </w:rPr>
        <w:t>住宅</w:t>
      </w:r>
      <w:r>
        <w:rPr>
          <w:rFonts w:hint="eastAsia"/>
        </w:rPr>
        <w:t>单位的数量及其建造</w:t>
      </w:r>
      <w:r>
        <w:rPr>
          <w:rFonts w:hint="eastAsia"/>
        </w:rPr>
        <w:t>(</w:t>
      </w:r>
      <w:r>
        <w:rPr>
          <w:rFonts w:hint="eastAsia"/>
        </w:rPr>
        <w:t>购买</w:t>
      </w:r>
      <w:r>
        <w:rPr>
          <w:rFonts w:hint="eastAsia"/>
        </w:rPr>
        <w:t>)</w:t>
      </w:r>
      <w:r>
        <w:rPr>
          <w:rFonts w:hint="eastAsia"/>
        </w:rPr>
        <w:t>价格达到下列条件，这样的住房要求被认为是合理的。申请人与同时一起入住的家庭成员</w:t>
      </w:r>
      <w:r>
        <w:rPr>
          <w:rFonts w:hint="eastAsia"/>
        </w:rPr>
        <w:t>(</w:t>
      </w:r>
      <w:r>
        <w:rPr>
          <w:rFonts w:hint="eastAsia"/>
        </w:rPr>
        <w:t>配偶、未正式结婚夫</w:t>
      </w:r>
      <w:r>
        <w:rPr>
          <w:rFonts w:hint="eastAsia"/>
        </w:rPr>
        <w:t>/</w:t>
      </w:r>
      <w:r>
        <w:rPr>
          <w:rFonts w:hint="eastAsia"/>
        </w:rPr>
        <w:t>妻、未成年子女以及不论其收入如何凡符合第</w:t>
      </w:r>
      <w:r>
        <w:rPr>
          <w:rFonts w:hint="eastAsia"/>
        </w:rPr>
        <w:t>7</w:t>
      </w:r>
      <w:r>
        <w:rPr>
          <w:rFonts w:hint="eastAsia"/>
        </w:rPr>
        <w:t>段规定的其他家庭成员</w:t>
      </w:r>
      <w:r>
        <w:rPr>
          <w:rFonts w:hint="eastAsia"/>
        </w:rPr>
        <w:t>)</w:t>
      </w:r>
      <w:r>
        <w:rPr>
          <w:rFonts w:hint="eastAsia"/>
        </w:rPr>
        <w:t>的合理住房要求根据所涉人数而定，具体如下：</w:t>
      </w:r>
    </w:p>
    <w:p w:rsidR="00000000" w:rsidRDefault="00000000">
      <w:pPr>
        <w:pStyle w:val="a0"/>
        <w:ind w:left="1550"/>
        <w:rPr>
          <w:rFonts w:hint="eastAsia"/>
        </w:rPr>
      </w:pPr>
      <w:r>
        <w:rPr>
          <w:rFonts w:hint="eastAsia"/>
        </w:rPr>
        <w:t>一</w:t>
      </w:r>
      <w:r>
        <w:rPr>
          <w:rFonts w:hint="eastAsia"/>
        </w:rPr>
        <w:t>/</w:t>
      </w:r>
      <w:r>
        <w:rPr>
          <w:rFonts w:hint="eastAsia"/>
        </w:rPr>
        <w:t>二人：最少</w:t>
      </w:r>
      <w:r>
        <w:rPr>
          <w:rFonts w:hint="eastAsia"/>
        </w:rPr>
        <w:t>1</w:t>
      </w:r>
      <w:r>
        <w:rPr>
          <w:rFonts w:hint="eastAsia"/>
        </w:rPr>
        <w:t>间房，最多</w:t>
      </w:r>
      <w:r>
        <w:rPr>
          <w:rFonts w:hint="eastAsia"/>
        </w:rPr>
        <w:t>3</w:t>
      </w:r>
      <w:r>
        <w:rPr>
          <w:rFonts w:hint="eastAsia"/>
        </w:rPr>
        <w:t>间房，</w:t>
      </w:r>
    </w:p>
    <w:p w:rsidR="00000000" w:rsidRDefault="00000000">
      <w:pPr>
        <w:pStyle w:val="a0"/>
        <w:ind w:left="1550"/>
        <w:rPr>
          <w:rFonts w:hint="eastAsia"/>
        </w:rPr>
      </w:pPr>
      <w:r>
        <w:rPr>
          <w:rFonts w:hint="eastAsia"/>
        </w:rPr>
        <w:t>三人：最少</w:t>
      </w:r>
      <w:r>
        <w:rPr>
          <w:rFonts w:hint="eastAsia"/>
        </w:rPr>
        <w:t>1.5</w:t>
      </w:r>
      <w:r>
        <w:rPr>
          <w:rFonts w:hint="eastAsia"/>
        </w:rPr>
        <w:t>间房，最多</w:t>
      </w:r>
      <w:r>
        <w:rPr>
          <w:rFonts w:hint="eastAsia"/>
        </w:rPr>
        <w:t>3.5</w:t>
      </w:r>
      <w:r>
        <w:rPr>
          <w:rFonts w:hint="eastAsia"/>
        </w:rPr>
        <w:t>间房，</w:t>
      </w:r>
    </w:p>
    <w:p w:rsidR="00000000" w:rsidRDefault="00000000">
      <w:pPr>
        <w:pStyle w:val="a0"/>
        <w:ind w:left="1550"/>
        <w:rPr>
          <w:rFonts w:hint="eastAsia"/>
        </w:rPr>
      </w:pPr>
      <w:r>
        <w:rPr>
          <w:rFonts w:hint="eastAsia"/>
        </w:rPr>
        <w:t>四人：最少</w:t>
      </w:r>
      <w:r>
        <w:rPr>
          <w:rFonts w:hint="eastAsia"/>
        </w:rPr>
        <w:t>2</w:t>
      </w:r>
      <w:r>
        <w:rPr>
          <w:rFonts w:hint="eastAsia"/>
        </w:rPr>
        <w:t>间房，最多</w:t>
      </w:r>
      <w:r>
        <w:rPr>
          <w:rFonts w:hint="eastAsia"/>
        </w:rPr>
        <w:t>4</w:t>
      </w:r>
      <w:r>
        <w:rPr>
          <w:rFonts w:hint="eastAsia"/>
        </w:rPr>
        <w:t>间房。</w:t>
      </w:r>
    </w:p>
    <w:p w:rsidR="00000000" w:rsidRDefault="00000000">
      <w:pPr>
        <w:ind w:firstLine="510"/>
        <w:rPr>
          <w:rFonts w:hint="eastAsia"/>
        </w:rPr>
      </w:pPr>
      <w:r>
        <w:rPr>
          <w:rFonts w:hint="eastAsia"/>
        </w:rPr>
        <w:t xml:space="preserve">382.  </w:t>
      </w:r>
      <w:r>
        <w:rPr>
          <w:rFonts w:hint="eastAsia"/>
        </w:rPr>
        <w:t>除此之外再增加一人，最多增加</w:t>
      </w:r>
      <w:r>
        <w:rPr>
          <w:rFonts w:hint="eastAsia"/>
        </w:rPr>
        <w:t>0.5</w:t>
      </w:r>
      <w:r>
        <w:rPr>
          <w:rFonts w:hint="eastAsia"/>
        </w:rPr>
        <w:t>间房。对三个或三个以上子女的家庭而言，再增加一人最多增加</w:t>
      </w:r>
      <w:r>
        <w:rPr>
          <w:rFonts w:hint="eastAsia"/>
        </w:rPr>
        <w:t>1</w:t>
      </w:r>
      <w:r>
        <w:rPr>
          <w:rFonts w:hint="eastAsia"/>
        </w:rPr>
        <w:t>间房。</w:t>
      </w:r>
    </w:p>
    <w:p w:rsidR="00000000" w:rsidRDefault="00000000">
      <w:pPr>
        <w:ind w:firstLine="510"/>
        <w:rPr>
          <w:rFonts w:hint="eastAsia"/>
        </w:rPr>
      </w:pPr>
      <w:r>
        <w:rPr>
          <w:rFonts w:hint="eastAsia"/>
        </w:rPr>
        <w:t xml:space="preserve">383.  </w:t>
      </w:r>
      <w:r>
        <w:rPr>
          <w:rFonts w:hint="eastAsia"/>
        </w:rPr>
        <w:t>凡属合理的住房要求，不论房间类型如何，其面积应在</w:t>
      </w:r>
    </w:p>
    <w:p w:rsidR="00000000" w:rsidRDefault="00000000">
      <w:pPr>
        <w:pStyle w:val="a0"/>
        <w:ind w:left="1550"/>
        <w:rPr>
          <w:rFonts w:hint="eastAsia"/>
        </w:rPr>
      </w:pPr>
      <w:r>
        <w:rPr>
          <w:rFonts w:hint="eastAsia"/>
        </w:rPr>
        <w:t>半间房的使用面积在</w:t>
      </w:r>
      <w:r>
        <w:rPr>
          <w:rFonts w:hint="eastAsia"/>
        </w:rPr>
        <w:t>6</w:t>
      </w:r>
      <w:r>
        <w:rPr>
          <w:rFonts w:hint="eastAsia"/>
        </w:rPr>
        <w:t>平米至</w:t>
      </w:r>
      <w:r>
        <w:rPr>
          <w:rFonts w:hint="eastAsia"/>
        </w:rPr>
        <w:t>12</w:t>
      </w:r>
      <w:r>
        <w:rPr>
          <w:rFonts w:hint="eastAsia"/>
        </w:rPr>
        <w:t>平米之间，</w:t>
      </w:r>
    </w:p>
    <w:p w:rsidR="00000000" w:rsidRDefault="00000000">
      <w:pPr>
        <w:pStyle w:val="a0"/>
        <w:ind w:left="1550"/>
        <w:rPr>
          <w:rFonts w:hint="eastAsia"/>
        </w:rPr>
      </w:pPr>
      <w:r>
        <w:rPr>
          <w:rFonts w:hint="eastAsia"/>
        </w:rPr>
        <w:t>一间房的房屋使用面积在</w:t>
      </w:r>
      <w:r>
        <w:rPr>
          <w:rFonts w:hint="eastAsia"/>
        </w:rPr>
        <w:t>12</w:t>
      </w:r>
      <w:r>
        <w:rPr>
          <w:rFonts w:hint="eastAsia"/>
        </w:rPr>
        <w:t>平米至</w:t>
      </w:r>
      <w:r>
        <w:rPr>
          <w:rFonts w:hint="eastAsia"/>
        </w:rPr>
        <w:t>30</w:t>
      </w:r>
      <w:r>
        <w:rPr>
          <w:rFonts w:hint="eastAsia"/>
        </w:rPr>
        <w:t>平米之间，但是现存既成事实除外；如果大于上述面积，应算作两间房。如果起居室、餐厅和厨房在一起，没有进行分隔，总计使用面积超过</w:t>
      </w:r>
      <w:r>
        <w:rPr>
          <w:rFonts w:hint="eastAsia"/>
        </w:rPr>
        <w:t>60</w:t>
      </w:r>
      <w:r>
        <w:rPr>
          <w:rFonts w:hint="eastAsia"/>
        </w:rPr>
        <w:t>平米的，应当算作两间房。</w:t>
      </w:r>
    </w:p>
    <w:p w:rsidR="00000000" w:rsidRDefault="00000000">
      <w:pPr>
        <w:ind w:firstLine="510"/>
        <w:rPr>
          <w:rFonts w:hint="eastAsia"/>
        </w:rPr>
      </w:pPr>
      <w:r>
        <w:rPr>
          <w:rFonts w:hint="eastAsia"/>
        </w:rPr>
        <w:t xml:space="preserve">384.  </w:t>
      </w:r>
      <w:r>
        <w:rPr>
          <w:rFonts w:hint="eastAsia"/>
        </w:rPr>
        <w:t>如果不含建筑用地价格的公寓房建造</w:t>
      </w:r>
      <w:r>
        <w:rPr>
          <w:rFonts w:hint="eastAsia"/>
        </w:rPr>
        <w:t>(</w:t>
      </w:r>
      <w:r>
        <w:rPr>
          <w:rFonts w:hint="eastAsia"/>
        </w:rPr>
        <w:t>购买</w:t>
      </w:r>
      <w:r>
        <w:rPr>
          <w:rFonts w:hint="eastAsia"/>
        </w:rPr>
        <w:t>)</w:t>
      </w:r>
      <w:r>
        <w:rPr>
          <w:rFonts w:hint="eastAsia"/>
        </w:rPr>
        <w:t>成本不超过平均成本，即经济和交通部在《匈牙利政府公报》上所发布的同等数目房间的公寓房平均建筑成本，这样的住房要求是合理的。</w:t>
      </w:r>
    </w:p>
    <w:p w:rsidR="00000000" w:rsidRDefault="00000000">
      <w:pPr>
        <w:ind w:firstLine="510"/>
        <w:rPr>
          <w:rFonts w:hint="eastAsia"/>
        </w:rPr>
      </w:pPr>
      <w:r>
        <w:rPr>
          <w:rFonts w:hint="eastAsia"/>
        </w:rPr>
        <w:t xml:space="preserve">385.  </w:t>
      </w:r>
      <w:r>
        <w:rPr>
          <w:rFonts w:hint="eastAsia"/>
        </w:rPr>
        <w:t>在决定</w:t>
      </w:r>
      <w:r>
        <w:rPr>
          <w:rFonts w:hint="eastAsia"/>
          <w:lang w:val="fr-FR"/>
        </w:rPr>
        <w:t>合理</w:t>
      </w:r>
      <w:r>
        <w:rPr>
          <w:rFonts w:hint="eastAsia"/>
        </w:rPr>
        <w:t>住房要求的上限方面，对于生活在一起无子女的年轻夫妻，考虑时最多增加两名未出生子女，而对于生活在一起并育有一名子女的年轻夫妻，考虑时再增加一名未出生子女。根据《政令》规定，在签订贷款</w:t>
      </w:r>
      <w:r>
        <w:rPr>
          <w:rFonts w:hint="eastAsia"/>
        </w:rPr>
        <w:t>(</w:t>
      </w:r>
      <w:r>
        <w:rPr>
          <w:rFonts w:hint="eastAsia"/>
        </w:rPr>
        <w:t>销售</w:t>
      </w:r>
      <w:r>
        <w:rPr>
          <w:rFonts w:hint="eastAsia"/>
        </w:rPr>
        <w:t>)</w:t>
      </w:r>
      <w:r>
        <w:rPr>
          <w:rFonts w:hint="eastAsia"/>
        </w:rPr>
        <w:t>合同时，夫妻双方均没有年满</w:t>
      </w:r>
      <w:r>
        <w:rPr>
          <w:rFonts w:hint="eastAsia"/>
        </w:rPr>
        <w:t>35</w:t>
      </w:r>
      <w:r>
        <w:rPr>
          <w:rFonts w:hint="eastAsia"/>
        </w:rPr>
        <w:t>岁，应被视为年轻夫妻。</w:t>
      </w:r>
    </w:p>
    <w:p w:rsidR="00000000" w:rsidRDefault="00000000">
      <w:pPr>
        <w:spacing w:after="320"/>
        <w:ind w:firstLine="510"/>
        <w:rPr>
          <w:rFonts w:hint="eastAsia"/>
        </w:rPr>
      </w:pPr>
      <w:r>
        <w:rPr>
          <w:rFonts w:hint="eastAsia"/>
        </w:rPr>
        <w:t xml:space="preserve">386.  </w:t>
      </w:r>
      <w:r>
        <w:rPr>
          <w:rFonts w:hint="eastAsia"/>
        </w:rPr>
        <w:t>另一项给予直接津贴的条件是，申请人应当利用其可用财务方式结清建造</w:t>
      </w:r>
      <w:r>
        <w:rPr>
          <w:rFonts w:hint="eastAsia"/>
        </w:rPr>
        <w:t>(</w:t>
      </w:r>
      <w:r>
        <w:rPr>
          <w:rFonts w:hint="eastAsia"/>
        </w:rPr>
        <w:t>购买</w:t>
      </w:r>
      <w:r>
        <w:rPr>
          <w:rFonts w:hint="eastAsia"/>
        </w:rPr>
        <w:t>)</w:t>
      </w:r>
      <w:r>
        <w:rPr>
          <w:rFonts w:hint="eastAsia"/>
        </w:rPr>
        <w:t>成本。申请人可用财务方式包括在签订津贴合同前五年内售出的公寓房卖价，扣除市政府和雇主津贴数额，然后结算借给他们的住房金融机构贷款。</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住房津贴</w:t>
      </w:r>
    </w:p>
    <w:p w:rsidR="00000000" w:rsidRDefault="00000000">
      <w:pPr>
        <w:ind w:firstLine="510"/>
        <w:rPr>
          <w:rFonts w:hint="eastAsia"/>
          <w:lang w:val="fr-FR"/>
        </w:rPr>
      </w:pPr>
      <w:r>
        <w:rPr>
          <w:rFonts w:hint="eastAsia"/>
          <w:lang w:val="fr-FR"/>
        </w:rPr>
        <w:t xml:space="preserve">387.  </w:t>
      </w:r>
      <w:r>
        <w:rPr>
          <w:rFonts w:hint="eastAsia"/>
          <w:lang w:val="fr-FR"/>
        </w:rPr>
        <w:t>关于个别建造住宅的经济条件和社会政策津贴的《第</w:t>
      </w:r>
      <w:r>
        <w:rPr>
          <w:rFonts w:hint="eastAsia"/>
          <w:lang w:val="fr-FR"/>
        </w:rPr>
        <w:t>7/1971</w:t>
      </w:r>
      <w:r>
        <w:rPr>
          <w:rFonts w:hint="eastAsia"/>
          <w:lang w:val="fr-FR"/>
        </w:rPr>
        <w:t>号政令》</w:t>
      </w:r>
      <w:r>
        <w:rPr>
          <w:rFonts w:hint="eastAsia"/>
          <w:lang w:val="fr-FR"/>
        </w:rPr>
        <w:t>(</w:t>
      </w:r>
      <w:r>
        <w:rPr>
          <w:rFonts w:hint="eastAsia"/>
          <w:lang w:val="fr-FR"/>
        </w:rPr>
        <w:t>二、</w:t>
      </w:r>
      <w:r>
        <w:rPr>
          <w:rFonts w:hint="eastAsia"/>
          <w:lang w:val="fr-FR"/>
        </w:rPr>
        <w:t>8</w:t>
      </w:r>
      <w:r>
        <w:rPr>
          <w:rFonts w:hint="eastAsia"/>
          <w:lang w:val="fr-FR"/>
        </w:rPr>
        <w:t>、</w:t>
      </w:r>
      <w:r>
        <w:rPr>
          <w:rFonts w:hint="eastAsia"/>
          <w:lang w:val="fr-FR"/>
        </w:rPr>
        <w:t>)</w:t>
      </w:r>
      <w:r>
        <w:rPr>
          <w:rFonts w:hint="eastAsia"/>
          <w:lang w:val="fr-FR"/>
        </w:rPr>
        <w:t>推出了社会政策津贴。《第</w:t>
      </w:r>
      <w:r>
        <w:rPr>
          <w:rFonts w:hint="eastAsia"/>
          <w:lang w:val="fr-FR"/>
        </w:rPr>
        <w:t>141/1994</w:t>
      </w:r>
      <w:r>
        <w:rPr>
          <w:rFonts w:hint="eastAsia"/>
          <w:lang w:val="fr-FR"/>
        </w:rPr>
        <w:t>号政令》</w:t>
      </w:r>
      <w:r>
        <w:rPr>
          <w:rFonts w:hint="eastAsia"/>
          <w:lang w:val="fr-FR"/>
        </w:rPr>
        <w:t>(</w:t>
      </w:r>
      <w:r>
        <w:rPr>
          <w:rFonts w:hint="eastAsia"/>
          <w:lang w:val="fr-FR"/>
        </w:rPr>
        <w:t>十一、</w:t>
      </w:r>
      <w:r>
        <w:rPr>
          <w:rFonts w:hint="eastAsia"/>
          <w:lang w:val="fr-FR"/>
        </w:rPr>
        <w:t>2</w:t>
      </w:r>
      <w:r>
        <w:rPr>
          <w:rFonts w:hint="eastAsia"/>
          <w:lang w:val="fr-FR"/>
        </w:rPr>
        <w:t>、</w:t>
      </w:r>
      <w:r>
        <w:rPr>
          <w:rFonts w:hint="eastAsia"/>
          <w:lang w:val="fr-FR"/>
        </w:rPr>
        <w:t>)</w:t>
      </w:r>
      <w:r>
        <w:rPr>
          <w:rFonts w:hint="eastAsia"/>
          <w:lang w:val="fr-FR"/>
        </w:rPr>
        <w:t>将“社会政策津贴”更名为“住房津贴”。对以往的法规内容简而言之，没有自己独立居住设施的匈牙利公民，如打算拥有规模和价值符合“合理住房要求”的公寓房时并申请津贴来补充自有资金的，可以享受住房津贴。建造私有住宅，或者购买商品房或通过中介转销的非直接出售房，可以直接获得国家补助。对受扶养的子女和受扶养的其他家庭成员来说，住房津贴是不用偿还的国家补助。但是，同一个子女或其他受扶养人只能享受一次国家津贴。出于以下目的可以获得国家津贴</w:t>
      </w:r>
      <w:r>
        <w:rPr>
          <w:rFonts w:hint="eastAsia"/>
          <w:lang w:val="fr-FR"/>
        </w:rPr>
        <w:t>(</w:t>
      </w:r>
      <w:r>
        <w:rPr>
          <w:rFonts w:hint="eastAsia"/>
          <w:lang w:val="fr-FR"/>
        </w:rPr>
        <w:t>《第</w:t>
      </w:r>
      <w:r>
        <w:rPr>
          <w:rFonts w:hint="eastAsia"/>
          <w:lang w:val="fr-FR"/>
        </w:rPr>
        <w:t>12/2001</w:t>
      </w:r>
      <w:r>
        <w:rPr>
          <w:rFonts w:hint="eastAsia"/>
          <w:lang w:val="fr-FR"/>
        </w:rPr>
        <w:t>号政令》</w:t>
      </w:r>
      <w:r>
        <w:rPr>
          <w:rFonts w:hint="eastAsia"/>
          <w:lang w:val="fr-FR"/>
        </w:rPr>
        <w:t>(</w:t>
      </w:r>
      <w:r>
        <w:rPr>
          <w:rFonts w:hint="eastAsia"/>
          <w:lang w:val="fr-FR"/>
        </w:rPr>
        <w:t>一、</w:t>
      </w:r>
      <w:r>
        <w:rPr>
          <w:rFonts w:hint="eastAsia"/>
          <w:lang w:val="fr-FR"/>
        </w:rPr>
        <w:t>31</w:t>
      </w:r>
      <w:r>
        <w:rPr>
          <w:rFonts w:hint="eastAsia"/>
          <w:lang w:val="fr-FR"/>
        </w:rPr>
        <w:t>、</w:t>
      </w:r>
      <w:r>
        <w:rPr>
          <w:rFonts w:hint="eastAsia"/>
          <w:lang w:val="fr-FR"/>
        </w:rPr>
        <w:t>)</w:t>
      </w:r>
      <w:r>
        <w:rPr>
          <w:rFonts w:hint="eastAsia"/>
          <w:lang w:val="fr-FR"/>
        </w:rPr>
        <w:t>和《第</w:t>
      </w:r>
      <w:r>
        <w:rPr>
          <w:rFonts w:hint="eastAsia"/>
          <w:lang w:val="fr-FR"/>
        </w:rPr>
        <w:t>138/2001</w:t>
      </w:r>
      <w:r>
        <w:rPr>
          <w:rFonts w:hint="eastAsia"/>
          <w:lang w:val="fr-FR"/>
        </w:rPr>
        <w:t>号政令》</w:t>
      </w:r>
      <w:r>
        <w:rPr>
          <w:rFonts w:hint="eastAsia"/>
          <w:lang w:val="fr-FR"/>
        </w:rPr>
        <w:t>(</w:t>
      </w:r>
      <w:r>
        <w:rPr>
          <w:rFonts w:hint="eastAsia"/>
          <w:lang w:val="fr-FR"/>
        </w:rPr>
        <w:t>七、</w:t>
      </w:r>
      <w:r>
        <w:rPr>
          <w:rFonts w:hint="eastAsia"/>
          <w:lang w:val="fr-FR"/>
        </w:rPr>
        <w:t>31</w:t>
      </w:r>
      <w:r>
        <w:rPr>
          <w:rFonts w:hint="eastAsia"/>
          <w:lang w:val="fr-FR"/>
        </w:rPr>
        <w:t>、</w:t>
      </w:r>
      <w:r>
        <w:rPr>
          <w:rFonts w:hint="eastAsia"/>
          <w:lang w:val="fr-FR"/>
        </w:rPr>
        <w:t>))</w:t>
      </w:r>
      <w:r>
        <w:rPr>
          <w:rFonts w:hint="eastAsia"/>
          <w:lang w:val="fr-FR"/>
        </w:rPr>
        <w:t>：</w:t>
      </w:r>
    </w:p>
    <w:p w:rsidR="00000000" w:rsidRDefault="00000000">
      <w:pPr>
        <w:numPr>
          <w:ilvl w:val="0"/>
          <w:numId w:val="189"/>
        </w:numPr>
        <w:rPr>
          <w:rFonts w:hint="eastAsia"/>
          <w:lang w:val="fr-FR"/>
        </w:rPr>
      </w:pPr>
      <w:r>
        <w:rPr>
          <w:rFonts w:hint="eastAsia"/>
        </w:rPr>
        <w:t>建造新住宅</w:t>
      </w:r>
      <w:r>
        <w:rPr>
          <w:rFonts w:hint="eastAsia"/>
          <w:lang w:val="fr-FR"/>
        </w:rPr>
        <w:t>(</w:t>
      </w:r>
      <w:r>
        <w:rPr>
          <w:rFonts w:hint="eastAsia"/>
        </w:rPr>
        <w:t>建造不符合新增楼层要求的阁楼除外</w:t>
      </w:r>
      <w:r>
        <w:rPr>
          <w:rFonts w:hint="eastAsia"/>
          <w:lang w:val="fr-FR"/>
        </w:rPr>
        <w:t>)</w:t>
      </w:r>
      <w:r>
        <w:rPr>
          <w:rFonts w:hint="eastAsia"/>
          <w:lang w:val="fr-FR"/>
        </w:rPr>
        <w:t>，</w:t>
      </w:r>
    </w:p>
    <w:p w:rsidR="00000000" w:rsidRDefault="00000000">
      <w:pPr>
        <w:numPr>
          <w:ilvl w:val="0"/>
          <w:numId w:val="189"/>
        </w:numPr>
        <w:rPr>
          <w:rFonts w:hint="eastAsia"/>
        </w:rPr>
      </w:pPr>
      <w:r>
        <w:rPr>
          <w:rFonts w:hint="eastAsia"/>
        </w:rPr>
        <w:t>购买新住宅，</w:t>
      </w:r>
    </w:p>
    <w:p w:rsidR="00000000" w:rsidRDefault="00000000">
      <w:pPr>
        <w:numPr>
          <w:ilvl w:val="0"/>
          <w:numId w:val="189"/>
        </w:numPr>
        <w:rPr>
          <w:rFonts w:hint="eastAsia"/>
        </w:rPr>
      </w:pPr>
      <w:r>
        <w:rPr>
          <w:rFonts w:hint="eastAsia"/>
        </w:rPr>
        <w:t>在申请人至少拥有</w:t>
      </w:r>
      <w:r>
        <w:rPr>
          <w:rFonts w:hint="eastAsia"/>
        </w:rPr>
        <w:t>50%</w:t>
      </w:r>
      <w:r>
        <w:rPr>
          <w:rFonts w:hint="eastAsia"/>
        </w:rPr>
        <w:t>的房屋中进行建造活动，增加房屋面积，使该建筑物至少扩大出一个住宅单位</w:t>
      </w:r>
      <w:r>
        <w:rPr>
          <w:rFonts w:hint="eastAsia"/>
        </w:rPr>
        <w:t>(</w:t>
      </w:r>
      <w:r>
        <w:rPr>
          <w:rFonts w:hint="eastAsia"/>
        </w:rPr>
        <w:t>对于任何人都是这样，而对于扶养三个或三个以上子女的房主来说改造阁楼也包括在其中</w:t>
      </w:r>
      <w:r>
        <w:rPr>
          <w:rFonts w:hint="eastAsia"/>
        </w:rPr>
        <w:t>)</w:t>
      </w:r>
      <w:r>
        <w:rPr>
          <w:rFonts w:hint="eastAsia"/>
        </w:rPr>
        <w:t>。</w:t>
      </w:r>
    </w:p>
    <w:p w:rsidR="00000000" w:rsidRDefault="00000000">
      <w:pPr>
        <w:numPr>
          <w:ilvl w:val="0"/>
          <w:numId w:val="189"/>
        </w:numPr>
        <w:rPr>
          <w:rFonts w:hint="eastAsia"/>
        </w:rPr>
      </w:pPr>
      <w:r>
        <w:rPr>
          <w:rFonts w:hint="eastAsia"/>
        </w:rPr>
        <w:t>2002</w:t>
      </w:r>
      <w:r>
        <w:rPr>
          <w:rFonts w:hint="eastAsia"/>
        </w:rPr>
        <w:t>年</w:t>
      </w:r>
      <w:r>
        <w:rPr>
          <w:rFonts w:hint="eastAsia"/>
        </w:rPr>
        <w:t>8</w:t>
      </w:r>
      <w:r>
        <w:rPr>
          <w:rFonts w:hint="eastAsia"/>
        </w:rPr>
        <w:t>月</w:t>
      </w:r>
      <w:r>
        <w:rPr>
          <w:rFonts w:hint="eastAsia"/>
        </w:rPr>
        <w:t>1</w:t>
      </w:r>
      <w:r>
        <w:rPr>
          <w:rFonts w:hint="eastAsia"/>
        </w:rPr>
        <w:t>日起，有三个或三个以上子女的人员出售房屋并购买另一处更大面积且至少多出一间屋并具有合理便利程度的房屋，购买者有权享受购买后一处房屋的津贴。</w:t>
      </w:r>
    </w:p>
    <w:p w:rsidR="00000000" w:rsidRDefault="00000000">
      <w:pPr>
        <w:spacing w:after="320"/>
        <w:ind w:firstLine="510"/>
        <w:rPr>
          <w:rFonts w:hint="eastAsia"/>
          <w:lang w:val="fr-FR"/>
        </w:rPr>
      </w:pPr>
      <w:r>
        <w:rPr>
          <w:rFonts w:hint="eastAsia"/>
          <w:lang w:val="fr-FR"/>
        </w:rPr>
        <w:t xml:space="preserve">388.  </w:t>
      </w:r>
      <w:r>
        <w:rPr>
          <w:rFonts w:hint="eastAsia"/>
          <w:lang w:val="fr-FR"/>
        </w:rPr>
        <w:t>方便残疾人出入的津贴：为行动受到严重限制的人员建造技术上无障碍的住宅，因而增加额外成本，这部分成本可以获得国家补助金。</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退税补助</w:t>
      </w:r>
    </w:p>
    <w:p w:rsidR="00000000" w:rsidRDefault="00000000">
      <w:pPr>
        <w:spacing w:after="320"/>
        <w:ind w:firstLine="510"/>
        <w:rPr>
          <w:rFonts w:hint="eastAsia"/>
          <w:lang w:val="fr-FR"/>
        </w:rPr>
      </w:pPr>
      <w:r>
        <w:rPr>
          <w:rFonts w:hint="eastAsia"/>
          <w:lang w:val="fr-FR"/>
        </w:rPr>
        <w:t xml:space="preserve">389.  </w:t>
      </w:r>
      <w:r>
        <w:rPr>
          <w:rFonts w:hint="eastAsia"/>
          <w:lang w:val="fr-FR"/>
        </w:rPr>
        <w:t>根据《第</w:t>
      </w:r>
      <w:r>
        <w:rPr>
          <w:rFonts w:hint="eastAsia"/>
          <w:lang w:val="fr-FR"/>
        </w:rPr>
        <w:t>202/1998</w:t>
      </w:r>
      <w:r>
        <w:rPr>
          <w:rFonts w:hint="eastAsia"/>
          <w:lang w:val="fr-FR"/>
        </w:rPr>
        <w:t>号政令》</w:t>
      </w:r>
      <w:r>
        <w:rPr>
          <w:rFonts w:hint="eastAsia"/>
          <w:lang w:val="fr-FR"/>
        </w:rPr>
        <w:t>(</w:t>
      </w:r>
      <w:r>
        <w:rPr>
          <w:rFonts w:hint="eastAsia"/>
          <w:lang w:val="fr-FR"/>
        </w:rPr>
        <w:t>第十二、</w:t>
      </w:r>
      <w:r>
        <w:rPr>
          <w:rFonts w:hint="eastAsia"/>
          <w:lang w:val="fr-FR"/>
        </w:rPr>
        <w:t>19</w:t>
      </w:r>
      <w:r>
        <w:rPr>
          <w:rFonts w:hint="eastAsia"/>
          <w:lang w:val="fr-FR"/>
        </w:rPr>
        <w:t>、</w:t>
      </w:r>
      <w:r>
        <w:rPr>
          <w:rFonts w:hint="eastAsia"/>
          <w:lang w:val="fr-FR"/>
        </w:rPr>
        <w:t>)</w:t>
      </w:r>
      <w:r>
        <w:rPr>
          <w:rFonts w:hint="eastAsia"/>
          <w:lang w:val="fr-FR"/>
        </w:rPr>
        <w:t>的规定，对于</w:t>
      </w:r>
      <w:r>
        <w:rPr>
          <w:rFonts w:hint="eastAsia"/>
          <w:lang w:val="fr-FR"/>
        </w:rPr>
        <w:t>1999</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日以后颁发的建筑许可证，建造者可以享受建造成本的还息补助，而对于此日后的售房交易，买者可以享受买价的还息补助。补助额是获得与建造紧密相关的财务证书后支付的增值税或新购买公寓房发票增值税的</w:t>
      </w:r>
      <w:r>
        <w:rPr>
          <w:rFonts w:hint="eastAsia"/>
          <w:lang w:val="fr-FR"/>
        </w:rPr>
        <w:t>60%</w:t>
      </w:r>
      <w:r>
        <w:rPr>
          <w:rFonts w:hint="eastAsia"/>
          <w:lang w:val="fr-FR"/>
        </w:rPr>
        <w:t>，但每住宅单位不能超过</w:t>
      </w:r>
      <w:r>
        <w:rPr>
          <w:rFonts w:hint="eastAsia"/>
          <w:lang w:val="fr-FR"/>
        </w:rPr>
        <w:t>40</w:t>
      </w:r>
      <w:r>
        <w:rPr>
          <w:rFonts w:hint="eastAsia"/>
          <w:lang w:val="fr-FR"/>
        </w:rPr>
        <w:t>万福林。如果该建筑物使用的是建造者自己投入的资金，只有在收到建筑部门颁发的建筑物使用许可证之后，才可以领取四分之一的补助。</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抵押债券贷款的利息补助</w:t>
      </w:r>
    </w:p>
    <w:p w:rsidR="00000000" w:rsidRDefault="00000000">
      <w:pPr>
        <w:ind w:firstLine="510"/>
        <w:rPr>
          <w:rFonts w:hint="eastAsia"/>
          <w:lang w:val="fr-FR"/>
        </w:rPr>
      </w:pPr>
      <w:r>
        <w:rPr>
          <w:rFonts w:hint="eastAsia"/>
          <w:lang w:val="fr-FR"/>
        </w:rPr>
        <w:t xml:space="preserve">390.  </w:t>
      </w:r>
      <w:r>
        <w:rPr>
          <w:rFonts w:hint="eastAsia"/>
          <w:lang w:val="fr-FR"/>
        </w:rPr>
        <w:t>国家为了降低个人住宅抵押贷款利息，向全国抵押贷款机构发行的抵押债券提供利息补助。贷款可用于购买房屋、建造房屋、扩建房屋、房屋的现代化改造或共管建筑物的共用部分翻修。若是购买房屋，出售者不能是抵押贷款借款人或共同借款人的近亲或未结婚配偶。共同借款人中必须有一人是匈牙利居民。若是建造房屋或新购买房屋，贷款金额不得超过</w:t>
      </w:r>
      <w:r>
        <w:rPr>
          <w:rFonts w:hint="eastAsia"/>
          <w:lang w:val="fr-FR"/>
        </w:rPr>
        <w:t>1,500</w:t>
      </w:r>
      <w:r>
        <w:rPr>
          <w:rFonts w:hint="eastAsia"/>
          <w:lang w:val="fr-FR"/>
        </w:rPr>
        <w:t>万福林；若是购买二手房、扩建房屋和对房屋进行现代化改造，该金额不得超过</w:t>
      </w:r>
      <w:r>
        <w:rPr>
          <w:rFonts w:hint="eastAsia"/>
          <w:lang w:val="fr-FR"/>
        </w:rPr>
        <w:t>500</w:t>
      </w:r>
      <w:r>
        <w:rPr>
          <w:rFonts w:hint="eastAsia"/>
          <w:lang w:val="fr-FR"/>
        </w:rPr>
        <w:t>万福林。若是建造房屋、购买房屋和扩建房屋，借款人和共同借款人及其配偶、未结婚配偶和其他住在一起的家庭成员，必须签署书面声明，他们没有已用于建造房屋、购买房屋和扩建房屋的国家支助贷款，一些允许的特例除外。</w:t>
      </w:r>
    </w:p>
    <w:p w:rsidR="00000000" w:rsidRDefault="00000000">
      <w:pPr>
        <w:ind w:firstLine="510"/>
        <w:rPr>
          <w:rFonts w:hint="eastAsia"/>
          <w:lang w:val="fr-FR"/>
        </w:rPr>
      </w:pPr>
      <w:r>
        <w:rPr>
          <w:rFonts w:hint="eastAsia"/>
          <w:lang w:val="fr-FR"/>
        </w:rPr>
        <w:t xml:space="preserve">391.  </w:t>
      </w:r>
      <w:r>
        <w:rPr>
          <w:rFonts w:hint="eastAsia"/>
          <w:lang w:val="fr-FR"/>
        </w:rPr>
        <w:t>在补助期和贷款利息期内，对于任何合法成本和其他相关费用所收取的联合年利息不得大于政府证券收益率的</w:t>
      </w:r>
      <w:r>
        <w:rPr>
          <w:rFonts w:hint="eastAsia"/>
          <w:lang w:val="fr-FR"/>
        </w:rPr>
        <w:t>110%</w:t>
      </w:r>
      <w:r>
        <w:rPr>
          <w:rFonts w:hint="eastAsia"/>
          <w:lang w:val="fr-FR"/>
        </w:rPr>
        <w:t>，在政府证券收益率上提高</w:t>
      </w:r>
      <w:r>
        <w:rPr>
          <w:rFonts w:hint="eastAsia"/>
          <w:lang w:val="fr-FR"/>
        </w:rPr>
        <w:t>4</w:t>
      </w:r>
      <w:r>
        <w:rPr>
          <w:rFonts w:hint="eastAsia"/>
          <w:lang w:val="fr-FR"/>
        </w:rPr>
        <w:t>个百分点并扣除利息补助。在抵押贷款期前</w:t>
      </w:r>
      <w:r>
        <w:rPr>
          <w:rFonts w:hint="eastAsia"/>
          <w:lang w:val="fr-FR"/>
        </w:rPr>
        <w:t>20</w:t>
      </w:r>
      <w:r>
        <w:rPr>
          <w:rFonts w:hint="eastAsia"/>
          <w:lang w:val="fr-FR"/>
        </w:rPr>
        <w:t>年内可以享有利息补助，这是补助的主要组成部分。若是建造或购买新房，利息补助的利率是与融资抵押债券同期间政府证券平均收益率的</w:t>
      </w:r>
      <w:r>
        <w:rPr>
          <w:rFonts w:hint="eastAsia"/>
          <w:lang w:val="fr-FR"/>
        </w:rPr>
        <w:t>60%</w:t>
      </w:r>
      <w:r>
        <w:rPr>
          <w:rFonts w:hint="eastAsia"/>
          <w:lang w:val="fr-FR"/>
        </w:rPr>
        <w:t>，而若是购买、扩建和现代化改造二手房屋，利息补助利率为政府证券收益率的</w:t>
      </w:r>
      <w:r>
        <w:rPr>
          <w:rFonts w:hint="eastAsia"/>
          <w:lang w:val="fr-FR"/>
        </w:rPr>
        <w:t>40%</w:t>
      </w:r>
      <w:r>
        <w:rPr>
          <w:rFonts w:hint="eastAsia"/>
          <w:lang w:val="fr-FR"/>
        </w:rPr>
        <w:t>。</w:t>
      </w:r>
    </w:p>
    <w:p w:rsidR="00000000" w:rsidRDefault="00000000">
      <w:pPr>
        <w:spacing w:after="320"/>
        <w:ind w:firstLine="510"/>
        <w:rPr>
          <w:rFonts w:hint="eastAsia"/>
          <w:lang w:val="fr-FR"/>
        </w:rPr>
      </w:pPr>
      <w:r>
        <w:rPr>
          <w:rFonts w:hint="eastAsia"/>
          <w:lang w:val="fr-FR"/>
        </w:rPr>
        <w:t xml:space="preserve">392.  </w:t>
      </w:r>
      <w:r>
        <w:rPr>
          <w:rFonts w:hint="eastAsia"/>
          <w:lang w:val="fr-FR"/>
        </w:rPr>
        <w:t>现代化改造包括所有用于提高住房舒适度的施工，例如安装给排水、电力和煤气、建造卫生间、安装或改造中央采暖、安装建筑物绝缘设备、为了节能更换外门和外窗。只有具有适当证书的产品才可以用于建筑施工。</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补充利息补助</w:t>
      </w:r>
    </w:p>
    <w:p w:rsidR="00000000" w:rsidRDefault="00000000">
      <w:pPr>
        <w:spacing w:after="320"/>
        <w:ind w:firstLine="510"/>
        <w:rPr>
          <w:rFonts w:hint="eastAsia"/>
          <w:lang w:val="fr-FR"/>
        </w:rPr>
      </w:pPr>
      <w:r>
        <w:rPr>
          <w:rFonts w:hint="eastAsia"/>
          <w:lang w:val="fr-FR"/>
        </w:rPr>
        <w:t xml:space="preserve">393.  </w:t>
      </w:r>
      <w:r>
        <w:rPr>
          <w:rFonts w:hint="eastAsia"/>
          <w:lang w:val="fr-FR"/>
        </w:rPr>
        <w:t>其中一方是匈牙利居民的夫妻或者扶养子女的居民建造新房或者购买用于出售的新房，这些人员可以要求补充利息补助。不包含建筑用地价格的建筑成本以及包括增值税的购买价格不能超过</w:t>
      </w:r>
      <w:r>
        <w:rPr>
          <w:rFonts w:hint="eastAsia"/>
          <w:lang w:val="fr-FR"/>
        </w:rPr>
        <w:t>3,000</w:t>
      </w:r>
      <w:r>
        <w:rPr>
          <w:rFonts w:hint="eastAsia"/>
          <w:lang w:val="fr-FR"/>
        </w:rPr>
        <w:t>万福林。国家提供</w:t>
      </w:r>
      <w:r>
        <w:rPr>
          <w:rFonts w:hint="eastAsia"/>
          <w:lang w:val="fr-FR"/>
        </w:rPr>
        <w:t>20</w:t>
      </w:r>
      <w:r>
        <w:rPr>
          <w:rFonts w:hint="eastAsia"/>
          <w:lang w:val="fr-FR"/>
        </w:rPr>
        <w:t>年利息补助的贷款金额不得超过</w:t>
      </w:r>
      <w:r>
        <w:rPr>
          <w:rFonts w:hint="eastAsia"/>
          <w:lang w:val="fr-FR"/>
        </w:rPr>
        <w:t>1,500</w:t>
      </w:r>
      <w:r>
        <w:rPr>
          <w:rFonts w:hint="eastAsia"/>
          <w:lang w:val="fr-FR"/>
        </w:rPr>
        <w:t>万福林。申请人对于利用补充利息补助贷款建造或购买的房地产必须至少拥有</w:t>
      </w:r>
      <w:r>
        <w:rPr>
          <w:rFonts w:hint="eastAsia"/>
          <w:lang w:val="fr-FR"/>
        </w:rPr>
        <w:t>50%</w:t>
      </w:r>
      <w:r>
        <w:rPr>
          <w:rFonts w:hint="eastAsia"/>
          <w:lang w:val="fr-FR"/>
        </w:rPr>
        <w:t>权益。建造成本在申请人及其未结婚配偶、受扶养子女和家庭成员之间按共同产权比例分配，贷款金额不能超过建造成本</w:t>
      </w:r>
      <w:r>
        <w:rPr>
          <w:rFonts w:hint="eastAsia"/>
          <w:lang w:val="fr-FR"/>
        </w:rPr>
        <w:t>(</w:t>
      </w:r>
      <w:r>
        <w:rPr>
          <w:rFonts w:hint="eastAsia"/>
          <w:lang w:val="fr-FR"/>
        </w:rPr>
        <w:t>购买价格</w:t>
      </w:r>
      <w:r>
        <w:rPr>
          <w:rFonts w:hint="eastAsia"/>
          <w:lang w:val="fr-FR"/>
        </w:rPr>
        <w:t>)</w:t>
      </w:r>
      <w:r>
        <w:rPr>
          <w:rFonts w:hint="eastAsia"/>
          <w:lang w:val="fr-FR"/>
        </w:rPr>
        <w:t>。补充利息补助为国家政府证券收益率的</w:t>
      </w:r>
      <w:r>
        <w:rPr>
          <w:rFonts w:hint="eastAsia"/>
          <w:lang w:val="fr-FR"/>
        </w:rPr>
        <w:t>60%</w:t>
      </w:r>
      <w:r>
        <w:rPr>
          <w:rFonts w:hint="eastAsia"/>
          <w:lang w:val="fr-FR"/>
        </w:rPr>
        <w:t>。</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建造用于出售或出租的住宅单位的利息补贴</w:t>
      </w:r>
    </w:p>
    <w:p w:rsidR="00000000" w:rsidRDefault="00000000">
      <w:pPr>
        <w:spacing w:after="320"/>
        <w:ind w:firstLine="510"/>
        <w:rPr>
          <w:rFonts w:hint="eastAsia"/>
          <w:lang w:val="fr-FR"/>
        </w:rPr>
      </w:pPr>
      <w:r>
        <w:rPr>
          <w:rFonts w:hint="eastAsia"/>
          <w:lang w:val="fr-FR"/>
        </w:rPr>
        <w:t xml:space="preserve">394.  </w:t>
      </w:r>
      <w:r>
        <w:rPr>
          <w:rFonts w:hint="eastAsia"/>
          <w:lang w:val="fr-FR"/>
        </w:rPr>
        <w:t>如果一个法人实体、非公司组织的公司、私人或独资业主建造了出售给私人或出租的公寓房，并根据合同承诺出售该公寓房或至少出租</w:t>
      </w:r>
      <w:r>
        <w:rPr>
          <w:rFonts w:hint="eastAsia"/>
          <w:lang w:val="fr-FR"/>
        </w:rPr>
        <w:t>20</w:t>
      </w:r>
      <w:r>
        <w:rPr>
          <w:rFonts w:hint="eastAsia"/>
          <w:lang w:val="fr-FR"/>
        </w:rPr>
        <w:t>年，或在具体规定的出租期限内以租代售该公寓，假设公寓的售价</w:t>
      </w:r>
      <w:r>
        <w:rPr>
          <w:rFonts w:hint="eastAsia"/>
          <w:lang w:val="fr-FR"/>
        </w:rPr>
        <w:t>(</w:t>
      </w:r>
      <w:r>
        <w:rPr>
          <w:rFonts w:hint="eastAsia"/>
          <w:lang w:val="fr-FR"/>
        </w:rPr>
        <w:t>不包括建筑用地价格但包括增值税</w:t>
      </w:r>
      <w:r>
        <w:rPr>
          <w:rFonts w:hint="eastAsia"/>
          <w:lang w:val="fr-FR"/>
        </w:rPr>
        <w:t>)</w:t>
      </w:r>
      <w:r>
        <w:rPr>
          <w:rFonts w:hint="eastAsia"/>
          <w:lang w:val="fr-FR"/>
        </w:rPr>
        <w:t>或在出租的情况下其建筑成本不超过</w:t>
      </w:r>
      <w:r>
        <w:rPr>
          <w:rFonts w:hint="eastAsia"/>
          <w:lang w:val="fr-FR"/>
        </w:rPr>
        <w:t>3,000</w:t>
      </w:r>
      <w:r>
        <w:rPr>
          <w:rFonts w:hint="eastAsia"/>
          <w:lang w:val="fr-FR"/>
        </w:rPr>
        <w:t>万福林，基于此目的从借款机构贷款并支付利息，国家对此应当提供补贴。</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翻修住宅楼或建造供水设施的补贴</w:t>
      </w:r>
    </w:p>
    <w:p w:rsidR="00000000" w:rsidRDefault="00000000">
      <w:pPr>
        <w:ind w:firstLine="510"/>
        <w:rPr>
          <w:rFonts w:hint="eastAsia"/>
          <w:lang w:val="fr-FR"/>
        </w:rPr>
      </w:pPr>
      <w:r>
        <w:rPr>
          <w:rFonts w:hint="eastAsia"/>
          <w:lang w:val="fr-FR"/>
        </w:rPr>
        <w:t xml:space="preserve">395.  </w:t>
      </w:r>
      <w:r>
        <w:rPr>
          <w:rFonts w:hint="eastAsia"/>
          <w:lang w:val="fr-FR"/>
        </w:rPr>
        <w:t>如果翻修资金按下述规定的费率生成，并存入贷款机构，为了对住房协会或分购共管的住宅楼里定为共有财产的部分进行现代化改造和翻修，从贷款机构贷款，国家应为还贷提供补贴。还贷的前五年内补贴是利息的</w:t>
      </w:r>
      <w:r>
        <w:rPr>
          <w:rFonts w:hint="eastAsia"/>
          <w:lang w:val="fr-FR"/>
        </w:rPr>
        <w:t>70%</w:t>
      </w:r>
      <w:r>
        <w:rPr>
          <w:rFonts w:hint="eastAsia"/>
          <w:lang w:val="fr-FR"/>
        </w:rPr>
        <w:t>，第二个五年内是利息的</w:t>
      </w:r>
      <w:r>
        <w:rPr>
          <w:rFonts w:hint="eastAsia"/>
          <w:lang w:val="fr-FR"/>
        </w:rPr>
        <w:t>35%</w:t>
      </w:r>
      <w:r>
        <w:rPr>
          <w:rFonts w:hint="eastAsia"/>
          <w:lang w:val="fr-FR"/>
        </w:rPr>
        <w:t>。</w:t>
      </w:r>
    </w:p>
    <w:p w:rsidR="00000000" w:rsidRDefault="00000000">
      <w:pPr>
        <w:ind w:firstLine="510"/>
        <w:rPr>
          <w:rFonts w:hint="eastAsia"/>
          <w:lang w:val="fr-FR"/>
        </w:rPr>
      </w:pPr>
      <w:r>
        <w:rPr>
          <w:lang w:val="fr-FR"/>
        </w:rPr>
        <w:t xml:space="preserve">396.  </w:t>
      </w:r>
      <w:r>
        <w:rPr>
          <w:rFonts w:hint="eastAsia"/>
          <w:lang w:val="fr-FR"/>
        </w:rPr>
        <w:t>资格：如果每月的翻修缴款金额不少于下列数额，对属于分购共管的或住房协会拥有的共管住宅楼的公用部分进行翻修，可以获得利息补贴：</w:t>
      </w:r>
    </w:p>
    <w:p w:rsidR="00000000" w:rsidRDefault="00000000">
      <w:pPr>
        <w:pStyle w:val="a0"/>
        <w:ind w:left="1550"/>
        <w:rPr>
          <w:rFonts w:hint="eastAsia"/>
          <w:lang w:val="fr-FR"/>
        </w:rPr>
      </w:pPr>
      <w:r>
        <w:rPr>
          <w:rFonts w:hint="eastAsia"/>
          <w:lang w:val="fr-FR"/>
        </w:rPr>
        <w:t>在启用或翻修后</w:t>
      </w:r>
      <w:r>
        <w:rPr>
          <w:rFonts w:hint="eastAsia"/>
          <w:lang w:val="fr-FR"/>
        </w:rPr>
        <w:t>15</w:t>
      </w:r>
      <w:r>
        <w:rPr>
          <w:rFonts w:hint="eastAsia"/>
          <w:lang w:val="fr-FR"/>
        </w:rPr>
        <w:t>年内，有、无电梯的住宅楼公寓房分别是</w:t>
      </w:r>
      <w:r>
        <w:rPr>
          <w:rFonts w:hint="eastAsia"/>
          <w:lang w:val="fr-FR"/>
        </w:rPr>
        <w:t>6</w:t>
      </w:r>
      <w:r>
        <w:rPr>
          <w:rFonts w:hint="eastAsia"/>
          <w:lang w:val="fr-FR"/>
        </w:rPr>
        <w:t>福林</w:t>
      </w:r>
      <w:r>
        <w:rPr>
          <w:rFonts w:hint="eastAsia"/>
          <w:lang w:val="fr-FR"/>
        </w:rPr>
        <w:t>/</w:t>
      </w:r>
      <w:r>
        <w:rPr>
          <w:rFonts w:hint="eastAsia"/>
          <w:lang w:val="fr-FR"/>
        </w:rPr>
        <w:t>每平米和</w:t>
      </w:r>
      <w:r>
        <w:rPr>
          <w:rFonts w:hint="eastAsia"/>
          <w:lang w:val="fr-FR"/>
        </w:rPr>
        <w:t>8</w:t>
      </w:r>
      <w:r>
        <w:rPr>
          <w:rFonts w:hint="eastAsia"/>
          <w:lang w:val="fr-FR"/>
        </w:rPr>
        <w:t>福林</w:t>
      </w:r>
      <w:r>
        <w:rPr>
          <w:rFonts w:hint="eastAsia"/>
          <w:lang w:val="fr-FR"/>
        </w:rPr>
        <w:t>/</w:t>
      </w:r>
      <w:r>
        <w:rPr>
          <w:rFonts w:hint="eastAsia"/>
          <w:lang w:val="fr-FR"/>
        </w:rPr>
        <w:t>每平米，</w:t>
      </w:r>
    </w:p>
    <w:p w:rsidR="00000000" w:rsidRDefault="00000000">
      <w:pPr>
        <w:pStyle w:val="a0"/>
        <w:ind w:left="1550"/>
        <w:rPr>
          <w:rFonts w:hint="eastAsia"/>
          <w:lang w:val="fr-FR"/>
        </w:rPr>
      </w:pPr>
      <w:r>
        <w:rPr>
          <w:rFonts w:hint="eastAsia"/>
          <w:lang w:val="fr-FR"/>
        </w:rPr>
        <w:t>在启用或翻修后</w:t>
      </w:r>
      <w:r>
        <w:rPr>
          <w:rFonts w:hint="eastAsia"/>
          <w:lang w:val="fr-FR"/>
        </w:rPr>
        <w:t>16</w:t>
      </w:r>
      <w:r>
        <w:rPr>
          <w:rFonts w:hint="eastAsia"/>
          <w:lang w:val="fr-FR"/>
        </w:rPr>
        <w:t>年至住宅楼的翻修或再次翻修期间，有、无电梯的住宅楼公寓房分别是</w:t>
      </w:r>
      <w:r>
        <w:rPr>
          <w:rFonts w:hint="eastAsia"/>
          <w:lang w:val="fr-FR"/>
        </w:rPr>
        <w:t>10</w:t>
      </w:r>
      <w:r>
        <w:rPr>
          <w:rFonts w:hint="eastAsia"/>
          <w:lang w:val="fr-FR"/>
        </w:rPr>
        <w:t>福林</w:t>
      </w:r>
      <w:r>
        <w:rPr>
          <w:rFonts w:hint="eastAsia"/>
          <w:lang w:val="fr-FR"/>
        </w:rPr>
        <w:t>/</w:t>
      </w:r>
      <w:r>
        <w:rPr>
          <w:rFonts w:hint="eastAsia"/>
          <w:lang w:val="fr-FR"/>
        </w:rPr>
        <w:t>每平米和</w:t>
      </w:r>
      <w:r>
        <w:rPr>
          <w:rFonts w:hint="eastAsia"/>
          <w:lang w:val="fr-FR"/>
        </w:rPr>
        <w:t>12</w:t>
      </w:r>
      <w:r>
        <w:rPr>
          <w:rFonts w:hint="eastAsia"/>
          <w:lang w:val="fr-FR"/>
        </w:rPr>
        <w:t>福林</w:t>
      </w:r>
      <w:r>
        <w:rPr>
          <w:rFonts w:hint="eastAsia"/>
          <w:lang w:val="fr-FR"/>
        </w:rPr>
        <w:t>/</w:t>
      </w:r>
      <w:r>
        <w:rPr>
          <w:rFonts w:hint="eastAsia"/>
          <w:lang w:val="fr-FR"/>
        </w:rPr>
        <w:t>每平米。</w:t>
      </w:r>
    </w:p>
    <w:p w:rsidR="00000000" w:rsidRDefault="00000000">
      <w:pPr>
        <w:spacing w:after="320"/>
        <w:ind w:firstLine="510"/>
        <w:rPr>
          <w:rFonts w:hint="eastAsia"/>
          <w:lang w:val="fr-FR"/>
        </w:rPr>
      </w:pPr>
      <w:r>
        <w:rPr>
          <w:rFonts w:hint="eastAsia"/>
          <w:lang w:val="fr-FR"/>
        </w:rPr>
        <w:t xml:space="preserve">397.  </w:t>
      </w:r>
      <w:r>
        <w:rPr>
          <w:rFonts w:hint="eastAsia"/>
          <w:lang w:val="fr-FR"/>
        </w:rPr>
        <w:t>当某一机构进行当地重要的公共部门工程项目或建造单独的排污设施时，偿还贷款的前五年内，中央预算支付</w:t>
      </w:r>
      <w:r>
        <w:rPr>
          <w:rFonts w:hint="eastAsia"/>
          <w:lang w:val="fr-FR"/>
        </w:rPr>
        <w:t>70%</w:t>
      </w:r>
      <w:r>
        <w:rPr>
          <w:rFonts w:hint="eastAsia"/>
          <w:lang w:val="fr-FR"/>
        </w:rPr>
        <w:t>的利息，之后五年内支付</w:t>
      </w:r>
      <w:r>
        <w:rPr>
          <w:rFonts w:hint="eastAsia"/>
          <w:lang w:val="fr-FR"/>
        </w:rPr>
        <w:t>35%</w:t>
      </w:r>
      <w:r>
        <w:rPr>
          <w:rFonts w:hint="eastAsia"/>
          <w:lang w:val="fr-FR"/>
        </w:rPr>
        <w:t>的利息</w:t>
      </w:r>
      <w:r>
        <w:rPr>
          <w:rFonts w:hint="eastAsia"/>
          <w:spacing w:val="-50"/>
          <w:lang w:val="fr-FR"/>
        </w:rPr>
        <w:t>―</w:t>
      </w:r>
      <w:r>
        <w:rPr>
          <w:rFonts w:hint="eastAsia"/>
          <w:lang w:val="fr-FR"/>
        </w:rPr>
        <w:t>―无论哪个部门执行该项投资，中央预算都替贷款的机构支付相应利息。对于公共用途的排污系统投资，优先贷款最多可以达到全部成本的</w:t>
      </w:r>
      <w:r>
        <w:rPr>
          <w:rFonts w:hint="eastAsia"/>
          <w:lang w:val="fr-FR"/>
        </w:rPr>
        <w:t>65%</w:t>
      </w:r>
      <w:r>
        <w:rPr>
          <w:rFonts w:hint="eastAsia"/>
          <w:lang w:val="fr-FR"/>
        </w:rPr>
        <w:t>。</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给当地政府的利息补贴</w:t>
      </w:r>
    </w:p>
    <w:p w:rsidR="00000000" w:rsidRDefault="00000000">
      <w:pPr>
        <w:spacing w:after="320"/>
        <w:ind w:firstLine="510"/>
        <w:rPr>
          <w:rFonts w:hint="eastAsia"/>
          <w:lang w:val="fr-FR"/>
        </w:rPr>
      </w:pPr>
      <w:r>
        <w:rPr>
          <w:rFonts w:hint="eastAsia"/>
          <w:lang w:val="fr-FR"/>
        </w:rPr>
        <w:t xml:space="preserve">398.  </w:t>
      </w:r>
      <w:r>
        <w:rPr>
          <w:rFonts w:hint="eastAsia"/>
          <w:lang w:val="fr-FR"/>
        </w:rPr>
        <w:t>如果地方政府拥有的住宅或非住宅的租金不超过维修和翻修成本、支助自然实体拥有房屋的翻修成本以及房屋维修和取消突发租金的费用，而且地方政府为了对其拥有的住宅进行翻新和现代化改造</w:t>
      </w:r>
      <w:r>
        <w:rPr>
          <w:rFonts w:hint="eastAsia"/>
          <w:lang w:val="fr-FR"/>
        </w:rPr>
        <w:t>(</w:t>
      </w:r>
      <w:r>
        <w:rPr>
          <w:rFonts w:hint="eastAsia"/>
          <w:lang w:val="fr-FR"/>
        </w:rPr>
        <w:t>不超过</w:t>
      </w:r>
      <w:r>
        <w:rPr>
          <w:rFonts w:hint="eastAsia"/>
          <w:lang w:val="fr-FR"/>
        </w:rPr>
        <w:t>50%</w:t>
      </w:r>
      <w:r>
        <w:rPr>
          <w:rFonts w:hint="eastAsia"/>
          <w:lang w:val="fr-FR"/>
        </w:rPr>
        <w:t>的成本</w:t>
      </w:r>
      <w:r>
        <w:rPr>
          <w:rFonts w:hint="eastAsia"/>
          <w:lang w:val="fr-FR"/>
        </w:rPr>
        <w:t>)</w:t>
      </w:r>
      <w:r>
        <w:rPr>
          <w:rFonts w:hint="eastAsia"/>
          <w:lang w:val="fr-FR"/>
        </w:rPr>
        <w:t>向金融机构贷款，中央预算替贷款的地方政府支付</w:t>
      </w:r>
      <w:r>
        <w:rPr>
          <w:rFonts w:hint="eastAsia"/>
          <w:lang w:val="fr-FR"/>
        </w:rPr>
        <w:t>70%</w:t>
      </w:r>
      <w:r>
        <w:rPr>
          <w:rFonts w:hint="eastAsia"/>
          <w:lang w:val="fr-FR"/>
        </w:rPr>
        <w:t>的利息。</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可从当地政府获得的利息补贴</w:t>
      </w:r>
    </w:p>
    <w:p w:rsidR="00000000" w:rsidRDefault="00000000">
      <w:pPr>
        <w:spacing w:after="320"/>
        <w:ind w:firstLine="510"/>
      </w:pPr>
      <w:r>
        <w:rPr>
          <w:rFonts w:hint="eastAsia"/>
          <w:lang w:val="fr-FR"/>
        </w:rPr>
        <w:t xml:space="preserve">399.  </w:t>
      </w:r>
      <w:r>
        <w:rPr>
          <w:rFonts w:hint="eastAsia"/>
          <w:lang w:val="fr-FR"/>
        </w:rPr>
        <w:t>地方政府对有需要的家庭发放无息贷款或者部分或全部不用偿还的补贴。补贴可用于购买可用建筑用地、新住宅或再出售住宅、扩建、翻修或维修住宅，可支付住房贷款的分期付款或支付住宅的租金费或承担与住宅相关的其他成本。地方政府通过政令建立发放地方补贴的条件。地方政府发放补贴的范围主要取决于地方政府的财务状况。</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住宅房产税补贴</w:t>
      </w:r>
    </w:p>
    <w:p w:rsidR="00000000" w:rsidRDefault="00000000">
      <w:pPr>
        <w:rPr>
          <w:rFonts w:hint="eastAsia"/>
          <w:lang w:val="fr-FR"/>
        </w:rPr>
      </w:pPr>
      <w:r>
        <w:rPr>
          <w:rFonts w:hint="eastAsia"/>
          <w:lang w:val="fr-FR"/>
        </w:rPr>
        <w:tab/>
        <w:t xml:space="preserve">400.  </w:t>
      </w:r>
      <w:r>
        <w:rPr>
          <w:rFonts w:hint="eastAsia"/>
          <w:lang w:val="fr-FR"/>
        </w:rPr>
        <w:t>关于个人所得税的《第一百一十七号法令》</w:t>
      </w:r>
      <w:r>
        <w:rPr>
          <w:rFonts w:hint="eastAsia"/>
          <w:lang w:val="fr-FR"/>
        </w:rPr>
        <w:t>(1995</w:t>
      </w:r>
      <w:r>
        <w:rPr>
          <w:rFonts w:hint="eastAsia"/>
          <w:lang w:val="fr-FR"/>
        </w:rPr>
        <w:t>年</w:t>
      </w:r>
      <w:r>
        <w:rPr>
          <w:rFonts w:hint="eastAsia"/>
          <w:lang w:val="fr-FR"/>
        </w:rPr>
        <w:t>)</w:t>
      </w:r>
      <w:r>
        <w:rPr>
          <w:rFonts w:hint="eastAsia"/>
          <w:lang w:val="fr-FR"/>
        </w:rPr>
        <w:t>对住宅房产税补贴作出了规定。个人应纳税款减少额为放款机构核准数额的</w:t>
      </w:r>
      <w:r>
        <w:rPr>
          <w:rFonts w:hint="eastAsia"/>
          <w:lang w:val="fr-FR"/>
        </w:rPr>
        <w:t>40%</w:t>
      </w:r>
      <w:r>
        <w:rPr>
          <w:rFonts w:hint="eastAsia"/>
          <w:lang w:val="fr-FR"/>
        </w:rPr>
        <w:t>，该数目以</w:t>
      </w:r>
      <w:r>
        <w:rPr>
          <w:rFonts w:hint="eastAsia"/>
          <w:lang w:val="fr-FR"/>
        </w:rPr>
        <w:t>1993</w:t>
      </w:r>
      <w:r>
        <w:rPr>
          <w:rFonts w:hint="eastAsia"/>
          <w:lang w:val="fr-FR"/>
        </w:rPr>
        <w:t>年</w:t>
      </w:r>
      <w:r>
        <w:rPr>
          <w:rFonts w:hint="eastAsia"/>
          <w:lang w:val="fr-FR"/>
        </w:rPr>
        <w:t>12</w:t>
      </w:r>
      <w:r>
        <w:rPr>
          <w:rFonts w:hint="eastAsia"/>
          <w:lang w:val="fr-FR"/>
        </w:rPr>
        <w:t>月</w:t>
      </w:r>
      <w:r>
        <w:rPr>
          <w:rFonts w:hint="eastAsia"/>
          <w:lang w:val="fr-FR"/>
        </w:rPr>
        <w:t>31</w:t>
      </w:r>
      <w:r>
        <w:rPr>
          <w:rFonts w:hint="eastAsia"/>
          <w:lang w:val="fr-FR"/>
        </w:rPr>
        <w:t>日后个人与贷款机构签订的相关合同为基础，是为购住房而贷款的个人在特定纳税年份用于结算本金、利息和杂项支出等费用的金额，但每年不超过</w:t>
      </w:r>
      <w:r>
        <w:rPr>
          <w:rFonts w:hint="eastAsia"/>
          <w:lang w:val="fr-FR"/>
        </w:rPr>
        <w:t>240,000</w:t>
      </w:r>
      <w:r>
        <w:rPr>
          <w:rFonts w:hint="eastAsia"/>
          <w:lang w:val="fr-FR"/>
        </w:rPr>
        <w:t>福林。</w:t>
      </w:r>
    </w:p>
    <w:p w:rsidR="00000000" w:rsidRDefault="00000000">
      <w:pPr>
        <w:rPr>
          <w:rFonts w:hint="eastAsia"/>
          <w:lang w:val="fr-FR"/>
        </w:rPr>
      </w:pPr>
      <w:r>
        <w:rPr>
          <w:rFonts w:hint="eastAsia"/>
          <w:lang w:val="fr-FR"/>
        </w:rPr>
        <w:tab/>
        <w:t xml:space="preserve">401.  </w:t>
      </w:r>
      <w:r>
        <w:rPr>
          <w:rFonts w:hint="eastAsia"/>
          <w:lang w:val="fr-FR"/>
        </w:rPr>
        <w:t>本质上，</w:t>
      </w:r>
      <w:r>
        <w:rPr>
          <w:rFonts w:ascii="Time New Roman" w:eastAsia="SimHei" w:hAnsi="Time New Roman" w:hint="eastAsia"/>
          <w:lang w:val="fr-FR"/>
        </w:rPr>
        <w:t>地方政府有两种福利型援助，以帮助家庭保证有居住场所</w:t>
      </w:r>
      <w:r>
        <w:rPr>
          <w:rFonts w:hint="eastAsia"/>
          <w:lang w:val="fr-FR"/>
        </w:rPr>
        <w:t>：保持住房支助和债务管理服务。</w:t>
      </w:r>
    </w:p>
    <w:p w:rsidR="00000000" w:rsidRDefault="00000000">
      <w:pPr>
        <w:rPr>
          <w:rFonts w:hint="eastAsia"/>
          <w:lang w:val="fr-FR"/>
        </w:rPr>
      </w:pPr>
      <w:r>
        <w:rPr>
          <w:rFonts w:hint="eastAsia"/>
          <w:lang w:val="fr-FR"/>
        </w:rPr>
        <w:tab/>
        <w:t xml:space="preserve">402.  </w:t>
      </w:r>
      <w:r>
        <w:rPr>
          <w:rFonts w:hint="eastAsia"/>
          <w:u w:val="single"/>
          <w:lang w:val="fr-FR"/>
        </w:rPr>
        <w:t>保持住房支助</w:t>
      </w:r>
      <w:r>
        <w:rPr>
          <w:rFonts w:hint="eastAsia"/>
          <w:lang w:val="fr-FR"/>
        </w:rPr>
        <w:t>可用于避免被赶出住房。对于住宅不超过相应家庭规模最低面积和质量的家庭、居住在非住房用途设施中的家庭、没有住房出售或租金收入的家庭，地方政府为这些人员提供该项支助。地方政府通过条例规范支助的发放条件和金额，但是支助金额不得少于</w:t>
      </w:r>
      <w:r>
        <w:rPr>
          <w:rFonts w:hint="eastAsia"/>
          <w:lang w:val="fr-FR"/>
        </w:rPr>
        <w:t>1,000</w:t>
      </w:r>
      <w:r>
        <w:rPr>
          <w:rFonts w:hint="eastAsia"/>
          <w:lang w:val="fr-FR"/>
        </w:rPr>
        <w:t>福林</w:t>
      </w:r>
      <w:r>
        <w:rPr>
          <w:rFonts w:hint="eastAsia"/>
          <w:lang w:val="fr-FR"/>
        </w:rPr>
        <w:t>/</w:t>
      </w:r>
      <w:r>
        <w:rPr>
          <w:rFonts w:hint="eastAsia"/>
          <w:lang w:val="fr-FR"/>
        </w:rPr>
        <w:t>月。</w:t>
      </w:r>
    </w:p>
    <w:p w:rsidR="00000000" w:rsidRDefault="00000000">
      <w:pPr>
        <w:rPr>
          <w:rFonts w:hint="eastAsia"/>
          <w:lang w:val="fr-FR"/>
        </w:rPr>
      </w:pPr>
      <w:r>
        <w:rPr>
          <w:rFonts w:hint="eastAsia"/>
          <w:lang w:val="fr-FR"/>
        </w:rPr>
        <w:tab/>
        <w:t xml:space="preserve">403.  </w:t>
      </w:r>
      <w:r>
        <w:rPr>
          <w:rFonts w:hint="eastAsia"/>
          <w:lang w:val="fr-FR"/>
        </w:rPr>
        <w:t>过去十年中，保持住房费用的增长导致了家庭债务的堆积。匈牙利已经启动了一些行动方案来解决这个问题，但是至多具有暂时性效果。</w:t>
      </w:r>
      <w:r>
        <w:rPr>
          <w:rFonts w:hint="eastAsia"/>
          <w:lang w:val="fr-FR"/>
        </w:rPr>
        <w:t>2003</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日起，《社会法令》使得有可能在地方政府的权限内管理</w:t>
      </w:r>
      <w:r>
        <w:rPr>
          <w:rFonts w:hint="eastAsia"/>
          <w:u w:val="single"/>
          <w:lang w:val="fr-FR"/>
        </w:rPr>
        <w:t>住宅债务</w:t>
      </w:r>
      <w:r>
        <w:rPr>
          <w:rFonts w:hint="eastAsia"/>
          <w:lang w:val="fr-FR"/>
        </w:rPr>
        <w:t>和逐步欠下的款项。这个制度运作有两个支柱部分。一个涉及偿还债务的现金支助，另一个是促进还债能力增长的债务管理咨询服务。</w:t>
      </w:r>
      <w:r>
        <w:rPr>
          <w:rFonts w:hint="eastAsia"/>
          <w:lang w:val="fr-FR"/>
        </w:rPr>
        <w:t>2003</w:t>
      </w:r>
      <w:r>
        <w:rPr>
          <w:rFonts w:hint="eastAsia"/>
          <w:lang w:val="fr-FR"/>
        </w:rPr>
        <w:t>年</w:t>
      </w:r>
      <w:r>
        <w:rPr>
          <w:rFonts w:hint="eastAsia"/>
          <w:lang w:val="fr-FR"/>
        </w:rPr>
        <w:t>12</w:t>
      </w:r>
      <w:r>
        <w:rPr>
          <w:rFonts w:hint="eastAsia"/>
          <w:lang w:val="fr-FR"/>
        </w:rPr>
        <w:t>月，</w:t>
      </w:r>
      <w:r>
        <w:rPr>
          <w:rFonts w:hint="eastAsia"/>
          <w:lang w:val="fr-FR"/>
        </w:rPr>
        <w:t>1,186</w:t>
      </w:r>
      <w:r>
        <w:rPr>
          <w:rFonts w:hint="eastAsia"/>
          <w:lang w:val="fr-FR"/>
        </w:rPr>
        <w:t>人领取了补贴。</w:t>
      </w:r>
    </w:p>
    <w:p w:rsidR="00000000" w:rsidRDefault="00000000">
      <w:pPr>
        <w:rPr>
          <w:rFonts w:hint="eastAsia"/>
          <w:lang w:val="fr-FR"/>
        </w:rPr>
      </w:pPr>
      <w:r>
        <w:rPr>
          <w:rFonts w:hint="eastAsia"/>
          <w:lang w:val="fr-FR"/>
        </w:rPr>
        <w:tab/>
        <w:t xml:space="preserve">404.  </w:t>
      </w:r>
      <w:r>
        <w:rPr>
          <w:rFonts w:hint="eastAsia"/>
          <w:lang w:val="fr-FR"/>
        </w:rPr>
        <w:t>保持住房支助和债务管理服务都由《社会法令》予以规范，该法令涉及居住在匈牙利境内的匈牙利公民、具有永久居留个人身份证的移民、具有永久居留许可的人员和被当局承认为难民的人员。</w:t>
      </w:r>
    </w:p>
    <w:p w:rsidR="00000000" w:rsidRDefault="00000000">
      <w:pPr>
        <w:spacing w:after="160"/>
        <w:rPr>
          <w:rFonts w:hint="eastAsia"/>
          <w:lang w:val="fr-FR"/>
        </w:rPr>
      </w:pPr>
      <w:r>
        <w:rPr>
          <w:rFonts w:hint="eastAsia"/>
          <w:lang w:val="fr-FR"/>
        </w:rPr>
        <w:tab/>
        <w:t xml:space="preserve">405.  </w:t>
      </w:r>
      <w:r>
        <w:rPr>
          <w:rFonts w:hint="eastAsia"/>
          <w:lang w:val="fr-FR"/>
        </w:rPr>
        <w:t>截至</w:t>
      </w:r>
      <w:r>
        <w:rPr>
          <w:rFonts w:hint="eastAsia"/>
          <w:lang w:val="fr-FR"/>
        </w:rPr>
        <w:t>2003</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日，匈牙利有</w:t>
      </w:r>
      <w:r>
        <w:rPr>
          <w:rFonts w:hint="eastAsia"/>
          <w:lang w:val="fr-FR"/>
        </w:rPr>
        <w:t>4,104,000</w:t>
      </w:r>
      <w:r>
        <w:rPr>
          <w:rFonts w:hint="eastAsia"/>
          <w:lang w:val="fr-FR"/>
        </w:rPr>
        <w:t>处住宅单位。我们有两年有关匈牙利住房存量的数据，根据中央统计局资料，这呈现下列趋势</w:t>
      </w:r>
      <w:r>
        <w:rPr>
          <w:rFonts w:hint="eastAsia"/>
          <w:lang w:val="fr-FR"/>
        </w:rPr>
        <w:t>(</w:t>
      </w:r>
      <w:r>
        <w:rPr>
          <w:rFonts w:hint="eastAsia"/>
          <w:lang w:val="fr-FR"/>
        </w:rPr>
        <w:t>引用数据是所有住房，换而言之，是住宅总数。但是，在匈牙利一个家庭通常只住在一处住宅内，因此对于家庭进行统计的结果也相当类似。</w:t>
      </w:r>
      <w:r>
        <w:rPr>
          <w:rFonts w:hint="eastAsia"/>
          <w:lang w:val="fr-FR"/>
        </w:rPr>
        <w:t>)</w:t>
      </w:r>
    </w:p>
    <w:p w:rsidR="00000000" w:rsidRDefault="00000000">
      <w:pPr>
        <w:pStyle w:val="Heading3"/>
        <w:spacing w:after="160"/>
        <w:rPr>
          <w:rFonts w:hint="eastAsia"/>
          <w:lang w:val="en-GB"/>
        </w:rPr>
      </w:pPr>
      <w:r>
        <w:rPr>
          <w:rFonts w:hint="eastAsia"/>
          <w:lang w:val="en-GB"/>
        </w:rPr>
        <w:t>住宅单位的所有权明细表</w:t>
      </w:r>
      <w:r>
        <w:rPr>
          <w:rFonts w:hint="eastAsia"/>
          <w:lang w:val="en-GB"/>
        </w:rPr>
        <w:t>(</w:t>
      </w:r>
      <w:r>
        <w:rPr>
          <w:rFonts w:hint="eastAsia"/>
          <w:lang w:val="en-GB"/>
        </w:rPr>
        <w:t>百分比</w:t>
      </w:r>
      <w:r>
        <w:rPr>
          <w:rFonts w:hint="eastAsia"/>
          <w:lang w:val="en-GB"/>
        </w:rPr>
        <w:t>)</w:t>
      </w:r>
    </w:p>
    <w:tbl>
      <w:tblPr>
        <w:tblW w:w="0" w:type="auto"/>
        <w:jc w:val="center"/>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00"/>
        <w:gridCol w:w="2310"/>
        <w:gridCol w:w="2293"/>
        <w:gridCol w:w="2870"/>
      </w:tblGrid>
      <w:tr w:rsidR="00000000">
        <w:tblPrEx>
          <w:tblCellMar>
            <w:top w:w="0" w:type="dxa"/>
            <w:bottom w:w="0" w:type="dxa"/>
          </w:tblCellMar>
        </w:tblPrEx>
        <w:trPr>
          <w:cantSplit/>
          <w:jc w:val="center"/>
        </w:trPr>
        <w:tc>
          <w:tcPr>
            <w:tcW w:w="1900" w:type="dxa"/>
            <w:vMerge w:val="restart"/>
            <w:vAlign w:val="center"/>
          </w:tcPr>
          <w:p w:rsidR="00000000" w:rsidRDefault="00000000">
            <w:pPr>
              <w:pStyle w:val="a2"/>
              <w:jc w:val="center"/>
              <w:rPr>
                <w:rFonts w:hint="eastAsia"/>
                <w:lang w:val="en-GB"/>
              </w:rPr>
            </w:pPr>
            <w:r>
              <w:rPr>
                <w:rFonts w:hint="eastAsia"/>
                <w:lang w:val="en-GB"/>
              </w:rPr>
              <w:t>年</w:t>
            </w:r>
            <w:r>
              <w:rPr>
                <w:lang w:val="en-GB"/>
              </w:rPr>
              <w:t xml:space="preserve">  </w:t>
            </w:r>
            <w:r>
              <w:rPr>
                <w:rFonts w:hint="eastAsia"/>
                <w:lang w:val="en-GB"/>
              </w:rPr>
              <w:t>度</w:t>
            </w:r>
          </w:p>
        </w:tc>
        <w:tc>
          <w:tcPr>
            <w:tcW w:w="2310" w:type="dxa"/>
            <w:vMerge w:val="restart"/>
            <w:vAlign w:val="center"/>
          </w:tcPr>
          <w:p w:rsidR="00000000" w:rsidRDefault="00000000">
            <w:pPr>
              <w:pStyle w:val="a2"/>
              <w:jc w:val="center"/>
              <w:rPr>
                <w:rFonts w:hint="eastAsia"/>
                <w:lang w:val="en-GB"/>
              </w:rPr>
            </w:pPr>
            <w:r>
              <w:rPr>
                <w:rFonts w:hint="eastAsia"/>
                <w:lang w:val="en-GB"/>
              </w:rPr>
              <w:t>自有住宅</w:t>
            </w:r>
          </w:p>
        </w:tc>
        <w:tc>
          <w:tcPr>
            <w:tcW w:w="5163" w:type="dxa"/>
            <w:gridSpan w:val="2"/>
          </w:tcPr>
          <w:p w:rsidR="00000000" w:rsidRDefault="00000000">
            <w:pPr>
              <w:pStyle w:val="a2"/>
              <w:jc w:val="center"/>
              <w:rPr>
                <w:rFonts w:hint="eastAsia"/>
                <w:lang w:val="en-GB"/>
              </w:rPr>
            </w:pPr>
            <w:r>
              <w:rPr>
                <w:rFonts w:hint="eastAsia"/>
                <w:lang w:val="en-GB"/>
              </w:rPr>
              <w:t>租赁住宅</w:t>
            </w:r>
          </w:p>
        </w:tc>
      </w:tr>
      <w:tr w:rsidR="00000000">
        <w:tblPrEx>
          <w:tblCellMar>
            <w:top w:w="0" w:type="dxa"/>
            <w:bottom w:w="0" w:type="dxa"/>
          </w:tblCellMar>
        </w:tblPrEx>
        <w:trPr>
          <w:cantSplit/>
          <w:jc w:val="center"/>
        </w:trPr>
        <w:tc>
          <w:tcPr>
            <w:tcW w:w="1900" w:type="dxa"/>
            <w:vMerge/>
          </w:tcPr>
          <w:p w:rsidR="00000000" w:rsidRDefault="00000000">
            <w:pPr>
              <w:pStyle w:val="a2"/>
              <w:jc w:val="center"/>
              <w:rPr>
                <w:lang w:val="en-GB"/>
              </w:rPr>
            </w:pPr>
          </w:p>
        </w:tc>
        <w:tc>
          <w:tcPr>
            <w:tcW w:w="2310" w:type="dxa"/>
            <w:vMerge/>
          </w:tcPr>
          <w:p w:rsidR="00000000" w:rsidRDefault="00000000">
            <w:pPr>
              <w:pStyle w:val="a2"/>
              <w:jc w:val="center"/>
              <w:rPr>
                <w:lang w:val="en-GB"/>
              </w:rPr>
            </w:pPr>
          </w:p>
        </w:tc>
        <w:tc>
          <w:tcPr>
            <w:tcW w:w="2293" w:type="dxa"/>
            <w:vAlign w:val="center"/>
          </w:tcPr>
          <w:p w:rsidR="00000000" w:rsidRDefault="00000000">
            <w:pPr>
              <w:pStyle w:val="a2"/>
              <w:jc w:val="center"/>
              <w:rPr>
                <w:rFonts w:hint="eastAsia"/>
                <w:lang w:val="en-GB"/>
              </w:rPr>
            </w:pPr>
            <w:r>
              <w:rPr>
                <w:rFonts w:hint="eastAsia"/>
                <w:lang w:val="en-GB"/>
              </w:rPr>
              <w:t>私人出租</w:t>
            </w:r>
          </w:p>
        </w:tc>
        <w:tc>
          <w:tcPr>
            <w:tcW w:w="2870" w:type="dxa"/>
            <w:vAlign w:val="center"/>
          </w:tcPr>
          <w:p w:rsidR="00000000" w:rsidRDefault="00000000">
            <w:pPr>
              <w:pStyle w:val="a2"/>
              <w:jc w:val="center"/>
              <w:rPr>
                <w:rFonts w:hint="eastAsia"/>
                <w:lang w:val="en-GB"/>
              </w:rPr>
            </w:pPr>
            <w:r>
              <w:rPr>
                <w:rFonts w:hint="eastAsia"/>
                <w:lang w:val="en-GB"/>
              </w:rPr>
              <w:t>地方政府出租</w:t>
            </w:r>
          </w:p>
        </w:tc>
      </w:tr>
      <w:tr w:rsidR="00000000">
        <w:tblPrEx>
          <w:tblCellMar>
            <w:top w:w="0" w:type="dxa"/>
            <w:bottom w:w="0" w:type="dxa"/>
          </w:tblCellMar>
        </w:tblPrEx>
        <w:trPr>
          <w:jc w:val="center"/>
        </w:trPr>
        <w:tc>
          <w:tcPr>
            <w:tcW w:w="1900" w:type="dxa"/>
            <w:vAlign w:val="center"/>
          </w:tcPr>
          <w:p w:rsidR="00000000" w:rsidRDefault="00000000">
            <w:pPr>
              <w:pStyle w:val="a2"/>
              <w:jc w:val="center"/>
              <w:rPr>
                <w:lang w:val="en-GB"/>
              </w:rPr>
            </w:pPr>
            <w:r>
              <w:rPr>
                <w:lang w:val="en-GB"/>
              </w:rPr>
              <w:t>1999</w:t>
            </w:r>
          </w:p>
        </w:tc>
        <w:tc>
          <w:tcPr>
            <w:tcW w:w="2310" w:type="dxa"/>
            <w:vAlign w:val="center"/>
          </w:tcPr>
          <w:p w:rsidR="00000000" w:rsidRDefault="00000000">
            <w:pPr>
              <w:pStyle w:val="a2"/>
              <w:jc w:val="center"/>
              <w:rPr>
                <w:lang w:val="en-GB"/>
              </w:rPr>
            </w:pPr>
            <w:r>
              <w:rPr>
                <w:lang w:val="en-GB"/>
              </w:rPr>
              <w:t>92 %</w:t>
            </w:r>
          </w:p>
        </w:tc>
        <w:tc>
          <w:tcPr>
            <w:tcW w:w="2293" w:type="dxa"/>
            <w:vAlign w:val="center"/>
          </w:tcPr>
          <w:p w:rsidR="00000000" w:rsidRDefault="00000000">
            <w:pPr>
              <w:pStyle w:val="a2"/>
              <w:jc w:val="center"/>
              <w:rPr>
                <w:lang w:val="en-GB"/>
              </w:rPr>
            </w:pPr>
            <w:r>
              <w:rPr>
                <w:lang w:val="en-GB"/>
              </w:rPr>
              <w:t>3 %</w:t>
            </w:r>
          </w:p>
        </w:tc>
        <w:tc>
          <w:tcPr>
            <w:tcW w:w="2870" w:type="dxa"/>
            <w:vAlign w:val="center"/>
          </w:tcPr>
          <w:p w:rsidR="00000000" w:rsidRDefault="00000000">
            <w:pPr>
              <w:pStyle w:val="a2"/>
              <w:jc w:val="center"/>
              <w:rPr>
                <w:lang w:val="en-GB"/>
              </w:rPr>
            </w:pPr>
            <w:r>
              <w:rPr>
                <w:lang w:val="en-GB"/>
              </w:rPr>
              <w:t>5 %</w:t>
            </w:r>
          </w:p>
        </w:tc>
      </w:tr>
      <w:tr w:rsidR="00000000">
        <w:tblPrEx>
          <w:tblCellMar>
            <w:top w:w="0" w:type="dxa"/>
            <w:bottom w:w="0" w:type="dxa"/>
          </w:tblCellMar>
        </w:tblPrEx>
        <w:trPr>
          <w:jc w:val="center"/>
        </w:trPr>
        <w:tc>
          <w:tcPr>
            <w:tcW w:w="1900" w:type="dxa"/>
            <w:vAlign w:val="center"/>
          </w:tcPr>
          <w:p w:rsidR="00000000" w:rsidRDefault="00000000">
            <w:pPr>
              <w:pStyle w:val="a2"/>
              <w:jc w:val="center"/>
              <w:rPr>
                <w:lang w:val="en-GB"/>
              </w:rPr>
            </w:pPr>
            <w:r>
              <w:rPr>
                <w:lang w:val="en-GB"/>
              </w:rPr>
              <w:t>2001</w:t>
            </w:r>
          </w:p>
        </w:tc>
        <w:tc>
          <w:tcPr>
            <w:tcW w:w="2310" w:type="dxa"/>
            <w:vAlign w:val="center"/>
          </w:tcPr>
          <w:p w:rsidR="00000000" w:rsidRDefault="00000000">
            <w:pPr>
              <w:pStyle w:val="a2"/>
              <w:jc w:val="center"/>
              <w:rPr>
                <w:lang w:val="en-GB"/>
              </w:rPr>
            </w:pPr>
            <w:r>
              <w:rPr>
                <w:lang w:val="en-GB"/>
              </w:rPr>
              <w:t>91 %</w:t>
            </w:r>
          </w:p>
        </w:tc>
        <w:tc>
          <w:tcPr>
            <w:tcW w:w="2293" w:type="dxa"/>
            <w:vAlign w:val="center"/>
          </w:tcPr>
          <w:p w:rsidR="00000000" w:rsidRDefault="00000000">
            <w:pPr>
              <w:pStyle w:val="a2"/>
              <w:jc w:val="center"/>
              <w:rPr>
                <w:lang w:val="en-GB"/>
              </w:rPr>
            </w:pPr>
            <w:r>
              <w:rPr>
                <w:lang w:val="en-GB"/>
              </w:rPr>
              <w:t>3 %</w:t>
            </w:r>
          </w:p>
        </w:tc>
        <w:tc>
          <w:tcPr>
            <w:tcW w:w="2870" w:type="dxa"/>
            <w:vAlign w:val="center"/>
          </w:tcPr>
          <w:p w:rsidR="00000000" w:rsidRDefault="00000000">
            <w:pPr>
              <w:pStyle w:val="a2"/>
              <w:jc w:val="center"/>
              <w:rPr>
                <w:lang w:val="en-GB"/>
              </w:rPr>
            </w:pPr>
            <w:r>
              <w:rPr>
                <w:lang w:val="en-GB"/>
              </w:rPr>
              <w:t>6 %</w:t>
            </w:r>
          </w:p>
        </w:tc>
      </w:tr>
    </w:tbl>
    <w:p w:rsidR="00000000" w:rsidRDefault="00000000">
      <w:pPr>
        <w:rPr>
          <w:rFonts w:hint="eastAsia"/>
          <w:spacing w:val="-3"/>
          <w:lang w:val="en-GB"/>
        </w:rPr>
      </w:pPr>
    </w:p>
    <w:p w:rsidR="00000000" w:rsidRDefault="00000000">
      <w:pPr>
        <w:pStyle w:val="Heading3"/>
        <w:jc w:val="left"/>
        <w:rPr>
          <w:rFonts w:eastAsia="KaiTi_GB2312" w:hint="eastAsia"/>
          <w:snapToGrid/>
          <w:spacing w:val="0"/>
          <w:kern w:val="0"/>
          <w:u w:val="none"/>
          <w:lang w:val="fr-FR"/>
        </w:rPr>
      </w:pPr>
      <w:r>
        <w:rPr>
          <w:rFonts w:eastAsia="KaiTi_GB2312" w:hint="eastAsia"/>
          <w:snapToGrid/>
          <w:spacing w:val="0"/>
          <w:kern w:val="0"/>
          <w:u w:val="none"/>
          <w:lang w:val="fr-FR"/>
        </w:rPr>
        <w:t>无家可归人员</w:t>
      </w:r>
    </w:p>
    <w:p w:rsidR="00000000" w:rsidRDefault="00000000">
      <w:pPr>
        <w:rPr>
          <w:rFonts w:hint="eastAsia"/>
          <w:lang w:val="fr-FR"/>
        </w:rPr>
      </w:pPr>
      <w:r>
        <w:rPr>
          <w:rFonts w:hint="eastAsia"/>
          <w:lang w:val="fr-FR"/>
        </w:rPr>
        <w:tab/>
        <w:t xml:space="preserve">406.  </w:t>
      </w:r>
      <w:r>
        <w:rPr>
          <w:rFonts w:hint="eastAsia"/>
          <w:lang w:val="fr-FR"/>
        </w:rPr>
        <w:t>目前，匈牙利有</w:t>
      </w:r>
      <w:r>
        <w:rPr>
          <w:rFonts w:hint="eastAsia"/>
          <w:lang w:val="fr-FR"/>
        </w:rPr>
        <w:t>30</w:t>
      </w:r>
      <w:r>
        <w:rPr>
          <w:lang w:val="fr-FR"/>
        </w:rPr>
        <w:t>,</w:t>
      </w:r>
      <w:r>
        <w:rPr>
          <w:rFonts w:hint="eastAsia"/>
          <w:lang w:val="fr-FR"/>
        </w:rPr>
        <w:t>000</w:t>
      </w:r>
      <w:r>
        <w:rPr>
          <w:rFonts w:hint="eastAsia"/>
          <w:lang w:val="fr-FR"/>
        </w:rPr>
        <w:t>至</w:t>
      </w:r>
      <w:r>
        <w:rPr>
          <w:rFonts w:hint="eastAsia"/>
          <w:lang w:val="fr-FR"/>
        </w:rPr>
        <w:t>35</w:t>
      </w:r>
      <w:r>
        <w:rPr>
          <w:lang w:val="fr-FR"/>
        </w:rPr>
        <w:t>,</w:t>
      </w:r>
      <w:r>
        <w:rPr>
          <w:rFonts w:hint="eastAsia"/>
          <w:lang w:val="fr-FR"/>
        </w:rPr>
        <w:t>000</w:t>
      </w:r>
      <w:r>
        <w:rPr>
          <w:rFonts w:hint="eastAsia"/>
          <w:lang w:val="fr-FR"/>
        </w:rPr>
        <w:t>名无家可归人员，其中</w:t>
      </w:r>
      <w:r>
        <w:rPr>
          <w:rFonts w:hint="eastAsia"/>
          <w:lang w:val="fr-FR"/>
        </w:rPr>
        <w:t>20</w:t>
      </w:r>
      <w:r>
        <w:rPr>
          <w:lang w:val="fr-FR"/>
        </w:rPr>
        <w:t>,</w:t>
      </w:r>
      <w:r>
        <w:rPr>
          <w:rFonts w:hint="eastAsia"/>
          <w:lang w:val="fr-FR"/>
        </w:rPr>
        <w:t>000</w:t>
      </w:r>
      <w:r>
        <w:rPr>
          <w:rFonts w:hint="eastAsia"/>
          <w:lang w:val="fr-FR"/>
        </w:rPr>
        <w:t>人在布达佩斯。全国有近</w:t>
      </w:r>
      <w:r>
        <w:rPr>
          <w:rFonts w:hint="eastAsia"/>
          <w:lang w:val="fr-FR"/>
        </w:rPr>
        <w:t>8</w:t>
      </w:r>
      <w:r>
        <w:rPr>
          <w:lang w:val="fr-FR"/>
        </w:rPr>
        <w:t>,</w:t>
      </w:r>
      <w:r>
        <w:rPr>
          <w:rFonts w:hint="eastAsia"/>
          <w:lang w:val="fr-FR"/>
        </w:rPr>
        <w:t>000</w:t>
      </w:r>
      <w:r>
        <w:rPr>
          <w:rFonts w:hint="eastAsia"/>
          <w:lang w:val="fr-FR"/>
        </w:rPr>
        <w:t>处留宿设施，每天有</w:t>
      </w:r>
      <w:r>
        <w:rPr>
          <w:rFonts w:hint="eastAsia"/>
          <w:lang w:val="fr-FR"/>
        </w:rPr>
        <w:t>5</w:t>
      </w:r>
      <w:r>
        <w:rPr>
          <w:lang w:val="fr-FR"/>
        </w:rPr>
        <w:t>,</w:t>
      </w:r>
      <w:r>
        <w:rPr>
          <w:rFonts w:hint="eastAsia"/>
          <w:lang w:val="fr-FR"/>
        </w:rPr>
        <w:t>000</w:t>
      </w:r>
      <w:r>
        <w:rPr>
          <w:rFonts w:hint="eastAsia"/>
          <w:lang w:val="fr-FR"/>
        </w:rPr>
        <w:t>人服务于日间收容所和施食处，但是在冬季，这些服务已被证明并不足够。近年来，上街接待工作发挥了越来越重要的为无家可归人员提供服务的作用。社会工作者在冬季极其重要，这时他们的有效活动可以避免直接生命危险或长期健康危险。目前，在全国大型城镇有</w:t>
      </w:r>
      <w:r>
        <w:rPr>
          <w:rFonts w:hint="eastAsia"/>
          <w:lang w:val="fr-FR"/>
        </w:rPr>
        <w:t>100</w:t>
      </w:r>
      <w:r>
        <w:rPr>
          <w:rFonts w:hint="eastAsia"/>
          <w:lang w:val="fr-FR"/>
        </w:rPr>
        <w:t>家社会服务机构运营。</w:t>
      </w:r>
    </w:p>
    <w:p w:rsidR="00000000" w:rsidRDefault="00000000">
      <w:pPr>
        <w:rPr>
          <w:rFonts w:hint="eastAsia"/>
          <w:lang w:val="fr-FR"/>
        </w:rPr>
      </w:pPr>
      <w:r>
        <w:rPr>
          <w:rFonts w:hint="eastAsia"/>
          <w:lang w:val="fr-FR"/>
        </w:rPr>
        <w:tab/>
        <w:t xml:space="preserve">407.  </w:t>
      </w:r>
      <w:r>
        <w:rPr>
          <w:rFonts w:hint="eastAsia"/>
          <w:lang w:val="fr-FR"/>
        </w:rPr>
        <w:t>自</w:t>
      </w:r>
      <w:r>
        <w:rPr>
          <w:rFonts w:hint="eastAsia"/>
          <w:lang w:val="fr-FR"/>
        </w:rPr>
        <w:t>2004</w:t>
      </w:r>
      <w:r>
        <w:rPr>
          <w:rFonts w:hint="eastAsia"/>
          <w:lang w:val="fr-FR"/>
        </w:rPr>
        <w:t>年</w:t>
      </w:r>
      <w:r>
        <w:rPr>
          <w:rFonts w:hint="eastAsia"/>
          <w:lang w:val="fr-FR"/>
        </w:rPr>
        <w:t>1</w:t>
      </w:r>
      <w:r>
        <w:rPr>
          <w:rFonts w:hint="eastAsia"/>
          <w:lang w:val="fr-FR"/>
        </w:rPr>
        <w:t>月</w:t>
      </w:r>
      <w:r>
        <w:rPr>
          <w:rFonts w:hint="eastAsia"/>
          <w:lang w:val="fr-FR"/>
        </w:rPr>
        <w:t>1</w:t>
      </w:r>
      <w:r>
        <w:rPr>
          <w:rFonts w:hint="eastAsia"/>
          <w:lang w:val="fr-FR"/>
        </w:rPr>
        <w:t>日起，在</w:t>
      </w:r>
      <w:r>
        <w:rPr>
          <w:rFonts w:hint="eastAsia"/>
          <w:lang w:val="fr-FR"/>
        </w:rPr>
        <w:t>6</w:t>
      </w:r>
      <w:r>
        <w:rPr>
          <w:rFonts w:hint="eastAsia"/>
          <w:lang w:val="fr-FR"/>
        </w:rPr>
        <w:t>个区域性地点和布达佩斯的</w:t>
      </w:r>
      <w:r>
        <w:rPr>
          <w:rFonts w:hint="eastAsia"/>
          <w:lang w:val="fr-FR"/>
        </w:rPr>
        <w:t>4</w:t>
      </w:r>
      <w:r>
        <w:rPr>
          <w:rFonts w:hint="eastAsia"/>
          <w:lang w:val="fr-FR"/>
        </w:rPr>
        <w:t>个地方创建了</w:t>
      </w:r>
      <w:r>
        <w:rPr>
          <w:rFonts w:hint="eastAsia"/>
          <w:lang w:val="fr-FR"/>
        </w:rPr>
        <w:t>24</w:t>
      </w:r>
      <w:r>
        <w:rPr>
          <w:rFonts w:hint="eastAsia"/>
          <w:lang w:val="fr-FR"/>
        </w:rPr>
        <w:t>小时卫生中心，其中前四家已在流动医疗服务的辅助下开始运做。这些中心是提供紧急服务、消毒浴、观察和看护治疗等街头社会工作的基础服务设施。</w:t>
      </w:r>
    </w:p>
    <w:p w:rsidR="00000000" w:rsidRDefault="00000000">
      <w:pPr>
        <w:spacing w:after="240"/>
        <w:rPr>
          <w:rFonts w:hint="eastAsia"/>
          <w:lang w:val="fr-FR"/>
        </w:rPr>
      </w:pPr>
      <w:r>
        <w:rPr>
          <w:rFonts w:hint="eastAsia"/>
          <w:lang w:val="fr-FR"/>
        </w:rPr>
        <w:tab/>
        <w:t xml:space="preserve">408.  </w:t>
      </w:r>
      <w:r>
        <w:rPr>
          <w:rFonts w:hint="eastAsia"/>
          <w:lang w:val="fr-FR"/>
        </w:rPr>
        <w:t>因为只有一部分无家可归人员在使用这些食宿设施，目前被称之为白天收容所的这些机构的服务发展以及已有模式的综合至关重要，所以通过一系列广泛的服务可以在白天看护系统内提供建立联系的最佳机会。在沐浴、洗衣和烹饪等现有的白天服务之外，我们希望提供信息、行李保管、通信地址、法律援助、使用计算机和互联网、寻找工作和培训等服务。</w:t>
      </w:r>
    </w:p>
    <w:p w:rsidR="00000000" w:rsidRDefault="00000000">
      <w:pPr>
        <w:pStyle w:val="Heading3"/>
        <w:jc w:val="left"/>
        <w:rPr>
          <w:rFonts w:eastAsia="KaiTi_GB2312" w:hint="eastAsia"/>
          <w:snapToGrid/>
          <w:spacing w:val="0"/>
          <w:kern w:val="0"/>
          <w:u w:val="none"/>
          <w:lang w:val="fr-FR"/>
        </w:rPr>
      </w:pPr>
      <w:r>
        <w:rPr>
          <w:rFonts w:eastAsia="KaiTi_GB2312" w:hint="eastAsia"/>
          <w:snapToGrid/>
          <w:spacing w:val="0"/>
          <w:kern w:val="0"/>
          <w:u w:val="none"/>
          <w:lang w:val="fr-FR"/>
        </w:rPr>
        <w:t>无家可归者临时收容所</w:t>
      </w:r>
    </w:p>
    <w:p w:rsidR="00000000" w:rsidRDefault="00000000">
      <w:pPr>
        <w:rPr>
          <w:rFonts w:hint="eastAsia"/>
          <w:lang w:val="fr-FR"/>
        </w:rPr>
      </w:pPr>
      <w:r>
        <w:rPr>
          <w:rFonts w:hint="eastAsia"/>
          <w:lang w:val="fr-FR"/>
        </w:rPr>
        <w:tab/>
        <w:t xml:space="preserve">409.  </w:t>
      </w:r>
      <w:r>
        <w:rPr>
          <w:rFonts w:hint="eastAsia"/>
          <w:lang w:val="fr-FR"/>
        </w:rPr>
        <w:t>无家可归临时收容所可供夜宿、冲洗及加热食物和用餐、隔离病人、集体消遣。对进入收容所的人员，提供下列用品和服务：</w:t>
      </w:r>
    </w:p>
    <w:p w:rsidR="00000000" w:rsidRDefault="00000000">
      <w:pPr>
        <w:pStyle w:val="a0"/>
        <w:ind w:left="1550"/>
        <w:rPr>
          <w:rFonts w:hint="eastAsia"/>
          <w:lang w:val="fr-FR"/>
        </w:rPr>
      </w:pPr>
      <w:r>
        <w:rPr>
          <w:rFonts w:hint="eastAsia"/>
          <w:lang w:val="fr-FR"/>
        </w:rPr>
        <w:t>卧具，</w:t>
      </w:r>
    </w:p>
    <w:p w:rsidR="00000000" w:rsidRDefault="00000000">
      <w:pPr>
        <w:pStyle w:val="a0"/>
        <w:ind w:left="1550"/>
        <w:rPr>
          <w:rFonts w:hint="eastAsia"/>
          <w:lang w:val="fr-FR"/>
        </w:rPr>
      </w:pPr>
      <w:r>
        <w:rPr>
          <w:rFonts w:hint="eastAsia"/>
          <w:lang w:val="fr-FR"/>
        </w:rPr>
        <w:t>洗净的衣服和毛巾，</w:t>
      </w:r>
    </w:p>
    <w:p w:rsidR="00000000" w:rsidRDefault="00000000">
      <w:pPr>
        <w:pStyle w:val="a0"/>
        <w:ind w:left="1550"/>
        <w:rPr>
          <w:rFonts w:hint="eastAsia"/>
          <w:lang w:val="fr-FR"/>
        </w:rPr>
      </w:pPr>
      <w:r>
        <w:rPr>
          <w:rFonts w:hint="eastAsia"/>
          <w:lang w:val="fr-FR"/>
        </w:rPr>
        <w:t>个人衣物洗烫设施，</w:t>
      </w:r>
    </w:p>
    <w:p w:rsidR="00000000" w:rsidRDefault="00000000">
      <w:pPr>
        <w:pStyle w:val="a0"/>
        <w:ind w:left="1550"/>
        <w:rPr>
          <w:rFonts w:hint="eastAsia"/>
          <w:lang w:val="fr-FR"/>
        </w:rPr>
      </w:pPr>
      <w:r>
        <w:rPr>
          <w:rFonts w:hint="eastAsia"/>
          <w:lang w:val="fr-FR"/>
        </w:rPr>
        <w:t>放置个人物品的安全处所，</w:t>
      </w:r>
    </w:p>
    <w:p w:rsidR="00000000" w:rsidRDefault="00000000">
      <w:pPr>
        <w:pStyle w:val="a0"/>
        <w:ind w:left="1550"/>
        <w:rPr>
          <w:rFonts w:hint="eastAsia"/>
          <w:lang w:val="fr-FR"/>
        </w:rPr>
      </w:pPr>
      <w:r>
        <w:rPr>
          <w:rFonts w:hint="eastAsia"/>
          <w:lang w:val="fr-FR"/>
        </w:rPr>
        <w:t>急救设备。</w:t>
      </w:r>
    </w:p>
    <w:p w:rsidR="00000000" w:rsidRDefault="00000000">
      <w:pPr>
        <w:rPr>
          <w:rFonts w:hint="eastAsia"/>
          <w:lang w:val="fr-FR"/>
        </w:rPr>
      </w:pPr>
      <w:r>
        <w:rPr>
          <w:rFonts w:hint="eastAsia"/>
          <w:lang w:val="fr-FR"/>
        </w:rPr>
        <w:tab/>
        <w:t xml:space="preserve">410.  </w:t>
      </w:r>
      <w:r>
        <w:rPr>
          <w:rFonts w:hint="eastAsia"/>
          <w:lang w:val="fr-FR"/>
        </w:rPr>
        <w:t>临时收容所的开放时间根据所提供的照料活动而定，但每天至少开放</w:t>
      </w:r>
      <w:r>
        <w:rPr>
          <w:rFonts w:hint="eastAsia"/>
          <w:lang w:val="fr-FR"/>
        </w:rPr>
        <w:t>16</w:t>
      </w:r>
      <w:r>
        <w:rPr>
          <w:rFonts w:hint="eastAsia"/>
          <w:lang w:val="fr-FR"/>
        </w:rPr>
        <w:t>小时。临时收容所内对无家可归人员的社会福利和精神健康服务每天必须至少六小时。临时收容所的社会福利和精神健康服务特别是由下列活动组成：</w:t>
      </w:r>
    </w:p>
    <w:p w:rsidR="00000000" w:rsidRDefault="00000000">
      <w:pPr>
        <w:pStyle w:val="a0"/>
        <w:ind w:left="1550"/>
        <w:rPr>
          <w:rFonts w:hint="eastAsia"/>
          <w:lang w:val="fr-FR"/>
        </w:rPr>
      </w:pPr>
      <w:r>
        <w:rPr>
          <w:rFonts w:hint="eastAsia"/>
          <w:lang w:val="fr-FR"/>
        </w:rPr>
        <w:t>个人照料管理、团体社会工作、社区社会工作</w:t>
      </w:r>
    </w:p>
    <w:p w:rsidR="00000000" w:rsidRDefault="00000000">
      <w:pPr>
        <w:pStyle w:val="a0"/>
        <w:ind w:left="1550"/>
        <w:rPr>
          <w:rFonts w:hint="eastAsia"/>
          <w:lang w:val="fr-FR"/>
        </w:rPr>
      </w:pPr>
      <w:r>
        <w:rPr>
          <w:rFonts w:hint="eastAsia"/>
          <w:lang w:val="fr-FR"/>
        </w:rPr>
        <w:t>对出临时收容所以后生活的个性化援助，</w:t>
      </w:r>
    </w:p>
    <w:p w:rsidR="00000000" w:rsidRDefault="00000000">
      <w:pPr>
        <w:pStyle w:val="a0"/>
        <w:ind w:left="1550"/>
        <w:rPr>
          <w:rFonts w:hint="eastAsia"/>
          <w:lang w:val="fr-FR"/>
        </w:rPr>
      </w:pPr>
      <w:r>
        <w:rPr>
          <w:rFonts w:hint="eastAsia"/>
          <w:lang w:val="fr-FR"/>
        </w:rPr>
        <w:t>组织收容所内社交生活，</w:t>
      </w:r>
    </w:p>
    <w:p w:rsidR="00000000" w:rsidRDefault="00000000">
      <w:pPr>
        <w:pStyle w:val="a0"/>
        <w:ind w:left="1550"/>
        <w:rPr>
          <w:rFonts w:hint="eastAsia"/>
          <w:lang w:val="fr-FR"/>
        </w:rPr>
      </w:pPr>
      <w:r>
        <w:rPr>
          <w:rFonts w:hint="eastAsia"/>
          <w:lang w:val="fr-FR"/>
        </w:rPr>
        <w:t>康复治疗，</w:t>
      </w:r>
    </w:p>
    <w:p w:rsidR="00000000" w:rsidRDefault="00000000">
      <w:pPr>
        <w:pStyle w:val="a0"/>
        <w:ind w:left="1550"/>
        <w:rPr>
          <w:rFonts w:hint="eastAsia"/>
          <w:lang w:val="fr-FR"/>
        </w:rPr>
      </w:pPr>
      <w:r>
        <w:rPr>
          <w:rFonts w:hint="eastAsia"/>
          <w:lang w:val="fr-FR"/>
        </w:rPr>
        <w:t>协助重建</w:t>
      </w:r>
      <w:r>
        <w:rPr>
          <w:rFonts w:hint="eastAsia"/>
          <w:lang w:val="fr-FR"/>
        </w:rPr>
        <w:t>/</w:t>
      </w:r>
      <w:r>
        <w:rPr>
          <w:rFonts w:hint="eastAsia"/>
          <w:lang w:val="fr-FR"/>
        </w:rPr>
        <w:t>维持家庭和社会联系，</w:t>
      </w:r>
    </w:p>
    <w:p w:rsidR="00000000" w:rsidRDefault="00000000">
      <w:pPr>
        <w:pStyle w:val="a0"/>
        <w:spacing w:after="240"/>
        <w:ind w:left="1550"/>
        <w:rPr>
          <w:rFonts w:hint="eastAsia"/>
          <w:lang w:val="fr-FR"/>
        </w:rPr>
      </w:pPr>
      <w:r>
        <w:rPr>
          <w:rFonts w:hint="eastAsia"/>
          <w:lang w:val="fr-FR"/>
        </w:rPr>
        <w:t>协助办理行政事项。</w:t>
      </w:r>
    </w:p>
    <w:p w:rsidR="00000000" w:rsidRDefault="00000000">
      <w:pPr>
        <w:pStyle w:val="Heading3"/>
        <w:jc w:val="left"/>
        <w:rPr>
          <w:rFonts w:eastAsia="KaiTi_GB2312" w:hint="eastAsia"/>
          <w:snapToGrid/>
          <w:spacing w:val="0"/>
          <w:kern w:val="0"/>
          <w:u w:val="none"/>
          <w:lang w:val="fr-FR"/>
        </w:rPr>
      </w:pPr>
      <w:r>
        <w:rPr>
          <w:rFonts w:eastAsia="KaiTi_GB2312" w:hint="eastAsia"/>
          <w:snapToGrid/>
          <w:spacing w:val="0"/>
          <w:kern w:val="0"/>
          <w:u w:val="none"/>
          <w:lang w:val="fr-FR"/>
        </w:rPr>
        <w:t>无家可归人员的夜间收容所</w:t>
      </w:r>
    </w:p>
    <w:p w:rsidR="00000000" w:rsidRDefault="00000000">
      <w:pPr>
        <w:spacing w:after="240"/>
        <w:rPr>
          <w:rFonts w:hint="eastAsia"/>
          <w:lang w:val="fr-FR"/>
        </w:rPr>
      </w:pPr>
      <w:r>
        <w:rPr>
          <w:rFonts w:hint="eastAsia"/>
          <w:lang w:val="fr-FR"/>
        </w:rPr>
        <w:tab/>
        <w:t xml:space="preserve">411.  </w:t>
      </w:r>
      <w:r>
        <w:rPr>
          <w:rFonts w:hint="eastAsia"/>
          <w:lang w:val="fr-FR"/>
        </w:rPr>
        <w:t>无家可归人员的夜间收容所在同一间屋内最多只可安置</w:t>
      </w:r>
      <w:r>
        <w:rPr>
          <w:rFonts w:hint="eastAsia"/>
          <w:lang w:val="fr-FR"/>
        </w:rPr>
        <w:t>20</w:t>
      </w:r>
      <w:r>
        <w:rPr>
          <w:rFonts w:hint="eastAsia"/>
          <w:lang w:val="fr-FR"/>
        </w:rPr>
        <w:t>人。夜间收容所于傍晚和夜晚开放，一天至少开放</w:t>
      </w:r>
      <w:r>
        <w:rPr>
          <w:rFonts w:hint="eastAsia"/>
          <w:lang w:val="fr-FR"/>
        </w:rPr>
        <w:t>14</w:t>
      </w:r>
      <w:r>
        <w:rPr>
          <w:rFonts w:hint="eastAsia"/>
          <w:lang w:val="fr-FR"/>
        </w:rPr>
        <w:t>小时。夜间收容所在开放时间内安排合格人员值班，以避免和处理任何冲突。夜间收容所必须雇佣一名社会工作者一天至少工作四小时来处理社会工作。社会工作主要包括：提供福利信息和获得照料资格方面的咨询。</w:t>
      </w:r>
    </w:p>
    <w:p w:rsidR="00000000" w:rsidRDefault="00000000">
      <w:pPr>
        <w:pStyle w:val="Heading3"/>
        <w:jc w:val="left"/>
        <w:rPr>
          <w:rFonts w:eastAsia="KaiTi_GB2312" w:hint="eastAsia"/>
          <w:snapToGrid/>
          <w:spacing w:val="0"/>
          <w:kern w:val="0"/>
          <w:u w:val="none"/>
          <w:lang w:val="fr-FR"/>
        </w:rPr>
      </w:pPr>
      <w:r>
        <w:rPr>
          <w:rFonts w:eastAsia="KaiTi_GB2312" w:hint="eastAsia"/>
          <w:snapToGrid/>
          <w:spacing w:val="0"/>
          <w:kern w:val="0"/>
          <w:u w:val="none"/>
          <w:lang w:val="fr-FR"/>
        </w:rPr>
        <w:t>无家可归人员居所</w:t>
      </w:r>
    </w:p>
    <w:p w:rsidR="00000000" w:rsidRDefault="00000000">
      <w:pPr>
        <w:spacing w:after="240"/>
        <w:rPr>
          <w:rFonts w:hint="eastAsia"/>
          <w:lang w:val="fr-FR"/>
        </w:rPr>
      </w:pPr>
      <w:r>
        <w:rPr>
          <w:rFonts w:hint="eastAsia"/>
          <w:lang w:val="fr-FR"/>
        </w:rPr>
        <w:tab/>
        <w:t xml:space="preserve">412.  </w:t>
      </w:r>
      <w:r>
        <w:rPr>
          <w:rFonts w:hint="eastAsia"/>
          <w:lang w:val="fr-FR"/>
        </w:rPr>
        <w:t>由于年龄和健康状况需要加强照顾，因此在临时收容所不能得到照顾的无家可归人员可以进入居所。在居所内，必须为无家可归人员提供特殊精神健康治疗，尤其关注因无家可归造成的生活方式方面的具体情况。无家可归人员居所内的保健必须包括：常规治疗、疾病预防、卫生监测、内科专家组织的治疗、看护、保健康复以及在必要的情况下组织住院治疗。</w:t>
      </w:r>
    </w:p>
    <w:p w:rsidR="00000000" w:rsidRDefault="00000000">
      <w:pPr>
        <w:pStyle w:val="Heading3"/>
        <w:jc w:val="left"/>
        <w:rPr>
          <w:rFonts w:eastAsia="KaiTi_GB2312" w:hint="eastAsia"/>
          <w:snapToGrid/>
          <w:spacing w:val="0"/>
          <w:kern w:val="0"/>
          <w:u w:val="none"/>
          <w:lang w:val="fr-FR"/>
        </w:rPr>
      </w:pPr>
      <w:r>
        <w:rPr>
          <w:rFonts w:eastAsia="KaiTi_GB2312" w:hint="eastAsia"/>
          <w:snapToGrid/>
          <w:spacing w:val="0"/>
          <w:kern w:val="0"/>
          <w:u w:val="none"/>
          <w:lang w:val="fr-FR"/>
        </w:rPr>
        <w:t>无家可归人员的制度性复原</w:t>
      </w:r>
    </w:p>
    <w:p w:rsidR="00000000" w:rsidRDefault="00000000">
      <w:pPr>
        <w:rPr>
          <w:rFonts w:hint="eastAsia"/>
          <w:lang w:val="fr-FR"/>
        </w:rPr>
      </w:pPr>
      <w:r>
        <w:rPr>
          <w:rFonts w:hint="eastAsia"/>
          <w:lang w:val="fr-FR"/>
        </w:rPr>
        <w:tab/>
        <w:t xml:space="preserve">413.  </w:t>
      </w:r>
      <w:r>
        <w:rPr>
          <w:rFonts w:hint="eastAsia"/>
          <w:lang w:val="fr-FR"/>
        </w:rPr>
        <w:t>无家可归人员的制度性复原是一项基本任务。它计划在下列方面帮助接受康复治疗人员：</w:t>
      </w:r>
    </w:p>
    <w:p w:rsidR="00000000" w:rsidRDefault="00000000">
      <w:pPr>
        <w:pStyle w:val="a0"/>
        <w:ind w:left="1550"/>
        <w:rPr>
          <w:rFonts w:hint="eastAsia"/>
          <w:lang w:val="fr-FR"/>
        </w:rPr>
      </w:pPr>
      <w:r>
        <w:rPr>
          <w:rFonts w:hint="eastAsia"/>
          <w:lang w:val="fr-FR"/>
        </w:rPr>
        <w:t>恢复和逐渐养成独立生活能力，</w:t>
      </w:r>
    </w:p>
    <w:p w:rsidR="00000000" w:rsidRDefault="00000000">
      <w:pPr>
        <w:pStyle w:val="a0"/>
        <w:ind w:left="1550"/>
        <w:rPr>
          <w:rFonts w:hint="eastAsia"/>
          <w:lang w:val="fr-FR"/>
        </w:rPr>
      </w:pPr>
      <w:r>
        <w:rPr>
          <w:rFonts w:hint="eastAsia"/>
          <w:lang w:val="fr-FR"/>
        </w:rPr>
        <w:t>恢复工作能力，</w:t>
      </w:r>
    </w:p>
    <w:p w:rsidR="00000000" w:rsidRDefault="00000000">
      <w:pPr>
        <w:pStyle w:val="a0"/>
        <w:ind w:left="1550"/>
        <w:rPr>
          <w:rFonts w:hint="eastAsia"/>
          <w:lang w:val="fr-FR"/>
        </w:rPr>
      </w:pPr>
      <w:r>
        <w:rPr>
          <w:rFonts w:hint="eastAsia"/>
          <w:lang w:val="fr-FR"/>
        </w:rPr>
        <w:t>恢复和保持居所，</w:t>
      </w:r>
    </w:p>
    <w:p w:rsidR="00000000" w:rsidRDefault="00000000">
      <w:pPr>
        <w:pStyle w:val="a0"/>
        <w:ind w:left="1550"/>
        <w:rPr>
          <w:rFonts w:hint="eastAsia"/>
          <w:lang w:val="fr-FR"/>
        </w:rPr>
      </w:pPr>
      <w:r>
        <w:rPr>
          <w:rFonts w:hint="eastAsia"/>
          <w:lang w:val="fr-FR"/>
        </w:rPr>
        <w:t>培养建立和保持联系的能力、维持社会关系的能力以及接受公共生活规范的能力，</w:t>
      </w:r>
    </w:p>
    <w:p w:rsidR="00000000" w:rsidRDefault="00000000">
      <w:pPr>
        <w:pStyle w:val="a0"/>
        <w:ind w:left="1550"/>
        <w:rPr>
          <w:rFonts w:hint="eastAsia"/>
          <w:lang w:val="fr-FR"/>
        </w:rPr>
      </w:pPr>
      <w:r>
        <w:rPr>
          <w:rFonts w:hint="eastAsia"/>
          <w:lang w:val="fr-FR"/>
        </w:rPr>
        <w:t>学会在文化上融入社会和开展休闲活动。</w:t>
      </w:r>
    </w:p>
    <w:p w:rsidR="00000000" w:rsidRDefault="00000000">
      <w:pPr>
        <w:rPr>
          <w:rFonts w:hint="eastAsia"/>
          <w:lang w:val="fr-FR"/>
        </w:rPr>
      </w:pPr>
      <w:r>
        <w:rPr>
          <w:rFonts w:hint="eastAsia"/>
          <w:lang w:val="fr-FR"/>
        </w:rPr>
        <w:tab/>
        <w:t xml:space="preserve">414.  </w:t>
      </w:r>
      <w:r>
        <w:rPr>
          <w:rFonts w:hint="eastAsia"/>
          <w:lang w:val="fr-FR"/>
        </w:rPr>
        <w:t>后续治疗具体包括：</w:t>
      </w:r>
    </w:p>
    <w:p w:rsidR="00000000" w:rsidRDefault="00000000">
      <w:pPr>
        <w:pStyle w:val="a0"/>
        <w:ind w:left="1550"/>
        <w:rPr>
          <w:rFonts w:hint="eastAsia"/>
          <w:lang w:val="fr-FR"/>
        </w:rPr>
      </w:pPr>
      <w:r>
        <w:rPr>
          <w:rFonts w:hint="eastAsia"/>
          <w:lang w:val="fr-FR"/>
        </w:rPr>
        <w:t>支持复原人员适应外部环境方面</w:t>
      </w:r>
      <w:r>
        <w:rPr>
          <w:rFonts w:hint="eastAsia"/>
          <w:spacing w:val="-50"/>
          <w:lang w:val="fr-FR"/>
        </w:rPr>
        <w:t>―</w:t>
      </w:r>
      <w:r>
        <w:rPr>
          <w:rFonts w:hint="eastAsia"/>
          <w:lang w:val="fr-FR"/>
        </w:rPr>
        <w:t>―在必要的情况下准备好接受人员的环境，</w:t>
      </w:r>
    </w:p>
    <w:p w:rsidR="00000000" w:rsidRDefault="00000000">
      <w:pPr>
        <w:pStyle w:val="a0"/>
        <w:ind w:left="1550"/>
        <w:rPr>
          <w:rFonts w:hint="eastAsia"/>
          <w:lang w:val="fr-FR"/>
        </w:rPr>
      </w:pPr>
      <w:r>
        <w:rPr>
          <w:rFonts w:hint="eastAsia"/>
          <w:lang w:val="fr-FR"/>
        </w:rPr>
        <w:t>咨询和简要介绍，</w:t>
      </w:r>
    </w:p>
    <w:p w:rsidR="00000000" w:rsidRDefault="00000000">
      <w:pPr>
        <w:pStyle w:val="a0"/>
        <w:ind w:left="1550"/>
        <w:rPr>
          <w:rFonts w:hint="eastAsia"/>
          <w:lang w:val="fr-FR"/>
        </w:rPr>
      </w:pPr>
      <w:r>
        <w:rPr>
          <w:rFonts w:hint="eastAsia"/>
          <w:lang w:val="fr-FR"/>
        </w:rPr>
        <w:t>与在居住地提供初级治疗的社会福利机构保持联系，</w:t>
      </w:r>
    </w:p>
    <w:p w:rsidR="00000000" w:rsidRDefault="00000000">
      <w:pPr>
        <w:pStyle w:val="a0"/>
        <w:ind w:left="1550"/>
        <w:rPr>
          <w:rFonts w:hint="eastAsia"/>
          <w:lang w:val="fr-FR"/>
        </w:rPr>
      </w:pPr>
      <w:r>
        <w:rPr>
          <w:rFonts w:hint="eastAsia"/>
          <w:lang w:val="fr-FR"/>
        </w:rPr>
        <w:t>协助调整适应工作并保持工作、向家庭提供咨询意见、向所涉社会福利机构提供简介和咨询。</w:t>
      </w:r>
    </w:p>
    <w:p w:rsidR="00000000" w:rsidRDefault="00000000">
      <w:pPr>
        <w:spacing w:after="240"/>
        <w:rPr>
          <w:rFonts w:hint="eastAsia"/>
          <w:lang w:val="fr-FR"/>
        </w:rPr>
      </w:pPr>
      <w:r>
        <w:rPr>
          <w:rFonts w:hint="eastAsia"/>
          <w:lang w:val="fr-FR"/>
        </w:rPr>
        <w:tab/>
        <w:t xml:space="preserve">415.  </w:t>
      </w:r>
      <w:r>
        <w:rPr>
          <w:rFonts w:hint="eastAsia"/>
          <w:lang w:val="fr-FR"/>
        </w:rPr>
        <w:t>住房至关重要，没有住房任何康复工作都不会成功。</w:t>
      </w:r>
      <w:r>
        <w:rPr>
          <w:rFonts w:hint="eastAsia"/>
          <w:lang w:val="fr-FR"/>
        </w:rPr>
        <w:t>2003</w:t>
      </w:r>
      <w:r>
        <w:rPr>
          <w:rFonts w:hint="eastAsia"/>
          <w:lang w:val="fr-FR"/>
        </w:rPr>
        <w:t>年，政府向服务于无家可归人员的机构提供了机会，对可以独立生活的人员提供住房支助，从而使克服无家可归状态的人员增多。在不久的将来，政府的努力将体现在无家可归人员可以大范围地获得住房支助以及可以获得便宜的和有补贴的住房设施。</w:t>
      </w:r>
    </w:p>
    <w:p w:rsidR="00000000" w:rsidRDefault="00000000">
      <w:pPr>
        <w:pStyle w:val="Heading3"/>
        <w:jc w:val="left"/>
        <w:rPr>
          <w:rFonts w:eastAsia="KaiTi_GB2312" w:hint="eastAsia"/>
          <w:snapToGrid/>
          <w:spacing w:val="0"/>
          <w:kern w:val="0"/>
          <w:u w:val="none"/>
          <w:lang w:val="fr-FR"/>
        </w:rPr>
      </w:pPr>
      <w:r>
        <w:rPr>
          <w:rFonts w:eastAsia="KaiTi_GB2312" w:hint="eastAsia"/>
          <w:snapToGrid/>
          <w:spacing w:val="0"/>
          <w:kern w:val="0"/>
          <w:u w:val="none"/>
          <w:lang w:val="fr-FR"/>
        </w:rPr>
        <w:t>罗姆族住房状况</w:t>
      </w:r>
    </w:p>
    <w:p w:rsidR="00000000" w:rsidRDefault="00000000">
      <w:pPr>
        <w:spacing w:after="240"/>
        <w:rPr>
          <w:rFonts w:hint="eastAsia"/>
          <w:lang w:val="fr-FR"/>
        </w:rPr>
      </w:pPr>
      <w:r>
        <w:rPr>
          <w:rFonts w:hint="eastAsia"/>
          <w:lang w:val="fr-FR"/>
        </w:rPr>
        <w:tab/>
        <w:t xml:space="preserve">416.  </w:t>
      </w:r>
      <w:r>
        <w:rPr>
          <w:rFonts w:hint="eastAsia"/>
          <w:lang w:val="fr-FR"/>
        </w:rPr>
        <w:t>就平等和歧视而言，尤其是在住房面积方面，罗姆人的处境仍是一个巨大的挑战。</w:t>
      </w:r>
      <w:r>
        <w:rPr>
          <w:rFonts w:hint="eastAsia"/>
          <w:lang w:val="fr-FR"/>
        </w:rPr>
        <w:t>1971</w:t>
      </w:r>
      <w:r>
        <w:rPr>
          <w:rFonts w:hint="eastAsia"/>
          <w:lang w:val="fr-FR"/>
        </w:rPr>
        <w:t>年，三分之二的罗姆人居住在荒僻的贫民窟型的小区中，根本没有任何舒适可言。随着住房条件的改善，至</w:t>
      </w:r>
      <w:r>
        <w:rPr>
          <w:rFonts w:hint="eastAsia"/>
          <w:lang w:val="fr-FR"/>
        </w:rPr>
        <w:t>1993</w:t>
      </w:r>
      <w:r>
        <w:rPr>
          <w:rFonts w:hint="eastAsia"/>
          <w:lang w:val="fr-FR"/>
        </w:rPr>
        <w:t>年这个比例降低了</w:t>
      </w:r>
      <w:r>
        <w:rPr>
          <w:rFonts w:hint="eastAsia"/>
          <w:lang w:val="fr-FR"/>
        </w:rPr>
        <w:t>14%</w:t>
      </w:r>
      <w:r>
        <w:rPr>
          <w:rFonts w:hint="eastAsia"/>
          <w:lang w:val="fr-FR"/>
        </w:rPr>
        <w:t>，但是仍有数千人没有自来水、电力和其他生活设施。为了根除这些问题，匈牙利当局在地方和区域各级都启动了一些方案。</w:t>
      </w:r>
    </w:p>
    <w:p w:rsidR="00000000" w:rsidRDefault="00000000">
      <w:pPr>
        <w:pStyle w:val="Heading4"/>
        <w:ind w:left="520"/>
        <w:rPr>
          <w:rFonts w:eastAsia="KaiTi_GB2312" w:hint="eastAsia"/>
          <w:snapToGrid/>
          <w:spacing w:val="0"/>
          <w:u w:val="none"/>
          <w:lang w:val="fr-FR"/>
        </w:rPr>
      </w:pPr>
      <w:r>
        <w:rPr>
          <w:rFonts w:eastAsia="KaiTi_GB2312" w:hint="eastAsia"/>
          <w:bCs/>
          <w:snapToGrid/>
          <w:spacing w:val="0"/>
          <w:u w:val="none"/>
          <w:lang w:val="fr-FR"/>
        </w:rPr>
        <w:t>1</w:t>
      </w:r>
      <w:r>
        <w:rPr>
          <w:rFonts w:eastAsia="KaiTi_GB2312" w:hint="eastAsia"/>
          <w:snapToGrid/>
          <w:spacing w:val="0"/>
          <w:u w:val="none"/>
          <w:lang w:val="fr-FR"/>
        </w:rPr>
        <w:t xml:space="preserve">.  </w:t>
      </w:r>
      <w:r>
        <w:rPr>
          <w:rFonts w:eastAsia="KaiTi_GB2312" w:hint="eastAsia"/>
          <w:snapToGrid/>
          <w:spacing w:val="0"/>
          <w:u w:val="none"/>
          <w:lang w:val="fr-FR"/>
        </w:rPr>
        <w:t>罗姆人聚居区居民的住房和社会融入示范方案</w:t>
      </w:r>
    </w:p>
    <w:p w:rsidR="00000000" w:rsidRDefault="00000000">
      <w:pPr>
        <w:rPr>
          <w:rFonts w:hint="eastAsia"/>
          <w:lang w:val="fr-FR"/>
        </w:rPr>
      </w:pPr>
      <w:r>
        <w:rPr>
          <w:rFonts w:hint="eastAsia"/>
          <w:lang w:val="fr-FR"/>
        </w:rPr>
        <w:tab/>
        <w:t>417.  1997</w:t>
      </w:r>
      <w:r>
        <w:rPr>
          <w:rFonts w:hint="eastAsia"/>
          <w:lang w:val="fr-FR"/>
        </w:rPr>
        <w:t>年启动的聚居区式生活环境调查于</w:t>
      </w:r>
      <w:r>
        <w:rPr>
          <w:rFonts w:hint="eastAsia"/>
          <w:lang w:val="fr-FR"/>
        </w:rPr>
        <w:t>2000</w:t>
      </w:r>
      <w:r>
        <w:rPr>
          <w:rFonts w:hint="eastAsia"/>
          <w:lang w:val="fr-FR"/>
        </w:rPr>
        <w:t>年夏季完成并对之作了评估。根据研究结果，</w:t>
      </w:r>
      <w:r>
        <w:rPr>
          <w:rFonts w:hint="eastAsia"/>
          <w:lang w:val="fr-FR"/>
        </w:rPr>
        <w:t>96</w:t>
      </w:r>
      <w:r>
        <w:rPr>
          <w:lang w:val="fr-FR"/>
        </w:rPr>
        <w:t>,</w:t>
      </w:r>
      <w:r>
        <w:rPr>
          <w:rFonts w:hint="eastAsia"/>
          <w:lang w:val="fr-FR"/>
        </w:rPr>
        <w:t>000</w:t>
      </w:r>
      <w:r>
        <w:rPr>
          <w:rFonts w:hint="eastAsia"/>
          <w:lang w:val="fr-FR"/>
        </w:rPr>
        <w:t>人住在</w:t>
      </w:r>
      <w:r>
        <w:rPr>
          <w:rFonts w:hint="eastAsia"/>
          <w:lang w:val="fr-FR"/>
        </w:rPr>
        <w:t>19</w:t>
      </w:r>
      <w:r>
        <w:rPr>
          <w:lang w:val="fr-FR"/>
        </w:rPr>
        <w:t>,</w:t>
      </w:r>
      <w:r>
        <w:rPr>
          <w:rFonts w:hint="eastAsia"/>
          <w:lang w:val="fr-FR"/>
        </w:rPr>
        <w:t>000</w:t>
      </w:r>
      <w:r>
        <w:rPr>
          <w:rFonts w:hint="eastAsia"/>
          <w:lang w:val="fr-FR"/>
        </w:rPr>
        <w:t>套公寓中，生活条件类似贫民窟。主管部委在聚居区或聚居区型环境中的族群以及有关定居地的少数民族自治政府的配合下，已经优先采取专业措施，消除危害环境和人类健康的因素。</w:t>
      </w:r>
    </w:p>
    <w:p w:rsidR="00000000" w:rsidRDefault="00000000">
      <w:pPr>
        <w:rPr>
          <w:rFonts w:hint="eastAsia"/>
          <w:lang w:val="fr-FR"/>
        </w:rPr>
      </w:pPr>
      <w:r>
        <w:rPr>
          <w:rFonts w:hint="eastAsia"/>
          <w:lang w:val="fr-FR"/>
        </w:rPr>
        <w:tab/>
        <w:t xml:space="preserve">418.  </w:t>
      </w:r>
      <w:r>
        <w:rPr>
          <w:rFonts w:hint="eastAsia"/>
          <w:lang w:val="fr-FR"/>
        </w:rPr>
        <w:t>青年人、家庭、社会事务和平等机会部声明，生活在罗姆聚居区居民的住房和社会融入示范方案符合</w:t>
      </w:r>
      <w:r>
        <w:rPr>
          <w:rFonts w:hint="eastAsia"/>
          <w:lang w:val="fr-FR"/>
        </w:rPr>
        <w:t>2005</w:t>
      </w:r>
      <w:r>
        <w:rPr>
          <w:rFonts w:hint="eastAsia"/>
          <w:lang w:val="fr-FR"/>
        </w:rPr>
        <w:t>年</w:t>
      </w:r>
      <w:r>
        <w:rPr>
          <w:rFonts w:hint="eastAsia"/>
          <w:lang w:val="fr-FR"/>
        </w:rPr>
        <w:t>2</w:t>
      </w:r>
      <w:r>
        <w:rPr>
          <w:rFonts w:hint="eastAsia"/>
          <w:lang w:val="fr-FR"/>
        </w:rPr>
        <w:t>月初政府的“匈牙利新活力”方案中确定的目标。该方案最重要的目标是为生活在聚居区和聚居区式生活环境中的居民创造机会，来切实改善他们的生活条件和社会发展。</w:t>
      </w:r>
    </w:p>
    <w:p w:rsidR="00000000" w:rsidRDefault="00000000">
      <w:pPr>
        <w:rPr>
          <w:rFonts w:hint="eastAsia"/>
          <w:lang w:val="en-GB"/>
        </w:rPr>
      </w:pPr>
      <w:r>
        <w:rPr>
          <w:rFonts w:hint="eastAsia"/>
          <w:lang w:val="fr-FR"/>
        </w:rPr>
        <w:tab/>
        <w:t xml:space="preserve">419.  </w:t>
      </w:r>
      <w:r>
        <w:rPr>
          <w:rFonts w:hint="eastAsia"/>
          <w:lang w:val="fr-FR"/>
        </w:rPr>
        <w:t>可用于该方案的预算金额是</w:t>
      </w:r>
      <w:r>
        <w:rPr>
          <w:rFonts w:hint="eastAsia"/>
          <w:lang w:val="fr-FR"/>
        </w:rPr>
        <w:t>6.8</w:t>
      </w:r>
      <w:r>
        <w:rPr>
          <w:rFonts w:hint="eastAsia"/>
          <w:lang w:val="fr-FR"/>
        </w:rPr>
        <w:t>亿福林。项目建议包括保留</w:t>
      </w:r>
      <w:r>
        <w:rPr>
          <w:rFonts w:hint="eastAsia"/>
          <w:lang w:val="fr-FR"/>
        </w:rPr>
        <w:t>9</w:t>
      </w:r>
      <w:r>
        <w:rPr>
          <w:rFonts w:hint="eastAsia"/>
          <w:lang w:val="fr-FR"/>
        </w:rPr>
        <w:t>个定居点</w:t>
      </w:r>
      <w:r>
        <w:rPr>
          <w:rFonts w:hint="eastAsia"/>
          <w:lang w:val="fr-FR"/>
        </w:rPr>
        <w:t>(</w:t>
      </w:r>
      <w:r>
        <w:rPr>
          <w:lang w:val="en-GB"/>
        </w:rPr>
        <w:t>Dencsháza, Galambok, Hencida, Kerecsend, Kisvaszar, Szentgál, Táska, Tiszabő</w:t>
      </w:r>
      <w:r>
        <w:rPr>
          <w:lang w:val="en-GB"/>
        </w:rPr>
        <w:t>，</w:t>
      </w:r>
      <w:r>
        <w:rPr>
          <w:lang w:val="en-GB"/>
        </w:rPr>
        <w:t xml:space="preserve"> Uszka</w:t>
      </w:r>
      <w:r>
        <w:rPr>
          <w:rFonts w:hint="eastAsia"/>
          <w:lang w:val="fr-FR"/>
        </w:rPr>
        <w:t>)</w:t>
      </w:r>
      <w:r>
        <w:rPr>
          <w:rFonts w:hint="eastAsia"/>
          <w:lang w:val="fr-FR"/>
        </w:rPr>
        <w:t>。这些定居点中约</w:t>
      </w:r>
      <w:r>
        <w:rPr>
          <w:rFonts w:hint="eastAsia"/>
          <w:lang w:val="fr-FR"/>
        </w:rPr>
        <w:t>40%</w:t>
      </w:r>
      <w:r>
        <w:rPr>
          <w:rFonts w:hint="eastAsia"/>
          <w:lang w:val="fr-FR"/>
        </w:rPr>
        <w:t>的居民，即</w:t>
      </w:r>
      <w:r>
        <w:rPr>
          <w:rFonts w:hint="eastAsia"/>
          <w:lang w:val="fr-FR"/>
        </w:rPr>
        <w:t>4,492</w:t>
      </w:r>
      <w:r>
        <w:rPr>
          <w:rFonts w:hint="eastAsia"/>
          <w:lang w:val="fr-FR"/>
        </w:rPr>
        <w:t>人</w:t>
      </w:r>
      <w:r>
        <w:rPr>
          <w:rFonts w:hint="eastAsia"/>
          <w:lang w:val="fr-FR"/>
        </w:rPr>
        <w:t>(1,012</w:t>
      </w:r>
      <w:r>
        <w:rPr>
          <w:rFonts w:hint="eastAsia"/>
          <w:lang w:val="fr-FR"/>
        </w:rPr>
        <w:t>户家庭</w:t>
      </w:r>
      <w:r>
        <w:rPr>
          <w:rFonts w:hint="eastAsia"/>
          <w:lang w:val="fr-FR"/>
        </w:rPr>
        <w:t>)</w:t>
      </w:r>
      <w:r>
        <w:rPr>
          <w:rFonts w:hint="eastAsia"/>
          <w:lang w:val="fr-FR"/>
        </w:rPr>
        <w:t>生活在聚居区或聚居区式的环境中。这些受支助定居点中的聚居区由于不同的原因形成，具有不同的历史和结构，因此改善聚居区居民生活状况的思路在</w:t>
      </w:r>
      <w:r>
        <w:rPr>
          <w:rFonts w:hint="eastAsia"/>
          <w:lang w:val="fr-FR"/>
        </w:rPr>
        <w:t>9</w:t>
      </w:r>
      <w:r>
        <w:rPr>
          <w:rFonts w:hint="eastAsia"/>
          <w:lang w:val="fr-FR"/>
        </w:rPr>
        <w:t>个聚居区中也各自不同。例如</w:t>
      </w:r>
      <w:r>
        <w:rPr>
          <w:rFonts w:hint="eastAsia"/>
          <w:lang w:val="en-GB"/>
        </w:rPr>
        <w:t>，</w:t>
      </w:r>
      <w:r>
        <w:rPr>
          <w:rFonts w:hint="eastAsia"/>
          <w:lang w:val="fr-FR"/>
        </w:rPr>
        <w:t>在</w:t>
      </w:r>
      <w:r>
        <w:rPr>
          <w:lang w:val="en-GB"/>
        </w:rPr>
        <w:t>Táska</w:t>
      </w:r>
      <w:r>
        <w:rPr>
          <w:rFonts w:hint="eastAsia"/>
          <w:lang w:val="en-GB"/>
        </w:rPr>
        <w:t>和</w:t>
      </w:r>
      <w:r>
        <w:rPr>
          <w:lang w:val="en-GB"/>
        </w:rPr>
        <w:t>Galambok</w:t>
      </w:r>
      <w:r>
        <w:rPr>
          <w:rFonts w:ascii="SimSun" w:hAnsi="SimSun" w:hint="eastAsia"/>
          <w:lang w:val="en-GB"/>
        </w:rPr>
        <w:t>实施完全消灭“蛮荒聚居区”，那儿生活在非人条件下的17户家庭(其中包括儿童)转移到市政府管理的新建公寓房中。在</w:t>
      </w:r>
      <w:r>
        <w:rPr>
          <w:lang w:val="en-GB"/>
        </w:rPr>
        <w:t xml:space="preserve">Tiszabő </w:t>
      </w:r>
      <w:r>
        <w:rPr>
          <w:rFonts w:hint="eastAsia"/>
          <w:lang w:val="en-GB"/>
        </w:rPr>
        <w:t>和</w:t>
      </w:r>
      <w:r>
        <w:rPr>
          <w:lang w:val="en-GB"/>
        </w:rPr>
        <w:t xml:space="preserve"> Uszka, </w:t>
      </w:r>
      <w:r>
        <w:rPr>
          <w:rFonts w:hint="eastAsia"/>
          <w:lang w:val="en-GB"/>
        </w:rPr>
        <w:t>该定居点总计有</w:t>
      </w:r>
      <w:r>
        <w:rPr>
          <w:rFonts w:hint="eastAsia"/>
          <w:lang w:val="en-GB"/>
        </w:rPr>
        <w:t>2,550</w:t>
      </w:r>
      <w:r>
        <w:rPr>
          <w:rFonts w:hint="eastAsia"/>
          <w:lang w:val="en-GB"/>
        </w:rPr>
        <w:t>人的全体人口生活在聚居区式的环境中，主要目标是翻修处于危房状况的公寓和发展定居地基础设施。除了针对不同家庭的住房解决方案之外，定居点规划的基础设施发展也影响着定居点总体人口的生活质量</w:t>
      </w:r>
      <w:r>
        <w:rPr>
          <w:rFonts w:hint="eastAsia"/>
          <w:lang w:val="en-GB"/>
        </w:rPr>
        <w:t>(</w:t>
      </w:r>
      <w:r>
        <w:rPr>
          <w:rFonts w:hint="eastAsia"/>
          <w:lang w:val="en-GB"/>
        </w:rPr>
        <w:t>建设和整修公路及人行道、扩建饮用水供应系统、发展学校和幼儿园、解决垃圾处理、分区而治、改善社会关怀、对成年人提供培训和就业方案</w:t>
      </w:r>
      <w:r>
        <w:rPr>
          <w:rFonts w:hint="eastAsia"/>
          <w:lang w:val="en-GB"/>
        </w:rPr>
        <w:t>)</w:t>
      </w:r>
      <w:r>
        <w:rPr>
          <w:rFonts w:hint="eastAsia"/>
          <w:lang w:val="en-GB"/>
        </w:rPr>
        <w:t>。</w:t>
      </w:r>
    </w:p>
    <w:p w:rsidR="00000000" w:rsidRDefault="00000000">
      <w:pPr>
        <w:spacing w:after="240"/>
        <w:rPr>
          <w:rFonts w:hint="eastAsia"/>
          <w:lang w:val="en-GB"/>
        </w:rPr>
      </w:pPr>
      <w:r>
        <w:rPr>
          <w:rFonts w:hint="eastAsia"/>
          <w:lang w:val="en-GB"/>
        </w:rPr>
        <w:tab/>
        <w:t xml:space="preserve">420.  </w:t>
      </w:r>
      <w:r>
        <w:rPr>
          <w:rFonts w:hint="eastAsia"/>
          <w:lang w:val="en-GB"/>
        </w:rPr>
        <w:t>对每个定居点的支助金额在</w:t>
      </w:r>
      <w:r>
        <w:rPr>
          <w:rFonts w:hint="eastAsia"/>
          <w:lang w:val="en-GB"/>
        </w:rPr>
        <w:t>5500</w:t>
      </w:r>
      <w:r>
        <w:rPr>
          <w:rFonts w:hint="eastAsia"/>
          <w:lang w:val="en-GB"/>
        </w:rPr>
        <w:t>万福林和</w:t>
      </w:r>
      <w:r>
        <w:rPr>
          <w:rFonts w:hint="eastAsia"/>
          <w:lang w:val="en-GB"/>
        </w:rPr>
        <w:t>9000</w:t>
      </w:r>
      <w:r>
        <w:rPr>
          <w:rFonts w:hint="eastAsia"/>
          <w:lang w:val="en-GB"/>
        </w:rPr>
        <w:t>万福林之间，实施期限是一年。项目的实施需要有关市政部门的集中工作。他们的工作将得到地方机构、少数民族自治政府、非政府组织和专家的协助，并得到聚居区居民一致努力协助。该部计划通过保持密切关系，运作一个指导和监测网协助各市的工作。</w:t>
      </w:r>
    </w:p>
    <w:p w:rsidR="00000000" w:rsidRDefault="00000000">
      <w:pPr>
        <w:pStyle w:val="Heading4"/>
        <w:ind w:left="520"/>
        <w:rPr>
          <w:rFonts w:eastAsia="KaiTi_GB2312" w:hint="eastAsia"/>
          <w:snapToGrid/>
          <w:spacing w:val="0"/>
          <w:u w:val="none"/>
          <w:lang w:val="fr-FR"/>
        </w:rPr>
      </w:pPr>
      <w:r>
        <w:rPr>
          <w:rFonts w:eastAsia="KaiTi_GB2312" w:hint="eastAsia"/>
          <w:snapToGrid/>
          <w:spacing w:val="0"/>
          <w:u w:val="none"/>
          <w:lang w:val="fr-FR"/>
        </w:rPr>
        <w:t xml:space="preserve">2.  </w:t>
      </w:r>
      <w:r>
        <w:rPr>
          <w:rFonts w:eastAsia="KaiTi_GB2312" w:hint="eastAsia"/>
          <w:snapToGrid/>
          <w:spacing w:val="0"/>
          <w:u w:val="none"/>
          <w:lang w:val="fr-FR"/>
        </w:rPr>
        <w:t>布达佩斯第</w:t>
      </w:r>
      <w:r>
        <w:rPr>
          <w:rFonts w:eastAsia="KaiTi_GB2312" w:hint="eastAsia"/>
          <w:snapToGrid/>
          <w:spacing w:val="0"/>
          <w:u w:val="none"/>
          <w:lang w:val="fr-FR"/>
        </w:rPr>
        <w:t>8</w:t>
      </w:r>
      <w:r>
        <w:rPr>
          <w:rFonts w:eastAsia="KaiTi_GB2312" w:hint="eastAsia"/>
          <w:snapToGrid/>
          <w:spacing w:val="0"/>
          <w:u w:val="none"/>
          <w:lang w:val="fr-FR"/>
        </w:rPr>
        <w:t>区的发展方案</w:t>
      </w:r>
    </w:p>
    <w:p w:rsidR="00000000" w:rsidRDefault="00000000">
      <w:pPr>
        <w:rPr>
          <w:rFonts w:hint="eastAsia"/>
          <w:lang w:val="fr-FR"/>
        </w:rPr>
      </w:pPr>
      <w:r>
        <w:rPr>
          <w:lang w:val="fr-FR"/>
        </w:rPr>
        <w:tab/>
        <w:t>421.  1996</w:t>
      </w:r>
      <w:r>
        <w:rPr>
          <w:rFonts w:hint="eastAsia"/>
          <w:lang w:val="fr-FR"/>
        </w:rPr>
        <w:t>年以来，在布达佩斯自治政府的紧密合作下，</w:t>
      </w:r>
      <w:r>
        <w:rPr>
          <w:rFonts w:hint="eastAsia"/>
          <w:lang w:val="fr-FR"/>
        </w:rPr>
        <w:t>(</w:t>
      </w:r>
      <w:r>
        <w:rPr>
          <w:rFonts w:hint="eastAsia"/>
          <w:lang w:val="fr-FR"/>
        </w:rPr>
        <w:t>根据布达佩斯第</w:t>
      </w:r>
      <w:r>
        <w:rPr>
          <w:rFonts w:hint="eastAsia"/>
          <w:lang w:val="fr-FR"/>
        </w:rPr>
        <w:t>8</w:t>
      </w:r>
      <w:r>
        <w:rPr>
          <w:rFonts w:hint="eastAsia"/>
          <w:lang w:val="fr-FR"/>
        </w:rPr>
        <w:t>区自治政府的发展理念</w:t>
      </w:r>
      <w:r>
        <w:rPr>
          <w:rFonts w:hint="eastAsia"/>
          <w:lang w:val="fr-FR"/>
        </w:rPr>
        <w:t>)</w:t>
      </w:r>
      <w:r>
        <w:rPr>
          <w:rFonts w:hint="eastAsia"/>
          <w:lang w:val="fr-FR"/>
        </w:rPr>
        <w:t>通过了若干旨在加强该区经济</w:t>
      </w:r>
      <w:r>
        <w:rPr>
          <w:rFonts w:hint="eastAsia"/>
          <w:spacing w:val="-50"/>
          <w:lang w:val="en-GB"/>
        </w:rPr>
        <w:t>―</w:t>
      </w:r>
      <w:r>
        <w:rPr>
          <w:rFonts w:hint="eastAsia"/>
          <w:lang w:val="en-GB"/>
        </w:rPr>
        <w:t>―</w:t>
      </w:r>
      <w:r>
        <w:rPr>
          <w:rFonts w:hint="eastAsia"/>
          <w:lang w:val="fr-FR"/>
        </w:rPr>
        <w:t>社会</w:t>
      </w:r>
      <w:r>
        <w:rPr>
          <w:rFonts w:hint="eastAsia"/>
          <w:spacing w:val="-50"/>
          <w:lang w:val="en-GB"/>
        </w:rPr>
        <w:t>―</w:t>
      </w:r>
      <w:r>
        <w:rPr>
          <w:rFonts w:hint="eastAsia"/>
          <w:lang w:val="en-GB"/>
        </w:rPr>
        <w:t>―</w:t>
      </w:r>
      <w:r>
        <w:rPr>
          <w:rFonts w:hint="eastAsia"/>
          <w:lang w:val="fr-FR"/>
        </w:rPr>
        <w:t>环境状况以及解决该区居民社会问题的方案计划</w:t>
      </w:r>
      <w:r>
        <w:rPr>
          <w:spacing w:val="-20"/>
          <w:lang w:val="fr-FR"/>
        </w:rPr>
        <w:t xml:space="preserve"> </w:t>
      </w:r>
      <w:r>
        <w:rPr>
          <w:rStyle w:val="FootnoteReference"/>
          <w:spacing w:val="-20"/>
          <w:lang w:val="fr-FR"/>
        </w:rPr>
        <w:footnoteReference w:id="4"/>
      </w:r>
      <w:r>
        <w:rPr>
          <w:spacing w:val="-20"/>
          <w:lang w:val="fr-FR"/>
        </w:rPr>
        <w:t xml:space="preserve"> </w:t>
      </w:r>
      <w:r>
        <w:rPr>
          <w:rFonts w:hint="eastAsia"/>
          <w:lang w:val="fr-FR"/>
        </w:rPr>
        <w:t>。这些计划的主要目标是在该区改善生活质量，解决住房问题，同时加强公共治安、增强社会凝聚力和提高劳动力市场潜力。</w:t>
      </w:r>
    </w:p>
    <w:p w:rsidR="00000000" w:rsidRDefault="00000000">
      <w:pPr>
        <w:spacing w:after="320"/>
        <w:rPr>
          <w:rFonts w:hint="eastAsia"/>
          <w:lang w:val="en-GB"/>
        </w:rPr>
      </w:pPr>
      <w:r>
        <w:rPr>
          <w:rFonts w:hint="eastAsia"/>
          <w:lang w:val="fr-FR"/>
        </w:rPr>
        <w:tab/>
        <w:t xml:space="preserve">422.  </w:t>
      </w:r>
      <w:r>
        <w:rPr>
          <w:rFonts w:hint="eastAsia"/>
          <w:lang w:val="fr-FR"/>
        </w:rPr>
        <w:t>为了改善住房状况，以各自具体的社会建筑和环境需求为基础，该区被划分成</w:t>
      </w:r>
      <w:r>
        <w:rPr>
          <w:rFonts w:hint="eastAsia"/>
          <w:lang w:val="fr-FR"/>
        </w:rPr>
        <w:t>11</w:t>
      </w:r>
      <w:r>
        <w:rPr>
          <w:rFonts w:hint="eastAsia"/>
          <w:lang w:val="fr-FR"/>
        </w:rPr>
        <w:t>个“街区”</w:t>
      </w:r>
      <w:r>
        <w:rPr>
          <w:lang w:val="fr-FR"/>
        </w:rPr>
        <w:t xml:space="preserve"> </w:t>
      </w:r>
      <w:r>
        <w:rPr>
          <w:rStyle w:val="FootnoteReference"/>
          <w:lang w:val="fr-FR"/>
        </w:rPr>
        <w:footnoteReference w:customMarkFollows="1" w:id="5"/>
        <w:t>2</w:t>
      </w:r>
      <w:r>
        <w:rPr>
          <w:lang w:val="fr-FR"/>
        </w:rPr>
        <w:t xml:space="preserve"> </w:t>
      </w:r>
      <w:r>
        <w:rPr>
          <w:rFonts w:hint="eastAsia"/>
          <w:lang w:val="fr-FR"/>
        </w:rPr>
        <w:t>。“</w:t>
      </w:r>
      <w:r>
        <w:rPr>
          <w:bCs/>
          <w:lang w:val="hu-HU"/>
        </w:rPr>
        <w:t>Szigony</w:t>
      </w:r>
      <w:r>
        <w:rPr>
          <w:rFonts w:hint="eastAsia"/>
          <w:bCs/>
          <w:lang w:val="hu-HU"/>
        </w:rPr>
        <w:t>街区</w:t>
      </w:r>
      <w:r>
        <w:rPr>
          <w:rFonts w:hint="eastAsia"/>
          <w:lang w:val="fr-FR"/>
        </w:rPr>
        <w:t>”</w:t>
      </w:r>
      <w:r>
        <w:rPr>
          <w:rFonts w:hint="eastAsia"/>
          <w:bCs/>
          <w:lang w:val="hu-HU"/>
        </w:rPr>
        <w:t>(</w:t>
      </w:r>
      <w:r>
        <w:rPr>
          <w:rFonts w:hint="eastAsia"/>
          <w:bCs/>
          <w:lang w:val="hu-HU"/>
        </w:rPr>
        <w:t>项目期限是</w:t>
      </w:r>
      <w:r>
        <w:rPr>
          <w:rFonts w:hint="eastAsia"/>
          <w:bCs/>
          <w:lang w:val="hu-HU"/>
        </w:rPr>
        <w:t>2005</w:t>
      </w:r>
      <w:r>
        <w:rPr>
          <w:rFonts w:hint="eastAsia"/>
          <w:bCs/>
          <w:lang w:val="hu-HU"/>
        </w:rPr>
        <w:t>年至</w:t>
      </w:r>
      <w:r>
        <w:rPr>
          <w:rFonts w:hint="eastAsia"/>
          <w:bCs/>
          <w:lang w:val="hu-HU"/>
        </w:rPr>
        <w:t>2009</w:t>
      </w:r>
      <w:r>
        <w:rPr>
          <w:rFonts w:hint="eastAsia"/>
          <w:bCs/>
          <w:lang w:val="hu-HU"/>
        </w:rPr>
        <w:t>年</w:t>
      </w:r>
      <w:r>
        <w:rPr>
          <w:rFonts w:hint="eastAsia"/>
          <w:bCs/>
          <w:lang w:val="hu-HU"/>
        </w:rPr>
        <w:t>)</w:t>
      </w:r>
      <w:r>
        <w:rPr>
          <w:rFonts w:hint="eastAsia"/>
          <w:bCs/>
          <w:lang w:val="hu-HU"/>
        </w:rPr>
        <w:t>和“</w:t>
      </w:r>
      <w:r>
        <w:rPr>
          <w:bCs/>
          <w:lang w:val="hu-HU"/>
        </w:rPr>
        <w:t>Magdolna</w:t>
      </w:r>
      <w:r>
        <w:rPr>
          <w:rFonts w:hint="eastAsia"/>
          <w:bCs/>
          <w:lang w:val="hu-HU"/>
        </w:rPr>
        <w:t>街区”</w:t>
      </w:r>
      <w:r>
        <w:rPr>
          <w:rFonts w:hint="eastAsia"/>
          <w:bCs/>
          <w:lang w:val="hu-HU"/>
        </w:rPr>
        <w:t xml:space="preserve"> (</w:t>
      </w:r>
      <w:r>
        <w:rPr>
          <w:rFonts w:hint="eastAsia"/>
          <w:bCs/>
          <w:lang w:val="hu-HU"/>
        </w:rPr>
        <w:t>项目期限是</w:t>
      </w:r>
      <w:r>
        <w:rPr>
          <w:rFonts w:hint="eastAsia"/>
          <w:bCs/>
          <w:lang w:val="hu-HU"/>
        </w:rPr>
        <w:t>2005</w:t>
      </w:r>
      <w:r>
        <w:rPr>
          <w:rFonts w:hint="eastAsia"/>
          <w:bCs/>
          <w:lang w:val="hu-HU"/>
        </w:rPr>
        <w:t>年至</w:t>
      </w:r>
      <w:r>
        <w:rPr>
          <w:rFonts w:hint="eastAsia"/>
          <w:bCs/>
          <w:lang w:val="hu-HU"/>
        </w:rPr>
        <w:t>2019</w:t>
      </w:r>
      <w:r>
        <w:rPr>
          <w:rFonts w:hint="eastAsia"/>
          <w:bCs/>
          <w:lang w:val="hu-HU"/>
        </w:rPr>
        <w:t>年</w:t>
      </w:r>
      <w:r>
        <w:rPr>
          <w:rFonts w:hint="eastAsia"/>
          <w:bCs/>
          <w:lang w:val="hu-HU"/>
        </w:rPr>
        <w:t>)</w:t>
      </w:r>
      <w:r>
        <w:rPr>
          <w:rFonts w:hint="eastAsia"/>
          <w:bCs/>
          <w:lang w:val="hu-HU"/>
        </w:rPr>
        <w:t>的翻修工程已经开始，</w:t>
      </w:r>
      <w:r>
        <w:rPr>
          <w:bCs/>
          <w:lang w:val="hu-HU"/>
        </w:rPr>
        <w:t>Magdolna</w:t>
      </w:r>
      <w:r>
        <w:rPr>
          <w:rFonts w:hint="eastAsia"/>
          <w:bCs/>
          <w:lang w:val="hu-HU"/>
        </w:rPr>
        <w:t>街区据说是第</w:t>
      </w:r>
      <w:r>
        <w:rPr>
          <w:rFonts w:hint="eastAsia"/>
          <w:bCs/>
          <w:lang w:val="hu-HU"/>
        </w:rPr>
        <w:t>8</w:t>
      </w:r>
      <w:r>
        <w:rPr>
          <w:rFonts w:hint="eastAsia"/>
          <w:bCs/>
          <w:lang w:val="hu-HU"/>
        </w:rPr>
        <w:t>区中最破败的街区。</w:t>
      </w:r>
      <w:r>
        <w:rPr>
          <w:bCs/>
          <w:lang w:val="hu-HU"/>
        </w:rPr>
        <w:t>Szigony</w:t>
      </w:r>
      <w:r>
        <w:rPr>
          <w:rFonts w:hint="eastAsia"/>
          <w:bCs/>
          <w:lang w:val="hu-HU"/>
        </w:rPr>
        <w:t>和</w:t>
      </w:r>
      <w:r>
        <w:rPr>
          <w:bCs/>
          <w:lang w:val="hu-HU"/>
        </w:rPr>
        <w:t>Magdolna</w:t>
      </w:r>
      <w:r>
        <w:rPr>
          <w:rFonts w:hint="eastAsia"/>
          <w:bCs/>
          <w:lang w:val="hu-HU"/>
        </w:rPr>
        <w:t>项目的建设者是</w:t>
      </w:r>
      <w:r>
        <w:rPr>
          <w:lang w:val="en-GB"/>
        </w:rPr>
        <w:t>Rév8</w:t>
      </w:r>
      <w:r>
        <w:rPr>
          <w:rFonts w:hint="eastAsia"/>
          <w:lang w:val="en-GB"/>
        </w:rPr>
        <w:t>公司</w:t>
      </w:r>
      <w:r>
        <w:rPr>
          <w:rFonts w:hint="eastAsia"/>
          <w:lang w:val="en-GB"/>
        </w:rPr>
        <w:t>(</w:t>
      </w:r>
      <w:r>
        <w:rPr>
          <w:rFonts w:hint="eastAsia"/>
          <w:lang w:val="en-GB"/>
        </w:rPr>
        <w:t>布达佩斯拥有</w:t>
      </w:r>
      <w:r>
        <w:rPr>
          <w:rFonts w:hint="eastAsia"/>
          <w:lang w:val="en-GB"/>
        </w:rPr>
        <w:t>60%</w:t>
      </w:r>
      <w:r>
        <w:rPr>
          <w:rFonts w:hint="eastAsia"/>
          <w:lang w:val="en-GB"/>
        </w:rPr>
        <w:t>股权而第八区自治政府拥有</w:t>
      </w:r>
      <w:r>
        <w:rPr>
          <w:rFonts w:hint="eastAsia"/>
          <w:lang w:val="en-GB"/>
        </w:rPr>
        <w:t>40%</w:t>
      </w:r>
      <w:r>
        <w:rPr>
          <w:rFonts w:hint="eastAsia"/>
          <w:lang w:val="en-GB"/>
        </w:rPr>
        <w:t>股权</w:t>
      </w:r>
      <w:r>
        <w:rPr>
          <w:rFonts w:hint="eastAsia"/>
          <w:lang w:val="en-GB"/>
        </w:rPr>
        <w:t>)</w:t>
      </w:r>
      <w:r>
        <w:rPr>
          <w:rFonts w:hint="eastAsia"/>
          <w:lang w:val="en-GB"/>
        </w:rPr>
        <w:t>，这些项目的预计成本为</w:t>
      </w:r>
      <w:r>
        <w:rPr>
          <w:rFonts w:hint="eastAsia"/>
          <w:lang w:val="en-GB"/>
        </w:rPr>
        <w:t>3200</w:t>
      </w:r>
      <w:r>
        <w:rPr>
          <w:rFonts w:hint="eastAsia"/>
          <w:lang w:val="en-GB"/>
        </w:rPr>
        <w:t>万欧元。</w:t>
      </w:r>
    </w:p>
    <w:p w:rsidR="00000000" w:rsidRDefault="00000000">
      <w:pPr>
        <w:pStyle w:val="Heading3"/>
        <w:rPr>
          <w:rFonts w:hint="eastAsia"/>
          <w:lang w:val="fr-FR"/>
        </w:rPr>
      </w:pPr>
      <w:r>
        <w:rPr>
          <w:rFonts w:hint="eastAsia"/>
          <w:lang w:val="fr-FR"/>
        </w:rPr>
        <w:t>营养问题和食品卫生</w:t>
      </w:r>
    </w:p>
    <w:p w:rsidR="00000000" w:rsidRDefault="00000000">
      <w:pPr>
        <w:rPr>
          <w:rFonts w:hint="eastAsia"/>
          <w:lang w:val="fr-FR"/>
        </w:rPr>
      </w:pPr>
      <w:r>
        <w:rPr>
          <w:rFonts w:hint="eastAsia"/>
          <w:lang w:val="fr-FR"/>
        </w:rPr>
        <w:tab/>
        <w:t>423.  2001</w:t>
      </w:r>
      <w:r>
        <w:rPr>
          <w:rFonts w:hint="eastAsia"/>
          <w:lang w:val="fr-FR"/>
        </w:rPr>
        <w:t>年平均每人每天消费的食品有：</w:t>
      </w:r>
      <w:r>
        <w:rPr>
          <w:rFonts w:hint="eastAsia"/>
          <w:lang w:val="fr-FR"/>
        </w:rPr>
        <w:t>93.9</w:t>
      </w:r>
      <w:r>
        <w:rPr>
          <w:rFonts w:hint="eastAsia"/>
          <w:lang w:val="fr-FR"/>
        </w:rPr>
        <w:t>克蛋白质</w:t>
      </w:r>
      <w:r>
        <w:rPr>
          <w:rFonts w:hint="eastAsia"/>
          <w:lang w:val="fr-FR"/>
        </w:rPr>
        <w:t>(</w:t>
      </w:r>
      <w:r>
        <w:rPr>
          <w:rFonts w:hint="eastAsia"/>
          <w:lang w:val="fr-FR"/>
        </w:rPr>
        <w:t>其中</w:t>
      </w:r>
      <w:r>
        <w:rPr>
          <w:rFonts w:hint="eastAsia"/>
          <w:lang w:val="fr-FR"/>
        </w:rPr>
        <w:t>50.7</w:t>
      </w:r>
      <w:r>
        <w:rPr>
          <w:rFonts w:hint="eastAsia"/>
          <w:lang w:val="fr-FR"/>
        </w:rPr>
        <w:t>是动物蛋白质</w:t>
      </w:r>
      <w:r>
        <w:rPr>
          <w:rFonts w:hint="eastAsia"/>
          <w:lang w:val="fr-FR"/>
        </w:rPr>
        <w:t>)</w:t>
      </w:r>
      <w:r>
        <w:rPr>
          <w:rFonts w:hint="eastAsia"/>
          <w:lang w:val="fr-FR"/>
        </w:rPr>
        <w:t>、</w:t>
      </w:r>
      <w:r>
        <w:rPr>
          <w:rFonts w:hint="eastAsia"/>
          <w:lang w:val="fr-FR"/>
        </w:rPr>
        <w:t>140.8</w:t>
      </w:r>
      <w:r>
        <w:rPr>
          <w:rFonts w:hint="eastAsia"/>
          <w:lang w:val="fr-FR"/>
        </w:rPr>
        <w:t>克脂肪和</w:t>
      </w:r>
      <w:r>
        <w:rPr>
          <w:rFonts w:hint="eastAsia"/>
          <w:lang w:val="fr-FR"/>
        </w:rPr>
        <w:t>360.6</w:t>
      </w:r>
      <w:r>
        <w:rPr>
          <w:rFonts w:hint="eastAsia"/>
          <w:lang w:val="fr-FR"/>
        </w:rPr>
        <w:t>克碳水化合物。这在所有方面满足最低健康营养要求，除了近来平均肉类和脂肪消费超过了健康饮食的推荐。</w:t>
      </w:r>
    </w:p>
    <w:p w:rsidR="00000000" w:rsidRDefault="00000000">
      <w:pPr>
        <w:rPr>
          <w:rFonts w:hint="eastAsia"/>
          <w:lang w:val="fr-FR"/>
        </w:rPr>
      </w:pPr>
      <w:r>
        <w:rPr>
          <w:rFonts w:hint="eastAsia"/>
          <w:lang w:val="fr-FR"/>
        </w:rPr>
        <w:tab/>
        <w:t xml:space="preserve">424.  </w:t>
      </w:r>
      <w:r>
        <w:rPr>
          <w:rFonts w:hint="eastAsia"/>
          <w:lang w:val="fr-FR"/>
        </w:rPr>
        <w:t>具体社会阶层的食品消费数据可查阅《家庭预算调查》年刊。</w:t>
      </w:r>
    </w:p>
    <w:p w:rsidR="00000000" w:rsidRDefault="00000000">
      <w:pPr>
        <w:rPr>
          <w:rFonts w:hint="eastAsia"/>
          <w:lang w:val="fr-FR"/>
        </w:rPr>
      </w:pPr>
      <w:r>
        <w:rPr>
          <w:rFonts w:hint="eastAsia"/>
          <w:lang w:val="fr-FR"/>
        </w:rPr>
        <w:tab/>
        <w:t>425.  2001</w:t>
      </w:r>
      <w:r>
        <w:rPr>
          <w:rFonts w:hint="eastAsia"/>
          <w:lang w:val="fr-FR"/>
        </w:rPr>
        <w:t>年每人平均每天摄入的能量为</w:t>
      </w:r>
      <w:r>
        <w:rPr>
          <w:rFonts w:hint="eastAsia"/>
          <w:lang w:val="fr-FR"/>
        </w:rPr>
        <w:t>12</w:t>
      </w:r>
      <w:r>
        <w:rPr>
          <w:lang w:val="fr-FR"/>
        </w:rPr>
        <w:t>,</w:t>
      </w:r>
      <w:r>
        <w:rPr>
          <w:rFonts w:hint="eastAsia"/>
          <w:lang w:val="fr-FR"/>
        </w:rPr>
        <w:t>824</w:t>
      </w:r>
      <w:r>
        <w:rPr>
          <w:rFonts w:hint="eastAsia"/>
          <w:lang w:val="fr-FR"/>
        </w:rPr>
        <w:t>千焦耳。</w:t>
      </w:r>
      <w:r>
        <w:rPr>
          <w:rStyle w:val="FootnoteReference"/>
          <w:lang w:val="fr-FR"/>
        </w:rPr>
        <w:footnoteReference w:customMarkFollows="1" w:id="6"/>
        <w:t>3</w:t>
      </w:r>
      <w:r>
        <w:rPr>
          <w:lang w:val="fr-FR"/>
        </w:rPr>
        <w:t xml:space="preserve"> </w:t>
      </w:r>
      <w:r>
        <w:rPr>
          <w:rFonts w:hint="eastAsia"/>
          <w:lang w:val="fr-FR"/>
        </w:rPr>
        <w:t>根据全国营养学会建议的最低健康营养要求的“食品篮子”，应当包括</w:t>
      </w:r>
      <w:r>
        <w:rPr>
          <w:rFonts w:hint="eastAsia"/>
          <w:lang w:val="fr-FR"/>
        </w:rPr>
        <w:t>91</w:t>
      </w:r>
      <w:r>
        <w:rPr>
          <w:rFonts w:hint="eastAsia"/>
          <w:lang w:val="fr-FR"/>
        </w:rPr>
        <w:t>克蛋白质</w:t>
      </w:r>
      <w:r>
        <w:rPr>
          <w:rFonts w:hint="eastAsia"/>
          <w:lang w:val="fr-FR"/>
        </w:rPr>
        <w:t>(</w:t>
      </w:r>
      <w:r>
        <w:rPr>
          <w:rFonts w:hint="eastAsia"/>
          <w:lang w:val="fr-FR"/>
        </w:rPr>
        <w:t>其中</w:t>
      </w:r>
      <w:r>
        <w:rPr>
          <w:rFonts w:hint="eastAsia"/>
          <w:lang w:val="fr-FR"/>
        </w:rPr>
        <w:t>40</w:t>
      </w:r>
      <w:r>
        <w:rPr>
          <w:rFonts w:hint="eastAsia"/>
          <w:lang w:val="fr-FR"/>
        </w:rPr>
        <w:t>克动物蛋白质</w:t>
      </w:r>
      <w:r>
        <w:rPr>
          <w:rFonts w:hint="eastAsia"/>
          <w:lang w:val="fr-FR"/>
        </w:rPr>
        <w:t>)</w:t>
      </w:r>
      <w:r>
        <w:rPr>
          <w:rFonts w:hint="eastAsia"/>
          <w:lang w:val="fr-FR"/>
        </w:rPr>
        <w:t>、</w:t>
      </w:r>
      <w:r>
        <w:rPr>
          <w:rFonts w:hint="eastAsia"/>
          <w:lang w:val="fr-FR"/>
        </w:rPr>
        <w:t>98</w:t>
      </w:r>
      <w:r>
        <w:rPr>
          <w:rFonts w:hint="eastAsia"/>
          <w:lang w:val="fr-FR"/>
        </w:rPr>
        <w:t>克脂肪、</w:t>
      </w:r>
      <w:r>
        <w:rPr>
          <w:rFonts w:hint="eastAsia"/>
          <w:lang w:val="fr-FR"/>
        </w:rPr>
        <w:t>371</w:t>
      </w:r>
      <w:r>
        <w:rPr>
          <w:rFonts w:hint="eastAsia"/>
          <w:lang w:val="fr-FR"/>
        </w:rPr>
        <w:t>克碳水化合物、</w:t>
      </w:r>
      <w:r>
        <w:rPr>
          <w:rFonts w:hint="eastAsia"/>
          <w:lang w:val="fr-FR"/>
        </w:rPr>
        <w:t>783</w:t>
      </w:r>
      <w:r>
        <w:rPr>
          <w:rFonts w:hint="eastAsia"/>
          <w:lang w:val="fr-FR"/>
        </w:rPr>
        <w:t>毫克钙、</w:t>
      </w:r>
      <w:r>
        <w:rPr>
          <w:rFonts w:hint="eastAsia"/>
          <w:lang w:val="fr-FR"/>
        </w:rPr>
        <w:t>2465</w:t>
      </w:r>
      <w:r>
        <w:rPr>
          <w:rFonts w:hint="eastAsia"/>
          <w:lang w:val="fr-FR"/>
        </w:rPr>
        <w:t>毫克钾、</w:t>
      </w:r>
      <w:r>
        <w:rPr>
          <w:rFonts w:hint="eastAsia"/>
          <w:lang w:val="fr-FR"/>
        </w:rPr>
        <w:t>12</w:t>
      </w:r>
      <w:r>
        <w:rPr>
          <w:rFonts w:hint="eastAsia"/>
          <w:lang w:val="fr-FR"/>
        </w:rPr>
        <w:t>毫克铁和</w:t>
      </w:r>
      <w:r>
        <w:rPr>
          <w:rFonts w:hint="eastAsia"/>
          <w:lang w:val="fr-FR"/>
        </w:rPr>
        <w:t>111</w:t>
      </w:r>
      <w:r>
        <w:rPr>
          <w:rFonts w:hint="eastAsia"/>
          <w:lang w:val="fr-FR"/>
        </w:rPr>
        <w:t>毫克维生素</w:t>
      </w:r>
      <w:r>
        <w:rPr>
          <w:rFonts w:hint="eastAsia"/>
          <w:lang w:val="fr-FR"/>
        </w:rPr>
        <w:t>C</w:t>
      </w:r>
      <w:r>
        <w:rPr>
          <w:rFonts w:hint="eastAsia"/>
          <w:lang w:val="fr-FR"/>
        </w:rPr>
        <w:t>。这满足具有适当体力活动的普通成年人的能量、维生素和矿物质要求。</w:t>
      </w:r>
    </w:p>
    <w:p w:rsidR="00000000" w:rsidRDefault="00000000">
      <w:pPr>
        <w:rPr>
          <w:rFonts w:hint="eastAsia"/>
          <w:lang w:val="fr-FR"/>
        </w:rPr>
      </w:pPr>
      <w:r>
        <w:rPr>
          <w:rFonts w:hint="eastAsia"/>
          <w:lang w:val="fr-FR"/>
        </w:rPr>
        <w:tab/>
        <w:t xml:space="preserve">426.  </w:t>
      </w:r>
      <w:r>
        <w:rPr>
          <w:rFonts w:hint="eastAsia"/>
          <w:lang w:val="fr-FR"/>
        </w:rPr>
        <w:t>在一些人口组中，主要是在贫穷家庭</w:t>
      </w:r>
      <w:r>
        <w:rPr>
          <w:rFonts w:hint="eastAsia"/>
          <w:lang w:val="fr-FR"/>
        </w:rPr>
        <w:t>(</w:t>
      </w:r>
      <w:r>
        <w:rPr>
          <w:rFonts w:hint="eastAsia"/>
          <w:lang w:val="fr-FR"/>
        </w:rPr>
        <w:t>在收入的第一个十分位数中</w:t>
      </w:r>
      <w:r>
        <w:rPr>
          <w:rFonts w:hint="eastAsia"/>
          <w:lang w:val="fr-FR"/>
        </w:rPr>
        <w:t>)</w:t>
      </w:r>
      <w:r>
        <w:rPr>
          <w:rFonts w:hint="eastAsia"/>
          <w:lang w:val="fr-FR"/>
        </w:rPr>
        <w:t>和有</w:t>
      </w:r>
      <w:r>
        <w:rPr>
          <w:rFonts w:hint="eastAsia"/>
          <w:lang w:val="fr-FR"/>
        </w:rPr>
        <w:t>3</w:t>
      </w:r>
      <w:r>
        <w:rPr>
          <w:rFonts w:hint="eastAsia"/>
          <w:lang w:val="fr-FR"/>
        </w:rPr>
        <w:t>个以上子女的家庭中，食品消费结构还远达不到最佳营养的要求。他们消费的脂肪和谷类高于最佳标准，而蔬菜和水果的消费远少于平均值。</w:t>
      </w:r>
    </w:p>
    <w:p w:rsidR="00000000" w:rsidRDefault="00000000">
      <w:pPr>
        <w:rPr>
          <w:rFonts w:hint="eastAsia"/>
          <w:lang w:val="fr-FR"/>
        </w:rPr>
      </w:pPr>
      <w:r>
        <w:rPr>
          <w:rFonts w:hint="eastAsia"/>
          <w:lang w:val="fr-FR"/>
        </w:rPr>
        <w:tab/>
        <w:t xml:space="preserve">427.  </w:t>
      </w:r>
      <w:r>
        <w:rPr>
          <w:rFonts w:hint="eastAsia"/>
          <w:lang w:val="fr-FR"/>
        </w:rPr>
        <w:t>匈牙利平均牛奶和奶制品的总消费量也低于最佳水准，而且远低于国际同类数字。</w:t>
      </w:r>
    </w:p>
    <w:p w:rsidR="00000000" w:rsidRDefault="00000000">
      <w:pPr>
        <w:rPr>
          <w:rFonts w:hint="eastAsia"/>
          <w:lang w:val="fr-FR"/>
        </w:rPr>
      </w:pPr>
      <w:r>
        <w:rPr>
          <w:rFonts w:hint="eastAsia"/>
          <w:lang w:val="fr-FR"/>
        </w:rPr>
        <w:tab/>
        <w:t xml:space="preserve">428.  </w:t>
      </w:r>
      <w:r>
        <w:rPr>
          <w:rFonts w:hint="eastAsia"/>
          <w:lang w:val="fr-FR"/>
        </w:rPr>
        <w:t>上述情况的原因在于，自</w:t>
      </w:r>
      <w:r>
        <w:rPr>
          <w:rFonts w:hint="eastAsia"/>
          <w:lang w:val="fr-FR"/>
        </w:rPr>
        <w:t>1990</w:t>
      </w:r>
      <w:r>
        <w:rPr>
          <w:rFonts w:hint="eastAsia"/>
          <w:lang w:val="fr-FR"/>
        </w:rPr>
        <w:t>年代间的政治制度改革以来，牛奶和奶制品的价格上涨，因此从那时起牛奶消费量下降了约</w:t>
      </w:r>
      <w:r>
        <w:rPr>
          <w:rFonts w:hint="eastAsia"/>
          <w:lang w:val="fr-FR"/>
        </w:rPr>
        <w:t>20</w:t>
      </w:r>
      <w:r>
        <w:rPr>
          <w:rFonts w:hint="eastAsia"/>
          <w:lang w:val="fr-FR"/>
        </w:rPr>
        <w:t>公升，而且似乎一直停留在最低水平上。</w:t>
      </w:r>
    </w:p>
    <w:p w:rsidR="00000000" w:rsidRDefault="00000000">
      <w:pPr>
        <w:rPr>
          <w:lang w:val="fr-FR"/>
        </w:rPr>
      </w:pPr>
      <w:r>
        <w:rPr>
          <w:rFonts w:hint="eastAsia"/>
          <w:lang w:val="fr-FR"/>
        </w:rPr>
        <w:tab/>
        <w:t xml:space="preserve">429.  </w:t>
      </w:r>
      <w:r>
        <w:rPr>
          <w:rFonts w:hint="eastAsia"/>
          <w:lang w:val="fr-FR"/>
        </w:rPr>
        <w:t>由于《家庭预算调查》中没有家外用膳的食量和营养价值</w:t>
      </w:r>
      <w:r>
        <w:rPr>
          <w:rFonts w:hint="eastAsia"/>
          <w:lang w:val="fr-FR"/>
        </w:rPr>
        <w:t>(</w:t>
      </w:r>
      <w:r>
        <w:rPr>
          <w:rFonts w:hint="eastAsia"/>
          <w:lang w:val="fr-FR"/>
        </w:rPr>
        <w:t>调查只涉及价值</w:t>
      </w:r>
      <w:r>
        <w:rPr>
          <w:rFonts w:hint="eastAsia"/>
          <w:lang w:val="fr-FR"/>
        </w:rPr>
        <w:t>)</w:t>
      </w:r>
      <w:r>
        <w:rPr>
          <w:rFonts w:hint="eastAsia"/>
          <w:lang w:val="fr-FR"/>
        </w:rPr>
        <w:t>，因此国内食品消费量</w:t>
      </w:r>
      <w:r>
        <w:rPr>
          <w:rFonts w:hint="eastAsia"/>
          <w:lang w:val="fr-FR"/>
        </w:rPr>
        <w:t>(</w:t>
      </w:r>
      <w:r>
        <w:rPr>
          <w:rFonts w:hint="eastAsia"/>
          <w:lang w:val="fr-FR"/>
        </w:rPr>
        <w:t>根据国民核算</w:t>
      </w:r>
      <w:r>
        <w:rPr>
          <w:rFonts w:hint="eastAsia"/>
          <w:lang w:val="fr-FR"/>
        </w:rPr>
        <w:t>)</w:t>
      </w:r>
      <w:r>
        <w:rPr>
          <w:rFonts w:hint="eastAsia"/>
          <w:lang w:val="fr-FR"/>
        </w:rPr>
        <w:t>高于《家庭预算调查》的数据。</w:t>
      </w:r>
    </w:p>
    <w:p w:rsidR="00000000" w:rsidRDefault="00000000">
      <w:pPr>
        <w:spacing w:after="240"/>
        <w:rPr>
          <w:rFonts w:hint="eastAsia"/>
          <w:lang w:val="fr-FR"/>
        </w:rPr>
      </w:pPr>
      <w:r>
        <w:rPr>
          <w:rFonts w:hint="eastAsia"/>
          <w:lang w:val="fr-FR"/>
        </w:rPr>
        <w:tab/>
        <w:t xml:space="preserve">430.  </w:t>
      </w:r>
      <w:r>
        <w:rPr>
          <w:rFonts w:hint="eastAsia"/>
          <w:lang w:val="fr-FR"/>
        </w:rPr>
        <w:t>最穷家庭的家外消费量不大。家庭食品消费中另一项重要因素是自给型消费</w:t>
      </w:r>
      <w:r>
        <w:rPr>
          <w:rFonts w:hint="eastAsia"/>
          <w:lang w:val="fr-FR"/>
        </w:rPr>
        <w:t>(</w:t>
      </w:r>
      <w:r>
        <w:rPr>
          <w:rFonts w:hint="eastAsia"/>
          <w:lang w:val="fr-FR"/>
        </w:rPr>
        <w:t>自产</w:t>
      </w:r>
      <w:r>
        <w:rPr>
          <w:rFonts w:hint="eastAsia"/>
          <w:lang w:val="fr-FR"/>
        </w:rPr>
        <w:t>)</w:t>
      </w:r>
      <w:r>
        <w:rPr>
          <w:rFonts w:hint="eastAsia"/>
          <w:lang w:val="fr-FR"/>
        </w:rPr>
        <w:t>。在匈牙利可以发现</w:t>
      </w:r>
      <w:r>
        <w:rPr>
          <w:rFonts w:hint="eastAsia"/>
          <w:lang w:val="fr-FR"/>
        </w:rPr>
        <w:t>50%</w:t>
      </w:r>
      <w:r>
        <w:rPr>
          <w:rFonts w:hint="eastAsia"/>
          <w:lang w:val="fr-FR"/>
        </w:rPr>
        <w:t>的家庭消费自产食物。在首都自产量微不足道</w:t>
      </w:r>
      <w:r>
        <w:rPr>
          <w:rFonts w:hint="eastAsia"/>
          <w:lang w:val="fr-FR"/>
        </w:rPr>
        <w:t>(2%)</w:t>
      </w:r>
      <w:r>
        <w:rPr>
          <w:rFonts w:hint="eastAsia"/>
          <w:lang w:val="fr-FR"/>
        </w:rPr>
        <w:t>，而在乡村平均占到</w:t>
      </w:r>
      <w:r>
        <w:rPr>
          <w:rFonts w:hint="eastAsia"/>
          <w:lang w:val="fr-FR"/>
        </w:rPr>
        <w:t>16%</w:t>
      </w:r>
      <w:r>
        <w:rPr>
          <w:rFonts w:hint="eastAsia"/>
          <w:lang w:val="fr-FR"/>
        </w:rPr>
        <w:t>，在南部大平原地区约为</w:t>
      </w:r>
      <w:r>
        <w:rPr>
          <w:rFonts w:hint="eastAsia"/>
          <w:lang w:val="fr-FR"/>
        </w:rPr>
        <w:t>20%-30%</w:t>
      </w:r>
      <w:r>
        <w:rPr>
          <w:rFonts w:hint="eastAsia"/>
          <w:lang w:val="fr-FR"/>
        </w:rPr>
        <w:t>。家庭消费的三分之一肉蛋、一半的蔬菜和土豆以及三分之一的水果是自产的，收自于宅边地、业余菜园和小型农场等。用自产自收的水果自家制成果酱果脯之类的做法也非常流行，自八十年代末以来这种现象似乎在不断增多。部分水果进行深冻加工，取代了传统的糖渍方式。匈牙利一半的家庭拥有冻箱和冰箱。</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食品卫生监管</w:t>
      </w:r>
    </w:p>
    <w:p w:rsidR="00000000" w:rsidRDefault="00000000">
      <w:pPr>
        <w:rPr>
          <w:rFonts w:hint="eastAsia"/>
          <w:lang w:val="fr-FR"/>
        </w:rPr>
      </w:pPr>
      <w:r>
        <w:rPr>
          <w:rFonts w:hint="eastAsia"/>
          <w:lang w:val="fr-FR"/>
        </w:rPr>
        <w:tab/>
        <w:t xml:space="preserve">431.  </w:t>
      </w:r>
      <w:r>
        <w:rPr>
          <w:rFonts w:hint="eastAsia"/>
          <w:lang w:val="fr-FR"/>
        </w:rPr>
        <w:t>食品监管是根据《关于食品问题的</w:t>
      </w:r>
      <w:r>
        <w:rPr>
          <w:rFonts w:hint="eastAsia"/>
          <w:lang w:val="fr-FR"/>
        </w:rPr>
        <w:t>1995</w:t>
      </w:r>
      <w:r>
        <w:rPr>
          <w:rFonts w:hint="eastAsia"/>
          <w:lang w:val="fr-FR"/>
        </w:rPr>
        <w:t>年第九十号法令》开展的，以及农业部、公共福利部和工业贸易部联合颁发的关于上述法令执行问题的第</w:t>
      </w:r>
      <w:r>
        <w:rPr>
          <w:lang w:val="fr-FR"/>
        </w:rPr>
        <w:t>1/</w:t>
      </w:r>
      <w:r>
        <w:rPr>
          <w:rFonts w:hint="eastAsia"/>
          <w:lang w:val="fr-FR"/>
        </w:rPr>
        <w:t>1996</w:t>
      </w:r>
      <w:r>
        <w:rPr>
          <w:rFonts w:hint="eastAsia"/>
          <w:lang w:val="fr-FR"/>
        </w:rPr>
        <w:t>号政令</w:t>
      </w:r>
      <w:r>
        <w:rPr>
          <w:rFonts w:hint="eastAsia"/>
          <w:lang w:val="fr-FR"/>
        </w:rPr>
        <w:t>(</w:t>
      </w:r>
      <w:r>
        <w:rPr>
          <w:rFonts w:hint="eastAsia"/>
          <w:lang w:val="fr-FR"/>
        </w:rPr>
        <w:t>一、</w:t>
      </w:r>
      <w:r>
        <w:rPr>
          <w:rFonts w:hint="eastAsia"/>
          <w:lang w:val="fr-FR"/>
        </w:rPr>
        <w:t>9</w:t>
      </w:r>
      <w:r>
        <w:rPr>
          <w:lang w:val="fr-FR"/>
        </w:rPr>
        <w:t>.</w:t>
      </w:r>
      <w:r>
        <w:rPr>
          <w:rFonts w:hint="eastAsia"/>
          <w:lang w:val="fr-FR"/>
        </w:rPr>
        <w:t>)</w:t>
      </w:r>
      <w:r>
        <w:rPr>
          <w:rFonts w:hint="eastAsia"/>
          <w:lang w:val="fr-FR"/>
        </w:rPr>
        <w:t>规定了执行食品监管任务的几种方式。</w:t>
      </w:r>
    </w:p>
    <w:p w:rsidR="00000000" w:rsidRDefault="00000000">
      <w:pPr>
        <w:rPr>
          <w:rFonts w:hint="eastAsia"/>
          <w:lang w:val="fr-FR"/>
        </w:rPr>
      </w:pPr>
      <w:r>
        <w:rPr>
          <w:rFonts w:hint="eastAsia"/>
          <w:lang w:val="fr-FR"/>
        </w:rPr>
        <w:tab/>
        <w:t xml:space="preserve">432.  </w:t>
      </w:r>
      <w:r>
        <w:rPr>
          <w:rFonts w:hint="eastAsia"/>
          <w:lang w:val="fr-FR"/>
        </w:rPr>
        <w:t>农业部、内务部、国防部、工业部、贸易旅游部以及公共福利部联合颁发第</w:t>
      </w:r>
      <w:r>
        <w:rPr>
          <w:rFonts w:hint="eastAsia"/>
          <w:lang w:val="fr-FR"/>
        </w:rPr>
        <w:t>21/1998</w:t>
      </w:r>
      <w:r>
        <w:rPr>
          <w:rFonts w:hint="eastAsia"/>
          <w:lang w:val="fr-FR"/>
        </w:rPr>
        <w:t>号政令规定了食品监管程序</w:t>
      </w:r>
      <w:r>
        <w:rPr>
          <w:rFonts w:hint="eastAsia"/>
          <w:lang w:val="fr-FR"/>
        </w:rPr>
        <w:t>(</w:t>
      </w:r>
      <w:r>
        <w:rPr>
          <w:rFonts w:hint="eastAsia"/>
          <w:lang w:val="fr-FR"/>
        </w:rPr>
        <w:t>四、</w:t>
      </w:r>
      <w:r>
        <w:rPr>
          <w:rFonts w:hint="eastAsia"/>
          <w:lang w:val="fr-FR"/>
        </w:rPr>
        <w:t>8</w:t>
      </w:r>
      <w:r>
        <w:rPr>
          <w:lang w:val="fr-FR"/>
        </w:rPr>
        <w:t>.</w:t>
      </w:r>
      <w:r>
        <w:rPr>
          <w:rFonts w:hint="eastAsia"/>
          <w:lang w:val="fr-FR"/>
        </w:rPr>
        <w:t>)</w:t>
      </w:r>
      <w:r>
        <w:rPr>
          <w:rFonts w:hint="eastAsia"/>
          <w:lang w:val="fr-FR"/>
        </w:rPr>
        <w:t>。政令的范围涉及食品、用于公众消费或在匈牙利共和国境内销售的烟草产品以及公共卫生、质量、动物卫生和食品卫生等部门对有关食品和烟草添加剂生产和贸易的监管。最高协调层是匈牙利共和国政府。在诸如“食品安全咨询委员会”和“部际食品监管协调委员会”等部际委员会的帮助下，政府履行食品安全日常协调的职能。</w:t>
      </w:r>
    </w:p>
    <w:p w:rsidR="00000000" w:rsidRDefault="00000000">
      <w:pPr>
        <w:rPr>
          <w:rFonts w:hint="eastAsia"/>
          <w:lang w:val="fr-FR"/>
        </w:rPr>
      </w:pPr>
      <w:r>
        <w:rPr>
          <w:rFonts w:hint="eastAsia"/>
          <w:lang w:val="fr-FR"/>
        </w:rPr>
        <w:tab/>
        <w:t xml:space="preserve">433.  </w:t>
      </w:r>
      <w:r>
        <w:rPr>
          <w:rFonts w:hint="eastAsia"/>
          <w:lang w:val="fr-FR"/>
        </w:rPr>
        <w:t>《关于食品问题的</w:t>
      </w:r>
      <w:r>
        <w:rPr>
          <w:rFonts w:hint="eastAsia"/>
          <w:lang w:val="fr-FR"/>
        </w:rPr>
        <w:t>1995</w:t>
      </w:r>
      <w:r>
        <w:rPr>
          <w:rFonts w:hint="eastAsia"/>
          <w:lang w:val="fr-FR"/>
        </w:rPr>
        <w:t>年第九十号法令》任命了三家食品监管机构：</w:t>
      </w:r>
    </w:p>
    <w:p w:rsidR="00000000" w:rsidRDefault="00000000">
      <w:pPr>
        <w:pStyle w:val="a0"/>
        <w:ind w:left="1550"/>
        <w:rPr>
          <w:rFonts w:hint="eastAsia"/>
          <w:lang w:val="fr-FR"/>
        </w:rPr>
      </w:pPr>
      <w:r>
        <w:rPr>
          <w:rFonts w:hint="eastAsia"/>
          <w:lang w:val="fr-FR"/>
        </w:rPr>
        <w:t>国家动物卫生和食品监管站，农业和区域发展部</w:t>
      </w:r>
    </w:p>
    <w:p w:rsidR="00000000" w:rsidRDefault="00000000">
      <w:pPr>
        <w:pStyle w:val="a0"/>
        <w:ind w:left="1550"/>
        <w:rPr>
          <w:rFonts w:hint="eastAsia"/>
          <w:lang w:val="fr-FR"/>
        </w:rPr>
      </w:pPr>
      <w:r>
        <w:rPr>
          <w:rFonts w:hint="eastAsia"/>
          <w:lang w:val="fr-FR"/>
        </w:rPr>
        <w:t>公共卫生、流行病和卫生保护组织</w:t>
      </w:r>
      <w:r>
        <w:rPr>
          <w:rFonts w:hint="eastAsia"/>
          <w:lang w:val="fr-FR"/>
        </w:rPr>
        <w:t>(</w:t>
      </w:r>
      <w:r>
        <w:rPr>
          <w:rFonts w:hint="eastAsia"/>
          <w:lang w:val="fr-FR"/>
        </w:rPr>
        <w:t>全国公共卫生和医务职员服务处</w:t>
      </w:r>
      <w:r>
        <w:rPr>
          <w:rFonts w:hint="eastAsia"/>
          <w:lang w:val="fr-FR"/>
        </w:rPr>
        <w:t>)</w:t>
      </w:r>
      <w:r>
        <w:rPr>
          <w:rFonts w:hint="eastAsia"/>
          <w:lang w:val="fr-FR"/>
        </w:rPr>
        <w:t>，卫生部</w:t>
      </w:r>
    </w:p>
    <w:p w:rsidR="00000000" w:rsidRDefault="00000000">
      <w:pPr>
        <w:pStyle w:val="a0"/>
        <w:ind w:left="1550"/>
        <w:rPr>
          <w:rFonts w:hint="eastAsia"/>
          <w:lang w:val="fr-FR"/>
        </w:rPr>
      </w:pPr>
      <w:r>
        <w:rPr>
          <w:rFonts w:hint="eastAsia"/>
          <w:lang w:val="fr-FR"/>
        </w:rPr>
        <w:t>负责代表消费者利益的组织</w:t>
      </w:r>
      <w:r>
        <w:rPr>
          <w:rFonts w:hint="eastAsia"/>
          <w:lang w:val="fr-FR"/>
        </w:rPr>
        <w:t>(</w:t>
      </w:r>
      <w:r>
        <w:rPr>
          <w:rFonts w:hint="eastAsia"/>
          <w:lang w:val="fr-FR"/>
        </w:rPr>
        <w:t>消费者保护局和经济事务部</w:t>
      </w:r>
      <w:r>
        <w:rPr>
          <w:rFonts w:hint="eastAsia"/>
          <w:lang w:val="fr-FR"/>
        </w:rPr>
        <w:t>)</w:t>
      </w:r>
    </w:p>
    <w:p w:rsidR="00000000" w:rsidRDefault="00000000">
      <w:pPr>
        <w:ind w:left="1040"/>
        <w:rPr>
          <w:rFonts w:hint="eastAsia"/>
          <w:lang w:val="fr-FR"/>
        </w:rPr>
      </w:pPr>
      <w:r>
        <w:rPr>
          <w:rFonts w:hint="eastAsia"/>
          <w:lang w:val="fr-FR"/>
        </w:rPr>
        <w:t>其他参与食品监管的机构：</w:t>
      </w:r>
    </w:p>
    <w:p w:rsidR="00000000" w:rsidRDefault="00000000">
      <w:pPr>
        <w:pStyle w:val="a0"/>
        <w:ind w:left="1550"/>
        <w:rPr>
          <w:rFonts w:hint="eastAsia"/>
          <w:lang w:val="fr-FR"/>
        </w:rPr>
      </w:pPr>
      <w:r>
        <w:rPr>
          <w:rFonts w:hint="eastAsia"/>
          <w:lang w:val="fr-FR"/>
        </w:rPr>
        <w:t>蔬菜卫生和土壤保护站</w:t>
      </w:r>
    </w:p>
    <w:p w:rsidR="00000000" w:rsidRDefault="00000000">
      <w:pPr>
        <w:pStyle w:val="a0"/>
        <w:ind w:left="1550"/>
        <w:rPr>
          <w:rFonts w:hint="eastAsia"/>
          <w:lang w:val="fr-FR"/>
        </w:rPr>
      </w:pPr>
      <w:r>
        <w:rPr>
          <w:rFonts w:hint="eastAsia"/>
          <w:lang w:val="fr-FR"/>
        </w:rPr>
        <w:t>全国葡萄酒评级协会</w:t>
      </w:r>
    </w:p>
    <w:p w:rsidR="00000000" w:rsidRDefault="00000000">
      <w:pPr>
        <w:rPr>
          <w:rFonts w:hint="eastAsia"/>
          <w:lang w:val="fr-FR"/>
        </w:rPr>
      </w:pPr>
      <w:r>
        <w:rPr>
          <w:rFonts w:hint="eastAsia"/>
          <w:lang w:val="fr-FR"/>
        </w:rPr>
        <w:tab/>
        <w:t xml:space="preserve">434.  </w:t>
      </w:r>
      <w:r>
        <w:rPr>
          <w:rFonts w:hint="eastAsia"/>
          <w:lang w:val="fr-FR"/>
        </w:rPr>
        <w:t>最近，《第</w:t>
      </w:r>
      <w:r>
        <w:rPr>
          <w:rFonts w:hint="eastAsia"/>
          <w:lang w:val="fr-FR"/>
        </w:rPr>
        <w:t>66/2003</w:t>
      </w:r>
      <w:r>
        <w:rPr>
          <w:rFonts w:hint="eastAsia"/>
          <w:lang w:val="fr-FR"/>
        </w:rPr>
        <w:t>号政府法令》</w:t>
      </w:r>
      <w:r>
        <w:rPr>
          <w:rFonts w:hint="eastAsia"/>
          <w:lang w:val="fr-FR"/>
        </w:rPr>
        <w:t>(</w:t>
      </w:r>
      <w:r>
        <w:rPr>
          <w:rFonts w:hint="eastAsia"/>
          <w:lang w:val="fr-FR"/>
        </w:rPr>
        <w:t>五、</w:t>
      </w:r>
      <w:r>
        <w:rPr>
          <w:rFonts w:hint="eastAsia"/>
          <w:lang w:val="fr-FR"/>
        </w:rPr>
        <w:t>15.)</w:t>
      </w:r>
      <w:r>
        <w:rPr>
          <w:rFonts w:hint="eastAsia"/>
          <w:lang w:val="fr-FR"/>
        </w:rPr>
        <w:t>构建了建立匈牙利食品安全局的框架。该局的组织工作、活动范围的指定和人员选用目前都在进行中。</w:t>
      </w:r>
    </w:p>
    <w:p w:rsidR="00000000" w:rsidRDefault="00000000">
      <w:pPr>
        <w:spacing w:after="320"/>
        <w:rPr>
          <w:rFonts w:hint="eastAsia"/>
          <w:lang w:val="fr-FR"/>
        </w:rPr>
      </w:pPr>
      <w:r>
        <w:rPr>
          <w:rFonts w:hint="eastAsia"/>
          <w:lang w:val="fr-FR"/>
        </w:rPr>
        <w:tab/>
        <w:t xml:space="preserve">435.  </w:t>
      </w:r>
      <w:r>
        <w:rPr>
          <w:rFonts w:hint="eastAsia"/>
          <w:lang w:val="fr-FR"/>
        </w:rPr>
        <w:t>关于饮用水质量，匈牙利通过了一项政令和一项全国性方案来执行《欧洲联盟第</w:t>
      </w:r>
      <w:r>
        <w:rPr>
          <w:rFonts w:hint="eastAsia"/>
          <w:lang w:val="fr-FR"/>
        </w:rPr>
        <w:t>98/83/EC</w:t>
      </w:r>
      <w:r>
        <w:rPr>
          <w:rFonts w:hint="eastAsia"/>
          <w:lang w:val="fr-FR"/>
        </w:rPr>
        <w:t>号指令》：政府于</w:t>
      </w:r>
      <w:r>
        <w:rPr>
          <w:rFonts w:hint="eastAsia"/>
          <w:lang w:val="fr-FR"/>
        </w:rPr>
        <w:t>2001</w:t>
      </w:r>
      <w:r>
        <w:rPr>
          <w:rFonts w:hint="eastAsia"/>
          <w:lang w:val="fr-FR"/>
        </w:rPr>
        <w:t>年</w:t>
      </w:r>
      <w:r>
        <w:rPr>
          <w:rFonts w:hint="eastAsia"/>
          <w:lang w:val="fr-FR"/>
        </w:rPr>
        <w:t>3</w:t>
      </w:r>
      <w:r>
        <w:rPr>
          <w:rFonts w:hint="eastAsia"/>
          <w:lang w:val="fr-FR"/>
        </w:rPr>
        <w:t>月</w:t>
      </w:r>
      <w:r>
        <w:rPr>
          <w:rFonts w:hint="eastAsia"/>
          <w:lang w:val="fr-FR"/>
        </w:rPr>
        <w:t>20</w:t>
      </w:r>
      <w:r>
        <w:rPr>
          <w:rFonts w:hint="eastAsia"/>
          <w:lang w:val="fr-FR"/>
        </w:rPr>
        <w:t>日通过了该方案，并于</w:t>
      </w:r>
      <w:r>
        <w:rPr>
          <w:rFonts w:hint="eastAsia"/>
          <w:lang w:val="fr-FR"/>
        </w:rPr>
        <w:t>2001</w:t>
      </w:r>
      <w:r>
        <w:rPr>
          <w:rFonts w:hint="eastAsia"/>
          <w:lang w:val="fr-FR"/>
        </w:rPr>
        <w:t>年</w:t>
      </w:r>
      <w:r>
        <w:rPr>
          <w:rFonts w:hint="eastAsia"/>
          <w:lang w:val="fr-FR"/>
        </w:rPr>
        <w:t>10</w:t>
      </w:r>
      <w:r>
        <w:rPr>
          <w:rFonts w:hint="eastAsia"/>
          <w:lang w:val="fr-FR"/>
        </w:rPr>
        <w:t>月</w:t>
      </w:r>
      <w:r>
        <w:rPr>
          <w:rFonts w:hint="eastAsia"/>
          <w:lang w:val="fr-FR"/>
        </w:rPr>
        <w:t>25</w:t>
      </w:r>
      <w:r>
        <w:rPr>
          <w:rFonts w:hint="eastAsia"/>
          <w:lang w:val="fr-FR"/>
        </w:rPr>
        <w:t>日通过了关于饮用水质量标准和监管的《第</w:t>
      </w:r>
      <w:r>
        <w:rPr>
          <w:rFonts w:hint="eastAsia"/>
          <w:lang w:val="fr-FR"/>
        </w:rPr>
        <w:t>201/2001</w:t>
      </w:r>
      <w:r>
        <w:rPr>
          <w:rFonts w:hint="eastAsia"/>
          <w:lang w:val="fr-FR"/>
        </w:rPr>
        <w:t>号政令》。该政令的附件</w:t>
      </w:r>
      <w:r>
        <w:rPr>
          <w:rFonts w:hint="eastAsia"/>
          <w:lang w:val="fr-FR"/>
        </w:rPr>
        <w:t>6</w:t>
      </w:r>
      <w:r>
        <w:rPr>
          <w:rFonts w:hint="eastAsia"/>
          <w:lang w:val="fr-FR"/>
        </w:rPr>
        <w:t>中的</w:t>
      </w:r>
      <w:r>
        <w:rPr>
          <w:rFonts w:hint="eastAsia"/>
          <w:lang w:val="fr-FR"/>
        </w:rPr>
        <w:t>A</w:t>
      </w:r>
      <w:r>
        <w:rPr>
          <w:rFonts w:hint="eastAsia"/>
          <w:lang w:val="fr-FR"/>
        </w:rPr>
        <w:t>部分包括了一份在</w:t>
      </w:r>
      <w:r>
        <w:rPr>
          <w:rFonts w:hint="eastAsia"/>
          <w:lang w:val="fr-FR"/>
        </w:rPr>
        <w:t>2009</w:t>
      </w:r>
      <w:r>
        <w:rPr>
          <w:rFonts w:hint="eastAsia"/>
          <w:lang w:val="fr-FR"/>
        </w:rPr>
        <w:t>年</w:t>
      </w:r>
      <w:r>
        <w:rPr>
          <w:rFonts w:hint="eastAsia"/>
          <w:lang w:val="fr-FR"/>
        </w:rPr>
        <w:t>12</w:t>
      </w:r>
      <w:r>
        <w:rPr>
          <w:rFonts w:hint="eastAsia"/>
          <w:lang w:val="fr-FR"/>
        </w:rPr>
        <w:t>月</w:t>
      </w:r>
      <w:r>
        <w:rPr>
          <w:rFonts w:hint="eastAsia"/>
          <w:lang w:val="fr-FR"/>
        </w:rPr>
        <w:t>25</w:t>
      </w:r>
      <w:r>
        <w:rPr>
          <w:rFonts w:hint="eastAsia"/>
          <w:lang w:val="fr-FR"/>
        </w:rPr>
        <w:t>日之前市政府负责将</w:t>
      </w:r>
      <w:r>
        <w:rPr>
          <w:rFonts w:hint="eastAsia"/>
          <w:lang w:val="fr-FR"/>
        </w:rPr>
        <w:t>191</w:t>
      </w:r>
      <w:r>
        <w:rPr>
          <w:rFonts w:hint="eastAsia"/>
          <w:lang w:val="fr-FR"/>
        </w:rPr>
        <w:t>个定居点饮用水中的砷、硼、氟化物和亚硝酸盐水平降低至标准的清单。</w:t>
      </w:r>
    </w:p>
    <w:p w:rsidR="00000000" w:rsidRDefault="00000000">
      <w:pPr>
        <w:pStyle w:val="Heading3"/>
        <w:rPr>
          <w:rFonts w:ascii="Time New Roman" w:eastAsia="SimHei" w:hAnsi="Time New Roman" w:hint="eastAsia"/>
          <w:u w:val="none"/>
          <w:lang w:val="fr-FR"/>
        </w:rPr>
      </w:pPr>
      <w:r>
        <w:rPr>
          <w:rFonts w:ascii="Time New Roman" w:eastAsia="SimHei" w:hAnsi="Time New Roman" w:hint="eastAsia"/>
          <w:u w:val="none"/>
          <w:lang w:val="fr-FR"/>
        </w:rPr>
        <w:t>获得安全水的机会</w:t>
      </w:r>
    </w:p>
    <w:p w:rsidR="00000000" w:rsidRDefault="00000000">
      <w:pPr>
        <w:rPr>
          <w:rFonts w:hint="eastAsia"/>
          <w:lang w:val="fr-FR"/>
        </w:rPr>
      </w:pPr>
      <w:r>
        <w:rPr>
          <w:rFonts w:hint="eastAsia"/>
          <w:lang w:val="fr-FR"/>
        </w:rPr>
        <w:tab/>
        <w:t>436.  1999</w:t>
      </w:r>
      <w:r>
        <w:rPr>
          <w:rFonts w:hint="eastAsia"/>
          <w:lang w:val="fr-FR"/>
        </w:rPr>
        <w:t>年，饮用水干道长达</w:t>
      </w:r>
      <w:r>
        <w:rPr>
          <w:rFonts w:hint="eastAsia"/>
          <w:lang w:val="fr-FR"/>
        </w:rPr>
        <w:t>61</w:t>
      </w:r>
      <w:r>
        <w:rPr>
          <w:lang w:val="fr-FR"/>
        </w:rPr>
        <w:t>,</w:t>
      </w:r>
      <w:r>
        <w:rPr>
          <w:rFonts w:hint="eastAsia"/>
          <w:lang w:val="fr-FR"/>
        </w:rPr>
        <w:t>999</w:t>
      </w:r>
      <w:r>
        <w:rPr>
          <w:rFonts w:hint="eastAsia"/>
          <w:lang w:val="fr-FR"/>
        </w:rPr>
        <w:t>公里，为家庭提供的饮用水量为</w:t>
      </w:r>
      <w:r>
        <w:rPr>
          <w:rFonts w:hint="eastAsia"/>
          <w:lang w:val="fr-FR"/>
        </w:rPr>
        <w:t>368</w:t>
      </w:r>
      <w:r>
        <w:rPr>
          <w:lang w:val="fr-FR"/>
        </w:rPr>
        <w:t>,</w:t>
      </w:r>
      <w:r>
        <w:rPr>
          <w:rFonts w:hint="eastAsia"/>
          <w:lang w:val="fr-FR"/>
        </w:rPr>
        <w:t>727</w:t>
      </w:r>
      <w:r>
        <w:rPr>
          <w:lang w:val="fr-FR"/>
        </w:rPr>
        <w:t>,</w:t>
      </w:r>
      <w:r>
        <w:rPr>
          <w:rFonts w:hint="eastAsia"/>
          <w:lang w:val="fr-FR"/>
        </w:rPr>
        <w:t>000</w:t>
      </w:r>
      <w:r>
        <w:rPr>
          <w:rFonts w:hint="eastAsia"/>
          <w:lang w:val="fr-FR"/>
        </w:rPr>
        <w:t>立方米。</w:t>
      </w:r>
      <w:r>
        <w:rPr>
          <w:rFonts w:hint="eastAsia"/>
          <w:lang w:val="fr-FR"/>
        </w:rPr>
        <w:t>1990</w:t>
      </w:r>
      <w:r>
        <w:rPr>
          <w:rFonts w:hint="eastAsia"/>
          <w:lang w:val="fr-FR"/>
        </w:rPr>
        <w:t>年至</w:t>
      </w:r>
      <w:r>
        <w:rPr>
          <w:rFonts w:hint="eastAsia"/>
          <w:lang w:val="fr-FR"/>
        </w:rPr>
        <w:t>1997</w:t>
      </w:r>
      <w:r>
        <w:rPr>
          <w:rFonts w:hint="eastAsia"/>
          <w:lang w:val="fr-FR"/>
        </w:rPr>
        <w:t>年间，干道长度增加了</w:t>
      </w:r>
      <w:r>
        <w:rPr>
          <w:rFonts w:hint="eastAsia"/>
          <w:lang w:val="fr-FR"/>
        </w:rPr>
        <w:t>9</w:t>
      </w:r>
      <w:r>
        <w:rPr>
          <w:lang w:val="fr-FR"/>
        </w:rPr>
        <w:t>,</w:t>
      </w:r>
      <w:r>
        <w:rPr>
          <w:rFonts w:hint="eastAsia"/>
          <w:lang w:val="fr-FR"/>
        </w:rPr>
        <w:t>580</w:t>
      </w:r>
      <w:r>
        <w:rPr>
          <w:rFonts w:hint="eastAsia"/>
          <w:lang w:val="fr-FR"/>
        </w:rPr>
        <w:t>公里。有干道水的居民点比例从</w:t>
      </w:r>
      <w:r>
        <w:rPr>
          <w:rFonts w:hint="eastAsia"/>
          <w:lang w:val="fr-FR"/>
        </w:rPr>
        <w:t>79.2%</w:t>
      </w:r>
      <w:r>
        <w:rPr>
          <w:rFonts w:hint="eastAsia"/>
          <w:lang w:val="fr-FR"/>
        </w:rPr>
        <w:t>上升到了</w:t>
      </w:r>
      <w:r>
        <w:rPr>
          <w:rFonts w:hint="eastAsia"/>
          <w:lang w:val="fr-FR"/>
        </w:rPr>
        <w:t>99.7%</w:t>
      </w:r>
      <w:r>
        <w:rPr>
          <w:rFonts w:hint="eastAsia"/>
          <w:lang w:val="fr-FR"/>
        </w:rPr>
        <w:t>。检查期内有干道水的公寓房比例从</w:t>
      </w:r>
      <w:r>
        <w:rPr>
          <w:rFonts w:hint="eastAsia"/>
          <w:lang w:val="fr-FR"/>
        </w:rPr>
        <w:t>84.9%</w:t>
      </w:r>
      <w:r>
        <w:rPr>
          <w:rFonts w:hint="eastAsia"/>
          <w:lang w:val="fr-FR"/>
        </w:rPr>
        <w:t>上升到了</w:t>
      </w:r>
      <w:r>
        <w:rPr>
          <w:rFonts w:hint="eastAsia"/>
          <w:lang w:val="fr-FR"/>
        </w:rPr>
        <w:t>91.4%</w:t>
      </w:r>
      <w:r>
        <w:rPr>
          <w:rFonts w:hint="eastAsia"/>
          <w:lang w:val="fr-FR"/>
        </w:rPr>
        <w:t>。</w:t>
      </w:r>
    </w:p>
    <w:p w:rsidR="00000000" w:rsidRDefault="00000000">
      <w:pPr>
        <w:rPr>
          <w:rFonts w:hint="eastAsia"/>
          <w:lang w:val="fr-FR"/>
        </w:rPr>
      </w:pPr>
      <w:r>
        <w:rPr>
          <w:rFonts w:hint="eastAsia"/>
          <w:lang w:val="fr-FR"/>
        </w:rPr>
        <w:tab/>
        <w:t>437.  1990</w:t>
      </w:r>
      <w:r>
        <w:rPr>
          <w:rFonts w:hint="eastAsia"/>
          <w:lang w:val="fr-FR"/>
        </w:rPr>
        <w:t>年至</w:t>
      </w:r>
      <w:r>
        <w:rPr>
          <w:rFonts w:hint="eastAsia"/>
          <w:lang w:val="fr-FR"/>
        </w:rPr>
        <w:t>1999</w:t>
      </w:r>
      <w:r>
        <w:rPr>
          <w:rFonts w:hint="eastAsia"/>
          <w:lang w:val="fr-FR"/>
        </w:rPr>
        <w:t>年间，排污系统长度几乎增加了一倍。</w:t>
      </w:r>
      <w:r>
        <w:rPr>
          <w:rFonts w:hint="eastAsia"/>
          <w:lang w:val="fr-FR"/>
        </w:rPr>
        <w:t>1999</w:t>
      </w:r>
      <w:r>
        <w:rPr>
          <w:rFonts w:hint="eastAsia"/>
          <w:lang w:val="fr-FR"/>
        </w:rPr>
        <w:t>年是</w:t>
      </w:r>
      <w:r>
        <w:rPr>
          <w:rFonts w:hint="eastAsia"/>
          <w:lang w:val="fr-FR"/>
        </w:rPr>
        <w:t>22</w:t>
      </w:r>
      <w:r>
        <w:rPr>
          <w:lang w:val="fr-FR"/>
        </w:rPr>
        <w:t>,</w:t>
      </w:r>
      <w:r>
        <w:rPr>
          <w:rFonts w:hint="eastAsia"/>
          <w:lang w:val="fr-FR"/>
        </w:rPr>
        <w:t>732</w:t>
      </w:r>
      <w:r>
        <w:rPr>
          <w:rFonts w:hint="eastAsia"/>
          <w:lang w:val="fr-FR"/>
        </w:rPr>
        <w:t>公里。</w:t>
      </w:r>
      <w:r>
        <w:rPr>
          <w:rFonts w:hint="eastAsia"/>
          <w:lang w:val="fr-FR"/>
        </w:rPr>
        <w:t>1990</w:t>
      </w:r>
      <w:r>
        <w:rPr>
          <w:rFonts w:hint="eastAsia"/>
          <w:lang w:val="fr-FR"/>
        </w:rPr>
        <w:t>年至</w:t>
      </w:r>
      <w:r>
        <w:rPr>
          <w:rFonts w:hint="eastAsia"/>
          <w:lang w:val="fr-FR"/>
        </w:rPr>
        <w:t>1999</w:t>
      </w:r>
      <w:r>
        <w:rPr>
          <w:rFonts w:hint="eastAsia"/>
          <w:lang w:val="fr-FR"/>
        </w:rPr>
        <w:t>年间，有排污系统的居民点比例从</w:t>
      </w:r>
      <w:r>
        <w:rPr>
          <w:rFonts w:hint="eastAsia"/>
          <w:lang w:val="fr-FR"/>
        </w:rPr>
        <w:t>41.6%</w:t>
      </w:r>
      <w:r>
        <w:rPr>
          <w:rFonts w:hint="eastAsia"/>
          <w:lang w:val="fr-FR"/>
        </w:rPr>
        <w:t>上升到了</w:t>
      </w:r>
      <w:r>
        <w:rPr>
          <w:rFonts w:hint="eastAsia"/>
          <w:lang w:val="fr-FR"/>
        </w:rPr>
        <w:t>49.1%</w:t>
      </w:r>
      <w:r>
        <w:rPr>
          <w:rFonts w:hint="eastAsia"/>
          <w:lang w:val="fr-FR"/>
        </w:rPr>
        <w:t>。</w:t>
      </w:r>
    </w:p>
    <w:p w:rsidR="00000000" w:rsidRDefault="00000000">
      <w:pPr>
        <w:spacing w:after="240"/>
        <w:rPr>
          <w:rFonts w:hint="eastAsia"/>
          <w:lang w:val="fr-FR"/>
        </w:rPr>
      </w:pPr>
      <w:r>
        <w:rPr>
          <w:rFonts w:hint="eastAsia"/>
          <w:lang w:val="fr-FR"/>
        </w:rPr>
        <w:tab/>
        <w:t>438.  1990</w:t>
      </w:r>
      <w:r>
        <w:rPr>
          <w:rFonts w:hint="eastAsia"/>
          <w:lang w:val="fr-FR"/>
        </w:rPr>
        <w:t>年至</w:t>
      </w:r>
      <w:r>
        <w:rPr>
          <w:rFonts w:hint="eastAsia"/>
          <w:lang w:val="fr-FR"/>
        </w:rPr>
        <w:t>1999</w:t>
      </w:r>
      <w:r>
        <w:rPr>
          <w:rFonts w:hint="eastAsia"/>
          <w:lang w:val="fr-FR"/>
        </w:rPr>
        <w:t>年间，匈牙利每公里饮用水干道的排污系统长度增加了</w:t>
      </w:r>
      <w:r>
        <w:rPr>
          <w:rFonts w:hint="eastAsia"/>
          <w:lang w:val="fr-FR"/>
        </w:rPr>
        <w:t>60.7%</w:t>
      </w:r>
      <w:r>
        <w:rPr>
          <w:rFonts w:hint="eastAsia"/>
          <w:lang w:val="fr-FR"/>
        </w:rPr>
        <w:t>，从</w:t>
      </w:r>
      <w:r>
        <w:rPr>
          <w:rFonts w:hint="eastAsia"/>
          <w:lang w:val="fr-FR"/>
        </w:rPr>
        <w:t>228.2</w:t>
      </w:r>
      <w:r>
        <w:rPr>
          <w:rFonts w:hint="eastAsia"/>
          <w:lang w:val="fr-FR"/>
        </w:rPr>
        <w:t>米上升到</w:t>
      </w:r>
      <w:r>
        <w:rPr>
          <w:rFonts w:hint="eastAsia"/>
          <w:lang w:val="fr-FR"/>
        </w:rPr>
        <w:t>366.7</w:t>
      </w:r>
      <w:r>
        <w:rPr>
          <w:rFonts w:hint="eastAsia"/>
          <w:lang w:val="fr-FR"/>
        </w:rPr>
        <w:t>米。每公里饮用水干道的排污系统长度在农村增长最大，达到为</w:t>
      </w:r>
      <w:r>
        <w:rPr>
          <w:rFonts w:hint="eastAsia"/>
          <w:lang w:val="fr-FR"/>
        </w:rPr>
        <w:t>247.6%</w:t>
      </w:r>
      <w:r>
        <w:rPr>
          <w:rFonts w:hint="eastAsia"/>
          <w:lang w:val="fr-FR"/>
        </w:rPr>
        <w:t>，从</w:t>
      </w:r>
      <w:r>
        <w:rPr>
          <w:rFonts w:hint="eastAsia"/>
          <w:lang w:val="fr-FR"/>
        </w:rPr>
        <w:t>65.1</w:t>
      </w:r>
      <w:r>
        <w:rPr>
          <w:rFonts w:hint="eastAsia"/>
          <w:lang w:val="fr-FR"/>
        </w:rPr>
        <w:t>米增加到</w:t>
      </w:r>
      <w:r>
        <w:rPr>
          <w:rFonts w:hint="eastAsia"/>
          <w:lang w:val="fr-FR"/>
        </w:rPr>
        <w:t>226.3</w:t>
      </w:r>
      <w:r>
        <w:rPr>
          <w:rFonts w:hint="eastAsia"/>
          <w:lang w:val="fr-FR"/>
        </w:rPr>
        <w:t>米。但是，这仍然只有全国平均水平的</w:t>
      </w:r>
      <w:r>
        <w:rPr>
          <w:rFonts w:hint="eastAsia"/>
          <w:lang w:val="fr-FR"/>
        </w:rPr>
        <w:t>61.7%</w:t>
      </w:r>
      <w:r>
        <w:rPr>
          <w:rFonts w:hint="eastAsia"/>
          <w:lang w:val="fr-FR"/>
        </w:rPr>
        <w:t>。在布达佩斯以外的城市，每公里饮用水干道的下水道长度超出全国平均水平</w:t>
      </w:r>
      <w:r>
        <w:rPr>
          <w:rFonts w:hint="eastAsia"/>
          <w:lang w:val="fr-FR"/>
        </w:rPr>
        <w:t>(474</w:t>
      </w:r>
      <w:r>
        <w:rPr>
          <w:rFonts w:hint="eastAsia"/>
          <w:lang w:val="fr-FR"/>
        </w:rPr>
        <w:t>米</w:t>
      </w:r>
      <w:r>
        <w:rPr>
          <w:rFonts w:hint="eastAsia"/>
          <w:lang w:val="fr-FR"/>
        </w:rPr>
        <w:t>)</w:t>
      </w:r>
      <w:r>
        <w:rPr>
          <w:rFonts w:hint="eastAsia"/>
          <w:lang w:val="fr-FR"/>
        </w:rPr>
        <w:t>的</w:t>
      </w:r>
      <w:r>
        <w:rPr>
          <w:rFonts w:hint="eastAsia"/>
          <w:lang w:val="fr-FR"/>
        </w:rPr>
        <w:t>29.2%</w:t>
      </w:r>
      <w:r>
        <w:rPr>
          <w:rFonts w:hint="eastAsia"/>
          <w:lang w:val="fr-FR"/>
        </w:rPr>
        <w:t>。</w:t>
      </w:r>
      <w:r>
        <w:rPr>
          <w:rFonts w:hint="eastAsia"/>
          <w:lang w:val="fr-FR"/>
        </w:rPr>
        <w:t>1999</w:t>
      </w:r>
      <w:r>
        <w:rPr>
          <w:rFonts w:hint="eastAsia"/>
          <w:lang w:val="fr-FR"/>
        </w:rPr>
        <w:t>年布达佩斯比全国平均水平</w:t>
      </w:r>
      <w:r>
        <w:rPr>
          <w:rFonts w:hint="eastAsia"/>
          <w:lang w:val="fr-FR"/>
        </w:rPr>
        <w:t>(937.8</w:t>
      </w:r>
      <w:r>
        <w:rPr>
          <w:rFonts w:hint="eastAsia"/>
          <w:lang w:val="fr-FR"/>
        </w:rPr>
        <w:t>米</w:t>
      </w:r>
      <w:r>
        <w:rPr>
          <w:rFonts w:hint="eastAsia"/>
          <w:lang w:val="fr-FR"/>
        </w:rPr>
        <w:t>)</w:t>
      </w:r>
      <w:r>
        <w:rPr>
          <w:rFonts w:hint="eastAsia"/>
          <w:lang w:val="fr-FR"/>
        </w:rPr>
        <w:t>高出</w:t>
      </w:r>
      <w:r>
        <w:rPr>
          <w:rFonts w:hint="eastAsia"/>
          <w:lang w:val="fr-FR"/>
        </w:rPr>
        <w:t>155.7%</w:t>
      </w:r>
      <w:r>
        <w:rPr>
          <w:rFonts w:hint="eastAsia"/>
          <w:lang w:val="fr-FR"/>
        </w:rPr>
        <w:t>。</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水治理，水和下水道的关系，洪水损害赔偿</w:t>
      </w:r>
    </w:p>
    <w:p w:rsidR="00000000" w:rsidRDefault="00000000">
      <w:pPr>
        <w:rPr>
          <w:rFonts w:hint="eastAsia"/>
          <w:lang w:val="fr-FR"/>
        </w:rPr>
      </w:pPr>
      <w:r>
        <w:rPr>
          <w:rFonts w:hint="eastAsia"/>
          <w:lang w:val="fr-FR"/>
        </w:rPr>
        <w:tab/>
        <w:t xml:space="preserve">439.  </w:t>
      </w:r>
      <w:r>
        <w:rPr>
          <w:rFonts w:hint="eastAsia"/>
          <w:lang w:val="fr-FR"/>
        </w:rPr>
        <w:t>多年来，国会专职委员一直收到关于全国各地关于地表水和雨水排泄系统的投诉，因此</w:t>
      </w:r>
      <w:r>
        <w:rPr>
          <w:rFonts w:hint="eastAsia"/>
          <w:lang w:val="fr-FR"/>
        </w:rPr>
        <w:t>2000</w:t>
      </w:r>
      <w:r>
        <w:rPr>
          <w:rFonts w:hint="eastAsia"/>
          <w:lang w:val="fr-FR"/>
        </w:rPr>
        <w:t>年他对这个问题进行了综合调查，明确指出过量地表水和雨水的排泄作为一项公共任务没有得到执行。自此以后，收到的投诉都是关于地方政府</w:t>
      </w:r>
      <w:r>
        <w:rPr>
          <w:rFonts w:hint="eastAsia"/>
          <w:lang w:val="fr-FR"/>
        </w:rPr>
        <w:t>(</w:t>
      </w:r>
      <w:r>
        <w:rPr>
          <w:rFonts w:hint="eastAsia"/>
          <w:lang w:val="fr-FR"/>
        </w:rPr>
        <w:t>或者是缺乏程序</w:t>
      </w:r>
      <w:r>
        <w:rPr>
          <w:rFonts w:hint="eastAsia"/>
          <w:lang w:val="fr-FR"/>
        </w:rPr>
        <w:t>)</w:t>
      </w:r>
      <w:r>
        <w:rPr>
          <w:rFonts w:hint="eastAsia"/>
          <w:lang w:val="fr-FR"/>
        </w:rPr>
        <w:t>和建造、税务管理与公路部门</w:t>
      </w:r>
      <w:r>
        <w:rPr>
          <w:rFonts w:hint="eastAsia"/>
          <w:lang w:val="fr-FR"/>
        </w:rPr>
        <w:t>(</w:t>
      </w:r>
      <w:r>
        <w:rPr>
          <w:rFonts w:hint="eastAsia"/>
          <w:lang w:val="fr-FR"/>
        </w:rPr>
        <w:t>主要是城镇职员</w:t>
      </w:r>
      <w:r>
        <w:rPr>
          <w:rFonts w:hint="eastAsia"/>
          <w:lang w:val="fr-FR"/>
        </w:rPr>
        <w:t>)</w:t>
      </w:r>
      <w:r>
        <w:rPr>
          <w:rFonts w:hint="eastAsia"/>
          <w:lang w:val="fr-FR"/>
        </w:rPr>
        <w:t>的程序问题。</w:t>
      </w:r>
    </w:p>
    <w:p w:rsidR="00000000" w:rsidRDefault="00000000">
      <w:pPr>
        <w:rPr>
          <w:rFonts w:hint="eastAsia"/>
          <w:lang w:val="fr-FR"/>
        </w:rPr>
      </w:pPr>
      <w:r>
        <w:rPr>
          <w:rFonts w:hint="eastAsia"/>
          <w:lang w:val="fr-FR"/>
        </w:rPr>
        <w:tab/>
        <w:t xml:space="preserve">440.  </w:t>
      </w:r>
      <w:r>
        <w:rPr>
          <w:rFonts w:hint="eastAsia"/>
          <w:lang w:val="fr-FR"/>
        </w:rPr>
        <w:t>因此，</w:t>
      </w:r>
      <w:r>
        <w:rPr>
          <w:rFonts w:hint="eastAsia"/>
          <w:lang w:val="fr-FR"/>
        </w:rPr>
        <w:t>2002</w:t>
      </w:r>
      <w:r>
        <w:rPr>
          <w:rFonts w:hint="eastAsia"/>
          <w:lang w:val="fr-FR"/>
        </w:rPr>
        <w:t>年国会专职委员在同时进行前一项调查的基础上展开了另一项综合调查。很多情况都是因为有关城镇中一名或多名人员违章建造或毁坏结构，改变了他们自有财产或公共土地的地形，导致了其他人财产或公共土地的过量地表水危害。这种危害通常来自于几十年间的违章活动或忽视。最常见的原因是与有限的可用资金相关。</w:t>
      </w:r>
    </w:p>
    <w:p w:rsidR="00000000" w:rsidRDefault="00000000">
      <w:pPr>
        <w:rPr>
          <w:rFonts w:hint="eastAsia"/>
          <w:lang w:val="fr-FR"/>
        </w:rPr>
      </w:pPr>
      <w:r>
        <w:rPr>
          <w:rFonts w:hint="eastAsia"/>
          <w:lang w:val="fr-FR"/>
        </w:rPr>
        <w:tab/>
        <w:t xml:space="preserve">441.  </w:t>
      </w:r>
      <w:r>
        <w:rPr>
          <w:rFonts w:hint="eastAsia"/>
          <w:lang w:val="fr-FR"/>
        </w:rPr>
        <w:t>自前一次综合调查以来，城市地区的过量地表水和雨水的排泄问题没有重大变化。国家没有履行先前分配给它的水治理职责，之后甚至在地方政府组建之前，它就将其分派给了地方政府。中心城区缺乏地表水和雨水排水设施，现存部分由于缺乏养护已处于年久失修的状态。因为建筑纪律松懈和缺乏监管措施，一些地方形成的技术状况已经不可扭转，或者只有耗费大量公共开支才能扭转。一般而言，居民点甚至不能提供健康环境和防治水灾应有的水治理。在很多居民点，这主要归因于资金缺乏，但是财政状况较好的居民点也没有为这些任务提供足够的资金。由于排水和贮水设施遭到违章破坏后缺乏维修和改进并造成短缺，使雨天造成的后果更形严重，结果出现洪涝，水造成的损害价值达几十亿。自然灾害之后，引发这些问题的缺陷仍然没有被根除，或者错误仍然在被不断重复。</w:t>
      </w:r>
    </w:p>
    <w:p w:rsidR="00000000" w:rsidRDefault="00000000">
      <w:pPr>
        <w:spacing w:after="320"/>
        <w:rPr>
          <w:rFonts w:hint="eastAsia"/>
          <w:lang w:val="fr-FR"/>
        </w:rPr>
      </w:pPr>
      <w:r>
        <w:rPr>
          <w:rFonts w:hint="eastAsia"/>
          <w:lang w:val="fr-FR"/>
        </w:rPr>
        <w:tab/>
        <w:t xml:space="preserve">442.  </w:t>
      </w:r>
      <w:r>
        <w:rPr>
          <w:rFonts w:hint="eastAsia"/>
          <w:lang w:val="fr-FR"/>
        </w:rPr>
        <w:t>依据</w:t>
      </w:r>
      <w:r>
        <w:rPr>
          <w:rFonts w:hint="eastAsia"/>
          <w:lang w:val="fr-FR"/>
        </w:rPr>
        <w:t>2002</w:t>
      </w:r>
      <w:r>
        <w:rPr>
          <w:rFonts w:hint="eastAsia"/>
          <w:lang w:val="fr-FR"/>
        </w:rPr>
        <w:t>年调查的研究结果，国会专职委员在其第二份报告中再次提出，由于过量地表水和雨水排泄系统不足，公民要求法律具有确定性诉讼公平的权利、财产权、健康权和健康环境权方面仍然存在异常现象。消灭这些现象需要中央和地方政府更加协调行动。</w:t>
      </w:r>
    </w:p>
    <w:p w:rsidR="00000000" w:rsidRDefault="00000000">
      <w:pPr>
        <w:pStyle w:val="Heading2"/>
        <w:rPr>
          <w:rFonts w:hint="eastAsia"/>
        </w:rPr>
      </w:pPr>
      <w:r>
        <w:rPr>
          <w:rFonts w:hint="eastAsia"/>
        </w:rPr>
        <w:t>第十二条</w:t>
      </w:r>
      <w:r>
        <w:rPr>
          <w:rFonts w:hint="eastAsia"/>
          <w:spacing w:val="-50"/>
        </w:rPr>
        <w:t>―</w:t>
      </w:r>
      <w:r>
        <w:rPr>
          <w:rFonts w:hint="eastAsia"/>
        </w:rPr>
        <w:t>―享有能达到的最高的体质和心理</w:t>
      </w:r>
      <w:r>
        <w:br/>
      </w:r>
      <w:r>
        <w:rPr>
          <w:rFonts w:hint="eastAsia"/>
        </w:rPr>
        <w:t>健康的标准的权利</w:t>
      </w:r>
    </w:p>
    <w:p w:rsidR="00000000" w:rsidRDefault="00000000">
      <w:pPr>
        <w:pStyle w:val="Heading3"/>
        <w:rPr>
          <w:rFonts w:hint="eastAsia"/>
        </w:rPr>
      </w:pPr>
      <w:r>
        <w:rPr>
          <w:rFonts w:hint="eastAsia"/>
        </w:rPr>
        <w:t>法律背景</w:t>
      </w:r>
    </w:p>
    <w:p w:rsidR="00000000" w:rsidRDefault="00000000">
      <w:pPr>
        <w:rPr>
          <w:rFonts w:hint="eastAsia"/>
        </w:rPr>
      </w:pPr>
      <w:r>
        <w:tab/>
      </w:r>
      <w:r>
        <w:rPr>
          <w:rFonts w:hint="eastAsia"/>
        </w:rPr>
        <w:t>443.</w:t>
      </w:r>
      <w:r>
        <w:t xml:space="preserve">  </w:t>
      </w:r>
      <w:r>
        <w:rPr>
          <w:rFonts w:hint="eastAsia"/>
        </w:rPr>
        <w:t>《宪法》第</w:t>
      </w:r>
      <w:r>
        <w:rPr>
          <w:rFonts w:hint="eastAsia"/>
        </w:rPr>
        <w:t>70/D</w:t>
      </w:r>
      <w:r>
        <w:rPr>
          <w:rFonts w:hint="eastAsia"/>
        </w:rPr>
        <w:t>条通过以下条款规定了健康权：</w:t>
      </w:r>
    </w:p>
    <w:p w:rsidR="00000000" w:rsidRDefault="00000000">
      <w:pPr>
        <w:pStyle w:val="x0"/>
        <w:rPr>
          <w:rFonts w:hint="eastAsia"/>
          <w:snapToGrid/>
        </w:rPr>
      </w:pPr>
      <w:r>
        <w:rPr>
          <w:rFonts w:hint="eastAsia"/>
          <w:snapToGrid/>
        </w:rPr>
        <w:t>“</w:t>
      </w:r>
      <w:r>
        <w:rPr>
          <w:rFonts w:hint="eastAsia"/>
          <w:snapToGrid/>
        </w:rPr>
        <w:t>(1)</w:t>
      </w:r>
      <w:r>
        <w:rPr>
          <w:snapToGrid/>
        </w:rPr>
        <w:tab/>
      </w:r>
      <w:r>
        <w:rPr>
          <w:rFonts w:eastAsia="KaiTi_GB2312" w:hint="eastAsia"/>
          <w:snapToGrid/>
          <w:spacing w:val="0"/>
        </w:rPr>
        <w:t>在匈牙利共和国境内，人人有权保持尽可能高标准的身心健康。</w:t>
      </w:r>
    </w:p>
    <w:p w:rsidR="00000000" w:rsidRDefault="00000000">
      <w:pPr>
        <w:pStyle w:val="x0"/>
        <w:rPr>
          <w:rFonts w:hint="eastAsia"/>
        </w:rPr>
      </w:pPr>
      <w:r>
        <w:rPr>
          <w:snapToGrid/>
        </w:rPr>
        <w:t xml:space="preserve">  </w:t>
      </w:r>
      <w:r>
        <w:rPr>
          <w:rFonts w:hint="eastAsia"/>
          <w:snapToGrid/>
        </w:rPr>
        <w:t>(2)</w:t>
      </w:r>
      <w:r>
        <w:rPr>
          <w:snapToGrid/>
        </w:rPr>
        <w:tab/>
      </w:r>
      <w:r>
        <w:rPr>
          <w:rFonts w:eastAsia="KaiTi_GB2312" w:hint="eastAsia"/>
          <w:snapToGrid/>
          <w:spacing w:val="0"/>
        </w:rPr>
        <w:t>匈牙利共和国通过提供职业安全、保健机构、医疗服务、定期身体锻炼的机会，以及通过对建筑环境和自然环境的保护等不同方式，确保实现这项权利。”</w:t>
      </w:r>
    </w:p>
    <w:p w:rsidR="00000000" w:rsidRDefault="00000000">
      <w:pPr>
        <w:rPr>
          <w:rFonts w:hint="eastAsia"/>
        </w:rPr>
      </w:pPr>
      <w:r>
        <w:tab/>
      </w:r>
      <w:r>
        <w:rPr>
          <w:rFonts w:hint="eastAsia"/>
        </w:rPr>
        <w:t>444.</w:t>
      </w:r>
      <w:r>
        <w:t xml:space="preserve">  </w:t>
      </w:r>
      <w:r>
        <w:rPr>
          <w:rFonts w:hint="eastAsia"/>
        </w:rPr>
        <w:t>《宪法》第</w:t>
      </w:r>
      <w:r>
        <w:rPr>
          <w:rFonts w:hint="eastAsia"/>
        </w:rPr>
        <w:t>18</w:t>
      </w:r>
      <w:r>
        <w:rPr>
          <w:rFonts w:hint="eastAsia"/>
        </w:rPr>
        <w:t>条宣布，“匈牙利共和国承认并落实个人享有卫生环境的权利。”</w:t>
      </w:r>
    </w:p>
    <w:p w:rsidR="00000000" w:rsidRDefault="00000000">
      <w:pPr>
        <w:rPr>
          <w:rFonts w:hint="eastAsia"/>
        </w:rPr>
      </w:pPr>
      <w:r>
        <w:tab/>
      </w:r>
      <w:r>
        <w:rPr>
          <w:rFonts w:hint="eastAsia"/>
        </w:rPr>
        <w:t>445.</w:t>
      </w:r>
      <w:r>
        <w:t xml:space="preserve">  </w:t>
      </w:r>
      <w:r>
        <w:rPr>
          <w:rFonts w:hint="eastAsia"/>
        </w:rPr>
        <w:t>《关于卫生问题的</w:t>
      </w:r>
      <w:r>
        <w:rPr>
          <w:rFonts w:ascii="Time New Roman" w:eastAsia="SimHei" w:hAnsi="Time New Roman" w:hint="eastAsia"/>
          <w:b/>
        </w:rPr>
        <w:t>1997</w:t>
      </w:r>
      <w:r>
        <w:rPr>
          <w:rFonts w:ascii="Time New Roman" w:eastAsia="SimHei" w:hAnsi="Time New Roman" w:hint="eastAsia"/>
        </w:rPr>
        <w:t>年第一百五十四号法令</w:t>
      </w:r>
      <w:r>
        <w:rPr>
          <w:rFonts w:hint="eastAsia"/>
        </w:rPr>
        <w:t>》</w:t>
      </w:r>
      <w:r>
        <w:rPr>
          <w:rFonts w:hint="eastAsia"/>
        </w:rPr>
        <w:t>(</w:t>
      </w:r>
      <w:r>
        <w:rPr>
          <w:rFonts w:hint="eastAsia"/>
        </w:rPr>
        <w:t>见附件</w:t>
      </w:r>
      <w:r>
        <w:rPr>
          <w:rFonts w:hint="eastAsia"/>
        </w:rPr>
        <w:t>10)</w:t>
      </w:r>
      <w:r>
        <w:rPr>
          <w:rFonts w:hint="eastAsia"/>
        </w:rPr>
        <w:t>就卫生问题作出了最重要的规定，确定了行使健康权问题和最重要的保健服务规定。部分服务是在该国境内人人均可享有的法定服务</w:t>
      </w:r>
      <w:r>
        <w:rPr>
          <w:rFonts w:hint="eastAsia"/>
        </w:rPr>
        <w:t>(</w:t>
      </w:r>
      <w:r>
        <w:rPr>
          <w:rFonts w:hint="eastAsia"/>
        </w:rPr>
        <w:t>比如，急救</w:t>
      </w:r>
      <w:r>
        <w:rPr>
          <w:rFonts w:hint="eastAsia"/>
        </w:rPr>
        <w:t>)</w:t>
      </w:r>
      <w:r>
        <w:rPr>
          <w:rFonts w:hint="eastAsia"/>
        </w:rPr>
        <w:t>，部分服务的对象仅为在该国合法居住的公民</w:t>
      </w:r>
      <w:r>
        <w:rPr>
          <w:rFonts w:hint="eastAsia"/>
        </w:rPr>
        <w:t>(</w:t>
      </w:r>
      <w:r>
        <w:rPr>
          <w:rFonts w:hint="eastAsia"/>
        </w:rPr>
        <w:t>比如，对孕妇的免费护理</w:t>
      </w:r>
      <w:r>
        <w:rPr>
          <w:rFonts w:hint="eastAsia"/>
        </w:rPr>
        <w:t>)</w:t>
      </w:r>
      <w:r>
        <w:rPr>
          <w:rFonts w:hint="eastAsia"/>
        </w:rPr>
        <w:t>，大多数服务均在强制性健康保险制度框架下提供。对任何合法在匈牙利居留的人，均不得拒绝给予保健服务。按照《社会保险法》第</w:t>
      </w:r>
      <w:r>
        <w:rPr>
          <w:rFonts w:hint="eastAsia"/>
        </w:rPr>
        <w:t>16</w:t>
      </w:r>
      <w:r>
        <w:rPr>
          <w:rFonts w:hint="eastAsia"/>
        </w:rPr>
        <w:t>段第</w:t>
      </w:r>
      <w:r>
        <w:rPr>
          <w:rFonts w:hint="eastAsia"/>
        </w:rPr>
        <w:t>(1)</w:t>
      </w:r>
      <w:r>
        <w:rPr>
          <w:rFonts w:hint="eastAsia"/>
        </w:rPr>
        <w:t>分段</w:t>
      </w:r>
      <w:r>
        <w:rPr>
          <w:rFonts w:hint="eastAsia"/>
        </w:rPr>
        <w:t>I)</w:t>
      </w:r>
      <w:r>
        <w:rPr>
          <w:rFonts w:hint="eastAsia"/>
        </w:rPr>
        <w:t>小段的规定，所有在匈牙利有住所的未成年人，即未满</w:t>
      </w:r>
      <w:r>
        <w:rPr>
          <w:rFonts w:hint="eastAsia"/>
        </w:rPr>
        <w:t>18</w:t>
      </w:r>
      <w:r>
        <w:rPr>
          <w:rFonts w:hint="eastAsia"/>
        </w:rPr>
        <w:t>岁者，自动享有社会保障服务。</w:t>
      </w:r>
    </w:p>
    <w:p w:rsidR="00000000" w:rsidRDefault="00000000">
      <w:pPr>
        <w:rPr>
          <w:rFonts w:hint="eastAsia"/>
        </w:rPr>
      </w:pPr>
      <w:r>
        <w:tab/>
      </w:r>
      <w:r>
        <w:rPr>
          <w:rFonts w:hint="eastAsia"/>
        </w:rPr>
        <w:t>446.</w:t>
      </w:r>
      <w:r>
        <w:t xml:space="preserve">  </w:t>
      </w:r>
      <w:r>
        <w:rPr>
          <w:rFonts w:hint="eastAsia"/>
        </w:rPr>
        <w:t>《</w:t>
      </w:r>
      <w:r>
        <w:rPr>
          <w:rFonts w:hint="eastAsia"/>
        </w:rPr>
        <w:t>1997</w:t>
      </w:r>
      <w:r>
        <w:rPr>
          <w:rFonts w:hint="eastAsia"/>
        </w:rPr>
        <w:t>年第一百五十四号卫生法》述及下列一般性问题：</w:t>
      </w:r>
    </w:p>
    <w:p w:rsidR="00000000" w:rsidRDefault="00000000">
      <w:pPr>
        <w:pStyle w:val="a0"/>
        <w:ind w:left="1550"/>
        <w:rPr>
          <w:rFonts w:hint="eastAsia"/>
        </w:rPr>
      </w:pPr>
      <w:r>
        <w:rPr>
          <w:rFonts w:hint="eastAsia"/>
        </w:rPr>
        <w:t>患者的权利与义务，</w:t>
      </w:r>
    </w:p>
    <w:p w:rsidR="00000000" w:rsidRDefault="00000000">
      <w:pPr>
        <w:pStyle w:val="a0"/>
        <w:ind w:left="1550"/>
        <w:rPr>
          <w:rFonts w:hint="eastAsia"/>
        </w:rPr>
      </w:pPr>
      <w:r>
        <w:rPr>
          <w:rFonts w:hint="eastAsia"/>
        </w:rPr>
        <w:t>公共卫生问题，具体来讲有，卫生发展问题、家庭照料和妇女的照料、青年健康、运动卫生、与环境和住区有关的卫生问题、与营养和食物有关的健康问题、与放射物有关的健康、劳动卫生、流行病学等问题，</w:t>
      </w:r>
    </w:p>
    <w:p w:rsidR="00000000" w:rsidRDefault="00000000">
      <w:pPr>
        <w:pStyle w:val="a0"/>
        <w:ind w:left="1550"/>
        <w:rPr>
          <w:rFonts w:hint="eastAsia"/>
        </w:rPr>
      </w:pPr>
      <w:r>
        <w:rPr>
          <w:rFonts w:hint="eastAsia"/>
        </w:rPr>
        <w:t>卫生服务系统，</w:t>
      </w:r>
    </w:p>
    <w:p w:rsidR="00000000" w:rsidRDefault="00000000">
      <w:pPr>
        <w:pStyle w:val="a0"/>
        <w:ind w:left="1550"/>
        <w:rPr>
          <w:rFonts w:hint="eastAsia"/>
        </w:rPr>
      </w:pPr>
      <w:r>
        <w:rPr>
          <w:rFonts w:hint="eastAsia"/>
        </w:rPr>
        <w:t>保健服务的技术标准，</w:t>
      </w:r>
    </w:p>
    <w:p w:rsidR="00000000" w:rsidRDefault="00000000">
      <w:pPr>
        <w:pStyle w:val="a0"/>
        <w:ind w:left="1550"/>
        <w:rPr>
          <w:rFonts w:hint="eastAsia"/>
        </w:rPr>
      </w:pPr>
      <w:r>
        <w:rPr>
          <w:rFonts w:hint="eastAsia"/>
        </w:rPr>
        <w:t>保健工作者的权利与义务，</w:t>
      </w:r>
    </w:p>
    <w:p w:rsidR="00000000" w:rsidRDefault="00000000">
      <w:pPr>
        <w:pStyle w:val="a0"/>
        <w:ind w:left="1550"/>
        <w:rPr>
          <w:rFonts w:hint="eastAsia"/>
        </w:rPr>
      </w:pPr>
      <w:r>
        <w:rPr>
          <w:rFonts w:hint="eastAsia"/>
        </w:rPr>
        <w:t>国家对人民健康状况所负有的责任，</w:t>
      </w:r>
    </w:p>
    <w:p w:rsidR="00000000" w:rsidRDefault="00000000">
      <w:pPr>
        <w:pStyle w:val="a0"/>
        <w:ind w:left="1550"/>
        <w:rPr>
          <w:rFonts w:hint="eastAsia"/>
        </w:rPr>
      </w:pPr>
      <w:r>
        <w:rPr>
          <w:rFonts w:hint="eastAsia"/>
        </w:rPr>
        <w:t>公共卫生服务的机构与管理。</w:t>
      </w:r>
    </w:p>
    <w:p w:rsidR="00000000" w:rsidRDefault="00000000">
      <w:pPr>
        <w:rPr>
          <w:rFonts w:hint="eastAsia"/>
        </w:rPr>
      </w:pPr>
      <w:r>
        <w:tab/>
      </w:r>
      <w:r>
        <w:rPr>
          <w:rFonts w:hint="eastAsia"/>
        </w:rPr>
        <w:t>447.</w:t>
      </w:r>
      <w:r>
        <w:t xml:space="preserve">  </w:t>
      </w:r>
      <w:r>
        <w:rPr>
          <w:rFonts w:hint="eastAsia"/>
        </w:rPr>
        <w:t>着重详述的一节述及以下问题：</w:t>
      </w:r>
    </w:p>
    <w:p w:rsidR="00000000" w:rsidRDefault="00000000">
      <w:pPr>
        <w:pStyle w:val="a0"/>
        <w:ind w:left="1550"/>
        <w:rPr>
          <w:rFonts w:hint="eastAsia"/>
        </w:rPr>
      </w:pPr>
      <w:r>
        <w:rPr>
          <w:rFonts w:hint="eastAsia"/>
        </w:rPr>
        <w:t>人体医学研究，</w:t>
      </w:r>
    </w:p>
    <w:p w:rsidR="00000000" w:rsidRDefault="00000000">
      <w:pPr>
        <w:pStyle w:val="a0"/>
        <w:ind w:left="1550"/>
        <w:rPr>
          <w:rFonts w:hint="eastAsia"/>
        </w:rPr>
      </w:pPr>
      <w:r>
        <w:rPr>
          <w:rFonts w:hint="eastAsia"/>
        </w:rPr>
        <w:t>人类生殖的特别程序，</w:t>
      </w:r>
    </w:p>
    <w:p w:rsidR="00000000" w:rsidRDefault="00000000">
      <w:pPr>
        <w:pStyle w:val="a0"/>
        <w:ind w:left="1550"/>
        <w:rPr>
          <w:rFonts w:hint="eastAsia"/>
        </w:rPr>
      </w:pPr>
      <w:r>
        <w:rPr>
          <w:rFonts w:hint="eastAsia"/>
        </w:rPr>
        <w:t>对精神病患者的服务，</w:t>
      </w:r>
    </w:p>
    <w:p w:rsidR="00000000" w:rsidRDefault="00000000">
      <w:pPr>
        <w:pStyle w:val="a0"/>
        <w:ind w:left="1550"/>
        <w:rPr>
          <w:rFonts w:hint="eastAsia"/>
        </w:rPr>
      </w:pPr>
      <w:r>
        <w:rPr>
          <w:rFonts w:hint="eastAsia"/>
        </w:rPr>
        <w:t>器官和组织移植，</w:t>
      </w:r>
    </w:p>
    <w:p w:rsidR="00000000" w:rsidRDefault="00000000">
      <w:pPr>
        <w:pStyle w:val="a0"/>
        <w:ind w:left="1550"/>
        <w:rPr>
          <w:rFonts w:hint="eastAsia"/>
        </w:rPr>
      </w:pPr>
      <w:r>
        <w:rPr>
          <w:rFonts w:hint="eastAsia"/>
        </w:rPr>
        <w:t>与死者有关的工作，</w:t>
      </w:r>
    </w:p>
    <w:p w:rsidR="00000000" w:rsidRDefault="00000000">
      <w:pPr>
        <w:pStyle w:val="a0"/>
        <w:ind w:left="1550"/>
        <w:rPr>
          <w:rFonts w:hint="eastAsia"/>
        </w:rPr>
      </w:pPr>
      <w:r>
        <w:rPr>
          <w:rFonts w:hint="eastAsia"/>
        </w:rPr>
        <w:t>血液供应，</w:t>
      </w:r>
    </w:p>
    <w:p w:rsidR="00000000" w:rsidRDefault="00000000">
      <w:pPr>
        <w:pStyle w:val="a0"/>
        <w:ind w:left="1550"/>
        <w:rPr>
          <w:rFonts w:hint="eastAsia"/>
        </w:rPr>
      </w:pPr>
      <w:r>
        <w:rPr>
          <w:rFonts w:hint="eastAsia"/>
        </w:rPr>
        <w:t>发生灾害时需要采取的卫生措施。</w:t>
      </w:r>
    </w:p>
    <w:p w:rsidR="00000000" w:rsidRDefault="00000000">
      <w:pPr>
        <w:rPr>
          <w:rFonts w:hint="eastAsia"/>
        </w:rPr>
      </w:pPr>
      <w:r>
        <w:tab/>
      </w:r>
      <w:r>
        <w:rPr>
          <w:rFonts w:hint="eastAsia"/>
        </w:rPr>
        <w:t>448.</w:t>
      </w:r>
      <w:r>
        <w:t xml:space="preserve">  </w:t>
      </w:r>
      <w:r>
        <w:rPr>
          <w:rFonts w:hint="eastAsia"/>
        </w:rPr>
        <w:t>《</w:t>
      </w:r>
      <w:r>
        <w:rPr>
          <w:rFonts w:hint="eastAsia"/>
        </w:rPr>
        <w:t>1997</w:t>
      </w:r>
      <w:r>
        <w:rPr>
          <w:rFonts w:hint="eastAsia"/>
        </w:rPr>
        <w:t>年第一百五十四号法令》，除其他以外，目的在于促进改善个人乃至民族的健康，在获得保健服务领域内创造平等机会。法律规定，所有患者均享有平等权利与义务。基本权利如下</w:t>
      </w:r>
      <w:r>
        <w:rPr>
          <w:rFonts w:hint="eastAsia"/>
        </w:rPr>
        <w:t>(</w:t>
      </w:r>
      <w:r>
        <w:rPr>
          <w:rFonts w:hint="eastAsia"/>
        </w:rPr>
        <w:t>《法令》第</w:t>
      </w:r>
      <w:r>
        <w:rPr>
          <w:rFonts w:hint="eastAsia"/>
        </w:rPr>
        <w:t>2</w:t>
      </w:r>
      <w:r>
        <w:rPr>
          <w:rFonts w:hint="eastAsia"/>
        </w:rPr>
        <w:t>篇</w:t>
      </w:r>
      <w:r>
        <w:rPr>
          <w:rFonts w:hint="eastAsia"/>
        </w:rPr>
        <w:t>)</w:t>
      </w:r>
      <w:r>
        <w:rPr>
          <w:rFonts w:hint="eastAsia"/>
        </w:rPr>
        <w:t>：</w:t>
      </w:r>
    </w:p>
    <w:p w:rsidR="00000000" w:rsidRDefault="00000000">
      <w:pPr>
        <w:pStyle w:val="a"/>
        <w:ind w:left="1550"/>
        <w:rPr>
          <w:rFonts w:hint="eastAsia"/>
        </w:rPr>
      </w:pPr>
      <w:r>
        <w:rPr>
          <w:rFonts w:hint="eastAsia"/>
        </w:rPr>
        <w:t>保健权</w:t>
      </w:r>
      <w:r>
        <w:rPr>
          <w:rFonts w:hint="eastAsia"/>
        </w:rPr>
        <w:t>(</w:t>
      </w:r>
      <w:r>
        <w:rPr>
          <w:rFonts w:hint="eastAsia"/>
        </w:rPr>
        <w:t>第</w:t>
      </w:r>
      <w:r>
        <w:rPr>
          <w:rFonts w:hint="eastAsia"/>
        </w:rPr>
        <w:t>6-9</w:t>
      </w:r>
      <w:r>
        <w:rPr>
          <w:rFonts w:hint="eastAsia"/>
        </w:rPr>
        <w:t>节</w:t>
      </w:r>
      <w:r>
        <w:rPr>
          <w:rFonts w:hint="eastAsia"/>
        </w:rPr>
        <w:t>)</w:t>
      </w:r>
    </w:p>
    <w:p w:rsidR="00000000" w:rsidRDefault="00000000">
      <w:pPr>
        <w:pStyle w:val="a"/>
        <w:ind w:left="1550"/>
        <w:rPr>
          <w:rFonts w:hint="eastAsia"/>
        </w:rPr>
      </w:pPr>
      <w:r>
        <w:rPr>
          <w:rFonts w:hint="eastAsia"/>
        </w:rPr>
        <w:t>人的尊严权</w:t>
      </w:r>
      <w:r>
        <w:rPr>
          <w:rFonts w:hint="eastAsia"/>
        </w:rPr>
        <w:t>(</w:t>
      </w:r>
      <w:r>
        <w:rPr>
          <w:rFonts w:hint="eastAsia"/>
        </w:rPr>
        <w:t>第</w:t>
      </w:r>
      <w:r>
        <w:rPr>
          <w:rFonts w:hint="eastAsia"/>
        </w:rPr>
        <w:t>10</w:t>
      </w:r>
      <w:r>
        <w:rPr>
          <w:rFonts w:hint="eastAsia"/>
        </w:rPr>
        <w:t>节</w:t>
      </w:r>
      <w:r>
        <w:rPr>
          <w:rFonts w:hint="eastAsia"/>
        </w:rPr>
        <w:t>)</w:t>
      </w:r>
    </w:p>
    <w:p w:rsidR="00000000" w:rsidRDefault="00000000">
      <w:pPr>
        <w:pStyle w:val="a"/>
        <w:ind w:left="1550"/>
        <w:rPr>
          <w:rFonts w:hint="eastAsia"/>
        </w:rPr>
      </w:pPr>
      <w:r>
        <w:rPr>
          <w:rFonts w:hint="eastAsia"/>
        </w:rPr>
        <w:t>联系权</w:t>
      </w:r>
      <w:r>
        <w:rPr>
          <w:rFonts w:hint="eastAsia"/>
        </w:rPr>
        <w:t>(</w:t>
      </w:r>
      <w:r>
        <w:rPr>
          <w:rFonts w:hint="eastAsia"/>
        </w:rPr>
        <w:t>第</w:t>
      </w:r>
      <w:r>
        <w:rPr>
          <w:rFonts w:hint="eastAsia"/>
        </w:rPr>
        <w:t>11</w:t>
      </w:r>
      <w:r>
        <w:rPr>
          <w:rFonts w:hint="eastAsia"/>
        </w:rPr>
        <w:t>节</w:t>
      </w:r>
      <w:r>
        <w:rPr>
          <w:rFonts w:hint="eastAsia"/>
        </w:rPr>
        <w:t>)</w:t>
      </w:r>
    </w:p>
    <w:p w:rsidR="00000000" w:rsidRDefault="00000000">
      <w:pPr>
        <w:pStyle w:val="a"/>
        <w:ind w:left="1550"/>
        <w:rPr>
          <w:rFonts w:hint="eastAsia"/>
        </w:rPr>
      </w:pPr>
      <w:r>
        <w:rPr>
          <w:rFonts w:hint="eastAsia"/>
        </w:rPr>
        <w:tab/>
      </w:r>
      <w:r>
        <w:rPr>
          <w:rFonts w:hint="eastAsia"/>
        </w:rPr>
        <w:t>离开保健设施权</w:t>
      </w:r>
      <w:r>
        <w:rPr>
          <w:rFonts w:hint="eastAsia"/>
        </w:rPr>
        <w:t>(</w:t>
      </w:r>
      <w:r>
        <w:rPr>
          <w:rFonts w:hint="eastAsia"/>
        </w:rPr>
        <w:t>第</w:t>
      </w:r>
      <w:r>
        <w:rPr>
          <w:rFonts w:hint="eastAsia"/>
        </w:rPr>
        <w:t>12</w:t>
      </w:r>
      <w:r>
        <w:rPr>
          <w:rFonts w:hint="eastAsia"/>
        </w:rPr>
        <w:t>节</w:t>
      </w:r>
      <w:r>
        <w:rPr>
          <w:rFonts w:hint="eastAsia"/>
        </w:rPr>
        <w:t>)</w:t>
      </w:r>
    </w:p>
    <w:p w:rsidR="00000000" w:rsidRDefault="00000000">
      <w:pPr>
        <w:pStyle w:val="a"/>
        <w:ind w:left="1550"/>
        <w:rPr>
          <w:rFonts w:hint="eastAsia"/>
        </w:rPr>
      </w:pPr>
      <w:r>
        <w:rPr>
          <w:rFonts w:hint="eastAsia"/>
        </w:rPr>
        <w:t>信息权</w:t>
      </w:r>
      <w:r>
        <w:rPr>
          <w:rFonts w:hint="eastAsia"/>
        </w:rPr>
        <w:t>(</w:t>
      </w:r>
      <w:r>
        <w:rPr>
          <w:rFonts w:hint="eastAsia"/>
        </w:rPr>
        <w:t>第</w:t>
      </w:r>
      <w:r>
        <w:rPr>
          <w:rFonts w:hint="eastAsia"/>
        </w:rPr>
        <w:t>13-14</w:t>
      </w:r>
      <w:r>
        <w:rPr>
          <w:rFonts w:hint="eastAsia"/>
        </w:rPr>
        <w:t>节</w:t>
      </w:r>
      <w:r>
        <w:rPr>
          <w:rFonts w:hint="eastAsia"/>
        </w:rPr>
        <w:t>)</w:t>
      </w:r>
    </w:p>
    <w:p w:rsidR="00000000" w:rsidRDefault="00000000">
      <w:pPr>
        <w:pStyle w:val="a"/>
        <w:ind w:left="1550"/>
        <w:rPr>
          <w:rFonts w:hint="eastAsia"/>
        </w:rPr>
      </w:pPr>
      <w:r>
        <w:rPr>
          <w:rFonts w:hint="eastAsia"/>
        </w:rPr>
        <w:t>自决权</w:t>
      </w:r>
      <w:r>
        <w:rPr>
          <w:rFonts w:hint="eastAsia"/>
        </w:rPr>
        <w:t>(</w:t>
      </w:r>
      <w:r>
        <w:rPr>
          <w:rFonts w:hint="eastAsia"/>
        </w:rPr>
        <w:t>第</w:t>
      </w:r>
      <w:r>
        <w:rPr>
          <w:rFonts w:hint="eastAsia"/>
        </w:rPr>
        <w:t>15-19</w:t>
      </w:r>
      <w:r>
        <w:rPr>
          <w:rFonts w:hint="eastAsia"/>
        </w:rPr>
        <w:t>节</w:t>
      </w:r>
      <w:r>
        <w:rPr>
          <w:rFonts w:hint="eastAsia"/>
        </w:rPr>
        <w:t>)</w:t>
      </w:r>
    </w:p>
    <w:p w:rsidR="00000000" w:rsidRDefault="00000000">
      <w:pPr>
        <w:pStyle w:val="a"/>
        <w:ind w:left="1550"/>
        <w:rPr>
          <w:rFonts w:hint="eastAsia"/>
        </w:rPr>
      </w:pPr>
      <w:r>
        <w:rPr>
          <w:rFonts w:hint="eastAsia"/>
        </w:rPr>
        <w:t>拒绝保健权</w:t>
      </w:r>
      <w:r>
        <w:rPr>
          <w:rFonts w:hint="eastAsia"/>
        </w:rPr>
        <w:t>(</w:t>
      </w:r>
      <w:r>
        <w:rPr>
          <w:rFonts w:hint="eastAsia"/>
        </w:rPr>
        <w:t>第</w:t>
      </w:r>
      <w:r>
        <w:rPr>
          <w:rFonts w:hint="eastAsia"/>
        </w:rPr>
        <w:t>20-23</w:t>
      </w:r>
      <w:r>
        <w:rPr>
          <w:rFonts w:hint="eastAsia"/>
        </w:rPr>
        <w:t>节</w:t>
      </w:r>
      <w:r>
        <w:rPr>
          <w:rFonts w:hint="eastAsia"/>
        </w:rPr>
        <w:t>)</w:t>
      </w:r>
    </w:p>
    <w:p w:rsidR="00000000" w:rsidRDefault="00000000">
      <w:pPr>
        <w:pStyle w:val="a"/>
        <w:ind w:left="1550"/>
        <w:rPr>
          <w:rFonts w:hint="eastAsia"/>
        </w:rPr>
      </w:pPr>
      <w:r>
        <w:rPr>
          <w:rFonts w:hint="eastAsia"/>
        </w:rPr>
        <w:tab/>
      </w:r>
      <w:r>
        <w:rPr>
          <w:rFonts w:hint="eastAsia"/>
        </w:rPr>
        <w:t>了解病历权</w:t>
      </w:r>
      <w:r>
        <w:rPr>
          <w:rFonts w:hint="eastAsia"/>
        </w:rPr>
        <w:t>(</w:t>
      </w:r>
      <w:r>
        <w:rPr>
          <w:rFonts w:hint="eastAsia"/>
        </w:rPr>
        <w:t>第</w:t>
      </w:r>
      <w:r>
        <w:rPr>
          <w:rFonts w:hint="eastAsia"/>
        </w:rPr>
        <w:t>24</w:t>
      </w:r>
      <w:r>
        <w:rPr>
          <w:rFonts w:hint="eastAsia"/>
        </w:rPr>
        <w:t>节</w:t>
      </w:r>
      <w:r>
        <w:rPr>
          <w:rFonts w:hint="eastAsia"/>
        </w:rPr>
        <w:t>)</w:t>
      </w:r>
    </w:p>
    <w:p w:rsidR="00000000" w:rsidRDefault="00000000">
      <w:pPr>
        <w:pStyle w:val="a"/>
        <w:ind w:left="1550"/>
        <w:rPr>
          <w:rFonts w:hint="eastAsia"/>
        </w:rPr>
      </w:pPr>
      <w:r>
        <w:rPr>
          <w:rFonts w:hint="eastAsia"/>
        </w:rPr>
        <w:tab/>
      </w:r>
      <w:r>
        <w:rPr>
          <w:rFonts w:hint="eastAsia"/>
        </w:rPr>
        <w:t>职业保密权</w:t>
      </w:r>
      <w:r>
        <w:rPr>
          <w:rFonts w:hint="eastAsia"/>
        </w:rPr>
        <w:t>(</w:t>
      </w:r>
      <w:r>
        <w:rPr>
          <w:rFonts w:hint="eastAsia"/>
        </w:rPr>
        <w:t>第</w:t>
      </w:r>
      <w:r>
        <w:rPr>
          <w:rFonts w:hint="eastAsia"/>
        </w:rPr>
        <w:t>25</w:t>
      </w:r>
      <w:r>
        <w:rPr>
          <w:rFonts w:hint="eastAsia"/>
        </w:rPr>
        <w:t>节</w:t>
      </w:r>
      <w:r>
        <w:rPr>
          <w:rFonts w:hint="eastAsia"/>
        </w:rPr>
        <w:t>)</w:t>
      </w:r>
    </w:p>
    <w:p w:rsidR="00000000" w:rsidRDefault="00000000">
      <w:pPr>
        <w:rPr>
          <w:rFonts w:hint="eastAsia"/>
        </w:rPr>
      </w:pPr>
      <w:r>
        <w:tab/>
      </w:r>
      <w:r>
        <w:rPr>
          <w:rFonts w:hint="eastAsia"/>
        </w:rPr>
        <w:t>449.</w:t>
      </w:r>
      <w:r>
        <w:t xml:space="preserve">  </w:t>
      </w:r>
      <w:r>
        <w:rPr>
          <w:rFonts w:hint="eastAsia"/>
        </w:rPr>
        <w:t>《法令》第</w:t>
      </w:r>
      <w:r>
        <w:rPr>
          <w:rFonts w:hint="eastAsia"/>
        </w:rPr>
        <w:t>70</w:t>
      </w:r>
      <w:r>
        <w:rPr>
          <w:rFonts w:hint="eastAsia"/>
        </w:rPr>
        <w:t>节规定：“所有患者均有权获得其医疗状况所需的适当而随时可获的保健医疗，不得有任何歧视。”除规定患者权利之外，《法令》还规定所有患者均有权就护理工作提出申诉，或有权要求法律补救。患者辩护律师</w:t>
      </w:r>
      <w:r>
        <w:rPr>
          <w:rFonts w:hint="eastAsia"/>
        </w:rPr>
        <w:t>(</w:t>
      </w:r>
      <w:r>
        <w:rPr>
          <w:rFonts w:hint="eastAsia"/>
        </w:rPr>
        <w:t>代表</w:t>
      </w:r>
      <w:r>
        <w:rPr>
          <w:rFonts w:hint="eastAsia"/>
        </w:rPr>
        <w:t>)</w:t>
      </w:r>
      <w:r>
        <w:rPr>
          <w:rFonts w:hint="eastAsia"/>
        </w:rPr>
        <w:t>保护患者的权利，并协助患者了解自己的权利</w:t>
      </w:r>
      <w:r>
        <w:rPr>
          <w:rFonts w:hint="eastAsia"/>
        </w:rPr>
        <w:t>(</w:t>
      </w:r>
      <w:r>
        <w:rPr>
          <w:rFonts w:hint="eastAsia"/>
        </w:rPr>
        <w:t>见第</w:t>
      </w:r>
      <w:r>
        <w:rPr>
          <w:rFonts w:hint="eastAsia"/>
        </w:rPr>
        <w:t>3</w:t>
      </w:r>
      <w:r>
        <w:rPr>
          <w:rFonts w:hint="eastAsia"/>
        </w:rPr>
        <w:t>篇，强制执行患者的权利，第</w:t>
      </w:r>
      <w:r>
        <w:rPr>
          <w:rFonts w:hint="eastAsia"/>
        </w:rPr>
        <w:t>30-33</w:t>
      </w:r>
      <w:r>
        <w:rPr>
          <w:rFonts w:hint="eastAsia"/>
        </w:rPr>
        <w:t>节</w:t>
      </w:r>
      <w:r>
        <w:rPr>
          <w:rFonts w:hint="eastAsia"/>
        </w:rPr>
        <w:t>)</w:t>
      </w:r>
      <w:r>
        <w:rPr>
          <w:rFonts w:hint="eastAsia"/>
        </w:rPr>
        <w:t>。患者辩护律师在国家公共卫生和医疗服务局的州</w:t>
      </w:r>
      <w:r>
        <w:rPr>
          <w:rFonts w:hint="eastAsia"/>
        </w:rPr>
        <w:t>(</w:t>
      </w:r>
      <w:r>
        <w:rPr>
          <w:rFonts w:hint="eastAsia"/>
        </w:rPr>
        <w:t>市</w:t>
      </w:r>
      <w:r>
        <w:rPr>
          <w:rFonts w:hint="eastAsia"/>
        </w:rPr>
        <w:t>)</w:t>
      </w:r>
      <w:r>
        <w:rPr>
          <w:rFonts w:hint="eastAsia"/>
        </w:rPr>
        <w:t>级机构的体制框架下工作。他们特别关注那些因年龄、身心残障、卫生条件、社会条件而辩护无门的人。</w:t>
      </w:r>
    </w:p>
    <w:p w:rsidR="00000000" w:rsidRDefault="00000000">
      <w:pPr>
        <w:rPr>
          <w:rFonts w:hint="eastAsia"/>
        </w:rPr>
      </w:pPr>
      <w:r>
        <w:tab/>
      </w:r>
      <w:r>
        <w:rPr>
          <w:rFonts w:hint="eastAsia"/>
        </w:rPr>
        <w:t>450.</w:t>
      </w:r>
      <w:r>
        <w:t xml:space="preserve">  </w:t>
      </w:r>
      <w:r>
        <w:rPr>
          <w:rFonts w:hint="eastAsia"/>
        </w:rPr>
        <w:t>《</w:t>
      </w:r>
      <w:r>
        <w:rPr>
          <w:rFonts w:hint="eastAsia"/>
        </w:rPr>
        <w:t>1992</w:t>
      </w:r>
      <w:r>
        <w:rPr>
          <w:rFonts w:hint="eastAsia"/>
        </w:rPr>
        <w:t>年关于保护胎儿生命的第七十九号法令</w:t>
      </w:r>
      <w:r>
        <w:rPr>
          <w:rFonts w:ascii="SimSun" w:hAnsi="SimSun" w:hint="eastAsia"/>
        </w:rPr>
        <w:t>》</w:t>
      </w:r>
      <w:r>
        <w:rPr>
          <w:rFonts w:hint="eastAsia"/>
        </w:rPr>
        <w:t>就胎儿保护以及堕胎条件作出规定。《</w:t>
      </w:r>
      <w:r>
        <w:rPr>
          <w:rFonts w:hint="eastAsia"/>
        </w:rPr>
        <w:t>1997</w:t>
      </w:r>
      <w:r>
        <w:rPr>
          <w:rFonts w:hint="eastAsia"/>
        </w:rPr>
        <w:t>年关于医疗和有关资料的处理与保护的第四十七号法令</w:t>
      </w:r>
      <w:r>
        <w:rPr>
          <w:rFonts w:ascii="SimSun" w:hAnsi="SimSun" w:hint="eastAsia"/>
        </w:rPr>
        <w:t>》</w:t>
      </w:r>
      <w:r>
        <w:rPr>
          <w:rFonts w:hint="eastAsia"/>
        </w:rPr>
        <w:t>也是单独的一项立法。其他法律则明确规定服务提供体系的组织、结构及其规模的扩大和缩小规则。</w:t>
      </w:r>
    </w:p>
    <w:p w:rsidR="00000000" w:rsidRDefault="00000000">
      <w:pPr>
        <w:rPr>
          <w:rFonts w:hint="eastAsia"/>
        </w:rPr>
      </w:pPr>
      <w:r>
        <w:tab/>
      </w:r>
      <w:r>
        <w:rPr>
          <w:rFonts w:hint="eastAsia"/>
        </w:rPr>
        <w:t>451.</w:t>
      </w:r>
      <w:r>
        <w:t xml:space="preserve">  </w:t>
      </w:r>
      <w:r>
        <w:rPr>
          <w:rFonts w:hint="eastAsia"/>
        </w:rPr>
        <w:t>作为对处境不利的人和群体的一项保障措施，患者的权利和基本立法原则包括以下内容：</w:t>
      </w:r>
    </w:p>
    <w:p w:rsidR="00000000" w:rsidRDefault="00000000">
      <w:pPr>
        <w:pStyle w:val="a0"/>
        <w:ind w:left="1550"/>
        <w:rPr>
          <w:rFonts w:hint="eastAsia"/>
        </w:rPr>
      </w:pPr>
      <w:r>
        <w:rPr>
          <w:rFonts w:hint="eastAsia"/>
        </w:rPr>
        <w:t>禁止歧视，</w:t>
      </w:r>
    </w:p>
    <w:p w:rsidR="00000000" w:rsidRDefault="00000000">
      <w:pPr>
        <w:pStyle w:val="a0"/>
        <w:ind w:left="1550"/>
        <w:rPr>
          <w:rFonts w:hint="eastAsia"/>
        </w:rPr>
      </w:pPr>
      <w:r>
        <w:rPr>
          <w:rFonts w:hint="eastAsia"/>
        </w:rPr>
        <w:t>公正平等地享有医疗服务的权利，</w:t>
      </w:r>
    </w:p>
    <w:p w:rsidR="00000000" w:rsidRDefault="00000000">
      <w:pPr>
        <w:pStyle w:val="a0"/>
        <w:ind w:left="1550"/>
        <w:rPr>
          <w:rFonts w:hint="eastAsia"/>
        </w:rPr>
      </w:pPr>
      <w:r>
        <w:rPr>
          <w:rFonts w:hint="eastAsia"/>
        </w:rPr>
        <w:t>作为服务提供方式的急性期后的护理和康复。</w:t>
      </w:r>
    </w:p>
    <w:p w:rsidR="00000000" w:rsidRDefault="00000000">
      <w:pPr>
        <w:rPr>
          <w:rFonts w:hint="eastAsia"/>
        </w:rPr>
      </w:pPr>
      <w:r>
        <w:rPr>
          <w:rFonts w:hint="eastAsia"/>
        </w:rPr>
        <w:t>另有立法规定残疾人平等地享有各项权利，包括提供医疗辅具以及如何使用这些辅具的培训。</w:t>
      </w:r>
    </w:p>
    <w:p w:rsidR="00000000" w:rsidRDefault="00000000">
      <w:pPr>
        <w:spacing w:after="320"/>
        <w:rPr>
          <w:rFonts w:hint="eastAsia"/>
        </w:rPr>
      </w:pPr>
      <w:r>
        <w:tab/>
      </w:r>
      <w:r>
        <w:rPr>
          <w:rFonts w:hint="eastAsia"/>
        </w:rPr>
        <w:t>452.</w:t>
      </w:r>
      <w:r>
        <w:t xml:space="preserve">  </w:t>
      </w:r>
      <w:r>
        <w:rPr>
          <w:rFonts w:hint="eastAsia"/>
        </w:rPr>
        <w:t>对于在获取医疗服务方面处境不利的那些人，以试验性降低费用的方式提供服务，在社会福利制度下，公共医疗系统帮助有困难的人获得特殊情况下可部分付费的服务。</w:t>
      </w:r>
    </w:p>
    <w:p w:rsidR="00000000" w:rsidRDefault="00000000">
      <w:pPr>
        <w:pStyle w:val="Heading3"/>
        <w:rPr>
          <w:rFonts w:hint="eastAsia"/>
        </w:rPr>
      </w:pPr>
      <w:r>
        <w:rPr>
          <w:rFonts w:hint="eastAsia"/>
        </w:rPr>
        <w:t>全民的身心健康状况</w:t>
      </w:r>
    </w:p>
    <w:p w:rsidR="00000000" w:rsidRDefault="00000000">
      <w:pPr>
        <w:rPr>
          <w:rFonts w:hint="eastAsia"/>
        </w:rPr>
      </w:pPr>
      <w:r>
        <w:tab/>
      </w:r>
      <w:r>
        <w:rPr>
          <w:rFonts w:hint="eastAsia"/>
        </w:rPr>
        <w:t>453.</w:t>
      </w:r>
      <w:r>
        <w:t xml:space="preserve">  </w:t>
      </w:r>
      <w:r>
        <w:rPr>
          <w:rFonts w:hint="eastAsia"/>
        </w:rPr>
        <w:t>匈牙利全民的健康状况与国际水平相比极不理想，大大落后于按照国家的社会和经济发展水平可能达到的程度。在某些疾病和死因方面，匈牙利在国际统计中名列前茅。目前，出生预期寿命男子为</w:t>
      </w:r>
      <w:r>
        <w:rPr>
          <w:rFonts w:hint="eastAsia"/>
        </w:rPr>
        <w:t>68</w:t>
      </w:r>
      <w:r>
        <w:rPr>
          <w:rFonts w:hint="eastAsia"/>
        </w:rPr>
        <w:t>岁，妇女为</w:t>
      </w:r>
      <w:r>
        <w:rPr>
          <w:rFonts w:hint="eastAsia"/>
        </w:rPr>
        <w:t>76</w:t>
      </w:r>
      <w:r>
        <w:rPr>
          <w:rFonts w:hint="eastAsia"/>
        </w:rPr>
        <w:t>岁。这些数据大大低于欧洲联盟其他成员国。尤其不幸的是，中年男子的死亡率极高。</w:t>
      </w:r>
    </w:p>
    <w:p w:rsidR="00000000" w:rsidRDefault="00000000">
      <w:pPr>
        <w:rPr>
          <w:rFonts w:hint="eastAsia"/>
        </w:rPr>
      </w:pPr>
      <w:r>
        <w:tab/>
      </w:r>
      <w:r>
        <w:rPr>
          <w:rFonts w:hint="eastAsia"/>
        </w:rPr>
        <w:t>454.</w:t>
      </w:r>
      <w:r>
        <w:t xml:space="preserve">  </w:t>
      </w:r>
      <w:r>
        <w:rPr>
          <w:rFonts w:hint="eastAsia"/>
        </w:rPr>
        <w:t>这一状况是不能接受的，必须采取有效行动。匈牙利人民极为不良的健康状况有着历史、社会、经济和文化方面的多种因素，但它也可直接归因于一般生活方式。</w:t>
      </w:r>
    </w:p>
    <w:p w:rsidR="00000000" w:rsidRDefault="00000000">
      <w:pPr>
        <w:rPr>
          <w:rFonts w:hint="eastAsia"/>
        </w:rPr>
      </w:pPr>
      <w:r>
        <w:tab/>
      </w:r>
      <w:r>
        <w:rPr>
          <w:rFonts w:hint="eastAsia"/>
        </w:rPr>
        <w:t>455.</w:t>
      </w:r>
      <w:r>
        <w:t xml:space="preserve">  </w:t>
      </w:r>
      <w:r>
        <w:rPr>
          <w:rFonts w:hint="eastAsia"/>
        </w:rPr>
        <w:t>民族的营养习惯不够健康：热量、脂肪和盐的消耗量过高，而纤维、菜蔬和水果的食用量则远远不够。匈牙利相当一部分人口超重肥胖。平均而言，匈牙利成年人一天运动量几乎不到十分钟，十个成年人中有六人无论工作日还是周末都不运动。</w:t>
      </w:r>
      <w:r>
        <w:rPr>
          <w:rFonts w:hint="eastAsia"/>
        </w:rPr>
        <w:t>41%</w:t>
      </w:r>
      <w:r>
        <w:rPr>
          <w:rFonts w:hint="eastAsia"/>
        </w:rPr>
        <w:t>的成年男子和</w:t>
      </w:r>
      <w:r>
        <w:rPr>
          <w:rFonts w:hint="eastAsia"/>
        </w:rPr>
        <w:t>26%</w:t>
      </w:r>
      <w:r>
        <w:rPr>
          <w:rFonts w:hint="eastAsia"/>
        </w:rPr>
        <w:t>的妇女或多或少有吸烟的习惯，吸烟者大多是青年妇女，其所占比例在迅速扩大。每年有</w:t>
      </w:r>
      <w:r>
        <w:rPr>
          <w:rFonts w:hint="eastAsia"/>
        </w:rPr>
        <w:t>28</w:t>
      </w:r>
      <w:r>
        <w:t>,</w:t>
      </w:r>
      <w:r>
        <w:rPr>
          <w:rFonts w:hint="eastAsia"/>
        </w:rPr>
        <w:t>000</w:t>
      </w:r>
      <w:r>
        <w:rPr>
          <w:rFonts w:hint="eastAsia"/>
        </w:rPr>
        <w:t>人死于吸烟。酗酒者人数极高，药物消费量也在不断增加。相当多一部分人口没有能力应对每日生活问题，精神健康问题日趋普遍。</w:t>
      </w:r>
    </w:p>
    <w:p w:rsidR="00000000" w:rsidRDefault="00000000">
      <w:pPr>
        <w:rPr>
          <w:rFonts w:hint="eastAsia"/>
        </w:rPr>
      </w:pPr>
      <w:r>
        <w:tab/>
      </w:r>
      <w:r>
        <w:rPr>
          <w:rFonts w:hint="eastAsia"/>
        </w:rPr>
        <w:t>456.</w:t>
      </w:r>
      <w:r>
        <w:t xml:space="preserve">  </w:t>
      </w:r>
      <w:r>
        <w:rPr>
          <w:rFonts w:hint="eastAsia"/>
        </w:rPr>
        <w:t>影响人民的生活方式，使之朝着有益健康的方向发展，是一项艰巨而又极其复杂的任务，政府、公共机构、民间社会、经济和社会生活行为者以及媒体必须对之采取慎密而又协调的行动。为此，建立于社会和政治一致意见之上的一项专业性十年战略提供了基本要素。</w:t>
      </w:r>
    </w:p>
    <w:p w:rsidR="00000000" w:rsidRDefault="00000000">
      <w:pPr>
        <w:rPr>
          <w:rFonts w:hint="eastAsia"/>
        </w:rPr>
      </w:pPr>
      <w:r>
        <w:tab/>
      </w:r>
      <w:r>
        <w:rPr>
          <w:rFonts w:hint="eastAsia"/>
        </w:rPr>
        <w:t>457.</w:t>
      </w:r>
      <w:r>
        <w:t xml:space="preserve">  </w:t>
      </w:r>
      <w:r>
        <w:rPr>
          <w:rFonts w:hint="eastAsia"/>
        </w:rPr>
        <w:t>改善公共卫生，政府与社会双方必须通力合作，共同努力。包含上述任务的框架方案称之为“</w:t>
      </w:r>
      <w:r>
        <w:rPr>
          <w:rFonts w:eastAsia="KaiTi_GB2312" w:hint="eastAsia"/>
          <w:snapToGrid/>
          <w:spacing w:val="0"/>
        </w:rPr>
        <w:t>增进民族健康公共卫生方案</w:t>
      </w:r>
      <w:r>
        <w:rPr>
          <w:rFonts w:hint="eastAsia"/>
        </w:rPr>
        <w:t>”。方案的一部分致力于传播有关保护健康的信息，另一部分则涉及提供各种预防性、普查和治疗服务。</w:t>
      </w:r>
    </w:p>
    <w:p w:rsidR="00000000" w:rsidRDefault="00000000">
      <w:pPr>
        <w:rPr>
          <w:rFonts w:hint="eastAsia"/>
        </w:rPr>
      </w:pPr>
      <w:r>
        <w:tab/>
      </w:r>
      <w:r>
        <w:rPr>
          <w:rFonts w:hint="eastAsia"/>
        </w:rPr>
        <w:t>458.</w:t>
      </w:r>
      <w:r>
        <w:t xml:space="preserve">  </w:t>
      </w:r>
      <w:r>
        <w:rPr>
          <w:rFonts w:hint="eastAsia"/>
        </w:rPr>
        <w:t>以下为</w:t>
      </w:r>
      <w:r>
        <w:rPr>
          <w:rFonts w:hint="eastAsia"/>
        </w:rPr>
        <w:t>2002</w:t>
      </w:r>
      <w:r>
        <w:rPr>
          <w:rFonts w:hint="eastAsia"/>
        </w:rPr>
        <w:t>年匈牙利人口死亡的主要原因</w:t>
      </w:r>
      <w:r>
        <w:rPr>
          <w:rFonts w:hint="eastAsia"/>
        </w:rPr>
        <w:t>(</w:t>
      </w:r>
      <w:r>
        <w:rPr>
          <w:rFonts w:hint="eastAsia"/>
        </w:rPr>
        <w:t>括号内为死亡人数</w:t>
      </w:r>
      <w:r>
        <w:rPr>
          <w:rFonts w:hint="eastAsia"/>
        </w:rPr>
        <w:t>)</w:t>
      </w:r>
      <w:r>
        <w:rPr>
          <w:rFonts w:hint="eastAsia"/>
        </w:rPr>
        <w:t>：</w:t>
      </w:r>
    </w:p>
    <w:tbl>
      <w:tblPr>
        <w:tblW w:w="0" w:type="auto"/>
        <w:jc w:val="center"/>
        <w:tblInd w:w="1040" w:type="dxa"/>
        <w:tblCellMar>
          <w:left w:w="28" w:type="dxa"/>
          <w:right w:w="28" w:type="dxa"/>
        </w:tblCellMar>
        <w:tblLook w:val="0000" w:firstRow="0" w:lastRow="0" w:firstColumn="0" w:lastColumn="0" w:noHBand="0" w:noVBand="0"/>
      </w:tblPr>
      <w:tblGrid>
        <w:gridCol w:w="4151"/>
        <w:gridCol w:w="2187"/>
      </w:tblGrid>
      <w:tr w:rsidR="00000000">
        <w:tblPrEx>
          <w:tblCellMar>
            <w:top w:w="0" w:type="dxa"/>
            <w:bottom w:w="0" w:type="dxa"/>
          </w:tblCellMar>
        </w:tblPrEx>
        <w:trPr>
          <w:jc w:val="center"/>
        </w:trPr>
        <w:tc>
          <w:tcPr>
            <w:tcW w:w="4151" w:type="dxa"/>
          </w:tcPr>
          <w:p w:rsidR="00000000" w:rsidRDefault="00000000">
            <w:pPr>
              <w:spacing w:line="360" w:lineRule="exact"/>
            </w:pPr>
            <w:r>
              <w:rPr>
                <w:rFonts w:hint="eastAsia"/>
              </w:rPr>
              <w:t>恶性肿瘤</w:t>
            </w:r>
          </w:p>
        </w:tc>
        <w:tc>
          <w:tcPr>
            <w:tcW w:w="2187" w:type="dxa"/>
          </w:tcPr>
          <w:p w:rsidR="00000000" w:rsidRDefault="00000000">
            <w:pPr>
              <w:spacing w:line="360" w:lineRule="exact"/>
              <w:ind w:right="851"/>
              <w:jc w:val="right"/>
              <w:rPr>
                <w:rFonts w:hint="eastAsia"/>
              </w:rPr>
            </w:pPr>
            <w:r>
              <w:rPr>
                <w:rFonts w:hint="eastAsia"/>
              </w:rPr>
              <w:t>(32</w:t>
            </w:r>
            <w:r>
              <w:t>,</w:t>
            </w:r>
            <w:r>
              <w:rPr>
                <w:rFonts w:hint="eastAsia"/>
              </w:rPr>
              <w:t>950)</w:t>
            </w:r>
          </w:p>
        </w:tc>
      </w:tr>
      <w:tr w:rsidR="00000000">
        <w:tblPrEx>
          <w:tblCellMar>
            <w:top w:w="0" w:type="dxa"/>
            <w:bottom w:w="0" w:type="dxa"/>
          </w:tblCellMar>
        </w:tblPrEx>
        <w:trPr>
          <w:jc w:val="center"/>
        </w:trPr>
        <w:tc>
          <w:tcPr>
            <w:tcW w:w="4151" w:type="dxa"/>
          </w:tcPr>
          <w:p w:rsidR="00000000" w:rsidRDefault="00000000">
            <w:pPr>
              <w:spacing w:line="360" w:lineRule="exact"/>
            </w:pPr>
            <w:r>
              <w:rPr>
                <w:rFonts w:hint="eastAsia"/>
              </w:rPr>
              <w:t>心脏病</w:t>
            </w:r>
          </w:p>
        </w:tc>
        <w:tc>
          <w:tcPr>
            <w:tcW w:w="2187" w:type="dxa"/>
          </w:tcPr>
          <w:p w:rsidR="00000000" w:rsidRDefault="00000000">
            <w:pPr>
              <w:spacing w:line="360" w:lineRule="exact"/>
              <w:ind w:right="851"/>
              <w:jc w:val="right"/>
              <w:rPr>
                <w:rFonts w:hint="eastAsia"/>
              </w:rPr>
            </w:pPr>
            <w:r>
              <w:rPr>
                <w:rFonts w:hint="eastAsia"/>
              </w:rPr>
              <w:t>(38</w:t>
            </w:r>
            <w:r>
              <w:t>,</w:t>
            </w:r>
            <w:r>
              <w:rPr>
                <w:rFonts w:hint="eastAsia"/>
              </w:rPr>
              <w:t>428)</w:t>
            </w:r>
          </w:p>
        </w:tc>
      </w:tr>
      <w:tr w:rsidR="00000000">
        <w:tblPrEx>
          <w:tblCellMar>
            <w:top w:w="0" w:type="dxa"/>
            <w:bottom w:w="0" w:type="dxa"/>
          </w:tblCellMar>
        </w:tblPrEx>
        <w:trPr>
          <w:jc w:val="center"/>
        </w:trPr>
        <w:tc>
          <w:tcPr>
            <w:tcW w:w="4151" w:type="dxa"/>
          </w:tcPr>
          <w:p w:rsidR="00000000" w:rsidRDefault="00000000">
            <w:pPr>
              <w:spacing w:line="360" w:lineRule="exact"/>
            </w:pPr>
            <w:r>
              <w:rPr>
                <w:rFonts w:hint="eastAsia"/>
              </w:rPr>
              <w:t>脑血管病</w:t>
            </w:r>
          </w:p>
        </w:tc>
        <w:tc>
          <w:tcPr>
            <w:tcW w:w="2187" w:type="dxa"/>
          </w:tcPr>
          <w:p w:rsidR="00000000" w:rsidRDefault="00000000">
            <w:pPr>
              <w:spacing w:line="360" w:lineRule="exact"/>
              <w:ind w:right="851"/>
              <w:jc w:val="right"/>
              <w:rPr>
                <w:rFonts w:hint="eastAsia"/>
              </w:rPr>
            </w:pPr>
            <w:r>
              <w:rPr>
                <w:rFonts w:hint="eastAsia"/>
              </w:rPr>
              <w:t>(18</w:t>
            </w:r>
            <w:r>
              <w:t>,</w:t>
            </w:r>
            <w:r>
              <w:rPr>
                <w:rFonts w:hint="eastAsia"/>
              </w:rPr>
              <w:t>462)</w:t>
            </w:r>
          </w:p>
        </w:tc>
      </w:tr>
      <w:tr w:rsidR="00000000">
        <w:tblPrEx>
          <w:tblCellMar>
            <w:top w:w="0" w:type="dxa"/>
            <w:bottom w:w="0" w:type="dxa"/>
          </w:tblCellMar>
        </w:tblPrEx>
        <w:trPr>
          <w:jc w:val="center"/>
        </w:trPr>
        <w:tc>
          <w:tcPr>
            <w:tcW w:w="4151" w:type="dxa"/>
          </w:tcPr>
          <w:p w:rsidR="00000000" w:rsidRDefault="00000000">
            <w:pPr>
              <w:spacing w:line="360" w:lineRule="exact"/>
            </w:pPr>
            <w:r>
              <w:rPr>
                <w:rFonts w:hint="eastAsia"/>
              </w:rPr>
              <w:t>动脉硬化</w:t>
            </w:r>
          </w:p>
        </w:tc>
        <w:tc>
          <w:tcPr>
            <w:tcW w:w="2187" w:type="dxa"/>
          </w:tcPr>
          <w:p w:rsidR="00000000" w:rsidRDefault="00000000">
            <w:pPr>
              <w:spacing w:line="360" w:lineRule="exact"/>
              <w:ind w:right="851"/>
              <w:jc w:val="right"/>
              <w:rPr>
                <w:rFonts w:hint="eastAsia"/>
              </w:rPr>
            </w:pPr>
            <w:r>
              <w:rPr>
                <w:rFonts w:hint="eastAsia"/>
              </w:rPr>
              <w:t>(7</w:t>
            </w:r>
            <w:r>
              <w:t>,</w:t>
            </w:r>
            <w:r>
              <w:rPr>
                <w:rFonts w:hint="eastAsia"/>
              </w:rPr>
              <w:t>395)</w:t>
            </w:r>
          </w:p>
        </w:tc>
      </w:tr>
      <w:tr w:rsidR="00000000">
        <w:tblPrEx>
          <w:tblCellMar>
            <w:top w:w="0" w:type="dxa"/>
            <w:bottom w:w="0" w:type="dxa"/>
          </w:tblCellMar>
        </w:tblPrEx>
        <w:trPr>
          <w:jc w:val="center"/>
        </w:trPr>
        <w:tc>
          <w:tcPr>
            <w:tcW w:w="4151" w:type="dxa"/>
          </w:tcPr>
          <w:p w:rsidR="00000000" w:rsidRDefault="00000000">
            <w:pPr>
              <w:spacing w:line="360" w:lineRule="exact"/>
            </w:pPr>
            <w:r>
              <w:rPr>
                <w:rFonts w:hint="eastAsia"/>
              </w:rPr>
              <w:t>支气管炎、肺气肿、哮喘</w:t>
            </w:r>
          </w:p>
        </w:tc>
        <w:tc>
          <w:tcPr>
            <w:tcW w:w="2187" w:type="dxa"/>
          </w:tcPr>
          <w:p w:rsidR="00000000" w:rsidRDefault="00000000">
            <w:pPr>
              <w:spacing w:line="360" w:lineRule="exact"/>
              <w:ind w:right="851"/>
              <w:jc w:val="right"/>
              <w:rPr>
                <w:rFonts w:hint="eastAsia"/>
              </w:rPr>
            </w:pPr>
            <w:r>
              <w:rPr>
                <w:rFonts w:hint="eastAsia"/>
              </w:rPr>
              <w:t>(3</w:t>
            </w:r>
            <w:r>
              <w:t>,</w:t>
            </w:r>
            <w:r>
              <w:rPr>
                <w:rFonts w:hint="eastAsia"/>
              </w:rPr>
              <w:t>232)</w:t>
            </w:r>
          </w:p>
        </w:tc>
      </w:tr>
      <w:tr w:rsidR="00000000">
        <w:tblPrEx>
          <w:tblCellMar>
            <w:top w:w="0" w:type="dxa"/>
            <w:bottom w:w="0" w:type="dxa"/>
          </w:tblCellMar>
        </w:tblPrEx>
        <w:trPr>
          <w:jc w:val="center"/>
        </w:trPr>
        <w:tc>
          <w:tcPr>
            <w:tcW w:w="4151" w:type="dxa"/>
          </w:tcPr>
          <w:p w:rsidR="00000000" w:rsidRDefault="00000000">
            <w:pPr>
              <w:spacing w:line="360" w:lineRule="exact"/>
            </w:pPr>
            <w:r>
              <w:rPr>
                <w:rFonts w:hint="eastAsia"/>
              </w:rPr>
              <w:t>肝病</w:t>
            </w:r>
          </w:p>
        </w:tc>
        <w:tc>
          <w:tcPr>
            <w:tcW w:w="2187" w:type="dxa"/>
          </w:tcPr>
          <w:p w:rsidR="00000000" w:rsidRDefault="00000000">
            <w:pPr>
              <w:spacing w:line="360" w:lineRule="exact"/>
              <w:ind w:right="851"/>
              <w:jc w:val="right"/>
              <w:rPr>
                <w:rFonts w:hint="eastAsia"/>
              </w:rPr>
            </w:pPr>
            <w:r>
              <w:rPr>
                <w:rFonts w:hint="eastAsia"/>
              </w:rPr>
              <w:t>(6</w:t>
            </w:r>
            <w:r>
              <w:t>,</w:t>
            </w:r>
            <w:r>
              <w:rPr>
                <w:rFonts w:hint="eastAsia"/>
              </w:rPr>
              <w:t>119)</w:t>
            </w:r>
          </w:p>
        </w:tc>
      </w:tr>
      <w:tr w:rsidR="00000000">
        <w:tblPrEx>
          <w:tblCellMar>
            <w:top w:w="0" w:type="dxa"/>
            <w:bottom w:w="0" w:type="dxa"/>
          </w:tblCellMar>
        </w:tblPrEx>
        <w:trPr>
          <w:jc w:val="center"/>
        </w:trPr>
        <w:tc>
          <w:tcPr>
            <w:tcW w:w="4151" w:type="dxa"/>
          </w:tcPr>
          <w:p w:rsidR="00000000" w:rsidRDefault="00000000">
            <w:pPr>
              <w:spacing w:line="360" w:lineRule="exact"/>
            </w:pPr>
            <w:r>
              <w:rPr>
                <w:rFonts w:hint="eastAsia"/>
              </w:rPr>
              <w:t>意外事故</w:t>
            </w:r>
          </w:p>
        </w:tc>
        <w:tc>
          <w:tcPr>
            <w:tcW w:w="2187" w:type="dxa"/>
          </w:tcPr>
          <w:p w:rsidR="00000000" w:rsidRDefault="00000000">
            <w:pPr>
              <w:spacing w:line="360" w:lineRule="exact"/>
              <w:ind w:right="851"/>
              <w:jc w:val="right"/>
              <w:rPr>
                <w:rFonts w:hint="eastAsia"/>
              </w:rPr>
            </w:pPr>
            <w:r>
              <w:rPr>
                <w:rFonts w:hint="eastAsia"/>
              </w:rPr>
              <w:t>(5</w:t>
            </w:r>
            <w:r>
              <w:t>,</w:t>
            </w:r>
            <w:r>
              <w:rPr>
                <w:rFonts w:hint="eastAsia"/>
              </w:rPr>
              <w:t>080)</w:t>
            </w:r>
          </w:p>
        </w:tc>
      </w:tr>
      <w:tr w:rsidR="00000000">
        <w:tblPrEx>
          <w:tblCellMar>
            <w:top w:w="0" w:type="dxa"/>
            <w:bottom w:w="0" w:type="dxa"/>
          </w:tblCellMar>
        </w:tblPrEx>
        <w:trPr>
          <w:jc w:val="center"/>
        </w:trPr>
        <w:tc>
          <w:tcPr>
            <w:tcW w:w="4151" w:type="dxa"/>
            <w:tcBorders>
              <w:bottom w:val="single" w:sz="4" w:space="0" w:color="auto"/>
            </w:tcBorders>
          </w:tcPr>
          <w:p w:rsidR="00000000" w:rsidRDefault="00000000">
            <w:pPr>
              <w:spacing w:line="360" w:lineRule="exact"/>
            </w:pPr>
            <w:r>
              <w:rPr>
                <w:rFonts w:hint="eastAsia"/>
              </w:rPr>
              <w:t>自杀和自残</w:t>
            </w:r>
          </w:p>
        </w:tc>
        <w:tc>
          <w:tcPr>
            <w:tcW w:w="2187" w:type="dxa"/>
            <w:tcBorders>
              <w:bottom w:val="single" w:sz="4" w:space="0" w:color="auto"/>
            </w:tcBorders>
          </w:tcPr>
          <w:p w:rsidR="00000000" w:rsidRDefault="00000000">
            <w:pPr>
              <w:spacing w:line="360" w:lineRule="exact"/>
              <w:ind w:right="851"/>
              <w:jc w:val="right"/>
              <w:rPr>
                <w:rFonts w:hint="eastAsia"/>
              </w:rPr>
            </w:pPr>
            <w:r>
              <w:rPr>
                <w:rFonts w:hint="eastAsia"/>
              </w:rPr>
              <w:t>(2</w:t>
            </w:r>
            <w:r>
              <w:t>,</w:t>
            </w:r>
            <w:r>
              <w:rPr>
                <w:rFonts w:hint="eastAsia"/>
              </w:rPr>
              <w:t>814)</w:t>
            </w:r>
          </w:p>
        </w:tc>
      </w:tr>
      <w:tr w:rsidR="00000000">
        <w:tblPrEx>
          <w:tblCellMar>
            <w:top w:w="0" w:type="dxa"/>
            <w:bottom w:w="0" w:type="dxa"/>
          </w:tblCellMar>
        </w:tblPrEx>
        <w:trPr>
          <w:jc w:val="center"/>
        </w:trPr>
        <w:tc>
          <w:tcPr>
            <w:tcW w:w="4151" w:type="dxa"/>
            <w:tcBorders>
              <w:top w:val="single" w:sz="4" w:space="0" w:color="auto"/>
            </w:tcBorders>
          </w:tcPr>
          <w:p w:rsidR="00000000" w:rsidRDefault="00000000">
            <w:pPr>
              <w:spacing w:line="360" w:lineRule="exact"/>
            </w:pPr>
            <w:r>
              <w:rPr>
                <w:rFonts w:hint="eastAsia"/>
              </w:rPr>
              <w:t>死亡总人数</w:t>
            </w:r>
          </w:p>
        </w:tc>
        <w:tc>
          <w:tcPr>
            <w:tcW w:w="2187" w:type="dxa"/>
            <w:tcBorders>
              <w:top w:val="single" w:sz="4" w:space="0" w:color="auto"/>
            </w:tcBorders>
          </w:tcPr>
          <w:p w:rsidR="00000000" w:rsidRDefault="00000000">
            <w:pPr>
              <w:spacing w:line="360" w:lineRule="exact"/>
              <w:ind w:right="851"/>
              <w:jc w:val="right"/>
              <w:rPr>
                <w:rFonts w:hint="eastAsia"/>
              </w:rPr>
            </w:pPr>
            <w:r>
              <w:rPr>
                <w:rFonts w:hint="eastAsia"/>
              </w:rPr>
              <w:t>(115</w:t>
            </w:r>
            <w:r>
              <w:t>,</w:t>
            </w:r>
            <w:r>
              <w:rPr>
                <w:rFonts w:hint="eastAsia"/>
              </w:rPr>
              <w:t>480)</w:t>
            </w:r>
          </w:p>
        </w:tc>
      </w:tr>
    </w:tbl>
    <w:p w:rsidR="00000000" w:rsidRDefault="00000000">
      <w:pPr>
        <w:rPr>
          <w:u w:val="single"/>
        </w:rPr>
      </w:pP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全国卫生调查结果</w:t>
      </w:r>
      <w:r>
        <w:rPr>
          <w:rFonts w:eastAsia="KaiTi_GB2312" w:hint="eastAsia"/>
          <w:snapToGrid/>
          <w:spacing w:val="0"/>
          <w:u w:val="none"/>
          <w:lang w:val="fr-FR"/>
        </w:rPr>
        <w:t>(2000</w:t>
      </w:r>
      <w:r>
        <w:rPr>
          <w:rFonts w:eastAsia="KaiTi_GB2312" w:hint="eastAsia"/>
          <w:snapToGrid/>
          <w:spacing w:val="0"/>
          <w:u w:val="none"/>
          <w:lang w:val="fr-FR"/>
        </w:rPr>
        <w:t>年</w:t>
      </w:r>
      <w:r>
        <w:rPr>
          <w:rFonts w:eastAsia="KaiTi_GB2312" w:hint="eastAsia"/>
          <w:snapToGrid/>
          <w:spacing w:val="0"/>
          <w:u w:val="none"/>
          <w:lang w:val="fr-FR"/>
        </w:rPr>
        <w:t>)</w:t>
      </w:r>
    </w:p>
    <w:p w:rsidR="00000000" w:rsidRDefault="00000000">
      <w:pPr>
        <w:rPr>
          <w:rFonts w:hint="eastAsia"/>
        </w:rPr>
      </w:pPr>
      <w:r>
        <w:tab/>
      </w:r>
      <w:r>
        <w:rPr>
          <w:rFonts w:hint="eastAsia"/>
        </w:rPr>
        <w:t>459.</w:t>
      </w:r>
      <w:r>
        <w:t xml:space="preserve">  </w:t>
      </w:r>
      <w:r>
        <w:rPr>
          <w:rFonts w:hint="eastAsia"/>
          <w:u w:val="single"/>
        </w:rPr>
        <w:t>功能性</w:t>
      </w:r>
      <w:r>
        <w:rPr>
          <w:rFonts w:hint="eastAsia"/>
        </w:rPr>
        <w:t>：</w:t>
      </w:r>
      <w:r>
        <w:rPr>
          <w:rFonts w:hint="eastAsia"/>
        </w:rPr>
        <w:t>25%</w:t>
      </w:r>
      <w:r>
        <w:rPr>
          <w:rFonts w:hint="eastAsia"/>
        </w:rPr>
        <w:t>中年人、</w:t>
      </w:r>
      <w:r>
        <w:rPr>
          <w:rFonts w:hint="eastAsia"/>
        </w:rPr>
        <w:t>50%</w:t>
      </w:r>
      <w:r>
        <w:rPr>
          <w:rFonts w:hint="eastAsia"/>
        </w:rPr>
        <w:t>老年人的社会生活因健康问题而长期受到限制。</w:t>
      </w:r>
      <w:r>
        <w:rPr>
          <w:rFonts w:hint="eastAsia"/>
        </w:rPr>
        <w:t>10%</w:t>
      </w:r>
      <w:r>
        <w:rPr>
          <w:rFonts w:hint="eastAsia"/>
        </w:rPr>
        <w:t>的老年人在日常生活中需要他人帮助。在受教育程度不高、社会地位低微的人，或那些失业者、生活在不发达地区、单独工作或不能工作的人当中，这种情况更为普遍。</w:t>
      </w:r>
    </w:p>
    <w:p w:rsidR="00000000" w:rsidRDefault="00000000">
      <w:pPr>
        <w:rPr>
          <w:rFonts w:hint="eastAsia"/>
        </w:rPr>
      </w:pPr>
      <w:r>
        <w:tab/>
      </w:r>
      <w:r>
        <w:rPr>
          <w:rFonts w:hint="eastAsia"/>
        </w:rPr>
        <w:t>460.</w:t>
      </w:r>
      <w:r>
        <w:t xml:space="preserve">  </w:t>
      </w:r>
      <w:r>
        <w:rPr>
          <w:rFonts w:hint="eastAsia"/>
          <w:u w:val="single"/>
        </w:rPr>
        <w:t>精神健康</w:t>
      </w:r>
      <w:r>
        <w:rPr>
          <w:rFonts w:hint="eastAsia"/>
        </w:rPr>
        <w:t>：至少每六名妇女和每十一名男子有致使功能下降的精神健康问题。</w:t>
      </w:r>
      <w:r>
        <w:rPr>
          <w:rFonts w:hint="eastAsia"/>
        </w:rPr>
        <w:t>1.3%</w:t>
      </w:r>
      <w:r>
        <w:rPr>
          <w:rFonts w:hint="eastAsia"/>
        </w:rPr>
        <w:t>人口被列为最危险一类者</w:t>
      </w:r>
      <w:r>
        <w:rPr>
          <w:rFonts w:hint="eastAsia"/>
        </w:rPr>
        <w:t>(</w:t>
      </w:r>
      <w:r>
        <w:rPr>
          <w:rFonts w:hint="eastAsia"/>
        </w:rPr>
        <w:t>确有自杀的可能性</w:t>
      </w:r>
      <w:r>
        <w:rPr>
          <w:rFonts w:hint="eastAsia"/>
        </w:rPr>
        <w:t>)</w:t>
      </w:r>
      <w:r>
        <w:rPr>
          <w:rFonts w:hint="eastAsia"/>
        </w:rPr>
        <w:t>，其中男子为</w:t>
      </w:r>
      <w:r>
        <w:rPr>
          <w:rFonts w:hint="eastAsia"/>
        </w:rPr>
        <w:t>1.1%</w:t>
      </w:r>
      <w:r>
        <w:rPr>
          <w:rFonts w:hint="eastAsia"/>
        </w:rPr>
        <w:t>，妇女为</w:t>
      </w:r>
      <w:r>
        <w:rPr>
          <w:rFonts w:hint="eastAsia"/>
        </w:rPr>
        <w:t>1.5%</w:t>
      </w:r>
      <w:r>
        <w:rPr>
          <w:rFonts w:hint="eastAsia"/>
        </w:rPr>
        <w:t>。行动受限、不能工作，或经济状况不佳、独自生活的人，更有可能存在精神健康问题。</w:t>
      </w:r>
    </w:p>
    <w:p w:rsidR="00000000" w:rsidRDefault="00000000">
      <w:pPr>
        <w:rPr>
          <w:rFonts w:hint="eastAsia"/>
        </w:rPr>
      </w:pPr>
      <w:r>
        <w:tab/>
      </w:r>
      <w:r>
        <w:rPr>
          <w:rFonts w:hint="eastAsia"/>
        </w:rPr>
        <w:t>461.</w:t>
      </w:r>
      <w:r>
        <w:t xml:space="preserve">  </w:t>
      </w:r>
      <w:r>
        <w:rPr>
          <w:rFonts w:hint="eastAsia"/>
          <w:u w:val="single"/>
        </w:rPr>
        <w:t>自认健康状况</w:t>
      </w:r>
      <w:r>
        <w:rPr>
          <w:rFonts w:hint="eastAsia"/>
        </w:rPr>
        <w:t>：</w:t>
      </w:r>
      <w:r>
        <w:rPr>
          <w:rFonts w:hint="eastAsia"/>
        </w:rPr>
        <w:t>42%</w:t>
      </w:r>
      <w:r>
        <w:rPr>
          <w:rFonts w:hint="eastAsia"/>
        </w:rPr>
        <w:t>的成年人认为自己的健康状况良好或很好。这一比率在妇女中为</w:t>
      </w:r>
      <w:r>
        <w:rPr>
          <w:rFonts w:hint="eastAsia"/>
        </w:rPr>
        <w:t>39%</w:t>
      </w:r>
      <w:r>
        <w:rPr>
          <w:rFonts w:hint="eastAsia"/>
        </w:rPr>
        <w:t>，男子为</w:t>
      </w:r>
      <w:r>
        <w:rPr>
          <w:rFonts w:hint="eastAsia"/>
        </w:rPr>
        <w:t>48%</w:t>
      </w:r>
      <w:r>
        <w:rPr>
          <w:rFonts w:hint="eastAsia"/>
        </w:rPr>
        <w:t>。不过，</w:t>
      </w:r>
      <w:r>
        <w:rPr>
          <w:rFonts w:hint="eastAsia"/>
        </w:rPr>
        <w:t>18.5%</w:t>
      </w:r>
      <w:r>
        <w:rPr>
          <w:rFonts w:hint="eastAsia"/>
        </w:rPr>
        <w:t>的妇女和</w:t>
      </w:r>
      <w:r>
        <w:rPr>
          <w:rFonts w:hint="eastAsia"/>
        </w:rPr>
        <w:t>13.3%</w:t>
      </w:r>
      <w:r>
        <w:rPr>
          <w:rFonts w:hint="eastAsia"/>
        </w:rPr>
        <w:t>的男子认为自己的健康状况不好或极差。</w:t>
      </w:r>
    </w:p>
    <w:p w:rsidR="00000000" w:rsidRDefault="00000000">
      <w:pPr>
        <w:rPr>
          <w:rFonts w:hint="eastAsia"/>
        </w:rPr>
      </w:pPr>
      <w:r>
        <w:tab/>
      </w:r>
      <w:r>
        <w:rPr>
          <w:rFonts w:hint="eastAsia"/>
        </w:rPr>
        <w:t>462.</w:t>
      </w:r>
      <w:r>
        <w:t xml:space="preserve">  </w:t>
      </w:r>
      <w:r>
        <w:rPr>
          <w:rFonts w:hint="eastAsia"/>
          <w:u w:val="single"/>
        </w:rPr>
        <w:t>预期健康</w:t>
      </w:r>
      <w:r>
        <w:rPr>
          <w:rFonts w:hint="eastAsia"/>
        </w:rPr>
        <w:t>：一名</w:t>
      </w:r>
      <w:r>
        <w:rPr>
          <w:rFonts w:hint="eastAsia"/>
        </w:rPr>
        <w:t>18</w:t>
      </w:r>
      <w:r>
        <w:rPr>
          <w:rFonts w:hint="eastAsia"/>
        </w:rPr>
        <w:t>岁的妇女预期还会活</w:t>
      </w:r>
      <w:r>
        <w:rPr>
          <w:rFonts w:hint="eastAsia"/>
        </w:rPr>
        <w:t>59</w:t>
      </w:r>
      <w:r>
        <w:rPr>
          <w:rFonts w:hint="eastAsia"/>
        </w:rPr>
        <w:t>年，但是，如果健康状况无变化，其中只有</w:t>
      </w:r>
      <w:r>
        <w:rPr>
          <w:rFonts w:hint="eastAsia"/>
        </w:rPr>
        <w:t>43.3</w:t>
      </w:r>
      <w:r>
        <w:rPr>
          <w:rFonts w:hint="eastAsia"/>
        </w:rPr>
        <w:t>年行动不会受限。在同样的健康状况下，一名</w:t>
      </w:r>
      <w:r>
        <w:rPr>
          <w:rFonts w:hint="eastAsia"/>
        </w:rPr>
        <w:t>18</w:t>
      </w:r>
      <w:r>
        <w:rPr>
          <w:rFonts w:hint="eastAsia"/>
        </w:rPr>
        <w:t>岁的男子还会活</w:t>
      </w:r>
      <w:r>
        <w:rPr>
          <w:rFonts w:hint="eastAsia"/>
        </w:rPr>
        <w:t>50</w:t>
      </w:r>
      <w:r>
        <w:rPr>
          <w:rFonts w:hint="eastAsia"/>
        </w:rPr>
        <w:t>年，其中平均只有</w:t>
      </w:r>
      <w:r>
        <w:rPr>
          <w:rFonts w:hint="eastAsia"/>
        </w:rPr>
        <w:t>38.4</w:t>
      </w:r>
      <w:r>
        <w:rPr>
          <w:rFonts w:hint="eastAsia"/>
        </w:rPr>
        <w:t>年行动不会受限。</w:t>
      </w:r>
    </w:p>
    <w:p w:rsidR="00000000" w:rsidRDefault="00000000">
      <w:pPr>
        <w:rPr>
          <w:rFonts w:hint="eastAsia"/>
        </w:rPr>
      </w:pPr>
      <w:r>
        <w:tab/>
      </w:r>
      <w:r>
        <w:rPr>
          <w:rFonts w:hint="eastAsia"/>
        </w:rPr>
        <w:t>463.</w:t>
      </w:r>
      <w:r>
        <w:t xml:space="preserve">  </w:t>
      </w:r>
      <w:r>
        <w:rPr>
          <w:rFonts w:hint="eastAsia"/>
          <w:u w:val="single"/>
        </w:rPr>
        <w:t>生物学因素</w:t>
      </w:r>
      <w:r>
        <w:rPr>
          <w:rFonts w:hint="eastAsia"/>
        </w:rPr>
        <w:t>：在</w:t>
      </w:r>
      <w:r>
        <w:rPr>
          <w:rFonts w:hint="eastAsia"/>
        </w:rPr>
        <w:t>60</w:t>
      </w:r>
      <w:r>
        <w:rPr>
          <w:rFonts w:hint="eastAsia"/>
        </w:rPr>
        <w:t>至</w:t>
      </w:r>
      <w:r>
        <w:rPr>
          <w:rFonts w:hint="eastAsia"/>
        </w:rPr>
        <w:t>69</w:t>
      </w:r>
      <w:r>
        <w:rPr>
          <w:rFonts w:hint="eastAsia"/>
        </w:rPr>
        <w:t>岁年龄组中，患糖尿病的可能性比最小年龄组高出</w:t>
      </w:r>
      <w:r>
        <w:rPr>
          <w:rFonts w:hint="eastAsia"/>
        </w:rPr>
        <w:t>10</w:t>
      </w:r>
      <w:r>
        <w:rPr>
          <w:rFonts w:hint="eastAsia"/>
        </w:rPr>
        <w:t>倍。但最大年龄组</w:t>
      </w:r>
      <w:r>
        <w:rPr>
          <w:rFonts w:hint="eastAsia"/>
        </w:rPr>
        <w:t>(80</w:t>
      </w:r>
      <w:r>
        <w:rPr>
          <w:rFonts w:hint="eastAsia"/>
        </w:rPr>
        <w:t>岁以上</w:t>
      </w:r>
      <w:r>
        <w:rPr>
          <w:rFonts w:hint="eastAsia"/>
        </w:rPr>
        <w:t>)</w:t>
      </w:r>
      <w:r>
        <w:rPr>
          <w:rFonts w:hint="eastAsia"/>
        </w:rPr>
        <w:t>中这一可能性要低于两个小一点的年龄组</w:t>
      </w:r>
      <w:r>
        <w:rPr>
          <w:rFonts w:hint="eastAsia"/>
        </w:rPr>
        <w:t>(60-79</w:t>
      </w:r>
      <w:r>
        <w:rPr>
          <w:rFonts w:hint="eastAsia"/>
        </w:rPr>
        <w:t>岁</w:t>
      </w:r>
      <w:r>
        <w:rPr>
          <w:rFonts w:hint="eastAsia"/>
        </w:rPr>
        <w:t>)</w:t>
      </w:r>
      <w:r>
        <w:rPr>
          <w:rFonts w:hint="eastAsia"/>
        </w:rPr>
        <w:t>。我们可看到超重人群有同样的趋势。老年人吸烟的可能性低于</w:t>
      </w:r>
      <w:r>
        <w:rPr>
          <w:rFonts w:hint="eastAsia"/>
        </w:rPr>
        <w:t>18</w:t>
      </w:r>
      <w:r>
        <w:rPr>
          <w:rFonts w:hint="eastAsia"/>
        </w:rPr>
        <w:t>至</w:t>
      </w:r>
      <w:r>
        <w:rPr>
          <w:rFonts w:hint="eastAsia"/>
        </w:rPr>
        <w:t>34</w:t>
      </w:r>
      <w:r>
        <w:rPr>
          <w:rFonts w:hint="eastAsia"/>
        </w:rPr>
        <w:t>岁年龄组</w:t>
      </w:r>
      <w:r>
        <w:rPr>
          <w:rFonts w:hint="eastAsia"/>
        </w:rPr>
        <w:t>1/5</w:t>
      </w:r>
      <w:r>
        <w:rPr>
          <w:rFonts w:hint="eastAsia"/>
        </w:rPr>
        <w:t>。</w:t>
      </w:r>
      <w:r>
        <w:rPr>
          <w:rFonts w:hint="eastAsia"/>
        </w:rPr>
        <w:t>35</w:t>
      </w:r>
      <w:r>
        <w:rPr>
          <w:rFonts w:hint="eastAsia"/>
        </w:rPr>
        <w:t>至</w:t>
      </w:r>
      <w:r>
        <w:rPr>
          <w:rFonts w:hint="eastAsia"/>
        </w:rPr>
        <w:t>64</w:t>
      </w:r>
      <w:r>
        <w:rPr>
          <w:rFonts w:hint="eastAsia"/>
        </w:rPr>
        <w:t>岁年龄组中酗酒的可能性最大。妇女酗酒的可能性为男子的</w:t>
      </w:r>
      <w:r>
        <w:rPr>
          <w:rFonts w:hint="eastAsia"/>
        </w:rPr>
        <w:t>17%</w:t>
      </w:r>
      <w:r>
        <w:rPr>
          <w:rFonts w:hint="eastAsia"/>
        </w:rPr>
        <w:t>。</w:t>
      </w:r>
    </w:p>
    <w:p w:rsidR="00000000" w:rsidRDefault="00000000">
      <w:pPr>
        <w:widowControl w:val="0"/>
        <w:rPr>
          <w:rFonts w:hint="eastAsia"/>
        </w:rPr>
      </w:pPr>
      <w:r>
        <w:tab/>
      </w:r>
      <w:r>
        <w:rPr>
          <w:rFonts w:hint="eastAsia"/>
        </w:rPr>
        <w:t>464.</w:t>
      </w:r>
      <w:r>
        <w:t xml:space="preserve">  </w:t>
      </w:r>
      <w:r>
        <w:rPr>
          <w:rFonts w:hint="eastAsia"/>
          <w:u w:val="single"/>
        </w:rPr>
        <w:t>经济状况</w:t>
      </w:r>
      <w:r>
        <w:rPr>
          <w:rFonts w:hint="eastAsia"/>
        </w:rPr>
        <w:t>：随着经济状况的改善，行动受限的可能性会逐步缩小。经济状况的改善，吸烟和烹饪使用脂肪的可能性也会逐渐降低。不过，经济状况较好的人运动量低于平均水平。经济状况好的人与经济状况糟糕的人相比，妇女患肥胖症的可能性几乎高出一倍，男子则高出一倍。</w:t>
      </w:r>
    </w:p>
    <w:p w:rsidR="00000000" w:rsidRDefault="00000000">
      <w:pPr>
        <w:spacing w:after="240"/>
        <w:rPr>
          <w:rFonts w:hint="eastAsia"/>
        </w:rPr>
      </w:pPr>
      <w:r>
        <w:tab/>
      </w:r>
      <w:r>
        <w:rPr>
          <w:rFonts w:hint="eastAsia"/>
        </w:rPr>
        <w:t>465.</w:t>
      </w:r>
      <w:r>
        <w:t xml:space="preserve">  </w:t>
      </w:r>
      <w:r>
        <w:rPr>
          <w:rFonts w:hint="eastAsia"/>
          <w:u w:val="single"/>
        </w:rPr>
        <w:t>教育</w:t>
      </w:r>
      <w:r>
        <w:rPr>
          <w:rFonts w:hint="eastAsia"/>
        </w:rPr>
        <w:t>：在受过高等教育的人当中，患循环系统紊乱、心脏病和糖尿病的可能性较低。在年轻人</w:t>
      </w:r>
      <w:r>
        <w:rPr>
          <w:rFonts w:hint="eastAsia"/>
        </w:rPr>
        <w:t>(18-34</w:t>
      </w:r>
      <w:r>
        <w:rPr>
          <w:rFonts w:hint="eastAsia"/>
        </w:rPr>
        <w:t>岁</w:t>
      </w:r>
      <w:r>
        <w:rPr>
          <w:rFonts w:hint="eastAsia"/>
        </w:rPr>
        <w:t>)</w:t>
      </w:r>
      <w:r>
        <w:rPr>
          <w:rFonts w:hint="eastAsia"/>
        </w:rPr>
        <w:t>当中，受过高等教育者吸烟的可能性较低。在受过高等教育的人当中，妇女酗酒的可能性较大。</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全国健康十年方案</w:t>
      </w:r>
    </w:p>
    <w:p w:rsidR="00000000" w:rsidRDefault="00000000">
      <w:pPr>
        <w:rPr>
          <w:rFonts w:hint="eastAsia"/>
        </w:rPr>
      </w:pPr>
      <w:r>
        <w:tab/>
      </w:r>
      <w:r>
        <w:rPr>
          <w:rFonts w:hint="eastAsia"/>
        </w:rPr>
        <w:t>466.</w:t>
      </w:r>
      <w:r>
        <w:t xml:space="preserve">  </w:t>
      </w:r>
      <w:r>
        <w:rPr>
          <w:rFonts w:hint="eastAsia"/>
        </w:rPr>
        <w:t>2003</w:t>
      </w:r>
      <w:r>
        <w:rPr>
          <w:rFonts w:hint="eastAsia"/>
        </w:rPr>
        <w:t>年</w:t>
      </w:r>
      <w:r>
        <w:rPr>
          <w:rFonts w:hint="eastAsia"/>
        </w:rPr>
        <w:t>4</w:t>
      </w:r>
      <w:r>
        <w:rPr>
          <w:rFonts w:hint="eastAsia"/>
        </w:rPr>
        <w:t>月</w:t>
      </w:r>
      <w:r>
        <w:rPr>
          <w:rFonts w:hint="eastAsia"/>
        </w:rPr>
        <w:t>7</w:t>
      </w:r>
      <w:r>
        <w:rPr>
          <w:rFonts w:hint="eastAsia"/>
        </w:rPr>
        <w:t>日，国会第</w:t>
      </w:r>
      <w:r>
        <w:rPr>
          <w:rFonts w:hint="eastAsia"/>
        </w:rPr>
        <w:t>46/2003(IV</w:t>
      </w:r>
      <w:r>
        <w:t>.</w:t>
      </w:r>
      <w:r>
        <w:rPr>
          <w:rFonts w:hint="eastAsia"/>
        </w:rPr>
        <w:t>16</w:t>
      </w:r>
      <w:r>
        <w:t>.</w:t>
      </w:r>
      <w:r>
        <w:rPr>
          <w:rFonts w:hint="eastAsia"/>
        </w:rPr>
        <w:t>)</w:t>
      </w:r>
      <w:r>
        <w:rPr>
          <w:rFonts w:hint="eastAsia"/>
        </w:rPr>
        <w:t>号决议通过了《“</w:t>
      </w:r>
      <w:r>
        <w:t>Johan Béla</w:t>
      </w:r>
      <w:r>
        <w:rPr>
          <w:rFonts w:hint="eastAsia"/>
        </w:rPr>
        <w:t>”全国健康十年方案</w:t>
      </w:r>
      <w:r>
        <w:rPr>
          <w:rFonts w:ascii="SimSun" w:hAnsi="SimSun" w:hint="eastAsia"/>
        </w:rPr>
        <w:t>》</w:t>
      </w:r>
      <w:r>
        <w:rPr>
          <w:rFonts w:hint="eastAsia"/>
        </w:rPr>
        <w:t>，对增进民族健康的公共卫生方案作出更新和扩展。该方案为公共卫生行动提供了专业框架。在确定方案优先事项时，重点放在普遍所关切的最严重的健康问题上。增进社会劣势群体的机会，是优先考虑的问题。方案制定者研究了国内国际所采用的方法，考虑了有利方案执行的机会和成本效益问题。</w:t>
      </w:r>
    </w:p>
    <w:p w:rsidR="00000000" w:rsidRDefault="00000000">
      <w:pPr>
        <w:rPr>
          <w:rFonts w:hint="eastAsia"/>
        </w:rPr>
      </w:pPr>
      <w:r>
        <w:tab/>
      </w:r>
      <w:r>
        <w:rPr>
          <w:rFonts w:hint="eastAsia"/>
        </w:rPr>
        <w:t>467.</w:t>
      </w:r>
      <w:r>
        <w:t xml:space="preserve">  </w:t>
      </w:r>
      <w:r>
        <w:rPr>
          <w:rFonts w:hint="eastAsia"/>
        </w:rPr>
        <w:t>该方案的目的是通过弥补四方面的不足之处，改善普遍健康状况。政策特别关注以下问题：</w:t>
      </w:r>
    </w:p>
    <w:p w:rsidR="00000000" w:rsidRDefault="00000000">
      <w:pPr>
        <w:pStyle w:val="a"/>
        <w:ind w:left="1550"/>
        <w:rPr>
          <w:rFonts w:hint="eastAsia"/>
        </w:rPr>
      </w:pPr>
      <w:r>
        <w:rPr>
          <w:rFonts w:hint="eastAsia"/>
        </w:rPr>
        <w:t>青年人问题；</w:t>
      </w:r>
    </w:p>
    <w:p w:rsidR="00000000" w:rsidRDefault="00000000">
      <w:pPr>
        <w:pStyle w:val="a"/>
        <w:ind w:left="1550"/>
        <w:rPr>
          <w:rFonts w:hint="eastAsia"/>
        </w:rPr>
      </w:pPr>
      <w:r>
        <w:rPr>
          <w:rFonts w:hint="eastAsia"/>
        </w:rPr>
        <w:t>老年人的困难；</w:t>
      </w:r>
    </w:p>
    <w:p w:rsidR="00000000" w:rsidRDefault="00000000">
      <w:pPr>
        <w:pStyle w:val="a"/>
        <w:ind w:left="1550"/>
        <w:rPr>
          <w:rFonts w:hint="eastAsia"/>
        </w:rPr>
      </w:pPr>
      <w:r>
        <w:rPr>
          <w:rFonts w:hint="eastAsia"/>
        </w:rPr>
        <w:t>确保机会平等；和</w:t>
      </w:r>
    </w:p>
    <w:p w:rsidR="00000000" w:rsidRDefault="00000000">
      <w:pPr>
        <w:pStyle w:val="a"/>
        <w:ind w:left="1550"/>
        <w:rPr>
          <w:rFonts w:hint="eastAsia"/>
        </w:rPr>
      </w:pPr>
      <w:r>
        <w:rPr>
          <w:rFonts w:hint="eastAsia"/>
        </w:rPr>
        <w:t>创造有助于各行各业健康状况的环境。</w:t>
      </w:r>
    </w:p>
    <w:p w:rsidR="00000000" w:rsidRDefault="00000000">
      <w:pPr>
        <w:rPr>
          <w:rFonts w:hint="eastAsia"/>
        </w:rPr>
      </w:pPr>
      <w:r>
        <w:tab/>
      </w:r>
      <w:r>
        <w:rPr>
          <w:rFonts w:hint="eastAsia"/>
        </w:rPr>
        <w:t>468.</w:t>
      </w:r>
      <w:r>
        <w:t xml:space="preserve">  </w:t>
      </w:r>
      <w:r>
        <w:rPr>
          <w:rFonts w:hint="eastAsia"/>
        </w:rPr>
        <w:t>一个重要的目标是在全社会提倡开展初级预防工作。方案优先关注：</w:t>
      </w:r>
    </w:p>
    <w:p w:rsidR="00000000" w:rsidRDefault="00000000">
      <w:pPr>
        <w:pStyle w:val="a"/>
        <w:ind w:left="1550"/>
        <w:rPr>
          <w:rFonts w:hint="eastAsia"/>
        </w:rPr>
      </w:pPr>
      <w:r>
        <w:rPr>
          <w:rFonts w:hint="eastAsia"/>
        </w:rPr>
        <w:tab/>
      </w:r>
      <w:r>
        <w:rPr>
          <w:rFonts w:hint="eastAsia"/>
        </w:rPr>
        <w:t>减少烟草使用；</w:t>
      </w:r>
    </w:p>
    <w:p w:rsidR="00000000" w:rsidRDefault="00000000">
      <w:pPr>
        <w:pStyle w:val="a"/>
        <w:ind w:left="1550"/>
        <w:rPr>
          <w:rFonts w:hint="eastAsia"/>
        </w:rPr>
      </w:pPr>
      <w:r>
        <w:rPr>
          <w:rFonts w:hint="eastAsia"/>
        </w:rPr>
        <w:tab/>
      </w:r>
      <w:r>
        <w:rPr>
          <w:rFonts w:hint="eastAsia"/>
        </w:rPr>
        <w:t>防止酗酒和吸毒；</w:t>
      </w:r>
    </w:p>
    <w:p w:rsidR="00000000" w:rsidRDefault="00000000">
      <w:pPr>
        <w:pStyle w:val="a"/>
        <w:ind w:left="1550"/>
        <w:rPr>
          <w:rFonts w:hint="eastAsia"/>
        </w:rPr>
      </w:pPr>
      <w:r>
        <w:rPr>
          <w:rFonts w:hint="eastAsia"/>
        </w:rPr>
        <w:t>宣传健康营养习惯，加强食物安全；</w:t>
      </w:r>
    </w:p>
    <w:p w:rsidR="00000000" w:rsidRDefault="00000000">
      <w:pPr>
        <w:pStyle w:val="a"/>
        <w:ind w:left="1550"/>
        <w:rPr>
          <w:rFonts w:hint="eastAsia"/>
        </w:rPr>
      </w:pPr>
      <w:r>
        <w:rPr>
          <w:rFonts w:hint="eastAsia"/>
        </w:rPr>
        <w:t>促进体育活动和锻炼；</w:t>
      </w:r>
    </w:p>
    <w:p w:rsidR="00000000" w:rsidRDefault="00000000">
      <w:pPr>
        <w:pStyle w:val="a"/>
        <w:ind w:left="1550"/>
        <w:rPr>
          <w:rFonts w:hint="eastAsia"/>
        </w:rPr>
      </w:pPr>
      <w:r>
        <w:rPr>
          <w:rFonts w:hint="eastAsia"/>
        </w:rPr>
        <w:t>改善公共卫生和流行病学安全状况；以及</w:t>
      </w:r>
    </w:p>
    <w:p w:rsidR="00000000" w:rsidRDefault="00000000">
      <w:pPr>
        <w:pStyle w:val="a"/>
        <w:ind w:left="1550"/>
        <w:rPr>
          <w:rFonts w:hint="eastAsia"/>
        </w:rPr>
      </w:pPr>
      <w:r>
        <w:rPr>
          <w:rFonts w:hint="eastAsia"/>
        </w:rPr>
        <w:t>营造卫生的物质环境。</w:t>
      </w:r>
    </w:p>
    <w:p w:rsidR="00000000" w:rsidRDefault="00000000">
      <w:pPr>
        <w:rPr>
          <w:rFonts w:hint="eastAsia"/>
        </w:rPr>
      </w:pPr>
      <w:r>
        <w:tab/>
      </w:r>
      <w:r>
        <w:rPr>
          <w:rFonts w:hint="eastAsia"/>
        </w:rPr>
        <w:t>469.</w:t>
      </w:r>
      <w:r>
        <w:t xml:space="preserve">  </w:t>
      </w:r>
      <w:r>
        <w:rPr>
          <w:rFonts w:hint="eastAsia"/>
        </w:rPr>
        <w:t>必须采取措施防止过早死亡。还需采取其他措施预防疾病和残疾发病率的上升。优先解决的问题是：</w:t>
      </w:r>
    </w:p>
    <w:p w:rsidR="00000000" w:rsidRDefault="00000000">
      <w:pPr>
        <w:pStyle w:val="a"/>
        <w:ind w:left="1550"/>
        <w:rPr>
          <w:rFonts w:hint="eastAsia"/>
        </w:rPr>
      </w:pPr>
      <w:r>
        <w:rPr>
          <w:rFonts w:hint="eastAsia"/>
        </w:rPr>
        <w:tab/>
      </w:r>
      <w:r>
        <w:rPr>
          <w:rFonts w:hint="eastAsia"/>
        </w:rPr>
        <w:t>降低冠状动脉和脑血管疾病造成的死亡率；</w:t>
      </w:r>
    </w:p>
    <w:p w:rsidR="00000000" w:rsidRDefault="00000000">
      <w:pPr>
        <w:pStyle w:val="a"/>
        <w:ind w:left="1550"/>
        <w:rPr>
          <w:rFonts w:hint="eastAsia"/>
        </w:rPr>
      </w:pPr>
      <w:r>
        <w:rPr>
          <w:rFonts w:hint="eastAsia"/>
        </w:rPr>
        <w:t>结束和扭转肿瘤死亡率高发趋势；</w:t>
      </w:r>
    </w:p>
    <w:p w:rsidR="00000000" w:rsidRDefault="00000000">
      <w:pPr>
        <w:pStyle w:val="a"/>
        <w:ind w:left="1550"/>
        <w:rPr>
          <w:rFonts w:hint="eastAsia"/>
        </w:rPr>
      </w:pPr>
      <w:r>
        <w:rPr>
          <w:rFonts w:hint="eastAsia"/>
        </w:rPr>
        <w:t>改进精神健康领域的保护措施；</w:t>
      </w:r>
    </w:p>
    <w:p w:rsidR="00000000" w:rsidRDefault="00000000">
      <w:pPr>
        <w:pStyle w:val="a"/>
        <w:ind w:left="1550"/>
        <w:rPr>
          <w:rFonts w:hint="eastAsia"/>
        </w:rPr>
      </w:pPr>
      <w:r>
        <w:rPr>
          <w:rFonts w:hint="eastAsia"/>
        </w:rPr>
        <w:t>减少运动障碍和并发症；以及</w:t>
      </w:r>
    </w:p>
    <w:p w:rsidR="00000000" w:rsidRDefault="00000000">
      <w:pPr>
        <w:pStyle w:val="a"/>
        <w:ind w:left="1550"/>
        <w:rPr>
          <w:rFonts w:hint="eastAsia"/>
        </w:rPr>
      </w:pPr>
      <w:r>
        <w:rPr>
          <w:rFonts w:hint="eastAsia"/>
        </w:rPr>
        <w:t>预防艾滋病和其他性传染疾病。</w:t>
      </w:r>
    </w:p>
    <w:p w:rsidR="00000000" w:rsidRDefault="00000000">
      <w:pPr>
        <w:rPr>
          <w:rFonts w:hint="eastAsia"/>
        </w:rPr>
      </w:pPr>
      <w:r>
        <w:tab/>
      </w:r>
      <w:r>
        <w:rPr>
          <w:rFonts w:hint="eastAsia"/>
        </w:rPr>
        <w:t>470.</w:t>
      </w:r>
      <w:r>
        <w:t xml:space="preserve">  </w:t>
      </w:r>
      <w:r>
        <w:rPr>
          <w:rFonts w:hint="eastAsia"/>
        </w:rPr>
        <w:t>按照方案优先事项，还必须推进保健和公共卫生机构的联网：</w:t>
      </w:r>
    </w:p>
    <w:p w:rsidR="00000000" w:rsidRDefault="00000000">
      <w:pPr>
        <w:pStyle w:val="a0"/>
        <w:ind w:left="1550"/>
        <w:rPr>
          <w:rFonts w:hint="eastAsia"/>
        </w:rPr>
      </w:pPr>
      <w:r>
        <w:rPr>
          <w:rFonts w:hint="eastAsia"/>
        </w:rPr>
        <w:t>我国必须继续进行乳房</w:t>
      </w:r>
      <w:r>
        <w:rPr>
          <w:rFonts w:hint="eastAsia"/>
        </w:rPr>
        <w:t>X</w:t>
      </w:r>
      <w:r>
        <w:rPr>
          <w:rFonts w:hint="eastAsia"/>
        </w:rPr>
        <w:t>线照相检测，并采用列为公共卫生优先事项的其他检查手段；</w:t>
      </w:r>
    </w:p>
    <w:p w:rsidR="00000000" w:rsidRDefault="00000000">
      <w:pPr>
        <w:pStyle w:val="a0"/>
        <w:ind w:left="1550"/>
        <w:rPr>
          <w:rFonts w:hint="eastAsia"/>
        </w:rPr>
      </w:pPr>
      <w:r>
        <w:rPr>
          <w:rFonts w:hint="eastAsia"/>
        </w:rPr>
        <w:t>我国必须发展保健制度，以达到社会上最高健康水平。这意味着发展初级保健和加强与改进预防措施状况是最高优先事项；</w:t>
      </w:r>
    </w:p>
    <w:p w:rsidR="00000000" w:rsidRDefault="00000000">
      <w:pPr>
        <w:pStyle w:val="a0"/>
        <w:ind w:left="1550"/>
        <w:rPr>
          <w:rFonts w:hint="eastAsia"/>
        </w:rPr>
      </w:pPr>
      <w:r>
        <w:rPr>
          <w:rFonts w:hint="eastAsia"/>
        </w:rPr>
        <w:t>我国必须在错综复杂的公共保健领域逐步加强和集中努力，以便能够应对专业人员水平的合格及财政和组织资源方面的挑战；</w:t>
      </w:r>
    </w:p>
    <w:p w:rsidR="00000000" w:rsidRDefault="00000000">
      <w:pPr>
        <w:pStyle w:val="a0"/>
        <w:ind w:left="1550"/>
        <w:rPr>
          <w:rFonts w:hint="eastAsia"/>
        </w:rPr>
      </w:pPr>
      <w:r>
        <w:rPr>
          <w:rFonts w:hint="eastAsia"/>
        </w:rPr>
        <w:t>我国必须建立一个监督制度，不断监测方案的进展情况并根据需要修正航向。</w:t>
      </w:r>
    </w:p>
    <w:p w:rsidR="00000000" w:rsidRDefault="00000000">
      <w:pPr>
        <w:rPr>
          <w:rFonts w:hint="eastAsia"/>
        </w:rPr>
      </w:pPr>
      <w:r>
        <w:tab/>
      </w:r>
      <w:r>
        <w:rPr>
          <w:rFonts w:hint="eastAsia"/>
        </w:rPr>
        <w:t>471.</w:t>
      </w:r>
      <w:r>
        <w:t xml:space="preserve">  </w:t>
      </w:r>
      <w:r>
        <w:rPr>
          <w:rFonts w:hint="eastAsia"/>
        </w:rPr>
        <w:t>顺利实施该方案，将有助于国家和人民在广泛的领域中多重发展。展望未来十年，方案的预期</w:t>
      </w:r>
      <w:r>
        <w:rPr>
          <w:rFonts w:hint="eastAsia"/>
          <w:u w:val="single"/>
        </w:rPr>
        <w:t>社会效果</w:t>
      </w:r>
      <w:r>
        <w:rPr>
          <w:rFonts w:hint="eastAsia"/>
        </w:rPr>
        <w:t>可归纳如下：</w:t>
      </w:r>
    </w:p>
    <w:p w:rsidR="00000000" w:rsidRDefault="00000000">
      <w:pPr>
        <w:pStyle w:val="a"/>
        <w:ind w:left="1550"/>
        <w:rPr>
          <w:rFonts w:hint="eastAsia"/>
        </w:rPr>
      </w:pPr>
      <w:r>
        <w:rPr>
          <w:rFonts w:hint="eastAsia"/>
        </w:rPr>
        <w:t>男性平均出生预期寿命将至少提高至</w:t>
      </w:r>
      <w:r>
        <w:rPr>
          <w:rFonts w:hint="eastAsia"/>
        </w:rPr>
        <w:t>71</w:t>
      </w:r>
      <w:r>
        <w:rPr>
          <w:rFonts w:hint="eastAsia"/>
        </w:rPr>
        <w:t>岁，女性至少提高至</w:t>
      </w:r>
      <w:r>
        <w:rPr>
          <w:rFonts w:hint="eastAsia"/>
        </w:rPr>
        <w:t>79</w:t>
      </w:r>
      <w:r>
        <w:rPr>
          <w:rFonts w:hint="eastAsia"/>
        </w:rPr>
        <w:t>岁；</w:t>
      </w:r>
    </w:p>
    <w:p w:rsidR="00000000" w:rsidRDefault="00000000">
      <w:pPr>
        <w:pStyle w:val="a"/>
        <w:ind w:left="1550"/>
        <w:rPr>
          <w:rFonts w:hint="eastAsia"/>
        </w:rPr>
      </w:pPr>
      <w:r>
        <w:rPr>
          <w:rFonts w:hint="eastAsia"/>
        </w:rPr>
        <w:t>健康寿命年数将增加，一般生活质量将有所改进；</w:t>
      </w:r>
    </w:p>
    <w:p w:rsidR="00000000" w:rsidRDefault="00000000">
      <w:pPr>
        <w:pStyle w:val="a"/>
        <w:ind w:left="1550"/>
        <w:rPr>
          <w:rFonts w:hint="eastAsia"/>
        </w:rPr>
      </w:pPr>
      <w:r>
        <w:rPr>
          <w:rFonts w:hint="eastAsia"/>
        </w:rPr>
        <w:t>居民保健状况的不平等现象将会减少；</w:t>
      </w:r>
    </w:p>
    <w:p w:rsidR="00000000" w:rsidRDefault="00000000">
      <w:pPr>
        <w:pStyle w:val="a"/>
        <w:ind w:left="1550"/>
        <w:rPr>
          <w:rFonts w:hint="eastAsia"/>
        </w:rPr>
      </w:pPr>
      <w:r>
        <w:rPr>
          <w:rFonts w:hint="eastAsia"/>
        </w:rPr>
        <w:t>劣势社会阶层和主流社会在保健和福利方面的差距将有可能缩小；</w:t>
      </w:r>
    </w:p>
    <w:p w:rsidR="00000000" w:rsidRDefault="00000000">
      <w:pPr>
        <w:pStyle w:val="a"/>
        <w:ind w:left="1550"/>
        <w:rPr>
          <w:rFonts w:hint="eastAsia"/>
        </w:rPr>
      </w:pPr>
      <w:r>
        <w:rPr>
          <w:rFonts w:hint="eastAsia"/>
        </w:rPr>
        <w:t>健康的生活方式将成为全社会的生活模式，居民价值取向的先后次序以及他们的日常生活方式发生的变化将会反映出这一点；</w:t>
      </w:r>
    </w:p>
    <w:p w:rsidR="00000000" w:rsidRDefault="00000000">
      <w:pPr>
        <w:pStyle w:val="a"/>
        <w:ind w:left="1550"/>
        <w:rPr>
          <w:rFonts w:hint="eastAsia"/>
        </w:rPr>
      </w:pPr>
      <w:r>
        <w:rPr>
          <w:rFonts w:hint="eastAsia"/>
        </w:rPr>
        <w:t>社会部门间上下通力合作促进保健事业，并将成为一种常规；</w:t>
      </w:r>
    </w:p>
    <w:p w:rsidR="00000000" w:rsidRDefault="00000000">
      <w:pPr>
        <w:pStyle w:val="a"/>
        <w:ind w:left="1550"/>
        <w:rPr>
          <w:rFonts w:hint="eastAsia"/>
        </w:rPr>
      </w:pPr>
      <w:r>
        <w:rPr>
          <w:rFonts w:hint="eastAsia"/>
        </w:rPr>
        <w:t>在健康宣传方面的社区行动和非政府组织的作用将会得到加强。</w:t>
      </w:r>
    </w:p>
    <w:p w:rsidR="00000000" w:rsidRDefault="00000000">
      <w:pPr>
        <w:rPr>
          <w:rFonts w:hint="eastAsia"/>
        </w:rPr>
      </w:pPr>
      <w:r>
        <w:tab/>
      </w:r>
      <w:r>
        <w:rPr>
          <w:rFonts w:hint="eastAsia"/>
        </w:rPr>
        <w:t>472.</w:t>
      </w:r>
      <w:r>
        <w:t xml:space="preserve">  </w:t>
      </w:r>
      <w:r>
        <w:rPr>
          <w:rFonts w:hint="eastAsia"/>
        </w:rPr>
        <w:t>方案十年的</w:t>
      </w:r>
      <w:r>
        <w:rPr>
          <w:rFonts w:hint="eastAsia"/>
          <w:u w:val="single"/>
        </w:rPr>
        <w:t>专业效益</w:t>
      </w:r>
      <w:r>
        <w:rPr>
          <w:rFonts w:hint="eastAsia"/>
        </w:rPr>
        <w:t>可归纳如下：</w:t>
      </w:r>
    </w:p>
    <w:p w:rsidR="00000000" w:rsidRDefault="00000000">
      <w:pPr>
        <w:pStyle w:val="a"/>
        <w:ind w:left="1550"/>
        <w:rPr>
          <w:rFonts w:hint="eastAsia"/>
        </w:rPr>
      </w:pPr>
      <w:r>
        <w:rPr>
          <w:rFonts w:hint="eastAsia"/>
        </w:rPr>
        <w:t>可预防的死亡和过早死亡率，以及慢性非感染功能紊乱的早期症状将有所下降和减少；</w:t>
      </w:r>
    </w:p>
    <w:p w:rsidR="00000000" w:rsidRDefault="00000000">
      <w:pPr>
        <w:pStyle w:val="a"/>
        <w:ind w:left="1550"/>
        <w:rPr>
          <w:rFonts w:hint="eastAsia"/>
        </w:rPr>
      </w:pPr>
      <w:r>
        <w:rPr>
          <w:rFonts w:hint="eastAsia"/>
        </w:rPr>
        <w:t>作为方案目标的患者群体对治疗</w:t>
      </w:r>
      <w:r>
        <w:rPr>
          <w:rFonts w:hint="eastAsia"/>
        </w:rPr>
        <w:t>/</w:t>
      </w:r>
      <w:r>
        <w:rPr>
          <w:rFonts w:hint="eastAsia"/>
        </w:rPr>
        <w:t>护理的需要将有所减少，或需求重点转向年龄更大的患者群体；</w:t>
      </w:r>
    </w:p>
    <w:p w:rsidR="00000000" w:rsidRDefault="00000000">
      <w:pPr>
        <w:pStyle w:val="a"/>
        <w:ind w:left="1550"/>
        <w:rPr>
          <w:rFonts w:hint="eastAsia"/>
        </w:rPr>
      </w:pPr>
      <w:r>
        <w:rPr>
          <w:rFonts w:hint="eastAsia"/>
        </w:rPr>
        <w:t>地区和社会各方面在获得保健服务方面的不平等现象将会减少；</w:t>
      </w:r>
    </w:p>
    <w:p w:rsidR="00000000" w:rsidRDefault="00000000">
      <w:pPr>
        <w:pStyle w:val="a"/>
        <w:ind w:left="1550"/>
        <w:rPr>
          <w:rFonts w:hint="eastAsia"/>
        </w:rPr>
      </w:pPr>
      <w:r>
        <w:rPr>
          <w:rFonts w:hint="eastAsia"/>
        </w:rPr>
        <w:t>保健制度所提供的预防性服务将得到发展和改进；</w:t>
      </w:r>
    </w:p>
    <w:p w:rsidR="00000000" w:rsidRDefault="00000000">
      <w:pPr>
        <w:pStyle w:val="a"/>
        <w:ind w:left="1550"/>
        <w:rPr>
          <w:rFonts w:hint="eastAsia"/>
        </w:rPr>
      </w:pPr>
      <w:r>
        <w:rPr>
          <w:rFonts w:hint="eastAsia"/>
        </w:rPr>
        <w:t>保健的质量和成本效益将得到提高；</w:t>
      </w:r>
    </w:p>
    <w:p w:rsidR="00000000" w:rsidRDefault="00000000">
      <w:pPr>
        <w:pStyle w:val="a"/>
        <w:ind w:left="1550"/>
        <w:rPr>
          <w:rFonts w:hint="eastAsia"/>
        </w:rPr>
      </w:pPr>
      <w:r>
        <w:rPr>
          <w:rFonts w:hint="eastAsia"/>
        </w:rPr>
        <w:t>公共卫生机构系统将进行改造，以符合现代需求，并与欧盟规范接轨；</w:t>
      </w:r>
    </w:p>
    <w:p w:rsidR="00000000" w:rsidRDefault="00000000">
      <w:pPr>
        <w:pStyle w:val="a"/>
        <w:ind w:left="1550"/>
        <w:rPr>
          <w:rFonts w:hint="eastAsia"/>
        </w:rPr>
      </w:pPr>
      <w:r>
        <w:rPr>
          <w:rFonts w:hint="eastAsia"/>
        </w:rPr>
        <w:t>将加强与公共卫生有关的研究与教育。</w:t>
      </w:r>
    </w:p>
    <w:p w:rsidR="00000000" w:rsidRDefault="00000000">
      <w:pPr>
        <w:rPr>
          <w:rFonts w:hint="eastAsia"/>
        </w:rPr>
      </w:pPr>
      <w:r>
        <w:tab/>
      </w:r>
      <w:r>
        <w:rPr>
          <w:rFonts w:hint="eastAsia"/>
        </w:rPr>
        <w:t>473.</w:t>
      </w:r>
      <w:r>
        <w:t xml:space="preserve">  </w:t>
      </w:r>
      <w:r>
        <w:rPr>
          <w:rFonts w:hint="eastAsia"/>
        </w:rPr>
        <w:t>方案的长期</w:t>
      </w:r>
      <w:r>
        <w:rPr>
          <w:rFonts w:hint="eastAsia"/>
          <w:u w:val="single"/>
        </w:rPr>
        <w:t>经济效益</w:t>
      </w:r>
      <w:r>
        <w:rPr>
          <w:rFonts w:hint="eastAsia"/>
        </w:rPr>
        <w:t>如下：</w:t>
      </w:r>
    </w:p>
    <w:p w:rsidR="00000000" w:rsidRDefault="00000000">
      <w:pPr>
        <w:pStyle w:val="a"/>
        <w:ind w:left="1550"/>
        <w:rPr>
          <w:rFonts w:hint="eastAsia"/>
        </w:rPr>
      </w:pPr>
      <w:r>
        <w:rPr>
          <w:rFonts w:hint="eastAsia"/>
        </w:rPr>
        <w:t>方案在提高人力资源质量方面的投资，将对可持续经济增长产生有利的外溢效应；</w:t>
      </w:r>
    </w:p>
    <w:p w:rsidR="00000000" w:rsidRDefault="00000000">
      <w:pPr>
        <w:pStyle w:val="a"/>
        <w:ind w:left="1550"/>
        <w:rPr>
          <w:rFonts w:hint="eastAsia"/>
        </w:rPr>
      </w:pPr>
      <w:r>
        <w:rPr>
          <w:rFonts w:hint="eastAsia"/>
        </w:rPr>
        <w:t>将提高劳动力的素质、效率和竞争力；</w:t>
      </w:r>
    </w:p>
    <w:p w:rsidR="00000000" w:rsidRDefault="00000000">
      <w:pPr>
        <w:pStyle w:val="a"/>
        <w:ind w:left="1550"/>
        <w:rPr>
          <w:rFonts w:hint="eastAsia"/>
        </w:rPr>
      </w:pPr>
      <w:r>
        <w:rPr>
          <w:rFonts w:hint="eastAsia"/>
        </w:rPr>
        <w:t>新的资源和储备将通过部门间的合作调动起来；</w:t>
      </w:r>
    </w:p>
    <w:p w:rsidR="00000000" w:rsidRDefault="00000000">
      <w:pPr>
        <w:pStyle w:val="a"/>
        <w:ind w:left="1550"/>
        <w:rPr>
          <w:rFonts w:hint="eastAsia"/>
        </w:rPr>
      </w:pPr>
      <w:r>
        <w:rPr>
          <w:rFonts w:hint="eastAsia"/>
        </w:rPr>
        <w:t>有益于健康的产品和服务的市场扩大；</w:t>
      </w:r>
    </w:p>
    <w:p w:rsidR="00000000" w:rsidRDefault="00000000">
      <w:pPr>
        <w:pStyle w:val="a"/>
        <w:ind w:left="1550"/>
        <w:rPr>
          <w:rFonts w:hint="eastAsia"/>
        </w:rPr>
      </w:pPr>
      <w:r>
        <w:rPr>
          <w:rFonts w:hint="eastAsia"/>
        </w:rPr>
        <w:t>方案将为大大推动生活水平普遍提高。</w:t>
      </w:r>
    </w:p>
    <w:p w:rsidR="00000000" w:rsidRDefault="00000000">
      <w:pPr>
        <w:spacing w:after="240"/>
        <w:rPr>
          <w:rFonts w:hint="eastAsia"/>
        </w:rPr>
      </w:pPr>
      <w:r>
        <w:tab/>
      </w:r>
      <w:r>
        <w:rPr>
          <w:rFonts w:hint="eastAsia"/>
        </w:rPr>
        <w:t>474.</w:t>
      </w:r>
      <w:r>
        <w:t xml:space="preserve">  </w:t>
      </w:r>
      <w:r>
        <w:rPr>
          <w:rFonts w:hint="eastAsia"/>
        </w:rPr>
        <w:t>顺利实施该方案，是改善公共福利、创造长期机会和促进全国可持续经济增长的一个决定要素。开展以人为本的合作，就必须使健康成为生活各个领域的一个基本价值观念。我们必须达成一个基点，即对于所采取的每一项行动，无论是不是政治、政府、社会、经济行动，甚或是媒体引发的行动，评判的标准都应当是它应有助于增进个人健康和整个匈牙利社会的健康。我国公民必须感到社会和政府在为他们提供一切可能的援助，帮助他们保持身体健康，他们的分内工作则是负责地利用这一大好时机。</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划拨保健系统的开支款</w:t>
      </w:r>
    </w:p>
    <w:p w:rsidR="00000000" w:rsidRDefault="00000000">
      <w:pPr>
        <w:spacing w:after="160"/>
      </w:pPr>
      <w:r>
        <w:tab/>
      </w:r>
      <w:r>
        <w:rPr>
          <w:rFonts w:hint="eastAsia"/>
        </w:rPr>
        <w:t>475.</w:t>
      </w:r>
      <w:r>
        <w:t xml:space="preserve">  </w:t>
      </w:r>
      <w:r>
        <w:rPr>
          <w:rFonts w:hint="eastAsia"/>
        </w:rPr>
        <w:t>划拨整个保健系统的开支款为人均</w:t>
      </w:r>
      <w:r>
        <w:rPr>
          <w:rFonts w:hint="eastAsia"/>
        </w:rPr>
        <w:t>705</w:t>
      </w:r>
      <w:r>
        <w:rPr>
          <w:rFonts w:hint="eastAsia"/>
        </w:rPr>
        <w:t>美元。根据卫生组织的统计，</w:t>
      </w:r>
      <w:r>
        <w:rPr>
          <w:rFonts w:hint="eastAsia"/>
        </w:rPr>
        <w:t>1995-1998</w:t>
      </w:r>
      <w:r>
        <w:rPr>
          <w:rFonts w:hint="eastAsia"/>
        </w:rPr>
        <w:t>年间，匈牙利将其国内生产总值的</w:t>
      </w:r>
      <w:r>
        <w:rPr>
          <w:rFonts w:hint="eastAsia"/>
        </w:rPr>
        <w:t>6.5-7%</w:t>
      </w:r>
      <w:r>
        <w:rPr>
          <w:rFonts w:hint="eastAsia"/>
        </w:rPr>
        <w:t>用于保健事业。除国家预算给予的支助外，值得一提的还有自愿卫生基金和互助保险基金，两者的成员人数都在大幅度地增长。基金的重要数据表列如下：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2"/>
        <w:gridCol w:w="1882"/>
        <w:gridCol w:w="1882"/>
        <w:gridCol w:w="1882"/>
        <w:gridCol w:w="1882"/>
      </w:tblGrid>
      <w:tr w:rsidR="00000000">
        <w:tblPrEx>
          <w:tblCellMar>
            <w:top w:w="0" w:type="dxa"/>
            <w:bottom w:w="0" w:type="dxa"/>
          </w:tblCellMar>
        </w:tblPrEx>
        <w:tc>
          <w:tcPr>
            <w:tcW w:w="1882" w:type="dxa"/>
          </w:tcPr>
          <w:p w:rsidR="00000000" w:rsidRDefault="00000000">
            <w:pPr>
              <w:pStyle w:val="a2"/>
              <w:spacing w:line="360" w:lineRule="exact"/>
              <w:jc w:val="center"/>
              <w:rPr>
                <w:rFonts w:ascii="Time New Roman" w:eastAsia="SimHei" w:hAnsi="Time New Roman" w:hint="eastAsia"/>
                <w:sz w:val="24"/>
              </w:rPr>
            </w:pPr>
            <w:r>
              <w:rPr>
                <w:rFonts w:ascii="Time New Roman" w:eastAsia="SimHei" w:hAnsi="Time New Roman" w:hint="eastAsia"/>
                <w:sz w:val="24"/>
              </w:rPr>
              <w:t>种</w:t>
            </w:r>
            <w:r>
              <w:rPr>
                <w:rFonts w:ascii="Time New Roman" w:eastAsia="SimHei" w:hAnsi="Time New Roman"/>
                <w:sz w:val="24"/>
              </w:rPr>
              <w:t xml:space="preserve">  </w:t>
            </w:r>
            <w:r>
              <w:rPr>
                <w:rFonts w:ascii="Time New Roman" w:eastAsia="SimHei" w:hAnsi="Time New Roman" w:hint="eastAsia"/>
                <w:sz w:val="24"/>
              </w:rPr>
              <w:t>类</w:t>
            </w:r>
          </w:p>
        </w:tc>
        <w:tc>
          <w:tcPr>
            <w:tcW w:w="1882" w:type="dxa"/>
          </w:tcPr>
          <w:p w:rsidR="00000000" w:rsidRDefault="00000000">
            <w:pPr>
              <w:pStyle w:val="a2"/>
              <w:spacing w:line="360" w:lineRule="exact"/>
              <w:jc w:val="center"/>
              <w:rPr>
                <w:rFonts w:ascii="Time New Roman" w:eastAsia="SimHei" w:hAnsi="Time New Roman" w:hint="eastAsia"/>
                <w:sz w:val="24"/>
              </w:rPr>
            </w:pPr>
            <w:r>
              <w:rPr>
                <w:rFonts w:ascii="Time New Roman" w:eastAsia="SimHei" w:hAnsi="Time New Roman" w:hint="eastAsia"/>
                <w:b/>
                <w:sz w:val="24"/>
              </w:rPr>
              <w:t>2000</w:t>
            </w:r>
            <w:r>
              <w:rPr>
                <w:rFonts w:ascii="Time New Roman" w:eastAsia="SimHei" w:hAnsi="Time New Roman" w:hint="eastAsia"/>
                <w:sz w:val="24"/>
              </w:rPr>
              <w:t>年成员人数</w:t>
            </w:r>
            <w:r>
              <w:rPr>
                <w:rFonts w:ascii="Time New Roman" w:eastAsia="SimHei" w:hAnsi="Time New Roman" w:hint="eastAsia"/>
                <w:sz w:val="24"/>
              </w:rPr>
              <w:t>(</w:t>
            </w:r>
            <w:r>
              <w:rPr>
                <w:rFonts w:ascii="Time New Roman" w:eastAsia="SimHei" w:hAnsi="Time New Roman" w:hint="eastAsia"/>
                <w:sz w:val="24"/>
              </w:rPr>
              <w:t>人</w:t>
            </w:r>
            <w:r>
              <w:rPr>
                <w:rFonts w:ascii="Time New Roman" w:eastAsia="SimHei" w:hAnsi="Time New Roman" w:hint="eastAsia"/>
                <w:sz w:val="24"/>
              </w:rPr>
              <w:t>)</w:t>
            </w:r>
          </w:p>
        </w:tc>
        <w:tc>
          <w:tcPr>
            <w:tcW w:w="1882" w:type="dxa"/>
          </w:tcPr>
          <w:p w:rsidR="00000000" w:rsidRDefault="00000000">
            <w:pPr>
              <w:pStyle w:val="a2"/>
              <w:spacing w:line="360" w:lineRule="exact"/>
              <w:jc w:val="center"/>
              <w:rPr>
                <w:rFonts w:ascii="Time New Roman" w:eastAsia="SimHei" w:hAnsi="Time New Roman" w:hint="eastAsia"/>
                <w:sz w:val="24"/>
              </w:rPr>
            </w:pPr>
            <w:r>
              <w:rPr>
                <w:rFonts w:ascii="Time New Roman" w:eastAsia="SimHei" w:hAnsi="Time New Roman" w:hint="eastAsia"/>
                <w:b/>
                <w:sz w:val="24"/>
              </w:rPr>
              <w:t>2000</w:t>
            </w:r>
            <w:r>
              <w:rPr>
                <w:rFonts w:ascii="Time New Roman" w:eastAsia="SimHei" w:hAnsi="Time New Roman" w:hint="eastAsia"/>
                <w:sz w:val="24"/>
              </w:rPr>
              <w:t>年的服务</w:t>
            </w:r>
            <w:r>
              <w:rPr>
                <w:rFonts w:ascii="Time New Roman" w:eastAsia="SimHei" w:hAnsi="Time New Roman"/>
                <w:sz w:val="24"/>
              </w:rPr>
              <w:br/>
            </w:r>
            <w:r>
              <w:rPr>
                <w:rFonts w:ascii="Time New Roman" w:eastAsia="SimHei" w:hAnsi="Time New Roman" w:hint="eastAsia"/>
                <w:sz w:val="24"/>
              </w:rPr>
              <w:t>(</w:t>
            </w:r>
            <w:r>
              <w:rPr>
                <w:rFonts w:ascii="Time New Roman" w:eastAsia="SimHei" w:hAnsi="Time New Roman" w:hint="eastAsia"/>
                <w:sz w:val="24"/>
              </w:rPr>
              <w:t>百万福林</w:t>
            </w:r>
            <w:r>
              <w:rPr>
                <w:rFonts w:ascii="Time New Roman" w:eastAsia="SimHei" w:hAnsi="Time New Roman" w:hint="eastAsia"/>
                <w:sz w:val="24"/>
              </w:rPr>
              <w:t>)</w:t>
            </w:r>
          </w:p>
        </w:tc>
        <w:tc>
          <w:tcPr>
            <w:tcW w:w="1882" w:type="dxa"/>
          </w:tcPr>
          <w:p w:rsidR="00000000" w:rsidRDefault="00000000">
            <w:pPr>
              <w:pStyle w:val="a2"/>
              <w:spacing w:line="360" w:lineRule="exact"/>
              <w:jc w:val="center"/>
              <w:rPr>
                <w:rFonts w:ascii="Time New Roman" w:eastAsia="SimHei" w:hAnsi="Time New Roman" w:hint="eastAsia"/>
                <w:sz w:val="24"/>
              </w:rPr>
            </w:pPr>
            <w:r>
              <w:rPr>
                <w:rFonts w:ascii="Time New Roman" w:eastAsia="SimHei" w:hAnsi="Time New Roman" w:hint="eastAsia"/>
                <w:b/>
                <w:sz w:val="24"/>
              </w:rPr>
              <w:t>2002</w:t>
            </w:r>
            <w:r>
              <w:rPr>
                <w:rFonts w:ascii="Time New Roman" w:eastAsia="SimHei" w:hAnsi="Time New Roman" w:hint="eastAsia"/>
                <w:sz w:val="24"/>
              </w:rPr>
              <w:t>年成员人数</w:t>
            </w:r>
            <w:r>
              <w:rPr>
                <w:rFonts w:ascii="Time New Roman" w:eastAsia="SimHei" w:hAnsi="Time New Roman" w:hint="eastAsia"/>
                <w:sz w:val="24"/>
              </w:rPr>
              <w:t>(</w:t>
            </w:r>
            <w:r>
              <w:rPr>
                <w:rFonts w:ascii="Time New Roman" w:eastAsia="SimHei" w:hAnsi="Time New Roman" w:hint="eastAsia"/>
                <w:sz w:val="24"/>
              </w:rPr>
              <w:t>人</w:t>
            </w:r>
            <w:r>
              <w:rPr>
                <w:rFonts w:ascii="Time New Roman" w:eastAsia="SimHei" w:hAnsi="Time New Roman" w:hint="eastAsia"/>
                <w:sz w:val="24"/>
              </w:rPr>
              <w:t>)</w:t>
            </w:r>
          </w:p>
        </w:tc>
        <w:tc>
          <w:tcPr>
            <w:tcW w:w="1882" w:type="dxa"/>
          </w:tcPr>
          <w:p w:rsidR="00000000" w:rsidRDefault="00000000">
            <w:pPr>
              <w:pStyle w:val="a2"/>
              <w:spacing w:line="360" w:lineRule="exact"/>
              <w:jc w:val="center"/>
              <w:rPr>
                <w:rFonts w:ascii="Time New Roman" w:eastAsia="SimHei" w:hAnsi="Time New Roman" w:hint="eastAsia"/>
                <w:sz w:val="24"/>
              </w:rPr>
            </w:pPr>
            <w:r>
              <w:rPr>
                <w:rFonts w:ascii="Time New Roman" w:eastAsia="SimHei" w:hAnsi="Time New Roman" w:hint="eastAsia"/>
                <w:b/>
                <w:sz w:val="24"/>
              </w:rPr>
              <w:t>2002</w:t>
            </w:r>
            <w:r>
              <w:rPr>
                <w:rFonts w:ascii="Time New Roman" w:eastAsia="SimHei" w:hAnsi="Time New Roman" w:hint="eastAsia"/>
                <w:sz w:val="24"/>
              </w:rPr>
              <w:t>年的服务</w:t>
            </w:r>
            <w:r>
              <w:rPr>
                <w:rFonts w:ascii="Time New Roman" w:eastAsia="SimHei" w:hAnsi="Time New Roman"/>
                <w:sz w:val="24"/>
              </w:rPr>
              <w:br/>
            </w:r>
            <w:r>
              <w:rPr>
                <w:rFonts w:ascii="Time New Roman" w:eastAsia="SimHei" w:hAnsi="Time New Roman" w:hint="eastAsia"/>
                <w:sz w:val="24"/>
              </w:rPr>
              <w:t>(</w:t>
            </w:r>
            <w:r>
              <w:rPr>
                <w:rFonts w:ascii="Time New Roman" w:eastAsia="SimHei" w:hAnsi="Time New Roman" w:hint="eastAsia"/>
                <w:sz w:val="24"/>
              </w:rPr>
              <w:t>百万福林</w:t>
            </w:r>
            <w:r>
              <w:rPr>
                <w:rFonts w:ascii="Time New Roman" w:eastAsia="SimHei" w:hAnsi="Time New Roman" w:hint="eastAsia"/>
                <w:sz w:val="24"/>
              </w:rPr>
              <w:t>)</w:t>
            </w:r>
          </w:p>
        </w:tc>
      </w:tr>
      <w:tr w:rsidR="00000000">
        <w:tblPrEx>
          <w:tblCellMar>
            <w:top w:w="0" w:type="dxa"/>
            <w:bottom w:w="0" w:type="dxa"/>
          </w:tblCellMar>
        </w:tblPrEx>
        <w:tc>
          <w:tcPr>
            <w:tcW w:w="1882" w:type="dxa"/>
          </w:tcPr>
          <w:p w:rsidR="00000000" w:rsidRDefault="00000000">
            <w:pPr>
              <w:pStyle w:val="a2"/>
              <w:spacing w:line="360" w:lineRule="exact"/>
              <w:rPr>
                <w:rFonts w:ascii="Time New Roman" w:eastAsia="SimHei" w:hAnsi="Time New Roman" w:hint="eastAsia"/>
                <w:sz w:val="24"/>
              </w:rPr>
            </w:pPr>
            <w:r>
              <w:rPr>
                <w:rFonts w:ascii="Time New Roman" w:eastAsia="SimHei" w:hAnsi="Time New Roman" w:hint="eastAsia"/>
                <w:sz w:val="24"/>
              </w:rPr>
              <w:t>自愿卫生基金</w:t>
            </w:r>
          </w:p>
        </w:tc>
        <w:tc>
          <w:tcPr>
            <w:tcW w:w="1882" w:type="dxa"/>
          </w:tcPr>
          <w:p w:rsidR="00000000" w:rsidRDefault="00000000">
            <w:pPr>
              <w:pStyle w:val="a2"/>
              <w:spacing w:line="360" w:lineRule="exact"/>
              <w:jc w:val="center"/>
              <w:rPr>
                <w:rFonts w:hint="eastAsia"/>
                <w:sz w:val="24"/>
              </w:rPr>
            </w:pPr>
            <w:r>
              <w:rPr>
                <w:rFonts w:hint="eastAsia"/>
                <w:sz w:val="24"/>
              </w:rPr>
              <w:t>71</w:t>
            </w:r>
            <w:r>
              <w:rPr>
                <w:sz w:val="24"/>
              </w:rPr>
              <w:t>,</w:t>
            </w:r>
            <w:r>
              <w:rPr>
                <w:rFonts w:hint="eastAsia"/>
                <w:sz w:val="24"/>
              </w:rPr>
              <w:t>600</w:t>
            </w:r>
          </w:p>
        </w:tc>
        <w:tc>
          <w:tcPr>
            <w:tcW w:w="1882" w:type="dxa"/>
          </w:tcPr>
          <w:p w:rsidR="00000000" w:rsidRDefault="00000000">
            <w:pPr>
              <w:pStyle w:val="a2"/>
              <w:spacing w:line="360" w:lineRule="exact"/>
              <w:jc w:val="center"/>
              <w:rPr>
                <w:rFonts w:hint="eastAsia"/>
                <w:sz w:val="24"/>
              </w:rPr>
            </w:pPr>
            <w:r>
              <w:rPr>
                <w:rFonts w:hint="eastAsia"/>
                <w:sz w:val="24"/>
              </w:rPr>
              <w:t>1</w:t>
            </w:r>
            <w:r>
              <w:rPr>
                <w:sz w:val="24"/>
              </w:rPr>
              <w:t>,</w:t>
            </w:r>
            <w:r>
              <w:rPr>
                <w:rFonts w:hint="eastAsia"/>
                <w:sz w:val="24"/>
              </w:rPr>
              <w:t>728</w:t>
            </w:r>
          </w:p>
        </w:tc>
        <w:tc>
          <w:tcPr>
            <w:tcW w:w="1882" w:type="dxa"/>
          </w:tcPr>
          <w:p w:rsidR="00000000" w:rsidRDefault="00000000">
            <w:pPr>
              <w:pStyle w:val="a2"/>
              <w:spacing w:line="360" w:lineRule="exact"/>
              <w:jc w:val="center"/>
              <w:rPr>
                <w:rFonts w:hint="eastAsia"/>
                <w:sz w:val="24"/>
              </w:rPr>
            </w:pPr>
            <w:r>
              <w:rPr>
                <w:rFonts w:hint="eastAsia"/>
                <w:sz w:val="24"/>
              </w:rPr>
              <w:t>150</w:t>
            </w:r>
            <w:r>
              <w:rPr>
                <w:sz w:val="24"/>
              </w:rPr>
              <w:t>,</w:t>
            </w:r>
            <w:r>
              <w:rPr>
                <w:rFonts w:hint="eastAsia"/>
                <w:sz w:val="24"/>
              </w:rPr>
              <w:t>500</w:t>
            </w:r>
          </w:p>
        </w:tc>
        <w:tc>
          <w:tcPr>
            <w:tcW w:w="1882" w:type="dxa"/>
          </w:tcPr>
          <w:p w:rsidR="00000000" w:rsidRDefault="00000000">
            <w:pPr>
              <w:pStyle w:val="a2"/>
              <w:spacing w:line="360" w:lineRule="exact"/>
              <w:jc w:val="center"/>
              <w:rPr>
                <w:rFonts w:hint="eastAsia"/>
                <w:sz w:val="24"/>
              </w:rPr>
            </w:pPr>
            <w:r>
              <w:rPr>
                <w:rFonts w:hint="eastAsia"/>
                <w:sz w:val="24"/>
              </w:rPr>
              <w:t>5</w:t>
            </w:r>
            <w:r>
              <w:rPr>
                <w:sz w:val="24"/>
              </w:rPr>
              <w:t>,</w:t>
            </w:r>
            <w:r>
              <w:rPr>
                <w:rFonts w:hint="eastAsia"/>
                <w:sz w:val="24"/>
              </w:rPr>
              <w:t>511</w:t>
            </w:r>
          </w:p>
        </w:tc>
      </w:tr>
      <w:tr w:rsidR="00000000">
        <w:tblPrEx>
          <w:tblCellMar>
            <w:top w:w="0" w:type="dxa"/>
            <w:bottom w:w="0" w:type="dxa"/>
          </w:tblCellMar>
        </w:tblPrEx>
        <w:tc>
          <w:tcPr>
            <w:tcW w:w="1882" w:type="dxa"/>
          </w:tcPr>
          <w:p w:rsidR="00000000" w:rsidRDefault="00000000">
            <w:pPr>
              <w:pStyle w:val="a2"/>
              <w:spacing w:line="360" w:lineRule="exact"/>
              <w:rPr>
                <w:rFonts w:ascii="Time New Roman" w:eastAsia="SimHei" w:hAnsi="Time New Roman" w:hint="eastAsia"/>
                <w:sz w:val="24"/>
              </w:rPr>
            </w:pPr>
            <w:r>
              <w:rPr>
                <w:rFonts w:ascii="Time New Roman" w:eastAsia="SimHei" w:hAnsi="Time New Roman" w:hint="eastAsia"/>
                <w:sz w:val="24"/>
              </w:rPr>
              <w:t>互助基金</w:t>
            </w:r>
          </w:p>
        </w:tc>
        <w:tc>
          <w:tcPr>
            <w:tcW w:w="1882" w:type="dxa"/>
          </w:tcPr>
          <w:p w:rsidR="00000000" w:rsidRDefault="00000000">
            <w:pPr>
              <w:pStyle w:val="a2"/>
              <w:spacing w:line="360" w:lineRule="exact"/>
              <w:jc w:val="center"/>
              <w:rPr>
                <w:rFonts w:hint="eastAsia"/>
                <w:sz w:val="24"/>
              </w:rPr>
            </w:pPr>
            <w:r>
              <w:rPr>
                <w:rFonts w:hint="eastAsia"/>
                <w:sz w:val="24"/>
              </w:rPr>
              <w:t>60</w:t>
            </w:r>
            <w:r>
              <w:rPr>
                <w:sz w:val="24"/>
              </w:rPr>
              <w:t>,</w:t>
            </w:r>
            <w:r>
              <w:rPr>
                <w:rFonts w:hint="eastAsia"/>
                <w:sz w:val="24"/>
              </w:rPr>
              <w:t>500</w:t>
            </w:r>
          </w:p>
        </w:tc>
        <w:tc>
          <w:tcPr>
            <w:tcW w:w="1882" w:type="dxa"/>
          </w:tcPr>
          <w:p w:rsidR="00000000" w:rsidRDefault="00000000">
            <w:pPr>
              <w:pStyle w:val="a2"/>
              <w:spacing w:line="360" w:lineRule="exact"/>
              <w:jc w:val="center"/>
              <w:rPr>
                <w:rFonts w:hint="eastAsia"/>
                <w:sz w:val="24"/>
              </w:rPr>
            </w:pPr>
            <w:r>
              <w:rPr>
                <w:rFonts w:hint="eastAsia"/>
                <w:sz w:val="24"/>
              </w:rPr>
              <w:t>2</w:t>
            </w:r>
            <w:r>
              <w:rPr>
                <w:sz w:val="24"/>
              </w:rPr>
              <w:t>,</w:t>
            </w:r>
            <w:r>
              <w:rPr>
                <w:rFonts w:hint="eastAsia"/>
                <w:sz w:val="24"/>
              </w:rPr>
              <w:t>887</w:t>
            </w:r>
          </w:p>
        </w:tc>
        <w:tc>
          <w:tcPr>
            <w:tcW w:w="1882" w:type="dxa"/>
          </w:tcPr>
          <w:p w:rsidR="00000000" w:rsidRDefault="00000000">
            <w:pPr>
              <w:pStyle w:val="a2"/>
              <w:spacing w:line="360" w:lineRule="exact"/>
              <w:jc w:val="center"/>
              <w:rPr>
                <w:rFonts w:hint="eastAsia"/>
                <w:sz w:val="24"/>
              </w:rPr>
            </w:pPr>
            <w:r>
              <w:rPr>
                <w:rFonts w:hint="eastAsia"/>
                <w:sz w:val="24"/>
              </w:rPr>
              <w:t>76</w:t>
            </w:r>
            <w:r>
              <w:rPr>
                <w:sz w:val="24"/>
              </w:rPr>
              <w:t>,</w:t>
            </w:r>
            <w:r>
              <w:rPr>
                <w:rFonts w:hint="eastAsia"/>
                <w:sz w:val="24"/>
              </w:rPr>
              <w:t>100</w:t>
            </w:r>
          </w:p>
        </w:tc>
        <w:tc>
          <w:tcPr>
            <w:tcW w:w="1882" w:type="dxa"/>
          </w:tcPr>
          <w:p w:rsidR="00000000" w:rsidRDefault="00000000">
            <w:pPr>
              <w:pStyle w:val="a2"/>
              <w:spacing w:line="360" w:lineRule="exact"/>
              <w:jc w:val="center"/>
              <w:rPr>
                <w:rFonts w:hint="eastAsia"/>
                <w:sz w:val="24"/>
              </w:rPr>
            </w:pPr>
            <w:r>
              <w:rPr>
                <w:rFonts w:hint="eastAsia"/>
                <w:sz w:val="24"/>
              </w:rPr>
              <w:t>2</w:t>
            </w:r>
            <w:r>
              <w:rPr>
                <w:sz w:val="24"/>
              </w:rPr>
              <w:t>,</w:t>
            </w:r>
            <w:r>
              <w:rPr>
                <w:rFonts w:hint="eastAsia"/>
                <w:sz w:val="24"/>
              </w:rPr>
              <w:t>509</w:t>
            </w:r>
          </w:p>
        </w:tc>
      </w:tr>
    </w:tbl>
    <w:p w:rsidR="00000000" w:rsidRDefault="00000000">
      <w:pPr>
        <w:spacing w:before="160" w:after="240"/>
        <w:rPr>
          <w:rFonts w:eastAsia="KaiTi_GB2312" w:hint="eastAsia"/>
          <w:snapToGrid/>
          <w:spacing w:val="0"/>
        </w:rPr>
      </w:pPr>
      <w:r>
        <w:rPr>
          <w:rFonts w:eastAsia="KaiTi_GB2312"/>
          <w:snapToGrid/>
          <w:spacing w:val="0"/>
        </w:rPr>
        <w:tab/>
      </w:r>
      <w:r>
        <w:rPr>
          <w:rFonts w:eastAsia="KaiTi_GB2312" w:hint="eastAsia"/>
          <w:snapToGrid/>
          <w:spacing w:val="0"/>
          <w:u w:val="single"/>
        </w:rPr>
        <w:t>资料来源</w:t>
      </w:r>
      <w:r>
        <w:rPr>
          <w:rFonts w:eastAsia="KaiTi_GB2312" w:hint="eastAsia"/>
          <w:snapToGrid/>
          <w:spacing w:val="0"/>
        </w:rPr>
        <w:t>：财政部</w:t>
      </w:r>
    </w:p>
    <w:p w:rsidR="00000000" w:rsidRDefault="00000000">
      <w:pPr>
        <w:pStyle w:val="Heading4"/>
        <w:rPr>
          <w:rFonts w:hint="eastAsia"/>
        </w:rPr>
      </w:pPr>
      <w:r>
        <w:rPr>
          <w:rFonts w:hint="eastAsia"/>
        </w:rPr>
        <w:t>出生人数和出生率</w:t>
      </w:r>
    </w:p>
    <w:p w:rsidR="00000000" w:rsidRDefault="00000000">
      <w:pPr>
        <w:spacing w:after="320"/>
        <w:rPr>
          <w:rFonts w:hint="eastAsia"/>
        </w:rPr>
      </w:pPr>
      <w:r>
        <w:tab/>
      </w:r>
      <w:r>
        <w:rPr>
          <w:rFonts w:hint="eastAsia"/>
        </w:rPr>
        <w:t>476.</w:t>
      </w:r>
      <w:r>
        <w:t xml:space="preserve">  </w:t>
      </w:r>
      <w:r>
        <w:rPr>
          <w:rFonts w:hint="eastAsia"/>
        </w:rPr>
        <w:t>2002</w:t>
      </w:r>
      <w:r>
        <w:rPr>
          <w:rFonts w:hint="eastAsia"/>
        </w:rPr>
        <w:t>年的出生人数为</w:t>
      </w:r>
      <w:r>
        <w:rPr>
          <w:rFonts w:hint="eastAsia"/>
        </w:rPr>
        <w:t>96</w:t>
      </w:r>
      <w:r>
        <w:t>,</w:t>
      </w:r>
      <w:r>
        <w:rPr>
          <w:rFonts w:hint="eastAsia"/>
        </w:rPr>
        <w:t>804</w:t>
      </w:r>
      <w:r>
        <w:rPr>
          <w:rFonts w:hint="eastAsia"/>
        </w:rPr>
        <w:t>人，与</w:t>
      </w:r>
      <w:r>
        <w:rPr>
          <w:rFonts w:hint="eastAsia"/>
        </w:rPr>
        <w:t>2001</w:t>
      </w:r>
      <w:r>
        <w:rPr>
          <w:rFonts w:hint="eastAsia"/>
        </w:rPr>
        <w:t>年出生人数几乎持平</w:t>
      </w:r>
      <w:r>
        <w:rPr>
          <w:rFonts w:hint="eastAsia"/>
        </w:rPr>
        <w:t>(</w:t>
      </w:r>
      <w:r>
        <w:rPr>
          <w:rFonts w:hint="eastAsia"/>
        </w:rPr>
        <w:t>少</w:t>
      </w:r>
      <w:r>
        <w:rPr>
          <w:rFonts w:hint="eastAsia"/>
        </w:rPr>
        <w:t>243</w:t>
      </w:r>
      <w:r>
        <w:rPr>
          <w:rFonts w:hint="eastAsia"/>
        </w:rPr>
        <w:t>人</w:t>
      </w:r>
      <w:r>
        <w:rPr>
          <w:rFonts w:hint="eastAsia"/>
        </w:rPr>
        <w:t>)</w:t>
      </w:r>
      <w:r>
        <w:rPr>
          <w:rFonts w:hint="eastAsia"/>
        </w:rPr>
        <w:t>。每</w:t>
      </w:r>
      <w:r>
        <w:rPr>
          <w:rFonts w:hint="eastAsia"/>
        </w:rPr>
        <w:t>1000</w:t>
      </w:r>
      <w:r>
        <w:rPr>
          <w:rFonts w:hint="eastAsia"/>
        </w:rPr>
        <w:t>居民的出生率为</w:t>
      </w:r>
      <w:r>
        <w:rPr>
          <w:rFonts w:hint="eastAsia"/>
        </w:rPr>
        <w:t>9.05</w:t>
      </w:r>
      <w:r>
        <w:rPr>
          <w:rFonts w:hint="eastAsia"/>
        </w:rPr>
        <w:t>，与前几年相比没有变化。早产率</w:t>
      </w:r>
      <w:r>
        <w:rPr>
          <w:rFonts w:hint="eastAsia"/>
        </w:rPr>
        <w:t>(</w:t>
      </w:r>
      <w:r>
        <w:rPr>
          <w:rFonts w:hint="eastAsia"/>
        </w:rPr>
        <w:t>低于</w:t>
      </w:r>
      <w:r>
        <w:rPr>
          <w:rFonts w:hint="eastAsia"/>
        </w:rPr>
        <w:t>2500</w:t>
      </w:r>
      <w:r>
        <w:rPr>
          <w:rFonts w:hint="eastAsia"/>
        </w:rPr>
        <w:t>克</w:t>
      </w:r>
      <w:r>
        <w:rPr>
          <w:rFonts w:hint="eastAsia"/>
        </w:rPr>
        <w:t>)</w:t>
      </w:r>
      <w:r>
        <w:rPr>
          <w:rFonts w:hint="eastAsia"/>
        </w:rPr>
        <w:t>在</w:t>
      </w:r>
      <w:r>
        <w:rPr>
          <w:rFonts w:hint="eastAsia"/>
        </w:rPr>
        <w:t>1995</w:t>
      </w:r>
      <w:r>
        <w:rPr>
          <w:rFonts w:hint="eastAsia"/>
        </w:rPr>
        <w:t>年之前持续下降。不过，这一趋势现已停止，</w:t>
      </w:r>
      <w:r>
        <w:rPr>
          <w:rFonts w:hint="eastAsia"/>
        </w:rPr>
        <w:t>1995</w:t>
      </w:r>
      <w:r>
        <w:rPr>
          <w:rFonts w:hint="eastAsia"/>
        </w:rPr>
        <w:t>年早产率为</w:t>
      </w:r>
      <w:r>
        <w:rPr>
          <w:rFonts w:hint="eastAsia"/>
        </w:rPr>
        <w:t>8.2%</w:t>
      </w:r>
      <w:r>
        <w:rPr>
          <w:rFonts w:hint="eastAsia"/>
        </w:rPr>
        <w:t>，自那以来变化不大，事实上，还有略微上升的趋势</w:t>
      </w:r>
      <w:r>
        <w:rPr>
          <w:rFonts w:hint="eastAsia"/>
        </w:rPr>
        <w:t>(1998</w:t>
      </w:r>
      <w:r>
        <w:rPr>
          <w:rFonts w:hint="eastAsia"/>
        </w:rPr>
        <w:t>年：</w:t>
      </w:r>
      <w:r>
        <w:rPr>
          <w:rFonts w:hint="eastAsia"/>
        </w:rPr>
        <w:t>8.3%</w:t>
      </w:r>
      <w:r>
        <w:rPr>
          <w:rFonts w:hint="eastAsia"/>
        </w:rPr>
        <w:t>，</w:t>
      </w:r>
      <w:r>
        <w:rPr>
          <w:rFonts w:hint="eastAsia"/>
        </w:rPr>
        <w:t>2000</w:t>
      </w:r>
      <w:r>
        <w:rPr>
          <w:rFonts w:hint="eastAsia"/>
        </w:rPr>
        <w:t>年：</w:t>
      </w:r>
      <w:r>
        <w:rPr>
          <w:rFonts w:hint="eastAsia"/>
        </w:rPr>
        <w:t>8.4%</w:t>
      </w:r>
      <w:r>
        <w:rPr>
          <w:rFonts w:hint="eastAsia"/>
        </w:rPr>
        <w:t>，</w:t>
      </w:r>
      <w:r>
        <w:rPr>
          <w:rFonts w:hint="eastAsia"/>
        </w:rPr>
        <w:t>2002</w:t>
      </w:r>
      <w:r>
        <w:rPr>
          <w:rFonts w:hint="eastAsia"/>
        </w:rPr>
        <w:t>年，</w:t>
      </w:r>
      <w:r>
        <w:rPr>
          <w:rFonts w:hint="eastAsia"/>
        </w:rPr>
        <w:t>8.5%)</w:t>
      </w:r>
      <w:r>
        <w:rPr>
          <w:rFonts w:hint="eastAsia"/>
        </w:rPr>
        <w:t>。匈牙利的早产率高于</w:t>
      </w:r>
      <w:r>
        <w:rPr>
          <w:rFonts w:hint="eastAsia"/>
        </w:rPr>
        <w:t>8%</w:t>
      </w:r>
      <w:r>
        <w:rPr>
          <w:rFonts w:hint="eastAsia"/>
        </w:rPr>
        <w:t>，与国际水平相比不算很好。</w:t>
      </w:r>
    </w:p>
    <w:p w:rsidR="00000000" w:rsidRDefault="00000000">
      <w:pPr>
        <w:pStyle w:val="Heading3"/>
        <w:rPr>
          <w:rFonts w:hint="eastAsia"/>
        </w:rPr>
      </w:pPr>
      <w:r>
        <w:br w:type="page"/>
      </w:r>
      <w:r>
        <w:rPr>
          <w:rFonts w:hint="eastAsia"/>
        </w:rPr>
        <w:t>出生人数和出生率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493"/>
        <w:gridCol w:w="986"/>
        <w:gridCol w:w="986"/>
        <w:gridCol w:w="986"/>
        <w:gridCol w:w="986"/>
        <w:gridCol w:w="986"/>
        <w:gridCol w:w="987"/>
      </w:tblGrid>
      <w:tr w:rsidR="00000000">
        <w:tblPrEx>
          <w:tblCellMar>
            <w:top w:w="0" w:type="dxa"/>
            <w:bottom w:w="0" w:type="dxa"/>
          </w:tblCellMar>
        </w:tblPrEx>
        <w:tc>
          <w:tcPr>
            <w:tcW w:w="3493" w:type="dxa"/>
          </w:tcPr>
          <w:p w:rsidR="00000000" w:rsidRDefault="00000000">
            <w:pPr>
              <w:pStyle w:val="a2"/>
              <w:spacing w:line="360" w:lineRule="exact"/>
              <w:rPr>
                <w:b/>
                <w:bCs/>
              </w:rPr>
            </w:pPr>
          </w:p>
        </w:tc>
        <w:tc>
          <w:tcPr>
            <w:tcW w:w="986" w:type="dxa"/>
          </w:tcPr>
          <w:p w:rsidR="00000000" w:rsidRDefault="00000000">
            <w:pPr>
              <w:pStyle w:val="a2"/>
              <w:spacing w:line="360" w:lineRule="exact"/>
              <w:jc w:val="center"/>
              <w:rPr>
                <w:rFonts w:hint="eastAsia"/>
                <w:b/>
                <w:bCs/>
              </w:rPr>
            </w:pPr>
            <w:r>
              <w:rPr>
                <w:rFonts w:hint="eastAsia"/>
                <w:b/>
                <w:bCs/>
              </w:rPr>
              <w:t>1970</w:t>
            </w:r>
          </w:p>
        </w:tc>
        <w:tc>
          <w:tcPr>
            <w:tcW w:w="986" w:type="dxa"/>
          </w:tcPr>
          <w:p w:rsidR="00000000" w:rsidRDefault="00000000">
            <w:pPr>
              <w:pStyle w:val="a2"/>
              <w:spacing w:line="360" w:lineRule="exact"/>
              <w:jc w:val="center"/>
              <w:rPr>
                <w:rFonts w:hint="eastAsia"/>
                <w:b/>
                <w:bCs/>
              </w:rPr>
            </w:pPr>
            <w:r>
              <w:rPr>
                <w:rFonts w:hint="eastAsia"/>
                <w:b/>
                <w:bCs/>
              </w:rPr>
              <w:t>1980</w:t>
            </w:r>
          </w:p>
        </w:tc>
        <w:tc>
          <w:tcPr>
            <w:tcW w:w="986" w:type="dxa"/>
          </w:tcPr>
          <w:p w:rsidR="00000000" w:rsidRDefault="00000000">
            <w:pPr>
              <w:pStyle w:val="a2"/>
              <w:spacing w:line="360" w:lineRule="exact"/>
              <w:jc w:val="center"/>
              <w:rPr>
                <w:rFonts w:hint="eastAsia"/>
                <w:b/>
                <w:bCs/>
              </w:rPr>
            </w:pPr>
            <w:r>
              <w:rPr>
                <w:rFonts w:hint="eastAsia"/>
                <w:b/>
                <w:bCs/>
              </w:rPr>
              <w:t>1990</w:t>
            </w:r>
          </w:p>
        </w:tc>
        <w:tc>
          <w:tcPr>
            <w:tcW w:w="986" w:type="dxa"/>
          </w:tcPr>
          <w:p w:rsidR="00000000" w:rsidRDefault="00000000">
            <w:pPr>
              <w:pStyle w:val="a2"/>
              <w:spacing w:line="360" w:lineRule="exact"/>
              <w:jc w:val="center"/>
              <w:rPr>
                <w:rFonts w:hint="eastAsia"/>
                <w:b/>
                <w:bCs/>
              </w:rPr>
            </w:pPr>
            <w:r>
              <w:rPr>
                <w:rFonts w:hint="eastAsia"/>
                <w:b/>
                <w:bCs/>
              </w:rPr>
              <w:t>2000</w:t>
            </w:r>
          </w:p>
        </w:tc>
        <w:tc>
          <w:tcPr>
            <w:tcW w:w="986" w:type="dxa"/>
          </w:tcPr>
          <w:p w:rsidR="00000000" w:rsidRDefault="00000000">
            <w:pPr>
              <w:pStyle w:val="a2"/>
              <w:spacing w:line="360" w:lineRule="exact"/>
              <w:jc w:val="center"/>
              <w:rPr>
                <w:rFonts w:hint="eastAsia"/>
                <w:b/>
                <w:bCs/>
              </w:rPr>
            </w:pPr>
            <w:r>
              <w:rPr>
                <w:rFonts w:hint="eastAsia"/>
                <w:b/>
                <w:bCs/>
              </w:rPr>
              <w:t>2001</w:t>
            </w:r>
          </w:p>
        </w:tc>
        <w:tc>
          <w:tcPr>
            <w:tcW w:w="987" w:type="dxa"/>
          </w:tcPr>
          <w:p w:rsidR="00000000" w:rsidRDefault="00000000">
            <w:pPr>
              <w:pStyle w:val="a2"/>
              <w:spacing w:line="360" w:lineRule="exact"/>
              <w:jc w:val="center"/>
              <w:rPr>
                <w:rFonts w:hint="eastAsia"/>
                <w:b/>
                <w:bCs/>
              </w:rPr>
            </w:pPr>
            <w:r>
              <w:rPr>
                <w:rFonts w:hint="eastAsia"/>
                <w:b/>
                <w:bCs/>
              </w:rPr>
              <w:t>2002</w:t>
            </w:r>
          </w:p>
        </w:tc>
      </w:tr>
      <w:tr w:rsidR="00000000">
        <w:tblPrEx>
          <w:tblCellMar>
            <w:top w:w="0" w:type="dxa"/>
            <w:bottom w:w="0" w:type="dxa"/>
          </w:tblCellMar>
        </w:tblPrEx>
        <w:tc>
          <w:tcPr>
            <w:tcW w:w="3493" w:type="dxa"/>
          </w:tcPr>
          <w:p w:rsidR="00000000" w:rsidRDefault="00000000">
            <w:pPr>
              <w:pStyle w:val="a2"/>
              <w:spacing w:line="360" w:lineRule="exact"/>
              <w:rPr>
                <w:rFonts w:hint="eastAsia"/>
              </w:rPr>
            </w:pPr>
            <w:r>
              <w:rPr>
                <w:rFonts w:hint="eastAsia"/>
              </w:rPr>
              <w:t>活产胎儿数</w:t>
            </w:r>
          </w:p>
        </w:tc>
        <w:tc>
          <w:tcPr>
            <w:tcW w:w="986" w:type="dxa"/>
          </w:tcPr>
          <w:p w:rsidR="00000000" w:rsidRDefault="00000000">
            <w:pPr>
              <w:pStyle w:val="a2"/>
              <w:spacing w:line="360" w:lineRule="exact"/>
              <w:jc w:val="center"/>
              <w:rPr>
                <w:rFonts w:hint="eastAsia"/>
              </w:rPr>
            </w:pPr>
            <w:r>
              <w:rPr>
                <w:rFonts w:hint="eastAsia"/>
              </w:rPr>
              <w:t>151</w:t>
            </w:r>
            <w:r>
              <w:t>,</w:t>
            </w:r>
            <w:r>
              <w:rPr>
                <w:rFonts w:hint="eastAsia"/>
              </w:rPr>
              <w:t>819</w:t>
            </w:r>
          </w:p>
        </w:tc>
        <w:tc>
          <w:tcPr>
            <w:tcW w:w="986" w:type="dxa"/>
          </w:tcPr>
          <w:p w:rsidR="00000000" w:rsidRDefault="00000000">
            <w:pPr>
              <w:pStyle w:val="a2"/>
              <w:spacing w:line="360" w:lineRule="exact"/>
              <w:jc w:val="center"/>
              <w:rPr>
                <w:rFonts w:hint="eastAsia"/>
              </w:rPr>
            </w:pPr>
            <w:r>
              <w:rPr>
                <w:rFonts w:hint="eastAsia"/>
              </w:rPr>
              <w:t>148</w:t>
            </w:r>
            <w:r>
              <w:t>,</w:t>
            </w:r>
            <w:r>
              <w:rPr>
                <w:rFonts w:hint="eastAsia"/>
              </w:rPr>
              <w:t>673</w:t>
            </w:r>
          </w:p>
        </w:tc>
        <w:tc>
          <w:tcPr>
            <w:tcW w:w="986" w:type="dxa"/>
          </w:tcPr>
          <w:p w:rsidR="00000000" w:rsidRDefault="00000000">
            <w:pPr>
              <w:pStyle w:val="a2"/>
              <w:spacing w:line="360" w:lineRule="exact"/>
              <w:jc w:val="center"/>
              <w:rPr>
                <w:rFonts w:hint="eastAsia"/>
              </w:rPr>
            </w:pPr>
            <w:r>
              <w:rPr>
                <w:rFonts w:hint="eastAsia"/>
              </w:rPr>
              <w:t>125</w:t>
            </w:r>
            <w:r>
              <w:t>,</w:t>
            </w:r>
            <w:r>
              <w:rPr>
                <w:rFonts w:hint="eastAsia"/>
              </w:rPr>
              <w:t>679</w:t>
            </w:r>
          </w:p>
        </w:tc>
        <w:tc>
          <w:tcPr>
            <w:tcW w:w="986" w:type="dxa"/>
          </w:tcPr>
          <w:p w:rsidR="00000000" w:rsidRDefault="00000000">
            <w:pPr>
              <w:pStyle w:val="a2"/>
              <w:spacing w:line="360" w:lineRule="exact"/>
              <w:jc w:val="center"/>
              <w:rPr>
                <w:rFonts w:hint="eastAsia"/>
              </w:rPr>
            </w:pPr>
            <w:r>
              <w:rPr>
                <w:rFonts w:hint="eastAsia"/>
              </w:rPr>
              <w:t>97</w:t>
            </w:r>
            <w:r>
              <w:t>,</w:t>
            </w:r>
            <w:r>
              <w:rPr>
                <w:rFonts w:hint="eastAsia"/>
              </w:rPr>
              <w:t>597</w:t>
            </w:r>
          </w:p>
        </w:tc>
        <w:tc>
          <w:tcPr>
            <w:tcW w:w="986" w:type="dxa"/>
          </w:tcPr>
          <w:p w:rsidR="00000000" w:rsidRDefault="00000000">
            <w:pPr>
              <w:pStyle w:val="a2"/>
              <w:spacing w:line="360" w:lineRule="exact"/>
              <w:jc w:val="center"/>
              <w:rPr>
                <w:rFonts w:hint="eastAsia"/>
              </w:rPr>
            </w:pPr>
            <w:r>
              <w:rPr>
                <w:rFonts w:hint="eastAsia"/>
              </w:rPr>
              <w:t>97</w:t>
            </w:r>
            <w:r>
              <w:t>,</w:t>
            </w:r>
            <w:r>
              <w:rPr>
                <w:rFonts w:hint="eastAsia"/>
              </w:rPr>
              <w:t>047</w:t>
            </w:r>
          </w:p>
        </w:tc>
        <w:tc>
          <w:tcPr>
            <w:tcW w:w="987" w:type="dxa"/>
          </w:tcPr>
          <w:p w:rsidR="00000000" w:rsidRDefault="00000000">
            <w:pPr>
              <w:pStyle w:val="a2"/>
              <w:spacing w:line="360" w:lineRule="exact"/>
              <w:jc w:val="center"/>
              <w:rPr>
                <w:rFonts w:hint="eastAsia"/>
              </w:rPr>
            </w:pPr>
            <w:r>
              <w:rPr>
                <w:rFonts w:hint="eastAsia"/>
              </w:rPr>
              <w:t>96</w:t>
            </w:r>
            <w:r>
              <w:t>,</w:t>
            </w:r>
            <w:r>
              <w:rPr>
                <w:rFonts w:hint="eastAsia"/>
              </w:rPr>
              <w:t>804</w:t>
            </w:r>
          </w:p>
        </w:tc>
      </w:tr>
      <w:tr w:rsidR="00000000">
        <w:tblPrEx>
          <w:tblCellMar>
            <w:top w:w="0" w:type="dxa"/>
            <w:bottom w:w="0" w:type="dxa"/>
          </w:tblCellMar>
        </w:tblPrEx>
        <w:tc>
          <w:tcPr>
            <w:tcW w:w="3493" w:type="dxa"/>
          </w:tcPr>
          <w:p w:rsidR="00000000" w:rsidRDefault="00000000">
            <w:pPr>
              <w:pStyle w:val="a2"/>
              <w:spacing w:line="360" w:lineRule="exact"/>
              <w:rPr>
                <w:rFonts w:hint="eastAsia"/>
              </w:rPr>
            </w:pPr>
            <w:r>
              <w:rPr>
                <w:rFonts w:hint="eastAsia"/>
              </w:rPr>
              <w:t>每</w:t>
            </w:r>
            <w:r>
              <w:rPr>
                <w:rFonts w:hint="eastAsia"/>
              </w:rPr>
              <w:t>1000</w:t>
            </w:r>
            <w:r>
              <w:rPr>
                <w:rFonts w:hint="eastAsia"/>
              </w:rPr>
              <w:t>人活产率</w:t>
            </w:r>
          </w:p>
        </w:tc>
        <w:tc>
          <w:tcPr>
            <w:tcW w:w="986" w:type="dxa"/>
          </w:tcPr>
          <w:p w:rsidR="00000000" w:rsidRDefault="00000000">
            <w:pPr>
              <w:pStyle w:val="a2"/>
              <w:spacing w:line="360" w:lineRule="exact"/>
              <w:jc w:val="center"/>
              <w:rPr>
                <w:rFonts w:hint="eastAsia"/>
              </w:rPr>
            </w:pPr>
            <w:r>
              <w:rPr>
                <w:rFonts w:hint="eastAsia"/>
              </w:rPr>
              <w:t>14.7</w:t>
            </w:r>
          </w:p>
        </w:tc>
        <w:tc>
          <w:tcPr>
            <w:tcW w:w="986" w:type="dxa"/>
          </w:tcPr>
          <w:p w:rsidR="00000000" w:rsidRDefault="00000000">
            <w:pPr>
              <w:pStyle w:val="a2"/>
              <w:spacing w:line="360" w:lineRule="exact"/>
              <w:jc w:val="center"/>
              <w:rPr>
                <w:rFonts w:hint="eastAsia"/>
              </w:rPr>
            </w:pPr>
            <w:r>
              <w:rPr>
                <w:rFonts w:hint="eastAsia"/>
              </w:rPr>
              <w:t>13.9</w:t>
            </w:r>
          </w:p>
        </w:tc>
        <w:tc>
          <w:tcPr>
            <w:tcW w:w="986" w:type="dxa"/>
          </w:tcPr>
          <w:p w:rsidR="00000000" w:rsidRDefault="00000000">
            <w:pPr>
              <w:pStyle w:val="a2"/>
              <w:spacing w:line="360" w:lineRule="exact"/>
              <w:jc w:val="center"/>
              <w:rPr>
                <w:rFonts w:hint="eastAsia"/>
              </w:rPr>
            </w:pPr>
            <w:r>
              <w:rPr>
                <w:rFonts w:hint="eastAsia"/>
              </w:rPr>
              <w:t>12.1</w:t>
            </w:r>
          </w:p>
        </w:tc>
        <w:tc>
          <w:tcPr>
            <w:tcW w:w="986" w:type="dxa"/>
          </w:tcPr>
          <w:p w:rsidR="00000000" w:rsidRDefault="00000000">
            <w:pPr>
              <w:pStyle w:val="a2"/>
              <w:spacing w:line="360" w:lineRule="exact"/>
              <w:jc w:val="center"/>
              <w:rPr>
                <w:rFonts w:hint="eastAsia"/>
              </w:rPr>
            </w:pPr>
            <w:r>
              <w:rPr>
                <w:rFonts w:hint="eastAsia"/>
              </w:rPr>
              <w:t>9.6</w:t>
            </w:r>
          </w:p>
        </w:tc>
        <w:tc>
          <w:tcPr>
            <w:tcW w:w="986" w:type="dxa"/>
          </w:tcPr>
          <w:p w:rsidR="00000000" w:rsidRDefault="00000000">
            <w:pPr>
              <w:pStyle w:val="a2"/>
              <w:spacing w:line="360" w:lineRule="exact"/>
              <w:jc w:val="center"/>
              <w:rPr>
                <w:rFonts w:hint="eastAsia"/>
              </w:rPr>
            </w:pPr>
            <w:r>
              <w:rPr>
                <w:rFonts w:hint="eastAsia"/>
              </w:rPr>
              <w:t>9.5</w:t>
            </w:r>
          </w:p>
        </w:tc>
        <w:tc>
          <w:tcPr>
            <w:tcW w:w="987" w:type="dxa"/>
          </w:tcPr>
          <w:p w:rsidR="00000000" w:rsidRDefault="00000000">
            <w:pPr>
              <w:pStyle w:val="a2"/>
              <w:spacing w:line="360" w:lineRule="exact"/>
              <w:jc w:val="center"/>
              <w:rPr>
                <w:rFonts w:hint="eastAsia"/>
              </w:rPr>
            </w:pPr>
            <w:r>
              <w:rPr>
                <w:rFonts w:hint="eastAsia"/>
              </w:rPr>
              <w:t>9.5</w:t>
            </w:r>
          </w:p>
        </w:tc>
      </w:tr>
      <w:tr w:rsidR="00000000">
        <w:tblPrEx>
          <w:tblCellMar>
            <w:top w:w="0" w:type="dxa"/>
            <w:bottom w:w="0" w:type="dxa"/>
          </w:tblCellMar>
        </w:tblPrEx>
        <w:tc>
          <w:tcPr>
            <w:tcW w:w="3493" w:type="dxa"/>
          </w:tcPr>
          <w:p w:rsidR="00000000" w:rsidRDefault="00000000">
            <w:pPr>
              <w:pStyle w:val="a2"/>
              <w:spacing w:line="360" w:lineRule="exact"/>
              <w:rPr>
                <w:rFonts w:hint="eastAsia"/>
              </w:rPr>
            </w:pPr>
            <w:r>
              <w:rPr>
                <w:rFonts w:hint="eastAsia"/>
              </w:rPr>
              <w:t>2500</w:t>
            </w:r>
            <w:r>
              <w:rPr>
                <w:rFonts w:hint="eastAsia"/>
              </w:rPr>
              <w:t>克以下活产胎儿比率</w:t>
            </w:r>
            <w:r>
              <w:rPr>
                <w:rFonts w:hint="eastAsia"/>
              </w:rPr>
              <w:t>(%)</w:t>
            </w:r>
          </w:p>
        </w:tc>
        <w:tc>
          <w:tcPr>
            <w:tcW w:w="986" w:type="dxa"/>
          </w:tcPr>
          <w:p w:rsidR="00000000" w:rsidRDefault="00000000">
            <w:pPr>
              <w:pStyle w:val="a2"/>
              <w:spacing w:line="360" w:lineRule="exact"/>
              <w:jc w:val="center"/>
              <w:rPr>
                <w:rFonts w:hint="eastAsia"/>
              </w:rPr>
            </w:pPr>
            <w:r>
              <w:rPr>
                <w:rFonts w:hint="eastAsia"/>
              </w:rPr>
              <w:t>10.7</w:t>
            </w:r>
          </w:p>
        </w:tc>
        <w:tc>
          <w:tcPr>
            <w:tcW w:w="986" w:type="dxa"/>
          </w:tcPr>
          <w:p w:rsidR="00000000" w:rsidRDefault="00000000">
            <w:pPr>
              <w:pStyle w:val="a2"/>
              <w:spacing w:line="360" w:lineRule="exact"/>
              <w:jc w:val="center"/>
              <w:rPr>
                <w:rFonts w:hint="eastAsia"/>
              </w:rPr>
            </w:pPr>
            <w:r>
              <w:rPr>
                <w:rFonts w:hint="eastAsia"/>
              </w:rPr>
              <w:t>10.4</w:t>
            </w:r>
          </w:p>
        </w:tc>
        <w:tc>
          <w:tcPr>
            <w:tcW w:w="986" w:type="dxa"/>
          </w:tcPr>
          <w:p w:rsidR="00000000" w:rsidRDefault="00000000">
            <w:pPr>
              <w:pStyle w:val="a2"/>
              <w:spacing w:line="360" w:lineRule="exact"/>
              <w:jc w:val="center"/>
              <w:rPr>
                <w:rFonts w:hint="eastAsia"/>
              </w:rPr>
            </w:pPr>
            <w:r>
              <w:rPr>
                <w:rFonts w:hint="eastAsia"/>
              </w:rPr>
              <w:t>9.3</w:t>
            </w:r>
          </w:p>
        </w:tc>
        <w:tc>
          <w:tcPr>
            <w:tcW w:w="986" w:type="dxa"/>
          </w:tcPr>
          <w:p w:rsidR="00000000" w:rsidRDefault="00000000">
            <w:pPr>
              <w:pStyle w:val="a2"/>
              <w:spacing w:line="360" w:lineRule="exact"/>
              <w:jc w:val="center"/>
              <w:rPr>
                <w:rFonts w:hint="eastAsia"/>
              </w:rPr>
            </w:pPr>
            <w:r>
              <w:rPr>
                <w:rFonts w:hint="eastAsia"/>
              </w:rPr>
              <w:t>8.4</w:t>
            </w:r>
          </w:p>
        </w:tc>
        <w:tc>
          <w:tcPr>
            <w:tcW w:w="986" w:type="dxa"/>
          </w:tcPr>
          <w:p w:rsidR="00000000" w:rsidRDefault="00000000">
            <w:pPr>
              <w:pStyle w:val="a2"/>
              <w:spacing w:line="360" w:lineRule="exact"/>
              <w:jc w:val="center"/>
              <w:rPr>
                <w:rFonts w:hint="eastAsia"/>
              </w:rPr>
            </w:pPr>
            <w:r>
              <w:rPr>
                <w:rFonts w:hint="eastAsia"/>
              </w:rPr>
              <w:t>8.5</w:t>
            </w:r>
          </w:p>
        </w:tc>
        <w:tc>
          <w:tcPr>
            <w:tcW w:w="987" w:type="dxa"/>
          </w:tcPr>
          <w:p w:rsidR="00000000" w:rsidRDefault="00000000">
            <w:pPr>
              <w:pStyle w:val="a2"/>
              <w:spacing w:line="360" w:lineRule="exact"/>
              <w:jc w:val="center"/>
              <w:rPr>
                <w:rFonts w:hint="eastAsia"/>
              </w:rPr>
            </w:pPr>
            <w:r>
              <w:rPr>
                <w:rFonts w:hint="eastAsia"/>
              </w:rPr>
              <w:t>8.5</w:t>
            </w:r>
          </w:p>
        </w:tc>
      </w:tr>
      <w:tr w:rsidR="00000000">
        <w:tblPrEx>
          <w:tblCellMar>
            <w:top w:w="0" w:type="dxa"/>
            <w:bottom w:w="0" w:type="dxa"/>
          </w:tblCellMar>
        </w:tblPrEx>
        <w:tc>
          <w:tcPr>
            <w:tcW w:w="3493" w:type="dxa"/>
          </w:tcPr>
          <w:p w:rsidR="00000000" w:rsidRDefault="00000000">
            <w:pPr>
              <w:pStyle w:val="a2"/>
              <w:spacing w:line="360" w:lineRule="exact"/>
              <w:rPr>
                <w:rFonts w:hint="eastAsia"/>
              </w:rPr>
            </w:pPr>
            <w:r>
              <w:rPr>
                <w:rFonts w:hint="eastAsia"/>
              </w:rPr>
              <w:t>临产死胎数</w:t>
            </w:r>
          </w:p>
        </w:tc>
        <w:tc>
          <w:tcPr>
            <w:tcW w:w="986" w:type="dxa"/>
          </w:tcPr>
          <w:p w:rsidR="00000000" w:rsidRDefault="00000000">
            <w:pPr>
              <w:pStyle w:val="a2"/>
              <w:spacing w:line="360" w:lineRule="exact"/>
              <w:jc w:val="center"/>
              <w:rPr>
                <w:rFonts w:hint="eastAsia"/>
              </w:rPr>
            </w:pPr>
            <w:r>
              <w:rPr>
                <w:rFonts w:hint="eastAsia"/>
              </w:rPr>
              <w:t>1</w:t>
            </w:r>
            <w:r>
              <w:t>,</w:t>
            </w:r>
            <w:r>
              <w:rPr>
                <w:rFonts w:hint="eastAsia"/>
              </w:rPr>
              <w:t>520</w:t>
            </w:r>
          </w:p>
        </w:tc>
        <w:tc>
          <w:tcPr>
            <w:tcW w:w="986" w:type="dxa"/>
          </w:tcPr>
          <w:p w:rsidR="00000000" w:rsidRDefault="00000000">
            <w:pPr>
              <w:pStyle w:val="a2"/>
              <w:spacing w:line="360" w:lineRule="exact"/>
              <w:jc w:val="center"/>
              <w:rPr>
                <w:rFonts w:hint="eastAsia"/>
              </w:rPr>
            </w:pPr>
            <w:r>
              <w:rPr>
                <w:rFonts w:hint="eastAsia"/>
              </w:rPr>
              <w:t>1</w:t>
            </w:r>
            <w:r>
              <w:t>,</w:t>
            </w:r>
            <w:r>
              <w:rPr>
                <w:rFonts w:hint="eastAsia"/>
              </w:rPr>
              <w:t>154</w:t>
            </w:r>
          </w:p>
        </w:tc>
        <w:tc>
          <w:tcPr>
            <w:tcW w:w="986" w:type="dxa"/>
          </w:tcPr>
          <w:p w:rsidR="00000000" w:rsidRDefault="00000000">
            <w:pPr>
              <w:pStyle w:val="a2"/>
              <w:spacing w:line="360" w:lineRule="exact"/>
              <w:jc w:val="center"/>
              <w:rPr>
                <w:rFonts w:hint="eastAsia"/>
              </w:rPr>
            </w:pPr>
            <w:r>
              <w:rPr>
                <w:rFonts w:hint="eastAsia"/>
              </w:rPr>
              <w:t>699</w:t>
            </w:r>
          </w:p>
        </w:tc>
        <w:tc>
          <w:tcPr>
            <w:tcW w:w="986" w:type="dxa"/>
          </w:tcPr>
          <w:p w:rsidR="00000000" w:rsidRDefault="00000000">
            <w:pPr>
              <w:pStyle w:val="a2"/>
              <w:spacing w:line="360" w:lineRule="exact"/>
              <w:jc w:val="center"/>
              <w:rPr>
                <w:rFonts w:hint="eastAsia"/>
              </w:rPr>
            </w:pPr>
            <w:r>
              <w:rPr>
                <w:rFonts w:hint="eastAsia"/>
              </w:rPr>
              <w:t>538</w:t>
            </w:r>
          </w:p>
        </w:tc>
        <w:tc>
          <w:tcPr>
            <w:tcW w:w="986" w:type="dxa"/>
          </w:tcPr>
          <w:p w:rsidR="00000000" w:rsidRDefault="00000000">
            <w:pPr>
              <w:pStyle w:val="a2"/>
              <w:spacing w:line="360" w:lineRule="exact"/>
              <w:jc w:val="center"/>
              <w:rPr>
                <w:rFonts w:hint="eastAsia"/>
              </w:rPr>
            </w:pPr>
            <w:r>
              <w:rPr>
                <w:rFonts w:hint="eastAsia"/>
              </w:rPr>
              <w:t>550</w:t>
            </w:r>
          </w:p>
        </w:tc>
        <w:tc>
          <w:tcPr>
            <w:tcW w:w="987" w:type="dxa"/>
          </w:tcPr>
          <w:p w:rsidR="00000000" w:rsidRDefault="00000000">
            <w:pPr>
              <w:pStyle w:val="a2"/>
              <w:spacing w:line="360" w:lineRule="exact"/>
              <w:jc w:val="center"/>
              <w:rPr>
                <w:rFonts w:hint="eastAsia"/>
              </w:rPr>
            </w:pPr>
            <w:r>
              <w:rPr>
                <w:rFonts w:hint="eastAsia"/>
              </w:rPr>
              <w:t>523</w:t>
            </w:r>
          </w:p>
        </w:tc>
      </w:tr>
      <w:tr w:rsidR="00000000">
        <w:tblPrEx>
          <w:tblCellMar>
            <w:top w:w="0" w:type="dxa"/>
            <w:bottom w:w="0" w:type="dxa"/>
          </w:tblCellMar>
        </w:tblPrEx>
        <w:tc>
          <w:tcPr>
            <w:tcW w:w="3493" w:type="dxa"/>
          </w:tcPr>
          <w:p w:rsidR="00000000" w:rsidRDefault="00000000">
            <w:pPr>
              <w:pStyle w:val="a2"/>
              <w:spacing w:line="360" w:lineRule="exact"/>
              <w:rPr>
                <w:rFonts w:hint="eastAsia"/>
              </w:rPr>
            </w:pPr>
            <w:r>
              <w:rPr>
                <w:rFonts w:hint="eastAsia"/>
              </w:rPr>
              <w:t>死胎在所有出生胎儿中的百分比</w:t>
            </w:r>
            <w:r>
              <w:rPr>
                <w:rFonts w:hint="eastAsia"/>
              </w:rPr>
              <w:t>(%)</w:t>
            </w:r>
          </w:p>
        </w:tc>
        <w:tc>
          <w:tcPr>
            <w:tcW w:w="986" w:type="dxa"/>
          </w:tcPr>
          <w:p w:rsidR="00000000" w:rsidRDefault="00000000">
            <w:pPr>
              <w:pStyle w:val="a2"/>
              <w:spacing w:line="360" w:lineRule="exact"/>
              <w:jc w:val="center"/>
              <w:rPr>
                <w:rFonts w:hint="eastAsia"/>
              </w:rPr>
            </w:pPr>
            <w:r>
              <w:rPr>
                <w:rFonts w:hint="eastAsia"/>
              </w:rPr>
              <w:t>1.00</w:t>
            </w:r>
          </w:p>
        </w:tc>
        <w:tc>
          <w:tcPr>
            <w:tcW w:w="986" w:type="dxa"/>
          </w:tcPr>
          <w:p w:rsidR="00000000" w:rsidRDefault="00000000">
            <w:pPr>
              <w:pStyle w:val="a2"/>
              <w:spacing w:line="360" w:lineRule="exact"/>
              <w:jc w:val="center"/>
              <w:rPr>
                <w:rFonts w:hint="eastAsia"/>
              </w:rPr>
            </w:pPr>
            <w:r>
              <w:rPr>
                <w:rFonts w:hint="eastAsia"/>
              </w:rPr>
              <w:t>0.78</w:t>
            </w:r>
          </w:p>
        </w:tc>
        <w:tc>
          <w:tcPr>
            <w:tcW w:w="986" w:type="dxa"/>
          </w:tcPr>
          <w:p w:rsidR="00000000" w:rsidRDefault="00000000">
            <w:pPr>
              <w:pStyle w:val="a2"/>
              <w:spacing w:line="360" w:lineRule="exact"/>
              <w:jc w:val="center"/>
              <w:rPr>
                <w:rFonts w:hint="eastAsia"/>
              </w:rPr>
            </w:pPr>
            <w:r>
              <w:rPr>
                <w:rFonts w:hint="eastAsia"/>
              </w:rPr>
              <w:t>0.56</w:t>
            </w:r>
          </w:p>
        </w:tc>
        <w:tc>
          <w:tcPr>
            <w:tcW w:w="986" w:type="dxa"/>
          </w:tcPr>
          <w:p w:rsidR="00000000" w:rsidRDefault="00000000">
            <w:pPr>
              <w:pStyle w:val="a2"/>
              <w:spacing w:line="360" w:lineRule="exact"/>
              <w:jc w:val="center"/>
              <w:rPr>
                <w:rFonts w:hint="eastAsia"/>
              </w:rPr>
            </w:pPr>
            <w:r>
              <w:rPr>
                <w:rFonts w:hint="eastAsia"/>
              </w:rPr>
              <w:t>0.55</w:t>
            </w:r>
          </w:p>
        </w:tc>
        <w:tc>
          <w:tcPr>
            <w:tcW w:w="986" w:type="dxa"/>
          </w:tcPr>
          <w:p w:rsidR="00000000" w:rsidRDefault="00000000">
            <w:pPr>
              <w:pStyle w:val="a2"/>
              <w:spacing w:line="360" w:lineRule="exact"/>
              <w:jc w:val="center"/>
              <w:rPr>
                <w:rFonts w:hint="eastAsia"/>
              </w:rPr>
            </w:pPr>
            <w:r>
              <w:rPr>
                <w:rFonts w:hint="eastAsia"/>
              </w:rPr>
              <w:t>0.57</w:t>
            </w:r>
          </w:p>
        </w:tc>
        <w:tc>
          <w:tcPr>
            <w:tcW w:w="987" w:type="dxa"/>
          </w:tcPr>
          <w:p w:rsidR="00000000" w:rsidRDefault="00000000">
            <w:pPr>
              <w:pStyle w:val="a2"/>
              <w:spacing w:line="360" w:lineRule="exact"/>
              <w:jc w:val="center"/>
            </w:pPr>
            <w:r>
              <w:rPr>
                <w:rFonts w:hint="eastAsia"/>
              </w:rPr>
              <w:t>0.54</w:t>
            </w:r>
          </w:p>
        </w:tc>
      </w:tr>
    </w:tbl>
    <w:p w:rsidR="00000000" w:rsidRDefault="00000000">
      <w:pPr>
        <w:rPr>
          <w:rFonts w:hint="eastAsia"/>
        </w:rPr>
      </w:pPr>
    </w:p>
    <w:p w:rsidR="00000000" w:rsidRDefault="00000000">
      <w:pPr>
        <w:spacing w:after="200"/>
        <w:rPr>
          <w:rFonts w:hint="eastAsia"/>
        </w:rPr>
      </w:pPr>
      <w:r>
        <w:tab/>
      </w:r>
      <w:r>
        <w:rPr>
          <w:rFonts w:hint="eastAsia"/>
        </w:rPr>
        <w:t>477.</w:t>
      </w:r>
      <w:r>
        <w:t xml:space="preserve">  </w:t>
      </w:r>
      <w:r>
        <w:rPr>
          <w:rFonts w:hint="eastAsia"/>
        </w:rPr>
        <w:t>婴儿死亡率区域差异极大。根据</w:t>
      </w:r>
      <w:r>
        <w:rPr>
          <w:rFonts w:hint="eastAsia"/>
        </w:rPr>
        <w:t>1997-1999</w:t>
      </w:r>
      <w:r>
        <w:rPr>
          <w:rFonts w:hint="eastAsia"/>
        </w:rPr>
        <w:t>年统计，</w:t>
      </w:r>
      <w:r>
        <w:t>Csongrád</w:t>
      </w:r>
      <w:r>
        <w:rPr>
          <w:rFonts w:hint="eastAsia"/>
        </w:rPr>
        <w:t>州</w:t>
      </w:r>
      <w:r>
        <w:rPr>
          <w:rFonts w:hint="eastAsia"/>
        </w:rPr>
        <w:t>(5.5/1000)</w:t>
      </w:r>
      <w:r>
        <w:rPr>
          <w:rFonts w:hint="eastAsia"/>
        </w:rPr>
        <w:t>、</w:t>
      </w:r>
      <w:r>
        <w:t>Tolna</w:t>
      </w:r>
      <w:r>
        <w:rPr>
          <w:rFonts w:hint="eastAsia"/>
        </w:rPr>
        <w:t>州</w:t>
      </w:r>
      <w:r>
        <w:rPr>
          <w:rFonts w:hint="eastAsia"/>
        </w:rPr>
        <w:t>(7.8/1000)</w:t>
      </w:r>
      <w:r>
        <w:rPr>
          <w:rFonts w:hint="eastAsia"/>
        </w:rPr>
        <w:t>和</w:t>
      </w:r>
      <w:r>
        <w:t>Veszprém</w:t>
      </w:r>
      <w:r>
        <w:rPr>
          <w:rFonts w:hint="eastAsia"/>
        </w:rPr>
        <w:t>州</w:t>
      </w:r>
      <w:r>
        <w:rPr>
          <w:rFonts w:hint="eastAsia"/>
        </w:rPr>
        <w:t>(8.0/1000)</w:t>
      </w:r>
      <w:r>
        <w:rPr>
          <w:rFonts w:hint="eastAsia"/>
        </w:rPr>
        <w:t>的指标数最好。</w:t>
      </w:r>
      <w:r>
        <w:t>Somogy</w:t>
      </w:r>
      <w:r>
        <w:rPr>
          <w:rFonts w:hint="eastAsia"/>
        </w:rPr>
        <w:t>州</w:t>
      </w:r>
      <w:r>
        <w:rPr>
          <w:rFonts w:hint="eastAsia"/>
        </w:rPr>
        <w:t>(11.8/1000)</w:t>
      </w:r>
      <w:r>
        <w:rPr>
          <w:rFonts w:hint="eastAsia"/>
        </w:rPr>
        <w:t>、</w:t>
      </w:r>
      <w:r>
        <w:t>Fejér</w:t>
      </w:r>
      <w:r>
        <w:rPr>
          <w:rFonts w:hint="eastAsia"/>
        </w:rPr>
        <w:t>州</w:t>
      </w:r>
      <w:r>
        <w:rPr>
          <w:rFonts w:hint="eastAsia"/>
        </w:rPr>
        <w:t>(11.4/1000)</w:t>
      </w:r>
      <w:r>
        <w:rPr>
          <w:rFonts w:hint="eastAsia"/>
        </w:rPr>
        <w:t>和</w:t>
      </w:r>
      <w:r>
        <w:t>Szabolcs-Szatmár-Bereg</w:t>
      </w:r>
      <w:r>
        <w:rPr>
          <w:rFonts w:hint="eastAsia"/>
        </w:rPr>
        <w:t>州</w:t>
      </w:r>
      <w:r>
        <w:rPr>
          <w:rFonts w:hint="eastAsia"/>
        </w:rPr>
        <w:t>(11.4/1000)</w:t>
      </w:r>
      <w:r>
        <w:rPr>
          <w:rFonts w:hint="eastAsia"/>
        </w:rPr>
        <w:t>的指标数最差。</w:t>
      </w:r>
    </w:p>
    <w:p w:rsidR="00000000" w:rsidRDefault="00000000">
      <w:pPr>
        <w:pStyle w:val="Heading3"/>
        <w:spacing w:after="200"/>
        <w:rPr>
          <w:rFonts w:hint="eastAsia"/>
        </w:rPr>
      </w:pPr>
      <w:r>
        <w:rPr>
          <w:rFonts w:hint="eastAsia"/>
        </w:rPr>
        <w:t>1970-2002</w:t>
      </w:r>
      <w:r>
        <w:rPr>
          <w:rFonts w:hint="eastAsia"/>
        </w:rPr>
        <w:t>年婴儿死亡率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73"/>
        <w:gridCol w:w="1056"/>
        <w:gridCol w:w="1056"/>
        <w:gridCol w:w="1056"/>
        <w:gridCol w:w="1056"/>
        <w:gridCol w:w="1056"/>
        <w:gridCol w:w="1057"/>
      </w:tblGrid>
      <w:tr w:rsidR="00000000">
        <w:tblPrEx>
          <w:tblCellMar>
            <w:top w:w="0" w:type="dxa"/>
            <w:bottom w:w="0" w:type="dxa"/>
          </w:tblCellMar>
        </w:tblPrEx>
        <w:tc>
          <w:tcPr>
            <w:tcW w:w="3073" w:type="dxa"/>
          </w:tcPr>
          <w:p w:rsidR="00000000" w:rsidRDefault="00000000">
            <w:pPr>
              <w:pStyle w:val="a2"/>
              <w:spacing w:line="360" w:lineRule="atLeast"/>
              <w:rPr>
                <w:rFonts w:hint="eastAsia"/>
              </w:rPr>
            </w:pPr>
          </w:p>
        </w:tc>
        <w:tc>
          <w:tcPr>
            <w:tcW w:w="1056" w:type="dxa"/>
          </w:tcPr>
          <w:p w:rsidR="00000000" w:rsidRDefault="00000000">
            <w:pPr>
              <w:pStyle w:val="a2"/>
              <w:spacing w:line="360" w:lineRule="atLeast"/>
              <w:jc w:val="center"/>
              <w:rPr>
                <w:rFonts w:ascii="Time New Roman" w:eastAsia="SimHei" w:hAnsi="Time New Roman" w:hint="eastAsia"/>
              </w:rPr>
            </w:pPr>
            <w:r>
              <w:rPr>
                <w:rFonts w:ascii="Time New Roman" w:eastAsia="SimHei" w:hAnsi="Time New Roman" w:hint="eastAsia"/>
                <w:b/>
              </w:rPr>
              <w:t>1970</w:t>
            </w:r>
          </w:p>
        </w:tc>
        <w:tc>
          <w:tcPr>
            <w:tcW w:w="1056" w:type="dxa"/>
          </w:tcPr>
          <w:p w:rsidR="00000000" w:rsidRDefault="00000000">
            <w:pPr>
              <w:pStyle w:val="a2"/>
              <w:spacing w:line="360" w:lineRule="atLeast"/>
              <w:jc w:val="center"/>
              <w:rPr>
                <w:rFonts w:ascii="Time New Roman" w:eastAsia="SimHei" w:hAnsi="Time New Roman" w:hint="eastAsia"/>
              </w:rPr>
            </w:pPr>
            <w:r>
              <w:rPr>
                <w:rFonts w:ascii="Time New Roman" w:eastAsia="SimHei" w:hAnsi="Time New Roman" w:hint="eastAsia"/>
                <w:b/>
              </w:rPr>
              <w:t>1980</w:t>
            </w:r>
          </w:p>
        </w:tc>
        <w:tc>
          <w:tcPr>
            <w:tcW w:w="1056" w:type="dxa"/>
          </w:tcPr>
          <w:p w:rsidR="00000000" w:rsidRDefault="00000000">
            <w:pPr>
              <w:pStyle w:val="a2"/>
              <w:spacing w:line="360" w:lineRule="atLeast"/>
              <w:jc w:val="center"/>
              <w:rPr>
                <w:rFonts w:ascii="Time New Roman" w:eastAsia="SimHei" w:hAnsi="Time New Roman" w:hint="eastAsia"/>
              </w:rPr>
            </w:pPr>
            <w:r>
              <w:rPr>
                <w:rFonts w:ascii="Time New Roman" w:eastAsia="SimHei" w:hAnsi="Time New Roman" w:hint="eastAsia"/>
                <w:b/>
              </w:rPr>
              <w:t>1990</w:t>
            </w:r>
          </w:p>
        </w:tc>
        <w:tc>
          <w:tcPr>
            <w:tcW w:w="1056" w:type="dxa"/>
          </w:tcPr>
          <w:p w:rsidR="00000000" w:rsidRDefault="00000000">
            <w:pPr>
              <w:pStyle w:val="a2"/>
              <w:spacing w:line="360" w:lineRule="atLeast"/>
              <w:jc w:val="center"/>
              <w:rPr>
                <w:rFonts w:ascii="Time New Roman" w:eastAsia="SimHei" w:hAnsi="Time New Roman" w:hint="eastAsia"/>
              </w:rPr>
            </w:pPr>
            <w:r>
              <w:rPr>
                <w:rFonts w:ascii="Time New Roman" w:eastAsia="SimHei" w:hAnsi="Time New Roman" w:hint="eastAsia"/>
                <w:b/>
              </w:rPr>
              <w:t>2000</w:t>
            </w:r>
          </w:p>
        </w:tc>
        <w:tc>
          <w:tcPr>
            <w:tcW w:w="1056" w:type="dxa"/>
          </w:tcPr>
          <w:p w:rsidR="00000000" w:rsidRDefault="00000000">
            <w:pPr>
              <w:pStyle w:val="a2"/>
              <w:spacing w:line="360" w:lineRule="atLeast"/>
              <w:jc w:val="center"/>
              <w:rPr>
                <w:rFonts w:ascii="Time New Roman" w:eastAsia="SimHei" w:hAnsi="Time New Roman" w:hint="eastAsia"/>
              </w:rPr>
            </w:pPr>
            <w:r>
              <w:rPr>
                <w:rFonts w:ascii="Time New Roman" w:eastAsia="SimHei" w:hAnsi="Time New Roman" w:hint="eastAsia"/>
                <w:b/>
              </w:rPr>
              <w:t>2001</w:t>
            </w:r>
          </w:p>
        </w:tc>
        <w:tc>
          <w:tcPr>
            <w:tcW w:w="1057" w:type="dxa"/>
          </w:tcPr>
          <w:p w:rsidR="00000000" w:rsidRDefault="00000000">
            <w:pPr>
              <w:pStyle w:val="a2"/>
              <w:spacing w:line="360" w:lineRule="atLeast"/>
              <w:jc w:val="center"/>
              <w:rPr>
                <w:rFonts w:ascii="Time New Roman" w:eastAsia="SimHei" w:hAnsi="Time New Roman"/>
              </w:rPr>
            </w:pPr>
            <w:r>
              <w:rPr>
                <w:rFonts w:ascii="Time New Roman" w:eastAsia="SimHei" w:hAnsi="Time New Roman" w:hint="eastAsia"/>
                <w:b/>
              </w:rPr>
              <w:t>200</w:t>
            </w:r>
            <w:r>
              <w:rPr>
                <w:rFonts w:ascii="Time New Roman" w:eastAsia="SimHei" w:hAnsi="Time New Roman"/>
                <w:b/>
              </w:rPr>
              <w:t>2</w:t>
            </w:r>
          </w:p>
        </w:tc>
      </w:tr>
      <w:tr w:rsidR="00000000">
        <w:tblPrEx>
          <w:tblCellMar>
            <w:top w:w="0" w:type="dxa"/>
            <w:bottom w:w="0" w:type="dxa"/>
          </w:tblCellMar>
        </w:tblPrEx>
        <w:tc>
          <w:tcPr>
            <w:tcW w:w="3073" w:type="dxa"/>
          </w:tcPr>
          <w:p w:rsidR="00000000" w:rsidRDefault="00000000">
            <w:pPr>
              <w:pStyle w:val="a2"/>
              <w:spacing w:line="360" w:lineRule="atLeast"/>
              <w:rPr>
                <w:rFonts w:hint="eastAsia"/>
              </w:rPr>
            </w:pPr>
            <w:r>
              <w:rPr>
                <w:rFonts w:hint="eastAsia"/>
              </w:rPr>
              <w:t>婴儿死亡数</w:t>
            </w:r>
          </w:p>
        </w:tc>
        <w:tc>
          <w:tcPr>
            <w:tcW w:w="1056" w:type="dxa"/>
          </w:tcPr>
          <w:p w:rsidR="00000000" w:rsidRDefault="00000000">
            <w:pPr>
              <w:pStyle w:val="a2"/>
              <w:spacing w:line="360" w:lineRule="atLeast"/>
              <w:jc w:val="center"/>
              <w:rPr>
                <w:rFonts w:hint="eastAsia"/>
              </w:rPr>
            </w:pPr>
            <w:r>
              <w:rPr>
                <w:rFonts w:hint="eastAsia"/>
              </w:rPr>
              <w:t>5</w:t>
            </w:r>
            <w:r>
              <w:t>,</w:t>
            </w:r>
            <w:r>
              <w:rPr>
                <w:rFonts w:hint="eastAsia"/>
              </w:rPr>
              <w:t>449</w:t>
            </w:r>
          </w:p>
        </w:tc>
        <w:tc>
          <w:tcPr>
            <w:tcW w:w="1056" w:type="dxa"/>
          </w:tcPr>
          <w:p w:rsidR="00000000" w:rsidRDefault="00000000">
            <w:pPr>
              <w:pStyle w:val="a2"/>
              <w:spacing w:line="360" w:lineRule="atLeast"/>
              <w:jc w:val="center"/>
              <w:rPr>
                <w:rFonts w:hint="eastAsia"/>
              </w:rPr>
            </w:pPr>
            <w:r>
              <w:rPr>
                <w:rFonts w:hint="eastAsia"/>
              </w:rPr>
              <w:t>3</w:t>
            </w:r>
            <w:r>
              <w:t>,</w:t>
            </w:r>
            <w:r>
              <w:rPr>
                <w:rFonts w:hint="eastAsia"/>
              </w:rPr>
              <w:t>443</w:t>
            </w:r>
          </w:p>
        </w:tc>
        <w:tc>
          <w:tcPr>
            <w:tcW w:w="1056" w:type="dxa"/>
          </w:tcPr>
          <w:p w:rsidR="00000000" w:rsidRDefault="00000000">
            <w:pPr>
              <w:pStyle w:val="a2"/>
              <w:spacing w:line="360" w:lineRule="atLeast"/>
              <w:jc w:val="center"/>
              <w:rPr>
                <w:rFonts w:hint="eastAsia"/>
              </w:rPr>
            </w:pPr>
            <w:r>
              <w:rPr>
                <w:rFonts w:hint="eastAsia"/>
              </w:rPr>
              <w:t>1</w:t>
            </w:r>
            <w:r>
              <w:t>,</w:t>
            </w:r>
            <w:r>
              <w:rPr>
                <w:rFonts w:hint="eastAsia"/>
              </w:rPr>
              <w:t>863</w:t>
            </w:r>
          </w:p>
        </w:tc>
        <w:tc>
          <w:tcPr>
            <w:tcW w:w="1056" w:type="dxa"/>
          </w:tcPr>
          <w:p w:rsidR="00000000" w:rsidRDefault="00000000">
            <w:pPr>
              <w:pStyle w:val="a2"/>
              <w:spacing w:line="360" w:lineRule="atLeast"/>
              <w:jc w:val="center"/>
              <w:rPr>
                <w:rFonts w:hint="eastAsia"/>
              </w:rPr>
            </w:pPr>
            <w:r>
              <w:rPr>
                <w:rFonts w:hint="eastAsia"/>
              </w:rPr>
              <w:t>900</w:t>
            </w:r>
          </w:p>
        </w:tc>
        <w:tc>
          <w:tcPr>
            <w:tcW w:w="1056" w:type="dxa"/>
          </w:tcPr>
          <w:p w:rsidR="00000000" w:rsidRDefault="00000000">
            <w:pPr>
              <w:pStyle w:val="a2"/>
              <w:spacing w:line="360" w:lineRule="atLeast"/>
              <w:jc w:val="center"/>
              <w:rPr>
                <w:rFonts w:hint="eastAsia"/>
              </w:rPr>
            </w:pPr>
            <w:r>
              <w:rPr>
                <w:rFonts w:hint="eastAsia"/>
              </w:rPr>
              <w:t>789</w:t>
            </w:r>
          </w:p>
        </w:tc>
        <w:tc>
          <w:tcPr>
            <w:tcW w:w="1057" w:type="dxa"/>
          </w:tcPr>
          <w:p w:rsidR="00000000" w:rsidRDefault="00000000">
            <w:pPr>
              <w:pStyle w:val="a2"/>
              <w:spacing w:line="360" w:lineRule="atLeast"/>
              <w:jc w:val="center"/>
              <w:rPr>
                <w:rFonts w:hint="eastAsia"/>
              </w:rPr>
            </w:pPr>
            <w:r>
              <w:rPr>
                <w:rFonts w:hint="eastAsia"/>
              </w:rPr>
              <w:t>693</w:t>
            </w:r>
          </w:p>
        </w:tc>
      </w:tr>
      <w:tr w:rsidR="00000000">
        <w:tblPrEx>
          <w:tblCellMar>
            <w:top w:w="0" w:type="dxa"/>
            <w:bottom w:w="0" w:type="dxa"/>
          </w:tblCellMar>
        </w:tblPrEx>
        <w:tc>
          <w:tcPr>
            <w:tcW w:w="3073" w:type="dxa"/>
          </w:tcPr>
          <w:p w:rsidR="00000000" w:rsidRDefault="00000000">
            <w:pPr>
              <w:pStyle w:val="a2"/>
              <w:spacing w:line="360" w:lineRule="atLeast"/>
              <w:rPr>
                <w:rFonts w:hint="eastAsia"/>
              </w:rPr>
            </w:pPr>
            <w:r>
              <w:rPr>
                <w:rFonts w:hint="eastAsia"/>
              </w:rPr>
              <w:t>每</w:t>
            </w:r>
            <w:r>
              <w:rPr>
                <w:rFonts w:hint="eastAsia"/>
              </w:rPr>
              <w:t>1000</w:t>
            </w:r>
            <w:r>
              <w:rPr>
                <w:rFonts w:hint="eastAsia"/>
              </w:rPr>
              <w:t>活产胎儿死亡婴儿比率</w:t>
            </w:r>
          </w:p>
        </w:tc>
        <w:tc>
          <w:tcPr>
            <w:tcW w:w="1056" w:type="dxa"/>
          </w:tcPr>
          <w:p w:rsidR="00000000" w:rsidRDefault="00000000">
            <w:pPr>
              <w:pStyle w:val="a2"/>
              <w:spacing w:line="360" w:lineRule="atLeast"/>
              <w:jc w:val="center"/>
              <w:rPr>
                <w:rFonts w:hint="eastAsia"/>
              </w:rPr>
            </w:pPr>
            <w:r>
              <w:rPr>
                <w:rFonts w:hint="eastAsia"/>
              </w:rPr>
              <w:t>35.9</w:t>
            </w:r>
          </w:p>
        </w:tc>
        <w:tc>
          <w:tcPr>
            <w:tcW w:w="1056" w:type="dxa"/>
          </w:tcPr>
          <w:p w:rsidR="00000000" w:rsidRDefault="00000000">
            <w:pPr>
              <w:pStyle w:val="a2"/>
              <w:spacing w:line="360" w:lineRule="atLeast"/>
              <w:jc w:val="center"/>
              <w:rPr>
                <w:rFonts w:hint="eastAsia"/>
              </w:rPr>
            </w:pPr>
            <w:r>
              <w:rPr>
                <w:rFonts w:hint="eastAsia"/>
              </w:rPr>
              <w:t>23.2</w:t>
            </w:r>
          </w:p>
        </w:tc>
        <w:tc>
          <w:tcPr>
            <w:tcW w:w="1056" w:type="dxa"/>
          </w:tcPr>
          <w:p w:rsidR="00000000" w:rsidRDefault="00000000">
            <w:pPr>
              <w:pStyle w:val="a2"/>
              <w:spacing w:line="360" w:lineRule="atLeast"/>
              <w:jc w:val="center"/>
              <w:rPr>
                <w:rFonts w:hint="eastAsia"/>
              </w:rPr>
            </w:pPr>
            <w:r>
              <w:rPr>
                <w:rFonts w:hint="eastAsia"/>
              </w:rPr>
              <w:t>14.8</w:t>
            </w:r>
          </w:p>
        </w:tc>
        <w:tc>
          <w:tcPr>
            <w:tcW w:w="1056" w:type="dxa"/>
          </w:tcPr>
          <w:p w:rsidR="00000000" w:rsidRDefault="00000000">
            <w:pPr>
              <w:pStyle w:val="a2"/>
              <w:spacing w:line="360" w:lineRule="atLeast"/>
              <w:jc w:val="center"/>
              <w:rPr>
                <w:rFonts w:hint="eastAsia"/>
              </w:rPr>
            </w:pPr>
            <w:r>
              <w:rPr>
                <w:rFonts w:hint="eastAsia"/>
              </w:rPr>
              <w:t>9.2</w:t>
            </w:r>
          </w:p>
        </w:tc>
        <w:tc>
          <w:tcPr>
            <w:tcW w:w="1056" w:type="dxa"/>
          </w:tcPr>
          <w:p w:rsidR="00000000" w:rsidRDefault="00000000">
            <w:pPr>
              <w:pStyle w:val="a2"/>
              <w:spacing w:line="360" w:lineRule="atLeast"/>
              <w:jc w:val="center"/>
              <w:rPr>
                <w:rFonts w:hint="eastAsia"/>
              </w:rPr>
            </w:pPr>
            <w:r>
              <w:rPr>
                <w:rFonts w:hint="eastAsia"/>
              </w:rPr>
              <w:t>8.1</w:t>
            </w:r>
          </w:p>
        </w:tc>
        <w:tc>
          <w:tcPr>
            <w:tcW w:w="1057" w:type="dxa"/>
          </w:tcPr>
          <w:p w:rsidR="00000000" w:rsidRDefault="00000000">
            <w:pPr>
              <w:pStyle w:val="a2"/>
              <w:spacing w:line="360" w:lineRule="atLeast"/>
              <w:jc w:val="center"/>
              <w:rPr>
                <w:rFonts w:hint="eastAsia"/>
              </w:rPr>
            </w:pPr>
            <w:r>
              <w:rPr>
                <w:rFonts w:hint="eastAsia"/>
              </w:rPr>
              <w:t>7.2</w:t>
            </w:r>
          </w:p>
        </w:tc>
      </w:tr>
      <w:tr w:rsidR="00000000">
        <w:tblPrEx>
          <w:tblCellMar>
            <w:top w:w="0" w:type="dxa"/>
            <w:bottom w:w="0" w:type="dxa"/>
          </w:tblCellMar>
        </w:tblPrEx>
        <w:trPr>
          <w:cantSplit/>
        </w:trPr>
        <w:tc>
          <w:tcPr>
            <w:tcW w:w="9410" w:type="dxa"/>
            <w:gridSpan w:val="7"/>
          </w:tcPr>
          <w:p w:rsidR="00000000" w:rsidRDefault="00000000">
            <w:pPr>
              <w:pStyle w:val="a2"/>
              <w:spacing w:line="360" w:lineRule="atLeast"/>
              <w:rPr>
                <w:rFonts w:ascii="Time New Roman" w:eastAsia="SimHei" w:hAnsi="Time New Roman" w:hint="eastAsia"/>
              </w:rPr>
            </w:pPr>
            <w:r>
              <w:rPr>
                <w:rFonts w:ascii="Time New Roman" w:eastAsia="SimHei" w:hAnsi="Time New Roman" w:hint="eastAsia"/>
              </w:rPr>
              <w:t>按年龄组分列的婴儿死亡率</w:t>
            </w:r>
            <w:r>
              <w:rPr>
                <w:rFonts w:ascii="Time New Roman" w:eastAsia="SimHei" w:hAnsi="Time New Roman" w:hint="eastAsia"/>
              </w:rPr>
              <w:t>(</w:t>
            </w:r>
            <w:r>
              <w:rPr>
                <w:rFonts w:ascii="Time New Roman" w:eastAsia="SimHei" w:hAnsi="Time New Roman" w:hint="eastAsia"/>
              </w:rPr>
              <w:t>每</w:t>
            </w:r>
            <w:r>
              <w:rPr>
                <w:rFonts w:ascii="Time New Roman" w:eastAsia="SimHei" w:hAnsi="Time New Roman" w:hint="eastAsia"/>
                <w:b/>
              </w:rPr>
              <w:t>1000</w:t>
            </w:r>
            <w:r>
              <w:rPr>
                <w:rFonts w:ascii="Time New Roman" w:eastAsia="SimHei" w:hAnsi="Time New Roman" w:hint="eastAsia"/>
              </w:rPr>
              <w:t>活产胎儿</w:t>
            </w:r>
            <w:r>
              <w:rPr>
                <w:rFonts w:ascii="Time New Roman" w:eastAsia="SimHei" w:hAnsi="Time New Roman" w:hint="eastAsia"/>
              </w:rPr>
              <w:t>)</w:t>
            </w:r>
          </w:p>
        </w:tc>
      </w:tr>
      <w:tr w:rsidR="00000000">
        <w:tblPrEx>
          <w:tblCellMar>
            <w:top w:w="0" w:type="dxa"/>
            <w:bottom w:w="0" w:type="dxa"/>
          </w:tblCellMar>
        </w:tblPrEx>
        <w:tc>
          <w:tcPr>
            <w:tcW w:w="3073" w:type="dxa"/>
          </w:tcPr>
          <w:p w:rsidR="00000000" w:rsidRDefault="00000000">
            <w:pPr>
              <w:pStyle w:val="a2"/>
              <w:spacing w:line="360" w:lineRule="atLeast"/>
              <w:rPr>
                <w:rFonts w:hint="eastAsia"/>
              </w:rPr>
            </w:pPr>
            <w:r>
              <w:rPr>
                <w:rFonts w:hint="eastAsia"/>
              </w:rPr>
              <w:t>不足</w:t>
            </w:r>
            <w:r>
              <w:rPr>
                <w:rFonts w:hint="eastAsia"/>
              </w:rPr>
              <w:t>1</w:t>
            </w:r>
            <w:r>
              <w:rPr>
                <w:rFonts w:hint="eastAsia"/>
              </w:rPr>
              <w:t>天</w:t>
            </w:r>
          </w:p>
        </w:tc>
        <w:tc>
          <w:tcPr>
            <w:tcW w:w="1056" w:type="dxa"/>
          </w:tcPr>
          <w:p w:rsidR="00000000" w:rsidRDefault="00000000">
            <w:pPr>
              <w:pStyle w:val="a2"/>
              <w:spacing w:line="360" w:lineRule="atLeast"/>
              <w:jc w:val="center"/>
              <w:rPr>
                <w:rFonts w:hint="eastAsia"/>
              </w:rPr>
            </w:pPr>
            <w:r>
              <w:rPr>
                <w:rFonts w:hint="eastAsia"/>
              </w:rPr>
              <w:t>13.6</w:t>
            </w:r>
          </w:p>
        </w:tc>
        <w:tc>
          <w:tcPr>
            <w:tcW w:w="1056" w:type="dxa"/>
          </w:tcPr>
          <w:p w:rsidR="00000000" w:rsidRDefault="00000000">
            <w:pPr>
              <w:pStyle w:val="a2"/>
              <w:spacing w:line="360" w:lineRule="atLeast"/>
              <w:jc w:val="center"/>
              <w:rPr>
                <w:rFonts w:hint="eastAsia"/>
              </w:rPr>
            </w:pPr>
            <w:r>
              <w:rPr>
                <w:rFonts w:hint="eastAsia"/>
              </w:rPr>
              <w:t>7.8</w:t>
            </w:r>
          </w:p>
        </w:tc>
        <w:tc>
          <w:tcPr>
            <w:tcW w:w="1056" w:type="dxa"/>
          </w:tcPr>
          <w:p w:rsidR="00000000" w:rsidRDefault="00000000">
            <w:pPr>
              <w:pStyle w:val="a2"/>
              <w:spacing w:line="360" w:lineRule="atLeast"/>
              <w:jc w:val="center"/>
              <w:rPr>
                <w:rFonts w:hint="eastAsia"/>
              </w:rPr>
            </w:pPr>
            <w:r>
              <w:rPr>
                <w:rFonts w:hint="eastAsia"/>
              </w:rPr>
              <w:t>4.3</w:t>
            </w:r>
          </w:p>
        </w:tc>
        <w:tc>
          <w:tcPr>
            <w:tcW w:w="1056" w:type="dxa"/>
          </w:tcPr>
          <w:p w:rsidR="00000000" w:rsidRDefault="00000000">
            <w:pPr>
              <w:pStyle w:val="a2"/>
              <w:spacing w:line="360" w:lineRule="atLeast"/>
              <w:jc w:val="center"/>
              <w:rPr>
                <w:rFonts w:hint="eastAsia"/>
              </w:rPr>
            </w:pPr>
            <w:r>
              <w:rPr>
                <w:rFonts w:hint="eastAsia"/>
              </w:rPr>
              <w:t>2.3</w:t>
            </w:r>
          </w:p>
        </w:tc>
        <w:tc>
          <w:tcPr>
            <w:tcW w:w="1056" w:type="dxa"/>
          </w:tcPr>
          <w:p w:rsidR="00000000" w:rsidRDefault="00000000">
            <w:pPr>
              <w:pStyle w:val="a2"/>
              <w:spacing w:line="360" w:lineRule="atLeast"/>
              <w:jc w:val="center"/>
              <w:rPr>
                <w:rFonts w:hint="eastAsia"/>
              </w:rPr>
            </w:pPr>
            <w:r>
              <w:rPr>
                <w:rFonts w:hint="eastAsia"/>
              </w:rPr>
              <w:t>1.8</w:t>
            </w:r>
          </w:p>
        </w:tc>
        <w:tc>
          <w:tcPr>
            <w:tcW w:w="1057" w:type="dxa"/>
          </w:tcPr>
          <w:p w:rsidR="00000000" w:rsidRDefault="00000000">
            <w:pPr>
              <w:pStyle w:val="a2"/>
              <w:spacing w:line="360" w:lineRule="atLeast"/>
              <w:jc w:val="center"/>
              <w:rPr>
                <w:rFonts w:hint="eastAsia"/>
              </w:rPr>
            </w:pPr>
            <w:r>
              <w:rPr>
                <w:rFonts w:hint="eastAsia"/>
              </w:rPr>
              <w:t>1.8</w:t>
            </w:r>
          </w:p>
        </w:tc>
      </w:tr>
      <w:tr w:rsidR="00000000">
        <w:tblPrEx>
          <w:tblCellMar>
            <w:top w:w="0" w:type="dxa"/>
            <w:bottom w:w="0" w:type="dxa"/>
          </w:tblCellMar>
        </w:tblPrEx>
        <w:tc>
          <w:tcPr>
            <w:tcW w:w="3073" w:type="dxa"/>
          </w:tcPr>
          <w:p w:rsidR="00000000" w:rsidRDefault="00000000">
            <w:pPr>
              <w:pStyle w:val="a2"/>
              <w:spacing w:line="360" w:lineRule="atLeast"/>
              <w:rPr>
                <w:rFonts w:hint="eastAsia"/>
              </w:rPr>
            </w:pPr>
            <w:r>
              <w:rPr>
                <w:rFonts w:hint="eastAsia"/>
              </w:rPr>
              <w:t>1-6</w:t>
            </w:r>
            <w:r>
              <w:rPr>
                <w:rFonts w:hint="eastAsia"/>
              </w:rPr>
              <w:t>天</w:t>
            </w:r>
          </w:p>
        </w:tc>
        <w:tc>
          <w:tcPr>
            <w:tcW w:w="1056" w:type="dxa"/>
          </w:tcPr>
          <w:p w:rsidR="00000000" w:rsidRDefault="00000000">
            <w:pPr>
              <w:pStyle w:val="a2"/>
              <w:spacing w:line="360" w:lineRule="atLeast"/>
              <w:jc w:val="center"/>
              <w:rPr>
                <w:rFonts w:hint="eastAsia"/>
              </w:rPr>
            </w:pPr>
            <w:r>
              <w:rPr>
                <w:rFonts w:hint="eastAsia"/>
              </w:rPr>
              <w:t>1</w:t>
            </w:r>
            <w:r>
              <w:t>0</w:t>
            </w:r>
            <w:r>
              <w:rPr>
                <w:rFonts w:hint="eastAsia"/>
              </w:rPr>
              <w:t>.9</w:t>
            </w:r>
          </w:p>
        </w:tc>
        <w:tc>
          <w:tcPr>
            <w:tcW w:w="1056" w:type="dxa"/>
          </w:tcPr>
          <w:p w:rsidR="00000000" w:rsidRDefault="00000000">
            <w:pPr>
              <w:pStyle w:val="a2"/>
              <w:spacing w:line="360" w:lineRule="atLeast"/>
              <w:jc w:val="center"/>
              <w:rPr>
                <w:rFonts w:hint="eastAsia"/>
              </w:rPr>
            </w:pPr>
            <w:r>
              <w:rPr>
                <w:rFonts w:hint="eastAsia"/>
              </w:rPr>
              <w:t>7.6</w:t>
            </w:r>
          </w:p>
        </w:tc>
        <w:tc>
          <w:tcPr>
            <w:tcW w:w="1056" w:type="dxa"/>
          </w:tcPr>
          <w:p w:rsidR="00000000" w:rsidRDefault="00000000">
            <w:pPr>
              <w:pStyle w:val="a2"/>
              <w:spacing w:line="360" w:lineRule="atLeast"/>
              <w:jc w:val="center"/>
              <w:rPr>
                <w:rFonts w:hint="eastAsia"/>
              </w:rPr>
            </w:pPr>
            <w:r>
              <w:rPr>
                <w:rFonts w:hint="eastAsia"/>
              </w:rPr>
              <w:t>4.5</w:t>
            </w:r>
          </w:p>
        </w:tc>
        <w:tc>
          <w:tcPr>
            <w:tcW w:w="1056" w:type="dxa"/>
          </w:tcPr>
          <w:p w:rsidR="00000000" w:rsidRDefault="00000000">
            <w:pPr>
              <w:pStyle w:val="a2"/>
              <w:spacing w:line="360" w:lineRule="atLeast"/>
              <w:jc w:val="center"/>
              <w:rPr>
                <w:rFonts w:hint="eastAsia"/>
              </w:rPr>
            </w:pPr>
            <w:r>
              <w:rPr>
                <w:rFonts w:hint="eastAsia"/>
              </w:rPr>
              <w:t>2.3</w:t>
            </w:r>
          </w:p>
        </w:tc>
        <w:tc>
          <w:tcPr>
            <w:tcW w:w="1056" w:type="dxa"/>
          </w:tcPr>
          <w:p w:rsidR="00000000" w:rsidRDefault="00000000">
            <w:pPr>
              <w:pStyle w:val="a2"/>
              <w:spacing w:line="360" w:lineRule="atLeast"/>
              <w:jc w:val="center"/>
              <w:rPr>
                <w:rFonts w:hint="eastAsia"/>
              </w:rPr>
            </w:pPr>
            <w:r>
              <w:rPr>
                <w:rFonts w:hint="eastAsia"/>
              </w:rPr>
              <w:t>2.1</w:t>
            </w:r>
          </w:p>
        </w:tc>
        <w:tc>
          <w:tcPr>
            <w:tcW w:w="1057" w:type="dxa"/>
          </w:tcPr>
          <w:p w:rsidR="00000000" w:rsidRDefault="00000000">
            <w:pPr>
              <w:pStyle w:val="a2"/>
              <w:spacing w:line="360" w:lineRule="atLeast"/>
              <w:jc w:val="center"/>
              <w:rPr>
                <w:rFonts w:hint="eastAsia"/>
              </w:rPr>
            </w:pPr>
            <w:r>
              <w:rPr>
                <w:rFonts w:hint="eastAsia"/>
              </w:rPr>
              <w:t>1.9</w:t>
            </w:r>
          </w:p>
        </w:tc>
      </w:tr>
      <w:tr w:rsidR="00000000">
        <w:tblPrEx>
          <w:tblCellMar>
            <w:top w:w="0" w:type="dxa"/>
            <w:bottom w:w="0" w:type="dxa"/>
          </w:tblCellMar>
        </w:tblPrEx>
        <w:tc>
          <w:tcPr>
            <w:tcW w:w="3073" w:type="dxa"/>
          </w:tcPr>
          <w:p w:rsidR="00000000" w:rsidRDefault="00000000">
            <w:pPr>
              <w:pStyle w:val="a2"/>
              <w:spacing w:line="360" w:lineRule="atLeast"/>
              <w:rPr>
                <w:rFonts w:hint="eastAsia"/>
              </w:rPr>
            </w:pPr>
            <w:r>
              <w:rPr>
                <w:rFonts w:hint="eastAsia"/>
              </w:rPr>
              <w:t>7-27</w:t>
            </w:r>
            <w:r>
              <w:rPr>
                <w:rFonts w:hint="eastAsia"/>
              </w:rPr>
              <w:t>天</w:t>
            </w:r>
          </w:p>
        </w:tc>
        <w:tc>
          <w:tcPr>
            <w:tcW w:w="1056" w:type="dxa"/>
          </w:tcPr>
          <w:p w:rsidR="00000000" w:rsidRDefault="00000000">
            <w:pPr>
              <w:pStyle w:val="a2"/>
              <w:spacing w:line="360" w:lineRule="atLeast"/>
              <w:jc w:val="center"/>
              <w:rPr>
                <w:rFonts w:hint="eastAsia"/>
              </w:rPr>
            </w:pPr>
            <w:r>
              <w:rPr>
                <w:rFonts w:hint="eastAsia"/>
              </w:rPr>
              <w:t>3.9</w:t>
            </w:r>
          </w:p>
        </w:tc>
        <w:tc>
          <w:tcPr>
            <w:tcW w:w="1056" w:type="dxa"/>
          </w:tcPr>
          <w:p w:rsidR="00000000" w:rsidRDefault="00000000">
            <w:pPr>
              <w:pStyle w:val="a2"/>
              <w:spacing w:line="360" w:lineRule="atLeast"/>
              <w:jc w:val="center"/>
              <w:rPr>
                <w:rFonts w:hint="eastAsia"/>
              </w:rPr>
            </w:pPr>
            <w:r>
              <w:rPr>
                <w:rFonts w:hint="eastAsia"/>
              </w:rPr>
              <w:t>2.5</w:t>
            </w:r>
          </w:p>
        </w:tc>
        <w:tc>
          <w:tcPr>
            <w:tcW w:w="1056" w:type="dxa"/>
          </w:tcPr>
          <w:p w:rsidR="00000000" w:rsidRDefault="00000000">
            <w:pPr>
              <w:pStyle w:val="a2"/>
              <w:spacing w:line="360" w:lineRule="atLeast"/>
              <w:jc w:val="center"/>
              <w:rPr>
                <w:rFonts w:hint="eastAsia"/>
              </w:rPr>
            </w:pPr>
            <w:r>
              <w:rPr>
                <w:rFonts w:hint="eastAsia"/>
              </w:rPr>
              <w:t>2.1</w:t>
            </w:r>
          </w:p>
        </w:tc>
        <w:tc>
          <w:tcPr>
            <w:tcW w:w="1056" w:type="dxa"/>
          </w:tcPr>
          <w:p w:rsidR="00000000" w:rsidRDefault="00000000">
            <w:pPr>
              <w:pStyle w:val="a2"/>
              <w:spacing w:line="360" w:lineRule="atLeast"/>
              <w:jc w:val="center"/>
              <w:rPr>
                <w:rFonts w:hint="eastAsia"/>
              </w:rPr>
            </w:pPr>
            <w:r>
              <w:rPr>
                <w:rFonts w:hint="eastAsia"/>
              </w:rPr>
              <w:t>1.6</w:t>
            </w:r>
          </w:p>
        </w:tc>
        <w:tc>
          <w:tcPr>
            <w:tcW w:w="1056" w:type="dxa"/>
          </w:tcPr>
          <w:p w:rsidR="00000000" w:rsidRDefault="00000000">
            <w:pPr>
              <w:pStyle w:val="a2"/>
              <w:spacing w:line="360" w:lineRule="atLeast"/>
              <w:jc w:val="center"/>
              <w:rPr>
                <w:rFonts w:hint="eastAsia"/>
              </w:rPr>
            </w:pPr>
            <w:r>
              <w:rPr>
                <w:rFonts w:hint="eastAsia"/>
              </w:rPr>
              <w:t>1.4</w:t>
            </w:r>
          </w:p>
        </w:tc>
        <w:tc>
          <w:tcPr>
            <w:tcW w:w="1057" w:type="dxa"/>
          </w:tcPr>
          <w:p w:rsidR="00000000" w:rsidRDefault="00000000">
            <w:pPr>
              <w:pStyle w:val="a2"/>
              <w:spacing w:line="360" w:lineRule="atLeast"/>
              <w:jc w:val="center"/>
              <w:rPr>
                <w:rFonts w:hint="eastAsia"/>
              </w:rPr>
            </w:pPr>
            <w:r>
              <w:rPr>
                <w:rFonts w:hint="eastAsia"/>
              </w:rPr>
              <w:t>1.6</w:t>
            </w:r>
          </w:p>
        </w:tc>
      </w:tr>
      <w:tr w:rsidR="00000000">
        <w:tblPrEx>
          <w:tblCellMar>
            <w:top w:w="0" w:type="dxa"/>
            <w:bottom w:w="0" w:type="dxa"/>
          </w:tblCellMar>
        </w:tblPrEx>
        <w:tc>
          <w:tcPr>
            <w:tcW w:w="3073" w:type="dxa"/>
          </w:tcPr>
          <w:p w:rsidR="00000000" w:rsidRDefault="00000000">
            <w:pPr>
              <w:pStyle w:val="a2"/>
              <w:spacing w:line="360" w:lineRule="atLeast"/>
              <w:rPr>
                <w:rFonts w:hint="eastAsia"/>
              </w:rPr>
            </w:pPr>
            <w:r>
              <w:rPr>
                <w:rFonts w:hint="eastAsia"/>
              </w:rPr>
              <w:t>28</w:t>
            </w:r>
            <w:r>
              <w:rPr>
                <w:rFonts w:hint="eastAsia"/>
              </w:rPr>
              <w:t>天和</w:t>
            </w:r>
            <w:r>
              <w:rPr>
                <w:rFonts w:hint="eastAsia"/>
              </w:rPr>
              <w:t>28</w:t>
            </w:r>
            <w:r>
              <w:rPr>
                <w:rFonts w:hint="eastAsia"/>
              </w:rPr>
              <w:t>天以上</w:t>
            </w:r>
          </w:p>
        </w:tc>
        <w:tc>
          <w:tcPr>
            <w:tcW w:w="1056" w:type="dxa"/>
          </w:tcPr>
          <w:p w:rsidR="00000000" w:rsidRDefault="00000000">
            <w:pPr>
              <w:pStyle w:val="a2"/>
              <w:spacing w:line="360" w:lineRule="atLeast"/>
              <w:jc w:val="center"/>
              <w:rPr>
                <w:rFonts w:hint="eastAsia"/>
              </w:rPr>
            </w:pPr>
            <w:r>
              <w:rPr>
                <w:rFonts w:hint="eastAsia"/>
              </w:rPr>
              <w:t>7.5</w:t>
            </w:r>
          </w:p>
        </w:tc>
        <w:tc>
          <w:tcPr>
            <w:tcW w:w="1056" w:type="dxa"/>
          </w:tcPr>
          <w:p w:rsidR="00000000" w:rsidRDefault="00000000">
            <w:pPr>
              <w:pStyle w:val="a2"/>
              <w:spacing w:line="360" w:lineRule="atLeast"/>
              <w:jc w:val="center"/>
              <w:rPr>
                <w:rFonts w:hint="eastAsia"/>
              </w:rPr>
            </w:pPr>
            <w:r>
              <w:rPr>
                <w:rFonts w:hint="eastAsia"/>
              </w:rPr>
              <w:t>5.3</w:t>
            </w:r>
          </w:p>
        </w:tc>
        <w:tc>
          <w:tcPr>
            <w:tcW w:w="1056" w:type="dxa"/>
          </w:tcPr>
          <w:p w:rsidR="00000000" w:rsidRDefault="00000000">
            <w:pPr>
              <w:pStyle w:val="a2"/>
              <w:spacing w:line="360" w:lineRule="atLeast"/>
              <w:jc w:val="center"/>
              <w:rPr>
                <w:rFonts w:hint="eastAsia"/>
              </w:rPr>
            </w:pPr>
            <w:r>
              <w:rPr>
                <w:rFonts w:hint="eastAsia"/>
              </w:rPr>
              <w:t>4.0</w:t>
            </w:r>
          </w:p>
        </w:tc>
        <w:tc>
          <w:tcPr>
            <w:tcW w:w="1056" w:type="dxa"/>
          </w:tcPr>
          <w:p w:rsidR="00000000" w:rsidRDefault="00000000">
            <w:pPr>
              <w:pStyle w:val="a2"/>
              <w:spacing w:line="360" w:lineRule="atLeast"/>
              <w:jc w:val="center"/>
              <w:rPr>
                <w:rFonts w:hint="eastAsia"/>
              </w:rPr>
            </w:pPr>
            <w:r>
              <w:rPr>
                <w:rFonts w:hint="eastAsia"/>
              </w:rPr>
              <w:t>3.0</w:t>
            </w:r>
          </w:p>
        </w:tc>
        <w:tc>
          <w:tcPr>
            <w:tcW w:w="1056" w:type="dxa"/>
          </w:tcPr>
          <w:p w:rsidR="00000000" w:rsidRDefault="00000000">
            <w:pPr>
              <w:pStyle w:val="a2"/>
              <w:spacing w:line="360" w:lineRule="atLeast"/>
              <w:jc w:val="center"/>
              <w:rPr>
                <w:rFonts w:hint="eastAsia"/>
              </w:rPr>
            </w:pPr>
            <w:r>
              <w:rPr>
                <w:rFonts w:hint="eastAsia"/>
              </w:rPr>
              <w:t>2.8</w:t>
            </w:r>
          </w:p>
        </w:tc>
        <w:tc>
          <w:tcPr>
            <w:tcW w:w="1057" w:type="dxa"/>
          </w:tcPr>
          <w:p w:rsidR="00000000" w:rsidRDefault="00000000">
            <w:pPr>
              <w:pStyle w:val="a2"/>
              <w:spacing w:line="360" w:lineRule="atLeast"/>
              <w:jc w:val="center"/>
            </w:pPr>
            <w:r>
              <w:rPr>
                <w:rFonts w:hint="eastAsia"/>
              </w:rPr>
              <w:t>1.9</w:t>
            </w:r>
          </w:p>
        </w:tc>
      </w:tr>
    </w:tbl>
    <w:p w:rsidR="00000000" w:rsidRDefault="00000000"/>
    <w:p w:rsidR="00000000" w:rsidRDefault="00000000">
      <w:pPr>
        <w:spacing w:after="240"/>
        <w:rPr>
          <w:rFonts w:hint="eastAsia"/>
        </w:rPr>
      </w:pPr>
      <w:r>
        <w:tab/>
        <w:t xml:space="preserve">478.  </w:t>
      </w:r>
      <w:r>
        <w:rPr>
          <w:rFonts w:hint="eastAsia"/>
        </w:rPr>
        <w:t>与婴儿死亡率有关的统计数据有所好转：</w:t>
      </w:r>
      <w:r>
        <w:rPr>
          <w:rFonts w:hint="eastAsia"/>
        </w:rPr>
        <w:t>2001</w:t>
      </w:r>
      <w:r>
        <w:rPr>
          <w:rFonts w:hint="eastAsia"/>
        </w:rPr>
        <w:t>年，每</w:t>
      </w:r>
      <w:r>
        <w:rPr>
          <w:rFonts w:hint="eastAsia"/>
        </w:rPr>
        <w:t>1000</w:t>
      </w:r>
      <w:r>
        <w:rPr>
          <w:rFonts w:hint="eastAsia"/>
        </w:rPr>
        <w:t>活产胎儿的婴儿死亡率为</w:t>
      </w:r>
      <w:r>
        <w:rPr>
          <w:rFonts w:hint="eastAsia"/>
        </w:rPr>
        <w:t>8.1%</w:t>
      </w:r>
      <w:r>
        <w:rPr>
          <w:rFonts w:hint="eastAsia"/>
        </w:rPr>
        <w:t>，</w:t>
      </w:r>
      <w:r>
        <w:rPr>
          <w:rFonts w:hint="eastAsia"/>
        </w:rPr>
        <w:t>2002</w:t>
      </w:r>
      <w:r>
        <w:rPr>
          <w:rFonts w:hint="eastAsia"/>
        </w:rPr>
        <w:t>年略为下降至</w:t>
      </w:r>
      <w:r>
        <w:rPr>
          <w:rFonts w:hint="eastAsia"/>
        </w:rPr>
        <w:t>7.2%</w:t>
      </w:r>
      <w:r>
        <w:rPr>
          <w:rFonts w:hint="eastAsia"/>
        </w:rPr>
        <w:t>。</w:t>
      </w:r>
      <w:r>
        <w:rPr>
          <w:rFonts w:hint="eastAsia"/>
        </w:rPr>
        <w:t>2002</w:t>
      </w:r>
      <w:r>
        <w:rPr>
          <w:rFonts w:hint="eastAsia"/>
        </w:rPr>
        <w:t>年，第一天出生后死亡的婴儿人数为</w:t>
      </w:r>
      <w:r>
        <w:rPr>
          <w:rFonts w:hint="eastAsia"/>
        </w:rPr>
        <w:t>693</w:t>
      </w:r>
      <w:r>
        <w:rPr>
          <w:rFonts w:hint="eastAsia"/>
        </w:rPr>
        <w:t>人</w:t>
      </w:r>
      <w:r>
        <w:rPr>
          <w:rFonts w:hint="eastAsia"/>
        </w:rPr>
        <w:t>(2001</w:t>
      </w:r>
      <w:r>
        <w:rPr>
          <w:rFonts w:hint="eastAsia"/>
        </w:rPr>
        <w:t>年为</w:t>
      </w:r>
      <w:r>
        <w:rPr>
          <w:rFonts w:hint="eastAsia"/>
        </w:rPr>
        <w:t>789</w:t>
      </w:r>
      <w:r>
        <w:rPr>
          <w:rFonts w:hint="eastAsia"/>
        </w:rPr>
        <w:t>人</w:t>
      </w:r>
      <w:r>
        <w:rPr>
          <w:rFonts w:hint="eastAsia"/>
        </w:rPr>
        <w:t>)</w:t>
      </w:r>
      <w:r>
        <w:rPr>
          <w:rFonts w:hint="eastAsia"/>
        </w:rPr>
        <w:t>。同年，每</w:t>
      </w:r>
      <w:r>
        <w:rPr>
          <w:rFonts w:hint="eastAsia"/>
        </w:rPr>
        <w:t>1000</w:t>
      </w:r>
      <w:r>
        <w:rPr>
          <w:rFonts w:hint="eastAsia"/>
        </w:rPr>
        <w:t>同性别活产胎儿第一天出生后死亡的婴儿人数分别为：男婴：</w:t>
      </w:r>
      <w:r>
        <w:rPr>
          <w:rFonts w:hint="eastAsia"/>
        </w:rPr>
        <w:t>7.3</w:t>
      </w:r>
      <w:r>
        <w:rPr>
          <w:rFonts w:hint="eastAsia"/>
        </w:rPr>
        <w:t>；女婴：</w:t>
      </w:r>
      <w:r>
        <w:rPr>
          <w:rFonts w:hint="eastAsia"/>
        </w:rPr>
        <w:t>7.0</w:t>
      </w:r>
      <w:r>
        <w:rPr>
          <w:rFonts w:hint="eastAsia"/>
        </w:rPr>
        <w:t>；总计：</w:t>
      </w:r>
      <w:r>
        <w:rPr>
          <w:rFonts w:hint="eastAsia"/>
        </w:rPr>
        <w:t>7.2</w:t>
      </w:r>
      <w:r>
        <w:rPr>
          <w:rFonts w:hint="eastAsia"/>
        </w:rPr>
        <w:t>。</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平均预期寿命的发展情况</w:t>
      </w:r>
    </w:p>
    <w:p w:rsidR="00000000" w:rsidRDefault="00000000">
      <w:pPr>
        <w:widowControl w:val="0"/>
        <w:spacing w:after="320"/>
        <w:rPr>
          <w:rFonts w:hint="eastAsia"/>
        </w:rPr>
      </w:pPr>
      <w:r>
        <w:tab/>
      </w:r>
      <w:r>
        <w:rPr>
          <w:rFonts w:hint="eastAsia"/>
        </w:rPr>
        <w:t>479.</w:t>
      </w:r>
      <w:r>
        <w:t xml:space="preserve">  </w:t>
      </w:r>
      <w:r>
        <w:rPr>
          <w:rFonts w:hint="eastAsia"/>
        </w:rPr>
        <w:t>男子出生预期寿命在</w:t>
      </w:r>
      <w:r>
        <w:rPr>
          <w:rFonts w:hint="eastAsia"/>
        </w:rPr>
        <w:t>1980</w:t>
      </w:r>
      <w:r>
        <w:rPr>
          <w:rFonts w:hint="eastAsia"/>
        </w:rPr>
        <w:t>年至</w:t>
      </w:r>
      <w:r>
        <w:rPr>
          <w:rFonts w:hint="eastAsia"/>
        </w:rPr>
        <w:t>1990</w:t>
      </w:r>
      <w:r>
        <w:rPr>
          <w:rFonts w:hint="eastAsia"/>
        </w:rPr>
        <w:t>年期间略有下降，但自</w:t>
      </w:r>
      <w:r>
        <w:rPr>
          <w:rFonts w:hint="eastAsia"/>
        </w:rPr>
        <w:t>1990</w:t>
      </w:r>
      <w:r>
        <w:rPr>
          <w:rFonts w:hint="eastAsia"/>
        </w:rPr>
        <w:t>年代中期以来，又有增长的趋势。妇女的预期寿命在</w:t>
      </w:r>
      <w:r>
        <w:rPr>
          <w:rFonts w:hint="eastAsia"/>
        </w:rPr>
        <w:t>1980</w:t>
      </w:r>
      <w:r>
        <w:rPr>
          <w:rFonts w:hint="eastAsia"/>
        </w:rPr>
        <w:t>年至</w:t>
      </w:r>
      <w:r>
        <w:rPr>
          <w:rFonts w:hint="eastAsia"/>
        </w:rPr>
        <w:t>1990</w:t>
      </w:r>
      <w:r>
        <w:rPr>
          <w:rFonts w:hint="eastAsia"/>
        </w:rPr>
        <w:t>年期间几乎没有变化。不过，自</w:t>
      </w:r>
      <w:r>
        <w:rPr>
          <w:rFonts w:hint="eastAsia"/>
        </w:rPr>
        <w:t>1990</w:t>
      </w:r>
      <w:r>
        <w:rPr>
          <w:rFonts w:hint="eastAsia"/>
        </w:rPr>
        <w:t>年以来有增长的趋势</w:t>
      </w:r>
      <w:r>
        <w:rPr>
          <w:rFonts w:hint="eastAsia"/>
        </w:rPr>
        <w:t>(</w:t>
      </w:r>
      <w:r>
        <w:rPr>
          <w:rFonts w:hint="eastAsia"/>
        </w:rPr>
        <w:t>进一步的统计资料，见附件</w:t>
      </w:r>
      <w:r>
        <w:rPr>
          <w:rFonts w:hint="eastAsia"/>
        </w:rPr>
        <w:t>)</w:t>
      </w:r>
      <w:r>
        <w:rPr>
          <w:rFonts w:hint="eastAsia"/>
        </w:rPr>
        <w:t>。</w:t>
      </w:r>
    </w:p>
    <w:p w:rsidR="00000000" w:rsidRDefault="00000000">
      <w:pPr>
        <w:pStyle w:val="Heading3"/>
        <w:rPr>
          <w:rFonts w:hint="eastAsia"/>
        </w:rPr>
      </w:pPr>
      <w:r>
        <w:rPr>
          <w:rFonts w:hint="eastAsia"/>
        </w:rPr>
        <w:t>1970</w:t>
      </w:r>
      <w:r>
        <w:rPr>
          <w:rFonts w:hint="eastAsia"/>
        </w:rPr>
        <w:t>年至</w:t>
      </w:r>
      <w:r>
        <w:rPr>
          <w:rFonts w:hint="eastAsia"/>
        </w:rPr>
        <w:t>2001</w:t>
      </w:r>
      <w:r>
        <w:rPr>
          <w:rFonts w:hint="eastAsia"/>
        </w:rPr>
        <w:t>年期间的预期寿命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4"/>
        <w:gridCol w:w="1046"/>
        <w:gridCol w:w="1045"/>
        <w:gridCol w:w="1046"/>
        <w:gridCol w:w="1045"/>
        <w:gridCol w:w="1046"/>
        <w:gridCol w:w="1046"/>
        <w:gridCol w:w="1046"/>
        <w:gridCol w:w="1046"/>
      </w:tblGrid>
      <w:tr w:rsidR="00000000">
        <w:tblPrEx>
          <w:tblCellMar>
            <w:top w:w="0" w:type="dxa"/>
            <w:bottom w:w="0" w:type="dxa"/>
          </w:tblCellMar>
        </w:tblPrEx>
        <w:trPr>
          <w:cantSplit/>
        </w:trPr>
        <w:tc>
          <w:tcPr>
            <w:tcW w:w="1045" w:type="dxa"/>
          </w:tcPr>
          <w:p w:rsidR="00000000" w:rsidRDefault="00000000">
            <w:pPr>
              <w:pStyle w:val="a2"/>
              <w:spacing w:line="360" w:lineRule="atLeast"/>
              <w:rPr>
                <w:rFonts w:hint="eastAsia"/>
              </w:rPr>
            </w:pPr>
            <w:r>
              <w:rPr>
                <w:rFonts w:hint="eastAsia"/>
              </w:rPr>
              <w:t>年</w:t>
            </w:r>
            <w:r>
              <w:t xml:space="preserve"> </w:t>
            </w:r>
            <w:r>
              <w:rPr>
                <w:rFonts w:hint="eastAsia"/>
              </w:rPr>
              <w:t>份</w:t>
            </w:r>
          </w:p>
        </w:tc>
        <w:tc>
          <w:tcPr>
            <w:tcW w:w="2090" w:type="dxa"/>
            <w:gridSpan w:val="2"/>
          </w:tcPr>
          <w:p w:rsidR="00000000" w:rsidRDefault="00000000">
            <w:pPr>
              <w:pStyle w:val="a2"/>
              <w:spacing w:line="360" w:lineRule="atLeast"/>
              <w:jc w:val="center"/>
              <w:rPr>
                <w:rFonts w:hint="eastAsia"/>
              </w:rPr>
            </w:pPr>
            <w:r>
              <w:rPr>
                <w:rFonts w:hint="eastAsia"/>
              </w:rPr>
              <w:t>出</w:t>
            </w:r>
            <w:r>
              <w:t xml:space="preserve"> </w:t>
            </w:r>
            <w:r>
              <w:rPr>
                <w:rFonts w:hint="eastAsia"/>
              </w:rPr>
              <w:t>生</w:t>
            </w:r>
          </w:p>
        </w:tc>
        <w:tc>
          <w:tcPr>
            <w:tcW w:w="2091" w:type="dxa"/>
            <w:gridSpan w:val="2"/>
          </w:tcPr>
          <w:p w:rsidR="00000000" w:rsidRDefault="00000000">
            <w:pPr>
              <w:pStyle w:val="a2"/>
              <w:spacing w:line="360" w:lineRule="atLeast"/>
              <w:jc w:val="center"/>
              <w:rPr>
                <w:rFonts w:hint="eastAsia"/>
              </w:rPr>
            </w:pPr>
            <w:r>
              <w:rPr>
                <w:rFonts w:hint="eastAsia"/>
              </w:rPr>
              <w:t xml:space="preserve">1 </w:t>
            </w:r>
            <w:r>
              <w:rPr>
                <w:rFonts w:hint="eastAsia"/>
              </w:rPr>
              <w:t>岁</w:t>
            </w:r>
          </w:p>
        </w:tc>
        <w:tc>
          <w:tcPr>
            <w:tcW w:w="2092" w:type="dxa"/>
            <w:gridSpan w:val="2"/>
          </w:tcPr>
          <w:p w:rsidR="00000000" w:rsidRDefault="00000000">
            <w:pPr>
              <w:pStyle w:val="a2"/>
              <w:spacing w:line="360" w:lineRule="atLeast"/>
              <w:jc w:val="center"/>
              <w:rPr>
                <w:rFonts w:hint="eastAsia"/>
              </w:rPr>
            </w:pPr>
            <w:r>
              <w:rPr>
                <w:rFonts w:hint="eastAsia"/>
              </w:rPr>
              <w:t>40</w:t>
            </w:r>
            <w:r>
              <w:rPr>
                <w:rFonts w:hint="eastAsia"/>
              </w:rPr>
              <w:t>岁</w:t>
            </w:r>
          </w:p>
        </w:tc>
        <w:tc>
          <w:tcPr>
            <w:tcW w:w="2092" w:type="dxa"/>
            <w:gridSpan w:val="2"/>
          </w:tcPr>
          <w:p w:rsidR="00000000" w:rsidRDefault="00000000">
            <w:pPr>
              <w:pStyle w:val="a2"/>
              <w:spacing w:line="360" w:lineRule="atLeast"/>
              <w:jc w:val="center"/>
              <w:rPr>
                <w:rFonts w:hint="eastAsia"/>
              </w:rPr>
            </w:pPr>
            <w:r>
              <w:rPr>
                <w:rFonts w:hint="eastAsia"/>
              </w:rPr>
              <w:t>60</w:t>
            </w:r>
            <w:r>
              <w:rPr>
                <w:rFonts w:hint="eastAsia"/>
              </w:rPr>
              <w:t>岁</w:t>
            </w:r>
          </w:p>
        </w:tc>
      </w:tr>
      <w:tr w:rsidR="00000000">
        <w:tblPrEx>
          <w:tblCellMar>
            <w:top w:w="0" w:type="dxa"/>
            <w:bottom w:w="0" w:type="dxa"/>
          </w:tblCellMar>
        </w:tblPrEx>
        <w:tc>
          <w:tcPr>
            <w:tcW w:w="1045" w:type="dxa"/>
          </w:tcPr>
          <w:p w:rsidR="00000000" w:rsidRDefault="00000000">
            <w:pPr>
              <w:pStyle w:val="a2"/>
              <w:spacing w:line="360" w:lineRule="atLeast"/>
              <w:rPr>
                <w:rFonts w:hint="eastAsia"/>
              </w:rPr>
            </w:pPr>
          </w:p>
        </w:tc>
        <w:tc>
          <w:tcPr>
            <w:tcW w:w="1046" w:type="dxa"/>
          </w:tcPr>
          <w:p w:rsidR="00000000" w:rsidRDefault="00000000">
            <w:pPr>
              <w:pStyle w:val="a2"/>
              <w:spacing w:line="360" w:lineRule="atLeast"/>
              <w:jc w:val="center"/>
              <w:rPr>
                <w:rFonts w:hint="eastAsia"/>
              </w:rPr>
            </w:pPr>
            <w:r>
              <w:rPr>
                <w:rFonts w:hint="eastAsia"/>
              </w:rPr>
              <w:t>男</w:t>
            </w:r>
          </w:p>
        </w:tc>
        <w:tc>
          <w:tcPr>
            <w:tcW w:w="1045" w:type="dxa"/>
          </w:tcPr>
          <w:p w:rsidR="00000000" w:rsidRDefault="00000000">
            <w:pPr>
              <w:pStyle w:val="a2"/>
              <w:spacing w:line="360" w:lineRule="atLeast"/>
              <w:jc w:val="center"/>
              <w:rPr>
                <w:rFonts w:hint="eastAsia"/>
              </w:rPr>
            </w:pPr>
            <w:r>
              <w:rPr>
                <w:rFonts w:hint="eastAsia"/>
              </w:rPr>
              <w:t>女</w:t>
            </w:r>
          </w:p>
        </w:tc>
        <w:tc>
          <w:tcPr>
            <w:tcW w:w="1046" w:type="dxa"/>
          </w:tcPr>
          <w:p w:rsidR="00000000" w:rsidRDefault="00000000">
            <w:pPr>
              <w:pStyle w:val="a2"/>
              <w:spacing w:line="360" w:lineRule="atLeast"/>
              <w:jc w:val="center"/>
              <w:rPr>
                <w:rFonts w:hint="eastAsia"/>
              </w:rPr>
            </w:pPr>
            <w:r>
              <w:rPr>
                <w:rFonts w:hint="eastAsia"/>
              </w:rPr>
              <w:t>男</w:t>
            </w:r>
          </w:p>
        </w:tc>
        <w:tc>
          <w:tcPr>
            <w:tcW w:w="1045" w:type="dxa"/>
          </w:tcPr>
          <w:p w:rsidR="00000000" w:rsidRDefault="00000000">
            <w:pPr>
              <w:pStyle w:val="a2"/>
              <w:spacing w:line="360" w:lineRule="atLeast"/>
              <w:jc w:val="center"/>
              <w:rPr>
                <w:rFonts w:hint="eastAsia"/>
              </w:rPr>
            </w:pPr>
            <w:r>
              <w:rPr>
                <w:rFonts w:hint="eastAsia"/>
              </w:rPr>
              <w:t>女</w:t>
            </w:r>
          </w:p>
        </w:tc>
        <w:tc>
          <w:tcPr>
            <w:tcW w:w="1046" w:type="dxa"/>
          </w:tcPr>
          <w:p w:rsidR="00000000" w:rsidRDefault="00000000">
            <w:pPr>
              <w:pStyle w:val="a2"/>
              <w:spacing w:line="360" w:lineRule="atLeast"/>
              <w:jc w:val="center"/>
              <w:rPr>
                <w:rFonts w:hint="eastAsia"/>
              </w:rPr>
            </w:pPr>
            <w:r>
              <w:rPr>
                <w:rFonts w:hint="eastAsia"/>
              </w:rPr>
              <w:t>男</w:t>
            </w:r>
          </w:p>
        </w:tc>
        <w:tc>
          <w:tcPr>
            <w:tcW w:w="1045" w:type="dxa"/>
          </w:tcPr>
          <w:p w:rsidR="00000000" w:rsidRDefault="00000000">
            <w:pPr>
              <w:pStyle w:val="a2"/>
              <w:spacing w:line="360" w:lineRule="atLeast"/>
              <w:jc w:val="center"/>
              <w:rPr>
                <w:rFonts w:hint="eastAsia"/>
              </w:rPr>
            </w:pPr>
            <w:r>
              <w:rPr>
                <w:rFonts w:hint="eastAsia"/>
              </w:rPr>
              <w:t>女</w:t>
            </w:r>
          </w:p>
        </w:tc>
        <w:tc>
          <w:tcPr>
            <w:tcW w:w="1046" w:type="dxa"/>
          </w:tcPr>
          <w:p w:rsidR="00000000" w:rsidRDefault="00000000">
            <w:pPr>
              <w:pStyle w:val="a2"/>
              <w:spacing w:line="360" w:lineRule="atLeast"/>
              <w:jc w:val="center"/>
              <w:rPr>
                <w:rFonts w:hint="eastAsia"/>
              </w:rPr>
            </w:pPr>
            <w:r>
              <w:rPr>
                <w:rFonts w:hint="eastAsia"/>
              </w:rPr>
              <w:t>男</w:t>
            </w:r>
          </w:p>
        </w:tc>
        <w:tc>
          <w:tcPr>
            <w:tcW w:w="1046" w:type="dxa"/>
          </w:tcPr>
          <w:p w:rsidR="00000000" w:rsidRDefault="00000000">
            <w:pPr>
              <w:pStyle w:val="a2"/>
              <w:spacing w:line="360" w:lineRule="atLeast"/>
              <w:jc w:val="center"/>
              <w:rPr>
                <w:rFonts w:hint="eastAsia"/>
              </w:rPr>
            </w:pPr>
            <w:r>
              <w:rPr>
                <w:rFonts w:hint="eastAsia"/>
              </w:rPr>
              <w:t>女</w:t>
            </w:r>
          </w:p>
        </w:tc>
      </w:tr>
      <w:tr w:rsidR="00000000">
        <w:tblPrEx>
          <w:tblCellMar>
            <w:top w:w="0" w:type="dxa"/>
            <w:bottom w:w="0" w:type="dxa"/>
          </w:tblCellMar>
        </w:tblPrEx>
        <w:tc>
          <w:tcPr>
            <w:tcW w:w="1045" w:type="dxa"/>
          </w:tcPr>
          <w:p w:rsidR="00000000" w:rsidRDefault="00000000">
            <w:pPr>
              <w:pStyle w:val="a2"/>
              <w:spacing w:line="360" w:lineRule="atLeast"/>
              <w:rPr>
                <w:rFonts w:hint="eastAsia"/>
              </w:rPr>
            </w:pPr>
            <w:r>
              <w:rPr>
                <w:rFonts w:hint="eastAsia"/>
              </w:rPr>
              <w:t>1970</w:t>
            </w:r>
          </w:p>
        </w:tc>
        <w:tc>
          <w:tcPr>
            <w:tcW w:w="1046" w:type="dxa"/>
          </w:tcPr>
          <w:p w:rsidR="00000000" w:rsidRDefault="00000000">
            <w:pPr>
              <w:pStyle w:val="a2"/>
              <w:spacing w:line="360" w:lineRule="atLeast"/>
              <w:jc w:val="center"/>
              <w:rPr>
                <w:rFonts w:hint="eastAsia"/>
              </w:rPr>
            </w:pPr>
            <w:r>
              <w:rPr>
                <w:rFonts w:hint="eastAsia"/>
              </w:rPr>
              <w:t>66.3</w:t>
            </w:r>
          </w:p>
        </w:tc>
        <w:tc>
          <w:tcPr>
            <w:tcW w:w="1045" w:type="dxa"/>
          </w:tcPr>
          <w:p w:rsidR="00000000" w:rsidRDefault="00000000">
            <w:pPr>
              <w:pStyle w:val="a2"/>
              <w:spacing w:line="360" w:lineRule="atLeast"/>
              <w:jc w:val="center"/>
              <w:rPr>
                <w:rFonts w:hint="eastAsia"/>
              </w:rPr>
            </w:pPr>
            <w:r>
              <w:rPr>
                <w:rFonts w:hint="eastAsia"/>
              </w:rPr>
              <w:t>72.1</w:t>
            </w:r>
          </w:p>
        </w:tc>
        <w:tc>
          <w:tcPr>
            <w:tcW w:w="1046" w:type="dxa"/>
          </w:tcPr>
          <w:p w:rsidR="00000000" w:rsidRDefault="00000000">
            <w:pPr>
              <w:pStyle w:val="a2"/>
              <w:spacing w:line="360" w:lineRule="atLeast"/>
              <w:jc w:val="center"/>
              <w:rPr>
                <w:rFonts w:hint="eastAsia"/>
              </w:rPr>
            </w:pPr>
            <w:r>
              <w:rPr>
                <w:rFonts w:hint="eastAsia"/>
              </w:rPr>
              <w:t>68.1</w:t>
            </w:r>
          </w:p>
        </w:tc>
        <w:tc>
          <w:tcPr>
            <w:tcW w:w="1045" w:type="dxa"/>
          </w:tcPr>
          <w:p w:rsidR="00000000" w:rsidRDefault="00000000">
            <w:pPr>
              <w:pStyle w:val="a2"/>
              <w:spacing w:line="360" w:lineRule="atLeast"/>
              <w:jc w:val="center"/>
              <w:rPr>
                <w:rFonts w:hint="eastAsia"/>
              </w:rPr>
            </w:pPr>
            <w:r>
              <w:rPr>
                <w:rFonts w:hint="eastAsia"/>
              </w:rPr>
              <w:t>73.4</w:t>
            </w:r>
          </w:p>
        </w:tc>
        <w:tc>
          <w:tcPr>
            <w:tcW w:w="1046" w:type="dxa"/>
          </w:tcPr>
          <w:p w:rsidR="00000000" w:rsidRDefault="00000000">
            <w:pPr>
              <w:pStyle w:val="a2"/>
              <w:spacing w:line="360" w:lineRule="atLeast"/>
              <w:jc w:val="center"/>
              <w:rPr>
                <w:rFonts w:hint="eastAsia"/>
              </w:rPr>
            </w:pPr>
            <w:r>
              <w:rPr>
                <w:rFonts w:hint="eastAsia"/>
              </w:rPr>
              <w:t>31.5</w:t>
            </w:r>
          </w:p>
        </w:tc>
        <w:tc>
          <w:tcPr>
            <w:tcW w:w="1045" w:type="dxa"/>
          </w:tcPr>
          <w:p w:rsidR="00000000" w:rsidRDefault="00000000">
            <w:pPr>
              <w:pStyle w:val="a2"/>
              <w:spacing w:line="360" w:lineRule="atLeast"/>
              <w:jc w:val="center"/>
              <w:rPr>
                <w:rFonts w:hint="eastAsia"/>
              </w:rPr>
            </w:pPr>
            <w:r>
              <w:rPr>
                <w:rFonts w:hint="eastAsia"/>
              </w:rPr>
              <w:t>35.8</w:t>
            </w:r>
          </w:p>
        </w:tc>
        <w:tc>
          <w:tcPr>
            <w:tcW w:w="1046" w:type="dxa"/>
          </w:tcPr>
          <w:p w:rsidR="00000000" w:rsidRDefault="00000000">
            <w:pPr>
              <w:pStyle w:val="a2"/>
              <w:spacing w:line="360" w:lineRule="atLeast"/>
              <w:jc w:val="center"/>
              <w:rPr>
                <w:rFonts w:hint="eastAsia"/>
              </w:rPr>
            </w:pPr>
            <w:r>
              <w:rPr>
                <w:rFonts w:hint="eastAsia"/>
              </w:rPr>
              <w:t>15.2</w:t>
            </w:r>
          </w:p>
        </w:tc>
        <w:tc>
          <w:tcPr>
            <w:tcW w:w="1046" w:type="dxa"/>
          </w:tcPr>
          <w:p w:rsidR="00000000" w:rsidRDefault="00000000">
            <w:pPr>
              <w:pStyle w:val="a2"/>
              <w:spacing w:line="360" w:lineRule="atLeast"/>
              <w:jc w:val="center"/>
              <w:rPr>
                <w:rFonts w:hint="eastAsia"/>
              </w:rPr>
            </w:pPr>
            <w:r>
              <w:rPr>
                <w:rFonts w:hint="eastAsia"/>
              </w:rPr>
              <w:t>18.2</w:t>
            </w:r>
          </w:p>
        </w:tc>
      </w:tr>
      <w:tr w:rsidR="00000000">
        <w:tblPrEx>
          <w:tblCellMar>
            <w:top w:w="0" w:type="dxa"/>
            <w:bottom w:w="0" w:type="dxa"/>
          </w:tblCellMar>
        </w:tblPrEx>
        <w:tc>
          <w:tcPr>
            <w:tcW w:w="1045" w:type="dxa"/>
          </w:tcPr>
          <w:p w:rsidR="00000000" w:rsidRDefault="00000000">
            <w:pPr>
              <w:pStyle w:val="a2"/>
              <w:spacing w:line="360" w:lineRule="atLeast"/>
              <w:rPr>
                <w:rFonts w:hint="eastAsia"/>
              </w:rPr>
            </w:pPr>
            <w:r>
              <w:rPr>
                <w:rFonts w:hint="eastAsia"/>
              </w:rPr>
              <w:t>1980</w:t>
            </w:r>
          </w:p>
        </w:tc>
        <w:tc>
          <w:tcPr>
            <w:tcW w:w="1046" w:type="dxa"/>
          </w:tcPr>
          <w:p w:rsidR="00000000" w:rsidRDefault="00000000">
            <w:pPr>
              <w:pStyle w:val="a2"/>
              <w:spacing w:line="360" w:lineRule="atLeast"/>
              <w:jc w:val="center"/>
              <w:rPr>
                <w:rFonts w:hint="eastAsia"/>
              </w:rPr>
            </w:pPr>
            <w:r>
              <w:rPr>
                <w:rFonts w:hint="eastAsia"/>
              </w:rPr>
              <w:t>65.5</w:t>
            </w:r>
          </w:p>
        </w:tc>
        <w:tc>
          <w:tcPr>
            <w:tcW w:w="1045" w:type="dxa"/>
          </w:tcPr>
          <w:p w:rsidR="00000000" w:rsidRDefault="00000000">
            <w:pPr>
              <w:pStyle w:val="a2"/>
              <w:spacing w:line="360" w:lineRule="atLeast"/>
              <w:jc w:val="center"/>
              <w:rPr>
                <w:rFonts w:hint="eastAsia"/>
              </w:rPr>
            </w:pPr>
            <w:r>
              <w:rPr>
                <w:rFonts w:hint="eastAsia"/>
              </w:rPr>
              <w:t>72.7</w:t>
            </w:r>
          </w:p>
        </w:tc>
        <w:tc>
          <w:tcPr>
            <w:tcW w:w="1046" w:type="dxa"/>
          </w:tcPr>
          <w:p w:rsidR="00000000" w:rsidRDefault="00000000">
            <w:pPr>
              <w:pStyle w:val="a2"/>
              <w:spacing w:line="360" w:lineRule="atLeast"/>
              <w:jc w:val="center"/>
              <w:rPr>
                <w:rFonts w:hint="eastAsia"/>
              </w:rPr>
            </w:pPr>
            <w:r>
              <w:rPr>
                <w:rFonts w:hint="eastAsia"/>
              </w:rPr>
              <w:t>66.2</w:t>
            </w:r>
          </w:p>
        </w:tc>
        <w:tc>
          <w:tcPr>
            <w:tcW w:w="1045" w:type="dxa"/>
          </w:tcPr>
          <w:p w:rsidR="00000000" w:rsidRDefault="00000000">
            <w:pPr>
              <w:pStyle w:val="a2"/>
              <w:spacing w:line="360" w:lineRule="atLeast"/>
              <w:jc w:val="center"/>
              <w:rPr>
                <w:rFonts w:hint="eastAsia"/>
              </w:rPr>
            </w:pPr>
            <w:r>
              <w:rPr>
                <w:rFonts w:hint="eastAsia"/>
              </w:rPr>
              <w:t>73.2</w:t>
            </w:r>
          </w:p>
        </w:tc>
        <w:tc>
          <w:tcPr>
            <w:tcW w:w="1046" w:type="dxa"/>
          </w:tcPr>
          <w:p w:rsidR="00000000" w:rsidRDefault="00000000">
            <w:pPr>
              <w:pStyle w:val="a2"/>
              <w:spacing w:line="360" w:lineRule="atLeast"/>
              <w:jc w:val="center"/>
              <w:rPr>
                <w:rFonts w:hint="eastAsia"/>
              </w:rPr>
            </w:pPr>
            <w:r>
              <w:rPr>
                <w:rFonts w:hint="eastAsia"/>
              </w:rPr>
              <w:t>29.6</w:t>
            </w:r>
          </w:p>
        </w:tc>
        <w:tc>
          <w:tcPr>
            <w:tcW w:w="1045" w:type="dxa"/>
          </w:tcPr>
          <w:p w:rsidR="00000000" w:rsidRDefault="00000000">
            <w:pPr>
              <w:pStyle w:val="a2"/>
              <w:spacing w:line="360" w:lineRule="atLeast"/>
              <w:jc w:val="center"/>
              <w:rPr>
                <w:rFonts w:hint="eastAsia"/>
              </w:rPr>
            </w:pPr>
            <w:r>
              <w:rPr>
                <w:rFonts w:hint="eastAsia"/>
              </w:rPr>
              <w:t>35.5</w:t>
            </w:r>
          </w:p>
        </w:tc>
        <w:tc>
          <w:tcPr>
            <w:tcW w:w="1046" w:type="dxa"/>
          </w:tcPr>
          <w:p w:rsidR="00000000" w:rsidRDefault="00000000">
            <w:pPr>
              <w:pStyle w:val="a2"/>
              <w:spacing w:line="360" w:lineRule="atLeast"/>
              <w:jc w:val="center"/>
              <w:rPr>
                <w:rFonts w:hint="eastAsia"/>
              </w:rPr>
            </w:pPr>
            <w:r>
              <w:rPr>
                <w:rFonts w:hint="eastAsia"/>
              </w:rPr>
              <w:t>15.6</w:t>
            </w:r>
          </w:p>
        </w:tc>
        <w:tc>
          <w:tcPr>
            <w:tcW w:w="1046" w:type="dxa"/>
          </w:tcPr>
          <w:p w:rsidR="00000000" w:rsidRDefault="00000000">
            <w:pPr>
              <w:pStyle w:val="a2"/>
              <w:spacing w:line="360" w:lineRule="atLeast"/>
              <w:jc w:val="center"/>
              <w:rPr>
                <w:rFonts w:hint="eastAsia"/>
              </w:rPr>
            </w:pPr>
            <w:r>
              <w:rPr>
                <w:rFonts w:hint="eastAsia"/>
              </w:rPr>
              <w:t>18.3</w:t>
            </w:r>
          </w:p>
        </w:tc>
      </w:tr>
      <w:tr w:rsidR="00000000">
        <w:tblPrEx>
          <w:tblCellMar>
            <w:top w:w="0" w:type="dxa"/>
            <w:bottom w:w="0" w:type="dxa"/>
          </w:tblCellMar>
        </w:tblPrEx>
        <w:tc>
          <w:tcPr>
            <w:tcW w:w="1045" w:type="dxa"/>
          </w:tcPr>
          <w:p w:rsidR="00000000" w:rsidRDefault="00000000">
            <w:pPr>
              <w:pStyle w:val="a2"/>
              <w:spacing w:line="360" w:lineRule="atLeast"/>
              <w:rPr>
                <w:rFonts w:hint="eastAsia"/>
              </w:rPr>
            </w:pPr>
            <w:r>
              <w:rPr>
                <w:rFonts w:hint="eastAsia"/>
              </w:rPr>
              <w:t>1985</w:t>
            </w:r>
          </w:p>
        </w:tc>
        <w:tc>
          <w:tcPr>
            <w:tcW w:w="1046" w:type="dxa"/>
          </w:tcPr>
          <w:p w:rsidR="00000000" w:rsidRDefault="00000000">
            <w:pPr>
              <w:pStyle w:val="a2"/>
              <w:spacing w:line="360" w:lineRule="atLeast"/>
              <w:jc w:val="center"/>
              <w:rPr>
                <w:rFonts w:hint="eastAsia"/>
              </w:rPr>
            </w:pPr>
            <w:r>
              <w:rPr>
                <w:rFonts w:hint="eastAsia"/>
              </w:rPr>
              <w:t>65.1</w:t>
            </w:r>
          </w:p>
        </w:tc>
        <w:tc>
          <w:tcPr>
            <w:tcW w:w="1045" w:type="dxa"/>
          </w:tcPr>
          <w:p w:rsidR="00000000" w:rsidRDefault="00000000">
            <w:pPr>
              <w:pStyle w:val="a2"/>
              <w:spacing w:line="360" w:lineRule="atLeast"/>
              <w:jc w:val="center"/>
              <w:rPr>
                <w:rFonts w:hint="eastAsia"/>
              </w:rPr>
            </w:pPr>
            <w:r>
              <w:rPr>
                <w:rFonts w:hint="eastAsia"/>
              </w:rPr>
              <w:t>73.1</w:t>
            </w:r>
          </w:p>
        </w:tc>
        <w:tc>
          <w:tcPr>
            <w:tcW w:w="1046" w:type="dxa"/>
          </w:tcPr>
          <w:p w:rsidR="00000000" w:rsidRDefault="00000000">
            <w:pPr>
              <w:pStyle w:val="a2"/>
              <w:spacing w:line="360" w:lineRule="atLeast"/>
              <w:jc w:val="center"/>
              <w:rPr>
                <w:rFonts w:hint="eastAsia"/>
              </w:rPr>
            </w:pPr>
            <w:r>
              <w:rPr>
                <w:rFonts w:hint="eastAsia"/>
              </w:rPr>
              <w:t>66.1</w:t>
            </w:r>
          </w:p>
        </w:tc>
        <w:tc>
          <w:tcPr>
            <w:tcW w:w="1045" w:type="dxa"/>
          </w:tcPr>
          <w:p w:rsidR="00000000" w:rsidRDefault="00000000">
            <w:pPr>
              <w:pStyle w:val="a2"/>
              <w:spacing w:line="360" w:lineRule="atLeast"/>
              <w:jc w:val="center"/>
              <w:rPr>
                <w:rFonts w:hint="eastAsia"/>
              </w:rPr>
            </w:pPr>
            <w:r>
              <w:rPr>
                <w:rFonts w:hint="eastAsia"/>
              </w:rPr>
              <w:t>73.9</w:t>
            </w:r>
          </w:p>
        </w:tc>
        <w:tc>
          <w:tcPr>
            <w:tcW w:w="1046" w:type="dxa"/>
          </w:tcPr>
          <w:p w:rsidR="00000000" w:rsidRDefault="00000000">
            <w:pPr>
              <w:pStyle w:val="a2"/>
              <w:spacing w:line="360" w:lineRule="atLeast"/>
              <w:jc w:val="center"/>
              <w:rPr>
                <w:rFonts w:hint="eastAsia"/>
              </w:rPr>
            </w:pPr>
            <w:r>
              <w:rPr>
                <w:rFonts w:hint="eastAsia"/>
              </w:rPr>
              <w:t>29.6</w:t>
            </w:r>
          </w:p>
        </w:tc>
        <w:tc>
          <w:tcPr>
            <w:tcW w:w="1045" w:type="dxa"/>
          </w:tcPr>
          <w:p w:rsidR="00000000" w:rsidRDefault="00000000">
            <w:pPr>
              <w:pStyle w:val="a2"/>
              <w:spacing w:line="360" w:lineRule="atLeast"/>
              <w:jc w:val="center"/>
              <w:rPr>
                <w:rFonts w:hint="eastAsia"/>
              </w:rPr>
            </w:pPr>
            <w:r>
              <w:rPr>
                <w:rFonts w:hint="eastAsia"/>
              </w:rPr>
              <w:t>36.2</w:t>
            </w:r>
          </w:p>
        </w:tc>
        <w:tc>
          <w:tcPr>
            <w:tcW w:w="1046" w:type="dxa"/>
          </w:tcPr>
          <w:p w:rsidR="00000000" w:rsidRDefault="00000000">
            <w:pPr>
              <w:pStyle w:val="a2"/>
              <w:spacing w:line="360" w:lineRule="atLeast"/>
              <w:jc w:val="center"/>
              <w:rPr>
                <w:rFonts w:hint="eastAsia"/>
              </w:rPr>
            </w:pPr>
            <w:r>
              <w:rPr>
                <w:rFonts w:hint="eastAsia"/>
              </w:rPr>
              <w:t>15.1</w:t>
            </w:r>
          </w:p>
        </w:tc>
        <w:tc>
          <w:tcPr>
            <w:tcW w:w="1046" w:type="dxa"/>
          </w:tcPr>
          <w:p w:rsidR="00000000" w:rsidRDefault="00000000">
            <w:pPr>
              <w:pStyle w:val="a2"/>
              <w:spacing w:line="360" w:lineRule="atLeast"/>
              <w:jc w:val="center"/>
              <w:rPr>
                <w:rFonts w:hint="eastAsia"/>
              </w:rPr>
            </w:pPr>
            <w:r>
              <w:rPr>
                <w:rFonts w:hint="eastAsia"/>
              </w:rPr>
              <w:t>19.2</w:t>
            </w:r>
          </w:p>
        </w:tc>
      </w:tr>
      <w:tr w:rsidR="00000000">
        <w:tblPrEx>
          <w:tblCellMar>
            <w:top w:w="0" w:type="dxa"/>
            <w:bottom w:w="0" w:type="dxa"/>
          </w:tblCellMar>
        </w:tblPrEx>
        <w:tc>
          <w:tcPr>
            <w:tcW w:w="1045" w:type="dxa"/>
          </w:tcPr>
          <w:p w:rsidR="00000000" w:rsidRDefault="00000000">
            <w:pPr>
              <w:pStyle w:val="a2"/>
              <w:spacing w:line="360" w:lineRule="atLeast"/>
              <w:rPr>
                <w:rFonts w:hint="eastAsia"/>
              </w:rPr>
            </w:pPr>
            <w:r>
              <w:rPr>
                <w:rFonts w:hint="eastAsia"/>
              </w:rPr>
              <w:t>1990</w:t>
            </w:r>
          </w:p>
        </w:tc>
        <w:tc>
          <w:tcPr>
            <w:tcW w:w="1046" w:type="dxa"/>
          </w:tcPr>
          <w:p w:rsidR="00000000" w:rsidRDefault="00000000">
            <w:pPr>
              <w:pStyle w:val="a2"/>
              <w:spacing w:line="360" w:lineRule="atLeast"/>
              <w:jc w:val="center"/>
              <w:rPr>
                <w:rFonts w:hint="eastAsia"/>
              </w:rPr>
            </w:pPr>
            <w:r>
              <w:rPr>
                <w:rFonts w:hint="eastAsia"/>
              </w:rPr>
              <w:t>65.1</w:t>
            </w:r>
          </w:p>
        </w:tc>
        <w:tc>
          <w:tcPr>
            <w:tcW w:w="1045" w:type="dxa"/>
          </w:tcPr>
          <w:p w:rsidR="00000000" w:rsidRDefault="00000000">
            <w:pPr>
              <w:pStyle w:val="a2"/>
              <w:spacing w:line="360" w:lineRule="atLeast"/>
              <w:jc w:val="center"/>
              <w:rPr>
                <w:rFonts w:hint="eastAsia"/>
              </w:rPr>
            </w:pPr>
            <w:r>
              <w:rPr>
                <w:rFonts w:hint="eastAsia"/>
              </w:rPr>
              <w:t>73.7</w:t>
            </w:r>
          </w:p>
        </w:tc>
        <w:tc>
          <w:tcPr>
            <w:tcW w:w="1046" w:type="dxa"/>
          </w:tcPr>
          <w:p w:rsidR="00000000" w:rsidRDefault="00000000">
            <w:pPr>
              <w:pStyle w:val="a2"/>
              <w:spacing w:line="360" w:lineRule="atLeast"/>
              <w:jc w:val="center"/>
              <w:rPr>
                <w:rFonts w:hint="eastAsia"/>
              </w:rPr>
            </w:pPr>
            <w:r>
              <w:rPr>
                <w:rFonts w:hint="eastAsia"/>
              </w:rPr>
              <w:t>65.2</w:t>
            </w:r>
          </w:p>
        </w:tc>
        <w:tc>
          <w:tcPr>
            <w:tcW w:w="1045" w:type="dxa"/>
          </w:tcPr>
          <w:p w:rsidR="00000000" w:rsidRDefault="00000000">
            <w:pPr>
              <w:pStyle w:val="a2"/>
              <w:spacing w:line="360" w:lineRule="atLeast"/>
              <w:jc w:val="center"/>
              <w:rPr>
                <w:rFonts w:hint="eastAsia"/>
              </w:rPr>
            </w:pPr>
            <w:r>
              <w:rPr>
                <w:rFonts w:hint="eastAsia"/>
              </w:rPr>
              <w:t>73.7</w:t>
            </w:r>
          </w:p>
        </w:tc>
        <w:tc>
          <w:tcPr>
            <w:tcW w:w="1046" w:type="dxa"/>
          </w:tcPr>
          <w:p w:rsidR="00000000" w:rsidRDefault="00000000">
            <w:pPr>
              <w:pStyle w:val="a2"/>
              <w:spacing w:line="360" w:lineRule="atLeast"/>
              <w:jc w:val="center"/>
              <w:rPr>
                <w:rFonts w:hint="eastAsia"/>
              </w:rPr>
            </w:pPr>
            <w:r>
              <w:rPr>
                <w:rFonts w:hint="eastAsia"/>
              </w:rPr>
              <w:t>28.8</w:t>
            </w:r>
          </w:p>
        </w:tc>
        <w:tc>
          <w:tcPr>
            <w:tcW w:w="1045" w:type="dxa"/>
          </w:tcPr>
          <w:p w:rsidR="00000000" w:rsidRDefault="00000000">
            <w:pPr>
              <w:pStyle w:val="a2"/>
              <w:spacing w:line="360" w:lineRule="atLeast"/>
              <w:jc w:val="center"/>
              <w:rPr>
                <w:rFonts w:hint="eastAsia"/>
              </w:rPr>
            </w:pPr>
            <w:r>
              <w:rPr>
                <w:rFonts w:hint="eastAsia"/>
              </w:rPr>
              <w:t>36.1</w:t>
            </w:r>
          </w:p>
        </w:tc>
        <w:tc>
          <w:tcPr>
            <w:tcW w:w="1046" w:type="dxa"/>
          </w:tcPr>
          <w:p w:rsidR="00000000" w:rsidRDefault="00000000">
            <w:pPr>
              <w:pStyle w:val="a2"/>
              <w:spacing w:line="360" w:lineRule="atLeast"/>
              <w:jc w:val="center"/>
              <w:rPr>
                <w:rFonts w:hint="eastAsia"/>
              </w:rPr>
            </w:pPr>
            <w:r>
              <w:rPr>
                <w:rFonts w:hint="eastAsia"/>
              </w:rPr>
              <w:t>14.7</w:t>
            </w:r>
          </w:p>
        </w:tc>
        <w:tc>
          <w:tcPr>
            <w:tcW w:w="1046" w:type="dxa"/>
          </w:tcPr>
          <w:p w:rsidR="00000000" w:rsidRDefault="00000000">
            <w:pPr>
              <w:pStyle w:val="a2"/>
              <w:spacing w:line="360" w:lineRule="atLeast"/>
              <w:jc w:val="center"/>
              <w:rPr>
                <w:rFonts w:hint="eastAsia"/>
              </w:rPr>
            </w:pPr>
            <w:r>
              <w:rPr>
                <w:rFonts w:hint="eastAsia"/>
              </w:rPr>
              <w:t>19.0</w:t>
            </w:r>
          </w:p>
        </w:tc>
      </w:tr>
      <w:tr w:rsidR="00000000">
        <w:tblPrEx>
          <w:tblCellMar>
            <w:top w:w="0" w:type="dxa"/>
            <w:bottom w:w="0" w:type="dxa"/>
          </w:tblCellMar>
        </w:tblPrEx>
        <w:tc>
          <w:tcPr>
            <w:tcW w:w="1045" w:type="dxa"/>
          </w:tcPr>
          <w:p w:rsidR="00000000" w:rsidRDefault="00000000">
            <w:pPr>
              <w:pStyle w:val="a2"/>
              <w:spacing w:line="360" w:lineRule="atLeast"/>
              <w:rPr>
                <w:rFonts w:hint="eastAsia"/>
              </w:rPr>
            </w:pPr>
            <w:r>
              <w:rPr>
                <w:rFonts w:hint="eastAsia"/>
              </w:rPr>
              <w:t>1995</w:t>
            </w:r>
          </w:p>
        </w:tc>
        <w:tc>
          <w:tcPr>
            <w:tcW w:w="1046" w:type="dxa"/>
          </w:tcPr>
          <w:p w:rsidR="00000000" w:rsidRDefault="00000000">
            <w:pPr>
              <w:pStyle w:val="a2"/>
              <w:spacing w:line="360" w:lineRule="atLeast"/>
              <w:jc w:val="center"/>
              <w:rPr>
                <w:rFonts w:hint="eastAsia"/>
              </w:rPr>
            </w:pPr>
            <w:r>
              <w:rPr>
                <w:rFonts w:hint="eastAsia"/>
              </w:rPr>
              <w:t>65.3</w:t>
            </w:r>
          </w:p>
        </w:tc>
        <w:tc>
          <w:tcPr>
            <w:tcW w:w="1045" w:type="dxa"/>
          </w:tcPr>
          <w:p w:rsidR="00000000" w:rsidRDefault="00000000">
            <w:pPr>
              <w:pStyle w:val="a2"/>
              <w:spacing w:line="360" w:lineRule="atLeast"/>
              <w:jc w:val="center"/>
              <w:rPr>
                <w:rFonts w:hint="eastAsia"/>
              </w:rPr>
            </w:pPr>
            <w:r>
              <w:rPr>
                <w:rFonts w:hint="eastAsia"/>
              </w:rPr>
              <w:t>74.5</w:t>
            </w:r>
          </w:p>
        </w:tc>
        <w:tc>
          <w:tcPr>
            <w:tcW w:w="1046" w:type="dxa"/>
          </w:tcPr>
          <w:p w:rsidR="00000000" w:rsidRDefault="00000000">
            <w:pPr>
              <w:pStyle w:val="a2"/>
              <w:spacing w:line="360" w:lineRule="atLeast"/>
              <w:jc w:val="center"/>
              <w:rPr>
                <w:rFonts w:hint="eastAsia"/>
              </w:rPr>
            </w:pPr>
            <w:r>
              <w:rPr>
                <w:rFonts w:hint="eastAsia"/>
              </w:rPr>
              <w:t>65.0</w:t>
            </w:r>
          </w:p>
        </w:tc>
        <w:tc>
          <w:tcPr>
            <w:tcW w:w="1045" w:type="dxa"/>
          </w:tcPr>
          <w:p w:rsidR="00000000" w:rsidRDefault="00000000">
            <w:pPr>
              <w:pStyle w:val="a2"/>
              <w:spacing w:line="360" w:lineRule="atLeast"/>
              <w:jc w:val="center"/>
              <w:rPr>
                <w:rFonts w:hint="eastAsia"/>
              </w:rPr>
            </w:pPr>
            <w:r>
              <w:rPr>
                <w:rFonts w:hint="eastAsia"/>
              </w:rPr>
              <w:t>74.2</w:t>
            </w:r>
          </w:p>
        </w:tc>
        <w:tc>
          <w:tcPr>
            <w:tcW w:w="1046" w:type="dxa"/>
          </w:tcPr>
          <w:p w:rsidR="00000000" w:rsidRDefault="00000000">
            <w:pPr>
              <w:pStyle w:val="a2"/>
              <w:spacing w:line="360" w:lineRule="atLeast"/>
              <w:jc w:val="center"/>
              <w:rPr>
                <w:rFonts w:hint="eastAsia"/>
              </w:rPr>
            </w:pPr>
            <w:r>
              <w:rPr>
                <w:rFonts w:hint="eastAsia"/>
              </w:rPr>
              <w:t>28.3</w:t>
            </w:r>
          </w:p>
        </w:tc>
        <w:tc>
          <w:tcPr>
            <w:tcW w:w="1045" w:type="dxa"/>
          </w:tcPr>
          <w:p w:rsidR="00000000" w:rsidRDefault="00000000">
            <w:pPr>
              <w:pStyle w:val="a2"/>
              <w:spacing w:line="360" w:lineRule="atLeast"/>
              <w:jc w:val="center"/>
              <w:rPr>
                <w:rFonts w:hint="eastAsia"/>
              </w:rPr>
            </w:pPr>
            <w:r>
              <w:rPr>
                <w:rFonts w:hint="eastAsia"/>
              </w:rPr>
              <w:t>36.4</w:t>
            </w:r>
          </w:p>
        </w:tc>
        <w:tc>
          <w:tcPr>
            <w:tcW w:w="1046" w:type="dxa"/>
          </w:tcPr>
          <w:p w:rsidR="00000000" w:rsidRDefault="00000000">
            <w:pPr>
              <w:pStyle w:val="a2"/>
              <w:spacing w:line="360" w:lineRule="atLeast"/>
              <w:jc w:val="center"/>
              <w:rPr>
                <w:rFonts w:hint="eastAsia"/>
              </w:rPr>
            </w:pPr>
            <w:r>
              <w:rPr>
                <w:rFonts w:hint="eastAsia"/>
              </w:rPr>
              <w:t>14.8</w:t>
            </w:r>
          </w:p>
        </w:tc>
        <w:tc>
          <w:tcPr>
            <w:tcW w:w="1046" w:type="dxa"/>
          </w:tcPr>
          <w:p w:rsidR="00000000" w:rsidRDefault="00000000">
            <w:pPr>
              <w:pStyle w:val="a2"/>
              <w:spacing w:line="360" w:lineRule="atLeast"/>
              <w:jc w:val="center"/>
              <w:rPr>
                <w:rFonts w:hint="eastAsia"/>
              </w:rPr>
            </w:pPr>
            <w:r>
              <w:rPr>
                <w:rFonts w:hint="eastAsia"/>
              </w:rPr>
              <w:t>19.5</w:t>
            </w:r>
          </w:p>
        </w:tc>
      </w:tr>
      <w:tr w:rsidR="00000000">
        <w:tblPrEx>
          <w:tblCellMar>
            <w:top w:w="0" w:type="dxa"/>
            <w:bottom w:w="0" w:type="dxa"/>
          </w:tblCellMar>
        </w:tblPrEx>
        <w:tc>
          <w:tcPr>
            <w:tcW w:w="1045" w:type="dxa"/>
          </w:tcPr>
          <w:p w:rsidR="00000000" w:rsidRDefault="00000000">
            <w:pPr>
              <w:pStyle w:val="a2"/>
              <w:spacing w:line="360" w:lineRule="atLeast"/>
              <w:rPr>
                <w:rFonts w:hint="eastAsia"/>
              </w:rPr>
            </w:pPr>
            <w:r>
              <w:rPr>
                <w:rFonts w:hint="eastAsia"/>
              </w:rPr>
              <w:t>1998</w:t>
            </w:r>
          </w:p>
        </w:tc>
        <w:tc>
          <w:tcPr>
            <w:tcW w:w="1046" w:type="dxa"/>
          </w:tcPr>
          <w:p w:rsidR="00000000" w:rsidRDefault="00000000">
            <w:pPr>
              <w:pStyle w:val="a2"/>
              <w:spacing w:line="360" w:lineRule="atLeast"/>
              <w:jc w:val="center"/>
              <w:rPr>
                <w:rFonts w:hint="eastAsia"/>
              </w:rPr>
            </w:pPr>
            <w:r>
              <w:rPr>
                <w:rFonts w:hint="eastAsia"/>
              </w:rPr>
              <w:t>66.1</w:t>
            </w:r>
          </w:p>
        </w:tc>
        <w:tc>
          <w:tcPr>
            <w:tcW w:w="1045" w:type="dxa"/>
          </w:tcPr>
          <w:p w:rsidR="00000000" w:rsidRDefault="00000000">
            <w:pPr>
              <w:pStyle w:val="a2"/>
              <w:spacing w:line="360" w:lineRule="atLeast"/>
              <w:jc w:val="center"/>
              <w:rPr>
                <w:rFonts w:hint="eastAsia"/>
              </w:rPr>
            </w:pPr>
            <w:r>
              <w:rPr>
                <w:rFonts w:hint="eastAsia"/>
              </w:rPr>
              <w:t>75.2</w:t>
            </w:r>
          </w:p>
        </w:tc>
        <w:tc>
          <w:tcPr>
            <w:tcW w:w="1046" w:type="dxa"/>
          </w:tcPr>
          <w:p w:rsidR="00000000" w:rsidRDefault="00000000">
            <w:pPr>
              <w:pStyle w:val="a2"/>
              <w:spacing w:line="360" w:lineRule="atLeast"/>
              <w:jc w:val="center"/>
              <w:rPr>
                <w:rFonts w:hint="eastAsia"/>
              </w:rPr>
            </w:pPr>
            <w:r>
              <w:rPr>
                <w:rFonts w:hint="eastAsia"/>
              </w:rPr>
              <w:t>65.9</w:t>
            </w:r>
          </w:p>
        </w:tc>
        <w:tc>
          <w:tcPr>
            <w:tcW w:w="1045" w:type="dxa"/>
          </w:tcPr>
          <w:p w:rsidR="00000000" w:rsidRDefault="00000000">
            <w:pPr>
              <w:pStyle w:val="a2"/>
              <w:spacing w:line="360" w:lineRule="atLeast"/>
              <w:jc w:val="center"/>
              <w:rPr>
                <w:rFonts w:hint="eastAsia"/>
              </w:rPr>
            </w:pPr>
            <w:r>
              <w:rPr>
                <w:rFonts w:hint="eastAsia"/>
              </w:rPr>
              <w:t>74.8</w:t>
            </w:r>
          </w:p>
        </w:tc>
        <w:tc>
          <w:tcPr>
            <w:tcW w:w="1046" w:type="dxa"/>
          </w:tcPr>
          <w:p w:rsidR="00000000" w:rsidRDefault="00000000">
            <w:pPr>
              <w:pStyle w:val="a2"/>
              <w:spacing w:line="360" w:lineRule="atLeast"/>
              <w:jc w:val="center"/>
              <w:rPr>
                <w:rFonts w:hint="eastAsia"/>
              </w:rPr>
            </w:pPr>
            <w:r>
              <w:rPr>
                <w:rFonts w:hint="eastAsia"/>
              </w:rPr>
              <w:t>28.9</w:t>
            </w:r>
          </w:p>
        </w:tc>
        <w:tc>
          <w:tcPr>
            <w:tcW w:w="1045" w:type="dxa"/>
          </w:tcPr>
          <w:p w:rsidR="00000000" w:rsidRDefault="00000000">
            <w:pPr>
              <w:pStyle w:val="a2"/>
              <w:spacing w:line="360" w:lineRule="atLeast"/>
              <w:jc w:val="center"/>
              <w:rPr>
                <w:rFonts w:hint="eastAsia"/>
              </w:rPr>
            </w:pPr>
            <w:r>
              <w:rPr>
                <w:rFonts w:hint="eastAsia"/>
              </w:rPr>
              <w:t>36.8</w:t>
            </w:r>
          </w:p>
        </w:tc>
        <w:tc>
          <w:tcPr>
            <w:tcW w:w="1046" w:type="dxa"/>
          </w:tcPr>
          <w:p w:rsidR="00000000" w:rsidRDefault="00000000">
            <w:pPr>
              <w:pStyle w:val="a2"/>
              <w:spacing w:line="360" w:lineRule="atLeast"/>
              <w:jc w:val="center"/>
              <w:rPr>
                <w:rFonts w:hint="eastAsia"/>
              </w:rPr>
            </w:pPr>
            <w:r>
              <w:rPr>
                <w:rFonts w:hint="eastAsia"/>
              </w:rPr>
              <w:t>15.0</w:t>
            </w:r>
          </w:p>
        </w:tc>
        <w:tc>
          <w:tcPr>
            <w:tcW w:w="1046" w:type="dxa"/>
          </w:tcPr>
          <w:p w:rsidR="00000000" w:rsidRDefault="00000000">
            <w:pPr>
              <w:pStyle w:val="a2"/>
              <w:spacing w:line="360" w:lineRule="atLeast"/>
              <w:jc w:val="center"/>
              <w:rPr>
                <w:rFonts w:hint="eastAsia"/>
              </w:rPr>
            </w:pPr>
            <w:r>
              <w:rPr>
                <w:rFonts w:hint="eastAsia"/>
              </w:rPr>
              <w:t>19.8</w:t>
            </w:r>
          </w:p>
        </w:tc>
      </w:tr>
      <w:tr w:rsidR="00000000">
        <w:tblPrEx>
          <w:tblCellMar>
            <w:top w:w="0" w:type="dxa"/>
            <w:bottom w:w="0" w:type="dxa"/>
          </w:tblCellMar>
        </w:tblPrEx>
        <w:tc>
          <w:tcPr>
            <w:tcW w:w="1045" w:type="dxa"/>
          </w:tcPr>
          <w:p w:rsidR="00000000" w:rsidRDefault="00000000">
            <w:pPr>
              <w:pStyle w:val="a2"/>
              <w:spacing w:line="360" w:lineRule="atLeast"/>
              <w:rPr>
                <w:rFonts w:hint="eastAsia"/>
              </w:rPr>
            </w:pPr>
            <w:r>
              <w:rPr>
                <w:rFonts w:hint="eastAsia"/>
              </w:rPr>
              <w:t>1999</w:t>
            </w:r>
          </w:p>
        </w:tc>
        <w:tc>
          <w:tcPr>
            <w:tcW w:w="1046" w:type="dxa"/>
          </w:tcPr>
          <w:p w:rsidR="00000000" w:rsidRDefault="00000000">
            <w:pPr>
              <w:pStyle w:val="a2"/>
              <w:spacing w:line="360" w:lineRule="atLeast"/>
              <w:jc w:val="center"/>
              <w:rPr>
                <w:rFonts w:hint="eastAsia"/>
              </w:rPr>
            </w:pPr>
            <w:r>
              <w:rPr>
                <w:rFonts w:hint="eastAsia"/>
              </w:rPr>
              <w:t>66.3</w:t>
            </w:r>
          </w:p>
        </w:tc>
        <w:tc>
          <w:tcPr>
            <w:tcW w:w="1045" w:type="dxa"/>
          </w:tcPr>
          <w:p w:rsidR="00000000" w:rsidRDefault="00000000">
            <w:pPr>
              <w:pStyle w:val="a2"/>
              <w:spacing w:line="360" w:lineRule="atLeast"/>
              <w:jc w:val="center"/>
              <w:rPr>
                <w:rFonts w:hint="eastAsia"/>
              </w:rPr>
            </w:pPr>
            <w:r>
              <w:rPr>
                <w:rFonts w:hint="eastAsia"/>
              </w:rPr>
              <w:t>75.1</w:t>
            </w:r>
          </w:p>
        </w:tc>
        <w:tc>
          <w:tcPr>
            <w:tcW w:w="1046" w:type="dxa"/>
          </w:tcPr>
          <w:p w:rsidR="00000000" w:rsidRDefault="00000000">
            <w:pPr>
              <w:pStyle w:val="a2"/>
              <w:spacing w:line="360" w:lineRule="atLeast"/>
              <w:jc w:val="center"/>
              <w:rPr>
                <w:rFonts w:hint="eastAsia"/>
              </w:rPr>
            </w:pPr>
            <w:r>
              <w:rPr>
                <w:rFonts w:hint="eastAsia"/>
              </w:rPr>
              <w:t>65.9</w:t>
            </w:r>
          </w:p>
        </w:tc>
        <w:tc>
          <w:tcPr>
            <w:tcW w:w="1045" w:type="dxa"/>
          </w:tcPr>
          <w:p w:rsidR="00000000" w:rsidRDefault="00000000">
            <w:pPr>
              <w:pStyle w:val="a2"/>
              <w:spacing w:line="360" w:lineRule="atLeast"/>
              <w:jc w:val="center"/>
              <w:rPr>
                <w:rFonts w:hint="eastAsia"/>
              </w:rPr>
            </w:pPr>
            <w:r>
              <w:rPr>
                <w:rFonts w:hint="eastAsia"/>
              </w:rPr>
              <w:t>74.7</w:t>
            </w:r>
          </w:p>
        </w:tc>
        <w:tc>
          <w:tcPr>
            <w:tcW w:w="1046" w:type="dxa"/>
          </w:tcPr>
          <w:p w:rsidR="00000000" w:rsidRDefault="00000000">
            <w:pPr>
              <w:pStyle w:val="a2"/>
              <w:spacing w:line="360" w:lineRule="atLeast"/>
              <w:jc w:val="center"/>
              <w:rPr>
                <w:rFonts w:hint="eastAsia"/>
              </w:rPr>
            </w:pPr>
            <w:r>
              <w:rPr>
                <w:rFonts w:hint="eastAsia"/>
              </w:rPr>
              <w:t>28.9</w:t>
            </w:r>
          </w:p>
        </w:tc>
        <w:tc>
          <w:tcPr>
            <w:tcW w:w="1045" w:type="dxa"/>
          </w:tcPr>
          <w:p w:rsidR="00000000" w:rsidRDefault="00000000">
            <w:pPr>
              <w:pStyle w:val="a2"/>
              <w:spacing w:line="360" w:lineRule="atLeast"/>
              <w:jc w:val="center"/>
              <w:rPr>
                <w:rFonts w:hint="eastAsia"/>
              </w:rPr>
            </w:pPr>
            <w:r>
              <w:rPr>
                <w:rFonts w:hint="eastAsia"/>
              </w:rPr>
              <w:t>36.7</w:t>
            </w:r>
          </w:p>
        </w:tc>
        <w:tc>
          <w:tcPr>
            <w:tcW w:w="1046" w:type="dxa"/>
          </w:tcPr>
          <w:p w:rsidR="00000000" w:rsidRDefault="00000000">
            <w:pPr>
              <w:pStyle w:val="a2"/>
              <w:spacing w:line="360" w:lineRule="atLeast"/>
              <w:jc w:val="center"/>
              <w:rPr>
                <w:rFonts w:hint="eastAsia"/>
              </w:rPr>
            </w:pPr>
            <w:r>
              <w:rPr>
                <w:rFonts w:hint="eastAsia"/>
              </w:rPr>
              <w:t>14.9</w:t>
            </w:r>
          </w:p>
        </w:tc>
        <w:tc>
          <w:tcPr>
            <w:tcW w:w="1046" w:type="dxa"/>
          </w:tcPr>
          <w:p w:rsidR="00000000" w:rsidRDefault="00000000">
            <w:pPr>
              <w:pStyle w:val="a2"/>
              <w:spacing w:line="360" w:lineRule="atLeast"/>
              <w:jc w:val="center"/>
              <w:rPr>
                <w:rFonts w:hint="eastAsia"/>
              </w:rPr>
            </w:pPr>
            <w:r>
              <w:rPr>
                <w:rFonts w:hint="eastAsia"/>
              </w:rPr>
              <w:t>19.6</w:t>
            </w:r>
          </w:p>
        </w:tc>
      </w:tr>
      <w:tr w:rsidR="00000000">
        <w:tblPrEx>
          <w:tblCellMar>
            <w:top w:w="0" w:type="dxa"/>
            <w:bottom w:w="0" w:type="dxa"/>
          </w:tblCellMar>
        </w:tblPrEx>
        <w:tc>
          <w:tcPr>
            <w:tcW w:w="1045" w:type="dxa"/>
          </w:tcPr>
          <w:p w:rsidR="00000000" w:rsidRDefault="00000000">
            <w:pPr>
              <w:pStyle w:val="a2"/>
              <w:spacing w:line="360" w:lineRule="atLeast"/>
              <w:rPr>
                <w:rFonts w:hint="eastAsia"/>
              </w:rPr>
            </w:pPr>
            <w:r>
              <w:rPr>
                <w:rFonts w:hint="eastAsia"/>
              </w:rPr>
              <w:t>2000</w:t>
            </w:r>
          </w:p>
        </w:tc>
        <w:tc>
          <w:tcPr>
            <w:tcW w:w="1046" w:type="dxa"/>
          </w:tcPr>
          <w:p w:rsidR="00000000" w:rsidRDefault="00000000">
            <w:pPr>
              <w:pStyle w:val="a2"/>
              <w:spacing w:line="360" w:lineRule="atLeast"/>
              <w:jc w:val="center"/>
              <w:rPr>
                <w:rFonts w:hint="eastAsia"/>
              </w:rPr>
            </w:pPr>
            <w:r>
              <w:rPr>
                <w:rFonts w:hint="eastAsia"/>
              </w:rPr>
              <w:t>67.1</w:t>
            </w:r>
          </w:p>
        </w:tc>
        <w:tc>
          <w:tcPr>
            <w:tcW w:w="1045" w:type="dxa"/>
          </w:tcPr>
          <w:p w:rsidR="00000000" w:rsidRDefault="00000000">
            <w:pPr>
              <w:pStyle w:val="a2"/>
              <w:spacing w:line="360" w:lineRule="atLeast"/>
              <w:jc w:val="center"/>
              <w:rPr>
                <w:rFonts w:hint="eastAsia"/>
              </w:rPr>
            </w:pPr>
            <w:r>
              <w:rPr>
                <w:rFonts w:hint="eastAsia"/>
              </w:rPr>
              <w:t>75.6</w:t>
            </w:r>
          </w:p>
        </w:tc>
        <w:tc>
          <w:tcPr>
            <w:tcW w:w="1046" w:type="dxa"/>
          </w:tcPr>
          <w:p w:rsidR="00000000" w:rsidRDefault="00000000">
            <w:pPr>
              <w:pStyle w:val="a2"/>
              <w:spacing w:line="360" w:lineRule="atLeast"/>
              <w:jc w:val="center"/>
              <w:rPr>
                <w:rFonts w:hint="eastAsia"/>
              </w:rPr>
            </w:pPr>
            <w:r>
              <w:rPr>
                <w:rFonts w:hint="eastAsia"/>
              </w:rPr>
              <w:t>66.8</w:t>
            </w:r>
          </w:p>
        </w:tc>
        <w:tc>
          <w:tcPr>
            <w:tcW w:w="1045" w:type="dxa"/>
          </w:tcPr>
          <w:p w:rsidR="00000000" w:rsidRDefault="00000000">
            <w:pPr>
              <w:pStyle w:val="a2"/>
              <w:spacing w:line="360" w:lineRule="atLeast"/>
              <w:jc w:val="center"/>
              <w:rPr>
                <w:rFonts w:hint="eastAsia"/>
              </w:rPr>
            </w:pPr>
            <w:r>
              <w:rPr>
                <w:rFonts w:hint="eastAsia"/>
              </w:rPr>
              <w:t>75.2</w:t>
            </w:r>
          </w:p>
        </w:tc>
        <w:tc>
          <w:tcPr>
            <w:tcW w:w="1046" w:type="dxa"/>
          </w:tcPr>
          <w:p w:rsidR="00000000" w:rsidRDefault="00000000">
            <w:pPr>
              <w:pStyle w:val="a2"/>
              <w:spacing w:line="360" w:lineRule="atLeast"/>
              <w:jc w:val="center"/>
              <w:rPr>
                <w:rFonts w:hint="eastAsia"/>
              </w:rPr>
            </w:pPr>
            <w:r>
              <w:rPr>
                <w:rFonts w:hint="eastAsia"/>
              </w:rPr>
              <w:t>29.6</w:t>
            </w:r>
          </w:p>
        </w:tc>
        <w:tc>
          <w:tcPr>
            <w:tcW w:w="1045" w:type="dxa"/>
          </w:tcPr>
          <w:p w:rsidR="00000000" w:rsidRDefault="00000000">
            <w:pPr>
              <w:pStyle w:val="a2"/>
              <w:spacing w:line="360" w:lineRule="atLeast"/>
              <w:jc w:val="center"/>
              <w:rPr>
                <w:rFonts w:hint="eastAsia"/>
              </w:rPr>
            </w:pPr>
            <w:r>
              <w:rPr>
                <w:rFonts w:hint="eastAsia"/>
              </w:rPr>
              <w:t>37.2</w:t>
            </w:r>
          </w:p>
        </w:tc>
        <w:tc>
          <w:tcPr>
            <w:tcW w:w="1046" w:type="dxa"/>
          </w:tcPr>
          <w:p w:rsidR="00000000" w:rsidRDefault="00000000">
            <w:pPr>
              <w:pStyle w:val="a2"/>
              <w:spacing w:line="360" w:lineRule="atLeast"/>
              <w:jc w:val="center"/>
              <w:rPr>
                <w:rFonts w:hint="eastAsia"/>
              </w:rPr>
            </w:pPr>
            <w:r>
              <w:rPr>
                <w:rFonts w:hint="eastAsia"/>
              </w:rPr>
              <w:t>15.3</w:t>
            </w:r>
          </w:p>
        </w:tc>
        <w:tc>
          <w:tcPr>
            <w:tcW w:w="1046" w:type="dxa"/>
          </w:tcPr>
          <w:p w:rsidR="00000000" w:rsidRDefault="00000000">
            <w:pPr>
              <w:pStyle w:val="a2"/>
              <w:spacing w:line="360" w:lineRule="atLeast"/>
              <w:jc w:val="center"/>
              <w:rPr>
                <w:rFonts w:hint="eastAsia"/>
              </w:rPr>
            </w:pPr>
            <w:r>
              <w:rPr>
                <w:rFonts w:hint="eastAsia"/>
              </w:rPr>
              <w:t>20.0</w:t>
            </w:r>
          </w:p>
        </w:tc>
      </w:tr>
      <w:tr w:rsidR="00000000">
        <w:tblPrEx>
          <w:tblCellMar>
            <w:top w:w="0" w:type="dxa"/>
            <w:bottom w:w="0" w:type="dxa"/>
          </w:tblCellMar>
        </w:tblPrEx>
        <w:tc>
          <w:tcPr>
            <w:tcW w:w="1045" w:type="dxa"/>
          </w:tcPr>
          <w:p w:rsidR="00000000" w:rsidRDefault="00000000">
            <w:pPr>
              <w:pStyle w:val="a2"/>
              <w:spacing w:line="360" w:lineRule="atLeast"/>
              <w:rPr>
                <w:rFonts w:hint="eastAsia"/>
              </w:rPr>
            </w:pPr>
            <w:r>
              <w:rPr>
                <w:rFonts w:hint="eastAsia"/>
              </w:rPr>
              <w:t>2001</w:t>
            </w:r>
          </w:p>
        </w:tc>
        <w:tc>
          <w:tcPr>
            <w:tcW w:w="1046" w:type="dxa"/>
          </w:tcPr>
          <w:p w:rsidR="00000000" w:rsidRDefault="00000000">
            <w:pPr>
              <w:pStyle w:val="a2"/>
              <w:spacing w:line="360" w:lineRule="atLeast"/>
              <w:jc w:val="center"/>
              <w:rPr>
                <w:rFonts w:hint="eastAsia"/>
              </w:rPr>
            </w:pPr>
            <w:r>
              <w:rPr>
                <w:rFonts w:hint="eastAsia"/>
              </w:rPr>
              <w:t>68.2</w:t>
            </w:r>
          </w:p>
        </w:tc>
        <w:tc>
          <w:tcPr>
            <w:tcW w:w="1045" w:type="dxa"/>
          </w:tcPr>
          <w:p w:rsidR="00000000" w:rsidRDefault="00000000">
            <w:pPr>
              <w:pStyle w:val="a2"/>
              <w:spacing w:line="360" w:lineRule="atLeast"/>
              <w:jc w:val="center"/>
              <w:rPr>
                <w:rFonts w:hint="eastAsia"/>
              </w:rPr>
            </w:pPr>
            <w:r>
              <w:rPr>
                <w:rFonts w:hint="eastAsia"/>
              </w:rPr>
              <w:t>76.5</w:t>
            </w:r>
          </w:p>
        </w:tc>
        <w:tc>
          <w:tcPr>
            <w:tcW w:w="1046" w:type="dxa"/>
          </w:tcPr>
          <w:p w:rsidR="00000000" w:rsidRDefault="00000000">
            <w:pPr>
              <w:pStyle w:val="a2"/>
              <w:spacing w:line="360" w:lineRule="atLeast"/>
              <w:jc w:val="center"/>
              <w:rPr>
                <w:rFonts w:hint="eastAsia"/>
              </w:rPr>
            </w:pPr>
            <w:r>
              <w:rPr>
                <w:rFonts w:hint="eastAsia"/>
              </w:rPr>
              <w:t>67.8</w:t>
            </w:r>
          </w:p>
        </w:tc>
        <w:tc>
          <w:tcPr>
            <w:tcW w:w="1045" w:type="dxa"/>
          </w:tcPr>
          <w:p w:rsidR="00000000" w:rsidRDefault="00000000">
            <w:pPr>
              <w:pStyle w:val="a2"/>
              <w:spacing w:line="360" w:lineRule="atLeast"/>
              <w:jc w:val="center"/>
              <w:rPr>
                <w:rFonts w:hint="eastAsia"/>
              </w:rPr>
            </w:pPr>
            <w:r>
              <w:rPr>
                <w:rFonts w:hint="eastAsia"/>
              </w:rPr>
              <w:t>76.0</w:t>
            </w:r>
          </w:p>
        </w:tc>
        <w:tc>
          <w:tcPr>
            <w:tcW w:w="1046" w:type="dxa"/>
          </w:tcPr>
          <w:p w:rsidR="00000000" w:rsidRDefault="00000000">
            <w:pPr>
              <w:pStyle w:val="a2"/>
              <w:spacing w:line="360" w:lineRule="atLeast"/>
              <w:jc w:val="center"/>
              <w:rPr>
                <w:rFonts w:hint="eastAsia"/>
              </w:rPr>
            </w:pPr>
            <w:r>
              <w:rPr>
                <w:rFonts w:hint="eastAsia"/>
              </w:rPr>
              <w:t>30.4</w:t>
            </w:r>
          </w:p>
        </w:tc>
        <w:tc>
          <w:tcPr>
            <w:tcW w:w="1045" w:type="dxa"/>
          </w:tcPr>
          <w:p w:rsidR="00000000" w:rsidRDefault="00000000">
            <w:pPr>
              <w:pStyle w:val="a2"/>
              <w:spacing w:line="360" w:lineRule="atLeast"/>
              <w:jc w:val="center"/>
              <w:rPr>
                <w:rFonts w:hint="eastAsia"/>
              </w:rPr>
            </w:pPr>
            <w:r>
              <w:rPr>
                <w:rFonts w:hint="eastAsia"/>
              </w:rPr>
              <w:t>37.9</w:t>
            </w:r>
          </w:p>
        </w:tc>
        <w:tc>
          <w:tcPr>
            <w:tcW w:w="1046" w:type="dxa"/>
          </w:tcPr>
          <w:p w:rsidR="00000000" w:rsidRDefault="00000000">
            <w:pPr>
              <w:pStyle w:val="a2"/>
              <w:spacing w:line="360" w:lineRule="atLeast"/>
              <w:jc w:val="center"/>
              <w:rPr>
                <w:rFonts w:hint="eastAsia"/>
              </w:rPr>
            </w:pPr>
            <w:r>
              <w:rPr>
                <w:rFonts w:hint="eastAsia"/>
              </w:rPr>
              <w:t>16.0</w:t>
            </w:r>
          </w:p>
        </w:tc>
        <w:tc>
          <w:tcPr>
            <w:tcW w:w="1046" w:type="dxa"/>
          </w:tcPr>
          <w:p w:rsidR="00000000" w:rsidRDefault="00000000">
            <w:pPr>
              <w:pStyle w:val="a2"/>
              <w:spacing w:line="360" w:lineRule="atLeast"/>
              <w:jc w:val="center"/>
            </w:pPr>
            <w:r>
              <w:rPr>
                <w:rFonts w:hint="eastAsia"/>
              </w:rPr>
              <w:t>20.7</w:t>
            </w:r>
          </w:p>
        </w:tc>
      </w:tr>
    </w:tbl>
    <w:p w:rsidR="00000000" w:rsidRDefault="00000000"/>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药房分布状况</w:t>
      </w:r>
    </w:p>
    <w:p w:rsidR="00000000" w:rsidRDefault="00000000">
      <w:pPr>
        <w:spacing w:after="320"/>
        <w:rPr>
          <w:rFonts w:hint="eastAsia"/>
        </w:rPr>
      </w:pPr>
      <w:r>
        <w:tab/>
      </w:r>
      <w:r>
        <w:rPr>
          <w:rFonts w:hint="eastAsia"/>
        </w:rPr>
        <w:t>480.</w:t>
      </w:r>
      <w:r>
        <w:t xml:space="preserve">  </w:t>
      </w:r>
      <w:r>
        <w:rPr>
          <w:rFonts w:hint="eastAsia"/>
        </w:rPr>
        <w:t>每</w:t>
      </w:r>
      <w:r>
        <w:rPr>
          <w:rFonts w:hint="eastAsia"/>
        </w:rPr>
        <w:t>1000</w:t>
      </w:r>
      <w:r>
        <w:rPr>
          <w:rFonts w:hint="eastAsia"/>
        </w:rPr>
        <w:t>名居民拥有药房</w:t>
      </w:r>
      <w:r>
        <w:rPr>
          <w:rFonts w:hint="eastAsia"/>
        </w:rPr>
        <w:t>0.2</w:t>
      </w:r>
      <w:r>
        <w:rPr>
          <w:rFonts w:hint="eastAsia"/>
        </w:rPr>
        <w:t>个。</w:t>
      </w:r>
      <w:r>
        <w:rPr>
          <w:rFonts w:hint="eastAsia"/>
        </w:rPr>
        <w:t>2000</w:t>
      </w:r>
      <w:r>
        <w:rPr>
          <w:rFonts w:hint="eastAsia"/>
        </w:rPr>
        <w:t>年营业的零售药房有</w:t>
      </w:r>
      <w:r>
        <w:rPr>
          <w:rFonts w:hint="eastAsia"/>
        </w:rPr>
        <w:t>2</w:t>
      </w:r>
      <w:r>
        <w:t>,</w:t>
      </w:r>
      <w:r>
        <w:rPr>
          <w:rFonts w:hint="eastAsia"/>
        </w:rPr>
        <w:t>045</w:t>
      </w:r>
      <w:r>
        <w:rPr>
          <w:rFonts w:hint="eastAsia"/>
        </w:rPr>
        <w:t>个。药房的营业执照按地域颁发，在独立开设药房经济上不可行的特小住区，附近住区的大药房可设立一个分店。如果连分店也没有，地方初级保健医师可领取经营药房间的执照，以确保当地人民可在自己的住区范围内获得最重要的药物治疗。</w:t>
      </w:r>
      <w:r>
        <w:rPr>
          <w:rFonts w:hint="eastAsia"/>
        </w:rPr>
        <w:t>2000</w:t>
      </w:r>
      <w:r>
        <w:rPr>
          <w:rFonts w:hint="eastAsia"/>
        </w:rPr>
        <w:t>年，全国有</w:t>
      </w:r>
      <w:r>
        <w:rPr>
          <w:rFonts w:hint="eastAsia"/>
        </w:rPr>
        <w:t>4</w:t>
      </w:r>
      <w:r>
        <w:t>,</w:t>
      </w:r>
      <w:r>
        <w:rPr>
          <w:rFonts w:hint="eastAsia"/>
        </w:rPr>
        <w:t>905</w:t>
      </w:r>
      <w:r>
        <w:rPr>
          <w:rFonts w:hint="eastAsia"/>
        </w:rPr>
        <w:t>名开业的药剂师和</w:t>
      </w:r>
      <w:r>
        <w:rPr>
          <w:rFonts w:hint="eastAsia"/>
        </w:rPr>
        <w:t>6</w:t>
      </w:r>
      <w:r>
        <w:t>,</w:t>
      </w:r>
      <w:r>
        <w:rPr>
          <w:rFonts w:hint="eastAsia"/>
        </w:rPr>
        <w:t>958</w:t>
      </w:r>
      <w:r>
        <w:rPr>
          <w:rFonts w:hint="eastAsia"/>
        </w:rPr>
        <w:t>名助理药剂师。</w:t>
      </w:r>
    </w:p>
    <w:p w:rsidR="00000000" w:rsidRDefault="00000000">
      <w:pPr>
        <w:pStyle w:val="Heading3"/>
        <w:rPr>
          <w:rFonts w:hint="eastAsia"/>
        </w:rPr>
      </w:pPr>
      <w:r>
        <w:rPr>
          <w:rFonts w:hint="eastAsia"/>
        </w:rPr>
        <w:t>保健系统的结构</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初级保健</w:t>
      </w:r>
    </w:p>
    <w:p w:rsidR="00000000" w:rsidRDefault="00000000">
      <w:pPr>
        <w:widowControl w:val="0"/>
        <w:rPr>
          <w:rFonts w:hint="eastAsia"/>
        </w:rPr>
      </w:pPr>
      <w:r>
        <w:tab/>
      </w:r>
      <w:r>
        <w:rPr>
          <w:rFonts w:hint="eastAsia"/>
        </w:rPr>
        <w:t>481.</w:t>
      </w:r>
      <w:r>
        <w:t xml:space="preserve">  </w:t>
      </w:r>
      <w:r>
        <w:rPr>
          <w:rFonts w:hint="eastAsia"/>
        </w:rPr>
        <w:t>初级保健，作为第一级保健服务，允许患者自由选择自己的初级保健医师。大部分初级保健医师都有义务必须为某一地区服务，即他们应对该地区人口的健康负责，在任何情况下都必须确保发生疫情时为该地区服务。</w:t>
      </w:r>
      <w:r>
        <w:rPr>
          <w:rFonts w:hint="eastAsia"/>
        </w:rPr>
        <w:t>91%</w:t>
      </w:r>
      <w:r>
        <w:rPr>
          <w:rFonts w:hint="eastAsia"/>
        </w:rPr>
        <w:t>的初级保健医师是自己开业或私人医生，开设诊疗所，并使用向地方政府免费租用的设备。许多人租用地方政府公务住宅，在邻接的办公室开业。</w:t>
      </w:r>
    </w:p>
    <w:p w:rsidR="00000000" w:rsidRDefault="00000000">
      <w:pPr>
        <w:rPr>
          <w:rFonts w:hint="eastAsia"/>
        </w:rPr>
      </w:pPr>
      <w:r>
        <w:tab/>
      </w:r>
      <w:r>
        <w:rPr>
          <w:rFonts w:hint="eastAsia"/>
        </w:rPr>
        <w:t>482.</w:t>
      </w:r>
      <w:r>
        <w:t xml:space="preserve">  </w:t>
      </w:r>
      <w:r>
        <w:rPr>
          <w:rFonts w:hint="eastAsia"/>
        </w:rPr>
        <w:t>按照</w:t>
      </w:r>
      <w:r>
        <w:rPr>
          <w:rFonts w:hint="eastAsia"/>
        </w:rPr>
        <w:t>2000</w:t>
      </w:r>
      <w:r>
        <w:rPr>
          <w:rFonts w:hint="eastAsia"/>
        </w:rPr>
        <w:t>年</w:t>
      </w:r>
      <w:r>
        <w:rPr>
          <w:rFonts w:hint="eastAsia"/>
        </w:rPr>
        <w:t>2</w:t>
      </w:r>
      <w:r>
        <w:rPr>
          <w:rFonts w:hint="eastAsia"/>
        </w:rPr>
        <w:t>月通过的新条例，初级保健医师可出售其经营初级保健医师服务的个人权利，同样，此种服务也可以继承。根据该条例</w:t>
      </w:r>
      <w:r>
        <w:rPr>
          <w:rFonts w:hint="eastAsia"/>
        </w:rPr>
        <w:t>(</w:t>
      </w:r>
      <w:r>
        <w:rPr>
          <w:rFonts w:ascii="SimSun" w:hAnsi="SimSun" w:hint="eastAsia"/>
        </w:rPr>
        <w:t>《</w:t>
      </w:r>
      <w:r>
        <w:rPr>
          <w:rFonts w:hint="eastAsia"/>
        </w:rPr>
        <w:t>关于独立医疗服务的</w:t>
      </w:r>
      <w:r>
        <w:rPr>
          <w:rFonts w:hint="eastAsia"/>
        </w:rPr>
        <w:t>2000</w:t>
      </w:r>
      <w:r>
        <w:rPr>
          <w:rFonts w:hint="eastAsia"/>
        </w:rPr>
        <w:t>年二号法令</w:t>
      </w:r>
      <w:r>
        <w:rPr>
          <w:rFonts w:ascii="SimSun" w:hAnsi="SimSun" w:hint="eastAsia"/>
        </w:rPr>
        <w:t>》</w:t>
      </w:r>
      <w:r>
        <w:rPr>
          <w:rFonts w:hint="eastAsia"/>
        </w:rPr>
        <w:t>)</w:t>
      </w:r>
      <w:r>
        <w:rPr>
          <w:rFonts w:hint="eastAsia"/>
        </w:rPr>
        <w:t>，初级保健医师在拥有诊疗室和设备的所有权方面，较之过去有了更大的余地。地方政府将与他们订立合约，责成其为该地区服务。地方政府的基本职责之一，就是满足其管辖区人民对基本医疗的需求。目前在全国各地开业的成人初级保健医师大约有</w:t>
      </w:r>
      <w:r>
        <w:rPr>
          <w:rFonts w:hint="eastAsia"/>
        </w:rPr>
        <w:t>5</w:t>
      </w:r>
      <w:r>
        <w:t>,</w:t>
      </w:r>
      <w:r>
        <w:rPr>
          <w:rFonts w:hint="eastAsia"/>
        </w:rPr>
        <w:t>125</w:t>
      </w:r>
      <w:r>
        <w:rPr>
          <w:rFonts w:hint="eastAsia"/>
        </w:rPr>
        <w:t>名。</w:t>
      </w:r>
    </w:p>
    <w:p w:rsidR="00000000" w:rsidRDefault="00000000">
      <w:pPr>
        <w:rPr>
          <w:rFonts w:hint="eastAsia"/>
        </w:rPr>
      </w:pPr>
      <w:r>
        <w:tab/>
      </w:r>
      <w:r>
        <w:rPr>
          <w:rFonts w:hint="eastAsia"/>
        </w:rPr>
        <w:t>483.</w:t>
      </w:r>
      <w:r>
        <w:t xml:space="preserve">  </w:t>
      </w:r>
      <w:r>
        <w:rPr>
          <w:rFonts w:hint="eastAsia"/>
        </w:rPr>
        <w:t>与成人初级保健医师一样，</w:t>
      </w:r>
      <w:r>
        <w:rPr>
          <w:rFonts w:ascii="Time New Roman" w:eastAsia="SimHei" w:hAnsi="Time New Roman" w:hint="eastAsia"/>
        </w:rPr>
        <w:t>儿科医师初级保健服务</w:t>
      </w:r>
      <w:r>
        <w:rPr>
          <w:rFonts w:hint="eastAsia"/>
        </w:rPr>
        <w:t>也是按区域划分。初级保健儿科医师的职责包括与所在地区学校订立合约，为学校提供医疗服务。按照《公共教育法令》的规定，此种服务为定期服务。初级保健儿科医师负责婴儿和儿童的强制性疫苗注射工作，开展强制性医疗检查。至于为其提供服务的初级保健医师人选，可由父母自行决定。如果所在地区没有初级保健儿科医师，作为所谓的混合地区，则成人初级保健医师将同时为成人与儿童行医。有关儿童医疗的专门知识，是初级保健医师培训与进修内容的一部分。</w:t>
      </w:r>
    </w:p>
    <w:p w:rsidR="00000000" w:rsidRDefault="00000000">
      <w:pPr>
        <w:rPr>
          <w:rFonts w:hint="eastAsia"/>
        </w:rPr>
      </w:pPr>
      <w:r>
        <w:tab/>
      </w:r>
      <w:r>
        <w:rPr>
          <w:rFonts w:hint="eastAsia"/>
        </w:rPr>
        <w:t>484.</w:t>
      </w:r>
      <w:r>
        <w:t xml:space="preserve">  </w:t>
      </w:r>
      <w:r>
        <w:rPr>
          <w:rFonts w:hint="eastAsia"/>
        </w:rPr>
        <w:t>作为初级保健系统的一部分，还必须提供</w:t>
      </w:r>
      <w:r>
        <w:rPr>
          <w:rFonts w:ascii="Time New Roman" w:eastAsia="SimHei" w:hAnsi="Time New Roman" w:hint="eastAsia"/>
        </w:rPr>
        <w:t>儿童保育护理员服务，</w:t>
      </w:r>
      <w:r>
        <w:rPr>
          <w:rFonts w:hint="eastAsia"/>
        </w:rPr>
        <w:t>此项服务也按照区域划分，在初级保健儿科医师的工作范围内与妇科服务提供者密切合作，提供孕妇护理和对母亲的保护。全国共有</w:t>
      </w:r>
      <w:r>
        <w:rPr>
          <w:rFonts w:hint="eastAsia"/>
        </w:rPr>
        <w:t>4000</w:t>
      </w:r>
      <w:r>
        <w:rPr>
          <w:rFonts w:hint="eastAsia"/>
        </w:rPr>
        <w:t>多名儿童保育护理员，其中大多数人员在指定区域内从事孕妇护理、咨询、安排身体操练、为生育、哺乳、照看新生儿做准备等工作，并且配合儿科医师，开展查体和检验工作，以监测儿童身心发育情况。在学校履行其职责期间，他们要承担多项责任，负责健康科目的讲授工作，以及开展健康教育。</w:t>
      </w:r>
    </w:p>
    <w:p w:rsidR="00000000" w:rsidRDefault="00000000">
      <w:pPr>
        <w:rPr>
          <w:rFonts w:hint="eastAsia"/>
        </w:rPr>
      </w:pPr>
      <w:r>
        <w:tab/>
      </w:r>
      <w:r>
        <w:rPr>
          <w:rFonts w:hint="eastAsia"/>
        </w:rPr>
        <w:t>485.</w:t>
      </w:r>
      <w:r>
        <w:t xml:space="preserve">  </w:t>
      </w:r>
      <w:r>
        <w:rPr>
          <w:rFonts w:hint="eastAsia"/>
        </w:rPr>
        <w:t>有少数儿童保育护理人员属于国家公共卫生和卫生官员服务局</w:t>
      </w:r>
      <w:r>
        <w:rPr>
          <w:rFonts w:ascii="Time New Roman" w:eastAsia="SimHei" w:hAnsi="Time New Roman" w:hint="eastAsia"/>
        </w:rPr>
        <w:t>家庭保护处</w:t>
      </w:r>
      <w:r>
        <w:rPr>
          <w:rFonts w:hint="eastAsia"/>
        </w:rPr>
        <w:t>的工作人员，他们帮助母亲作好怀孕准备，提供遗传问题的辅导，保护胎儿生命。《关于保护胎儿生命的</w:t>
      </w:r>
      <w:r>
        <w:rPr>
          <w:rFonts w:hint="eastAsia"/>
        </w:rPr>
        <w:t>1992</w:t>
      </w:r>
      <w:r>
        <w:rPr>
          <w:rFonts w:hint="eastAsia"/>
        </w:rPr>
        <w:t>年第七十九号法令》就该问题作出如下规定：</w:t>
      </w:r>
    </w:p>
    <w:p w:rsidR="00000000" w:rsidRDefault="00000000">
      <w:pPr>
        <w:ind w:left="1040"/>
        <w:rPr>
          <w:rFonts w:hint="eastAsia"/>
        </w:rPr>
      </w:pPr>
      <w:r>
        <w:rPr>
          <w:rFonts w:hint="eastAsia"/>
        </w:rPr>
        <w:tab/>
      </w:r>
      <w:r>
        <w:rPr>
          <w:rFonts w:hint="eastAsia"/>
        </w:rPr>
        <w:t>“</w:t>
      </w:r>
      <w:r>
        <w:rPr>
          <w:rFonts w:hint="eastAsia"/>
        </w:rPr>
        <w:t>2.(2)</w:t>
      </w:r>
      <w:r>
        <w:rPr>
          <w:rFonts w:hint="eastAsia"/>
        </w:rPr>
        <w:t>段</w:t>
      </w:r>
      <w:r>
        <w:rPr>
          <w:rFonts w:hint="eastAsia"/>
        </w:rPr>
        <w:tab/>
      </w:r>
      <w:r>
        <w:rPr>
          <w:rFonts w:hint="eastAsia"/>
        </w:rPr>
        <w:t>在国家公共卫生和卫生官员服务局机构框架下运作并经其授权的各市</w:t>
      </w:r>
      <w:r>
        <w:rPr>
          <w:rFonts w:hint="eastAsia"/>
        </w:rPr>
        <w:t>(</w:t>
      </w:r>
      <w:r>
        <w:rPr>
          <w:rFonts w:hint="eastAsia"/>
        </w:rPr>
        <w:t>布达佩斯各区</w:t>
      </w:r>
      <w:r>
        <w:rPr>
          <w:rFonts w:hint="eastAsia"/>
        </w:rPr>
        <w:t>)</w:t>
      </w:r>
      <w:r>
        <w:rPr>
          <w:rFonts w:hint="eastAsia"/>
        </w:rPr>
        <w:t>家庭保护处，提供有关辅导，帮助解决可能遇到的危急情况，并在教育机构所提供的教育之外，安排计划生育知识的传播事宜。</w:t>
      </w:r>
    </w:p>
    <w:p w:rsidR="00000000" w:rsidRDefault="00000000">
      <w:pPr>
        <w:ind w:left="1040"/>
        <w:rPr>
          <w:rFonts w:hint="eastAsia"/>
        </w:rPr>
      </w:pPr>
      <w:r>
        <w:rPr>
          <w:rFonts w:hint="eastAsia"/>
        </w:rPr>
        <w:tab/>
        <w:t>8.(1)</w:t>
      </w:r>
      <w:r>
        <w:rPr>
          <w:rFonts w:hint="eastAsia"/>
        </w:rPr>
        <w:t>段</w:t>
      </w:r>
      <w:r>
        <w:rPr>
          <w:rFonts w:hint="eastAsia"/>
        </w:rPr>
        <w:tab/>
      </w:r>
      <w:r>
        <w:rPr>
          <w:rFonts w:hint="eastAsia"/>
        </w:rPr>
        <w:t>关于终止妊娠的请求，孕妇须亲自向家庭保护处的代表提出</w:t>
      </w:r>
      <w:r>
        <w:rPr>
          <w:rFonts w:hint="eastAsia"/>
        </w:rPr>
        <w:t>(</w:t>
      </w:r>
      <w:r>
        <w:rPr>
          <w:rFonts w:hint="eastAsia"/>
        </w:rPr>
        <w:t>简称“官员”</w:t>
      </w:r>
      <w:r>
        <w:rPr>
          <w:rFonts w:hint="eastAsia"/>
        </w:rPr>
        <w:t>)</w:t>
      </w:r>
      <w:r>
        <w:rPr>
          <w:rFonts w:hint="eastAsia"/>
        </w:rPr>
        <w:t>，同时附上作出怀孕诊断的妇产科医师开具的证明。</w:t>
      </w:r>
    </w:p>
    <w:p w:rsidR="00000000" w:rsidRDefault="00000000">
      <w:pPr>
        <w:ind w:left="1040"/>
        <w:rPr>
          <w:rFonts w:hint="eastAsia"/>
        </w:rPr>
      </w:pPr>
      <w:r>
        <w:rPr>
          <w:rFonts w:hint="eastAsia"/>
        </w:rPr>
        <w:tab/>
        <w:t>9.(1)</w:t>
      </w:r>
      <w:r>
        <w:rPr>
          <w:rFonts w:hint="eastAsia"/>
        </w:rPr>
        <w:t>段</w:t>
      </w:r>
      <w:r>
        <w:rPr>
          <w:rFonts w:hint="eastAsia"/>
        </w:rPr>
        <w:tab/>
      </w:r>
      <w:r>
        <w:rPr>
          <w:rFonts w:hint="eastAsia"/>
        </w:rPr>
        <w:t>收到终止妊娠的请求之后，官员应充分尊重孕妇的感情与尊严，最好当着胎儿父亲的面，并为保留胎儿着想，向孕妇或第</w:t>
      </w:r>
      <w:r>
        <w:rPr>
          <w:rFonts w:hint="eastAsia"/>
        </w:rPr>
        <w:t>8</w:t>
      </w:r>
      <w:r>
        <w:rPr>
          <w:rFonts w:hint="eastAsia"/>
        </w:rPr>
        <w:t>段</w:t>
      </w:r>
      <w:r>
        <w:rPr>
          <w:rFonts w:hint="eastAsia"/>
        </w:rPr>
        <w:t>(3)</w:t>
      </w:r>
      <w:r>
        <w:rPr>
          <w:rFonts w:hint="eastAsia"/>
        </w:rPr>
        <w:t>规定的法庭代表说明以下情况：</w:t>
      </w:r>
    </w:p>
    <w:p w:rsidR="00000000" w:rsidRDefault="00000000">
      <w:pPr>
        <w:pStyle w:val="x"/>
        <w:ind w:left="2051"/>
        <w:rPr>
          <w:rFonts w:hint="eastAsia"/>
        </w:rPr>
      </w:pPr>
      <w:r>
        <w:t>a)</w:t>
      </w:r>
      <w:r>
        <w:tab/>
      </w:r>
      <w:r>
        <w:rPr>
          <w:rFonts w:hint="eastAsia"/>
        </w:rPr>
        <w:t>如果夫妇决定保留孩子，可从公共和非公共资源获得的现金和实物援助；</w:t>
      </w:r>
    </w:p>
    <w:p w:rsidR="00000000" w:rsidRDefault="00000000">
      <w:pPr>
        <w:pStyle w:val="x"/>
        <w:ind w:left="2051"/>
        <w:rPr>
          <w:rFonts w:hint="eastAsia"/>
        </w:rPr>
      </w:pPr>
      <w:r>
        <w:t>b)</w:t>
      </w:r>
      <w:r>
        <w:tab/>
      </w:r>
      <w:r>
        <w:rPr>
          <w:rFonts w:hint="eastAsia"/>
        </w:rPr>
        <w:t>如果孕妇决定保留孩子，现有哪些可提供道义</w:t>
      </w:r>
      <w:r>
        <w:rPr>
          <w:rFonts w:hint="eastAsia"/>
        </w:rPr>
        <w:t>/</w:t>
      </w:r>
      <w:r>
        <w:rPr>
          <w:rFonts w:hint="eastAsia"/>
        </w:rPr>
        <w:t>精神与物质援助的组织和机构；</w:t>
      </w:r>
    </w:p>
    <w:p w:rsidR="00000000" w:rsidRDefault="00000000">
      <w:pPr>
        <w:pStyle w:val="x"/>
        <w:ind w:left="2051"/>
        <w:rPr>
          <w:rFonts w:hint="eastAsia"/>
        </w:rPr>
      </w:pPr>
      <w:r>
        <w:t>c)</w:t>
      </w:r>
      <w:r>
        <w:tab/>
      </w:r>
      <w:r>
        <w:rPr>
          <w:rFonts w:hint="eastAsia"/>
        </w:rPr>
        <w:t>让他人领养孩子的可能性和条件；</w:t>
      </w:r>
    </w:p>
    <w:p w:rsidR="00000000" w:rsidRDefault="00000000">
      <w:pPr>
        <w:pStyle w:val="x"/>
        <w:ind w:left="2051"/>
        <w:rPr>
          <w:rFonts w:hint="eastAsia"/>
        </w:rPr>
      </w:pPr>
      <w:r>
        <w:t>d)</w:t>
      </w:r>
      <w:r>
        <w:tab/>
      </w:r>
      <w:r>
        <w:rPr>
          <w:rFonts w:hint="eastAsia"/>
        </w:rPr>
        <w:t>公共或非公共机构帮助解决危急情况的方法；官员表示在获取这种帮助方面给予合作；</w:t>
      </w:r>
    </w:p>
    <w:p w:rsidR="00000000" w:rsidRDefault="00000000">
      <w:pPr>
        <w:pStyle w:val="x"/>
        <w:ind w:left="2051"/>
        <w:rPr>
          <w:rFonts w:hint="eastAsia"/>
        </w:rPr>
      </w:pPr>
      <w:r>
        <w:t>e)</w:t>
      </w:r>
      <w:r>
        <w:tab/>
      </w:r>
      <w:r>
        <w:rPr>
          <w:rFonts w:hint="eastAsia"/>
        </w:rPr>
        <w:t>怀孕、胎儿发育、与堕胎有关的危险，以及可能对以后怀孕产生的影响；</w:t>
      </w:r>
    </w:p>
    <w:p w:rsidR="00000000" w:rsidRDefault="00000000">
      <w:pPr>
        <w:pStyle w:val="x"/>
        <w:ind w:left="2051"/>
        <w:rPr>
          <w:rFonts w:hint="eastAsia"/>
        </w:rPr>
      </w:pPr>
      <w:r>
        <w:t>f)</w:t>
      </w:r>
      <w:r>
        <w:tab/>
      </w:r>
      <w:r>
        <w:rPr>
          <w:rFonts w:hint="eastAsia"/>
        </w:rPr>
        <w:t>如果孕妇坚持终止妊娠，官员则向其说明，在按照</w:t>
      </w:r>
      <w:r>
        <w:t>a</w:t>
      </w:r>
      <w:r>
        <w:rPr>
          <w:rFonts w:hint="eastAsia"/>
        </w:rPr>
        <w:t>)-</w:t>
      </w:r>
      <w:r>
        <w:t>e</w:t>
      </w:r>
      <w:r>
        <w:rPr>
          <w:rFonts w:hint="eastAsia"/>
        </w:rPr>
        <w:t>)</w:t>
      </w:r>
      <w:r>
        <w:rPr>
          <w:rFonts w:hint="eastAsia"/>
        </w:rPr>
        <w:t>规定提供信息后三天，她必须多次参加家庭保护辅导班讲座。</w:t>
      </w:r>
    </w:p>
    <w:p w:rsidR="00000000" w:rsidRDefault="00000000">
      <w:pPr>
        <w:ind w:left="1560" w:hanging="520"/>
        <w:rPr>
          <w:rFonts w:hint="eastAsia"/>
        </w:rPr>
      </w:pPr>
      <w:r>
        <w:rPr>
          <w:rFonts w:hint="eastAsia"/>
        </w:rPr>
        <w:t>(2)</w:t>
      </w:r>
      <w:r>
        <w:tab/>
      </w:r>
      <w:r>
        <w:rPr>
          <w:rFonts w:hint="eastAsia"/>
        </w:rPr>
        <w:t>如果提出请求的妇女坚持要终止妊娠，官员将在</w:t>
      </w:r>
      <w:r>
        <w:rPr>
          <w:rFonts w:hint="eastAsia"/>
        </w:rPr>
        <w:t>(1)</w:t>
      </w:r>
      <w:r>
        <w:rPr>
          <w:rFonts w:hint="eastAsia"/>
        </w:rPr>
        <w:t>分段</w:t>
      </w:r>
      <w:r>
        <w:t>f</w:t>
      </w:r>
      <w:r>
        <w:rPr>
          <w:rFonts w:hint="eastAsia"/>
        </w:rPr>
        <w:t>)</w:t>
      </w:r>
      <w:r>
        <w:rPr>
          <w:rFonts w:hint="eastAsia"/>
        </w:rPr>
        <w:t>小节规定的时间之后，立即向其说明以下几点</w:t>
      </w:r>
      <w:r>
        <w:rPr>
          <w:rFonts w:hint="eastAsia"/>
        </w:rPr>
        <w:t>((7)</w:t>
      </w:r>
      <w:r>
        <w:rPr>
          <w:rFonts w:hint="eastAsia"/>
        </w:rPr>
        <w:t>分段规定者除外</w:t>
      </w:r>
      <w:r>
        <w:rPr>
          <w:rFonts w:hint="eastAsia"/>
        </w:rPr>
        <w:t>)</w:t>
      </w:r>
      <w:r>
        <w:rPr>
          <w:rFonts w:hint="eastAsia"/>
        </w:rPr>
        <w:t>：</w:t>
      </w:r>
    </w:p>
    <w:p w:rsidR="00000000" w:rsidRDefault="00000000">
      <w:pPr>
        <w:pStyle w:val="ac"/>
        <w:ind w:left="2051"/>
        <w:rPr>
          <w:rFonts w:hint="eastAsia"/>
        </w:rPr>
      </w:pPr>
      <w:r>
        <w:t>a</w:t>
      </w:r>
      <w:r>
        <w:rPr>
          <w:rFonts w:hint="eastAsia"/>
        </w:rPr>
        <w:t>)</w:t>
      </w:r>
      <w:r>
        <w:tab/>
      </w:r>
      <w:r>
        <w:rPr>
          <w:rFonts w:hint="eastAsia"/>
        </w:rPr>
        <w:t>法律规定的堕胎条件；</w:t>
      </w:r>
    </w:p>
    <w:p w:rsidR="00000000" w:rsidRDefault="00000000">
      <w:pPr>
        <w:pStyle w:val="ac"/>
        <w:ind w:left="2051"/>
        <w:rPr>
          <w:rFonts w:hint="eastAsia"/>
        </w:rPr>
      </w:pPr>
      <w:r>
        <w:t>b</w:t>
      </w:r>
      <w:r>
        <w:rPr>
          <w:rFonts w:hint="eastAsia"/>
        </w:rPr>
        <w:t>)</w:t>
      </w:r>
      <w:r>
        <w:tab/>
      </w:r>
      <w:r>
        <w:rPr>
          <w:rFonts w:hint="eastAsia"/>
        </w:rPr>
        <w:t>其他堕胎条件，以及堕胎方式；</w:t>
      </w:r>
    </w:p>
    <w:p w:rsidR="00000000" w:rsidRDefault="00000000">
      <w:pPr>
        <w:pStyle w:val="ac"/>
        <w:ind w:left="2051"/>
        <w:rPr>
          <w:rFonts w:hint="eastAsia"/>
        </w:rPr>
      </w:pPr>
      <w:r>
        <w:t>c</w:t>
      </w:r>
      <w:r>
        <w:rPr>
          <w:rFonts w:hint="eastAsia"/>
        </w:rPr>
        <w:t>)</w:t>
      </w:r>
      <w:r>
        <w:tab/>
      </w:r>
      <w:r>
        <w:rPr>
          <w:rFonts w:hint="eastAsia"/>
        </w:rPr>
        <w:t>实施堕胎的医疗机构；和</w:t>
      </w:r>
    </w:p>
    <w:p w:rsidR="00000000" w:rsidRDefault="00000000">
      <w:pPr>
        <w:pStyle w:val="ac"/>
        <w:ind w:left="2051"/>
        <w:rPr>
          <w:rFonts w:hint="eastAsia"/>
        </w:rPr>
      </w:pPr>
      <w:r>
        <w:t>d</w:t>
      </w:r>
      <w:r>
        <w:rPr>
          <w:rFonts w:hint="eastAsia"/>
        </w:rPr>
        <w:t>)</w:t>
      </w:r>
      <w:r>
        <w:tab/>
      </w:r>
      <w:r>
        <w:rPr>
          <w:rFonts w:hint="eastAsia"/>
        </w:rPr>
        <w:t>堕胎之后可从家庭保护处获得的援助，同时将提供适当的计划生育帮助，向其说明适合个人情况的避孕方法；</w:t>
      </w:r>
    </w:p>
    <w:p w:rsidR="00000000" w:rsidRDefault="00000000">
      <w:pPr>
        <w:pStyle w:val="ac"/>
        <w:ind w:left="2051"/>
        <w:rPr>
          <w:rFonts w:hint="eastAsia"/>
        </w:rPr>
      </w:pPr>
      <w:r>
        <w:t>e</w:t>
      </w:r>
      <w:r>
        <w:rPr>
          <w:rFonts w:hint="eastAsia"/>
        </w:rPr>
        <w:t>)</w:t>
      </w:r>
      <w:r>
        <w:tab/>
      </w:r>
      <w:r>
        <w:rPr>
          <w:rFonts w:hint="eastAsia"/>
        </w:rPr>
        <w:t>获取避孕工具的补贴办法。</w:t>
      </w:r>
    </w:p>
    <w:p w:rsidR="00000000" w:rsidRDefault="00000000">
      <w:pPr>
        <w:ind w:left="1560" w:hanging="520"/>
        <w:rPr>
          <w:rFonts w:hint="eastAsia"/>
        </w:rPr>
      </w:pPr>
      <w:r>
        <w:rPr>
          <w:rFonts w:hint="eastAsia"/>
        </w:rPr>
        <w:t>(3)</w:t>
      </w:r>
      <w:r>
        <w:tab/>
      </w:r>
      <w:r>
        <w:rPr>
          <w:rFonts w:hint="eastAsia"/>
        </w:rPr>
        <w:t>根据第</w:t>
      </w:r>
      <w:r>
        <w:rPr>
          <w:rFonts w:hint="eastAsia"/>
        </w:rPr>
        <w:t>(2)</w:t>
      </w:r>
      <w:r>
        <w:rPr>
          <w:rFonts w:hint="eastAsia"/>
        </w:rPr>
        <w:t>段所给出的信息，官员对终止妊娠的请求作出书面认可。该请求书由申请人以及</w:t>
      </w:r>
      <w:r>
        <w:rPr>
          <w:rFonts w:hint="eastAsia"/>
        </w:rPr>
        <w:t>(</w:t>
      </w:r>
      <w:r>
        <w:rPr>
          <w:rFonts w:hint="eastAsia"/>
        </w:rPr>
        <w:t>最好是</w:t>
      </w:r>
      <w:r>
        <w:rPr>
          <w:rFonts w:hint="eastAsia"/>
        </w:rPr>
        <w:t>)</w:t>
      </w:r>
      <w:r>
        <w:rPr>
          <w:rFonts w:hint="eastAsia"/>
        </w:rPr>
        <w:t>胎儿的父亲签字，同时明确她</w:t>
      </w:r>
      <w:r>
        <w:rPr>
          <w:rFonts w:hint="eastAsia"/>
        </w:rPr>
        <w:t>(</w:t>
      </w:r>
      <w:r>
        <w:rPr>
          <w:rFonts w:hint="eastAsia"/>
        </w:rPr>
        <w:t>他们</w:t>
      </w:r>
      <w:r>
        <w:rPr>
          <w:rFonts w:hint="eastAsia"/>
        </w:rPr>
        <w:t>)</w:t>
      </w:r>
      <w:r>
        <w:rPr>
          <w:rFonts w:hint="eastAsia"/>
        </w:rPr>
        <w:t>选定实施堕胎的医疗机构。</w:t>
      </w:r>
    </w:p>
    <w:p w:rsidR="00000000" w:rsidRDefault="00000000">
      <w:pPr>
        <w:ind w:left="1560" w:hanging="520"/>
        <w:rPr>
          <w:rFonts w:hint="eastAsia"/>
        </w:rPr>
      </w:pPr>
      <w:r>
        <w:rPr>
          <w:rFonts w:hint="eastAsia"/>
        </w:rPr>
        <w:t>(4)</w:t>
      </w:r>
      <w:r>
        <w:tab/>
      </w:r>
      <w:r>
        <w:rPr>
          <w:rFonts w:hint="eastAsia"/>
        </w:rPr>
        <w:t>官员将在已签字的请求书上签字，并将其交给申请人。</w:t>
      </w:r>
    </w:p>
    <w:p w:rsidR="00000000" w:rsidRDefault="00000000">
      <w:pPr>
        <w:ind w:left="1560" w:hanging="520"/>
        <w:rPr>
          <w:rFonts w:hint="eastAsia"/>
        </w:rPr>
      </w:pPr>
      <w:r>
        <w:rPr>
          <w:rFonts w:hint="eastAsia"/>
        </w:rPr>
        <w:t>(5)</w:t>
      </w:r>
      <w:r>
        <w:tab/>
      </w:r>
      <w:r>
        <w:rPr>
          <w:rFonts w:hint="eastAsia"/>
        </w:rPr>
        <w:t>在将请求书交给申请人后的</w:t>
      </w:r>
      <w:r>
        <w:rPr>
          <w:rFonts w:hint="eastAsia"/>
        </w:rPr>
        <w:t>24</w:t>
      </w:r>
      <w:r>
        <w:rPr>
          <w:rFonts w:hint="eastAsia"/>
        </w:rPr>
        <w:t>小时内，官员将会签的书面请求书副本转交选定的医疗机构。</w:t>
      </w:r>
    </w:p>
    <w:p w:rsidR="00000000" w:rsidRDefault="00000000">
      <w:pPr>
        <w:ind w:left="1040"/>
        <w:rPr>
          <w:rFonts w:hint="eastAsia"/>
        </w:rPr>
      </w:pPr>
      <w:r>
        <w:rPr>
          <w:rFonts w:hint="eastAsia"/>
        </w:rPr>
        <w:t>(6)</w:t>
      </w:r>
      <w:r>
        <w:tab/>
      </w:r>
      <w:r>
        <w:rPr>
          <w:rFonts w:hint="eastAsia"/>
        </w:rPr>
        <w:t>所有有关官员均须严格保密。”</w:t>
      </w:r>
    </w:p>
    <w:p w:rsidR="00000000" w:rsidRDefault="00000000">
      <w:pPr>
        <w:rPr>
          <w:rFonts w:hint="eastAsia"/>
        </w:rPr>
      </w:pPr>
      <w:r>
        <w:tab/>
      </w:r>
      <w:r>
        <w:rPr>
          <w:rFonts w:hint="eastAsia"/>
        </w:rPr>
        <w:t>486.</w:t>
      </w:r>
      <w:r>
        <w:t xml:space="preserve">  </w:t>
      </w:r>
      <w:r>
        <w:rPr>
          <w:rFonts w:hint="eastAsia"/>
        </w:rPr>
        <w:t>除了上述服务以外，作为初级保健系统一部分的还有</w:t>
      </w:r>
      <w:r>
        <w:rPr>
          <w:rFonts w:ascii="Time New Roman" w:eastAsia="SimHei" w:hAnsi="Time New Roman" w:hint="eastAsia"/>
        </w:rPr>
        <w:t>初级牙科护理</w:t>
      </w:r>
      <w:r>
        <w:rPr>
          <w:rFonts w:hint="eastAsia"/>
        </w:rPr>
        <w:t>，其中一项工作是每年对学生进行强制性牙科检查。</w:t>
      </w:r>
      <w:r>
        <w:rPr>
          <w:rFonts w:hint="eastAsia"/>
        </w:rPr>
        <w:t>2000</w:t>
      </w:r>
      <w:r>
        <w:rPr>
          <w:rFonts w:hint="eastAsia"/>
        </w:rPr>
        <w:t>年有</w:t>
      </w:r>
      <w:r>
        <w:rPr>
          <w:rFonts w:hint="eastAsia"/>
        </w:rPr>
        <w:t>1</w:t>
      </w:r>
      <w:r>
        <w:t>,</w:t>
      </w:r>
      <w:r>
        <w:rPr>
          <w:rFonts w:hint="eastAsia"/>
        </w:rPr>
        <w:t>502</w:t>
      </w:r>
      <w:r>
        <w:t>,</w:t>
      </w:r>
      <w:r>
        <w:rPr>
          <w:rFonts w:hint="eastAsia"/>
        </w:rPr>
        <w:t>216</w:t>
      </w:r>
      <w:r>
        <w:rPr>
          <w:rFonts w:hint="eastAsia"/>
        </w:rPr>
        <w:t>名儿童患者接受了牙科治疗。大部分牙医与负责这项工作的地方政府签定初级保健服务合约，在所在地区开业行医。在口腔护理强制性健康保险制度下免费进行检查、预防和紧急处理，是牙科治疗的一大特点，对</w:t>
      </w:r>
      <w:r>
        <w:rPr>
          <w:rFonts w:hint="eastAsia"/>
        </w:rPr>
        <w:t>18</w:t>
      </w:r>
      <w:r>
        <w:rPr>
          <w:rFonts w:hint="eastAsia"/>
        </w:rPr>
        <w:t>岁以下患者免费做畸齿矫正术，对</w:t>
      </w:r>
      <w:r>
        <w:rPr>
          <w:rFonts w:hint="eastAsia"/>
        </w:rPr>
        <w:t>18</w:t>
      </w:r>
      <w:r>
        <w:rPr>
          <w:rFonts w:hint="eastAsia"/>
        </w:rPr>
        <w:t>岁以上患者收取部分费用。由于社会福利方面的原因，对于领养恤金者依然免费提供某些类别的镶牙服务，不过，牙科技师的费用必须部分或全部给予偿付。</w:t>
      </w:r>
    </w:p>
    <w:p w:rsidR="00000000" w:rsidRDefault="00000000">
      <w:pPr>
        <w:rPr>
          <w:rFonts w:hint="eastAsia"/>
        </w:rPr>
      </w:pPr>
      <w:r>
        <w:rPr>
          <w:rFonts w:hint="eastAsia"/>
        </w:rPr>
        <w:tab/>
        <w:t xml:space="preserve">487.  </w:t>
      </w:r>
      <w:r>
        <w:rPr>
          <w:rFonts w:hint="eastAsia"/>
        </w:rPr>
        <w:t>在口腔服务框架下，受保人有权享有全套初级和专业服务</w:t>
      </w:r>
      <w:r>
        <w:rPr>
          <w:rFonts w:hint="eastAsia"/>
        </w:rPr>
        <w:t>(</w:t>
      </w:r>
      <w:r>
        <w:rPr>
          <w:rFonts w:hint="eastAsia"/>
        </w:rPr>
        <w:t>技师的费用除外</w:t>
      </w:r>
      <w:r>
        <w:rPr>
          <w:rFonts w:hint="eastAsia"/>
        </w:rPr>
        <w:t>)</w:t>
      </w:r>
      <w:r>
        <w:rPr>
          <w:rFonts w:hint="eastAsia"/>
        </w:rPr>
        <w:t>，但须符合以下条件：</w:t>
      </w:r>
    </w:p>
    <w:p w:rsidR="00000000" w:rsidRDefault="00000000">
      <w:pPr>
        <w:pStyle w:val="a0"/>
        <w:ind w:left="1550"/>
        <w:rPr>
          <w:rFonts w:hint="eastAsia"/>
        </w:rPr>
      </w:pPr>
      <w:r>
        <w:rPr>
          <w:rFonts w:hint="eastAsia"/>
        </w:rPr>
        <w:t>不满</w:t>
      </w:r>
      <w:r>
        <w:rPr>
          <w:rFonts w:hint="eastAsia"/>
        </w:rPr>
        <w:t>18</w:t>
      </w:r>
      <w:r>
        <w:rPr>
          <w:rFonts w:hint="eastAsia"/>
        </w:rPr>
        <w:t>岁，年满</w:t>
      </w:r>
      <w:r>
        <w:rPr>
          <w:rFonts w:hint="eastAsia"/>
        </w:rPr>
        <w:t>18</w:t>
      </w:r>
      <w:r>
        <w:rPr>
          <w:rFonts w:hint="eastAsia"/>
        </w:rPr>
        <w:t>岁但仍在中学读书，以及职业学校的全日制学生；</w:t>
      </w:r>
    </w:p>
    <w:p w:rsidR="00000000" w:rsidRDefault="00000000">
      <w:pPr>
        <w:pStyle w:val="a0"/>
        <w:ind w:left="1550"/>
        <w:rPr>
          <w:rFonts w:hint="eastAsia"/>
        </w:rPr>
      </w:pPr>
      <w:r>
        <w:rPr>
          <w:rFonts w:hint="eastAsia"/>
        </w:rPr>
        <w:t>自诊断怀孕之日起至生产后</w:t>
      </w:r>
      <w:r>
        <w:rPr>
          <w:rFonts w:hint="eastAsia"/>
        </w:rPr>
        <w:t>90</w:t>
      </w:r>
      <w:r>
        <w:rPr>
          <w:rFonts w:hint="eastAsia"/>
        </w:rPr>
        <w:t>天内；以及</w:t>
      </w:r>
    </w:p>
    <w:p w:rsidR="00000000" w:rsidRDefault="00000000">
      <w:pPr>
        <w:pStyle w:val="a0"/>
        <w:ind w:left="1550"/>
        <w:rPr>
          <w:rFonts w:hint="eastAsia"/>
        </w:rPr>
      </w:pPr>
      <w:r>
        <w:rPr>
          <w:rFonts w:hint="eastAsia"/>
        </w:rPr>
        <w:t>60</w:t>
      </w:r>
      <w:r>
        <w:rPr>
          <w:rFonts w:hint="eastAsia"/>
        </w:rPr>
        <w:t>岁以上。</w:t>
      </w:r>
    </w:p>
    <w:p w:rsidR="00000000" w:rsidRDefault="00000000">
      <w:pPr>
        <w:rPr>
          <w:rFonts w:hint="eastAsia"/>
        </w:rPr>
      </w:pPr>
      <w:r>
        <w:tab/>
      </w:r>
      <w:r>
        <w:rPr>
          <w:rFonts w:hint="eastAsia"/>
        </w:rPr>
        <w:t>488.</w:t>
      </w:r>
      <w:r>
        <w:t xml:space="preserve">  </w:t>
      </w:r>
      <w:r>
        <w:rPr>
          <w:rFonts w:hint="eastAsia"/>
        </w:rPr>
        <w:t>18</w:t>
      </w:r>
      <w:r>
        <w:rPr>
          <w:rFonts w:hint="eastAsia"/>
        </w:rPr>
        <w:t>岁以上受保人，不在上述之列者，根据其拥有的健康保险的法律关系，亦有权急诊，做牙科手术、去斑和齿龈变形治疗。</w:t>
      </w:r>
    </w:p>
    <w:p w:rsidR="00000000" w:rsidRDefault="00000000">
      <w:pPr>
        <w:rPr>
          <w:rFonts w:hint="eastAsia"/>
        </w:rPr>
      </w:pPr>
      <w:r>
        <w:tab/>
      </w:r>
      <w:r>
        <w:rPr>
          <w:rFonts w:hint="eastAsia"/>
        </w:rPr>
        <w:t>489.</w:t>
      </w:r>
      <w:r>
        <w:t xml:space="preserve">  </w:t>
      </w:r>
      <w:r>
        <w:rPr>
          <w:rFonts w:hint="eastAsia"/>
        </w:rPr>
        <w:t>受保人，无论年龄如何，均有进行与最初疾病有关的牙科和口腔疾病治疗，经专科医生的介绍转诊，查找引起一种不同疾病的口腔病源。以下为可提供部分付费的服务：</w:t>
      </w:r>
    </w:p>
    <w:p w:rsidR="00000000" w:rsidRDefault="00000000">
      <w:pPr>
        <w:pStyle w:val="a0"/>
        <w:ind w:left="1550"/>
        <w:rPr>
          <w:rFonts w:hint="eastAsia"/>
        </w:rPr>
      </w:pPr>
      <w:r>
        <w:rPr>
          <w:rFonts w:hint="eastAsia"/>
        </w:rPr>
        <w:t>18</w:t>
      </w:r>
      <w:r>
        <w:rPr>
          <w:rFonts w:hint="eastAsia"/>
        </w:rPr>
        <w:t>岁以下受保人可接受畸齿矫正术；</w:t>
      </w:r>
    </w:p>
    <w:p w:rsidR="00000000" w:rsidRDefault="00000000">
      <w:pPr>
        <w:pStyle w:val="a0"/>
        <w:ind w:left="1550"/>
        <w:rPr>
          <w:rFonts w:hint="eastAsia"/>
        </w:rPr>
      </w:pPr>
      <w:r>
        <w:rPr>
          <w:rFonts w:hint="eastAsia"/>
        </w:rPr>
        <w:t>18</w:t>
      </w:r>
      <w:r>
        <w:rPr>
          <w:rFonts w:hint="eastAsia"/>
        </w:rPr>
        <w:t>岁以上患者可接受口腔护理治疗；</w:t>
      </w:r>
    </w:p>
    <w:p w:rsidR="00000000" w:rsidRDefault="00000000">
      <w:pPr>
        <w:pStyle w:val="a0"/>
        <w:ind w:left="1550"/>
        <w:rPr>
          <w:rFonts w:hint="eastAsia"/>
        </w:rPr>
      </w:pPr>
      <w:r>
        <w:rPr>
          <w:rFonts w:hint="eastAsia"/>
        </w:rPr>
        <w:t>装假牙以恢复咀嚼功能。</w:t>
      </w:r>
    </w:p>
    <w:p w:rsidR="00000000" w:rsidRDefault="00000000">
      <w:pPr>
        <w:rPr>
          <w:rFonts w:hint="eastAsia"/>
        </w:rPr>
      </w:pPr>
      <w:r>
        <w:tab/>
      </w:r>
      <w:r>
        <w:rPr>
          <w:rFonts w:hint="eastAsia"/>
        </w:rPr>
        <w:t xml:space="preserve">490. </w:t>
      </w:r>
      <w:r>
        <w:t xml:space="preserve"> </w:t>
      </w:r>
      <w:r>
        <w:rPr>
          <w:rFonts w:hint="eastAsia"/>
        </w:rPr>
        <w:t>《</w:t>
      </w:r>
      <w:r>
        <w:rPr>
          <w:rFonts w:hint="eastAsia"/>
        </w:rPr>
        <w:t>2001</w:t>
      </w:r>
      <w:r>
        <w:rPr>
          <w:rFonts w:hint="eastAsia"/>
        </w:rPr>
        <w:t>年第七十号法令》规定口腔护理治疗为免费服务。</w:t>
      </w:r>
    </w:p>
    <w:p w:rsidR="00000000" w:rsidRDefault="00000000">
      <w:pPr>
        <w:rPr>
          <w:rFonts w:hint="eastAsia"/>
        </w:rPr>
      </w:pPr>
      <w:r>
        <w:tab/>
      </w:r>
      <w:r>
        <w:rPr>
          <w:rFonts w:hint="eastAsia"/>
        </w:rPr>
        <w:t>491.</w:t>
      </w:r>
      <w:r>
        <w:t xml:space="preserve">  </w:t>
      </w:r>
      <w:r>
        <w:rPr>
          <w:rFonts w:ascii="Time New Roman" w:eastAsia="SimHei" w:hAnsi="Time New Roman" w:hint="eastAsia"/>
        </w:rPr>
        <w:t>有些机构门诊进行专科手术和护理</w:t>
      </w:r>
      <w:r>
        <w:rPr>
          <w:rFonts w:hint="eastAsia"/>
        </w:rPr>
        <w:t>。这些机构与医院密切合作，几乎作为医院的一部分进行有些手术。</w:t>
      </w:r>
    </w:p>
    <w:p w:rsidR="00000000" w:rsidRDefault="00000000">
      <w:pPr>
        <w:rPr>
          <w:rFonts w:hint="eastAsia"/>
        </w:rPr>
      </w:pPr>
      <w:r>
        <w:tab/>
      </w:r>
      <w:r>
        <w:rPr>
          <w:rFonts w:hint="eastAsia"/>
        </w:rPr>
        <w:t>492.</w:t>
      </w:r>
      <w:r>
        <w:t xml:space="preserve">  </w:t>
      </w:r>
      <w:r>
        <w:rPr>
          <w:rFonts w:hint="eastAsia"/>
        </w:rPr>
        <w:t>五个地区的护理机构构成一个全国性网络。作为传统肺结核防治工作的一部分，全国设有</w:t>
      </w:r>
      <w:r>
        <w:rPr>
          <w:rFonts w:hint="eastAsia"/>
        </w:rPr>
        <w:t>162</w:t>
      </w:r>
      <w:r>
        <w:rPr>
          <w:rFonts w:hint="eastAsia"/>
        </w:rPr>
        <w:t>所肺病治疗机构，</w:t>
      </w:r>
      <w:r>
        <w:rPr>
          <w:rFonts w:hint="eastAsia"/>
        </w:rPr>
        <w:t>134</w:t>
      </w:r>
      <w:r>
        <w:rPr>
          <w:rFonts w:hint="eastAsia"/>
        </w:rPr>
        <w:t>所长期和</w:t>
      </w:r>
      <w:r>
        <w:rPr>
          <w:rFonts w:hint="eastAsia"/>
        </w:rPr>
        <w:t>48</w:t>
      </w:r>
      <w:r>
        <w:rPr>
          <w:rFonts w:hint="eastAsia"/>
        </w:rPr>
        <w:t>所流动监测站。</w:t>
      </w:r>
    </w:p>
    <w:p w:rsidR="00000000" w:rsidRDefault="00000000">
      <w:pPr>
        <w:rPr>
          <w:rFonts w:hint="eastAsia"/>
        </w:rPr>
      </w:pPr>
      <w:r>
        <w:tab/>
      </w:r>
      <w:r>
        <w:rPr>
          <w:rFonts w:hint="eastAsia"/>
        </w:rPr>
        <w:t>493.</w:t>
      </w:r>
      <w:r>
        <w:t xml:space="preserve">  </w:t>
      </w:r>
      <w:r>
        <w:rPr>
          <w:rFonts w:hint="eastAsia"/>
        </w:rPr>
        <w:t>皮肤病学和性传播疾病专科机构</w:t>
      </w:r>
      <w:r>
        <w:rPr>
          <w:rFonts w:hint="eastAsia"/>
        </w:rPr>
        <w:t>2000</w:t>
      </w:r>
      <w:r>
        <w:rPr>
          <w:rFonts w:hint="eastAsia"/>
        </w:rPr>
        <w:t>年为</w:t>
      </w:r>
      <w:r>
        <w:rPr>
          <w:rFonts w:hint="eastAsia"/>
        </w:rPr>
        <w:t>121</w:t>
      </w:r>
      <w:r>
        <w:rPr>
          <w:rFonts w:hint="eastAsia"/>
        </w:rPr>
        <w:t>所，</w:t>
      </w:r>
      <w:r>
        <w:rPr>
          <w:rFonts w:hint="eastAsia"/>
        </w:rPr>
        <w:t>2002</w:t>
      </w:r>
      <w:r>
        <w:rPr>
          <w:rFonts w:hint="eastAsia"/>
        </w:rPr>
        <w:t>年为</w:t>
      </w:r>
      <w:r>
        <w:rPr>
          <w:rFonts w:hint="eastAsia"/>
        </w:rPr>
        <w:t>124</w:t>
      </w:r>
      <w:r>
        <w:rPr>
          <w:rFonts w:hint="eastAsia"/>
        </w:rPr>
        <w:t>所。除了标准的治疗职能之外，这些机构还参与对妓女的强制性身体检查工作。</w:t>
      </w:r>
    </w:p>
    <w:p w:rsidR="00000000" w:rsidRDefault="00000000">
      <w:pPr>
        <w:rPr>
          <w:rFonts w:hint="eastAsia"/>
        </w:rPr>
      </w:pPr>
      <w:r>
        <w:tab/>
      </w:r>
      <w:r>
        <w:rPr>
          <w:rFonts w:hint="eastAsia"/>
        </w:rPr>
        <w:t>494.</w:t>
      </w:r>
      <w:r>
        <w:t xml:space="preserve">  </w:t>
      </w:r>
      <w:r>
        <w:rPr>
          <w:rFonts w:hint="eastAsia"/>
        </w:rPr>
        <w:t>2000</w:t>
      </w:r>
      <w:r>
        <w:rPr>
          <w:rFonts w:hint="eastAsia"/>
        </w:rPr>
        <w:t>年，全国有</w:t>
      </w:r>
      <w:r>
        <w:rPr>
          <w:rFonts w:hint="eastAsia"/>
        </w:rPr>
        <w:t>139</w:t>
      </w:r>
      <w:r>
        <w:rPr>
          <w:rFonts w:hint="eastAsia"/>
        </w:rPr>
        <w:t>所精神病治疗机构，</w:t>
      </w:r>
      <w:r>
        <w:rPr>
          <w:rFonts w:hint="eastAsia"/>
        </w:rPr>
        <w:t>2002</w:t>
      </w:r>
      <w:r>
        <w:rPr>
          <w:rFonts w:hint="eastAsia"/>
        </w:rPr>
        <w:t>年有</w:t>
      </w:r>
      <w:r>
        <w:rPr>
          <w:rFonts w:hint="eastAsia"/>
        </w:rPr>
        <w:t>144</w:t>
      </w:r>
      <w:r>
        <w:rPr>
          <w:rFonts w:hint="eastAsia"/>
        </w:rPr>
        <w:t>所。其中一些机构还提供药物滥用治疗。在对酗酒者和吸毒成隐者的治疗方面，全国设有</w:t>
      </w:r>
      <w:r>
        <w:rPr>
          <w:rFonts w:hint="eastAsia"/>
        </w:rPr>
        <w:t>136</w:t>
      </w:r>
      <w:r>
        <w:rPr>
          <w:rFonts w:hint="eastAsia"/>
        </w:rPr>
        <w:t>所独立的药物滥用治疗机构。近年来的一个趋势是，门诊禁毒中心开始脱离门诊药物诊所，作为独立单位为滥用者提供危机干预、解毒服务和长期治疗。目前全国有</w:t>
      </w:r>
      <w:r>
        <w:rPr>
          <w:rFonts w:hint="eastAsia"/>
        </w:rPr>
        <w:t>16</w:t>
      </w:r>
      <w:r>
        <w:rPr>
          <w:rFonts w:hint="eastAsia"/>
        </w:rPr>
        <w:t>所门诊药物诊所提供服务。</w:t>
      </w:r>
    </w:p>
    <w:p w:rsidR="00000000" w:rsidRDefault="00000000">
      <w:pPr>
        <w:rPr>
          <w:rFonts w:hint="eastAsia"/>
        </w:rPr>
      </w:pPr>
      <w:r>
        <w:tab/>
      </w:r>
      <w:r>
        <w:rPr>
          <w:rFonts w:hint="eastAsia"/>
        </w:rPr>
        <w:t>495.</w:t>
      </w:r>
      <w:r>
        <w:t xml:space="preserve">  </w:t>
      </w:r>
      <w:r>
        <w:rPr>
          <w:rFonts w:hint="eastAsia"/>
        </w:rPr>
        <w:t>在</w:t>
      </w:r>
      <w:r>
        <w:rPr>
          <w:rFonts w:ascii="Time New Roman" w:eastAsia="SimHei" w:hAnsi="Time New Roman" w:hint="eastAsia"/>
        </w:rPr>
        <w:t>肿瘤科护理</w:t>
      </w:r>
      <w:r>
        <w:rPr>
          <w:rFonts w:hint="eastAsia"/>
        </w:rPr>
        <w:t>网络下运营的有</w:t>
      </w:r>
      <w:r>
        <w:rPr>
          <w:rFonts w:hint="eastAsia"/>
        </w:rPr>
        <w:t>86</w:t>
      </w:r>
      <w:r>
        <w:rPr>
          <w:rFonts w:hint="eastAsia"/>
        </w:rPr>
        <w:t>个中心，提供与护理有关的服务。卫生、社会和家庭事务部作出一项专业决定，规定采用特殊肿瘤检测方法，以促进公众健康。目前政府有关机构正在对相关的政府提案进行协调。</w:t>
      </w:r>
    </w:p>
    <w:p w:rsidR="00000000" w:rsidRDefault="00000000">
      <w:pPr>
        <w:rPr>
          <w:rFonts w:hint="eastAsia"/>
        </w:rPr>
      </w:pPr>
      <w:r>
        <w:tab/>
      </w:r>
      <w:r>
        <w:rPr>
          <w:rFonts w:hint="eastAsia"/>
        </w:rPr>
        <w:t>496.</w:t>
      </w:r>
      <w:r>
        <w:t xml:space="preserve">  </w:t>
      </w:r>
      <w:r>
        <w:rPr>
          <w:rFonts w:hint="eastAsia"/>
        </w:rPr>
        <w:t>治疗机构所做的治疗，和精神病、妇科、肿瘤病、意外事故处理和眼疾治疗，以及所有形式的初级保健，无任何转诊书也可免费提供。关于健康保险服务的政府法令详细开列了各类无转诊书也可提供的专科门诊治疗。在通常情况下，应由初级保健医师、或其他专科诊疗所或住院机构开具转诊书。如果患者没有转诊书，但希望接受通常凭转诊书所接受的服务，他</w:t>
      </w:r>
      <w:r>
        <w:rPr>
          <w:rFonts w:hint="eastAsia"/>
        </w:rPr>
        <w:t>/</w:t>
      </w:r>
      <w:r>
        <w:rPr>
          <w:rFonts w:hint="eastAsia"/>
        </w:rPr>
        <w:t>她仍将会免费获得服务，但保险公司将不报销有关的旅费，医疗机构则可能按照相关条例规定，对违反常规转诊程序的做法收取一定的费用。</w:t>
      </w:r>
    </w:p>
    <w:p w:rsidR="00000000" w:rsidRDefault="00000000">
      <w:pPr>
        <w:rPr>
          <w:rFonts w:hint="eastAsia"/>
        </w:rPr>
      </w:pPr>
      <w:r>
        <w:tab/>
      </w:r>
      <w:r>
        <w:rPr>
          <w:rFonts w:hint="eastAsia"/>
        </w:rPr>
        <w:t>497.</w:t>
      </w:r>
      <w:r>
        <w:t xml:space="preserve">  </w:t>
      </w:r>
      <w:r>
        <w:rPr>
          <w:rFonts w:hint="eastAsia"/>
        </w:rPr>
        <w:t>按照所涉期间适用的法律，专科门诊和长期治疗机构在无医生转诊书的情况下可提供以下服务：</w:t>
      </w:r>
    </w:p>
    <w:p w:rsidR="00000000" w:rsidRDefault="00000000">
      <w:pPr>
        <w:ind w:left="520"/>
        <w:rPr>
          <w:rFonts w:hint="eastAsia"/>
        </w:rPr>
      </w:pPr>
      <w:r>
        <w:rPr>
          <w:rFonts w:hint="eastAsia"/>
        </w:rPr>
        <w:tab/>
      </w:r>
      <w:r>
        <w:rPr>
          <w:rFonts w:hint="eastAsia"/>
        </w:rPr>
        <w:t>专科门诊设施提供下列服务：</w:t>
      </w:r>
    </w:p>
    <w:p w:rsidR="00000000" w:rsidRDefault="00000000">
      <w:pPr>
        <w:pStyle w:val="a"/>
        <w:ind w:left="2070"/>
        <w:rPr>
          <w:rFonts w:hint="eastAsia"/>
        </w:rPr>
      </w:pPr>
      <w:r>
        <w:rPr>
          <w:rFonts w:hint="eastAsia"/>
        </w:rPr>
        <w:t>皮肤病，</w:t>
      </w:r>
    </w:p>
    <w:p w:rsidR="00000000" w:rsidRDefault="00000000">
      <w:pPr>
        <w:pStyle w:val="a"/>
        <w:ind w:left="2070"/>
        <w:rPr>
          <w:rFonts w:hint="eastAsia"/>
        </w:rPr>
      </w:pPr>
      <w:r>
        <w:rPr>
          <w:rFonts w:hint="eastAsia"/>
        </w:rPr>
        <w:t>耳鼻喉病，</w:t>
      </w:r>
    </w:p>
    <w:p w:rsidR="00000000" w:rsidRDefault="00000000">
      <w:pPr>
        <w:pStyle w:val="a"/>
        <w:ind w:left="2070"/>
        <w:rPr>
          <w:rFonts w:hint="eastAsia"/>
        </w:rPr>
      </w:pPr>
      <w:r>
        <w:rPr>
          <w:rFonts w:hint="eastAsia"/>
        </w:rPr>
        <w:t>妇科病，</w:t>
      </w:r>
    </w:p>
    <w:p w:rsidR="00000000" w:rsidRDefault="00000000">
      <w:pPr>
        <w:pStyle w:val="a"/>
        <w:ind w:left="2070"/>
        <w:rPr>
          <w:rFonts w:hint="eastAsia"/>
        </w:rPr>
      </w:pPr>
      <w:r>
        <w:rPr>
          <w:rFonts w:hint="eastAsia"/>
        </w:rPr>
        <w:t>一般手术和创伤，</w:t>
      </w:r>
    </w:p>
    <w:p w:rsidR="00000000" w:rsidRDefault="00000000">
      <w:pPr>
        <w:pStyle w:val="a"/>
        <w:ind w:left="2070"/>
        <w:rPr>
          <w:rFonts w:hint="eastAsia"/>
        </w:rPr>
      </w:pPr>
      <w:r>
        <w:rPr>
          <w:rFonts w:hint="eastAsia"/>
        </w:rPr>
        <w:t>眼科病，</w:t>
      </w:r>
    </w:p>
    <w:p w:rsidR="00000000" w:rsidRDefault="00000000">
      <w:pPr>
        <w:pStyle w:val="a"/>
        <w:ind w:left="2070"/>
        <w:rPr>
          <w:rFonts w:hint="eastAsia"/>
        </w:rPr>
      </w:pPr>
      <w:r>
        <w:rPr>
          <w:rFonts w:hint="eastAsia"/>
        </w:rPr>
        <w:t>肿瘤病，</w:t>
      </w:r>
    </w:p>
    <w:p w:rsidR="00000000" w:rsidRDefault="00000000">
      <w:pPr>
        <w:pStyle w:val="a"/>
        <w:ind w:left="2070"/>
        <w:rPr>
          <w:rFonts w:hint="eastAsia"/>
        </w:rPr>
      </w:pPr>
      <w:r>
        <w:rPr>
          <w:rFonts w:hint="eastAsia"/>
        </w:rPr>
        <w:t>泌尿系统病，</w:t>
      </w:r>
    </w:p>
    <w:p w:rsidR="00000000" w:rsidRDefault="00000000">
      <w:pPr>
        <w:pStyle w:val="a"/>
        <w:ind w:left="2070"/>
        <w:rPr>
          <w:rFonts w:hint="eastAsia"/>
        </w:rPr>
      </w:pPr>
      <w:r>
        <w:rPr>
          <w:rFonts w:hint="eastAsia"/>
        </w:rPr>
        <w:t>精神病，</w:t>
      </w:r>
    </w:p>
    <w:p w:rsidR="00000000" w:rsidRDefault="00000000">
      <w:pPr>
        <w:ind w:left="1040"/>
        <w:rPr>
          <w:rFonts w:hint="eastAsia"/>
        </w:rPr>
      </w:pPr>
      <w:r>
        <w:rPr>
          <w:rFonts w:hint="eastAsia"/>
        </w:rPr>
        <w:t>在神经病学、皮肤病学和性传播疾病护理、肺病护理、肿瘤病和药物滥用治疗单位范围内提供的医治。</w:t>
      </w:r>
    </w:p>
    <w:p w:rsidR="00000000" w:rsidRDefault="00000000">
      <w:pPr>
        <w:rPr>
          <w:rFonts w:hint="eastAsia"/>
        </w:rPr>
      </w:pPr>
      <w:r>
        <w:tab/>
      </w:r>
      <w:r>
        <w:rPr>
          <w:rFonts w:hint="eastAsia"/>
        </w:rPr>
        <w:t>498.</w:t>
      </w:r>
      <w:r>
        <w:t xml:space="preserve">  </w:t>
      </w:r>
      <w:r>
        <w:rPr>
          <w:rFonts w:hint="eastAsia"/>
        </w:rPr>
        <w:t>在门诊治疗中占有很大比例的成</w:t>
      </w:r>
      <w:r>
        <w:t>像诊断</w:t>
      </w:r>
      <w:r>
        <w:rPr>
          <w:rFonts w:hint="eastAsia"/>
        </w:rPr>
        <w:t>，由</w:t>
      </w:r>
      <w:r>
        <w:rPr>
          <w:rFonts w:eastAsia="KaiTi_GB2312" w:hint="eastAsia"/>
          <w:snapToGrid/>
          <w:spacing w:val="0"/>
        </w:rPr>
        <w:t>私人企业家</w:t>
      </w:r>
      <w:r>
        <w:rPr>
          <w:rFonts w:hint="eastAsia"/>
        </w:rPr>
        <w:t>来经营，大量的诊断基础设备也掌握在私人手中。较之平均水平，透析单位私有化比率也达到相当高的程度，私人拥有的设施占所有设施的三分之二。在十年初期阶段，同初级保健医师的服务一样，这一领域也开始了私有化进程。在实验室的运作和诊断服务其他领域中已开始实现私有化。按照有关立法的详细规定，自</w:t>
      </w:r>
      <w:r>
        <w:rPr>
          <w:rFonts w:hint="eastAsia"/>
        </w:rPr>
        <w:t>1989</w:t>
      </w:r>
      <w:r>
        <w:rPr>
          <w:rFonts w:hint="eastAsia"/>
        </w:rPr>
        <w:t>年以来可以开办和经营卫生事业，不过，法律前景和经济指标的频繁变化，不利于使此类事业迅速发展。</w:t>
      </w:r>
    </w:p>
    <w:p w:rsidR="00000000" w:rsidRDefault="00000000">
      <w:pPr>
        <w:rPr>
          <w:rFonts w:hint="eastAsia"/>
        </w:rPr>
      </w:pPr>
      <w:r>
        <w:tab/>
      </w:r>
      <w:r>
        <w:rPr>
          <w:rFonts w:hint="eastAsia"/>
        </w:rPr>
        <w:t>499.</w:t>
      </w:r>
      <w:r>
        <w:t xml:space="preserve">  </w:t>
      </w:r>
      <w:r>
        <w:rPr>
          <w:rFonts w:hint="eastAsia"/>
        </w:rPr>
        <w:t>匈牙利所说的卫生部门私有化是功能私有化，即医疗机构、不动产、设备依然为地方政府的财产，而服务提供者是企业或实业。初级保健领域中大约</w:t>
      </w:r>
      <w:r>
        <w:rPr>
          <w:rFonts w:hint="eastAsia"/>
        </w:rPr>
        <w:t>90%</w:t>
      </w:r>
      <w:r>
        <w:rPr>
          <w:rFonts w:hint="eastAsia"/>
        </w:rPr>
        <w:t>的初级保健医师属于这一类，在门诊治疗方面这种安排则极为少见。如果卫生机构和不动产以及设备也由私人拥有，或者如果所有这些财产一开始就是私人财产，那么真正的私有化就会与此有极大的不同。在强制性健康保险制度下提供的服务</w:t>
      </w:r>
      <w:r>
        <w:rPr>
          <w:rFonts w:hint="eastAsia"/>
        </w:rPr>
        <w:t>(</w:t>
      </w:r>
      <w:r>
        <w:rPr>
          <w:rFonts w:hint="eastAsia"/>
        </w:rPr>
        <w:t>公共医疗服务</w:t>
      </w:r>
      <w:r>
        <w:rPr>
          <w:rFonts w:hint="eastAsia"/>
        </w:rPr>
        <w:t>)</w:t>
      </w:r>
      <w:r>
        <w:rPr>
          <w:rFonts w:hint="eastAsia"/>
        </w:rPr>
        <w:t>中，私有化这种形式是绝对不多见的现象。</w:t>
      </w:r>
    </w:p>
    <w:p w:rsidR="00000000" w:rsidRDefault="00000000">
      <w:pPr>
        <w:rPr>
          <w:rFonts w:hint="eastAsia"/>
        </w:rPr>
      </w:pPr>
      <w:r>
        <w:tab/>
      </w:r>
      <w:r>
        <w:rPr>
          <w:rFonts w:hint="eastAsia"/>
        </w:rPr>
        <w:t>500.</w:t>
      </w:r>
      <w:r>
        <w:t xml:space="preserve">  </w:t>
      </w:r>
      <w:r>
        <w:rPr>
          <w:rFonts w:hint="eastAsia"/>
        </w:rPr>
        <w:t>住院护理系统绝大多数由地方政府所有的医疗机构经营，国家拥有的医疗机构仅占大约</w:t>
      </w:r>
      <w:r>
        <w:rPr>
          <w:rFonts w:hint="eastAsia"/>
        </w:rPr>
        <w:t>15-20%</w:t>
      </w:r>
      <w:r>
        <w:rPr>
          <w:rFonts w:hint="eastAsia"/>
        </w:rPr>
        <w:t>，私人所有制只占几个百分点。</w:t>
      </w:r>
      <w:r>
        <w:rPr>
          <w:rFonts w:hint="eastAsia"/>
        </w:rPr>
        <w:t>1990</w:t>
      </w:r>
      <w:r>
        <w:rPr>
          <w:rFonts w:hint="eastAsia"/>
        </w:rPr>
        <w:t>年代初期，医院床位约有</w:t>
      </w:r>
      <w:r>
        <w:rPr>
          <w:rFonts w:hint="eastAsia"/>
        </w:rPr>
        <w:t>105</w:t>
      </w:r>
      <w:r>
        <w:t>,</w:t>
      </w:r>
      <w:r>
        <w:rPr>
          <w:rFonts w:hint="eastAsia"/>
        </w:rPr>
        <w:t>000</w:t>
      </w:r>
      <w:r>
        <w:rPr>
          <w:rFonts w:hint="eastAsia"/>
        </w:rPr>
        <w:t>张，但从</w:t>
      </w:r>
      <w:r>
        <w:rPr>
          <w:rFonts w:hint="eastAsia"/>
        </w:rPr>
        <w:t>1995</w:t>
      </w:r>
      <w:r>
        <w:rPr>
          <w:rFonts w:hint="eastAsia"/>
        </w:rPr>
        <w:t>年至今，随着门诊单位的发展，根据地方政府的决定，床位数量急剧削减。医院床位数量包括治疗重病的急诊床位、慢性病床位、临终床位、收容所床位和急性和慢性精神病院床位，以及用于康复目的的疗养院床位。</w:t>
      </w:r>
      <w:r>
        <w:rPr>
          <w:rFonts w:hint="eastAsia"/>
        </w:rPr>
        <w:t>24%</w:t>
      </w:r>
      <w:r>
        <w:rPr>
          <w:rFonts w:hint="eastAsia"/>
        </w:rPr>
        <w:t>的床位用于慢性病治疗。慢性病床位数量包括患者长期接受专门护理的医疗机构的收治能力。</w:t>
      </w:r>
    </w:p>
    <w:p w:rsidR="00000000" w:rsidRDefault="00000000">
      <w:pPr>
        <w:rPr>
          <w:rFonts w:hint="eastAsia"/>
        </w:rPr>
      </w:pPr>
      <w:r>
        <w:tab/>
      </w:r>
      <w:r>
        <w:rPr>
          <w:rFonts w:hint="eastAsia"/>
        </w:rPr>
        <w:t>501.</w:t>
      </w:r>
      <w:r>
        <w:t xml:space="preserve">  </w:t>
      </w:r>
      <w:r>
        <w:rPr>
          <w:rFonts w:hint="eastAsia"/>
        </w:rPr>
        <w:t>具体规定医疗力量是地方政府的任务，根据《宪法》和《地方政府法》，地方政府又有责任满足当地人民的需要。对医疗力量，法律有明确规定，由国家予以保障，并由健康保险系统提供，健康保险系统在任何条件下都要为其提供资金。任何住院床位和门诊单位都需协商而定。</w:t>
      </w:r>
      <w:r>
        <w:rPr>
          <w:rFonts w:hint="eastAsia"/>
        </w:rPr>
        <w:t>2000</w:t>
      </w:r>
      <w:r>
        <w:rPr>
          <w:rFonts w:hint="eastAsia"/>
        </w:rPr>
        <w:t>年确定有关需要时，为大约</w:t>
      </w:r>
      <w:r>
        <w:rPr>
          <w:rFonts w:hint="eastAsia"/>
        </w:rPr>
        <w:t>85</w:t>
      </w:r>
      <w:r>
        <w:t>,</w:t>
      </w:r>
      <w:r>
        <w:rPr>
          <w:rFonts w:hint="eastAsia"/>
        </w:rPr>
        <w:t>000</w:t>
      </w:r>
      <w:r>
        <w:rPr>
          <w:rFonts w:hint="eastAsia"/>
        </w:rPr>
        <w:t>张床位提供了资金，作为医疗提供系统的一部分。</w:t>
      </w:r>
      <w:r>
        <w:rPr>
          <w:rFonts w:hint="eastAsia"/>
        </w:rPr>
        <w:t>2001</w:t>
      </w:r>
      <w:r>
        <w:rPr>
          <w:rFonts w:hint="eastAsia"/>
        </w:rPr>
        <w:t>年</w:t>
      </w:r>
      <w:r>
        <w:rPr>
          <w:rFonts w:hint="eastAsia"/>
        </w:rPr>
        <w:t>7</w:t>
      </w:r>
      <w:r>
        <w:rPr>
          <w:rFonts w:hint="eastAsia"/>
        </w:rPr>
        <w:t>月</w:t>
      </w:r>
      <w:r>
        <w:rPr>
          <w:rFonts w:hint="eastAsia"/>
        </w:rPr>
        <w:t>1</w:t>
      </w:r>
      <w:r>
        <w:rPr>
          <w:rFonts w:hint="eastAsia"/>
        </w:rPr>
        <w:t>日，确定用于医疗的床位数量为</w:t>
      </w:r>
      <w:r>
        <w:rPr>
          <w:rFonts w:hint="eastAsia"/>
        </w:rPr>
        <w:t>81</w:t>
      </w:r>
      <w:r>
        <w:t>,</w:t>
      </w:r>
      <w:r>
        <w:rPr>
          <w:rFonts w:hint="eastAsia"/>
        </w:rPr>
        <w:t>259</w:t>
      </w:r>
      <w:r>
        <w:rPr>
          <w:rFonts w:hint="eastAsia"/>
        </w:rPr>
        <w:t>张，其中有效供资合同所涉床位数量为</w:t>
      </w:r>
      <w:r>
        <w:rPr>
          <w:rFonts w:hint="eastAsia"/>
        </w:rPr>
        <w:t>80</w:t>
      </w:r>
      <w:r>
        <w:t>,</w:t>
      </w:r>
      <w:r>
        <w:rPr>
          <w:rFonts w:hint="eastAsia"/>
        </w:rPr>
        <w:t>200</w:t>
      </w:r>
      <w:r>
        <w:rPr>
          <w:rFonts w:hint="eastAsia"/>
        </w:rPr>
        <w:t>张。差额数即为保留给尚未获得营业执照的医疗服务单位的床位。</w:t>
      </w:r>
    </w:p>
    <w:p w:rsidR="00000000" w:rsidRDefault="00000000">
      <w:pPr>
        <w:spacing w:after="240"/>
        <w:rPr>
          <w:rFonts w:hint="eastAsia"/>
        </w:rPr>
      </w:pPr>
      <w:r>
        <w:tab/>
      </w:r>
      <w:r>
        <w:rPr>
          <w:rFonts w:hint="eastAsia"/>
        </w:rPr>
        <w:t>502.</w:t>
      </w:r>
      <w:r>
        <w:t xml:space="preserve">  </w:t>
      </w:r>
      <w:r>
        <w:rPr>
          <w:rFonts w:hint="eastAsia"/>
        </w:rPr>
        <w:t>在各种医疗服务中，</w:t>
      </w:r>
      <w:r>
        <w:rPr>
          <w:rFonts w:eastAsia="KaiTi_GB2312" w:hint="eastAsia"/>
          <w:snapToGrid/>
          <w:spacing w:val="0"/>
        </w:rPr>
        <w:t>匈牙利境内人人可得到的服务有危机援救、紧急抢救和孕妇护理等服务。</w:t>
      </w:r>
      <w:r>
        <w:rPr>
          <w:rFonts w:hint="eastAsia"/>
          <w:snapToGrid/>
        </w:rPr>
        <w:t>在提供医疗保健过程中，根据强制性保险制度规定</w:t>
      </w:r>
      <w:r>
        <w:rPr>
          <w:rFonts w:eastAsia="KaiTi_GB2312" w:hint="eastAsia"/>
          <w:snapToGrid/>
          <w:spacing w:val="0"/>
        </w:rPr>
        <w:t>，必须假定每个匈牙利公民都有保险，因此不得拒不予以治疗</w:t>
      </w:r>
      <w:r>
        <w:rPr>
          <w:rFonts w:hint="eastAsia"/>
        </w:rPr>
        <w:t>。对于非匈牙利公民，不能拒绝予以紧急抢救，如果治疗时间延长，或者治疗结束，必须采取措施收回费用。如果患者系匈牙利与之有双边或多边国际协定的国家的公民，则健康保险系统要负责采取解决问题的行政措施，将根据这些协定和公约的规定说明情况，健康保险提供者报销卫生机构所支付的费用。无论是通过私人保险单投保还作为私人服务项目进行的治疗，其有关行政工作将由卫生机构来承担。</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预防流行病、地方病和其他疾病的措施</w:t>
      </w:r>
    </w:p>
    <w:p w:rsidR="00000000" w:rsidRDefault="00000000">
      <w:pPr>
        <w:rPr>
          <w:rFonts w:hint="eastAsia"/>
        </w:rPr>
      </w:pPr>
      <w:r>
        <w:tab/>
      </w:r>
      <w:r>
        <w:rPr>
          <w:rFonts w:hint="eastAsia"/>
        </w:rPr>
        <w:t>503.</w:t>
      </w:r>
      <w:r>
        <w:t xml:space="preserve">  </w:t>
      </w:r>
      <w:r>
        <w:rPr>
          <w:rFonts w:hint="eastAsia"/>
        </w:rPr>
        <w:t>《卫生法令》有一章节专门述及与流行病有关的问题。其中详细说明了卫生部门可能要求全部或部分人口接受检查、接种疫苗或接到通知即接受治疗，或者可能下令隔离的几种情况。</w:t>
      </w:r>
    </w:p>
    <w:p w:rsidR="00000000" w:rsidRDefault="00000000">
      <w:pPr>
        <w:rPr>
          <w:rFonts w:hint="eastAsia"/>
        </w:rPr>
      </w:pPr>
      <w:r>
        <w:tab/>
      </w:r>
      <w:r>
        <w:rPr>
          <w:rFonts w:hint="eastAsia"/>
        </w:rPr>
        <w:t>504.</w:t>
      </w:r>
      <w:r>
        <w:t xml:space="preserve">  </w:t>
      </w:r>
      <w:r>
        <w:rPr>
          <w:rFonts w:hint="eastAsia"/>
        </w:rPr>
        <w:t>福利部为确保执行该法而颁布了关于防止疾病和流行病所必须采取的流行病措施的《福利部长第</w:t>
      </w:r>
      <w:r>
        <w:rPr>
          <w:rFonts w:hint="eastAsia"/>
        </w:rPr>
        <w:t>18/1998(VI</w:t>
      </w:r>
      <w:r>
        <w:t>.3.)</w:t>
      </w:r>
      <w:r>
        <w:rPr>
          <w:rFonts w:hint="eastAsia"/>
        </w:rPr>
        <w:t>号政令》，其中详细列明就个别流行病</w:t>
      </w:r>
      <w:r>
        <w:rPr>
          <w:rFonts w:hint="eastAsia"/>
        </w:rPr>
        <w:t>/</w:t>
      </w:r>
      <w:r>
        <w:rPr>
          <w:rFonts w:hint="eastAsia"/>
        </w:rPr>
        <w:t>传染病在治疗与预防方面所必须做的工作。</w:t>
      </w:r>
    </w:p>
    <w:p w:rsidR="00000000" w:rsidRDefault="00000000">
      <w:pPr>
        <w:rPr>
          <w:rFonts w:hint="eastAsia"/>
        </w:rPr>
      </w:pPr>
      <w:r>
        <w:tab/>
      </w:r>
      <w:r>
        <w:rPr>
          <w:rFonts w:hint="eastAsia"/>
        </w:rPr>
        <w:t>505.</w:t>
      </w:r>
      <w:r>
        <w:t xml:space="preserve">  </w:t>
      </w:r>
      <w:r>
        <w:rPr>
          <w:rFonts w:hint="eastAsia"/>
        </w:rPr>
        <w:t>为了长期免受流行病的侵扰，对于那些必须在卫生部门数据库中详细备案的传染疾病，医疗资料处理法令做出明确的规定。只有参与治疗的医务人员和卫生当局方有权查阅此类资料。</w:t>
      </w:r>
    </w:p>
    <w:p w:rsidR="00000000" w:rsidRDefault="00000000">
      <w:pPr>
        <w:ind w:firstLine="510"/>
        <w:rPr>
          <w:rFonts w:hint="eastAsia"/>
        </w:rPr>
      </w:pPr>
      <w:r>
        <w:rPr>
          <w:rFonts w:hint="eastAsia"/>
        </w:rPr>
        <w:t xml:space="preserve">506.  </w:t>
      </w:r>
      <w:r>
        <w:rPr>
          <w:rFonts w:hint="eastAsia"/>
        </w:rPr>
        <w:t>与流行病有关的措施由国家预算提供资金，因此任何人都不应以经济原因而被排除在外。匈牙利有一个疫苗接种系统，主要针对儿童，其接种率达</w:t>
      </w:r>
      <w:r>
        <w:rPr>
          <w:rFonts w:hint="eastAsia"/>
        </w:rPr>
        <w:t>99-100%</w:t>
      </w:r>
      <w:r>
        <w:rPr>
          <w:rFonts w:hint="eastAsia"/>
        </w:rPr>
        <w:t>，即使与欧洲以及欧盟平均水平相比，这一比率也很突出。</w:t>
      </w:r>
    </w:p>
    <w:p w:rsidR="00000000" w:rsidRDefault="00000000">
      <w:pPr>
        <w:ind w:firstLine="510"/>
        <w:rPr>
          <w:rFonts w:hint="eastAsia"/>
        </w:rPr>
      </w:pPr>
      <w:r>
        <w:rPr>
          <w:rFonts w:hint="eastAsia"/>
        </w:rPr>
        <w:t xml:space="preserve">507.  </w:t>
      </w:r>
      <w:r>
        <w:rPr>
          <w:rFonts w:hint="eastAsia"/>
        </w:rPr>
        <w:t>接种系统在不断改进。</w:t>
      </w:r>
      <w:r>
        <w:rPr>
          <w:rFonts w:hint="eastAsia"/>
        </w:rPr>
        <w:t>1999</w:t>
      </w:r>
      <w:r>
        <w:rPr>
          <w:rFonts w:hint="eastAsia"/>
        </w:rPr>
        <w:t>年普遍推广乙肝疫苗注射，确保青少年群体长期免受该疾病侵扰。在幼儿两个月大时即开始接受血友病流行性感冒疫苗注射。目前，必须接种的有</w:t>
      </w:r>
      <w:r>
        <w:rPr>
          <w:rFonts w:hint="eastAsia"/>
        </w:rPr>
        <w:t>10</w:t>
      </w:r>
      <w:r>
        <w:rPr>
          <w:rFonts w:hint="eastAsia"/>
        </w:rPr>
        <w:t>种疾病</w:t>
      </w:r>
      <w:r>
        <w:rPr>
          <w:rFonts w:hint="eastAsia"/>
        </w:rPr>
        <w:t>(</w:t>
      </w:r>
      <w:r>
        <w:rPr>
          <w:rFonts w:hint="eastAsia"/>
        </w:rPr>
        <w:t>肺结核、</w:t>
      </w:r>
      <w:r>
        <w:rPr>
          <w:rFonts w:hint="eastAsia"/>
        </w:rPr>
        <w:t>H</w:t>
      </w:r>
      <w:r>
        <w:rPr>
          <w:rFonts w:hint="eastAsia"/>
        </w:rPr>
        <w:t>型流行性感冒、白喉、百日咳、破伤风、脊髓灰质炎、麻疹、流行病、腮腺炎、麻疹</w:t>
      </w:r>
      <w:r>
        <w:rPr>
          <w:rFonts w:hint="eastAsia"/>
        </w:rPr>
        <w:t>(</w:t>
      </w:r>
      <w:r>
        <w:rPr>
          <w:rFonts w:hint="eastAsia"/>
        </w:rPr>
        <w:t>风疹</w:t>
      </w:r>
      <w:r>
        <w:rPr>
          <w:rFonts w:hint="eastAsia"/>
        </w:rPr>
        <w:t>)</w:t>
      </w:r>
      <w:r>
        <w:rPr>
          <w:rFonts w:hint="eastAsia"/>
        </w:rPr>
        <w:t>和乙型肝炎</w:t>
      </w:r>
      <w:r>
        <w:rPr>
          <w:rFonts w:hint="eastAsia"/>
        </w:rPr>
        <w:t>)</w:t>
      </w:r>
      <w:r>
        <w:rPr>
          <w:rFonts w:hint="eastAsia"/>
        </w:rPr>
        <w:t>。</w:t>
      </w:r>
    </w:p>
    <w:p w:rsidR="00000000" w:rsidRDefault="00000000">
      <w:pPr>
        <w:ind w:firstLine="510"/>
        <w:rPr>
          <w:rFonts w:hint="eastAsia"/>
        </w:rPr>
      </w:pPr>
      <w:r>
        <w:rPr>
          <w:rFonts w:hint="eastAsia"/>
        </w:rPr>
        <w:t xml:space="preserve">508.  </w:t>
      </w:r>
      <w:r>
        <w:rPr>
          <w:rFonts w:hint="eastAsia"/>
        </w:rPr>
        <w:t>自</w:t>
      </w:r>
      <w:r>
        <w:rPr>
          <w:rFonts w:hint="eastAsia"/>
        </w:rPr>
        <w:t>1996</w:t>
      </w:r>
      <w:r>
        <w:rPr>
          <w:rFonts w:hint="eastAsia"/>
        </w:rPr>
        <w:t>年以来，无一例白喉病例，由此可见疫苗接种和有效免疫的程度之高。</w:t>
      </w:r>
      <w:r>
        <w:rPr>
          <w:rFonts w:hint="eastAsia"/>
        </w:rPr>
        <w:t>2002</w:t>
      </w:r>
      <w:r>
        <w:rPr>
          <w:rFonts w:hint="eastAsia"/>
        </w:rPr>
        <w:t>年，全国未发生一例麻疹病例</w:t>
      </w:r>
      <w:r>
        <w:rPr>
          <w:rFonts w:hint="eastAsia"/>
        </w:rPr>
        <w:t>(</w:t>
      </w:r>
      <w:r>
        <w:rPr>
          <w:rFonts w:hint="eastAsia"/>
        </w:rPr>
        <w:t>首次</w:t>
      </w:r>
      <w:r>
        <w:rPr>
          <w:rFonts w:hint="eastAsia"/>
        </w:rPr>
        <w:t>)</w:t>
      </w:r>
      <w:r>
        <w:rPr>
          <w:rFonts w:hint="eastAsia"/>
        </w:rPr>
        <w:t>，每年只有一或两例百日咳病例。自实行接种以来，腮腺炎病例由每年几万病例下降至几百病例。</w:t>
      </w:r>
    </w:p>
    <w:p w:rsidR="00000000" w:rsidRDefault="00000000">
      <w:pPr>
        <w:ind w:firstLine="510"/>
        <w:rPr>
          <w:rFonts w:hint="eastAsia"/>
        </w:rPr>
      </w:pPr>
      <w:r>
        <w:rPr>
          <w:rFonts w:hint="eastAsia"/>
        </w:rPr>
        <w:t xml:space="preserve">509.  </w:t>
      </w:r>
      <w:r>
        <w:rPr>
          <w:rFonts w:hint="eastAsia"/>
        </w:rPr>
        <w:t>根据卫生组织的建议，对</w:t>
      </w:r>
      <w:r>
        <w:rPr>
          <w:rFonts w:hint="eastAsia"/>
        </w:rPr>
        <w:t>65</w:t>
      </w:r>
      <w:r>
        <w:rPr>
          <w:rFonts w:hint="eastAsia"/>
        </w:rPr>
        <w:t>岁以上易感染群体免费接种流行性感冒疫苗。另外，对所有人也实行免费强制性疫苗接种，所有任择疫苗接种一般都有社会保障制度给予</w:t>
      </w:r>
      <w:r>
        <w:rPr>
          <w:rFonts w:hint="eastAsia"/>
        </w:rPr>
        <w:t>50%</w:t>
      </w:r>
      <w:r>
        <w:rPr>
          <w:rFonts w:hint="eastAsia"/>
        </w:rPr>
        <w:t>的补贴。</w:t>
      </w:r>
    </w:p>
    <w:p w:rsidR="00000000" w:rsidRDefault="00000000">
      <w:pPr>
        <w:ind w:firstLine="510"/>
        <w:rPr>
          <w:rFonts w:hint="eastAsia"/>
        </w:rPr>
      </w:pPr>
      <w:r>
        <w:rPr>
          <w:rFonts w:hint="eastAsia"/>
        </w:rPr>
        <w:t xml:space="preserve">510.  </w:t>
      </w:r>
      <w:r>
        <w:rPr>
          <w:rFonts w:hint="eastAsia"/>
        </w:rPr>
        <w:t>国家中心公布了流行病学强制性免疫年度程序。这一组织负责不断监测流行病状况，并监督疫苗的安全性。三年前，该中心除了调查传染疾病的消长控制因素之外，又开展了与流行病有关的非传染疾病研究工作。</w:t>
      </w:r>
    </w:p>
    <w:p w:rsidR="00000000" w:rsidRDefault="00000000">
      <w:pPr>
        <w:ind w:firstLine="510"/>
        <w:rPr>
          <w:rFonts w:hint="eastAsia"/>
        </w:rPr>
      </w:pPr>
      <w:r>
        <w:rPr>
          <w:rFonts w:hint="eastAsia"/>
        </w:rPr>
        <w:t xml:space="preserve">511.  </w:t>
      </w:r>
      <w:r>
        <w:rPr>
          <w:rFonts w:hint="eastAsia"/>
        </w:rPr>
        <w:t>几十年来，匈牙利特别重视肺结核病防治工作，在这一框架下，除了强制性初始疫苗接种和间或强化疫苗接种以外，还设立了一个</w:t>
      </w:r>
      <w:r>
        <w:rPr>
          <w:rFonts w:hint="eastAsia"/>
        </w:rPr>
        <w:t>X</w:t>
      </w:r>
      <w:r>
        <w:rPr>
          <w:rFonts w:hint="eastAsia"/>
        </w:rPr>
        <w:t>光胸透检查站网，帮助及早查出疾病。多年前已不再实行强制性</w:t>
      </w:r>
      <w:r>
        <w:rPr>
          <w:rFonts w:hint="eastAsia"/>
        </w:rPr>
        <w:t>X</w:t>
      </w:r>
      <w:r>
        <w:rPr>
          <w:rFonts w:hint="eastAsia"/>
        </w:rPr>
        <w:t>光胸透检查，它只是一项建议性检查措施，不过，如果该疾病在某一地区频频出现，就可能下令对当地人口开展大规模的肺部检查活动。</w:t>
      </w:r>
    </w:p>
    <w:p w:rsidR="00000000" w:rsidRDefault="00000000">
      <w:pPr>
        <w:ind w:firstLine="510"/>
        <w:rPr>
          <w:rFonts w:hint="eastAsia"/>
        </w:rPr>
      </w:pPr>
      <w:r>
        <w:rPr>
          <w:rFonts w:hint="eastAsia"/>
        </w:rPr>
        <w:t xml:space="preserve">512.  </w:t>
      </w:r>
      <w:r>
        <w:rPr>
          <w:rFonts w:hint="eastAsia"/>
        </w:rPr>
        <w:t>对于来匈牙利的外国人，必要的话，也可采取与流行病有关的强制性措施，即可能下令让他们接受检查和接种疫苗。根据外侨管理法规，对于已知其患有有传染危险的疾病的人，可以拒绝其入境，不过，没有任何强制性拒绝其入境的措施，也未公布有关的传染疾病清单。</w:t>
      </w:r>
    </w:p>
    <w:p w:rsidR="00000000" w:rsidRDefault="00000000">
      <w:pPr>
        <w:ind w:firstLine="510"/>
        <w:rPr>
          <w:rFonts w:hint="eastAsia"/>
        </w:rPr>
      </w:pPr>
      <w:r>
        <w:rPr>
          <w:rFonts w:hint="eastAsia"/>
        </w:rPr>
        <w:t xml:space="preserve">513.  </w:t>
      </w:r>
      <w:r>
        <w:rPr>
          <w:rFonts w:hint="eastAsia"/>
        </w:rPr>
        <w:t>艾滋病在匈牙利被列为性传播疾病之一。携带艾滋病毒者可在任何卫生机构求诊，不过，为了遵守专业规定，确保有更好的特殊治疗环境，专门治疗传染病的布达佩斯医院开设了单独病房，为艾滋病毒携带者和艾滋病患者提供治疗。此种病房同时亦可作为方法研究和专业辅导中心。</w:t>
      </w:r>
    </w:p>
    <w:p w:rsidR="00000000" w:rsidRDefault="00000000">
      <w:pPr>
        <w:ind w:firstLine="510"/>
        <w:rPr>
          <w:rFonts w:hint="eastAsia"/>
        </w:rPr>
      </w:pPr>
      <w:r>
        <w:rPr>
          <w:rFonts w:hint="eastAsia"/>
        </w:rPr>
        <w:t xml:space="preserve">514.  </w:t>
      </w:r>
      <w:r>
        <w:rPr>
          <w:rFonts w:hint="eastAsia"/>
        </w:rPr>
        <w:t>自</w:t>
      </w:r>
      <w:r>
        <w:rPr>
          <w:rFonts w:hint="eastAsia"/>
        </w:rPr>
        <w:t>1985</w:t>
      </w:r>
      <w:r>
        <w:rPr>
          <w:rFonts w:hint="eastAsia"/>
        </w:rPr>
        <w:t>年以来，匈牙利实行强制性血液制品检查，并于</w:t>
      </w:r>
      <w:r>
        <w:rPr>
          <w:rFonts w:hint="eastAsia"/>
        </w:rPr>
        <w:t>1985-1986</w:t>
      </w:r>
      <w:r>
        <w:rPr>
          <w:rFonts w:hint="eastAsia"/>
        </w:rPr>
        <w:t>年首次开展了预防宣传活动；对这一领域的专业机构和非政府组织的工作加以协调，是卫生部下属国家艾滋病委员会的职责之一，通常由中央预算供资。</w:t>
      </w:r>
    </w:p>
    <w:p w:rsidR="00000000" w:rsidRDefault="00000000">
      <w:pPr>
        <w:ind w:firstLine="510"/>
        <w:rPr>
          <w:rFonts w:hint="eastAsia"/>
        </w:rPr>
      </w:pPr>
      <w:r>
        <w:rPr>
          <w:rFonts w:hint="eastAsia"/>
        </w:rPr>
        <w:t xml:space="preserve">515.  </w:t>
      </w:r>
      <w:r>
        <w:rPr>
          <w:rFonts w:hint="eastAsia"/>
        </w:rPr>
        <w:t>根据</w:t>
      </w:r>
      <w:r>
        <w:rPr>
          <w:rFonts w:hint="eastAsia"/>
        </w:rPr>
        <w:t>2001</w:t>
      </w:r>
      <w:r>
        <w:rPr>
          <w:rFonts w:hint="eastAsia"/>
        </w:rPr>
        <w:t>年发表的《中央统计局卫生统计年鉴》，和国家流行病学中心的疫病信息统计资料</w:t>
      </w:r>
      <w:r>
        <w:rPr>
          <w:rFonts w:hint="eastAsia"/>
        </w:rPr>
        <w:t>(2006</w:t>
      </w:r>
      <w:r>
        <w:rPr>
          <w:rFonts w:hint="eastAsia"/>
        </w:rPr>
        <w:t>年</w:t>
      </w:r>
      <w:r>
        <w:rPr>
          <w:rFonts w:hint="eastAsia"/>
        </w:rPr>
        <w:t>6</w:t>
      </w:r>
      <w:r>
        <w:rPr>
          <w:rFonts w:hint="eastAsia"/>
        </w:rPr>
        <w:t>月《疫病信息》特刊，《疫病信息》</w:t>
      </w:r>
      <w:r>
        <w:rPr>
          <w:rFonts w:hint="eastAsia"/>
        </w:rPr>
        <w:t>2003</w:t>
      </w:r>
      <w:r>
        <w:rPr>
          <w:rFonts w:hint="eastAsia"/>
        </w:rPr>
        <w:t>年第</w:t>
      </w:r>
      <w:r>
        <w:rPr>
          <w:rFonts w:hint="eastAsia"/>
        </w:rPr>
        <w:t>20</w:t>
      </w:r>
      <w:r>
        <w:rPr>
          <w:rFonts w:hint="eastAsia"/>
        </w:rPr>
        <w:t>期</w:t>
      </w:r>
      <w:r>
        <w:rPr>
          <w:rFonts w:hint="eastAsia"/>
        </w:rPr>
        <w:t>)</w:t>
      </w:r>
      <w:r>
        <w:rPr>
          <w:rFonts w:hint="eastAsia"/>
        </w:rPr>
        <w:t>，现提供有关匈牙利共和国的艾滋病患者的资料如下：</w:t>
      </w:r>
      <w:r>
        <w:rPr>
          <w:rFonts w:hint="eastAsia"/>
        </w:rPr>
        <w:t>1986</w:t>
      </w:r>
      <w:r>
        <w:rPr>
          <w:rFonts w:hint="eastAsia"/>
        </w:rPr>
        <w:t>年至</w:t>
      </w:r>
      <w:r>
        <w:rPr>
          <w:rFonts w:hint="eastAsia"/>
        </w:rPr>
        <w:t>2000</w:t>
      </w:r>
      <w:r>
        <w:rPr>
          <w:rFonts w:hint="eastAsia"/>
        </w:rPr>
        <w:t>年间，匈牙利累计的艾滋病发病率为</w:t>
      </w:r>
      <w:r>
        <w:rPr>
          <w:rFonts w:hint="eastAsia"/>
        </w:rPr>
        <w:t>39</w:t>
      </w:r>
      <w:r>
        <w:rPr>
          <w:rFonts w:hint="eastAsia"/>
        </w:rPr>
        <w:t>人</w:t>
      </w:r>
      <w:r>
        <w:rPr>
          <w:rFonts w:hint="eastAsia"/>
        </w:rPr>
        <w:t>/</w:t>
      </w:r>
      <w:r>
        <w:rPr>
          <w:rFonts w:hint="eastAsia"/>
        </w:rPr>
        <w:t>百万人，西欧各国的总累计发病率为</w:t>
      </w:r>
      <w:r>
        <w:rPr>
          <w:rFonts w:hint="eastAsia"/>
        </w:rPr>
        <w:t>663</w:t>
      </w:r>
      <w:r>
        <w:rPr>
          <w:rFonts w:hint="eastAsia"/>
        </w:rPr>
        <w:t>人</w:t>
      </w:r>
      <w:r>
        <w:rPr>
          <w:rFonts w:hint="eastAsia"/>
        </w:rPr>
        <w:t>/</w:t>
      </w:r>
      <w:r>
        <w:rPr>
          <w:rFonts w:hint="eastAsia"/>
        </w:rPr>
        <w:t>百万人。同样，</w:t>
      </w:r>
      <w:r>
        <w:rPr>
          <w:rFonts w:hint="eastAsia"/>
        </w:rPr>
        <w:t>1994</w:t>
      </w:r>
      <w:r>
        <w:rPr>
          <w:rFonts w:hint="eastAsia"/>
        </w:rPr>
        <w:t>年至</w:t>
      </w:r>
      <w:r>
        <w:rPr>
          <w:rFonts w:hint="eastAsia"/>
        </w:rPr>
        <w:t>2001</w:t>
      </w:r>
      <w:r>
        <w:rPr>
          <w:rFonts w:hint="eastAsia"/>
        </w:rPr>
        <w:t>年，匈牙利</w:t>
      </w:r>
      <w:r>
        <w:rPr>
          <w:rFonts w:hint="eastAsia"/>
        </w:rPr>
        <w:t>(</w:t>
      </w:r>
      <w:r>
        <w:rPr>
          <w:rFonts w:hint="eastAsia"/>
        </w:rPr>
        <w:t>包括外国人在内</w:t>
      </w:r>
      <w:r>
        <w:rPr>
          <w:rFonts w:hint="eastAsia"/>
        </w:rPr>
        <w:t>)</w:t>
      </w:r>
      <w:r>
        <w:rPr>
          <w:rFonts w:hint="eastAsia"/>
        </w:rPr>
        <w:t>的艾滋病毒感染累计发病率为</w:t>
      </w:r>
      <w:r>
        <w:rPr>
          <w:rFonts w:hint="eastAsia"/>
        </w:rPr>
        <w:t>54</w:t>
      </w:r>
      <w:r>
        <w:rPr>
          <w:rFonts w:hint="eastAsia"/>
        </w:rPr>
        <w:t>人</w:t>
      </w:r>
      <w:r>
        <w:rPr>
          <w:rFonts w:hint="eastAsia"/>
        </w:rPr>
        <w:t>/</w:t>
      </w:r>
      <w:r>
        <w:rPr>
          <w:rFonts w:hint="eastAsia"/>
        </w:rPr>
        <w:t>百万人，不包括外国人为</w:t>
      </w:r>
      <w:r>
        <w:rPr>
          <w:rFonts w:hint="eastAsia"/>
        </w:rPr>
        <w:t>36</w:t>
      </w:r>
      <w:r>
        <w:rPr>
          <w:rFonts w:hint="eastAsia"/>
        </w:rPr>
        <w:t>人</w:t>
      </w:r>
      <w:r>
        <w:rPr>
          <w:rFonts w:hint="eastAsia"/>
        </w:rPr>
        <w:t>/</w:t>
      </w:r>
      <w:r>
        <w:rPr>
          <w:rFonts w:hint="eastAsia"/>
        </w:rPr>
        <w:t>百万人，而西欧各国为</w:t>
      </w:r>
      <w:r>
        <w:rPr>
          <w:rFonts w:hint="eastAsia"/>
        </w:rPr>
        <w:t>310</w:t>
      </w:r>
      <w:r>
        <w:rPr>
          <w:rFonts w:hint="eastAsia"/>
        </w:rPr>
        <w:t>人</w:t>
      </w:r>
      <w:r>
        <w:rPr>
          <w:rFonts w:hint="eastAsia"/>
        </w:rPr>
        <w:t>/</w:t>
      </w:r>
      <w:r>
        <w:rPr>
          <w:rFonts w:hint="eastAsia"/>
        </w:rPr>
        <w:t>百万人。</w:t>
      </w:r>
    </w:p>
    <w:p w:rsidR="00000000" w:rsidRDefault="00000000">
      <w:pPr>
        <w:ind w:firstLine="510"/>
        <w:rPr>
          <w:rFonts w:hint="eastAsia"/>
        </w:rPr>
      </w:pPr>
      <w:r>
        <w:rPr>
          <w:rFonts w:hint="eastAsia"/>
        </w:rPr>
        <w:t>516.  1986</w:t>
      </w:r>
      <w:r>
        <w:rPr>
          <w:rFonts w:hint="eastAsia"/>
        </w:rPr>
        <w:t>年至</w:t>
      </w:r>
      <w:r>
        <w:rPr>
          <w:rFonts w:hint="eastAsia"/>
        </w:rPr>
        <w:t>2001</w:t>
      </w:r>
      <w:r>
        <w:rPr>
          <w:rFonts w:hint="eastAsia"/>
        </w:rPr>
        <w:t>年间，无论是艾滋病患者还是艾滋病毒抗体阳性者，每年最常见的感染原因是同性恋关系。在截至</w:t>
      </w:r>
      <w:r>
        <w:rPr>
          <w:rFonts w:hint="eastAsia"/>
        </w:rPr>
        <w:t>2001</w:t>
      </w:r>
      <w:r>
        <w:rPr>
          <w:rFonts w:hint="eastAsia"/>
        </w:rPr>
        <w:t>年底诊断出的艾滋病毒抗体阳性者以及艾滋病患者当中，有</w:t>
      </w:r>
      <w:r>
        <w:rPr>
          <w:rFonts w:hint="eastAsia"/>
        </w:rPr>
        <w:t>72%</w:t>
      </w:r>
      <w:r>
        <w:rPr>
          <w:rFonts w:hint="eastAsia"/>
        </w:rPr>
        <w:t>的人以此种方式被感染。在匈牙利，通过异性恋关系感染的艾滋病毒抗体阳性者，占所有病例的</w:t>
      </w:r>
      <w:r>
        <w:rPr>
          <w:rFonts w:hint="eastAsia"/>
        </w:rPr>
        <w:t>16%</w:t>
      </w:r>
      <w:r>
        <w:rPr>
          <w:rFonts w:hint="eastAsia"/>
        </w:rPr>
        <w:t>。</w:t>
      </w:r>
    </w:p>
    <w:p w:rsidR="00000000" w:rsidRDefault="00000000">
      <w:pPr>
        <w:spacing w:after="320"/>
        <w:ind w:firstLine="510"/>
        <w:rPr>
          <w:rFonts w:hint="eastAsia"/>
        </w:rPr>
      </w:pPr>
      <w:r>
        <w:rPr>
          <w:rFonts w:hint="eastAsia"/>
        </w:rPr>
        <w:t>517.  1986</w:t>
      </w:r>
      <w:r>
        <w:rPr>
          <w:rFonts w:hint="eastAsia"/>
        </w:rPr>
        <w:t>年至</w:t>
      </w:r>
      <w:r>
        <w:rPr>
          <w:rFonts w:hint="eastAsia"/>
        </w:rPr>
        <w:t>2003</w:t>
      </w:r>
      <w:r>
        <w:rPr>
          <w:rFonts w:hint="eastAsia"/>
        </w:rPr>
        <w:t>年第一季度，匈牙利共有</w:t>
      </w:r>
      <w:r>
        <w:rPr>
          <w:rFonts w:hint="eastAsia"/>
        </w:rPr>
        <w:t>251</w:t>
      </w:r>
      <w:r>
        <w:rPr>
          <w:rFonts w:hint="eastAsia"/>
        </w:rPr>
        <w:t>人死于艾滋病。近年来，匈牙利与艾滋病有关的死亡人数也有所减少，部分原因是开展了有效的</w:t>
      </w:r>
      <w:r>
        <w:t>抗逆转录病毒治疗</w:t>
      </w:r>
      <w:r>
        <w:rPr>
          <w:rFonts w:hint="eastAsia"/>
        </w:rPr>
        <w:t>。</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最大限度地促使社区参与初级保健系统的规划、运作和管理</w:t>
      </w:r>
    </w:p>
    <w:p w:rsidR="00000000" w:rsidRDefault="00000000">
      <w:pPr>
        <w:spacing w:after="320"/>
        <w:ind w:firstLine="510"/>
        <w:rPr>
          <w:rFonts w:hint="eastAsia"/>
        </w:rPr>
      </w:pPr>
      <w:r>
        <w:rPr>
          <w:rFonts w:hint="eastAsia"/>
        </w:rPr>
        <w:t xml:space="preserve">518.  </w:t>
      </w:r>
      <w:r>
        <w:rPr>
          <w:rFonts w:hint="eastAsia"/>
        </w:rPr>
        <w:t>在匈牙利，社区历来很少参与保健工作。加强民间部分的作用依然是一艰巨的任务。为此，《关于‘</w:t>
      </w:r>
      <w:r>
        <w:t>bela Johan</w:t>
      </w:r>
      <w:r>
        <w:rPr>
          <w:rFonts w:hint="eastAsia"/>
        </w:rPr>
        <w:t>’国家卫生十年方案的第</w:t>
      </w:r>
      <w:r>
        <w:rPr>
          <w:rFonts w:hint="eastAsia"/>
        </w:rPr>
        <w:t>46/2003(IV</w:t>
      </w:r>
      <w:r>
        <w:t>.</w:t>
      </w:r>
      <w:r>
        <w:rPr>
          <w:rFonts w:hint="eastAsia"/>
        </w:rPr>
        <w:t>16.)</w:t>
      </w:r>
      <w:r>
        <w:rPr>
          <w:rFonts w:hint="eastAsia"/>
        </w:rPr>
        <w:t>号国会法令》所确定的方案优先事项之一就是，使社区普遍、正式地参与维护和发展健康的工作。</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国会专职委员在管理机构中坚持维护患者权利方面的作用</w:t>
      </w:r>
    </w:p>
    <w:p w:rsidR="00000000" w:rsidRDefault="00000000">
      <w:pPr>
        <w:ind w:firstLine="510"/>
        <w:rPr>
          <w:rFonts w:hint="eastAsia"/>
        </w:rPr>
      </w:pPr>
      <w:r>
        <w:rPr>
          <w:rFonts w:hint="eastAsia"/>
        </w:rPr>
        <w:t xml:space="preserve">519.  </w:t>
      </w:r>
      <w:r>
        <w:rPr>
          <w:rFonts w:hint="eastAsia"/>
        </w:rPr>
        <w:t>根据提交公民权利国会</w:t>
      </w:r>
      <w:r>
        <w:rPr>
          <w:rFonts w:hint="eastAsia"/>
          <w:u w:val="single"/>
        </w:rPr>
        <w:t>专职</w:t>
      </w:r>
      <w:r>
        <w:rPr>
          <w:rFonts w:hint="eastAsia"/>
        </w:rPr>
        <w:t>委员</w:t>
      </w:r>
      <w:r>
        <w:rPr>
          <w:rFonts w:hint="eastAsia"/>
        </w:rPr>
        <w:t>(</w:t>
      </w:r>
      <w:r>
        <w:rPr>
          <w:rFonts w:hint="eastAsia"/>
        </w:rPr>
        <w:t>监察员</w:t>
      </w:r>
      <w:r>
        <w:rPr>
          <w:rFonts w:hint="eastAsia"/>
        </w:rPr>
        <w:t>)</w:t>
      </w:r>
      <w:r>
        <w:rPr>
          <w:rFonts w:hint="eastAsia"/>
        </w:rPr>
        <w:t>的保健方面的申诉所开展的调查，涉及宪定受保人享有法律确定性的权利、生命权和人的尊严权，以及享有保持尽可能高标准的身心健康的权利。</w:t>
      </w:r>
    </w:p>
    <w:p w:rsidR="00000000" w:rsidRDefault="00000000">
      <w:pPr>
        <w:ind w:firstLine="510"/>
        <w:rPr>
          <w:rFonts w:hint="eastAsia"/>
        </w:rPr>
      </w:pPr>
      <w:r>
        <w:rPr>
          <w:rFonts w:hint="eastAsia"/>
        </w:rPr>
        <w:t xml:space="preserve">520.  </w:t>
      </w:r>
      <w:r>
        <w:rPr>
          <w:rFonts w:hint="eastAsia"/>
        </w:rPr>
        <w:t>提交专职委员的申诉一再涉及到的问题是救护车服务工作。建立和组织开展安全、统一和协调的救护车服务所必要的体制框架，是国家的职责所在。只要救护车不能履行其挽救生命和密切相关的应急职责，《宪法》所赋予的生命权也就岌岌可危。为改进救护车服务所制定的方案，可有益于通过保健服务充分实现生命权。国会专职委员确定，如果保健权遭到剥夺，则有可能危及宪定的人的尊严权和享有保持尽可能高标准的身心健康的权利。</w:t>
      </w:r>
    </w:p>
    <w:p w:rsidR="00000000" w:rsidRDefault="00000000">
      <w:pPr>
        <w:ind w:firstLine="510"/>
        <w:rPr>
          <w:rFonts w:hint="eastAsia"/>
        </w:rPr>
      </w:pPr>
      <w:r>
        <w:rPr>
          <w:rFonts w:hint="eastAsia"/>
        </w:rPr>
        <w:t xml:space="preserve">521.  </w:t>
      </w:r>
      <w:r>
        <w:rPr>
          <w:rFonts w:hint="eastAsia"/>
        </w:rPr>
        <w:t>在与保健有关的申诉中，服刑期间受到的不公待遇是一个特殊问题。囚犯享有保持尽可能高标准的身心健康的权利在服刑期间并未被剥夺；因此，他们有权获得与其健康状况适当的保健服务。公民权利国会副专职委员认为存在《宪法》在尽可能高标准的身心理健康方面存在反常现象，即只有在监狱系统之外才可向囚犯提供适当保健，但监狱并未依照职权暂时取消监禁。</w:t>
      </w:r>
    </w:p>
    <w:p w:rsidR="00000000" w:rsidRDefault="00000000">
      <w:pPr>
        <w:spacing w:after="320"/>
        <w:ind w:firstLine="510"/>
        <w:rPr>
          <w:rFonts w:hint="eastAsia"/>
        </w:rPr>
      </w:pPr>
      <w:r>
        <w:rPr>
          <w:rFonts w:hint="eastAsia"/>
        </w:rPr>
        <w:t xml:space="preserve">522.  </w:t>
      </w:r>
      <w:r>
        <w:rPr>
          <w:rFonts w:hint="eastAsia"/>
        </w:rPr>
        <w:t>国会专职委员在调查中将残疾人机会平等问题作为优先事项来处理。他们根据所调查的七个案子得出结论，认为公民的宪法权利受到侵犯，尤其是人的尊严权、社会保障权和机会平等权。申诉多与公共机构照料、各种财政赠款有关，有一例为申诉人因法律被曲解而叫屈。很多申诉涉及到在报告所涉期间对运动神经残疾人的交通津贴问题。国会专职委员认为存在与禁止歧视规定有关的反常现象，因为按照有效的匈牙利法规，相当多一部分领取残疾津贴的严重残疾者都没有资格领取交通津贴。</w:t>
      </w:r>
    </w:p>
    <w:p w:rsidR="00000000" w:rsidRDefault="00000000">
      <w:pPr>
        <w:pStyle w:val="Heading4"/>
        <w:rPr>
          <w:rFonts w:eastAsia="KaiTi_GB2312" w:hint="eastAsia"/>
          <w:snapToGrid/>
          <w:spacing w:val="0"/>
          <w:u w:val="none"/>
          <w:lang w:val="fr-FR"/>
        </w:rPr>
      </w:pPr>
      <w:r>
        <w:rPr>
          <w:rFonts w:eastAsia="KaiTi_GB2312" w:hint="eastAsia"/>
          <w:snapToGrid/>
          <w:spacing w:val="0"/>
          <w:u w:val="none"/>
          <w:lang w:val="fr-FR"/>
        </w:rPr>
        <w:t>住宿机构</w:t>
      </w:r>
    </w:p>
    <w:p w:rsidR="00000000" w:rsidRDefault="00000000">
      <w:pPr>
        <w:ind w:firstLine="510"/>
        <w:rPr>
          <w:rFonts w:hint="eastAsia"/>
        </w:rPr>
      </w:pPr>
      <w:r>
        <w:rPr>
          <w:rFonts w:hint="eastAsia"/>
        </w:rPr>
        <w:t>523.  2002</w:t>
      </w:r>
      <w:r>
        <w:rPr>
          <w:rFonts w:hint="eastAsia"/>
        </w:rPr>
        <w:t>年，编制了六份有关住宿机构被收容者的宪法权利的调查报告。大多数程序涉及法治产生的法律稳定性要求和享有公平程序权，以及享有保持尽可能高标准的身心健康的权利。另外还证实存在侵犯社会保障权和财产权现象。</w:t>
      </w:r>
    </w:p>
    <w:p w:rsidR="00000000" w:rsidRDefault="00000000">
      <w:pPr>
        <w:ind w:firstLine="510"/>
        <w:rPr>
          <w:rFonts w:hint="eastAsia"/>
        </w:rPr>
      </w:pPr>
      <w:r>
        <w:rPr>
          <w:rFonts w:hint="eastAsia"/>
        </w:rPr>
        <w:t xml:space="preserve">524.  </w:t>
      </w:r>
      <w:r>
        <w:rPr>
          <w:rFonts w:hint="eastAsia"/>
        </w:rPr>
        <w:t>调查表明，同过去几年一样，大多数问题产生的原因在于：机构中专业人员人手不够，精神保健工作欠缺；可获财政资源有限；以及直接护理老年人的工作存在其他缺陷。现有收容所必须加以翻新和现代化，使之达到符合各项技术条例规定的条件所必要的水平，这一问题年复一年日益紧迫地提到了日程上。</w:t>
      </w:r>
    </w:p>
    <w:p w:rsidR="00000000" w:rsidRDefault="00000000">
      <w:pPr>
        <w:spacing w:after="320"/>
        <w:ind w:firstLine="510"/>
        <w:rPr>
          <w:rFonts w:hint="eastAsia"/>
        </w:rPr>
      </w:pPr>
      <w:r>
        <w:rPr>
          <w:rFonts w:hint="eastAsia"/>
        </w:rPr>
        <w:t xml:space="preserve">525.  </w:t>
      </w:r>
      <w:r>
        <w:rPr>
          <w:rFonts w:hint="eastAsia"/>
        </w:rPr>
        <w:t>尽管就住宿机构问题进行了若干调查，并且公布了调查结论，但在最低限度的医疗护理和和治疗与康复活动方面，问题依然不少。不过令人鼓舞的是，在所调查的每一起案子中，国会专职委员所采取的行动都十分顺利。所提出的建议和倡议都得到接受，并因此而调整了相关做法，或与专门机构和州方法中心合作制定了行动计划，以促进尽快实施有关建议。</w:t>
      </w:r>
    </w:p>
    <w:p w:rsidR="00000000" w:rsidRDefault="00000000">
      <w:pPr>
        <w:pStyle w:val="Heading3"/>
        <w:rPr>
          <w:rFonts w:hint="eastAsia"/>
        </w:rPr>
      </w:pPr>
      <w:r>
        <w:rPr>
          <w:rFonts w:hint="eastAsia"/>
        </w:rPr>
        <w:t>计划生育</w:t>
      </w:r>
    </w:p>
    <w:p w:rsidR="00000000" w:rsidRDefault="00000000">
      <w:pPr>
        <w:ind w:firstLine="510"/>
        <w:rPr>
          <w:rFonts w:hint="eastAsia"/>
        </w:rPr>
      </w:pPr>
      <w:r>
        <w:rPr>
          <w:rFonts w:hint="eastAsia"/>
        </w:rPr>
        <w:t xml:space="preserve">526.  </w:t>
      </w:r>
      <w:r>
        <w:rPr>
          <w:rFonts w:hint="eastAsia"/>
        </w:rPr>
        <w:t>按地区组织了家庭保护服务处，以促进计划生育和自愿生育。这些机构按照分区域和市区原则建立，与保健部门一道开展活动。其任务是提供一般辅导，介绍有关计划生育和节制生育的信息，帮助未来的父母做好生育的准备，以及就如何治疗不孕症提出建议。近年来这些机构开展了这些工作。此前，它们的咨询作用仅限于堕胎咨询。</w:t>
      </w:r>
    </w:p>
    <w:p w:rsidR="00000000" w:rsidRDefault="00000000">
      <w:pPr>
        <w:ind w:firstLine="510"/>
        <w:rPr>
          <w:rFonts w:hint="eastAsia"/>
        </w:rPr>
      </w:pPr>
      <w:r>
        <w:rPr>
          <w:rFonts w:hint="eastAsia"/>
        </w:rPr>
        <w:t xml:space="preserve">527.  </w:t>
      </w:r>
      <w:r>
        <w:rPr>
          <w:rFonts w:hint="eastAsia"/>
        </w:rPr>
        <w:t>此外，根据《儿童保护法令》第</w:t>
      </w:r>
      <w:r>
        <w:rPr>
          <w:rFonts w:hint="eastAsia"/>
        </w:rPr>
        <w:t>39</w:t>
      </w:r>
      <w:r>
        <w:rPr>
          <w:rFonts w:hint="eastAsia"/>
        </w:rPr>
        <w:t>段</w:t>
      </w:r>
      <w:r>
        <w:rPr>
          <w:rFonts w:hint="eastAsia"/>
        </w:rPr>
        <w:t>(2)</w:t>
      </w:r>
      <w:r>
        <w:rPr>
          <w:rFonts w:hint="eastAsia"/>
        </w:rPr>
        <w:t>分段</w:t>
      </w:r>
      <w:r>
        <w:t>b</w:t>
      </w:r>
      <w:r>
        <w:rPr>
          <w:rFonts w:hint="eastAsia"/>
        </w:rPr>
        <w:t>)</w:t>
      </w:r>
      <w:r>
        <w:rPr>
          <w:rFonts w:hint="eastAsia"/>
        </w:rPr>
        <w:t>项，儿童福利服务处的职能还包括：除了其他的以外，为了促进儿童的身心健康以及在家庭内抚养子女，就计划生育、心理学、教育、保健、精神健康、预防药物滥用，或获得方法等事宜举办咨询活动。</w:t>
      </w:r>
    </w:p>
    <w:p w:rsidR="00000000" w:rsidRDefault="00000000">
      <w:pPr>
        <w:ind w:firstLine="510"/>
        <w:rPr>
          <w:rFonts w:hint="eastAsia"/>
        </w:rPr>
      </w:pPr>
      <w:r>
        <w:rPr>
          <w:rFonts w:hint="eastAsia"/>
        </w:rPr>
        <w:t xml:space="preserve">528.  </w:t>
      </w:r>
      <w:r>
        <w:rPr>
          <w:rFonts w:hint="eastAsia"/>
        </w:rPr>
        <w:t>《卫生保险法令》载有有关免费为受保人提供的检查的一般规则。其中包括儿科医师对其所负责年龄组的儿童义务进行检查，以及建议成年人进行的检查。目前正在开展改进肿瘤检查的组织和实施工作。工作重点是提高子宫颈、乳腺和消化道肿瘤的检测效率。</w:t>
      </w:r>
    </w:p>
    <w:p w:rsidR="00000000" w:rsidRDefault="00000000">
      <w:pPr>
        <w:ind w:firstLine="510"/>
        <w:rPr>
          <w:rFonts w:hint="eastAsia"/>
        </w:rPr>
      </w:pPr>
      <w:r>
        <w:rPr>
          <w:rFonts w:hint="eastAsia"/>
        </w:rPr>
        <w:t xml:space="preserve">529.  </w:t>
      </w:r>
      <w:r>
        <w:rPr>
          <w:rFonts w:hint="eastAsia"/>
        </w:rPr>
        <w:t>法律有一项一般性规定，如果患者接受一项作为检查失调的适当方式的检查，医师必须从检查角度在检查报告上说明有关患者状况的意见。</w:t>
      </w:r>
    </w:p>
    <w:p w:rsidR="00000000" w:rsidRDefault="00000000">
      <w:pPr>
        <w:ind w:firstLine="510"/>
        <w:rPr>
          <w:rFonts w:hint="eastAsia"/>
        </w:rPr>
      </w:pPr>
      <w:r>
        <w:rPr>
          <w:rFonts w:hint="eastAsia"/>
        </w:rPr>
        <w:t xml:space="preserve">530.  </w:t>
      </w:r>
      <w:r>
        <w:rPr>
          <w:rFonts w:hint="eastAsia"/>
        </w:rPr>
        <w:t>《国家卫生十年方案》的一个次级项目叫做“健康的青春”，该项目制定了保护孕妇、母亲、婴儿、儿童和青少年以及一般生育健康的特别措施，促使人们作出负责任的生育决定和生命有个健康的开始。次级项目重点是加强计划生育咨询工作，即改进地区儿童保育护理员服务、学校儿童保育护理员服务和家庭保护服务，建设一个专业和方法知识库，以及协调和促进现有机构系统的活动。</w:t>
      </w:r>
    </w:p>
    <w:p w:rsidR="00000000" w:rsidRDefault="00000000">
      <w:pPr>
        <w:ind w:firstLine="510"/>
        <w:rPr>
          <w:rFonts w:hint="eastAsia"/>
        </w:rPr>
      </w:pPr>
      <w:r>
        <w:rPr>
          <w:rFonts w:hint="eastAsia"/>
        </w:rPr>
        <w:t xml:space="preserve">531.  </w:t>
      </w:r>
      <w:r>
        <w:rPr>
          <w:rFonts w:hint="eastAsia"/>
        </w:rPr>
        <w:t>该项目将有助于及早确认基因失调问题，并通过宣传健康的生活方式和进行医疗干预，预防出现失调的症状。它将推进儿童保育护理员工作，改进专业管理的人员和目标运作，提供更加广泛的持续教育，并明确和采用统一原则。它将在妇产科护理和</w:t>
      </w:r>
      <w:r>
        <w:rPr>
          <w:rFonts w:hint="eastAsia"/>
        </w:rPr>
        <w:t>0</w:t>
      </w:r>
      <w:r>
        <w:rPr>
          <w:rFonts w:hint="eastAsia"/>
        </w:rPr>
        <w:t>至</w:t>
      </w:r>
      <w:r>
        <w:rPr>
          <w:rFonts w:hint="eastAsia"/>
        </w:rPr>
        <w:t>18</w:t>
      </w:r>
      <w:r>
        <w:rPr>
          <w:rFonts w:hint="eastAsia"/>
        </w:rPr>
        <w:t>岁的儿童保健方面采用统一预防原则。它将鼓励扶持“方便家庭的产科诊所”，并利用一切手段普及母乳喂养做法，使之成为普遍而自然的喂养婴儿方法。</w:t>
      </w:r>
    </w:p>
    <w:p w:rsidR="00000000" w:rsidRDefault="00000000">
      <w:pPr>
        <w:pStyle w:val="a0"/>
        <w:ind w:left="1550"/>
        <w:rPr>
          <w:rFonts w:hint="eastAsia"/>
        </w:rPr>
      </w:pPr>
      <w:r>
        <w:rPr>
          <w:rFonts w:hint="eastAsia"/>
        </w:rPr>
        <w:t>地区护士人数</w:t>
      </w:r>
      <w:r>
        <w:rPr>
          <w:rFonts w:hint="eastAsia"/>
        </w:rPr>
        <w:t>(2001</w:t>
      </w:r>
      <w:r>
        <w:rPr>
          <w:rFonts w:hint="eastAsia"/>
        </w:rPr>
        <w:t>年</w:t>
      </w:r>
      <w:r>
        <w:rPr>
          <w:rFonts w:hint="eastAsia"/>
        </w:rPr>
        <w:t>)</w:t>
      </w:r>
      <w:r>
        <w:rPr>
          <w:rFonts w:hint="eastAsia"/>
        </w:rPr>
        <w:t>：</w:t>
      </w:r>
      <w:r>
        <w:rPr>
          <w:rFonts w:hint="eastAsia"/>
        </w:rPr>
        <w:t>4,831</w:t>
      </w:r>
    </w:p>
    <w:p w:rsidR="00000000" w:rsidRDefault="00000000">
      <w:pPr>
        <w:pStyle w:val="a0"/>
        <w:ind w:left="1550"/>
        <w:rPr>
          <w:rFonts w:hint="eastAsia"/>
        </w:rPr>
      </w:pPr>
      <w:r>
        <w:rPr>
          <w:rFonts w:hint="eastAsia"/>
        </w:rPr>
        <w:t>护理的孕妇人数：</w:t>
      </w:r>
      <w:r>
        <w:rPr>
          <w:rFonts w:hint="eastAsia"/>
        </w:rPr>
        <w:t>99,000</w:t>
      </w:r>
    </w:p>
    <w:p w:rsidR="00000000" w:rsidRDefault="00000000">
      <w:pPr>
        <w:pStyle w:val="a0"/>
        <w:ind w:left="1550"/>
        <w:rPr>
          <w:rFonts w:hint="eastAsia"/>
        </w:rPr>
      </w:pPr>
      <w:r>
        <w:rPr>
          <w:rFonts w:hint="eastAsia"/>
        </w:rPr>
        <w:t>护理的孕妇人数占分娩人数的</w:t>
      </w:r>
      <w:r>
        <w:rPr>
          <w:rFonts w:hint="eastAsia"/>
        </w:rPr>
        <w:t>%</w:t>
      </w:r>
      <w:r>
        <w:rPr>
          <w:rFonts w:hint="eastAsia"/>
        </w:rPr>
        <w:t>：</w:t>
      </w:r>
      <w:r>
        <w:rPr>
          <w:rFonts w:hint="eastAsia"/>
        </w:rPr>
        <w:t>86.9%</w:t>
      </w:r>
    </w:p>
    <w:p w:rsidR="00000000" w:rsidRDefault="00000000">
      <w:pPr>
        <w:pStyle w:val="a0"/>
        <w:ind w:left="1550"/>
        <w:rPr>
          <w:rFonts w:hint="eastAsia"/>
        </w:rPr>
      </w:pPr>
      <w:r>
        <w:rPr>
          <w:rFonts w:hint="eastAsia"/>
        </w:rPr>
        <w:t>婴儿巡诊人数：</w:t>
      </w:r>
      <w:r>
        <w:rPr>
          <w:rFonts w:hint="eastAsia"/>
        </w:rPr>
        <w:t>95,000</w:t>
      </w:r>
    </w:p>
    <w:p w:rsidR="00000000" w:rsidRDefault="00000000">
      <w:pPr>
        <w:pStyle w:val="a0"/>
        <w:ind w:left="1550"/>
        <w:rPr>
          <w:rFonts w:hint="eastAsia"/>
        </w:rPr>
      </w:pPr>
      <w:r>
        <w:rPr>
          <w:rFonts w:hint="eastAsia"/>
        </w:rPr>
        <w:t>婴儿巡诊人数占出生人数的</w:t>
      </w:r>
      <w:r>
        <w:rPr>
          <w:rFonts w:hint="eastAsia"/>
        </w:rPr>
        <w:t>%</w:t>
      </w:r>
      <w:r>
        <w:rPr>
          <w:rFonts w:hint="eastAsia"/>
        </w:rPr>
        <w:t>：</w:t>
      </w:r>
      <w:r>
        <w:rPr>
          <w:rFonts w:hint="eastAsia"/>
        </w:rPr>
        <w:t>98.3%</w:t>
      </w:r>
    </w:p>
    <w:p w:rsidR="00000000" w:rsidRDefault="00000000">
      <w:pPr>
        <w:pStyle w:val="a0"/>
        <w:ind w:left="1550"/>
        <w:rPr>
          <w:rFonts w:hint="eastAsia"/>
        </w:rPr>
      </w:pPr>
      <w:r>
        <w:rPr>
          <w:rFonts w:hint="eastAsia"/>
        </w:rPr>
        <w:t>每一新护理的母亲接受咨询的次数：</w:t>
      </w:r>
      <w:r>
        <w:rPr>
          <w:rFonts w:hint="eastAsia"/>
        </w:rPr>
        <w:t>8.2</w:t>
      </w:r>
    </w:p>
    <w:p w:rsidR="00000000" w:rsidRDefault="00000000">
      <w:pPr>
        <w:pStyle w:val="a0"/>
        <w:ind w:left="1550"/>
        <w:rPr>
          <w:rFonts w:hint="eastAsia"/>
        </w:rPr>
      </w:pPr>
      <w:r>
        <w:rPr>
          <w:rFonts w:hint="eastAsia"/>
        </w:rPr>
        <w:t>每一新护理的婴儿接受咨询的次数：</w:t>
      </w:r>
      <w:r>
        <w:rPr>
          <w:rFonts w:hint="eastAsia"/>
        </w:rPr>
        <w:t>10.8</w:t>
      </w:r>
    </w:p>
    <w:p w:rsidR="00000000" w:rsidRDefault="00000000">
      <w:pPr>
        <w:pStyle w:val="a0"/>
        <w:spacing w:after="320"/>
        <w:ind w:left="1550"/>
        <w:rPr>
          <w:rFonts w:hint="eastAsia"/>
        </w:rPr>
      </w:pPr>
      <w:r>
        <w:rPr>
          <w:rFonts w:hint="eastAsia"/>
        </w:rPr>
        <w:t>接受专业医护的婴儿：</w:t>
      </w:r>
      <w:r>
        <w:rPr>
          <w:rFonts w:hint="eastAsia"/>
        </w:rPr>
        <w:t>93.8%</w:t>
      </w:r>
    </w:p>
    <w:p w:rsidR="00000000" w:rsidRDefault="00000000">
      <w:pPr>
        <w:pStyle w:val="Heading3"/>
        <w:rPr>
          <w:rFonts w:hint="eastAsia"/>
        </w:rPr>
      </w:pPr>
      <w:r>
        <w:rPr>
          <w:rFonts w:hint="eastAsia"/>
        </w:rPr>
        <w:t>为减少吸烟、酗酒和药物滥用现象以及</w:t>
      </w:r>
      <w:r>
        <w:br/>
      </w:r>
      <w:r>
        <w:rPr>
          <w:rFonts w:hint="eastAsia"/>
        </w:rPr>
        <w:t>预防性传播疾病所采取的措施</w:t>
      </w:r>
    </w:p>
    <w:p w:rsidR="00000000" w:rsidRDefault="00000000">
      <w:pPr>
        <w:ind w:firstLine="510"/>
        <w:rPr>
          <w:rFonts w:hint="eastAsia"/>
        </w:rPr>
      </w:pPr>
      <w:r>
        <w:rPr>
          <w:rFonts w:hint="eastAsia"/>
        </w:rPr>
        <w:t xml:space="preserve">532.  </w:t>
      </w:r>
      <w:r>
        <w:rPr>
          <w:rFonts w:hint="eastAsia"/>
        </w:rPr>
        <w:t>鉴于吸烟人口比例极高，每年人均吸烟数量约为欧盟平均水平的两倍</w:t>
      </w:r>
      <w:r>
        <w:rPr>
          <w:rFonts w:hint="eastAsia"/>
        </w:rPr>
        <w:t>(1999</w:t>
      </w:r>
      <w:r>
        <w:rPr>
          <w:rFonts w:hint="eastAsia"/>
        </w:rPr>
        <w:t>年为</w:t>
      </w:r>
      <w:r>
        <w:rPr>
          <w:rFonts w:hint="eastAsia"/>
        </w:rPr>
        <w:t>2,372</w:t>
      </w:r>
      <w:r>
        <w:rPr>
          <w:rFonts w:hint="eastAsia"/>
        </w:rPr>
        <w:t>支烟</w:t>
      </w:r>
      <w:r>
        <w:rPr>
          <w:rFonts w:hint="eastAsia"/>
        </w:rPr>
        <w:t>/</w:t>
      </w:r>
      <w:r>
        <w:rPr>
          <w:rFonts w:hint="eastAsia"/>
        </w:rPr>
        <w:t>人</w:t>
      </w:r>
      <w:r>
        <w:rPr>
          <w:rFonts w:hint="eastAsia"/>
        </w:rPr>
        <w:t>/</w:t>
      </w:r>
      <w:r>
        <w:rPr>
          <w:rFonts w:hint="eastAsia"/>
        </w:rPr>
        <w:t>年</w:t>
      </w:r>
      <w:r>
        <w:rPr>
          <w:rFonts w:hint="eastAsia"/>
        </w:rPr>
        <w:t>)</w:t>
      </w:r>
      <w:r>
        <w:rPr>
          <w:rFonts w:hint="eastAsia"/>
        </w:rPr>
        <w:t>，因而减少吸烟现象，被列为一项头等重要的公共卫生任务。</w:t>
      </w:r>
    </w:p>
    <w:p w:rsidR="00000000" w:rsidRDefault="00000000">
      <w:pPr>
        <w:ind w:firstLine="510"/>
        <w:rPr>
          <w:rFonts w:hint="eastAsia"/>
        </w:rPr>
      </w:pPr>
      <w:r>
        <w:rPr>
          <w:rFonts w:hint="eastAsia"/>
        </w:rPr>
        <w:t>533.  1999</w:t>
      </w:r>
      <w:r>
        <w:rPr>
          <w:rFonts w:hint="eastAsia"/>
        </w:rPr>
        <w:t>年，国会通过了关于保护不吸烟者和与烟草产品的消耗与贸易有关的某些规则的第一百五十二号法令。因而出台了一系列与欧盟国家规定相似的主要针对工作场所和公共场所吸烟问题的限制措施。即使有的限制在医疗、教育、体育和青年设施中早有规定，但新条例依然作出进一步的限制。公共卫生当局可对违反规定者处以罚款，其中部分罚款指定用于健康宣传和疾病预防工作。</w:t>
      </w:r>
    </w:p>
    <w:p w:rsidR="00000000" w:rsidRDefault="00000000">
      <w:pPr>
        <w:ind w:firstLine="510"/>
        <w:rPr>
          <w:rFonts w:hint="eastAsia"/>
        </w:rPr>
      </w:pPr>
      <w:r>
        <w:rPr>
          <w:rFonts w:hint="eastAsia"/>
        </w:rPr>
        <w:t xml:space="preserve">534.  </w:t>
      </w:r>
      <w:r>
        <w:rPr>
          <w:rFonts w:hint="eastAsia"/>
        </w:rPr>
        <w:t>关于烟草产品，匈牙利制定了与欧盟相同的条例，规定产品必须贴标签和保护健康标记。下一个五年方案将要改变匈牙利烟草生产结构，以减产烟草产品中的焦油和尼古丁含量。在烟草广告的管理方面，匈牙利开始采用欧盟标准。烟草产品广告须遵守关于商业广告的《</w:t>
      </w:r>
      <w:r>
        <w:rPr>
          <w:rFonts w:hint="eastAsia"/>
        </w:rPr>
        <w:t>1997</w:t>
      </w:r>
      <w:r>
        <w:rPr>
          <w:rFonts w:hint="eastAsia"/>
        </w:rPr>
        <w:t>年第五十八号法令》</w:t>
      </w:r>
      <w:r>
        <w:rPr>
          <w:rFonts w:hint="eastAsia"/>
        </w:rPr>
        <w:t>(</w:t>
      </w:r>
      <w:r>
        <w:rPr>
          <w:rFonts w:hint="eastAsia"/>
        </w:rPr>
        <w:t>经</w:t>
      </w:r>
      <w:r>
        <w:rPr>
          <w:rFonts w:hint="eastAsia"/>
        </w:rPr>
        <w:t>2001</w:t>
      </w:r>
      <w:r>
        <w:rPr>
          <w:rFonts w:hint="eastAsia"/>
        </w:rPr>
        <w:t>年第一号法令修正</w:t>
      </w:r>
      <w:r>
        <w:rPr>
          <w:rFonts w:hint="eastAsia"/>
        </w:rPr>
        <w:t>)</w:t>
      </w:r>
      <w:r>
        <w:rPr>
          <w:rFonts w:hint="eastAsia"/>
        </w:rPr>
        <w:t>的规定，目的是全面禁止烟草产品广告。</w:t>
      </w:r>
    </w:p>
    <w:p w:rsidR="00000000" w:rsidRDefault="00000000">
      <w:pPr>
        <w:ind w:firstLine="510"/>
        <w:rPr>
          <w:rFonts w:hint="eastAsia"/>
        </w:rPr>
      </w:pPr>
      <w:r>
        <w:rPr>
          <w:rFonts w:hint="eastAsia"/>
        </w:rPr>
        <w:t xml:space="preserve">535.  </w:t>
      </w:r>
      <w:r>
        <w:rPr>
          <w:rFonts w:hint="eastAsia"/>
        </w:rPr>
        <w:t>就</w:t>
      </w:r>
      <w:r>
        <w:rPr>
          <w:rFonts w:ascii="Time New Roman" w:eastAsia="SimHei" w:hAnsi="Time New Roman" w:hint="eastAsia"/>
        </w:rPr>
        <w:t>酒精消耗</w:t>
      </w:r>
      <w:r>
        <w:rPr>
          <w:rFonts w:hint="eastAsia"/>
        </w:rPr>
        <w:t>造成的疾病数量而言，匈牙利在欧洲高居榜首。直接与酒精消耗有关的发病率，包括肝脏、心脏和血管系统的疾病</w:t>
      </w:r>
      <w:r>
        <w:rPr>
          <w:rFonts w:hint="eastAsia"/>
        </w:rPr>
        <w:t>/</w:t>
      </w:r>
      <w:r>
        <w:rPr>
          <w:rFonts w:hint="eastAsia"/>
        </w:rPr>
        <w:t>缺陷，目前处于不断上升趋势。</w:t>
      </w:r>
    </w:p>
    <w:p w:rsidR="00000000" w:rsidRDefault="00000000">
      <w:pPr>
        <w:ind w:firstLine="510"/>
        <w:rPr>
          <w:rFonts w:hint="eastAsia"/>
        </w:rPr>
      </w:pPr>
      <w:r>
        <w:rPr>
          <w:rFonts w:hint="eastAsia"/>
        </w:rPr>
        <w:t xml:space="preserve">536.  </w:t>
      </w:r>
      <w:r>
        <w:rPr>
          <w:rFonts w:hint="eastAsia"/>
          <w:b/>
          <w:bCs/>
        </w:rPr>
        <w:t>毒品使用</w:t>
      </w:r>
      <w:r>
        <w:rPr>
          <w:rFonts w:hint="eastAsia"/>
        </w:rPr>
        <w:t>现象也急剧增多。</w:t>
      </w:r>
      <w:r>
        <w:rPr>
          <w:rFonts w:hint="eastAsia"/>
        </w:rPr>
        <w:t>1994</w:t>
      </w:r>
      <w:r>
        <w:rPr>
          <w:rFonts w:hint="eastAsia"/>
        </w:rPr>
        <w:t>至</w:t>
      </w:r>
      <w:r>
        <w:rPr>
          <w:rFonts w:hint="eastAsia"/>
        </w:rPr>
        <w:t>1999</w:t>
      </w:r>
      <w:r>
        <w:rPr>
          <w:rFonts w:hint="eastAsia"/>
        </w:rPr>
        <w:t>年期间，收治的患者人数翻了四番，无论是在数量还是质量方面，都给卫生服务工作带来额外负担。</w:t>
      </w:r>
      <w:r>
        <w:rPr>
          <w:rFonts w:hint="eastAsia"/>
        </w:rPr>
        <w:t>1995</w:t>
      </w:r>
      <w:r>
        <w:rPr>
          <w:rFonts w:hint="eastAsia"/>
        </w:rPr>
        <w:t>年，保健机构收治的患者仅为</w:t>
      </w:r>
      <w:r>
        <w:rPr>
          <w:rFonts w:hint="eastAsia"/>
        </w:rPr>
        <w:t>3,553</w:t>
      </w:r>
      <w:r>
        <w:rPr>
          <w:rFonts w:hint="eastAsia"/>
        </w:rPr>
        <w:t>人，而</w:t>
      </w:r>
      <w:r>
        <w:rPr>
          <w:rFonts w:hint="eastAsia"/>
        </w:rPr>
        <w:t>1999</w:t>
      </w:r>
      <w:r>
        <w:rPr>
          <w:rFonts w:hint="eastAsia"/>
        </w:rPr>
        <w:t>年和</w:t>
      </w:r>
      <w:r>
        <w:rPr>
          <w:rFonts w:hint="eastAsia"/>
        </w:rPr>
        <w:t>2000</w:t>
      </w:r>
      <w:r>
        <w:rPr>
          <w:rFonts w:hint="eastAsia"/>
        </w:rPr>
        <w:t>年分别升至</w:t>
      </w:r>
      <w:r>
        <w:rPr>
          <w:rFonts w:hint="eastAsia"/>
        </w:rPr>
        <w:t>12,765</w:t>
      </w:r>
      <w:r>
        <w:rPr>
          <w:rFonts w:hint="eastAsia"/>
        </w:rPr>
        <w:t>人和</w:t>
      </w:r>
      <w:r>
        <w:rPr>
          <w:rFonts w:hint="eastAsia"/>
        </w:rPr>
        <w:t>12,789</w:t>
      </w:r>
      <w:r>
        <w:rPr>
          <w:rFonts w:hint="eastAsia"/>
        </w:rPr>
        <w:t>人。相反，新增患者人数则略有减少。</w:t>
      </w:r>
      <w:r>
        <w:rPr>
          <w:rFonts w:hint="eastAsia"/>
        </w:rPr>
        <w:t>1995</w:t>
      </w:r>
      <w:r>
        <w:rPr>
          <w:rFonts w:hint="eastAsia"/>
        </w:rPr>
        <w:t>至</w:t>
      </w:r>
      <w:r>
        <w:rPr>
          <w:rFonts w:hint="eastAsia"/>
        </w:rPr>
        <w:t>1999</w:t>
      </w:r>
      <w:r>
        <w:rPr>
          <w:rFonts w:hint="eastAsia"/>
        </w:rPr>
        <w:t>年间，患者人数持续增加，只是在</w:t>
      </w:r>
      <w:r>
        <w:rPr>
          <w:rFonts w:hint="eastAsia"/>
        </w:rPr>
        <w:t>1999</w:t>
      </w:r>
      <w:r>
        <w:rPr>
          <w:rFonts w:hint="eastAsia"/>
        </w:rPr>
        <w:t>至</w:t>
      </w:r>
      <w:r>
        <w:rPr>
          <w:rFonts w:hint="eastAsia"/>
        </w:rPr>
        <w:t>2000</w:t>
      </w:r>
      <w:r>
        <w:rPr>
          <w:rFonts w:hint="eastAsia"/>
        </w:rPr>
        <w:t>年间才略有下降。</w:t>
      </w:r>
      <w:r>
        <w:rPr>
          <w:rFonts w:hint="eastAsia"/>
        </w:rPr>
        <w:t>2001</w:t>
      </w:r>
      <w:r>
        <w:rPr>
          <w:rFonts w:hint="eastAsia"/>
        </w:rPr>
        <w:t>至</w:t>
      </w:r>
      <w:r>
        <w:rPr>
          <w:rFonts w:hint="eastAsia"/>
        </w:rPr>
        <w:t>2002</w:t>
      </w:r>
      <w:r>
        <w:rPr>
          <w:rFonts w:hint="eastAsia"/>
        </w:rPr>
        <w:t>年间，人数再次有所增多。为减少药物使用现象制定了一个政府方案，即“解决药物问题国家战略”。执行该方案，实现方案所确立的各项目标，政府有关部委以及公众必须给予合作和支持。</w:t>
      </w:r>
    </w:p>
    <w:p w:rsidR="00000000" w:rsidRDefault="00000000">
      <w:pPr>
        <w:ind w:firstLine="510"/>
        <w:rPr>
          <w:rFonts w:hint="eastAsia"/>
        </w:rPr>
      </w:pPr>
      <w:r>
        <w:rPr>
          <w:rFonts w:hint="eastAsia"/>
        </w:rPr>
        <w:t xml:space="preserve">537.  </w:t>
      </w:r>
      <w:r>
        <w:rPr>
          <w:rFonts w:hint="eastAsia"/>
        </w:rPr>
        <w:t>增进民族健康公共卫生方案将制止药物滥用行为</w:t>
      </w:r>
      <w:r>
        <w:rPr>
          <w:rFonts w:hint="eastAsia"/>
        </w:rPr>
        <w:t>(</w:t>
      </w:r>
      <w:r>
        <w:rPr>
          <w:rFonts w:hint="eastAsia"/>
        </w:rPr>
        <w:t>过量酒精消耗、吸烟和药物</w:t>
      </w:r>
      <w:r>
        <w:rPr>
          <w:rFonts w:hint="eastAsia"/>
        </w:rPr>
        <w:t>)</w:t>
      </w:r>
      <w:r>
        <w:rPr>
          <w:rFonts w:hint="eastAsia"/>
        </w:rPr>
        <w:t>列为</w:t>
      </w:r>
      <w:r>
        <w:rPr>
          <w:rFonts w:hint="eastAsia"/>
        </w:rPr>
        <w:t>2010</w:t>
      </w:r>
      <w:r>
        <w:rPr>
          <w:rFonts w:hint="eastAsia"/>
        </w:rPr>
        <w:t>年前十大优先国家任务之一。第</w:t>
      </w:r>
      <w:r>
        <w:rPr>
          <w:rFonts w:hint="eastAsia"/>
        </w:rPr>
        <w:t>46/2003(IV</w:t>
      </w:r>
      <w:r>
        <w:t>.</w:t>
      </w:r>
      <w:r>
        <w:rPr>
          <w:rFonts w:hint="eastAsia"/>
        </w:rPr>
        <w:t>16.)</w:t>
      </w:r>
      <w:r>
        <w:rPr>
          <w:rFonts w:hint="eastAsia"/>
        </w:rPr>
        <w:t>号国会决议通过了《国家卫生十年方案》。该方案共有</w:t>
      </w:r>
      <w:r>
        <w:rPr>
          <w:rFonts w:hint="eastAsia"/>
        </w:rPr>
        <w:t>19</w:t>
      </w:r>
      <w:r>
        <w:rPr>
          <w:rFonts w:hint="eastAsia"/>
        </w:rPr>
        <w:t>个次级方案，每个次级方案又有几个次级项目，分别侧重于减少吸烟现象和预防酒精和药物滥用、预防艾滋病、减少人的健康风险，以及防止可避免的死亡、发病和残疾。</w:t>
      </w:r>
    </w:p>
    <w:p w:rsidR="00000000" w:rsidRDefault="00000000">
      <w:pPr>
        <w:ind w:firstLine="510"/>
        <w:rPr>
          <w:rFonts w:hint="eastAsia"/>
        </w:rPr>
      </w:pPr>
      <w:r>
        <w:rPr>
          <w:rFonts w:hint="eastAsia"/>
        </w:rPr>
        <w:t>538.  2000</w:t>
      </w:r>
      <w:r>
        <w:rPr>
          <w:rFonts w:hint="eastAsia"/>
        </w:rPr>
        <w:t>年</w:t>
      </w:r>
      <w:r>
        <w:rPr>
          <w:rFonts w:hint="eastAsia"/>
        </w:rPr>
        <w:t>12</w:t>
      </w:r>
      <w:r>
        <w:rPr>
          <w:rFonts w:hint="eastAsia"/>
        </w:rPr>
        <w:t>月，国会就关于接受国家战略方案以减少药物问题的第</w:t>
      </w:r>
      <w:r>
        <w:rPr>
          <w:rFonts w:hint="eastAsia"/>
        </w:rPr>
        <w:t>96/2000(XII</w:t>
      </w:r>
      <w:r>
        <w:t>.</w:t>
      </w:r>
      <w:r>
        <w:rPr>
          <w:rFonts w:hint="eastAsia"/>
        </w:rPr>
        <w:t>11.)</w:t>
      </w:r>
      <w:r>
        <w:rPr>
          <w:rFonts w:hint="eastAsia"/>
        </w:rPr>
        <w:t>决议进行表决，</w:t>
      </w:r>
      <w:r>
        <w:rPr>
          <w:rFonts w:hint="eastAsia"/>
        </w:rPr>
        <w:t>309</w:t>
      </w:r>
      <w:r>
        <w:rPr>
          <w:rFonts w:hint="eastAsia"/>
        </w:rPr>
        <w:t>票赞成，</w:t>
      </w:r>
      <w:r>
        <w:rPr>
          <w:rFonts w:hint="eastAsia"/>
        </w:rPr>
        <w:t>2</w:t>
      </w:r>
      <w:r>
        <w:rPr>
          <w:rFonts w:hint="eastAsia"/>
        </w:rPr>
        <w:t>票弃权，无一票反对。该文件提出了中长期和短期任务与目标，它也是解决药物使用问题的一项行动计划。该国家战略主要涉及药物问题，但这些任务在许多方面与酒精、吸烟、有机溶剂或甚至非医生建议的药品有着不可分离性。</w:t>
      </w:r>
    </w:p>
    <w:p w:rsidR="00000000" w:rsidRDefault="00000000">
      <w:pPr>
        <w:ind w:firstLine="510"/>
        <w:rPr>
          <w:rFonts w:hint="eastAsia"/>
        </w:rPr>
      </w:pPr>
      <w:r>
        <w:rPr>
          <w:rFonts w:hint="eastAsia"/>
        </w:rPr>
        <w:t xml:space="preserve">539.  </w:t>
      </w:r>
      <w:r>
        <w:rPr>
          <w:rFonts w:hint="eastAsia"/>
        </w:rPr>
        <w:t>我国在发展服务网络以及药物滥用教育现代化方面的方案，是遵照欧洲联盟建议制定的。</w:t>
      </w:r>
    </w:p>
    <w:p w:rsidR="00000000" w:rsidRDefault="00000000">
      <w:pPr>
        <w:ind w:firstLine="510"/>
        <w:rPr>
          <w:rFonts w:hint="eastAsia"/>
        </w:rPr>
      </w:pPr>
      <w:r>
        <w:rPr>
          <w:rFonts w:hint="eastAsia"/>
        </w:rPr>
        <w:t xml:space="preserve">540.  </w:t>
      </w:r>
      <w:r>
        <w:rPr>
          <w:rFonts w:hint="eastAsia"/>
        </w:rPr>
        <w:t>国家药物战略计划实施根据有效的研究制定的各项目标。按照前青年和体育事务部的要求，我国国内开展了欧洲学校酒精和药物问题调查项目，以便根据国际数据来清楚地描述匈牙利的药物使用状况。目前正在对若干药物干预方案的效力问题进行研究。很快将对这一战略进程作出审查。在前青年和体育事务部的协调下，现已制定了若干战略。国家警察部队</w:t>
      </w:r>
      <w:r>
        <w:rPr>
          <w:rFonts w:hint="eastAsia"/>
        </w:rPr>
        <w:t>(</w:t>
      </w:r>
      <w:r>
        <w:rPr>
          <w:rFonts w:hint="eastAsia"/>
        </w:rPr>
        <w:t>内政部</w:t>
      </w:r>
      <w:r>
        <w:rPr>
          <w:rFonts w:hint="eastAsia"/>
        </w:rPr>
        <w:t>)</w:t>
      </w:r>
      <w:r>
        <w:rPr>
          <w:rFonts w:hint="eastAsia"/>
        </w:rPr>
        <w:t>、税务局</w:t>
      </w:r>
      <w:r>
        <w:rPr>
          <w:rFonts w:hint="eastAsia"/>
        </w:rPr>
        <w:t>(</w:t>
      </w:r>
      <w:r>
        <w:rPr>
          <w:rFonts w:hint="eastAsia"/>
        </w:rPr>
        <w:t>财政部</w:t>
      </w:r>
      <w:r>
        <w:rPr>
          <w:rFonts w:hint="eastAsia"/>
        </w:rPr>
        <w:t>)</w:t>
      </w:r>
      <w:r>
        <w:rPr>
          <w:rFonts w:hint="eastAsia"/>
        </w:rPr>
        <w:t>、国防部和教育部都制定了与国家药物战略相吻合的专业概念文件。</w:t>
      </w:r>
    </w:p>
    <w:p w:rsidR="00000000" w:rsidRDefault="00000000">
      <w:pPr>
        <w:ind w:firstLine="510"/>
        <w:rPr>
          <w:rFonts w:hint="eastAsia"/>
        </w:rPr>
      </w:pPr>
      <w:r>
        <w:rPr>
          <w:rFonts w:hint="eastAsia"/>
        </w:rPr>
        <w:t xml:space="preserve">541.  </w:t>
      </w:r>
      <w:r>
        <w:rPr>
          <w:rFonts w:hint="eastAsia"/>
        </w:rPr>
        <w:t>对于由前青年和体育事务部供资以及教育部参与实施的学校防止吸毒和保健发展方案，现已加大了拨款额度。该方案确保能够与数千名学校和教室联络网范围内的学生保持接触，具体由内行的服务提供者以及所在学校的经过适当训练的教师与之联系。</w:t>
      </w:r>
    </w:p>
    <w:p w:rsidR="00000000" w:rsidRDefault="00000000">
      <w:pPr>
        <w:ind w:firstLine="510"/>
        <w:rPr>
          <w:rFonts w:hint="eastAsia"/>
        </w:rPr>
      </w:pPr>
      <w:r>
        <w:rPr>
          <w:rFonts w:hint="eastAsia"/>
        </w:rPr>
        <w:t xml:space="preserve">542.  </w:t>
      </w:r>
      <w:r>
        <w:rPr>
          <w:rFonts w:hint="eastAsia"/>
        </w:rPr>
        <w:t>制定并推动实施了一些十分成功的干预项目。其中效果最为显著的项目是“网络电影”方案和叫做“中间过渡”的展览。“网络电影”方案涉及获得专业援助的在校青年。教育部目前正在向布达佩斯市区以外的学校推广该方案。“中间过渡”是一种交互式展览，随后还将与专家开展对话。该展览现已成功地举办过几期。</w:t>
      </w:r>
    </w:p>
    <w:p w:rsidR="00000000" w:rsidRDefault="00000000">
      <w:pPr>
        <w:ind w:firstLine="510"/>
        <w:rPr>
          <w:rFonts w:hint="eastAsia"/>
        </w:rPr>
      </w:pPr>
      <w:r>
        <w:rPr>
          <w:rFonts w:hint="eastAsia"/>
        </w:rPr>
        <w:t xml:space="preserve">543.  </w:t>
      </w:r>
      <w:r>
        <w:rPr>
          <w:rFonts w:hint="eastAsia"/>
        </w:rPr>
        <w:t>现设有</w:t>
      </w:r>
      <w:r>
        <w:rPr>
          <w:rFonts w:hint="eastAsia"/>
        </w:rPr>
        <w:t>60</w:t>
      </w:r>
      <w:r>
        <w:rPr>
          <w:rFonts w:hint="eastAsia"/>
        </w:rPr>
        <w:t>多个药物行动队，在分区域、州和地区一级活动的基层社会组织队伍也在不断发展壮大，以协调减少药物使用的影响。</w:t>
      </w:r>
    </w:p>
    <w:p w:rsidR="00000000" w:rsidRDefault="00000000">
      <w:pPr>
        <w:ind w:firstLine="510"/>
        <w:rPr>
          <w:rFonts w:hint="eastAsia"/>
        </w:rPr>
      </w:pPr>
      <w:r>
        <w:rPr>
          <w:rFonts w:hint="eastAsia"/>
        </w:rPr>
        <w:t xml:space="preserve">544.  </w:t>
      </w:r>
      <w:r>
        <w:rPr>
          <w:rFonts w:hint="eastAsia"/>
        </w:rPr>
        <w:t>开发一个安全娱乐场所网的工作仍在进行之中。这一方案的目标是针对资料显示药物使用率极高场所制定减少危险方案，比如有音乐和跳舞活动的场所。这些方案将营造一种不可或缺的健康环境，减少迪斯科舞厅意外事故。</w:t>
      </w:r>
    </w:p>
    <w:p w:rsidR="00000000" w:rsidRDefault="00000000">
      <w:pPr>
        <w:ind w:firstLine="510"/>
        <w:rPr>
          <w:rFonts w:hint="eastAsia"/>
        </w:rPr>
      </w:pPr>
      <w:r>
        <w:rPr>
          <w:rFonts w:hint="eastAsia"/>
        </w:rPr>
        <w:t xml:space="preserve">545.  </w:t>
      </w:r>
      <w:r>
        <w:rPr>
          <w:rFonts w:hint="eastAsia"/>
        </w:rPr>
        <w:t>对《刑法》所作的一项修正，不仅使药物依赖者，而且使所有尝试药物的人在作为药物消费者被拘捕后有可能选择一种戒药治疗。与卫生部和前青年事务部颁发的修正法有关的法令</w:t>
      </w:r>
      <w:r>
        <w:rPr>
          <w:rFonts w:hint="eastAsia"/>
        </w:rPr>
        <w:t>(</w:t>
      </w:r>
      <w:r>
        <w:rPr>
          <w:rFonts w:hint="eastAsia"/>
        </w:rPr>
        <w:t>第</w:t>
      </w:r>
      <w:r>
        <w:rPr>
          <w:rFonts w:hint="eastAsia"/>
        </w:rPr>
        <w:t>26/2003(V</w:t>
      </w:r>
      <w:r>
        <w:t>.</w:t>
      </w:r>
      <w:r>
        <w:rPr>
          <w:rFonts w:hint="eastAsia"/>
        </w:rPr>
        <w:t>16.)ESZCSM-GYISM</w:t>
      </w:r>
      <w:r>
        <w:rPr>
          <w:rFonts w:hint="eastAsia"/>
        </w:rPr>
        <w:t>号政令</w:t>
      </w:r>
      <w:r>
        <w:rPr>
          <w:rFonts w:hint="eastAsia"/>
        </w:rPr>
        <w:t>)</w:t>
      </w:r>
      <w:r>
        <w:rPr>
          <w:rFonts w:hint="eastAsia"/>
        </w:rPr>
        <w:t>，包括一项针对参与制定该法的专业组织的协议。联合颁发的政令要求免费进行情况调查，将参加戒药的人分成三类：</w:t>
      </w:r>
    </w:p>
    <w:p w:rsidR="00000000" w:rsidRDefault="00000000">
      <w:pPr>
        <w:pStyle w:val="a0"/>
        <w:ind w:left="1550"/>
        <w:rPr>
          <w:rFonts w:hint="eastAsia"/>
        </w:rPr>
      </w:pPr>
      <w:r>
        <w:rPr>
          <w:rFonts w:hint="eastAsia"/>
        </w:rPr>
        <w:t>尝试性使用者</w:t>
      </w:r>
    </w:p>
    <w:p w:rsidR="00000000" w:rsidRDefault="00000000">
      <w:pPr>
        <w:pStyle w:val="a0"/>
        <w:ind w:left="1550"/>
        <w:rPr>
          <w:rFonts w:hint="eastAsia"/>
        </w:rPr>
      </w:pPr>
      <w:r>
        <w:rPr>
          <w:rFonts w:hint="eastAsia"/>
        </w:rPr>
        <w:t>滥用者</w:t>
      </w:r>
    </w:p>
    <w:p w:rsidR="00000000" w:rsidRDefault="00000000">
      <w:pPr>
        <w:pStyle w:val="a0"/>
        <w:ind w:left="1550"/>
        <w:rPr>
          <w:rFonts w:hint="eastAsia"/>
        </w:rPr>
      </w:pPr>
      <w:r>
        <w:rPr>
          <w:rFonts w:hint="eastAsia"/>
        </w:rPr>
        <w:t>成问题的使用者</w:t>
      </w:r>
      <w:r>
        <w:rPr>
          <w:rFonts w:hint="eastAsia"/>
        </w:rPr>
        <w:t>(</w:t>
      </w:r>
      <w:r>
        <w:rPr>
          <w:rFonts w:hint="eastAsia"/>
        </w:rPr>
        <w:t>依赖者</w:t>
      </w:r>
      <w:r>
        <w:rPr>
          <w:rFonts w:hint="eastAsia"/>
        </w:rPr>
        <w:t>)</w:t>
      </w:r>
    </w:p>
    <w:p w:rsidR="00000000" w:rsidRDefault="00000000">
      <w:pPr>
        <w:ind w:firstLine="510"/>
        <w:rPr>
          <w:rFonts w:hint="eastAsia"/>
        </w:rPr>
      </w:pPr>
      <w:r>
        <w:rPr>
          <w:rFonts w:hint="eastAsia"/>
        </w:rPr>
        <w:t xml:space="preserve">546.  </w:t>
      </w:r>
      <w:r>
        <w:rPr>
          <w:rFonts w:hint="eastAsia"/>
        </w:rPr>
        <w:t>只要在专业方面有能力实施戒药法，所有保健机构</w:t>
      </w:r>
      <w:r>
        <w:rPr>
          <w:rFonts w:hint="eastAsia"/>
        </w:rPr>
        <w:t>(</w:t>
      </w:r>
      <w:r>
        <w:rPr>
          <w:rFonts w:hint="eastAsia"/>
        </w:rPr>
        <w:t>戒药诊所、康复中心、药物滥用治疗病房</w:t>
      </w:r>
      <w:r>
        <w:rPr>
          <w:rFonts w:hint="eastAsia"/>
        </w:rPr>
        <w:t>)</w:t>
      </w:r>
      <w:r>
        <w:rPr>
          <w:rFonts w:hint="eastAsia"/>
        </w:rPr>
        <w:t>和非保健机构</w:t>
      </w:r>
      <w:r>
        <w:rPr>
          <w:rFonts w:hint="eastAsia"/>
        </w:rPr>
        <w:t>(</w:t>
      </w:r>
      <w:r>
        <w:rPr>
          <w:rFonts w:hint="eastAsia"/>
        </w:rPr>
        <w:t>限用条件低的服务单位、预防署等</w:t>
      </w:r>
      <w:r>
        <w:rPr>
          <w:rFonts w:hint="eastAsia"/>
        </w:rPr>
        <w:t>)</w:t>
      </w:r>
      <w:r>
        <w:rPr>
          <w:rFonts w:hint="eastAsia"/>
        </w:rPr>
        <w:t>均可参与护理工作。</w:t>
      </w:r>
    </w:p>
    <w:p w:rsidR="00000000" w:rsidRDefault="00000000">
      <w:pPr>
        <w:ind w:firstLine="510"/>
        <w:rPr>
          <w:rFonts w:hint="eastAsia"/>
        </w:rPr>
      </w:pPr>
      <w:r>
        <w:rPr>
          <w:rFonts w:hint="eastAsia"/>
        </w:rPr>
        <w:t xml:space="preserve">547.  </w:t>
      </w:r>
      <w:r>
        <w:rPr>
          <w:rFonts w:hint="eastAsia"/>
        </w:rPr>
        <w:t>实施该战略的一个优先部分，是支助降低风险方案。最近我国开始实施有关美沙酮和旧针换新针问题的新倡议。卫生部正在制订一项五级“旧针换新针”方案。相互衔接的各级方案的关系如下：</w:t>
      </w:r>
    </w:p>
    <w:p w:rsidR="00000000" w:rsidRDefault="00000000">
      <w:pPr>
        <w:numPr>
          <w:ilvl w:val="0"/>
          <w:numId w:val="194"/>
        </w:numPr>
        <w:rPr>
          <w:rFonts w:hint="eastAsia"/>
        </w:rPr>
      </w:pPr>
      <w:r>
        <w:rPr>
          <w:rFonts w:hint="eastAsia"/>
        </w:rPr>
        <w:t>限用条件低的服务</w:t>
      </w:r>
    </w:p>
    <w:p w:rsidR="00000000" w:rsidRDefault="00000000">
      <w:pPr>
        <w:numPr>
          <w:ilvl w:val="0"/>
          <w:numId w:val="194"/>
        </w:numPr>
        <w:rPr>
          <w:rFonts w:hint="eastAsia"/>
        </w:rPr>
      </w:pPr>
      <w:r>
        <w:rPr>
          <w:rFonts w:hint="eastAsia"/>
        </w:rPr>
        <w:t>街头推广方案</w:t>
      </w:r>
    </w:p>
    <w:p w:rsidR="00000000" w:rsidRDefault="00000000">
      <w:pPr>
        <w:numPr>
          <w:ilvl w:val="0"/>
          <w:numId w:val="194"/>
        </w:numPr>
        <w:rPr>
          <w:rFonts w:hint="eastAsia"/>
        </w:rPr>
      </w:pPr>
      <w:r>
        <w:rPr>
          <w:rFonts w:hint="eastAsia"/>
        </w:rPr>
        <w:t>旧针换新针流动服务</w:t>
      </w:r>
      <w:r>
        <w:rPr>
          <w:rFonts w:hint="eastAsia"/>
        </w:rPr>
        <w:t>(</w:t>
      </w:r>
      <w:r>
        <w:rPr>
          <w:rFonts w:hint="eastAsia"/>
        </w:rPr>
        <w:t>公共汽车</w:t>
      </w:r>
      <w:r>
        <w:rPr>
          <w:rFonts w:hint="eastAsia"/>
        </w:rPr>
        <w:t>)</w:t>
      </w:r>
    </w:p>
    <w:p w:rsidR="00000000" w:rsidRDefault="00000000">
      <w:pPr>
        <w:numPr>
          <w:ilvl w:val="0"/>
          <w:numId w:val="194"/>
        </w:numPr>
        <w:rPr>
          <w:rFonts w:hint="eastAsia"/>
        </w:rPr>
      </w:pPr>
      <w:r>
        <w:rPr>
          <w:rFonts w:hint="eastAsia"/>
        </w:rPr>
        <w:t>自动换针机</w:t>
      </w:r>
    </w:p>
    <w:p w:rsidR="00000000" w:rsidRDefault="00000000">
      <w:pPr>
        <w:numPr>
          <w:ilvl w:val="0"/>
          <w:numId w:val="194"/>
        </w:numPr>
        <w:rPr>
          <w:rFonts w:hint="eastAsia"/>
        </w:rPr>
      </w:pPr>
      <w:r>
        <w:rPr>
          <w:rFonts w:hint="eastAsia"/>
        </w:rPr>
        <w:t>药房换针方案</w:t>
      </w:r>
    </w:p>
    <w:p w:rsidR="00000000" w:rsidRDefault="00000000">
      <w:pPr>
        <w:ind w:firstLine="510"/>
        <w:rPr>
          <w:rFonts w:hint="eastAsia"/>
        </w:rPr>
      </w:pPr>
      <w:r>
        <w:rPr>
          <w:rFonts w:hint="eastAsia"/>
        </w:rPr>
        <w:t xml:space="preserve">548.  </w:t>
      </w:r>
      <w:r>
        <w:rPr>
          <w:rFonts w:hint="eastAsia"/>
        </w:rPr>
        <w:t>迄今为止，五级方案已实施了前四级。作为一种试验，第一个街头自动换针机最初于</w:t>
      </w:r>
      <w:r>
        <w:rPr>
          <w:rFonts w:hint="eastAsia"/>
        </w:rPr>
        <w:t>2003</w:t>
      </w:r>
      <w:r>
        <w:rPr>
          <w:rFonts w:hint="eastAsia"/>
        </w:rPr>
        <w:t>年</w:t>
      </w:r>
      <w:r>
        <w:rPr>
          <w:rFonts w:hint="eastAsia"/>
        </w:rPr>
        <w:t>8</w:t>
      </w:r>
      <w:r>
        <w:rPr>
          <w:rFonts w:hint="eastAsia"/>
        </w:rPr>
        <w:t>月</w:t>
      </w:r>
      <w:r>
        <w:rPr>
          <w:rFonts w:hint="eastAsia"/>
        </w:rPr>
        <w:t>25</w:t>
      </w:r>
      <w:r>
        <w:rPr>
          <w:rFonts w:hint="eastAsia"/>
        </w:rPr>
        <w:t>日开始运转。计划还将设立更多的自动换针机。</w:t>
      </w:r>
    </w:p>
    <w:p w:rsidR="00000000" w:rsidRDefault="00000000">
      <w:pPr>
        <w:ind w:firstLine="510"/>
        <w:rPr>
          <w:rFonts w:hint="eastAsia"/>
        </w:rPr>
      </w:pPr>
      <w:r>
        <w:rPr>
          <w:rFonts w:hint="eastAsia"/>
        </w:rPr>
        <w:t xml:space="preserve">549.  </w:t>
      </w:r>
      <w:r>
        <w:rPr>
          <w:rFonts w:hint="eastAsia"/>
        </w:rPr>
        <w:t>按照文化和教育部第</w:t>
      </w:r>
      <w:r>
        <w:rPr>
          <w:rFonts w:hint="eastAsia"/>
        </w:rPr>
        <w:t>11/1994(VI</w:t>
      </w:r>
      <w:r>
        <w:t>.</w:t>
      </w:r>
      <w:r>
        <w:rPr>
          <w:rFonts w:hint="eastAsia"/>
        </w:rPr>
        <w:t>8.)</w:t>
      </w:r>
      <w:r>
        <w:rPr>
          <w:rFonts w:hint="eastAsia"/>
        </w:rPr>
        <w:t>号政令第</w:t>
      </w:r>
      <w:r>
        <w:rPr>
          <w:rFonts w:hint="eastAsia"/>
        </w:rPr>
        <w:t>6</w:t>
      </w:r>
      <w:r>
        <w:rPr>
          <w:rFonts w:hint="eastAsia"/>
        </w:rPr>
        <w:t>段，学校应有专业人员从事儿童和青年的保护工作。专业人员帮助拟订包括防止吸毒在内的健康教育方案。该政令禁止出售和消费不健康产品。按照第</w:t>
      </w:r>
      <w:r>
        <w:rPr>
          <w:rFonts w:hint="eastAsia"/>
        </w:rPr>
        <w:t>6B</w:t>
      </w:r>
      <w:r>
        <w:rPr>
          <w:rFonts w:hint="eastAsia"/>
        </w:rPr>
        <w:t>段，业余组织者也帮助开展药物成隐预防工作，帮助已经戒隐的学生重返校园。</w:t>
      </w:r>
    </w:p>
    <w:p w:rsidR="00000000" w:rsidRDefault="00000000">
      <w:pPr>
        <w:ind w:firstLine="510"/>
        <w:rPr>
          <w:rFonts w:hint="eastAsia"/>
        </w:rPr>
      </w:pPr>
      <w:r>
        <w:rPr>
          <w:rFonts w:hint="eastAsia"/>
        </w:rPr>
        <w:t xml:space="preserve">550.  </w:t>
      </w:r>
      <w:r>
        <w:rPr>
          <w:rFonts w:hint="eastAsia"/>
        </w:rPr>
        <w:t>关于防止传染病和流行病的流行病学措施的《福利部第</w:t>
      </w:r>
      <w:r>
        <w:rPr>
          <w:rFonts w:hint="eastAsia"/>
        </w:rPr>
        <w:t>18/1998(VI</w:t>
      </w:r>
      <w:r>
        <w:t>.</w:t>
      </w:r>
      <w:r>
        <w:rPr>
          <w:rFonts w:hint="eastAsia"/>
        </w:rPr>
        <w:t>3.)</w:t>
      </w:r>
      <w:r>
        <w:rPr>
          <w:rFonts w:hint="eastAsia"/>
        </w:rPr>
        <w:t>号部长令》第</w:t>
      </w:r>
      <w:r>
        <w:rPr>
          <w:rFonts w:hint="eastAsia"/>
        </w:rPr>
        <w:t>20</w:t>
      </w:r>
      <w:r>
        <w:rPr>
          <w:rFonts w:hint="eastAsia"/>
        </w:rPr>
        <w:t>至</w:t>
      </w:r>
      <w:r>
        <w:rPr>
          <w:rFonts w:hint="eastAsia"/>
        </w:rPr>
        <w:t>21</w:t>
      </w:r>
      <w:r>
        <w:rPr>
          <w:rFonts w:hint="eastAsia"/>
        </w:rPr>
        <w:t>段，涉及的是</w:t>
      </w:r>
      <w:r>
        <w:rPr>
          <w:rFonts w:hint="eastAsia"/>
          <w:b/>
          <w:bCs/>
        </w:rPr>
        <w:t>防止性传播疾病</w:t>
      </w:r>
      <w:r>
        <w:rPr>
          <w:rFonts w:hint="eastAsia"/>
        </w:rPr>
        <w:t>和感染该疾病时所应遵循的程序问题。按照该法规，国家皮肤病学和性传播病理学研究所和皮肤病和性传播疾病治疗研究所有权对这类传染病患者进行跟踪和治疗。统计资料表明，在过去</w:t>
      </w:r>
      <w:r>
        <w:rPr>
          <w:rFonts w:hint="eastAsia"/>
        </w:rPr>
        <w:t>10</w:t>
      </w:r>
      <w:r>
        <w:rPr>
          <w:rFonts w:hint="eastAsia"/>
        </w:rPr>
        <w:t>年中，匈牙利有案可查的梅毒病例不到</w:t>
      </w:r>
      <w:r>
        <w:rPr>
          <w:rFonts w:hint="eastAsia"/>
        </w:rPr>
        <w:t>1,000</w:t>
      </w:r>
      <w:r>
        <w:rPr>
          <w:rFonts w:hint="eastAsia"/>
        </w:rPr>
        <w:t>例，淋病为</w:t>
      </w:r>
      <w:r>
        <w:rPr>
          <w:rFonts w:hint="eastAsia"/>
        </w:rPr>
        <w:t>1,200</w:t>
      </w:r>
      <w:r>
        <w:rPr>
          <w:rFonts w:hint="eastAsia"/>
        </w:rPr>
        <w:t>至</w:t>
      </w:r>
      <w:r>
        <w:rPr>
          <w:rFonts w:hint="eastAsia"/>
        </w:rPr>
        <w:t>5,000</w:t>
      </w:r>
      <w:r>
        <w:rPr>
          <w:rFonts w:hint="eastAsia"/>
        </w:rPr>
        <w:t>例。根据该法规，对于接到性传染疾病治疗机构的通知后未自动前往就诊的人，国家公共卫生和医务官员服务局可下令要求其接受治疗。</w:t>
      </w:r>
    </w:p>
    <w:p w:rsidR="00000000" w:rsidRDefault="00000000">
      <w:pPr>
        <w:spacing w:after="320"/>
        <w:ind w:firstLine="510"/>
        <w:rPr>
          <w:rFonts w:hint="eastAsia"/>
        </w:rPr>
      </w:pPr>
      <w:r>
        <w:rPr>
          <w:rFonts w:hint="eastAsia"/>
        </w:rPr>
        <w:t xml:space="preserve">551.  </w:t>
      </w:r>
      <w:r>
        <w:rPr>
          <w:rFonts w:hint="eastAsia"/>
        </w:rPr>
        <w:t>国家卫生宣传协会和国家艾滋病委员会作为部属机构开展活动，专门针对居民和不同群体的居民开展卫生教育工作。它们还利用通过投标获得的预算资金，协调在这一领域中活动的非政府组织的工作。</w:t>
      </w:r>
    </w:p>
    <w:p w:rsidR="00000000" w:rsidRDefault="00000000">
      <w:pPr>
        <w:pStyle w:val="Heading3"/>
        <w:rPr>
          <w:rFonts w:hint="eastAsia"/>
        </w:rPr>
      </w:pPr>
      <w:r>
        <w:rPr>
          <w:rFonts w:hint="eastAsia"/>
        </w:rPr>
        <w:t>某些弱势群体的卫生状况</w:t>
      </w:r>
    </w:p>
    <w:p w:rsidR="00000000" w:rsidRDefault="00000000">
      <w:pPr>
        <w:ind w:firstLine="510"/>
        <w:rPr>
          <w:rFonts w:hint="eastAsia"/>
        </w:rPr>
      </w:pPr>
      <w:r>
        <w:rPr>
          <w:rFonts w:hint="eastAsia"/>
        </w:rPr>
        <w:t xml:space="preserve">552.  </w:t>
      </w:r>
      <w:r>
        <w:rPr>
          <w:rFonts w:hint="eastAsia"/>
        </w:rPr>
        <w:t>在“</w:t>
      </w:r>
      <w:r>
        <w:t>Johan Bela</w:t>
      </w:r>
      <w:r>
        <w:rPr>
          <w:rFonts w:hint="eastAsia"/>
        </w:rPr>
        <w:t>”国家卫生十年方案下的次级项目“</w:t>
      </w:r>
      <w:r>
        <w:rPr>
          <w:rFonts w:ascii="Time New Roman" w:eastAsia="SimHei" w:hAnsi="Time New Roman" w:hint="eastAsia"/>
        </w:rPr>
        <w:t>健康机会平等</w:t>
      </w:r>
      <w:r>
        <w:rPr>
          <w:rFonts w:hint="eastAsia"/>
        </w:rPr>
        <w:t>”，着重点是保护处于劣势的个人和群体的健康问题：</w:t>
      </w:r>
    </w:p>
    <w:p w:rsidR="00000000" w:rsidRDefault="00000000">
      <w:pPr>
        <w:pStyle w:val="a0"/>
        <w:ind w:left="1550"/>
        <w:rPr>
          <w:rFonts w:hint="eastAsia"/>
        </w:rPr>
      </w:pPr>
      <w:r>
        <w:rPr>
          <w:rFonts w:hint="eastAsia"/>
        </w:rPr>
        <w:t>短期内减少、最终消除致使被排斥于社会之外的社会群体健康状况大大差于主流社会这一现象背后的原因。</w:t>
      </w:r>
    </w:p>
    <w:p w:rsidR="00000000" w:rsidRDefault="00000000">
      <w:pPr>
        <w:pStyle w:val="a0"/>
        <w:ind w:left="1550"/>
        <w:rPr>
          <w:rFonts w:hint="eastAsia"/>
        </w:rPr>
      </w:pPr>
      <w:r>
        <w:rPr>
          <w:rFonts w:hint="eastAsia"/>
        </w:rPr>
        <w:t>确保受排斥的社会群体无歧视地享有保健制度、获得保健服务，以及纳入预防性方案。</w:t>
      </w:r>
    </w:p>
    <w:p w:rsidR="00000000" w:rsidRDefault="00000000">
      <w:pPr>
        <w:pStyle w:val="a0"/>
        <w:ind w:left="1550"/>
        <w:rPr>
          <w:rFonts w:hint="eastAsia"/>
        </w:rPr>
      </w:pPr>
      <w:r>
        <w:rPr>
          <w:rFonts w:hint="eastAsia"/>
        </w:rPr>
        <w:t>消除保健系统中专业人员中引发歧视行为的偏见，并消除导致歧视的其他原因。</w:t>
      </w:r>
    </w:p>
    <w:p w:rsidR="00000000" w:rsidRDefault="00000000">
      <w:pPr>
        <w:pStyle w:val="a0"/>
        <w:ind w:left="1550"/>
        <w:rPr>
          <w:rFonts w:hint="eastAsia"/>
        </w:rPr>
      </w:pPr>
      <w:r>
        <w:rPr>
          <w:rFonts w:hint="eastAsia"/>
        </w:rPr>
        <w:t>补充本科生和研究生保健教育内容，增添有关社会受排斥群体、主要是罗姆人的卫生状况、社会经济地位和文化特点的信息，开展加强差异容忍程度的训练班。开展受排斥社会群体健康检查和检查后的保健工作。</w:t>
      </w:r>
    </w:p>
    <w:p w:rsidR="00000000" w:rsidRDefault="00000000">
      <w:pPr>
        <w:ind w:firstLine="510"/>
        <w:rPr>
          <w:rFonts w:hint="eastAsia"/>
        </w:rPr>
      </w:pPr>
      <w:r>
        <w:rPr>
          <w:rFonts w:hint="eastAsia"/>
        </w:rPr>
        <w:t xml:space="preserve">553.  </w:t>
      </w:r>
      <w:r>
        <w:rPr>
          <w:rFonts w:hint="eastAsia"/>
        </w:rPr>
        <w:t>在国家卫生十年方案框架下，改善和保护老年人健康状况的次级项目采取了种种措施，其中包括改进老人医学训练，状况分析之后拟订一个行动方案，以了解老年人的健康状况和与福利有关的需要，以及开始建立一个“非专业上门护理网”。</w:t>
      </w:r>
    </w:p>
    <w:p w:rsidR="00000000" w:rsidRDefault="00000000">
      <w:pPr>
        <w:ind w:firstLine="510"/>
        <w:rPr>
          <w:rFonts w:hint="eastAsia"/>
        </w:rPr>
      </w:pPr>
      <w:r>
        <w:rPr>
          <w:rFonts w:hint="eastAsia"/>
        </w:rPr>
        <w:t xml:space="preserve">554.  </w:t>
      </w:r>
      <w:r>
        <w:rPr>
          <w:rFonts w:hint="eastAsia"/>
        </w:rPr>
        <w:t>在匈牙利，无家可归者是指在恶劣的物质和体质条件下生活的群体。由于经济状况极差，其结果之一就是这一群体人的健康状况十分糟糕。卫生部利用所提供的福利资金，建立了一个初级保健医师网络，专门为这一群体提供服务。该网络通过订立不同合约维持运作。由于布达佩斯的无家可归者人数重多，其医疗工作就具有典型性，但所有州市都设有类似的初级保健服务机构。它们所登记的病例转送至有关机构，对其作出适当审查。根据这一群体独特的特点，马耳他慈善服务处协助设立了流动检查设施，除了提供其他帮助外，还用于跟踪问题病例。</w:t>
      </w:r>
    </w:p>
    <w:p w:rsidR="00000000" w:rsidRDefault="00000000">
      <w:pPr>
        <w:ind w:firstLine="510"/>
        <w:rPr>
          <w:rFonts w:hint="eastAsia"/>
        </w:rPr>
      </w:pPr>
      <w:r>
        <w:rPr>
          <w:rFonts w:hint="eastAsia"/>
        </w:rPr>
        <w:t xml:space="preserve">555.  </w:t>
      </w:r>
      <w:r>
        <w:rPr>
          <w:rFonts w:hint="eastAsia"/>
        </w:rPr>
        <w:t>《福利部</w:t>
      </w:r>
      <w:r>
        <w:rPr>
          <w:rFonts w:hint="eastAsia"/>
        </w:rPr>
        <w:t>1998</w:t>
      </w:r>
      <w:r>
        <w:rPr>
          <w:rFonts w:hint="eastAsia"/>
        </w:rPr>
        <w:t>年第</w:t>
      </w:r>
      <w:r>
        <w:rPr>
          <w:rFonts w:hint="eastAsia"/>
        </w:rPr>
        <w:t>18(VI</w:t>
      </w:r>
      <w:r>
        <w:t>.</w:t>
      </w:r>
      <w:r>
        <w:rPr>
          <w:rFonts w:hint="eastAsia"/>
        </w:rPr>
        <w:t>3)</w:t>
      </w:r>
      <w:r>
        <w:rPr>
          <w:rFonts w:hint="eastAsia"/>
        </w:rPr>
        <w:t>号部长令》明确规定住院设施必须安装消毒浴室，以防止因此原因拒绝收治有困难的患者。对于护理和享有获得护理的机会问题，必须按照《健康法令》和健康保险规定加以解决。基金会在解决这一社会阶层的保健问题方面也发挥了重要作用。</w:t>
      </w:r>
    </w:p>
    <w:p w:rsidR="00000000" w:rsidRDefault="00000000">
      <w:pPr>
        <w:spacing w:after="320"/>
        <w:ind w:firstLine="510"/>
        <w:rPr>
          <w:rFonts w:hint="eastAsia"/>
        </w:rPr>
      </w:pPr>
      <w:r>
        <w:rPr>
          <w:rFonts w:hint="eastAsia"/>
        </w:rPr>
        <w:t xml:space="preserve">556.  </w:t>
      </w:r>
      <w:r>
        <w:rPr>
          <w:rFonts w:hint="eastAsia"/>
        </w:rPr>
        <w:t>除了无家可归者以外，</w:t>
      </w:r>
      <w:r>
        <w:rPr>
          <w:rFonts w:hint="eastAsia"/>
          <w:u w:val="single"/>
        </w:rPr>
        <w:t>长期失业者和生活所在地远离医疗设施的人</w:t>
      </w:r>
      <w:r>
        <w:rPr>
          <w:rFonts w:hint="eastAsia"/>
        </w:rPr>
        <w:t>，如偏僻农庄的村民，他们的健康状况也处于不利境地。</w:t>
      </w:r>
    </w:p>
    <w:p w:rsidR="00000000" w:rsidRDefault="00000000">
      <w:pPr>
        <w:pStyle w:val="Heading4"/>
        <w:rPr>
          <w:rFonts w:eastAsia="KaiTi_GB2312" w:hint="eastAsia"/>
          <w:snapToGrid/>
          <w:spacing w:val="0"/>
          <w:u w:val="none"/>
          <w:lang w:val="fr-FR"/>
        </w:rPr>
      </w:pPr>
      <w:r>
        <w:rPr>
          <w:rFonts w:eastAsia="KaiTi_GB2312"/>
          <w:snapToGrid/>
          <w:spacing w:val="0"/>
          <w:u w:val="none"/>
          <w:lang w:val="fr-FR"/>
        </w:rPr>
        <w:tab/>
      </w:r>
      <w:r>
        <w:rPr>
          <w:rFonts w:eastAsia="KaiTi_GB2312" w:hint="eastAsia"/>
          <w:snapToGrid/>
          <w:spacing w:val="0"/>
          <w:u w:val="none"/>
          <w:lang w:val="fr-FR"/>
        </w:rPr>
        <w:t>罗姆人的健康状况</w:t>
      </w:r>
    </w:p>
    <w:p w:rsidR="00000000" w:rsidRDefault="00000000">
      <w:pPr>
        <w:ind w:firstLine="510"/>
        <w:rPr>
          <w:rFonts w:hint="eastAsia"/>
        </w:rPr>
      </w:pPr>
      <w:r>
        <w:rPr>
          <w:rFonts w:hint="eastAsia"/>
        </w:rPr>
        <w:t xml:space="preserve">557.  </w:t>
      </w:r>
      <w:r>
        <w:rPr>
          <w:rFonts w:hint="eastAsia"/>
        </w:rPr>
        <w:t>有多种因素对罗姆人的健康状况产生不利的影响，因而罗姆人的预期寿命比非罗姆人预期寿命短</w:t>
      </w:r>
      <w:r>
        <w:rPr>
          <w:rFonts w:hint="eastAsia"/>
        </w:rPr>
        <w:t>10</w:t>
      </w:r>
      <w:r>
        <w:rPr>
          <w:rFonts w:hint="eastAsia"/>
        </w:rPr>
        <w:t>年以上：平均而言，与大多数社会成员相比，罗姆男人寿命短</w:t>
      </w:r>
      <w:r>
        <w:rPr>
          <w:rFonts w:hint="eastAsia"/>
        </w:rPr>
        <w:t>12.5</w:t>
      </w:r>
      <w:r>
        <w:rPr>
          <w:rFonts w:hint="eastAsia"/>
        </w:rPr>
        <w:t>年，罗姆妇女短</w:t>
      </w:r>
      <w:r>
        <w:rPr>
          <w:rFonts w:hint="eastAsia"/>
        </w:rPr>
        <w:t>11.5</w:t>
      </w:r>
      <w:r>
        <w:rPr>
          <w:rFonts w:hint="eastAsia"/>
        </w:rPr>
        <w:t>年。这一群体的新生儿死亡率大约为全国平均水平的两倍，其程度之高令人担忧。改善罗姆人的健康状况，是极其重要的一项目标。在这方面，增强预防性检查和护理保健服务的效率，具有至关重要的意义。</w:t>
      </w:r>
    </w:p>
    <w:p w:rsidR="00000000" w:rsidRDefault="00000000">
      <w:pPr>
        <w:ind w:firstLine="510"/>
        <w:rPr>
          <w:rFonts w:hint="eastAsia"/>
        </w:rPr>
      </w:pPr>
      <w:r>
        <w:rPr>
          <w:rFonts w:hint="eastAsia"/>
        </w:rPr>
        <w:t xml:space="preserve">558.  </w:t>
      </w:r>
      <w:r>
        <w:rPr>
          <w:rFonts w:hint="eastAsia"/>
        </w:rPr>
        <w:t>自</w:t>
      </w:r>
      <w:r>
        <w:rPr>
          <w:rFonts w:hint="eastAsia"/>
        </w:rPr>
        <w:t>1990</w:t>
      </w:r>
      <w:r>
        <w:rPr>
          <w:rFonts w:hint="eastAsia"/>
        </w:rPr>
        <w:t>年代中期以来，后几届政府均采取了措施，着手全面解决罗姆人的困难处境问题。目前所采取的是第三套中期措施，目的在于提高罗姆人的生活标准和社会地位</w:t>
      </w:r>
      <w:r>
        <w:rPr>
          <w:rFonts w:hint="eastAsia"/>
        </w:rPr>
        <w:t>(</w:t>
      </w:r>
      <w:r>
        <w:rPr>
          <w:rFonts w:hint="eastAsia"/>
        </w:rPr>
        <w:t>第</w:t>
      </w:r>
      <w:r>
        <w:rPr>
          <w:rFonts w:hint="eastAsia"/>
        </w:rPr>
        <w:t>1021/2004</w:t>
      </w:r>
      <w:r>
        <w:rPr>
          <w:rFonts w:hint="eastAsia"/>
        </w:rPr>
        <w:t>号政府政令</w:t>
      </w:r>
      <w:r>
        <w:rPr>
          <w:rFonts w:hint="eastAsia"/>
        </w:rPr>
        <w:t>)</w:t>
      </w:r>
      <w:r>
        <w:rPr>
          <w:rFonts w:hint="eastAsia"/>
        </w:rPr>
        <w:t>，它为各主管部委提供了行动框架。卫生部希望改进和推动罗姆族人专业人员的保健培训，促进拟订和开设多文化课程，以加强不带偏见或歧视的态度和做法，并使之与医学院和其他保健训练机构的本科学位和研究生课程接轨。我们的目标是，为学生编制不同层次保健工作的培训课程，唤醒和</w:t>
      </w:r>
      <w:r>
        <w:rPr>
          <w:rFonts w:hint="eastAsia"/>
        </w:rPr>
        <w:t>(</w:t>
      </w:r>
      <w:r>
        <w:rPr>
          <w:rFonts w:hint="eastAsia"/>
        </w:rPr>
        <w:t>或</w:t>
      </w:r>
      <w:r>
        <w:rPr>
          <w:rFonts w:hint="eastAsia"/>
        </w:rPr>
        <w:t>)</w:t>
      </w:r>
      <w:r>
        <w:rPr>
          <w:rFonts w:hint="eastAsia"/>
        </w:rPr>
        <w:t>增强社会和学生对其他文化的敏感认识和开放态度。</w:t>
      </w:r>
    </w:p>
    <w:p w:rsidR="00000000" w:rsidRDefault="00000000">
      <w:pPr>
        <w:ind w:firstLine="510"/>
        <w:rPr>
          <w:rFonts w:hint="eastAsia"/>
        </w:rPr>
      </w:pPr>
      <w:r>
        <w:rPr>
          <w:rFonts w:hint="eastAsia"/>
        </w:rPr>
        <w:t xml:space="preserve">559.  </w:t>
      </w:r>
      <w:r>
        <w:rPr>
          <w:rFonts w:hint="eastAsia"/>
        </w:rPr>
        <w:t>最近所采取的措施包括以下几个方面：</w:t>
      </w:r>
    </w:p>
    <w:p w:rsidR="00000000" w:rsidRDefault="00000000">
      <w:pPr>
        <w:pStyle w:val="a"/>
        <w:ind w:left="1550"/>
        <w:rPr>
          <w:rFonts w:hint="eastAsia"/>
        </w:rPr>
      </w:pPr>
      <w:r>
        <w:rPr>
          <w:rFonts w:hint="eastAsia"/>
        </w:rPr>
        <w:t>国家基础保健研究所开设和举办了所谓的罗姆人保健助理学习班。该方案对罗姆族人开展保健技能训练。作为积极反馈的结果，训练内容增添了社会工作基本技能部分，目前该课程被称为对</w:t>
      </w:r>
      <w:r>
        <w:rPr>
          <w:rFonts w:ascii="Time New Roman" w:eastAsia="SimHei" w:hAnsi="Time New Roman" w:hint="eastAsia"/>
        </w:rPr>
        <w:t>保健调解员</w:t>
      </w:r>
      <w:r>
        <w:rPr>
          <w:rFonts w:hint="eastAsia"/>
        </w:rPr>
        <w:t>的培训。</w:t>
      </w:r>
    </w:p>
    <w:p w:rsidR="00000000" w:rsidRDefault="00000000">
      <w:pPr>
        <w:pStyle w:val="a"/>
        <w:ind w:left="1550"/>
        <w:rPr>
          <w:rFonts w:hint="eastAsia"/>
        </w:rPr>
      </w:pPr>
      <w:r>
        <w:rPr>
          <w:rFonts w:hint="eastAsia"/>
        </w:rPr>
        <w:t>在增强获得保健服务机会方面，特别重视</w:t>
      </w:r>
      <w:r>
        <w:rPr>
          <w:rFonts w:ascii="Time New Roman" w:eastAsia="SimHei" w:hAnsi="Time New Roman" w:hint="eastAsia"/>
        </w:rPr>
        <w:t>管片护士</w:t>
      </w:r>
      <w:r>
        <w:rPr>
          <w:rFonts w:hint="eastAsia"/>
        </w:rPr>
        <w:t>问题。管片护士通过上门提供照料服务，不仅了解了罗姆人的生活方式和他们的卫生条件，而且还便于有效地向更多的家庭传播信息，并努力说服尽可能多的人利用有关的保健服务。在罗姆族开业医生的参与下，卫生部为上门保健员</w:t>
      </w:r>
      <w:r>
        <w:rPr>
          <w:rFonts w:hint="eastAsia"/>
        </w:rPr>
        <w:t>(</w:t>
      </w:r>
      <w:r>
        <w:rPr>
          <w:rFonts w:hint="eastAsia"/>
        </w:rPr>
        <w:t>母婴保健护士</w:t>
      </w:r>
      <w:r>
        <w:rPr>
          <w:rFonts w:hint="eastAsia"/>
        </w:rPr>
        <w:t>)</w:t>
      </w:r>
      <w:r>
        <w:rPr>
          <w:rFonts w:hint="eastAsia"/>
        </w:rPr>
        <w:t>和初级保健工作人员举办培训活动。</w:t>
      </w:r>
    </w:p>
    <w:p w:rsidR="00000000" w:rsidRDefault="00000000">
      <w:pPr>
        <w:pStyle w:val="a"/>
        <w:ind w:left="1550"/>
        <w:rPr>
          <w:rFonts w:hint="eastAsia"/>
        </w:rPr>
      </w:pPr>
      <w:r>
        <w:rPr>
          <w:rFonts w:hint="eastAsia"/>
        </w:rPr>
        <w:t>卫生部支助与罗姆人聚居地和保健专业人员对罗姆人的态度有关的若干研究项目</w:t>
      </w:r>
      <w:r>
        <w:rPr>
          <w:rFonts w:hint="eastAsia"/>
        </w:rPr>
        <w:t>(</w:t>
      </w:r>
      <w:r>
        <w:rPr>
          <w:rFonts w:hint="eastAsia"/>
        </w:rPr>
        <w:t>比如：“家庭医生揭示基本保健供应中差别待遇和机制问题的典型研究”；“罗姆人与社会供应制度两者关系中的歧视性结构：罗姆人获得社会供应的机会不平等”；“罗姆人少女妈妈的社会状况与社会供应制度”</w:t>
      </w:r>
      <w:r>
        <w:rPr>
          <w:rFonts w:hint="eastAsia"/>
        </w:rPr>
        <w:t>)</w:t>
      </w:r>
      <w:r>
        <w:rPr>
          <w:rFonts w:hint="eastAsia"/>
        </w:rPr>
        <w:t>。</w:t>
      </w:r>
    </w:p>
    <w:p w:rsidR="00000000" w:rsidRDefault="00000000">
      <w:pPr>
        <w:pStyle w:val="a"/>
        <w:ind w:left="1550"/>
        <w:rPr>
          <w:rFonts w:hint="eastAsia"/>
        </w:rPr>
      </w:pPr>
      <w:r>
        <w:rPr>
          <w:rFonts w:hint="eastAsia"/>
        </w:rPr>
        <w:t>在五家医院实施了“</w:t>
      </w:r>
      <w:r>
        <w:rPr>
          <w:rFonts w:ascii="Time New Roman" w:eastAsia="SimHei" w:hAnsi="Time New Roman" w:hint="eastAsia"/>
        </w:rPr>
        <w:t>宽容促卫生</w:t>
      </w:r>
      <w:r>
        <w:rPr>
          <w:rFonts w:hint="eastAsia"/>
        </w:rPr>
        <w:t>”方案，目标也是增进获得保健服务的机会，重点解决罗姆人的特定问题。</w:t>
      </w:r>
    </w:p>
    <w:p w:rsidR="00000000" w:rsidRDefault="00000000">
      <w:pPr>
        <w:pStyle w:val="a"/>
        <w:ind w:left="1550"/>
        <w:rPr>
          <w:rFonts w:hint="eastAsia"/>
        </w:rPr>
      </w:pPr>
      <w:r>
        <w:rPr>
          <w:rFonts w:hint="eastAsia"/>
        </w:rPr>
        <w:t>卫生部还通过招标方式鼓励发展罗姆人的卫生事业。</w:t>
      </w:r>
      <w:r>
        <w:rPr>
          <w:rFonts w:hint="eastAsia"/>
        </w:rPr>
        <w:t>2003</w:t>
      </w:r>
      <w:r>
        <w:rPr>
          <w:rFonts w:hint="eastAsia"/>
        </w:rPr>
        <w:t>年，为</w:t>
      </w:r>
      <w:r>
        <w:rPr>
          <w:rFonts w:hint="eastAsia"/>
          <w:b/>
          <w:bCs/>
        </w:rPr>
        <w:t>培养</w:t>
      </w:r>
      <w:r>
        <w:rPr>
          <w:rFonts w:hint="eastAsia"/>
        </w:rPr>
        <w:t>劣势人群的</w:t>
      </w:r>
      <w:r>
        <w:rPr>
          <w:rFonts w:hint="eastAsia"/>
          <w:b/>
          <w:bCs/>
        </w:rPr>
        <w:t>计划生育技能</w:t>
      </w:r>
      <w:r>
        <w:rPr>
          <w:rFonts w:hint="eastAsia"/>
        </w:rPr>
        <w:t>，进行了一次招标活动。中标者承诺通过举办俱乐部会议、计划生育讲座，组织露营活动，培养罗姆人、主要是罗姆青年人的计划生育技能。</w:t>
      </w:r>
    </w:p>
    <w:p w:rsidR="00000000" w:rsidRDefault="00000000">
      <w:pPr>
        <w:ind w:firstLine="510"/>
        <w:rPr>
          <w:rFonts w:hint="eastAsia"/>
        </w:rPr>
      </w:pPr>
      <w:r>
        <w:rPr>
          <w:rFonts w:hint="eastAsia"/>
        </w:rPr>
        <w:t xml:space="preserve">560.  </w:t>
      </w:r>
      <w:r>
        <w:rPr>
          <w:rFonts w:hint="eastAsia"/>
        </w:rPr>
        <w:t>在《“</w:t>
      </w:r>
      <w:r>
        <w:t>Béla Johan</w:t>
      </w:r>
      <w:r>
        <w:rPr>
          <w:rFonts w:hint="eastAsia"/>
        </w:rPr>
        <w:t>”国家卫生十年方案》的框架下，正在执行的主要方案是：</w:t>
      </w:r>
    </w:p>
    <w:p w:rsidR="00000000" w:rsidRDefault="00000000">
      <w:pPr>
        <w:numPr>
          <w:ilvl w:val="0"/>
          <w:numId w:val="195"/>
        </w:numPr>
        <w:tabs>
          <w:tab w:val="clear" w:pos="1247"/>
          <w:tab w:val="num" w:pos="1507"/>
        </w:tabs>
        <w:ind w:left="1507"/>
        <w:rPr>
          <w:rFonts w:hint="eastAsia"/>
        </w:rPr>
      </w:pPr>
      <w:r>
        <w:rPr>
          <w:rFonts w:ascii="Time New Roman" w:eastAsia="SimHei" w:hAnsi="Time New Roman" w:hint="eastAsia"/>
        </w:rPr>
        <w:t>对罗姆人的卫生条件的研究</w:t>
      </w:r>
      <w:r>
        <w:rPr>
          <w:rFonts w:hint="eastAsia"/>
        </w:rPr>
        <w:t>。已委托有关单位开展四项补充性的特定学科研究：</w:t>
      </w:r>
    </w:p>
    <w:p w:rsidR="00000000" w:rsidRDefault="00000000">
      <w:pPr>
        <w:pStyle w:val="a0"/>
        <w:tabs>
          <w:tab w:val="num" w:pos="2070"/>
        </w:tabs>
        <w:ind w:left="2070"/>
        <w:rPr>
          <w:rFonts w:hint="eastAsia"/>
        </w:rPr>
      </w:pPr>
      <w:r>
        <w:rPr>
          <w:rFonts w:hint="eastAsia"/>
        </w:rPr>
        <w:t>罗姆儿童被送入精神障碍者专门学校的原因调查</w:t>
      </w:r>
      <w:r>
        <w:rPr>
          <w:rFonts w:hint="eastAsia"/>
        </w:rPr>
        <w:t>[</w:t>
      </w:r>
      <w:r>
        <w:rPr>
          <w:rFonts w:hint="eastAsia"/>
        </w:rPr>
        <w:t>关于使不一定需要进这类专门学校的学生重新融入的措施，见第</w:t>
      </w:r>
      <w:r>
        <w:rPr>
          <w:rFonts w:hint="eastAsia"/>
        </w:rPr>
        <w:t>602-605</w:t>
      </w:r>
      <w:r>
        <w:rPr>
          <w:rFonts w:hint="eastAsia"/>
        </w:rPr>
        <w:t>段</w:t>
      </w:r>
      <w:r>
        <w:rPr>
          <w:rFonts w:hint="eastAsia"/>
        </w:rPr>
        <w:t>]</w:t>
      </w:r>
      <w:r>
        <w:rPr>
          <w:rFonts w:hint="eastAsia"/>
        </w:rPr>
        <w:t>。</w:t>
      </w:r>
    </w:p>
    <w:p w:rsidR="00000000" w:rsidRDefault="00000000">
      <w:pPr>
        <w:pStyle w:val="a0"/>
        <w:tabs>
          <w:tab w:val="num" w:pos="2070"/>
        </w:tabs>
        <w:ind w:left="2070"/>
        <w:rPr>
          <w:rFonts w:hint="eastAsia"/>
        </w:rPr>
      </w:pPr>
      <w:r>
        <w:rPr>
          <w:rFonts w:hint="eastAsia"/>
        </w:rPr>
        <w:t>关于罗姆人与卫生和社会状况之间关系的调查。</w:t>
      </w:r>
    </w:p>
    <w:p w:rsidR="00000000" w:rsidRDefault="00000000">
      <w:pPr>
        <w:pStyle w:val="a0"/>
        <w:tabs>
          <w:tab w:val="num" w:pos="2070"/>
        </w:tabs>
        <w:ind w:left="2070"/>
        <w:rPr>
          <w:rFonts w:hint="eastAsia"/>
        </w:rPr>
      </w:pPr>
      <w:r>
        <w:rPr>
          <w:rFonts w:hint="eastAsia"/>
        </w:rPr>
        <w:t>关于罗姆人与带有歧视性的保健系统各种机制的调查。</w:t>
      </w:r>
    </w:p>
    <w:p w:rsidR="00000000" w:rsidRDefault="00000000">
      <w:pPr>
        <w:pStyle w:val="a0"/>
        <w:tabs>
          <w:tab w:val="num" w:pos="2070"/>
        </w:tabs>
        <w:ind w:left="2070"/>
        <w:rPr>
          <w:rFonts w:hint="eastAsia"/>
        </w:rPr>
      </w:pPr>
      <w:r>
        <w:rPr>
          <w:rFonts w:hint="eastAsia"/>
        </w:rPr>
        <w:t>罗姆人与保健生态关系的研究。</w:t>
      </w:r>
    </w:p>
    <w:p w:rsidR="00000000" w:rsidRDefault="00000000">
      <w:pPr>
        <w:numPr>
          <w:ilvl w:val="0"/>
          <w:numId w:val="195"/>
        </w:numPr>
        <w:tabs>
          <w:tab w:val="clear" w:pos="1247"/>
          <w:tab w:val="num" w:pos="1507"/>
        </w:tabs>
        <w:ind w:left="1507"/>
        <w:rPr>
          <w:rFonts w:hint="eastAsia"/>
        </w:rPr>
      </w:pPr>
      <w:r>
        <w:rPr>
          <w:rFonts w:hint="eastAsia"/>
          <w:b/>
          <w:bCs/>
        </w:rPr>
        <w:tab/>
      </w:r>
      <w:r>
        <w:rPr>
          <w:rFonts w:ascii="Time New Roman" w:eastAsia="SimHei" w:hAnsi="Time New Roman" w:hint="eastAsia"/>
        </w:rPr>
        <w:t>支持改善罗姆人卫生状况的综合保卫生展方案：</w:t>
      </w:r>
      <w:r>
        <w:rPr>
          <w:rFonts w:hint="eastAsia"/>
        </w:rPr>
        <w:t>在六个居住区实施了方案，每个居住区有</w:t>
      </w:r>
      <w:r>
        <w:rPr>
          <w:rFonts w:hint="eastAsia"/>
        </w:rPr>
        <w:t>200</w:t>
      </w:r>
      <w:r>
        <w:rPr>
          <w:rFonts w:hint="eastAsia"/>
        </w:rPr>
        <w:t>至</w:t>
      </w:r>
      <w:r>
        <w:rPr>
          <w:rFonts w:hint="eastAsia"/>
        </w:rPr>
        <w:t>987</w:t>
      </w:r>
      <w:r>
        <w:rPr>
          <w:rFonts w:hint="eastAsia"/>
        </w:rPr>
        <w:t>人参与，直接参与人数总计</w:t>
      </w:r>
      <w:r>
        <w:rPr>
          <w:rFonts w:hint="eastAsia"/>
        </w:rPr>
        <w:t>2,700</w:t>
      </w:r>
      <w:r>
        <w:rPr>
          <w:rFonts w:hint="eastAsia"/>
        </w:rPr>
        <w:t>人。据估计，还有</w:t>
      </w:r>
      <w:r>
        <w:rPr>
          <w:rFonts w:hint="eastAsia"/>
        </w:rPr>
        <w:t>7,720</w:t>
      </w:r>
      <w:r>
        <w:rPr>
          <w:rFonts w:hint="eastAsia"/>
        </w:rPr>
        <w:t>人接受了有关方案的资料宣传。六个方案根据地方需要各有不同的基本概念，关于保健和检查的资料是这些方案的共同要素。目标是，通过这类示范方案培养具有健康意识的行为，将有助于改善罗姆人的健康状况。</w:t>
      </w:r>
    </w:p>
    <w:p w:rsidR="00000000" w:rsidRDefault="00000000">
      <w:pPr>
        <w:numPr>
          <w:ilvl w:val="0"/>
          <w:numId w:val="195"/>
        </w:numPr>
        <w:tabs>
          <w:tab w:val="clear" w:pos="1247"/>
          <w:tab w:val="num" w:pos="1507"/>
        </w:tabs>
        <w:ind w:left="1507"/>
        <w:rPr>
          <w:rFonts w:hint="eastAsia"/>
        </w:rPr>
      </w:pPr>
      <w:r>
        <w:rPr>
          <w:rFonts w:hint="eastAsia"/>
          <w:b/>
          <w:bCs/>
        </w:rPr>
        <w:tab/>
      </w:r>
      <w:r>
        <w:rPr>
          <w:rFonts w:hint="eastAsia"/>
          <w:b/>
          <w:bCs/>
        </w:rPr>
        <w:t>培训：</w:t>
      </w:r>
      <w:r>
        <w:rPr>
          <w:rFonts w:hint="eastAsia"/>
        </w:rPr>
        <w:t>为了增进健康以及利用预防性服务，应当加强地方一级合作，并制定有效合作与支持的方法，从公共卫生的观点来看，预防性服务也具有十分重要的意义。为此目的，在四所高等教育机构</w:t>
      </w:r>
      <w:r>
        <w:rPr>
          <w:rFonts w:hint="eastAsia"/>
        </w:rPr>
        <w:t>(</w:t>
      </w:r>
      <w:r>
        <w:t>Semmelweis</w:t>
      </w:r>
      <w:r>
        <w:rPr>
          <w:rFonts w:hint="eastAsia"/>
        </w:rPr>
        <w:t>大学、</w:t>
      </w:r>
      <w:r>
        <w:t>ELTE Barczi Gusztav</w:t>
      </w:r>
      <w:r>
        <w:rPr>
          <w:rFonts w:hint="eastAsia"/>
        </w:rPr>
        <w:t>、</w:t>
      </w:r>
      <w:r>
        <w:t>Wesley</w:t>
      </w:r>
      <w:r>
        <w:rPr>
          <w:rFonts w:hint="eastAsia"/>
        </w:rPr>
        <w:t>、</w:t>
      </w:r>
      <w:r>
        <w:t>Vitez Janos Romai Katolikus Tanitokepzo</w:t>
      </w:r>
      <w:r>
        <w:rPr>
          <w:rFonts w:hint="eastAsia"/>
        </w:rPr>
        <w:t>)</w:t>
      </w:r>
      <w:r>
        <w:rPr>
          <w:rFonts w:hint="eastAsia"/>
        </w:rPr>
        <w:t>举办了培训班。使学生参与对罗姆人的实地工作以及提供信息，对地方的配合及预防性服务的使用起到推动作用。约两百名学生写出的研讨会论文与罗姆人问题有关，并有</w:t>
      </w:r>
      <w:r>
        <w:rPr>
          <w:rFonts w:hint="eastAsia"/>
        </w:rPr>
        <w:t>194</w:t>
      </w:r>
      <w:r>
        <w:rPr>
          <w:rFonts w:hint="eastAsia"/>
        </w:rPr>
        <w:t>人参加了实地工作。</w:t>
      </w:r>
    </w:p>
    <w:p w:rsidR="00000000" w:rsidRDefault="00000000">
      <w:pPr>
        <w:numPr>
          <w:ilvl w:val="0"/>
          <w:numId w:val="195"/>
        </w:numPr>
        <w:tabs>
          <w:tab w:val="clear" w:pos="1247"/>
          <w:tab w:val="num" w:pos="1507"/>
        </w:tabs>
        <w:spacing w:after="320"/>
        <w:ind w:left="1507"/>
        <w:rPr>
          <w:rFonts w:hint="eastAsia"/>
        </w:rPr>
      </w:pPr>
      <w:r>
        <w:rPr>
          <w:b/>
          <w:bCs/>
        </w:rPr>
        <w:tab/>
      </w:r>
      <w:r>
        <w:rPr>
          <w:rFonts w:ascii="Time New Roman" w:eastAsia="SimHei" w:hAnsi="Time New Roman" w:hint="eastAsia"/>
        </w:rPr>
        <w:t>发展社区保健事业：</w:t>
      </w:r>
      <w:r>
        <w:rPr>
          <w:rFonts w:hint="eastAsia"/>
        </w:rPr>
        <w:t>非政府组织和罗姆人社区中心的工作人员必须作好准备，以合作方式实现健康发展计划。</w:t>
      </w:r>
    </w:p>
    <w:p w:rsidR="00000000" w:rsidRDefault="00000000">
      <w:pPr>
        <w:pStyle w:val="Heading3"/>
        <w:rPr>
          <w:rFonts w:hint="eastAsia"/>
        </w:rPr>
      </w:pPr>
      <w:r>
        <w:rPr>
          <w:rFonts w:hint="eastAsia"/>
        </w:rPr>
        <w:t>为预防健康问题而开展教育</w:t>
      </w:r>
    </w:p>
    <w:p w:rsidR="00000000" w:rsidRDefault="00000000">
      <w:pPr>
        <w:ind w:firstLine="510"/>
        <w:rPr>
          <w:rFonts w:hint="eastAsia"/>
        </w:rPr>
      </w:pPr>
      <w:r>
        <w:rPr>
          <w:rFonts w:hint="eastAsia"/>
        </w:rPr>
        <w:t xml:space="preserve">561.  </w:t>
      </w:r>
      <w:r>
        <w:rPr>
          <w:rFonts w:hint="eastAsia"/>
        </w:rPr>
        <w:t>《卫生法令》、《学校医务法令》和《公共教育法令》确保在公共教育机构中实行强制性医疗服务。医疗服务和信息传播由儿童和青年保护官员以及校外辅导员辅助进行。关于健康保护和健康教育，学校有义务设立校卫生服务处，校健康保护专家的主要职责是开展咨询和卫生教育。《高等教育法令》保证所有学生都享受义务医疗保健</w:t>
      </w:r>
      <w:r>
        <w:rPr>
          <w:rFonts w:hint="eastAsia"/>
        </w:rPr>
        <w:t>(</w:t>
      </w:r>
      <w:r>
        <w:rPr>
          <w:rFonts w:hint="eastAsia"/>
        </w:rPr>
        <w:t>雇员也有保险，但依据不同法规</w:t>
      </w:r>
      <w:r>
        <w:rPr>
          <w:rFonts w:hint="eastAsia"/>
        </w:rPr>
        <w:t>)</w:t>
      </w:r>
      <w:r>
        <w:rPr>
          <w:rFonts w:hint="eastAsia"/>
        </w:rPr>
        <w:t>，中央预算拨款为这些学生支付保健缴款。在所有高等教育机构中都设有保健服务处。</w:t>
      </w:r>
    </w:p>
    <w:p w:rsidR="00000000" w:rsidRDefault="00000000">
      <w:pPr>
        <w:ind w:firstLine="510"/>
        <w:rPr>
          <w:rFonts w:hint="eastAsia"/>
        </w:rPr>
      </w:pPr>
      <w:r>
        <w:rPr>
          <w:rFonts w:hint="eastAsia"/>
        </w:rPr>
        <w:t xml:space="preserve">562.  </w:t>
      </w:r>
      <w:r>
        <w:rPr>
          <w:rFonts w:hint="eastAsia"/>
        </w:rPr>
        <w:t>《国家教育大纲》明确规定学生在学习期间必须获取的健康知识。其中部分知识纳入了普通课程的个别科目，但在健康科学科目下也有涉及。健康科学也是教师培训机构的一个单列主修科目，其任务主要是使学生为健康的生活方式和承担与健康有关的责任作好准备。吸烟和酗酒所造成的问题以及预防性传染疾病，是该方案的组成部分，其中包括宣传和学习必要技能两大部分。在国家卫生十年方案</w:t>
      </w:r>
      <w:r>
        <w:rPr>
          <w:rFonts w:hint="eastAsia"/>
        </w:rPr>
        <w:t>2003</w:t>
      </w:r>
      <w:r>
        <w:rPr>
          <w:rFonts w:hint="eastAsia"/>
        </w:rPr>
        <w:t>年项目下，还开展了一场“安全性行为”宣传运动。</w:t>
      </w:r>
    </w:p>
    <w:p w:rsidR="00000000" w:rsidRDefault="00000000">
      <w:pPr>
        <w:ind w:firstLine="510"/>
        <w:rPr>
          <w:rFonts w:hint="eastAsia"/>
        </w:rPr>
      </w:pPr>
      <w:r>
        <w:rPr>
          <w:rFonts w:hint="eastAsia"/>
        </w:rPr>
        <w:t xml:space="preserve">563.  </w:t>
      </w:r>
      <w:r>
        <w:rPr>
          <w:rFonts w:hint="eastAsia"/>
        </w:rPr>
        <w:t>对学校药物训练协调员的教育：</w:t>
      </w:r>
      <w:r>
        <w:rPr>
          <w:rFonts w:hint="eastAsia"/>
        </w:rPr>
        <w:t>2001</w:t>
      </w:r>
      <w:r>
        <w:rPr>
          <w:rFonts w:hint="eastAsia"/>
        </w:rPr>
        <w:t>年，在教育部的协调下，举办了第一期此类训练班。为中学培训了协调员，</w:t>
      </w:r>
      <w:r>
        <w:rPr>
          <w:rFonts w:hint="eastAsia"/>
        </w:rPr>
        <w:t>2002</w:t>
      </w:r>
      <w:r>
        <w:rPr>
          <w:rFonts w:hint="eastAsia"/>
        </w:rPr>
        <w:t>年，开始为初等教育机构培训</w:t>
      </w:r>
      <w:r>
        <w:rPr>
          <w:rFonts w:hint="eastAsia"/>
        </w:rPr>
        <w:t>2,000</w:t>
      </w:r>
      <w:r>
        <w:rPr>
          <w:rFonts w:hint="eastAsia"/>
        </w:rPr>
        <w:t>名专门人员。</w:t>
      </w:r>
    </w:p>
    <w:p w:rsidR="00000000" w:rsidRDefault="00000000">
      <w:pPr>
        <w:spacing w:after="320"/>
        <w:ind w:firstLine="510"/>
        <w:rPr>
          <w:rFonts w:hint="eastAsia"/>
        </w:rPr>
      </w:pPr>
      <w:r>
        <w:rPr>
          <w:rFonts w:hint="eastAsia"/>
        </w:rPr>
        <w:t xml:space="preserve">564.  </w:t>
      </w:r>
      <w:r>
        <w:rPr>
          <w:rFonts w:hint="eastAsia"/>
        </w:rPr>
        <w:t>学校必须拟订保健发展和药物预防战略，包括以必须纳入课程的健康发展为重点的家庭课堂。《教育部第</w:t>
      </w:r>
      <w:r>
        <w:rPr>
          <w:rFonts w:hint="eastAsia"/>
        </w:rPr>
        <w:t>28/2000(IX</w:t>
      </w:r>
      <w:r>
        <w:t>.</w:t>
      </w:r>
      <w:r>
        <w:rPr>
          <w:rFonts w:hint="eastAsia"/>
        </w:rPr>
        <w:t>21.)</w:t>
      </w:r>
      <w:r>
        <w:rPr>
          <w:rFonts w:hint="eastAsia"/>
        </w:rPr>
        <w:t>号部长令》第</w:t>
      </w:r>
      <w:r>
        <w:rPr>
          <w:rFonts w:hint="eastAsia"/>
        </w:rPr>
        <w:t>(5)</w:t>
      </w:r>
      <w:r>
        <w:rPr>
          <w:rFonts w:hint="eastAsia"/>
        </w:rPr>
        <w:t>分段第</w:t>
      </w:r>
      <w:r>
        <w:rPr>
          <w:rFonts w:hint="eastAsia"/>
        </w:rPr>
        <w:t>10</w:t>
      </w:r>
      <w:r>
        <w:rPr>
          <w:rFonts w:hint="eastAsia"/>
        </w:rPr>
        <w:t>段即作出这一规定：健康生活方式教育以及健康保护内容必须纳入家庭课堂地方学校课程，列入五至十二年级课程，每学年不得少于</w:t>
      </w:r>
      <w:r>
        <w:rPr>
          <w:rFonts w:hint="eastAsia"/>
        </w:rPr>
        <w:t>10</w:t>
      </w:r>
      <w:r>
        <w:rPr>
          <w:rFonts w:hint="eastAsia"/>
        </w:rPr>
        <w:t>课时。</w:t>
      </w:r>
    </w:p>
    <w:p w:rsidR="00000000" w:rsidRDefault="00000000">
      <w:pPr>
        <w:pStyle w:val="Heading3"/>
        <w:rPr>
          <w:rFonts w:hint="eastAsia"/>
        </w:rPr>
      </w:pPr>
      <w:r>
        <w:rPr>
          <w:rFonts w:hint="eastAsia"/>
        </w:rPr>
        <w:t>确保享有环境卫生权</w:t>
      </w:r>
    </w:p>
    <w:p w:rsidR="00000000" w:rsidRDefault="00000000">
      <w:pPr>
        <w:ind w:firstLine="510"/>
        <w:rPr>
          <w:rFonts w:hint="eastAsia"/>
        </w:rPr>
      </w:pPr>
      <w:r>
        <w:rPr>
          <w:rFonts w:hint="eastAsia"/>
        </w:rPr>
        <w:t xml:space="preserve">565.  </w:t>
      </w:r>
      <w:r>
        <w:rPr>
          <w:rFonts w:hint="eastAsia"/>
        </w:rPr>
        <w:t>在公共卫生领域，环境与居民区卫生当局有责任对环境给健康所带来的日益严重的影响展开调查，查明因果关系，并采取增进健康的措施。</w:t>
      </w:r>
    </w:p>
    <w:p w:rsidR="00000000" w:rsidRDefault="00000000">
      <w:pPr>
        <w:ind w:firstLine="510"/>
        <w:rPr>
          <w:rFonts w:hint="eastAsia"/>
        </w:rPr>
      </w:pPr>
      <w:r>
        <w:rPr>
          <w:rFonts w:hint="eastAsia"/>
        </w:rPr>
        <w:t xml:space="preserve">566.  </w:t>
      </w:r>
      <w:r>
        <w:rPr>
          <w:rFonts w:hint="eastAsia"/>
        </w:rPr>
        <w:t>公共卫生和环境保护机构定期调查土壤、地面水和地下水、饮水、户外和室内空气的污染程度。它们对以下问题进行研究，即这些污染对人口健康状况的影响，污水排放、固体废料、环境噪音、振动和光污染的现况，以及离子化和非离子化辐射量和使健康不断恶化的影响。</w:t>
      </w:r>
    </w:p>
    <w:p w:rsidR="00000000" w:rsidRDefault="00000000">
      <w:pPr>
        <w:ind w:firstLine="510"/>
        <w:rPr>
          <w:rFonts w:hint="eastAsia"/>
        </w:rPr>
      </w:pPr>
      <w:r>
        <w:rPr>
          <w:rFonts w:hint="eastAsia"/>
        </w:rPr>
        <w:t xml:space="preserve">567.  </w:t>
      </w:r>
      <w:r>
        <w:rPr>
          <w:rFonts w:hint="eastAsia"/>
        </w:rPr>
        <w:t>政府部门各有分工，每个部委的任务与权限均有明确规定。最近，就环境卫生事宜采取了许多联合行动，参与者有来自一些部门的专家，其中要特别强调的是制定和实施了国家环境卫生行动方案。这一联合方案是根据卫生组织的倡议发起的。</w:t>
      </w:r>
    </w:p>
    <w:p w:rsidR="00000000" w:rsidRDefault="00000000">
      <w:pPr>
        <w:ind w:firstLine="510"/>
        <w:rPr>
          <w:rFonts w:hint="eastAsia"/>
        </w:rPr>
      </w:pPr>
      <w:r>
        <w:rPr>
          <w:rFonts w:hint="eastAsia"/>
        </w:rPr>
        <w:t xml:space="preserve">568.  </w:t>
      </w:r>
      <w:r>
        <w:rPr>
          <w:rFonts w:hint="eastAsia"/>
        </w:rPr>
        <w:t>国家环境卫生行动方案经由国会第</w:t>
      </w:r>
      <w:r>
        <w:rPr>
          <w:rFonts w:hint="eastAsia"/>
        </w:rPr>
        <w:t>83/1997(IX</w:t>
      </w:r>
      <w:r>
        <w:t>.</w:t>
      </w:r>
      <w:r>
        <w:rPr>
          <w:rFonts w:hint="eastAsia"/>
        </w:rPr>
        <w:t>26)</w:t>
      </w:r>
      <w:r>
        <w:rPr>
          <w:rFonts w:hint="eastAsia"/>
        </w:rPr>
        <w:t>号决议批准，同时批准的还有作为其一部分的国家环境保护方案。该方案涉及的工作有，提出一项有效的环境卫生战略，为保护环境与人体健康而减少使健康不断恶化的影响。方案审查了广义上环境对人体健康所产生的影响，评估和查明了种种环境卫生问题，确定了问题的轻重缓急，并提出解决问题的建议。以下是方案的主要目标：</w:t>
      </w:r>
    </w:p>
    <w:p w:rsidR="00000000" w:rsidRDefault="00000000">
      <w:pPr>
        <w:pStyle w:val="a0"/>
        <w:tabs>
          <w:tab w:val="num" w:pos="1550"/>
        </w:tabs>
        <w:ind w:left="1550"/>
        <w:rPr>
          <w:rFonts w:hint="eastAsia"/>
        </w:rPr>
      </w:pPr>
      <w:r>
        <w:rPr>
          <w:rFonts w:hint="eastAsia"/>
        </w:rPr>
        <w:t>改善人民的健康状况，推动营造有益于健康的环境；</w:t>
      </w:r>
    </w:p>
    <w:p w:rsidR="00000000" w:rsidRDefault="00000000">
      <w:pPr>
        <w:pStyle w:val="a0"/>
        <w:tabs>
          <w:tab w:val="num" w:pos="1550"/>
        </w:tabs>
        <w:ind w:left="1550"/>
        <w:rPr>
          <w:rFonts w:hint="eastAsia"/>
        </w:rPr>
      </w:pPr>
      <w:r>
        <w:rPr>
          <w:rFonts w:hint="eastAsia"/>
        </w:rPr>
        <w:t>确定最重要的环境卫生问题的轻重缓急，并审查国家、地区和地方各级可采用的解决办法；</w:t>
      </w:r>
    </w:p>
    <w:p w:rsidR="00000000" w:rsidRDefault="00000000">
      <w:pPr>
        <w:pStyle w:val="a0"/>
        <w:tabs>
          <w:tab w:val="num" w:pos="1550"/>
        </w:tabs>
        <w:ind w:left="1550"/>
        <w:rPr>
          <w:rFonts w:hint="eastAsia"/>
        </w:rPr>
      </w:pPr>
      <w:r>
        <w:rPr>
          <w:rFonts w:hint="eastAsia"/>
        </w:rPr>
        <w:t>提出具体行动和资金能够承担的项目，以建立一种健康确实能够得到保护的环境；</w:t>
      </w:r>
    </w:p>
    <w:p w:rsidR="00000000" w:rsidRDefault="00000000">
      <w:pPr>
        <w:pStyle w:val="a0"/>
        <w:tabs>
          <w:tab w:val="num" w:pos="1550"/>
        </w:tabs>
        <w:ind w:left="1550"/>
        <w:rPr>
          <w:rFonts w:hint="eastAsia"/>
        </w:rPr>
      </w:pPr>
      <w:r>
        <w:rPr>
          <w:rFonts w:hint="eastAsia"/>
        </w:rPr>
        <w:t>支持地方环境卫生倡议；</w:t>
      </w:r>
    </w:p>
    <w:p w:rsidR="00000000" w:rsidRDefault="00000000">
      <w:pPr>
        <w:pStyle w:val="a0"/>
        <w:tabs>
          <w:tab w:val="num" w:pos="1550"/>
        </w:tabs>
        <w:ind w:left="1550"/>
        <w:rPr>
          <w:rFonts w:hint="eastAsia"/>
        </w:rPr>
      </w:pPr>
      <w:r>
        <w:rPr>
          <w:rFonts w:hint="eastAsia"/>
        </w:rPr>
        <w:t>支持任何旨在创造一种健康的生活方式的行动；</w:t>
      </w:r>
    </w:p>
    <w:p w:rsidR="00000000" w:rsidRDefault="00000000">
      <w:pPr>
        <w:pStyle w:val="a0"/>
        <w:tabs>
          <w:tab w:val="num" w:pos="1550"/>
        </w:tabs>
        <w:ind w:left="1550"/>
        <w:rPr>
          <w:rFonts w:hint="eastAsia"/>
        </w:rPr>
      </w:pPr>
      <w:r>
        <w:rPr>
          <w:rFonts w:hint="eastAsia"/>
        </w:rPr>
        <w:t>根据有关部委的政策，制定执行方案所必要的文书；</w:t>
      </w:r>
    </w:p>
    <w:p w:rsidR="00000000" w:rsidRDefault="00000000">
      <w:pPr>
        <w:pStyle w:val="a0"/>
        <w:tabs>
          <w:tab w:val="num" w:pos="1550"/>
        </w:tabs>
        <w:ind w:left="1550"/>
        <w:rPr>
          <w:rFonts w:hint="eastAsia"/>
        </w:rPr>
      </w:pPr>
      <w:r>
        <w:rPr>
          <w:rFonts w:hint="eastAsia"/>
        </w:rPr>
        <w:t>发展相关的国际合作。</w:t>
      </w:r>
    </w:p>
    <w:p w:rsidR="00000000" w:rsidRDefault="00000000">
      <w:pPr>
        <w:ind w:firstLine="510"/>
        <w:rPr>
          <w:rFonts w:hint="eastAsia"/>
        </w:rPr>
      </w:pPr>
      <w:r>
        <w:rPr>
          <w:rFonts w:hint="eastAsia"/>
        </w:rPr>
        <w:t xml:space="preserve">569.  </w:t>
      </w:r>
      <w:r>
        <w:rPr>
          <w:rFonts w:hint="eastAsia"/>
        </w:rPr>
        <w:t>国家环境卫生行动方案最重要的方面如下：</w:t>
      </w:r>
    </w:p>
    <w:p w:rsidR="00000000" w:rsidRDefault="00000000">
      <w:pPr>
        <w:pStyle w:val="a0"/>
        <w:tabs>
          <w:tab w:val="num" w:pos="1550"/>
        </w:tabs>
        <w:ind w:left="1550"/>
        <w:rPr>
          <w:rFonts w:hint="eastAsia"/>
        </w:rPr>
      </w:pPr>
      <w:r>
        <w:rPr>
          <w:rFonts w:hint="eastAsia"/>
        </w:rPr>
        <w:t>研究空气污染对健康的影响；</w:t>
      </w:r>
    </w:p>
    <w:p w:rsidR="00000000" w:rsidRDefault="00000000">
      <w:pPr>
        <w:pStyle w:val="a0"/>
        <w:tabs>
          <w:tab w:val="num" w:pos="1550"/>
        </w:tabs>
        <w:ind w:left="1550"/>
        <w:rPr>
          <w:rFonts w:hint="eastAsia"/>
        </w:rPr>
      </w:pPr>
      <w:r>
        <w:rPr>
          <w:rFonts w:hint="eastAsia"/>
        </w:rPr>
        <w:t>饮用水和洗澡水水质，防止水污染对人体健康构成威胁；</w:t>
      </w:r>
    </w:p>
    <w:p w:rsidR="00000000" w:rsidRDefault="00000000">
      <w:pPr>
        <w:pStyle w:val="a0"/>
        <w:tabs>
          <w:tab w:val="num" w:pos="1550"/>
        </w:tabs>
        <w:ind w:left="1550"/>
        <w:rPr>
          <w:rFonts w:hint="eastAsia"/>
        </w:rPr>
      </w:pPr>
      <w:r>
        <w:rPr>
          <w:rFonts w:hint="eastAsia"/>
        </w:rPr>
        <w:t>环境噪音损害健康的影响；</w:t>
      </w:r>
    </w:p>
    <w:p w:rsidR="00000000" w:rsidRDefault="00000000">
      <w:pPr>
        <w:pStyle w:val="a0"/>
        <w:tabs>
          <w:tab w:val="num" w:pos="1550"/>
        </w:tabs>
        <w:ind w:left="1550"/>
        <w:rPr>
          <w:rFonts w:hint="eastAsia"/>
        </w:rPr>
      </w:pPr>
      <w:r>
        <w:rPr>
          <w:rFonts w:hint="eastAsia"/>
        </w:rPr>
        <w:t>废物处置和土壤污染所涉环境卫生问题；</w:t>
      </w:r>
    </w:p>
    <w:p w:rsidR="00000000" w:rsidRDefault="00000000">
      <w:pPr>
        <w:pStyle w:val="a0"/>
        <w:tabs>
          <w:tab w:val="num" w:pos="1550"/>
        </w:tabs>
        <w:ind w:left="1550"/>
        <w:rPr>
          <w:rFonts w:hint="eastAsia"/>
        </w:rPr>
      </w:pPr>
      <w:r>
        <w:rPr>
          <w:rFonts w:hint="eastAsia"/>
        </w:rPr>
        <w:t>职业环境，职业健康；</w:t>
      </w:r>
    </w:p>
    <w:p w:rsidR="00000000" w:rsidRDefault="00000000">
      <w:pPr>
        <w:pStyle w:val="a0"/>
        <w:tabs>
          <w:tab w:val="num" w:pos="1550"/>
        </w:tabs>
        <w:ind w:left="1550"/>
        <w:rPr>
          <w:rFonts w:hint="eastAsia"/>
        </w:rPr>
      </w:pPr>
      <w:r>
        <w:rPr>
          <w:rFonts w:hint="eastAsia"/>
        </w:rPr>
        <w:t>提高化学安全性；</w:t>
      </w:r>
    </w:p>
    <w:p w:rsidR="00000000" w:rsidRDefault="00000000">
      <w:pPr>
        <w:pStyle w:val="a0"/>
        <w:tabs>
          <w:tab w:val="num" w:pos="1550"/>
        </w:tabs>
        <w:ind w:left="1550"/>
        <w:rPr>
          <w:rFonts w:hint="eastAsia"/>
        </w:rPr>
      </w:pPr>
      <w:r>
        <w:rPr>
          <w:rFonts w:hint="eastAsia"/>
        </w:rPr>
        <w:t>交通安全；</w:t>
      </w:r>
    </w:p>
    <w:p w:rsidR="00000000" w:rsidRDefault="00000000">
      <w:pPr>
        <w:pStyle w:val="a0"/>
        <w:tabs>
          <w:tab w:val="num" w:pos="1550"/>
        </w:tabs>
        <w:ind w:left="1550"/>
        <w:rPr>
          <w:rFonts w:hint="eastAsia"/>
        </w:rPr>
      </w:pPr>
      <w:r>
        <w:rPr>
          <w:rFonts w:hint="eastAsia"/>
        </w:rPr>
        <w:t>辐射安全；</w:t>
      </w:r>
    </w:p>
    <w:p w:rsidR="00000000" w:rsidRDefault="00000000">
      <w:pPr>
        <w:pStyle w:val="a0"/>
        <w:tabs>
          <w:tab w:val="num" w:pos="1550"/>
        </w:tabs>
        <w:ind w:left="1550"/>
        <w:rPr>
          <w:rFonts w:hint="eastAsia"/>
        </w:rPr>
      </w:pPr>
      <w:r>
        <w:rPr>
          <w:rFonts w:hint="eastAsia"/>
        </w:rPr>
        <w:t>食物安全；</w:t>
      </w:r>
    </w:p>
    <w:p w:rsidR="00000000" w:rsidRDefault="00000000">
      <w:pPr>
        <w:pStyle w:val="a0"/>
        <w:tabs>
          <w:tab w:val="num" w:pos="1550"/>
        </w:tabs>
        <w:spacing w:after="320"/>
        <w:ind w:left="1550"/>
        <w:rPr>
          <w:rFonts w:hint="eastAsia"/>
        </w:rPr>
      </w:pPr>
      <w:r>
        <w:rPr>
          <w:rFonts w:hint="eastAsia"/>
        </w:rPr>
        <w:t>环境建设。</w:t>
      </w:r>
    </w:p>
    <w:p w:rsidR="00000000" w:rsidRDefault="00000000">
      <w:pPr>
        <w:pStyle w:val="Heading4"/>
        <w:rPr>
          <w:rFonts w:eastAsia="KaiTi_GB2312" w:hint="eastAsia"/>
          <w:snapToGrid/>
          <w:spacing w:val="0"/>
          <w:u w:val="none"/>
        </w:rPr>
      </w:pPr>
      <w:r>
        <w:rPr>
          <w:rFonts w:eastAsia="KaiTi_GB2312" w:hint="eastAsia"/>
          <w:snapToGrid/>
          <w:spacing w:val="0"/>
          <w:u w:val="none"/>
        </w:rPr>
        <w:t>侵犯环境卫生权的行为</w:t>
      </w:r>
    </w:p>
    <w:p w:rsidR="00000000" w:rsidRDefault="00000000">
      <w:pPr>
        <w:ind w:firstLine="510"/>
        <w:rPr>
          <w:rFonts w:hint="eastAsia"/>
        </w:rPr>
      </w:pPr>
      <w:r>
        <w:rPr>
          <w:rFonts w:hint="eastAsia"/>
        </w:rPr>
        <w:t xml:space="preserve">570.  </w:t>
      </w:r>
      <w:r>
        <w:rPr>
          <w:rFonts w:hint="eastAsia"/>
        </w:rPr>
        <w:t>城市的典型问题通常与建筑工程有关，在农村则与生畜饲养、洪水或地表水超量问题有关，而每一种处理办法都会涉及到企业、餐饮设施和企业房地许可证等问题。在这方面，人们持续不断地提出申诉，说明有必要提高公民的环境意识，使公民的价值观和处世态度发生积极的转变。虽然目前各个申诉人是因为其小环境下的个人利益受到侵犯而要求给予法律补救，这依然是很正常的事情，但也有一些申诉，主要与自然保护区受到破坏、绿地工程或砍伐树木有关，是在争取保护他人和子孙后代的权利。</w:t>
      </w:r>
    </w:p>
    <w:p w:rsidR="00000000" w:rsidRDefault="00000000">
      <w:pPr>
        <w:ind w:firstLine="510"/>
        <w:rPr>
          <w:rFonts w:hint="eastAsia"/>
        </w:rPr>
      </w:pPr>
      <w:r>
        <w:rPr>
          <w:rFonts w:hint="eastAsia"/>
        </w:rPr>
        <w:t xml:space="preserve">571.  </w:t>
      </w:r>
      <w:r>
        <w:rPr>
          <w:rFonts w:hint="eastAsia"/>
        </w:rPr>
        <w:t>一次性并且多为个别的申诉通常也可说明，一方面必须增强国民经济、基础设施发展、投资项目和中小型企业的活力，一方面则要规定自我克制，以保证可持续发展，这两者有着根本性的冲突。</w:t>
      </w:r>
    </w:p>
    <w:p w:rsidR="00000000" w:rsidRDefault="00000000">
      <w:pPr>
        <w:ind w:firstLine="510"/>
        <w:rPr>
          <w:rFonts w:hint="eastAsia"/>
        </w:rPr>
      </w:pPr>
      <w:r>
        <w:rPr>
          <w:rFonts w:hint="eastAsia"/>
        </w:rPr>
        <w:t xml:space="preserve">572.  </w:t>
      </w:r>
      <w:r>
        <w:rPr>
          <w:rFonts w:hint="eastAsia"/>
        </w:rPr>
        <w:t>交通带来的噪音、振动和空气污染，是一个全国性问题。城市公路网，有时是</w:t>
      </w:r>
      <w:r>
        <w:rPr>
          <w:rFonts w:hint="eastAsia"/>
        </w:rPr>
        <w:t>100</w:t>
      </w:r>
      <w:r>
        <w:rPr>
          <w:rFonts w:hint="eastAsia"/>
        </w:rPr>
        <w:t>多年前所设计的，现已无法承受今天的交通负荷。建筑物密度极高，也不容许按照交通需要再进行道路扩建和重建。申诉人还对以下问题提出反对意见：因征收道路通行费而使大量车辆不走高速公路，改而使用穿城过镇的与高速公路并行的干线公路；反对重型车辆通过；反对公共交通和车站配置方面的问题；最终环境负荷加大。对并行干线道路实行交通限制，由于所涉人口过于众多，是迫切需要解决的一项任务。鉴于受影响者人数众多，以及他们从宪法角度提出申诉的严重性，国会专职委员在其建议中始终特别强调通过立法手段来解决受影响者所申诉的问题。</w:t>
      </w:r>
    </w:p>
    <w:p w:rsidR="00000000" w:rsidRDefault="00000000">
      <w:pPr>
        <w:spacing w:after="320"/>
        <w:ind w:firstLine="510"/>
      </w:pPr>
      <w:r>
        <w:rPr>
          <w:rFonts w:hint="eastAsia"/>
        </w:rPr>
        <w:t xml:space="preserve">573.  </w:t>
      </w:r>
      <w:r>
        <w:rPr>
          <w:rFonts w:hint="eastAsia"/>
        </w:rPr>
        <w:t>国家环境方案的一般城市环境目标是：改善污水处理系统、居民区污水清洁处理和污水特别处理，和保护饮水水库。要达到健康环境和较好的环境状况指标，还必须以密封系统进行污水处理，不得使污水渗透到环境中，并且以特殊方法来处理。主路旁边冲沟给居民生活造成极大不便，可以采用最新解决办法来替代，目前缺少消除这一问题所必要的措施，因而造成一种违背常规的现象。专职委员提到的一再出现的问题有，管理程序繁复、缺少有效措施、许可证颁发程序不够审慎，以及未就涉及公众利益的报告进行适当研究。</w:t>
      </w:r>
    </w:p>
    <w:p w:rsidR="00000000" w:rsidRDefault="00000000">
      <w:pPr>
        <w:pStyle w:val="Heading2"/>
        <w:rPr>
          <w:rFonts w:hint="eastAsia"/>
        </w:rPr>
      </w:pPr>
      <w:r>
        <w:rPr>
          <w:rFonts w:hint="eastAsia"/>
        </w:rPr>
        <w:t>第十三条</w:t>
      </w:r>
      <w:r>
        <w:rPr>
          <w:rFonts w:hint="eastAsia"/>
          <w:spacing w:val="-50"/>
        </w:rPr>
        <w:t>―</w:t>
      </w:r>
      <w:r>
        <w:rPr>
          <w:rFonts w:hint="eastAsia"/>
        </w:rPr>
        <w:t>―教</w:t>
      </w:r>
      <w:r>
        <w:t xml:space="preserve"> </w:t>
      </w:r>
      <w:r>
        <w:rPr>
          <w:rFonts w:hint="eastAsia"/>
        </w:rPr>
        <w:t>育</w:t>
      </w:r>
      <w:r>
        <w:t xml:space="preserve"> </w:t>
      </w:r>
      <w:r>
        <w:rPr>
          <w:rFonts w:hint="eastAsia"/>
        </w:rPr>
        <w:t>权</w:t>
      </w:r>
    </w:p>
    <w:p w:rsidR="00000000" w:rsidRDefault="00000000">
      <w:pPr>
        <w:spacing w:after="320"/>
        <w:ind w:firstLine="510"/>
        <w:rPr>
          <w:rFonts w:hint="eastAsia"/>
          <w:sz w:val="28"/>
        </w:rPr>
      </w:pPr>
      <w:r>
        <w:rPr>
          <w:rFonts w:hint="eastAsia"/>
        </w:rPr>
        <w:t xml:space="preserve">574.  </w:t>
      </w:r>
      <w:r>
        <w:rPr>
          <w:rFonts w:hint="eastAsia"/>
        </w:rPr>
        <w:t>《宪法》与此有关条款是第</w:t>
      </w:r>
      <w:r>
        <w:rPr>
          <w:rFonts w:hint="eastAsia"/>
        </w:rPr>
        <w:t>70/F</w:t>
      </w:r>
      <w:r>
        <w:rPr>
          <w:rFonts w:hint="eastAsia"/>
        </w:rPr>
        <w:t>条，该条规定：</w:t>
      </w:r>
      <w:r>
        <w:rPr>
          <w:rFonts w:eastAsia="KaiTi_GB2312" w:hint="eastAsia"/>
          <w:snapToGrid/>
          <w:spacing w:val="0"/>
        </w:rPr>
        <w:t>“</w:t>
      </w:r>
      <w:r>
        <w:rPr>
          <w:rFonts w:eastAsia="KaiTi_GB2312" w:hint="eastAsia"/>
          <w:snapToGrid/>
          <w:spacing w:val="0"/>
        </w:rPr>
        <w:t>(</w:t>
      </w:r>
      <w:r>
        <w:rPr>
          <w:rFonts w:eastAsia="KaiTi_GB2312" w:hint="eastAsia"/>
          <w:b/>
          <w:snapToGrid/>
          <w:spacing w:val="0"/>
        </w:rPr>
        <w:t>1</w:t>
      </w:r>
      <w:r>
        <w:rPr>
          <w:rFonts w:eastAsia="KaiTi_GB2312" w:hint="eastAsia"/>
          <w:snapToGrid/>
          <w:spacing w:val="0"/>
        </w:rPr>
        <w:t>)</w:t>
      </w:r>
      <w:r>
        <w:rPr>
          <w:rFonts w:eastAsia="KaiTi_GB2312"/>
          <w:snapToGrid/>
          <w:spacing w:val="0"/>
        </w:rPr>
        <w:t xml:space="preserve"> </w:t>
      </w:r>
      <w:r>
        <w:rPr>
          <w:rFonts w:eastAsia="KaiTi_GB2312" w:hint="eastAsia"/>
          <w:snapToGrid/>
          <w:spacing w:val="0"/>
        </w:rPr>
        <w:t>匈牙利共和国保证其公民享有教育权。</w:t>
      </w:r>
      <w:r>
        <w:rPr>
          <w:rFonts w:eastAsia="KaiTi_GB2312" w:hint="eastAsia"/>
          <w:snapToGrid/>
          <w:spacing w:val="0"/>
        </w:rPr>
        <w:t>(</w:t>
      </w:r>
      <w:r>
        <w:rPr>
          <w:rFonts w:eastAsia="KaiTi_GB2312" w:hint="eastAsia"/>
          <w:b/>
          <w:snapToGrid/>
          <w:spacing w:val="0"/>
        </w:rPr>
        <w:t>2</w:t>
      </w:r>
      <w:r>
        <w:rPr>
          <w:rFonts w:eastAsia="KaiTi_GB2312" w:hint="eastAsia"/>
          <w:snapToGrid/>
          <w:spacing w:val="0"/>
        </w:rPr>
        <w:t>)</w:t>
      </w:r>
      <w:r>
        <w:rPr>
          <w:rFonts w:eastAsia="KaiTi_GB2312"/>
          <w:snapToGrid/>
          <w:spacing w:val="0"/>
        </w:rPr>
        <w:t xml:space="preserve"> </w:t>
      </w:r>
      <w:r>
        <w:rPr>
          <w:rFonts w:eastAsia="KaiTi_GB2312" w:hint="eastAsia"/>
          <w:snapToGrid/>
          <w:spacing w:val="0"/>
        </w:rPr>
        <w:t>匈牙利共和国落实此项权利的途径是：传播和普遍接受文化教育以及免费义务初级教育，根据个人能力为所有人提供中等和高等教育，为学生提供资助。”</w:t>
      </w:r>
      <w:r>
        <w:rPr>
          <w:rFonts w:hint="eastAsia"/>
        </w:rPr>
        <w:t>《关于公共教育的</w:t>
      </w:r>
      <w:r>
        <w:rPr>
          <w:rFonts w:hint="eastAsia"/>
        </w:rPr>
        <w:t>1993</w:t>
      </w:r>
      <w:r>
        <w:rPr>
          <w:rFonts w:hint="eastAsia"/>
        </w:rPr>
        <w:t>年第七十九号法令》确保按照匈牙利共和国《宪法》规定，在机会平等的基础上行使该项权利。该法令还保证良心自由、宗教自由、实施少数民族和少数族裔以其母语受教育的权利，实现教育与教学自由。在匈牙利共和国，人人免费接受公共教育。《公共教育法令》</w:t>
      </w:r>
      <w:r>
        <w:rPr>
          <w:rFonts w:hint="eastAsia"/>
        </w:rPr>
        <w:t>(</w:t>
      </w:r>
      <w:r>
        <w:rPr>
          <w:rFonts w:hint="eastAsia"/>
        </w:rPr>
        <w:t>条文见附件</w:t>
      </w:r>
      <w:r>
        <w:rPr>
          <w:rFonts w:hint="eastAsia"/>
        </w:rPr>
        <w:t>)</w:t>
      </w:r>
      <w:r>
        <w:rPr>
          <w:rFonts w:hint="eastAsia"/>
        </w:rPr>
        <w:t>明确规定了初级和中等两级免费公共教育的条件。</w:t>
      </w:r>
    </w:p>
    <w:p w:rsidR="00000000" w:rsidRDefault="00000000">
      <w:pPr>
        <w:pStyle w:val="Heading3"/>
        <w:rPr>
          <w:rFonts w:hint="eastAsia"/>
        </w:rPr>
      </w:pPr>
      <w:r>
        <w:rPr>
          <w:rFonts w:hint="eastAsia"/>
        </w:rPr>
        <w:t>义务教育</w:t>
      </w:r>
    </w:p>
    <w:p w:rsidR="00000000" w:rsidRDefault="00000000">
      <w:pPr>
        <w:ind w:firstLine="510"/>
        <w:rPr>
          <w:rFonts w:hint="eastAsia"/>
        </w:rPr>
      </w:pPr>
      <w:r>
        <w:rPr>
          <w:rFonts w:hint="eastAsia"/>
        </w:rPr>
        <w:t xml:space="preserve">575.  </w:t>
      </w:r>
      <w:r>
        <w:rPr>
          <w:rFonts w:hint="eastAsia"/>
        </w:rPr>
        <w:t>在匈牙利共和国，凡符合《公共教育法令》规定的儿童，均须接受义务教育。达到受教育所需要的发育水平的儿童，公历年年初至</w:t>
      </w:r>
      <w:r>
        <w:rPr>
          <w:rFonts w:hint="eastAsia"/>
        </w:rPr>
        <w:t>5</w:t>
      </w:r>
      <w:r>
        <w:rPr>
          <w:rFonts w:hint="eastAsia"/>
        </w:rPr>
        <w:t>月</w:t>
      </w:r>
      <w:r>
        <w:rPr>
          <w:rFonts w:hint="eastAsia"/>
        </w:rPr>
        <w:t>31</w:t>
      </w:r>
      <w:r>
        <w:rPr>
          <w:rFonts w:hint="eastAsia"/>
        </w:rPr>
        <w:t>日之间年满六岁者，即应接受义务教育。儿童如果在</w:t>
      </w:r>
      <w:r>
        <w:rPr>
          <w:rFonts w:hint="eastAsia"/>
        </w:rPr>
        <w:t>12</w:t>
      </w:r>
      <w:r>
        <w:rPr>
          <w:rFonts w:hint="eastAsia"/>
        </w:rPr>
        <w:t>月</w:t>
      </w:r>
      <w:r>
        <w:rPr>
          <w:rFonts w:hint="eastAsia"/>
        </w:rPr>
        <w:t>31</w:t>
      </w:r>
      <w:r>
        <w:rPr>
          <w:rFonts w:hint="eastAsia"/>
        </w:rPr>
        <w:t>日之前年满六岁，应父母的要求，也可接受义务教育。对于</w:t>
      </w:r>
      <w:r>
        <w:rPr>
          <w:rFonts w:hint="eastAsia"/>
        </w:rPr>
        <w:t>8</w:t>
      </w:r>
      <w:r>
        <w:rPr>
          <w:rFonts w:hint="eastAsia"/>
        </w:rPr>
        <w:t>月</w:t>
      </w:r>
      <w:r>
        <w:rPr>
          <w:rFonts w:hint="eastAsia"/>
        </w:rPr>
        <w:t>31</w:t>
      </w:r>
      <w:r>
        <w:rPr>
          <w:rFonts w:hint="eastAsia"/>
        </w:rPr>
        <w:t>日之后出生的儿童，也可八岁开始接受义务教育。义务教育于学年第一天开始进行。义务教育持续至学生年满</w:t>
      </w:r>
      <w:r>
        <w:rPr>
          <w:rFonts w:hint="eastAsia"/>
        </w:rPr>
        <w:t>18</w:t>
      </w:r>
      <w:r>
        <w:rPr>
          <w:rFonts w:hint="eastAsia"/>
        </w:rPr>
        <w:t>岁的那个学年末。对于需要接受特殊教育的学生，义务教育可延长至他或她年满</w:t>
      </w:r>
      <w:r>
        <w:rPr>
          <w:rFonts w:hint="eastAsia"/>
        </w:rPr>
        <w:t>20</w:t>
      </w:r>
      <w:r>
        <w:rPr>
          <w:rFonts w:hint="eastAsia"/>
        </w:rPr>
        <w:t>岁的那个学年末。</w:t>
      </w:r>
    </w:p>
    <w:p w:rsidR="00000000" w:rsidRDefault="00000000">
      <w:pPr>
        <w:ind w:firstLine="510"/>
        <w:rPr>
          <w:rFonts w:hint="eastAsia"/>
        </w:rPr>
      </w:pPr>
      <w:r>
        <w:rPr>
          <w:rFonts w:hint="eastAsia"/>
        </w:rPr>
        <w:t xml:space="preserve">576.  </w:t>
      </w:r>
      <w:r>
        <w:rPr>
          <w:rFonts w:hint="eastAsia"/>
        </w:rPr>
        <w:t>根据父母的选择，义务教育可通过入学或私人授课两种不同方式进行。如果校长认为某一学生不适宜通过私人授课方式达到义务教育的要求，或者预计该学生无法以此种方式完成其学业，校长即有义务向地方当局公证人通报该学生的永久地址或居住地点。公证人应决定该学生以何种方式完成义务教育。涉及处境不利的学生时，校长应征求儿童保育服务部门的意见。</w:t>
      </w:r>
    </w:p>
    <w:p w:rsidR="00000000" w:rsidRDefault="00000000">
      <w:pPr>
        <w:spacing w:after="320"/>
        <w:ind w:firstLine="510"/>
        <w:rPr>
          <w:rFonts w:hint="eastAsia"/>
        </w:rPr>
      </w:pPr>
      <w:r>
        <w:rPr>
          <w:rFonts w:hint="eastAsia"/>
        </w:rPr>
        <w:t xml:space="preserve">577.  </w:t>
      </w:r>
      <w:r>
        <w:rPr>
          <w:rFonts w:hint="eastAsia"/>
        </w:rPr>
        <w:t>义务教育可在小学并从五年级起在中学完成。从九年级起，义务教育也可在中等职业学校或职业培训学校完成。</w:t>
      </w:r>
    </w:p>
    <w:p w:rsidR="00000000" w:rsidRDefault="00000000">
      <w:pPr>
        <w:pStyle w:val="Heading4"/>
        <w:ind w:left="520"/>
        <w:rPr>
          <w:rFonts w:eastAsia="KaiTi_GB2312" w:hint="eastAsia"/>
          <w:snapToGrid/>
          <w:spacing w:val="0"/>
          <w:u w:val="none"/>
        </w:rPr>
      </w:pPr>
      <w:r>
        <w:rPr>
          <w:rFonts w:eastAsia="KaiTi_GB2312" w:hint="eastAsia"/>
          <w:snapToGrid/>
          <w:spacing w:val="0"/>
          <w:u w:val="none"/>
        </w:rPr>
        <w:t>考虑到个人差异</w:t>
      </w:r>
    </w:p>
    <w:p w:rsidR="00000000" w:rsidRDefault="00000000">
      <w:pPr>
        <w:ind w:firstLine="510"/>
        <w:rPr>
          <w:rFonts w:hint="eastAsia"/>
        </w:rPr>
      </w:pPr>
      <w:r>
        <w:rPr>
          <w:rFonts w:hint="eastAsia"/>
        </w:rPr>
        <w:t xml:space="preserve">578.  </w:t>
      </w:r>
      <w:r>
        <w:rPr>
          <w:rFonts w:hint="eastAsia"/>
        </w:rPr>
        <w:t>对于智商可能落后或超前的学生，必须予以特别关注。对残疾学生或有特别天赋的学生有专门的规定。《公共教育法令》和有关部委的政令不仅仅是规定实行义务教育，还确保那些因发育方面的特殊情况无法正常完成义务教育的学生享有接受特殊照顾和康复的权利。考虑到特殊照顾权，在公共教育中有必要实行不同形式的额外补贴做法。有资格领取额外补贴的儿童和补贴额确定原则，在《公共教育法令》和有关法律中均有规定。全国学习能力评价专家委员会和康复与教育咨询中心决定是否有资格享有这一特殊照顾权。此外，《公共教育法令》还具体规定了其他种虽然无资格享有特殊照顾或康复待遇但也需要给予额外补贴的儿童。这种儿童有如下几类：</w:t>
      </w:r>
    </w:p>
    <w:p w:rsidR="00000000" w:rsidRDefault="00000000">
      <w:pPr>
        <w:pStyle w:val="a0"/>
        <w:tabs>
          <w:tab w:val="num" w:pos="1550"/>
        </w:tabs>
        <w:ind w:left="1550"/>
        <w:rPr>
          <w:rFonts w:hint="eastAsia"/>
        </w:rPr>
      </w:pPr>
      <w:r>
        <w:rPr>
          <w:rFonts w:hint="eastAsia"/>
        </w:rPr>
        <w:t>有资格在学校一至四年级期间按个人学习进度学习的学生；</w:t>
      </w:r>
    </w:p>
    <w:p w:rsidR="00000000" w:rsidRDefault="00000000">
      <w:pPr>
        <w:pStyle w:val="a0"/>
        <w:tabs>
          <w:tab w:val="num" w:pos="1550"/>
        </w:tabs>
        <w:ind w:left="1550"/>
        <w:rPr>
          <w:rFonts w:hint="eastAsia"/>
        </w:rPr>
      </w:pPr>
      <w:r>
        <w:rPr>
          <w:rFonts w:hint="eastAsia"/>
        </w:rPr>
        <w:t>超过义务教育年龄限制、参加九年级和十年级补习教育的学生；</w:t>
      </w:r>
    </w:p>
    <w:p w:rsidR="00000000" w:rsidRDefault="00000000">
      <w:pPr>
        <w:pStyle w:val="a0"/>
        <w:tabs>
          <w:tab w:val="num" w:pos="1550"/>
        </w:tabs>
        <w:ind w:left="1550"/>
        <w:rPr>
          <w:rFonts w:hint="eastAsia"/>
        </w:rPr>
      </w:pPr>
      <w:r>
        <w:rPr>
          <w:rFonts w:hint="eastAsia"/>
        </w:rPr>
        <w:t>处于不利社会境地的学生；</w:t>
      </w:r>
    </w:p>
    <w:p w:rsidR="00000000" w:rsidRDefault="00000000">
      <w:pPr>
        <w:pStyle w:val="a0"/>
        <w:tabs>
          <w:tab w:val="num" w:pos="1550"/>
        </w:tabs>
        <w:ind w:left="1550"/>
        <w:rPr>
          <w:rFonts w:hint="eastAsia"/>
        </w:rPr>
      </w:pPr>
      <w:r>
        <w:rPr>
          <w:rFonts w:hint="eastAsia"/>
        </w:rPr>
        <w:t>学习不及格的学生；</w:t>
      </w:r>
    </w:p>
    <w:p w:rsidR="00000000" w:rsidRDefault="00000000">
      <w:pPr>
        <w:pStyle w:val="a0"/>
        <w:tabs>
          <w:tab w:val="num" w:pos="1550"/>
        </w:tabs>
        <w:ind w:left="1550"/>
        <w:rPr>
          <w:rFonts w:hint="eastAsia"/>
        </w:rPr>
      </w:pPr>
      <w:r>
        <w:rPr>
          <w:rFonts w:hint="eastAsia"/>
        </w:rPr>
        <w:t>需要补习教育的学生；</w:t>
      </w:r>
    </w:p>
    <w:p w:rsidR="00000000" w:rsidRDefault="00000000">
      <w:pPr>
        <w:pStyle w:val="a0"/>
        <w:tabs>
          <w:tab w:val="num" w:pos="1550"/>
        </w:tabs>
        <w:ind w:left="1550"/>
        <w:rPr>
          <w:rFonts w:hint="eastAsia"/>
        </w:rPr>
      </w:pPr>
      <w:r>
        <w:rPr>
          <w:rFonts w:hint="eastAsia"/>
        </w:rPr>
        <w:t>少数民族或少数族裔的学生。</w:t>
      </w:r>
    </w:p>
    <w:p w:rsidR="00000000" w:rsidRDefault="00000000">
      <w:pPr>
        <w:spacing w:after="320"/>
        <w:ind w:firstLine="510"/>
        <w:rPr>
          <w:rFonts w:hint="eastAsia"/>
        </w:rPr>
      </w:pPr>
      <w:r>
        <w:rPr>
          <w:rFonts w:hint="eastAsia"/>
        </w:rPr>
        <w:t xml:space="preserve">579.  </w:t>
      </w:r>
      <w:r>
        <w:rPr>
          <w:rFonts w:hint="eastAsia"/>
        </w:rPr>
        <w:t>这几种学生并非总是划分得开的。在某种情况下，有几种理由证明应为某个儿童提供额外补贴。涉及这几种儿童时，按照《公共教育法令》的规定，在教育机构教学大纲中应当就不同形式的额外补贴做法作出规定。这些做法有以下几种：因材施教，缩小、消除学习后进现象；设立额外班；减少班级学生人数。</w:t>
      </w:r>
    </w:p>
    <w:p w:rsidR="00000000" w:rsidRDefault="00000000">
      <w:pPr>
        <w:pStyle w:val="Heading3"/>
        <w:rPr>
          <w:rFonts w:hint="eastAsia"/>
        </w:rPr>
      </w:pPr>
      <w:r>
        <w:rPr>
          <w:rFonts w:hint="eastAsia"/>
        </w:rPr>
        <w:t>学</w:t>
      </w:r>
      <w:r>
        <w:rPr>
          <w:rFonts w:hint="eastAsia"/>
        </w:rPr>
        <w:t xml:space="preserve">  </w:t>
      </w:r>
      <w:r>
        <w:rPr>
          <w:rFonts w:hint="eastAsia"/>
        </w:rPr>
        <w:t>制</w:t>
      </w:r>
    </w:p>
    <w:p w:rsidR="00000000" w:rsidRDefault="00000000">
      <w:pPr>
        <w:ind w:firstLine="510"/>
        <w:rPr>
          <w:rFonts w:hint="eastAsia"/>
        </w:rPr>
      </w:pPr>
      <w:r>
        <w:rPr>
          <w:rFonts w:hint="eastAsia"/>
        </w:rPr>
        <w:t xml:space="preserve">580.  </w:t>
      </w:r>
      <w:r>
        <w:rPr>
          <w:rFonts w:hint="eastAsia"/>
        </w:rPr>
        <w:t>公共教育包括幼稚园教育、学校教育和教学与寄宿教育。按照《职业培训法令》规定，学校可参与承担职业训练任务。国家的任务是维持公共教育系统的运转。按照《公共教育法令》规定，幼稚园、受权颁发教育或职业训练证书的学校、寄宿学校和初级艺术教育机构，在专业上为独立的教育机构。</w:t>
      </w:r>
    </w:p>
    <w:p w:rsidR="00000000" w:rsidRDefault="00000000">
      <w:pPr>
        <w:ind w:firstLine="510"/>
        <w:rPr>
          <w:rFonts w:hint="eastAsia"/>
        </w:rPr>
      </w:pPr>
      <w:r>
        <w:rPr>
          <w:rFonts w:hint="eastAsia"/>
        </w:rPr>
        <w:t xml:space="preserve">581.  </w:t>
      </w:r>
      <w:r>
        <w:rPr>
          <w:rFonts w:hint="eastAsia"/>
        </w:rPr>
        <w:t>对于三岁至发育程度达到入学要求这一期间的儿童，学前教育是公共教育的一部分。儿童达到五岁就要在幼稚园接受教育，从这一年第一天起，儿童必须在幼稚园教育范围内，参加为以后的学校生活做准备的活动，每天四小时。学生如果达到入学所要求的发育水平，就有义务接受义务教育，最早六岁，最晚八岁。</w:t>
      </w:r>
    </w:p>
    <w:p w:rsidR="00000000" w:rsidRDefault="00000000">
      <w:pPr>
        <w:ind w:firstLine="510"/>
        <w:rPr>
          <w:rFonts w:hint="eastAsia"/>
        </w:rPr>
      </w:pPr>
      <w:r>
        <w:rPr>
          <w:rFonts w:hint="eastAsia"/>
        </w:rPr>
        <w:t xml:space="preserve">582.  </w:t>
      </w:r>
      <w:r>
        <w:rPr>
          <w:rFonts w:hint="eastAsia"/>
        </w:rPr>
        <w:t>小学为八年制，但也有某些例外。小学实行基本教育和教学。在小学，学生应为在中等学校或专科学校根据自己的兴趣、能力和技能接受进一步训练以及融入社会做准备。</w:t>
      </w:r>
    </w:p>
    <w:p w:rsidR="00000000" w:rsidRDefault="00000000">
      <w:pPr>
        <w:ind w:firstLine="510"/>
        <w:rPr>
          <w:rFonts w:hint="eastAsia"/>
        </w:rPr>
      </w:pPr>
      <w:r>
        <w:rPr>
          <w:rFonts w:hint="eastAsia"/>
        </w:rPr>
        <w:t xml:space="preserve">583.  </w:t>
      </w:r>
      <w:r>
        <w:rPr>
          <w:rFonts w:hint="eastAsia"/>
        </w:rPr>
        <w:t>专门学校有九年级和十年级，至少有两个年级的职业培训。九年级和十年级的教育和教学为掌握一般知识奠定基础，此外也可能提供职业指导、职业预备知识和职业基础教学。十年级之后进行职业考试复习准备。年满</w:t>
      </w:r>
      <w:r>
        <w:rPr>
          <w:rFonts w:hint="eastAsia"/>
        </w:rPr>
        <w:t>16</w:t>
      </w:r>
      <w:r>
        <w:rPr>
          <w:rFonts w:hint="eastAsia"/>
        </w:rPr>
        <w:t>岁、但未完成小学八年级课程的学生，可参加补习，但他们在小学毕业考试顺利通过后只能进入职业学校学习。专门学校可以明确是为身有残疾无法跟上同龄人学习进度的学生参加职业考试做准备的学校，或者明确是为有中度严重残疾的学生开始独立生活提供必要准备的学校。如果是为顺利完成十年级学业的学生参加职业考试做准备，专门学校也可以只开设职业训练班。</w:t>
      </w:r>
    </w:p>
    <w:p w:rsidR="00000000" w:rsidRDefault="00000000">
      <w:pPr>
        <w:ind w:firstLine="510"/>
        <w:rPr>
          <w:rFonts w:hint="eastAsia"/>
        </w:rPr>
      </w:pPr>
      <w:r>
        <w:rPr>
          <w:rFonts w:hint="eastAsia"/>
        </w:rPr>
        <w:t xml:space="preserve">584.  </w:t>
      </w:r>
      <w:r>
        <w:rPr>
          <w:rFonts w:hint="eastAsia"/>
        </w:rPr>
        <w:t>职业中学为四年制，为中等学校考试做准备，并为掌握一般知识打下基础</w:t>
      </w:r>
      <w:r>
        <w:rPr>
          <w:rFonts w:hint="eastAsia"/>
        </w:rPr>
        <w:t>(9-12</w:t>
      </w:r>
      <w:r>
        <w:rPr>
          <w:rFonts w:hint="eastAsia"/>
        </w:rPr>
        <w:t>年级</w:t>
      </w:r>
      <w:r>
        <w:rPr>
          <w:rFonts w:hint="eastAsia"/>
        </w:rPr>
        <w:t>)</w:t>
      </w:r>
      <w:r>
        <w:rPr>
          <w:rFonts w:hint="eastAsia"/>
        </w:rPr>
        <w:t>。从九年级开始可按照国家训练登记册，按专业分组进行职业指导教学，十一年级开始进行理论和实践基础教学。学生可决定只参加中学毕业考试，或者在中学毕业考试之后参加职业考试。为获得中学毕业证书的学生参加职业考试做准备的职业中学，可以只开设职业训练班。</w:t>
      </w:r>
    </w:p>
    <w:p w:rsidR="00000000" w:rsidRDefault="00000000">
      <w:pPr>
        <w:ind w:firstLine="510"/>
        <w:rPr>
          <w:rFonts w:hint="eastAsia"/>
        </w:rPr>
      </w:pPr>
      <w:r>
        <w:rPr>
          <w:rFonts w:hint="eastAsia"/>
        </w:rPr>
        <w:t xml:space="preserve">585.  </w:t>
      </w:r>
      <w:r>
        <w:rPr>
          <w:rFonts w:hint="eastAsia"/>
        </w:rPr>
        <w:t>学生准备深造的中学为四年制，但《公共教育法令》明确规定可有某些例外。四年制准备深造中学的教育和教学自九年级起至十二年级为止。如果能够具备完成义务教育所必要的条件，准备深造中学可以开设六或八个年级，录取愿意从九年级开始读准备深造中学课程的学生，这一问题在首都和州一级是可以解决的。六年制准备深造中学的教育和教学从七年级开始，八年制准备深造中学则从五年级开始，两者均在十二年级完成学业。</w:t>
      </w:r>
    </w:p>
    <w:p w:rsidR="00000000" w:rsidRDefault="00000000">
      <w:pPr>
        <w:spacing w:after="320"/>
        <w:ind w:firstLine="510"/>
        <w:rPr>
          <w:rFonts w:hint="eastAsia"/>
        </w:rPr>
      </w:pPr>
      <w:r>
        <w:rPr>
          <w:rFonts w:hint="eastAsia"/>
        </w:rPr>
        <w:t xml:space="preserve">586.  </w:t>
      </w:r>
      <w:r>
        <w:rPr>
          <w:rFonts w:hint="eastAsia"/>
        </w:rPr>
        <w:t>准备深造中学的教育和教学是为掌握一般知识奠定基础，使学生为中学毕业考试和接受高等教育做好准备。在准备深造中学，从十一年级开始也可开设理论和实践课，为就业和有助于从事某一职业做准备。</w:t>
      </w:r>
    </w:p>
    <w:p w:rsidR="00000000" w:rsidRDefault="00000000">
      <w:pPr>
        <w:pStyle w:val="Heading4"/>
        <w:ind w:left="520"/>
        <w:rPr>
          <w:rFonts w:eastAsia="KaiTi_GB2312" w:hint="eastAsia"/>
          <w:snapToGrid/>
          <w:spacing w:val="0"/>
          <w:u w:val="none"/>
        </w:rPr>
      </w:pPr>
      <w:r>
        <w:rPr>
          <w:rFonts w:eastAsia="KaiTi_GB2312" w:hint="eastAsia"/>
          <w:snapToGrid/>
          <w:spacing w:val="0"/>
          <w:u w:val="none"/>
        </w:rPr>
        <w:t>少数民族教育</w:t>
      </w:r>
    </w:p>
    <w:p w:rsidR="00000000" w:rsidRDefault="00000000">
      <w:pPr>
        <w:ind w:firstLine="510"/>
        <w:rPr>
          <w:rFonts w:hint="eastAsia"/>
        </w:rPr>
      </w:pPr>
      <w:r>
        <w:rPr>
          <w:rFonts w:hint="eastAsia"/>
        </w:rPr>
        <w:t xml:space="preserve">587.  </w:t>
      </w:r>
      <w:r>
        <w:rPr>
          <w:rFonts w:hint="eastAsia"/>
        </w:rPr>
        <w:t>《宪法》第</w:t>
      </w:r>
      <w:r>
        <w:rPr>
          <w:rFonts w:hint="eastAsia"/>
        </w:rPr>
        <w:t>68</w:t>
      </w:r>
      <w:r>
        <w:rPr>
          <w:rFonts w:hint="eastAsia"/>
        </w:rPr>
        <w:t>条第</w:t>
      </w:r>
      <w:r>
        <w:rPr>
          <w:rFonts w:hint="eastAsia"/>
        </w:rPr>
        <w:t>2</w:t>
      </w:r>
      <w:r>
        <w:rPr>
          <w:rFonts w:hint="eastAsia"/>
        </w:rPr>
        <w:t>段规定：</w:t>
      </w:r>
      <w:r>
        <w:rPr>
          <w:rFonts w:ascii="Time New Roman" w:eastAsia="SimHei" w:hAnsi="Time New Roman" w:hint="eastAsia"/>
        </w:rPr>
        <w:t>“匈牙利共和国应保护少数民族和少数族裔，确保他们共同参与公共事务，促进他们的文化，使用他们的土著语言，以其土著语言开展教育，并使用他们土著语言的名字。</w:t>
      </w:r>
      <w:r>
        <w:rPr>
          <w:rFonts w:hint="eastAsia"/>
        </w:rPr>
        <w:t>”少数民族教育，作为匈牙利教育体系的一部分，应当提供整个公共教育一般提供的所有服务。此外，此种教育的任务不仅仅是以土著语言提供这些服务：还必须创造适当条件学习土著语言，并传递对该民族文化与历史的认识。</w:t>
      </w:r>
    </w:p>
    <w:p w:rsidR="00000000" w:rsidRDefault="00000000">
      <w:pPr>
        <w:ind w:firstLine="510"/>
        <w:rPr>
          <w:rFonts w:hint="eastAsia"/>
        </w:rPr>
      </w:pPr>
      <w:r>
        <w:rPr>
          <w:rFonts w:hint="eastAsia"/>
        </w:rPr>
        <w:t xml:space="preserve">588.  </w:t>
      </w:r>
      <w:r>
        <w:rPr>
          <w:rFonts w:hint="eastAsia"/>
        </w:rPr>
        <w:t>在大多数少数民族家庭中，语言的延续过程现已中断；匈牙利语言已占据主导地位。少数民族使用的不同方言没有与时俱进，时时更新，因而在社会交流中的作用日渐削弱。这就使学校在传递土著语言方面的作用显得益发重要；教育机构的责任也益发重大。</w:t>
      </w:r>
    </w:p>
    <w:p w:rsidR="00000000" w:rsidRDefault="00000000">
      <w:pPr>
        <w:ind w:firstLine="510"/>
        <w:rPr>
          <w:rFonts w:hint="eastAsia"/>
        </w:rPr>
      </w:pPr>
      <w:r>
        <w:rPr>
          <w:rFonts w:hint="eastAsia"/>
        </w:rPr>
        <w:t xml:space="preserve">589.  </w:t>
      </w:r>
      <w:r>
        <w:rPr>
          <w:rFonts w:hint="eastAsia"/>
        </w:rPr>
        <w:t>由于少数民族出身是一个敏感的私人问题，地方市政府只是应父母的倡议才举办和开展少数民族教育。按照法律规定，属于同一少数民族的</w:t>
      </w:r>
      <w:r>
        <w:rPr>
          <w:rFonts w:hint="eastAsia"/>
        </w:rPr>
        <w:t>8</w:t>
      </w:r>
      <w:r>
        <w:rPr>
          <w:rFonts w:hint="eastAsia"/>
        </w:rPr>
        <w:t>名学生家长提出请求即可开展此种教育，市政府有义务开办少数民族教育班。在这种情况下，表明自己的民族出身为自愿行为，它只会有助于人们享有某种额外权利。</w:t>
      </w:r>
    </w:p>
    <w:p w:rsidR="00000000" w:rsidRDefault="00000000">
      <w:pPr>
        <w:ind w:firstLine="510"/>
        <w:rPr>
          <w:rFonts w:hint="eastAsia"/>
        </w:rPr>
      </w:pPr>
      <w:r>
        <w:rPr>
          <w:rFonts w:hint="eastAsia"/>
        </w:rPr>
        <w:t xml:space="preserve">590.  </w:t>
      </w:r>
      <w:r>
        <w:rPr>
          <w:rFonts w:hint="eastAsia"/>
        </w:rPr>
        <w:t>少数民族在地理上的分散状况，主要会在中学一级造成问题。在某一居民区，可能希望进入少数民族中学的学生人数不多，不足以为其开办一所中学或一个班。不过，在这种情况下，国家也有义务应</w:t>
      </w:r>
      <w:r>
        <w:rPr>
          <w:rFonts w:hint="eastAsia"/>
        </w:rPr>
        <w:t>8</w:t>
      </w:r>
      <w:r>
        <w:rPr>
          <w:rFonts w:hint="eastAsia"/>
        </w:rPr>
        <w:t>名学生家长的请求而开办学校教育。这就会导致开办一或两个寄宿中学，招收某一地区或全国各地的学生。目前共有</w:t>
      </w:r>
      <w:r>
        <w:rPr>
          <w:rFonts w:hint="eastAsia"/>
        </w:rPr>
        <w:t>26</w:t>
      </w:r>
      <w:r>
        <w:rPr>
          <w:rFonts w:hint="eastAsia"/>
        </w:rPr>
        <w:t>所准备深造中学和</w:t>
      </w:r>
      <w:r>
        <w:rPr>
          <w:rFonts w:hint="eastAsia"/>
        </w:rPr>
        <w:t>14</w:t>
      </w:r>
      <w:r>
        <w:rPr>
          <w:rFonts w:hint="eastAsia"/>
        </w:rPr>
        <w:t>所技术学校或职业训练中心提供少数民族教育或教授某些少数民族语言。</w:t>
      </w:r>
    </w:p>
    <w:p w:rsidR="00000000" w:rsidRDefault="00000000">
      <w:pPr>
        <w:ind w:firstLine="510"/>
        <w:rPr>
          <w:rFonts w:hint="eastAsia"/>
        </w:rPr>
      </w:pPr>
      <w:r>
        <w:rPr>
          <w:rFonts w:hint="eastAsia"/>
        </w:rPr>
        <w:t xml:space="preserve">591.  </w:t>
      </w:r>
      <w:r>
        <w:rPr>
          <w:rFonts w:hint="eastAsia"/>
        </w:rPr>
        <w:t>《公共教育法令》提供了另一种可能性，可以适当解决某一居民区少数民族学生人数不足</w:t>
      </w:r>
      <w:r>
        <w:rPr>
          <w:rFonts w:hint="eastAsia"/>
        </w:rPr>
        <w:t>8</w:t>
      </w:r>
      <w:r>
        <w:rPr>
          <w:rFonts w:hint="eastAsia"/>
        </w:rPr>
        <w:t>人的问题。这是一种新形式的教育，叫作少数民族补充教育，它使那些没有少数民族学校的少数民族也有可能参加少数民族教育。在这种情况下，在其他地方普通学校上学的学生可以上额外</w:t>
      </w:r>
      <w:r>
        <w:rPr>
          <w:rFonts w:hint="eastAsia"/>
        </w:rPr>
        <w:t>(</w:t>
      </w:r>
      <w:r>
        <w:rPr>
          <w:rFonts w:hint="eastAsia"/>
        </w:rPr>
        <w:t>下午</w:t>
      </w:r>
      <w:r>
        <w:rPr>
          <w:rFonts w:hint="eastAsia"/>
        </w:rPr>
        <w:t>)</w:t>
      </w:r>
      <w:r>
        <w:rPr>
          <w:rFonts w:hint="eastAsia"/>
        </w:rPr>
        <w:t>开设的特别课程，学习他们的少数民族语言和文化。这一规程已确认为普通学校系统的一部分，学生凭这里所获得的证书即可视为通过了某一学科的结业考试，并有资格进入高等教育阶段。</w:t>
      </w:r>
    </w:p>
    <w:p w:rsidR="00000000" w:rsidRDefault="00000000">
      <w:pPr>
        <w:ind w:firstLine="510"/>
        <w:rPr>
          <w:rFonts w:hint="eastAsia"/>
        </w:rPr>
      </w:pPr>
      <w:r>
        <w:rPr>
          <w:rFonts w:hint="eastAsia"/>
        </w:rPr>
        <w:t xml:space="preserve">592.  </w:t>
      </w:r>
      <w:r>
        <w:rPr>
          <w:rFonts w:hint="eastAsia"/>
        </w:rPr>
        <w:t>从少数民族教育的观点出发，匈牙利</w:t>
      </w:r>
      <w:r>
        <w:rPr>
          <w:rFonts w:hint="eastAsia"/>
        </w:rPr>
        <w:t>13</w:t>
      </w:r>
      <w:r>
        <w:rPr>
          <w:rFonts w:hint="eastAsia"/>
        </w:rPr>
        <w:t>个少数民族可分为三组。第一组为</w:t>
      </w:r>
      <w:r>
        <w:rPr>
          <w:rFonts w:hint="eastAsia"/>
          <w:u w:val="single"/>
        </w:rPr>
        <w:t>规模较大的少数民族社区</w:t>
      </w:r>
      <w:r>
        <w:rPr>
          <w:rFonts w:hint="eastAsia"/>
        </w:rPr>
        <w:t>(</w:t>
      </w:r>
      <w:r>
        <w:rPr>
          <w:rFonts w:hint="eastAsia"/>
        </w:rPr>
        <w:t>德裔、克罗地亚裔、斯洛伐克裔、塞尔维亚裔、斯洛文尼亚裔、罗马尼亚裔</w:t>
      </w:r>
      <w:r>
        <w:rPr>
          <w:rFonts w:hint="eastAsia"/>
        </w:rPr>
        <w:t>)</w:t>
      </w:r>
      <w:r>
        <w:rPr>
          <w:rFonts w:hint="eastAsia"/>
        </w:rPr>
        <w:t>，</w:t>
      </w:r>
      <w:r>
        <w:rPr>
          <w:rFonts w:hint="eastAsia"/>
          <w:u w:val="single"/>
        </w:rPr>
        <w:t>几十年来已形成完善的教育机构系统</w:t>
      </w:r>
      <w:r>
        <w:rPr>
          <w:rFonts w:hint="eastAsia"/>
        </w:rPr>
        <w:t>，其中包括国家开办的学校和幼儿园。当然，对于这些民族语言，匈牙利已依据《欧洲区域或少数民族语言宪章》第三部分作出承诺。</w:t>
      </w:r>
    </w:p>
    <w:p w:rsidR="00000000" w:rsidRDefault="00000000">
      <w:pPr>
        <w:ind w:firstLine="510"/>
        <w:rPr>
          <w:rFonts w:hint="eastAsia"/>
        </w:rPr>
      </w:pPr>
      <w:r>
        <w:rPr>
          <w:rFonts w:hint="eastAsia"/>
        </w:rPr>
        <w:t xml:space="preserve">593.  </w:t>
      </w:r>
      <w:r>
        <w:rPr>
          <w:rFonts w:hint="eastAsia"/>
        </w:rPr>
        <w:t>鉴于各种不同因素</w:t>
      </w:r>
      <w:r>
        <w:rPr>
          <w:rFonts w:hint="eastAsia"/>
        </w:rPr>
        <w:t>(</w:t>
      </w:r>
      <w:r>
        <w:rPr>
          <w:rFonts w:hint="eastAsia"/>
        </w:rPr>
        <w:t>语言同化过程、地域分散、群体规模，等等</w:t>
      </w:r>
      <w:r>
        <w:rPr>
          <w:rFonts w:hint="eastAsia"/>
        </w:rPr>
        <w:t>)</w:t>
      </w:r>
      <w:r>
        <w:rPr>
          <w:rFonts w:hint="eastAsia"/>
        </w:rPr>
        <w:t>，匈牙利已形成一种有</w:t>
      </w:r>
      <w:r>
        <w:rPr>
          <w:rFonts w:hint="eastAsia"/>
          <w:b/>
          <w:bCs/>
        </w:rPr>
        <w:t>三</w:t>
      </w:r>
      <w:r>
        <w:rPr>
          <w:rFonts w:ascii="Time New Roman" w:eastAsia="SimHei" w:hAnsi="Time New Roman" w:hint="eastAsia"/>
        </w:rPr>
        <w:t>类少数民族学校</w:t>
      </w:r>
      <w:r>
        <w:rPr>
          <w:rFonts w:hint="eastAsia"/>
        </w:rPr>
        <w:t>的系统。最通常的一类学校包括将少数民族语言作为第二外语、一周至少有</w:t>
      </w:r>
      <w:r>
        <w:rPr>
          <w:rFonts w:hint="eastAsia"/>
        </w:rPr>
        <w:t>4</w:t>
      </w:r>
      <w:r>
        <w:rPr>
          <w:rFonts w:hint="eastAsia"/>
        </w:rPr>
        <w:t>或</w:t>
      </w:r>
      <w:r>
        <w:rPr>
          <w:rFonts w:hint="eastAsia"/>
        </w:rPr>
        <w:t>5</w:t>
      </w:r>
      <w:r>
        <w:rPr>
          <w:rFonts w:hint="eastAsia"/>
        </w:rPr>
        <w:t>堂课的学校。第二类学校包括相当一部分学科</w:t>
      </w:r>
      <w:r>
        <w:rPr>
          <w:rFonts w:hint="eastAsia"/>
        </w:rPr>
        <w:t>(</w:t>
      </w:r>
      <w:r>
        <w:rPr>
          <w:rFonts w:hint="eastAsia"/>
        </w:rPr>
        <w:t>至少</w:t>
      </w:r>
      <w:r>
        <w:rPr>
          <w:rFonts w:hint="eastAsia"/>
        </w:rPr>
        <w:t>50%)</w:t>
      </w:r>
      <w:r>
        <w:rPr>
          <w:rFonts w:hint="eastAsia"/>
        </w:rPr>
        <w:t>以少数民族语言讲授的双语学校。所有学科均用少数民族语言教授的学校为数不多，原因是缺少合格的教师，入学的学生人数亦十分有限。</w:t>
      </w:r>
    </w:p>
    <w:p w:rsidR="00000000" w:rsidRDefault="00000000">
      <w:pPr>
        <w:ind w:firstLine="510"/>
        <w:rPr>
          <w:rFonts w:hint="eastAsia"/>
        </w:rPr>
      </w:pPr>
      <w:r>
        <w:rPr>
          <w:rFonts w:hint="eastAsia"/>
        </w:rPr>
        <w:t xml:space="preserve">594.  </w:t>
      </w:r>
      <w:r>
        <w:rPr>
          <w:rFonts w:hint="eastAsia"/>
        </w:rPr>
        <w:t>按照条例规定，地方和全国性少数民族自治政府有权接管地方少数民族学校，如果它们与地方市议会签定了协议的话，因为通常市议会是教育机构的监管人。如果少数民族自治政府打算接管一所面向地区或全国的学校，这项协议就应当与教育部签定。这样，少数民族自治政府就成为这些学校的监管人。它们可以得到同市政府一样形式和数额的国家补助金，并可按照与前监管人同样的条件向出资单位提交项目提案。迄今为止，少数民族自治政府已分别接管了一所克罗地亚裔学校、一所斯洛伐克裔学校和两所德裔学校。通过为此提供财政支助，匈牙利共和国努力落实欧洲委员会部长委员会的建议，根据该建议，“匈牙利应当继续发展少数民族自治政府制度，尤其是创造有利条件，将教育和文化机构移交少数民族自治政府”。</w:t>
      </w:r>
    </w:p>
    <w:p w:rsidR="00000000" w:rsidRDefault="00000000">
      <w:pPr>
        <w:ind w:firstLine="510"/>
        <w:rPr>
          <w:rFonts w:hint="eastAsia"/>
        </w:rPr>
      </w:pPr>
      <w:r>
        <w:rPr>
          <w:rFonts w:hint="eastAsia"/>
        </w:rPr>
        <w:t xml:space="preserve">595.  </w:t>
      </w:r>
      <w:r>
        <w:rPr>
          <w:rFonts w:hint="eastAsia"/>
        </w:rPr>
        <w:t>匈牙利无法确保在所有科学领域内使用少数民族语言开展高等教育。我国只培养少数民族语言和文学教师，未对其他学科或专业的学生开设使用少数民族语言的课程。不过，同族国家与匈牙利之间订立的双边协定确保在其本土培养全日制或非全日制少数民族本科生和博士研究生。匈牙利承认在同族国家获得的文凭。对于以少数民族语言授课的理科合格教师人员不足的问题，另一项解决办法是从其本土“输入”教师。</w:t>
      </w:r>
    </w:p>
    <w:p w:rsidR="00000000" w:rsidRDefault="00000000">
      <w:pPr>
        <w:ind w:firstLine="510"/>
        <w:rPr>
          <w:rFonts w:hint="eastAsia"/>
        </w:rPr>
      </w:pPr>
      <w:r>
        <w:rPr>
          <w:rFonts w:hint="eastAsia"/>
        </w:rPr>
        <w:t xml:space="preserve">596.  </w:t>
      </w:r>
      <w:r>
        <w:rPr>
          <w:rFonts w:hint="eastAsia"/>
        </w:rPr>
        <w:t>第二类包括</w:t>
      </w:r>
      <w:r>
        <w:rPr>
          <w:rFonts w:hint="eastAsia"/>
          <w:u w:val="single"/>
        </w:rPr>
        <w:t>没有学校网</w:t>
      </w:r>
      <w:r>
        <w:rPr>
          <w:rFonts w:hint="eastAsia"/>
        </w:rPr>
        <w:t>、只有一所学校或甚至一所学校也没有的</w:t>
      </w:r>
      <w:r>
        <w:rPr>
          <w:rFonts w:hint="eastAsia"/>
          <w:u w:val="single"/>
        </w:rPr>
        <w:t>人数较少的少数民族</w:t>
      </w:r>
      <w:r>
        <w:rPr>
          <w:rFonts w:hint="eastAsia"/>
        </w:rPr>
        <w:t>。为了教授土著语言，它们额外开设了某些课程，即所谓的星期日学校，作为学校系统之外的一种特殊形式的少数民族教育。一般来说，这一形式的教育组织者是少数民族自治政府，教育部为其提供资金。当然，</w:t>
      </w:r>
      <w:r>
        <w:rPr>
          <w:rFonts w:hint="eastAsia"/>
        </w:rPr>
        <w:t>8</w:t>
      </w:r>
      <w:r>
        <w:rPr>
          <w:rFonts w:hint="eastAsia"/>
        </w:rPr>
        <w:t>名学生家长倡议这一原则也适用于这些小规模的少数民族。</w:t>
      </w:r>
      <w:r>
        <w:rPr>
          <w:rFonts w:hint="eastAsia"/>
        </w:rPr>
        <w:t>2004</w:t>
      </w:r>
      <w:r>
        <w:rPr>
          <w:rFonts w:hint="eastAsia"/>
        </w:rPr>
        <w:t>年，保加利亚裔、希腊裔和波兰裔族群以上述补充性少数民族教育的形式各自开办了其第一所教育机构。</w:t>
      </w:r>
    </w:p>
    <w:p w:rsidR="00000000" w:rsidRDefault="00000000">
      <w:pPr>
        <w:ind w:firstLine="510"/>
        <w:rPr>
          <w:rFonts w:hint="eastAsia"/>
        </w:rPr>
      </w:pPr>
      <w:r>
        <w:rPr>
          <w:rFonts w:hint="eastAsia"/>
        </w:rPr>
        <w:t xml:space="preserve">597.  </w:t>
      </w:r>
      <w:r>
        <w:rPr>
          <w:rFonts w:hint="eastAsia"/>
        </w:rPr>
        <w:t>第三类包括</w:t>
      </w:r>
      <w:r>
        <w:rPr>
          <w:rFonts w:hint="eastAsia"/>
          <w:u w:val="single"/>
        </w:rPr>
        <w:t>罗姆少数民族</w:t>
      </w:r>
      <w:r>
        <w:rPr>
          <w:rFonts w:hint="eastAsia"/>
        </w:rPr>
        <w:t>。这里的主要问题不在于提供母语教育问题，因为</w:t>
      </w:r>
      <w:r>
        <w:rPr>
          <w:rFonts w:hint="eastAsia"/>
        </w:rPr>
        <w:t>85%</w:t>
      </w:r>
      <w:r>
        <w:rPr>
          <w:rFonts w:hint="eastAsia"/>
        </w:rPr>
        <w:t>的罗姆人几百年前就不再使用其土著语言，他们只讲匈牙利语。教育部的首要目标是通过促进以及从财政上支持无种族界限的教育，消除学校民族分隔现象。</w:t>
      </w:r>
    </w:p>
    <w:p w:rsidR="00000000" w:rsidRDefault="00000000">
      <w:pPr>
        <w:ind w:firstLine="510"/>
        <w:rPr>
          <w:rFonts w:hint="eastAsia"/>
        </w:rPr>
      </w:pPr>
      <w:r>
        <w:rPr>
          <w:rFonts w:hint="eastAsia"/>
        </w:rPr>
        <w:t xml:space="preserve">598.  </w:t>
      </w:r>
      <w:r>
        <w:rPr>
          <w:rFonts w:hint="eastAsia"/>
        </w:rPr>
        <w:t>根据教育部</w:t>
      </w:r>
      <w:r>
        <w:rPr>
          <w:rFonts w:hint="eastAsia"/>
        </w:rPr>
        <w:t>2000</w:t>
      </w:r>
      <w:r>
        <w:rPr>
          <w:rFonts w:hint="eastAsia"/>
        </w:rPr>
        <w:t>年所开展的一项调查，几乎所有罗姆儿童都完成了小学八年级教育。这是了不起的进步，因为在七十和九十年代初期，这一比例曾分别为</w:t>
      </w:r>
      <w:r>
        <w:rPr>
          <w:rFonts w:hint="eastAsia"/>
        </w:rPr>
        <w:t>26%</w:t>
      </w:r>
      <w:r>
        <w:rPr>
          <w:rFonts w:hint="eastAsia"/>
        </w:rPr>
        <w:t>和</w:t>
      </w:r>
      <w:r>
        <w:rPr>
          <w:rFonts w:hint="eastAsia"/>
        </w:rPr>
        <w:t>75%</w:t>
      </w:r>
      <w:r>
        <w:rPr>
          <w:rFonts w:hint="eastAsia"/>
        </w:rPr>
        <w:t>。不过，其中相当大一部分儿童完成小学学业时其义务教育年龄已过，无论从数量还是质量上看，他们在准备深造中学或职业学校的学习表现都是不尽人意的。完成初等教育的罗姆儿童，约有</w:t>
      </w:r>
      <w:r>
        <w:rPr>
          <w:rFonts w:hint="eastAsia"/>
        </w:rPr>
        <w:t>84-85%</w:t>
      </w:r>
      <w:r>
        <w:rPr>
          <w:rFonts w:hint="eastAsia"/>
        </w:rPr>
        <w:t>的人继续接受中等教育，但只有五分之一的人选择出具中学毕业证书可继续接受高等教育的学校。大多数罗姆族中学生所选修的学科，给他们带来的就业机会十分有限。获得高等教育证书的罗姆人不足</w:t>
      </w:r>
      <w:r>
        <w:rPr>
          <w:rFonts w:hint="eastAsia"/>
        </w:rPr>
        <w:t>1%</w:t>
      </w:r>
      <w:r>
        <w:rPr>
          <w:rFonts w:hint="eastAsia"/>
        </w:rPr>
        <w:t>。在教育部的支助下，一些高等教育机构开办了预科班，以增进青年人的入学机会，并提高从零起步的学习成绩。七年来，不断完善的罗姆族学生奖学金制度，有效地激励罗姆青年接受中等和高等教育。在</w:t>
      </w:r>
      <w:r>
        <w:rPr>
          <w:rFonts w:hint="eastAsia"/>
        </w:rPr>
        <w:t>2004/2005</w:t>
      </w:r>
      <w:r>
        <w:rPr>
          <w:rFonts w:hint="eastAsia"/>
        </w:rPr>
        <w:t>学年第一学期，奖学金受与人人数约为</w:t>
      </w:r>
      <w:r>
        <w:rPr>
          <w:rFonts w:hint="eastAsia"/>
        </w:rPr>
        <w:t>26,600</w:t>
      </w:r>
      <w:r>
        <w:rPr>
          <w:rFonts w:hint="eastAsia"/>
        </w:rPr>
        <w:t>人。</w:t>
      </w:r>
    </w:p>
    <w:p w:rsidR="00000000" w:rsidRDefault="00000000">
      <w:pPr>
        <w:ind w:firstLine="510"/>
        <w:rPr>
          <w:rFonts w:hint="eastAsia"/>
        </w:rPr>
      </w:pPr>
      <w:r>
        <w:rPr>
          <w:rFonts w:hint="eastAsia"/>
        </w:rPr>
        <w:t xml:space="preserve">599.  </w:t>
      </w:r>
      <w:r>
        <w:rPr>
          <w:rFonts w:hint="eastAsia"/>
        </w:rPr>
        <w:t>学前和学校教育的成功为罗姆族社区确立了平等机会，这在很大程度上取决于教师培训和进修的专业质量如何。在教育部的支助下，一些高等教育机构在系、大专或独立课程范围内，开设了罗姆学研究课程</w:t>
      </w:r>
      <w:r>
        <w:rPr>
          <w:rFonts w:hint="eastAsia"/>
        </w:rPr>
        <w:t>(</w:t>
      </w:r>
      <w:r>
        <w:t>Romology</w:t>
      </w:r>
      <w:r>
        <w:rPr>
          <w:rFonts w:hint="eastAsia"/>
        </w:rPr>
        <w:t>)</w:t>
      </w:r>
      <w:r>
        <w:rPr>
          <w:rFonts w:hint="eastAsia"/>
        </w:rPr>
        <w:t>，以增进学生的了解与认识。</w:t>
      </w:r>
    </w:p>
    <w:p w:rsidR="00000000" w:rsidRDefault="00000000">
      <w:pPr>
        <w:ind w:firstLine="510"/>
        <w:rPr>
          <w:rFonts w:hint="eastAsia"/>
        </w:rPr>
      </w:pPr>
      <w:r>
        <w:rPr>
          <w:rFonts w:hint="eastAsia"/>
        </w:rPr>
        <w:t xml:space="preserve">600.  </w:t>
      </w:r>
      <w:r>
        <w:rPr>
          <w:rFonts w:hint="eastAsia"/>
        </w:rPr>
        <w:t>教育部罗姆族问题部委员促使建立了一个全国综合教育网，并倡导实行一种新的人均教育财政支助，即“综合标准支助”。该网络自</w:t>
      </w:r>
      <w:r>
        <w:rPr>
          <w:rFonts w:hint="eastAsia"/>
        </w:rPr>
        <w:t>2003</w:t>
      </w:r>
      <w:r>
        <w:rPr>
          <w:rFonts w:hint="eastAsia"/>
        </w:rPr>
        <w:t>年</w:t>
      </w:r>
      <w:r>
        <w:rPr>
          <w:rFonts w:hint="eastAsia"/>
        </w:rPr>
        <w:t>1</w:t>
      </w:r>
      <w:r>
        <w:rPr>
          <w:rFonts w:hint="eastAsia"/>
        </w:rPr>
        <w:t>月运作以来，帮助启动了几近五十项方案，这些方案的目标是促使处于社会不利境地的儿童和罗姆儿童融入社会</w:t>
      </w:r>
      <w:r>
        <w:rPr>
          <w:rFonts w:hint="eastAsia"/>
        </w:rPr>
        <w:t>(</w:t>
      </w:r>
      <w:r>
        <w:rPr>
          <w:rFonts w:hint="eastAsia"/>
        </w:rPr>
        <w:t>详情见下文关于为增加处于不利境地或需要特殊教育的儿童的机会的措施一节</w:t>
      </w:r>
      <w:r>
        <w:rPr>
          <w:rFonts w:hint="eastAsia"/>
        </w:rPr>
        <w:t>)</w:t>
      </w:r>
      <w:r>
        <w:rPr>
          <w:rFonts w:hint="eastAsia"/>
        </w:rPr>
        <w:t>。</w:t>
      </w:r>
    </w:p>
    <w:p w:rsidR="00000000" w:rsidRDefault="00000000">
      <w:pPr>
        <w:spacing w:after="320"/>
        <w:ind w:firstLine="510"/>
        <w:rPr>
          <w:rFonts w:hint="eastAsia"/>
        </w:rPr>
      </w:pPr>
      <w:r>
        <w:rPr>
          <w:rFonts w:hint="eastAsia"/>
        </w:rPr>
        <w:t xml:space="preserve">601.  </w:t>
      </w:r>
      <w:r>
        <w:rPr>
          <w:rFonts w:hint="eastAsia"/>
        </w:rPr>
        <w:t>如果我们想增进社会的宽容与民主，初等教育系统就应当使人人有机会了解少数民族的文化与历史，这一点极其重要。正因为如此，“国家教育大纲”才规定：“学校各级教育应使每个儿童了解我国少数民族的文化与历史”。为此，罗姆族文化与历史知识已成为毕业条件之一，列为历史和匈牙利语言与文学科目的一门毕业考试科目。罗姆族文化课首先在小学低年级开设，继而在高年级和中学推出。我国希望，通过列入多文化内容的要求，使多数人社会的儿童能够及早了解其少数民族同龄人的文化，减少因偏见所造成的距离感。这方面的一个主要改革是，在公共教育中开设了罗姆语言课。</w:t>
      </w:r>
    </w:p>
    <w:p w:rsidR="00000000" w:rsidRDefault="00000000">
      <w:pPr>
        <w:pStyle w:val="Heading4"/>
        <w:ind w:left="520"/>
        <w:rPr>
          <w:rFonts w:eastAsia="KaiTi_GB2312" w:hint="eastAsia"/>
          <w:snapToGrid/>
          <w:spacing w:val="0"/>
          <w:u w:val="none"/>
        </w:rPr>
      </w:pPr>
      <w:r>
        <w:rPr>
          <w:rFonts w:eastAsia="KaiTi_GB2312" w:hint="eastAsia"/>
          <w:snapToGrid/>
          <w:spacing w:val="0"/>
          <w:u w:val="none"/>
        </w:rPr>
        <w:t>移</w:t>
      </w:r>
      <w:r>
        <w:rPr>
          <w:rFonts w:eastAsia="KaiTi_GB2312" w:hint="eastAsia"/>
          <w:snapToGrid/>
          <w:spacing w:val="0"/>
          <w:u w:val="none"/>
        </w:rPr>
        <w:t xml:space="preserve">  </w:t>
      </w:r>
      <w:r>
        <w:rPr>
          <w:rFonts w:eastAsia="KaiTi_GB2312" w:hint="eastAsia"/>
          <w:snapToGrid/>
          <w:spacing w:val="0"/>
          <w:u w:val="none"/>
        </w:rPr>
        <w:t>民</w:t>
      </w:r>
    </w:p>
    <w:p w:rsidR="00000000" w:rsidRDefault="00000000">
      <w:pPr>
        <w:spacing w:after="320"/>
        <w:ind w:firstLine="510"/>
        <w:rPr>
          <w:rFonts w:hint="eastAsia"/>
        </w:rPr>
      </w:pPr>
      <w:r>
        <w:rPr>
          <w:rFonts w:hint="eastAsia"/>
        </w:rPr>
        <w:t xml:space="preserve">602.  </w:t>
      </w:r>
      <w:r>
        <w:rPr>
          <w:rFonts w:hint="eastAsia"/>
        </w:rPr>
        <w:t>匈牙利实行政治制度改革之后，在国内合法逗留和长期居留的外国人人数大大增加。不过，在接收外国人的大部分学校中，授课语言仍为匈牙利语。在地方当局开办的学校里，匈牙利语只能作为母语来学习，由于这一规定，外国人即不够入学资格。因此，外国学生因语言问题而须在一个班上读两年，或他们只能注册进入低年级，这一现象十分普遍。大多数学校无法做到让外国人使用母语学习。其母语为世界通用语言之一或可在匈牙利学习的一种语言的学生，其情况稍好一些。对于这些学生，双语学校或少数民族学校提供了接受学校教育的机会。</w:t>
      </w:r>
    </w:p>
    <w:p w:rsidR="00000000" w:rsidRDefault="00000000">
      <w:pPr>
        <w:pStyle w:val="Heading4"/>
        <w:ind w:left="520"/>
        <w:rPr>
          <w:rFonts w:eastAsia="KaiTi_GB2312" w:hint="eastAsia"/>
          <w:snapToGrid/>
          <w:spacing w:val="0"/>
          <w:u w:val="none"/>
        </w:rPr>
      </w:pPr>
      <w:r>
        <w:rPr>
          <w:rFonts w:eastAsia="KaiTi_GB2312" w:hint="eastAsia"/>
          <w:snapToGrid/>
          <w:spacing w:val="0"/>
          <w:u w:val="none"/>
        </w:rPr>
        <w:t>并非由国家或地方当局开办的公共教育机构</w:t>
      </w:r>
    </w:p>
    <w:p w:rsidR="00000000" w:rsidRDefault="00000000">
      <w:pPr>
        <w:ind w:firstLine="510"/>
        <w:rPr>
          <w:rFonts w:hint="eastAsia"/>
        </w:rPr>
      </w:pPr>
      <w:r>
        <w:rPr>
          <w:rFonts w:hint="eastAsia"/>
        </w:rPr>
        <w:t xml:space="preserve">603.  </w:t>
      </w:r>
      <w:r>
        <w:rPr>
          <w:rFonts w:hint="eastAsia"/>
        </w:rPr>
        <w:t>在匈牙利，有两类教育机构不是由地方当局开办的：教会或教派学校和基金会或私立学校。两类学校的法律地位很相似，但其创办方式、教学目的、运作或社会基础，以及国家支助等则有所不同。私立学校作为独立法人机构，与地方当局的教育系统分开单独运作，享有办学自主权。不过，它们的筹资和教学活动受国家管制。它们可以自主选择监管人和管理部门的构成形式，它们也可自由制定其教学大纲和课程。它们可作为伙伴参与完成地方当局提出的任务。在这种情况下，它们要与地方或州自治政府签定一项公共教育协议，如果该机构计划执行一项地区或全国性任务，则与教育部签定该协议。国家预算和监管人为私立学校的运作提供资金。国家基于部门中立原则，在同一名目下为其提供与地方当局同样数额的标准支助。如果私立学校根据一项公共教育协议完成的是国家或自治政府提出的任务，国家或地方当局可为其提供额外财政支助。</w:t>
      </w:r>
    </w:p>
    <w:p w:rsidR="00000000" w:rsidRDefault="00000000">
      <w:pPr>
        <w:ind w:firstLine="510"/>
        <w:rPr>
          <w:rFonts w:hint="eastAsia"/>
        </w:rPr>
      </w:pPr>
      <w:r>
        <w:rPr>
          <w:rFonts w:hint="eastAsia"/>
        </w:rPr>
        <w:t xml:space="preserve">604.  </w:t>
      </w:r>
      <w:r>
        <w:rPr>
          <w:rFonts w:hint="eastAsia"/>
        </w:rPr>
        <w:t>教会在招收儿童和学生进入其所开办的教育机构之后，作为法人，它有权获得标准预算支助。按照梵蒂冈协定</w:t>
      </w:r>
      <w:r>
        <w:rPr>
          <w:rFonts w:hint="eastAsia"/>
        </w:rPr>
        <w:t>(1997</w:t>
      </w:r>
      <w:r>
        <w:rPr>
          <w:rFonts w:hint="eastAsia"/>
        </w:rPr>
        <w:t>年</w:t>
      </w:r>
      <w:r>
        <w:rPr>
          <w:rFonts w:hint="eastAsia"/>
        </w:rPr>
        <w:t>6</w:t>
      </w:r>
      <w:r>
        <w:rPr>
          <w:rFonts w:hint="eastAsia"/>
        </w:rPr>
        <w:t>月</w:t>
      </w:r>
      <w:r>
        <w:rPr>
          <w:rFonts w:hint="eastAsia"/>
        </w:rPr>
        <w:t>20</w:t>
      </w:r>
      <w:r>
        <w:rPr>
          <w:rFonts w:hint="eastAsia"/>
        </w:rPr>
        <w:t>日匈牙利共和国与教廷就为匈牙利罗马天主教教会的公共服务和宗教活动供资事宜签定的一项协定</w:t>
      </w:r>
      <w:r>
        <w:rPr>
          <w:rFonts w:hint="eastAsia"/>
        </w:rPr>
        <w:t>)</w:t>
      </w:r>
      <w:r>
        <w:rPr>
          <w:rFonts w:hint="eastAsia"/>
        </w:rPr>
        <w:t>，罗马天主教教会开办的学校也享有额外财政支助。</w:t>
      </w:r>
    </w:p>
    <w:p w:rsidR="00000000" w:rsidRDefault="00000000">
      <w:pPr>
        <w:spacing w:after="320"/>
        <w:ind w:firstLine="510"/>
        <w:rPr>
          <w:rFonts w:hint="eastAsia"/>
        </w:rPr>
      </w:pPr>
      <w:r>
        <w:rPr>
          <w:rFonts w:hint="eastAsia"/>
        </w:rPr>
        <w:t xml:space="preserve">605.  </w:t>
      </w:r>
      <w:r>
        <w:rPr>
          <w:rFonts w:hint="eastAsia"/>
        </w:rPr>
        <w:t>非国家行为者办学的主要形式为中等和高等教育。在中等一级，教会开办的教育机构主要是准备深造中学，大多数基金会学校则多见于职业培训领域。</w:t>
      </w:r>
    </w:p>
    <w:p w:rsidR="00000000" w:rsidRDefault="00000000">
      <w:pPr>
        <w:pStyle w:val="Heading4"/>
        <w:ind w:left="520"/>
        <w:rPr>
          <w:rFonts w:eastAsia="KaiTi_GB2312" w:hint="eastAsia"/>
          <w:snapToGrid/>
          <w:spacing w:val="0"/>
          <w:u w:val="none"/>
        </w:rPr>
      </w:pPr>
      <w:r>
        <w:rPr>
          <w:rFonts w:eastAsia="KaiTi_GB2312" w:hint="eastAsia"/>
          <w:snapToGrid/>
          <w:spacing w:val="0"/>
          <w:u w:val="none"/>
        </w:rPr>
        <w:t>入学机会、转学可能性、学生的辍学率、补习进修办法</w:t>
      </w:r>
    </w:p>
    <w:p w:rsidR="00000000" w:rsidRDefault="00000000">
      <w:pPr>
        <w:ind w:firstLine="510"/>
        <w:rPr>
          <w:rFonts w:hint="eastAsia"/>
        </w:rPr>
      </w:pPr>
      <w:r>
        <w:rPr>
          <w:rFonts w:hint="eastAsia"/>
        </w:rPr>
        <w:t xml:space="preserve">606.  </w:t>
      </w:r>
      <w:r>
        <w:rPr>
          <w:rFonts w:hint="eastAsia"/>
        </w:rPr>
        <w:t>在年满</w:t>
      </w:r>
      <w:r>
        <w:rPr>
          <w:rFonts w:hint="eastAsia"/>
        </w:rPr>
        <w:t>5</w:t>
      </w:r>
      <w:r>
        <w:rPr>
          <w:rFonts w:hint="eastAsia"/>
        </w:rPr>
        <w:t>岁的儿童中，进入幼稚园的儿童比例超过</w:t>
      </w:r>
      <w:r>
        <w:rPr>
          <w:rFonts w:hint="eastAsia"/>
        </w:rPr>
        <w:t>95%</w:t>
      </w:r>
      <w:r>
        <w:rPr>
          <w:rFonts w:hint="eastAsia"/>
        </w:rPr>
        <w:t>。业内专家日趋一致的看法是，幼稚园对于加强社会融合和为学校教育做准备起到了积极的作用。虽然自</w:t>
      </w:r>
      <w:r>
        <w:rPr>
          <w:rFonts w:hint="eastAsia"/>
        </w:rPr>
        <w:t>2000</w:t>
      </w:r>
      <w:r>
        <w:rPr>
          <w:rFonts w:hint="eastAsia"/>
        </w:rPr>
        <w:t>年以来，就全国平均而言，幼稚园位置超过儿童人数，但</w:t>
      </w:r>
      <w:r>
        <w:rPr>
          <w:rFonts w:hint="eastAsia"/>
        </w:rPr>
        <w:t>2001</w:t>
      </w:r>
      <w:r>
        <w:rPr>
          <w:rFonts w:hint="eastAsia"/>
        </w:rPr>
        <w:t>年仍有</w:t>
      </w:r>
      <w:r>
        <w:rPr>
          <w:rFonts w:hint="eastAsia"/>
        </w:rPr>
        <w:t>25%</w:t>
      </w:r>
      <w:r>
        <w:rPr>
          <w:rFonts w:hint="eastAsia"/>
        </w:rPr>
        <w:t>的幼稚园园长指出，由于位置不够，它们不得不拒绝申请人的入园请求。</w:t>
      </w:r>
    </w:p>
    <w:p w:rsidR="00000000" w:rsidRDefault="00000000">
      <w:pPr>
        <w:ind w:firstLine="510"/>
        <w:rPr>
          <w:rFonts w:hint="eastAsia"/>
        </w:rPr>
      </w:pPr>
      <w:r>
        <w:rPr>
          <w:rFonts w:hint="eastAsia"/>
        </w:rPr>
        <w:t xml:space="preserve">607.  </w:t>
      </w:r>
      <w:r>
        <w:rPr>
          <w:rFonts w:hint="eastAsia"/>
        </w:rPr>
        <w:t>在匈牙利，在最后修正《公共教育法令》</w:t>
      </w:r>
      <w:r>
        <w:rPr>
          <w:rFonts w:hint="eastAsia"/>
        </w:rPr>
        <w:t>(2003</w:t>
      </w:r>
      <w:r>
        <w:rPr>
          <w:rFonts w:hint="eastAsia"/>
        </w:rPr>
        <w:t>年</w:t>
      </w:r>
      <w:r>
        <w:rPr>
          <w:rFonts w:hint="eastAsia"/>
        </w:rPr>
        <w:t>)</w:t>
      </w:r>
      <w:r>
        <w:rPr>
          <w:rFonts w:hint="eastAsia"/>
        </w:rPr>
        <w:t>之前，各个年级均允许留级。从</w:t>
      </w:r>
      <w:r>
        <w:rPr>
          <w:rFonts w:hint="eastAsia"/>
        </w:rPr>
        <w:t>2004</w:t>
      </w:r>
      <w:r>
        <w:rPr>
          <w:rFonts w:hint="eastAsia"/>
        </w:rPr>
        <w:t>年起，前三年只有经家长同意方可留级，评定儿童成绩应以文字作出，而不是打分数。一年级、五年级和六年级最易出现留级情况，八年级留级最为少见。</w:t>
      </w:r>
      <w:r>
        <w:rPr>
          <w:rFonts w:hint="eastAsia"/>
        </w:rPr>
        <w:t>2000</w:t>
      </w:r>
      <w:r>
        <w:rPr>
          <w:rFonts w:hint="eastAsia"/>
        </w:rPr>
        <w:t>年，年满</w:t>
      </w:r>
      <w:r>
        <w:rPr>
          <w:rFonts w:hint="eastAsia"/>
        </w:rPr>
        <w:t>16</w:t>
      </w:r>
      <w:r>
        <w:rPr>
          <w:rFonts w:hint="eastAsia"/>
        </w:rPr>
        <w:t>岁的学生</w:t>
      </w:r>
      <w:r>
        <w:rPr>
          <w:rFonts w:hint="eastAsia"/>
        </w:rPr>
        <w:t>95%</w:t>
      </w:r>
      <w:r>
        <w:rPr>
          <w:rFonts w:hint="eastAsia"/>
        </w:rPr>
        <w:t>完成了小学学业。</w:t>
      </w:r>
    </w:p>
    <w:p w:rsidR="00000000" w:rsidRDefault="00000000">
      <w:pPr>
        <w:ind w:firstLine="510"/>
        <w:rPr>
          <w:rFonts w:hint="eastAsia"/>
        </w:rPr>
      </w:pPr>
      <w:r>
        <w:rPr>
          <w:rFonts w:hint="eastAsia"/>
        </w:rPr>
        <w:t xml:space="preserve">608.  </w:t>
      </w:r>
      <w:r>
        <w:rPr>
          <w:rFonts w:hint="eastAsia"/>
        </w:rPr>
        <w:t>在匈牙利，小学入学基本没问题，只有在例外情况下</w:t>
      </w:r>
      <w:r>
        <w:rPr>
          <w:rFonts w:hint="eastAsia"/>
        </w:rPr>
        <w:t>(</w:t>
      </w:r>
      <w:r>
        <w:rPr>
          <w:rFonts w:hint="eastAsia"/>
        </w:rPr>
        <w:t>双语教学、体育分校</w:t>
      </w:r>
      <w:r>
        <w:rPr>
          <w:rFonts w:hint="eastAsia"/>
        </w:rPr>
        <w:t>)</w:t>
      </w:r>
      <w:r>
        <w:rPr>
          <w:rFonts w:hint="eastAsia"/>
        </w:rPr>
        <w:t>才拒收新生。在中等和高等教育部门，入学范围较为有限。学校是根据其招收学生人数来获取预算支助，因此它们竭力缩小不同教育机构教学大纲之间的差距，旨在增加学生人数。根据</w:t>
      </w:r>
      <w:r>
        <w:rPr>
          <w:rFonts w:hint="eastAsia"/>
        </w:rPr>
        <w:t>2001</w:t>
      </w:r>
      <w:r>
        <w:rPr>
          <w:rFonts w:hint="eastAsia"/>
        </w:rPr>
        <w:t>年的一项研究，专门学校每两名学生中有一人转学时可能无须重读一年，三分之一的学生可能转学时须重读一年。此外也有专门学校九年级和十年级学生转入其他中学的情况</w:t>
      </w:r>
      <w:r>
        <w:rPr>
          <w:rFonts w:hint="eastAsia"/>
        </w:rPr>
        <w:t>(</w:t>
      </w:r>
      <w:r>
        <w:rPr>
          <w:rFonts w:hint="eastAsia"/>
        </w:rPr>
        <w:t>大多情况下无须重读一年</w:t>
      </w:r>
      <w:r>
        <w:rPr>
          <w:rFonts w:hint="eastAsia"/>
        </w:rPr>
        <w:t>)</w:t>
      </w:r>
      <w:r>
        <w:rPr>
          <w:rFonts w:hint="eastAsia"/>
        </w:rPr>
        <w:t>。</w:t>
      </w:r>
    </w:p>
    <w:p w:rsidR="00000000" w:rsidRDefault="00000000">
      <w:pPr>
        <w:ind w:firstLine="510"/>
        <w:rPr>
          <w:rFonts w:hint="eastAsia"/>
        </w:rPr>
      </w:pPr>
      <w:r>
        <w:rPr>
          <w:rFonts w:hint="eastAsia"/>
        </w:rPr>
        <w:t xml:space="preserve">609.  </w:t>
      </w:r>
      <w:r>
        <w:rPr>
          <w:rFonts w:hint="eastAsia"/>
        </w:rPr>
        <w:t>在过去几年中，成人初级教育规模日趋缩小。参加成人中等教育的人数比例与准备深造中学和中等职业学校的比例大体持平</w:t>
      </w:r>
      <w:r>
        <w:rPr>
          <w:rFonts w:hint="eastAsia"/>
        </w:rPr>
        <w:t>(18%)</w:t>
      </w:r>
      <w:r>
        <w:rPr>
          <w:rFonts w:hint="eastAsia"/>
        </w:rPr>
        <w:t>，但大大低于专门学校教育</w:t>
      </w:r>
      <w:r>
        <w:rPr>
          <w:rFonts w:hint="eastAsia"/>
        </w:rPr>
        <w:t>(3%)</w:t>
      </w:r>
      <w:r>
        <w:rPr>
          <w:rFonts w:hint="eastAsia"/>
        </w:rPr>
        <w:t>。年轻一代</w:t>
      </w:r>
      <w:r>
        <w:rPr>
          <w:rFonts w:hint="eastAsia"/>
        </w:rPr>
        <w:t>(18</w:t>
      </w:r>
      <w:r>
        <w:rPr>
          <w:rFonts w:hint="eastAsia"/>
        </w:rPr>
        <w:t>岁至</w:t>
      </w:r>
      <w:r>
        <w:rPr>
          <w:rFonts w:hint="eastAsia"/>
        </w:rPr>
        <w:t>22</w:t>
      </w:r>
      <w:r>
        <w:rPr>
          <w:rFonts w:hint="eastAsia"/>
        </w:rPr>
        <w:t>岁之间的学生</w:t>
      </w:r>
      <w:r>
        <w:rPr>
          <w:rFonts w:hint="eastAsia"/>
        </w:rPr>
        <w:t>)</w:t>
      </w:r>
      <w:r>
        <w:rPr>
          <w:rFonts w:hint="eastAsia"/>
        </w:rPr>
        <w:t>在成人教育中所占比例最大。</w:t>
      </w:r>
      <w:r>
        <w:rPr>
          <w:rFonts w:hint="eastAsia"/>
        </w:rPr>
        <w:t>2001</w:t>
      </w:r>
      <w:r>
        <w:rPr>
          <w:rFonts w:hint="eastAsia"/>
        </w:rPr>
        <w:t>年通过的《成人教育法令》拓展了成人教育的作用，使其不仅具有进修功能，还赋予其“终身教育”的功能特征。</w:t>
      </w:r>
    </w:p>
    <w:p w:rsidR="00000000" w:rsidRDefault="00000000">
      <w:pPr>
        <w:spacing w:after="320"/>
        <w:ind w:firstLine="510"/>
        <w:rPr>
          <w:rFonts w:hint="eastAsia"/>
        </w:rPr>
      </w:pPr>
      <w:r>
        <w:rPr>
          <w:rFonts w:hint="eastAsia"/>
        </w:rPr>
        <w:t xml:space="preserve">610.  </w:t>
      </w:r>
      <w:r>
        <w:rPr>
          <w:rFonts w:hint="eastAsia"/>
        </w:rPr>
        <w:t>较之</w:t>
      </w:r>
      <w:r>
        <w:rPr>
          <w:rFonts w:hint="eastAsia"/>
        </w:rPr>
        <w:t>1990</w:t>
      </w:r>
      <w:r>
        <w:rPr>
          <w:rFonts w:hint="eastAsia"/>
        </w:rPr>
        <w:t>年，</w:t>
      </w:r>
      <w:r>
        <w:rPr>
          <w:rFonts w:hint="eastAsia"/>
        </w:rPr>
        <w:t>2002</w:t>
      </w:r>
      <w:r>
        <w:rPr>
          <w:rFonts w:hint="eastAsia"/>
        </w:rPr>
        <w:t>年高等教育学生人数增至三倍，而通过毕业考试的学生人数却只增加了三分之一。在过去十年中，在毕业考试当年向高等教育机构提出申请的人数增加了</w:t>
      </w:r>
      <w:r>
        <w:rPr>
          <w:rFonts w:hint="eastAsia"/>
        </w:rPr>
        <w:t>85%</w:t>
      </w:r>
      <w:r>
        <w:rPr>
          <w:rFonts w:hint="eastAsia"/>
        </w:rPr>
        <w:t>，申请获得批准的人数增加了</w:t>
      </w:r>
      <w:r>
        <w:rPr>
          <w:rFonts w:hint="eastAsia"/>
        </w:rPr>
        <w:t>122%</w:t>
      </w:r>
      <w:r>
        <w:rPr>
          <w:rFonts w:hint="eastAsia"/>
        </w:rPr>
        <w:t>。自</w:t>
      </w:r>
      <w:r>
        <w:rPr>
          <w:rFonts w:hint="eastAsia"/>
        </w:rPr>
        <w:t>1990</w:t>
      </w:r>
      <w:r>
        <w:rPr>
          <w:rFonts w:hint="eastAsia"/>
        </w:rPr>
        <w:t>年代中期以来，接受日间学校教育的学生人数约为</w:t>
      </w:r>
      <w:r>
        <w:rPr>
          <w:rFonts w:hint="eastAsia"/>
        </w:rPr>
        <w:t>80,000</w:t>
      </w:r>
      <w:r>
        <w:rPr>
          <w:rFonts w:hint="eastAsia"/>
        </w:rPr>
        <w:t>人。</w:t>
      </w:r>
      <w:r>
        <w:rPr>
          <w:rFonts w:hint="eastAsia"/>
        </w:rPr>
        <w:t>2000</w:t>
      </w:r>
      <w:r>
        <w:rPr>
          <w:rFonts w:hint="eastAsia"/>
        </w:rPr>
        <w:t>至</w:t>
      </w:r>
      <w:r>
        <w:rPr>
          <w:rFonts w:hint="eastAsia"/>
        </w:rPr>
        <w:t>2001</w:t>
      </w:r>
      <w:r>
        <w:rPr>
          <w:rFonts w:hint="eastAsia"/>
        </w:rPr>
        <w:t>年间，国家所资助的学习名额录取人数增加了</w:t>
      </w:r>
      <w:r>
        <w:rPr>
          <w:rFonts w:hint="eastAsia"/>
        </w:rPr>
        <w:t>8.45%</w:t>
      </w:r>
      <w:r>
        <w:rPr>
          <w:rFonts w:hint="eastAsia"/>
        </w:rPr>
        <w:t>，高等教育机构中此类名额录取人数增加了</w:t>
      </w:r>
      <w:r>
        <w:rPr>
          <w:rFonts w:hint="eastAsia"/>
        </w:rPr>
        <w:t>23.74%</w:t>
      </w:r>
      <w:r>
        <w:rPr>
          <w:rFonts w:hint="eastAsia"/>
        </w:rPr>
        <w:t>。</w:t>
      </w:r>
    </w:p>
    <w:p w:rsidR="00000000" w:rsidRDefault="00000000">
      <w:pPr>
        <w:pStyle w:val="Heading4"/>
        <w:ind w:left="520"/>
        <w:rPr>
          <w:rFonts w:eastAsia="KaiTi_GB2312" w:hint="eastAsia"/>
          <w:snapToGrid/>
          <w:spacing w:val="0"/>
          <w:u w:val="none"/>
        </w:rPr>
      </w:pPr>
      <w:r>
        <w:rPr>
          <w:rFonts w:eastAsia="KaiTi_GB2312" w:hint="eastAsia"/>
          <w:snapToGrid/>
          <w:spacing w:val="0"/>
          <w:u w:val="none"/>
        </w:rPr>
        <w:t>为增加处境不利或需要特殊教育的儿童的机会所采取的措施</w:t>
      </w:r>
    </w:p>
    <w:p w:rsidR="00000000" w:rsidRDefault="00000000">
      <w:pPr>
        <w:ind w:firstLine="510"/>
        <w:rPr>
          <w:rFonts w:hint="eastAsia"/>
        </w:rPr>
      </w:pPr>
      <w:r>
        <w:rPr>
          <w:rFonts w:hint="eastAsia"/>
        </w:rPr>
        <w:t xml:space="preserve">611.  </w:t>
      </w:r>
      <w:r>
        <w:rPr>
          <w:rFonts w:hint="eastAsia"/>
        </w:rPr>
        <w:t>教育部采取了若干措施，以解决人们所严重关切的问题，即罗姆族儿童通常在为有智障和学习困难的儿童开办的所谓特殊学校中所占比例过高，这类学校采用简化课程，没有经验丰富的教师，结果造成事实上的隔离分班教育。</w:t>
      </w:r>
    </w:p>
    <w:p w:rsidR="00000000" w:rsidRDefault="00000000">
      <w:pPr>
        <w:ind w:firstLine="510"/>
        <w:rPr>
          <w:rFonts w:hint="eastAsia"/>
        </w:rPr>
      </w:pPr>
      <w:r>
        <w:rPr>
          <w:rFonts w:hint="eastAsia"/>
        </w:rPr>
        <w:t xml:space="preserve">612.  </w:t>
      </w:r>
      <w:r>
        <w:rPr>
          <w:rFonts w:hint="eastAsia"/>
        </w:rPr>
        <w:t>人们认为，儿童之所以上这类学校或班级，其主要原因之一是，儿童不熟悉某些主考人认为显而易见的概念和语言</w:t>
      </w:r>
      <w:r>
        <w:rPr>
          <w:rFonts w:hint="eastAsia"/>
        </w:rPr>
        <w:t>(</w:t>
      </w:r>
      <w:r>
        <w:rPr>
          <w:rFonts w:hint="eastAsia"/>
        </w:rPr>
        <w:t>比如，如何拿铅笔</w:t>
      </w:r>
      <w:r>
        <w:rPr>
          <w:rFonts w:hint="eastAsia"/>
        </w:rPr>
        <w:t>)</w:t>
      </w:r>
      <w:r>
        <w:rPr>
          <w:rFonts w:hint="eastAsia"/>
        </w:rPr>
        <w:t>，但这种欠缺可有家庭背景方面的原因，本身不是一种真正意义上的残障。因此，儿童学前教育必须列为优先事项。查出无道理地被列为残障儿的儿童，并将其送回采用标准课程的学校，这是一项极其重要的任务。</w:t>
      </w:r>
    </w:p>
    <w:p w:rsidR="00000000" w:rsidRDefault="00000000">
      <w:pPr>
        <w:ind w:firstLine="510"/>
        <w:rPr>
          <w:rFonts w:hint="eastAsia"/>
        </w:rPr>
      </w:pPr>
      <w:r>
        <w:rPr>
          <w:rFonts w:hint="eastAsia"/>
        </w:rPr>
        <w:t xml:space="preserve">613.  </w:t>
      </w:r>
      <w:r>
        <w:rPr>
          <w:rFonts w:hint="eastAsia"/>
        </w:rPr>
        <w:t>“</w:t>
      </w:r>
      <w:r>
        <w:rPr>
          <w:rFonts w:ascii="Time New Roman" w:eastAsia="SimHei" w:hAnsi="Time New Roman" w:hint="eastAsia"/>
        </w:rPr>
        <w:t>从末行做起</w:t>
      </w:r>
      <w:r>
        <w:rPr>
          <w:rFonts w:hint="eastAsia"/>
        </w:rPr>
        <w:t>”方案的目的是减少那些处境不利的儿童毫无道理地被列为残障儿童而被送进专门学校隔离学习的现象；长期目标是消除这种隔离现象。在这一方案框架下，教育部对条例规定作出一些修改，也采取了其他集中措施。此外，在</w:t>
      </w:r>
      <w:r>
        <w:rPr>
          <w:rFonts w:hint="eastAsia"/>
        </w:rPr>
        <w:t>2003-2004</w:t>
      </w:r>
      <w:r>
        <w:rPr>
          <w:rFonts w:hint="eastAsia"/>
        </w:rPr>
        <w:t>学年，由独立专家对二年级被列为残障的儿童进行了重新评价。其中</w:t>
      </w:r>
      <w:r>
        <w:rPr>
          <w:rFonts w:hint="eastAsia"/>
        </w:rPr>
        <w:t>11%</w:t>
      </w:r>
      <w:r>
        <w:rPr>
          <w:rFonts w:hint="eastAsia"/>
        </w:rPr>
        <w:t>的儿童被认定适于进普通学校，并建议这些儿童重返这些校园。针对重新进入标准教育系统的儿童，预算增加了一项新的定额。按照跟踪照顾原则，应当帮助返回标准教育系统的儿童及时重新调整，利用技能培养教学系统。</w:t>
      </w:r>
    </w:p>
    <w:p w:rsidR="00000000" w:rsidRDefault="00000000">
      <w:pPr>
        <w:ind w:firstLine="510"/>
        <w:rPr>
          <w:rFonts w:hint="eastAsia"/>
        </w:rPr>
      </w:pPr>
      <w:r>
        <w:rPr>
          <w:rFonts w:hint="eastAsia"/>
        </w:rPr>
        <w:t xml:space="preserve">614.  </w:t>
      </w:r>
      <w:r>
        <w:rPr>
          <w:rFonts w:hint="eastAsia"/>
        </w:rPr>
        <w:t>教育部所属</w:t>
      </w:r>
      <w:r>
        <w:rPr>
          <w:rFonts w:ascii="Time New Roman" w:eastAsia="SimHei" w:hAnsi="Time New Roman" w:hint="eastAsia"/>
        </w:rPr>
        <w:t>处境不利儿童和罗姆儿童事务委员办公室</w:t>
      </w:r>
      <w:r>
        <w:rPr>
          <w:rFonts w:hint="eastAsia"/>
        </w:rPr>
        <w:t>落实此种融合工作，开展了提高技能的培训，即，考虑到处于多重不利境地的儿童现有的个人技能，并为进一步加强技能而给予他们个别辅导帮助，以增进对他们的培养。这项工作也将力求提高他们的学习成绩，增进教育机会，并利用他们自身的天赋。可以要求规定一笔专门的预算定额以举办此种训练。教育机构如果决定与普通学生一起开展此种训练，可以申请增加预算支助定额，比通常支助高三倍之多。融合教学制度证实融合教育是解决问题的办法，不同社会和文化背景的儿童应当受到同一水准的教育。按照教育部制定的技能培养和融合教学制度</w:t>
      </w:r>
      <w:r>
        <w:rPr>
          <w:rFonts w:hint="eastAsia"/>
        </w:rPr>
        <w:t>(</w:t>
      </w:r>
      <w:r>
        <w:rPr>
          <w:rFonts w:hint="eastAsia"/>
        </w:rPr>
        <w:t>训练方案</w:t>
      </w:r>
      <w:r>
        <w:rPr>
          <w:rFonts w:hint="eastAsia"/>
        </w:rPr>
        <w:t>)</w:t>
      </w:r>
      <w:r>
        <w:rPr>
          <w:rFonts w:hint="eastAsia"/>
        </w:rPr>
        <w:t>，开展了上述两种形式的训练活动。这一做法的核心在于它考虑到了每个儿童的个性，也考虑到了儿童的出身背景特征。</w:t>
      </w:r>
    </w:p>
    <w:p w:rsidR="00000000" w:rsidRDefault="00000000">
      <w:pPr>
        <w:ind w:firstLine="510"/>
        <w:rPr>
          <w:rFonts w:hint="eastAsia"/>
        </w:rPr>
      </w:pPr>
      <w:r>
        <w:rPr>
          <w:rFonts w:hint="eastAsia"/>
        </w:rPr>
        <w:t xml:space="preserve">615.  </w:t>
      </w:r>
      <w:r>
        <w:rPr>
          <w:rFonts w:ascii="Time New Roman" w:eastAsia="SimHei" w:hAnsi="Time New Roman" w:hint="eastAsia"/>
        </w:rPr>
        <w:t>国家教育融合网</w:t>
      </w:r>
      <w:r>
        <w:rPr>
          <w:rFonts w:hint="eastAsia"/>
        </w:rPr>
        <w:t>建立于</w:t>
      </w:r>
      <w:r>
        <w:rPr>
          <w:rFonts w:hint="eastAsia"/>
        </w:rPr>
        <w:t>2003</w:t>
      </w:r>
      <w:r>
        <w:rPr>
          <w:rFonts w:hint="eastAsia"/>
        </w:rPr>
        <w:t>年，它为教育机构实行和开办融合训练提供专业支助。该网络以地区和分地区为基础，其任务不仅仅是为教育机构提供专业支助，它还要收集和促进良好做法。</w:t>
      </w:r>
    </w:p>
    <w:p w:rsidR="00000000" w:rsidRDefault="00000000">
      <w:pPr>
        <w:ind w:firstLine="510"/>
      </w:pPr>
      <w:r>
        <w:rPr>
          <w:rFonts w:hint="eastAsia"/>
        </w:rPr>
        <w:t xml:space="preserve">616.  </w:t>
      </w:r>
      <w:r>
        <w:rPr>
          <w:rFonts w:ascii="Time New Roman" w:eastAsia="SimHei" w:hAnsi="Time New Roman" w:hint="eastAsia"/>
        </w:rPr>
        <w:t>禁止歧视警戒系统</w:t>
      </w:r>
      <w:r>
        <w:rPr>
          <w:rFonts w:hint="eastAsia"/>
        </w:rPr>
        <w:t>：</w:t>
      </w:r>
      <w:r>
        <w:rPr>
          <w:rFonts w:hint="eastAsia"/>
        </w:rPr>
        <w:t>2005</w:t>
      </w:r>
      <w:r>
        <w:rPr>
          <w:rFonts w:hint="eastAsia"/>
        </w:rPr>
        <w:t>年，教育部负责处境不利儿童和罗姆儿童事务委员办公室建立了教育领域禁止歧视警戒系统。第一阶段首先对</w:t>
      </w:r>
      <w:r>
        <w:rPr>
          <w:rFonts w:hint="eastAsia"/>
        </w:rPr>
        <w:t>600</w:t>
      </w:r>
      <w:r>
        <w:rPr>
          <w:rFonts w:hint="eastAsia"/>
        </w:rPr>
        <w:t>人进行了训练。该警戒系统有双重目标：为受种族歧视或其他性质歧视影响的人提供法律咨询，同时还协调安排最便利的获得法律援助的程序；在某种程度上起到法律援助的作用。它还利用其反馈可能性，提供影响情况分析，便于采取集中的融合措施。这表明，该系统也起到指标系统的作用，为政治机构决策提供帮助。</w:t>
      </w:r>
    </w:p>
    <w:p w:rsidR="00000000" w:rsidRDefault="00000000">
      <w:pPr>
        <w:ind w:firstLine="510"/>
        <w:rPr>
          <w:rFonts w:hint="eastAsia"/>
        </w:rPr>
      </w:pPr>
      <w:r>
        <w:rPr>
          <w:rFonts w:hint="eastAsia"/>
        </w:rPr>
        <w:t>617.</w:t>
      </w:r>
      <w:r>
        <w:t xml:space="preserve">  </w:t>
      </w:r>
      <w:r>
        <w:rPr>
          <w:rFonts w:hint="eastAsia"/>
        </w:rPr>
        <w:t>自</w:t>
      </w:r>
      <w:r>
        <w:rPr>
          <w:rFonts w:hint="eastAsia"/>
        </w:rPr>
        <w:t>2005</w:t>
      </w:r>
      <w:r>
        <w:rPr>
          <w:rFonts w:hint="eastAsia"/>
        </w:rPr>
        <w:t>年</w:t>
      </w:r>
      <w:r>
        <w:rPr>
          <w:rFonts w:hint="eastAsia"/>
        </w:rPr>
        <w:t>9</w:t>
      </w:r>
      <w:r>
        <w:rPr>
          <w:rFonts w:hint="eastAsia"/>
        </w:rPr>
        <w:t>月起，</w:t>
      </w:r>
      <w:r>
        <w:rPr>
          <w:rFonts w:ascii="Time New Roman" w:eastAsia="SimHei" w:hAnsi="Time New Roman" w:hint="eastAsia"/>
        </w:rPr>
        <w:t>义务教育年龄提高至</w:t>
      </w:r>
      <w:r>
        <w:rPr>
          <w:rFonts w:ascii="Time New Roman" w:eastAsia="SimHei" w:hAnsi="Time New Roman" w:hint="eastAsia"/>
          <w:b/>
        </w:rPr>
        <w:t>18</w:t>
      </w:r>
      <w:r>
        <w:rPr>
          <w:rFonts w:ascii="Time New Roman" w:eastAsia="SimHei" w:hAnsi="Time New Roman" w:hint="eastAsia"/>
        </w:rPr>
        <w:t>岁</w:t>
      </w:r>
      <w:r>
        <w:rPr>
          <w:rFonts w:hint="eastAsia"/>
        </w:rPr>
        <w:t>，对于需要接受特殊教育的学生，这一标准还会提高至其年满</w:t>
      </w:r>
      <w:r>
        <w:rPr>
          <w:rFonts w:hint="eastAsia"/>
        </w:rPr>
        <w:t>20</w:t>
      </w:r>
      <w:r>
        <w:rPr>
          <w:rFonts w:hint="eastAsia"/>
        </w:rPr>
        <w:t>岁的那个学年的年底。困扰处境不利者的最大问题之一是过早退学，从这一点来看，这项规定具有特别重要的意义。罗姆人受教育情况很差。教育部的政策是创造机会，使处于严重不利境地的儿童能够跟上学习进度，而不是离开教育系统。</w:t>
      </w:r>
    </w:p>
    <w:p w:rsidR="00000000" w:rsidRDefault="00000000">
      <w:pPr>
        <w:ind w:firstLine="510"/>
        <w:rPr>
          <w:rFonts w:hint="eastAsia"/>
        </w:rPr>
      </w:pPr>
      <w:r>
        <w:rPr>
          <w:rFonts w:hint="eastAsia"/>
        </w:rPr>
        <w:t>618.</w:t>
      </w:r>
      <w:r>
        <w:t xml:space="preserve">  </w:t>
      </w:r>
      <w:r>
        <w:rPr>
          <w:rFonts w:hint="eastAsia"/>
          <w:u w:val="single"/>
        </w:rPr>
        <w:t>根据社会需要促进继续学习的措施</w:t>
      </w:r>
      <w:r>
        <w:rPr>
          <w:rFonts w:hint="eastAsia"/>
        </w:rPr>
        <w:t>：</w:t>
      </w:r>
    </w:p>
    <w:p w:rsidR="00000000" w:rsidRDefault="00000000">
      <w:pPr>
        <w:numPr>
          <w:ilvl w:val="0"/>
          <w:numId w:val="197"/>
        </w:numPr>
        <w:tabs>
          <w:tab w:val="clear" w:pos="1531"/>
        </w:tabs>
        <w:rPr>
          <w:rFonts w:hint="eastAsia"/>
        </w:rPr>
      </w:pPr>
      <w:r>
        <w:rPr>
          <w:rFonts w:ascii="Time New Roman" w:eastAsia="SimHei" w:hAnsi="Time New Roman" w:hint="eastAsia"/>
        </w:rPr>
        <w:t>幼稚园不得拒绝处境不利的儿童的入园申请</w:t>
      </w:r>
      <w:r>
        <w:rPr>
          <w:rFonts w:hint="eastAsia"/>
        </w:rPr>
        <w:t>。这项措施具有特别重要的意义，因为处境不利的儿童要顺利完成学业，其保障之一就是接受三年幼稚园教育。</w:t>
      </w:r>
    </w:p>
    <w:p w:rsidR="00000000" w:rsidRDefault="00000000">
      <w:pPr>
        <w:numPr>
          <w:ilvl w:val="0"/>
          <w:numId w:val="197"/>
        </w:numPr>
        <w:rPr>
          <w:rFonts w:hint="eastAsia"/>
        </w:rPr>
      </w:pPr>
      <w:r>
        <w:rPr>
          <w:rFonts w:ascii="Time New Roman" w:eastAsia="SimHei" w:hAnsi="Time New Roman" w:hint="eastAsia"/>
        </w:rPr>
        <w:t>免费提供幼稚园膳食</w:t>
      </w:r>
      <w:r>
        <w:rPr>
          <w:rFonts w:hint="eastAsia"/>
        </w:rPr>
        <w:t>。处境不利的儿童在幼稚园免费用餐。这项措施不仅是一个社会目标，它也是教育政策目标。为使儿童为学校生活及达到学校的要求做好准备，幼稚园起到十分重要的作用。对于不同社会文化背景的儿童，其意义显得格外重大。</w:t>
      </w:r>
    </w:p>
    <w:p w:rsidR="00000000" w:rsidRDefault="00000000">
      <w:pPr>
        <w:numPr>
          <w:ilvl w:val="0"/>
          <w:numId w:val="197"/>
        </w:numPr>
        <w:rPr>
          <w:rFonts w:hint="eastAsia"/>
        </w:rPr>
      </w:pPr>
      <w:r>
        <w:rPr>
          <w:rFonts w:ascii="Time New Roman" w:eastAsia="SimHei" w:hAnsi="Time New Roman" w:hint="eastAsia"/>
        </w:rPr>
        <w:t>午餐补贴</w:t>
      </w:r>
      <w:r>
        <w:rPr>
          <w:rFonts w:hint="eastAsia"/>
        </w:rPr>
        <w:t>30-50%</w:t>
      </w:r>
      <w:r>
        <w:rPr>
          <w:rFonts w:hint="eastAsia"/>
        </w:rPr>
        <w:t>，条件与免费教科书的条件相同。</w:t>
      </w:r>
    </w:p>
    <w:p w:rsidR="00000000" w:rsidRDefault="00000000">
      <w:pPr>
        <w:numPr>
          <w:ilvl w:val="0"/>
          <w:numId w:val="197"/>
        </w:numPr>
        <w:rPr>
          <w:rFonts w:hint="eastAsia"/>
        </w:rPr>
      </w:pPr>
      <w:r>
        <w:rPr>
          <w:rFonts w:ascii="Time New Roman" w:eastAsia="SimHei" w:hAnsi="Time New Roman" w:hint="eastAsia"/>
        </w:rPr>
        <w:t>免费教科书</w:t>
      </w:r>
      <w:r>
        <w:rPr>
          <w:rFonts w:hint="eastAsia"/>
        </w:rPr>
        <w:t>。对于家中有三个子女的人、单亲父母、长期患病或残疾儿童以及经常需要获得社会支助的人，学校免费为其提供教科书。</w:t>
      </w:r>
    </w:p>
    <w:p w:rsidR="00000000" w:rsidRDefault="00000000">
      <w:pPr>
        <w:numPr>
          <w:ilvl w:val="0"/>
          <w:numId w:val="197"/>
        </w:numPr>
        <w:rPr>
          <w:rFonts w:hint="eastAsia"/>
        </w:rPr>
      </w:pPr>
      <w:r>
        <w:rPr>
          <w:rFonts w:ascii="Time New Roman" w:eastAsia="SimHei" w:hAnsi="Time New Roman" w:hint="eastAsia"/>
        </w:rPr>
        <w:t>对成为自学生的限制</w:t>
      </w:r>
      <w:r>
        <w:rPr>
          <w:rFonts w:hint="eastAsia"/>
        </w:rPr>
        <w:t>。最重要的修订是在学校系统中确立了若干检查点。如果是处境不利的儿童，宣布某学生为自学生的程序，现在包括必须核实具体情况是否确有充分理由的若干办法。作出这些修订的主要原因是，这一选择不应成为一种新形式的隔离，因为在此过程中，学生的学习经历就无处可查，最终他们也将离开学校系统。根据社会学研究，罗姆儿童不去上学的可能性大于其他儿童的八倍，即占目前</w:t>
      </w:r>
      <w:r>
        <w:rPr>
          <w:rFonts w:hint="eastAsia"/>
        </w:rPr>
        <w:t>14-15</w:t>
      </w:r>
      <w:r>
        <w:rPr>
          <w:rFonts w:hint="eastAsia"/>
        </w:rPr>
        <w:t>岁罗姆儿童的</w:t>
      </w:r>
      <w:r>
        <w:rPr>
          <w:rFonts w:hint="eastAsia"/>
        </w:rPr>
        <w:t>10%</w:t>
      </w:r>
      <w:r>
        <w:rPr>
          <w:rFonts w:hint="eastAsia"/>
        </w:rPr>
        <w:t>。</w:t>
      </w:r>
    </w:p>
    <w:p w:rsidR="00000000" w:rsidRDefault="00000000">
      <w:pPr>
        <w:numPr>
          <w:ilvl w:val="0"/>
          <w:numId w:val="197"/>
        </w:numPr>
        <w:rPr>
          <w:rFonts w:hint="eastAsia"/>
        </w:rPr>
      </w:pPr>
      <w:r>
        <w:rPr>
          <w:rFonts w:ascii="Time New Roman" w:eastAsia="SimHei" w:hAnsi="Time New Roman" w:hint="eastAsia"/>
        </w:rPr>
        <w:t>促进继续教育的措施</w:t>
      </w:r>
      <w:r>
        <w:rPr>
          <w:rFonts w:hint="eastAsia"/>
        </w:rPr>
        <w:t>：根据教育部的倡议，自</w:t>
      </w:r>
      <w:r>
        <w:rPr>
          <w:rFonts w:hint="eastAsia"/>
        </w:rPr>
        <w:t>2005</w:t>
      </w:r>
      <w:r>
        <w:rPr>
          <w:rFonts w:hint="eastAsia"/>
        </w:rPr>
        <w:t>年</w:t>
      </w:r>
      <w:r>
        <w:rPr>
          <w:rFonts w:hint="eastAsia"/>
        </w:rPr>
        <w:t>9</w:t>
      </w:r>
      <w:r>
        <w:rPr>
          <w:rFonts w:hint="eastAsia"/>
        </w:rPr>
        <w:t>月起，处境不利的学生在接受高等教育上将享受优惠待遇。这就是说，处境不利的学生如果成绩达到对自费生的要求，就可被自己所选择的学院或大学所录取。教育机构将在其所能录取的学生最高限额之上，再增加</w:t>
      </w:r>
      <w:r>
        <w:rPr>
          <w:rFonts w:hint="eastAsia"/>
        </w:rPr>
        <w:t>3%</w:t>
      </w:r>
      <w:r>
        <w:rPr>
          <w:rFonts w:hint="eastAsia"/>
        </w:rPr>
        <w:t>的名额，以招收通过此种方式进入高等教育的处境不利的学生。</w:t>
      </w:r>
    </w:p>
    <w:p w:rsidR="00000000" w:rsidRDefault="00000000">
      <w:pPr>
        <w:numPr>
          <w:ilvl w:val="0"/>
          <w:numId w:val="197"/>
        </w:numPr>
        <w:rPr>
          <w:rFonts w:hint="eastAsia"/>
        </w:rPr>
      </w:pPr>
      <w:r>
        <w:rPr>
          <w:rFonts w:ascii="Time New Roman" w:eastAsia="SimHei" w:hAnsi="Time New Roman" w:hint="eastAsia"/>
        </w:rPr>
        <w:t>现代基础设施</w:t>
      </w:r>
      <w:r>
        <w:rPr>
          <w:rFonts w:hint="eastAsia"/>
        </w:rPr>
        <w:t>。在匈牙利，目前公共教育机构、特别是小学的科技条件相当差。农村学校尤其如此，缺乏适当的基础设施，对教学标准也产生了负面影响。正因为如此，教育部决定在“投资二十一世纪”投标方案框架下，为此种情况的村庄提供信息技术和设施改造支助。</w:t>
      </w:r>
    </w:p>
    <w:p w:rsidR="00000000" w:rsidRDefault="00000000">
      <w:pPr>
        <w:numPr>
          <w:ilvl w:val="0"/>
          <w:numId w:val="197"/>
        </w:numPr>
        <w:rPr>
          <w:rFonts w:hint="eastAsia"/>
        </w:rPr>
      </w:pPr>
      <w:r>
        <w:rPr>
          <w:rFonts w:hint="eastAsia"/>
        </w:rPr>
        <w:t>在“</w:t>
      </w:r>
      <w:r>
        <w:rPr>
          <w:rFonts w:ascii="Time New Roman" w:eastAsia="SimHei" w:hAnsi="Time New Roman" w:hint="eastAsia"/>
        </w:rPr>
        <w:t>从末行做起</w:t>
      </w:r>
      <w:r>
        <w:rPr>
          <w:rFonts w:hint="eastAsia"/>
        </w:rPr>
        <w:t>”方案下，特别重视为处境不利的儿童提供学习外语的可能性。“从末行做起”教育项目具有实验性质，其目的是制定提高技能的语言训练方案，帮助处境不利的儿童获得较高的外语技能，并使后进儿童跟上学习进度。该方案还包括教师培训方案，帮助教师在学校实施综合教学方案。</w:t>
      </w:r>
    </w:p>
    <w:p w:rsidR="00000000" w:rsidRDefault="00000000">
      <w:pPr>
        <w:ind w:firstLine="510"/>
        <w:rPr>
          <w:rFonts w:hint="eastAsia"/>
        </w:rPr>
      </w:pPr>
      <w:r>
        <w:rPr>
          <w:rFonts w:hint="eastAsia"/>
        </w:rPr>
        <w:t>619.</w:t>
      </w:r>
      <w:r>
        <w:t xml:space="preserve">  </w:t>
      </w:r>
      <w:r>
        <w:rPr>
          <w:rFonts w:hint="eastAsia"/>
          <w:u w:val="single"/>
        </w:rPr>
        <w:t>帮助处境不利的学生顺利完成学业的其他方案和措施</w:t>
      </w:r>
      <w:r>
        <w:rPr>
          <w:rFonts w:hint="eastAsia"/>
        </w:rPr>
        <w:t>：</w:t>
      </w:r>
    </w:p>
    <w:p w:rsidR="00000000" w:rsidRDefault="00000000">
      <w:pPr>
        <w:pStyle w:val="a"/>
        <w:ind w:left="1550"/>
        <w:rPr>
          <w:rFonts w:hint="eastAsia"/>
        </w:rPr>
      </w:pPr>
      <w:r>
        <w:rPr>
          <w:rFonts w:ascii="Time New Roman" w:eastAsia="SimHei" w:hAnsi="Time New Roman" w:hint="eastAsia"/>
        </w:rPr>
        <w:t>辅导方案</w:t>
      </w:r>
      <w:r>
        <w:rPr>
          <w:rFonts w:hint="eastAsia"/>
        </w:rPr>
        <w:t>于</w:t>
      </w:r>
      <w:r>
        <w:rPr>
          <w:rFonts w:hint="eastAsia"/>
        </w:rPr>
        <w:t>2005</w:t>
      </w:r>
      <w:r>
        <w:rPr>
          <w:rFonts w:hint="eastAsia"/>
        </w:rPr>
        <w:t>年</w:t>
      </w:r>
      <w:r>
        <w:rPr>
          <w:rFonts w:hint="eastAsia"/>
        </w:rPr>
        <w:t>9</w:t>
      </w:r>
      <w:r>
        <w:rPr>
          <w:rFonts w:hint="eastAsia"/>
        </w:rPr>
        <w:t>月开始实施，目的是帮助那些借助针对处境不利的学生的措施</w:t>
      </w:r>
      <w:r>
        <w:rPr>
          <w:rFonts w:hint="eastAsia"/>
        </w:rPr>
        <w:t>(</w:t>
      </w:r>
      <w:r>
        <w:rPr>
          <w:rFonts w:hint="eastAsia"/>
        </w:rPr>
        <w:t>见前面第</w:t>
      </w:r>
      <w:r>
        <w:rPr>
          <w:rFonts w:hint="eastAsia"/>
        </w:rPr>
        <w:t xml:space="preserve">602 </w:t>
      </w:r>
      <w:r>
        <w:t>f</w:t>
      </w:r>
      <w:r>
        <w:rPr>
          <w:rFonts w:hint="eastAsia"/>
        </w:rPr>
        <w:t>分段</w:t>
      </w:r>
      <w:r>
        <w:rPr>
          <w:rFonts w:hint="eastAsia"/>
        </w:rPr>
        <w:t>)</w:t>
      </w:r>
      <w:r>
        <w:rPr>
          <w:rFonts w:hint="eastAsia"/>
        </w:rPr>
        <w:t>进入高等教育的学生。他们将由高年级学生进行辅导，以便克服最初所遇到的问题，完成今后的学习任务。这些辅导学生都是成绩优秀生，他们将给予积极的帮助。他们所做的工作将有补助金。</w:t>
      </w:r>
    </w:p>
    <w:p w:rsidR="00000000" w:rsidRDefault="00000000">
      <w:pPr>
        <w:pStyle w:val="a"/>
        <w:ind w:left="1550"/>
        <w:rPr>
          <w:rFonts w:hint="eastAsia"/>
        </w:rPr>
      </w:pPr>
      <w:r>
        <w:rPr>
          <w:rFonts w:ascii="Time New Roman" w:eastAsia="SimHei" w:hAnsi="Time New Roman" w:hint="eastAsia"/>
        </w:rPr>
        <w:t>奖学金制度的改革</w:t>
      </w:r>
      <w:r>
        <w:rPr>
          <w:rFonts w:hint="eastAsia"/>
        </w:rPr>
        <w:t>也使处境不利的学生有可能获得更多的补助金。所有四类“成材之路”国家奖学金制度均指定辅导教师为处境不利的补助金接受者提供帮助，以便接受者确实达到目的</w:t>
      </w:r>
      <w:r>
        <w:rPr>
          <w:rFonts w:hint="eastAsia"/>
        </w:rPr>
        <w:t>(</w:t>
      </w:r>
      <w:r>
        <w:rPr>
          <w:rFonts w:hint="eastAsia"/>
        </w:rPr>
        <w:t>进入中学以获取</w:t>
      </w:r>
      <w:r>
        <w:t>准备深造中学会考成绩单</w:t>
      </w:r>
      <w:r>
        <w:rPr>
          <w:rFonts w:hint="eastAsia"/>
        </w:rPr>
        <w:t>，获得</w:t>
      </w:r>
      <w:r>
        <w:t>准备深造中学会考成绩单</w:t>
      </w:r>
      <w:r>
        <w:rPr>
          <w:rFonts w:hint="eastAsia"/>
        </w:rPr>
        <w:t>，学习市场所需的专业，顺利完成学业</w:t>
      </w:r>
      <w:r>
        <w:rPr>
          <w:rFonts w:hint="eastAsia"/>
        </w:rPr>
        <w:t>)</w:t>
      </w:r>
      <w:r>
        <w:rPr>
          <w:rFonts w:hint="eastAsia"/>
        </w:rPr>
        <w:t>。四类奖学金是：通向中学之路、获取</w:t>
      </w:r>
      <w:r>
        <w:t>准备深造中学会考成绩单</w:t>
      </w:r>
      <w:r>
        <w:rPr>
          <w:rFonts w:hint="eastAsia"/>
        </w:rPr>
        <w:t>之路、步入职业之路、科学之路。</w:t>
      </w:r>
    </w:p>
    <w:p w:rsidR="00000000" w:rsidRDefault="00000000">
      <w:pPr>
        <w:pStyle w:val="a"/>
        <w:ind w:left="1550"/>
        <w:rPr>
          <w:rFonts w:hint="eastAsia"/>
        </w:rPr>
      </w:pPr>
      <w:r>
        <w:rPr>
          <w:rFonts w:ascii="Time New Roman" w:eastAsia="SimHei" w:hAnsi="Time New Roman" w:hint="eastAsia"/>
        </w:rPr>
        <w:t>奖学金</w:t>
      </w:r>
      <w:r>
        <w:rPr>
          <w:rFonts w:ascii="Time New Roman" w:eastAsia="SimHei" w:hAnsi="Time New Roman" w:hint="eastAsia"/>
        </w:rPr>
        <w:t>(</w:t>
      </w:r>
      <w:r>
        <w:rPr>
          <w:rFonts w:ascii="Time New Roman" w:eastAsia="SimHei" w:hAnsi="Time New Roman" w:hint="eastAsia"/>
          <w:b/>
        </w:rPr>
        <w:t>HEFOP</w:t>
      </w:r>
      <w:r>
        <w:rPr>
          <w:rFonts w:ascii="Time New Roman" w:eastAsia="SimHei" w:hAnsi="Time New Roman" w:hint="eastAsia"/>
        </w:rPr>
        <w:t>/</w:t>
      </w:r>
      <w:r>
        <w:rPr>
          <w:rFonts w:ascii="Time New Roman" w:eastAsia="SimHei" w:hAnsi="Time New Roman" w:hint="eastAsia"/>
          <w:b/>
        </w:rPr>
        <w:t>2005</w:t>
      </w:r>
      <w:r>
        <w:rPr>
          <w:rFonts w:ascii="Time New Roman" w:eastAsia="SimHei" w:hAnsi="Time New Roman" w:hint="eastAsia"/>
        </w:rPr>
        <w:t>/</w:t>
      </w:r>
      <w:r>
        <w:rPr>
          <w:rFonts w:ascii="Time New Roman" w:eastAsia="SimHei" w:hAnsi="Time New Roman" w:hint="eastAsia"/>
          <w:b/>
        </w:rPr>
        <w:t>2.1.8</w:t>
      </w:r>
      <w:r>
        <w:rPr>
          <w:rFonts w:ascii="Time New Roman" w:eastAsia="SimHei" w:hAnsi="Time New Roman" w:hint="eastAsia"/>
        </w:rPr>
        <w:t>)</w:t>
      </w:r>
      <w:r>
        <w:rPr>
          <w:rFonts w:ascii="Time New Roman" w:eastAsia="SimHei" w:hAnsi="Time New Roman" w:hint="eastAsia"/>
        </w:rPr>
        <w:t>，目的是“改善来自只有一所学校的居民区的处境极其不利的儿童就读的学校的条件”</w:t>
      </w:r>
      <w:r>
        <w:rPr>
          <w:rFonts w:hint="eastAsia"/>
        </w:rPr>
        <w:t>。方案的目标是：改善教育机构和教学方法；贫困住区学生的环境现代化；提供使用革新教学方法的基础设施；提高贫困住区学校教师与学生的数字技术素养。</w:t>
      </w:r>
    </w:p>
    <w:p w:rsidR="00000000" w:rsidRDefault="00000000">
      <w:pPr>
        <w:pStyle w:val="a"/>
        <w:ind w:left="1550"/>
        <w:rPr>
          <w:rFonts w:hint="eastAsia"/>
          <w:b/>
          <w:bCs/>
        </w:rPr>
      </w:pPr>
      <w:r>
        <w:rPr>
          <w:rFonts w:ascii="Time New Roman" w:eastAsia="SimHei" w:hAnsi="Time New Roman" w:hint="eastAsia"/>
        </w:rPr>
        <w:t>奖学金</w:t>
      </w:r>
      <w:r>
        <w:rPr>
          <w:rFonts w:ascii="Time New Roman" w:eastAsia="SimHei" w:hAnsi="Time New Roman" w:hint="eastAsia"/>
        </w:rPr>
        <w:t>(</w:t>
      </w:r>
      <w:r>
        <w:rPr>
          <w:rFonts w:ascii="Time New Roman" w:eastAsia="SimHei" w:hAnsi="Time New Roman" w:hint="eastAsia"/>
          <w:b/>
        </w:rPr>
        <w:t>HEFOP</w:t>
      </w:r>
      <w:r>
        <w:rPr>
          <w:rFonts w:ascii="Time New Roman" w:eastAsia="SimHei" w:hAnsi="Time New Roman" w:hint="eastAsia"/>
        </w:rPr>
        <w:t>/</w:t>
      </w:r>
      <w:r>
        <w:rPr>
          <w:rFonts w:ascii="Time New Roman" w:eastAsia="SimHei" w:hAnsi="Time New Roman" w:hint="eastAsia"/>
          <w:b/>
        </w:rPr>
        <w:t>2005</w:t>
      </w:r>
      <w:r>
        <w:rPr>
          <w:rFonts w:ascii="Time New Roman" w:eastAsia="SimHei" w:hAnsi="Time New Roman" w:hint="eastAsia"/>
        </w:rPr>
        <w:t>/</w:t>
      </w:r>
      <w:r>
        <w:rPr>
          <w:rFonts w:ascii="Time New Roman" w:eastAsia="SimHei" w:hAnsi="Time New Roman" w:hint="eastAsia"/>
          <w:b/>
        </w:rPr>
        <w:t>2.1.5</w:t>
      </w:r>
      <w:r>
        <w:rPr>
          <w:rFonts w:ascii="Time New Roman" w:eastAsia="SimHei" w:hAnsi="Time New Roman" w:hint="eastAsia"/>
        </w:rPr>
        <w:t>)</w:t>
      </w:r>
      <w:r>
        <w:rPr>
          <w:rFonts w:ascii="Time New Roman" w:eastAsia="SimHei" w:hAnsi="Time New Roman" w:hint="eastAsia"/>
        </w:rPr>
        <w:t>，目的是“为处境不利的儿童提供融合教育”。</w:t>
      </w:r>
      <w:r>
        <w:rPr>
          <w:rFonts w:hint="eastAsia"/>
        </w:rPr>
        <w:t>项目的目标是：改善教育机构和教学方法。应在尽可能多的学校废止隔离教育做法，实施融合教育。应当营造适于小组活动和方便学生的学习环境。</w:t>
      </w:r>
    </w:p>
    <w:p w:rsidR="00000000" w:rsidRDefault="00000000">
      <w:pPr>
        <w:pStyle w:val="a"/>
        <w:ind w:left="1550"/>
        <w:rPr>
          <w:rFonts w:hint="eastAsia"/>
        </w:rPr>
      </w:pPr>
      <w:r>
        <w:rPr>
          <w:rFonts w:ascii="Time New Roman" w:eastAsia="SimHei" w:hAnsi="Time New Roman" w:hint="eastAsia"/>
        </w:rPr>
        <w:t>奖学金</w:t>
      </w:r>
      <w:r>
        <w:rPr>
          <w:rFonts w:ascii="Time New Roman" w:eastAsia="SimHei" w:hAnsi="Time New Roman" w:hint="eastAsia"/>
        </w:rPr>
        <w:t>(</w:t>
      </w:r>
      <w:r>
        <w:rPr>
          <w:rFonts w:ascii="Time New Roman" w:eastAsia="SimHei" w:hAnsi="Time New Roman" w:hint="eastAsia"/>
          <w:b/>
        </w:rPr>
        <w:t>HEFOP</w:t>
      </w:r>
      <w:r>
        <w:rPr>
          <w:rFonts w:ascii="Time New Roman" w:eastAsia="SimHei" w:hAnsi="Time New Roman" w:hint="eastAsia"/>
        </w:rPr>
        <w:t>/</w:t>
      </w:r>
      <w:r>
        <w:rPr>
          <w:rFonts w:ascii="Time New Roman" w:eastAsia="SimHei" w:hAnsi="Time New Roman" w:hint="eastAsia"/>
          <w:b/>
        </w:rPr>
        <w:t>2005</w:t>
      </w:r>
      <w:r>
        <w:rPr>
          <w:rFonts w:ascii="Time New Roman" w:eastAsia="SimHei" w:hAnsi="Time New Roman" w:hint="eastAsia"/>
        </w:rPr>
        <w:t>/</w:t>
      </w:r>
      <w:r>
        <w:rPr>
          <w:rFonts w:ascii="Time New Roman" w:eastAsia="SimHei" w:hAnsi="Time New Roman" w:hint="eastAsia"/>
          <w:b/>
        </w:rPr>
        <w:t>2.1.7</w:t>
      </w:r>
      <w:r>
        <w:rPr>
          <w:rFonts w:ascii="Time New Roman" w:eastAsia="SimHei" w:hAnsi="Time New Roman" w:hint="eastAsia"/>
        </w:rPr>
        <w:t>)</w:t>
      </w:r>
      <w:r>
        <w:rPr>
          <w:rFonts w:ascii="Time New Roman" w:eastAsia="SimHei" w:hAnsi="Time New Roman" w:hint="eastAsia"/>
        </w:rPr>
        <w:t>，目的是“减少学校隔离现象”。</w:t>
      </w:r>
      <w:r>
        <w:rPr>
          <w:rFonts w:hint="eastAsia"/>
        </w:rPr>
        <w:t>项目的目标是支助地方有关项目，通过在若干学校与其监管人之间开展合作，减少处境极其不利的儿童在居民区或居民区网络中学校隔离现象。</w:t>
      </w:r>
    </w:p>
    <w:p w:rsidR="00000000" w:rsidRDefault="00000000">
      <w:pPr>
        <w:pStyle w:val="a"/>
        <w:ind w:left="1550"/>
        <w:rPr>
          <w:rFonts w:hint="eastAsia"/>
        </w:rPr>
      </w:pPr>
      <w:r>
        <w:rPr>
          <w:rFonts w:ascii="Time New Roman" w:eastAsia="SimHei" w:hAnsi="Time New Roman" w:hint="eastAsia"/>
        </w:rPr>
        <w:t>奖学金</w:t>
      </w:r>
      <w:r>
        <w:rPr>
          <w:rFonts w:ascii="Time New Roman" w:eastAsia="SimHei" w:hAnsi="Time New Roman" w:hint="eastAsia"/>
        </w:rPr>
        <w:t>(</w:t>
      </w:r>
      <w:r>
        <w:rPr>
          <w:rFonts w:ascii="Time New Roman" w:eastAsia="SimHei" w:hAnsi="Time New Roman" w:hint="eastAsia"/>
          <w:b/>
        </w:rPr>
        <w:t>HEFOP</w:t>
      </w:r>
      <w:r>
        <w:rPr>
          <w:rFonts w:ascii="Time New Roman" w:eastAsia="SimHei" w:hAnsi="Time New Roman" w:hint="eastAsia"/>
        </w:rPr>
        <w:t>/</w:t>
      </w:r>
      <w:r>
        <w:rPr>
          <w:rFonts w:ascii="Time New Roman" w:eastAsia="SimHei" w:hAnsi="Time New Roman" w:hint="eastAsia"/>
          <w:b/>
        </w:rPr>
        <w:t>2005</w:t>
      </w:r>
      <w:r>
        <w:rPr>
          <w:rFonts w:ascii="Time New Roman" w:eastAsia="SimHei" w:hAnsi="Time New Roman" w:hint="eastAsia"/>
        </w:rPr>
        <w:t>/</w:t>
      </w:r>
      <w:r>
        <w:rPr>
          <w:rFonts w:ascii="Time New Roman" w:eastAsia="SimHei" w:hAnsi="Time New Roman" w:hint="eastAsia"/>
          <w:b/>
        </w:rPr>
        <w:t>2.1.4B</w:t>
      </w:r>
      <w:r>
        <w:rPr>
          <w:rFonts w:ascii="Time New Roman" w:eastAsia="SimHei" w:hAnsi="Time New Roman" w:hint="eastAsia"/>
        </w:rPr>
        <w:t>)</w:t>
      </w:r>
      <w:r>
        <w:rPr>
          <w:rFonts w:ascii="Time New Roman" w:eastAsia="SimHei" w:hAnsi="Time New Roman" w:hint="eastAsia"/>
        </w:rPr>
        <w:t>，“支助课外活动”。</w:t>
      </w:r>
      <w:r>
        <w:rPr>
          <w:rFonts w:hint="eastAsia"/>
        </w:rPr>
        <w:t>学校系统之外最有效的活动形式是学习小组方案，因为它短期内提高了处境不利的学生的及格率。另外，通过修改《高等教育法令》，也有助于实行在欧盟内广为采用的这一做法。</w:t>
      </w:r>
    </w:p>
    <w:p w:rsidR="00000000" w:rsidRDefault="00000000">
      <w:pPr>
        <w:pStyle w:val="a"/>
        <w:ind w:left="1550"/>
        <w:rPr>
          <w:rFonts w:hint="eastAsia"/>
        </w:rPr>
      </w:pPr>
      <w:r>
        <w:rPr>
          <w:rFonts w:ascii="Time New Roman" w:eastAsia="SimHei" w:hAnsi="Time New Roman" w:hint="eastAsia"/>
          <w:b/>
        </w:rPr>
        <w:t>HEFOP</w:t>
      </w:r>
      <w:r>
        <w:rPr>
          <w:rFonts w:ascii="Time New Roman" w:eastAsia="SimHei" w:hAnsi="Time New Roman" w:hint="eastAsia"/>
        </w:rPr>
        <w:t xml:space="preserve"> </w:t>
      </w:r>
      <w:r>
        <w:rPr>
          <w:rFonts w:ascii="Time New Roman" w:eastAsia="SimHei" w:hAnsi="Time New Roman" w:hint="eastAsia"/>
          <w:b/>
        </w:rPr>
        <w:t>2.1.1</w:t>
      </w:r>
      <w:r>
        <w:rPr>
          <w:rFonts w:hint="eastAsia"/>
        </w:rPr>
        <w:t>中央方案，通过培养专家并制定针对处境不利的学生、主要是罗姆学生以及有特殊需要的学生的各种方案，促进了融合教育，必要的合作制度，和拓展受过训练的人力资源。中央方案下所开展的活动，为获得赠款的教育机构提供了综合性服务</w:t>
      </w:r>
      <w:r>
        <w:rPr>
          <w:rFonts w:hint="eastAsia"/>
        </w:rPr>
        <w:t>(</w:t>
      </w:r>
      <w:r>
        <w:rPr>
          <w:rFonts w:hint="eastAsia"/>
        </w:rPr>
        <w:t>训练、中央方法数据库、捆绑服务方案</w:t>
      </w:r>
      <w:r>
        <w:rPr>
          <w:rFonts w:hint="eastAsia"/>
        </w:rPr>
        <w:t>)</w:t>
      </w:r>
      <w:r>
        <w:rPr>
          <w:rFonts w:hint="eastAsia"/>
        </w:rPr>
        <w:t>，使它们能够为融合过程中的所有利害关系方提供支助。</w:t>
      </w:r>
    </w:p>
    <w:p w:rsidR="00000000" w:rsidRDefault="00000000">
      <w:pPr>
        <w:pStyle w:val="a"/>
        <w:ind w:left="1550"/>
        <w:rPr>
          <w:rFonts w:hint="eastAsia"/>
        </w:rPr>
      </w:pPr>
      <w:r>
        <w:rPr>
          <w:rFonts w:hint="eastAsia"/>
        </w:rPr>
        <w:t>《</w:t>
      </w:r>
      <w:r>
        <w:rPr>
          <w:rFonts w:ascii="Time New Roman" w:eastAsia="SimHei" w:hAnsi="Time New Roman"/>
          <w:lang w:val="en-GB"/>
        </w:rPr>
        <w:t>“</w:t>
      </w:r>
      <w:r>
        <w:rPr>
          <w:rFonts w:ascii="Time New Roman" w:eastAsia="SimHei" w:hAnsi="Time New Roman"/>
          <w:b/>
          <w:lang w:val="en-GB"/>
        </w:rPr>
        <w:t>János</w:t>
      </w:r>
      <w:r>
        <w:rPr>
          <w:rFonts w:ascii="Time New Roman" w:eastAsia="SimHei" w:hAnsi="Time New Roman"/>
          <w:lang w:val="en-GB"/>
        </w:rPr>
        <w:t xml:space="preserve"> </w:t>
      </w:r>
      <w:r>
        <w:rPr>
          <w:rFonts w:ascii="Time New Roman" w:eastAsia="SimHei" w:hAnsi="Time New Roman"/>
          <w:b/>
          <w:lang w:val="en-GB"/>
        </w:rPr>
        <w:t>Arany</w:t>
      </w:r>
      <w:r>
        <w:rPr>
          <w:b/>
          <w:bCs/>
          <w:lang w:val="en-GB"/>
        </w:rPr>
        <w:t>”</w:t>
      </w:r>
      <w:r>
        <w:rPr>
          <w:rFonts w:hint="eastAsia"/>
        </w:rPr>
        <w:t>天才学生培养方案》的目标是支助小村庄中社会处境不利的天才儿童，帮助他们为今后接受高等教育做准备。该方案包括确保提供适当的专业服务，举办必要的函授训练，永久性实施适合于该方案的衡量和评估法，并提供奖学金和为教育机构提供资金。方案为期五年。一年为预科期，后四年为准备深造中学教育期。预科期的目标如下：补习教育、心理帮助、培养创造性、开展英语教育，以及将信息科科学教育列为重点。为该方案输送学生的自治政府，为方案学生每月提供奖学金</w:t>
      </w:r>
      <w:r>
        <w:rPr>
          <w:rFonts w:hint="eastAsia"/>
        </w:rPr>
        <w:t>5,000</w:t>
      </w:r>
      <w:r>
        <w:rPr>
          <w:rFonts w:hint="eastAsia"/>
        </w:rPr>
        <w:t>福林。准备深造中学和参与方案的寄宿学校同其他机构一样，获得政府提供的双倍金额的预算支助。从</w:t>
      </w:r>
      <w:r>
        <w:rPr>
          <w:rFonts w:hint="eastAsia"/>
        </w:rPr>
        <w:t>2001</w:t>
      </w:r>
      <w:r>
        <w:rPr>
          <w:rFonts w:hint="eastAsia"/>
        </w:rPr>
        <w:t>年起，列入了一项罗姆人次级方案，使该方案进一步完善。在三个罗姆人寄宿学校，每年有</w:t>
      </w:r>
      <w:r>
        <w:rPr>
          <w:rFonts w:hint="eastAsia"/>
        </w:rPr>
        <w:t>50</w:t>
      </w:r>
      <w:r>
        <w:rPr>
          <w:rFonts w:hint="eastAsia"/>
        </w:rPr>
        <w:t>名罗姆学生可以开始接受高等教育之前的预科学习。</w:t>
      </w:r>
      <w:r>
        <w:rPr>
          <w:rFonts w:hint="eastAsia"/>
        </w:rPr>
        <w:t>2002</w:t>
      </w:r>
      <w:r>
        <w:rPr>
          <w:rFonts w:hint="eastAsia"/>
        </w:rPr>
        <w:t>年，已有</w:t>
      </w:r>
      <w:r>
        <w:rPr>
          <w:rFonts w:hint="eastAsia"/>
        </w:rPr>
        <w:t>1,027</w:t>
      </w:r>
      <w:r>
        <w:rPr>
          <w:rFonts w:hint="eastAsia"/>
        </w:rPr>
        <w:t>名学生参加了《</w:t>
      </w:r>
      <w:r>
        <w:rPr>
          <w:rFonts w:ascii="Time New Roman" w:eastAsia="SimHei" w:hAnsi="Time New Roman"/>
          <w:lang w:val="en-GB"/>
        </w:rPr>
        <w:t>“</w:t>
      </w:r>
      <w:r>
        <w:rPr>
          <w:bCs/>
          <w:snapToGrid/>
          <w:lang w:val="en-GB"/>
        </w:rPr>
        <w:t>János Arany</w:t>
      </w:r>
      <w:r>
        <w:rPr>
          <w:rFonts w:ascii="Time New Roman" w:eastAsia="SimHei" w:hAnsi="Time New Roman"/>
          <w:lang w:val="en-GB"/>
        </w:rPr>
        <w:t>”</w:t>
      </w:r>
      <w:r>
        <w:rPr>
          <w:rFonts w:hint="eastAsia"/>
        </w:rPr>
        <w:t>天才学生培养方案》。</w:t>
      </w:r>
    </w:p>
    <w:p w:rsidR="00000000" w:rsidRDefault="00000000">
      <w:pPr>
        <w:ind w:firstLine="510"/>
        <w:rPr>
          <w:rFonts w:hint="eastAsia"/>
        </w:rPr>
      </w:pPr>
      <w:r>
        <w:rPr>
          <w:rFonts w:hint="eastAsia"/>
        </w:rPr>
        <w:t>620.</w:t>
      </w:r>
      <w:r>
        <w:t xml:space="preserve">  </w:t>
      </w:r>
      <w:r>
        <w:rPr>
          <w:rFonts w:hint="eastAsia"/>
        </w:rPr>
        <w:t>布达佩斯发展公共教育事业公共基金会发起了一个有助于罗姆儿童继续学业的辅导方案。该方案的目的是支持七年级和八年级罗姆儿童继续学业。</w:t>
      </w:r>
    </w:p>
    <w:p w:rsidR="00000000" w:rsidRDefault="00000000">
      <w:pPr>
        <w:ind w:firstLine="510"/>
        <w:rPr>
          <w:rFonts w:hint="eastAsia"/>
        </w:rPr>
      </w:pPr>
      <w:r>
        <w:rPr>
          <w:rFonts w:hint="eastAsia"/>
        </w:rPr>
        <w:t>621.</w:t>
      </w:r>
      <w:r>
        <w:t xml:space="preserve">  </w:t>
      </w:r>
      <w:r>
        <w:rPr>
          <w:rFonts w:hint="eastAsia"/>
        </w:rPr>
        <w:t>欧洲联盟实施的苏格拉底方案和</w:t>
      </w:r>
      <w:r>
        <w:t>莱昂纳多</w:t>
      </w:r>
      <w:r>
        <w:rPr>
          <w:rFonts w:hint="eastAsia"/>
        </w:rPr>
        <w:t>方案在专业合作与发展领域内起到十分重要的作用。自</w:t>
      </w:r>
      <w:r>
        <w:rPr>
          <w:rFonts w:hint="eastAsia"/>
        </w:rPr>
        <w:t>1997</w:t>
      </w:r>
      <w:r>
        <w:rPr>
          <w:rFonts w:hint="eastAsia"/>
        </w:rPr>
        <w:t>年以来，匈牙利一直是这两个方案的参加国。欧洲联盟在“灯塔”计划框架下为发展匈牙利公共教育事业提供了支助，主要是为了使劣势群体融入社会。“灯塔”计划于</w:t>
      </w:r>
      <w:r>
        <w:rPr>
          <w:rFonts w:hint="eastAsia"/>
        </w:rPr>
        <w:t>1999</w:t>
      </w:r>
      <w:r>
        <w:rPr>
          <w:rFonts w:hint="eastAsia"/>
        </w:rPr>
        <w:t>年开始实施，其目的是以教育手段支持处于不利境地的年轻人逐渐融入社会，尤其是罗姆青年。该方案支持发展和制定有关方案，以期增进刚出校门的罗姆青年的就业机会。</w:t>
      </w:r>
    </w:p>
    <w:p w:rsidR="00000000" w:rsidRDefault="00000000">
      <w:pPr>
        <w:spacing w:after="320"/>
        <w:ind w:firstLine="510"/>
        <w:rPr>
          <w:rFonts w:hint="eastAsia"/>
        </w:rPr>
      </w:pPr>
      <w:r>
        <w:rPr>
          <w:rFonts w:hint="eastAsia"/>
        </w:rPr>
        <w:t>622.</w:t>
      </w:r>
      <w:r>
        <w:t xml:space="preserve">  </w:t>
      </w:r>
      <w:r>
        <w:rPr>
          <w:rFonts w:hint="eastAsia"/>
        </w:rPr>
        <w:t>欧洲委员会宣布</w:t>
      </w:r>
      <w:r>
        <w:rPr>
          <w:rFonts w:hint="eastAsia"/>
        </w:rPr>
        <w:t>2003</w:t>
      </w:r>
      <w:r>
        <w:rPr>
          <w:rFonts w:hint="eastAsia"/>
        </w:rPr>
        <w:t>年为残疾人年。这是当年的学年正式开学仪式在盲人学校举行的原因之一。教育部推出了一个开放学校方案，参与学校在这一框架下将其残疾儿童学校面向公众开放几天。学生一起上课并参加各种方案活动。残疾儿童学校也邀请非残障儿童一起学习并参加各种方案活动。</w:t>
      </w:r>
    </w:p>
    <w:p w:rsidR="00000000" w:rsidRDefault="00000000">
      <w:pPr>
        <w:pStyle w:val="Heading3"/>
        <w:rPr>
          <w:rFonts w:hint="eastAsia"/>
        </w:rPr>
      </w:pPr>
      <w:r>
        <w:rPr>
          <w:rFonts w:hint="eastAsia"/>
        </w:rPr>
        <w:t>教育权利督察</w:t>
      </w:r>
    </w:p>
    <w:p w:rsidR="00000000" w:rsidRDefault="00000000">
      <w:pPr>
        <w:ind w:firstLine="510"/>
        <w:rPr>
          <w:rFonts w:hint="eastAsia"/>
        </w:rPr>
      </w:pPr>
      <w:r>
        <w:rPr>
          <w:rFonts w:hint="eastAsia"/>
        </w:rPr>
        <w:t>623.</w:t>
      </w:r>
      <w:r>
        <w:t xml:space="preserve">  </w:t>
      </w:r>
      <w:r>
        <w:rPr>
          <w:rFonts w:hint="eastAsia"/>
        </w:rPr>
        <w:t>直接并只对教育部负责的教育权利督察，致力于促进公民有关儿童、小学生、大中学校学生、研究人员、教育工作者、教师、家长及其协会的教育权。任何儿童、学生、家长、教育工作者、大学生、研究人员、教师或其协会，如果认为其受保障的权利受到侵犯，或者很有可能发生此种侵犯行为，一旦用尽法庭诉讼之外可获得的所有法律补救措施之后，或者如果他们申诉反对的法令或措施已在一年之内出台，均可以具体个案分别提出诉状。诉状的控诉对象可以是个案中提出或采用的政令或措施以及此种政令或措施的不作为，因为它们侵犯到或直接可能侵犯受法律保障的、任何儿童、小学生、家长、教育工作者、大学生、研究人员和教师协会的具体权利均应受到平等保护的权利。</w:t>
      </w:r>
    </w:p>
    <w:p w:rsidR="00000000" w:rsidRDefault="00000000">
      <w:pPr>
        <w:spacing w:after="320"/>
        <w:ind w:firstLine="510"/>
        <w:rPr>
          <w:rFonts w:hint="eastAsia"/>
        </w:rPr>
      </w:pPr>
      <w:r>
        <w:rPr>
          <w:rFonts w:hint="eastAsia"/>
        </w:rPr>
        <w:t>624.</w:t>
      </w:r>
      <w:r>
        <w:t xml:space="preserve">  </w:t>
      </w:r>
      <w:r>
        <w:rPr>
          <w:rFonts w:hint="eastAsia"/>
        </w:rPr>
        <w:t>如果诉状确有事实依据，督察将开展调解工作。如果当事各方未达成共识，督察可进行个人调停。如果机构或个人尚未终止侵犯受保障权利的行为，督察则采取行动终止侵权行为或直接可能发生的侵权行为。如果督察认为所采取的主动行动没有导致达成共识，他要向该教育机构或教育机构监管单位提出建议。如果督察认为某项法律规定、措施或法律规定和措施的不作为可能造成严重的侵权行为，或可能侵犯较大公民群体的权利，他可以依职权提起诉讼</w:t>
      </w:r>
      <w:r>
        <w:rPr>
          <w:rFonts w:hint="eastAsia"/>
        </w:rPr>
        <w:t>(</w:t>
      </w:r>
      <w:r>
        <w:rPr>
          <w:rFonts w:hint="eastAsia"/>
        </w:rPr>
        <w:t>教育部关于教育权利委员会办公室的任务和作用的第</w:t>
      </w:r>
      <w:r>
        <w:rPr>
          <w:rFonts w:hint="eastAsia"/>
        </w:rPr>
        <w:t>40/1999ME</w:t>
      </w:r>
      <w:r>
        <w:rPr>
          <w:rFonts w:hint="eastAsia"/>
        </w:rPr>
        <w:t>号政令</w:t>
      </w:r>
      <w:r>
        <w:rPr>
          <w:rFonts w:hint="eastAsia"/>
        </w:rPr>
        <w:t>)</w:t>
      </w:r>
      <w:r>
        <w:rPr>
          <w:rFonts w:hint="eastAsia"/>
        </w:rPr>
        <w:t>。</w:t>
      </w:r>
    </w:p>
    <w:p w:rsidR="00000000" w:rsidRDefault="00000000">
      <w:pPr>
        <w:pStyle w:val="Heading3"/>
        <w:rPr>
          <w:rFonts w:hint="eastAsia"/>
        </w:rPr>
      </w:pPr>
      <w:r>
        <w:rPr>
          <w:rFonts w:hint="eastAsia"/>
        </w:rPr>
        <w:t>公共教育部门任职人员的薪金</w:t>
      </w:r>
    </w:p>
    <w:p w:rsidR="00000000" w:rsidRDefault="00000000">
      <w:pPr>
        <w:ind w:firstLine="510"/>
        <w:rPr>
          <w:rFonts w:hint="eastAsia"/>
        </w:rPr>
      </w:pPr>
      <w:r>
        <w:rPr>
          <w:rFonts w:hint="eastAsia"/>
        </w:rPr>
        <w:t>625.</w:t>
      </w:r>
      <w:r>
        <w:t xml:space="preserve">  </w:t>
      </w:r>
      <w:r>
        <w:rPr>
          <w:rFonts w:hint="eastAsia"/>
        </w:rPr>
        <w:t>1992</w:t>
      </w:r>
      <w:r>
        <w:rPr>
          <w:rFonts w:hint="eastAsia"/>
        </w:rPr>
        <w:t>年，公共教育部门任职人员的薪金低于全国平均收入水平</w:t>
      </w:r>
      <w:r>
        <w:rPr>
          <w:rFonts w:hint="eastAsia"/>
        </w:rPr>
        <w:t>8%</w:t>
      </w:r>
      <w:r>
        <w:rPr>
          <w:rFonts w:hint="eastAsia"/>
        </w:rPr>
        <w:t>。</w:t>
      </w:r>
      <w:r>
        <w:rPr>
          <w:rFonts w:hint="eastAsia"/>
        </w:rPr>
        <w:t>1992</w:t>
      </w:r>
      <w:r>
        <w:rPr>
          <w:rFonts w:hint="eastAsia"/>
        </w:rPr>
        <w:t>至</w:t>
      </w:r>
      <w:r>
        <w:rPr>
          <w:rFonts w:hint="eastAsia"/>
        </w:rPr>
        <w:t>1996</w:t>
      </w:r>
      <w:r>
        <w:rPr>
          <w:rFonts w:hint="eastAsia"/>
        </w:rPr>
        <w:t>年间，在公共教育部门工作的那些人的相对薪金水平进一步下降至</w:t>
      </w:r>
      <w:r>
        <w:rPr>
          <w:rFonts w:hint="eastAsia"/>
        </w:rPr>
        <w:t>10%(</w:t>
      </w:r>
      <w:r>
        <w:rPr>
          <w:rFonts w:hint="eastAsia"/>
        </w:rPr>
        <w:t>从事中等教育工作者为</w:t>
      </w:r>
      <w:r>
        <w:rPr>
          <w:rFonts w:hint="eastAsia"/>
        </w:rPr>
        <w:t>21%</w:t>
      </w:r>
      <w:r>
        <w:rPr>
          <w:rFonts w:hint="eastAsia"/>
        </w:rPr>
        <w:t>，从事初级教育工作者为</w:t>
      </w:r>
      <w:r>
        <w:rPr>
          <w:rFonts w:hint="eastAsia"/>
        </w:rPr>
        <w:t>7%)</w:t>
      </w:r>
      <w:r>
        <w:rPr>
          <w:rFonts w:hint="eastAsia"/>
        </w:rPr>
        <w:t>。</w:t>
      </w:r>
      <w:r>
        <w:rPr>
          <w:rFonts w:hint="eastAsia"/>
        </w:rPr>
        <w:t>2001</w:t>
      </w:r>
      <w:r>
        <w:rPr>
          <w:rFonts w:hint="eastAsia"/>
        </w:rPr>
        <w:t>年，从事公共教育工作者的平均总收入仅为全国平均收入的</w:t>
      </w:r>
      <w:r>
        <w:rPr>
          <w:rFonts w:hint="eastAsia"/>
        </w:rPr>
        <w:t>80%</w:t>
      </w:r>
      <w:r>
        <w:rPr>
          <w:rFonts w:hint="eastAsia"/>
        </w:rPr>
        <w:t>。可以说，最大量的薪金拖欠表现在对大学学历的教师的薪金支付上。刚参加工作的大学研究生的平均收入是刚参加工作的大学学历的教师的两倍以上。到工作十年时</w:t>
      </w:r>
      <w:r>
        <w:rPr>
          <w:rFonts w:hint="eastAsia"/>
        </w:rPr>
        <w:t>(35</w:t>
      </w:r>
      <w:r>
        <w:rPr>
          <w:rFonts w:hint="eastAsia"/>
        </w:rPr>
        <w:t>岁左右</w:t>
      </w:r>
      <w:r>
        <w:rPr>
          <w:rFonts w:hint="eastAsia"/>
        </w:rPr>
        <w:t>)</w:t>
      </w:r>
      <w:r>
        <w:rPr>
          <w:rFonts w:hint="eastAsia"/>
        </w:rPr>
        <w:t>，薪金的这一差距将增至三倍。对于有大专学历、工作十年以上的那些教师，其薪金损失额最小，尤其考虑到教师职业的好处，比如工作稳定性、暑假时间长，以及公务员所享有的其他特权。</w:t>
      </w:r>
    </w:p>
    <w:p w:rsidR="00000000" w:rsidRDefault="00000000">
      <w:pPr>
        <w:spacing w:after="320"/>
        <w:ind w:firstLine="510"/>
        <w:rPr>
          <w:rFonts w:hint="eastAsia"/>
        </w:rPr>
      </w:pPr>
      <w:r>
        <w:rPr>
          <w:rFonts w:hint="eastAsia"/>
        </w:rPr>
        <w:t>626.</w:t>
      </w:r>
      <w:r>
        <w:t xml:space="preserve">  </w:t>
      </w:r>
      <w:r>
        <w:rPr>
          <w:rFonts w:hint="eastAsia"/>
        </w:rPr>
        <w:t>1992</w:t>
      </w:r>
      <w:r>
        <w:rPr>
          <w:rFonts w:hint="eastAsia"/>
        </w:rPr>
        <w:t>至</w:t>
      </w:r>
      <w:r>
        <w:rPr>
          <w:rFonts w:hint="eastAsia"/>
        </w:rPr>
        <w:t>2001</w:t>
      </w:r>
      <w:r>
        <w:rPr>
          <w:rFonts w:hint="eastAsia"/>
        </w:rPr>
        <w:t>年间，中学教师与小学教师的收入差距缩小，从</w:t>
      </w:r>
      <w:r>
        <w:rPr>
          <w:rFonts w:hint="eastAsia"/>
        </w:rPr>
        <w:t>27%</w:t>
      </w:r>
      <w:r>
        <w:rPr>
          <w:rFonts w:hint="eastAsia"/>
        </w:rPr>
        <w:t>降至</w:t>
      </w:r>
      <w:r>
        <w:rPr>
          <w:rFonts w:hint="eastAsia"/>
        </w:rPr>
        <w:t>10%</w:t>
      </w:r>
      <w:r>
        <w:rPr>
          <w:rFonts w:hint="eastAsia"/>
        </w:rPr>
        <w:t>。教师的薪金历来有差异，这取决于学校监管人社区的规模。</w:t>
      </w:r>
      <w:r>
        <w:rPr>
          <w:rFonts w:hint="eastAsia"/>
        </w:rPr>
        <w:t>2000</w:t>
      </w:r>
      <w:r>
        <w:rPr>
          <w:rFonts w:hint="eastAsia"/>
        </w:rPr>
        <w:t>年，在首都工作的教师的薪金高出乡村教师的薪金</w:t>
      </w:r>
      <w:r>
        <w:rPr>
          <w:rFonts w:hint="eastAsia"/>
        </w:rPr>
        <w:t>7%</w:t>
      </w:r>
      <w:r>
        <w:rPr>
          <w:rFonts w:hint="eastAsia"/>
        </w:rPr>
        <w:t>。</w:t>
      </w:r>
      <w:r>
        <w:rPr>
          <w:rFonts w:hint="eastAsia"/>
        </w:rPr>
        <w:t>2002</w:t>
      </w:r>
      <w:r>
        <w:rPr>
          <w:rFonts w:hint="eastAsia"/>
        </w:rPr>
        <w:t>年，公务员</w:t>
      </w:r>
      <w:r>
        <w:rPr>
          <w:rFonts w:hint="eastAsia"/>
        </w:rPr>
        <w:t>(</w:t>
      </w:r>
      <w:r>
        <w:rPr>
          <w:rFonts w:hint="eastAsia"/>
        </w:rPr>
        <w:t>教师、医生</w:t>
      </w:r>
      <w:r>
        <w:rPr>
          <w:rFonts w:hint="eastAsia"/>
        </w:rPr>
        <w:t>)</w:t>
      </w:r>
      <w:r>
        <w:rPr>
          <w:rFonts w:hint="eastAsia"/>
        </w:rPr>
        <w:t>的薪金提高了</w:t>
      </w:r>
      <w:r>
        <w:rPr>
          <w:rFonts w:hint="eastAsia"/>
        </w:rPr>
        <w:t>50%</w:t>
      </w:r>
      <w:r>
        <w:rPr>
          <w:rFonts w:hint="eastAsia"/>
        </w:rPr>
        <w:t>，目的在于改善教师的经济状况。</w:t>
      </w:r>
    </w:p>
    <w:p w:rsidR="00000000" w:rsidRDefault="00000000">
      <w:pPr>
        <w:pStyle w:val="Heading3"/>
        <w:rPr>
          <w:rFonts w:hint="eastAsia"/>
        </w:rPr>
      </w:pPr>
      <w:r>
        <w:rPr>
          <w:rFonts w:hint="eastAsia"/>
        </w:rPr>
        <w:t>用于公共教育的预算开支</w:t>
      </w:r>
    </w:p>
    <w:p w:rsidR="00000000" w:rsidRDefault="00000000">
      <w:pPr>
        <w:ind w:firstLine="510"/>
        <w:rPr>
          <w:rFonts w:hint="eastAsia"/>
        </w:rPr>
      </w:pPr>
      <w:r>
        <w:rPr>
          <w:rFonts w:hint="eastAsia"/>
        </w:rPr>
        <w:t>627.</w:t>
      </w:r>
      <w:r>
        <w:t xml:space="preserve">  </w:t>
      </w:r>
      <w:r>
        <w:rPr>
          <w:rFonts w:hint="eastAsia"/>
        </w:rPr>
        <w:t>2001</w:t>
      </w:r>
      <w:r>
        <w:rPr>
          <w:rFonts w:hint="eastAsia"/>
        </w:rPr>
        <w:t>年，国家预算为教育拨款几乎达到</w:t>
      </w:r>
      <w:r>
        <w:rPr>
          <w:rFonts w:hint="eastAsia"/>
        </w:rPr>
        <w:t>7,710</w:t>
      </w:r>
      <w:r>
        <w:rPr>
          <w:rFonts w:hint="eastAsia"/>
        </w:rPr>
        <w:t>亿福林，公共教育获得</w:t>
      </w:r>
      <w:r>
        <w:rPr>
          <w:rFonts w:hint="eastAsia"/>
        </w:rPr>
        <w:t>5,160</w:t>
      </w:r>
      <w:r>
        <w:rPr>
          <w:rFonts w:hint="eastAsia"/>
        </w:rPr>
        <w:t>亿福林。在九十年代后半期，公共教育开支增加幅度普遍大于通货膨胀率。不过，</w:t>
      </w:r>
      <w:r>
        <w:rPr>
          <w:rFonts w:hint="eastAsia"/>
        </w:rPr>
        <w:t>2000</w:t>
      </w:r>
      <w:r>
        <w:rPr>
          <w:rFonts w:hint="eastAsia"/>
        </w:rPr>
        <w:t>年的通货膨胀率大于开支增长幅度。因此，在</w:t>
      </w:r>
      <w:r>
        <w:rPr>
          <w:rFonts w:hint="eastAsia"/>
        </w:rPr>
        <w:t>1999</w:t>
      </w:r>
      <w:r>
        <w:rPr>
          <w:rFonts w:hint="eastAsia"/>
        </w:rPr>
        <w:t>至</w:t>
      </w:r>
      <w:r>
        <w:rPr>
          <w:rFonts w:hint="eastAsia"/>
        </w:rPr>
        <w:t>2001</w:t>
      </w:r>
      <w:r>
        <w:rPr>
          <w:rFonts w:hint="eastAsia"/>
        </w:rPr>
        <w:t>年间，公共教育开支程度仅为实际价值的</w:t>
      </w:r>
      <w:r>
        <w:rPr>
          <w:rFonts w:hint="eastAsia"/>
        </w:rPr>
        <w:t>4%</w:t>
      </w:r>
      <w:r>
        <w:rPr>
          <w:rFonts w:hint="eastAsia"/>
        </w:rPr>
        <w:t>。</w:t>
      </w:r>
    </w:p>
    <w:p w:rsidR="00000000" w:rsidRDefault="00000000">
      <w:pPr>
        <w:spacing w:after="320"/>
        <w:ind w:firstLine="510"/>
        <w:rPr>
          <w:rFonts w:hint="eastAsia"/>
        </w:rPr>
      </w:pPr>
      <w:r>
        <w:rPr>
          <w:rFonts w:hint="eastAsia"/>
        </w:rPr>
        <w:t>628.</w:t>
      </w:r>
      <w:r>
        <w:t xml:space="preserve">  </w:t>
      </w:r>
      <w:r>
        <w:rPr>
          <w:rFonts w:hint="eastAsia"/>
        </w:rPr>
        <w:t>2001</w:t>
      </w:r>
      <w:r>
        <w:rPr>
          <w:rFonts w:hint="eastAsia"/>
        </w:rPr>
        <w:t>年，匈牙利用于培养一名小学生和中学生的费用为</w:t>
      </w:r>
      <w:r>
        <w:rPr>
          <w:rFonts w:hint="eastAsia"/>
        </w:rPr>
        <w:t>290,000</w:t>
      </w:r>
      <w:r>
        <w:rPr>
          <w:rFonts w:hint="eastAsia"/>
        </w:rPr>
        <w:t>福林，为人均国内生产总值的</w:t>
      </w:r>
      <w:r>
        <w:rPr>
          <w:rFonts w:hint="eastAsia"/>
        </w:rPr>
        <w:t>19.9%</w:t>
      </w:r>
      <w:r>
        <w:rPr>
          <w:rFonts w:hint="eastAsia"/>
        </w:rPr>
        <w:t>。这一数字略低于</w:t>
      </w:r>
      <w:r>
        <w:rPr>
          <w:rFonts w:hint="eastAsia"/>
        </w:rPr>
        <w:t>1998</w:t>
      </w:r>
      <w:r>
        <w:rPr>
          <w:rFonts w:hint="eastAsia"/>
        </w:rPr>
        <w:t>年，它表明国内生产总值的增长速度快于学生开支的增长。学生人均开支</w:t>
      </w:r>
      <w:r>
        <w:rPr>
          <w:rFonts w:hint="eastAsia"/>
        </w:rPr>
        <w:t>290,000</w:t>
      </w:r>
      <w:r>
        <w:rPr>
          <w:rFonts w:hint="eastAsia"/>
        </w:rPr>
        <w:t>福林，比</w:t>
      </w:r>
      <w:r>
        <w:rPr>
          <w:rFonts w:hint="eastAsia"/>
        </w:rPr>
        <w:t>2000</w:t>
      </w:r>
      <w:r>
        <w:rPr>
          <w:rFonts w:hint="eastAsia"/>
        </w:rPr>
        <w:t>年高出</w:t>
      </w:r>
      <w:r>
        <w:rPr>
          <w:rFonts w:hint="eastAsia"/>
        </w:rPr>
        <w:t>15%</w:t>
      </w:r>
      <w:r>
        <w:rPr>
          <w:rFonts w:hint="eastAsia"/>
        </w:rPr>
        <w:t>，比</w:t>
      </w:r>
      <w:r>
        <w:rPr>
          <w:rFonts w:hint="eastAsia"/>
        </w:rPr>
        <w:t>1998</w:t>
      </w:r>
      <w:r>
        <w:rPr>
          <w:rFonts w:hint="eastAsia"/>
        </w:rPr>
        <w:t>年高出</w:t>
      </w:r>
      <w:r>
        <w:rPr>
          <w:rFonts w:hint="eastAsia"/>
        </w:rPr>
        <w:t>42.5%</w:t>
      </w:r>
      <w:r>
        <w:rPr>
          <w:rFonts w:hint="eastAsia"/>
        </w:rPr>
        <w:t>。学生人均开支的增长幅度在很大程度上高于公共教育支出总额</w:t>
      </w:r>
      <w:r>
        <w:rPr>
          <w:rFonts w:hint="eastAsia"/>
        </w:rPr>
        <w:t>(1989</w:t>
      </w:r>
      <w:r>
        <w:rPr>
          <w:rFonts w:hint="eastAsia"/>
        </w:rPr>
        <w:t>至</w:t>
      </w:r>
      <w:r>
        <w:rPr>
          <w:rFonts w:hint="eastAsia"/>
        </w:rPr>
        <w:t>2001</w:t>
      </w:r>
      <w:r>
        <w:rPr>
          <w:rFonts w:hint="eastAsia"/>
        </w:rPr>
        <w:t>年间为</w:t>
      </w:r>
      <w:r>
        <w:rPr>
          <w:rFonts w:hint="eastAsia"/>
        </w:rPr>
        <w:t>39%)</w:t>
      </w:r>
      <w:r>
        <w:rPr>
          <w:rFonts w:hint="eastAsia"/>
        </w:rPr>
        <w:t>，这一事实表明，公共教育的财政效益下降。值得一提的是，就幼稚园教育而言，学生人均开支与人均国内生产总值之比略高于经合组织国家</w:t>
      </w:r>
      <w:r>
        <w:rPr>
          <w:rFonts w:hint="eastAsia"/>
        </w:rPr>
        <w:t>(</w:t>
      </w:r>
      <w:r>
        <w:rPr>
          <w:rFonts w:hint="eastAsia"/>
        </w:rPr>
        <w:t>匈牙利为</w:t>
      </w:r>
      <w:r>
        <w:rPr>
          <w:rFonts w:hint="eastAsia"/>
        </w:rPr>
        <w:t>21%</w:t>
      </w:r>
      <w:r>
        <w:rPr>
          <w:rFonts w:hint="eastAsia"/>
        </w:rPr>
        <w:t>，经合组织国家为</w:t>
      </w:r>
      <w:r>
        <w:rPr>
          <w:rFonts w:hint="eastAsia"/>
        </w:rPr>
        <w:t>18%)</w:t>
      </w:r>
      <w:r>
        <w:rPr>
          <w:rFonts w:hint="eastAsia"/>
        </w:rPr>
        <w:t>。在小学前四年级，差别不明显，但在后四年级和中等教育中，差别就较为显著</w:t>
      </w:r>
      <w:r>
        <w:rPr>
          <w:rFonts w:hint="eastAsia"/>
        </w:rPr>
        <w:t>(</w:t>
      </w:r>
      <w:r>
        <w:rPr>
          <w:rFonts w:hint="eastAsia"/>
        </w:rPr>
        <w:t>匈牙利为</w:t>
      </w:r>
      <w:r>
        <w:rPr>
          <w:rFonts w:hint="eastAsia"/>
        </w:rPr>
        <w:t>18%</w:t>
      </w:r>
      <w:r>
        <w:rPr>
          <w:rFonts w:hint="eastAsia"/>
        </w:rPr>
        <w:t>，经合组织国家平均为</w:t>
      </w:r>
      <w:r>
        <w:rPr>
          <w:rFonts w:hint="eastAsia"/>
        </w:rPr>
        <w:t>23%</w:t>
      </w:r>
      <w:r>
        <w:rPr>
          <w:rFonts w:hint="eastAsia"/>
        </w:rPr>
        <w:t>，匈牙利为</w:t>
      </w:r>
      <w:r>
        <w:rPr>
          <w:rFonts w:hint="eastAsia"/>
        </w:rPr>
        <w:t>24%</w:t>
      </w:r>
      <w:r>
        <w:rPr>
          <w:rFonts w:hint="eastAsia"/>
        </w:rPr>
        <w:t>，经合组织国家即为</w:t>
      </w:r>
      <w:r>
        <w:rPr>
          <w:rFonts w:hint="eastAsia"/>
        </w:rPr>
        <w:t>28%)</w:t>
      </w:r>
      <w:r>
        <w:rPr>
          <w:rFonts w:hint="eastAsia"/>
        </w:rPr>
        <w:t>。</w:t>
      </w:r>
    </w:p>
    <w:p w:rsidR="00000000" w:rsidRDefault="00000000">
      <w:pPr>
        <w:pStyle w:val="Heading3"/>
        <w:rPr>
          <w:rFonts w:hint="eastAsia"/>
        </w:rPr>
      </w:pPr>
      <w:r>
        <w:rPr>
          <w:rFonts w:hint="eastAsia"/>
        </w:rPr>
        <w:t>高等教育</w:t>
      </w:r>
    </w:p>
    <w:p w:rsidR="00000000" w:rsidRDefault="00000000">
      <w:pPr>
        <w:pStyle w:val="Heading4"/>
        <w:ind w:left="520" w:hanging="520"/>
        <w:rPr>
          <w:rFonts w:eastAsia="KaiTi_GB2312" w:hint="eastAsia"/>
          <w:snapToGrid/>
          <w:spacing w:val="0"/>
          <w:u w:val="none"/>
        </w:rPr>
      </w:pPr>
      <w:r>
        <w:rPr>
          <w:rFonts w:eastAsia="KaiTi_GB2312" w:hint="eastAsia"/>
          <w:snapToGrid/>
          <w:spacing w:val="0"/>
          <w:u w:val="none"/>
        </w:rPr>
        <w:t>入学机会</w:t>
      </w:r>
    </w:p>
    <w:p w:rsidR="00000000" w:rsidRDefault="00000000">
      <w:pPr>
        <w:ind w:firstLine="510"/>
        <w:rPr>
          <w:rFonts w:hint="eastAsia"/>
        </w:rPr>
      </w:pPr>
      <w:r>
        <w:rPr>
          <w:rFonts w:hint="eastAsia"/>
        </w:rPr>
        <w:t>629.</w:t>
      </w:r>
      <w:r>
        <w:t xml:space="preserve">  </w:t>
      </w:r>
      <w:r>
        <w:rPr>
          <w:rFonts w:hint="eastAsia"/>
        </w:rPr>
        <w:t>高等教育机构开展经认证的高等教育和职业高等教育，国家按照政府决定的招生人数为其提供资金。高等教育面向匈牙利国籍的学生或按照国际协定或法律规定享有同等地位的外国学生，可以采取全日制课程，形式可以有基础训练、基础补充训练、高等职业培训、专科函授训练和博士生培训。</w:t>
      </w:r>
    </w:p>
    <w:p w:rsidR="00000000" w:rsidRDefault="00000000">
      <w:pPr>
        <w:ind w:firstLine="510"/>
        <w:rPr>
          <w:rFonts w:hint="eastAsia"/>
        </w:rPr>
      </w:pPr>
      <w:r>
        <w:rPr>
          <w:rFonts w:hint="eastAsia"/>
        </w:rPr>
        <w:t xml:space="preserve">630.  </w:t>
      </w:r>
      <w:r>
        <w:rPr>
          <w:rFonts w:hint="eastAsia"/>
        </w:rPr>
        <w:t>按照《关于高等教育的</w:t>
      </w:r>
      <w:r>
        <w:rPr>
          <w:rFonts w:hint="eastAsia"/>
        </w:rPr>
        <w:t>1993</w:t>
      </w:r>
      <w:r>
        <w:rPr>
          <w:rFonts w:hint="eastAsia"/>
        </w:rPr>
        <w:t>年第八十号法令》第</w:t>
      </w:r>
      <w:r>
        <w:rPr>
          <w:rFonts w:hint="eastAsia"/>
        </w:rPr>
        <w:t>83</w:t>
      </w:r>
      <w:r>
        <w:rPr>
          <w:rFonts w:hint="eastAsia"/>
        </w:rPr>
        <w:t>条，每个匈牙利公民均有权在其选择的高等教育机构和分校继续深造，并有权向几所高等教育机构提出入学申请，但须详细说明所申请学校的先后顺序。</w:t>
      </w:r>
    </w:p>
    <w:p w:rsidR="00000000" w:rsidRDefault="00000000">
      <w:pPr>
        <w:ind w:firstLine="510"/>
        <w:rPr>
          <w:rFonts w:hint="eastAsia"/>
        </w:rPr>
      </w:pPr>
      <w:r>
        <w:rPr>
          <w:rFonts w:hint="eastAsia"/>
        </w:rPr>
        <w:t>631.</w:t>
      </w:r>
      <w:r>
        <w:t xml:space="preserve">  </w:t>
      </w:r>
      <w:r>
        <w:rPr>
          <w:rFonts w:hint="eastAsia"/>
        </w:rPr>
        <w:t>这类人可向以下机构提出入学申请：</w:t>
      </w:r>
    </w:p>
    <w:p w:rsidR="00000000" w:rsidRDefault="00000000">
      <w:pPr>
        <w:numPr>
          <w:ilvl w:val="0"/>
          <w:numId w:val="200"/>
        </w:numPr>
        <w:tabs>
          <w:tab w:val="clear" w:pos="1531"/>
        </w:tabs>
        <w:rPr>
          <w:rFonts w:hint="eastAsia"/>
        </w:rPr>
      </w:pPr>
      <w:r>
        <w:rPr>
          <w:rFonts w:hint="eastAsia"/>
        </w:rPr>
        <w:t>获得毕业考试证书或中学毕业同等学力证书或在高等教育机构获得的毕业证书者，可申请研究生教育或经认证的高等职业教育；</w:t>
      </w:r>
    </w:p>
    <w:p w:rsidR="00000000" w:rsidRDefault="00000000">
      <w:pPr>
        <w:numPr>
          <w:ilvl w:val="0"/>
          <w:numId w:val="200"/>
        </w:numPr>
        <w:rPr>
          <w:rFonts w:hint="eastAsia"/>
        </w:rPr>
      </w:pPr>
      <w:r>
        <w:rPr>
          <w:rFonts w:hint="eastAsia"/>
        </w:rPr>
        <w:t>获得大学或大专毕业文凭，可申请专科大学或学院研究生教育；</w:t>
      </w:r>
    </w:p>
    <w:p w:rsidR="00000000" w:rsidRDefault="00000000">
      <w:pPr>
        <w:numPr>
          <w:ilvl w:val="0"/>
          <w:numId w:val="200"/>
        </w:numPr>
        <w:spacing w:after="320"/>
        <w:rPr>
          <w:rFonts w:hint="eastAsia"/>
        </w:rPr>
      </w:pPr>
      <w:r>
        <w:rPr>
          <w:rFonts w:hint="eastAsia"/>
        </w:rPr>
        <w:t>获得大学毕业文凭或相当于大学同等学力证书者，可申请博士生教育。</w:t>
      </w:r>
    </w:p>
    <w:p w:rsidR="00000000" w:rsidRDefault="00000000">
      <w:pPr>
        <w:pStyle w:val="Heading4"/>
        <w:rPr>
          <w:rFonts w:eastAsia="KaiTi_GB2312" w:hint="eastAsia"/>
          <w:snapToGrid/>
          <w:spacing w:val="0"/>
          <w:u w:val="none"/>
        </w:rPr>
      </w:pPr>
      <w:r>
        <w:rPr>
          <w:rFonts w:eastAsia="KaiTi_GB2312" w:hint="eastAsia"/>
          <w:snapToGrid/>
          <w:spacing w:val="0"/>
          <w:u w:val="none"/>
        </w:rPr>
        <w:t>免除学费</w:t>
      </w:r>
    </w:p>
    <w:p w:rsidR="00000000" w:rsidRDefault="00000000">
      <w:pPr>
        <w:ind w:firstLine="510"/>
        <w:rPr>
          <w:rFonts w:hint="eastAsia"/>
        </w:rPr>
      </w:pPr>
      <w:r>
        <w:rPr>
          <w:rFonts w:hint="eastAsia"/>
        </w:rPr>
        <w:t>632.</w:t>
      </w:r>
      <w:r>
        <w:t xml:space="preserve">  </w:t>
      </w:r>
      <w:r>
        <w:rPr>
          <w:rFonts w:hint="eastAsia"/>
        </w:rPr>
        <w:t>按照上述法令，接受国家出资的高等教育的学生，如有下列情况者，可免除学费：</w:t>
      </w:r>
    </w:p>
    <w:p w:rsidR="00000000" w:rsidRDefault="00000000">
      <w:pPr>
        <w:numPr>
          <w:ilvl w:val="0"/>
          <w:numId w:val="202"/>
        </w:numPr>
        <w:tabs>
          <w:tab w:val="clear" w:pos="1531"/>
        </w:tabs>
        <w:rPr>
          <w:rFonts w:hint="eastAsia"/>
        </w:rPr>
      </w:pPr>
      <w:r>
        <w:rPr>
          <w:rFonts w:hint="eastAsia"/>
        </w:rPr>
        <w:t>接受第一个研究生教育或第一个补充研究生教育，如果她</w:t>
      </w:r>
      <w:r>
        <w:rPr>
          <w:rFonts w:hint="eastAsia"/>
        </w:rPr>
        <w:t>/</w:t>
      </w:r>
      <w:r>
        <w:rPr>
          <w:rFonts w:hint="eastAsia"/>
        </w:rPr>
        <w:t>他是按照政府政令规定的条件完成学业的；</w:t>
      </w:r>
    </w:p>
    <w:p w:rsidR="00000000" w:rsidRDefault="00000000">
      <w:pPr>
        <w:numPr>
          <w:ilvl w:val="0"/>
          <w:numId w:val="202"/>
        </w:numPr>
        <w:rPr>
          <w:rFonts w:hint="eastAsia"/>
        </w:rPr>
      </w:pPr>
      <w:r>
        <w:rPr>
          <w:rFonts w:hint="eastAsia"/>
        </w:rPr>
        <w:t>在头两个学年接受第一个博士生教育，如果她</w:t>
      </w:r>
      <w:r>
        <w:rPr>
          <w:rFonts w:hint="eastAsia"/>
        </w:rPr>
        <w:t>/</w:t>
      </w:r>
      <w:r>
        <w:rPr>
          <w:rFonts w:hint="eastAsia"/>
        </w:rPr>
        <w:t>他是按照政府政令的规定接受教育并进入第三学年的；</w:t>
      </w:r>
    </w:p>
    <w:p w:rsidR="00000000" w:rsidRDefault="00000000">
      <w:pPr>
        <w:numPr>
          <w:ilvl w:val="0"/>
          <w:numId w:val="202"/>
        </w:numPr>
        <w:rPr>
          <w:rFonts w:hint="eastAsia"/>
        </w:rPr>
      </w:pPr>
      <w:r>
        <w:rPr>
          <w:rFonts w:hint="eastAsia"/>
        </w:rPr>
        <w:t>属于政府政令规定的其他情况的。</w:t>
      </w:r>
    </w:p>
    <w:p w:rsidR="00000000" w:rsidRDefault="00000000">
      <w:pPr>
        <w:spacing w:after="320"/>
        <w:ind w:firstLine="510"/>
        <w:rPr>
          <w:rFonts w:hint="eastAsia"/>
        </w:rPr>
      </w:pPr>
      <w:r>
        <w:rPr>
          <w:rFonts w:hint="eastAsia"/>
        </w:rPr>
        <w:t>633.</w:t>
      </w:r>
      <w:r>
        <w:t xml:space="preserve">  </w:t>
      </w:r>
      <w:r>
        <w:rPr>
          <w:rFonts w:hint="eastAsia"/>
        </w:rPr>
        <w:t>上述学生只有在一所高等教育机构</w:t>
      </w:r>
      <w:r>
        <w:rPr>
          <w:rFonts w:hint="eastAsia"/>
        </w:rPr>
        <w:t>(</w:t>
      </w:r>
      <w:r>
        <w:rPr>
          <w:rFonts w:hint="eastAsia"/>
        </w:rPr>
        <w:t>分校、学院</w:t>
      </w:r>
      <w:r>
        <w:rPr>
          <w:rFonts w:hint="eastAsia"/>
        </w:rPr>
        <w:t>)</w:t>
      </w:r>
      <w:r>
        <w:rPr>
          <w:rFonts w:hint="eastAsia"/>
        </w:rPr>
        <w:t>享有免除学费待遇。入学注册时，学生应作出以下声明并对此承担刑事和纪律责任，即他们希望在哪一所高等教育机构享受免除学费待遇，以及在国家出资的高等教育范围内他们已在其他高等教育机构中学习了多少学期。</w:t>
      </w:r>
    </w:p>
    <w:p w:rsidR="00000000" w:rsidRDefault="00000000">
      <w:pPr>
        <w:pStyle w:val="Heading4"/>
        <w:rPr>
          <w:rFonts w:eastAsia="KaiTi_GB2312" w:hint="eastAsia"/>
          <w:snapToGrid/>
          <w:spacing w:val="0"/>
          <w:u w:val="none"/>
        </w:rPr>
      </w:pPr>
      <w:r>
        <w:rPr>
          <w:rFonts w:eastAsia="KaiTi_GB2312" w:hint="eastAsia"/>
          <w:snapToGrid/>
          <w:spacing w:val="0"/>
          <w:u w:val="none"/>
        </w:rPr>
        <w:t>确保研究自由</w:t>
      </w:r>
    </w:p>
    <w:p w:rsidR="00000000" w:rsidRDefault="00000000">
      <w:pPr>
        <w:spacing w:after="320"/>
        <w:ind w:firstLine="510"/>
        <w:rPr>
          <w:rFonts w:hint="eastAsia"/>
        </w:rPr>
      </w:pPr>
      <w:r>
        <w:rPr>
          <w:rFonts w:hint="eastAsia"/>
        </w:rPr>
        <w:t>634.</w:t>
      </w:r>
      <w:r>
        <w:t xml:space="preserve">  </w:t>
      </w:r>
      <w:r>
        <w:rPr>
          <w:rFonts w:hint="eastAsia"/>
        </w:rPr>
        <w:t>按照《高等教育法令》第</w:t>
      </w:r>
      <w:r>
        <w:rPr>
          <w:rFonts w:hint="eastAsia"/>
        </w:rPr>
        <w:t>91(1)</w:t>
      </w:r>
      <w:r>
        <w:rPr>
          <w:rFonts w:hint="eastAsia"/>
        </w:rPr>
        <w:t>条，“对于其适宜性得到匈牙利认证委员会承认的那些科学领域和分科，大学有资格提供博士生教育和颁发博士学位证书。”</w:t>
      </w:r>
    </w:p>
    <w:p w:rsidR="00000000" w:rsidRDefault="00000000">
      <w:pPr>
        <w:pStyle w:val="Heading4"/>
        <w:rPr>
          <w:rFonts w:eastAsia="KaiTi_GB2312" w:hint="eastAsia"/>
          <w:snapToGrid/>
          <w:spacing w:val="0"/>
          <w:u w:val="none"/>
        </w:rPr>
      </w:pPr>
      <w:r>
        <w:rPr>
          <w:rFonts w:eastAsia="KaiTi_GB2312" w:hint="eastAsia"/>
          <w:snapToGrid/>
          <w:spacing w:val="0"/>
          <w:u w:val="none"/>
        </w:rPr>
        <w:t>匈牙利公民在国外就学</w:t>
      </w:r>
    </w:p>
    <w:p w:rsidR="00000000" w:rsidRDefault="00000000">
      <w:pPr>
        <w:spacing w:after="320"/>
        <w:ind w:firstLine="510"/>
        <w:rPr>
          <w:rFonts w:hint="eastAsia"/>
        </w:rPr>
      </w:pPr>
      <w:r>
        <w:rPr>
          <w:rFonts w:hint="eastAsia"/>
        </w:rPr>
        <w:t>635.</w:t>
      </w:r>
      <w:r>
        <w:t xml:space="preserve">  </w:t>
      </w:r>
      <w:r>
        <w:rPr>
          <w:rFonts w:hint="eastAsia"/>
        </w:rPr>
        <w:t>匈牙利公民无须官方许可即可出国接受高等教育。对于在外国高等教育机构攻读学业者，国家可根据竞争的原则发放奖学金。</w:t>
      </w:r>
    </w:p>
    <w:p w:rsidR="00000000" w:rsidRDefault="00000000">
      <w:pPr>
        <w:pStyle w:val="Heading4"/>
        <w:rPr>
          <w:rFonts w:eastAsia="KaiTi_GB2312" w:hint="eastAsia"/>
          <w:snapToGrid/>
          <w:spacing w:val="0"/>
          <w:u w:val="none"/>
        </w:rPr>
      </w:pPr>
      <w:r>
        <w:rPr>
          <w:rFonts w:eastAsia="KaiTi_GB2312" w:hint="eastAsia"/>
          <w:snapToGrid/>
          <w:spacing w:val="0"/>
          <w:u w:val="none"/>
        </w:rPr>
        <w:t>外国人在匈牙利就学</w:t>
      </w:r>
    </w:p>
    <w:p w:rsidR="00000000" w:rsidRDefault="00000000">
      <w:pPr>
        <w:spacing w:after="320"/>
        <w:ind w:firstLine="510"/>
        <w:rPr>
          <w:rFonts w:hint="eastAsia"/>
        </w:rPr>
      </w:pPr>
      <w:r>
        <w:rPr>
          <w:rFonts w:hint="eastAsia"/>
        </w:rPr>
        <w:t>636.</w:t>
      </w:r>
      <w:r>
        <w:t xml:space="preserve">  </w:t>
      </w:r>
      <w:r>
        <w:rPr>
          <w:rFonts w:hint="eastAsia"/>
        </w:rPr>
        <w:t>在录取外国人入学、外国人的法律地位以及外国人在匈牙利高等教育机构的学习等问题上，应适用《高等教育法令》条款，但法律或国际协定另有规定者除外。有关外国学生的具体管理规定，以高等教育机构自身的管理条例为准。外国学生，如果法律或国际协定规定没有差异，则应按照《高等教育法令》第</w:t>
      </w:r>
      <w:r>
        <w:rPr>
          <w:rFonts w:hint="eastAsia"/>
        </w:rPr>
        <w:t>31</w:t>
      </w:r>
      <w:r>
        <w:rPr>
          <w:rFonts w:hint="eastAsia"/>
        </w:rPr>
        <w:t>节规定支付学费、费用和其他杂费。</w:t>
      </w:r>
    </w:p>
    <w:p w:rsidR="00000000" w:rsidRDefault="00000000">
      <w:pPr>
        <w:pStyle w:val="Heading4"/>
        <w:rPr>
          <w:rFonts w:eastAsia="KaiTi_GB2312" w:hint="eastAsia"/>
          <w:snapToGrid/>
          <w:spacing w:val="0"/>
          <w:u w:val="none"/>
        </w:rPr>
      </w:pPr>
      <w:r>
        <w:rPr>
          <w:rFonts w:eastAsia="KaiTi_GB2312" w:hint="eastAsia"/>
          <w:snapToGrid/>
          <w:spacing w:val="0"/>
          <w:u w:val="none"/>
        </w:rPr>
        <w:t>外国在匈牙利办学资格的承认</w:t>
      </w:r>
    </w:p>
    <w:p w:rsidR="00000000" w:rsidRDefault="00000000">
      <w:pPr>
        <w:ind w:firstLine="510"/>
        <w:rPr>
          <w:rFonts w:hint="eastAsia"/>
        </w:rPr>
      </w:pPr>
      <w:r>
        <w:rPr>
          <w:rFonts w:hint="eastAsia"/>
        </w:rPr>
        <w:t>637.</w:t>
      </w:r>
      <w:r>
        <w:t xml:space="preserve">  </w:t>
      </w:r>
      <w:r>
        <w:rPr>
          <w:rFonts w:hint="eastAsia"/>
        </w:rPr>
        <w:t>外国高等教育机构可</w:t>
      </w:r>
      <w:r>
        <w:rPr>
          <w:rFonts w:hint="eastAsia"/>
        </w:rPr>
        <w:t>(</w:t>
      </w:r>
      <w:r>
        <w:rPr>
          <w:rFonts w:hint="eastAsia"/>
        </w:rPr>
        <w:t>独立，在另一组织内，或与其他机构合作</w:t>
      </w:r>
      <w:r>
        <w:rPr>
          <w:rFonts w:hint="eastAsia"/>
        </w:rPr>
        <w:t>)</w:t>
      </w:r>
      <w:r>
        <w:rPr>
          <w:rFonts w:hint="eastAsia"/>
        </w:rPr>
        <w:t>举办正规研究生教育、专科研究生教育，并颁发外国学位证书的条件是：</w:t>
      </w:r>
    </w:p>
    <w:p w:rsidR="00000000" w:rsidRDefault="00000000">
      <w:pPr>
        <w:numPr>
          <w:ilvl w:val="0"/>
          <w:numId w:val="204"/>
        </w:numPr>
        <w:tabs>
          <w:tab w:val="clear" w:pos="1531"/>
        </w:tabs>
        <w:rPr>
          <w:rFonts w:hint="eastAsia"/>
        </w:rPr>
      </w:pPr>
      <w:r>
        <w:rPr>
          <w:rFonts w:hint="eastAsia"/>
        </w:rPr>
        <w:t>该教育机构在其所在国家被正式承认为高等教育机构，所颁发的学位被承认为高等教育学位，并可令人信服地证明这一点；</w:t>
      </w:r>
    </w:p>
    <w:p w:rsidR="00000000" w:rsidRDefault="00000000">
      <w:pPr>
        <w:numPr>
          <w:ilvl w:val="0"/>
          <w:numId w:val="204"/>
        </w:numPr>
        <w:rPr>
          <w:rFonts w:hint="eastAsia"/>
        </w:rPr>
      </w:pPr>
      <w:r>
        <w:rPr>
          <w:rFonts w:hint="eastAsia"/>
        </w:rPr>
        <w:t>教育部考虑了匈牙利认证委员会的意见之后，已授权该高等教育机构开展此种活动。</w:t>
      </w:r>
    </w:p>
    <w:p w:rsidR="00000000" w:rsidRDefault="00000000">
      <w:pPr>
        <w:spacing w:after="320"/>
        <w:ind w:firstLine="510"/>
        <w:rPr>
          <w:rFonts w:hint="eastAsia"/>
        </w:rPr>
      </w:pPr>
      <w:r>
        <w:rPr>
          <w:rFonts w:hint="eastAsia"/>
        </w:rPr>
        <w:t>638.</w:t>
      </w:r>
      <w:r>
        <w:t xml:space="preserve">  </w:t>
      </w:r>
      <w:r>
        <w:rPr>
          <w:rFonts w:hint="eastAsia"/>
        </w:rPr>
        <w:t>匈牙利高等教育机构可与某一外国高等教育机构联合进行研究生、专科研究生及博士生教育，只要合作的外国高等教育机构符合上述条件。此种合作必须上报教育部。</w:t>
      </w:r>
    </w:p>
    <w:p w:rsidR="00000000" w:rsidRDefault="00000000">
      <w:pPr>
        <w:pStyle w:val="Heading4"/>
        <w:rPr>
          <w:rFonts w:eastAsia="KaiTi_GB2312" w:hint="eastAsia"/>
          <w:snapToGrid/>
          <w:spacing w:val="0"/>
          <w:u w:val="none"/>
        </w:rPr>
      </w:pPr>
      <w:r>
        <w:rPr>
          <w:rFonts w:eastAsia="KaiTi_GB2312" w:hint="eastAsia"/>
          <w:snapToGrid/>
          <w:spacing w:val="0"/>
          <w:u w:val="none"/>
        </w:rPr>
        <w:t>科学研究</w:t>
      </w:r>
    </w:p>
    <w:p w:rsidR="00000000" w:rsidRDefault="00000000">
      <w:pPr>
        <w:ind w:firstLine="510"/>
        <w:rPr>
          <w:rFonts w:hint="eastAsia"/>
        </w:rPr>
      </w:pPr>
      <w:r>
        <w:rPr>
          <w:rFonts w:hint="eastAsia"/>
        </w:rPr>
        <w:t>639.</w:t>
      </w:r>
      <w:r>
        <w:t xml:space="preserve">  </w:t>
      </w:r>
      <w:r>
        <w:rPr>
          <w:rFonts w:hint="eastAsia"/>
        </w:rPr>
        <w:t>按照《高等教育法令》规定，高等教育机构应确保其教育工作者、研究人员和学生有学术活动自由，并支持落实保障自由的适当条件。高等教育机构拥有开展科学研究的大量资源，建立和管理图书馆及大量设备，并确保使用这些图书馆及设备的机会。</w:t>
      </w:r>
    </w:p>
    <w:p w:rsidR="00000000" w:rsidRDefault="00000000">
      <w:pPr>
        <w:ind w:firstLine="510"/>
        <w:rPr>
          <w:rFonts w:hint="eastAsia"/>
        </w:rPr>
      </w:pPr>
      <w:r>
        <w:rPr>
          <w:rFonts w:hint="eastAsia"/>
        </w:rPr>
        <w:t>640.</w:t>
      </w:r>
      <w:r>
        <w:t xml:space="preserve">  </w:t>
      </w:r>
      <w:r>
        <w:rPr>
          <w:rFonts w:hint="eastAsia"/>
        </w:rPr>
        <w:t>高等教育机构通过启动并资助个人、团体和机构的方案；组织科学活动；建立和保持与国内外科学界的联系；提供博士生教育</w:t>
      </w:r>
      <w:r>
        <w:rPr>
          <w:rFonts w:hint="eastAsia"/>
        </w:rPr>
        <w:t>(</w:t>
      </w:r>
      <w:r>
        <w:rPr>
          <w:rFonts w:hint="eastAsia"/>
        </w:rPr>
        <w:t>大学</w:t>
      </w:r>
      <w:r>
        <w:rPr>
          <w:rFonts w:hint="eastAsia"/>
        </w:rPr>
        <w:t>)</w:t>
      </w:r>
      <w:r>
        <w:rPr>
          <w:rFonts w:hint="eastAsia"/>
        </w:rPr>
        <w:t>；发表科学论著等方法，协助落实上述规定。</w:t>
      </w:r>
    </w:p>
    <w:p w:rsidR="00000000" w:rsidRDefault="00000000">
      <w:pPr>
        <w:ind w:firstLine="510"/>
        <w:rPr>
          <w:rFonts w:hint="eastAsia"/>
        </w:rPr>
      </w:pPr>
      <w:r>
        <w:rPr>
          <w:rFonts w:hint="eastAsia"/>
        </w:rPr>
        <w:t>641.</w:t>
      </w:r>
      <w:r>
        <w:t xml:space="preserve">  </w:t>
      </w:r>
      <w:r>
        <w:rPr>
          <w:rFonts w:hint="eastAsia"/>
        </w:rPr>
        <w:t>高等教育机构通过其条例规定决定专用于科学目的的设备和教育机构和</w:t>
      </w:r>
      <w:r>
        <w:rPr>
          <w:rFonts w:hint="eastAsia"/>
        </w:rPr>
        <w:t>(</w:t>
      </w:r>
      <w:r>
        <w:rPr>
          <w:rFonts w:hint="eastAsia"/>
        </w:rPr>
        <w:t>或</w:t>
      </w:r>
      <w:r>
        <w:rPr>
          <w:rFonts w:hint="eastAsia"/>
        </w:rPr>
        <w:t>)</w:t>
      </w:r>
      <w:r>
        <w:rPr>
          <w:rFonts w:hint="eastAsia"/>
        </w:rPr>
        <w:t>教学科研组织单位的其他设备的使用和使用条件。高等教育机构可独立或与其他机构合作开展科研，或者可为其自身发展而建立研究所、工业园和专业咨询企业。</w:t>
      </w:r>
    </w:p>
    <w:p w:rsidR="00000000" w:rsidRDefault="00000000">
      <w:pPr>
        <w:spacing w:after="320"/>
        <w:ind w:firstLine="510"/>
        <w:rPr>
          <w:rFonts w:hint="eastAsia"/>
        </w:rPr>
      </w:pPr>
      <w:r>
        <w:rPr>
          <w:rFonts w:hint="eastAsia"/>
        </w:rPr>
        <w:t>642.</w:t>
      </w:r>
      <w:r>
        <w:t xml:space="preserve">  </w:t>
      </w:r>
      <w:r>
        <w:rPr>
          <w:rFonts w:hint="eastAsia"/>
        </w:rPr>
        <w:t>用于支助高等教育机构科研</w:t>
      </w:r>
      <w:r>
        <w:rPr>
          <w:rFonts w:hint="eastAsia"/>
        </w:rPr>
        <w:t>(</w:t>
      </w:r>
      <w:r>
        <w:rPr>
          <w:rFonts w:hint="eastAsia"/>
        </w:rPr>
        <w:t>艺术</w:t>
      </w:r>
      <w:r>
        <w:rPr>
          <w:rFonts w:hint="eastAsia"/>
        </w:rPr>
        <w:t>)</w:t>
      </w:r>
      <w:r>
        <w:rPr>
          <w:rFonts w:hint="eastAsia"/>
        </w:rPr>
        <w:t>活动的经费，有百分之五十是根据机构的研究和开发活动的业绩指标，在这些高等教育机构之间分配使用。其余经费则可以竞争方式获取，根据高等教育和研究委员会所确定的战略立场，用以支助有可能产生重大科研成果的研究与开发活动，争取早日在实践中采用。</w:t>
      </w:r>
    </w:p>
    <w:p w:rsidR="00000000" w:rsidRDefault="00000000">
      <w:pPr>
        <w:pStyle w:val="Heading2"/>
        <w:rPr>
          <w:snapToGrid/>
          <w:kern w:val="0"/>
        </w:rPr>
      </w:pPr>
      <w:r>
        <w:rPr>
          <w:rFonts w:hint="eastAsia"/>
          <w:snapToGrid/>
          <w:kern w:val="0"/>
        </w:rPr>
        <w:t>第十四条</w:t>
      </w:r>
      <w:r>
        <w:rPr>
          <w:rFonts w:hint="eastAsia"/>
          <w:snapToGrid/>
          <w:spacing w:val="-50"/>
          <w:kern w:val="0"/>
        </w:rPr>
        <w:t>―</w:t>
      </w:r>
      <w:r>
        <w:rPr>
          <w:rFonts w:hint="eastAsia"/>
          <w:snapToGrid/>
          <w:kern w:val="0"/>
        </w:rPr>
        <w:t>―</w:t>
      </w:r>
      <w:r>
        <w:rPr>
          <w:rFonts w:hint="eastAsia"/>
        </w:rPr>
        <w:t>免费和义务初级教育</w:t>
      </w:r>
    </w:p>
    <w:p w:rsidR="00000000" w:rsidRDefault="00000000">
      <w:pPr>
        <w:spacing w:after="320"/>
        <w:ind w:firstLine="510"/>
        <w:rPr>
          <w:rFonts w:hint="eastAsia"/>
        </w:rPr>
      </w:pPr>
      <w:r>
        <w:rPr>
          <w:rFonts w:hint="eastAsia"/>
        </w:rPr>
        <w:t>643.</w:t>
      </w:r>
      <w:r>
        <w:t xml:space="preserve">  </w:t>
      </w:r>
      <w:r>
        <w:rPr>
          <w:rFonts w:hint="eastAsia"/>
        </w:rPr>
        <w:t>在匈牙利共和国，初级教育为免费义务教育，关于这一事实，没有必要在本条下通过任何详细的行动计划。</w:t>
      </w:r>
    </w:p>
    <w:p w:rsidR="00000000" w:rsidRDefault="00000000">
      <w:pPr>
        <w:pStyle w:val="Heading2"/>
        <w:rPr>
          <w:rFonts w:hint="eastAsia"/>
        </w:rPr>
      </w:pPr>
      <w:r>
        <w:rPr>
          <w:rFonts w:hint="eastAsia"/>
          <w:lang w:val="fr-FR"/>
        </w:rPr>
        <w:t>第</w:t>
      </w:r>
      <w:r>
        <w:rPr>
          <w:rFonts w:hint="eastAsia"/>
        </w:rPr>
        <w:t>十五</w:t>
      </w:r>
      <w:r>
        <w:rPr>
          <w:rFonts w:hint="eastAsia"/>
          <w:lang w:val="fr-FR"/>
        </w:rPr>
        <w:t>条</w:t>
      </w:r>
      <w:r>
        <w:rPr>
          <w:rFonts w:hint="eastAsia"/>
          <w:spacing w:val="-50"/>
        </w:rPr>
        <w:t>―</w:t>
      </w:r>
      <w:r>
        <w:rPr>
          <w:rFonts w:hint="eastAsia"/>
        </w:rPr>
        <w:t>―</w:t>
      </w:r>
      <w:r>
        <w:rPr>
          <w:rFonts w:hint="eastAsia"/>
          <w:lang w:val="fr-FR"/>
        </w:rPr>
        <w:t>文化生活参加权、科学进步受益权以及</w:t>
      </w:r>
      <w:r>
        <w:rPr>
          <w:lang w:val="fr-FR"/>
        </w:rPr>
        <w:br/>
      </w:r>
      <w:r>
        <w:rPr>
          <w:rFonts w:hint="eastAsia"/>
          <w:lang w:val="fr-FR"/>
        </w:rPr>
        <w:tab/>
      </w:r>
      <w:r>
        <w:rPr>
          <w:rFonts w:hint="eastAsia"/>
          <w:lang w:val="fr-FR"/>
        </w:rPr>
        <w:tab/>
      </w:r>
      <w:r>
        <w:rPr>
          <w:rFonts w:hint="eastAsia"/>
          <w:lang w:val="fr-FR"/>
        </w:rPr>
        <w:tab/>
      </w:r>
      <w:r>
        <w:rPr>
          <w:rFonts w:hint="eastAsia"/>
          <w:lang w:val="fr-FR"/>
        </w:rPr>
        <w:tab/>
      </w:r>
      <w:r>
        <w:rPr>
          <w:rFonts w:hint="eastAsia"/>
          <w:lang w:val="fr-FR"/>
        </w:rPr>
        <w:t>版权作品所产生的精神物质利益受保护权</w:t>
      </w:r>
    </w:p>
    <w:p w:rsidR="00000000" w:rsidRDefault="00000000">
      <w:pPr>
        <w:spacing w:after="320"/>
        <w:ind w:firstLine="510"/>
        <w:rPr>
          <w:rFonts w:hint="eastAsia"/>
        </w:rPr>
      </w:pPr>
      <w:r>
        <w:rPr>
          <w:rFonts w:hint="eastAsia"/>
        </w:rPr>
        <w:t xml:space="preserve">644.  </w:t>
      </w:r>
      <w:r>
        <w:rPr>
          <w:rFonts w:ascii="Time New Roman" w:eastAsia="SimHei" w:hAnsi="Time New Roman" w:hint="eastAsia"/>
        </w:rPr>
        <w:t>法律规定：</w:t>
      </w:r>
      <w:r>
        <w:rPr>
          <w:rFonts w:hint="eastAsia"/>
        </w:rPr>
        <w:t>《宪法》第</w:t>
      </w:r>
      <w:r>
        <w:rPr>
          <w:rFonts w:hint="eastAsia"/>
        </w:rPr>
        <w:t>70/G</w:t>
      </w:r>
      <w:r>
        <w:rPr>
          <w:rFonts w:hint="eastAsia"/>
        </w:rPr>
        <w:t>条规定：</w:t>
      </w:r>
      <w:r>
        <w:rPr>
          <w:rFonts w:eastAsia="KaiTi_GB2312" w:hint="eastAsia"/>
          <w:snapToGrid/>
          <w:spacing w:val="0"/>
        </w:rPr>
        <w:t>“</w:t>
      </w:r>
      <w:r>
        <w:rPr>
          <w:rFonts w:eastAsia="KaiTi_GB2312" w:hint="eastAsia"/>
          <w:snapToGrid/>
          <w:spacing w:val="0"/>
        </w:rPr>
        <w:t>(1)</w:t>
      </w:r>
      <w:r>
        <w:rPr>
          <w:rFonts w:eastAsia="KaiTi_GB2312"/>
          <w:snapToGrid/>
          <w:spacing w:val="0"/>
        </w:rPr>
        <w:t xml:space="preserve"> </w:t>
      </w:r>
      <w:r>
        <w:rPr>
          <w:rFonts w:eastAsia="KaiTi_GB2312" w:hint="eastAsia"/>
          <w:snapToGrid/>
          <w:spacing w:val="0"/>
        </w:rPr>
        <w:t>匈牙利共和国应当尊重和支持科学和艺术表达自由，以及学习和讲授自由。</w:t>
      </w:r>
      <w:r>
        <w:rPr>
          <w:rFonts w:eastAsia="KaiTi_GB2312" w:hint="eastAsia"/>
          <w:snapToGrid/>
          <w:spacing w:val="0"/>
        </w:rPr>
        <w:t>(2)</w:t>
      </w:r>
      <w:r>
        <w:rPr>
          <w:rFonts w:eastAsia="KaiTi_GB2312"/>
          <w:snapToGrid/>
          <w:spacing w:val="0"/>
        </w:rPr>
        <w:t xml:space="preserve"> </w:t>
      </w:r>
      <w:r>
        <w:rPr>
          <w:rFonts w:eastAsia="KaiTi_GB2312" w:hint="eastAsia"/>
          <w:snapToGrid/>
          <w:spacing w:val="0"/>
        </w:rPr>
        <w:t>只有科学家才有权决定科学真相问题，确定研究的科学价值。”</w:t>
      </w:r>
    </w:p>
    <w:p w:rsidR="00000000" w:rsidRDefault="00000000">
      <w:pPr>
        <w:pStyle w:val="Heading4"/>
        <w:rPr>
          <w:rFonts w:hint="eastAsia"/>
          <w:lang w:val="fr-FR"/>
        </w:rPr>
      </w:pPr>
      <w:r>
        <w:rPr>
          <w:rFonts w:hint="eastAsia"/>
          <w:u w:val="none"/>
        </w:rPr>
        <w:t xml:space="preserve">(a)  </w:t>
      </w:r>
      <w:r>
        <w:rPr>
          <w:rFonts w:hint="eastAsia"/>
        </w:rPr>
        <w:t>参加</w:t>
      </w:r>
      <w:r>
        <w:rPr>
          <w:rFonts w:hint="eastAsia"/>
          <w:lang w:val="fr-FR"/>
        </w:rPr>
        <w:t>文化生活</w:t>
      </w:r>
    </w:p>
    <w:p w:rsidR="00000000" w:rsidRDefault="00000000">
      <w:pPr>
        <w:ind w:firstLine="510"/>
        <w:rPr>
          <w:rFonts w:hint="eastAsia"/>
        </w:rPr>
      </w:pPr>
      <w:r>
        <w:rPr>
          <w:rFonts w:hint="eastAsia"/>
        </w:rPr>
        <w:t xml:space="preserve">645.  </w:t>
      </w:r>
      <w:r>
        <w:rPr>
          <w:rFonts w:hint="eastAsia"/>
        </w:rPr>
        <w:t>法律背景：</w:t>
      </w:r>
      <w:r>
        <w:rPr>
          <w:rFonts w:ascii="Time New Roman" w:eastAsia="SimHei" w:hAnsi="Time New Roman" w:hint="eastAsia"/>
        </w:rPr>
        <w:t>《关于保护文物、博物院馆、公共图书馆和文化教育供应的</w:t>
      </w:r>
      <w:r>
        <w:rPr>
          <w:rFonts w:ascii="Time New Roman" w:eastAsia="SimHei" w:hAnsi="Time New Roman" w:hint="eastAsia"/>
          <w:b/>
        </w:rPr>
        <w:t>1997</w:t>
      </w:r>
      <w:r>
        <w:rPr>
          <w:rFonts w:ascii="Time New Roman" w:eastAsia="SimHei" w:hAnsi="Time New Roman" w:hint="eastAsia"/>
        </w:rPr>
        <w:t>年第一百四十号法令》</w:t>
      </w:r>
      <w:r>
        <w:rPr>
          <w:rFonts w:hint="eastAsia"/>
        </w:rPr>
        <w:t>规定了获得公共图书馆与博物馆服务以及大众文化教育服务的基本原则。其序言部分指出：</w:t>
      </w:r>
      <w:r>
        <w:rPr>
          <w:rFonts w:eastAsia="KaiTi_GB2312" w:hint="eastAsia"/>
          <w:snapToGrid/>
          <w:spacing w:val="0"/>
        </w:rPr>
        <w:t>“属于我们文化遗产的物品是了解我们历史与现状的不可替代资源，而且是国家和全球文化遗产的组成部分；而了解这些物品是所有人的基本权利；社会始终有义务对这些物品特别加以保护、储藏和保存，并使公众可以广泛、平等地接触这些物品”；“图书馆系统是信息社会和民主国家运作的一个基本要素，这个系统使所有人能够自由获得信息；从公民和社会整体的角度来看，有必要支持和发展图书馆服务，而且国家对于信息和图书馆服务的支持具有重大的战略意义；图书馆系统必须服务于公民的需求”；“增进国家文化传统和少数民族传统的保存和实践，个人和社区文化教育以及那些提高公民生活质量和传播价值观念的活动的人才、智力和经济基础的改善，以及为实现这些目标而创建的机构和组织的运作之改进，符合社会的共同利益”</w:t>
      </w:r>
      <w:r>
        <w:rPr>
          <w:rFonts w:hint="eastAsia"/>
        </w:rPr>
        <w:t>。</w:t>
      </w:r>
    </w:p>
    <w:p w:rsidR="00000000" w:rsidRDefault="00000000">
      <w:pPr>
        <w:ind w:firstLine="510"/>
        <w:rPr>
          <w:rFonts w:hint="eastAsia"/>
        </w:rPr>
      </w:pPr>
      <w:r>
        <w:rPr>
          <w:rFonts w:hint="eastAsia"/>
        </w:rPr>
        <w:t xml:space="preserve">646.  </w:t>
      </w:r>
      <w:r>
        <w:rPr>
          <w:rFonts w:hint="eastAsia"/>
        </w:rPr>
        <w:t>《法令》第</w:t>
      </w:r>
      <w:r>
        <w:rPr>
          <w:rFonts w:hint="eastAsia"/>
        </w:rPr>
        <w:t>4</w:t>
      </w:r>
      <w:r>
        <w:rPr>
          <w:rFonts w:hint="eastAsia"/>
        </w:rPr>
        <w:t>节声明“人人有权</w:t>
      </w:r>
    </w:p>
    <w:p w:rsidR="00000000" w:rsidRDefault="00000000">
      <w:pPr>
        <w:pStyle w:val="ac"/>
        <w:rPr>
          <w:rFonts w:hint="eastAsia"/>
        </w:rPr>
      </w:pPr>
      <w:r>
        <w:rPr>
          <w:rFonts w:hint="eastAsia"/>
        </w:rPr>
        <w:t>(a)</w:t>
      </w:r>
      <w:r>
        <w:rPr>
          <w:rFonts w:hint="eastAsia"/>
        </w:rPr>
        <w:tab/>
      </w:r>
      <w:r>
        <w:rPr>
          <w:rFonts w:hint="eastAsia"/>
        </w:rPr>
        <w:t>熟悉文物，了解其历史意义、民族特征的形成、少数民族和种族特征的形成以及通过博物馆机构活动、图书馆服务、教育、文化教育、知识传播、出版和大众媒体等方式保护文物的情况，</w:t>
      </w:r>
    </w:p>
    <w:p w:rsidR="00000000" w:rsidRDefault="00000000">
      <w:pPr>
        <w:pStyle w:val="ac"/>
        <w:rPr>
          <w:rFonts w:hint="eastAsia"/>
        </w:rPr>
      </w:pPr>
      <w:r>
        <w:rPr>
          <w:rFonts w:hint="eastAsia"/>
        </w:rPr>
        <w:t>(b)</w:t>
      </w:r>
      <w:r>
        <w:rPr>
          <w:rFonts w:hint="eastAsia"/>
        </w:rPr>
        <w:tab/>
      </w:r>
      <w:r>
        <w:rPr>
          <w:rFonts w:hint="eastAsia"/>
        </w:rPr>
        <w:t>使用公共图书馆系统、博物馆和文化教育机构的服务，</w:t>
      </w:r>
    </w:p>
    <w:p w:rsidR="00000000" w:rsidRDefault="00000000">
      <w:pPr>
        <w:pStyle w:val="ac"/>
        <w:rPr>
          <w:rFonts w:hint="eastAsia"/>
        </w:rPr>
      </w:pPr>
      <w:r>
        <w:rPr>
          <w:rFonts w:hint="eastAsia"/>
        </w:rPr>
        <w:t>(c)</w:t>
      </w:r>
      <w:r>
        <w:rPr>
          <w:rFonts w:hint="eastAsia"/>
        </w:rPr>
        <w:tab/>
      </w:r>
      <w:r>
        <w:rPr>
          <w:rFonts w:hint="eastAsia"/>
        </w:rPr>
        <w:t>在人生各个阶段提高文化知识水平，扩大文化知识面，建立有利于行使其文化教育权的团体，根据其他法律规定建立组织，开展活动”，等等。</w:t>
      </w:r>
    </w:p>
    <w:p w:rsidR="00000000" w:rsidRDefault="00000000">
      <w:pPr>
        <w:ind w:firstLine="510"/>
        <w:rPr>
          <w:rFonts w:hint="eastAsia"/>
        </w:rPr>
      </w:pPr>
      <w:r>
        <w:rPr>
          <w:rFonts w:hint="eastAsia"/>
        </w:rPr>
        <w:t xml:space="preserve">647.  </w:t>
      </w:r>
      <w:r>
        <w:rPr>
          <w:rFonts w:hint="eastAsia"/>
        </w:rPr>
        <w:t>公共文化机构和地方社区民间组织是我们文化价值观和住区知识遗产的重要保存机构。大众文化通过传播文化、参与地方传统保存以及支持业余爱好者、非传统艺术和文化行动，发挥其作用。根据国家统计数据，三分之一的成年人、一半的青年人和老年人经常参观访问公共文化机构，并参与某种的文化课程或某家机构组织的家庭或社区活动。匈牙利国内用于大众文化的建筑物和场所的状况随地方政府的财政状况和投资意向的不同而有很大的差别。</w:t>
      </w:r>
    </w:p>
    <w:p w:rsidR="00000000" w:rsidRDefault="00000000">
      <w:pPr>
        <w:ind w:firstLine="510"/>
        <w:rPr>
          <w:rFonts w:hint="eastAsia"/>
        </w:rPr>
      </w:pPr>
      <w:r>
        <w:rPr>
          <w:rFonts w:hint="eastAsia"/>
        </w:rPr>
        <w:t xml:space="preserve">648.  </w:t>
      </w:r>
      <w:r>
        <w:rPr>
          <w:rFonts w:hint="eastAsia"/>
        </w:rPr>
        <w:t>地方政府拥有百分之九十五的建筑物。</w:t>
      </w:r>
      <w:r>
        <w:rPr>
          <w:rFonts w:hint="eastAsia"/>
        </w:rPr>
        <w:t>1999</w:t>
      </w:r>
      <w:r>
        <w:rPr>
          <w:rFonts w:hint="eastAsia"/>
        </w:rPr>
        <w:t>年，在国家文化遗产部控制的一家名为“资助文化任务”的分会中首次出现一种支助形式，来帮助公共文化机构的振兴和运作，金额达到</w:t>
      </w:r>
      <w:r>
        <w:rPr>
          <w:rFonts w:hint="eastAsia"/>
        </w:rPr>
        <w:t>1</w:t>
      </w:r>
      <w:r>
        <w:rPr>
          <w:rFonts w:hint="eastAsia"/>
        </w:rPr>
        <w:t>亿福林。</w:t>
      </w:r>
      <w:r>
        <w:rPr>
          <w:rFonts w:hint="eastAsia"/>
        </w:rPr>
        <w:t>2003</w:t>
      </w:r>
      <w:r>
        <w:rPr>
          <w:rFonts w:hint="eastAsia"/>
        </w:rPr>
        <w:t>年，该部通过宣布发展全国公共文化和图书馆网络的方案，已经以集中投入的方式，在发展、扩大、更新及改善社区、文化、教育生活和地方社会活动所必需的公共文化机构、社区场所及地点的运作条件方面，花费了</w:t>
      </w:r>
      <w:r>
        <w:rPr>
          <w:rFonts w:hint="eastAsia"/>
        </w:rPr>
        <w:t>8</w:t>
      </w:r>
      <w:r>
        <w:rPr>
          <w:rFonts w:hint="eastAsia"/>
        </w:rPr>
        <w:t>亿福林。</w:t>
      </w:r>
    </w:p>
    <w:p w:rsidR="00000000" w:rsidRDefault="00000000">
      <w:pPr>
        <w:spacing w:after="320"/>
        <w:ind w:firstLine="510"/>
        <w:rPr>
          <w:rFonts w:hint="eastAsia"/>
        </w:rPr>
      </w:pPr>
      <w:r>
        <w:rPr>
          <w:rFonts w:hint="eastAsia"/>
        </w:rPr>
        <w:t xml:space="preserve">649.  </w:t>
      </w:r>
      <w:r>
        <w:rPr>
          <w:rFonts w:hint="eastAsia"/>
        </w:rPr>
        <w:t>这里可以指出的是，从</w:t>
      </w:r>
      <w:r>
        <w:rPr>
          <w:rFonts w:hint="eastAsia"/>
        </w:rPr>
        <w:t>1999</w:t>
      </w:r>
      <w:r>
        <w:rPr>
          <w:rFonts w:hint="eastAsia"/>
        </w:rPr>
        <w:t>年至</w:t>
      </w:r>
      <w:r>
        <w:rPr>
          <w:rFonts w:hint="eastAsia"/>
        </w:rPr>
        <w:t>2003</w:t>
      </w:r>
      <w:r>
        <w:rPr>
          <w:rFonts w:hint="eastAsia"/>
        </w:rPr>
        <w:t>年，地方政府不断为宣布进行投资而提交的申请数量年年增加，要求的财务补贴规模也在不断增长，</w:t>
      </w:r>
      <w:r>
        <w:rPr>
          <w:rFonts w:hint="eastAsia"/>
        </w:rPr>
        <w:t>2003</w:t>
      </w:r>
      <w:r>
        <w:rPr>
          <w:rFonts w:hint="eastAsia"/>
        </w:rPr>
        <w:t>年补贴要求已经是</w:t>
      </w:r>
      <w:r>
        <w:rPr>
          <w:rFonts w:hint="eastAsia"/>
        </w:rPr>
        <w:t>1999</w:t>
      </w:r>
      <w:r>
        <w:rPr>
          <w:rFonts w:hint="eastAsia"/>
        </w:rPr>
        <w:t>年的五倍。</w:t>
      </w:r>
      <w:r>
        <w:rPr>
          <w:rFonts w:hint="eastAsia"/>
        </w:rPr>
        <w:t>(1999</w:t>
      </w:r>
      <w:r>
        <w:rPr>
          <w:rFonts w:hint="eastAsia"/>
        </w:rPr>
        <w:t>年要求的金额是</w:t>
      </w:r>
      <w:r>
        <w:rPr>
          <w:rFonts w:hint="eastAsia"/>
        </w:rPr>
        <w:t>20</w:t>
      </w:r>
      <w:r>
        <w:rPr>
          <w:rFonts w:hint="eastAsia"/>
        </w:rPr>
        <w:t>亿福林，</w:t>
      </w:r>
      <w:r>
        <w:rPr>
          <w:rFonts w:hint="eastAsia"/>
        </w:rPr>
        <w:t>2003</w:t>
      </w:r>
      <w:r>
        <w:rPr>
          <w:rFonts w:hint="eastAsia"/>
        </w:rPr>
        <w:t>年地方政府提交的申请已经显示需求达到</w:t>
      </w:r>
      <w:r>
        <w:rPr>
          <w:rFonts w:hint="eastAsia"/>
        </w:rPr>
        <w:t>100</w:t>
      </w:r>
      <w:r>
        <w:rPr>
          <w:rFonts w:hint="eastAsia"/>
        </w:rPr>
        <w:t>亿福林。</w:t>
      </w:r>
      <w:r>
        <w:rPr>
          <w:rFonts w:hint="eastAsia"/>
        </w:rPr>
        <w:t>)</w:t>
      </w:r>
      <w:r>
        <w:rPr>
          <w:rFonts w:hint="eastAsia"/>
        </w:rPr>
        <w:t>每年平均有</w:t>
      </w:r>
      <w:r>
        <w:rPr>
          <w:rFonts w:hint="eastAsia"/>
        </w:rPr>
        <w:t>65</w:t>
      </w:r>
      <w:r>
        <w:rPr>
          <w:rFonts w:hint="eastAsia"/>
        </w:rPr>
        <w:t>个居民区收到补贴，用于翻新大众文化场馆，或者新建具有同样用途的场馆。除上述多种补贴提供的直接支助之外，地方政府还利用有针对性的专门补贴，以便获得更多国家资源用于翻新和维修文化用途的建筑物。</w:t>
      </w:r>
    </w:p>
    <w:p w:rsidR="00000000" w:rsidRDefault="00000000">
      <w:pPr>
        <w:pStyle w:val="Heading4"/>
        <w:rPr>
          <w:rFonts w:eastAsia="KaiTi_GB2312" w:hint="eastAsia"/>
          <w:snapToGrid/>
          <w:spacing w:val="0"/>
          <w:u w:val="none"/>
        </w:rPr>
      </w:pPr>
      <w:r>
        <w:rPr>
          <w:rFonts w:eastAsia="KaiTi_GB2312" w:hint="eastAsia"/>
          <w:snapToGrid/>
          <w:spacing w:val="0"/>
          <w:u w:val="none"/>
        </w:rPr>
        <w:t>加强和发展文化特征</w:t>
      </w:r>
    </w:p>
    <w:p w:rsidR="00000000" w:rsidRDefault="00000000">
      <w:pPr>
        <w:ind w:firstLine="510"/>
        <w:rPr>
          <w:rFonts w:hint="eastAsia"/>
        </w:rPr>
      </w:pPr>
      <w:r>
        <w:rPr>
          <w:rFonts w:hint="eastAsia"/>
        </w:rPr>
        <w:t xml:space="preserve">650.  </w:t>
      </w:r>
      <w:r>
        <w:rPr>
          <w:rFonts w:hint="eastAsia"/>
        </w:rPr>
        <w:t>公共文化机构网络是加强和发展文化特征的最重要地方网络之一。</w:t>
      </w:r>
    </w:p>
    <w:p w:rsidR="00000000" w:rsidRDefault="00000000">
      <w:pPr>
        <w:ind w:firstLine="510"/>
        <w:rPr>
          <w:rFonts w:hint="eastAsia"/>
        </w:rPr>
      </w:pPr>
      <w:r>
        <w:rPr>
          <w:rFonts w:hint="eastAsia"/>
        </w:rPr>
        <w:t xml:space="preserve">651.  </w:t>
      </w:r>
      <w:r>
        <w:rPr>
          <w:rFonts w:hint="eastAsia"/>
          <w:u w:val="single"/>
        </w:rPr>
        <w:t>业余艺术活动</w:t>
      </w:r>
      <w:r>
        <w:rPr>
          <w:rFonts w:hint="eastAsia"/>
        </w:rPr>
        <w:t>使得比职业艺术家界更广泛的人员群体有可能进行美学表达和享受美学乐趣。过去五年间，业余艺术活动总体得到拓展，参与者数量也在增长。访问邻居、艺术节、经验交流和会议等种种形式的地方性活动出席情况很好，很受欢迎。过去五年间，匈牙利开辟了新的资源来支持自我组织的业余艺术团体。</w:t>
      </w:r>
    </w:p>
    <w:p w:rsidR="00000000" w:rsidRDefault="00000000">
      <w:pPr>
        <w:spacing w:after="320"/>
        <w:ind w:firstLine="510"/>
        <w:rPr>
          <w:rFonts w:hint="eastAsia"/>
        </w:rPr>
      </w:pPr>
      <w:r>
        <w:rPr>
          <w:rFonts w:hint="eastAsia"/>
        </w:rPr>
        <w:t xml:space="preserve">652.  </w:t>
      </w:r>
      <w:r>
        <w:rPr>
          <w:rFonts w:hint="eastAsia"/>
        </w:rPr>
        <w:t>在从事大众文化工作的机构中，最典型的活动形式是：文化创作社团、知识传播、课程、培训、俱乐部和重大活动。外部机构在大众文化场馆中组织的文化活动和其他社团活动也非常重要。资料供应商的国际性活动和互联网的上网机会增加，越来越有执行大众文化任务的趋势。</w:t>
      </w:r>
      <w:r>
        <w:rPr>
          <w:rFonts w:hint="eastAsia"/>
        </w:rPr>
        <w:t>2001</w:t>
      </w:r>
      <w:r>
        <w:rPr>
          <w:rFonts w:hint="eastAsia"/>
        </w:rPr>
        <w:t>年</w:t>
      </w:r>
      <w:r>
        <w:rPr>
          <w:rFonts w:hint="eastAsia"/>
          <w:u w:val="single"/>
        </w:rPr>
        <w:t>文化创作社团</w:t>
      </w:r>
      <w:r>
        <w:rPr>
          <w:rFonts w:hint="eastAsia"/>
        </w:rPr>
        <w:t>的数量达到</w:t>
      </w:r>
      <w:r>
        <w:rPr>
          <w:rFonts w:hint="eastAsia"/>
        </w:rPr>
        <w:t>8,493</w:t>
      </w:r>
      <w:r>
        <w:rPr>
          <w:rFonts w:hint="eastAsia"/>
        </w:rPr>
        <w:t>个，</w:t>
      </w:r>
      <w:r>
        <w:rPr>
          <w:rFonts w:hint="eastAsia"/>
        </w:rPr>
        <w:t>2000</w:t>
      </w:r>
      <w:r>
        <w:rPr>
          <w:rFonts w:hint="eastAsia"/>
        </w:rPr>
        <w:t>年为</w:t>
      </w:r>
      <w:r>
        <w:rPr>
          <w:rFonts w:hint="eastAsia"/>
        </w:rPr>
        <w:t>9,112</w:t>
      </w:r>
      <w:r>
        <w:rPr>
          <w:rFonts w:hint="eastAsia"/>
        </w:rPr>
        <w:t>个，增长</w:t>
      </w:r>
      <w:r>
        <w:rPr>
          <w:rFonts w:hint="eastAsia"/>
        </w:rPr>
        <w:t>7.3%</w:t>
      </w:r>
      <w:r>
        <w:rPr>
          <w:rFonts w:hint="eastAsia"/>
        </w:rPr>
        <w:t>，因而此类形式的大众文化活动正在增长。在这个群体中，</w:t>
      </w:r>
      <w:r>
        <w:rPr>
          <w:rFonts w:hint="eastAsia"/>
        </w:rPr>
        <w:t>2001</w:t>
      </w:r>
      <w:r>
        <w:rPr>
          <w:rFonts w:hint="eastAsia"/>
        </w:rPr>
        <w:t>年</w:t>
      </w:r>
      <w:r>
        <w:rPr>
          <w:rFonts w:hint="eastAsia"/>
        </w:rPr>
        <w:t>56.4%</w:t>
      </w:r>
      <w:r>
        <w:rPr>
          <w:rFonts w:hint="eastAsia"/>
        </w:rPr>
        <w:t>是业余艺术团体，</w:t>
      </w:r>
      <w:r>
        <w:rPr>
          <w:rFonts w:hint="eastAsia"/>
        </w:rPr>
        <w:t>29.4%</w:t>
      </w:r>
      <w:r>
        <w:rPr>
          <w:rFonts w:hint="eastAsia"/>
        </w:rPr>
        <w:t>是民间艺术团体，</w:t>
      </w:r>
      <w:r>
        <w:rPr>
          <w:rFonts w:hint="eastAsia"/>
        </w:rPr>
        <w:t>4.2%</w:t>
      </w:r>
      <w:r>
        <w:rPr>
          <w:rFonts w:hint="eastAsia"/>
        </w:rPr>
        <w:t>是创造手工艺品的艺术团体。</w:t>
      </w:r>
      <w:r>
        <w:rPr>
          <w:rFonts w:hint="eastAsia"/>
        </w:rPr>
        <w:t>2002</w:t>
      </w:r>
      <w:r>
        <w:rPr>
          <w:rFonts w:hint="eastAsia"/>
        </w:rPr>
        <w:t>年的比例是：</w:t>
      </w:r>
      <w:r>
        <w:rPr>
          <w:rFonts w:hint="eastAsia"/>
        </w:rPr>
        <w:t>55.3%</w:t>
      </w:r>
      <w:r>
        <w:rPr>
          <w:rFonts w:hint="eastAsia"/>
        </w:rPr>
        <w:t>是业余艺术团体，</w:t>
      </w:r>
      <w:r>
        <w:rPr>
          <w:rFonts w:hint="eastAsia"/>
        </w:rPr>
        <w:t>30.2%</w:t>
      </w:r>
      <w:r>
        <w:rPr>
          <w:rFonts w:hint="eastAsia"/>
        </w:rPr>
        <w:t>是民间艺术团体，</w:t>
      </w:r>
      <w:r>
        <w:rPr>
          <w:rFonts w:hint="eastAsia"/>
        </w:rPr>
        <w:t>14.5%</w:t>
      </w:r>
      <w:r>
        <w:rPr>
          <w:rFonts w:hint="eastAsia"/>
        </w:rPr>
        <w:t>是创造手工艺品的艺术团体。</w:t>
      </w:r>
      <w:r>
        <w:rPr>
          <w:rFonts w:hint="eastAsia"/>
        </w:rPr>
        <w:t>2001</w:t>
      </w:r>
      <w:r>
        <w:rPr>
          <w:rFonts w:hint="eastAsia"/>
        </w:rPr>
        <w:t>年，文化创作社团的会员达到</w:t>
      </w:r>
      <w:r>
        <w:rPr>
          <w:rFonts w:hint="eastAsia"/>
        </w:rPr>
        <w:t>16.4</w:t>
      </w:r>
      <w:r>
        <w:rPr>
          <w:rFonts w:hint="eastAsia"/>
        </w:rPr>
        <w:t>万人，平均每个社团拥有会员</w:t>
      </w:r>
      <w:r>
        <w:rPr>
          <w:rFonts w:hint="eastAsia"/>
        </w:rPr>
        <w:t>19</w:t>
      </w:r>
      <w:r>
        <w:rPr>
          <w:rFonts w:hint="eastAsia"/>
        </w:rPr>
        <w:t>人。</w:t>
      </w:r>
      <w:r>
        <w:rPr>
          <w:rFonts w:hint="eastAsia"/>
        </w:rPr>
        <w:t>2002</w:t>
      </w:r>
      <w:r>
        <w:rPr>
          <w:rFonts w:hint="eastAsia"/>
        </w:rPr>
        <w:t>年总计达到</w:t>
      </w:r>
      <w:r>
        <w:rPr>
          <w:rFonts w:hint="eastAsia"/>
        </w:rPr>
        <w:t>17.7</w:t>
      </w:r>
      <w:r>
        <w:rPr>
          <w:rFonts w:hint="eastAsia"/>
        </w:rPr>
        <w:t>万人，平均每个社团还是拥有会员</w:t>
      </w:r>
      <w:r>
        <w:rPr>
          <w:rFonts w:hint="eastAsia"/>
        </w:rPr>
        <w:t>19</w:t>
      </w:r>
      <w:r>
        <w:rPr>
          <w:rFonts w:hint="eastAsia"/>
        </w:rPr>
        <w:t>人。</w:t>
      </w:r>
    </w:p>
    <w:p w:rsidR="00000000" w:rsidRDefault="00000000">
      <w:pPr>
        <w:pStyle w:val="Heading4"/>
        <w:rPr>
          <w:rFonts w:eastAsia="KaiTi_GB2312" w:hint="eastAsia"/>
          <w:snapToGrid/>
          <w:spacing w:val="0"/>
          <w:u w:val="none"/>
        </w:rPr>
      </w:pPr>
      <w:r>
        <w:rPr>
          <w:rFonts w:eastAsia="KaiTi_GB2312" w:hint="eastAsia"/>
          <w:snapToGrid/>
          <w:spacing w:val="0"/>
          <w:u w:val="none"/>
        </w:rPr>
        <w:t>发展民间艺术创作中心，保存地方传统</w:t>
      </w:r>
    </w:p>
    <w:p w:rsidR="00000000" w:rsidRDefault="00000000">
      <w:pPr>
        <w:ind w:firstLine="510"/>
        <w:rPr>
          <w:rFonts w:hint="eastAsia"/>
        </w:rPr>
      </w:pPr>
      <w:r>
        <w:rPr>
          <w:rFonts w:hint="eastAsia"/>
        </w:rPr>
        <w:t xml:space="preserve">653.  </w:t>
      </w:r>
      <w:r>
        <w:rPr>
          <w:rFonts w:hint="eastAsia"/>
        </w:rPr>
        <w:t>政府于</w:t>
      </w:r>
      <w:r>
        <w:rPr>
          <w:rFonts w:hint="eastAsia"/>
        </w:rPr>
        <w:t>1999</w:t>
      </w:r>
      <w:r>
        <w:rPr>
          <w:rFonts w:hint="eastAsia"/>
        </w:rPr>
        <w:t>年在民间手工艺品领域开始进行重大援助，国家文化遗产部在这个援助框架内计划加强具有国家和区域竞争力的民间手工艺品创作中心的技术设备和目标设备。那些将传统的保存和民间艺术与手工艺品的价值传承作为自己任务的地方政府、机构和组织得到援助，它们促进实施创作过程，通过维护</w:t>
      </w:r>
      <w:r>
        <w:rPr>
          <w:rFonts w:hint="eastAsia"/>
          <w:u w:val="single"/>
        </w:rPr>
        <w:t>民间艺术创作之家和手工艺品作坊</w:t>
      </w:r>
      <w:r>
        <w:rPr>
          <w:rFonts w:hint="eastAsia"/>
        </w:rPr>
        <w:t>来保存国家、地区和州一级的区域特征。</w:t>
      </w:r>
    </w:p>
    <w:p w:rsidR="00000000" w:rsidRDefault="00000000">
      <w:pPr>
        <w:ind w:firstLine="510"/>
        <w:rPr>
          <w:rFonts w:hint="eastAsia"/>
        </w:rPr>
      </w:pPr>
      <w:r>
        <w:rPr>
          <w:rFonts w:hint="eastAsia"/>
        </w:rPr>
        <w:t xml:space="preserve">654.  </w:t>
      </w:r>
      <w:r>
        <w:rPr>
          <w:rFonts w:hint="eastAsia"/>
        </w:rPr>
        <w:t>文化部长在</w:t>
      </w:r>
      <w:r>
        <w:rPr>
          <w:rFonts w:hint="eastAsia"/>
        </w:rPr>
        <w:t>2001</w:t>
      </w:r>
      <w:r>
        <w:rPr>
          <w:rFonts w:hint="eastAsia"/>
        </w:rPr>
        <w:t>年</w:t>
      </w:r>
      <w:r>
        <w:rPr>
          <w:rFonts w:hint="eastAsia"/>
        </w:rPr>
        <w:t>1</w:t>
      </w:r>
      <w:r>
        <w:rPr>
          <w:rFonts w:hint="eastAsia"/>
        </w:rPr>
        <w:t>月</w:t>
      </w:r>
      <w:r>
        <w:rPr>
          <w:rFonts w:hint="eastAsia"/>
        </w:rPr>
        <w:t>1</w:t>
      </w:r>
      <w:r>
        <w:rPr>
          <w:rFonts w:hint="eastAsia"/>
        </w:rPr>
        <w:t>日创立了“</w:t>
      </w:r>
      <w:r>
        <w:rPr>
          <w:rFonts w:hint="eastAsia"/>
          <w:u w:val="single"/>
        </w:rPr>
        <w:t>传统家园</w:t>
      </w:r>
      <w:r>
        <w:rPr>
          <w:rFonts w:hint="eastAsia"/>
        </w:rPr>
        <w:t>”，其专业活动分成三个部分进行：</w:t>
      </w:r>
    </w:p>
    <w:p w:rsidR="00000000" w:rsidRDefault="00000000">
      <w:pPr>
        <w:pStyle w:val="a0"/>
        <w:ind w:left="1550"/>
        <w:rPr>
          <w:rFonts w:hint="eastAsia"/>
        </w:rPr>
      </w:pPr>
      <w:r>
        <w:rPr>
          <w:rFonts w:hint="eastAsia"/>
        </w:rPr>
        <w:t>名为“匈牙利国家民间艺术大全”的艺术收藏，</w:t>
      </w:r>
    </w:p>
    <w:p w:rsidR="00000000" w:rsidRDefault="00000000">
      <w:pPr>
        <w:pStyle w:val="a0"/>
        <w:ind w:left="1550"/>
        <w:rPr>
          <w:rFonts w:hint="eastAsia"/>
        </w:rPr>
      </w:pPr>
      <w:r>
        <w:rPr>
          <w:rFonts w:hint="eastAsia"/>
        </w:rPr>
        <w:t>名为“</w:t>
      </w:r>
      <w:r>
        <w:t>László Lajtha</w:t>
      </w:r>
      <w:r>
        <w:rPr>
          <w:rFonts w:hint="eastAsia"/>
        </w:rPr>
        <w:t>传统保存工作室”的公共收藏，</w:t>
      </w:r>
    </w:p>
    <w:p w:rsidR="00000000" w:rsidRDefault="00000000">
      <w:pPr>
        <w:pStyle w:val="a0"/>
        <w:ind w:left="1550"/>
        <w:rPr>
          <w:rFonts w:hint="eastAsia"/>
        </w:rPr>
      </w:pPr>
      <w:r>
        <w:rPr>
          <w:rFonts w:hint="eastAsia"/>
        </w:rPr>
        <w:t>名为“民间艺术工作室”的大众文化作品收藏。</w:t>
      </w:r>
    </w:p>
    <w:p w:rsidR="00000000" w:rsidRDefault="00000000">
      <w:pPr>
        <w:spacing w:after="320"/>
        <w:ind w:firstLine="510"/>
        <w:rPr>
          <w:rFonts w:hint="eastAsia"/>
        </w:rPr>
      </w:pPr>
      <w:r>
        <w:rPr>
          <w:rFonts w:hint="eastAsia"/>
        </w:rPr>
        <w:t xml:space="preserve">655.  </w:t>
      </w:r>
      <w:r>
        <w:rPr>
          <w:rFonts w:hint="eastAsia"/>
        </w:rPr>
        <w:t>“传统家园”的基本任务特别列入了职业培训和手工艺品。例如</w:t>
      </w:r>
      <w:r>
        <w:rPr>
          <w:rFonts w:hint="eastAsia"/>
        </w:rPr>
        <w:t>2001</w:t>
      </w:r>
      <w:r>
        <w:rPr>
          <w:rFonts w:hint="eastAsia"/>
        </w:rPr>
        <w:t>年，</w:t>
      </w:r>
      <w:r>
        <w:rPr>
          <w:rFonts w:hint="eastAsia"/>
        </w:rPr>
        <w:t>185</w:t>
      </w:r>
      <w:r>
        <w:rPr>
          <w:rFonts w:hint="eastAsia"/>
        </w:rPr>
        <w:t>人参加了三种形式的培训，并完成了五本专业出版物。“传统家园”在所谓的“活动组织”领域实施了一个非常丰富多彩的方案。计划启动一项方案组织和方案融资的制度，这可以使得生动的民间文化传达到农村文化中心，这些中心的工作到目前为止一直还处于逆境中。匈牙利已经开始建立一家全国组织来执行此方案。</w:t>
      </w:r>
    </w:p>
    <w:p w:rsidR="00000000" w:rsidRDefault="00000000">
      <w:pPr>
        <w:pStyle w:val="Heading4"/>
        <w:rPr>
          <w:rFonts w:eastAsia="KaiTi_GB2312" w:hint="eastAsia"/>
          <w:snapToGrid/>
          <w:spacing w:val="0"/>
          <w:u w:val="none"/>
        </w:rPr>
      </w:pPr>
      <w:r>
        <w:rPr>
          <w:rFonts w:eastAsia="KaiTi_GB2312" w:hint="eastAsia"/>
          <w:snapToGrid/>
          <w:spacing w:val="0"/>
          <w:u w:val="none"/>
        </w:rPr>
        <w:t>母语文化的保存和现代化改造</w:t>
      </w:r>
    </w:p>
    <w:p w:rsidR="00000000" w:rsidRDefault="00000000">
      <w:pPr>
        <w:spacing w:after="320"/>
        <w:ind w:firstLine="510"/>
        <w:rPr>
          <w:rFonts w:hint="eastAsia"/>
        </w:rPr>
      </w:pPr>
      <w:r>
        <w:rPr>
          <w:rFonts w:hint="eastAsia"/>
        </w:rPr>
        <w:t xml:space="preserve">656.  </w:t>
      </w:r>
      <w:r>
        <w:rPr>
          <w:rFonts w:hint="eastAsia"/>
        </w:rPr>
        <w:t>在保护和现代化改造匈牙利语言的专题范围内，每年都请有关方面提出保护和发展母语问题方面的申请。我们已经支持召开关于语言培养的国内会议和一系列讲座。如果出版意图改善在公开演讲、方案组织、语言培养的活动和营地以及引进杰出母语培养者等方面条件的材料，政府对其提供补贴。</w:t>
      </w:r>
    </w:p>
    <w:p w:rsidR="00000000" w:rsidRDefault="00000000">
      <w:pPr>
        <w:pStyle w:val="Heading4"/>
        <w:rPr>
          <w:rFonts w:eastAsia="KaiTi_GB2312" w:hint="eastAsia"/>
          <w:snapToGrid/>
          <w:spacing w:val="0"/>
          <w:u w:val="none"/>
        </w:rPr>
      </w:pPr>
      <w:r>
        <w:rPr>
          <w:rFonts w:eastAsia="KaiTi_GB2312" w:hint="eastAsia"/>
          <w:snapToGrid/>
          <w:spacing w:val="0"/>
          <w:u w:val="none"/>
        </w:rPr>
        <w:t>成绩、困难，尤其是弱势群体方面的成绩和困难</w:t>
      </w:r>
    </w:p>
    <w:p w:rsidR="00000000" w:rsidRDefault="00000000">
      <w:pPr>
        <w:ind w:firstLine="510"/>
        <w:rPr>
          <w:rFonts w:hint="eastAsia"/>
        </w:rPr>
      </w:pPr>
      <w:r>
        <w:rPr>
          <w:rFonts w:hint="eastAsia"/>
        </w:rPr>
        <w:t xml:space="preserve">657.  </w:t>
      </w:r>
      <w:r>
        <w:rPr>
          <w:rFonts w:hint="eastAsia"/>
        </w:rPr>
        <w:t>由于地方文化中心和图书馆最接近弱势人口群体，大众文化机构在保证大众文化和文化接触机会以及减少大众文化方面的机会差距等领域具有特别重要的任务。</w:t>
      </w:r>
    </w:p>
    <w:p w:rsidR="00000000" w:rsidRDefault="00000000">
      <w:pPr>
        <w:ind w:firstLine="510"/>
        <w:rPr>
          <w:rFonts w:hint="eastAsia"/>
        </w:rPr>
      </w:pPr>
      <w:r>
        <w:t xml:space="preserve">658.  </w:t>
      </w:r>
      <w:r>
        <w:rPr>
          <w:rFonts w:hint="eastAsia"/>
        </w:rPr>
        <w:t>文化中心、青年中心和俱乐部处于各地区中心，这使得这些机构适于对弱势群体进行适当关注，这些弱势群体往往是老年人或者是非常年轻的家庭和居民。遗憾的是，这些机制系统的基础设施存在严重的问题。甚至是新的机构也不是总能保证有方便残疾人出入的设施。</w:t>
      </w:r>
    </w:p>
    <w:p w:rsidR="00000000" w:rsidRDefault="00000000">
      <w:pPr>
        <w:ind w:firstLine="510"/>
        <w:rPr>
          <w:rFonts w:hint="eastAsia"/>
        </w:rPr>
      </w:pPr>
      <w:r>
        <w:rPr>
          <w:rFonts w:hint="eastAsia"/>
        </w:rPr>
        <w:t xml:space="preserve">659.  </w:t>
      </w:r>
      <w:r>
        <w:rPr>
          <w:rFonts w:hint="eastAsia"/>
        </w:rPr>
        <w:t>由于</w:t>
      </w:r>
      <w:r>
        <w:rPr>
          <w:rFonts w:hint="eastAsia"/>
        </w:rPr>
        <w:t>2002</w:t>
      </w:r>
      <w:r>
        <w:rPr>
          <w:rFonts w:hint="eastAsia"/>
        </w:rPr>
        <w:t>年总计约有</w:t>
      </w:r>
      <w:r>
        <w:rPr>
          <w:rFonts w:hint="eastAsia"/>
        </w:rPr>
        <w:t>700</w:t>
      </w:r>
      <w:r>
        <w:rPr>
          <w:rFonts w:hint="eastAsia"/>
        </w:rPr>
        <w:t>个文化中心和民间组织从事此类工作，其中约</w:t>
      </w:r>
      <w:r>
        <w:rPr>
          <w:rFonts w:hint="eastAsia"/>
        </w:rPr>
        <w:t>400</w:t>
      </w:r>
      <w:r>
        <w:rPr>
          <w:rFonts w:hint="eastAsia"/>
        </w:rPr>
        <w:t>家机构为罗姆少数民族工作，或者和他们一起提供文化服务，因此这些履行大众文化任务的机构的参与在国家和少数民族的大众文化中非常显著。但是，地方政府或民间组织运作的履行大众文化任务的</w:t>
      </w:r>
      <w:r>
        <w:rPr>
          <w:rFonts w:hint="eastAsia"/>
        </w:rPr>
        <w:t>3,358</w:t>
      </w:r>
      <w:r>
        <w:rPr>
          <w:rFonts w:hint="eastAsia"/>
        </w:rPr>
        <w:t>家机构中，只有</w:t>
      </w:r>
      <w:r>
        <w:rPr>
          <w:rFonts w:hint="eastAsia"/>
        </w:rPr>
        <w:t>10%</w:t>
      </w:r>
      <w:r>
        <w:rPr>
          <w:rFonts w:hint="eastAsia"/>
        </w:rPr>
        <w:t>与此相关，这种成效在目前的情况下无法令人放心。</w:t>
      </w:r>
    </w:p>
    <w:p w:rsidR="00000000" w:rsidRDefault="00000000">
      <w:pPr>
        <w:spacing w:after="320"/>
        <w:ind w:firstLine="510"/>
        <w:rPr>
          <w:rFonts w:hint="eastAsia"/>
        </w:rPr>
      </w:pPr>
      <w:r>
        <w:rPr>
          <w:rFonts w:hint="eastAsia"/>
        </w:rPr>
        <w:t xml:space="preserve">660.  </w:t>
      </w:r>
      <w:r>
        <w:rPr>
          <w:rFonts w:hint="eastAsia"/>
        </w:rPr>
        <w:t>目前没有关于穷人中公共文化工作的确切数据。文化和社会活动如果能够服务于小乡村的较穷居民的需求，那么在执行主要任务之余也应当开展这类活动。在乡村和部分城镇工作的机构应当向贫穷人口群体提供文化选择，而且这些群体应当参与到他们所来往的团体中并介入其信息活动，这些必须被设定为工作目标。尽管有一些机构为失业人员和教育程度差的居民开课，举办再培训方案，但是这些机构的数量还有待增加。</w:t>
      </w:r>
    </w:p>
    <w:p w:rsidR="00000000" w:rsidRDefault="00000000">
      <w:pPr>
        <w:pStyle w:val="Heading4"/>
        <w:rPr>
          <w:rFonts w:eastAsia="KaiTi_GB2312" w:hint="eastAsia"/>
          <w:snapToGrid/>
          <w:spacing w:val="0"/>
          <w:u w:val="none"/>
        </w:rPr>
      </w:pPr>
      <w:r>
        <w:rPr>
          <w:rFonts w:eastAsia="KaiTi_GB2312" w:hint="eastAsia"/>
          <w:snapToGrid/>
          <w:spacing w:val="0"/>
          <w:u w:val="none"/>
        </w:rPr>
        <w:t>文化服务领域的地区差异和不利条件</w:t>
      </w:r>
    </w:p>
    <w:p w:rsidR="00000000" w:rsidRDefault="00000000">
      <w:pPr>
        <w:ind w:firstLine="510"/>
        <w:rPr>
          <w:rFonts w:hint="eastAsia"/>
        </w:rPr>
      </w:pPr>
      <w:r>
        <w:rPr>
          <w:rFonts w:hint="eastAsia"/>
        </w:rPr>
        <w:t xml:space="preserve">661.  </w:t>
      </w:r>
      <w:r>
        <w:rPr>
          <w:rFonts w:hint="eastAsia"/>
        </w:rPr>
        <w:t>布达佩斯和匈牙利其他城市之间，在可获得的文化服务和机构覆盖程度方面存在重大差异。目前正在开展社会学调查，希望能从地域平衡的角度来反映文化机构在匈牙利的覆盖程度。无论调查与否，这个问题在文化机构网络的每个领域众所周知。因此，所有援助都用于实现《</w:t>
      </w:r>
      <w:r>
        <w:rPr>
          <w:rFonts w:hint="eastAsia"/>
        </w:rPr>
        <w:t>1997</w:t>
      </w:r>
      <w:r>
        <w:rPr>
          <w:rFonts w:hint="eastAsia"/>
        </w:rPr>
        <w:t>年第一百四十号法令》的规定：在每个居民区都应当有一个大众文化机构、社区之家或至少有一个适于社区执行大众文化任务的场所。</w:t>
      </w:r>
    </w:p>
    <w:p w:rsidR="00000000" w:rsidRDefault="00000000">
      <w:pPr>
        <w:ind w:firstLine="510"/>
        <w:rPr>
          <w:rFonts w:hint="eastAsia"/>
        </w:rPr>
      </w:pPr>
      <w:r>
        <w:rPr>
          <w:rFonts w:hint="eastAsia"/>
        </w:rPr>
        <w:t xml:space="preserve">662.  </w:t>
      </w:r>
      <w:r>
        <w:rPr>
          <w:rFonts w:hint="eastAsia"/>
        </w:rPr>
        <w:t>进一步促进机会平等的任务有：</w:t>
      </w:r>
    </w:p>
    <w:p w:rsidR="00000000" w:rsidRDefault="00000000">
      <w:pPr>
        <w:pStyle w:val="a0"/>
        <w:ind w:left="1550"/>
        <w:rPr>
          <w:rFonts w:hint="eastAsia"/>
        </w:rPr>
      </w:pPr>
      <w:r>
        <w:rPr>
          <w:rFonts w:hint="eastAsia"/>
        </w:rPr>
        <w:t>进一步发展调整大众文化机构活动项目的结构，满足最大参加活动群体</w:t>
      </w:r>
      <w:r>
        <w:rPr>
          <w:rFonts w:hint="eastAsia"/>
        </w:rPr>
        <w:t>(</w:t>
      </w:r>
      <w:r>
        <w:rPr>
          <w:rFonts w:hint="eastAsia"/>
        </w:rPr>
        <w:t>青年人和老年人</w:t>
      </w:r>
      <w:r>
        <w:rPr>
          <w:rFonts w:hint="eastAsia"/>
        </w:rPr>
        <w:t>)</w:t>
      </w:r>
      <w:r>
        <w:rPr>
          <w:rFonts w:hint="eastAsia"/>
        </w:rPr>
        <w:t>与边缘社会阶层的需求。</w:t>
      </w:r>
    </w:p>
    <w:p w:rsidR="00000000" w:rsidRDefault="00000000">
      <w:pPr>
        <w:pStyle w:val="a0"/>
        <w:spacing w:after="320"/>
        <w:ind w:left="1550"/>
        <w:rPr>
          <w:rFonts w:hint="eastAsia"/>
        </w:rPr>
      </w:pPr>
      <w:r>
        <w:rPr>
          <w:rFonts w:hint="eastAsia"/>
        </w:rPr>
        <w:t>对公共文化机构基础设施进行全面现代化改造，保证有方便残疾人出入的设施。</w:t>
      </w:r>
    </w:p>
    <w:p w:rsidR="00000000" w:rsidRDefault="00000000">
      <w:pPr>
        <w:pStyle w:val="Heading4"/>
        <w:rPr>
          <w:rFonts w:eastAsia="KaiTi_GB2312" w:hint="eastAsia"/>
          <w:snapToGrid/>
          <w:spacing w:val="0"/>
          <w:u w:val="none"/>
        </w:rPr>
      </w:pPr>
      <w:r>
        <w:rPr>
          <w:rFonts w:eastAsia="KaiTi_GB2312" w:hint="eastAsia"/>
          <w:snapToGrid/>
          <w:spacing w:val="0"/>
          <w:u w:val="none"/>
        </w:rPr>
        <w:t>地方文化遗产的保护、发展和传承，加强对匈牙利人民对此的承诺和责任</w:t>
      </w:r>
    </w:p>
    <w:p w:rsidR="00000000" w:rsidRDefault="00000000">
      <w:pPr>
        <w:ind w:firstLine="510"/>
        <w:rPr>
          <w:rFonts w:hint="eastAsia"/>
        </w:rPr>
      </w:pPr>
      <w:r>
        <w:rPr>
          <w:rFonts w:hint="eastAsia"/>
        </w:rPr>
        <w:t xml:space="preserve">663.  </w:t>
      </w:r>
      <w:r>
        <w:rPr>
          <w:rFonts w:hint="eastAsia"/>
        </w:rPr>
        <w:t>地方文化遗产是一种保存力量。我们高兴地指出，目前公共文化机构在</w:t>
      </w:r>
      <w:r>
        <w:rPr>
          <w:rFonts w:hint="eastAsia"/>
        </w:rPr>
        <w:t>188</w:t>
      </w:r>
      <w:r>
        <w:rPr>
          <w:rFonts w:hint="eastAsia"/>
        </w:rPr>
        <w:t>幢历史文物建筑内开展工作，其他机构在</w:t>
      </w:r>
      <w:r>
        <w:rPr>
          <w:rFonts w:hint="eastAsia"/>
        </w:rPr>
        <w:t>439</w:t>
      </w:r>
      <w:r>
        <w:rPr>
          <w:rFonts w:hint="eastAsia"/>
        </w:rPr>
        <w:t>个居民区中由地方政府保护的建筑内开展工作。保存这些建筑物以及位于居民区中心的其他房屋，有助于改善那个地方的观瞻，持续进行保存传统的活动，这些都是文化行业的重要任务。</w:t>
      </w:r>
    </w:p>
    <w:p w:rsidR="00000000" w:rsidRDefault="00000000">
      <w:pPr>
        <w:spacing w:after="320"/>
        <w:ind w:firstLine="510"/>
        <w:rPr>
          <w:rFonts w:hint="eastAsia"/>
        </w:rPr>
      </w:pPr>
      <w:r>
        <w:rPr>
          <w:rFonts w:hint="eastAsia"/>
        </w:rPr>
        <w:t xml:space="preserve">664.  </w:t>
      </w:r>
      <w:r>
        <w:rPr>
          <w:rFonts w:hint="eastAsia"/>
        </w:rPr>
        <w:t>大众文化、业余艺术活动和创作社团传统上最强的领域内的成就众所周知。地方唱诗班、舞蹈团、创作组以及他们活动的数量和质量是文化价值观念地方载体中的重要元素。通过更有意地安排弱势群体参与这些活动，这个领域也可以进一步加强机会均等。</w:t>
      </w:r>
    </w:p>
    <w:p w:rsidR="00000000" w:rsidRDefault="00000000">
      <w:pPr>
        <w:pStyle w:val="Heading4"/>
        <w:rPr>
          <w:rFonts w:eastAsia="KaiTi_GB2312" w:hint="eastAsia"/>
          <w:snapToGrid/>
          <w:spacing w:val="0"/>
          <w:u w:val="none"/>
        </w:rPr>
      </w:pPr>
      <w:r>
        <w:rPr>
          <w:rFonts w:eastAsia="KaiTi_GB2312" w:hint="eastAsia"/>
          <w:snapToGrid/>
          <w:spacing w:val="0"/>
          <w:u w:val="none"/>
        </w:rPr>
        <w:t>和民间组织合作的形式</w:t>
      </w:r>
    </w:p>
    <w:p w:rsidR="00000000" w:rsidRDefault="00000000">
      <w:pPr>
        <w:ind w:firstLine="510"/>
        <w:rPr>
          <w:rFonts w:hint="eastAsia"/>
        </w:rPr>
      </w:pPr>
      <w:r>
        <w:rPr>
          <w:rFonts w:hint="eastAsia"/>
        </w:rPr>
        <w:t xml:space="preserve">665.  </w:t>
      </w:r>
      <w:r>
        <w:rPr>
          <w:rFonts w:hint="eastAsia"/>
        </w:rPr>
        <w:t>全国性公共文化民间组织有活动津贴。公共文化领域的组织从年度预算中得到的活动津贴价值在</w:t>
      </w:r>
      <w:r>
        <w:rPr>
          <w:rFonts w:hint="eastAsia"/>
        </w:rPr>
        <w:t>3,500</w:t>
      </w:r>
      <w:r>
        <w:rPr>
          <w:rFonts w:hint="eastAsia"/>
        </w:rPr>
        <w:t>万福林乃至</w:t>
      </w:r>
      <w:r>
        <w:rPr>
          <w:rFonts w:hint="eastAsia"/>
        </w:rPr>
        <w:t>4,500</w:t>
      </w:r>
      <w:r>
        <w:rPr>
          <w:rFonts w:hint="eastAsia"/>
        </w:rPr>
        <w:t>万福林之间。每年从这笔经费中向大约</w:t>
      </w:r>
      <w:r>
        <w:rPr>
          <w:rFonts w:hint="eastAsia"/>
        </w:rPr>
        <w:t>40</w:t>
      </w:r>
      <w:r>
        <w:rPr>
          <w:rFonts w:hint="eastAsia"/>
        </w:rPr>
        <w:t>个全国民间组织分发津贴。津贴使用方面的相关经验表明，全国性民间组织的总部绝大多数在布达佩斯，但分发的津贴却用到了全国各地。这些组织将领得的津贴的某一部分用于加强其所辖成员组织，或用于地方性或区域性方案。得到预算专拨经费补贴的民间组织有：</w:t>
      </w:r>
    </w:p>
    <w:p w:rsidR="00000000" w:rsidRDefault="00000000">
      <w:pPr>
        <w:ind w:firstLine="510"/>
        <w:rPr>
          <w:rFonts w:hint="eastAsia"/>
        </w:rPr>
      </w:pPr>
      <w:r>
        <w:rPr>
          <w:rFonts w:hint="eastAsia"/>
        </w:rPr>
        <w:t xml:space="preserve">666.  </w:t>
      </w:r>
      <w:r>
        <w:rPr>
          <w:rFonts w:hint="eastAsia"/>
          <w:u w:val="single"/>
        </w:rPr>
        <w:t>地区文化机构协会</w:t>
      </w:r>
      <w:r>
        <w:rPr>
          <w:rFonts w:hint="eastAsia"/>
        </w:rPr>
        <w:t>：拨款用于支持以前由工会和工作单位管理的文化机构的维持和运作，并执行面向全民的目前不再由地方政府承担的大众文化任务。该协会涉及</w:t>
      </w:r>
      <w:r>
        <w:rPr>
          <w:rFonts w:hint="eastAsia"/>
        </w:rPr>
        <w:t>100</w:t>
      </w:r>
      <w:r>
        <w:rPr>
          <w:rFonts w:hint="eastAsia"/>
        </w:rPr>
        <w:t>多家提供大众文化服务的机构，每年领取约</w:t>
      </w:r>
      <w:r>
        <w:rPr>
          <w:rFonts w:hint="eastAsia"/>
        </w:rPr>
        <w:t>4</w:t>
      </w:r>
      <w:r>
        <w:rPr>
          <w:rFonts w:hint="eastAsia"/>
        </w:rPr>
        <w:t>亿福林的津贴。</w:t>
      </w:r>
    </w:p>
    <w:p w:rsidR="00000000" w:rsidRDefault="00000000">
      <w:pPr>
        <w:ind w:firstLine="510"/>
        <w:rPr>
          <w:rFonts w:hint="eastAsia"/>
        </w:rPr>
      </w:pPr>
      <w:r>
        <w:rPr>
          <w:rFonts w:hint="eastAsia"/>
        </w:rPr>
        <w:t xml:space="preserve">667.  </w:t>
      </w:r>
      <w:r>
        <w:rPr>
          <w:rFonts w:hint="eastAsia"/>
          <w:u w:val="single"/>
        </w:rPr>
        <w:t>科学知识传播协会</w:t>
      </w:r>
      <w:r>
        <w:rPr>
          <w:rFonts w:hint="eastAsia"/>
        </w:rPr>
        <w:t>：该协会每年领取</w:t>
      </w:r>
      <w:r>
        <w:rPr>
          <w:rFonts w:hint="eastAsia"/>
        </w:rPr>
        <w:t>9,000</w:t>
      </w:r>
      <w:r>
        <w:rPr>
          <w:rFonts w:hint="eastAsia"/>
        </w:rPr>
        <w:t>万福林的津贴，支持其中心和所辖组织的运作，开发知识传播领域的活动。</w:t>
      </w:r>
    </w:p>
    <w:p w:rsidR="00000000" w:rsidRDefault="00000000">
      <w:pPr>
        <w:ind w:firstLine="510"/>
        <w:rPr>
          <w:rFonts w:hint="eastAsia"/>
        </w:rPr>
      </w:pPr>
      <w:r>
        <w:rPr>
          <w:rFonts w:hint="eastAsia"/>
        </w:rPr>
        <w:t xml:space="preserve">668.  </w:t>
      </w:r>
      <w:r>
        <w:rPr>
          <w:rFonts w:hint="eastAsia"/>
        </w:rPr>
        <w:t>全国大众学院联合会可以申请预算津贴来支持人民学院活动。过去五年内平均每年补贴金额达到</w:t>
      </w:r>
      <w:r>
        <w:rPr>
          <w:rFonts w:hint="eastAsia"/>
        </w:rPr>
        <w:t>4,000</w:t>
      </w:r>
      <w:r>
        <w:rPr>
          <w:rFonts w:hint="eastAsia"/>
        </w:rPr>
        <w:t>万福林，其中约一半直接转给了地方人民学院。欧洲民间传说中心协会创建的欧洲民间传说研究所得到专门拨款，每年为此领取</w:t>
      </w:r>
      <w:r>
        <w:rPr>
          <w:rFonts w:hint="eastAsia"/>
        </w:rPr>
        <w:t>1,000</w:t>
      </w:r>
      <w:r>
        <w:rPr>
          <w:rFonts w:hint="eastAsia"/>
        </w:rPr>
        <w:t>万福林，从事匈牙利和欧洲民间传说传统的研究，发表研究结果，并组织会议。联合国教科文组织也支助欧洲民间传说研究所。</w:t>
      </w:r>
    </w:p>
    <w:p w:rsidR="00000000" w:rsidRDefault="00000000">
      <w:pPr>
        <w:spacing w:after="320"/>
        <w:rPr>
          <w:rFonts w:hint="eastAsia"/>
        </w:rPr>
      </w:pPr>
      <w:r>
        <w:rPr>
          <w:rFonts w:hint="eastAsia"/>
        </w:rPr>
        <w:tab/>
        <w:t xml:space="preserve">669.  </w:t>
      </w:r>
      <w:r>
        <w:rPr>
          <w:rFonts w:hint="eastAsia"/>
        </w:rPr>
        <w:t>匈牙利语言和文化国际协会每年都有预算津贴。该协会的活动旨在保存和发展匈牙利侨民的母语和文化传统。为此，该协会组织学术会议，函授培训课程和营地，开展着重介绍匈牙利少数民族的重大出版活动。</w:t>
      </w:r>
    </w:p>
    <w:p w:rsidR="00000000" w:rsidRDefault="00000000">
      <w:pPr>
        <w:pStyle w:val="Heading4"/>
        <w:rPr>
          <w:rFonts w:eastAsia="KaiTi_GB2312" w:hint="eastAsia"/>
          <w:snapToGrid/>
          <w:spacing w:val="0"/>
          <w:u w:val="none"/>
        </w:rPr>
      </w:pPr>
      <w:r>
        <w:rPr>
          <w:rFonts w:eastAsia="KaiTi_GB2312" w:hint="eastAsia"/>
          <w:snapToGrid/>
          <w:spacing w:val="0"/>
          <w:u w:val="none"/>
        </w:rPr>
        <w:t>执行公众文化任务的新趋势</w:t>
      </w:r>
    </w:p>
    <w:p w:rsidR="00000000" w:rsidRDefault="00000000">
      <w:pPr>
        <w:rPr>
          <w:rFonts w:hint="eastAsia"/>
        </w:rPr>
      </w:pPr>
      <w:r>
        <w:rPr>
          <w:rFonts w:hint="eastAsia"/>
        </w:rPr>
        <w:tab/>
        <w:t xml:space="preserve">670.  </w:t>
      </w:r>
      <w:r>
        <w:rPr>
          <w:rFonts w:hint="eastAsia"/>
          <w:u w:val="single"/>
        </w:rPr>
        <w:t>加强提供基本文化服务的多功能机构</w:t>
      </w:r>
      <w:r>
        <w:rPr>
          <w:rFonts w:hint="eastAsia"/>
        </w:rPr>
        <w:t>：根据</w:t>
      </w:r>
      <w:r>
        <w:rPr>
          <w:rFonts w:hint="eastAsia"/>
        </w:rPr>
        <w:t>1999</w:t>
      </w:r>
      <w:r>
        <w:rPr>
          <w:rFonts w:hint="eastAsia"/>
        </w:rPr>
        <w:t>年开展的一项调查，地方政府维持的所有机构中</w:t>
      </w:r>
      <w:r>
        <w:rPr>
          <w:rFonts w:hint="eastAsia"/>
        </w:rPr>
        <w:t>34%</w:t>
      </w:r>
      <w:r>
        <w:rPr>
          <w:rFonts w:hint="eastAsia"/>
        </w:rPr>
        <w:t>的机构也执行大众文化任务，它们是复杂综合的机构。在调查新趋势时，应当指出下列主要变化：</w:t>
      </w:r>
    </w:p>
    <w:p w:rsidR="00000000" w:rsidRDefault="00000000">
      <w:pPr>
        <w:rPr>
          <w:rFonts w:hint="eastAsia"/>
        </w:rPr>
      </w:pPr>
      <w:r>
        <w:rPr>
          <w:rFonts w:hint="eastAsia"/>
        </w:rPr>
        <w:tab/>
        <w:t xml:space="preserve">671.  </w:t>
      </w:r>
      <w:r>
        <w:rPr>
          <w:rFonts w:hint="eastAsia"/>
          <w:u w:val="single"/>
        </w:rPr>
        <w:t>公共文化中心数量的增加</w:t>
      </w:r>
      <w:r>
        <w:rPr>
          <w:rFonts w:hint="eastAsia"/>
        </w:rPr>
        <w:t>：关于教育的《法令》第</w:t>
      </w:r>
      <w:r>
        <w:rPr>
          <w:rFonts w:hint="eastAsia"/>
        </w:rPr>
        <w:t>33</w:t>
      </w:r>
      <w:r>
        <w:rPr>
          <w:rFonts w:hint="eastAsia"/>
        </w:rPr>
        <w:t>条使得有可能在维持者管辖的既定居民区内，于合并多功能机构的框架中执行公共教育和大众文化的任务。大众文化中心就是这样一种机构，在那儿有可能协调执行教育和大众文化任务。在独立自主的大众文化机构之外，也存在一个现有网络，根据法律这是一家公共教育机构，但是也以自发组织性单位或活动的形式提供大众文化服务。这些机构的工作量并不均衡；他们的一般基础设施更确切点来形容就是过时的。基本无法开展工作的地方机构比例预计在</w:t>
      </w:r>
      <w:r>
        <w:rPr>
          <w:rFonts w:hint="eastAsia"/>
        </w:rPr>
        <w:t>30%</w:t>
      </w:r>
      <w:r>
        <w:rPr>
          <w:rFonts w:hint="eastAsia"/>
        </w:rPr>
        <w:t>。</w:t>
      </w:r>
    </w:p>
    <w:p w:rsidR="00000000" w:rsidRDefault="00000000">
      <w:pPr>
        <w:rPr>
          <w:rFonts w:hint="eastAsia"/>
        </w:rPr>
      </w:pPr>
      <w:r>
        <w:rPr>
          <w:rFonts w:hint="eastAsia"/>
        </w:rPr>
        <w:tab/>
        <w:t xml:space="preserve">672.  </w:t>
      </w:r>
      <w:r>
        <w:rPr>
          <w:rFonts w:hint="eastAsia"/>
          <w:u w:val="single"/>
        </w:rPr>
        <w:t>参加活动者的数量和社会构成的变化</w:t>
      </w:r>
      <w:r>
        <w:rPr>
          <w:rFonts w:hint="eastAsia"/>
        </w:rPr>
        <w:t>：大众文化机构的三分之二常客属于被特别支助的群体。养恤金领取者俱乐部、儿童活动、上课人员和传统保存团体的成员都是此类目标群体。</w:t>
      </w:r>
    </w:p>
    <w:p w:rsidR="00000000" w:rsidRDefault="00000000">
      <w:pPr>
        <w:rPr>
          <w:rFonts w:hint="eastAsia"/>
        </w:rPr>
      </w:pPr>
      <w:r>
        <w:rPr>
          <w:rFonts w:hint="eastAsia"/>
        </w:rPr>
        <w:tab/>
        <w:t xml:space="preserve">673.  </w:t>
      </w:r>
      <w:r>
        <w:rPr>
          <w:rFonts w:hint="eastAsia"/>
        </w:rPr>
        <w:t>组织青年国际交流的青年人新闻局</w:t>
      </w:r>
      <w:r>
        <w:rPr>
          <w:rFonts w:hint="eastAsia"/>
        </w:rPr>
        <w:t>(</w:t>
      </w:r>
      <w:r>
        <w:rPr>
          <w:rFonts w:hint="eastAsia"/>
        </w:rPr>
        <w:t>处</w:t>
      </w:r>
      <w:r>
        <w:rPr>
          <w:rFonts w:hint="eastAsia"/>
        </w:rPr>
        <w:t>)</w:t>
      </w:r>
      <w:r>
        <w:rPr>
          <w:rFonts w:hint="eastAsia"/>
        </w:rPr>
        <w:t>已经在一些文化中心运作。这样一个作为大众文化服务提供者的机制性网络也组织儿童和青年活动营以及旅游方案。大众文化专家积极参与支持这样的目标团体。</w:t>
      </w:r>
    </w:p>
    <w:p w:rsidR="00000000" w:rsidRDefault="00000000">
      <w:pPr>
        <w:spacing w:after="320"/>
        <w:rPr>
          <w:rFonts w:hint="eastAsia"/>
        </w:rPr>
      </w:pPr>
      <w:r>
        <w:rPr>
          <w:rFonts w:hint="eastAsia"/>
        </w:rPr>
        <w:tab/>
        <w:t xml:space="preserve">674.  </w:t>
      </w:r>
      <w:r>
        <w:rPr>
          <w:rFonts w:hint="eastAsia"/>
        </w:rPr>
        <w:t>罗姆社区中心的发展已经启动。一些大众文化机构在罗姆人的参与下组织艺术节和课程。</w:t>
      </w:r>
    </w:p>
    <w:p w:rsidR="00000000" w:rsidRDefault="00000000">
      <w:pPr>
        <w:pStyle w:val="Heading4"/>
        <w:rPr>
          <w:rFonts w:eastAsia="KaiTi_GB2312" w:hint="eastAsia"/>
          <w:snapToGrid/>
          <w:spacing w:val="0"/>
          <w:u w:val="none"/>
        </w:rPr>
      </w:pPr>
      <w:r>
        <w:rPr>
          <w:rFonts w:eastAsia="KaiTi_GB2312" w:hint="eastAsia"/>
          <w:snapToGrid/>
          <w:spacing w:val="0"/>
          <w:u w:val="none"/>
        </w:rPr>
        <w:t>其它实际步骤</w:t>
      </w:r>
    </w:p>
    <w:p w:rsidR="00000000" w:rsidRDefault="00000000">
      <w:pPr>
        <w:spacing w:after="320"/>
        <w:rPr>
          <w:rFonts w:hint="eastAsia"/>
        </w:rPr>
      </w:pPr>
      <w:r>
        <w:rPr>
          <w:rFonts w:hint="eastAsia"/>
        </w:rPr>
        <w:tab/>
        <w:t xml:space="preserve">675.  </w:t>
      </w:r>
      <w:r>
        <w:rPr>
          <w:rFonts w:hint="eastAsia"/>
        </w:rPr>
        <w:t>公共文化下放发展的目标体系</w:t>
      </w:r>
      <w:r>
        <w:rPr>
          <w:rFonts w:hint="eastAsia"/>
        </w:rPr>
        <w:t>(</w:t>
      </w:r>
      <w:r>
        <w:rPr>
          <w:rFonts w:hint="eastAsia"/>
        </w:rPr>
        <w:t>自</w:t>
      </w:r>
      <w:r>
        <w:rPr>
          <w:rFonts w:hint="eastAsia"/>
        </w:rPr>
        <w:t>2004</w:t>
      </w:r>
      <w:r>
        <w:rPr>
          <w:rFonts w:hint="eastAsia"/>
        </w:rPr>
        <w:t>年以后</w:t>
      </w:r>
      <w:r>
        <w:rPr>
          <w:rFonts w:hint="eastAsia"/>
        </w:rPr>
        <w:t>)</w:t>
      </w:r>
    </w:p>
    <w:p w:rsidR="00000000" w:rsidRDefault="00000000">
      <w:pPr>
        <w:pStyle w:val="Heading4"/>
        <w:rPr>
          <w:rFonts w:hint="eastAsia"/>
        </w:rPr>
      </w:pPr>
      <w:r>
        <w:rPr>
          <w:rFonts w:hint="eastAsia"/>
          <w:u w:val="none"/>
        </w:rPr>
        <w:t xml:space="preserve">1.  </w:t>
      </w:r>
      <w:r>
        <w:rPr>
          <w:rFonts w:hint="eastAsia"/>
        </w:rPr>
        <w:t>发展和协调小区大众文化的基本供应</w:t>
      </w:r>
    </w:p>
    <w:p w:rsidR="00000000" w:rsidRDefault="00000000">
      <w:pPr>
        <w:numPr>
          <w:ilvl w:val="0"/>
          <w:numId w:val="210"/>
        </w:numPr>
        <w:tabs>
          <w:tab w:val="clear" w:pos="1531"/>
        </w:tabs>
        <w:rPr>
          <w:rFonts w:hint="eastAsia"/>
        </w:rPr>
      </w:pPr>
      <w:r>
        <w:rPr>
          <w:rFonts w:hint="eastAsia"/>
        </w:rPr>
        <w:t>规定小区大众文化的职能；制定落实居民区内小区任务的活动结构。</w:t>
      </w:r>
      <w:r>
        <w:rPr>
          <w:rFonts w:hint="eastAsia"/>
        </w:rPr>
        <w:t>(</w:t>
      </w:r>
      <w:r>
        <w:rPr>
          <w:rFonts w:hint="eastAsia"/>
        </w:rPr>
        <w:t>考虑到存在</w:t>
      </w:r>
      <w:r>
        <w:rPr>
          <w:rFonts w:hint="eastAsia"/>
        </w:rPr>
        <w:t>168</w:t>
      </w:r>
      <w:r>
        <w:rPr>
          <w:rFonts w:hint="eastAsia"/>
        </w:rPr>
        <w:t>个小区大众文化机构，应符合公共行政管理和区域发展的改革方案。</w:t>
      </w:r>
      <w:r>
        <w:rPr>
          <w:rFonts w:hint="eastAsia"/>
        </w:rPr>
        <w:t>)</w:t>
      </w:r>
    </w:p>
    <w:p w:rsidR="00000000" w:rsidRDefault="00000000">
      <w:pPr>
        <w:numPr>
          <w:ilvl w:val="0"/>
          <w:numId w:val="210"/>
        </w:numPr>
        <w:tabs>
          <w:tab w:val="clear" w:pos="1531"/>
        </w:tabs>
        <w:rPr>
          <w:rFonts w:hint="eastAsia"/>
        </w:rPr>
      </w:pPr>
      <w:r>
        <w:rPr>
          <w:rFonts w:hint="eastAsia"/>
        </w:rPr>
        <w:t>改变执行与小区任务有关的一系列城市机构的任务和城市外围机构的任务。</w:t>
      </w:r>
    </w:p>
    <w:p w:rsidR="00000000" w:rsidRDefault="00000000">
      <w:pPr>
        <w:numPr>
          <w:ilvl w:val="0"/>
          <w:numId w:val="210"/>
        </w:numPr>
        <w:tabs>
          <w:tab w:val="clear" w:pos="1531"/>
        </w:tabs>
        <w:spacing w:after="320"/>
        <w:rPr>
          <w:rFonts w:hint="eastAsia"/>
        </w:rPr>
      </w:pPr>
      <w:r>
        <w:rPr>
          <w:rFonts w:hint="eastAsia"/>
        </w:rPr>
        <w:t>制订小区任务执行的基础设施条件和预算效果。</w:t>
      </w:r>
    </w:p>
    <w:p w:rsidR="00000000" w:rsidRDefault="00000000">
      <w:pPr>
        <w:pStyle w:val="Heading4"/>
        <w:rPr>
          <w:rFonts w:hint="eastAsia"/>
        </w:rPr>
      </w:pPr>
      <w:r>
        <w:rPr>
          <w:rFonts w:hint="eastAsia"/>
          <w:u w:val="none"/>
        </w:rPr>
        <w:t xml:space="preserve">2.  </w:t>
      </w:r>
      <w:r>
        <w:rPr>
          <w:rFonts w:hint="eastAsia"/>
        </w:rPr>
        <w:t>发展公共文化任务的区域执行</w:t>
      </w:r>
    </w:p>
    <w:p w:rsidR="00000000" w:rsidRDefault="00000000">
      <w:pPr>
        <w:numPr>
          <w:ilvl w:val="0"/>
          <w:numId w:val="210"/>
        </w:numPr>
        <w:tabs>
          <w:tab w:val="clear" w:pos="1531"/>
        </w:tabs>
        <w:rPr>
          <w:rFonts w:hint="eastAsia"/>
        </w:rPr>
      </w:pPr>
      <w:r>
        <w:rPr>
          <w:rFonts w:hint="eastAsia"/>
        </w:rPr>
        <w:t>规定区域的公共文化职能，协调活动计划。</w:t>
      </w:r>
      <w:r>
        <w:rPr>
          <w:rFonts w:hint="eastAsia"/>
        </w:rPr>
        <w:t>(</w:t>
      </w:r>
      <w:r>
        <w:rPr>
          <w:rFonts w:hint="eastAsia"/>
        </w:rPr>
        <w:t>根据统计工作中的</w:t>
      </w:r>
      <w:r>
        <w:rPr>
          <w:rFonts w:hint="eastAsia"/>
        </w:rPr>
        <w:t>7</w:t>
      </w:r>
      <w:r>
        <w:rPr>
          <w:rFonts w:hint="eastAsia"/>
        </w:rPr>
        <w:t>个区域，以及州公共文化和服务中心执行任务的情况。</w:t>
      </w:r>
      <w:r>
        <w:rPr>
          <w:rFonts w:hint="eastAsia"/>
        </w:rPr>
        <w:t>)</w:t>
      </w:r>
    </w:p>
    <w:p w:rsidR="00000000" w:rsidRDefault="00000000">
      <w:pPr>
        <w:numPr>
          <w:ilvl w:val="0"/>
          <w:numId w:val="210"/>
        </w:numPr>
        <w:tabs>
          <w:tab w:val="clear" w:pos="1531"/>
        </w:tabs>
        <w:spacing w:after="320"/>
        <w:rPr>
          <w:rFonts w:hint="eastAsia"/>
        </w:rPr>
      </w:pPr>
      <w:r>
        <w:rPr>
          <w:rFonts w:hint="eastAsia"/>
        </w:rPr>
        <w:t>制订区域任务执行的基础设施条件和预算效果。</w:t>
      </w:r>
    </w:p>
    <w:p w:rsidR="00000000" w:rsidRDefault="00000000">
      <w:pPr>
        <w:pStyle w:val="Heading4"/>
        <w:rPr>
          <w:rFonts w:hint="eastAsia"/>
        </w:rPr>
      </w:pPr>
      <w:r>
        <w:rPr>
          <w:rFonts w:hint="eastAsia"/>
          <w:u w:val="none"/>
        </w:rPr>
        <w:t xml:space="preserve">3.  </w:t>
      </w:r>
      <w:r>
        <w:rPr>
          <w:rFonts w:hint="eastAsia"/>
        </w:rPr>
        <w:t>在全部公共文化机构中创造机会平等</w:t>
      </w:r>
    </w:p>
    <w:p w:rsidR="00000000" w:rsidRDefault="00000000">
      <w:pPr>
        <w:numPr>
          <w:ilvl w:val="0"/>
          <w:numId w:val="210"/>
        </w:numPr>
        <w:tabs>
          <w:tab w:val="clear" w:pos="1531"/>
        </w:tabs>
        <w:rPr>
          <w:rFonts w:hint="eastAsia"/>
        </w:rPr>
      </w:pPr>
      <w:r>
        <w:rPr>
          <w:rFonts w:hint="eastAsia"/>
        </w:rPr>
        <w:t>进一步制定适合参加大众文化机构活动的主要群体</w:t>
      </w:r>
      <w:r>
        <w:rPr>
          <w:rFonts w:hint="eastAsia"/>
        </w:rPr>
        <w:t>(</w:t>
      </w:r>
      <w:r>
        <w:rPr>
          <w:rFonts w:hint="eastAsia"/>
        </w:rPr>
        <w:t>青年人和老年人</w:t>
      </w:r>
      <w:r>
        <w:rPr>
          <w:rFonts w:hint="eastAsia"/>
        </w:rPr>
        <w:t>)</w:t>
      </w:r>
      <w:r>
        <w:rPr>
          <w:rFonts w:hint="eastAsia"/>
        </w:rPr>
        <w:t>的要求以及边缘社会阶层需求的最佳方案结构。</w:t>
      </w:r>
    </w:p>
    <w:p w:rsidR="00000000" w:rsidRDefault="00000000">
      <w:pPr>
        <w:numPr>
          <w:ilvl w:val="0"/>
          <w:numId w:val="210"/>
        </w:numPr>
        <w:rPr>
          <w:rFonts w:hint="eastAsia"/>
        </w:rPr>
      </w:pPr>
      <w:r>
        <w:rPr>
          <w:rFonts w:hint="eastAsia"/>
        </w:rPr>
        <w:t>使得公共文化机构的基础设施对残疾人没有障碍，适于他们使用。</w:t>
      </w:r>
    </w:p>
    <w:p w:rsidR="00000000" w:rsidRDefault="00000000">
      <w:pPr>
        <w:numPr>
          <w:ilvl w:val="0"/>
          <w:numId w:val="210"/>
        </w:numPr>
        <w:spacing w:after="320"/>
        <w:rPr>
          <w:rFonts w:hint="eastAsia"/>
        </w:rPr>
      </w:pPr>
      <w:r>
        <w:rPr>
          <w:rFonts w:hint="eastAsia"/>
        </w:rPr>
        <w:t>创建以少数民族和边缘群体为目标的公共文化工作的职业条件。</w:t>
      </w:r>
    </w:p>
    <w:p w:rsidR="00000000" w:rsidRDefault="00000000">
      <w:pPr>
        <w:pStyle w:val="Heading4"/>
        <w:rPr>
          <w:rFonts w:eastAsia="KaiTi_GB2312" w:hint="eastAsia"/>
          <w:snapToGrid/>
          <w:spacing w:val="0"/>
          <w:u w:val="none"/>
        </w:rPr>
      </w:pPr>
      <w:r>
        <w:rPr>
          <w:rFonts w:eastAsia="KaiTi_GB2312" w:hint="eastAsia"/>
          <w:snapToGrid/>
          <w:spacing w:val="0"/>
          <w:u w:val="none"/>
        </w:rPr>
        <w:t>电脑电信技术村</w:t>
      </w:r>
    </w:p>
    <w:p w:rsidR="00000000" w:rsidRDefault="00000000">
      <w:pPr>
        <w:rPr>
          <w:rFonts w:hint="eastAsia"/>
        </w:rPr>
      </w:pPr>
      <w:r>
        <w:rPr>
          <w:rFonts w:hint="eastAsia"/>
        </w:rPr>
        <w:tab/>
        <w:t xml:space="preserve">676.  </w:t>
      </w:r>
      <w:r>
        <w:rPr>
          <w:rFonts w:hint="eastAsia"/>
        </w:rPr>
        <w:t>被称之为“电脑电信技术村”的匈牙利地方通信中心在过去十年中发展了起来。电脑电信技术村运动是作为一项社区驱动的活动开始并持续下来的，其中地方民间社会和非政府组织联合在一起为公众提供机会接触信息通信技术</w:t>
      </w:r>
      <w:r>
        <w:rPr>
          <w:rFonts w:hint="eastAsia"/>
        </w:rPr>
        <w:t>(</w:t>
      </w:r>
      <w:r>
        <w:rPr>
          <w:rFonts w:hint="eastAsia"/>
        </w:rPr>
        <w:t>电话机、传真机和复印机、计算机、互联网接入、公民电子邮件地址、连接电脑电信技术村的网络、连接数据库的首页、远程计算机</w:t>
      </w:r>
      <w:r>
        <w:rPr>
          <w:rFonts w:hint="eastAsia"/>
        </w:rPr>
        <w:t>)</w:t>
      </w:r>
      <w:r>
        <w:rPr>
          <w:rFonts w:hint="eastAsia"/>
        </w:rPr>
        <w:t>以及从图书馆书籍到公告牌等其他许多传统的信息方式。拥有大量的极小型乡村</w:t>
      </w:r>
      <w:r>
        <w:rPr>
          <w:rFonts w:hint="eastAsia"/>
        </w:rPr>
        <w:t>(</w:t>
      </w:r>
      <w:r>
        <w:rPr>
          <w:rFonts w:hint="eastAsia"/>
        </w:rPr>
        <w:t>约</w:t>
      </w:r>
      <w:r>
        <w:rPr>
          <w:rFonts w:hint="eastAsia"/>
        </w:rPr>
        <w:t>1,800</w:t>
      </w:r>
      <w:r>
        <w:rPr>
          <w:rFonts w:hint="eastAsia"/>
        </w:rPr>
        <w:t>个乡村少于</w:t>
      </w:r>
      <w:r>
        <w:rPr>
          <w:rFonts w:hint="eastAsia"/>
        </w:rPr>
        <w:t>1,300</w:t>
      </w:r>
      <w:r>
        <w:rPr>
          <w:rFonts w:hint="eastAsia"/>
        </w:rPr>
        <w:t>人，而</w:t>
      </w:r>
      <w:r>
        <w:rPr>
          <w:rFonts w:hint="eastAsia"/>
        </w:rPr>
        <w:t>2,500</w:t>
      </w:r>
      <w:r>
        <w:rPr>
          <w:rFonts w:hint="eastAsia"/>
        </w:rPr>
        <w:t>个乡村少于</w:t>
      </w:r>
      <w:r>
        <w:rPr>
          <w:rFonts w:hint="eastAsia"/>
        </w:rPr>
        <w:t>3,000</w:t>
      </w:r>
      <w:r>
        <w:rPr>
          <w:rFonts w:hint="eastAsia"/>
        </w:rPr>
        <w:t>人</w:t>
      </w:r>
      <w:r>
        <w:rPr>
          <w:rFonts w:hint="eastAsia"/>
        </w:rPr>
        <w:t>)</w:t>
      </w:r>
      <w:r>
        <w:rPr>
          <w:rFonts w:hint="eastAsia"/>
        </w:rPr>
        <w:t>是匈牙利的特点，因此电脑电信技术村对生活在边远小乡村的人民获得信息发挥了重要的作用。</w:t>
      </w:r>
    </w:p>
    <w:p w:rsidR="00000000" w:rsidRDefault="00000000">
      <w:pPr>
        <w:rPr>
          <w:rFonts w:hint="eastAsia"/>
        </w:rPr>
      </w:pPr>
      <w:r>
        <w:rPr>
          <w:rFonts w:hint="eastAsia"/>
        </w:rPr>
        <w:tab/>
        <w:t xml:space="preserve">677.  </w:t>
      </w:r>
      <w:r>
        <w:rPr>
          <w:rFonts w:hint="eastAsia"/>
        </w:rPr>
        <w:t>第一个电脑电信技术村建于</w:t>
      </w:r>
      <w:r>
        <w:rPr>
          <w:rFonts w:hint="eastAsia"/>
        </w:rPr>
        <w:t>1993</w:t>
      </w:r>
      <w:r>
        <w:rPr>
          <w:rFonts w:hint="eastAsia"/>
        </w:rPr>
        <w:t>年，是一个小山村社区的社区发展方案的一部分。当地的积极分子发起了这个方案，并从匈牙利政府、非政府组织和美援署等国家捐助者那儿得到资助。每个电脑电信技术村都是独立的，地方非政府组织往往拥有这些财产。地方政府通常提供办公场地、职员和资助。主办机构自身经常是和地方政府有关的一个实体</w:t>
      </w:r>
      <w:r>
        <w:rPr>
          <w:rFonts w:hint="eastAsia"/>
        </w:rPr>
        <w:t>(</w:t>
      </w:r>
      <w:r>
        <w:rPr>
          <w:rFonts w:hint="eastAsia"/>
        </w:rPr>
        <w:t>图书馆、学校或社区中心</w:t>
      </w:r>
      <w:r>
        <w:rPr>
          <w:rFonts w:hint="eastAsia"/>
        </w:rPr>
        <w:t>)</w:t>
      </w:r>
      <w:r>
        <w:rPr>
          <w:rFonts w:hint="eastAsia"/>
        </w:rPr>
        <w:t>。电脑电信技术村还不是完全自负盈亏，</w:t>
      </w:r>
      <w:r>
        <w:rPr>
          <w:rFonts w:hint="eastAsia"/>
        </w:rPr>
        <w:t>30%</w:t>
      </w:r>
      <w:r>
        <w:rPr>
          <w:rFonts w:hint="eastAsia"/>
        </w:rPr>
        <w:t>的营运成本来自于地方收入，而公共资源和捐款填补剩余空缺。另一方面，该项目几乎没有失败的案例</w:t>
      </w:r>
      <w:r>
        <w:rPr>
          <w:rFonts w:hint="eastAsia"/>
        </w:rPr>
        <w:t>(</w:t>
      </w:r>
      <w:r>
        <w:rPr>
          <w:rFonts w:hint="eastAsia"/>
        </w:rPr>
        <w:t>少于</w:t>
      </w:r>
      <w:r>
        <w:rPr>
          <w:rFonts w:hint="eastAsia"/>
        </w:rPr>
        <w:t>3%)</w:t>
      </w:r>
      <w:r>
        <w:rPr>
          <w:rFonts w:hint="eastAsia"/>
        </w:rPr>
        <w:t>，相比之下其他国家电信中心项目的失败率就高得多。这项成长中的运动不仅遍及匈牙利，目前至少已有</w:t>
      </w:r>
      <w:r>
        <w:rPr>
          <w:rFonts w:hint="eastAsia"/>
        </w:rPr>
        <w:t>500</w:t>
      </w:r>
      <w:r>
        <w:rPr>
          <w:rFonts w:hint="eastAsia"/>
        </w:rPr>
        <w:t>个城镇和乡村拥有电脑电信技术村，而且也扩展到了邻国。</w:t>
      </w:r>
    </w:p>
    <w:p w:rsidR="00000000" w:rsidRDefault="00000000">
      <w:pPr>
        <w:rPr>
          <w:rFonts w:hint="eastAsia"/>
        </w:rPr>
      </w:pPr>
      <w:r>
        <w:rPr>
          <w:rFonts w:hint="eastAsia"/>
        </w:rPr>
        <w:tab/>
        <w:t xml:space="preserve">678.  </w:t>
      </w:r>
      <w:r>
        <w:rPr>
          <w:rFonts w:hint="eastAsia"/>
        </w:rPr>
        <w:t>匈牙利电脑电信技术村协会的章程确定协会目标如下：电脑电信技术村以民间行动计划为基础，旨在保证居民区和微型区的经济、社会和文化发展，迎头赶上，并创造平等机会，协会支持电脑电信技术村的创建和运作。电脑电信技术村由匈牙利电脑电信技术村协会成员经营，作为公共通信中心，没有任何限制地为所有感兴趣的人提供使用信息技术的可能，传递使用信息技术所必要的知识，从而获得信息。小社区所接受的合格职员，在创建平等电子机会和改善当地生活质量方面发挥着关键的作用。电脑电信技术村积极参与社区活动的组织工作。匈牙利电脑电信技术村协会旨在从事符合公共利益的下列活动：</w:t>
      </w:r>
    </w:p>
    <w:p w:rsidR="00000000" w:rsidRDefault="00000000">
      <w:pPr>
        <w:pStyle w:val="a"/>
        <w:ind w:left="1550"/>
        <w:rPr>
          <w:rFonts w:hint="eastAsia"/>
        </w:rPr>
      </w:pPr>
      <w:r>
        <w:rPr>
          <w:rFonts w:hint="eastAsia"/>
        </w:rPr>
        <w:t>支持家庭和老年人的社会活动，</w:t>
      </w:r>
    </w:p>
    <w:p w:rsidR="00000000" w:rsidRDefault="00000000">
      <w:pPr>
        <w:pStyle w:val="a"/>
        <w:ind w:left="1550"/>
        <w:rPr>
          <w:rFonts w:hint="eastAsia"/>
        </w:rPr>
      </w:pPr>
      <w:r>
        <w:rPr>
          <w:rFonts w:hint="eastAsia"/>
        </w:rPr>
        <w:t>教育与技术发展，</w:t>
      </w:r>
    </w:p>
    <w:p w:rsidR="00000000" w:rsidRDefault="00000000">
      <w:pPr>
        <w:pStyle w:val="a"/>
        <w:ind w:left="1550"/>
        <w:rPr>
          <w:rFonts w:hint="eastAsia"/>
        </w:rPr>
      </w:pPr>
      <w:r>
        <w:rPr>
          <w:rFonts w:hint="eastAsia"/>
        </w:rPr>
        <w:t>保护环境</w:t>
      </w:r>
    </w:p>
    <w:p w:rsidR="00000000" w:rsidRDefault="00000000">
      <w:pPr>
        <w:pStyle w:val="a"/>
        <w:ind w:left="1550"/>
        <w:rPr>
          <w:rFonts w:hint="eastAsia"/>
        </w:rPr>
      </w:pPr>
      <w:r>
        <w:rPr>
          <w:rFonts w:hint="eastAsia"/>
        </w:rPr>
        <w:t>促使劣势群体获得平等机会，包括培养成为电脑电信技术村职员的特殊培训，</w:t>
      </w:r>
    </w:p>
    <w:p w:rsidR="00000000" w:rsidRDefault="00000000">
      <w:pPr>
        <w:pStyle w:val="a"/>
        <w:ind w:left="1550"/>
        <w:rPr>
          <w:rFonts w:hint="eastAsia"/>
        </w:rPr>
      </w:pPr>
      <w:r>
        <w:rPr>
          <w:rFonts w:hint="eastAsia"/>
        </w:rPr>
        <w:t>保护人权，包括培训</w:t>
      </w:r>
    </w:p>
    <w:p w:rsidR="00000000" w:rsidRDefault="00000000">
      <w:pPr>
        <w:pStyle w:val="a"/>
        <w:ind w:left="1550"/>
        <w:rPr>
          <w:rFonts w:hint="eastAsia"/>
        </w:rPr>
      </w:pPr>
      <w:r>
        <w:rPr>
          <w:rFonts w:hint="eastAsia"/>
        </w:rPr>
        <w:t>促进对劳动力市场上的劣势群体的培训和雇佣</w:t>
      </w:r>
    </w:p>
    <w:p w:rsidR="00000000" w:rsidRDefault="00000000">
      <w:pPr>
        <w:spacing w:after="320"/>
      </w:pPr>
      <w:r>
        <w:rPr>
          <w:rFonts w:hint="eastAsia"/>
        </w:rPr>
        <w:t>以及保护健康、预防疾病、愈合和康复；科学活动、研究；文化活动；保护文化遗产；保护建筑遗产；保护环境，保护动物；保护和表达儿童和青年的利益；进行与匈牙利少数民族有关的活动，与生活在邻国的匈牙利人有关的活动；康复就业；消费者保护；促使匈牙利融入欧洲—大西洋体制；等等。</w:t>
      </w:r>
    </w:p>
    <w:p w:rsidR="00000000" w:rsidRDefault="00000000">
      <w:pPr>
        <w:pStyle w:val="Heading4"/>
        <w:rPr>
          <w:rFonts w:eastAsia="KaiTi_GB2312" w:hint="eastAsia"/>
          <w:snapToGrid/>
          <w:spacing w:val="0"/>
          <w:u w:val="none"/>
        </w:rPr>
      </w:pPr>
      <w:r>
        <w:rPr>
          <w:rFonts w:eastAsia="KaiTi_GB2312" w:hint="eastAsia"/>
          <w:snapToGrid/>
          <w:spacing w:val="0"/>
          <w:u w:val="none"/>
        </w:rPr>
        <w:t>文化多样性</w:t>
      </w:r>
    </w:p>
    <w:p w:rsidR="00000000" w:rsidRDefault="00000000">
      <w:pPr>
        <w:spacing w:after="320"/>
        <w:rPr>
          <w:rFonts w:hint="eastAsia"/>
        </w:rPr>
      </w:pPr>
      <w:r>
        <w:rPr>
          <w:rFonts w:hint="eastAsia"/>
        </w:rPr>
        <w:tab/>
        <w:t xml:space="preserve">679.  </w:t>
      </w:r>
      <w:r>
        <w:rPr>
          <w:rFonts w:hint="eastAsia"/>
        </w:rPr>
        <w:t>《宪法》第</w:t>
      </w:r>
      <w:r>
        <w:rPr>
          <w:rFonts w:hint="eastAsia"/>
        </w:rPr>
        <w:t>68</w:t>
      </w:r>
      <w:r>
        <w:rPr>
          <w:rFonts w:hint="eastAsia"/>
        </w:rPr>
        <w:t>条第</w:t>
      </w:r>
      <w:r>
        <w:rPr>
          <w:rFonts w:hint="eastAsia"/>
        </w:rPr>
        <w:t>2</w:t>
      </w:r>
      <w:r>
        <w:rPr>
          <w:rFonts w:hint="eastAsia"/>
        </w:rPr>
        <w:t>款宣布国家承诺培育本国境内少数民族和族裔的文化。匈牙利是《欧洲保护少数民族框架公约》和《欧洲区域、少数民族语言宪章》的缔约国。有关匈牙利在文化多样性政策方面的详情，参见附件</w:t>
      </w:r>
      <w:r>
        <w:rPr>
          <w:rFonts w:hint="eastAsia"/>
        </w:rPr>
        <w:t>13</w:t>
      </w:r>
      <w:r>
        <w:rPr>
          <w:rFonts w:hint="eastAsia"/>
        </w:rPr>
        <w:t>中的一份最近于</w:t>
      </w:r>
      <w:r>
        <w:rPr>
          <w:rFonts w:hint="eastAsia"/>
        </w:rPr>
        <w:t>2002</w:t>
      </w:r>
      <w:r>
        <w:rPr>
          <w:rFonts w:hint="eastAsia"/>
        </w:rPr>
        <w:t>年为欧洲理事会编写的报告。</w:t>
      </w:r>
    </w:p>
    <w:p w:rsidR="00000000" w:rsidRDefault="00000000">
      <w:pPr>
        <w:pStyle w:val="Heading4"/>
        <w:rPr>
          <w:rFonts w:eastAsia="KaiTi_GB2312" w:hint="eastAsia"/>
          <w:snapToGrid/>
          <w:spacing w:val="0"/>
          <w:u w:val="none"/>
        </w:rPr>
      </w:pPr>
      <w:r>
        <w:rPr>
          <w:rFonts w:eastAsia="KaiTi_GB2312" w:hint="eastAsia"/>
          <w:snapToGrid/>
          <w:spacing w:val="0"/>
          <w:u w:val="none"/>
        </w:rPr>
        <w:t>保护不可移动的文化遗产</w:t>
      </w:r>
    </w:p>
    <w:p w:rsidR="00000000" w:rsidRDefault="00000000">
      <w:pPr>
        <w:spacing w:after="320"/>
        <w:rPr>
          <w:rFonts w:hint="eastAsia"/>
        </w:rPr>
      </w:pPr>
      <w:r>
        <w:rPr>
          <w:rFonts w:hint="eastAsia"/>
        </w:rPr>
        <w:tab/>
        <w:t>680.  1998</w:t>
      </w:r>
      <w:r>
        <w:rPr>
          <w:rFonts w:hint="eastAsia"/>
        </w:rPr>
        <w:t>年下半年，匈牙利文化事务的组织机构发生了重大变化，成立了国家文化遗产部。这种变化也影响到了不可移动文化遗产保存方面的工作。与文化遗产有关的事务以前是两个不同部门的责任。历史文物的保存属于环境部管辖，而文化部负责考古、文化方面的不可移动遗产。</w:t>
      </w:r>
    </w:p>
    <w:p w:rsidR="00000000" w:rsidRDefault="00000000">
      <w:pPr>
        <w:pStyle w:val="Heading4"/>
        <w:rPr>
          <w:rFonts w:eastAsia="KaiTi_GB2312" w:hint="eastAsia"/>
          <w:snapToGrid/>
          <w:spacing w:val="0"/>
          <w:u w:val="none"/>
        </w:rPr>
      </w:pPr>
      <w:r>
        <w:rPr>
          <w:rFonts w:eastAsia="KaiTi_GB2312" w:hint="eastAsia"/>
          <w:snapToGrid/>
          <w:spacing w:val="0"/>
          <w:u w:val="none"/>
        </w:rPr>
        <w:t>匈牙利不可移动的文化、建筑和考古遗产的保存机构的背景情况</w:t>
      </w:r>
    </w:p>
    <w:p w:rsidR="00000000" w:rsidRDefault="00000000">
      <w:pPr>
        <w:rPr>
          <w:rFonts w:hint="eastAsia"/>
        </w:rPr>
      </w:pPr>
      <w:r>
        <w:rPr>
          <w:rFonts w:hint="eastAsia"/>
        </w:rPr>
        <w:tab/>
        <w:t>681.  1998</w:t>
      </w:r>
      <w:r>
        <w:rPr>
          <w:rFonts w:hint="eastAsia"/>
        </w:rPr>
        <w:t>年国家文化遗产部成立。根据关于该部职责和权限范围的《第</w:t>
      </w:r>
      <w:r>
        <w:rPr>
          <w:rFonts w:hint="eastAsia"/>
        </w:rPr>
        <w:t>161/1998</w:t>
      </w:r>
      <w:r>
        <w:rPr>
          <w:rFonts w:hint="eastAsia"/>
        </w:rPr>
        <w:t>号政令》第</w:t>
      </w:r>
      <w:r>
        <w:rPr>
          <w:rFonts w:hint="eastAsia"/>
        </w:rPr>
        <w:t>2</w:t>
      </w:r>
      <w:r>
        <w:rPr>
          <w:rFonts w:hint="eastAsia"/>
        </w:rPr>
        <w:t>条的规定，所有文化事务，包括保护不可移动文化遗产都是新组建部门的职责。因此，成立了一个全新的单位</w:t>
      </w:r>
      <w:r>
        <w:rPr>
          <w:rFonts w:hint="eastAsia"/>
          <w:spacing w:val="-50"/>
        </w:rPr>
        <w:t>―</w:t>
      </w:r>
      <w:r>
        <w:rPr>
          <w:rFonts w:hint="eastAsia"/>
        </w:rPr>
        <w:t>―文物司来管理和不可移动文化遗产相关的政府责任。该司由两个部门组成：考古处负责出土文物、考古遗址和展览场馆；文物保护处从根本上管理被保护文物和遗址及其相关设备和装置与文物。文物司的建立反应了政府一级对不可移动文化遗产所赋予的重要性在不断增加。</w:t>
      </w:r>
    </w:p>
    <w:p w:rsidR="00000000" w:rsidRDefault="00000000">
      <w:pPr>
        <w:rPr>
          <w:rFonts w:hint="eastAsia"/>
        </w:rPr>
      </w:pPr>
      <w:r>
        <w:rPr>
          <w:rFonts w:hint="eastAsia"/>
        </w:rPr>
        <w:tab/>
      </w:r>
      <w:r>
        <w:t xml:space="preserve">682.  </w:t>
      </w:r>
      <w:r>
        <w:rPr>
          <w:rFonts w:hint="eastAsia"/>
        </w:rPr>
        <w:t>文物司根据设想中最有利于提升文化遗产事业的概念框架履行职责，完全遵守相关的国家和国际法律文书的精神和规定以及该领域的需求和要求。组成概念框架基础的原则如下：</w:t>
      </w:r>
    </w:p>
    <w:p w:rsidR="00000000" w:rsidRDefault="00000000">
      <w:pPr>
        <w:numPr>
          <w:ilvl w:val="0"/>
          <w:numId w:val="206"/>
        </w:numPr>
        <w:tabs>
          <w:tab w:val="clear" w:pos="1531"/>
        </w:tabs>
        <w:rPr>
          <w:rFonts w:hint="eastAsia"/>
        </w:rPr>
      </w:pPr>
      <w:r>
        <w:rPr>
          <w:rFonts w:hint="eastAsia"/>
        </w:rPr>
        <w:t>促进不可移动文化遗产价值的保存和长期使用，</w:t>
      </w:r>
    </w:p>
    <w:p w:rsidR="00000000" w:rsidRDefault="00000000">
      <w:pPr>
        <w:numPr>
          <w:ilvl w:val="0"/>
          <w:numId w:val="206"/>
        </w:numPr>
        <w:tabs>
          <w:tab w:val="clear" w:pos="1531"/>
        </w:tabs>
        <w:rPr>
          <w:rFonts w:hint="eastAsia"/>
        </w:rPr>
      </w:pPr>
      <w:r>
        <w:rPr>
          <w:rFonts w:hint="eastAsia"/>
        </w:rPr>
        <w:t>保障为实现这一目的所需的方法和措施，</w:t>
      </w:r>
    </w:p>
    <w:p w:rsidR="00000000" w:rsidRDefault="00000000">
      <w:pPr>
        <w:numPr>
          <w:ilvl w:val="0"/>
          <w:numId w:val="206"/>
        </w:numPr>
        <w:tabs>
          <w:tab w:val="clear" w:pos="1531"/>
        </w:tabs>
        <w:rPr>
          <w:rFonts w:hint="eastAsia"/>
        </w:rPr>
      </w:pPr>
      <w:r>
        <w:rPr>
          <w:rFonts w:hint="eastAsia"/>
        </w:rPr>
        <w:t>明确规定不可移动文化遗产在国家经济发展政策中的作用。</w:t>
      </w:r>
    </w:p>
    <w:p w:rsidR="00000000" w:rsidRDefault="00000000">
      <w:pPr>
        <w:rPr>
          <w:rFonts w:hint="eastAsia"/>
        </w:rPr>
      </w:pPr>
      <w:r>
        <w:rPr>
          <w:rFonts w:hint="eastAsia"/>
        </w:rPr>
        <w:tab/>
        <w:t xml:space="preserve">683.  </w:t>
      </w:r>
      <w:r>
        <w:rPr>
          <w:rFonts w:hint="eastAsia"/>
        </w:rPr>
        <w:t>国家文化遗产局执行维护不可移动文化遗产中的日常运转任务。目前这种形式的文化遗产局建立于</w:t>
      </w:r>
      <w:r>
        <w:rPr>
          <w:rFonts w:hint="eastAsia"/>
        </w:rPr>
        <w:t>2001</w:t>
      </w:r>
      <w:r>
        <w:rPr>
          <w:rFonts w:hint="eastAsia"/>
        </w:rPr>
        <w:t>年，由两家以前独立的机构合并而成：保护历史文物局和文化遗产理事会。新机构的创建意味着，以往分割的考古、文物和保护遗址任务被划归到一个单独的机构。</w:t>
      </w:r>
    </w:p>
    <w:p w:rsidR="00000000" w:rsidRDefault="00000000">
      <w:pPr>
        <w:spacing w:after="320"/>
        <w:rPr>
          <w:rFonts w:hint="eastAsia"/>
        </w:rPr>
      </w:pPr>
      <w:r>
        <w:rPr>
          <w:rFonts w:hint="eastAsia"/>
        </w:rPr>
        <w:tab/>
        <w:t xml:space="preserve">684.  </w:t>
      </w:r>
      <w:r>
        <w:rPr>
          <w:rFonts w:hint="eastAsia"/>
        </w:rPr>
        <w:t>国家文化遗产局通过位于首都的总局及其九个地区分局执行任务，它们的活动覆盖全国。除此之外，该局很大程度上依赖于这三家特别机构的服务：匈牙利托管理事会</w:t>
      </w:r>
      <w:r>
        <w:rPr>
          <w:rFonts w:hint="eastAsia"/>
          <w:spacing w:val="-50"/>
        </w:rPr>
        <w:t>―</w:t>
      </w:r>
      <w:r>
        <w:rPr>
          <w:rFonts w:hint="eastAsia"/>
        </w:rPr>
        <w:t>―一家负责</w:t>
      </w:r>
      <w:r>
        <w:rPr>
          <w:rFonts w:hint="eastAsia"/>
        </w:rPr>
        <w:t>18</w:t>
      </w:r>
      <w:r>
        <w:rPr>
          <w:rFonts w:hint="eastAsia"/>
        </w:rPr>
        <w:t>个国有重大历史建筑物的管理机构；修复公司</w:t>
      </w:r>
      <w:r>
        <w:rPr>
          <w:rFonts w:hint="eastAsia"/>
          <w:spacing w:val="-50"/>
        </w:rPr>
        <w:t>―</w:t>
      </w:r>
      <w:r>
        <w:rPr>
          <w:rFonts w:hint="eastAsia"/>
        </w:rPr>
        <w:t>―主要从事遗址的翻修；和建筑博物馆</w:t>
      </w:r>
      <w:r>
        <w:rPr>
          <w:rFonts w:hint="eastAsia"/>
          <w:spacing w:val="-50"/>
        </w:rPr>
        <w:t>―</w:t>
      </w:r>
      <w:r>
        <w:rPr>
          <w:rFonts w:hint="eastAsia"/>
        </w:rPr>
        <w:t>―与历史遗址有关，馆内历史文件收藏丰富。</w:t>
      </w:r>
    </w:p>
    <w:p w:rsidR="00000000" w:rsidRDefault="00000000">
      <w:pPr>
        <w:pStyle w:val="Heading4"/>
        <w:rPr>
          <w:rFonts w:eastAsia="KaiTi_GB2312" w:hint="eastAsia"/>
          <w:snapToGrid/>
          <w:spacing w:val="0"/>
          <w:u w:val="none"/>
        </w:rPr>
      </w:pPr>
      <w:r>
        <w:rPr>
          <w:rFonts w:eastAsia="KaiTi_GB2312" w:hint="eastAsia"/>
          <w:snapToGrid/>
          <w:spacing w:val="0"/>
          <w:u w:val="none"/>
        </w:rPr>
        <w:t>保护不可移动的文化遗产财产</w:t>
      </w:r>
    </w:p>
    <w:p w:rsidR="00000000" w:rsidRDefault="00000000">
      <w:pPr>
        <w:ind w:firstLine="510"/>
        <w:rPr>
          <w:rFonts w:hint="eastAsia"/>
        </w:rPr>
      </w:pPr>
      <w:r>
        <w:rPr>
          <w:rFonts w:hint="eastAsia"/>
        </w:rPr>
        <w:t xml:space="preserve">685.  </w:t>
      </w:r>
      <w:r>
        <w:rPr>
          <w:rFonts w:hint="eastAsia"/>
        </w:rPr>
        <w:t>匈牙利有不同的系统，分别负责建筑遗产、考古财产和文物的保护。建筑遗产和考古遗产具有双重保护体系。</w:t>
      </w:r>
    </w:p>
    <w:p w:rsidR="00000000" w:rsidRDefault="00000000">
      <w:pPr>
        <w:ind w:firstLine="510"/>
      </w:pPr>
      <w:r>
        <w:rPr>
          <w:rFonts w:hint="eastAsia"/>
        </w:rPr>
        <w:t xml:space="preserve">686.  </w:t>
      </w:r>
      <w:r>
        <w:rPr>
          <w:rFonts w:hint="eastAsia"/>
        </w:rPr>
        <w:t>在全国具有突出重要性的建筑和遗址由一项部门政令保护，而且被列入全国文物清单，由此获得遗址的地位。只对较小社区具有相关价值的遗址由地方当局保护机制保护。迄今为止，列入保护范围的遗址数量达到</w:t>
      </w:r>
      <w:r>
        <w:rPr>
          <w:rFonts w:hint="eastAsia"/>
        </w:rPr>
        <w:t>10,500</w:t>
      </w:r>
      <w:r>
        <w:rPr>
          <w:rFonts w:hint="eastAsia"/>
        </w:rPr>
        <w:t>件，其中最重要的</w:t>
      </w:r>
      <w:r>
        <w:rPr>
          <w:rFonts w:hint="eastAsia"/>
        </w:rPr>
        <w:t>281</w:t>
      </w:r>
      <w:r>
        <w:rPr>
          <w:rFonts w:hint="eastAsia"/>
        </w:rPr>
        <w:t>个遗址依法予以特别保护，这意味着根据法律不能出售而应属于国有。除此之外，还有</w:t>
      </w:r>
      <w:r>
        <w:rPr>
          <w:rFonts w:hint="eastAsia"/>
        </w:rPr>
        <w:t>2,500</w:t>
      </w:r>
      <w:r>
        <w:rPr>
          <w:rFonts w:hint="eastAsia"/>
        </w:rPr>
        <w:t>件其他物品，不受特别保护，但是可列为文物级。地方保护遗产的总数估计达到约</w:t>
      </w:r>
      <w:r>
        <w:rPr>
          <w:rFonts w:hint="eastAsia"/>
        </w:rPr>
        <w:t>250,000</w:t>
      </w:r>
      <w:r>
        <w:rPr>
          <w:rFonts w:hint="eastAsia"/>
        </w:rPr>
        <w:t>件。</w:t>
      </w:r>
    </w:p>
    <w:p w:rsidR="00000000" w:rsidRDefault="00000000">
      <w:pPr>
        <w:ind w:firstLine="510"/>
        <w:rPr>
          <w:rFonts w:hint="eastAsia"/>
        </w:rPr>
      </w:pPr>
      <w:r>
        <w:rPr>
          <w:rFonts w:hint="eastAsia"/>
        </w:rPr>
        <w:t xml:space="preserve">687.  </w:t>
      </w:r>
      <w:r>
        <w:rPr>
          <w:rFonts w:hint="eastAsia"/>
        </w:rPr>
        <w:t>所有考古遗址均依法得到一般的保护。但是，根据一项特别的部级政令，在科学上、在国际或国内具有异常突出地位的遗址以及非常重要的遗址被分别划分为特别保护遗址或高级保护遗址。同一项政令规定了缓冲地带，以减轻可能会危害被保护遗址的不利影响。匈牙利总计有</w:t>
      </w:r>
      <w:r>
        <w:rPr>
          <w:rFonts w:hint="eastAsia"/>
        </w:rPr>
        <w:t>750</w:t>
      </w:r>
      <w:r>
        <w:rPr>
          <w:rFonts w:hint="eastAsia"/>
        </w:rPr>
        <w:t>处受保护考古遗址和约</w:t>
      </w:r>
      <w:r>
        <w:rPr>
          <w:rFonts w:hint="eastAsia"/>
        </w:rPr>
        <w:t>30,000</w:t>
      </w:r>
      <w:r>
        <w:rPr>
          <w:rFonts w:hint="eastAsia"/>
        </w:rPr>
        <w:t>处已知地下考古遗址。</w:t>
      </w:r>
    </w:p>
    <w:p w:rsidR="00000000" w:rsidRDefault="00000000">
      <w:pPr>
        <w:spacing w:after="320"/>
        <w:ind w:firstLine="510"/>
        <w:rPr>
          <w:rFonts w:hint="eastAsia"/>
        </w:rPr>
      </w:pPr>
      <w:r>
        <w:rPr>
          <w:rFonts w:hint="eastAsia"/>
        </w:rPr>
        <w:t xml:space="preserve">688.  </w:t>
      </w:r>
      <w:r>
        <w:rPr>
          <w:rFonts w:hint="eastAsia"/>
        </w:rPr>
        <w:t>法律保护所有收藏在博物馆或档案馆的文物，以及保存在图书馆的具有历史价值的文件。不可替代的文物以及具有高度历史价值和意义的收藏与文物，根据部级政令受到特别保护。</w:t>
      </w:r>
    </w:p>
    <w:p w:rsidR="00000000" w:rsidRDefault="00000000">
      <w:pPr>
        <w:pStyle w:val="Heading4"/>
        <w:rPr>
          <w:rFonts w:eastAsia="KaiTi_GB2312" w:hint="eastAsia"/>
          <w:snapToGrid/>
          <w:spacing w:val="0"/>
          <w:u w:val="none"/>
        </w:rPr>
      </w:pPr>
      <w:r>
        <w:rPr>
          <w:rFonts w:eastAsia="KaiTi_GB2312" w:hint="eastAsia"/>
          <w:snapToGrid/>
          <w:spacing w:val="0"/>
          <w:u w:val="none"/>
        </w:rPr>
        <w:t>不可移动的文化遗产向所有人开放</w:t>
      </w:r>
    </w:p>
    <w:p w:rsidR="00000000" w:rsidRDefault="00000000">
      <w:pPr>
        <w:ind w:firstLine="510"/>
        <w:rPr>
          <w:rFonts w:hint="eastAsia"/>
        </w:rPr>
      </w:pPr>
      <w:r>
        <w:rPr>
          <w:rFonts w:hint="eastAsia"/>
        </w:rPr>
        <w:t xml:space="preserve">689.  </w:t>
      </w:r>
      <w:r>
        <w:rPr>
          <w:rFonts w:hint="eastAsia"/>
        </w:rPr>
        <w:t>人人参与文化生活权在不可移动文化遗产领域的实现办法是，准许进入遗址，提高人民对其价值的认识，鼓励人民参与保护周围遗产。在匈牙利，《关于保护文化遗产的</w:t>
      </w:r>
      <w:r>
        <w:rPr>
          <w:rFonts w:hint="eastAsia"/>
        </w:rPr>
        <w:t>2001</w:t>
      </w:r>
      <w:r>
        <w:rPr>
          <w:rFonts w:hint="eastAsia"/>
        </w:rPr>
        <w:t>年第六十四号法令》第</w:t>
      </w:r>
      <w:r>
        <w:rPr>
          <w:rFonts w:hint="eastAsia"/>
        </w:rPr>
        <w:t>76</w:t>
      </w:r>
      <w:r>
        <w:rPr>
          <w:rFonts w:hint="eastAsia"/>
        </w:rPr>
        <w:t>至第</w:t>
      </w:r>
      <w:r>
        <w:rPr>
          <w:rFonts w:hint="eastAsia"/>
        </w:rPr>
        <w:t>80</w:t>
      </w:r>
      <w:r>
        <w:rPr>
          <w:rFonts w:hint="eastAsia"/>
        </w:rPr>
        <w:t>条保证了准入权。《法令》也规定了应采取哪些步骤，方便残疾人出入不可移动文化遗产场馆。可以通过不同措施实现这些规定：</w:t>
      </w:r>
    </w:p>
    <w:p w:rsidR="00000000" w:rsidRDefault="00000000">
      <w:pPr>
        <w:numPr>
          <w:ilvl w:val="0"/>
          <w:numId w:val="208"/>
        </w:numPr>
        <w:tabs>
          <w:tab w:val="clear" w:pos="1531"/>
        </w:tabs>
        <w:rPr>
          <w:rFonts w:hint="eastAsia"/>
        </w:rPr>
      </w:pPr>
      <w:r>
        <w:rPr>
          <w:rFonts w:hint="eastAsia"/>
        </w:rPr>
        <w:t>在重大出土文物遗址设立特别考古公园或展览场所，展示宣传这些被保存的遗迹和发现成果。全国约有</w:t>
      </w:r>
      <w:r>
        <w:rPr>
          <w:rFonts w:hint="eastAsia"/>
        </w:rPr>
        <w:t>50</w:t>
      </w:r>
      <w:r>
        <w:rPr>
          <w:rFonts w:hint="eastAsia"/>
        </w:rPr>
        <w:t>处这样的场所，作为博物馆运作，每年都有大量的游客参观。</w:t>
      </w:r>
    </w:p>
    <w:p w:rsidR="00000000" w:rsidRDefault="00000000">
      <w:pPr>
        <w:numPr>
          <w:ilvl w:val="0"/>
          <w:numId w:val="208"/>
        </w:numPr>
        <w:rPr>
          <w:rFonts w:hint="eastAsia"/>
        </w:rPr>
      </w:pPr>
      <w:r>
        <w:rPr>
          <w:rFonts w:hint="eastAsia"/>
        </w:rPr>
        <w:t>在路边布置特别的布告牌，指引文化遗产场馆的参观者。</w:t>
      </w:r>
    </w:p>
    <w:p w:rsidR="00000000" w:rsidRDefault="00000000">
      <w:pPr>
        <w:numPr>
          <w:ilvl w:val="0"/>
          <w:numId w:val="208"/>
        </w:numPr>
        <w:rPr>
          <w:rFonts w:hint="eastAsia"/>
        </w:rPr>
      </w:pPr>
      <w:r>
        <w:rPr>
          <w:rFonts w:hint="eastAsia"/>
        </w:rPr>
        <w:t>在吸引了大量观众的城堡和历史性房屋中，组织主题历史活动。</w:t>
      </w:r>
    </w:p>
    <w:p w:rsidR="00000000" w:rsidRDefault="00000000">
      <w:pPr>
        <w:ind w:firstLine="510"/>
        <w:rPr>
          <w:rFonts w:hint="eastAsia"/>
        </w:rPr>
      </w:pPr>
      <w:r>
        <w:rPr>
          <w:rFonts w:hint="eastAsia"/>
        </w:rPr>
        <w:t xml:space="preserve">690.  </w:t>
      </w:r>
      <w:r>
        <w:rPr>
          <w:rFonts w:hint="eastAsia"/>
        </w:rPr>
        <w:t>促进不可移动文化遗产的最重要工具之一是欧洲遗产日，这是欧洲理事会和欧洲联盟共同进行的一项行动计划。这些覆盖全国的活动，使得每年有成千上万人可以进入不可移动文化遗产场所，包括那些除了这个活动不对公众开放的场所。国家文化遗产部在</w:t>
      </w:r>
      <w:r>
        <w:rPr>
          <w:rFonts w:hint="eastAsia"/>
        </w:rPr>
        <w:t>1998</w:t>
      </w:r>
      <w:r>
        <w:rPr>
          <w:rFonts w:hint="eastAsia"/>
        </w:rPr>
        <w:t>年参加了这项活动的组织。该部通过其下属机构国家文化遗产局对活动进行协调，并从那时起一直对活动进行资助。下列数据证明了欧洲遗产日在匈牙利的成功进行。</w:t>
      </w:r>
    </w:p>
    <w:p w:rsidR="00000000" w:rsidRDefault="00000000">
      <w:pPr>
        <w:ind w:firstLine="510"/>
        <w:rPr>
          <w:rFonts w:hint="eastAsia"/>
        </w:rPr>
      </w:pPr>
      <w:r>
        <w:br w:type="page"/>
      </w:r>
    </w:p>
    <w:tbl>
      <w:tblPr>
        <w:tblW w:w="4941"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4"/>
        <w:gridCol w:w="1413"/>
        <w:gridCol w:w="1678"/>
        <w:gridCol w:w="1678"/>
        <w:gridCol w:w="3259"/>
      </w:tblGrid>
      <w:tr w:rsidR="00000000">
        <w:tblPrEx>
          <w:tblCellMar>
            <w:top w:w="0" w:type="dxa"/>
            <w:bottom w:w="0" w:type="dxa"/>
          </w:tblCellMar>
        </w:tblPrEx>
        <w:tc>
          <w:tcPr>
            <w:tcW w:w="722" w:type="pct"/>
            <w:vAlign w:val="center"/>
          </w:tcPr>
          <w:p w:rsidR="00000000" w:rsidRDefault="00000000">
            <w:pPr>
              <w:pStyle w:val="a2"/>
              <w:spacing w:before="120"/>
              <w:ind w:firstLine="278"/>
              <w:jc w:val="center"/>
              <w:rPr>
                <w:rFonts w:ascii="Time New Roman" w:eastAsia="SimHei" w:hAnsi="Time New Roman" w:hint="eastAsia"/>
                <w:lang w:val="en-GB"/>
              </w:rPr>
            </w:pPr>
            <w:r>
              <w:rPr>
                <w:rFonts w:ascii="Time New Roman" w:eastAsia="SimHei" w:hAnsi="Time New Roman" w:hint="eastAsia"/>
                <w:lang w:val="en-GB"/>
              </w:rPr>
              <w:t>年</w:t>
            </w:r>
            <w:r>
              <w:rPr>
                <w:rFonts w:ascii="Time New Roman" w:eastAsia="SimHei" w:hAnsi="Time New Roman"/>
                <w:lang w:val="en-GB"/>
              </w:rPr>
              <w:t xml:space="preserve"> </w:t>
            </w:r>
            <w:r>
              <w:rPr>
                <w:rFonts w:ascii="Time New Roman" w:eastAsia="SimHei" w:hAnsi="Time New Roman" w:hint="eastAsia"/>
                <w:lang w:val="en-GB"/>
              </w:rPr>
              <w:t>度</w:t>
            </w:r>
          </w:p>
        </w:tc>
        <w:tc>
          <w:tcPr>
            <w:tcW w:w="753" w:type="pct"/>
            <w:vAlign w:val="center"/>
          </w:tcPr>
          <w:p w:rsidR="00000000" w:rsidRDefault="00000000">
            <w:pPr>
              <w:pStyle w:val="a2"/>
              <w:spacing w:before="120"/>
              <w:jc w:val="center"/>
              <w:rPr>
                <w:rFonts w:ascii="Time New Roman" w:eastAsia="SimHei" w:hAnsi="Time New Roman" w:hint="eastAsia"/>
                <w:lang w:val="en-GB"/>
              </w:rPr>
            </w:pPr>
            <w:r>
              <w:rPr>
                <w:rFonts w:ascii="Time New Roman" w:eastAsia="SimHei" w:hAnsi="Time New Roman" w:hint="eastAsia"/>
                <w:lang w:val="en-GB"/>
              </w:rPr>
              <w:t>涉及场馆</w:t>
            </w:r>
          </w:p>
        </w:tc>
        <w:tc>
          <w:tcPr>
            <w:tcW w:w="894" w:type="pct"/>
            <w:vAlign w:val="center"/>
          </w:tcPr>
          <w:p w:rsidR="00000000" w:rsidRDefault="00000000">
            <w:pPr>
              <w:pStyle w:val="a2"/>
              <w:spacing w:before="120"/>
              <w:jc w:val="center"/>
              <w:rPr>
                <w:rFonts w:ascii="Time New Roman" w:eastAsia="SimHei" w:hAnsi="Time New Roman" w:hint="eastAsia"/>
                <w:lang w:val="en-GB"/>
              </w:rPr>
            </w:pPr>
            <w:r>
              <w:rPr>
                <w:rFonts w:ascii="Time New Roman" w:eastAsia="SimHei" w:hAnsi="Time New Roman" w:hint="eastAsia"/>
                <w:lang w:val="en-GB"/>
              </w:rPr>
              <w:t>涉及城镇</w:t>
            </w:r>
          </w:p>
        </w:tc>
        <w:tc>
          <w:tcPr>
            <w:tcW w:w="894" w:type="pct"/>
            <w:vAlign w:val="center"/>
          </w:tcPr>
          <w:p w:rsidR="00000000" w:rsidRDefault="00000000">
            <w:pPr>
              <w:pStyle w:val="a2"/>
              <w:spacing w:before="120"/>
              <w:jc w:val="center"/>
              <w:rPr>
                <w:rFonts w:ascii="Time New Roman" w:eastAsia="SimHei" w:hAnsi="Time New Roman" w:hint="eastAsia"/>
                <w:lang w:val="en-GB"/>
              </w:rPr>
            </w:pPr>
            <w:r>
              <w:rPr>
                <w:rFonts w:ascii="Time New Roman" w:eastAsia="SimHei" w:hAnsi="Time New Roman" w:hint="eastAsia"/>
                <w:lang w:val="en-GB"/>
              </w:rPr>
              <w:t>参观总人数</w:t>
            </w:r>
          </w:p>
        </w:tc>
        <w:tc>
          <w:tcPr>
            <w:tcW w:w="1737" w:type="pct"/>
            <w:vAlign w:val="center"/>
          </w:tcPr>
          <w:p w:rsidR="00000000" w:rsidRDefault="00000000">
            <w:pPr>
              <w:pStyle w:val="a2"/>
              <w:spacing w:before="120"/>
              <w:jc w:val="center"/>
              <w:rPr>
                <w:rFonts w:ascii="Time New Roman" w:eastAsia="SimHei" w:hAnsi="Time New Roman" w:hint="eastAsia"/>
                <w:lang w:val="en-GB"/>
              </w:rPr>
            </w:pPr>
            <w:r>
              <w:rPr>
                <w:rFonts w:ascii="Time New Roman" w:eastAsia="SimHei" w:hAnsi="Time New Roman" w:hint="eastAsia"/>
                <w:lang w:val="en-GB"/>
              </w:rPr>
              <w:t>国家文化遗产部提供的资助</w:t>
            </w:r>
          </w:p>
        </w:tc>
      </w:tr>
      <w:tr w:rsidR="00000000">
        <w:tblPrEx>
          <w:tblCellMar>
            <w:top w:w="0" w:type="dxa"/>
            <w:bottom w:w="0" w:type="dxa"/>
          </w:tblCellMar>
        </w:tblPrEx>
        <w:tc>
          <w:tcPr>
            <w:tcW w:w="722" w:type="pct"/>
            <w:vAlign w:val="center"/>
          </w:tcPr>
          <w:p w:rsidR="00000000" w:rsidRDefault="00000000">
            <w:pPr>
              <w:pStyle w:val="a2"/>
              <w:ind w:left="170"/>
              <w:jc w:val="center"/>
              <w:rPr>
                <w:lang w:val="de-DE"/>
              </w:rPr>
            </w:pPr>
            <w:r>
              <w:rPr>
                <w:lang w:val="de-DE"/>
              </w:rPr>
              <w:t>1998</w:t>
            </w:r>
          </w:p>
        </w:tc>
        <w:tc>
          <w:tcPr>
            <w:tcW w:w="753" w:type="pct"/>
            <w:vAlign w:val="center"/>
          </w:tcPr>
          <w:p w:rsidR="00000000" w:rsidRDefault="00000000">
            <w:pPr>
              <w:pStyle w:val="a2"/>
              <w:jc w:val="center"/>
              <w:rPr>
                <w:lang w:val="de-DE"/>
              </w:rPr>
            </w:pPr>
          </w:p>
        </w:tc>
        <w:tc>
          <w:tcPr>
            <w:tcW w:w="894" w:type="pct"/>
            <w:vAlign w:val="center"/>
          </w:tcPr>
          <w:p w:rsidR="00000000" w:rsidRDefault="00000000">
            <w:pPr>
              <w:pStyle w:val="a2"/>
              <w:jc w:val="center"/>
              <w:rPr>
                <w:lang w:val="de-DE"/>
              </w:rPr>
            </w:pPr>
          </w:p>
        </w:tc>
        <w:tc>
          <w:tcPr>
            <w:tcW w:w="894" w:type="pct"/>
            <w:vAlign w:val="center"/>
          </w:tcPr>
          <w:p w:rsidR="00000000" w:rsidRDefault="00000000">
            <w:pPr>
              <w:pStyle w:val="a2"/>
              <w:rPr>
                <w:lang w:val="de-DE"/>
              </w:rPr>
            </w:pPr>
          </w:p>
        </w:tc>
        <w:tc>
          <w:tcPr>
            <w:tcW w:w="1737" w:type="pct"/>
            <w:vAlign w:val="center"/>
          </w:tcPr>
          <w:p w:rsidR="00000000" w:rsidRDefault="00000000">
            <w:pPr>
              <w:pStyle w:val="a2"/>
              <w:rPr>
                <w:lang w:val="de-DE"/>
              </w:rPr>
            </w:pPr>
          </w:p>
        </w:tc>
      </w:tr>
      <w:tr w:rsidR="00000000">
        <w:tblPrEx>
          <w:tblCellMar>
            <w:top w:w="0" w:type="dxa"/>
            <w:bottom w:w="0" w:type="dxa"/>
          </w:tblCellMar>
        </w:tblPrEx>
        <w:tc>
          <w:tcPr>
            <w:tcW w:w="722" w:type="pct"/>
            <w:vAlign w:val="center"/>
          </w:tcPr>
          <w:p w:rsidR="00000000" w:rsidRDefault="00000000">
            <w:pPr>
              <w:pStyle w:val="a2"/>
              <w:ind w:left="170"/>
              <w:jc w:val="center"/>
              <w:rPr>
                <w:lang w:val="de-DE"/>
              </w:rPr>
            </w:pPr>
            <w:r>
              <w:rPr>
                <w:lang w:val="de-DE"/>
              </w:rPr>
              <w:t>1999</w:t>
            </w:r>
          </w:p>
        </w:tc>
        <w:tc>
          <w:tcPr>
            <w:tcW w:w="753" w:type="pct"/>
            <w:vAlign w:val="center"/>
          </w:tcPr>
          <w:p w:rsidR="00000000" w:rsidRDefault="00000000">
            <w:pPr>
              <w:pStyle w:val="a2"/>
              <w:jc w:val="center"/>
              <w:rPr>
                <w:lang w:val="de-DE"/>
              </w:rPr>
            </w:pPr>
            <w:r>
              <w:rPr>
                <w:lang w:val="de-DE"/>
              </w:rPr>
              <w:t>279</w:t>
            </w:r>
          </w:p>
        </w:tc>
        <w:tc>
          <w:tcPr>
            <w:tcW w:w="894" w:type="pct"/>
            <w:vAlign w:val="center"/>
          </w:tcPr>
          <w:p w:rsidR="00000000" w:rsidRDefault="00000000">
            <w:pPr>
              <w:pStyle w:val="a2"/>
              <w:jc w:val="center"/>
              <w:rPr>
                <w:lang w:val="de-DE"/>
              </w:rPr>
            </w:pPr>
          </w:p>
        </w:tc>
        <w:tc>
          <w:tcPr>
            <w:tcW w:w="894" w:type="pct"/>
            <w:vAlign w:val="center"/>
          </w:tcPr>
          <w:p w:rsidR="00000000" w:rsidRDefault="00000000">
            <w:pPr>
              <w:pStyle w:val="a2"/>
              <w:ind w:right="397"/>
              <w:jc w:val="right"/>
              <w:rPr>
                <w:lang w:val="de-DE"/>
              </w:rPr>
            </w:pPr>
            <w:r>
              <w:rPr>
                <w:lang w:val="de-DE"/>
              </w:rPr>
              <w:t>66,000</w:t>
            </w:r>
          </w:p>
        </w:tc>
        <w:tc>
          <w:tcPr>
            <w:tcW w:w="1737" w:type="pct"/>
            <w:vAlign w:val="center"/>
          </w:tcPr>
          <w:p w:rsidR="00000000" w:rsidRDefault="00000000">
            <w:pPr>
              <w:pStyle w:val="a2"/>
              <w:ind w:right="397"/>
              <w:jc w:val="right"/>
              <w:rPr>
                <w:lang w:val="de-DE"/>
              </w:rPr>
            </w:pPr>
            <w:r>
              <w:rPr>
                <w:lang w:val="de-DE"/>
              </w:rPr>
              <w:t>1,000,000</w:t>
            </w:r>
            <w:r>
              <w:rPr>
                <w:lang w:val="de-DE"/>
              </w:rPr>
              <w:t>福林</w:t>
            </w:r>
          </w:p>
        </w:tc>
      </w:tr>
      <w:tr w:rsidR="00000000">
        <w:tblPrEx>
          <w:tblCellMar>
            <w:top w:w="0" w:type="dxa"/>
            <w:bottom w:w="0" w:type="dxa"/>
          </w:tblCellMar>
        </w:tblPrEx>
        <w:tc>
          <w:tcPr>
            <w:tcW w:w="722" w:type="pct"/>
            <w:vAlign w:val="center"/>
          </w:tcPr>
          <w:p w:rsidR="00000000" w:rsidRDefault="00000000">
            <w:pPr>
              <w:pStyle w:val="a2"/>
              <w:ind w:left="170"/>
              <w:jc w:val="center"/>
              <w:rPr>
                <w:lang w:val="de-DE"/>
              </w:rPr>
            </w:pPr>
            <w:r>
              <w:rPr>
                <w:lang w:val="de-DE"/>
              </w:rPr>
              <w:t>2000</w:t>
            </w:r>
          </w:p>
        </w:tc>
        <w:tc>
          <w:tcPr>
            <w:tcW w:w="753" w:type="pct"/>
            <w:vAlign w:val="center"/>
          </w:tcPr>
          <w:p w:rsidR="00000000" w:rsidRDefault="00000000">
            <w:pPr>
              <w:pStyle w:val="a2"/>
              <w:jc w:val="center"/>
              <w:rPr>
                <w:lang w:val="de-DE"/>
              </w:rPr>
            </w:pPr>
            <w:r>
              <w:rPr>
                <w:lang w:val="de-DE"/>
              </w:rPr>
              <w:t>250</w:t>
            </w:r>
          </w:p>
        </w:tc>
        <w:tc>
          <w:tcPr>
            <w:tcW w:w="894" w:type="pct"/>
            <w:vAlign w:val="center"/>
          </w:tcPr>
          <w:p w:rsidR="00000000" w:rsidRDefault="00000000">
            <w:pPr>
              <w:pStyle w:val="a2"/>
              <w:jc w:val="center"/>
              <w:rPr>
                <w:lang w:val="de-DE"/>
              </w:rPr>
            </w:pPr>
          </w:p>
        </w:tc>
        <w:tc>
          <w:tcPr>
            <w:tcW w:w="894" w:type="pct"/>
            <w:vAlign w:val="center"/>
          </w:tcPr>
          <w:p w:rsidR="00000000" w:rsidRDefault="00000000">
            <w:pPr>
              <w:pStyle w:val="a2"/>
              <w:ind w:right="397"/>
              <w:jc w:val="right"/>
              <w:rPr>
                <w:lang w:val="de-DE"/>
              </w:rPr>
            </w:pPr>
            <w:r>
              <w:rPr>
                <w:lang w:val="de-DE"/>
              </w:rPr>
              <w:t>72,000</w:t>
            </w:r>
          </w:p>
        </w:tc>
        <w:tc>
          <w:tcPr>
            <w:tcW w:w="1737" w:type="pct"/>
            <w:vAlign w:val="center"/>
          </w:tcPr>
          <w:p w:rsidR="00000000" w:rsidRDefault="00000000">
            <w:pPr>
              <w:pStyle w:val="a2"/>
              <w:ind w:right="397"/>
              <w:jc w:val="right"/>
              <w:rPr>
                <w:lang w:val="de-DE"/>
              </w:rPr>
            </w:pPr>
            <w:r>
              <w:rPr>
                <w:lang w:val="de-DE"/>
              </w:rPr>
              <w:t>1,300,000</w:t>
            </w:r>
            <w:r>
              <w:rPr>
                <w:lang w:val="de-DE"/>
              </w:rPr>
              <w:t>福林</w:t>
            </w:r>
          </w:p>
        </w:tc>
      </w:tr>
      <w:tr w:rsidR="00000000">
        <w:tblPrEx>
          <w:tblCellMar>
            <w:top w:w="0" w:type="dxa"/>
            <w:bottom w:w="0" w:type="dxa"/>
          </w:tblCellMar>
        </w:tblPrEx>
        <w:tc>
          <w:tcPr>
            <w:tcW w:w="722" w:type="pct"/>
            <w:vAlign w:val="center"/>
          </w:tcPr>
          <w:p w:rsidR="00000000" w:rsidRDefault="00000000">
            <w:pPr>
              <w:pStyle w:val="a2"/>
              <w:ind w:left="170"/>
              <w:jc w:val="center"/>
              <w:rPr>
                <w:lang w:val="de-DE"/>
              </w:rPr>
            </w:pPr>
            <w:r>
              <w:rPr>
                <w:lang w:val="de-DE"/>
              </w:rPr>
              <w:t>2001</w:t>
            </w:r>
          </w:p>
        </w:tc>
        <w:tc>
          <w:tcPr>
            <w:tcW w:w="753" w:type="pct"/>
            <w:vAlign w:val="center"/>
          </w:tcPr>
          <w:p w:rsidR="00000000" w:rsidRDefault="00000000">
            <w:pPr>
              <w:pStyle w:val="a2"/>
              <w:jc w:val="center"/>
              <w:rPr>
                <w:lang w:val="de-DE"/>
              </w:rPr>
            </w:pPr>
            <w:r>
              <w:rPr>
                <w:lang w:val="de-DE"/>
              </w:rPr>
              <w:t>336</w:t>
            </w:r>
          </w:p>
        </w:tc>
        <w:tc>
          <w:tcPr>
            <w:tcW w:w="894" w:type="pct"/>
            <w:vAlign w:val="center"/>
          </w:tcPr>
          <w:p w:rsidR="00000000" w:rsidRDefault="00000000">
            <w:pPr>
              <w:pStyle w:val="a2"/>
              <w:jc w:val="center"/>
              <w:rPr>
                <w:lang w:val="de-DE"/>
              </w:rPr>
            </w:pPr>
          </w:p>
        </w:tc>
        <w:tc>
          <w:tcPr>
            <w:tcW w:w="894" w:type="pct"/>
            <w:vAlign w:val="center"/>
          </w:tcPr>
          <w:p w:rsidR="00000000" w:rsidRDefault="00000000">
            <w:pPr>
              <w:pStyle w:val="a2"/>
              <w:ind w:right="397"/>
              <w:jc w:val="right"/>
              <w:rPr>
                <w:lang w:val="de-DE"/>
              </w:rPr>
            </w:pPr>
            <w:r>
              <w:rPr>
                <w:lang w:val="de-DE"/>
              </w:rPr>
              <w:t>75,000</w:t>
            </w:r>
          </w:p>
        </w:tc>
        <w:tc>
          <w:tcPr>
            <w:tcW w:w="1737" w:type="pct"/>
            <w:vAlign w:val="center"/>
          </w:tcPr>
          <w:p w:rsidR="00000000" w:rsidRDefault="00000000">
            <w:pPr>
              <w:pStyle w:val="a2"/>
              <w:ind w:right="397"/>
              <w:jc w:val="right"/>
              <w:rPr>
                <w:lang w:val="de-DE"/>
              </w:rPr>
            </w:pPr>
            <w:r>
              <w:rPr>
                <w:lang w:val="de-DE"/>
              </w:rPr>
              <w:t>3,700,000</w:t>
            </w:r>
            <w:r>
              <w:rPr>
                <w:lang w:val="de-DE"/>
              </w:rPr>
              <w:t>福林</w:t>
            </w:r>
          </w:p>
        </w:tc>
      </w:tr>
      <w:tr w:rsidR="00000000">
        <w:tblPrEx>
          <w:tblCellMar>
            <w:top w:w="0" w:type="dxa"/>
            <w:bottom w:w="0" w:type="dxa"/>
          </w:tblCellMar>
        </w:tblPrEx>
        <w:tc>
          <w:tcPr>
            <w:tcW w:w="722" w:type="pct"/>
            <w:vAlign w:val="center"/>
          </w:tcPr>
          <w:p w:rsidR="00000000" w:rsidRDefault="00000000">
            <w:pPr>
              <w:pStyle w:val="a2"/>
              <w:ind w:left="170"/>
              <w:jc w:val="center"/>
              <w:rPr>
                <w:lang w:val="de-DE"/>
              </w:rPr>
            </w:pPr>
            <w:r>
              <w:rPr>
                <w:lang w:val="de-DE"/>
              </w:rPr>
              <w:t>2002</w:t>
            </w:r>
          </w:p>
        </w:tc>
        <w:tc>
          <w:tcPr>
            <w:tcW w:w="753" w:type="pct"/>
            <w:vAlign w:val="center"/>
          </w:tcPr>
          <w:p w:rsidR="00000000" w:rsidRDefault="00000000">
            <w:pPr>
              <w:pStyle w:val="a2"/>
              <w:jc w:val="center"/>
              <w:rPr>
                <w:lang w:val="de-DE"/>
              </w:rPr>
            </w:pPr>
            <w:r>
              <w:rPr>
                <w:lang w:val="de-DE"/>
              </w:rPr>
              <w:t>440</w:t>
            </w:r>
          </w:p>
        </w:tc>
        <w:tc>
          <w:tcPr>
            <w:tcW w:w="894" w:type="pct"/>
            <w:vAlign w:val="center"/>
          </w:tcPr>
          <w:p w:rsidR="00000000" w:rsidRDefault="00000000">
            <w:pPr>
              <w:pStyle w:val="a2"/>
              <w:jc w:val="center"/>
              <w:rPr>
                <w:lang w:val="de-DE"/>
              </w:rPr>
            </w:pPr>
            <w:r>
              <w:rPr>
                <w:lang w:val="de-DE"/>
              </w:rPr>
              <w:t>160</w:t>
            </w:r>
          </w:p>
        </w:tc>
        <w:tc>
          <w:tcPr>
            <w:tcW w:w="894" w:type="pct"/>
            <w:vAlign w:val="center"/>
          </w:tcPr>
          <w:p w:rsidR="00000000" w:rsidRDefault="00000000">
            <w:pPr>
              <w:pStyle w:val="a2"/>
              <w:ind w:right="397"/>
              <w:jc w:val="right"/>
              <w:rPr>
                <w:lang w:val="de-DE"/>
              </w:rPr>
            </w:pPr>
            <w:r>
              <w:rPr>
                <w:lang w:val="de-DE"/>
              </w:rPr>
              <w:t>110,000</w:t>
            </w:r>
          </w:p>
        </w:tc>
        <w:tc>
          <w:tcPr>
            <w:tcW w:w="1737" w:type="pct"/>
            <w:vAlign w:val="center"/>
          </w:tcPr>
          <w:p w:rsidR="00000000" w:rsidRDefault="00000000">
            <w:pPr>
              <w:pStyle w:val="a2"/>
              <w:ind w:right="397"/>
              <w:jc w:val="right"/>
              <w:rPr>
                <w:lang w:val="de-DE"/>
              </w:rPr>
            </w:pPr>
            <w:r>
              <w:rPr>
                <w:lang w:val="de-DE"/>
              </w:rPr>
              <w:t>3,700,000</w:t>
            </w:r>
            <w:r>
              <w:rPr>
                <w:lang w:val="en-GB"/>
              </w:rPr>
              <w:t>福林</w:t>
            </w:r>
          </w:p>
        </w:tc>
      </w:tr>
      <w:tr w:rsidR="00000000">
        <w:tblPrEx>
          <w:tblCellMar>
            <w:top w:w="0" w:type="dxa"/>
            <w:bottom w:w="0" w:type="dxa"/>
          </w:tblCellMar>
        </w:tblPrEx>
        <w:tc>
          <w:tcPr>
            <w:tcW w:w="722" w:type="pct"/>
            <w:vAlign w:val="center"/>
          </w:tcPr>
          <w:p w:rsidR="00000000" w:rsidRDefault="00000000">
            <w:pPr>
              <w:pStyle w:val="a2"/>
              <w:ind w:left="170"/>
              <w:jc w:val="center"/>
              <w:rPr>
                <w:lang w:val="en-GB"/>
              </w:rPr>
            </w:pPr>
            <w:r>
              <w:rPr>
                <w:lang w:val="en-GB"/>
              </w:rPr>
              <w:t>2003</w:t>
            </w:r>
          </w:p>
        </w:tc>
        <w:tc>
          <w:tcPr>
            <w:tcW w:w="753" w:type="pct"/>
            <w:vAlign w:val="center"/>
          </w:tcPr>
          <w:p w:rsidR="00000000" w:rsidRDefault="00000000">
            <w:pPr>
              <w:pStyle w:val="a2"/>
              <w:jc w:val="center"/>
              <w:rPr>
                <w:lang w:val="en-GB"/>
              </w:rPr>
            </w:pPr>
            <w:r>
              <w:rPr>
                <w:lang w:val="en-GB"/>
              </w:rPr>
              <w:t>350</w:t>
            </w:r>
          </w:p>
        </w:tc>
        <w:tc>
          <w:tcPr>
            <w:tcW w:w="894" w:type="pct"/>
            <w:vAlign w:val="center"/>
          </w:tcPr>
          <w:p w:rsidR="00000000" w:rsidRDefault="00000000">
            <w:pPr>
              <w:pStyle w:val="a2"/>
              <w:jc w:val="center"/>
              <w:rPr>
                <w:lang w:val="en-GB"/>
              </w:rPr>
            </w:pPr>
            <w:r>
              <w:rPr>
                <w:lang w:val="en-GB"/>
              </w:rPr>
              <w:t>163</w:t>
            </w:r>
          </w:p>
        </w:tc>
        <w:tc>
          <w:tcPr>
            <w:tcW w:w="894" w:type="pct"/>
            <w:vAlign w:val="center"/>
          </w:tcPr>
          <w:p w:rsidR="00000000" w:rsidRDefault="00000000">
            <w:pPr>
              <w:pStyle w:val="a2"/>
              <w:ind w:right="397"/>
              <w:jc w:val="right"/>
              <w:rPr>
                <w:lang w:val="en-GB"/>
              </w:rPr>
            </w:pPr>
            <w:r>
              <w:rPr>
                <w:lang w:val="en-GB"/>
              </w:rPr>
              <w:t>120,000</w:t>
            </w:r>
          </w:p>
        </w:tc>
        <w:tc>
          <w:tcPr>
            <w:tcW w:w="1737" w:type="pct"/>
            <w:vAlign w:val="center"/>
          </w:tcPr>
          <w:p w:rsidR="00000000" w:rsidRDefault="00000000">
            <w:pPr>
              <w:pStyle w:val="a2"/>
              <w:ind w:right="397"/>
              <w:jc w:val="right"/>
              <w:rPr>
                <w:lang w:val="en-GB"/>
              </w:rPr>
            </w:pPr>
            <w:r>
              <w:rPr>
                <w:lang w:val="en-GB"/>
              </w:rPr>
              <w:t>4,100,000</w:t>
            </w:r>
            <w:r>
              <w:rPr>
                <w:lang w:val="en-GB"/>
              </w:rPr>
              <w:t>福林</w:t>
            </w:r>
          </w:p>
        </w:tc>
      </w:tr>
      <w:tr w:rsidR="00000000">
        <w:tblPrEx>
          <w:tblCellMar>
            <w:top w:w="0" w:type="dxa"/>
            <w:bottom w:w="0" w:type="dxa"/>
          </w:tblCellMar>
        </w:tblPrEx>
        <w:trPr>
          <w:trHeight w:val="442"/>
        </w:trPr>
        <w:tc>
          <w:tcPr>
            <w:tcW w:w="722" w:type="pct"/>
            <w:vAlign w:val="center"/>
          </w:tcPr>
          <w:p w:rsidR="00000000" w:rsidRDefault="00000000">
            <w:pPr>
              <w:pStyle w:val="a2"/>
              <w:ind w:left="170"/>
              <w:jc w:val="center"/>
              <w:rPr>
                <w:rFonts w:ascii="Time New Roman" w:eastAsia="SimHei" w:hAnsi="Time New Roman" w:hint="eastAsia"/>
                <w:lang w:val="en-GB"/>
              </w:rPr>
            </w:pPr>
            <w:r>
              <w:rPr>
                <w:rFonts w:ascii="Time New Roman" w:eastAsia="SimHei" w:hAnsi="Time New Roman" w:hint="eastAsia"/>
                <w:lang w:val="en-GB"/>
              </w:rPr>
              <w:t>总</w:t>
            </w:r>
            <w:r>
              <w:rPr>
                <w:rFonts w:ascii="Time New Roman" w:eastAsia="SimHei" w:hAnsi="Time New Roman" w:hint="eastAsia"/>
                <w:lang w:val="en-GB"/>
              </w:rPr>
              <w:t xml:space="preserve">  </w:t>
            </w:r>
            <w:r>
              <w:rPr>
                <w:rFonts w:ascii="Time New Roman" w:eastAsia="SimHei" w:hAnsi="Time New Roman" w:hint="eastAsia"/>
                <w:lang w:val="en-GB"/>
              </w:rPr>
              <w:t>计</w:t>
            </w:r>
          </w:p>
        </w:tc>
        <w:tc>
          <w:tcPr>
            <w:tcW w:w="753" w:type="pct"/>
            <w:vAlign w:val="center"/>
          </w:tcPr>
          <w:p w:rsidR="00000000" w:rsidRDefault="00000000">
            <w:pPr>
              <w:pStyle w:val="a2"/>
              <w:jc w:val="center"/>
              <w:rPr>
                <w:lang w:val="en-GB"/>
              </w:rPr>
            </w:pPr>
            <w:r>
              <w:rPr>
                <w:lang w:val="en-GB"/>
              </w:rPr>
              <w:t>1</w:t>
            </w:r>
            <w:r>
              <w:rPr>
                <w:rFonts w:hint="eastAsia"/>
                <w:lang w:val="en-GB"/>
              </w:rPr>
              <w:t>,</w:t>
            </w:r>
            <w:r>
              <w:rPr>
                <w:lang w:val="en-GB"/>
              </w:rPr>
              <w:t>655</w:t>
            </w:r>
          </w:p>
        </w:tc>
        <w:tc>
          <w:tcPr>
            <w:tcW w:w="894" w:type="pct"/>
            <w:vAlign w:val="center"/>
          </w:tcPr>
          <w:p w:rsidR="00000000" w:rsidRDefault="00000000">
            <w:pPr>
              <w:pStyle w:val="a2"/>
              <w:jc w:val="center"/>
              <w:rPr>
                <w:lang w:val="en-GB"/>
              </w:rPr>
            </w:pPr>
            <w:r>
              <w:rPr>
                <w:lang w:val="en-GB"/>
              </w:rPr>
              <w:t>323</w:t>
            </w:r>
          </w:p>
        </w:tc>
        <w:tc>
          <w:tcPr>
            <w:tcW w:w="894" w:type="pct"/>
            <w:vAlign w:val="center"/>
          </w:tcPr>
          <w:p w:rsidR="00000000" w:rsidRDefault="00000000">
            <w:pPr>
              <w:pStyle w:val="a2"/>
              <w:ind w:right="397"/>
              <w:jc w:val="right"/>
              <w:rPr>
                <w:lang w:val="en-GB"/>
              </w:rPr>
            </w:pPr>
            <w:r>
              <w:rPr>
                <w:lang w:val="en-GB"/>
              </w:rPr>
              <w:t>443,000</w:t>
            </w:r>
          </w:p>
        </w:tc>
        <w:tc>
          <w:tcPr>
            <w:tcW w:w="1737" w:type="pct"/>
            <w:vAlign w:val="center"/>
          </w:tcPr>
          <w:p w:rsidR="00000000" w:rsidRDefault="00000000">
            <w:pPr>
              <w:pStyle w:val="a2"/>
              <w:ind w:right="397"/>
              <w:jc w:val="right"/>
              <w:rPr>
                <w:lang w:val="en-GB"/>
              </w:rPr>
            </w:pPr>
            <w:r>
              <w:rPr>
                <w:lang w:val="en-GB"/>
              </w:rPr>
              <w:t>13,800,000</w:t>
            </w:r>
            <w:r>
              <w:rPr>
                <w:lang w:val="en-GB"/>
              </w:rPr>
              <w:t>福林</w:t>
            </w:r>
            <w:r>
              <w:rPr>
                <w:lang w:val="en-GB"/>
              </w:rPr>
              <w:fldChar w:fldCharType="begin"/>
            </w:r>
            <w:r>
              <w:rPr>
                <w:lang w:val="en-GB"/>
              </w:rPr>
              <w:instrText xml:space="preserve"> =SUM(ABOVE) \# "# ##0" </w:instrText>
            </w:r>
            <w:r>
              <w:rPr>
                <w:lang w:val="en-GB"/>
              </w:rPr>
              <w:fldChar w:fldCharType="end"/>
            </w:r>
          </w:p>
        </w:tc>
      </w:tr>
    </w:tbl>
    <w:p w:rsidR="00000000" w:rsidRDefault="00000000">
      <w:pPr>
        <w:ind w:firstLine="510"/>
        <w:rPr>
          <w:rFonts w:hint="eastAsia"/>
        </w:rPr>
      </w:pPr>
    </w:p>
    <w:p w:rsidR="00000000" w:rsidRDefault="00000000">
      <w:pPr>
        <w:spacing w:after="320"/>
        <w:ind w:firstLine="510"/>
        <w:rPr>
          <w:rFonts w:hint="eastAsia"/>
        </w:rPr>
      </w:pPr>
      <w:r>
        <w:rPr>
          <w:rFonts w:hint="eastAsia"/>
        </w:rPr>
        <w:t xml:space="preserve">691.  </w:t>
      </w:r>
      <w:r>
        <w:rPr>
          <w:rFonts w:hint="eastAsia"/>
        </w:rPr>
        <w:t>该部也负责协调和资助组织一项长达一年的欧洲活动：由欧洲理事会发起的共同遗产活动，从</w:t>
      </w:r>
      <w:r>
        <w:rPr>
          <w:rFonts w:hint="eastAsia"/>
        </w:rPr>
        <w:t>1999</w:t>
      </w:r>
      <w:r>
        <w:rPr>
          <w:rFonts w:hint="eastAsia"/>
        </w:rPr>
        <w:t>年</w:t>
      </w:r>
      <w:r>
        <w:rPr>
          <w:rFonts w:hint="eastAsia"/>
        </w:rPr>
        <w:t>9</w:t>
      </w:r>
      <w:r>
        <w:rPr>
          <w:rFonts w:hint="eastAsia"/>
        </w:rPr>
        <w:t>月一直持续到</w:t>
      </w:r>
      <w:r>
        <w:rPr>
          <w:rFonts w:hint="eastAsia"/>
        </w:rPr>
        <w:t>2000</w:t>
      </w:r>
      <w:r>
        <w:rPr>
          <w:rFonts w:hint="eastAsia"/>
        </w:rPr>
        <w:t>年</w:t>
      </w:r>
      <w:r>
        <w:rPr>
          <w:rFonts w:hint="eastAsia"/>
        </w:rPr>
        <w:t>9</w:t>
      </w:r>
      <w:r>
        <w:rPr>
          <w:rFonts w:hint="eastAsia"/>
        </w:rPr>
        <w:t>月。匈牙利是该项活动中最积极的国家之一。全国各地开展了大范围的文化活动和方案，其中很多都超越了国界。这些方案涉及人数众多，因此在很大程度上促进了人们提高对周围文化遗产财产的认识。国家文化遗产部每年从预算中拨出资金用于促进和文化遗产有关的文化活动。每年用于此项目的金额在</w:t>
      </w:r>
      <w:r>
        <w:rPr>
          <w:rFonts w:hint="eastAsia"/>
        </w:rPr>
        <w:t>1,000</w:t>
      </w:r>
      <w:r>
        <w:rPr>
          <w:rFonts w:hint="eastAsia"/>
        </w:rPr>
        <w:t>万福林内。</w:t>
      </w:r>
    </w:p>
    <w:p w:rsidR="00000000" w:rsidRDefault="00000000">
      <w:pPr>
        <w:pStyle w:val="Heading4"/>
        <w:rPr>
          <w:rFonts w:eastAsia="KaiTi_GB2312" w:hint="eastAsia"/>
          <w:snapToGrid/>
          <w:spacing w:val="0"/>
          <w:u w:val="none"/>
        </w:rPr>
      </w:pPr>
      <w:r>
        <w:rPr>
          <w:rFonts w:eastAsia="KaiTi_GB2312" w:hint="eastAsia"/>
          <w:snapToGrid/>
          <w:spacing w:val="0"/>
          <w:u w:val="none"/>
        </w:rPr>
        <w:t>为保存不可移动的文化遗产提供资金</w:t>
      </w:r>
    </w:p>
    <w:p w:rsidR="00000000" w:rsidRDefault="00000000">
      <w:pPr>
        <w:ind w:firstLine="510"/>
        <w:rPr>
          <w:rFonts w:hint="eastAsia"/>
        </w:rPr>
      </w:pPr>
      <w:r>
        <w:rPr>
          <w:rFonts w:hint="eastAsia"/>
        </w:rPr>
        <w:t xml:space="preserve">692.  </w:t>
      </w:r>
      <w:r>
        <w:rPr>
          <w:rFonts w:hint="eastAsia"/>
        </w:rPr>
        <w:t>匈牙利盖洛普研究所进行的一项调查表明，大众充分认识到了对具有高度历史价值的文物予以特别关注的重要性，以便为下一代保护好这些文物。被调查人员中的大多数</w:t>
      </w:r>
      <w:r>
        <w:rPr>
          <w:rFonts w:hint="eastAsia"/>
        </w:rPr>
        <w:t>(72%)</w:t>
      </w:r>
      <w:r>
        <w:rPr>
          <w:rFonts w:hint="eastAsia"/>
        </w:rPr>
        <w:t>认为遗址文物一般都正处于年久失修的状态。同时，他们</w:t>
      </w:r>
      <w:r>
        <w:rPr>
          <w:rFonts w:hint="eastAsia"/>
        </w:rPr>
        <w:t>(42%)</w:t>
      </w:r>
      <w:r>
        <w:rPr>
          <w:rFonts w:hint="eastAsia"/>
        </w:rPr>
        <w:t>认为国家有责任保证为维护和修复这些被保护遗产提供资金。</w:t>
      </w:r>
    </w:p>
    <w:p w:rsidR="00000000" w:rsidRDefault="00000000">
      <w:pPr>
        <w:ind w:firstLine="510"/>
        <w:rPr>
          <w:rFonts w:hint="eastAsia"/>
        </w:rPr>
      </w:pPr>
      <w:r>
        <w:rPr>
          <w:rFonts w:hint="eastAsia"/>
        </w:rPr>
        <w:t xml:space="preserve">693.  </w:t>
      </w:r>
      <w:r>
        <w:rPr>
          <w:rFonts w:hint="eastAsia"/>
        </w:rPr>
        <w:t>匈牙利为保卫不可移动文化遗产建立了不同渠道来提供国家资助。维护国有不可移动的文化遗产所需的资金通过财政资产理事会进行分配，该理事会代表国家行使所有权，或者通过国家信托公司进行，这是最大国有历史性住宅的租赁人。在国家文化遗产部的年度预算中，也有指定资金用于保卫不可移动文化遗产。</w:t>
      </w:r>
    </w:p>
    <w:p w:rsidR="00000000" w:rsidRDefault="00000000">
      <w:pPr>
        <w:ind w:firstLine="510"/>
        <w:rPr>
          <w:rFonts w:hint="eastAsia"/>
        </w:rPr>
      </w:pPr>
      <w:r>
        <w:rPr>
          <w:rFonts w:hint="eastAsia"/>
        </w:rPr>
        <w:t>694.  1999</w:t>
      </w:r>
      <w:r>
        <w:rPr>
          <w:rFonts w:hint="eastAsia"/>
        </w:rPr>
        <w:t>年，该部发动了一项重大计划</w:t>
      </w:r>
      <w:r>
        <w:rPr>
          <w:rFonts w:hint="eastAsia"/>
          <w:spacing w:val="-50"/>
        </w:rPr>
        <w:t>―</w:t>
      </w:r>
      <w:r>
        <w:rPr>
          <w:rFonts w:hint="eastAsia"/>
        </w:rPr>
        <w:t>―国家文化遗产方案，旨在为不可移动的文化遗产的所有者提供资助，以便增进保存和翻新行动。在这个以年度运作的方案框架内，不同类型的文物、历史性住宅以及历史性花园、公园或公墓的所有者或受托者可以申请两倍于他们手头资金的金额用于修复，以及考古遗址的注册、研究和挖掘。</w:t>
      </w:r>
    </w:p>
    <w:p w:rsidR="00000000" w:rsidRDefault="00000000">
      <w:pPr>
        <w:ind w:firstLine="510"/>
        <w:rPr>
          <w:rFonts w:hint="eastAsia"/>
        </w:rPr>
      </w:pPr>
      <w:r>
        <w:rPr>
          <w:rFonts w:hint="eastAsia"/>
        </w:rPr>
        <w:t xml:space="preserve">695.  </w:t>
      </w:r>
      <w:r>
        <w:rPr>
          <w:rFonts w:hint="eastAsia"/>
        </w:rPr>
        <w:t>国家文化遗产方案的一部分资金用于翻修最不发达州境内的遗产。下表列示了对所涉每个州的支助。</w:t>
      </w:r>
    </w:p>
    <w:p w:rsidR="00000000" w:rsidRDefault="00000000">
      <w:pPr>
        <w:pStyle w:val="a6"/>
        <w:ind w:firstLine="510"/>
        <w:rPr>
          <w:rFonts w:eastAsia="SimSun" w:hint="eastAsia"/>
        </w:rPr>
      </w:pPr>
    </w:p>
    <w:tbl>
      <w:tblPr>
        <w:tblW w:w="949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61"/>
        <w:gridCol w:w="1271"/>
        <w:gridCol w:w="1272"/>
        <w:gridCol w:w="1272"/>
        <w:gridCol w:w="1272"/>
        <w:gridCol w:w="1272"/>
        <w:gridCol w:w="1272"/>
      </w:tblGrid>
      <w:tr w:rsidR="00000000">
        <w:tblPrEx>
          <w:tblCellMar>
            <w:top w:w="0" w:type="dxa"/>
            <w:bottom w:w="0" w:type="dxa"/>
          </w:tblCellMar>
        </w:tblPrEx>
        <w:tc>
          <w:tcPr>
            <w:tcW w:w="1660" w:type="dxa"/>
            <w:vAlign w:val="center"/>
          </w:tcPr>
          <w:p w:rsidR="00000000" w:rsidRDefault="00000000">
            <w:pPr>
              <w:pStyle w:val="a2"/>
              <w:spacing w:line="216" w:lineRule="auto"/>
              <w:jc w:val="center"/>
              <w:rPr>
                <w:rFonts w:ascii="Time New Roman" w:eastAsia="SimHei" w:hAnsi="Time New Roman" w:hint="eastAsia"/>
                <w:spacing w:val="-6"/>
                <w:lang w:val="en-GB"/>
              </w:rPr>
            </w:pPr>
            <w:r>
              <w:rPr>
                <w:rFonts w:ascii="Time New Roman" w:eastAsia="SimHei" w:hAnsi="Time New Roman" w:hint="eastAsia"/>
                <w:spacing w:val="-6"/>
                <w:lang w:val="en-GB"/>
              </w:rPr>
              <w:t>州</w:t>
            </w:r>
          </w:p>
        </w:tc>
        <w:tc>
          <w:tcPr>
            <w:tcW w:w="1134" w:type="dxa"/>
            <w:vAlign w:val="center"/>
          </w:tcPr>
          <w:p w:rsidR="00000000" w:rsidRDefault="00000000">
            <w:pPr>
              <w:pStyle w:val="a2"/>
              <w:spacing w:line="280" w:lineRule="exact"/>
              <w:jc w:val="center"/>
              <w:rPr>
                <w:rFonts w:ascii="Time New Roman" w:eastAsia="SimHei" w:hAnsi="Time New Roman" w:hint="eastAsia"/>
                <w:spacing w:val="4"/>
                <w:lang w:val="de-DE"/>
              </w:rPr>
            </w:pPr>
            <w:r>
              <w:rPr>
                <w:rFonts w:ascii="Time New Roman" w:eastAsia="SimHei" w:hAnsi="Time New Roman"/>
                <w:b/>
                <w:spacing w:val="4"/>
                <w:lang w:val="de-DE"/>
              </w:rPr>
              <w:t>1999</w:t>
            </w:r>
          </w:p>
          <w:p w:rsidR="00000000" w:rsidRDefault="00000000">
            <w:pPr>
              <w:pStyle w:val="a2"/>
              <w:spacing w:line="280" w:lineRule="exact"/>
              <w:rPr>
                <w:rFonts w:ascii="Time New Roman" w:eastAsia="SimHei" w:hAnsi="Time New Roman" w:hint="eastAsia"/>
                <w:spacing w:val="4"/>
                <w:lang w:val="de-DE"/>
              </w:rPr>
            </w:pPr>
            <w:r>
              <w:rPr>
                <w:rFonts w:ascii="Time New Roman" w:eastAsia="SimHei" w:hAnsi="Time New Roman"/>
                <w:spacing w:val="4"/>
                <w:lang w:val="de-DE"/>
              </w:rPr>
              <w:t>百万匈牙利</w:t>
            </w:r>
          </w:p>
          <w:p w:rsidR="00000000" w:rsidRDefault="00000000">
            <w:pPr>
              <w:pStyle w:val="a2"/>
              <w:spacing w:line="280" w:lineRule="exact"/>
              <w:jc w:val="center"/>
              <w:rPr>
                <w:rFonts w:ascii="Time New Roman" w:eastAsia="SimHei" w:hAnsi="Time New Roman"/>
                <w:spacing w:val="4"/>
                <w:lang w:val="de-DE"/>
              </w:rPr>
            </w:pPr>
            <w:r>
              <w:rPr>
                <w:rFonts w:ascii="Time New Roman" w:eastAsia="SimHei" w:hAnsi="Time New Roman"/>
                <w:spacing w:val="4"/>
                <w:lang w:val="de-DE"/>
              </w:rPr>
              <w:t>福</w:t>
            </w:r>
            <w:r>
              <w:rPr>
                <w:rFonts w:ascii="Time New Roman" w:eastAsia="SimHei" w:hAnsi="Time New Roman" w:hint="eastAsia"/>
                <w:spacing w:val="4"/>
                <w:lang w:val="de-DE"/>
              </w:rPr>
              <w:t xml:space="preserve">  </w:t>
            </w:r>
            <w:r>
              <w:rPr>
                <w:rFonts w:ascii="Time New Roman" w:eastAsia="SimHei" w:hAnsi="Time New Roman"/>
                <w:spacing w:val="4"/>
                <w:lang w:val="de-DE"/>
              </w:rPr>
              <w:t>林</w:t>
            </w:r>
          </w:p>
        </w:tc>
        <w:tc>
          <w:tcPr>
            <w:tcW w:w="1134" w:type="dxa"/>
            <w:vAlign w:val="center"/>
          </w:tcPr>
          <w:p w:rsidR="00000000" w:rsidRDefault="00000000">
            <w:pPr>
              <w:pStyle w:val="a2"/>
              <w:spacing w:line="280" w:lineRule="exact"/>
              <w:jc w:val="center"/>
              <w:rPr>
                <w:rFonts w:ascii="Time New Roman" w:eastAsia="SimHei" w:hAnsi="Time New Roman"/>
                <w:spacing w:val="4"/>
                <w:lang w:val="de-DE"/>
              </w:rPr>
            </w:pPr>
            <w:r>
              <w:rPr>
                <w:rFonts w:ascii="Time New Roman" w:eastAsia="SimHei" w:hAnsi="Time New Roman"/>
                <w:b/>
                <w:spacing w:val="4"/>
                <w:lang w:val="de-DE"/>
              </w:rPr>
              <w:t>2000</w:t>
            </w:r>
          </w:p>
          <w:p w:rsidR="00000000" w:rsidRDefault="00000000">
            <w:pPr>
              <w:pStyle w:val="a2"/>
              <w:spacing w:line="280" w:lineRule="exact"/>
              <w:rPr>
                <w:rFonts w:ascii="Time New Roman" w:eastAsia="SimHei" w:hAnsi="Time New Roman" w:hint="eastAsia"/>
                <w:spacing w:val="4"/>
                <w:lang w:val="de-DE"/>
              </w:rPr>
            </w:pPr>
            <w:r>
              <w:rPr>
                <w:rFonts w:ascii="Time New Roman" w:eastAsia="SimHei" w:hAnsi="Time New Roman"/>
                <w:spacing w:val="4"/>
                <w:lang w:val="de-DE"/>
              </w:rPr>
              <w:t>百万匈牙利</w:t>
            </w:r>
          </w:p>
          <w:p w:rsidR="00000000" w:rsidRDefault="00000000">
            <w:pPr>
              <w:pStyle w:val="a2"/>
              <w:spacing w:line="280" w:lineRule="exact"/>
              <w:jc w:val="center"/>
              <w:rPr>
                <w:rFonts w:ascii="Time New Roman" w:eastAsia="SimHei" w:hAnsi="Time New Roman"/>
                <w:spacing w:val="4"/>
                <w:lang w:val="de-DE"/>
              </w:rPr>
            </w:pPr>
            <w:r>
              <w:rPr>
                <w:rFonts w:ascii="Time New Roman" w:eastAsia="SimHei" w:hAnsi="Time New Roman"/>
                <w:spacing w:val="4"/>
                <w:lang w:val="de-DE"/>
              </w:rPr>
              <w:t>福</w:t>
            </w:r>
            <w:r>
              <w:rPr>
                <w:rFonts w:ascii="Time New Roman" w:eastAsia="SimHei" w:hAnsi="Time New Roman" w:hint="eastAsia"/>
                <w:spacing w:val="4"/>
                <w:lang w:val="de-DE"/>
              </w:rPr>
              <w:t xml:space="preserve">  </w:t>
            </w:r>
            <w:r>
              <w:rPr>
                <w:rFonts w:ascii="Time New Roman" w:eastAsia="SimHei" w:hAnsi="Time New Roman"/>
                <w:spacing w:val="4"/>
                <w:lang w:val="de-DE"/>
              </w:rPr>
              <w:t>林</w:t>
            </w:r>
          </w:p>
        </w:tc>
        <w:tc>
          <w:tcPr>
            <w:tcW w:w="1134" w:type="dxa"/>
            <w:vAlign w:val="center"/>
          </w:tcPr>
          <w:p w:rsidR="00000000" w:rsidRDefault="00000000">
            <w:pPr>
              <w:pStyle w:val="a2"/>
              <w:spacing w:line="280" w:lineRule="exact"/>
              <w:jc w:val="center"/>
              <w:rPr>
                <w:rFonts w:ascii="Time New Roman" w:eastAsia="SimHei" w:hAnsi="Time New Roman"/>
                <w:spacing w:val="4"/>
                <w:lang w:val="de-DE"/>
              </w:rPr>
            </w:pPr>
            <w:r>
              <w:rPr>
                <w:rFonts w:ascii="Time New Roman" w:eastAsia="SimHei" w:hAnsi="Time New Roman"/>
                <w:b/>
                <w:spacing w:val="4"/>
                <w:lang w:val="de-DE"/>
              </w:rPr>
              <w:t>2001</w:t>
            </w:r>
          </w:p>
          <w:p w:rsidR="00000000" w:rsidRDefault="00000000">
            <w:pPr>
              <w:pStyle w:val="a2"/>
              <w:spacing w:line="280" w:lineRule="exact"/>
              <w:rPr>
                <w:rFonts w:ascii="Time New Roman" w:eastAsia="SimHei" w:hAnsi="Time New Roman" w:hint="eastAsia"/>
                <w:spacing w:val="4"/>
                <w:lang w:val="de-DE"/>
              </w:rPr>
            </w:pPr>
            <w:r>
              <w:rPr>
                <w:rFonts w:ascii="Time New Roman" w:eastAsia="SimHei" w:hAnsi="Time New Roman"/>
                <w:spacing w:val="4"/>
                <w:lang w:val="de-DE"/>
              </w:rPr>
              <w:t>百万匈牙利</w:t>
            </w:r>
          </w:p>
          <w:p w:rsidR="00000000" w:rsidRDefault="00000000">
            <w:pPr>
              <w:pStyle w:val="a2"/>
              <w:spacing w:line="280" w:lineRule="exact"/>
              <w:jc w:val="center"/>
              <w:rPr>
                <w:rFonts w:ascii="Time New Roman" w:eastAsia="SimHei" w:hAnsi="Time New Roman"/>
                <w:spacing w:val="4"/>
                <w:lang w:val="de-DE"/>
              </w:rPr>
            </w:pPr>
            <w:r>
              <w:rPr>
                <w:rFonts w:ascii="Time New Roman" w:eastAsia="SimHei" w:hAnsi="Time New Roman"/>
                <w:spacing w:val="4"/>
                <w:lang w:val="de-DE"/>
              </w:rPr>
              <w:t>福</w:t>
            </w:r>
            <w:r>
              <w:rPr>
                <w:rFonts w:ascii="Time New Roman" w:eastAsia="SimHei" w:hAnsi="Time New Roman" w:hint="eastAsia"/>
                <w:spacing w:val="4"/>
                <w:lang w:val="de-DE"/>
              </w:rPr>
              <w:t xml:space="preserve">  </w:t>
            </w:r>
            <w:r>
              <w:rPr>
                <w:rFonts w:ascii="Time New Roman" w:eastAsia="SimHei" w:hAnsi="Time New Roman"/>
                <w:spacing w:val="4"/>
                <w:lang w:val="de-DE"/>
              </w:rPr>
              <w:t>林</w:t>
            </w:r>
          </w:p>
        </w:tc>
        <w:tc>
          <w:tcPr>
            <w:tcW w:w="1134" w:type="dxa"/>
            <w:vAlign w:val="center"/>
          </w:tcPr>
          <w:p w:rsidR="00000000" w:rsidRDefault="00000000">
            <w:pPr>
              <w:pStyle w:val="a2"/>
              <w:spacing w:line="280" w:lineRule="exact"/>
              <w:jc w:val="center"/>
              <w:rPr>
                <w:rFonts w:ascii="Time New Roman" w:eastAsia="SimHei" w:hAnsi="Time New Roman"/>
                <w:spacing w:val="4"/>
                <w:lang w:val="de-DE"/>
              </w:rPr>
            </w:pPr>
            <w:r>
              <w:rPr>
                <w:rFonts w:ascii="Time New Roman" w:eastAsia="SimHei" w:hAnsi="Time New Roman"/>
                <w:b/>
                <w:spacing w:val="4"/>
                <w:lang w:val="de-DE"/>
              </w:rPr>
              <w:t>2002</w:t>
            </w:r>
          </w:p>
          <w:p w:rsidR="00000000" w:rsidRDefault="00000000">
            <w:pPr>
              <w:pStyle w:val="a2"/>
              <w:spacing w:line="280" w:lineRule="exact"/>
              <w:rPr>
                <w:rFonts w:ascii="Time New Roman" w:eastAsia="SimHei" w:hAnsi="Time New Roman" w:hint="eastAsia"/>
                <w:spacing w:val="4"/>
                <w:lang w:val="de-DE"/>
              </w:rPr>
            </w:pPr>
            <w:r>
              <w:rPr>
                <w:rFonts w:ascii="Time New Roman" w:eastAsia="SimHei" w:hAnsi="Time New Roman"/>
                <w:spacing w:val="4"/>
                <w:lang w:val="de-DE"/>
              </w:rPr>
              <w:t>百万匈牙利</w:t>
            </w:r>
          </w:p>
          <w:p w:rsidR="00000000" w:rsidRDefault="00000000">
            <w:pPr>
              <w:pStyle w:val="a2"/>
              <w:spacing w:line="280" w:lineRule="exact"/>
              <w:jc w:val="center"/>
              <w:rPr>
                <w:rFonts w:ascii="Time New Roman" w:eastAsia="SimHei" w:hAnsi="Time New Roman"/>
                <w:spacing w:val="4"/>
                <w:lang w:val="de-DE"/>
              </w:rPr>
            </w:pPr>
            <w:r>
              <w:rPr>
                <w:rFonts w:ascii="Time New Roman" w:eastAsia="SimHei" w:hAnsi="Time New Roman"/>
                <w:spacing w:val="4"/>
                <w:lang w:val="de-DE"/>
              </w:rPr>
              <w:t>福</w:t>
            </w:r>
            <w:r>
              <w:rPr>
                <w:rFonts w:ascii="Time New Roman" w:eastAsia="SimHei" w:hAnsi="Time New Roman" w:hint="eastAsia"/>
                <w:spacing w:val="4"/>
                <w:lang w:val="de-DE"/>
              </w:rPr>
              <w:t xml:space="preserve">  </w:t>
            </w:r>
            <w:r>
              <w:rPr>
                <w:rFonts w:ascii="Time New Roman" w:eastAsia="SimHei" w:hAnsi="Time New Roman"/>
                <w:spacing w:val="4"/>
                <w:lang w:val="de-DE"/>
              </w:rPr>
              <w:t>林</w:t>
            </w:r>
          </w:p>
        </w:tc>
        <w:tc>
          <w:tcPr>
            <w:tcW w:w="1134" w:type="dxa"/>
            <w:vAlign w:val="center"/>
          </w:tcPr>
          <w:p w:rsidR="00000000" w:rsidRDefault="00000000">
            <w:pPr>
              <w:pStyle w:val="a2"/>
              <w:spacing w:line="280" w:lineRule="exact"/>
              <w:jc w:val="center"/>
              <w:rPr>
                <w:rFonts w:ascii="Time New Roman" w:eastAsia="SimHei" w:hAnsi="Time New Roman"/>
                <w:spacing w:val="4"/>
                <w:lang w:val="de-DE"/>
              </w:rPr>
            </w:pPr>
            <w:r>
              <w:rPr>
                <w:rFonts w:ascii="Time New Roman" w:eastAsia="SimHei" w:hAnsi="Time New Roman"/>
                <w:b/>
                <w:spacing w:val="4"/>
                <w:lang w:val="de-DE"/>
              </w:rPr>
              <w:t>2003</w:t>
            </w:r>
          </w:p>
          <w:p w:rsidR="00000000" w:rsidRDefault="00000000">
            <w:pPr>
              <w:pStyle w:val="a2"/>
              <w:spacing w:line="280" w:lineRule="exact"/>
              <w:rPr>
                <w:rFonts w:ascii="Time New Roman" w:eastAsia="SimHei" w:hAnsi="Time New Roman" w:hint="eastAsia"/>
                <w:spacing w:val="4"/>
                <w:lang w:val="de-DE"/>
              </w:rPr>
            </w:pPr>
            <w:r>
              <w:rPr>
                <w:rFonts w:ascii="Time New Roman" w:eastAsia="SimHei" w:hAnsi="Time New Roman"/>
                <w:spacing w:val="4"/>
                <w:lang w:val="de-DE"/>
              </w:rPr>
              <w:t>百万匈牙利</w:t>
            </w:r>
          </w:p>
          <w:p w:rsidR="00000000" w:rsidRDefault="00000000">
            <w:pPr>
              <w:pStyle w:val="a2"/>
              <w:spacing w:line="280" w:lineRule="exact"/>
              <w:jc w:val="center"/>
              <w:rPr>
                <w:rFonts w:ascii="Time New Roman" w:eastAsia="SimHei" w:hAnsi="Time New Roman"/>
                <w:spacing w:val="4"/>
                <w:lang w:val="de-DE"/>
              </w:rPr>
            </w:pPr>
            <w:r>
              <w:rPr>
                <w:rFonts w:ascii="Time New Roman" w:eastAsia="SimHei" w:hAnsi="Time New Roman"/>
                <w:spacing w:val="4"/>
                <w:lang w:val="de-DE"/>
              </w:rPr>
              <w:t>福</w:t>
            </w:r>
            <w:r>
              <w:rPr>
                <w:rFonts w:ascii="Time New Roman" w:eastAsia="SimHei" w:hAnsi="Time New Roman" w:hint="eastAsia"/>
                <w:spacing w:val="4"/>
                <w:lang w:val="de-DE"/>
              </w:rPr>
              <w:t xml:space="preserve">  </w:t>
            </w:r>
            <w:r>
              <w:rPr>
                <w:rFonts w:ascii="Time New Roman" w:eastAsia="SimHei" w:hAnsi="Time New Roman"/>
                <w:spacing w:val="4"/>
                <w:lang w:val="de-DE"/>
              </w:rPr>
              <w:t>林</w:t>
            </w:r>
          </w:p>
        </w:tc>
        <w:tc>
          <w:tcPr>
            <w:tcW w:w="1134" w:type="dxa"/>
            <w:vAlign w:val="center"/>
          </w:tcPr>
          <w:p w:rsidR="00000000" w:rsidRDefault="00000000">
            <w:pPr>
              <w:pStyle w:val="a2"/>
              <w:spacing w:line="280" w:lineRule="exact"/>
              <w:jc w:val="center"/>
              <w:rPr>
                <w:rFonts w:ascii="Time New Roman" w:eastAsia="SimHei" w:hAnsi="Time New Roman" w:hint="eastAsia"/>
                <w:iCs/>
                <w:spacing w:val="4"/>
                <w:lang w:val="en-GB"/>
              </w:rPr>
            </w:pPr>
            <w:r>
              <w:rPr>
                <w:rFonts w:ascii="Time New Roman" w:eastAsia="SimHei" w:hAnsi="Time New Roman" w:hint="eastAsia"/>
                <w:iCs/>
                <w:spacing w:val="4"/>
                <w:lang w:val="en-GB"/>
              </w:rPr>
              <w:t>总</w:t>
            </w:r>
            <w:r>
              <w:rPr>
                <w:rFonts w:ascii="Time New Roman" w:eastAsia="SimHei" w:hAnsi="Time New Roman" w:hint="eastAsia"/>
                <w:iCs/>
                <w:spacing w:val="4"/>
                <w:lang w:val="en-GB"/>
              </w:rPr>
              <w:t xml:space="preserve">  </w:t>
            </w:r>
            <w:r>
              <w:rPr>
                <w:rFonts w:ascii="Time New Roman" w:eastAsia="SimHei" w:hAnsi="Time New Roman" w:hint="eastAsia"/>
                <w:iCs/>
                <w:spacing w:val="4"/>
                <w:lang w:val="en-GB"/>
              </w:rPr>
              <w:t>计</w:t>
            </w:r>
          </w:p>
          <w:p w:rsidR="00000000" w:rsidRDefault="00000000">
            <w:pPr>
              <w:pStyle w:val="a2"/>
              <w:spacing w:line="280" w:lineRule="exact"/>
              <w:jc w:val="center"/>
              <w:rPr>
                <w:rFonts w:ascii="Time New Roman" w:eastAsia="SimHei" w:hAnsi="Time New Roman"/>
                <w:i/>
                <w:spacing w:val="4"/>
                <w:lang w:val="en-GB"/>
              </w:rPr>
            </w:pPr>
            <w:r>
              <w:rPr>
                <w:rFonts w:ascii="Time New Roman" w:eastAsia="SimHei" w:hAnsi="Time New Roman"/>
                <w:spacing w:val="4"/>
                <w:lang w:val="en-GB"/>
              </w:rPr>
              <w:t>百万匈牙利福</w:t>
            </w:r>
            <w:r>
              <w:rPr>
                <w:rFonts w:ascii="Time New Roman" w:eastAsia="SimHei" w:hAnsi="Time New Roman" w:hint="eastAsia"/>
                <w:spacing w:val="4"/>
                <w:lang w:val="en-GB"/>
              </w:rPr>
              <w:t xml:space="preserve">  </w:t>
            </w:r>
            <w:r>
              <w:rPr>
                <w:rFonts w:ascii="Time New Roman" w:eastAsia="SimHei" w:hAnsi="Time New Roman"/>
                <w:spacing w:val="4"/>
                <w:lang w:val="en-GB"/>
              </w:rPr>
              <w:t>林</w:t>
            </w:r>
          </w:p>
        </w:tc>
      </w:tr>
      <w:tr w:rsidR="00000000">
        <w:tblPrEx>
          <w:tblCellMar>
            <w:top w:w="0" w:type="dxa"/>
            <w:bottom w:w="0" w:type="dxa"/>
          </w:tblCellMar>
        </w:tblPrEx>
        <w:tc>
          <w:tcPr>
            <w:tcW w:w="1660" w:type="dxa"/>
          </w:tcPr>
          <w:p w:rsidR="00000000" w:rsidRDefault="00000000">
            <w:pPr>
              <w:pStyle w:val="a2"/>
              <w:spacing w:before="40" w:line="216" w:lineRule="auto"/>
              <w:jc w:val="left"/>
              <w:rPr>
                <w:rFonts w:hint="eastAsia"/>
                <w:spacing w:val="-6"/>
                <w:lang w:val="en-GB"/>
              </w:rPr>
            </w:pPr>
            <w:r>
              <w:rPr>
                <w:rFonts w:hint="eastAsia"/>
                <w:spacing w:val="-6"/>
                <w:lang w:val="en-GB"/>
              </w:rPr>
              <w:t>贝凯什</w:t>
            </w:r>
          </w:p>
        </w:tc>
        <w:tc>
          <w:tcPr>
            <w:tcW w:w="1134" w:type="dxa"/>
            <w:vAlign w:val="center"/>
          </w:tcPr>
          <w:p w:rsidR="00000000" w:rsidRDefault="00000000">
            <w:pPr>
              <w:pStyle w:val="a2"/>
              <w:jc w:val="center"/>
              <w:rPr>
                <w:lang w:val="en-GB"/>
              </w:rPr>
            </w:pPr>
            <w:r>
              <w:rPr>
                <w:lang w:val="en-GB"/>
              </w:rPr>
              <w:t>-</w:t>
            </w:r>
          </w:p>
        </w:tc>
        <w:tc>
          <w:tcPr>
            <w:tcW w:w="1134" w:type="dxa"/>
            <w:vAlign w:val="center"/>
          </w:tcPr>
          <w:p w:rsidR="00000000" w:rsidRDefault="00000000">
            <w:pPr>
              <w:pStyle w:val="a2"/>
              <w:jc w:val="center"/>
              <w:rPr>
                <w:lang w:val="en-GB"/>
              </w:rPr>
            </w:pPr>
            <w:r>
              <w:rPr>
                <w:lang w:val="en-GB"/>
              </w:rPr>
              <w:t>24</w:t>
            </w:r>
          </w:p>
        </w:tc>
        <w:tc>
          <w:tcPr>
            <w:tcW w:w="1134" w:type="dxa"/>
            <w:vAlign w:val="center"/>
          </w:tcPr>
          <w:p w:rsidR="00000000" w:rsidRDefault="00000000">
            <w:pPr>
              <w:pStyle w:val="a2"/>
              <w:jc w:val="center"/>
              <w:rPr>
                <w:lang w:val="en-GB"/>
              </w:rPr>
            </w:pPr>
            <w:r>
              <w:rPr>
                <w:lang w:val="en-GB"/>
              </w:rPr>
              <w:t>26.4</w:t>
            </w:r>
          </w:p>
        </w:tc>
        <w:tc>
          <w:tcPr>
            <w:tcW w:w="1134" w:type="dxa"/>
            <w:vAlign w:val="center"/>
          </w:tcPr>
          <w:p w:rsidR="00000000" w:rsidRDefault="00000000">
            <w:pPr>
              <w:pStyle w:val="a2"/>
              <w:jc w:val="center"/>
              <w:rPr>
                <w:lang w:val="en-GB"/>
              </w:rPr>
            </w:pPr>
            <w:r>
              <w:rPr>
                <w:lang w:val="en-GB"/>
              </w:rPr>
              <w:t>29</w:t>
            </w:r>
          </w:p>
        </w:tc>
        <w:tc>
          <w:tcPr>
            <w:tcW w:w="1134" w:type="dxa"/>
            <w:vAlign w:val="center"/>
          </w:tcPr>
          <w:p w:rsidR="00000000" w:rsidRDefault="00000000">
            <w:pPr>
              <w:pStyle w:val="a2"/>
              <w:jc w:val="center"/>
              <w:rPr>
                <w:lang w:val="en-GB"/>
              </w:rPr>
            </w:pPr>
            <w:r>
              <w:rPr>
                <w:lang w:val="en-GB"/>
              </w:rPr>
              <w:t>15.7</w:t>
            </w:r>
          </w:p>
        </w:tc>
        <w:tc>
          <w:tcPr>
            <w:tcW w:w="1134" w:type="dxa"/>
            <w:vAlign w:val="center"/>
          </w:tcPr>
          <w:p w:rsidR="00000000" w:rsidRDefault="00000000">
            <w:pPr>
              <w:pStyle w:val="a2"/>
              <w:jc w:val="center"/>
              <w:rPr>
                <w:lang w:val="en-GB"/>
              </w:rPr>
            </w:pPr>
            <w:r>
              <w:rPr>
                <w:lang w:val="en-GB"/>
              </w:rPr>
              <w:t>79.4</w:t>
            </w:r>
          </w:p>
        </w:tc>
      </w:tr>
      <w:tr w:rsidR="00000000">
        <w:tblPrEx>
          <w:tblCellMar>
            <w:top w:w="0" w:type="dxa"/>
            <w:bottom w:w="0" w:type="dxa"/>
          </w:tblCellMar>
        </w:tblPrEx>
        <w:tc>
          <w:tcPr>
            <w:tcW w:w="1660" w:type="dxa"/>
          </w:tcPr>
          <w:p w:rsidR="00000000" w:rsidRDefault="00000000">
            <w:pPr>
              <w:pStyle w:val="a2"/>
              <w:spacing w:before="40" w:line="216" w:lineRule="auto"/>
              <w:jc w:val="left"/>
              <w:rPr>
                <w:rFonts w:hint="eastAsia"/>
                <w:spacing w:val="-6"/>
                <w:lang w:val="en-GB"/>
              </w:rPr>
            </w:pPr>
            <w:r>
              <w:rPr>
                <w:rFonts w:hint="eastAsia"/>
                <w:spacing w:val="-6"/>
                <w:lang w:val="en-GB"/>
              </w:rPr>
              <w:t>包尔绍德—奥包乌伊—曾普伦</w:t>
            </w:r>
          </w:p>
        </w:tc>
        <w:tc>
          <w:tcPr>
            <w:tcW w:w="1134" w:type="dxa"/>
            <w:vAlign w:val="center"/>
          </w:tcPr>
          <w:p w:rsidR="00000000" w:rsidRDefault="00000000">
            <w:pPr>
              <w:pStyle w:val="a2"/>
              <w:jc w:val="center"/>
              <w:rPr>
                <w:lang w:val="en-GB"/>
              </w:rPr>
            </w:pPr>
            <w:r>
              <w:rPr>
                <w:lang w:val="en-GB"/>
              </w:rPr>
              <w:t>156</w:t>
            </w:r>
          </w:p>
        </w:tc>
        <w:tc>
          <w:tcPr>
            <w:tcW w:w="1134" w:type="dxa"/>
            <w:vAlign w:val="center"/>
          </w:tcPr>
          <w:p w:rsidR="00000000" w:rsidRDefault="00000000">
            <w:pPr>
              <w:pStyle w:val="a2"/>
              <w:jc w:val="center"/>
              <w:rPr>
                <w:lang w:val="en-GB"/>
              </w:rPr>
            </w:pPr>
            <w:r>
              <w:rPr>
                <w:lang w:val="en-GB"/>
              </w:rPr>
              <w:t>72</w:t>
            </w:r>
          </w:p>
        </w:tc>
        <w:tc>
          <w:tcPr>
            <w:tcW w:w="1134" w:type="dxa"/>
            <w:vAlign w:val="center"/>
          </w:tcPr>
          <w:p w:rsidR="00000000" w:rsidRDefault="00000000">
            <w:pPr>
              <w:pStyle w:val="a2"/>
              <w:jc w:val="center"/>
              <w:rPr>
                <w:lang w:val="en-GB"/>
              </w:rPr>
            </w:pPr>
            <w:r>
              <w:rPr>
                <w:lang w:val="en-GB"/>
              </w:rPr>
              <w:t>79.2</w:t>
            </w:r>
          </w:p>
        </w:tc>
        <w:tc>
          <w:tcPr>
            <w:tcW w:w="1134" w:type="dxa"/>
            <w:vAlign w:val="center"/>
          </w:tcPr>
          <w:p w:rsidR="00000000" w:rsidRDefault="00000000">
            <w:pPr>
              <w:pStyle w:val="a2"/>
              <w:jc w:val="center"/>
              <w:rPr>
                <w:lang w:val="en-GB"/>
              </w:rPr>
            </w:pPr>
            <w:r>
              <w:rPr>
                <w:lang w:val="en-GB"/>
              </w:rPr>
              <w:t>87.1</w:t>
            </w:r>
          </w:p>
        </w:tc>
        <w:tc>
          <w:tcPr>
            <w:tcW w:w="1134" w:type="dxa"/>
            <w:vAlign w:val="center"/>
          </w:tcPr>
          <w:p w:rsidR="00000000" w:rsidRDefault="00000000">
            <w:pPr>
              <w:pStyle w:val="a2"/>
              <w:jc w:val="center"/>
              <w:rPr>
                <w:lang w:val="en-GB"/>
              </w:rPr>
            </w:pPr>
            <w:r>
              <w:rPr>
                <w:lang w:val="en-GB"/>
              </w:rPr>
              <w:t>28.8</w:t>
            </w:r>
          </w:p>
        </w:tc>
        <w:tc>
          <w:tcPr>
            <w:tcW w:w="1134" w:type="dxa"/>
            <w:vAlign w:val="center"/>
          </w:tcPr>
          <w:p w:rsidR="00000000" w:rsidRDefault="00000000">
            <w:pPr>
              <w:pStyle w:val="a2"/>
              <w:jc w:val="center"/>
              <w:rPr>
                <w:lang w:val="en-GB"/>
              </w:rPr>
            </w:pPr>
            <w:r>
              <w:rPr>
                <w:lang w:val="en-GB"/>
              </w:rPr>
              <w:t>394.3</w:t>
            </w:r>
          </w:p>
        </w:tc>
      </w:tr>
      <w:tr w:rsidR="00000000">
        <w:tblPrEx>
          <w:tblCellMar>
            <w:top w:w="0" w:type="dxa"/>
            <w:bottom w:w="0" w:type="dxa"/>
          </w:tblCellMar>
        </w:tblPrEx>
        <w:tc>
          <w:tcPr>
            <w:tcW w:w="1660" w:type="dxa"/>
          </w:tcPr>
          <w:p w:rsidR="00000000" w:rsidRDefault="00000000">
            <w:pPr>
              <w:pStyle w:val="a2"/>
              <w:spacing w:before="40" w:line="216" w:lineRule="auto"/>
              <w:jc w:val="left"/>
              <w:rPr>
                <w:rFonts w:hint="eastAsia"/>
                <w:spacing w:val="-6"/>
                <w:lang w:val="en-GB"/>
              </w:rPr>
            </w:pPr>
            <w:r>
              <w:rPr>
                <w:rFonts w:hint="eastAsia"/>
                <w:spacing w:val="-6"/>
                <w:lang w:val="en-GB"/>
              </w:rPr>
              <w:t>诺格拉德</w:t>
            </w:r>
          </w:p>
        </w:tc>
        <w:tc>
          <w:tcPr>
            <w:tcW w:w="1134" w:type="dxa"/>
            <w:vAlign w:val="center"/>
          </w:tcPr>
          <w:p w:rsidR="00000000" w:rsidRDefault="00000000">
            <w:pPr>
              <w:pStyle w:val="a2"/>
              <w:jc w:val="center"/>
              <w:rPr>
                <w:lang w:val="en-GB"/>
              </w:rPr>
            </w:pPr>
            <w:r>
              <w:rPr>
                <w:lang w:val="en-GB"/>
              </w:rPr>
              <w:t>55</w:t>
            </w:r>
          </w:p>
        </w:tc>
        <w:tc>
          <w:tcPr>
            <w:tcW w:w="1134" w:type="dxa"/>
            <w:vAlign w:val="center"/>
          </w:tcPr>
          <w:p w:rsidR="00000000" w:rsidRDefault="00000000">
            <w:pPr>
              <w:pStyle w:val="a2"/>
              <w:jc w:val="center"/>
              <w:rPr>
                <w:lang w:val="en-GB"/>
              </w:rPr>
            </w:pPr>
            <w:r>
              <w:rPr>
                <w:lang w:val="en-GB"/>
              </w:rPr>
              <w:t>36</w:t>
            </w:r>
          </w:p>
        </w:tc>
        <w:tc>
          <w:tcPr>
            <w:tcW w:w="1134" w:type="dxa"/>
            <w:vAlign w:val="center"/>
          </w:tcPr>
          <w:p w:rsidR="00000000" w:rsidRDefault="00000000">
            <w:pPr>
              <w:pStyle w:val="a2"/>
              <w:jc w:val="center"/>
              <w:rPr>
                <w:lang w:val="en-GB"/>
              </w:rPr>
            </w:pPr>
            <w:r>
              <w:rPr>
                <w:lang w:val="en-GB"/>
              </w:rPr>
              <w:t>39.6</w:t>
            </w:r>
          </w:p>
        </w:tc>
        <w:tc>
          <w:tcPr>
            <w:tcW w:w="1134" w:type="dxa"/>
            <w:vAlign w:val="center"/>
          </w:tcPr>
          <w:p w:rsidR="00000000" w:rsidRDefault="00000000">
            <w:pPr>
              <w:pStyle w:val="a2"/>
              <w:jc w:val="center"/>
              <w:rPr>
                <w:lang w:val="en-GB"/>
              </w:rPr>
            </w:pPr>
            <w:r>
              <w:rPr>
                <w:lang w:val="en-GB"/>
              </w:rPr>
              <w:t>43.6</w:t>
            </w:r>
          </w:p>
        </w:tc>
        <w:tc>
          <w:tcPr>
            <w:tcW w:w="1134" w:type="dxa"/>
            <w:vAlign w:val="center"/>
          </w:tcPr>
          <w:p w:rsidR="00000000" w:rsidRDefault="00000000">
            <w:pPr>
              <w:pStyle w:val="a2"/>
              <w:jc w:val="center"/>
              <w:rPr>
                <w:lang w:val="en-GB"/>
              </w:rPr>
            </w:pPr>
            <w:r>
              <w:rPr>
                <w:lang w:val="en-GB"/>
              </w:rPr>
              <w:t>10.5</w:t>
            </w:r>
          </w:p>
        </w:tc>
        <w:tc>
          <w:tcPr>
            <w:tcW w:w="1134" w:type="dxa"/>
            <w:vAlign w:val="center"/>
          </w:tcPr>
          <w:p w:rsidR="00000000" w:rsidRDefault="00000000">
            <w:pPr>
              <w:pStyle w:val="a2"/>
              <w:jc w:val="center"/>
              <w:rPr>
                <w:lang w:val="en-GB"/>
              </w:rPr>
            </w:pPr>
            <w:r>
              <w:rPr>
                <w:lang w:val="en-GB"/>
              </w:rPr>
              <w:t>174.2</w:t>
            </w:r>
          </w:p>
        </w:tc>
      </w:tr>
      <w:tr w:rsidR="00000000">
        <w:tblPrEx>
          <w:tblCellMar>
            <w:top w:w="0" w:type="dxa"/>
            <w:bottom w:w="0" w:type="dxa"/>
          </w:tblCellMar>
        </w:tblPrEx>
        <w:tc>
          <w:tcPr>
            <w:tcW w:w="1660" w:type="dxa"/>
          </w:tcPr>
          <w:p w:rsidR="00000000" w:rsidRDefault="00000000">
            <w:pPr>
              <w:pStyle w:val="a2"/>
              <w:spacing w:before="40" w:line="216" w:lineRule="auto"/>
              <w:jc w:val="left"/>
              <w:rPr>
                <w:rFonts w:hint="eastAsia"/>
                <w:spacing w:val="-6"/>
                <w:lang w:val="en-GB"/>
              </w:rPr>
            </w:pPr>
            <w:r>
              <w:rPr>
                <w:rFonts w:hint="eastAsia"/>
                <w:spacing w:val="-6"/>
                <w:lang w:val="en-GB"/>
              </w:rPr>
              <w:t>绍莫吉</w:t>
            </w:r>
          </w:p>
        </w:tc>
        <w:tc>
          <w:tcPr>
            <w:tcW w:w="1134" w:type="dxa"/>
            <w:vAlign w:val="center"/>
          </w:tcPr>
          <w:p w:rsidR="00000000" w:rsidRDefault="00000000">
            <w:pPr>
              <w:pStyle w:val="a2"/>
              <w:jc w:val="center"/>
              <w:rPr>
                <w:lang w:val="en-GB"/>
              </w:rPr>
            </w:pPr>
            <w:r>
              <w:rPr>
                <w:lang w:val="en-GB"/>
              </w:rPr>
              <w:t>-</w:t>
            </w:r>
          </w:p>
        </w:tc>
        <w:tc>
          <w:tcPr>
            <w:tcW w:w="1134" w:type="dxa"/>
            <w:vAlign w:val="center"/>
          </w:tcPr>
          <w:p w:rsidR="00000000" w:rsidRDefault="00000000">
            <w:pPr>
              <w:pStyle w:val="a2"/>
              <w:jc w:val="center"/>
              <w:rPr>
                <w:lang w:val="en-GB"/>
              </w:rPr>
            </w:pPr>
            <w:r>
              <w:rPr>
                <w:lang w:val="en-GB"/>
              </w:rPr>
              <w:t>36</w:t>
            </w:r>
          </w:p>
        </w:tc>
        <w:tc>
          <w:tcPr>
            <w:tcW w:w="1134" w:type="dxa"/>
            <w:vAlign w:val="center"/>
          </w:tcPr>
          <w:p w:rsidR="00000000" w:rsidRDefault="00000000">
            <w:pPr>
              <w:pStyle w:val="a2"/>
              <w:jc w:val="center"/>
              <w:rPr>
                <w:lang w:val="en-GB"/>
              </w:rPr>
            </w:pPr>
            <w:r>
              <w:rPr>
                <w:lang w:val="en-GB"/>
              </w:rPr>
              <w:t>39.6</w:t>
            </w:r>
          </w:p>
        </w:tc>
        <w:tc>
          <w:tcPr>
            <w:tcW w:w="1134" w:type="dxa"/>
            <w:vAlign w:val="center"/>
          </w:tcPr>
          <w:p w:rsidR="00000000" w:rsidRDefault="00000000">
            <w:pPr>
              <w:pStyle w:val="a2"/>
              <w:jc w:val="center"/>
              <w:rPr>
                <w:lang w:val="en-GB"/>
              </w:rPr>
            </w:pPr>
            <w:r>
              <w:rPr>
                <w:lang w:val="en-GB"/>
              </w:rPr>
              <w:t>43.6</w:t>
            </w:r>
          </w:p>
        </w:tc>
        <w:tc>
          <w:tcPr>
            <w:tcW w:w="1134" w:type="dxa"/>
            <w:vAlign w:val="center"/>
          </w:tcPr>
          <w:p w:rsidR="00000000" w:rsidRDefault="00000000">
            <w:pPr>
              <w:pStyle w:val="a2"/>
              <w:jc w:val="center"/>
              <w:rPr>
                <w:lang w:val="en-GB"/>
              </w:rPr>
            </w:pPr>
            <w:r>
              <w:rPr>
                <w:lang w:val="en-GB"/>
              </w:rPr>
              <w:t>13.1</w:t>
            </w:r>
          </w:p>
        </w:tc>
        <w:tc>
          <w:tcPr>
            <w:tcW w:w="1134" w:type="dxa"/>
            <w:vAlign w:val="center"/>
          </w:tcPr>
          <w:p w:rsidR="00000000" w:rsidRDefault="00000000">
            <w:pPr>
              <w:pStyle w:val="a2"/>
              <w:jc w:val="center"/>
              <w:rPr>
                <w:lang w:val="en-GB"/>
              </w:rPr>
            </w:pPr>
            <w:r>
              <w:rPr>
                <w:lang w:val="en-GB"/>
              </w:rPr>
              <w:t>119.2</w:t>
            </w:r>
          </w:p>
        </w:tc>
      </w:tr>
      <w:tr w:rsidR="00000000">
        <w:tblPrEx>
          <w:tblCellMar>
            <w:top w:w="0" w:type="dxa"/>
            <w:bottom w:w="0" w:type="dxa"/>
          </w:tblCellMar>
        </w:tblPrEx>
        <w:tc>
          <w:tcPr>
            <w:tcW w:w="1660" w:type="dxa"/>
          </w:tcPr>
          <w:p w:rsidR="00000000" w:rsidRDefault="00000000">
            <w:pPr>
              <w:pStyle w:val="a2"/>
              <w:spacing w:before="40" w:line="216" w:lineRule="auto"/>
              <w:jc w:val="left"/>
              <w:rPr>
                <w:rFonts w:hint="eastAsia"/>
                <w:spacing w:val="-2"/>
                <w:lang w:val="en-GB"/>
              </w:rPr>
            </w:pPr>
            <w:r>
              <w:rPr>
                <w:rFonts w:hint="eastAsia"/>
                <w:spacing w:val="-2"/>
                <w:lang w:val="en-GB"/>
              </w:rPr>
              <w:t>索博尔奇—</w:t>
            </w:r>
            <w:r>
              <w:rPr>
                <w:spacing w:val="-2"/>
                <w:lang w:val="en-GB"/>
              </w:rPr>
              <w:br/>
            </w:r>
            <w:r>
              <w:rPr>
                <w:rFonts w:hint="eastAsia"/>
                <w:spacing w:val="-2"/>
                <w:lang w:val="en-GB"/>
              </w:rPr>
              <w:t>索特马尔</w:t>
            </w:r>
          </w:p>
        </w:tc>
        <w:tc>
          <w:tcPr>
            <w:tcW w:w="1134" w:type="dxa"/>
            <w:vAlign w:val="center"/>
          </w:tcPr>
          <w:p w:rsidR="00000000" w:rsidRDefault="00000000">
            <w:pPr>
              <w:pStyle w:val="a2"/>
              <w:jc w:val="center"/>
              <w:rPr>
                <w:lang w:val="en-GB"/>
              </w:rPr>
            </w:pPr>
            <w:r>
              <w:rPr>
                <w:lang w:val="en-GB"/>
              </w:rPr>
              <w:t>140</w:t>
            </w:r>
          </w:p>
        </w:tc>
        <w:tc>
          <w:tcPr>
            <w:tcW w:w="1134" w:type="dxa"/>
            <w:vAlign w:val="center"/>
          </w:tcPr>
          <w:p w:rsidR="00000000" w:rsidRDefault="00000000">
            <w:pPr>
              <w:pStyle w:val="a2"/>
              <w:jc w:val="center"/>
              <w:rPr>
                <w:lang w:val="en-GB"/>
              </w:rPr>
            </w:pPr>
            <w:r>
              <w:rPr>
                <w:lang w:val="en-GB"/>
              </w:rPr>
              <w:t>72</w:t>
            </w:r>
          </w:p>
        </w:tc>
        <w:tc>
          <w:tcPr>
            <w:tcW w:w="1134" w:type="dxa"/>
            <w:vAlign w:val="center"/>
          </w:tcPr>
          <w:p w:rsidR="00000000" w:rsidRDefault="00000000">
            <w:pPr>
              <w:pStyle w:val="a2"/>
              <w:jc w:val="center"/>
              <w:rPr>
                <w:lang w:val="en-GB"/>
              </w:rPr>
            </w:pPr>
            <w:r>
              <w:rPr>
                <w:lang w:val="en-GB"/>
              </w:rPr>
              <w:t>79.2</w:t>
            </w:r>
          </w:p>
        </w:tc>
        <w:tc>
          <w:tcPr>
            <w:tcW w:w="1134" w:type="dxa"/>
            <w:vAlign w:val="center"/>
          </w:tcPr>
          <w:p w:rsidR="00000000" w:rsidRDefault="00000000">
            <w:pPr>
              <w:pStyle w:val="a2"/>
              <w:jc w:val="center"/>
              <w:rPr>
                <w:lang w:val="en-GB"/>
              </w:rPr>
            </w:pPr>
            <w:r>
              <w:rPr>
                <w:lang w:val="en-GB"/>
              </w:rPr>
              <w:t>87.1</w:t>
            </w:r>
          </w:p>
        </w:tc>
        <w:tc>
          <w:tcPr>
            <w:tcW w:w="1134" w:type="dxa"/>
            <w:vAlign w:val="center"/>
          </w:tcPr>
          <w:p w:rsidR="00000000" w:rsidRDefault="00000000">
            <w:pPr>
              <w:pStyle w:val="a2"/>
              <w:jc w:val="center"/>
              <w:rPr>
                <w:lang w:val="en-GB"/>
              </w:rPr>
            </w:pPr>
            <w:r>
              <w:rPr>
                <w:lang w:val="en-GB"/>
              </w:rPr>
              <w:t>27.5</w:t>
            </w:r>
          </w:p>
        </w:tc>
        <w:tc>
          <w:tcPr>
            <w:tcW w:w="1134" w:type="dxa"/>
            <w:vAlign w:val="center"/>
          </w:tcPr>
          <w:p w:rsidR="00000000" w:rsidRDefault="00000000">
            <w:pPr>
              <w:pStyle w:val="a2"/>
              <w:jc w:val="center"/>
              <w:rPr>
                <w:lang w:val="en-GB"/>
              </w:rPr>
            </w:pPr>
            <w:r>
              <w:rPr>
                <w:lang w:val="en-GB"/>
              </w:rPr>
              <w:t>378.3</w:t>
            </w:r>
          </w:p>
        </w:tc>
      </w:tr>
      <w:tr w:rsidR="00000000">
        <w:tblPrEx>
          <w:tblCellMar>
            <w:top w:w="0" w:type="dxa"/>
            <w:bottom w:w="0" w:type="dxa"/>
          </w:tblCellMar>
        </w:tblPrEx>
        <w:tc>
          <w:tcPr>
            <w:tcW w:w="1660" w:type="dxa"/>
          </w:tcPr>
          <w:p w:rsidR="00000000" w:rsidRDefault="00000000">
            <w:pPr>
              <w:pStyle w:val="a2"/>
              <w:spacing w:before="40" w:line="216" w:lineRule="auto"/>
              <w:jc w:val="left"/>
              <w:rPr>
                <w:rFonts w:hint="eastAsia"/>
                <w:spacing w:val="-6"/>
                <w:lang w:val="en-GB"/>
              </w:rPr>
            </w:pPr>
            <w:r>
              <w:rPr>
                <w:rFonts w:hint="eastAsia"/>
                <w:spacing w:val="-6"/>
                <w:lang w:val="en-GB"/>
              </w:rPr>
              <w:t>巴奇—基什孔</w:t>
            </w:r>
          </w:p>
        </w:tc>
        <w:tc>
          <w:tcPr>
            <w:tcW w:w="1134" w:type="dxa"/>
            <w:vAlign w:val="center"/>
          </w:tcPr>
          <w:p w:rsidR="00000000" w:rsidRDefault="00000000">
            <w:pPr>
              <w:pStyle w:val="a2"/>
              <w:jc w:val="center"/>
              <w:rPr>
                <w:lang w:val="en-GB"/>
              </w:rPr>
            </w:pPr>
            <w:r>
              <w:rPr>
                <w:lang w:val="en-GB"/>
              </w:rPr>
              <w:t>-</w:t>
            </w:r>
          </w:p>
        </w:tc>
        <w:tc>
          <w:tcPr>
            <w:tcW w:w="1134" w:type="dxa"/>
            <w:vAlign w:val="center"/>
          </w:tcPr>
          <w:p w:rsidR="00000000" w:rsidRDefault="00000000">
            <w:pPr>
              <w:pStyle w:val="a2"/>
              <w:jc w:val="center"/>
              <w:rPr>
                <w:lang w:val="en-GB"/>
              </w:rPr>
            </w:pPr>
            <w:r>
              <w:rPr>
                <w:lang w:val="en-GB"/>
              </w:rPr>
              <w:t>-</w:t>
            </w:r>
          </w:p>
        </w:tc>
        <w:tc>
          <w:tcPr>
            <w:tcW w:w="1134" w:type="dxa"/>
            <w:vAlign w:val="center"/>
          </w:tcPr>
          <w:p w:rsidR="00000000" w:rsidRDefault="00000000">
            <w:pPr>
              <w:pStyle w:val="a2"/>
              <w:jc w:val="center"/>
              <w:rPr>
                <w:lang w:val="en-GB"/>
              </w:rPr>
            </w:pPr>
            <w:r>
              <w:rPr>
                <w:lang w:val="en-GB"/>
              </w:rPr>
              <w:t>-</w:t>
            </w:r>
          </w:p>
        </w:tc>
        <w:tc>
          <w:tcPr>
            <w:tcW w:w="1134" w:type="dxa"/>
            <w:vAlign w:val="center"/>
          </w:tcPr>
          <w:p w:rsidR="00000000" w:rsidRDefault="00000000">
            <w:pPr>
              <w:pStyle w:val="a2"/>
              <w:jc w:val="center"/>
              <w:rPr>
                <w:lang w:val="en-GB"/>
              </w:rPr>
            </w:pPr>
            <w:r>
              <w:rPr>
                <w:lang w:val="en-GB"/>
              </w:rPr>
              <w:t>-</w:t>
            </w:r>
          </w:p>
        </w:tc>
        <w:tc>
          <w:tcPr>
            <w:tcW w:w="1134" w:type="dxa"/>
            <w:vAlign w:val="center"/>
          </w:tcPr>
          <w:p w:rsidR="00000000" w:rsidRDefault="00000000">
            <w:pPr>
              <w:pStyle w:val="a2"/>
              <w:jc w:val="center"/>
              <w:rPr>
                <w:lang w:val="en-GB"/>
              </w:rPr>
            </w:pPr>
            <w:r>
              <w:rPr>
                <w:lang w:val="en-GB"/>
              </w:rPr>
              <w:t>19.7</w:t>
            </w:r>
          </w:p>
        </w:tc>
        <w:tc>
          <w:tcPr>
            <w:tcW w:w="1134" w:type="dxa"/>
            <w:vAlign w:val="center"/>
          </w:tcPr>
          <w:p w:rsidR="00000000" w:rsidRDefault="00000000">
            <w:pPr>
              <w:pStyle w:val="a2"/>
              <w:jc w:val="center"/>
              <w:rPr>
                <w:lang w:val="en-GB"/>
              </w:rPr>
            </w:pPr>
          </w:p>
        </w:tc>
      </w:tr>
      <w:tr w:rsidR="00000000">
        <w:tblPrEx>
          <w:tblCellMar>
            <w:top w:w="0" w:type="dxa"/>
            <w:bottom w:w="0" w:type="dxa"/>
          </w:tblCellMar>
        </w:tblPrEx>
        <w:tc>
          <w:tcPr>
            <w:tcW w:w="1660" w:type="dxa"/>
          </w:tcPr>
          <w:p w:rsidR="00000000" w:rsidRDefault="00000000">
            <w:pPr>
              <w:pStyle w:val="a2"/>
              <w:spacing w:before="40" w:line="216" w:lineRule="auto"/>
              <w:jc w:val="left"/>
              <w:rPr>
                <w:rFonts w:hint="eastAsia"/>
                <w:spacing w:val="-6"/>
                <w:lang w:val="en-GB"/>
              </w:rPr>
            </w:pPr>
            <w:r>
              <w:rPr>
                <w:rFonts w:hint="eastAsia"/>
                <w:spacing w:val="-6"/>
                <w:lang w:val="en-GB"/>
              </w:rPr>
              <w:t>亚斯—</w:t>
            </w:r>
            <w:r>
              <w:rPr>
                <w:spacing w:val="-6"/>
                <w:lang w:val="en-GB"/>
              </w:rPr>
              <w:t>那吉孔</w:t>
            </w:r>
            <w:r>
              <w:rPr>
                <w:rFonts w:hint="eastAsia"/>
                <w:spacing w:val="-6"/>
                <w:lang w:val="en-GB"/>
              </w:rPr>
              <w:t>—索尔诺克</w:t>
            </w:r>
          </w:p>
        </w:tc>
        <w:tc>
          <w:tcPr>
            <w:tcW w:w="1134" w:type="dxa"/>
            <w:vAlign w:val="center"/>
          </w:tcPr>
          <w:p w:rsidR="00000000" w:rsidRDefault="00000000">
            <w:pPr>
              <w:pStyle w:val="a2"/>
              <w:jc w:val="center"/>
              <w:rPr>
                <w:lang w:val="en-GB"/>
              </w:rPr>
            </w:pPr>
            <w:r>
              <w:rPr>
                <w:lang w:val="en-GB"/>
              </w:rPr>
              <w:t>-</w:t>
            </w:r>
          </w:p>
        </w:tc>
        <w:tc>
          <w:tcPr>
            <w:tcW w:w="1134" w:type="dxa"/>
            <w:vAlign w:val="center"/>
          </w:tcPr>
          <w:p w:rsidR="00000000" w:rsidRDefault="00000000">
            <w:pPr>
              <w:pStyle w:val="a2"/>
              <w:jc w:val="center"/>
              <w:rPr>
                <w:lang w:val="en-GB"/>
              </w:rPr>
            </w:pPr>
            <w:r>
              <w:rPr>
                <w:lang w:val="en-GB"/>
              </w:rPr>
              <w:t>-</w:t>
            </w:r>
          </w:p>
        </w:tc>
        <w:tc>
          <w:tcPr>
            <w:tcW w:w="1134" w:type="dxa"/>
            <w:vAlign w:val="center"/>
          </w:tcPr>
          <w:p w:rsidR="00000000" w:rsidRDefault="00000000">
            <w:pPr>
              <w:pStyle w:val="a2"/>
              <w:jc w:val="center"/>
              <w:rPr>
                <w:lang w:val="en-GB"/>
              </w:rPr>
            </w:pPr>
            <w:r>
              <w:rPr>
                <w:lang w:val="en-GB"/>
              </w:rPr>
              <w:t>-</w:t>
            </w:r>
          </w:p>
        </w:tc>
        <w:tc>
          <w:tcPr>
            <w:tcW w:w="1134" w:type="dxa"/>
            <w:vAlign w:val="center"/>
          </w:tcPr>
          <w:p w:rsidR="00000000" w:rsidRDefault="00000000">
            <w:pPr>
              <w:pStyle w:val="a2"/>
              <w:jc w:val="center"/>
              <w:rPr>
                <w:lang w:val="en-GB"/>
              </w:rPr>
            </w:pPr>
            <w:r>
              <w:rPr>
                <w:lang w:val="en-GB"/>
              </w:rPr>
              <w:t>-</w:t>
            </w:r>
          </w:p>
        </w:tc>
        <w:tc>
          <w:tcPr>
            <w:tcW w:w="1134" w:type="dxa"/>
            <w:vAlign w:val="center"/>
          </w:tcPr>
          <w:p w:rsidR="00000000" w:rsidRDefault="00000000">
            <w:pPr>
              <w:pStyle w:val="a2"/>
              <w:jc w:val="center"/>
              <w:rPr>
                <w:lang w:val="en-GB"/>
              </w:rPr>
            </w:pPr>
            <w:r>
              <w:rPr>
                <w:lang w:val="en-GB"/>
              </w:rPr>
              <w:t>15.7</w:t>
            </w:r>
          </w:p>
        </w:tc>
        <w:tc>
          <w:tcPr>
            <w:tcW w:w="1134" w:type="dxa"/>
            <w:vAlign w:val="center"/>
          </w:tcPr>
          <w:p w:rsidR="00000000" w:rsidRDefault="00000000">
            <w:pPr>
              <w:pStyle w:val="a2"/>
              <w:jc w:val="center"/>
              <w:rPr>
                <w:lang w:val="en-GB"/>
              </w:rPr>
            </w:pPr>
          </w:p>
        </w:tc>
      </w:tr>
      <w:tr w:rsidR="00000000">
        <w:tblPrEx>
          <w:tblCellMar>
            <w:top w:w="0" w:type="dxa"/>
            <w:bottom w:w="0" w:type="dxa"/>
          </w:tblCellMar>
        </w:tblPrEx>
        <w:tc>
          <w:tcPr>
            <w:tcW w:w="1660" w:type="dxa"/>
          </w:tcPr>
          <w:p w:rsidR="00000000" w:rsidRDefault="00000000">
            <w:pPr>
              <w:pStyle w:val="a2"/>
              <w:spacing w:before="40" w:line="216" w:lineRule="auto"/>
              <w:jc w:val="center"/>
              <w:rPr>
                <w:rFonts w:ascii="Time New Roman" w:eastAsia="SimHei" w:hAnsi="Time New Roman" w:hint="eastAsia"/>
                <w:iCs/>
                <w:spacing w:val="-6"/>
                <w:lang w:val="en-GB"/>
              </w:rPr>
            </w:pPr>
            <w:r>
              <w:rPr>
                <w:rFonts w:ascii="Time New Roman" w:eastAsia="SimHei" w:hAnsi="Time New Roman" w:hint="eastAsia"/>
                <w:iCs/>
                <w:spacing w:val="-6"/>
                <w:lang w:val="en-GB"/>
              </w:rPr>
              <w:t>总</w:t>
            </w:r>
            <w:r>
              <w:rPr>
                <w:rFonts w:ascii="Time New Roman" w:eastAsia="SimHei" w:hAnsi="Time New Roman" w:hint="eastAsia"/>
                <w:iCs/>
                <w:spacing w:val="-6"/>
                <w:lang w:val="en-GB"/>
              </w:rPr>
              <w:t xml:space="preserve">  </w:t>
            </w:r>
            <w:r>
              <w:rPr>
                <w:rFonts w:ascii="Time New Roman" w:eastAsia="SimHei" w:hAnsi="Time New Roman" w:hint="eastAsia"/>
                <w:iCs/>
                <w:spacing w:val="-6"/>
                <w:lang w:val="en-GB"/>
              </w:rPr>
              <w:t>计</w:t>
            </w:r>
          </w:p>
        </w:tc>
        <w:tc>
          <w:tcPr>
            <w:tcW w:w="1134" w:type="dxa"/>
            <w:vAlign w:val="center"/>
          </w:tcPr>
          <w:p w:rsidR="00000000" w:rsidRDefault="00000000">
            <w:pPr>
              <w:pStyle w:val="a2"/>
              <w:jc w:val="center"/>
              <w:rPr>
                <w:lang w:val="en-GB"/>
              </w:rPr>
            </w:pPr>
            <w:r>
              <w:rPr>
                <w:lang w:val="en-GB"/>
              </w:rPr>
              <w:t>351</w:t>
            </w:r>
          </w:p>
        </w:tc>
        <w:tc>
          <w:tcPr>
            <w:tcW w:w="1134" w:type="dxa"/>
            <w:vAlign w:val="center"/>
          </w:tcPr>
          <w:p w:rsidR="00000000" w:rsidRDefault="00000000">
            <w:pPr>
              <w:pStyle w:val="a2"/>
              <w:jc w:val="center"/>
              <w:rPr>
                <w:lang w:val="en-GB"/>
              </w:rPr>
            </w:pPr>
            <w:r>
              <w:rPr>
                <w:lang w:val="en-GB"/>
              </w:rPr>
              <w:t>240</w:t>
            </w:r>
          </w:p>
        </w:tc>
        <w:tc>
          <w:tcPr>
            <w:tcW w:w="1134" w:type="dxa"/>
            <w:vAlign w:val="center"/>
          </w:tcPr>
          <w:p w:rsidR="00000000" w:rsidRDefault="00000000">
            <w:pPr>
              <w:pStyle w:val="a2"/>
              <w:jc w:val="center"/>
              <w:rPr>
                <w:lang w:val="en-GB"/>
              </w:rPr>
            </w:pPr>
            <w:r>
              <w:rPr>
                <w:lang w:val="en-GB"/>
              </w:rPr>
              <w:t>209.6</w:t>
            </w:r>
          </w:p>
        </w:tc>
        <w:tc>
          <w:tcPr>
            <w:tcW w:w="1134" w:type="dxa"/>
            <w:vAlign w:val="center"/>
          </w:tcPr>
          <w:p w:rsidR="00000000" w:rsidRDefault="00000000">
            <w:pPr>
              <w:pStyle w:val="a2"/>
              <w:jc w:val="center"/>
              <w:rPr>
                <w:lang w:val="en-GB"/>
              </w:rPr>
            </w:pPr>
            <w:r>
              <w:rPr>
                <w:lang w:val="en-GB"/>
              </w:rPr>
              <w:t>264</w:t>
            </w:r>
          </w:p>
        </w:tc>
        <w:tc>
          <w:tcPr>
            <w:tcW w:w="1134" w:type="dxa"/>
            <w:vAlign w:val="center"/>
          </w:tcPr>
          <w:p w:rsidR="00000000" w:rsidRDefault="00000000">
            <w:pPr>
              <w:pStyle w:val="a2"/>
              <w:jc w:val="center"/>
              <w:rPr>
                <w:lang w:val="en-GB"/>
              </w:rPr>
            </w:pPr>
            <w:r>
              <w:rPr>
                <w:lang w:val="en-GB"/>
              </w:rPr>
              <w:t>131</w:t>
            </w:r>
          </w:p>
        </w:tc>
        <w:tc>
          <w:tcPr>
            <w:tcW w:w="1134" w:type="dxa"/>
            <w:vAlign w:val="center"/>
          </w:tcPr>
          <w:p w:rsidR="00000000" w:rsidRDefault="00000000">
            <w:pPr>
              <w:pStyle w:val="a2"/>
              <w:jc w:val="center"/>
              <w:rPr>
                <w:lang w:val="en-GB"/>
              </w:rPr>
            </w:pPr>
            <w:r>
              <w:rPr>
                <w:lang w:val="en-GB"/>
              </w:rPr>
              <w:t>1,195.6</w:t>
            </w:r>
          </w:p>
        </w:tc>
      </w:tr>
    </w:tbl>
    <w:p w:rsidR="00000000" w:rsidRDefault="00000000">
      <w:pPr>
        <w:pStyle w:val="a6"/>
        <w:ind w:firstLine="510"/>
        <w:rPr>
          <w:rFonts w:eastAsia="SimSun" w:hint="eastAsia"/>
        </w:rPr>
      </w:pPr>
    </w:p>
    <w:p w:rsidR="00000000" w:rsidRDefault="00000000">
      <w:pPr>
        <w:ind w:firstLine="510"/>
        <w:rPr>
          <w:rFonts w:hint="eastAsia"/>
        </w:rPr>
      </w:pPr>
      <w:r>
        <w:rPr>
          <w:rFonts w:hint="eastAsia"/>
        </w:rPr>
        <w:t xml:space="preserve">696.  </w:t>
      </w:r>
      <w:r>
        <w:rPr>
          <w:rFonts w:hint="eastAsia"/>
        </w:rPr>
        <w:t>除此之外，该部预算中还拨出大笔资金用于保存和修复最有价值的文化遗产。其中值得关注的有千年投资、皇家城镇、中世纪教堂、博物馆重建或最杰出建筑物的翻修等工程。皇家城镇项目的启动旨在保存前皇家内海的中世纪遗迹。该项目涉及到五个主要的城镇。中世纪教堂项目框架内赋予的资金翻新了</w:t>
      </w:r>
      <w:r>
        <w:rPr>
          <w:rFonts w:hint="eastAsia"/>
        </w:rPr>
        <w:t>51</w:t>
      </w:r>
      <w:r>
        <w:rPr>
          <w:rFonts w:hint="eastAsia"/>
        </w:rPr>
        <w:t>个最早的中世纪小教堂。同样，相当多的资金也拨给了最杰出博物馆、教堂和其他建筑物用于刷新。</w:t>
      </w:r>
    </w:p>
    <w:p w:rsidR="00000000" w:rsidRDefault="00000000">
      <w:pPr>
        <w:ind w:firstLine="510"/>
        <w:rPr>
          <w:rFonts w:hint="eastAsia"/>
        </w:rPr>
      </w:pPr>
      <w:r>
        <w:rPr>
          <w:rFonts w:hint="eastAsia"/>
        </w:rPr>
        <w:t xml:space="preserve">697.  </w:t>
      </w:r>
      <w:r>
        <w:rPr>
          <w:rFonts w:hint="eastAsia"/>
        </w:rPr>
        <w:t>国家文化遗产部也为位于邻国原本属于匈牙利的不可移动文化遗产场址的保存和研究提供了资金。这项资金援助是通过国家遗产方案进行，每年金额在</w:t>
      </w:r>
      <w:r>
        <w:rPr>
          <w:rFonts w:hint="eastAsia"/>
        </w:rPr>
        <w:t>1,300-1,400</w:t>
      </w:r>
      <w:r>
        <w:rPr>
          <w:rFonts w:hint="eastAsia"/>
        </w:rPr>
        <w:t>万福林之间。</w:t>
      </w:r>
    </w:p>
    <w:p w:rsidR="00000000" w:rsidRDefault="00000000">
      <w:pPr>
        <w:spacing w:after="320"/>
        <w:ind w:firstLine="510"/>
        <w:rPr>
          <w:rFonts w:hint="eastAsia"/>
        </w:rPr>
      </w:pPr>
      <w:r>
        <w:rPr>
          <w:rFonts w:hint="eastAsia"/>
        </w:rPr>
        <w:t xml:space="preserve">698.  </w:t>
      </w:r>
      <w:r>
        <w:rPr>
          <w:rFonts w:hint="eastAsia"/>
        </w:rPr>
        <w:t>地方保护遗产的所有者也可以通过地方当局或市政府以及内务部启动的项目得到国家资助进行修复。</w:t>
      </w:r>
    </w:p>
    <w:p w:rsidR="00000000" w:rsidRDefault="00000000">
      <w:pPr>
        <w:pStyle w:val="Heading4"/>
        <w:rPr>
          <w:rFonts w:eastAsia="KaiTi_GB2312" w:hint="eastAsia"/>
          <w:snapToGrid/>
          <w:spacing w:val="0"/>
          <w:u w:val="none"/>
        </w:rPr>
      </w:pPr>
      <w:r>
        <w:rPr>
          <w:rFonts w:eastAsia="KaiTi_GB2312" w:hint="eastAsia"/>
          <w:snapToGrid/>
          <w:spacing w:val="0"/>
          <w:u w:val="none"/>
        </w:rPr>
        <w:t>保卫和展示人类的不可移动文化遗产</w:t>
      </w:r>
    </w:p>
    <w:p w:rsidR="00000000" w:rsidRDefault="00000000">
      <w:pPr>
        <w:pStyle w:val="Heading4"/>
        <w:ind w:left="520"/>
        <w:rPr>
          <w:rFonts w:hint="eastAsia"/>
        </w:rPr>
      </w:pPr>
      <w:r>
        <w:rPr>
          <w:rFonts w:hint="eastAsia"/>
        </w:rPr>
        <w:t>世界遗产</w:t>
      </w:r>
    </w:p>
    <w:p w:rsidR="00000000" w:rsidRDefault="00000000">
      <w:pPr>
        <w:widowControl w:val="0"/>
        <w:ind w:firstLine="510"/>
        <w:rPr>
          <w:rFonts w:hint="eastAsia"/>
        </w:rPr>
      </w:pPr>
      <w:r>
        <w:rPr>
          <w:rFonts w:hint="eastAsia"/>
        </w:rPr>
        <w:t>699.  1998</w:t>
      </w:r>
      <w:r>
        <w:rPr>
          <w:rFonts w:hint="eastAsia"/>
        </w:rPr>
        <w:t>年以前，处理涉及世界文化遗产的问题属于环境部的责任范围。</w:t>
      </w:r>
      <w:r>
        <w:rPr>
          <w:rFonts w:hint="eastAsia"/>
        </w:rPr>
        <w:t>1998</w:t>
      </w:r>
      <w:r>
        <w:rPr>
          <w:rFonts w:hint="eastAsia"/>
        </w:rPr>
        <w:t>年，这些事务移交到新成立的国家文化遗产部，并在该部受到非同寻常的关注。匈牙利具有全球价值并列入世界遗产名单的遗产达到</w:t>
      </w:r>
      <w:r>
        <w:rPr>
          <w:rFonts w:hint="eastAsia"/>
        </w:rPr>
        <w:t>8</w:t>
      </w:r>
      <w:r>
        <w:rPr>
          <w:rFonts w:hint="eastAsia"/>
        </w:rPr>
        <w:t>项，其中</w:t>
      </w:r>
    </w:p>
    <w:p w:rsidR="00000000" w:rsidRDefault="00000000">
      <w:pPr>
        <w:pStyle w:val="a0"/>
        <w:ind w:left="1550"/>
        <w:rPr>
          <w:rFonts w:hint="eastAsia"/>
        </w:rPr>
      </w:pPr>
      <w:r>
        <w:rPr>
          <w:rFonts w:hint="eastAsia"/>
        </w:rPr>
        <w:t>一项是自然遗产：</w:t>
      </w:r>
    </w:p>
    <w:p w:rsidR="00000000" w:rsidRDefault="00000000">
      <w:pPr>
        <w:ind w:left="1040" w:firstLine="535"/>
        <w:rPr>
          <w:rFonts w:hint="eastAsia"/>
        </w:rPr>
      </w:pPr>
      <w:r>
        <w:fldChar w:fldCharType="begin"/>
      </w:r>
      <w:r>
        <w:instrText xml:space="preserve"> HYPERLINK "http://zh.wikipedia.org/w/index.php?title=%E5%A5%A5%E6%A0%BC%E6%B3%B0%E8%8E%B1%E5%85%8B&amp;action=edit" \o "</w:instrText>
      </w:r>
      <w:r>
        <w:instrText>奥格泰莱克</w:instrText>
      </w:r>
      <w:r>
        <w:instrText xml:space="preserve">" </w:instrText>
      </w:r>
      <w:r>
        <w:fldChar w:fldCharType="separate"/>
      </w:r>
      <w:r>
        <w:rPr>
          <w:rFonts w:hint="eastAsia"/>
        </w:rPr>
        <w:t>奥格泰莱克</w:t>
      </w:r>
      <w:r>
        <w:fldChar w:fldCharType="end"/>
      </w:r>
      <w:r>
        <w:fldChar w:fldCharType="begin"/>
      </w:r>
      <w:r>
        <w:instrText xml:space="preserve"> HYPERLINK "http://zh.wikipedia.org/wiki/%E5%96%80%E6%96%AF%E7%89%B9%E5%9C%B0%E5%BD%A2" \o "</w:instrText>
      </w:r>
      <w:r>
        <w:instrText>喀斯特地形</w:instrText>
      </w:r>
      <w:r>
        <w:instrText xml:space="preserve">" </w:instrText>
      </w:r>
      <w:r>
        <w:fldChar w:fldCharType="separate"/>
      </w:r>
      <w:r>
        <w:rPr>
          <w:rFonts w:hint="eastAsia"/>
        </w:rPr>
        <w:t>喀斯特</w:t>
      </w:r>
      <w:r>
        <w:fldChar w:fldCharType="end"/>
      </w:r>
      <w:r>
        <w:rPr>
          <w:rFonts w:hint="eastAsia"/>
        </w:rPr>
        <w:t>岩洞和斯洛伐克的喀斯特地貌，</w:t>
      </w:r>
    </w:p>
    <w:p w:rsidR="00000000" w:rsidRDefault="00000000">
      <w:pPr>
        <w:pStyle w:val="a0"/>
        <w:ind w:left="1550"/>
        <w:rPr>
          <w:rFonts w:hint="eastAsia"/>
        </w:rPr>
      </w:pPr>
      <w:r>
        <w:rPr>
          <w:rFonts w:hint="eastAsia"/>
        </w:rPr>
        <w:t>四项是文化遗址：</w:t>
      </w:r>
    </w:p>
    <w:p w:rsidR="00000000" w:rsidRDefault="00000000">
      <w:pPr>
        <w:ind w:left="1040" w:firstLine="535"/>
        <w:rPr>
          <w:rFonts w:hint="eastAsia"/>
        </w:rPr>
      </w:pPr>
      <w:r>
        <w:fldChar w:fldCharType="begin"/>
      </w:r>
      <w:r>
        <w:instrText xml:space="preserve"> HYPERLINK "http://zh.wikipedia.org/wiki/%E5%B8%83%E8%BE%BE%E4%BD%A9%E6%96%AF" \o "</w:instrText>
      </w:r>
      <w:r>
        <w:instrText>布达佩斯</w:instrText>
      </w:r>
      <w:r>
        <w:instrText xml:space="preserve">" </w:instrText>
      </w:r>
      <w:r>
        <w:fldChar w:fldCharType="separate"/>
      </w:r>
      <w:r>
        <w:rPr>
          <w:rFonts w:hint="eastAsia"/>
        </w:rPr>
        <w:t>布</w:t>
      </w:r>
      <w:r>
        <w:rPr>
          <w:rFonts w:hint="eastAsia"/>
        </w:rPr>
        <w:t>达</w:t>
      </w:r>
      <w:r>
        <w:rPr>
          <w:rFonts w:hint="eastAsia"/>
        </w:rPr>
        <w:t>佩斯</w:t>
      </w:r>
      <w:r>
        <w:fldChar w:fldCharType="end"/>
      </w:r>
      <w:r>
        <w:rPr>
          <w:rFonts w:hint="eastAsia"/>
        </w:rPr>
        <w:t>，包括</w:t>
      </w:r>
      <w:hyperlink r:id="rId11" w:tooltip="多瑙河" w:history="1">
        <w:r>
          <w:rPr>
            <w:rFonts w:hint="eastAsia"/>
          </w:rPr>
          <w:t>多瑙河</w:t>
        </w:r>
      </w:hyperlink>
      <w:r>
        <w:rPr>
          <w:rFonts w:hint="eastAsia"/>
        </w:rPr>
        <w:t>岸、</w:t>
      </w:r>
      <w:hyperlink r:id="rId12" w:tooltip="布达城堡地区" w:history="1">
        <w:r>
          <w:rPr>
            <w:rFonts w:hint="eastAsia"/>
          </w:rPr>
          <w:t>布达城堡地区</w:t>
        </w:r>
      </w:hyperlink>
      <w:r>
        <w:rPr>
          <w:rFonts w:hint="eastAsia"/>
        </w:rPr>
        <w:t>和</w:t>
      </w:r>
      <w:hyperlink r:id="rId13" w:tooltip="安德拉希大街" w:history="1">
        <w:r>
          <w:rPr>
            <w:rFonts w:hint="eastAsia"/>
          </w:rPr>
          <w:t>安德拉希大街</w:t>
        </w:r>
      </w:hyperlink>
      <w:r>
        <w:rPr>
          <w:rFonts w:hint="eastAsia"/>
        </w:rPr>
        <w:t>，</w:t>
      </w:r>
    </w:p>
    <w:p w:rsidR="00000000" w:rsidRDefault="00000000">
      <w:pPr>
        <w:ind w:left="1040" w:firstLine="535"/>
        <w:rPr>
          <w:rFonts w:hint="eastAsia"/>
        </w:rPr>
      </w:pPr>
      <w:r>
        <w:fldChar w:fldCharType="begin"/>
      </w:r>
      <w:r>
        <w:instrText xml:space="preserve"> HYPERLINK "http://zh.wikipedia.org/w/index.php?title=%E9%9C%8D%E6%B4%9B%E5%85%8B&amp;action=edit" \o "</w:instrText>
      </w:r>
      <w:r>
        <w:instrText>霍洛克</w:instrText>
      </w:r>
      <w:r>
        <w:instrText xml:space="preserve">" </w:instrText>
      </w:r>
      <w:r>
        <w:fldChar w:fldCharType="separate"/>
      </w:r>
      <w:r>
        <w:rPr>
          <w:rFonts w:hint="eastAsia"/>
        </w:rPr>
        <w:t>霍洛克</w:t>
      </w:r>
      <w:r>
        <w:fldChar w:fldCharType="end"/>
      </w:r>
      <w:r>
        <w:rPr>
          <w:rFonts w:hint="eastAsia"/>
        </w:rPr>
        <w:t>古村落及其周围地区，</w:t>
      </w:r>
    </w:p>
    <w:p w:rsidR="00000000" w:rsidRDefault="00000000">
      <w:pPr>
        <w:ind w:left="1040" w:firstLine="535"/>
        <w:rPr>
          <w:rFonts w:hint="eastAsia"/>
        </w:rPr>
      </w:pPr>
      <w:hyperlink r:id="rId14" w:tooltip="蓬农豪尔毛" w:history="1">
        <w:r>
          <w:rPr>
            <w:rFonts w:hint="eastAsia"/>
          </w:rPr>
          <w:t>蓬农豪</w:t>
        </w:r>
        <w:r>
          <w:rPr>
            <w:rFonts w:hint="eastAsia"/>
          </w:rPr>
          <w:t>尔</w:t>
        </w:r>
        <w:r>
          <w:rPr>
            <w:rFonts w:hint="eastAsia"/>
          </w:rPr>
          <w:t>毛</w:t>
        </w:r>
      </w:hyperlink>
      <w:r>
        <w:rPr>
          <w:rFonts w:hint="eastAsia"/>
        </w:rPr>
        <w:t>的</w:t>
      </w:r>
      <w:hyperlink r:id="rId15" w:tooltip="千年本笃会修道院" w:history="1">
        <w:r>
          <w:rPr>
            <w:rFonts w:hint="eastAsia"/>
          </w:rPr>
          <w:t>千年本笃会修道院</w:t>
        </w:r>
      </w:hyperlink>
      <w:r>
        <w:rPr>
          <w:rFonts w:hint="eastAsia"/>
        </w:rPr>
        <w:t>及其自然环境，</w:t>
      </w:r>
    </w:p>
    <w:p w:rsidR="00000000" w:rsidRDefault="00000000">
      <w:pPr>
        <w:ind w:left="1040" w:firstLine="535"/>
        <w:rPr>
          <w:rFonts w:hint="eastAsia"/>
        </w:rPr>
      </w:pPr>
      <w:hyperlink r:id="rId16" w:tooltip="佩奇" w:history="1">
        <w:r>
          <w:rPr>
            <w:rFonts w:hint="eastAsia"/>
          </w:rPr>
          <w:t>佩奇</w:t>
        </w:r>
      </w:hyperlink>
      <w:r>
        <w:rPr>
          <w:rFonts w:hint="eastAsia"/>
        </w:rPr>
        <w:t>的早期</w:t>
      </w:r>
      <w:hyperlink r:id="rId17" w:tooltip="基督教" w:history="1">
        <w:r>
          <w:rPr>
            <w:rFonts w:hint="eastAsia"/>
          </w:rPr>
          <w:t>基</w:t>
        </w:r>
        <w:r>
          <w:rPr>
            <w:rFonts w:hint="eastAsia"/>
          </w:rPr>
          <w:t>督</w:t>
        </w:r>
        <w:r>
          <w:rPr>
            <w:rFonts w:hint="eastAsia"/>
          </w:rPr>
          <w:t>教</w:t>
        </w:r>
      </w:hyperlink>
      <w:r>
        <w:rPr>
          <w:rFonts w:hint="eastAsia"/>
        </w:rPr>
        <w:t>墓地</w:t>
      </w:r>
    </w:p>
    <w:p w:rsidR="00000000" w:rsidRDefault="00000000">
      <w:pPr>
        <w:pStyle w:val="a0"/>
        <w:ind w:left="1550"/>
        <w:rPr>
          <w:rFonts w:hint="eastAsia"/>
        </w:rPr>
      </w:pPr>
      <w:r>
        <w:rPr>
          <w:rFonts w:hint="eastAsia"/>
        </w:rPr>
        <w:t>三项是文化景观：</w:t>
      </w:r>
    </w:p>
    <w:p w:rsidR="00000000" w:rsidRDefault="00000000">
      <w:pPr>
        <w:ind w:left="1040" w:firstLine="535"/>
        <w:rPr>
          <w:rFonts w:hint="eastAsia"/>
        </w:rPr>
      </w:pPr>
      <w:hyperlink r:id="rId18" w:tooltip="霍尔托巴吉国家公园" w:history="1">
        <w:r>
          <w:rPr>
            <w:rFonts w:hint="eastAsia"/>
          </w:rPr>
          <w:t>霍尔托巴吉国家公园</w:t>
        </w:r>
      </w:hyperlink>
      <w:r>
        <w:rPr>
          <w:rFonts w:hint="eastAsia"/>
        </w:rPr>
        <w:t>—</w:t>
      </w:r>
      <w:hyperlink r:id="rId19" w:tooltip="匈牙利大平原" w:history="1">
        <w:r>
          <w:rPr>
            <w:rFonts w:hint="eastAsia"/>
          </w:rPr>
          <w:t>匈牙利大平原</w:t>
        </w:r>
      </w:hyperlink>
    </w:p>
    <w:p w:rsidR="00000000" w:rsidRDefault="00000000">
      <w:pPr>
        <w:ind w:left="1040" w:firstLine="535"/>
        <w:rPr>
          <w:rFonts w:hint="eastAsia"/>
        </w:rPr>
      </w:pPr>
      <w:r>
        <w:fldChar w:fldCharType="begin"/>
      </w:r>
      <w:r>
        <w:instrText xml:space="preserve"> HYPERLINK "http://zh.wikipedia.org/w/index.php?title=%E8%B4%B9%E5%B0%94%E7%89%B9%E6%B9%96&amp;action=edit" \o "</w:instrText>
      </w:r>
      <w:r>
        <w:instrText>费尔特湖</w:instrText>
      </w:r>
      <w:r>
        <w:instrText xml:space="preserve">" </w:instrText>
      </w:r>
      <w:r>
        <w:fldChar w:fldCharType="separate"/>
      </w:r>
      <w:r>
        <w:rPr>
          <w:rFonts w:hint="eastAsia"/>
        </w:rPr>
        <w:t>费尔特湖</w:t>
      </w:r>
      <w:r>
        <w:fldChar w:fldCharType="end"/>
      </w:r>
      <w:r>
        <w:t>/</w:t>
      </w:r>
      <w:hyperlink r:id="rId20" w:tooltip="新锡德尔湖" w:history="1">
        <w:r>
          <w:rPr>
            <w:rFonts w:hint="eastAsia"/>
          </w:rPr>
          <w:t>新锡德尔湖</w:t>
        </w:r>
      </w:hyperlink>
      <w:r>
        <w:rPr>
          <w:rFonts w:hint="eastAsia"/>
        </w:rPr>
        <w:t>文化景观</w:t>
      </w:r>
    </w:p>
    <w:p w:rsidR="00000000" w:rsidRDefault="00000000">
      <w:pPr>
        <w:ind w:left="1040" w:firstLine="535"/>
        <w:rPr>
          <w:rFonts w:hint="eastAsia"/>
        </w:rPr>
      </w:pPr>
      <w:hyperlink r:id="rId21" w:tooltip="托卡伊" w:history="1">
        <w:r>
          <w:rPr>
            <w:rFonts w:hint="eastAsia"/>
          </w:rPr>
          <w:t>托</w:t>
        </w:r>
        <w:r>
          <w:rPr>
            <w:rFonts w:hint="eastAsia"/>
          </w:rPr>
          <w:t>卡</w:t>
        </w:r>
        <w:r>
          <w:rPr>
            <w:rFonts w:hint="eastAsia"/>
          </w:rPr>
          <w:t>伊</w:t>
        </w:r>
      </w:hyperlink>
      <w:hyperlink r:id="rId22" w:tooltip="葡萄酒" w:history="1">
        <w:r>
          <w:rPr>
            <w:rFonts w:hint="eastAsia"/>
          </w:rPr>
          <w:t>葡萄酒</w:t>
        </w:r>
      </w:hyperlink>
      <w:r>
        <w:rPr>
          <w:rFonts w:hint="eastAsia"/>
        </w:rPr>
        <w:t>产地历史文化景观</w:t>
      </w:r>
    </w:p>
    <w:p w:rsidR="00000000" w:rsidRDefault="00000000">
      <w:pPr>
        <w:pStyle w:val="a0"/>
        <w:ind w:left="1550"/>
        <w:rPr>
          <w:rFonts w:hint="eastAsia"/>
        </w:rPr>
      </w:pPr>
      <w:r>
        <w:rPr>
          <w:rFonts w:hint="eastAsia"/>
        </w:rPr>
        <w:t>其中两项是共有遗产：</w:t>
      </w:r>
    </w:p>
    <w:p w:rsidR="00000000" w:rsidRDefault="00000000">
      <w:pPr>
        <w:ind w:left="1470" w:firstLine="105"/>
        <w:rPr>
          <w:rFonts w:hint="eastAsia"/>
        </w:rPr>
      </w:pPr>
      <w:r>
        <w:rPr>
          <w:rFonts w:hint="eastAsia"/>
        </w:rPr>
        <w:t>一项与斯洛伐克共有</w:t>
      </w:r>
      <w:r>
        <w:rPr>
          <w:rFonts w:hint="eastAsia"/>
          <w:spacing w:val="-50"/>
        </w:rPr>
        <w:t>―</w:t>
      </w:r>
      <w:r>
        <w:rPr>
          <w:rFonts w:hint="eastAsia"/>
        </w:rPr>
        <w:t>―</w:t>
      </w:r>
      <w:r>
        <w:fldChar w:fldCharType="begin"/>
      </w:r>
      <w:r>
        <w:instrText xml:space="preserve"> HYPERLINK "http://zh.wikipedia.org/w/index.php?title=%E5%A5%A5%E6%A0%BC%E6%B3%B0%E8%8E%B1%E5%85%8B&amp;action=edit" \o "</w:instrText>
      </w:r>
      <w:r>
        <w:instrText>奥格泰莱克</w:instrText>
      </w:r>
      <w:r>
        <w:instrText xml:space="preserve">" </w:instrText>
      </w:r>
      <w:r>
        <w:fldChar w:fldCharType="separate"/>
      </w:r>
      <w:r>
        <w:rPr>
          <w:rFonts w:hint="eastAsia"/>
        </w:rPr>
        <w:t>奥格泰莱克</w:t>
      </w:r>
      <w:r>
        <w:fldChar w:fldCharType="end"/>
      </w:r>
      <w:r>
        <w:fldChar w:fldCharType="begin"/>
      </w:r>
      <w:r>
        <w:instrText xml:space="preserve"> HYPERLINK "http://zh.wikipedia.org/wiki/%E5%96%80%E6%96%AF%E7%89%B9%E5%9C%B0%E5%BD%A2" \o "</w:instrText>
      </w:r>
      <w:r>
        <w:instrText>喀斯特地形</w:instrText>
      </w:r>
      <w:r>
        <w:instrText xml:space="preserve">" </w:instrText>
      </w:r>
      <w:r>
        <w:fldChar w:fldCharType="separate"/>
      </w:r>
      <w:r>
        <w:rPr>
          <w:rFonts w:hint="eastAsia"/>
        </w:rPr>
        <w:t>喀斯特</w:t>
      </w:r>
      <w:r>
        <w:fldChar w:fldCharType="end"/>
      </w:r>
      <w:r>
        <w:rPr>
          <w:rFonts w:hint="eastAsia"/>
        </w:rPr>
        <w:t>岩洞和斯洛伐克的喀斯特地貌</w:t>
      </w:r>
    </w:p>
    <w:p w:rsidR="00000000" w:rsidRDefault="00000000">
      <w:pPr>
        <w:ind w:left="1040" w:firstLine="430"/>
      </w:pPr>
      <w:r>
        <w:rPr>
          <w:rFonts w:hint="eastAsia"/>
        </w:rPr>
        <w:t>一项与奥地利共有</w:t>
      </w:r>
      <w:r>
        <w:rPr>
          <w:rFonts w:hint="eastAsia"/>
          <w:spacing w:val="-50"/>
        </w:rPr>
        <w:t>―</w:t>
      </w:r>
      <w:r>
        <w:rPr>
          <w:rFonts w:hint="eastAsia"/>
        </w:rPr>
        <w:t>―</w:t>
      </w:r>
      <w:hyperlink r:id="rId23" w:tooltip="费尔特湖" w:history="1">
        <w:r>
          <w:rPr>
            <w:rFonts w:hint="eastAsia"/>
          </w:rPr>
          <w:t>费尔特湖</w:t>
        </w:r>
      </w:hyperlink>
      <w:r>
        <w:t>/</w:t>
      </w:r>
      <w:hyperlink r:id="rId24" w:tooltip="新锡德尔湖" w:history="1">
        <w:r>
          <w:rPr>
            <w:rFonts w:hint="eastAsia"/>
          </w:rPr>
          <w:t>新锡德尔湖</w:t>
        </w:r>
      </w:hyperlink>
      <w:r>
        <w:rPr>
          <w:rFonts w:hint="eastAsia"/>
        </w:rPr>
        <w:t>文化景观</w:t>
      </w:r>
    </w:p>
    <w:p w:rsidR="00000000" w:rsidRDefault="00000000">
      <w:pPr>
        <w:spacing w:after="320"/>
        <w:rPr>
          <w:rFonts w:hint="eastAsia"/>
          <w:snapToGrid/>
        </w:rPr>
      </w:pPr>
      <w:r>
        <w:rPr>
          <w:rFonts w:hint="eastAsia"/>
          <w:snapToGrid/>
        </w:rPr>
        <w:tab/>
        <w:t xml:space="preserve">700.  </w:t>
      </w:r>
      <w:r>
        <w:rPr>
          <w:rFonts w:hint="eastAsia"/>
          <w:snapToGrid/>
        </w:rPr>
        <w:t>国家文化遗产部的预算也对这些遗产的维修、保存研究与文献收集提供国家资金。每年用于这些目的的划拨资金达约</w:t>
      </w:r>
      <w:r>
        <w:rPr>
          <w:rFonts w:hint="eastAsia"/>
          <w:snapToGrid/>
        </w:rPr>
        <w:t>5000</w:t>
      </w:r>
      <w:r>
        <w:rPr>
          <w:rFonts w:hint="eastAsia"/>
          <w:snapToGrid/>
        </w:rPr>
        <w:t>万福林。</w:t>
      </w:r>
    </w:p>
    <w:p w:rsidR="00000000" w:rsidRDefault="00000000">
      <w:pPr>
        <w:pStyle w:val="Heading4"/>
        <w:rPr>
          <w:rFonts w:eastAsia="KaiTi_GB2312" w:hint="eastAsia"/>
          <w:snapToGrid/>
          <w:spacing w:val="0"/>
          <w:u w:val="none"/>
        </w:rPr>
      </w:pPr>
      <w:r>
        <w:rPr>
          <w:rFonts w:eastAsia="KaiTi_GB2312" w:hint="eastAsia"/>
          <w:snapToGrid/>
          <w:spacing w:val="0"/>
          <w:u w:val="none"/>
        </w:rPr>
        <w:t>不可移动文化遗产领域的教育和职业培训</w:t>
      </w:r>
    </w:p>
    <w:p w:rsidR="00000000" w:rsidRDefault="00000000">
      <w:pPr>
        <w:spacing w:after="320"/>
        <w:rPr>
          <w:snapToGrid/>
        </w:rPr>
      </w:pPr>
      <w:r>
        <w:rPr>
          <w:rFonts w:hint="eastAsia"/>
          <w:snapToGrid/>
        </w:rPr>
        <w:tab/>
        <w:t xml:space="preserve">701.  </w:t>
      </w:r>
      <w:r>
        <w:rPr>
          <w:rFonts w:hint="eastAsia"/>
          <w:snapToGrid/>
        </w:rPr>
        <w:t>就目前有关课程和考试标准而言，年轻一代在遗产技能方面的教育属于国家文化遗产部的管辖范围。匈牙利教育机构内教授三门官方承认的文化遗产技能。</w:t>
      </w:r>
    </w:p>
    <w:p w:rsidR="00000000" w:rsidRDefault="00000000">
      <w:pPr>
        <w:pStyle w:val="Heading4"/>
        <w:rPr>
          <w:rFonts w:eastAsia="KaiTi_GB2312" w:hint="eastAsia"/>
          <w:snapToGrid/>
          <w:spacing w:val="0"/>
          <w:u w:val="none"/>
        </w:rPr>
      </w:pPr>
      <w:r>
        <w:rPr>
          <w:rFonts w:eastAsia="KaiTi_GB2312" w:hint="eastAsia"/>
          <w:snapToGrid/>
          <w:spacing w:val="0"/>
          <w:u w:val="none"/>
        </w:rPr>
        <w:t>支持科学学会、专业协会和其他职业及文化机构与协会的措施</w:t>
      </w:r>
    </w:p>
    <w:p w:rsidR="00000000" w:rsidRDefault="00000000">
      <w:pPr>
        <w:rPr>
          <w:rFonts w:hint="eastAsia"/>
          <w:snapToGrid/>
        </w:rPr>
      </w:pPr>
      <w:r>
        <w:rPr>
          <w:rFonts w:hint="eastAsia"/>
          <w:snapToGrid/>
        </w:rPr>
        <w:tab/>
        <w:t xml:space="preserve">702.  </w:t>
      </w:r>
      <w:r>
        <w:rPr>
          <w:rFonts w:hint="eastAsia"/>
          <w:snapToGrid/>
        </w:rPr>
        <w:t>国家文化遗产部非常重视促进非政府文化组织</w:t>
      </w:r>
      <w:r>
        <w:rPr>
          <w:rFonts w:hint="eastAsia"/>
          <w:snapToGrid/>
        </w:rPr>
        <w:t>(</w:t>
      </w:r>
      <w:r>
        <w:rPr>
          <w:rFonts w:hint="eastAsia"/>
          <w:snapToGrid/>
        </w:rPr>
        <w:t>包括那些在不可移动遗产方面开展工作的组织</w:t>
      </w:r>
      <w:r>
        <w:rPr>
          <w:rFonts w:hint="eastAsia"/>
          <w:snapToGrid/>
        </w:rPr>
        <w:t>)</w:t>
      </w:r>
      <w:r>
        <w:rPr>
          <w:rFonts w:hint="eastAsia"/>
          <w:snapToGrid/>
        </w:rPr>
        <w:t>的活动，鼓励它们在保存和促进遗产方面发挥更大的作用。为此，该部每年提供资金支持全国重要的非政府组织。</w:t>
      </w:r>
    </w:p>
    <w:p w:rsidR="00000000" w:rsidRDefault="00000000">
      <w:pPr>
        <w:rPr>
          <w:rFonts w:hint="eastAsia"/>
          <w:snapToGrid/>
        </w:rPr>
      </w:pPr>
      <w:r>
        <w:rPr>
          <w:rFonts w:hint="eastAsia"/>
          <w:snapToGrid/>
        </w:rPr>
        <w:tab/>
        <w:t xml:space="preserve">703.  </w:t>
      </w:r>
      <w:r>
        <w:rPr>
          <w:rFonts w:hint="eastAsia"/>
          <w:snapToGrid/>
        </w:rPr>
        <w:t>下表列示了向在不可移动文化遗产领域开展活动的非政府组织提供的资金：</w:t>
      </w:r>
    </w:p>
    <w:tbl>
      <w:tblPr>
        <w:tblW w:w="5000" w:type="pct"/>
        <w:tblCellMar>
          <w:left w:w="0" w:type="dxa"/>
          <w:right w:w="0" w:type="dxa"/>
        </w:tblCellMar>
        <w:tblLook w:val="0000" w:firstRow="0" w:lastRow="0" w:firstColumn="0" w:lastColumn="0" w:noHBand="0" w:noVBand="0"/>
      </w:tblPr>
      <w:tblGrid>
        <w:gridCol w:w="2146"/>
        <w:gridCol w:w="1142"/>
        <w:gridCol w:w="1142"/>
        <w:gridCol w:w="1142"/>
        <w:gridCol w:w="1142"/>
        <w:gridCol w:w="1331"/>
        <w:gridCol w:w="1329"/>
      </w:tblGrid>
      <w:tr w:rsidR="00000000">
        <w:tblPrEx>
          <w:tblCellMar>
            <w:top w:w="0" w:type="dxa"/>
            <w:left w:w="0" w:type="dxa"/>
            <w:bottom w:w="0" w:type="dxa"/>
            <w:right w:w="0" w:type="dxa"/>
          </w:tblCellMar>
        </w:tblPrEx>
        <w:trPr>
          <w:cantSplit/>
          <w:trHeight w:val="615"/>
        </w:trPr>
        <w:tc>
          <w:tcPr>
            <w:tcW w:w="1145" w:type="pct"/>
            <w:vMerge w:val="restart"/>
            <w:tcBorders>
              <w:top w:val="single" w:sz="8" w:space="0" w:color="auto"/>
              <w:left w:val="single" w:sz="8" w:space="0" w:color="auto"/>
              <w:right w:val="single" w:sz="4" w:space="0" w:color="auto"/>
            </w:tcBorders>
            <w:vAlign w:val="center"/>
          </w:tcPr>
          <w:p w:rsidR="00000000" w:rsidRDefault="00000000">
            <w:pPr>
              <w:spacing w:line="288" w:lineRule="auto"/>
              <w:ind w:left="113" w:right="113"/>
              <w:rPr>
                <w:snapToGrid/>
                <w:sz w:val="22"/>
              </w:rPr>
            </w:pPr>
            <w:r>
              <w:rPr>
                <w:rFonts w:hint="eastAsia"/>
                <w:snapToGrid/>
                <w:sz w:val="22"/>
              </w:rPr>
              <w:t>拨给非政府组织的资金</w:t>
            </w:r>
            <w:r>
              <w:rPr>
                <w:snapToGrid/>
                <w:sz w:val="22"/>
              </w:rPr>
              <w:t>(</w:t>
            </w:r>
            <w:r>
              <w:rPr>
                <w:rFonts w:hint="eastAsia"/>
                <w:snapToGrid/>
                <w:sz w:val="22"/>
              </w:rPr>
              <w:t>福林</w:t>
            </w:r>
            <w:r>
              <w:rPr>
                <w:snapToGrid/>
                <w:sz w:val="22"/>
              </w:rPr>
              <w:t>)</w:t>
            </w:r>
          </w:p>
        </w:tc>
        <w:tc>
          <w:tcPr>
            <w:tcW w:w="609" w:type="pct"/>
            <w:tcBorders>
              <w:top w:val="single" w:sz="8" w:space="0" w:color="auto"/>
              <w:bottom w:val="single" w:sz="8" w:space="0" w:color="auto"/>
              <w:right w:val="single" w:sz="4" w:space="0" w:color="auto"/>
            </w:tcBorders>
            <w:vAlign w:val="center"/>
          </w:tcPr>
          <w:p w:rsidR="00000000" w:rsidRDefault="00000000">
            <w:pPr>
              <w:spacing w:line="288" w:lineRule="auto"/>
              <w:ind w:left="113" w:right="113"/>
              <w:jc w:val="center"/>
              <w:rPr>
                <w:snapToGrid/>
                <w:sz w:val="22"/>
                <w:lang w:val="en-GB"/>
              </w:rPr>
            </w:pPr>
            <w:r>
              <w:rPr>
                <w:snapToGrid/>
                <w:sz w:val="22"/>
                <w:lang w:val="en-GB"/>
              </w:rPr>
              <w:t>1999</w:t>
            </w:r>
          </w:p>
        </w:tc>
        <w:tc>
          <w:tcPr>
            <w:tcW w:w="609" w:type="pct"/>
            <w:tcBorders>
              <w:top w:val="single" w:sz="8" w:space="0" w:color="auto"/>
              <w:bottom w:val="single" w:sz="8" w:space="0" w:color="auto"/>
              <w:right w:val="single" w:sz="4" w:space="0" w:color="auto"/>
            </w:tcBorders>
            <w:vAlign w:val="center"/>
          </w:tcPr>
          <w:p w:rsidR="00000000" w:rsidRDefault="00000000">
            <w:pPr>
              <w:spacing w:line="288" w:lineRule="auto"/>
              <w:ind w:left="113" w:right="113"/>
              <w:jc w:val="center"/>
              <w:rPr>
                <w:snapToGrid/>
                <w:sz w:val="22"/>
                <w:lang w:val="en-GB"/>
              </w:rPr>
            </w:pPr>
            <w:r>
              <w:rPr>
                <w:snapToGrid/>
                <w:sz w:val="22"/>
                <w:lang w:val="en-GB"/>
              </w:rPr>
              <w:t>2000</w:t>
            </w:r>
          </w:p>
        </w:tc>
        <w:tc>
          <w:tcPr>
            <w:tcW w:w="609" w:type="pct"/>
            <w:tcBorders>
              <w:top w:val="single" w:sz="8" w:space="0" w:color="auto"/>
              <w:bottom w:val="single" w:sz="8" w:space="0" w:color="auto"/>
              <w:right w:val="single" w:sz="4" w:space="0" w:color="auto"/>
            </w:tcBorders>
            <w:vAlign w:val="center"/>
          </w:tcPr>
          <w:p w:rsidR="00000000" w:rsidRDefault="00000000">
            <w:pPr>
              <w:spacing w:line="288" w:lineRule="auto"/>
              <w:ind w:left="113" w:right="113"/>
              <w:jc w:val="center"/>
              <w:rPr>
                <w:snapToGrid/>
                <w:sz w:val="22"/>
                <w:lang w:val="en-GB"/>
              </w:rPr>
            </w:pPr>
            <w:r>
              <w:rPr>
                <w:snapToGrid/>
                <w:sz w:val="22"/>
                <w:lang w:val="en-GB"/>
              </w:rPr>
              <w:t>2001</w:t>
            </w:r>
          </w:p>
        </w:tc>
        <w:tc>
          <w:tcPr>
            <w:tcW w:w="609" w:type="pct"/>
            <w:tcBorders>
              <w:top w:val="single" w:sz="8" w:space="0" w:color="auto"/>
              <w:bottom w:val="single" w:sz="8" w:space="0" w:color="auto"/>
              <w:right w:val="single" w:sz="4" w:space="0" w:color="auto"/>
            </w:tcBorders>
            <w:vAlign w:val="center"/>
          </w:tcPr>
          <w:p w:rsidR="00000000" w:rsidRDefault="00000000">
            <w:pPr>
              <w:spacing w:line="288" w:lineRule="auto"/>
              <w:ind w:left="113" w:right="113"/>
              <w:jc w:val="center"/>
              <w:rPr>
                <w:snapToGrid/>
                <w:sz w:val="22"/>
                <w:lang w:val="en-GB"/>
              </w:rPr>
            </w:pPr>
            <w:r>
              <w:rPr>
                <w:snapToGrid/>
                <w:sz w:val="22"/>
                <w:lang w:val="en-GB"/>
              </w:rPr>
              <w:t>2002</w:t>
            </w:r>
          </w:p>
        </w:tc>
        <w:tc>
          <w:tcPr>
            <w:tcW w:w="710" w:type="pct"/>
            <w:tcBorders>
              <w:top w:val="single" w:sz="8" w:space="0" w:color="auto"/>
              <w:bottom w:val="single" w:sz="8" w:space="0" w:color="auto"/>
              <w:right w:val="single" w:sz="8" w:space="0" w:color="auto"/>
            </w:tcBorders>
            <w:vAlign w:val="center"/>
          </w:tcPr>
          <w:p w:rsidR="00000000" w:rsidRDefault="00000000">
            <w:pPr>
              <w:spacing w:line="288" w:lineRule="auto"/>
              <w:ind w:left="113" w:right="113"/>
              <w:jc w:val="center"/>
              <w:rPr>
                <w:snapToGrid/>
                <w:sz w:val="22"/>
                <w:lang w:val="en-GB"/>
              </w:rPr>
            </w:pPr>
            <w:r>
              <w:rPr>
                <w:snapToGrid/>
                <w:sz w:val="22"/>
                <w:lang w:val="en-GB"/>
              </w:rPr>
              <w:t>2003</w:t>
            </w:r>
          </w:p>
        </w:tc>
        <w:tc>
          <w:tcPr>
            <w:tcW w:w="710" w:type="pct"/>
            <w:tcBorders>
              <w:top w:val="single" w:sz="8" w:space="0" w:color="auto"/>
              <w:bottom w:val="single" w:sz="8" w:space="0" w:color="auto"/>
              <w:right w:val="single" w:sz="8" w:space="0" w:color="auto"/>
            </w:tcBorders>
            <w:vAlign w:val="center"/>
          </w:tcPr>
          <w:p w:rsidR="00000000" w:rsidRDefault="00000000">
            <w:pPr>
              <w:spacing w:line="288" w:lineRule="auto"/>
              <w:ind w:left="113" w:right="113"/>
              <w:jc w:val="center"/>
              <w:rPr>
                <w:rFonts w:hint="eastAsia"/>
                <w:snapToGrid/>
                <w:sz w:val="22"/>
                <w:lang w:val="en-GB"/>
              </w:rPr>
            </w:pPr>
            <w:r>
              <w:rPr>
                <w:rFonts w:hint="eastAsia"/>
                <w:snapToGrid/>
                <w:sz w:val="22"/>
                <w:lang w:val="en-GB"/>
              </w:rPr>
              <w:t>总</w:t>
            </w:r>
            <w:r>
              <w:rPr>
                <w:snapToGrid/>
                <w:sz w:val="22"/>
                <w:lang w:val="en-GB"/>
              </w:rPr>
              <w:t xml:space="preserve">  </w:t>
            </w:r>
            <w:r>
              <w:rPr>
                <w:rFonts w:hint="eastAsia"/>
                <w:snapToGrid/>
                <w:sz w:val="22"/>
                <w:lang w:val="en-GB"/>
              </w:rPr>
              <w:t>计</w:t>
            </w:r>
          </w:p>
        </w:tc>
      </w:tr>
      <w:tr w:rsidR="00000000">
        <w:tblPrEx>
          <w:tblCellMar>
            <w:top w:w="0" w:type="dxa"/>
            <w:left w:w="0" w:type="dxa"/>
            <w:bottom w:w="0" w:type="dxa"/>
            <w:right w:w="0" w:type="dxa"/>
          </w:tblCellMar>
        </w:tblPrEx>
        <w:trPr>
          <w:cantSplit/>
          <w:trHeight w:val="600"/>
        </w:trPr>
        <w:tc>
          <w:tcPr>
            <w:tcW w:w="1145" w:type="pct"/>
            <w:vMerge/>
            <w:tcBorders>
              <w:left w:val="single" w:sz="8" w:space="0" w:color="auto"/>
              <w:bottom w:val="single" w:sz="8" w:space="0" w:color="auto"/>
              <w:right w:val="single" w:sz="4" w:space="0" w:color="auto"/>
            </w:tcBorders>
            <w:vAlign w:val="center"/>
          </w:tcPr>
          <w:p w:rsidR="00000000" w:rsidRDefault="00000000">
            <w:pPr>
              <w:spacing w:line="288" w:lineRule="auto"/>
              <w:ind w:left="113" w:right="113"/>
              <w:rPr>
                <w:snapToGrid/>
                <w:sz w:val="22"/>
                <w:lang w:val="en-GB"/>
              </w:rPr>
            </w:pPr>
          </w:p>
        </w:tc>
        <w:tc>
          <w:tcPr>
            <w:tcW w:w="609" w:type="pct"/>
            <w:tcBorders>
              <w:top w:val="single" w:sz="8" w:space="0" w:color="auto"/>
              <w:bottom w:val="single" w:sz="8" w:space="0" w:color="auto"/>
              <w:right w:val="single" w:sz="4" w:space="0" w:color="auto"/>
            </w:tcBorders>
            <w:vAlign w:val="center"/>
          </w:tcPr>
          <w:p w:rsidR="00000000" w:rsidRDefault="00000000">
            <w:pPr>
              <w:spacing w:line="288" w:lineRule="auto"/>
              <w:ind w:left="113" w:right="113"/>
              <w:jc w:val="center"/>
              <w:rPr>
                <w:snapToGrid/>
                <w:sz w:val="22"/>
                <w:lang w:val="en-GB"/>
              </w:rPr>
            </w:pPr>
            <w:r>
              <w:rPr>
                <w:snapToGrid/>
                <w:sz w:val="22"/>
                <w:lang w:val="en-GB"/>
              </w:rPr>
              <w:t>64</w:t>
            </w:r>
            <w:r>
              <w:rPr>
                <w:rFonts w:hint="eastAsia"/>
                <w:snapToGrid/>
                <w:sz w:val="22"/>
                <w:lang w:val="en-GB"/>
              </w:rPr>
              <w:t>0</w:t>
            </w:r>
            <w:r>
              <w:rPr>
                <w:rFonts w:hint="eastAsia"/>
                <w:snapToGrid/>
                <w:sz w:val="22"/>
                <w:lang w:val="en-GB"/>
              </w:rPr>
              <w:t>万</w:t>
            </w:r>
          </w:p>
        </w:tc>
        <w:tc>
          <w:tcPr>
            <w:tcW w:w="609" w:type="pct"/>
            <w:tcBorders>
              <w:top w:val="single" w:sz="8" w:space="0" w:color="auto"/>
              <w:bottom w:val="single" w:sz="8" w:space="0" w:color="auto"/>
              <w:right w:val="single" w:sz="4" w:space="0" w:color="auto"/>
            </w:tcBorders>
            <w:vAlign w:val="center"/>
          </w:tcPr>
          <w:p w:rsidR="00000000" w:rsidRDefault="00000000">
            <w:pPr>
              <w:spacing w:line="288" w:lineRule="auto"/>
              <w:ind w:left="113" w:right="113"/>
              <w:jc w:val="center"/>
              <w:rPr>
                <w:rFonts w:hint="eastAsia"/>
                <w:snapToGrid/>
                <w:sz w:val="22"/>
                <w:lang w:val="en-GB"/>
              </w:rPr>
            </w:pPr>
            <w:r>
              <w:rPr>
                <w:snapToGrid/>
                <w:sz w:val="22"/>
                <w:lang w:val="en-GB"/>
              </w:rPr>
              <w:t>8</w:t>
            </w:r>
            <w:r>
              <w:rPr>
                <w:rFonts w:hint="eastAsia"/>
                <w:snapToGrid/>
                <w:sz w:val="22"/>
                <w:lang w:val="en-GB"/>
              </w:rPr>
              <w:t>00</w:t>
            </w:r>
            <w:r>
              <w:rPr>
                <w:rFonts w:hint="eastAsia"/>
                <w:snapToGrid/>
                <w:sz w:val="22"/>
                <w:lang w:val="en-GB"/>
              </w:rPr>
              <w:t>万</w:t>
            </w:r>
          </w:p>
        </w:tc>
        <w:tc>
          <w:tcPr>
            <w:tcW w:w="609" w:type="pct"/>
            <w:tcBorders>
              <w:top w:val="single" w:sz="8" w:space="0" w:color="auto"/>
              <w:bottom w:val="single" w:sz="8" w:space="0" w:color="auto"/>
              <w:right w:val="single" w:sz="4" w:space="0" w:color="auto"/>
            </w:tcBorders>
            <w:vAlign w:val="center"/>
          </w:tcPr>
          <w:p w:rsidR="00000000" w:rsidRDefault="00000000">
            <w:pPr>
              <w:spacing w:line="288" w:lineRule="auto"/>
              <w:ind w:left="113" w:right="113"/>
              <w:jc w:val="center"/>
              <w:rPr>
                <w:rFonts w:hint="eastAsia"/>
                <w:snapToGrid/>
                <w:sz w:val="22"/>
                <w:lang w:val="en-GB"/>
              </w:rPr>
            </w:pPr>
            <w:r>
              <w:rPr>
                <w:snapToGrid/>
                <w:sz w:val="22"/>
                <w:lang w:val="en-GB"/>
              </w:rPr>
              <w:t>8</w:t>
            </w:r>
            <w:r>
              <w:rPr>
                <w:rFonts w:hint="eastAsia"/>
                <w:snapToGrid/>
                <w:sz w:val="22"/>
                <w:lang w:val="en-GB"/>
              </w:rPr>
              <w:t>00</w:t>
            </w:r>
            <w:r>
              <w:rPr>
                <w:rFonts w:hint="eastAsia"/>
                <w:snapToGrid/>
                <w:sz w:val="22"/>
                <w:lang w:val="en-GB"/>
              </w:rPr>
              <w:t>万</w:t>
            </w:r>
          </w:p>
        </w:tc>
        <w:tc>
          <w:tcPr>
            <w:tcW w:w="609" w:type="pct"/>
            <w:tcBorders>
              <w:top w:val="single" w:sz="8" w:space="0" w:color="auto"/>
              <w:bottom w:val="single" w:sz="8" w:space="0" w:color="auto"/>
              <w:right w:val="single" w:sz="4" w:space="0" w:color="auto"/>
            </w:tcBorders>
            <w:vAlign w:val="center"/>
          </w:tcPr>
          <w:p w:rsidR="00000000" w:rsidRDefault="00000000">
            <w:pPr>
              <w:spacing w:line="288" w:lineRule="auto"/>
              <w:ind w:left="113" w:right="113"/>
              <w:jc w:val="center"/>
              <w:rPr>
                <w:rFonts w:hint="eastAsia"/>
                <w:snapToGrid/>
                <w:sz w:val="22"/>
                <w:lang w:val="en-GB"/>
              </w:rPr>
            </w:pPr>
            <w:r>
              <w:rPr>
                <w:snapToGrid/>
                <w:sz w:val="22"/>
                <w:lang w:val="en-GB"/>
              </w:rPr>
              <w:t>7</w:t>
            </w:r>
            <w:r>
              <w:rPr>
                <w:rFonts w:hint="eastAsia"/>
                <w:snapToGrid/>
                <w:sz w:val="22"/>
                <w:lang w:val="en-GB"/>
              </w:rPr>
              <w:t>40</w:t>
            </w:r>
            <w:r>
              <w:rPr>
                <w:rFonts w:hint="eastAsia"/>
                <w:snapToGrid/>
                <w:sz w:val="22"/>
                <w:lang w:val="en-GB"/>
              </w:rPr>
              <w:t>万</w:t>
            </w:r>
          </w:p>
        </w:tc>
        <w:tc>
          <w:tcPr>
            <w:tcW w:w="710" w:type="pct"/>
            <w:tcBorders>
              <w:top w:val="single" w:sz="8" w:space="0" w:color="auto"/>
              <w:bottom w:val="single" w:sz="8" w:space="0" w:color="auto"/>
              <w:right w:val="single" w:sz="4" w:space="0" w:color="auto"/>
            </w:tcBorders>
            <w:vAlign w:val="center"/>
          </w:tcPr>
          <w:p w:rsidR="00000000" w:rsidRDefault="00000000">
            <w:pPr>
              <w:spacing w:line="288" w:lineRule="auto"/>
              <w:ind w:left="113" w:right="113"/>
              <w:jc w:val="center"/>
              <w:rPr>
                <w:rFonts w:hint="eastAsia"/>
                <w:snapToGrid/>
                <w:sz w:val="22"/>
                <w:lang w:val="en-GB"/>
              </w:rPr>
            </w:pPr>
            <w:r>
              <w:rPr>
                <w:snapToGrid/>
                <w:sz w:val="22"/>
                <w:lang w:val="en-GB"/>
              </w:rPr>
              <w:t>7</w:t>
            </w:r>
            <w:r>
              <w:rPr>
                <w:rFonts w:hint="eastAsia"/>
                <w:snapToGrid/>
                <w:sz w:val="22"/>
                <w:lang w:val="en-GB"/>
              </w:rPr>
              <w:t>50</w:t>
            </w:r>
            <w:r>
              <w:rPr>
                <w:rFonts w:hint="eastAsia"/>
                <w:snapToGrid/>
                <w:sz w:val="22"/>
                <w:lang w:val="en-GB"/>
              </w:rPr>
              <w:t>万</w:t>
            </w:r>
          </w:p>
        </w:tc>
        <w:tc>
          <w:tcPr>
            <w:tcW w:w="710" w:type="pct"/>
            <w:tcBorders>
              <w:top w:val="single" w:sz="8" w:space="0" w:color="auto"/>
              <w:bottom w:val="single" w:sz="8" w:space="0" w:color="auto"/>
              <w:right w:val="single" w:sz="8" w:space="0" w:color="auto"/>
            </w:tcBorders>
            <w:vAlign w:val="center"/>
          </w:tcPr>
          <w:p w:rsidR="00000000" w:rsidRDefault="00000000">
            <w:pPr>
              <w:spacing w:line="288" w:lineRule="auto"/>
              <w:ind w:left="113" w:right="113"/>
              <w:jc w:val="center"/>
              <w:rPr>
                <w:rFonts w:hint="eastAsia"/>
                <w:snapToGrid/>
                <w:sz w:val="22"/>
                <w:lang w:val="en-GB"/>
              </w:rPr>
            </w:pPr>
            <w:r>
              <w:rPr>
                <w:snapToGrid/>
                <w:sz w:val="22"/>
                <w:lang w:val="en-GB"/>
              </w:rPr>
              <w:t>373</w:t>
            </w:r>
            <w:r>
              <w:rPr>
                <w:rFonts w:hint="eastAsia"/>
                <w:snapToGrid/>
                <w:sz w:val="22"/>
                <w:lang w:val="en-GB"/>
              </w:rPr>
              <w:t>0</w:t>
            </w:r>
            <w:r>
              <w:rPr>
                <w:rFonts w:hint="eastAsia"/>
                <w:snapToGrid/>
                <w:sz w:val="22"/>
                <w:lang w:val="en-GB"/>
              </w:rPr>
              <w:t>万</w:t>
            </w:r>
          </w:p>
        </w:tc>
      </w:tr>
    </w:tbl>
    <w:p w:rsidR="00000000" w:rsidRDefault="00000000">
      <w:pPr>
        <w:rPr>
          <w:rFonts w:hint="eastAsia"/>
          <w:snapToGrid/>
        </w:rPr>
      </w:pPr>
    </w:p>
    <w:p w:rsidR="00000000" w:rsidRDefault="00000000">
      <w:pPr>
        <w:pStyle w:val="Heading4"/>
        <w:rPr>
          <w:rFonts w:eastAsia="KaiTi_GB2312" w:hint="eastAsia"/>
          <w:snapToGrid/>
          <w:spacing w:val="0"/>
          <w:u w:val="none"/>
        </w:rPr>
      </w:pPr>
      <w:r>
        <w:rPr>
          <w:rFonts w:eastAsia="KaiTi_GB2312" w:hint="eastAsia"/>
          <w:snapToGrid/>
          <w:spacing w:val="0"/>
          <w:u w:val="none"/>
        </w:rPr>
        <w:t>保存文化遗产工作的立法背景</w:t>
      </w:r>
    </w:p>
    <w:p w:rsidR="00000000" w:rsidRDefault="00000000">
      <w:pPr>
        <w:spacing w:after="320"/>
        <w:rPr>
          <w:snapToGrid/>
        </w:rPr>
      </w:pPr>
      <w:r>
        <w:rPr>
          <w:rFonts w:hint="eastAsia"/>
          <w:snapToGrid/>
        </w:rPr>
        <w:tab/>
        <w:t xml:space="preserve">704.  </w:t>
      </w:r>
      <w:r>
        <w:rPr>
          <w:rFonts w:hint="eastAsia"/>
          <w:snapToGrid/>
        </w:rPr>
        <w:t>匈牙利没有综合性文化法律。文化领域不同部门各有其具体的法律文书。</w:t>
      </w:r>
      <w:r>
        <w:rPr>
          <w:rFonts w:hint="eastAsia"/>
          <w:snapToGrid/>
        </w:rPr>
        <w:t>1998</w:t>
      </w:r>
      <w:r>
        <w:rPr>
          <w:rFonts w:hint="eastAsia"/>
          <w:snapToGrid/>
        </w:rPr>
        <w:t>年初，有两个各自独立的法令适用于文化遗产领域。《</w:t>
      </w:r>
      <w:r>
        <w:rPr>
          <w:rFonts w:hint="eastAsia"/>
          <w:snapToGrid/>
        </w:rPr>
        <w:t>1997</w:t>
      </w:r>
      <w:r>
        <w:rPr>
          <w:rFonts w:hint="eastAsia"/>
          <w:snapToGrid/>
        </w:rPr>
        <w:t>年第五十四号法令》适用于文物保护，而考古遗产和文物则属于《</w:t>
      </w:r>
      <w:r>
        <w:rPr>
          <w:rFonts w:hint="eastAsia"/>
          <w:snapToGrid/>
        </w:rPr>
        <w:t>1997</w:t>
      </w:r>
      <w:r>
        <w:rPr>
          <w:rFonts w:hint="eastAsia"/>
          <w:snapToGrid/>
        </w:rPr>
        <w:t>年第一百四十号法令》管辖范围。新成立的国家文化遗产部对国家文化政策重新进行了定义，包括文化遗产的保存，推动了该领域法律框架的改进。经过两年的法律程序，</w:t>
      </w:r>
      <w:r>
        <w:rPr>
          <w:rFonts w:hint="eastAsia"/>
          <w:snapToGrid/>
        </w:rPr>
        <w:t>2001</w:t>
      </w:r>
      <w:r>
        <w:rPr>
          <w:rFonts w:hint="eastAsia"/>
          <w:snapToGrid/>
        </w:rPr>
        <w:t>年匈牙利制订和颁布了新的法令，规定了有关保护考古、建筑遗产和文物的基本原则。随后，出台了一系列执行法令，规定了执行有关新法令所体现原则的指导方针。</w:t>
      </w:r>
    </w:p>
    <w:p w:rsidR="00000000" w:rsidRDefault="00000000">
      <w:pPr>
        <w:pStyle w:val="Heading4"/>
        <w:rPr>
          <w:rFonts w:eastAsia="KaiTi_GB2312" w:hint="eastAsia"/>
          <w:snapToGrid/>
          <w:spacing w:val="0"/>
          <w:u w:val="none"/>
        </w:rPr>
      </w:pPr>
      <w:r>
        <w:rPr>
          <w:rFonts w:eastAsia="KaiTi_GB2312" w:hint="eastAsia"/>
          <w:snapToGrid/>
          <w:spacing w:val="0"/>
          <w:u w:val="none"/>
        </w:rPr>
        <w:t>国际条约与公约</w:t>
      </w:r>
    </w:p>
    <w:p w:rsidR="00000000" w:rsidRDefault="00000000">
      <w:pPr>
        <w:rPr>
          <w:rFonts w:hint="eastAsia"/>
          <w:snapToGrid/>
        </w:rPr>
      </w:pPr>
      <w:r>
        <w:rPr>
          <w:rFonts w:hint="eastAsia"/>
          <w:snapToGrid/>
        </w:rPr>
        <w:tab/>
        <w:t xml:space="preserve">705.  </w:t>
      </w:r>
      <w:r>
        <w:rPr>
          <w:rFonts w:hint="eastAsia"/>
          <w:snapToGrid/>
        </w:rPr>
        <w:t>匈牙利签署和</w:t>
      </w:r>
      <w:r>
        <w:rPr>
          <w:rFonts w:hint="eastAsia"/>
          <w:snapToGrid/>
        </w:rPr>
        <w:t>/</w:t>
      </w:r>
      <w:r>
        <w:rPr>
          <w:rFonts w:hint="eastAsia"/>
          <w:snapToGrid/>
        </w:rPr>
        <w:t>或批准了主要的国际条约，并遵守其他有关保护文化遗产的次级法律</w:t>
      </w:r>
      <w:r>
        <w:rPr>
          <w:rFonts w:hint="eastAsia"/>
          <w:snapToGrid/>
        </w:rPr>
        <w:t>(</w:t>
      </w:r>
      <w:r>
        <w:rPr>
          <w:rFonts w:hint="eastAsia"/>
          <w:snapToGrid/>
        </w:rPr>
        <w:t>建议、决议等等</w:t>
      </w:r>
      <w:r>
        <w:rPr>
          <w:rFonts w:hint="eastAsia"/>
          <w:snapToGrid/>
        </w:rPr>
        <w:t>)</w:t>
      </w:r>
      <w:r>
        <w:rPr>
          <w:rFonts w:hint="eastAsia"/>
          <w:snapToGrid/>
        </w:rPr>
        <w:t>。这些法律文书如下：</w:t>
      </w:r>
    </w:p>
    <w:p w:rsidR="00000000" w:rsidRDefault="00000000">
      <w:pPr>
        <w:pStyle w:val="a0"/>
        <w:ind w:left="1550"/>
        <w:rPr>
          <w:rFonts w:hint="eastAsia"/>
          <w:snapToGrid/>
        </w:rPr>
      </w:pPr>
      <w:r>
        <w:rPr>
          <w:snapToGrid/>
        </w:rPr>
        <w:t>《威尼斯宪章》</w:t>
      </w:r>
      <w:r>
        <w:rPr>
          <w:rFonts w:hint="eastAsia"/>
          <w:snapToGrid/>
          <w:spacing w:val="-50"/>
        </w:rPr>
        <w:t>―</w:t>
      </w:r>
      <w:r>
        <w:rPr>
          <w:rFonts w:hint="eastAsia"/>
          <w:snapToGrid/>
        </w:rPr>
        <w:t>―</w:t>
      </w:r>
      <w:r>
        <w:rPr>
          <w:snapToGrid/>
        </w:rPr>
        <w:t>1964</w:t>
      </w:r>
      <w:r>
        <w:rPr>
          <w:snapToGrid/>
        </w:rPr>
        <w:t>年在威尼斯</w:t>
      </w:r>
      <w:r>
        <w:rPr>
          <w:rFonts w:hint="eastAsia"/>
          <w:snapToGrid/>
        </w:rPr>
        <w:t>召开的</w:t>
      </w:r>
      <w:r>
        <w:rPr>
          <w:snapToGrid/>
        </w:rPr>
        <w:t>历史文物建筑师和技术人员国际会议第二次</w:t>
      </w:r>
      <w:r>
        <w:rPr>
          <w:rFonts w:hint="eastAsia"/>
          <w:snapToGrid/>
        </w:rPr>
        <w:t>国际</w:t>
      </w:r>
      <w:r>
        <w:rPr>
          <w:snapToGrid/>
        </w:rPr>
        <w:t>会议通过</w:t>
      </w:r>
      <w:r>
        <w:rPr>
          <w:rFonts w:hint="eastAsia"/>
          <w:snapToGrid/>
        </w:rPr>
        <w:t>的《保护和修复古迹遗址的国际宪章》</w:t>
      </w:r>
      <w:r>
        <w:rPr>
          <w:snapToGrid/>
        </w:rPr>
        <w:t>。</w:t>
      </w:r>
    </w:p>
    <w:p w:rsidR="00000000" w:rsidRDefault="00000000">
      <w:pPr>
        <w:pStyle w:val="a0"/>
        <w:ind w:left="1550"/>
        <w:rPr>
          <w:rFonts w:hint="eastAsia"/>
          <w:snapToGrid/>
        </w:rPr>
      </w:pPr>
      <w:r>
        <w:rPr>
          <w:rFonts w:hint="eastAsia"/>
          <w:snapToGrid/>
        </w:rPr>
        <w:t>1972</w:t>
      </w:r>
      <w:r>
        <w:rPr>
          <w:rFonts w:hint="eastAsia"/>
          <w:snapToGrid/>
        </w:rPr>
        <w:t>年</w:t>
      </w:r>
      <w:r>
        <w:rPr>
          <w:rFonts w:hint="eastAsia"/>
          <w:snapToGrid/>
        </w:rPr>
        <w:t>11</w:t>
      </w:r>
      <w:r>
        <w:rPr>
          <w:rFonts w:hint="eastAsia"/>
          <w:snapToGrid/>
        </w:rPr>
        <w:t>月</w:t>
      </w:r>
      <w:r>
        <w:rPr>
          <w:rFonts w:hint="eastAsia"/>
          <w:snapToGrid/>
        </w:rPr>
        <w:t>17</w:t>
      </w:r>
      <w:r>
        <w:rPr>
          <w:rFonts w:hint="eastAsia"/>
          <w:snapToGrid/>
        </w:rPr>
        <w:t>日于巴黎召开的联合国教科文组织大会通过的《保护世界文化和自然遗产公约》</w:t>
      </w:r>
      <w:r>
        <w:rPr>
          <w:rFonts w:hint="eastAsia"/>
          <w:snapToGrid/>
          <w:spacing w:val="-50"/>
        </w:rPr>
        <w:t>―</w:t>
      </w:r>
      <w:r>
        <w:rPr>
          <w:rFonts w:hint="eastAsia"/>
          <w:snapToGrid/>
        </w:rPr>
        <w:t>―匈牙利于</w:t>
      </w:r>
      <w:r>
        <w:rPr>
          <w:rFonts w:hint="eastAsia"/>
          <w:snapToGrid/>
        </w:rPr>
        <w:t>1985</w:t>
      </w:r>
      <w:r>
        <w:rPr>
          <w:rFonts w:hint="eastAsia"/>
          <w:snapToGrid/>
        </w:rPr>
        <w:t>年批准。</w:t>
      </w:r>
    </w:p>
    <w:p w:rsidR="00000000" w:rsidRDefault="00000000">
      <w:pPr>
        <w:pStyle w:val="a0"/>
        <w:ind w:left="1550"/>
        <w:rPr>
          <w:rFonts w:hint="eastAsia"/>
          <w:snapToGrid/>
        </w:rPr>
      </w:pPr>
      <w:r>
        <w:rPr>
          <w:rFonts w:hint="eastAsia"/>
          <w:snapToGrid/>
        </w:rPr>
        <w:t>《保护欧洲建筑遗产的</w:t>
      </w:r>
      <w:r>
        <w:rPr>
          <w:rFonts w:hint="eastAsia"/>
          <w:snapToGrid/>
        </w:rPr>
        <w:t>1985</w:t>
      </w:r>
      <w:r>
        <w:rPr>
          <w:rFonts w:hint="eastAsia"/>
          <w:snapToGrid/>
        </w:rPr>
        <w:t>年格拉纳达欧洲理事会公约》。</w:t>
      </w:r>
    </w:p>
    <w:p w:rsidR="00000000" w:rsidRDefault="00000000">
      <w:pPr>
        <w:pStyle w:val="a0"/>
        <w:ind w:left="1550"/>
        <w:rPr>
          <w:rFonts w:hint="eastAsia"/>
          <w:snapToGrid/>
        </w:rPr>
      </w:pPr>
      <w:r>
        <w:rPr>
          <w:rFonts w:hint="eastAsia"/>
          <w:snapToGrid/>
        </w:rPr>
        <w:t>1992</w:t>
      </w:r>
      <w:r>
        <w:rPr>
          <w:rFonts w:hint="eastAsia"/>
          <w:snapToGrid/>
        </w:rPr>
        <w:t>年在马莱塔通过的《欧洲保护考古遗产公约》，匈牙利于</w:t>
      </w:r>
      <w:r>
        <w:rPr>
          <w:rFonts w:hint="eastAsia"/>
          <w:snapToGrid/>
        </w:rPr>
        <w:t>2000</w:t>
      </w:r>
      <w:r>
        <w:rPr>
          <w:rFonts w:hint="eastAsia"/>
          <w:snapToGrid/>
        </w:rPr>
        <w:t>年批准。</w:t>
      </w:r>
    </w:p>
    <w:p w:rsidR="00000000" w:rsidRDefault="00000000">
      <w:pPr>
        <w:pStyle w:val="a0"/>
        <w:ind w:left="1550"/>
        <w:rPr>
          <w:rFonts w:hint="eastAsia"/>
          <w:snapToGrid/>
        </w:rPr>
      </w:pPr>
      <w:r>
        <w:rPr>
          <w:rFonts w:hint="eastAsia"/>
          <w:snapToGrid/>
        </w:rPr>
        <w:t>2001</w:t>
      </w:r>
      <w:r>
        <w:rPr>
          <w:rFonts w:hint="eastAsia"/>
          <w:snapToGrid/>
        </w:rPr>
        <w:t>年于巴黎联合国教科文组织大会通过的《保护水下文化遗产公约》。</w:t>
      </w:r>
    </w:p>
    <w:p w:rsidR="00000000" w:rsidRDefault="00000000">
      <w:pPr>
        <w:pStyle w:val="a0"/>
        <w:ind w:left="1550"/>
        <w:rPr>
          <w:rFonts w:hint="eastAsia"/>
          <w:snapToGrid/>
        </w:rPr>
      </w:pPr>
      <w:r>
        <w:rPr>
          <w:rFonts w:hint="eastAsia"/>
          <w:snapToGrid/>
        </w:rPr>
        <w:t>《关于归还被盗或非法出口文物的国际统一私法学社公约》，匈牙利</w:t>
      </w:r>
      <w:r>
        <w:rPr>
          <w:rFonts w:hint="eastAsia"/>
          <w:snapToGrid/>
        </w:rPr>
        <w:t>1998</w:t>
      </w:r>
      <w:r>
        <w:rPr>
          <w:rFonts w:hint="eastAsia"/>
          <w:snapToGrid/>
        </w:rPr>
        <w:t>年批准。</w:t>
      </w:r>
    </w:p>
    <w:p w:rsidR="00000000" w:rsidRDefault="00000000">
      <w:pPr>
        <w:pStyle w:val="a0"/>
        <w:ind w:left="1550"/>
        <w:rPr>
          <w:snapToGrid/>
          <w:szCs w:val="24"/>
        </w:rPr>
      </w:pPr>
      <w:r>
        <w:rPr>
          <w:rFonts w:hint="eastAsia"/>
          <w:snapToGrid/>
        </w:rPr>
        <w:t>《关于禁止和防止非法进出口文化遗产和非法转让其所有权的方法的</w:t>
      </w:r>
      <w:r>
        <w:rPr>
          <w:rFonts w:hint="eastAsia"/>
          <w:snapToGrid/>
        </w:rPr>
        <w:t>1970</w:t>
      </w:r>
      <w:r>
        <w:rPr>
          <w:rFonts w:hint="eastAsia"/>
          <w:snapToGrid/>
        </w:rPr>
        <w:t>年巴黎公约》，匈牙利于</w:t>
      </w:r>
      <w:r>
        <w:rPr>
          <w:rFonts w:hint="eastAsia"/>
          <w:snapToGrid/>
        </w:rPr>
        <w:t>1987</w:t>
      </w:r>
      <w:r>
        <w:rPr>
          <w:rFonts w:hint="eastAsia"/>
          <w:snapToGrid/>
        </w:rPr>
        <w:t>年批准。</w:t>
      </w:r>
    </w:p>
    <w:p w:rsidR="00000000" w:rsidRDefault="00000000">
      <w:pPr>
        <w:pStyle w:val="a0"/>
        <w:spacing w:after="320"/>
        <w:ind w:left="1550"/>
        <w:rPr>
          <w:rFonts w:hint="eastAsia"/>
          <w:snapToGrid/>
        </w:rPr>
      </w:pPr>
      <w:r>
        <w:rPr>
          <w:rFonts w:hint="eastAsia"/>
          <w:snapToGrid/>
        </w:rPr>
        <w:t>《关于发生武装冲突时保护文化财产的</w:t>
      </w:r>
      <w:r>
        <w:rPr>
          <w:rFonts w:hint="eastAsia"/>
          <w:snapToGrid/>
        </w:rPr>
        <w:t>1954</w:t>
      </w:r>
      <w:r>
        <w:rPr>
          <w:rFonts w:hint="eastAsia"/>
          <w:snapToGrid/>
        </w:rPr>
        <w:t>年海牙公约》，匈牙利于</w:t>
      </w:r>
      <w:r>
        <w:rPr>
          <w:rFonts w:hint="eastAsia"/>
          <w:snapToGrid/>
        </w:rPr>
        <w:t>1956</w:t>
      </w:r>
      <w:r>
        <w:rPr>
          <w:rFonts w:hint="eastAsia"/>
          <w:snapToGrid/>
        </w:rPr>
        <w:t>年批准。</w:t>
      </w:r>
    </w:p>
    <w:p w:rsidR="00000000" w:rsidRDefault="00000000">
      <w:pPr>
        <w:pStyle w:val="Heading4"/>
        <w:rPr>
          <w:rFonts w:eastAsia="KaiTi_GB2312" w:hint="eastAsia"/>
          <w:snapToGrid/>
          <w:spacing w:val="0"/>
          <w:u w:val="none"/>
        </w:rPr>
      </w:pPr>
      <w:r>
        <w:rPr>
          <w:rFonts w:eastAsia="KaiTi_GB2312" w:hint="eastAsia"/>
          <w:snapToGrid/>
          <w:spacing w:val="0"/>
          <w:u w:val="none"/>
        </w:rPr>
        <w:t>增进国际文化联系</w:t>
      </w:r>
    </w:p>
    <w:p w:rsidR="00000000" w:rsidRDefault="00000000">
      <w:pPr>
        <w:rPr>
          <w:rFonts w:hint="eastAsia"/>
          <w:snapToGrid/>
        </w:rPr>
      </w:pPr>
      <w:r>
        <w:rPr>
          <w:rFonts w:hint="eastAsia"/>
          <w:snapToGrid/>
        </w:rPr>
        <w:tab/>
        <w:t xml:space="preserve">706.  </w:t>
      </w:r>
      <w:r>
        <w:rPr>
          <w:rFonts w:hint="eastAsia"/>
          <w:snapToGrid/>
        </w:rPr>
        <w:t>自</w:t>
      </w:r>
      <w:r>
        <w:rPr>
          <w:rFonts w:hint="eastAsia"/>
          <w:snapToGrid/>
        </w:rPr>
        <w:t>1920</w:t>
      </w:r>
      <w:r>
        <w:rPr>
          <w:rFonts w:hint="eastAsia"/>
          <w:snapToGrid/>
        </w:rPr>
        <w:t>年代以来，匈牙利有意识地发展了并由国家预算提供资金资助了国际文化、科学和教育合作。各部委和外交部共同管理知识生活各领域的合作。</w:t>
      </w:r>
    </w:p>
    <w:p w:rsidR="00000000" w:rsidRDefault="00000000">
      <w:pPr>
        <w:rPr>
          <w:rFonts w:hint="eastAsia"/>
          <w:snapToGrid/>
        </w:rPr>
      </w:pPr>
      <w:r>
        <w:rPr>
          <w:rFonts w:hint="eastAsia"/>
          <w:snapToGrid/>
        </w:rPr>
        <w:tab/>
        <w:t xml:space="preserve">707.  </w:t>
      </w:r>
      <w:r>
        <w:rPr>
          <w:rFonts w:hint="eastAsia"/>
          <w:snapToGrid/>
        </w:rPr>
        <w:t>科学、教育和文化领域的国际合作仍在持续进行，大多数都是在双边政府间协定及其实际执行工作计划的框架下进行。这些文件以法令形式</w:t>
      </w:r>
      <w:r>
        <w:rPr>
          <w:rFonts w:hint="eastAsia"/>
          <w:snapToGrid/>
        </w:rPr>
        <w:t>(</w:t>
      </w:r>
      <w:r>
        <w:rPr>
          <w:rFonts w:hint="eastAsia"/>
          <w:snapToGrid/>
        </w:rPr>
        <w:t>例如匈牙利国会批准的协定和公约，在官方日刊上发表的文本</w:t>
      </w:r>
      <w:r>
        <w:rPr>
          <w:rFonts w:hint="eastAsia"/>
          <w:snapToGrid/>
        </w:rPr>
        <w:t>)</w:t>
      </w:r>
      <w:r>
        <w:rPr>
          <w:rFonts w:hint="eastAsia"/>
          <w:snapToGrid/>
        </w:rPr>
        <w:t>或以级别较低的条例形式</w:t>
      </w:r>
      <w:r>
        <w:rPr>
          <w:rFonts w:hint="eastAsia"/>
          <w:snapToGrid/>
        </w:rPr>
        <w:t>(</w:t>
      </w:r>
      <w:r>
        <w:rPr>
          <w:rFonts w:hint="eastAsia"/>
          <w:snapToGrid/>
        </w:rPr>
        <w:t>例如工作计划中的部级政令，在各部委的官方日刊上发表的文本</w:t>
      </w:r>
      <w:r>
        <w:rPr>
          <w:rFonts w:hint="eastAsia"/>
          <w:snapToGrid/>
        </w:rPr>
        <w:t>)</w:t>
      </w:r>
      <w:r>
        <w:rPr>
          <w:rFonts w:hint="eastAsia"/>
          <w:snapToGrid/>
        </w:rPr>
        <w:t>被吸收到匈牙利的法律体系中。因此，有关政府官员有义务执行这些文件的内容。匈牙利和</w:t>
      </w:r>
      <w:r>
        <w:rPr>
          <w:rFonts w:hint="eastAsia"/>
          <w:snapToGrid/>
        </w:rPr>
        <w:t>50</w:t>
      </w:r>
      <w:r>
        <w:rPr>
          <w:rFonts w:hint="eastAsia"/>
          <w:snapToGrid/>
        </w:rPr>
        <w:t>多个国家有经常性的文化合作。这些文件中规定的条件经常被检查，如有需要，这些条件会被更新。</w:t>
      </w:r>
      <w:r>
        <w:rPr>
          <w:rFonts w:hint="eastAsia"/>
          <w:snapToGrid/>
        </w:rPr>
        <w:t>1998</w:t>
      </w:r>
      <w:r>
        <w:rPr>
          <w:rFonts w:hint="eastAsia"/>
          <w:snapToGrid/>
        </w:rPr>
        <w:t>年至</w:t>
      </w:r>
      <w:r>
        <w:rPr>
          <w:rFonts w:hint="eastAsia"/>
          <w:snapToGrid/>
        </w:rPr>
        <w:t>2003</w:t>
      </w:r>
      <w:r>
        <w:rPr>
          <w:rFonts w:hint="eastAsia"/>
          <w:snapToGrid/>
        </w:rPr>
        <w:t>年，匈牙利缔结了</w:t>
      </w:r>
      <w:r>
        <w:rPr>
          <w:rFonts w:hint="eastAsia"/>
          <w:snapToGrid/>
        </w:rPr>
        <w:t>8</w:t>
      </w:r>
      <w:r>
        <w:rPr>
          <w:rFonts w:hint="eastAsia"/>
          <w:snapToGrid/>
        </w:rPr>
        <w:t>个双边文化协定和</w:t>
      </w:r>
      <w:r>
        <w:rPr>
          <w:rFonts w:hint="eastAsia"/>
          <w:snapToGrid/>
        </w:rPr>
        <w:t>16</w:t>
      </w:r>
      <w:r>
        <w:rPr>
          <w:rFonts w:hint="eastAsia"/>
          <w:snapToGrid/>
        </w:rPr>
        <w:t>个双边文化工作计划。</w:t>
      </w:r>
    </w:p>
    <w:p w:rsidR="00000000" w:rsidRDefault="00000000">
      <w:pPr>
        <w:rPr>
          <w:rFonts w:hint="eastAsia"/>
          <w:snapToGrid/>
        </w:rPr>
      </w:pPr>
      <w:r>
        <w:rPr>
          <w:rFonts w:hint="eastAsia"/>
          <w:snapToGrid/>
        </w:rPr>
        <w:tab/>
        <w:t xml:space="preserve">708.  </w:t>
      </w:r>
      <w:r>
        <w:rPr>
          <w:rFonts w:hint="eastAsia"/>
          <w:snapToGrid/>
        </w:rPr>
        <w:t>政府也管理国外匈牙利文化中心的维持和运作。</w:t>
      </w:r>
      <w:r>
        <w:rPr>
          <w:rFonts w:hint="eastAsia"/>
          <w:snapToGrid/>
        </w:rPr>
        <w:t>2003</w:t>
      </w:r>
      <w:r>
        <w:rPr>
          <w:rFonts w:hint="eastAsia"/>
          <w:snapToGrid/>
        </w:rPr>
        <w:t>年，在欧洲和海外的</w:t>
      </w:r>
      <w:r>
        <w:rPr>
          <w:rFonts w:hint="eastAsia"/>
          <w:snapToGrid/>
        </w:rPr>
        <w:t>16</w:t>
      </w:r>
      <w:r>
        <w:rPr>
          <w:rFonts w:hint="eastAsia"/>
          <w:snapToGrid/>
        </w:rPr>
        <w:t>个城市中有这样的文化中心。《第</w:t>
      </w:r>
      <w:r>
        <w:rPr>
          <w:rFonts w:hint="eastAsia"/>
          <w:snapToGrid/>
        </w:rPr>
        <w:t>11/2000</w:t>
      </w:r>
      <w:r>
        <w:rPr>
          <w:rFonts w:hint="eastAsia"/>
          <w:snapToGrid/>
        </w:rPr>
        <w:t>号政府令》</w:t>
      </w:r>
      <w:r>
        <w:rPr>
          <w:rFonts w:hint="eastAsia"/>
          <w:snapToGrid/>
        </w:rPr>
        <w:t>(</w:t>
      </w:r>
      <w:r>
        <w:rPr>
          <w:rFonts w:hint="eastAsia"/>
          <w:snapToGrid/>
        </w:rPr>
        <w:t>二、</w:t>
      </w:r>
      <w:r>
        <w:rPr>
          <w:rFonts w:hint="eastAsia"/>
          <w:snapToGrid/>
        </w:rPr>
        <w:t>8</w:t>
      </w:r>
      <w:r>
        <w:rPr>
          <w:rFonts w:hint="eastAsia"/>
          <w:snapToGrid/>
        </w:rPr>
        <w:t>、</w:t>
      </w:r>
      <w:r>
        <w:rPr>
          <w:rFonts w:hint="eastAsia"/>
          <w:snapToGrid/>
        </w:rPr>
        <w:t>)</w:t>
      </w:r>
      <w:r>
        <w:rPr>
          <w:rFonts w:hint="eastAsia"/>
          <w:snapToGrid/>
        </w:rPr>
        <w:t>对国外匈牙利文化中心的管理工作作了最新规定。此外，在出于此目的的特别协定中，可以规定是在单边基础或与东道国的双边基础上对单个文化中心进行管理。匈牙利国外文化中心借助将匈牙利艺术家介绍给国际观众的方式，在既定国家提高匈牙利艺术家权利和可能性方面发挥重要作用。</w:t>
      </w:r>
    </w:p>
    <w:p w:rsidR="00000000" w:rsidRDefault="00000000">
      <w:pPr>
        <w:rPr>
          <w:rFonts w:hint="eastAsia"/>
          <w:snapToGrid/>
        </w:rPr>
      </w:pPr>
      <w:r>
        <w:rPr>
          <w:rFonts w:hint="eastAsia"/>
          <w:snapToGrid/>
        </w:rPr>
        <w:tab/>
        <w:t xml:space="preserve">709.  </w:t>
      </w:r>
      <w:r>
        <w:rPr>
          <w:rFonts w:hint="eastAsia"/>
          <w:snapToGrid/>
        </w:rPr>
        <w:t>在区域合作方面，一个最新形成的要素就是四个维谢格拉德国家</w:t>
      </w:r>
      <w:r>
        <w:rPr>
          <w:rFonts w:hint="eastAsia"/>
          <w:snapToGrid/>
        </w:rPr>
        <w:t>(</w:t>
      </w:r>
      <w:r>
        <w:rPr>
          <w:rFonts w:hint="eastAsia"/>
          <w:snapToGrid/>
        </w:rPr>
        <w:t>匈牙利、波兰、捷克共和国和斯洛伐克</w:t>
      </w:r>
      <w:r>
        <w:rPr>
          <w:rFonts w:hint="eastAsia"/>
          <w:snapToGrid/>
        </w:rPr>
        <w:t>)</w:t>
      </w:r>
      <w:r>
        <w:rPr>
          <w:rFonts w:hint="eastAsia"/>
          <w:snapToGrid/>
        </w:rPr>
        <w:t>之间的文化合作。这一合作的详情和条件列入了部长级会议的闭幕声明中。匈牙利方面认为这些文件等同于政府间文化工作计划，即国家文化遗产部有义务执行这些文件的内容。自</w:t>
      </w:r>
      <w:r>
        <w:rPr>
          <w:rFonts w:hint="eastAsia"/>
          <w:snapToGrid/>
        </w:rPr>
        <w:t>1999</w:t>
      </w:r>
      <w:r>
        <w:rPr>
          <w:rFonts w:hint="eastAsia"/>
          <w:snapToGrid/>
        </w:rPr>
        <w:t>年以来，部级会议每两年组织一次。</w:t>
      </w:r>
    </w:p>
    <w:p w:rsidR="00000000" w:rsidRDefault="00000000">
      <w:pPr>
        <w:rPr>
          <w:rFonts w:hint="eastAsia"/>
          <w:snapToGrid/>
        </w:rPr>
      </w:pPr>
      <w:r>
        <w:rPr>
          <w:rFonts w:hint="eastAsia"/>
          <w:snapToGrid/>
        </w:rPr>
        <w:tab/>
        <w:t xml:space="preserve">710.  </w:t>
      </w:r>
      <w:r>
        <w:rPr>
          <w:rFonts w:hint="eastAsia"/>
          <w:snapToGrid/>
        </w:rPr>
        <w:t>在调查期之前，匈牙利就已经批准了欧洲理事会在文化和文化遗产方面最重要的公约。</w:t>
      </w:r>
      <w:r>
        <w:rPr>
          <w:rFonts w:hint="eastAsia"/>
          <w:snapToGrid/>
        </w:rPr>
        <w:t>2003</w:t>
      </w:r>
      <w:r>
        <w:rPr>
          <w:rFonts w:hint="eastAsia"/>
          <w:snapToGrid/>
        </w:rPr>
        <w:t>年匈牙利已经签署了新的《欧洲关于保护音像遗产的公约》。其批准过程正在进行中。由于匈牙利加入了《公约》，在自由接触和研究音像遗产方面的权利将得到拓展。</w:t>
      </w:r>
    </w:p>
    <w:p w:rsidR="00000000" w:rsidRDefault="00000000">
      <w:pPr>
        <w:rPr>
          <w:rFonts w:hint="eastAsia"/>
          <w:snapToGrid/>
        </w:rPr>
      </w:pPr>
      <w:r>
        <w:rPr>
          <w:rFonts w:hint="eastAsia"/>
          <w:snapToGrid/>
        </w:rPr>
        <w:tab/>
        <w:t xml:space="preserve">711.  </w:t>
      </w:r>
      <w:r>
        <w:rPr>
          <w:rFonts w:hint="eastAsia"/>
          <w:snapToGrid/>
        </w:rPr>
        <w:t>在加入欧洲联盟以后的过程中，匈牙利政府执行了一个法律全面协调方案。其中一部分就是对关于文物进出口和媒体的国内法进行了修改。</w:t>
      </w:r>
    </w:p>
    <w:p w:rsidR="00000000" w:rsidRDefault="00000000">
      <w:pPr>
        <w:rPr>
          <w:rFonts w:hint="eastAsia"/>
          <w:snapToGrid/>
        </w:rPr>
      </w:pPr>
      <w:r>
        <w:rPr>
          <w:rFonts w:hint="eastAsia"/>
          <w:snapToGrid/>
        </w:rPr>
        <w:tab/>
        <w:t xml:space="preserve">712.  </w:t>
      </w:r>
      <w:r>
        <w:rPr>
          <w:rFonts w:hint="eastAsia"/>
          <w:snapToGrid/>
        </w:rPr>
        <w:t>此外，文化遗产部按照欧洲联盟的期望在</w:t>
      </w:r>
      <w:r>
        <w:rPr>
          <w:rFonts w:hint="eastAsia"/>
          <w:snapToGrid/>
        </w:rPr>
        <w:t>2000</w:t>
      </w:r>
      <w:r>
        <w:rPr>
          <w:rFonts w:hint="eastAsia"/>
          <w:snapToGrid/>
        </w:rPr>
        <w:t>年</w:t>
      </w:r>
      <w:r>
        <w:rPr>
          <w:rFonts w:hint="eastAsia"/>
          <w:snapToGrid/>
        </w:rPr>
        <w:t>4</w:t>
      </w:r>
      <w:r>
        <w:rPr>
          <w:rFonts w:hint="eastAsia"/>
          <w:snapToGrid/>
        </w:rPr>
        <w:t>月</w:t>
      </w:r>
      <w:r>
        <w:rPr>
          <w:rFonts w:hint="eastAsia"/>
          <w:snapToGrid/>
        </w:rPr>
        <w:t>1</w:t>
      </w:r>
      <w:r>
        <w:rPr>
          <w:rFonts w:hint="eastAsia"/>
          <w:snapToGrid/>
        </w:rPr>
        <w:t>日建立了文化联络点。匈牙利文化联络点的任务是在欧盟文化</w:t>
      </w:r>
      <w:r>
        <w:rPr>
          <w:rFonts w:hint="eastAsia"/>
          <w:snapToGrid/>
        </w:rPr>
        <w:t>2000</w:t>
      </w:r>
      <w:r>
        <w:rPr>
          <w:rFonts w:hint="eastAsia"/>
          <w:snapToGrid/>
        </w:rPr>
        <w:t>方案的咨询、协作和信息方面，帮助该方案的申请者。通过这种方式，文化联络点促进了匈牙利公民更有效地参与该方案，并处理有关该方案的全国协调工作。</w:t>
      </w:r>
    </w:p>
    <w:p w:rsidR="00000000" w:rsidRDefault="00000000">
      <w:pPr>
        <w:rPr>
          <w:snapToGrid/>
        </w:rPr>
      </w:pPr>
      <w:r>
        <w:rPr>
          <w:rFonts w:hint="eastAsia"/>
          <w:snapToGrid/>
        </w:rPr>
        <w:tab/>
        <w:t xml:space="preserve">713.  </w:t>
      </w:r>
      <w:r>
        <w:rPr>
          <w:rFonts w:hint="eastAsia"/>
          <w:snapToGrid/>
        </w:rPr>
        <w:t>匈牙利国际文化合作的一个主要特征是合作伙伴派出方和接受方的需求始终都在增长。因此，主要问题不是利用可能的合作机会，更重要的问题在于政府和非政府机构根据不同需求提供适当的条件并保证必要的资金。</w:t>
      </w:r>
    </w:p>
    <w:p w:rsidR="00000000" w:rsidRDefault="00000000">
      <w:pPr>
        <w:rPr>
          <w:rFonts w:hint="eastAsia"/>
          <w:snapToGrid/>
        </w:rPr>
      </w:pPr>
      <w:r>
        <w:rPr>
          <w:snapToGrid/>
        </w:rPr>
        <w:tab/>
        <w:t xml:space="preserve">714.  </w:t>
      </w:r>
      <w:r>
        <w:rPr>
          <w:rFonts w:hint="eastAsia"/>
          <w:snapToGrid/>
        </w:rPr>
        <w:t>匈牙利在落实国际文化联系方面的政府和非政府活动在实践中保持均衡，但是其资金主要仍是依靠政府预算资源保障。</w:t>
      </w:r>
    </w:p>
    <w:p w:rsidR="00000000" w:rsidRDefault="00000000">
      <w:pPr>
        <w:spacing w:after="320"/>
        <w:rPr>
          <w:rFonts w:hint="eastAsia"/>
          <w:snapToGrid/>
        </w:rPr>
      </w:pPr>
      <w:r>
        <w:rPr>
          <w:rFonts w:hint="eastAsia"/>
          <w:snapToGrid/>
        </w:rPr>
        <w:tab/>
        <w:t xml:space="preserve">715.  </w:t>
      </w:r>
      <w:r>
        <w:rPr>
          <w:rFonts w:hint="eastAsia"/>
          <w:snapToGrid/>
        </w:rPr>
        <w:t>匈牙利文化部门着重努力于大规模提供信息和咨询，</w:t>
      </w:r>
      <w:r>
        <w:rPr>
          <w:rFonts w:hint="eastAsia"/>
          <w:snapToGrid/>
          <w:spacing w:val="-50"/>
        </w:rPr>
        <w:t>―</w:t>
      </w:r>
      <w:r>
        <w:rPr>
          <w:rFonts w:hint="eastAsia"/>
          <w:snapToGrid/>
        </w:rPr>
        <w:t>―以欧盟方案为例，就是建立独立的新闻处，以便增进个人、机构和民间组织参与国际文化合作。这首先意味着，这些个人、机构和民间组织在这个领域更多和更有效使用其权利方面可以得到帮助。</w:t>
      </w:r>
    </w:p>
    <w:p w:rsidR="00000000" w:rsidRDefault="00000000">
      <w:pPr>
        <w:pStyle w:val="Heading4"/>
        <w:rPr>
          <w:rFonts w:eastAsia="KaiTi_GB2312" w:hint="eastAsia"/>
          <w:snapToGrid/>
          <w:spacing w:val="0"/>
          <w:u w:val="none"/>
        </w:rPr>
      </w:pPr>
      <w:r>
        <w:rPr>
          <w:rFonts w:eastAsia="KaiTi_GB2312" w:hint="eastAsia"/>
          <w:snapToGrid/>
          <w:spacing w:val="0"/>
          <w:u w:val="none"/>
        </w:rPr>
        <w:t>艺</w:t>
      </w:r>
      <w:r>
        <w:rPr>
          <w:rFonts w:eastAsia="KaiTi_GB2312"/>
          <w:snapToGrid/>
          <w:spacing w:val="0"/>
          <w:u w:val="none"/>
        </w:rPr>
        <w:t xml:space="preserve">  </w:t>
      </w:r>
      <w:r>
        <w:rPr>
          <w:rFonts w:eastAsia="KaiTi_GB2312" w:hint="eastAsia"/>
          <w:snapToGrid/>
          <w:spacing w:val="0"/>
          <w:u w:val="none"/>
        </w:rPr>
        <w:t>术</w:t>
      </w:r>
    </w:p>
    <w:p w:rsidR="00000000" w:rsidRDefault="00000000">
      <w:pPr>
        <w:spacing w:after="320"/>
        <w:rPr>
          <w:rFonts w:hint="eastAsia"/>
          <w:snapToGrid/>
        </w:rPr>
      </w:pPr>
      <w:r>
        <w:rPr>
          <w:rFonts w:hint="eastAsia"/>
          <w:snapToGrid/>
        </w:rPr>
        <w:tab/>
        <w:t xml:space="preserve">716.  </w:t>
      </w:r>
      <w:r>
        <w:rPr>
          <w:rFonts w:hint="eastAsia"/>
          <w:snapToGrid/>
        </w:rPr>
        <w:t>自匈牙利加入欧洲联盟以后，对于匈牙利艺术而言，一个基本问题就是是否可以经得起保存、培育和丰富文化遗产工作方面的挑战。何种类型的艺术活动是国家职能中不可或缺的，应当开展到何等程度，以及使用何种融资方式，这些都必须不断地重新加以考虑。</w:t>
      </w:r>
    </w:p>
    <w:p w:rsidR="00000000" w:rsidRDefault="00000000">
      <w:pPr>
        <w:pStyle w:val="Heading4"/>
        <w:rPr>
          <w:rFonts w:eastAsia="KaiTi_GB2312" w:hint="eastAsia"/>
          <w:snapToGrid/>
          <w:spacing w:val="0"/>
          <w:u w:val="none"/>
        </w:rPr>
      </w:pPr>
      <w:r>
        <w:rPr>
          <w:rFonts w:eastAsia="KaiTi_GB2312" w:hint="eastAsia"/>
          <w:snapToGrid/>
          <w:spacing w:val="0"/>
          <w:u w:val="none"/>
        </w:rPr>
        <w:t>机构体制的变化和本质</w:t>
      </w:r>
    </w:p>
    <w:p w:rsidR="00000000" w:rsidRDefault="00000000">
      <w:pPr>
        <w:rPr>
          <w:rFonts w:hint="eastAsia"/>
          <w:snapToGrid/>
        </w:rPr>
      </w:pPr>
      <w:r>
        <w:rPr>
          <w:rFonts w:hint="eastAsia"/>
          <w:snapToGrid/>
        </w:rPr>
        <w:tab/>
        <w:t xml:space="preserve">717.  </w:t>
      </w:r>
      <w:r>
        <w:rPr>
          <w:rFonts w:hint="eastAsia"/>
          <w:snapToGrid/>
        </w:rPr>
        <w:t>对文化遗产部直接维持的艺术机构和经济性公司的任务与状况有必要加以回顾。近几年间，预算内机构的数量直线下降，主要是将艺术机构改造成公共福利公司，以经济性公司的形式经营。</w:t>
      </w:r>
    </w:p>
    <w:p w:rsidR="00000000" w:rsidRDefault="00000000">
      <w:pPr>
        <w:rPr>
          <w:rFonts w:hint="eastAsia"/>
          <w:snapToGrid/>
        </w:rPr>
      </w:pPr>
      <w:r>
        <w:rPr>
          <w:rFonts w:hint="eastAsia"/>
          <w:snapToGrid/>
        </w:rPr>
        <w:tab/>
        <w:t xml:space="preserve">718.  </w:t>
      </w:r>
      <w:r>
        <w:rPr>
          <w:rFonts w:hint="eastAsia"/>
          <w:snapToGrid/>
        </w:rPr>
        <w:t>舞蹈家们多年来一直要求建立舞蹈演出剧院，为不同形式的舞蹈表演提供永久性场所，</w:t>
      </w:r>
      <w:r>
        <w:rPr>
          <w:rFonts w:hint="eastAsia"/>
          <w:snapToGrid/>
        </w:rPr>
        <w:t>2001</w:t>
      </w:r>
      <w:r>
        <w:rPr>
          <w:rFonts w:hint="eastAsia"/>
          <w:snapToGrid/>
        </w:rPr>
        <w:t>年</w:t>
      </w:r>
      <w:r>
        <w:rPr>
          <w:rFonts w:hint="eastAsia"/>
          <w:snapToGrid/>
        </w:rPr>
        <w:t>6</w:t>
      </w:r>
      <w:r>
        <w:rPr>
          <w:rFonts w:hint="eastAsia"/>
          <w:snapToGrid/>
        </w:rPr>
        <w:t>月国家舞剧院公共福利公司的建立实现了这一要求。</w:t>
      </w:r>
    </w:p>
    <w:p w:rsidR="00000000" w:rsidRDefault="00000000">
      <w:pPr>
        <w:rPr>
          <w:rFonts w:hint="eastAsia"/>
          <w:snapToGrid/>
        </w:rPr>
      </w:pPr>
      <w:r>
        <w:rPr>
          <w:rFonts w:hint="eastAsia"/>
          <w:snapToGrid/>
        </w:rPr>
        <w:tab/>
        <w:t xml:space="preserve">719.  </w:t>
      </w:r>
      <w:r>
        <w:rPr>
          <w:rFonts w:hint="eastAsia"/>
          <w:snapToGrid/>
        </w:rPr>
        <w:t>建立展览馆的行动也予以了调整：厄恩斯特博物馆和</w:t>
      </w:r>
      <w:r>
        <w:rPr>
          <w:snapToGrid/>
          <w:lang w:val="en-GB"/>
        </w:rPr>
        <w:t>Dorottya</w:t>
      </w:r>
      <w:r>
        <w:rPr>
          <w:rFonts w:hint="eastAsia"/>
          <w:snapToGrid/>
          <w:lang w:val="en-GB"/>
        </w:rPr>
        <w:t xml:space="preserve"> </w:t>
      </w:r>
      <w:r>
        <w:rPr>
          <w:rFonts w:hint="eastAsia"/>
          <w:snapToGrid/>
        </w:rPr>
        <w:t>画廊从该机构中分离出来。</w:t>
      </w:r>
      <w:r>
        <w:rPr>
          <w:rFonts w:hint="eastAsia"/>
          <w:snapToGrid/>
        </w:rPr>
        <w:t>2000</w:t>
      </w:r>
      <w:r>
        <w:rPr>
          <w:rFonts w:hint="eastAsia"/>
          <w:snapToGrid/>
        </w:rPr>
        <w:t>年下半年，新单位以厄恩斯特博物馆公共福利公司的名义作为一家独立展览机构开始自主经营，迄今一直在毫无困难地执行其任务。</w:t>
      </w:r>
    </w:p>
    <w:p w:rsidR="00000000" w:rsidRDefault="00000000">
      <w:pPr>
        <w:rPr>
          <w:rFonts w:hint="eastAsia"/>
          <w:snapToGrid/>
        </w:rPr>
      </w:pPr>
      <w:r>
        <w:rPr>
          <w:rFonts w:hint="eastAsia"/>
          <w:snapToGrid/>
        </w:rPr>
        <w:tab/>
        <w:t xml:space="preserve">720.  </w:t>
      </w:r>
      <w:r>
        <w:rPr>
          <w:rFonts w:hint="eastAsia"/>
          <w:snapToGrid/>
        </w:rPr>
        <w:t>政府为国家歌剧院在几年之内成为能特邀杰出艺术家一起工作的欧洲十佳音乐厅之一创造了条件，因此在世界上重新赢得尊敬，并重新聚集了国际歌剧表演者中的精英。作为第一步，</w:t>
      </w:r>
      <w:r>
        <w:rPr>
          <w:rFonts w:hint="eastAsia"/>
          <w:snapToGrid/>
        </w:rPr>
        <w:t>2001</w:t>
      </w:r>
      <w:r>
        <w:rPr>
          <w:rFonts w:hint="eastAsia"/>
          <w:snapToGrid/>
        </w:rPr>
        <w:t>年</w:t>
      </w:r>
      <w:r>
        <w:rPr>
          <w:rFonts w:hint="eastAsia"/>
          <w:snapToGrid/>
        </w:rPr>
        <w:t>1</w:t>
      </w:r>
      <w:r>
        <w:rPr>
          <w:rFonts w:hint="eastAsia"/>
          <w:snapToGrid/>
        </w:rPr>
        <w:t>月</w:t>
      </w:r>
      <w:r>
        <w:rPr>
          <w:rFonts w:hint="eastAsia"/>
          <w:snapToGrid/>
        </w:rPr>
        <w:t>1</w:t>
      </w:r>
      <w:r>
        <w:rPr>
          <w:rFonts w:hint="eastAsia"/>
          <w:snapToGrid/>
        </w:rPr>
        <w:t>日文化遗产部调整了匈牙利国家歌剧院的建立行动：并创建了音乐总指导这一职位。歌剧院院长负责日常经营，因此部长任命了一位在危机管理方面富有经验、具备经济学方面资格并在机构组织方面有经验的专家担任院长。歌剧院艺术形象方面的发展则是音乐总监的任务。</w:t>
      </w:r>
    </w:p>
    <w:p w:rsidR="00000000" w:rsidRDefault="00000000">
      <w:pPr>
        <w:rPr>
          <w:rFonts w:hint="eastAsia"/>
          <w:snapToGrid/>
        </w:rPr>
      </w:pPr>
      <w:r>
        <w:rPr>
          <w:rFonts w:hint="eastAsia"/>
          <w:snapToGrid/>
        </w:rPr>
        <w:tab/>
        <w:t xml:space="preserve">721.  </w:t>
      </w:r>
      <w:r>
        <w:rPr>
          <w:rFonts w:hint="eastAsia"/>
          <w:snapToGrid/>
        </w:rPr>
        <w:t>匈牙利成立了国家大剧院股份公司，并完成了新国家大剧院大楼。</w:t>
      </w:r>
      <w:r>
        <w:rPr>
          <w:rFonts w:hint="eastAsia"/>
          <w:snapToGrid/>
        </w:rPr>
        <w:t>(2002</w:t>
      </w:r>
      <w:r>
        <w:rPr>
          <w:rFonts w:hint="eastAsia"/>
          <w:snapToGrid/>
        </w:rPr>
        <w:t>年</w:t>
      </w:r>
      <w:r>
        <w:rPr>
          <w:rFonts w:hint="eastAsia"/>
          <w:snapToGrid/>
        </w:rPr>
        <w:t>3</w:t>
      </w:r>
      <w:r>
        <w:rPr>
          <w:rFonts w:hint="eastAsia"/>
          <w:snapToGrid/>
        </w:rPr>
        <w:t>月</w:t>
      </w:r>
      <w:r>
        <w:rPr>
          <w:rFonts w:hint="eastAsia"/>
          <w:snapToGrid/>
        </w:rPr>
        <w:t>15</w:t>
      </w:r>
      <w:r>
        <w:rPr>
          <w:rFonts w:hint="eastAsia"/>
          <w:snapToGrid/>
        </w:rPr>
        <w:t>日</w:t>
      </w:r>
      <w:r>
        <w:rPr>
          <w:rFonts w:hint="eastAsia"/>
          <w:snapToGrid/>
        </w:rPr>
        <w:t>)</w:t>
      </w:r>
      <w:r>
        <w:rPr>
          <w:rFonts w:hint="eastAsia"/>
          <w:snapToGrid/>
        </w:rPr>
        <w:t>在等待了一个半世纪之后，我们国家的戏剧艺术有了一个特别为此建设的新家园。</w:t>
      </w:r>
    </w:p>
    <w:p w:rsidR="00000000" w:rsidRDefault="00000000">
      <w:pPr>
        <w:spacing w:after="320"/>
        <w:rPr>
          <w:rFonts w:hint="eastAsia"/>
          <w:snapToGrid/>
        </w:rPr>
      </w:pPr>
      <w:r>
        <w:rPr>
          <w:rFonts w:hint="eastAsia"/>
          <w:snapToGrid/>
        </w:rPr>
        <w:tab/>
        <w:t xml:space="preserve">722.  </w:t>
      </w:r>
      <w:r>
        <w:rPr>
          <w:rFonts w:hint="eastAsia"/>
          <w:snapToGrid/>
        </w:rPr>
        <w:t>随着</w:t>
      </w:r>
      <w:r>
        <w:rPr>
          <w:rFonts w:hint="eastAsia"/>
          <w:snapToGrid/>
        </w:rPr>
        <w:t>2001</w:t>
      </w:r>
      <w:r>
        <w:rPr>
          <w:rFonts w:hint="eastAsia"/>
          <w:snapToGrid/>
        </w:rPr>
        <w:t>年初开始对</w:t>
      </w:r>
      <w:r>
        <w:rPr>
          <w:snapToGrid/>
        </w:rPr>
        <w:t xml:space="preserve">Uránia </w:t>
      </w:r>
      <w:r>
        <w:rPr>
          <w:rFonts w:hint="eastAsia"/>
          <w:snapToGrid/>
        </w:rPr>
        <w:t>电影公司的重整，国家电影公共福利公司丰富了国家艺术机构圈子。电影公司的基本任务就是，将自无声片起的国家电影不断列入其节目单中，不论影片的形式、长度和产品技术，都将其展示给公众。</w:t>
      </w:r>
    </w:p>
    <w:p w:rsidR="00000000" w:rsidRDefault="00000000">
      <w:pPr>
        <w:pStyle w:val="Heading4"/>
        <w:rPr>
          <w:rFonts w:eastAsia="KaiTi_GB2312" w:hint="eastAsia"/>
          <w:snapToGrid/>
          <w:spacing w:val="0"/>
          <w:u w:val="none"/>
        </w:rPr>
      </w:pPr>
      <w:r>
        <w:rPr>
          <w:rFonts w:eastAsia="KaiTi_GB2312" w:hint="eastAsia"/>
          <w:snapToGrid/>
          <w:spacing w:val="0"/>
          <w:u w:val="none"/>
        </w:rPr>
        <w:t>支持地方政府</w:t>
      </w:r>
    </w:p>
    <w:p w:rsidR="00000000" w:rsidRDefault="00000000">
      <w:pPr>
        <w:rPr>
          <w:rFonts w:hint="eastAsia"/>
          <w:snapToGrid/>
        </w:rPr>
      </w:pPr>
      <w:r>
        <w:rPr>
          <w:rFonts w:hint="eastAsia"/>
          <w:snapToGrid/>
        </w:rPr>
        <w:tab/>
        <w:t xml:space="preserve">723.  </w:t>
      </w:r>
      <w:r>
        <w:rPr>
          <w:rFonts w:hint="eastAsia"/>
          <w:snapToGrid/>
        </w:rPr>
        <w:t>地方政府运作和支持的一系列机构对于实现目前政府的文化政策具有决定性的作用。地方政府支持很大一部分的艺术机构，它们可以从中央预算中领取补贴。</w:t>
      </w:r>
    </w:p>
    <w:p w:rsidR="00000000" w:rsidRDefault="00000000">
      <w:pPr>
        <w:rPr>
          <w:rFonts w:hint="eastAsia"/>
          <w:snapToGrid/>
        </w:rPr>
      </w:pPr>
      <w:r>
        <w:rPr>
          <w:rFonts w:hint="eastAsia"/>
          <w:snapToGrid/>
        </w:rPr>
        <w:tab/>
        <w:t xml:space="preserve">724.  </w:t>
      </w:r>
      <w:r>
        <w:rPr>
          <w:rFonts w:hint="eastAsia"/>
          <w:snapToGrid/>
        </w:rPr>
        <w:t>与</w:t>
      </w:r>
      <w:r>
        <w:rPr>
          <w:rFonts w:hint="eastAsia"/>
          <w:snapToGrid/>
        </w:rPr>
        <w:t>2002</w:t>
      </w:r>
      <w:r>
        <w:rPr>
          <w:rFonts w:hint="eastAsia"/>
          <w:snapToGrid/>
        </w:rPr>
        <w:t>年相比，</w:t>
      </w:r>
      <w:r>
        <w:rPr>
          <w:rFonts w:hint="eastAsia"/>
          <w:snapToGrid/>
        </w:rPr>
        <w:t>2003</w:t>
      </w:r>
      <w:r>
        <w:rPr>
          <w:rFonts w:hint="eastAsia"/>
          <w:snapToGrid/>
        </w:rPr>
        <w:t>年地方政府划拨的补贴剧院的主要金额增加了</w:t>
      </w:r>
      <w:r>
        <w:rPr>
          <w:rFonts w:hint="eastAsia"/>
          <w:snapToGrid/>
        </w:rPr>
        <w:t>59%</w:t>
      </w:r>
      <w:r>
        <w:rPr>
          <w:rFonts w:hint="eastAsia"/>
          <w:snapToGrid/>
        </w:rPr>
        <w:t>。在保存传统建造的剧院之外，支持创新性的、非传统形式的戏剧工作室也被视为一项特别任务。</w:t>
      </w:r>
      <w:r>
        <w:rPr>
          <w:rFonts w:hint="eastAsia"/>
          <w:snapToGrid/>
        </w:rPr>
        <w:t>2003</w:t>
      </w:r>
      <w:r>
        <w:rPr>
          <w:rFonts w:hint="eastAsia"/>
          <w:snapToGrid/>
        </w:rPr>
        <w:t>年，在非传统形式的戏剧、舞蹈和活动的工作室中分配的金额达到</w:t>
      </w:r>
      <w:r>
        <w:rPr>
          <w:rFonts w:hint="eastAsia"/>
          <w:snapToGrid/>
        </w:rPr>
        <w:t>2.9</w:t>
      </w:r>
      <w:r>
        <w:rPr>
          <w:rFonts w:hint="eastAsia"/>
          <w:snapToGrid/>
        </w:rPr>
        <w:t>亿福林。</w:t>
      </w:r>
    </w:p>
    <w:p w:rsidR="00000000" w:rsidRDefault="00000000">
      <w:pPr>
        <w:rPr>
          <w:rFonts w:hint="eastAsia"/>
          <w:snapToGrid/>
        </w:rPr>
      </w:pPr>
      <w:r>
        <w:rPr>
          <w:rFonts w:hint="eastAsia"/>
          <w:snapToGrid/>
        </w:rPr>
        <w:tab/>
        <w:t xml:space="preserve">725.  </w:t>
      </w:r>
      <w:r>
        <w:rPr>
          <w:rFonts w:hint="eastAsia"/>
          <w:snapToGrid/>
        </w:rPr>
        <w:t>详细的分类情况表明，</w:t>
      </w:r>
      <w:r>
        <w:rPr>
          <w:rFonts w:hint="eastAsia"/>
          <w:snapToGrid/>
        </w:rPr>
        <w:t>2003</w:t>
      </w:r>
      <w:r>
        <w:rPr>
          <w:rFonts w:hint="eastAsia"/>
          <w:snapToGrid/>
        </w:rPr>
        <w:t>年被支助的戏剧工作室通过申请获得的框架性支助金额增长如下：</w:t>
      </w:r>
    </w:p>
    <w:p w:rsidR="00000000" w:rsidRDefault="00000000">
      <w:pPr>
        <w:pStyle w:val="a"/>
        <w:ind w:left="1550"/>
        <w:rPr>
          <w:rFonts w:hint="eastAsia"/>
          <w:snapToGrid/>
        </w:rPr>
      </w:pPr>
      <w:r>
        <w:rPr>
          <w:rFonts w:hint="eastAsia"/>
          <w:snapToGrid/>
        </w:rPr>
        <w:t>露天剧院增长了</w:t>
      </w:r>
      <w:r>
        <w:rPr>
          <w:rFonts w:hint="eastAsia"/>
          <w:snapToGrid/>
        </w:rPr>
        <w:t>33%</w:t>
      </w:r>
    </w:p>
    <w:p w:rsidR="00000000" w:rsidRDefault="00000000">
      <w:pPr>
        <w:pStyle w:val="a"/>
        <w:ind w:left="1550"/>
        <w:rPr>
          <w:rFonts w:hint="eastAsia"/>
          <w:snapToGrid/>
        </w:rPr>
      </w:pPr>
      <w:r>
        <w:rPr>
          <w:rFonts w:hint="eastAsia"/>
          <w:snapToGrid/>
        </w:rPr>
        <w:t>国家少数民族剧院增长了</w:t>
      </w:r>
      <w:r>
        <w:rPr>
          <w:rFonts w:hint="eastAsia"/>
          <w:snapToGrid/>
        </w:rPr>
        <w:t>42%</w:t>
      </w:r>
    </w:p>
    <w:p w:rsidR="00000000" w:rsidRDefault="00000000">
      <w:pPr>
        <w:pStyle w:val="a"/>
        <w:ind w:left="1550"/>
        <w:rPr>
          <w:rFonts w:hint="eastAsia"/>
          <w:snapToGrid/>
        </w:rPr>
      </w:pPr>
      <w:r>
        <w:rPr>
          <w:rFonts w:hint="eastAsia"/>
          <w:snapToGrid/>
        </w:rPr>
        <w:t>戏剧企业、非传统形式的戏剧工作室增长了</w:t>
      </w:r>
      <w:r>
        <w:rPr>
          <w:rFonts w:hint="eastAsia"/>
          <w:snapToGrid/>
        </w:rPr>
        <w:t>96%(</w:t>
      </w:r>
      <w:r>
        <w:rPr>
          <w:rFonts w:hint="eastAsia"/>
          <w:snapToGrid/>
        </w:rPr>
        <w:t>！</w:t>
      </w:r>
      <w:r>
        <w:rPr>
          <w:rFonts w:hint="eastAsia"/>
          <w:snapToGrid/>
        </w:rPr>
        <w:t>)</w:t>
      </w:r>
    </w:p>
    <w:p w:rsidR="00000000" w:rsidRDefault="00000000">
      <w:pPr>
        <w:pStyle w:val="a"/>
        <w:ind w:left="1550"/>
        <w:rPr>
          <w:snapToGrid/>
        </w:rPr>
      </w:pPr>
      <w:r>
        <w:rPr>
          <w:rFonts w:hint="eastAsia"/>
          <w:snapToGrid/>
        </w:rPr>
        <w:t>非传统形式的舞蹈和活动工作室增长了</w:t>
      </w:r>
      <w:r>
        <w:rPr>
          <w:rFonts w:hint="eastAsia"/>
          <w:snapToGrid/>
        </w:rPr>
        <w:t>22%</w:t>
      </w:r>
      <w:r>
        <w:rPr>
          <w:rFonts w:hint="eastAsia"/>
          <w:snapToGrid/>
        </w:rPr>
        <w:t>。</w:t>
      </w:r>
    </w:p>
    <w:p w:rsidR="00000000" w:rsidRDefault="00000000">
      <w:pPr>
        <w:rPr>
          <w:rFonts w:hint="eastAsia"/>
          <w:snapToGrid/>
        </w:rPr>
      </w:pPr>
      <w:r>
        <w:rPr>
          <w:rFonts w:hint="eastAsia"/>
          <w:snapToGrid/>
        </w:rPr>
        <w:tab/>
        <w:t xml:space="preserve">726.  </w:t>
      </w:r>
      <w:r>
        <w:rPr>
          <w:rFonts w:hint="eastAsia"/>
          <w:snapToGrid/>
        </w:rPr>
        <w:t>在具体补贴地方政府的框架中，从中央预算中拨出用于支持驻有职业艺术工作室的公众建筑物进行重建和现代化改造的金额，应多于前些年。至</w:t>
      </w:r>
      <w:r>
        <w:rPr>
          <w:rFonts w:hint="eastAsia"/>
          <w:snapToGrid/>
        </w:rPr>
        <w:t>2003</w:t>
      </w:r>
      <w:r>
        <w:rPr>
          <w:rFonts w:hint="eastAsia"/>
          <w:snapToGrid/>
        </w:rPr>
        <w:t>年，每年都拨有一笔金额用于剧院建筑物的重建。</w:t>
      </w:r>
    </w:p>
    <w:p w:rsidR="00000000" w:rsidRDefault="00000000">
      <w:pPr>
        <w:rPr>
          <w:rFonts w:hint="eastAsia"/>
          <w:snapToGrid/>
          <w:lang w:val="en-GB"/>
        </w:rPr>
      </w:pPr>
      <w:r>
        <w:rPr>
          <w:rFonts w:hint="eastAsia"/>
          <w:snapToGrid/>
        </w:rPr>
        <w:tab/>
        <w:t xml:space="preserve">727.  </w:t>
      </w:r>
      <w:r>
        <w:rPr>
          <w:rFonts w:hint="eastAsia"/>
          <w:snapToGrid/>
        </w:rPr>
        <w:t>我们认为，在具体补贴地方政府的框架中，对驻有职业艺术工作室的公众建筑物进行重建和现代化改造，是一项特别重要的任务。彻底重建剧院的方案不断在进行：</w:t>
      </w:r>
      <w:r>
        <w:rPr>
          <w:snapToGrid/>
        </w:rPr>
        <w:t>Madách</w:t>
      </w:r>
      <w:r>
        <w:rPr>
          <w:rFonts w:hint="eastAsia"/>
          <w:snapToGrid/>
        </w:rPr>
        <w:t xml:space="preserve"> </w:t>
      </w:r>
      <w:r>
        <w:rPr>
          <w:rFonts w:hint="eastAsia"/>
          <w:snapToGrid/>
        </w:rPr>
        <w:t>剧院、布达佩斯歌剧院、佐洛埃格赛格剧院、埃格尔剧院和尼赖吉哈佐剧院的翻新和扩建已经完成。凯奇凯梅特木偶剧院和德布勒森木偶剧院也有了新的现代化场所。</w:t>
      </w:r>
    </w:p>
    <w:p w:rsidR="00000000" w:rsidRDefault="00000000">
      <w:pPr>
        <w:rPr>
          <w:rFonts w:hint="eastAsia"/>
          <w:snapToGrid/>
        </w:rPr>
      </w:pPr>
      <w:r>
        <w:rPr>
          <w:rFonts w:hint="eastAsia"/>
          <w:snapToGrid/>
        </w:rPr>
        <w:tab/>
        <w:t xml:space="preserve">728.  </w:t>
      </w:r>
      <w:r>
        <w:rPr>
          <w:rFonts w:hint="eastAsia"/>
          <w:snapToGrid/>
        </w:rPr>
        <w:t>在地方政府可以获得中央资源作为自身投入的框架中，补贴系统应当予以扩大，照顾到尽可能最多的领域。例如，爵士乐俱乐部、创作定点、创作营地和家园都应当给与补贴。</w:t>
      </w:r>
    </w:p>
    <w:p w:rsidR="00000000" w:rsidRDefault="00000000">
      <w:pPr>
        <w:rPr>
          <w:rFonts w:hint="eastAsia"/>
          <w:snapToGrid/>
        </w:rPr>
      </w:pPr>
      <w:r>
        <w:rPr>
          <w:rFonts w:hint="eastAsia"/>
          <w:snapToGrid/>
        </w:rPr>
        <w:tab/>
        <w:t xml:space="preserve">729.  </w:t>
      </w:r>
      <w:r>
        <w:rPr>
          <w:rFonts w:hint="eastAsia"/>
          <w:snapToGrid/>
        </w:rPr>
        <w:t>申请可用于补贴公众场所美术及应用艺术作品所得资金，应当用于补充地方政府和非政府组织指定用于建立公共场所塑像的资金。</w:t>
      </w:r>
    </w:p>
    <w:p w:rsidR="00000000" w:rsidRDefault="00000000">
      <w:pPr>
        <w:rPr>
          <w:rFonts w:hint="eastAsia"/>
          <w:snapToGrid/>
        </w:rPr>
      </w:pPr>
      <w:r>
        <w:rPr>
          <w:rFonts w:hint="eastAsia"/>
          <w:snapToGrid/>
        </w:rPr>
        <w:tab/>
        <w:t xml:space="preserve">730.  </w:t>
      </w:r>
      <w:r>
        <w:rPr>
          <w:rFonts w:hint="eastAsia"/>
          <w:snapToGrid/>
        </w:rPr>
        <w:t>地方政府支持的职业乐团和唱诗班有资格接受辅助性中央补贴，用于补贴其经营成本。中央补贴的分配也反映了地方政府的投入比例。</w:t>
      </w:r>
    </w:p>
    <w:p w:rsidR="00000000" w:rsidRDefault="00000000">
      <w:pPr>
        <w:rPr>
          <w:rFonts w:hint="eastAsia"/>
          <w:snapToGrid/>
        </w:rPr>
      </w:pPr>
      <w:r>
        <w:rPr>
          <w:rFonts w:hint="eastAsia"/>
          <w:snapToGrid/>
        </w:rPr>
        <w:tab/>
        <w:t xml:space="preserve">731.  </w:t>
      </w:r>
      <w:r>
        <w:rPr>
          <w:rFonts w:hint="eastAsia"/>
          <w:snapToGrid/>
        </w:rPr>
        <w:t>不仅是地方政府支持的职业团体或地方政府建立的公共福利公司，而且与支持其的地方政府缔结长期合同并提供至少</w:t>
      </w:r>
      <w:r>
        <w:rPr>
          <w:rFonts w:hint="eastAsia"/>
          <w:snapToGrid/>
        </w:rPr>
        <w:t>5</w:t>
      </w:r>
      <w:r>
        <w:rPr>
          <w:rFonts w:hint="eastAsia"/>
          <w:snapToGrid/>
        </w:rPr>
        <w:t>年公共服务的此类职业团体，都可以获得补贴。</w:t>
      </w:r>
      <w:r>
        <w:rPr>
          <w:rFonts w:hint="eastAsia"/>
          <w:snapToGrid/>
        </w:rPr>
        <w:t>2003</w:t>
      </w:r>
      <w:r>
        <w:rPr>
          <w:rFonts w:hint="eastAsia"/>
          <w:snapToGrid/>
        </w:rPr>
        <w:t>年该金额增长到</w:t>
      </w:r>
      <w:r>
        <w:rPr>
          <w:rFonts w:hint="eastAsia"/>
          <w:snapToGrid/>
        </w:rPr>
        <w:t>9.9</w:t>
      </w:r>
      <w:r>
        <w:rPr>
          <w:rFonts w:hint="eastAsia"/>
          <w:snapToGrid/>
        </w:rPr>
        <w:t>亿福林，因此地方政府支持的团体领取的金额几乎达到</w:t>
      </w:r>
      <w:r>
        <w:rPr>
          <w:rFonts w:hint="eastAsia"/>
          <w:snapToGrid/>
        </w:rPr>
        <w:t>100%</w:t>
      </w:r>
      <w:r>
        <w:rPr>
          <w:rFonts w:hint="eastAsia"/>
          <w:snapToGrid/>
        </w:rPr>
        <w:t>的增长。</w:t>
      </w:r>
    </w:p>
    <w:p w:rsidR="00000000" w:rsidRDefault="00000000">
      <w:pPr>
        <w:spacing w:after="320"/>
        <w:rPr>
          <w:rFonts w:hint="eastAsia"/>
          <w:snapToGrid/>
        </w:rPr>
      </w:pPr>
      <w:r>
        <w:rPr>
          <w:rFonts w:hint="eastAsia"/>
          <w:snapToGrid/>
        </w:rPr>
        <w:tab/>
        <w:t xml:space="preserve">732.  </w:t>
      </w:r>
      <w:r>
        <w:rPr>
          <w:rFonts w:hint="eastAsia"/>
          <w:snapToGrid/>
        </w:rPr>
        <w:t>国家文化遗产部通过购买艺术作品，帮助开展国家性收藏活动的博物馆，丰富当代艺术作品的收藏。专业委员会在被邀申请的框架内，基于博物馆的请求分配可用资金。每年约</w:t>
      </w:r>
      <w:r>
        <w:rPr>
          <w:rFonts w:hint="eastAsia"/>
          <w:snapToGrid/>
        </w:rPr>
        <w:t>20</w:t>
      </w:r>
      <w:r>
        <w:rPr>
          <w:rFonts w:hint="eastAsia"/>
          <w:snapToGrid/>
        </w:rPr>
        <w:t>项重大收藏可以收到补贴。新奇的是，自</w:t>
      </w:r>
      <w:r>
        <w:rPr>
          <w:rFonts w:hint="eastAsia"/>
          <w:snapToGrid/>
        </w:rPr>
        <w:t>1998</w:t>
      </w:r>
      <w:r>
        <w:rPr>
          <w:rFonts w:hint="eastAsia"/>
          <w:snapToGrid/>
        </w:rPr>
        <w:t>年起跨国公共收藏也可以加入补贴申请。</w:t>
      </w:r>
    </w:p>
    <w:p w:rsidR="00000000" w:rsidRDefault="00000000">
      <w:pPr>
        <w:pStyle w:val="Heading4"/>
        <w:rPr>
          <w:rFonts w:eastAsia="KaiTi_GB2312" w:hint="eastAsia"/>
          <w:snapToGrid/>
          <w:spacing w:val="0"/>
          <w:u w:val="none"/>
        </w:rPr>
      </w:pPr>
      <w:r>
        <w:rPr>
          <w:rFonts w:eastAsia="KaiTi_GB2312" w:hint="eastAsia"/>
          <w:snapToGrid/>
          <w:spacing w:val="0"/>
          <w:u w:val="none"/>
        </w:rPr>
        <w:t>重大活动与艺术节</w:t>
      </w:r>
    </w:p>
    <w:p w:rsidR="00000000" w:rsidRDefault="00000000">
      <w:pPr>
        <w:rPr>
          <w:rFonts w:hint="eastAsia"/>
          <w:snapToGrid/>
        </w:rPr>
      </w:pPr>
      <w:r>
        <w:rPr>
          <w:rFonts w:hint="eastAsia"/>
          <w:snapToGrid/>
        </w:rPr>
        <w:tab/>
        <w:t xml:space="preserve">733.  </w:t>
      </w:r>
      <w:r>
        <w:rPr>
          <w:rFonts w:hint="eastAsia"/>
          <w:snapToGrid/>
        </w:rPr>
        <w:t>战略目标：</w:t>
      </w:r>
    </w:p>
    <w:p w:rsidR="00000000" w:rsidRDefault="00000000">
      <w:pPr>
        <w:numPr>
          <w:ilvl w:val="0"/>
          <w:numId w:val="211"/>
        </w:numPr>
        <w:ind w:left="1520"/>
        <w:rPr>
          <w:rFonts w:hint="eastAsia"/>
          <w:snapToGrid/>
        </w:rPr>
      </w:pPr>
      <w:r>
        <w:rPr>
          <w:rFonts w:hint="eastAsia"/>
          <w:snapToGrid/>
        </w:rPr>
        <w:t>重大地方性活动和艺术节应当进行登记并按目录归类。</w:t>
      </w:r>
    </w:p>
    <w:p w:rsidR="00000000" w:rsidRDefault="00000000">
      <w:pPr>
        <w:numPr>
          <w:ilvl w:val="0"/>
          <w:numId w:val="211"/>
        </w:numPr>
        <w:ind w:left="1520"/>
        <w:rPr>
          <w:rFonts w:hint="eastAsia"/>
          <w:snapToGrid/>
        </w:rPr>
      </w:pPr>
      <w:r>
        <w:rPr>
          <w:rFonts w:hint="eastAsia"/>
          <w:snapToGrid/>
        </w:rPr>
        <w:t>持续不断进行监测，保证在种类之间调整的可能性。</w:t>
      </w:r>
    </w:p>
    <w:p w:rsidR="00000000" w:rsidRDefault="00000000">
      <w:pPr>
        <w:numPr>
          <w:ilvl w:val="0"/>
          <w:numId w:val="211"/>
        </w:numPr>
        <w:ind w:left="1520"/>
        <w:rPr>
          <w:rFonts w:hint="eastAsia"/>
          <w:snapToGrid/>
        </w:rPr>
      </w:pPr>
      <w:r>
        <w:rPr>
          <w:rFonts w:hint="eastAsia"/>
          <w:snapToGrid/>
        </w:rPr>
        <w:t>如可能，文化遗产部不应当作为组织者，而应当作为资助者或赞助者出现。</w:t>
      </w:r>
    </w:p>
    <w:p w:rsidR="00000000" w:rsidRDefault="00000000">
      <w:pPr>
        <w:numPr>
          <w:ilvl w:val="0"/>
          <w:numId w:val="211"/>
        </w:numPr>
        <w:ind w:left="1520"/>
        <w:rPr>
          <w:rFonts w:hint="eastAsia"/>
          <w:snapToGrid/>
        </w:rPr>
      </w:pPr>
      <w:r>
        <w:rPr>
          <w:rFonts w:hint="eastAsia"/>
          <w:snapToGrid/>
        </w:rPr>
        <w:t>该部应当资助综合代表某类艺术的艺术节、活动和系列活动，并作为主要赞助者应保证组织这些节日与活动的资金。</w:t>
      </w:r>
    </w:p>
    <w:p w:rsidR="00000000" w:rsidRDefault="00000000">
      <w:pPr>
        <w:numPr>
          <w:ilvl w:val="0"/>
          <w:numId w:val="211"/>
        </w:numPr>
        <w:ind w:left="1520"/>
        <w:rPr>
          <w:rFonts w:hint="eastAsia"/>
          <w:snapToGrid/>
        </w:rPr>
      </w:pPr>
      <w:r>
        <w:rPr>
          <w:rFonts w:hint="eastAsia"/>
          <w:snapToGrid/>
        </w:rPr>
        <w:t>该部应当支持完成与具有重大艺术价值的传统活动相关的任务。</w:t>
      </w:r>
    </w:p>
    <w:p w:rsidR="00000000" w:rsidRDefault="00000000">
      <w:pPr>
        <w:numPr>
          <w:ilvl w:val="0"/>
          <w:numId w:val="211"/>
        </w:numPr>
        <w:spacing w:after="320"/>
        <w:ind w:left="1520"/>
        <w:rPr>
          <w:rFonts w:hint="eastAsia"/>
          <w:snapToGrid/>
        </w:rPr>
      </w:pPr>
      <w:r>
        <w:rPr>
          <w:rFonts w:hint="eastAsia"/>
          <w:snapToGrid/>
        </w:rPr>
        <w:t>该部应当通过颁奖促进区域和地方活动。</w:t>
      </w:r>
    </w:p>
    <w:p w:rsidR="00000000" w:rsidRDefault="00000000">
      <w:pPr>
        <w:pStyle w:val="Heading4"/>
        <w:rPr>
          <w:rFonts w:eastAsia="KaiTi_GB2312" w:hint="eastAsia"/>
          <w:snapToGrid/>
          <w:spacing w:val="0"/>
          <w:u w:val="none"/>
        </w:rPr>
      </w:pPr>
      <w:r>
        <w:rPr>
          <w:rFonts w:eastAsia="KaiTi_GB2312" w:hint="eastAsia"/>
          <w:snapToGrid/>
          <w:spacing w:val="0"/>
          <w:u w:val="none"/>
        </w:rPr>
        <w:t>艺术和专业活动的社会组织</w:t>
      </w:r>
    </w:p>
    <w:p w:rsidR="00000000" w:rsidRDefault="00000000">
      <w:pPr>
        <w:rPr>
          <w:rFonts w:hint="eastAsia"/>
          <w:snapToGrid/>
        </w:rPr>
      </w:pPr>
      <w:r>
        <w:rPr>
          <w:rFonts w:hint="eastAsia"/>
          <w:snapToGrid/>
        </w:rPr>
        <w:tab/>
        <w:t xml:space="preserve">734.  </w:t>
      </w:r>
      <w:r>
        <w:rPr>
          <w:rFonts w:hint="eastAsia"/>
          <w:snapToGrid/>
        </w:rPr>
        <w:t>文化遗产部经常基于申请，将补贴资金分配给不同类型艺术的职业团体。这些代表艺术家的职业利益、执行自我管理任务和分派给它们的国家任务的组织如果没有这些津贴，在艺术公共生活方面就不能发挥职能，履行其重要任务。</w:t>
      </w:r>
    </w:p>
    <w:p w:rsidR="00000000" w:rsidRDefault="00000000">
      <w:pPr>
        <w:spacing w:after="320"/>
        <w:rPr>
          <w:rFonts w:hint="eastAsia"/>
          <w:snapToGrid/>
        </w:rPr>
      </w:pPr>
      <w:r>
        <w:rPr>
          <w:rFonts w:hint="eastAsia"/>
          <w:snapToGrid/>
        </w:rPr>
        <w:tab/>
        <w:t xml:space="preserve">735.  </w:t>
      </w:r>
      <w:r>
        <w:rPr>
          <w:rFonts w:hint="eastAsia"/>
          <w:snapToGrid/>
        </w:rPr>
        <w:t>在评价美术及应用艺术和摄影艺术作品方面进行合作的专家名单已在《文化公报》上更新和刊登。同时，法规规定在既定艺术领域赢取的奖项可以代替专家执照和证书。参与艺术方面的专业人士培训极其重要。</w:t>
      </w:r>
    </w:p>
    <w:p w:rsidR="00000000" w:rsidRDefault="00000000">
      <w:pPr>
        <w:pStyle w:val="Heading4"/>
        <w:rPr>
          <w:rFonts w:eastAsia="KaiTi_GB2312" w:hint="eastAsia"/>
          <w:snapToGrid/>
          <w:spacing w:val="0"/>
          <w:u w:val="none"/>
        </w:rPr>
      </w:pPr>
      <w:r>
        <w:rPr>
          <w:rFonts w:eastAsia="KaiTi_GB2312" w:hint="eastAsia"/>
          <w:snapToGrid/>
          <w:spacing w:val="0"/>
          <w:u w:val="none"/>
        </w:rPr>
        <w:t>奖项与研究金</w:t>
      </w:r>
    </w:p>
    <w:p w:rsidR="00000000" w:rsidRDefault="00000000">
      <w:pPr>
        <w:rPr>
          <w:rFonts w:hint="eastAsia"/>
          <w:snapToGrid/>
        </w:rPr>
      </w:pPr>
      <w:r>
        <w:rPr>
          <w:rFonts w:hint="eastAsia"/>
          <w:snapToGrid/>
        </w:rPr>
        <w:tab/>
        <w:t xml:space="preserve">736.  </w:t>
      </w:r>
      <w:r>
        <w:rPr>
          <w:rFonts w:hint="eastAsia"/>
          <w:snapToGrid/>
        </w:rPr>
        <w:t>文化遗产部非常重视支持年轻艺术家</w:t>
      </w:r>
      <w:r>
        <w:rPr>
          <w:rFonts w:hint="eastAsia"/>
          <w:snapToGrid/>
        </w:rPr>
        <w:t>(</w:t>
      </w:r>
      <w:r>
        <w:rPr>
          <w:rFonts w:hint="eastAsia"/>
          <w:snapToGrid/>
        </w:rPr>
        <w:t>美术、应用艺术、摄影艺术、历史艺术、作家、剧作家、戏剧艺术家、音乐家和舞蹈家</w:t>
      </w:r>
      <w:r>
        <w:rPr>
          <w:rFonts w:hint="eastAsia"/>
          <w:snapToGrid/>
        </w:rPr>
        <w:t>)</w:t>
      </w:r>
      <w:r>
        <w:rPr>
          <w:rFonts w:hint="eastAsia"/>
          <w:snapToGrid/>
        </w:rPr>
        <w:t>职业的起步。艺术高等教育的学生生活在本质上是受保护的生活，许多人毕业之后被迫在“文化市场”上寻找立足之地，工作没有保障，也没有稳定的收入。</w:t>
      </w:r>
    </w:p>
    <w:p w:rsidR="00000000" w:rsidRDefault="00000000">
      <w:pPr>
        <w:rPr>
          <w:rFonts w:hint="eastAsia"/>
          <w:snapToGrid/>
        </w:rPr>
      </w:pPr>
      <w:r>
        <w:rPr>
          <w:rFonts w:hint="eastAsia"/>
          <w:snapToGrid/>
        </w:rPr>
        <w:tab/>
        <w:t xml:space="preserve">737.  </w:t>
      </w:r>
      <w:r>
        <w:rPr>
          <w:rFonts w:hint="eastAsia"/>
          <w:snapToGrid/>
        </w:rPr>
        <w:t>艺术家研究金的范围已被扩大，以便改善他们的处境。不仅以年度运作的申请体系如此，我们也保证出版这些研究者的代表性作品来展示他们自己，并保证提供机会将他们纳入到艺术节中来。</w:t>
      </w:r>
    </w:p>
    <w:p w:rsidR="00000000" w:rsidRDefault="00000000">
      <w:pPr>
        <w:spacing w:after="320"/>
        <w:rPr>
          <w:rFonts w:hint="eastAsia"/>
          <w:snapToGrid/>
        </w:rPr>
      </w:pPr>
      <w:r>
        <w:rPr>
          <w:rFonts w:hint="eastAsia"/>
          <w:snapToGrid/>
        </w:rPr>
        <w:tab/>
        <w:t xml:space="preserve">738.  </w:t>
      </w:r>
      <w:r>
        <w:rPr>
          <w:rFonts w:hint="eastAsia"/>
          <w:snapToGrid/>
        </w:rPr>
        <w:t>自</w:t>
      </w:r>
      <w:r>
        <w:rPr>
          <w:rFonts w:hint="eastAsia"/>
          <w:snapToGrid/>
        </w:rPr>
        <w:t>1955</w:t>
      </w:r>
      <w:r>
        <w:rPr>
          <w:rFonts w:hint="eastAsia"/>
          <w:snapToGrid/>
        </w:rPr>
        <w:t>年以来，该部发展了按等级排列的支持年轻有创造力和表现力的艺术家的研究金体系。目前在文学、音乐、美术及应用艺术、摄影艺术、戏剧和舞蹈领域有</w:t>
      </w:r>
      <w:r>
        <w:rPr>
          <w:rFonts w:hint="eastAsia"/>
          <w:snapToGrid/>
        </w:rPr>
        <w:t>11</w:t>
      </w:r>
      <w:r>
        <w:rPr>
          <w:rFonts w:hint="eastAsia"/>
          <w:snapToGrid/>
        </w:rPr>
        <w:t>项不同的研究金，每年领取人员超过</w:t>
      </w:r>
      <w:r>
        <w:rPr>
          <w:rFonts w:hint="eastAsia"/>
          <w:snapToGrid/>
        </w:rPr>
        <w:t>100</w:t>
      </w:r>
      <w:r>
        <w:rPr>
          <w:rFonts w:hint="eastAsia"/>
          <w:snapToGrid/>
        </w:rPr>
        <w:t>人。</w:t>
      </w:r>
    </w:p>
    <w:p w:rsidR="00000000" w:rsidRDefault="00000000">
      <w:pPr>
        <w:pStyle w:val="Heading4"/>
        <w:rPr>
          <w:rFonts w:eastAsia="KaiTi_GB2312" w:hint="eastAsia"/>
          <w:snapToGrid/>
          <w:spacing w:val="0"/>
          <w:u w:val="none"/>
        </w:rPr>
      </w:pPr>
      <w:r>
        <w:rPr>
          <w:rFonts w:eastAsia="KaiTi_GB2312" w:hint="eastAsia"/>
          <w:snapToGrid/>
          <w:spacing w:val="0"/>
          <w:u w:val="none"/>
        </w:rPr>
        <w:t>图</w:t>
      </w:r>
      <w:r>
        <w:rPr>
          <w:rFonts w:eastAsia="KaiTi_GB2312"/>
          <w:snapToGrid/>
          <w:spacing w:val="0"/>
          <w:u w:val="none"/>
        </w:rPr>
        <w:t xml:space="preserve"> </w:t>
      </w:r>
      <w:r>
        <w:rPr>
          <w:rFonts w:eastAsia="KaiTi_GB2312" w:hint="eastAsia"/>
          <w:snapToGrid/>
          <w:spacing w:val="0"/>
          <w:u w:val="none"/>
        </w:rPr>
        <w:t>书</w:t>
      </w:r>
      <w:r>
        <w:rPr>
          <w:rFonts w:eastAsia="KaiTi_GB2312"/>
          <w:snapToGrid/>
          <w:spacing w:val="0"/>
          <w:u w:val="none"/>
        </w:rPr>
        <w:t xml:space="preserve"> </w:t>
      </w:r>
      <w:r>
        <w:rPr>
          <w:rFonts w:eastAsia="KaiTi_GB2312" w:hint="eastAsia"/>
          <w:snapToGrid/>
          <w:spacing w:val="0"/>
          <w:u w:val="none"/>
        </w:rPr>
        <w:t>馆</w:t>
      </w:r>
    </w:p>
    <w:p w:rsidR="00000000" w:rsidRDefault="00000000">
      <w:pPr>
        <w:rPr>
          <w:rFonts w:hint="eastAsia"/>
          <w:snapToGrid/>
        </w:rPr>
      </w:pPr>
      <w:r>
        <w:rPr>
          <w:rFonts w:hint="eastAsia"/>
          <w:snapToGrid/>
        </w:rPr>
        <w:tab/>
        <w:t xml:space="preserve">739.  </w:t>
      </w:r>
      <w:r>
        <w:rPr>
          <w:rFonts w:hint="eastAsia"/>
          <w:snapToGrid/>
        </w:rPr>
        <w:t>匈牙利社会自</w:t>
      </w:r>
      <w:r>
        <w:rPr>
          <w:rFonts w:hint="eastAsia"/>
          <w:snapToGrid/>
        </w:rPr>
        <w:t>1989-1990</w:t>
      </w:r>
      <w:r>
        <w:rPr>
          <w:rFonts w:hint="eastAsia"/>
          <w:snapToGrid/>
        </w:rPr>
        <w:t>年来的进程同样也影响了图书馆政策，图书馆体系在几年之内经历了剧烈变化。在不断变化的政治、经济和社会环境中，构成《</w:t>
      </w:r>
      <w:r>
        <w:rPr>
          <w:rFonts w:hint="eastAsia"/>
          <w:snapToGrid/>
        </w:rPr>
        <w:t>1976</w:t>
      </w:r>
      <w:r>
        <w:rPr>
          <w:rFonts w:hint="eastAsia"/>
          <w:snapToGrid/>
        </w:rPr>
        <w:t>年法令》各项规定的结构也遭到破环。越来越明显，需要一个适于新环境的法律规范。</w:t>
      </w:r>
      <w:r>
        <w:rPr>
          <w:rFonts w:hint="eastAsia"/>
          <w:snapToGrid/>
        </w:rPr>
        <w:t>1996</w:t>
      </w:r>
      <w:r>
        <w:rPr>
          <w:rFonts w:hint="eastAsia"/>
          <w:snapToGrid/>
        </w:rPr>
        <w:t>年制定了可能法律规范</w:t>
      </w:r>
      <w:r>
        <w:rPr>
          <w:rFonts w:hint="eastAsia"/>
          <w:snapToGrid/>
        </w:rPr>
        <w:t>(</w:t>
      </w:r>
      <w:r>
        <w:rPr>
          <w:rFonts w:hint="eastAsia"/>
          <w:snapToGrid/>
        </w:rPr>
        <w:t>一项关于图书馆的新法令</w:t>
      </w:r>
      <w:r>
        <w:rPr>
          <w:rFonts w:hint="eastAsia"/>
          <w:snapToGrid/>
        </w:rPr>
        <w:t>)</w:t>
      </w:r>
      <w:r>
        <w:rPr>
          <w:rFonts w:hint="eastAsia"/>
          <w:snapToGrid/>
        </w:rPr>
        <w:t>的构想。在这个构想中，该法律规范框架以崭新的方式付诸于文字。</w:t>
      </w:r>
    </w:p>
    <w:p w:rsidR="00000000" w:rsidRDefault="00000000">
      <w:pPr>
        <w:rPr>
          <w:rFonts w:hint="eastAsia"/>
          <w:snapToGrid/>
        </w:rPr>
      </w:pPr>
      <w:r>
        <w:rPr>
          <w:rFonts w:hint="eastAsia"/>
          <w:snapToGrid/>
        </w:rPr>
        <w:tab/>
        <w:t xml:space="preserve">740.  </w:t>
      </w:r>
      <w:r>
        <w:rPr>
          <w:rFonts w:hint="eastAsia"/>
          <w:snapToGrid/>
        </w:rPr>
        <w:t>根据该构想修订的法令的中心思想是，人人有权使用图书馆，而且公共图书馆应当保证图书馆的供应。不是个别机构，而是整个公共图书馆体系在任何一个要素方面都必须适于图书馆的使用者获得他们必要的信息以及所需文件。这个想法包括有必要在机构中建立相当高级别的合作。对于文化投资组合而言，从中派生了两项任务，例如：</w:t>
      </w:r>
    </w:p>
    <w:p w:rsidR="00000000" w:rsidRDefault="00000000">
      <w:pPr>
        <w:rPr>
          <w:rFonts w:hint="eastAsia"/>
          <w:snapToGrid/>
        </w:rPr>
      </w:pPr>
      <w:r>
        <w:rPr>
          <w:rFonts w:hint="eastAsia"/>
          <w:snapToGrid/>
        </w:rPr>
        <w:tab/>
        <w:t xml:space="preserve">741.  </w:t>
      </w:r>
      <w:r>
        <w:rPr>
          <w:rFonts w:hint="eastAsia"/>
          <w:snapToGrid/>
          <w:u w:val="single"/>
        </w:rPr>
        <w:t>信息技术发展</w:t>
      </w:r>
      <w:r>
        <w:rPr>
          <w:rFonts w:hint="eastAsia"/>
          <w:snapToGrid/>
        </w:rPr>
        <w:t>：每个图书馆都应当建立网络和目录。政府必须给予援助，配合部门管理可用的资源，加入合作所必需的大面积网络连结；此外，构成系统要素的各个机构在发展基于网络连接的局域系统和服务方面必须予以援助</w:t>
      </w:r>
      <w:r>
        <w:rPr>
          <w:rFonts w:hint="eastAsia"/>
          <w:snapToGrid/>
        </w:rPr>
        <w:t>(</w:t>
      </w:r>
      <w:r>
        <w:rPr>
          <w:rFonts w:hint="eastAsia"/>
          <w:snapToGrid/>
        </w:rPr>
        <w:t>局域网、接入系统、最新信息方式、为了提供目录进行电子化</w:t>
      </w:r>
      <w:r>
        <w:rPr>
          <w:rFonts w:hint="eastAsia"/>
          <w:snapToGrid/>
        </w:rPr>
        <w:t>)</w:t>
      </w:r>
      <w:r>
        <w:rPr>
          <w:rFonts w:hint="eastAsia"/>
          <w:snapToGrid/>
        </w:rPr>
        <w:t>。过去五年中，匈牙利城市一级的图书馆中发展了互联网连结。因此，公民有可能通过互联网有效使用图书馆服务和其他来源的可得信息。</w:t>
      </w:r>
    </w:p>
    <w:p w:rsidR="00000000" w:rsidRDefault="00000000">
      <w:pPr>
        <w:spacing w:after="320"/>
        <w:rPr>
          <w:rFonts w:hint="eastAsia"/>
          <w:snapToGrid/>
        </w:rPr>
      </w:pPr>
      <w:r>
        <w:rPr>
          <w:rFonts w:hint="eastAsia"/>
          <w:snapToGrid/>
        </w:rPr>
        <w:tab/>
        <w:t xml:space="preserve">742.  </w:t>
      </w:r>
      <w:r>
        <w:rPr>
          <w:rFonts w:hint="eastAsia"/>
          <w:snapToGrid/>
          <w:u w:val="single"/>
        </w:rPr>
        <w:t>全国文件提供系统</w:t>
      </w:r>
      <w:r>
        <w:rPr>
          <w:rFonts w:hint="eastAsia"/>
          <w:snapToGrid/>
        </w:rPr>
        <w:t>的创建：为了帮助图书馆使用者不仅只是能够获得他们居民区图书馆的文件，国家文化遗产部发展并运作了全国文件提供系统。在全国文件位置寄存器的帮助下，这个服务系统保证通过图书馆可以获得文件。全国文件提供系统协调和支持</w:t>
      </w:r>
      <w:r>
        <w:rPr>
          <w:rFonts w:hint="eastAsia"/>
          <w:snapToGrid/>
        </w:rPr>
        <w:t>55</w:t>
      </w:r>
      <w:r>
        <w:rPr>
          <w:rFonts w:hint="eastAsia"/>
          <w:snapToGrid/>
        </w:rPr>
        <w:t>家图书馆的合作</w:t>
      </w:r>
      <w:r>
        <w:rPr>
          <w:rFonts w:hint="eastAsia"/>
          <w:snapToGrid/>
        </w:rPr>
        <w:t>(</w:t>
      </w:r>
      <w:r>
        <w:rPr>
          <w:rFonts w:hint="eastAsia"/>
          <w:snapToGrid/>
        </w:rPr>
        <w:t>国家图书馆、州图书馆和</w:t>
      </w:r>
      <w:r>
        <w:rPr>
          <w:snapToGrid/>
        </w:rPr>
        <w:t>Ervin Szabó</w:t>
      </w:r>
      <w:r>
        <w:rPr>
          <w:rFonts w:hint="eastAsia"/>
          <w:snapToGrid/>
        </w:rPr>
        <w:t>市政图书馆以及大学图书馆和国家专业图书馆</w:t>
      </w:r>
      <w:r>
        <w:rPr>
          <w:rFonts w:hint="eastAsia"/>
          <w:snapToGrid/>
        </w:rPr>
        <w:t>)</w:t>
      </w:r>
      <w:r>
        <w:rPr>
          <w:rFonts w:hint="eastAsia"/>
          <w:snapToGrid/>
        </w:rPr>
        <w:t>，其文件存量大致覆盖了匈牙利现有的文件库。它们被称之为文件发送图书馆和文件服务图书馆。任何一家公共或非公共图书馆，只要他们是接收方图书馆，就可以获得全国文件提供系统的服务。全国文件提供系统的运作进一步降低了信息获得的差异，对于生活在乡村的人来说大大改善了机会的平等。《第</w:t>
      </w:r>
      <w:r>
        <w:rPr>
          <w:rFonts w:hint="eastAsia"/>
          <w:snapToGrid/>
        </w:rPr>
        <w:t>72/2003</w:t>
      </w:r>
      <w:r>
        <w:rPr>
          <w:rFonts w:hint="eastAsia"/>
          <w:snapToGrid/>
        </w:rPr>
        <w:t>号政令》</w:t>
      </w:r>
      <w:r>
        <w:rPr>
          <w:rFonts w:hint="eastAsia"/>
          <w:snapToGrid/>
        </w:rPr>
        <w:t>(</w:t>
      </w:r>
      <w:r>
        <w:rPr>
          <w:rFonts w:hint="eastAsia"/>
          <w:snapToGrid/>
        </w:rPr>
        <w:t>四、</w:t>
      </w:r>
      <w:r>
        <w:rPr>
          <w:rFonts w:hint="eastAsia"/>
          <w:snapToGrid/>
        </w:rPr>
        <w:t>28</w:t>
      </w:r>
      <w:r>
        <w:rPr>
          <w:rFonts w:hint="eastAsia"/>
          <w:snapToGrid/>
        </w:rPr>
        <w:t>、</w:t>
      </w:r>
      <w:r>
        <w:rPr>
          <w:rFonts w:hint="eastAsia"/>
          <w:snapToGrid/>
        </w:rPr>
        <w:t>)</w:t>
      </w:r>
      <w:r>
        <w:rPr>
          <w:rFonts w:hint="eastAsia"/>
          <w:snapToGrid/>
        </w:rPr>
        <w:t>规定了全国文件提供系统的组织框架和运作资金。</w:t>
      </w:r>
    </w:p>
    <w:p w:rsidR="00000000" w:rsidRDefault="00000000">
      <w:pPr>
        <w:pStyle w:val="Heading4"/>
        <w:rPr>
          <w:rFonts w:eastAsia="KaiTi_GB2312" w:hint="eastAsia"/>
          <w:snapToGrid/>
          <w:spacing w:val="0"/>
          <w:u w:val="none"/>
        </w:rPr>
      </w:pPr>
      <w:r>
        <w:rPr>
          <w:rFonts w:eastAsia="KaiTi_GB2312" w:hint="eastAsia"/>
          <w:snapToGrid/>
          <w:spacing w:val="0"/>
          <w:u w:val="none"/>
        </w:rPr>
        <w:t>公共档案</w:t>
      </w:r>
    </w:p>
    <w:p w:rsidR="00000000" w:rsidRDefault="00000000">
      <w:pPr>
        <w:rPr>
          <w:rFonts w:hint="eastAsia"/>
          <w:snapToGrid/>
        </w:rPr>
      </w:pPr>
      <w:r>
        <w:rPr>
          <w:rFonts w:hint="eastAsia"/>
          <w:snapToGrid/>
        </w:rPr>
        <w:tab/>
        <w:t xml:space="preserve">743.  </w:t>
      </w:r>
      <w:r>
        <w:rPr>
          <w:rFonts w:hint="eastAsia"/>
          <w:snapToGrid/>
        </w:rPr>
        <w:t>《关于公共文件和公共档案的</w:t>
      </w:r>
      <w:r>
        <w:rPr>
          <w:rFonts w:hint="eastAsia"/>
          <w:snapToGrid/>
        </w:rPr>
        <w:t>1995</w:t>
      </w:r>
      <w:r>
        <w:rPr>
          <w:rFonts w:hint="eastAsia"/>
          <w:snapToGrid/>
        </w:rPr>
        <w:t>年第六十六号法令》规范了公共档案的运作、管辖和材料使用。这个法令的规定完全符合欧洲理事会部长委员会</w:t>
      </w:r>
      <w:r>
        <w:rPr>
          <w:rFonts w:hint="eastAsia"/>
          <w:snapToGrid/>
        </w:rPr>
        <w:t>2000</w:t>
      </w:r>
      <w:r>
        <w:rPr>
          <w:rFonts w:hint="eastAsia"/>
          <w:snapToGrid/>
        </w:rPr>
        <w:t>年</w:t>
      </w:r>
      <w:r>
        <w:rPr>
          <w:rFonts w:hint="eastAsia"/>
          <w:snapToGrid/>
        </w:rPr>
        <w:t>7</w:t>
      </w:r>
      <w:r>
        <w:rPr>
          <w:rFonts w:hint="eastAsia"/>
          <w:snapToGrid/>
        </w:rPr>
        <w:t>月</w:t>
      </w:r>
      <w:r>
        <w:rPr>
          <w:rFonts w:hint="eastAsia"/>
          <w:snapToGrid/>
        </w:rPr>
        <w:t>13</w:t>
      </w:r>
      <w:r>
        <w:rPr>
          <w:rFonts w:hint="eastAsia"/>
          <w:snapToGrid/>
        </w:rPr>
        <w:t>日通过的关于进行研究活动可以获得档案文件的欧洲基本原则的《第</w:t>
      </w:r>
      <w:r>
        <w:rPr>
          <w:rFonts w:hint="eastAsia"/>
          <w:snapToGrid/>
        </w:rPr>
        <w:t>R(2000)13</w:t>
      </w:r>
      <w:r>
        <w:rPr>
          <w:rFonts w:hint="eastAsia"/>
          <w:snapToGrid/>
        </w:rPr>
        <w:t>号建议》。</w:t>
      </w:r>
    </w:p>
    <w:p w:rsidR="00000000" w:rsidRDefault="00000000">
      <w:pPr>
        <w:rPr>
          <w:rFonts w:hint="eastAsia"/>
          <w:snapToGrid/>
        </w:rPr>
      </w:pPr>
      <w:r>
        <w:rPr>
          <w:rFonts w:hint="eastAsia"/>
          <w:snapToGrid/>
        </w:rPr>
        <w:tab/>
        <w:t xml:space="preserve">744.  </w:t>
      </w:r>
      <w:r>
        <w:rPr>
          <w:rFonts w:hint="eastAsia"/>
          <w:snapToGrid/>
        </w:rPr>
        <w:t>基础设施方面的最重要发展就是建设了符合我们时代要求的档案大楼和收藏库。</w:t>
      </w:r>
      <w:r>
        <w:rPr>
          <w:rFonts w:hint="eastAsia"/>
          <w:snapToGrid/>
        </w:rPr>
        <w:t>1998</w:t>
      </w:r>
      <w:r>
        <w:rPr>
          <w:rFonts w:hint="eastAsia"/>
          <w:snapToGrid/>
        </w:rPr>
        <w:t>年至</w:t>
      </w:r>
      <w:r>
        <w:rPr>
          <w:rFonts w:hint="eastAsia"/>
          <w:snapToGrid/>
        </w:rPr>
        <w:t>2003</w:t>
      </w:r>
      <w:r>
        <w:rPr>
          <w:rFonts w:hint="eastAsia"/>
          <w:snapToGrid/>
        </w:rPr>
        <w:t>年期间，在佩斯州和沃什州建立了新的档案馆。索博尔奇—索特马尔—贝拉格州老楼全部重建以后，档案馆拥有了更为合适的条件。</w:t>
      </w:r>
      <w:r>
        <w:rPr>
          <w:snapToGrid/>
        </w:rPr>
        <w:t>赫维什</w:t>
      </w:r>
      <w:r>
        <w:rPr>
          <w:rFonts w:hint="eastAsia"/>
          <w:snapToGrid/>
        </w:rPr>
        <w:t>州、</w:t>
      </w:r>
      <w:r>
        <w:rPr>
          <w:snapToGrid/>
        </w:rPr>
        <w:t>科马罗姆</w:t>
      </w:r>
      <w:r>
        <w:rPr>
          <w:rFonts w:hint="eastAsia"/>
          <w:snapToGrid/>
        </w:rPr>
        <w:t>—埃斯泰尔戈姆州和</w:t>
      </w:r>
      <w:r>
        <w:rPr>
          <w:snapToGrid/>
        </w:rPr>
        <w:t>诺格拉德</w:t>
      </w:r>
      <w:r>
        <w:rPr>
          <w:rFonts w:hint="eastAsia"/>
          <w:snapToGrid/>
        </w:rPr>
        <w:t>州档案馆进行了扩建，增加了新的收藏库。布达佩斯首都档案馆的新楼即将完成，而且维斯普雷姆州档案馆的建设也已经开始。</w:t>
      </w:r>
    </w:p>
    <w:p w:rsidR="00000000" w:rsidRDefault="00000000">
      <w:pPr>
        <w:spacing w:after="320"/>
        <w:rPr>
          <w:rFonts w:hint="eastAsia"/>
          <w:snapToGrid/>
        </w:rPr>
      </w:pPr>
      <w:r>
        <w:rPr>
          <w:rFonts w:hint="eastAsia"/>
          <w:snapToGrid/>
        </w:rPr>
        <w:tab/>
        <w:t xml:space="preserve">745.  </w:t>
      </w:r>
      <w:r>
        <w:rPr>
          <w:rFonts w:hint="eastAsia"/>
          <w:snapToGrid/>
        </w:rPr>
        <w:t>尽管成本不高，但是互联网连结和</w:t>
      </w:r>
      <w:r>
        <w:rPr>
          <w:snapToGrid/>
        </w:rPr>
        <w:t>leveltar.lap.hu</w:t>
      </w:r>
      <w:r>
        <w:rPr>
          <w:rFonts w:hint="eastAsia"/>
          <w:snapToGrid/>
        </w:rPr>
        <w:t>的主页对感兴趣的人来说非常重要。它们易于进入，而且这样的接口也可以满足研究者的需求。可以进入不同研究机构的数据库，这主张了较广公众的利益并促进了研究。这些进入一直在不断扩大，或在一些档案馆中已经开始发展。</w:t>
      </w:r>
    </w:p>
    <w:p w:rsidR="00000000" w:rsidRDefault="00000000">
      <w:pPr>
        <w:pStyle w:val="Heading4"/>
        <w:rPr>
          <w:rFonts w:eastAsia="KaiTi_GB2312" w:hint="eastAsia"/>
          <w:snapToGrid/>
          <w:spacing w:val="0"/>
          <w:u w:val="none"/>
        </w:rPr>
      </w:pPr>
      <w:r>
        <w:rPr>
          <w:rFonts w:eastAsia="KaiTi_GB2312" w:hint="eastAsia"/>
          <w:snapToGrid/>
          <w:spacing w:val="0"/>
          <w:u w:val="none"/>
        </w:rPr>
        <w:t>媒体与电影</w:t>
      </w:r>
    </w:p>
    <w:p w:rsidR="00000000" w:rsidRDefault="00000000">
      <w:pPr>
        <w:rPr>
          <w:rFonts w:hint="eastAsia"/>
          <w:snapToGrid/>
        </w:rPr>
      </w:pPr>
      <w:r>
        <w:rPr>
          <w:rFonts w:hint="eastAsia"/>
          <w:snapToGrid/>
        </w:rPr>
        <w:tab/>
        <w:t>746.  2003</w:t>
      </w:r>
      <w:r>
        <w:rPr>
          <w:rFonts w:hint="eastAsia"/>
          <w:snapToGrid/>
        </w:rPr>
        <w:t>年国会通过了《电影法令》。该法令载有的主要目标之一就是保证大量制作国产电影及与其他国家合作拍摄的电影，并推动放映这些电影，以便提高这些电影在国内和国际音像市场中的份额。该法令出台了一些措施，支持音像作品的制作和发行，主要是那些反映欧洲和全球文化多样性的高质量的作品</w:t>
      </w:r>
      <w:r>
        <w:rPr>
          <w:rFonts w:hint="eastAsia"/>
          <w:snapToGrid/>
        </w:rPr>
        <w:t>(</w:t>
      </w:r>
      <w:r>
        <w:rPr>
          <w:rFonts w:hint="eastAsia"/>
          <w:snapToGrid/>
        </w:rPr>
        <w:t>对艺术电影的发行和艺术影院的公开支持</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747.  </w:t>
      </w:r>
      <w:r>
        <w:rPr>
          <w:rFonts w:hint="eastAsia"/>
          <w:snapToGrid/>
        </w:rPr>
        <w:t>《电影法令》规定了实现制作和发行目标的资金来源</w:t>
      </w:r>
      <w:r>
        <w:rPr>
          <w:rFonts w:hint="eastAsia"/>
          <w:snapToGrid/>
        </w:rPr>
        <w:t>(</w:t>
      </w:r>
      <w:r>
        <w:rPr>
          <w:rFonts w:hint="eastAsia"/>
          <w:snapToGrid/>
        </w:rPr>
        <w:t>直接和非直接支助，包括新的税款抵减计划</w:t>
      </w:r>
      <w:r>
        <w:rPr>
          <w:rFonts w:hint="eastAsia"/>
          <w:snapToGrid/>
        </w:rPr>
        <w:t>)</w:t>
      </w:r>
      <w:r>
        <w:rPr>
          <w:rFonts w:hint="eastAsia"/>
          <w:snapToGrid/>
        </w:rPr>
        <w:t>。该《法令》也设立了一些新的机构，例如国家电影局</w:t>
      </w:r>
      <w:r>
        <w:rPr>
          <w:rFonts w:hint="eastAsia"/>
          <w:snapToGrid/>
        </w:rPr>
        <w:t>(</w:t>
      </w:r>
      <w:r>
        <w:rPr>
          <w:rFonts w:hint="eastAsia"/>
          <w:snapToGrid/>
        </w:rPr>
        <w:t>管理全国影片登记及评级制度，颁发国产和合拍电影证书</w:t>
      </w:r>
      <w:r>
        <w:rPr>
          <w:rFonts w:hint="eastAsia"/>
          <w:snapToGrid/>
        </w:rPr>
        <w:t>)</w:t>
      </w:r>
      <w:r>
        <w:rPr>
          <w:rFonts w:hint="eastAsia"/>
          <w:snapToGrid/>
        </w:rPr>
        <w:t>，电影协调理事会</w:t>
      </w:r>
      <w:r>
        <w:rPr>
          <w:rFonts w:hint="eastAsia"/>
          <w:snapToGrid/>
        </w:rPr>
        <w:t>(</w:t>
      </w:r>
      <w:r>
        <w:rPr>
          <w:rFonts w:hint="eastAsia"/>
          <w:snapToGrid/>
        </w:rPr>
        <w:t>协调在电影部门投入资源的不同团体和组织，包括国家电视台</w:t>
      </w:r>
      <w:r>
        <w:rPr>
          <w:rFonts w:hint="eastAsia"/>
          <w:snapToGrid/>
        </w:rPr>
        <w:t>)</w:t>
      </w:r>
      <w:r>
        <w:rPr>
          <w:rFonts w:hint="eastAsia"/>
          <w:snapToGrid/>
        </w:rPr>
        <w:t>。</w:t>
      </w:r>
    </w:p>
    <w:p w:rsidR="00000000" w:rsidRDefault="00000000">
      <w:pPr>
        <w:rPr>
          <w:rFonts w:hint="eastAsia"/>
          <w:snapToGrid/>
        </w:rPr>
      </w:pPr>
      <w:r>
        <w:rPr>
          <w:rFonts w:hint="eastAsia"/>
          <w:snapToGrid/>
        </w:rPr>
        <w:tab/>
        <w:t xml:space="preserve">748.  </w:t>
      </w:r>
      <w:r>
        <w:rPr>
          <w:rFonts w:hint="eastAsia"/>
          <w:snapToGrid/>
        </w:rPr>
        <w:t>国会在</w:t>
      </w:r>
      <w:r>
        <w:rPr>
          <w:rFonts w:hint="eastAsia"/>
          <w:snapToGrid/>
        </w:rPr>
        <w:t>2002</w:t>
      </w:r>
      <w:r>
        <w:rPr>
          <w:rFonts w:hint="eastAsia"/>
          <w:snapToGrid/>
        </w:rPr>
        <w:t>年通过了《广播电视法令修正案》，使国家规范与欧盟规范接轨。《修正案》规定，国家和地区电视台必须将一定比例的播放时间和</w:t>
      </w:r>
      <w:r>
        <w:rPr>
          <w:rFonts w:hint="eastAsia"/>
          <w:snapToGrid/>
        </w:rPr>
        <w:t>/</w:t>
      </w:r>
      <w:r>
        <w:rPr>
          <w:rFonts w:hint="eastAsia"/>
          <w:snapToGrid/>
        </w:rPr>
        <w:t>或节目预算用于一般欧洲作品和独立制作人制作的欧洲作品。</w:t>
      </w:r>
    </w:p>
    <w:p w:rsidR="00000000" w:rsidRDefault="00000000">
      <w:pPr>
        <w:rPr>
          <w:rFonts w:hint="eastAsia"/>
          <w:snapToGrid/>
        </w:rPr>
      </w:pPr>
      <w:r>
        <w:rPr>
          <w:rFonts w:hint="eastAsia"/>
          <w:snapToGrid/>
        </w:rPr>
        <w:tab/>
        <w:t>749.  2003</w:t>
      </w:r>
      <w:r>
        <w:rPr>
          <w:rFonts w:hint="eastAsia"/>
          <w:snapToGrid/>
        </w:rPr>
        <w:t>年，匈牙利签署了《欧洲音像遗产保护公约》。该《公约》中制订的目标将通过一些法律规范和方案予以实现</w:t>
      </w:r>
      <w:r>
        <w:rPr>
          <w:rFonts w:hint="eastAsia"/>
          <w:snapToGrid/>
        </w:rPr>
        <w:t>(</w:t>
      </w:r>
      <w:r>
        <w:rPr>
          <w:rFonts w:hint="eastAsia"/>
          <w:snapToGrid/>
        </w:rPr>
        <w:t>全国电影档案馆中影片的电子化与全国音像档案的建立。</w:t>
      </w:r>
      <w:r>
        <w:rPr>
          <w:rFonts w:hint="eastAsia"/>
          <w:snapToGrid/>
        </w:rPr>
        <w:t>)</w:t>
      </w:r>
    </w:p>
    <w:p w:rsidR="00000000" w:rsidRDefault="00000000">
      <w:pPr>
        <w:spacing w:after="320"/>
        <w:rPr>
          <w:rFonts w:hint="eastAsia"/>
          <w:snapToGrid/>
        </w:rPr>
      </w:pPr>
      <w:r>
        <w:rPr>
          <w:rFonts w:hint="eastAsia"/>
          <w:snapToGrid/>
        </w:rPr>
        <w:tab/>
        <w:t xml:space="preserve">750.  </w:t>
      </w:r>
      <w:r>
        <w:rPr>
          <w:rFonts w:hint="eastAsia"/>
          <w:snapToGrid/>
        </w:rPr>
        <w:t>《欧洲影片合拍公约》于</w:t>
      </w:r>
      <w:r>
        <w:rPr>
          <w:rFonts w:hint="eastAsia"/>
          <w:snapToGrid/>
        </w:rPr>
        <w:t>1998</w:t>
      </w:r>
      <w:r>
        <w:rPr>
          <w:rFonts w:hint="eastAsia"/>
          <w:snapToGrid/>
        </w:rPr>
        <w:t>年在匈牙利生效。自此，匈牙利文化部门根据</w:t>
      </w:r>
      <w:r>
        <w:rPr>
          <w:rFonts w:hint="eastAsia"/>
          <w:snapToGrid/>
        </w:rPr>
        <w:t>2004</w:t>
      </w:r>
      <w:r>
        <w:rPr>
          <w:rFonts w:hint="eastAsia"/>
          <w:snapToGrid/>
        </w:rPr>
        <w:t>年起签署的双边协议加强了与其他国家的合拍活动。</w:t>
      </w:r>
    </w:p>
    <w:p w:rsidR="00000000" w:rsidRDefault="00000000">
      <w:pPr>
        <w:pStyle w:val="Heading4"/>
        <w:rPr>
          <w:rFonts w:hint="eastAsia"/>
          <w:lang w:val="fr-FR"/>
        </w:rPr>
      </w:pPr>
      <w:r>
        <w:rPr>
          <w:rFonts w:hint="eastAsia"/>
          <w:u w:val="none"/>
          <w:lang w:val="fr-FR"/>
        </w:rPr>
        <w:t>(b</w:t>
      </w:r>
      <w:r>
        <w:rPr>
          <w:rFonts w:hint="eastAsia"/>
          <w:u w:val="none"/>
        </w:rPr>
        <w:t xml:space="preserve">)  </w:t>
      </w:r>
      <w:r>
        <w:rPr>
          <w:rFonts w:hint="eastAsia"/>
          <w:lang w:val="fr-FR"/>
        </w:rPr>
        <w:t>享受科学进步及其应用所产生的利益</w:t>
      </w:r>
    </w:p>
    <w:p w:rsidR="00000000" w:rsidRDefault="00000000">
      <w:pPr>
        <w:rPr>
          <w:rFonts w:hint="eastAsia"/>
          <w:snapToGrid/>
          <w:lang w:val="fr-FR"/>
        </w:rPr>
      </w:pPr>
      <w:r>
        <w:rPr>
          <w:rFonts w:hint="eastAsia"/>
          <w:snapToGrid/>
          <w:lang w:val="fr-FR"/>
        </w:rPr>
        <w:tab/>
        <w:t xml:space="preserve">751.  </w:t>
      </w:r>
      <w:r>
        <w:rPr>
          <w:rFonts w:hint="eastAsia"/>
          <w:snapToGrid/>
          <w:lang w:val="fr-FR"/>
        </w:rPr>
        <w:t>匈牙利在研究和科学方面具有优良传统。</w:t>
      </w:r>
      <w:r>
        <w:rPr>
          <w:rFonts w:hint="eastAsia"/>
          <w:snapToGrid/>
          <w:lang w:val="fr-FR"/>
        </w:rPr>
        <w:t>1825</w:t>
      </w:r>
      <w:r>
        <w:rPr>
          <w:rFonts w:hint="eastAsia"/>
          <w:snapToGrid/>
          <w:lang w:val="fr-FR"/>
        </w:rPr>
        <w:t>年以来，匈牙利科学院在促进科学方面发挥了至关重要的作用。近期在科学院支持下的一项行动计划获得了前所未有的成功，大大促进了公众提高对科学研究成果的认识。</w:t>
      </w:r>
    </w:p>
    <w:p w:rsidR="00000000" w:rsidRDefault="00000000">
      <w:pPr>
        <w:rPr>
          <w:rFonts w:hint="eastAsia"/>
          <w:snapToGrid/>
          <w:lang w:val="en-GB"/>
        </w:rPr>
      </w:pPr>
      <w:r>
        <w:rPr>
          <w:rFonts w:hint="eastAsia"/>
          <w:snapToGrid/>
          <w:lang w:val="fr-FR"/>
        </w:rPr>
        <w:tab/>
        <w:t xml:space="preserve">752.  </w:t>
      </w:r>
      <w:r>
        <w:rPr>
          <w:rFonts w:hint="eastAsia"/>
          <w:snapToGrid/>
          <w:lang w:val="fr-FR"/>
        </w:rPr>
        <w:t>匈牙利科学院、匈牙利电讯股份公司和</w:t>
      </w:r>
      <w:r>
        <w:rPr>
          <w:snapToGrid/>
          <w:lang w:val="en-GB"/>
        </w:rPr>
        <w:t>T-Online</w:t>
      </w:r>
      <w:r>
        <w:rPr>
          <w:rFonts w:hint="eastAsia"/>
          <w:snapToGrid/>
          <w:lang w:val="fr-FR"/>
        </w:rPr>
        <w:t>于</w:t>
      </w:r>
      <w:r>
        <w:rPr>
          <w:rFonts w:hint="eastAsia"/>
          <w:snapToGrid/>
          <w:lang w:val="fr-FR"/>
        </w:rPr>
        <w:t>2002</w:t>
      </w:r>
      <w:r>
        <w:rPr>
          <w:rFonts w:hint="eastAsia"/>
          <w:snapToGrid/>
          <w:lang w:val="fr-FR"/>
        </w:rPr>
        <w:t>年借助信息技术开办了“知识百科大学”</w:t>
      </w:r>
      <w:r>
        <w:rPr>
          <w:rFonts w:hint="eastAsia"/>
          <w:snapToGrid/>
          <w:lang w:val="fr-FR"/>
        </w:rPr>
        <w:t>(</w:t>
      </w:r>
      <w:r>
        <w:rPr>
          <w:snapToGrid/>
          <w:lang w:val="en-GB"/>
        </w:rPr>
        <w:t>Mindentudás Egyeteme</w:t>
      </w:r>
      <w:r>
        <w:rPr>
          <w:rFonts w:hint="eastAsia"/>
          <w:snapToGrid/>
          <w:lang w:val="fr-FR"/>
        </w:rPr>
        <w:t>)</w:t>
      </w:r>
      <w:r>
        <w:rPr>
          <w:rFonts w:hint="eastAsia"/>
          <w:snapToGrid/>
          <w:lang w:val="fr-FR"/>
        </w:rPr>
        <w:t>各学科专题系列讲座，目标是振兴匈牙利高标准的科学教育，提升国内科学界领军人物的形象。</w:t>
      </w:r>
      <w:r>
        <w:rPr>
          <w:rFonts w:hint="eastAsia"/>
          <w:snapToGrid/>
          <w:lang w:val="en-GB"/>
        </w:rPr>
        <w:t>这个方案的灵感来自于</w:t>
      </w:r>
      <w:r>
        <w:rPr>
          <w:rFonts w:hint="eastAsia"/>
          <w:snapToGrid/>
          <w:lang w:val="fr-FR"/>
        </w:rPr>
        <w:t>法国的方案</w:t>
      </w:r>
      <w:r>
        <w:rPr>
          <w:rFonts w:hint="eastAsia"/>
          <w:snapToGrid/>
          <w:spacing w:val="-50"/>
        </w:rPr>
        <w:t>―</w:t>
      </w:r>
      <w:r>
        <w:rPr>
          <w:rFonts w:hint="eastAsia"/>
          <w:snapToGrid/>
        </w:rPr>
        <w:t>―</w:t>
      </w:r>
      <w:r>
        <w:rPr>
          <w:snapToGrid/>
          <w:lang w:val="en-GB"/>
        </w:rPr>
        <w:t xml:space="preserve">L`Université de tous les savoirs, </w:t>
      </w:r>
      <w:r>
        <w:rPr>
          <w:rFonts w:hint="eastAsia"/>
          <w:snapToGrid/>
          <w:lang w:val="en-GB"/>
        </w:rPr>
        <w:t>但是重新进行了设计，使之符合匈牙利的标准</w:t>
      </w:r>
      <w:r>
        <w:rPr>
          <w:rFonts w:hint="eastAsia"/>
          <w:snapToGrid/>
          <w:lang w:val="en-GB"/>
        </w:rPr>
        <w:t>(</w:t>
      </w:r>
      <w:r>
        <w:rPr>
          <w:rFonts w:hint="eastAsia"/>
          <w:snapToGrid/>
          <w:lang w:val="en-GB"/>
        </w:rPr>
        <w:t>但其匈牙利名称保留了法语名称中的广博性和普遍推动力</w:t>
      </w:r>
      <w:r>
        <w:rPr>
          <w:rFonts w:hint="eastAsia"/>
          <w:snapToGrid/>
          <w:lang w:val="en-GB"/>
        </w:rPr>
        <w:t>)</w:t>
      </w:r>
      <w:r>
        <w:rPr>
          <w:rFonts w:hint="eastAsia"/>
          <w:snapToGrid/>
          <w:lang w:val="en-GB"/>
        </w:rPr>
        <w:t>。最终，匈牙利创建了一个不同的方案，有其自己的逻辑、信息、基本概念和组织。</w:t>
      </w:r>
      <w:r>
        <w:rPr>
          <w:snapToGrid/>
          <w:lang w:val="en-GB"/>
        </w:rPr>
        <w:t>Mindentudás Egyeteme / ENCOMPASS</w:t>
      </w:r>
      <w:r>
        <w:rPr>
          <w:rFonts w:hint="eastAsia"/>
          <w:snapToGrid/>
          <w:lang w:val="en-GB"/>
        </w:rPr>
        <w:t>的构想得到了学术界杰出人物的支持，被认为是一个借助互联网对科学知识进行媒体化管理的好机会；在匈牙利发展科学的组织、研究和展示工作。这个行动计划，通过有关网站的联合并与电视台、广播电台网和报纸合作，综合了国际和匈牙利公共科学中历史悠久、受人尊敬的遗产，但又采取有别于传统的教学模式。在匈牙利科学院的学术监督下，该计划由公私伙伴主持创立起来，并得到了</w:t>
      </w:r>
      <w:r>
        <w:rPr>
          <w:rFonts w:hint="eastAsia"/>
          <w:snapToGrid/>
          <w:lang w:val="fr-FR"/>
        </w:rPr>
        <w:t>匈牙利电讯股份公司和</w:t>
      </w:r>
      <w:r>
        <w:rPr>
          <w:snapToGrid/>
          <w:lang w:val="en-GB"/>
        </w:rPr>
        <w:t>T-Online</w:t>
      </w:r>
      <w:r>
        <w:rPr>
          <w:rFonts w:hint="eastAsia"/>
          <w:snapToGrid/>
          <w:lang w:val="en-GB"/>
        </w:rPr>
        <w:t>这样的电信公司的公司社会责任方案的赞助。在合作中，后者提供了项目管理和信息通讯方面的技术知识，以及基础设施和重大资金方面的支持。创建者提出了三项原则：使科学在媒体业的地位具有竞争力，广泛宣传匈牙利科学家和以价值观为基础丰富匈牙利语言文化。</w:t>
      </w:r>
      <w:r>
        <w:rPr>
          <w:snapToGrid/>
          <w:lang w:val="en-GB"/>
        </w:rPr>
        <w:t>Mindentudás Egyeteme</w:t>
      </w:r>
      <w:r>
        <w:rPr>
          <w:rFonts w:hint="eastAsia"/>
          <w:snapToGrid/>
          <w:lang w:val="en-GB"/>
        </w:rPr>
        <w:t xml:space="preserve"> </w:t>
      </w:r>
      <w:r>
        <w:rPr>
          <w:rFonts w:hint="eastAsia"/>
          <w:snapToGrid/>
          <w:lang w:val="en-GB"/>
        </w:rPr>
        <w:t>也为在国外推广这档节目起了一个新名称：“</w:t>
      </w:r>
      <w:r>
        <w:rPr>
          <w:snapToGrid/>
          <w:lang w:val="en-GB"/>
        </w:rPr>
        <w:t>ENCOMPASS</w:t>
      </w:r>
      <w:r>
        <w:rPr>
          <w:rFonts w:hint="eastAsia"/>
          <w:snapToGrid/>
          <w:lang w:val="en-GB"/>
        </w:rPr>
        <w:t>”</w:t>
      </w:r>
      <w:r>
        <w:rPr>
          <w:snapToGrid/>
          <w:lang w:val="en-GB"/>
        </w:rPr>
        <w:t xml:space="preserve"> (</w:t>
      </w:r>
      <w:r>
        <w:rPr>
          <w:rFonts w:hint="eastAsia"/>
          <w:snapToGrid/>
          <w:lang w:val="en-GB"/>
        </w:rPr>
        <w:t>“百科知识成为全民财富”的缩略，</w:t>
      </w:r>
      <w:r>
        <w:rPr>
          <w:snapToGrid/>
          <w:lang w:val="en-GB"/>
        </w:rPr>
        <w:t>ENCyclopedic knOwledge Made a Popular ASSet)</w:t>
      </w:r>
      <w:r>
        <w:rPr>
          <w:rFonts w:hint="eastAsia"/>
          <w:snapToGrid/>
          <w:lang w:val="en-GB"/>
        </w:rPr>
        <w:t>，并启动了其新的外语网页。“</w:t>
      </w:r>
      <w:r>
        <w:rPr>
          <w:snapToGrid/>
          <w:lang w:val="en-GB"/>
        </w:rPr>
        <w:t>ENCOMPASS</w:t>
      </w:r>
      <w:r>
        <w:rPr>
          <w:rFonts w:hint="eastAsia"/>
          <w:snapToGrid/>
          <w:lang w:val="en-GB"/>
        </w:rPr>
        <w:t>”这个名称真实描述了</w:t>
      </w:r>
      <w:r>
        <w:rPr>
          <w:snapToGrid/>
          <w:lang w:val="en-GB"/>
        </w:rPr>
        <w:t>Mindentudás Egyeteme</w:t>
      </w:r>
      <w:r>
        <w:rPr>
          <w:rFonts w:hint="eastAsia"/>
          <w:snapToGrid/>
          <w:lang w:val="en-GB"/>
        </w:rPr>
        <w:t>的内容创建过程，籍此在当代多媒体的帮助下，从科学的阳春白雪世界中取出可能会引发兴趣的思想和主题与普通大众一起分享，在一定程度上应当既有知识性也有吸引力。</w:t>
      </w:r>
    </w:p>
    <w:p w:rsidR="00000000" w:rsidRDefault="00000000">
      <w:pPr>
        <w:rPr>
          <w:rFonts w:hint="eastAsia"/>
          <w:snapToGrid/>
          <w:lang w:val="en-GB"/>
        </w:rPr>
      </w:pPr>
      <w:r>
        <w:rPr>
          <w:rFonts w:hint="eastAsia"/>
          <w:snapToGrid/>
          <w:lang w:val="en-GB"/>
        </w:rPr>
        <w:tab/>
        <w:t xml:space="preserve">753.  </w:t>
      </w:r>
      <w:r>
        <w:rPr>
          <w:rFonts w:hint="eastAsia"/>
          <w:snapToGrid/>
          <w:lang w:val="en-GB"/>
        </w:rPr>
        <w:t>该项目旨在提高公众觉悟，促进科学和社会之间的对话。</w:t>
      </w:r>
      <w:r>
        <w:rPr>
          <w:snapToGrid/>
          <w:lang w:val="en-GB"/>
        </w:rPr>
        <w:t>ENCOMPASS</w:t>
      </w:r>
      <w:r>
        <w:rPr>
          <w:rFonts w:hint="eastAsia"/>
          <w:snapToGrid/>
          <w:lang w:val="en-GB"/>
        </w:rPr>
        <w:t>将具有互动要素、促进参与的现场讲座、电视节目、电台广播、报纸、书籍和网页融为一体。因此，在社会上，这是交流方式的首次组合，将不同的交流渠道精心组合在一起。该方案完全根据今日标准运用媒体，因为在一星期中的任何一天至少可以在一家电视台看到与方案有关的节目。三家公共电视网播放每一场讲座，共播放五次，其中一次是特别针对</w:t>
      </w:r>
      <w:r>
        <w:rPr>
          <w:snapToGrid/>
          <w:lang w:val="en-GB"/>
        </w:rPr>
        <w:t>Duna</w:t>
      </w:r>
      <w:r>
        <w:rPr>
          <w:rFonts w:hint="eastAsia"/>
          <w:snapToGrid/>
          <w:lang w:val="en-GB"/>
        </w:rPr>
        <w:t>电视频道海外观众的。这些讲座也在地方电视台定期播放。匈牙利公共电台网络和一家商业电台也广播该节目。所有全国性报纸的读者和三分之二区域报纸的读者可以看到这些讲座的文稿和这些演讲人的传记。每星期有一百五十万人通过这些报纸和周刊获得这些科学信息。教育性电视节目和讨论通过引述这些讲座甚至列出单个会议的节选来处理这些主题。根据一份具有代表性的调查，接近三分之一的成年人听说过</w:t>
      </w:r>
      <w:r>
        <w:rPr>
          <w:snapToGrid/>
          <w:lang w:val="en-GB"/>
        </w:rPr>
        <w:t xml:space="preserve">ENCOMPASS, </w:t>
      </w:r>
      <w:r>
        <w:rPr>
          <w:rFonts w:hint="eastAsia"/>
          <w:snapToGrid/>
          <w:lang w:val="en-GB"/>
        </w:rPr>
        <w:t>五分之二至少看过一次电视讲座，超过</w:t>
      </w:r>
      <w:r>
        <w:rPr>
          <w:rFonts w:hint="eastAsia"/>
          <w:snapToGrid/>
          <w:lang w:val="en-GB"/>
        </w:rPr>
        <w:t>80%</w:t>
      </w:r>
      <w:r>
        <w:rPr>
          <w:rFonts w:hint="eastAsia"/>
          <w:snapToGrid/>
          <w:lang w:val="en-GB"/>
        </w:rPr>
        <w:t>的人认为研究者和那些对科学感兴趣的人之间的对话非常重要。</w:t>
      </w:r>
    </w:p>
    <w:p w:rsidR="00000000" w:rsidRDefault="00000000">
      <w:pPr>
        <w:rPr>
          <w:rFonts w:hint="eastAsia"/>
          <w:snapToGrid/>
          <w:lang w:val="en-GB"/>
        </w:rPr>
      </w:pPr>
      <w:r>
        <w:rPr>
          <w:rFonts w:hint="eastAsia"/>
          <w:snapToGrid/>
          <w:lang w:val="en-GB"/>
        </w:rPr>
        <w:tab/>
        <w:t xml:space="preserve">754.  </w:t>
      </w:r>
      <w:r>
        <w:rPr>
          <w:rFonts w:hint="eastAsia"/>
          <w:snapToGrid/>
          <w:u w:val="single"/>
          <w:lang w:val="en-GB"/>
        </w:rPr>
        <w:t>发展下层社会群体的科学和艺术学习</w:t>
      </w:r>
      <w:r>
        <w:rPr>
          <w:rFonts w:hint="eastAsia"/>
          <w:snapToGrid/>
          <w:lang w:val="en-GB"/>
        </w:rPr>
        <w:t>：组织者组织残疾人、罗姆族青年和人口多的家庭参与不断扩大的项目活动。来自布达佩斯学校的罗姆族学生和来自</w:t>
      </w:r>
      <w:r>
        <w:rPr>
          <w:snapToGrid/>
          <w:lang w:val="en-GB"/>
        </w:rPr>
        <w:t>Pető</w:t>
      </w:r>
      <w:r>
        <w:rPr>
          <w:rFonts w:hint="eastAsia"/>
          <w:snapToGrid/>
          <w:lang w:val="en-GB"/>
        </w:rPr>
        <w:t xml:space="preserve"> </w:t>
      </w:r>
      <w:r>
        <w:rPr>
          <w:rFonts w:hint="eastAsia"/>
          <w:snapToGrid/>
          <w:lang w:val="en-GB"/>
        </w:rPr>
        <w:t>学院的身体残疾儿童参与了在匈牙利自然历史博物馆举办的俱乐部讨论和博物馆参观活动。在家庭援助中心的赞助下，下层家庭可以经常参观博物馆，参加俱乐部的活动。</w:t>
      </w:r>
      <w:r>
        <w:rPr>
          <w:snapToGrid/>
          <w:lang w:val="en-GB"/>
        </w:rPr>
        <w:t>ENCOMPASS</w:t>
      </w:r>
      <w:r>
        <w:rPr>
          <w:rFonts w:hint="eastAsia"/>
          <w:snapToGrid/>
          <w:lang w:val="en-GB"/>
        </w:rPr>
        <w:t>报销残疾人团体和来自布达佩斯以外地区团体参加活动的交通费用。在每个学期中，组织者向匈牙利盲人和部分失明者协会的图书馆提供讲座的录音版本。具有听力障碍的中学生经常参观讲座，那儿的书面说明可以为他们提供帮助。</w:t>
      </w:r>
    </w:p>
    <w:p w:rsidR="00000000" w:rsidRDefault="00000000">
      <w:pPr>
        <w:spacing w:after="320"/>
        <w:rPr>
          <w:rFonts w:hint="eastAsia"/>
          <w:snapToGrid/>
          <w:lang w:val="en-GB"/>
        </w:rPr>
      </w:pPr>
      <w:r>
        <w:rPr>
          <w:rFonts w:hint="eastAsia"/>
          <w:snapToGrid/>
          <w:lang w:val="en-GB"/>
        </w:rPr>
        <w:tab/>
        <w:t xml:space="preserve">755.  </w:t>
      </w:r>
      <w:r>
        <w:rPr>
          <w:rFonts w:hint="eastAsia"/>
          <w:snapToGrid/>
          <w:lang w:val="en-GB"/>
        </w:rPr>
        <w:t>高等教育机构在研究中的作用，见第</w:t>
      </w:r>
      <w:r>
        <w:rPr>
          <w:rFonts w:hint="eastAsia"/>
          <w:snapToGrid/>
          <w:lang w:val="en-GB"/>
        </w:rPr>
        <w:t>639</w:t>
      </w:r>
      <w:r>
        <w:rPr>
          <w:rFonts w:hint="eastAsia"/>
          <w:snapToGrid/>
          <w:lang w:val="en-GB"/>
        </w:rPr>
        <w:t>至</w:t>
      </w:r>
      <w:r>
        <w:rPr>
          <w:rFonts w:hint="eastAsia"/>
          <w:snapToGrid/>
          <w:lang w:val="en-GB"/>
        </w:rPr>
        <w:t>642</w:t>
      </w:r>
      <w:r>
        <w:rPr>
          <w:rFonts w:hint="eastAsia"/>
          <w:snapToGrid/>
          <w:lang w:val="en-GB"/>
        </w:rPr>
        <w:t>段。</w:t>
      </w:r>
    </w:p>
    <w:p w:rsidR="00000000" w:rsidRDefault="00000000">
      <w:pPr>
        <w:pStyle w:val="Heading4"/>
        <w:rPr>
          <w:rFonts w:hint="eastAsia"/>
          <w:lang w:val="fr-FR"/>
        </w:rPr>
      </w:pPr>
      <w:r>
        <w:rPr>
          <w:rFonts w:hint="eastAsia"/>
          <w:u w:val="none"/>
          <w:lang w:val="fr-FR"/>
        </w:rPr>
        <w:t xml:space="preserve">(c)  </w:t>
      </w:r>
      <w:r>
        <w:rPr>
          <w:rFonts w:hint="eastAsia"/>
          <w:lang w:val="fr-FR"/>
        </w:rPr>
        <w:t>保护科学、文学或艺术作品产生的精神物质效益</w:t>
      </w:r>
    </w:p>
    <w:p w:rsidR="00000000" w:rsidRDefault="00000000">
      <w:pPr>
        <w:rPr>
          <w:rFonts w:hint="eastAsia"/>
          <w:snapToGrid/>
          <w:lang w:val="fr-FR"/>
        </w:rPr>
      </w:pPr>
      <w:r>
        <w:rPr>
          <w:rFonts w:hint="eastAsia"/>
          <w:snapToGrid/>
          <w:lang w:val="fr-FR"/>
        </w:rPr>
        <w:tab/>
        <w:t xml:space="preserve">756.  </w:t>
      </w:r>
      <w:r>
        <w:rPr>
          <w:rFonts w:hint="eastAsia"/>
          <w:snapToGrid/>
          <w:spacing w:val="4"/>
          <w:lang w:val="fr-FR"/>
        </w:rPr>
        <w:t>匈牙利是世界知识产权组织的成员，批准</w:t>
      </w:r>
      <w:r>
        <w:rPr>
          <w:rFonts w:hint="eastAsia"/>
          <w:snapToGrid/>
          <w:spacing w:val="4"/>
          <w:lang w:val="fr-FR"/>
        </w:rPr>
        <w:t>(19</w:t>
      </w:r>
      <w:r>
        <w:rPr>
          <w:rFonts w:hint="eastAsia"/>
          <w:snapToGrid/>
          <w:spacing w:val="4"/>
          <w:lang w:val="fr-FR"/>
        </w:rPr>
        <w:t>项</w:t>
      </w:r>
      <w:r>
        <w:rPr>
          <w:rFonts w:hint="eastAsia"/>
          <w:snapToGrid/>
          <w:spacing w:val="4"/>
          <w:lang w:val="fr-FR"/>
        </w:rPr>
        <w:t>)</w:t>
      </w:r>
      <w:r>
        <w:rPr>
          <w:rFonts w:hint="eastAsia"/>
          <w:snapToGrid/>
          <w:spacing w:val="4"/>
          <w:lang w:val="fr-FR"/>
        </w:rPr>
        <w:t>或签署了</w:t>
      </w:r>
      <w:r>
        <w:rPr>
          <w:rFonts w:hint="eastAsia"/>
          <w:snapToGrid/>
          <w:spacing w:val="4"/>
          <w:lang w:val="fr-FR"/>
        </w:rPr>
        <w:t>(3</w:t>
      </w:r>
      <w:r>
        <w:rPr>
          <w:rFonts w:hint="eastAsia"/>
          <w:snapToGrid/>
          <w:spacing w:val="4"/>
          <w:lang w:val="fr-FR"/>
        </w:rPr>
        <w:t>项</w:t>
      </w:r>
      <w:r>
        <w:rPr>
          <w:rFonts w:hint="eastAsia"/>
          <w:snapToGrid/>
          <w:spacing w:val="4"/>
          <w:lang w:val="fr-FR"/>
        </w:rPr>
        <w:t>)</w:t>
      </w:r>
      <w:r>
        <w:rPr>
          <w:rFonts w:hint="eastAsia"/>
          <w:snapToGrid/>
          <w:spacing w:val="4"/>
          <w:lang w:val="fr-FR"/>
        </w:rPr>
        <w:t>该组织的所有国际条约。《关于版权的</w:t>
      </w:r>
      <w:r>
        <w:rPr>
          <w:rFonts w:hint="eastAsia"/>
          <w:snapToGrid/>
          <w:spacing w:val="4"/>
          <w:lang w:val="fr-FR"/>
        </w:rPr>
        <w:t>1999</w:t>
      </w:r>
      <w:r>
        <w:rPr>
          <w:rFonts w:hint="eastAsia"/>
          <w:snapToGrid/>
          <w:spacing w:val="4"/>
          <w:lang w:val="fr-FR"/>
        </w:rPr>
        <w:t>年第七十六号法令》为文学、科学和艺术创作提供保护，并在导言中声明：“任何有关版权的条例</w:t>
      </w:r>
      <w:r>
        <w:rPr>
          <w:rFonts w:hint="eastAsia"/>
          <w:snapToGrid/>
          <w:spacing w:val="4"/>
          <w:lang w:val="fr-FR"/>
        </w:rPr>
        <w:t>(</w:t>
      </w:r>
      <w:r>
        <w:rPr>
          <w:rFonts w:hint="eastAsia"/>
          <w:snapToGrid/>
          <w:spacing w:val="4"/>
          <w:lang w:val="fr-FR"/>
        </w:rPr>
        <w:t>……</w:t>
      </w:r>
      <w:r>
        <w:rPr>
          <w:rFonts w:hint="eastAsia"/>
          <w:snapToGrid/>
          <w:spacing w:val="4"/>
          <w:lang w:val="fr-FR"/>
        </w:rPr>
        <w:t>)</w:t>
      </w:r>
      <w:r>
        <w:rPr>
          <w:rFonts w:hint="eastAsia"/>
          <w:snapToGrid/>
          <w:spacing w:val="4"/>
          <w:lang w:val="fr-FR"/>
        </w:rPr>
        <w:t>必须跟上技术的发展，以便对激励智力创造以及民族与全球文化价值观念的保存发挥重大影响；在作者和其他权利持有者与使用者和广大公众的利益之间建立和保持平衡，并在这方面考虑到教育、文化、科学研究和自由获得信息的要求；全面和有效加强版权及相关权利。”对其他形式的知识产权保护完全符合国际法，尤其是欧洲共同体的各项指令。相关立法的详情律，见匈牙利专利局网站的主页</w:t>
      </w:r>
      <w:r>
        <w:rPr>
          <w:rFonts w:hint="eastAsia"/>
          <w:snapToGrid/>
          <w:spacing w:val="4"/>
          <w:lang w:val="fr-FR"/>
        </w:rPr>
        <w:t>(</w:t>
      </w:r>
      <w:hyperlink r:id="rId25" w:history="1">
        <w:r>
          <w:rPr>
            <w:rStyle w:val="Hyperlink"/>
            <w:bCs/>
            <w:snapToGrid/>
            <w:spacing w:val="4"/>
            <w:lang w:val="en-GB"/>
          </w:rPr>
          <w:t>htt</w:t>
        </w:r>
        <w:r>
          <w:rPr>
            <w:rStyle w:val="Hyperlink"/>
            <w:bCs/>
            <w:snapToGrid/>
            <w:spacing w:val="4"/>
            <w:lang w:val="en-GB"/>
          </w:rPr>
          <w:t>p</w:t>
        </w:r>
        <w:r>
          <w:rPr>
            <w:rStyle w:val="Hyperlink"/>
            <w:bCs/>
            <w:snapToGrid/>
            <w:spacing w:val="4"/>
            <w:lang w:val="en-GB"/>
          </w:rPr>
          <w:t>://www.mszh.hu/English/jogforras/</w:t>
        </w:r>
      </w:hyperlink>
      <w:r>
        <w:rPr>
          <w:rFonts w:hint="eastAsia"/>
          <w:snapToGrid/>
          <w:spacing w:val="4"/>
          <w:lang w:val="fr-FR"/>
        </w:rPr>
        <w:t>)</w:t>
      </w:r>
      <w:r>
        <w:rPr>
          <w:rFonts w:hint="eastAsia"/>
          <w:snapToGrid/>
          <w:spacing w:val="4"/>
          <w:lang w:val="fr-FR"/>
        </w:rPr>
        <w:t>。</w:t>
      </w:r>
    </w:p>
    <w:p w:rsidR="00000000" w:rsidRDefault="00000000">
      <w:pPr>
        <w:pStyle w:val="Heading2"/>
        <w:rPr>
          <w:rFonts w:hint="eastAsia"/>
          <w:lang w:val="fr-FR"/>
        </w:rPr>
      </w:pPr>
      <w:r>
        <w:rPr>
          <w:lang w:val="fr-FR"/>
        </w:rPr>
        <w:br w:type="page"/>
      </w:r>
      <w:r>
        <w:rPr>
          <w:rFonts w:hint="eastAsia"/>
          <w:lang w:val="fr-FR"/>
        </w:rPr>
        <w:t>附</w:t>
      </w:r>
      <w:r>
        <w:rPr>
          <w:lang w:val="fr-FR"/>
        </w:rPr>
        <w:t xml:space="preserve"> </w:t>
      </w:r>
      <w:r>
        <w:rPr>
          <w:rFonts w:hint="eastAsia"/>
          <w:lang w:val="fr-FR"/>
        </w:rPr>
        <w:t>件</w:t>
      </w:r>
      <w:r>
        <w:rPr>
          <w:lang w:val="fr-FR"/>
        </w:rPr>
        <w:t xml:space="preserve"> </w:t>
      </w:r>
      <w:r>
        <w:rPr>
          <w:rFonts w:hint="eastAsia"/>
          <w:lang w:val="fr-FR"/>
        </w:rPr>
        <w:t>清</w:t>
      </w:r>
      <w:r>
        <w:rPr>
          <w:lang w:val="fr-FR"/>
        </w:rPr>
        <w:t xml:space="preserve"> </w:t>
      </w:r>
      <w:r>
        <w:rPr>
          <w:rFonts w:hint="eastAsia"/>
          <w:lang w:val="fr-FR"/>
        </w:rPr>
        <w:t>单</w:t>
      </w:r>
    </w:p>
    <w:p w:rsidR="00000000" w:rsidRDefault="00000000">
      <w:pPr>
        <w:rPr>
          <w:snapToGrid/>
          <w:lang w:val="fr-FR"/>
        </w:rPr>
      </w:pPr>
      <w:r>
        <w:rPr>
          <w:rFonts w:hint="eastAsia"/>
          <w:snapToGrid/>
          <w:lang w:val="fr-FR"/>
        </w:rPr>
        <w:tab/>
        <w:t>1.</w:t>
      </w:r>
      <w:r>
        <w:rPr>
          <w:rFonts w:hint="eastAsia"/>
          <w:snapToGrid/>
          <w:lang w:val="fr-FR"/>
        </w:rPr>
        <w:tab/>
      </w:r>
      <w:r>
        <w:rPr>
          <w:rFonts w:hint="eastAsia"/>
          <w:snapToGrid/>
          <w:lang w:val="fr-FR"/>
        </w:rPr>
        <w:t>统计资料</w:t>
      </w:r>
    </w:p>
    <w:p w:rsidR="00000000" w:rsidRDefault="00000000">
      <w:pPr>
        <w:rPr>
          <w:bCs/>
          <w:snapToGrid/>
          <w:lang w:val="fr-FR"/>
        </w:rPr>
      </w:pPr>
      <w:r>
        <w:rPr>
          <w:rFonts w:hint="eastAsia"/>
          <w:bCs/>
          <w:snapToGrid/>
          <w:lang w:val="fr-FR"/>
        </w:rPr>
        <w:tab/>
        <w:t>2.</w:t>
      </w:r>
      <w:r>
        <w:rPr>
          <w:rFonts w:hint="eastAsia"/>
          <w:bCs/>
          <w:snapToGrid/>
          <w:lang w:val="fr-FR"/>
        </w:rPr>
        <w:tab/>
      </w:r>
      <w:r>
        <w:rPr>
          <w:rFonts w:hint="eastAsia"/>
          <w:bCs/>
          <w:snapToGrid/>
        </w:rPr>
        <w:t>关于匈牙利共和国宪法的</w:t>
      </w:r>
      <w:r>
        <w:rPr>
          <w:rFonts w:hint="eastAsia"/>
          <w:bCs/>
          <w:snapToGrid/>
          <w:lang w:val="fr-FR"/>
        </w:rPr>
        <w:t>1949</w:t>
      </w:r>
      <w:r>
        <w:rPr>
          <w:rFonts w:hint="eastAsia"/>
          <w:bCs/>
          <w:snapToGrid/>
        </w:rPr>
        <w:t>年第</w:t>
      </w:r>
      <w:r>
        <w:rPr>
          <w:rFonts w:hint="eastAsia"/>
          <w:bCs/>
          <w:snapToGrid/>
          <w:lang w:val="fr-FR"/>
        </w:rPr>
        <w:t>20</w:t>
      </w:r>
      <w:r>
        <w:rPr>
          <w:rFonts w:hint="eastAsia"/>
          <w:bCs/>
          <w:snapToGrid/>
        </w:rPr>
        <w:t>号法令</w:t>
      </w:r>
    </w:p>
    <w:p w:rsidR="00000000" w:rsidRDefault="00000000">
      <w:pPr>
        <w:rPr>
          <w:bCs/>
          <w:snapToGrid/>
          <w:lang w:val="fr-FR"/>
        </w:rPr>
      </w:pPr>
      <w:r>
        <w:rPr>
          <w:rFonts w:hint="eastAsia"/>
          <w:bCs/>
          <w:snapToGrid/>
          <w:lang w:val="fr-FR"/>
        </w:rPr>
        <w:tab/>
        <w:t>3.</w:t>
      </w:r>
      <w:r>
        <w:rPr>
          <w:rFonts w:hint="eastAsia"/>
          <w:bCs/>
          <w:snapToGrid/>
          <w:lang w:val="fr-FR"/>
        </w:rPr>
        <w:tab/>
      </w:r>
      <w:r>
        <w:rPr>
          <w:rFonts w:hint="eastAsia"/>
          <w:snapToGrid/>
          <w:lang w:val="fr-FR"/>
        </w:rPr>
        <w:t>关于</w:t>
      </w:r>
      <w:r>
        <w:rPr>
          <w:rFonts w:hint="eastAsia"/>
          <w:snapToGrid/>
        </w:rPr>
        <w:t>平等待遇和促进机会平等的</w:t>
      </w:r>
      <w:r>
        <w:rPr>
          <w:snapToGrid/>
          <w:lang w:val="fr-FR"/>
        </w:rPr>
        <w:t>2003</w:t>
      </w:r>
      <w:r>
        <w:rPr>
          <w:rFonts w:hint="eastAsia"/>
          <w:snapToGrid/>
        </w:rPr>
        <w:t>年第</w:t>
      </w:r>
      <w:r>
        <w:rPr>
          <w:snapToGrid/>
          <w:lang w:val="fr-FR"/>
        </w:rPr>
        <w:t>125</w:t>
      </w:r>
      <w:r>
        <w:rPr>
          <w:rFonts w:hint="eastAsia"/>
          <w:snapToGrid/>
        </w:rPr>
        <w:t>号法令</w:t>
      </w:r>
    </w:p>
    <w:p w:rsidR="00000000" w:rsidRDefault="00000000">
      <w:pPr>
        <w:rPr>
          <w:bCs/>
          <w:snapToGrid/>
          <w:lang w:val="fr-FR"/>
        </w:rPr>
      </w:pPr>
      <w:r>
        <w:rPr>
          <w:rFonts w:hint="eastAsia"/>
          <w:bCs/>
          <w:snapToGrid/>
          <w:lang w:val="fr-FR"/>
        </w:rPr>
        <w:tab/>
        <w:t>4.</w:t>
      </w:r>
      <w:r>
        <w:rPr>
          <w:rFonts w:hint="eastAsia"/>
          <w:bCs/>
          <w:snapToGrid/>
          <w:lang w:val="fr-FR"/>
        </w:rPr>
        <w:tab/>
      </w:r>
      <w:r>
        <w:rPr>
          <w:rFonts w:hint="eastAsia"/>
          <w:bCs/>
          <w:snapToGrid/>
        </w:rPr>
        <w:t>关于《劳动法》的</w:t>
      </w:r>
      <w:r>
        <w:rPr>
          <w:rFonts w:hint="eastAsia"/>
          <w:bCs/>
          <w:snapToGrid/>
          <w:lang w:val="fr-FR"/>
        </w:rPr>
        <w:t>1992</w:t>
      </w:r>
      <w:r>
        <w:rPr>
          <w:rFonts w:hint="eastAsia"/>
          <w:bCs/>
          <w:snapToGrid/>
        </w:rPr>
        <w:t>年第二十二号法令</w:t>
      </w:r>
    </w:p>
    <w:p w:rsidR="00000000" w:rsidRDefault="00000000">
      <w:pPr>
        <w:rPr>
          <w:bCs/>
          <w:snapToGrid/>
          <w:lang w:val="fr-FR"/>
        </w:rPr>
      </w:pPr>
      <w:r>
        <w:rPr>
          <w:rFonts w:hint="eastAsia"/>
          <w:bCs/>
          <w:snapToGrid/>
          <w:lang w:val="fr-FR"/>
        </w:rPr>
        <w:tab/>
        <w:t>5.</w:t>
      </w:r>
      <w:r>
        <w:rPr>
          <w:rFonts w:hint="eastAsia"/>
          <w:bCs/>
          <w:snapToGrid/>
          <w:lang w:val="fr-FR"/>
        </w:rPr>
        <w:tab/>
      </w:r>
      <w:r>
        <w:rPr>
          <w:rFonts w:hint="eastAsia"/>
          <w:bCs/>
          <w:snapToGrid/>
        </w:rPr>
        <w:t>匈牙利共和国政府最近关于劳工组织第</w:t>
      </w:r>
      <w:r>
        <w:rPr>
          <w:bCs/>
          <w:snapToGrid/>
          <w:lang w:val="fr-FR"/>
        </w:rPr>
        <w:t>14</w:t>
      </w:r>
      <w:r>
        <w:rPr>
          <w:rFonts w:hint="eastAsia"/>
          <w:bCs/>
          <w:snapToGrid/>
          <w:lang w:val="fr-FR"/>
        </w:rPr>
        <w:t>、</w:t>
      </w:r>
      <w:r>
        <w:rPr>
          <w:bCs/>
          <w:snapToGrid/>
          <w:lang w:val="fr-FR"/>
        </w:rPr>
        <w:t>87</w:t>
      </w:r>
      <w:r>
        <w:rPr>
          <w:rFonts w:hint="eastAsia"/>
          <w:bCs/>
          <w:snapToGrid/>
          <w:lang w:val="fr-FR"/>
        </w:rPr>
        <w:t>、</w:t>
      </w:r>
      <w:r>
        <w:rPr>
          <w:bCs/>
          <w:snapToGrid/>
          <w:lang w:val="fr-FR"/>
        </w:rPr>
        <w:t>98</w:t>
      </w:r>
      <w:r>
        <w:rPr>
          <w:rFonts w:hint="eastAsia"/>
          <w:bCs/>
          <w:snapToGrid/>
          <w:lang w:val="fr-FR"/>
        </w:rPr>
        <w:t>、</w:t>
      </w:r>
      <w:r>
        <w:rPr>
          <w:bCs/>
          <w:snapToGrid/>
          <w:lang w:val="fr-FR"/>
        </w:rPr>
        <w:t>100</w:t>
      </w:r>
      <w:r>
        <w:rPr>
          <w:rFonts w:hint="eastAsia"/>
          <w:bCs/>
          <w:snapToGrid/>
          <w:lang w:val="fr-FR"/>
        </w:rPr>
        <w:t>和</w:t>
      </w:r>
      <w:r>
        <w:rPr>
          <w:bCs/>
          <w:snapToGrid/>
          <w:lang w:val="fr-FR"/>
        </w:rPr>
        <w:t>132</w:t>
      </w:r>
      <w:r>
        <w:rPr>
          <w:rFonts w:hint="eastAsia"/>
          <w:bCs/>
          <w:snapToGrid/>
          <w:lang w:val="fr-FR"/>
        </w:rPr>
        <w:t>号公约执行情况的报告</w:t>
      </w:r>
    </w:p>
    <w:p w:rsidR="00000000" w:rsidRDefault="00000000">
      <w:pPr>
        <w:rPr>
          <w:bCs/>
          <w:snapToGrid/>
          <w:lang w:val="fr-FR"/>
        </w:rPr>
      </w:pPr>
      <w:r>
        <w:rPr>
          <w:rFonts w:hint="eastAsia"/>
          <w:bCs/>
          <w:snapToGrid/>
          <w:lang w:val="fr-FR"/>
        </w:rPr>
        <w:tab/>
        <w:t>6.</w:t>
      </w:r>
      <w:r>
        <w:rPr>
          <w:rFonts w:hint="eastAsia"/>
          <w:bCs/>
          <w:snapToGrid/>
          <w:lang w:val="fr-FR"/>
        </w:rPr>
        <w:tab/>
      </w:r>
      <w:r>
        <w:rPr>
          <w:rFonts w:hint="eastAsia"/>
          <w:snapToGrid/>
          <w:lang w:val="fr-FR"/>
        </w:rPr>
        <w:t>关于有权获得社会保障福利和私营养恤金的人员以及这些保险的覆盖范围的</w:t>
      </w:r>
      <w:r>
        <w:rPr>
          <w:rFonts w:hint="eastAsia"/>
          <w:snapToGrid/>
          <w:lang w:val="fr-FR"/>
        </w:rPr>
        <w:t>1997</w:t>
      </w:r>
      <w:r>
        <w:rPr>
          <w:rFonts w:hint="eastAsia"/>
          <w:snapToGrid/>
          <w:lang w:val="fr-FR"/>
        </w:rPr>
        <w:t>年第八十号法令</w:t>
      </w:r>
      <w:r>
        <w:rPr>
          <w:bCs/>
          <w:snapToGrid/>
          <w:lang w:val="fr-FR"/>
        </w:rPr>
        <w:t xml:space="preserve"> </w:t>
      </w:r>
    </w:p>
    <w:p w:rsidR="00000000" w:rsidRDefault="00000000">
      <w:pPr>
        <w:rPr>
          <w:bCs/>
          <w:snapToGrid/>
          <w:lang w:val="fr-FR"/>
        </w:rPr>
      </w:pPr>
      <w:r>
        <w:rPr>
          <w:rFonts w:hint="eastAsia"/>
          <w:bCs/>
          <w:snapToGrid/>
          <w:lang w:val="fr-FR"/>
        </w:rPr>
        <w:tab/>
        <w:t>7.</w:t>
      </w:r>
      <w:r>
        <w:rPr>
          <w:rFonts w:hint="eastAsia"/>
          <w:bCs/>
          <w:snapToGrid/>
          <w:lang w:val="fr-FR"/>
        </w:rPr>
        <w:tab/>
      </w:r>
      <w:r>
        <w:rPr>
          <w:rFonts w:hint="eastAsia"/>
          <w:snapToGrid/>
          <w:lang w:val="fr-FR"/>
        </w:rPr>
        <w:t>关于社会保险养恤金的</w:t>
      </w:r>
      <w:r>
        <w:rPr>
          <w:rFonts w:hint="eastAsia"/>
          <w:snapToGrid/>
          <w:lang w:val="fr-FR"/>
        </w:rPr>
        <w:t>1997</w:t>
      </w:r>
      <w:r>
        <w:rPr>
          <w:rFonts w:hint="eastAsia"/>
          <w:snapToGrid/>
          <w:lang w:val="fr-FR"/>
        </w:rPr>
        <w:t>年第八十一号法令</w:t>
      </w:r>
    </w:p>
    <w:p w:rsidR="00000000" w:rsidRDefault="00000000">
      <w:pPr>
        <w:rPr>
          <w:bCs/>
          <w:snapToGrid/>
          <w:lang w:val="fr-FR"/>
        </w:rPr>
      </w:pPr>
      <w:r>
        <w:rPr>
          <w:rFonts w:hint="eastAsia"/>
          <w:bCs/>
          <w:snapToGrid/>
          <w:lang w:val="fr-FR"/>
        </w:rPr>
        <w:tab/>
      </w:r>
      <w:r>
        <w:rPr>
          <w:bCs/>
          <w:snapToGrid/>
          <w:lang w:val="fr-FR"/>
        </w:rPr>
        <w:t>8.</w:t>
      </w:r>
      <w:r>
        <w:rPr>
          <w:bCs/>
          <w:snapToGrid/>
          <w:lang w:val="fr-FR"/>
        </w:rPr>
        <w:tab/>
      </w:r>
      <w:r>
        <w:rPr>
          <w:rFonts w:hint="eastAsia"/>
          <w:bCs/>
          <w:snapToGrid/>
        </w:rPr>
        <w:t>关于</w:t>
      </w:r>
      <w:r>
        <w:rPr>
          <w:rFonts w:hint="eastAsia"/>
          <w:snapToGrid/>
          <w:lang w:val="fr-FR"/>
        </w:rPr>
        <w:t>私营养恤金基金的</w:t>
      </w:r>
      <w:r>
        <w:rPr>
          <w:rFonts w:hint="eastAsia"/>
          <w:snapToGrid/>
          <w:lang w:val="fr-FR"/>
        </w:rPr>
        <w:t>1997</w:t>
      </w:r>
      <w:r>
        <w:rPr>
          <w:rFonts w:hint="eastAsia"/>
          <w:snapToGrid/>
          <w:lang w:val="fr-FR"/>
        </w:rPr>
        <w:t>年第八十二号法令</w:t>
      </w:r>
      <w:r>
        <w:rPr>
          <w:bCs/>
          <w:snapToGrid/>
          <w:lang w:val="fr-FR"/>
        </w:rPr>
        <w:t>Act LXXXII of 1997 on Private Pension Funds</w:t>
      </w:r>
    </w:p>
    <w:p w:rsidR="00000000" w:rsidRDefault="00000000">
      <w:pPr>
        <w:rPr>
          <w:bCs/>
          <w:snapToGrid/>
          <w:lang w:val="fr-FR"/>
        </w:rPr>
      </w:pPr>
      <w:r>
        <w:rPr>
          <w:rFonts w:hint="eastAsia"/>
          <w:bCs/>
          <w:snapToGrid/>
          <w:lang w:val="fr-FR"/>
        </w:rPr>
        <w:tab/>
      </w:r>
      <w:r>
        <w:rPr>
          <w:bCs/>
          <w:snapToGrid/>
          <w:lang w:val="fr-FR"/>
        </w:rPr>
        <w:t>9.</w:t>
      </w:r>
      <w:r>
        <w:rPr>
          <w:bCs/>
          <w:snapToGrid/>
          <w:lang w:val="fr-FR"/>
        </w:rPr>
        <w:tab/>
      </w:r>
      <w:r>
        <w:rPr>
          <w:rFonts w:hint="eastAsia"/>
          <w:bCs/>
          <w:snapToGrid/>
        </w:rPr>
        <w:t>年关于家庭支助的第八十四号法令</w:t>
      </w:r>
      <w:r>
        <w:rPr>
          <w:bCs/>
          <w:snapToGrid/>
          <w:lang w:val="fr-FR"/>
        </w:rPr>
        <w:t>Act LXXXIV of 1998 on Family Support</w:t>
      </w:r>
    </w:p>
    <w:p w:rsidR="00000000" w:rsidRDefault="00000000">
      <w:pPr>
        <w:rPr>
          <w:bCs/>
          <w:snapToGrid/>
          <w:lang w:val="fr-FR"/>
        </w:rPr>
      </w:pPr>
      <w:r>
        <w:rPr>
          <w:rFonts w:hint="eastAsia"/>
          <w:bCs/>
          <w:snapToGrid/>
          <w:lang w:val="fr-FR"/>
        </w:rPr>
        <w:tab/>
      </w:r>
      <w:r>
        <w:rPr>
          <w:bCs/>
          <w:snapToGrid/>
          <w:lang w:val="fr-FR"/>
        </w:rPr>
        <w:t>10.</w:t>
      </w:r>
      <w:r>
        <w:rPr>
          <w:bCs/>
          <w:snapToGrid/>
          <w:lang w:val="fr-FR"/>
        </w:rPr>
        <w:tab/>
      </w:r>
      <w:r>
        <w:rPr>
          <w:rFonts w:hint="eastAsia"/>
          <w:snapToGrid/>
        </w:rPr>
        <w:t>关于卫生问题的</w:t>
      </w:r>
      <w:r>
        <w:rPr>
          <w:rFonts w:hint="eastAsia"/>
          <w:snapToGrid/>
          <w:lang w:val="fr-FR"/>
        </w:rPr>
        <w:t>1997</w:t>
      </w:r>
      <w:r>
        <w:rPr>
          <w:rFonts w:hint="eastAsia"/>
          <w:snapToGrid/>
        </w:rPr>
        <w:t>年第一百五十四号法令</w:t>
      </w:r>
      <w:r>
        <w:rPr>
          <w:bCs/>
          <w:snapToGrid/>
          <w:lang w:val="fr-FR"/>
        </w:rPr>
        <w:t>Act CLIV of 1997 on Health</w:t>
      </w:r>
    </w:p>
    <w:p w:rsidR="00000000" w:rsidRDefault="00000000">
      <w:pPr>
        <w:rPr>
          <w:bCs/>
          <w:snapToGrid/>
          <w:lang w:val="fr-FR"/>
        </w:rPr>
      </w:pPr>
      <w:r>
        <w:rPr>
          <w:rFonts w:hint="eastAsia"/>
          <w:bCs/>
          <w:snapToGrid/>
          <w:lang w:val="fr-FR"/>
        </w:rPr>
        <w:tab/>
      </w:r>
      <w:r>
        <w:rPr>
          <w:bCs/>
          <w:snapToGrid/>
          <w:lang w:val="fr-FR"/>
        </w:rPr>
        <w:t>11.</w:t>
      </w:r>
      <w:r>
        <w:rPr>
          <w:bCs/>
          <w:snapToGrid/>
          <w:lang w:val="fr-FR"/>
        </w:rPr>
        <w:tab/>
      </w:r>
      <w:r>
        <w:rPr>
          <w:rFonts w:hint="eastAsia"/>
          <w:bCs/>
          <w:snapToGrid/>
          <w:lang w:val="fr-FR"/>
        </w:rPr>
        <w:t>关于公共教育的</w:t>
      </w:r>
      <w:r>
        <w:rPr>
          <w:rFonts w:hint="eastAsia"/>
          <w:bCs/>
          <w:snapToGrid/>
          <w:lang w:val="fr-FR"/>
        </w:rPr>
        <w:t>1993</w:t>
      </w:r>
      <w:r>
        <w:rPr>
          <w:rFonts w:hint="eastAsia"/>
          <w:bCs/>
          <w:snapToGrid/>
          <w:lang w:val="fr-FR"/>
        </w:rPr>
        <w:t>年第七十九号法令</w:t>
      </w:r>
      <w:r>
        <w:rPr>
          <w:bCs/>
          <w:snapToGrid/>
          <w:lang w:val="fr-FR"/>
        </w:rPr>
        <w:t>Act LXXIX of 1993 on Public Education</w:t>
      </w:r>
    </w:p>
    <w:p w:rsidR="00000000" w:rsidRDefault="00000000">
      <w:pPr>
        <w:rPr>
          <w:bCs/>
          <w:snapToGrid/>
          <w:lang w:val="fr-FR"/>
        </w:rPr>
      </w:pPr>
      <w:r>
        <w:rPr>
          <w:rFonts w:hint="eastAsia"/>
          <w:bCs/>
          <w:snapToGrid/>
          <w:lang w:val="fr-FR"/>
        </w:rPr>
        <w:tab/>
      </w:r>
      <w:r>
        <w:rPr>
          <w:bCs/>
          <w:snapToGrid/>
          <w:lang w:val="fr-FR"/>
        </w:rPr>
        <w:t>12.</w:t>
      </w:r>
      <w:r>
        <w:rPr>
          <w:bCs/>
          <w:snapToGrid/>
          <w:lang w:val="fr-FR"/>
        </w:rPr>
        <w:tab/>
      </w:r>
      <w:r>
        <w:rPr>
          <w:rFonts w:hint="eastAsia"/>
          <w:bCs/>
          <w:snapToGrid/>
          <w:lang w:val="fr-FR"/>
        </w:rPr>
        <w:t>关于高等教育的</w:t>
      </w:r>
      <w:r>
        <w:rPr>
          <w:rFonts w:hint="eastAsia"/>
          <w:bCs/>
          <w:snapToGrid/>
          <w:lang w:val="fr-FR"/>
        </w:rPr>
        <w:t>1993</w:t>
      </w:r>
      <w:r>
        <w:rPr>
          <w:rFonts w:hint="eastAsia"/>
          <w:bCs/>
          <w:snapToGrid/>
          <w:lang w:val="fr-FR"/>
        </w:rPr>
        <w:t>年第八十号法令</w:t>
      </w:r>
      <w:r>
        <w:rPr>
          <w:bCs/>
          <w:snapToGrid/>
          <w:lang w:val="fr-FR"/>
        </w:rPr>
        <w:t>Act LXXX of 1993 on Higher Education</w:t>
      </w:r>
    </w:p>
    <w:p w:rsidR="00000000" w:rsidRDefault="00000000">
      <w:pPr>
        <w:rPr>
          <w:bCs/>
          <w:snapToGrid/>
          <w:lang w:val="fr-FR"/>
        </w:rPr>
      </w:pPr>
      <w:r>
        <w:rPr>
          <w:rFonts w:hint="eastAsia"/>
          <w:bCs/>
          <w:snapToGrid/>
          <w:lang w:val="fr-FR"/>
        </w:rPr>
        <w:tab/>
        <w:t>13.</w:t>
      </w:r>
      <w:r>
        <w:rPr>
          <w:rFonts w:hint="eastAsia"/>
          <w:bCs/>
          <w:snapToGrid/>
          <w:lang w:val="fr-FR"/>
        </w:rPr>
        <w:tab/>
      </w:r>
      <w:r>
        <w:rPr>
          <w:rFonts w:hint="eastAsia"/>
          <w:bCs/>
          <w:snapToGrid/>
        </w:rPr>
        <w:t>匈牙利提交欧洲理事会的报告</w:t>
      </w:r>
      <w:r>
        <w:rPr>
          <w:rFonts w:hint="eastAsia"/>
          <w:bCs/>
          <w:snapToGrid/>
          <w:lang w:val="fr-FR"/>
        </w:rPr>
        <w:t>(2002)</w:t>
      </w:r>
      <w:r>
        <w:rPr>
          <w:rFonts w:hint="eastAsia"/>
          <w:bCs/>
          <w:snapToGrid/>
          <w:lang w:val="fr-FR"/>
        </w:rPr>
        <w:t>：</w:t>
      </w:r>
      <w:r>
        <w:rPr>
          <w:rFonts w:hint="eastAsia"/>
          <w:bCs/>
          <w:snapToGrid/>
        </w:rPr>
        <w:t>文化政策和文化多样性</w:t>
      </w:r>
      <w:r>
        <w:rPr>
          <w:bCs/>
          <w:snapToGrid/>
          <w:lang w:val="fr-FR"/>
        </w:rPr>
        <w:t>Hungarian National Report to the Council of Europe (2002)</w:t>
      </w:r>
      <w:r>
        <w:rPr>
          <w:bCs/>
          <w:snapToGrid/>
          <w:lang w:val="fr-FR"/>
        </w:rPr>
        <w:t>：</w:t>
      </w:r>
      <w:r>
        <w:rPr>
          <w:bCs/>
          <w:snapToGrid/>
          <w:lang w:val="fr-FR"/>
        </w:rPr>
        <w:t xml:space="preserve"> Cultural Policy and Cultural Diversity</w:t>
      </w:r>
    </w:p>
    <w:p w:rsidR="00000000" w:rsidRDefault="00000000">
      <w:pPr>
        <w:rPr>
          <w:bCs/>
          <w:snapToGrid/>
          <w:lang w:val="fr-FR"/>
        </w:rPr>
      </w:pPr>
      <w:r>
        <w:rPr>
          <w:rFonts w:hint="eastAsia"/>
          <w:bCs/>
          <w:snapToGrid/>
          <w:lang w:val="fr-FR"/>
        </w:rPr>
        <w:tab/>
        <w:t>14.</w:t>
      </w:r>
      <w:r>
        <w:rPr>
          <w:rFonts w:hint="eastAsia"/>
          <w:bCs/>
          <w:snapToGrid/>
          <w:lang w:val="fr-FR"/>
        </w:rPr>
        <w:tab/>
      </w:r>
      <w:r>
        <w:rPr>
          <w:rFonts w:hint="eastAsia"/>
          <w:snapToGrid/>
        </w:rPr>
        <w:t>关于公共记录、公共档案和保护私人档案的</w:t>
      </w:r>
      <w:r>
        <w:rPr>
          <w:rFonts w:hint="eastAsia"/>
          <w:snapToGrid/>
          <w:lang w:val="fr-FR"/>
        </w:rPr>
        <w:t>1995</w:t>
      </w:r>
      <w:r>
        <w:rPr>
          <w:rFonts w:hint="eastAsia"/>
          <w:snapToGrid/>
        </w:rPr>
        <w:t>年第六十六号法令</w:t>
      </w:r>
      <w:r>
        <w:rPr>
          <w:bCs/>
          <w:snapToGrid/>
          <w:lang w:val="fr-FR"/>
        </w:rPr>
        <w:t>Act LXVI of 1995 on Public Records, Public Archives, and the Protection of Private Archives</w:t>
      </w:r>
    </w:p>
    <w:p w:rsidR="00000000" w:rsidRDefault="00000000">
      <w:pPr>
        <w:rPr>
          <w:bCs/>
          <w:snapToGrid/>
          <w:lang w:val="fr-FR"/>
        </w:rPr>
      </w:pPr>
      <w:r>
        <w:rPr>
          <w:rFonts w:hint="eastAsia"/>
          <w:bCs/>
          <w:snapToGrid/>
          <w:lang w:val="fr-FR"/>
        </w:rPr>
        <w:tab/>
      </w:r>
      <w:r>
        <w:rPr>
          <w:bCs/>
          <w:snapToGrid/>
          <w:lang w:val="fr-FR"/>
        </w:rPr>
        <w:t>15.</w:t>
      </w:r>
      <w:r>
        <w:rPr>
          <w:bCs/>
          <w:snapToGrid/>
          <w:lang w:val="fr-FR"/>
        </w:rPr>
        <w:tab/>
      </w:r>
      <w:r>
        <w:rPr>
          <w:rFonts w:hint="eastAsia"/>
          <w:bCs/>
          <w:snapToGrid/>
        </w:rPr>
        <w:t>关于电影的</w:t>
      </w:r>
      <w:r>
        <w:rPr>
          <w:rFonts w:hint="eastAsia"/>
          <w:bCs/>
          <w:snapToGrid/>
          <w:lang w:val="fr-FR"/>
        </w:rPr>
        <w:t>2004</w:t>
      </w:r>
      <w:r>
        <w:rPr>
          <w:rFonts w:hint="eastAsia"/>
          <w:bCs/>
          <w:snapToGrid/>
        </w:rPr>
        <w:t>年第二号法令</w:t>
      </w:r>
      <w:r>
        <w:rPr>
          <w:bCs/>
          <w:snapToGrid/>
          <w:lang w:val="fr-FR"/>
        </w:rPr>
        <w:t>Act II of 2004 on Motion Picture</w:t>
      </w:r>
    </w:p>
    <w:p w:rsidR="00000000" w:rsidRDefault="00000000">
      <w:pPr>
        <w:rPr>
          <w:rFonts w:hint="eastAsia"/>
          <w:bCs/>
          <w:snapToGrid/>
          <w:lang w:val="fr-FR"/>
        </w:rPr>
      </w:pPr>
      <w:r>
        <w:rPr>
          <w:rFonts w:hint="eastAsia"/>
          <w:bCs/>
          <w:snapToGrid/>
          <w:lang w:val="fr-FR"/>
        </w:rPr>
        <w:tab/>
        <w:t>16.</w:t>
      </w:r>
      <w:r>
        <w:rPr>
          <w:rFonts w:hint="eastAsia"/>
          <w:bCs/>
          <w:snapToGrid/>
          <w:lang w:val="fr-FR"/>
        </w:rPr>
        <w:tab/>
      </w:r>
      <w:r>
        <w:rPr>
          <w:rFonts w:hint="eastAsia"/>
          <w:bCs/>
          <w:snapToGrid/>
        </w:rPr>
        <w:t>少数民族和族裔局编写的少数民族和族裔情况简介</w:t>
      </w:r>
      <w:r>
        <w:rPr>
          <w:rFonts w:hint="eastAsia"/>
          <w:bCs/>
          <w:snapToGrid/>
          <w:lang w:val="fr-FR"/>
        </w:rPr>
        <w:t>(2005</w:t>
      </w:r>
      <w:r>
        <w:rPr>
          <w:rFonts w:hint="eastAsia"/>
          <w:bCs/>
          <w:snapToGrid/>
        </w:rPr>
        <w:t>年</w:t>
      </w:r>
      <w:r>
        <w:rPr>
          <w:rFonts w:hint="eastAsia"/>
          <w:bCs/>
          <w:snapToGrid/>
          <w:lang w:val="fr-FR"/>
        </w:rPr>
        <w:t>6</w:t>
      </w:r>
      <w:r>
        <w:rPr>
          <w:rFonts w:hint="eastAsia"/>
          <w:bCs/>
          <w:snapToGrid/>
        </w:rPr>
        <w:t>月</w:t>
      </w:r>
      <w:r>
        <w:rPr>
          <w:rFonts w:hint="eastAsia"/>
          <w:bCs/>
          <w:snapToGrid/>
          <w:lang w:val="fr-FR"/>
        </w:rPr>
        <w:t>)</w:t>
      </w:r>
    </w:p>
    <w:p w:rsidR="00000000" w:rsidRDefault="00000000">
      <w:pPr>
        <w:pStyle w:val="Heading2"/>
        <w:rPr>
          <w:rFonts w:hint="eastAsia"/>
          <w:lang w:val="fr-FR"/>
        </w:rPr>
      </w:pPr>
      <w:r>
        <w:rPr>
          <w:lang w:val="fr-FR"/>
        </w:rPr>
        <w:br w:type="page"/>
      </w:r>
      <w:r>
        <w:rPr>
          <w:rFonts w:hint="eastAsia"/>
          <w:lang w:val="fr-FR"/>
        </w:rPr>
        <w:t>缩</w:t>
      </w:r>
      <w:r>
        <w:rPr>
          <w:rFonts w:hint="eastAsia"/>
          <w:lang w:val="fr-FR"/>
        </w:rPr>
        <w:t xml:space="preserve"> </w:t>
      </w:r>
      <w:r>
        <w:rPr>
          <w:rFonts w:hint="eastAsia"/>
          <w:lang w:val="fr-FR"/>
        </w:rPr>
        <w:t>略</w:t>
      </w:r>
      <w:r>
        <w:rPr>
          <w:rFonts w:hint="eastAsia"/>
          <w:lang w:val="fr-FR"/>
        </w:rPr>
        <w:t xml:space="preserve"> </w:t>
      </w:r>
      <w:r>
        <w:rPr>
          <w:rFonts w:hint="eastAsia"/>
          <w:lang w:val="fr-FR"/>
        </w:rPr>
        <w:t>语</w:t>
      </w:r>
    </w:p>
    <w:p w:rsidR="00000000" w:rsidRDefault="00000000">
      <w:pPr>
        <w:rPr>
          <w:rFonts w:hint="eastAsia"/>
          <w:snapToGrid/>
          <w:lang w:val="fr-FR"/>
        </w:rPr>
      </w:pPr>
      <w:r>
        <w:rPr>
          <w:snapToGrid/>
          <w:lang w:val="fr-FR"/>
        </w:rPr>
        <w:t>ABH</w:t>
      </w:r>
      <w:r>
        <w:rPr>
          <w:rFonts w:hint="eastAsia"/>
          <w:snapToGrid/>
          <w:lang w:val="fr-FR"/>
        </w:rPr>
        <w:tab/>
      </w:r>
      <w:r>
        <w:rPr>
          <w:rFonts w:hint="eastAsia"/>
          <w:snapToGrid/>
          <w:lang w:val="fr-FR"/>
        </w:rPr>
        <w:tab/>
      </w:r>
      <w:r>
        <w:rPr>
          <w:rFonts w:hint="eastAsia"/>
          <w:snapToGrid/>
        </w:rPr>
        <w:t>宪法法院裁决</w:t>
      </w:r>
    </w:p>
    <w:p w:rsidR="00000000" w:rsidRDefault="00000000">
      <w:pPr>
        <w:rPr>
          <w:snapToGrid/>
          <w:lang w:val="fr-FR"/>
        </w:rPr>
      </w:pPr>
      <w:r>
        <w:rPr>
          <w:snapToGrid/>
          <w:lang w:val="fr-FR"/>
        </w:rPr>
        <w:t>EC</w:t>
      </w:r>
      <w:r>
        <w:rPr>
          <w:rFonts w:hint="eastAsia"/>
          <w:snapToGrid/>
          <w:lang w:val="fr-FR"/>
        </w:rPr>
        <w:tab/>
      </w:r>
      <w:r>
        <w:rPr>
          <w:rFonts w:hint="eastAsia"/>
          <w:snapToGrid/>
          <w:lang w:val="fr-FR"/>
        </w:rPr>
        <w:tab/>
      </w:r>
      <w:r>
        <w:rPr>
          <w:rFonts w:hint="eastAsia"/>
          <w:snapToGrid/>
          <w:lang w:val="fr-FR"/>
        </w:rPr>
        <w:tab/>
      </w:r>
      <w:r>
        <w:rPr>
          <w:rFonts w:hint="eastAsia"/>
          <w:snapToGrid/>
        </w:rPr>
        <w:t>欧洲共同体</w:t>
      </w:r>
    </w:p>
    <w:p w:rsidR="00000000" w:rsidRDefault="00000000">
      <w:pPr>
        <w:rPr>
          <w:rFonts w:hint="eastAsia"/>
          <w:snapToGrid/>
          <w:lang w:val="fr-FR"/>
        </w:rPr>
      </w:pPr>
      <w:r>
        <w:rPr>
          <w:snapToGrid/>
          <w:lang w:val="fr-FR"/>
        </w:rPr>
        <w:t>GYISM</w:t>
      </w:r>
      <w:r>
        <w:rPr>
          <w:rFonts w:hint="eastAsia"/>
          <w:snapToGrid/>
          <w:lang w:val="fr-FR"/>
        </w:rPr>
        <w:tab/>
      </w:r>
      <w:r>
        <w:rPr>
          <w:rFonts w:hint="eastAsia"/>
          <w:snapToGrid/>
          <w:lang w:val="fr-FR"/>
        </w:rPr>
        <w:tab/>
      </w:r>
      <w:r>
        <w:rPr>
          <w:rFonts w:hint="eastAsia"/>
          <w:snapToGrid/>
        </w:rPr>
        <w:t>儿童、青年与体育事务部</w:t>
      </w:r>
    </w:p>
    <w:p w:rsidR="00000000" w:rsidRDefault="00000000">
      <w:pPr>
        <w:rPr>
          <w:rFonts w:hint="eastAsia"/>
          <w:snapToGrid/>
          <w:lang w:val="fr-FR"/>
        </w:rPr>
      </w:pPr>
      <w:r>
        <w:rPr>
          <w:snapToGrid/>
          <w:lang w:val="fr-FR"/>
        </w:rPr>
        <w:t>NUTS2</w:t>
      </w:r>
      <w:r>
        <w:rPr>
          <w:snapToGrid/>
          <w:lang w:val="fr-FR"/>
        </w:rPr>
        <w:tab/>
      </w:r>
      <w:r>
        <w:rPr>
          <w:snapToGrid/>
          <w:lang w:val="fr-FR"/>
        </w:rPr>
        <w:tab/>
      </w:r>
      <w:r>
        <w:rPr>
          <w:rFonts w:hint="eastAsia"/>
          <w:snapToGrid/>
          <w:lang w:val="fr-FR"/>
        </w:rPr>
        <w:t>欧洲统计局采用的二级统计区域单位名称表</w:t>
      </w:r>
    </w:p>
    <w:p w:rsidR="00000000" w:rsidRDefault="00000000">
      <w:pPr>
        <w:rPr>
          <w:rFonts w:hint="eastAsia"/>
          <w:snapToGrid/>
          <w:lang w:val="fr-FR"/>
        </w:rPr>
      </w:pPr>
      <w:r>
        <w:rPr>
          <w:rFonts w:hint="eastAsia"/>
          <w:snapToGrid/>
        </w:rPr>
        <w:t>福林</w:t>
      </w:r>
      <w:r>
        <w:rPr>
          <w:rFonts w:hint="eastAsia"/>
          <w:snapToGrid/>
          <w:lang w:val="fr-FR"/>
        </w:rPr>
        <w:tab/>
      </w:r>
      <w:r>
        <w:rPr>
          <w:rFonts w:hint="eastAsia"/>
          <w:snapToGrid/>
          <w:lang w:val="fr-FR"/>
        </w:rPr>
        <w:tab/>
      </w:r>
      <w:r>
        <w:rPr>
          <w:rFonts w:hint="eastAsia"/>
          <w:snapToGrid/>
        </w:rPr>
        <w:t>匈牙利福林</w:t>
      </w:r>
    </w:p>
    <w:p w:rsidR="00000000" w:rsidRDefault="00000000">
      <w:pPr>
        <w:ind w:firstLine="1575"/>
        <w:rPr>
          <w:snapToGrid/>
          <w:lang w:val="fr-FR"/>
        </w:rPr>
      </w:pPr>
      <w:r>
        <w:rPr>
          <w:snapToGrid/>
          <w:lang w:val="fr-FR"/>
        </w:rPr>
        <w:t>(</w:t>
      </w:r>
      <w:r>
        <w:rPr>
          <w:rFonts w:hint="eastAsia"/>
          <w:snapToGrid/>
        </w:rPr>
        <w:t>提交报告时</w:t>
      </w:r>
      <w:r>
        <w:rPr>
          <w:rFonts w:hint="eastAsia"/>
          <w:snapToGrid/>
          <w:lang w:val="fr-FR"/>
        </w:rPr>
        <w:t>1</w:t>
      </w:r>
      <w:r>
        <w:rPr>
          <w:rFonts w:hint="eastAsia"/>
          <w:snapToGrid/>
        </w:rPr>
        <w:t>欧元</w:t>
      </w:r>
      <w:r>
        <w:rPr>
          <w:rFonts w:hint="eastAsia"/>
          <w:snapToGrid/>
          <w:lang w:val="fr-FR"/>
        </w:rPr>
        <w:t>=245</w:t>
      </w:r>
      <w:r>
        <w:rPr>
          <w:rFonts w:hint="eastAsia"/>
          <w:snapToGrid/>
        </w:rPr>
        <w:t>福林</w:t>
      </w:r>
      <w:r>
        <w:rPr>
          <w:rFonts w:hint="eastAsia"/>
          <w:snapToGrid/>
          <w:lang w:val="fr-FR"/>
        </w:rPr>
        <w:t>，</w:t>
      </w:r>
      <w:r>
        <w:rPr>
          <w:rFonts w:hint="eastAsia"/>
          <w:snapToGrid/>
          <w:lang w:val="fr-FR"/>
        </w:rPr>
        <w:t>1</w:t>
      </w:r>
      <w:r>
        <w:rPr>
          <w:rFonts w:hint="eastAsia"/>
          <w:snapToGrid/>
        </w:rPr>
        <w:t>美元</w:t>
      </w:r>
      <w:r>
        <w:rPr>
          <w:rFonts w:hint="eastAsia"/>
          <w:snapToGrid/>
          <w:lang w:val="fr-FR"/>
        </w:rPr>
        <w:t>=199</w:t>
      </w:r>
      <w:r>
        <w:rPr>
          <w:rFonts w:hint="eastAsia"/>
          <w:snapToGrid/>
        </w:rPr>
        <w:t>福林</w:t>
      </w:r>
      <w:r>
        <w:rPr>
          <w:snapToGrid/>
          <w:lang w:val="fr-FR"/>
        </w:rPr>
        <w:t>)</w:t>
      </w:r>
    </w:p>
    <w:p w:rsidR="00000000" w:rsidRDefault="00000000">
      <w:pPr>
        <w:rPr>
          <w:rFonts w:hint="eastAsia"/>
          <w:snapToGrid/>
        </w:rPr>
      </w:pPr>
      <w:r>
        <w:rPr>
          <w:rFonts w:hint="eastAsia"/>
          <w:snapToGrid/>
        </w:rPr>
        <w:t>欧经区</w:t>
      </w:r>
      <w:r>
        <w:rPr>
          <w:rFonts w:hint="eastAsia"/>
          <w:snapToGrid/>
        </w:rPr>
        <w:tab/>
      </w:r>
      <w:r>
        <w:rPr>
          <w:rFonts w:hint="eastAsia"/>
          <w:snapToGrid/>
        </w:rPr>
        <w:tab/>
      </w:r>
      <w:r>
        <w:rPr>
          <w:rFonts w:hint="eastAsia"/>
          <w:snapToGrid/>
        </w:rPr>
        <w:t>欧洲经济区疫病信息流行病学信息软件</w:t>
      </w:r>
      <w:r>
        <w:rPr>
          <w:snapToGrid/>
        </w:rPr>
        <w:t xml:space="preserve"> </w:t>
      </w:r>
    </w:p>
    <w:p w:rsidR="00000000" w:rsidRDefault="00000000">
      <w:pPr>
        <w:rPr>
          <w:snapToGrid/>
        </w:rPr>
      </w:pPr>
      <w:r>
        <w:rPr>
          <w:rFonts w:hint="eastAsia"/>
          <w:snapToGrid/>
        </w:rPr>
        <w:t>欧盟</w:t>
      </w:r>
      <w:r>
        <w:rPr>
          <w:rFonts w:hint="eastAsia"/>
          <w:snapToGrid/>
        </w:rPr>
        <w:tab/>
      </w:r>
      <w:r>
        <w:rPr>
          <w:rFonts w:hint="eastAsia"/>
          <w:snapToGrid/>
        </w:rPr>
        <w:tab/>
      </w:r>
      <w:r>
        <w:rPr>
          <w:rFonts w:hint="eastAsia"/>
          <w:snapToGrid/>
        </w:rPr>
        <w:t>欧洲联盟欧统局欧洲共同体统计局</w:t>
      </w:r>
    </w:p>
    <w:p w:rsidR="00000000" w:rsidRDefault="00000000">
      <w:pPr>
        <w:rPr>
          <w:snapToGrid/>
        </w:rPr>
      </w:pPr>
      <w:r>
        <w:rPr>
          <w:rFonts w:hint="eastAsia"/>
          <w:snapToGrid/>
        </w:rPr>
        <w:t>欧社基金</w:t>
      </w:r>
      <w:r>
        <w:rPr>
          <w:rFonts w:hint="eastAsia"/>
          <w:snapToGrid/>
        </w:rPr>
        <w:tab/>
      </w:r>
      <w:r>
        <w:rPr>
          <w:rFonts w:hint="eastAsia"/>
          <w:snapToGrid/>
        </w:rPr>
        <w:t>欧洲社会基金欧工联欧洲工会联合会</w:t>
      </w:r>
    </w:p>
    <w:p w:rsidR="00000000" w:rsidRDefault="00000000">
      <w:pPr>
        <w:rPr>
          <w:rFonts w:hint="eastAsia"/>
          <w:snapToGrid/>
        </w:rPr>
      </w:pPr>
      <w:r>
        <w:rPr>
          <w:rFonts w:hint="eastAsia"/>
          <w:snapToGrid/>
        </w:rPr>
        <w:t>“平等”</w:t>
      </w:r>
      <w:r>
        <w:rPr>
          <w:rFonts w:hint="eastAsia"/>
          <w:snapToGrid/>
        </w:rPr>
        <w:tab/>
      </w:r>
      <w:r>
        <w:rPr>
          <w:rFonts w:hint="eastAsia"/>
          <w:snapToGrid/>
        </w:rPr>
        <w:t>欧盟社区促进机会平等活动</w:t>
      </w:r>
    </w:p>
    <w:p w:rsidR="00000000" w:rsidRDefault="00000000">
      <w:pPr>
        <w:rPr>
          <w:snapToGrid/>
        </w:rPr>
      </w:pPr>
    </w:p>
    <w:p w:rsidR="00000000" w:rsidRDefault="00000000">
      <w:pPr>
        <w:rPr>
          <w:snapToGrid/>
        </w:rPr>
      </w:pPr>
    </w:p>
    <w:p w:rsidR="00000000" w:rsidRDefault="00000000">
      <w:pPr>
        <w:rPr>
          <w:snapToGrid/>
        </w:rPr>
      </w:pPr>
    </w:p>
    <w:p w:rsidR="00000000" w:rsidRDefault="00000000">
      <w:pPr>
        <w:jc w:val="center"/>
      </w:pPr>
      <w:r>
        <w:t>--  --  --  --  --</w:t>
      </w:r>
    </w:p>
    <w:p w:rsidR="00000000" w:rsidRDefault="00000000">
      <w:pPr>
        <w:jc w:val="center"/>
      </w:pPr>
    </w:p>
    <w:sectPr w:rsidR="00000000">
      <w:headerReference w:type="even" r:id="rId26"/>
      <w:headerReference w:type="default" r:id="rId27"/>
      <w:headerReference w:type="first" r:id="rId28"/>
      <w:footerReference w:type="first" r:id="rId29"/>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长城楷体">
    <w:altName w:val="Arial Unicode MS"/>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06-40472 (C)</w:t>
          </w:r>
        </w:p>
      </w:tc>
      <w:tc>
        <w:tcPr>
          <w:tcW w:w="1050" w:type="dxa"/>
        </w:tcPr>
        <w:p w:rsidR="00000000" w:rsidRDefault="00000000">
          <w:pPr>
            <w:pStyle w:val="Footer"/>
          </w:pPr>
          <w:r>
            <w:t>020506</w:t>
          </w:r>
        </w:p>
      </w:tc>
      <w:tc>
        <w:tcPr>
          <w:tcW w:w="6061" w:type="dxa"/>
        </w:tcPr>
        <w:p w:rsidR="00000000" w:rsidRDefault="00000000">
          <w:pPr>
            <w:pStyle w:val="Footer"/>
          </w:pPr>
          <w:r>
            <w:t>120506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line="264" w:lineRule="auto"/>
        <w:rPr>
          <w:b/>
          <w:bCs/>
          <w:sz w:val="22"/>
        </w:rPr>
      </w:pPr>
      <w:r>
        <w:rPr>
          <w:rStyle w:val="FootnoteReference"/>
          <w:b w:val="0"/>
          <w:bCs/>
          <w:sz w:val="22"/>
          <w:vertAlign w:val="baseline"/>
        </w:rPr>
        <w:t>*</w:t>
      </w:r>
      <w:r>
        <w:rPr>
          <w:bCs/>
          <w:sz w:val="22"/>
        </w:rPr>
        <w:tab/>
        <w:t xml:space="preserve"> </w:t>
      </w:r>
      <w:r>
        <w:rPr>
          <w:rFonts w:hint="eastAsia"/>
          <w:sz w:val="22"/>
        </w:rPr>
        <w:t>匈牙利政府提交的关于第</w:t>
      </w:r>
      <w:r>
        <w:rPr>
          <w:rFonts w:hint="eastAsia"/>
          <w:sz w:val="22"/>
        </w:rPr>
        <w:t>6-9</w:t>
      </w:r>
      <w:r>
        <w:rPr>
          <w:rFonts w:hint="eastAsia"/>
          <w:sz w:val="22"/>
        </w:rPr>
        <w:t>和</w:t>
      </w:r>
      <w:r>
        <w:rPr>
          <w:rFonts w:hint="eastAsia"/>
          <w:sz w:val="22"/>
        </w:rPr>
        <w:t>10-12</w:t>
      </w:r>
      <w:r>
        <w:rPr>
          <w:rFonts w:hint="eastAsia"/>
          <w:sz w:val="22"/>
        </w:rPr>
        <w:t>条所涉权利的第二次定期报告（</w:t>
      </w:r>
      <w:r>
        <w:rPr>
          <w:sz w:val="22"/>
          <w:szCs w:val="18"/>
        </w:rPr>
        <w:t>E/1984 /7/Add.15 and E/1986/4/Add.1</w:t>
      </w:r>
      <w:r>
        <w:rPr>
          <w:rFonts w:hint="eastAsia"/>
          <w:sz w:val="22"/>
        </w:rPr>
        <w:t>），已由《经济、社会、文化权利国际公约》执行情况政府专家会期工作组在</w:t>
      </w:r>
      <w:r>
        <w:rPr>
          <w:sz w:val="22"/>
        </w:rPr>
        <w:t>1984</w:t>
      </w:r>
      <w:r>
        <w:rPr>
          <w:rFonts w:hint="eastAsia"/>
          <w:sz w:val="22"/>
        </w:rPr>
        <w:t>年和</w:t>
      </w:r>
      <w:r>
        <w:rPr>
          <w:rFonts w:hint="eastAsia"/>
          <w:sz w:val="22"/>
        </w:rPr>
        <w:t>1986</w:t>
      </w:r>
      <w:r>
        <w:rPr>
          <w:rFonts w:hint="eastAsia"/>
          <w:sz w:val="22"/>
        </w:rPr>
        <w:t>年的届会上进行了审议（见</w:t>
      </w:r>
      <w:r>
        <w:rPr>
          <w:sz w:val="22"/>
          <w:szCs w:val="18"/>
        </w:rPr>
        <w:t>E/1984/ WG.1/SR.19 and 21</w:t>
      </w:r>
      <w:r>
        <w:rPr>
          <w:rFonts w:hint="eastAsia"/>
          <w:sz w:val="22"/>
          <w:szCs w:val="18"/>
        </w:rPr>
        <w:t>和</w:t>
      </w:r>
      <w:r>
        <w:rPr>
          <w:sz w:val="22"/>
          <w:szCs w:val="18"/>
        </w:rPr>
        <w:t>E/1986/WG.1/SR.6-7 and 9</w:t>
      </w:r>
      <w:r>
        <w:rPr>
          <w:rFonts w:hint="eastAsia"/>
          <w:sz w:val="22"/>
        </w:rPr>
        <w:t>)</w:t>
      </w:r>
      <w:r>
        <w:rPr>
          <w:rFonts w:hint="eastAsia"/>
          <w:sz w:val="22"/>
        </w:rPr>
        <w:t>。关于第</w:t>
      </w:r>
      <w:r>
        <w:rPr>
          <w:rFonts w:hint="eastAsia"/>
          <w:sz w:val="22"/>
        </w:rPr>
        <w:t>13-15</w:t>
      </w:r>
      <w:r>
        <w:rPr>
          <w:rFonts w:hint="eastAsia"/>
          <w:sz w:val="22"/>
        </w:rPr>
        <w:t>条所涉权利的第二次定期报告</w:t>
      </w:r>
      <w:r>
        <w:rPr>
          <w:rFonts w:hint="eastAsia"/>
          <w:sz w:val="22"/>
        </w:rPr>
        <w:t>(</w:t>
      </w:r>
      <w:r>
        <w:rPr>
          <w:sz w:val="22"/>
          <w:szCs w:val="18"/>
        </w:rPr>
        <w:t>E/1990/7/Add. 10</w:t>
      </w:r>
      <w:r>
        <w:rPr>
          <w:rFonts w:hint="eastAsia"/>
          <w:sz w:val="22"/>
        </w:rPr>
        <w:t>)</w:t>
      </w:r>
      <w:r>
        <w:rPr>
          <w:rFonts w:hint="eastAsia"/>
          <w:sz w:val="22"/>
        </w:rPr>
        <w:t>由经济、社会、文化权利委员会</w:t>
      </w:r>
      <w:r>
        <w:rPr>
          <w:rFonts w:hint="eastAsia"/>
          <w:sz w:val="22"/>
        </w:rPr>
        <w:t>1992</w:t>
      </w:r>
      <w:r>
        <w:rPr>
          <w:rFonts w:hint="eastAsia"/>
          <w:sz w:val="22"/>
        </w:rPr>
        <w:t>年第七届会议</w:t>
      </w:r>
      <w:r>
        <w:rPr>
          <w:rFonts w:hint="eastAsia"/>
          <w:sz w:val="22"/>
        </w:rPr>
        <w:t>(</w:t>
      </w:r>
      <w:r>
        <w:rPr>
          <w:rFonts w:hint="eastAsia"/>
          <w:sz w:val="22"/>
        </w:rPr>
        <w:t>见</w:t>
      </w:r>
      <w:r>
        <w:rPr>
          <w:sz w:val="22"/>
          <w:szCs w:val="18"/>
        </w:rPr>
        <w:t>E/C.12/1992/SR.9</w:t>
      </w:r>
      <w:r>
        <w:rPr>
          <w:rFonts w:hint="eastAsia"/>
          <w:sz w:val="22"/>
          <w:szCs w:val="18"/>
        </w:rPr>
        <w:t>，</w:t>
      </w:r>
      <w:r>
        <w:rPr>
          <w:sz w:val="22"/>
          <w:szCs w:val="18"/>
        </w:rPr>
        <w:t>12 and 21</w:t>
      </w:r>
      <w:r>
        <w:rPr>
          <w:rFonts w:hint="eastAsia"/>
          <w:sz w:val="22"/>
        </w:rPr>
        <w:t>)</w:t>
      </w:r>
      <w:r>
        <w:rPr>
          <w:rFonts w:hint="eastAsia"/>
          <w:sz w:val="22"/>
        </w:rPr>
        <w:t>审议</w:t>
      </w:r>
      <w:r>
        <w:rPr>
          <w:rFonts w:hint="eastAsia"/>
          <w:sz w:val="22"/>
        </w:rPr>
        <w:t>(</w:t>
      </w:r>
      <w:r>
        <w:rPr>
          <w:rFonts w:hint="eastAsia"/>
          <w:sz w:val="22"/>
        </w:rPr>
        <w:t>结论意见</w:t>
      </w:r>
      <w:r>
        <w:rPr>
          <w:sz w:val="22"/>
          <w:szCs w:val="18"/>
        </w:rPr>
        <w:t>E/C.12/1992/2</w:t>
      </w:r>
      <w:r>
        <w:rPr>
          <w:rFonts w:hint="eastAsia"/>
          <w:sz w:val="22"/>
          <w:szCs w:val="18"/>
        </w:rPr>
        <w:t>，第</w:t>
      </w:r>
      <w:r>
        <w:rPr>
          <w:sz w:val="22"/>
          <w:szCs w:val="18"/>
        </w:rPr>
        <w:t>133-154</w:t>
      </w:r>
      <w:r>
        <w:rPr>
          <w:rFonts w:hint="eastAsia"/>
          <w:sz w:val="22"/>
          <w:szCs w:val="18"/>
        </w:rPr>
        <w:t>段</w:t>
      </w:r>
      <w:r>
        <w:rPr>
          <w:rFonts w:hint="eastAsia"/>
          <w:sz w:val="22"/>
        </w:rPr>
        <w:t>)</w:t>
      </w:r>
      <w:r>
        <w:rPr>
          <w:rFonts w:hint="eastAsia"/>
          <w:sz w:val="22"/>
        </w:rPr>
        <w:t>。</w:t>
      </w:r>
    </w:p>
  </w:footnote>
  <w:footnote w:id="2">
    <w:p w:rsidR="00000000" w:rsidRDefault="00000000">
      <w:pPr>
        <w:pStyle w:val="FootnoteText"/>
        <w:rPr>
          <w:b/>
          <w:bCs/>
          <w:sz w:val="22"/>
        </w:rPr>
      </w:pPr>
      <w:r>
        <w:rPr>
          <w:rStyle w:val="FootnoteReference"/>
          <w:b w:val="0"/>
          <w:bCs/>
          <w:sz w:val="22"/>
          <w:vertAlign w:val="baseline"/>
        </w:rPr>
        <w:t>**</w:t>
      </w:r>
      <w:r>
        <w:rPr>
          <w:bCs/>
          <w:sz w:val="22"/>
        </w:rPr>
        <w:tab/>
        <w:t xml:space="preserve"> </w:t>
      </w:r>
      <w:r>
        <w:rPr>
          <w:rFonts w:hint="eastAsia"/>
          <w:sz w:val="22"/>
        </w:rPr>
        <w:t>匈牙利按照缔约国报告起始部分编写准则提交的资料载于核心文件</w:t>
      </w:r>
      <w:r>
        <w:rPr>
          <w:rFonts w:hint="eastAsia"/>
          <w:sz w:val="22"/>
        </w:rPr>
        <w:t>(HRI/</w:t>
      </w:r>
      <w:r>
        <w:rPr>
          <w:sz w:val="22"/>
        </w:rPr>
        <w:t xml:space="preserve"> </w:t>
      </w:r>
      <w:r>
        <w:rPr>
          <w:rFonts w:hint="eastAsia"/>
          <w:sz w:val="22"/>
        </w:rPr>
        <w:t>CORE/1/A</w:t>
      </w:r>
      <w:r>
        <w:rPr>
          <w:sz w:val="22"/>
        </w:rPr>
        <w:t>dd.</w:t>
      </w:r>
      <w:r>
        <w:rPr>
          <w:rFonts w:hint="eastAsia"/>
          <w:sz w:val="22"/>
        </w:rPr>
        <w:t>11)</w:t>
      </w:r>
      <w:r>
        <w:rPr>
          <w:rFonts w:hint="eastAsia"/>
          <w:sz w:val="22"/>
        </w:rPr>
        <w:t>。</w:t>
      </w:r>
    </w:p>
  </w:footnote>
  <w:footnote w:id="3">
    <w:p w:rsidR="00000000" w:rsidRDefault="00000000">
      <w:pPr>
        <w:pStyle w:val="FootnoteText"/>
        <w:rPr>
          <w:sz w:val="22"/>
        </w:rPr>
      </w:pPr>
      <w:r>
        <w:rPr>
          <w:rStyle w:val="FootnoteReference"/>
          <w:b w:val="0"/>
          <w:bCs/>
          <w:sz w:val="22"/>
          <w:vertAlign w:val="baseline"/>
        </w:rPr>
        <w:t>***</w:t>
      </w:r>
      <w:r>
        <w:rPr>
          <w:bCs/>
          <w:sz w:val="22"/>
        </w:rPr>
        <w:tab/>
        <w:t xml:space="preserve"> </w:t>
      </w:r>
      <w:r>
        <w:rPr>
          <w:rFonts w:hint="eastAsia"/>
          <w:sz w:val="22"/>
        </w:rPr>
        <w:t>根据发给缔约国的关于报告处理法通知规定，本文送交联合国翻译部门翻译之前未经正式编辑。</w:t>
      </w:r>
    </w:p>
    <w:p w:rsidR="00000000" w:rsidRDefault="00000000">
      <w:pPr>
        <w:pStyle w:val="FootnoteText"/>
      </w:pPr>
    </w:p>
  </w:footnote>
  <w:footnote w:id="4">
    <w:p w:rsidR="00000000" w:rsidRDefault="00000000">
      <w:pPr>
        <w:pStyle w:val="FootnoteText"/>
        <w:rPr>
          <w:rFonts w:hint="eastAsia"/>
        </w:rPr>
      </w:pPr>
      <w:r>
        <w:rPr>
          <w:rStyle w:val="FootnoteReference"/>
        </w:rPr>
        <w:footnoteRef/>
      </w:r>
      <w:r>
        <w:t xml:space="preserve">  </w:t>
      </w:r>
      <w:r>
        <w:rPr>
          <w:rFonts w:hint="eastAsia"/>
        </w:rPr>
        <w:t>第七区复兴理念</w:t>
      </w:r>
      <w:r>
        <w:rPr>
          <w:rFonts w:hint="eastAsia"/>
        </w:rPr>
        <w:t>(1996</w:t>
      </w:r>
      <w:r>
        <w:rPr>
          <w:rFonts w:hint="eastAsia"/>
        </w:rPr>
        <w:t>年</w:t>
      </w:r>
      <w:r>
        <w:rPr>
          <w:rFonts w:hint="eastAsia"/>
        </w:rPr>
        <w:t>)</w:t>
      </w:r>
      <w:r>
        <w:rPr>
          <w:rFonts w:hint="eastAsia"/>
        </w:rPr>
        <w:t>、</w:t>
      </w:r>
      <w:r>
        <w:rPr>
          <w:bCs/>
          <w:lang w:val="hu-HU"/>
        </w:rPr>
        <w:t>Józsefváros</w:t>
      </w:r>
      <w:r>
        <w:rPr>
          <w:rFonts w:hint="eastAsia"/>
          <w:bCs/>
          <w:lang w:val="hu-HU"/>
        </w:rPr>
        <w:t>区复兴方案规划</w:t>
      </w:r>
      <w:r>
        <w:rPr>
          <w:rFonts w:hint="eastAsia"/>
          <w:bCs/>
          <w:lang w:val="hu-HU"/>
        </w:rPr>
        <w:t>(1998</w:t>
      </w:r>
      <w:r>
        <w:rPr>
          <w:rFonts w:hint="eastAsia"/>
          <w:bCs/>
          <w:lang w:val="hu-HU"/>
        </w:rPr>
        <w:t>年</w:t>
      </w:r>
      <w:r>
        <w:rPr>
          <w:rFonts w:hint="eastAsia"/>
          <w:bCs/>
          <w:lang w:val="hu-HU"/>
        </w:rPr>
        <w:t>)</w:t>
      </w:r>
      <w:r>
        <w:rPr>
          <w:rFonts w:hint="eastAsia"/>
          <w:bCs/>
          <w:lang w:val="hu-HU"/>
        </w:rPr>
        <w:t>、第八区住房理念</w:t>
      </w:r>
      <w:r>
        <w:rPr>
          <w:rFonts w:hint="eastAsia"/>
          <w:bCs/>
          <w:lang w:val="hu-HU"/>
        </w:rPr>
        <w:t>(2000</w:t>
      </w:r>
      <w:r>
        <w:rPr>
          <w:rFonts w:hint="eastAsia"/>
          <w:bCs/>
          <w:lang w:val="hu-HU"/>
        </w:rPr>
        <w:t>年</w:t>
      </w:r>
      <w:r>
        <w:rPr>
          <w:rFonts w:hint="eastAsia"/>
          <w:bCs/>
          <w:lang w:val="hu-HU"/>
        </w:rPr>
        <w:t>)</w:t>
      </w:r>
      <w:r>
        <w:rPr>
          <w:rFonts w:hint="eastAsia"/>
          <w:bCs/>
          <w:lang w:val="hu-HU"/>
        </w:rPr>
        <w:t>、各区发展理念</w:t>
      </w:r>
      <w:r>
        <w:rPr>
          <w:rFonts w:hint="eastAsia"/>
          <w:bCs/>
          <w:lang w:val="hu-HU"/>
        </w:rPr>
        <w:t>(2001</w:t>
      </w:r>
      <w:r>
        <w:rPr>
          <w:rFonts w:hint="eastAsia"/>
          <w:bCs/>
          <w:lang w:val="hu-HU"/>
        </w:rPr>
        <w:t>年</w:t>
      </w:r>
      <w:r>
        <w:rPr>
          <w:rFonts w:hint="eastAsia"/>
          <w:bCs/>
          <w:lang w:val="hu-HU"/>
        </w:rPr>
        <w:t>)</w:t>
      </w:r>
      <w:r>
        <w:rPr>
          <w:rFonts w:hint="eastAsia"/>
          <w:bCs/>
          <w:lang w:val="hu-HU"/>
        </w:rPr>
        <w:t>、第八区城市规划条例</w:t>
      </w:r>
      <w:r>
        <w:rPr>
          <w:rFonts w:hint="eastAsia"/>
          <w:bCs/>
          <w:lang w:val="hu-HU"/>
        </w:rPr>
        <w:t>(2003</w:t>
      </w:r>
      <w:r>
        <w:rPr>
          <w:rFonts w:hint="eastAsia"/>
          <w:bCs/>
          <w:lang w:val="hu-HU"/>
        </w:rPr>
        <w:t>年</w:t>
      </w:r>
      <w:r>
        <w:rPr>
          <w:rFonts w:hint="eastAsia"/>
          <w:bCs/>
          <w:lang w:val="hu-HU"/>
        </w:rPr>
        <w:t>)</w:t>
      </w:r>
      <w:r>
        <w:rPr>
          <w:rFonts w:hint="eastAsia"/>
          <w:bCs/>
          <w:lang w:val="hu-HU"/>
        </w:rPr>
        <w:t>。</w:t>
      </w:r>
    </w:p>
  </w:footnote>
  <w:footnote w:id="5">
    <w:p w:rsidR="00000000" w:rsidRDefault="00000000">
      <w:pPr>
        <w:pStyle w:val="FootnoteText"/>
      </w:pPr>
      <w:r>
        <w:rPr>
          <w:rStyle w:val="FootnoteReference"/>
        </w:rPr>
        <w:t>2</w:t>
      </w:r>
      <w:r>
        <w:t xml:space="preserve">  Palota</w:t>
      </w:r>
      <w:r>
        <w:rPr>
          <w:rFonts w:hint="eastAsia"/>
        </w:rPr>
        <w:t>街区、</w:t>
      </w:r>
      <w:r>
        <w:t>Népszínház</w:t>
      </w:r>
      <w:r>
        <w:rPr>
          <w:rFonts w:hint="eastAsia"/>
        </w:rPr>
        <w:t>街区、</w:t>
      </w:r>
      <w:r>
        <w:t>Csarnok</w:t>
      </w:r>
      <w:r>
        <w:rPr>
          <w:rFonts w:hint="eastAsia"/>
        </w:rPr>
        <w:t>街区、</w:t>
      </w:r>
      <w:r>
        <w:t>Józsefváros központ</w:t>
      </w:r>
      <w:r>
        <w:rPr>
          <w:rFonts w:hint="eastAsia"/>
        </w:rPr>
        <w:t>街区、</w:t>
      </w:r>
      <w:r>
        <w:t>Magdolna</w:t>
      </w:r>
      <w:r>
        <w:rPr>
          <w:rFonts w:hint="eastAsia"/>
        </w:rPr>
        <w:t>街区、</w:t>
      </w:r>
      <w:r>
        <w:t>Orczy</w:t>
      </w:r>
      <w:r>
        <w:rPr>
          <w:rFonts w:hint="eastAsia"/>
        </w:rPr>
        <w:t>街区、</w:t>
      </w:r>
      <w:r>
        <w:t>Szigony</w:t>
      </w:r>
      <w:r>
        <w:rPr>
          <w:rFonts w:hint="eastAsia"/>
        </w:rPr>
        <w:t>街区、</w:t>
      </w:r>
      <w:r>
        <w:t>Tisztviselő telep</w:t>
      </w:r>
      <w:r>
        <w:rPr>
          <w:rFonts w:hint="eastAsia"/>
        </w:rPr>
        <w:t>街区、</w:t>
      </w:r>
      <w:r>
        <w:t>Ganz</w:t>
      </w:r>
      <w:r>
        <w:rPr>
          <w:rFonts w:hint="eastAsia"/>
        </w:rPr>
        <w:t>街区、</w:t>
      </w:r>
      <w:r>
        <w:t>Kerepesi</w:t>
      </w:r>
      <w:r>
        <w:rPr>
          <w:rFonts w:hint="eastAsia"/>
        </w:rPr>
        <w:t>街区、</w:t>
      </w:r>
      <w:r>
        <w:t>Százados úti</w:t>
      </w:r>
      <w:r>
        <w:rPr>
          <w:rFonts w:hint="eastAsia"/>
        </w:rPr>
        <w:t>街区。</w:t>
      </w:r>
    </w:p>
  </w:footnote>
  <w:footnote w:id="6">
    <w:p w:rsidR="00000000" w:rsidRDefault="00000000">
      <w:pPr>
        <w:pStyle w:val="FootnoteText"/>
      </w:pPr>
      <w:r>
        <w:rPr>
          <w:rStyle w:val="FootnoteReference"/>
        </w:rPr>
        <w:t>3</w:t>
      </w:r>
      <w:r>
        <w:t xml:space="preserve">  </w:t>
      </w:r>
      <w:r>
        <w:rPr>
          <w:rFonts w:hint="eastAsia"/>
        </w:rPr>
        <w:t>资料来源：《</w:t>
      </w:r>
      <w:r>
        <w:rPr>
          <w:rFonts w:hint="eastAsia"/>
        </w:rPr>
        <w:t>2001</w:t>
      </w:r>
      <w:r>
        <w:rPr>
          <w:rFonts w:hint="eastAsia"/>
        </w:rPr>
        <w:t>年国民核算</w:t>
      </w:r>
      <w:r>
        <w:rPr>
          <w:rFonts w:eastAsia="SimSun" w:hint="eastAsia"/>
          <w:spacing w:val="-50"/>
        </w:rPr>
        <w:t>―</w:t>
      </w:r>
      <w:r>
        <w:rPr>
          <w:rFonts w:eastAsia="SimSun" w:hint="eastAsia"/>
        </w:rPr>
        <w:t>―</w:t>
      </w:r>
      <w:r>
        <w:rPr>
          <w:rFonts w:hint="eastAsia"/>
        </w:rPr>
        <w:t>食品项目》。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E/C.12/HUN/3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r>
    <w:r>
      <w:tab/>
      <w:t>E/C.12/HUN/3</w:t>
    </w:r>
  </w:p>
  <w:p w:rsidR="00000000" w:rsidRDefault="00000000">
    <w:pPr>
      <w:pStyle w:val="Header"/>
    </w:pPr>
    <w:r>
      <w:tab/>
    </w: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57.5pt;margin-top:2.8pt;width:130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E/C.12/HUN/3</w:t>
                </w:r>
              </w:p>
              <w:p w:rsidR="00000000" w:rsidRDefault="00000000">
                <w:pPr>
                  <w:pStyle w:val="Header"/>
                </w:pPr>
                <w:r>
                  <w:t>17 February 2006</w:t>
                </w:r>
              </w:p>
              <w:p w:rsidR="00000000" w:rsidRDefault="00000000">
                <w:pPr>
                  <w:pStyle w:val="Header"/>
                </w:pP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32E2D17"/>
    <w:multiLevelType w:val="hybridMultilevel"/>
    <w:tmpl w:val="08807B14"/>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4">
    <w:nsid w:val="05843EEB"/>
    <w:multiLevelType w:val="hybridMultilevel"/>
    <w:tmpl w:val="D86EA732"/>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
    <w:nsid w:val="05930D7F"/>
    <w:multiLevelType w:val="multilevel"/>
    <w:tmpl w:val="00D2E52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2"/>
      <w:numFmt w:val="bullet"/>
      <w:lvlText w:val=""/>
      <w:lvlJc w:val="left"/>
      <w:pPr>
        <w:tabs>
          <w:tab w:val="num" w:pos="2340"/>
        </w:tabs>
        <w:ind w:left="2340" w:hanging="360"/>
      </w:pPr>
      <w:rPr>
        <w:rFonts w:ascii="Wingdings" w:eastAsia="Times New Roman" w:hAnsi="Wingdings" w:cs="Times New Roman"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68260EB"/>
    <w:multiLevelType w:val="hybridMultilevel"/>
    <w:tmpl w:val="36F4A3B6"/>
    <w:lvl w:ilvl="0" w:tplc="757EEBB6">
      <w:start w:val="1"/>
      <w:numFmt w:val="lowerLetter"/>
      <w:lvlText w:val="%1."/>
      <w:lvlJc w:val="left"/>
      <w:pPr>
        <w:tabs>
          <w:tab w:val="num" w:pos="2040"/>
        </w:tabs>
        <w:ind w:left="2040" w:hanging="1020"/>
      </w:pPr>
      <w:rPr>
        <w:rFonts w:hint="default"/>
        <w:b/>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7">
    <w:nsid w:val="06BC1947"/>
    <w:multiLevelType w:val="hybridMultilevel"/>
    <w:tmpl w:val="C98824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89436D8"/>
    <w:multiLevelType w:val="hybridMultilevel"/>
    <w:tmpl w:val="5A968C96"/>
    <w:lvl w:ilvl="0" w:tplc="04090001">
      <w:start w:val="1"/>
      <w:numFmt w:val="bullet"/>
      <w:lvlText w:val=""/>
      <w:lvlJc w:val="left"/>
      <w:pPr>
        <w:tabs>
          <w:tab w:val="num" w:pos="1425"/>
        </w:tabs>
        <w:ind w:left="1425" w:hanging="480"/>
      </w:pPr>
      <w:rPr>
        <w:rFonts w:ascii="Wingdings" w:hAnsi="Wingdings" w:hint="default"/>
      </w:rPr>
    </w:lvl>
    <w:lvl w:ilvl="1" w:tplc="04090003" w:tentative="1">
      <w:start w:val="1"/>
      <w:numFmt w:val="bullet"/>
      <w:lvlText w:val=""/>
      <w:lvlJc w:val="left"/>
      <w:pPr>
        <w:tabs>
          <w:tab w:val="num" w:pos="1905"/>
        </w:tabs>
        <w:ind w:left="1905" w:hanging="480"/>
      </w:pPr>
      <w:rPr>
        <w:rFonts w:ascii="Wingdings" w:hAnsi="Wingdings" w:hint="default"/>
      </w:rPr>
    </w:lvl>
    <w:lvl w:ilvl="2" w:tplc="04090005" w:tentative="1">
      <w:start w:val="1"/>
      <w:numFmt w:val="bullet"/>
      <w:lvlText w:val=""/>
      <w:lvlJc w:val="left"/>
      <w:pPr>
        <w:tabs>
          <w:tab w:val="num" w:pos="2385"/>
        </w:tabs>
        <w:ind w:left="2385" w:hanging="480"/>
      </w:pPr>
      <w:rPr>
        <w:rFonts w:ascii="Wingdings" w:hAnsi="Wingdings" w:hint="default"/>
      </w:rPr>
    </w:lvl>
    <w:lvl w:ilvl="3" w:tplc="04090001" w:tentative="1">
      <w:start w:val="1"/>
      <w:numFmt w:val="bullet"/>
      <w:lvlText w:val=""/>
      <w:lvlJc w:val="left"/>
      <w:pPr>
        <w:tabs>
          <w:tab w:val="num" w:pos="2865"/>
        </w:tabs>
        <w:ind w:left="2865" w:hanging="480"/>
      </w:pPr>
      <w:rPr>
        <w:rFonts w:ascii="Wingdings" w:hAnsi="Wingdings" w:hint="default"/>
      </w:rPr>
    </w:lvl>
    <w:lvl w:ilvl="4" w:tplc="04090003" w:tentative="1">
      <w:start w:val="1"/>
      <w:numFmt w:val="bullet"/>
      <w:lvlText w:val=""/>
      <w:lvlJc w:val="left"/>
      <w:pPr>
        <w:tabs>
          <w:tab w:val="num" w:pos="3345"/>
        </w:tabs>
        <w:ind w:left="3345" w:hanging="480"/>
      </w:pPr>
      <w:rPr>
        <w:rFonts w:ascii="Wingdings" w:hAnsi="Wingdings" w:hint="default"/>
      </w:rPr>
    </w:lvl>
    <w:lvl w:ilvl="5" w:tplc="04090005" w:tentative="1">
      <w:start w:val="1"/>
      <w:numFmt w:val="bullet"/>
      <w:lvlText w:val=""/>
      <w:lvlJc w:val="left"/>
      <w:pPr>
        <w:tabs>
          <w:tab w:val="num" w:pos="3825"/>
        </w:tabs>
        <w:ind w:left="3825" w:hanging="480"/>
      </w:pPr>
      <w:rPr>
        <w:rFonts w:ascii="Wingdings" w:hAnsi="Wingdings" w:hint="default"/>
      </w:rPr>
    </w:lvl>
    <w:lvl w:ilvl="6" w:tplc="04090001" w:tentative="1">
      <w:start w:val="1"/>
      <w:numFmt w:val="bullet"/>
      <w:lvlText w:val=""/>
      <w:lvlJc w:val="left"/>
      <w:pPr>
        <w:tabs>
          <w:tab w:val="num" w:pos="4305"/>
        </w:tabs>
        <w:ind w:left="4305" w:hanging="480"/>
      </w:pPr>
      <w:rPr>
        <w:rFonts w:ascii="Wingdings" w:hAnsi="Wingdings" w:hint="default"/>
      </w:rPr>
    </w:lvl>
    <w:lvl w:ilvl="7" w:tplc="04090003" w:tentative="1">
      <w:start w:val="1"/>
      <w:numFmt w:val="bullet"/>
      <w:lvlText w:val=""/>
      <w:lvlJc w:val="left"/>
      <w:pPr>
        <w:tabs>
          <w:tab w:val="num" w:pos="4785"/>
        </w:tabs>
        <w:ind w:left="4785" w:hanging="480"/>
      </w:pPr>
      <w:rPr>
        <w:rFonts w:ascii="Wingdings" w:hAnsi="Wingdings" w:hint="default"/>
      </w:rPr>
    </w:lvl>
    <w:lvl w:ilvl="8" w:tplc="04090005" w:tentative="1">
      <w:start w:val="1"/>
      <w:numFmt w:val="bullet"/>
      <w:lvlText w:val=""/>
      <w:lvlJc w:val="left"/>
      <w:pPr>
        <w:tabs>
          <w:tab w:val="num" w:pos="5265"/>
        </w:tabs>
        <w:ind w:left="5265" w:hanging="480"/>
      </w:pPr>
      <w:rPr>
        <w:rFonts w:ascii="Wingdings" w:hAnsi="Wingdings" w:hint="default"/>
      </w:rPr>
    </w:lvl>
  </w:abstractNum>
  <w:abstractNum w:abstractNumId="9">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10">
    <w:nsid w:val="09151721"/>
    <w:multiLevelType w:val="hybridMultilevel"/>
    <w:tmpl w:val="F272ADD8"/>
    <w:lvl w:ilvl="0" w:tplc="C15C5BDC">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2">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0A1A33ED"/>
    <w:multiLevelType w:val="hybridMultilevel"/>
    <w:tmpl w:val="76647BD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0A52274B"/>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16">
    <w:nsid w:val="0B2423A8"/>
    <w:multiLevelType w:val="hybridMultilevel"/>
    <w:tmpl w:val="BA80426E"/>
    <w:lvl w:ilvl="0" w:tplc="B1825848">
      <w:start w:val="1"/>
      <w:numFmt w:val="lowerLetter"/>
      <w:lvlRestart w:val="0"/>
      <w:lvlText w:val="(%1)"/>
      <w:lvlJc w:val="right"/>
      <w:pPr>
        <w:tabs>
          <w:tab w:val="num" w:pos="1531"/>
        </w:tabs>
        <w:ind w:left="1531" w:hanging="227"/>
      </w:pPr>
      <w:rPr>
        <w:rFonts w:ascii="Times New Roman" w:hAnsi="Times New Roman"/>
        <w:b w:val="0"/>
        <w:i w:val="0"/>
        <w:sz w:val="24"/>
      </w:rPr>
    </w:lvl>
    <w:lvl w:ilvl="1" w:tplc="E6D06EAC">
      <w:start w:val="1"/>
      <w:numFmt w:val="lowerLetter"/>
      <w:lvlText w:val="%2)"/>
      <w:lvlJc w:val="left"/>
      <w:pPr>
        <w:tabs>
          <w:tab w:val="num" w:pos="975"/>
        </w:tabs>
        <w:ind w:left="975" w:hanging="49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0B420B58"/>
    <w:multiLevelType w:val="hybridMultilevel"/>
    <w:tmpl w:val="D9BCB434"/>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0B5333E7"/>
    <w:multiLevelType w:val="hybridMultilevel"/>
    <w:tmpl w:val="E89EB25C"/>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0C037EF8"/>
    <w:multiLevelType w:val="multilevel"/>
    <w:tmpl w:val="37BC7744"/>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start w:val="1"/>
      <w:numFmt w:val="decimal"/>
      <w:lvlText w:val="%4."/>
      <w:lvlJc w:val="left"/>
      <w:pPr>
        <w:tabs>
          <w:tab w:val="num" w:pos="1080"/>
        </w:tabs>
        <w:ind w:left="108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0">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21">
    <w:nsid w:val="0CE26617"/>
    <w:multiLevelType w:val="hybridMultilevel"/>
    <w:tmpl w:val="A20085EC"/>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103150A0"/>
    <w:multiLevelType w:val="hybridMultilevel"/>
    <w:tmpl w:val="9D24DEF0"/>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10996C61"/>
    <w:multiLevelType w:val="multilevel"/>
    <w:tmpl w:val="7BDC2798"/>
    <w:lvl w:ilvl="0">
      <w:start w:val="1"/>
      <w:numFmt w:val="lowerLetter"/>
      <w:lvlText w:val="%1)"/>
      <w:lvlJc w:val="left"/>
      <w:pPr>
        <w:tabs>
          <w:tab w:val="num" w:pos="840"/>
        </w:tabs>
        <w:ind w:left="84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27">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28">
    <w:nsid w:val="11F5141D"/>
    <w:multiLevelType w:val="hybridMultilevel"/>
    <w:tmpl w:val="8F64928A"/>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30">
    <w:nsid w:val="168A4EC7"/>
    <w:multiLevelType w:val="singleLevel"/>
    <w:tmpl w:val="040E0011"/>
    <w:lvl w:ilvl="0">
      <w:start w:val="1"/>
      <w:numFmt w:val="decimal"/>
      <w:lvlText w:val="%1)"/>
      <w:lvlJc w:val="left"/>
      <w:pPr>
        <w:tabs>
          <w:tab w:val="num" w:pos="360"/>
        </w:tabs>
        <w:ind w:left="360" w:hanging="360"/>
      </w:pPr>
      <w:rPr>
        <w:rFonts w:hint="default"/>
      </w:rPr>
    </w:lvl>
  </w:abstractNum>
  <w:abstractNum w:abstractNumId="31">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177477F3"/>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33">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4">
    <w:nsid w:val="17C05AB9"/>
    <w:multiLevelType w:val="hybridMultilevel"/>
    <w:tmpl w:val="11D0A24A"/>
    <w:lvl w:ilvl="0" w:tplc="830268AC">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36">
    <w:nsid w:val="18BD31B9"/>
    <w:multiLevelType w:val="hybridMultilevel"/>
    <w:tmpl w:val="A920C626"/>
    <w:lvl w:ilvl="0" w:tplc="8E3AA7FE">
      <w:start w:val="1"/>
      <w:numFmt w:val="lowerLetter"/>
      <w:lvlRestart w:val="0"/>
      <w:lvlText w:val="(%1)"/>
      <w:lvlJc w:val="right"/>
      <w:pPr>
        <w:tabs>
          <w:tab w:val="num" w:pos="227"/>
        </w:tabs>
        <w:ind w:left="227" w:hanging="227"/>
      </w:pPr>
      <w:rPr>
        <w:rFonts w:ascii="Times New Roman" w:hAnsi="Times New Roman"/>
        <w:b w:val="0"/>
        <w:i w:val="0"/>
        <w:sz w:val="24"/>
      </w:rPr>
    </w:lvl>
    <w:lvl w:ilvl="1" w:tplc="04090019" w:tentative="1">
      <w:start w:val="1"/>
      <w:numFmt w:val="ideographTraditional"/>
      <w:lvlText w:val="%2、"/>
      <w:lvlJc w:val="left"/>
      <w:pPr>
        <w:tabs>
          <w:tab w:val="num" w:pos="-401"/>
        </w:tabs>
        <w:ind w:left="-401" w:hanging="480"/>
      </w:pPr>
    </w:lvl>
    <w:lvl w:ilvl="2" w:tplc="0409001B" w:tentative="1">
      <w:start w:val="1"/>
      <w:numFmt w:val="lowerRoman"/>
      <w:lvlText w:val="%3."/>
      <w:lvlJc w:val="right"/>
      <w:pPr>
        <w:tabs>
          <w:tab w:val="num" w:pos="79"/>
        </w:tabs>
        <w:ind w:left="79" w:hanging="480"/>
      </w:pPr>
    </w:lvl>
    <w:lvl w:ilvl="3" w:tplc="0409000F" w:tentative="1">
      <w:start w:val="1"/>
      <w:numFmt w:val="decimal"/>
      <w:lvlText w:val="%4."/>
      <w:lvlJc w:val="left"/>
      <w:pPr>
        <w:tabs>
          <w:tab w:val="num" w:pos="559"/>
        </w:tabs>
        <w:ind w:left="559" w:hanging="480"/>
      </w:pPr>
    </w:lvl>
    <w:lvl w:ilvl="4" w:tplc="04090019" w:tentative="1">
      <w:start w:val="1"/>
      <w:numFmt w:val="ideographTraditional"/>
      <w:lvlText w:val="%5、"/>
      <w:lvlJc w:val="left"/>
      <w:pPr>
        <w:tabs>
          <w:tab w:val="num" w:pos="1039"/>
        </w:tabs>
        <w:ind w:left="1039" w:hanging="480"/>
      </w:pPr>
    </w:lvl>
    <w:lvl w:ilvl="5" w:tplc="0409001B" w:tentative="1">
      <w:start w:val="1"/>
      <w:numFmt w:val="lowerRoman"/>
      <w:lvlText w:val="%6."/>
      <w:lvlJc w:val="right"/>
      <w:pPr>
        <w:tabs>
          <w:tab w:val="num" w:pos="1519"/>
        </w:tabs>
        <w:ind w:left="1519" w:hanging="480"/>
      </w:pPr>
    </w:lvl>
    <w:lvl w:ilvl="6" w:tplc="0409000F" w:tentative="1">
      <w:start w:val="1"/>
      <w:numFmt w:val="decimal"/>
      <w:lvlText w:val="%7."/>
      <w:lvlJc w:val="left"/>
      <w:pPr>
        <w:tabs>
          <w:tab w:val="num" w:pos="1999"/>
        </w:tabs>
        <w:ind w:left="1999" w:hanging="480"/>
      </w:pPr>
    </w:lvl>
    <w:lvl w:ilvl="7" w:tplc="04090019" w:tentative="1">
      <w:start w:val="1"/>
      <w:numFmt w:val="ideographTraditional"/>
      <w:lvlText w:val="%8、"/>
      <w:lvlJc w:val="left"/>
      <w:pPr>
        <w:tabs>
          <w:tab w:val="num" w:pos="2479"/>
        </w:tabs>
        <w:ind w:left="2479" w:hanging="480"/>
      </w:pPr>
    </w:lvl>
    <w:lvl w:ilvl="8" w:tplc="0409001B" w:tentative="1">
      <w:start w:val="1"/>
      <w:numFmt w:val="lowerRoman"/>
      <w:lvlText w:val="%9."/>
      <w:lvlJc w:val="right"/>
      <w:pPr>
        <w:tabs>
          <w:tab w:val="num" w:pos="2959"/>
        </w:tabs>
        <w:ind w:left="2959" w:hanging="480"/>
      </w:pPr>
    </w:lvl>
  </w:abstractNum>
  <w:abstractNum w:abstractNumId="37">
    <w:nsid w:val="1CBB6EB0"/>
    <w:multiLevelType w:val="hybridMultilevel"/>
    <w:tmpl w:val="5BBA79EE"/>
    <w:lvl w:ilvl="0" w:tplc="040E000B">
      <w:start w:val="1"/>
      <w:numFmt w:val="bullet"/>
      <w:lvlText w:val=""/>
      <w:lvlJc w:val="left"/>
      <w:pPr>
        <w:tabs>
          <w:tab w:val="num" w:pos="720"/>
        </w:tabs>
        <w:ind w:left="720" w:hanging="360"/>
      </w:pPr>
      <w:rPr>
        <w:rFonts w:ascii="Wingdings" w:hAnsi="Wingdings" w:hint="default"/>
      </w:rPr>
    </w:lvl>
    <w:lvl w:ilvl="1" w:tplc="B5808BDA">
      <w:numFmt w:val="bullet"/>
      <w:lvlText w:val="-"/>
      <w:lvlJc w:val="left"/>
      <w:pPr>
        <w:tabs>
          <w:tab w:val="num" w:pos="1440"/>
        </w:tabs>
        <w:ind w:left="1440" w:hanging="360"/>
      </w:pPr>
      <w:rPr>
        <w:rFonts w:ascii="Times New Roman" w:eastAsia="Times New Roman" w:hAnsi="Times New Roman" w:cs="Times New Roman" w:hint="default"/>
      </w:rPr>
    </w:lvl>
    <w:lvl w:ilvl="2" w:tplc="040E000B">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39">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1E1E1FB6"/>
    <w:multiLevelType w:val="hybridMultilevel"/>
    <w:tmpl w:val="3C001BA0"/>
    <w:lvl w:ilvl="0" w:tplc="7BD2C2CA">
      <w:numFmt w:val="bullet"/>
      <w:lvlText w:val="–"/>
      <w:lvlJc w:val="left"/>
      <w:pPr>
        <w:tabs>
          <w:tab w:val="num" w:pos="1080"/>
        </w:tabs>
        <w:ind w:left="1080" w:hanging="360"/>
      </w:pPr>
      <w:rPr>
        <w:rFonts w:ascii="Times New Roman" w:eastAsia="Times New Roman" w:hAnsi="Times New Roman" w:cs="Times New Roman"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1">
    <w:nsid w:val="1EDF1766"/>
    <w:multiLevelType w:val="hybridMultilevel"/>
    <w:tmpl w:val="AC56FF72"/>
    <w:lvl w:ilvl="0" w:tplc="04090003">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nsid w:val="1FA10E1E"/>
    <w:multiLevelType w:val="hybridMultilevel"/>
    <w:tmpl w:val="39E8E77C"/>
    <w:lvl w:ilvl="0" w:tplc="B5808BDA">
      <w:numFmt w:val="bullet"/>
      <w:lvlText w:val="-"/>
      <w:lvlJc w:val="left"/>
      <w:pPr>
        <w:tabs>
          <w:tab w:val="num" w:pos="1080"/>
        </w:tabs>
        <w:ind w:left="1080" w:hanging="360"/>
      </w:pPr>
      <w:rPr>
        <w:rFonts w:ascii="Times New Roman" w:eastAsia="Times New Roman" w:hAnsi="Times New Roman" w:cs="Times New Roman" w:hint="default"/>
      </w:rPr>
    </w:lvl>
    <w:lvl w:ilvl="1" w:tplc="040E0003">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43">
    <w:nsid w:val="1FBE773A"/>
    <w:multiLevelType w:val="hybridMultilevel"/>
    <w:tmpl w:val="6024BC9E"/>
    <w:lvl w:ilvl="0" w:tplc="C15C5BDC">
      <w:start w:val="1"/>
      <w:numFmt w:val="chineseCountingThousand"/>
      <w:lvlRestart w:val="0"/>
      <w:lvlText w:val="(%1)"/>
      <w:lvlJc w:val="right"/>
      <w:pPr>
        <w:tabs>
          <w:tab w:val="num" w:pos="1531"/>
        </w:tabs>
        <w:ind w:left="1531" w:hanging="170"/>
      </w:pPr>
      <w:rPr>
        <w:rFonts w:ascii="Times New Roman" w:hAnsi="Times New Roman"/>
        <w:sz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C15C5BDC">
      <w:start w:val="1"/>
      <w:numFmt w:val="chineseCountingThousand"/>
      <w:lvlRestart w:val="0"/>
      <w:lvlText w:val="(%5)"/>
      <w:lvlJc w:val="right"/>
      <w:pPr>
        <w:tabs>
          <w:tab w:val="num" w:pos="2090"/>
        </w:tabs>
        <w:ind w:left="2090" w:hanging="170"/>
      </w:pPr>
      <w:rPr>
        <w:rFonts w:ascii="Times New Roman" w:hAnsi="Times New Roman"/>
        <w:sz w:val="20"/>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45">
    <w:nsid w:val="20274242"/>
    <w:multiLevelType w:val="multilevel"/>
    <w:tmpl w:val="1C96266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6">
    <w:nsid w:val="20935117"/>
    <w:multiLevelType w:val="hybridMultilevel"/>
    <w:tmpl w:val="7160065A"/>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7">
    <w:nsid w:val="21683DFE"/>
    <w:multiLevelType w:val="hybridMultilevel"/>
    <w:tmpl w:val="FD2AE878"/>
    <w:lvl w:ilvl="0" w:tplc="3B743AD8">
      <w:start w:val="1"/>
      <w:numFmt w:val="lowerLetter"/>
      <w:lvlRestart w:val="0"/>
      <w:lvlText w:val="(%1)"/>
      <w:lvlJc w:val="right"/>
      <w:pPr>
        <w:tabs>
          <w:tab w:val="num" w:pos="1531"/>
        </w:tabs>
        <w:ind w:left="1531" w:hanging="227"/>
      </w:pPr>
      <w:rPr>
        <w:rFonts w:ascii="Times New Roman" w:hAnsi="Times New Roman"/>
        <w:b w:val="0"/>
        <w:i w:val="0"/>
        <w:sz w:val="24"/>
      </w:rPr>
    </w:lvl>
    <w:lvl w:ilvl="1" w:tplc="5296B0C6">
      <w:start w:val="1"/>
      <w:numFmt w:val="decimal"/>
      <w:lvlRestart w:val="0"/>
      <w:lvlText w:val="(%2)"/>
      <w:lvlJc w:val="right"/>
      <w:pPr>
        <w:tabs>
          <w:tab w:val="num" w:pos="707"/>
        </w:tabs>
        <w:ind w:left="707" w:hanging="227"/>
      </w:pPr>
      <w:rPr>
        <w:rFonts w:ascii="Times New Roman" w:hAnsi="Times New Roman"/>
        <w:b w:val="0"/>
        <w:i w:val="0"/>
        <w:sz w:val="22"/>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21EA445E"/>
    <w:multiLevelType w:val="singleLevel"/>
    <w:tmpl w:val="040E0017"/>
    <w:lvl w:ilvl="0">
      <w:start w:val="1"/>
      <w:numFmt w:val="lowerLetter"/>
      <w:lvlText w:val="%1)"/>
      <w:lvlJc w:val="left"/>
      <w:pPr>
        <w:tabs>
          <w:tab w:val="num" w:pos="360"/>
        </w:tabs>
        <w:ind w:left="360" w:hanging="360"/>
      </w:pPr>
      <w:rPr>
        <w:rFonts w:hint="default"/>
      </w:rPr>
    </w:lvl>
  </w:abstractNum>
  <w:abstractNum w:abstractNumId="4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24297729"/>
    <w:multiLevelType w:val="hybridMultilevel"/>
    <w:tmpl w:val="7DA0E2FE"/>
    <w:lvl w:ilvl="0" w:tplc="040E0003">
      <w:start w:val="1"/>
      <w:numFmt w:val="bullet"/>
      <w:lvlText w:val="o"/>
      <w:lvlJc w:val="left"/>
      <w:pPr>
        <w:tabs>
          <w:tab w:val="num" w:pos="720"/>
        </w:tabs>
        <w:ind w:left="720" w:hanging="360"/>
      </w:pPr>
      <w:rPr>
        <w:rFonts w:ascii="Courier New" w:hAnsi="Courier New"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2">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53">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4">
    <w:nsid w:val="26AD7C03"/>
    <w:multiLevelType w:val="hybridMultilevel"/>
    <w:tmpl w:val="C2909130"/>
    <w:lvl w:ilvl="0" w:tplc="78FCCAF8">
      <w:start w:val="1"/>
      <w:numFmt w:val="bullet"/>
      <w:lvlText w:val=""/>
      <w:lvlJc w:val="left"/>
      <w:pPr>
        <w:tabs>
          <w:tab w:val="num" w:pos="720"/>
        </w:tabs>
        <w:ind w:left="720" w:hanging="360"/>
      </w:pPr>
      <w:rPr>
        <w:rFonts w:ascii="Symbol" w:hAnsi="Symbol" w:hint="default"/>
        <w:sz w:val="20"/>
      </w:rPr>
    </w:lvl>
    <w:lvl w:ilvl="1" w:tplc="3B2444D4" w:tentative="1">
      <w:start w:val="1"/>
      <w:numFmt w:val="bullet"/>
      <w:lvlText w:val="o"/>
      <w:lvlJc w:val="left"/>
      <w:pPr>
        <w:tabs>
          <w:tab w:val="num" w:pos="1440"/>
        </w:tabs>
        <w:ind w:left="1440" w:hanging="360"/>
      </w:pPr>
      <w:rPr>
        <w:rFonts w:ascii="Courier New" w:hAnsi="Courier New" w:hint="default"/>
        <w:sz w:val="20"/>
      </w:rPr>
    </w:lvl>
    <w:lvl w:ilvl="2" w:tplc="C4FA4682" w:tentative="1">
      <w:start w:val="1"/>
      <w:numFmt w:val="bullet"/>
      <w:lvlText w:val=""/>
      <w:lvlJc w:val="left"/>
      <w:pPr>
        <w:tabs>
          <w:tab w:val="num" w:pos="2160"/>
        </w:tabs>
        <w:ind w:left="2160" w:hanging="360"/>
      </w:pPr>
      <w:rPr>
        <w:rFonts w:ascii="Wingdings" w:hAnsi="Wingdings" w:hint="default"/>
        <w:sz w:val="20"/>
      </w:rPr>
    </w:lvl>
    <w:lvl w:ilvl="3" w:tplc="61E4EA84" w:tentative="1">
      <w:start w:val="1"/>
      <w:numFmt w:val="bullet"/>
      <w:lvlText w:val=""/>
      <w:lvlJc w:val="left"/>
      <w:pPr>
        <w:tabs>
          <w:tab w:val="num" w:pos="2880"/>
        </w:tabs>
        <w:ind w:left="2880" w:hanging="360"/>
      </w:pPr>
      <w:rPr>
        <w:rFonts w:ascii="Wingdings" w:hAnsi="Wingdings" w:hint="default"/>
        <w:sz w:val="20"/>
      </w:rPr>
    </w:lvl>
    <w:lvl w:ilvl="4" w:tplc="4F722FFC" w:tentative="1">
      <w:start w:val="1"/>
      <w:numFmt w:val="bullet"/>
      <w:lvlText w:val=""/>
      <w:lvlJc w:val="left"/>
      <w:pPr>
        <w:tabs>
          <w:tab w:val="num" w:pos="3600"/>
        </w:tabs>
        <w:ind w:left="3600" w:hanging="360"/>
      </w:pPr>
      <w:rPr>
        <w:rFonts w:ascii="Wingdings" w:hAnsi="Wingdings" w:hint="default"/>
        <w:sz w:val="20"/>
      </w:rPr>
    </w:lvl>
    <w:lvl w:ilvl="5" w:tplc="247ABE7C" w:tentative="1">
      <w:start w:val="1"/>
      <w:numFmt w:val="bullet"/>
      <w:lvlText w:val=""/>
      <w:lvlJc w:val="left"/>
      <w:pPr>
        <w:tabs>
          <w:tab w:val="num" w:pos="4320"/>
        </w:tabs>
        <w:ind w:left="4320" w:hanging="360"/>
      </w:pPr>
      <w:rPr>
        <w:rFonts w:ascii="Wingdings" w:hAnsi="Wingdings" w:hint="default"/>
        <w:sz w:val="20"/>
      </w:rPr>
    </w:lvl>
    <w:lvl w:ilvl="6" w:tplc="41386F4E" w:tentative="1">
      <w:start w:val="1"/>
      <w:numFmt w:val="bullet"/>
      <w:lvlText w:val=""/>
      <w:lvlJc w:val="left"/>
      <w:pPr>
        <w:tabs>
          <w:tab w:val="num" w:pos="5040"/>
        </w:tabs>
        <w:ind w:left="5040" w:hanging="360"/>
      </w:pPr>
      <w:rPr>
        <w:rFonts w:ascii="Wingdings" w:hAnsi="Wingdings" w:hint="default"/>
        <w:sz w:val="20"/>
      </w:rPr>
    </w:lvl>
    <w:lvl w:ilvl="7" w:tplc="78FCF6A8" w:tentative="1">
      <w:start w:val="1"/>
      <w:numFmt w:val="bullet"/>
      <w:lvlText w:val=""/>
      <w:lvlJc w:val="left"/>
      <w:pPr>
        <w:tabs>
          <w:tab w:val="num" w:pos="5760"/>
        </w:tabs>
        <w:ind w:left="5760" w:hanging="360"/>
      </w:pPr>
      <w:rPr>
        <w:rFonts w:ascii="Wingdings" w:hAnsi="Wingdings" w:hint="default"/>
        <w:sz w:val="20"/>
      </w:rPr>
    </w:lvl>
    <w:lvl w:ilvl="8" w:tplc="450EAD0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8B56AAF"/>
    <w:multiLevelType w:val="hybridMultilevel"/>
    <w:tmpl w:val="6A665C82"/>
    <w:lvl w:ilvl="0" w:tplc="7BD2C2CA">
      <w:numFmt w:val="bullet"/>
      <w:lvlText w:val="–"/>
      <w:lvlJc w:val="left"/>
      <w:pPr>
        <w:tabs>
          <w:tab w:val="num" w:pos="1080"/>
        </w:tabs>
        <w:ind w:left="1080" w:hanging="360"/>
      </w:pPr>
      <w:rPr>
        <w:rFonts w:ascii="Times New Roman" w:eastAsia="Times New Roman" w:hAnsi="Times New Roman" w:cs="Times New Roman" w:hint="default"/>
      </w:rPr>
    </w:lvl>
    <w:lvl w:ilvl="1" w:tplc="67DA8F46">
      <w:start w:val="1"/>
      <w:numFmt w:val="decimal"/>
      <w:lvlText w:val="%2."/>
      <w:lvlJc w:val="left"/>
      <w:pPr>
        <w:tabs>
          <w:tab w:val="num" w:pos="1440"/>
        </w:tabs>
        <w:ind w:left="1440" w:hanging="360"/>
      </w:pPr>
      <w:rPr>
        <w:rFonts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6">
    <w:nsid w:val="28DC4C66"/>
    <w:multiLevelType w:val="hybridMultilevel"/>
    <w:tmpl w:val="359E68FA"/>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7">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2A246086"/>
    <w:multiLevelType w:val="hybridMultilevel"/>
    <w:tmpl w:val="90FC76DE"/>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9">
    <w:nsid w:val="2A692F5F"/>
    <w:multiLevelType w:val="hybridMultilevel"/>
    <w:tmpl w:val="2F2E8316"/>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0">
    <w:nsid w:val="2B493E5C"/>
    <w:multiLevelType w:val="hybridMultilevel"/>
    <w:tmpl w:val="3A0676E8"/>
    <w:lvl w:ilvl="0" w:tplc="040E0011">
      <w:start w:val="1"/>
      <w:numFmt w:val="decimal"/>
      <w:lvlText w:val="%1)"/>
      <w:lvlJc w:val="left"/>
      <w:pPr>
        <w:tabs>
          <w:tab w:val="num" w:pos="720"/>
        </w:tabs>
        <w:ind w:left="720" w:hanging="360"/>
      </w:p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1">
    <w:nsid w:val="2C0E46BC"/>
    <w:multiLevelType w:val="hybridMultilevel"/>
    <w:tmpl w:val="75129884"/>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CF3CB84A">
      <w:start w:val="1"/>
      <w:numFmt w:val="upperLetter"/>
      <w:lvlText w:val="%2）"/>
      <w:lvlJc w:val="left"/>
      <w:pPr>
        <w:tabs>
          <w:tab w:val="num" w:pos="1200"/>
        </w:tabs>
        <w:ind w:left="1200" w:hanging="720"/>
      </w:pPr>
      <w:rPr>
        <w:rFonts w:hint="eastAsia"/>
      </w:rPr>
    </w:lvl>
    <w:lvl w:ilvl="2" w:tplc="AA0290F8">
      <w:start w:val="1"/>
      <w:numFmt w:val="lowerLetter"/>
      <w:lvlText w:val="%3）"/>
      <w:lvlJc w:val="left"/>
      <w:pPr>
        <w:tabs>
          <w:tab w:val="num" w:pos="1680"/>
        </w:tabs>
        <w:ind w:left="1680" w:hanging="720"/>
      </w:pPr>
      <w:rPr>
        <w:rFonts w:hint="default"/>
      </w:rPr>
    </w:lvl>
    <w:lvl w:ilvl="3" w:tplc="B0343F62">
      <w:start w:val="1"/>
      <w:numFmt w:val="lowerLetter"/>
      <w:lvlText w:val="%4."/>
      <w:lvlJc w:val="left"/>
      <w:pPr>
        <w:tabs>
          <w:tab w:val="num" w:pos="1905"/>
        </w:tabs>
        <w:ind w:left="1905" w:hanging="465"/>
      </w:pPr>
      <w:rPr>
        <w:rFonts w:hint="eastAsia"/>
      </w:rPr>
    </w:lvl>
    <w:lvl w:ilvl="4" w:tplc="6B60AD04">
      <w:start w:val="1"/>
      <w:numFmt w:val="taiwaneseCountingThousand"/>
      <w:lvlText w:val="(%5)"/>
      <w:lvlJc w:val="left"/>
      <w:pPr>
        <w:tabs>
          <w:tab w:val="num" w:pos="2670"/>
        </w:tabs>
        <w:ind w:left="2670" w:hanging="75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nsid w:val="30881CBC"/>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63">
    <w:nsid w:val="30DF1DCA"/>
    <w:multiLevelType w:val="hybridMultilevel"/>
    <w:tmpl w:val="1E10A4DC"/>
    <w:lvl w:ilvl="0" w:tplc="EBA25700">
      <w:start w:val="1"/>
      <w:numFmt w:val="decimal"/>
      <w:lvlText w:val="%1．"/>
      <w:lvlJc w:val="left"/>
      <w:pPr>
        <w:tabs>
          <w:tab w:val="num" w:pos="1740"/>
        </w:tabs>
        <w:ind w:left="1740" w:hanging="720"/>
      </w:pPr>
      <w:rPr>
        <w:rFonts w:hint="eastAsia"/>
      </w:rPr>
    </w:lvl>
    <w:lvl w:ilvl="1" w:tplc="04090019" w:tentative="1">
      <w:start w:val="1"/>
      <w:numFmt w:val="ideographTraditional"/>
      <w:lvlText w:val="%2、"/>
      <w:lvlJc w:val="left"/>
      <w:pPr>
        <w:tabs>
          <w:tab w:val="num" w:pos="1980"/>
        </w:tabs>
        <w:ind w:left="1980" w:hanging="480"/>
      </w:pPr>
    </w:lvl>
    <w:lvl w:ilvl="2" w:tplc="0409001B" w:tentative="1">
      <w:start w:val="1"/>
      <w:numFmt w:val="lowerRoman"/>
      <w:lvlText w:val="%3."/>
      <w:lvlJc w:val="right"/>
      <w:pPr>
        <w:tabs>
          <w:tab w:val="num" w:pos="2460"/>
        </w:tabs>
        <w:ind w:left="2460" w:hanging="480"/>
      </w:pPr>
    </w:lvl>
    <w:lvl w:ilvl="3" w:tplc="0409000F" w:tentative="1">
      <w:start w:val="1"/>
      <w:numFmt w:val="decimal"/>
      <w:lvlText w:val="%4."/>
      <w:lvlJc w:val="left"/>
      <w:pPr>
        <w:tabs>
          <w:tab w:val="num" w:pos="2940"/>
        </w:tabs>
        <w:ind w:left="2940" w:hanging="480"/>
      </w:pPr>
    </w:lvl>
    <w:lvl w:ilvl="4" w:tplc="04090019" w:tentative="1">
      <w:start w:val="1"/>
      <w:numFmt w:val="ideographTraditional"/>
      <w:lvlText w:val="%5、"/>
      <w:lvlJc w:val="left"/>
      <w:pPr>
        <w:tabs>
          <w:tab w:val="num" w:pos="3420"/>
        </w:tabs>
        <w:ind w:left="3420" w:hanging="480"/>
      </w:pPr>
    </w:lvl>
    <w:lvl w:ilvl="5" w:tplc="0409001B" w:tentative="1">
      <w:start w:val="1"/>
      <w:numFmt w:val="lowerRoman"/>
      <w:lvlText w:val="%6."/>
      <w:lvlJc w:val="right"/>
      <w:pPr>
        <w:tabs>
          <w:tab w:val="num" w:pos="3900"/>
        </w:tabs>
        <w:ind w:left="3900" w:hanging="480"/>
      </w:pPr>
    </w:lvl>
    <w:lvl w:ilvl="6" w:tplc="0409000F" w:tentative="1">
      <w:start w:val="1"/>
      <w:numFmt w:val="decimal"/>
      <w:lvlText w:val="%7."/>
      <w:lvlJc w:val="left"/>
      <w:pPr>
        <w:tabs>
          <w:tab w:val="num" w:pos="4380"/>
        </w:tabs>
        <w:ind w:left="4380" w:hanging="480"/>
      </w:pPr>
    </w:lvl>
    <w:lvl w:ilvl="7" w:tplc="04090019" w:tentative="1">
      <w:start w:val="1"/>
      <w:numFmt w:val="ideographTraditional"/>
      <w:lvlText w:val="%8、"/>
      <w:lvlJc w:val="left"/>
      <w:pPr>
        <w:tabs>
          <w:tab w:val="num" w:pos="4860"/>
        </w:tabs>
        <w:ind w:left="4860" w:hanging="480"/>
      </w:pPr>
    </w:lvl>
    <w:lvl w:ilvl="8" w:tplc="0409001B" w:tentative="1">
      <w:start w:val="1"/>
      <w:numFmt w:val="lowerRoman"/>
      <w:lvlText w:val="%9."/>
      <w:lvlJc w:val="right"/>
      <w:pPr>
        <w:tabs>
          <w:tab w:val="num" w:pos="5340"/>
        </w:tabs>
        <w:ind w:left="5340" w:hanging="480"/>
      </w:pPr>
    </w:lvl>
  </w:abstractNum>
  <w:abstractNum w:abstractNumId="64">
    <w:nsid w:val="312C214A"/>
    <w:multiLevelType w:val="hybridMultilevel"/>
    <w:tmpl w:val="7C10EDC0"/>
    <w:lvl w:ilvl="0" w:tplc="4350C2D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66">
    <w:nsid w:val="331B57DE"/>
    <w:multiLevelType w:val="multilevel"/>
    <w:tmpl w:val="947CC18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33882A57"/>
    <w:multiLevelType w:val="hybridMultilevel"/>
    <w:tmpl w:val="2DC89BBA"/>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8">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69">
    <w:nsid w:val="33D8116A"/>
    <w:multiLevelType w:val="hybridMultilevel"/>
    <w:tmpl w:val="86562D0E"/>
    <w:lvl w:ilvl="0" w:tplc="040E0017">
      <w:start w:val="1"/>
      <w:numFmt w:val="lowerLetter"/>
      <w:lvlText w:val="%1)"/>
      <w:lvlJc w:val="left"/>
      <w:pPr>
        <w:tabs>
          <w:tab w:val="num" w:pos="720"/>
        </w:tabs>
        <w:ind w:left="720" w:hanging="360"/>
      </w:pPr>
    </w:lvl>
    <w:lvl w:ilvl="1" w:tplc="B5808BDA">
      <w:numFmt w:val="bullet"/>
      <w:lvlText w:val="-"/>
      <w:lvlJc w:val="left"/>
      <w:pPr>
        <w:tabs>
          <w:tab w:val="num" w:pos="1440"/>
        </w:tabs>
        <w:ind w:left="1440" w:hanging="360"/>
      </w:pPr>
      <w:rPr>
        <w:rFonts w:ascii="Times New Roman" w:eastAsia="Times New Roman" w:hAnsi="Times New Roman" w:cs="Times New Roman"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0">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71">
    <w:nsid w:val="344E4DDB"/>
    <w:multiLevelType w:val="hybridMultilevel"/>
    <w:tmpl w:val="0B32E526"/>
    <w:lvl w:ilvl="0" w:tplc="040E000F">
      <w:start w:val="1"/>
      <w:numFmt w:val="decimal"/>
      <w:lvlText w:val="%1."/>
      <w:lvlJc w:val="left"/>
      <w:pPr>
        <w:tabs>
          <w:tab w:val="num" w:pos="360"/>
        </w:tabs>
        <w:ind w:left="360" w:hanging="360"/>
      </w:pPr>
    </w:lvl>
    <w:lvl w:ilvl="1" w:tplc="040E0003">
      <w:start w:val="1"/>
      <w:numFmt w:val="bullet"/>
      <w:lvlText w:val="o"/>
      <w:lvlJc w:val="left"/>
      <w:pPr>
        <w:tabs>
          <w:tab w:val="num" w:pos="1080"/>
        </w:tabs>
        <w:ind w:left="1080" w:hanging="360"/>
      </w:pPr>
      <w:rPr>
        <w:rFonts w:ascii="Courier New" w:hAnsi="Courier New" w:hint="default"/>
      </w:rPr>
    </w:lvl>
    <w:lvl w:ilvl="2" w:tplc="A9A4984C">
      <w:start w:val="1"/>
      <w:numFmt w:val="lowerLetter"/>
      <w:lvlText w:val="%3)"/>
      <w:lvlJc w:val="left"/>
      <w:pPr>
        <w:tabs>
          <w:tab w:val="num" w:pos="1980"/>
        </w:tabs>
        <w:ind w:left="1980" w:hanging="360"/>
      </w:pPr>
      <w:rPr>
        <w:rFonts w:hint="default"/>
      </w:rPr>
    </w:lvl>
    <w:lvl w:ilvl="3" w:tplc="040E000F" w:tentative="1">
      <w:start w:val="1"/>
      <w:numFmt w:val="decimal"/>
      <w:lvlText w:val="%4."/>
      <w:lvlJc w:val="left"/>
      <w:pPr>
        <w:tabs>
          <w:tab w:val="num" w:pos="2520"/>
        </w:tabs>
        <w:ind w:left="2520" w:hanging="360"/>
      </w:pPr>
    </w:lvl>
    <w:lvl w:ilvl="4" w:tplc="040E0019" w:tentative="1">
      <w:start w:val="1"/>
      <w:numFmt w:val="lowerLetter"/>
      <w:lvlText w:val="%5."/>
      <w:lvlJc w:val="left"/>
      <w:pPr>
        <w:tabs>
          <w:tab w:val="num" w:pos="3240"/>
        </w:tabs>
        <w:ind w:left="3240" w:hanging="360"/>
      </w:pPr>
    </w:lvl>
    <w:lvl w:ilvl="5" w:tplc="040E001B" w:tentative="1">
      <w:start w:val="1"/>
      <w:numFmt w:val="lowerRoman"/>
      <w:lvlText w:val="%6."/>
      <w:lvlJc w:val="right"/>
      <w:pPr>
        <w:tabs>
          <w:tab w:val="num" w:pos="3960"/>
        </w:tabs>
        <w:ind w:left="3960" w:hanging="180"/>
      </w:pPr>
    </w:lvl>
    <w:lvl w:ilvl="6" w:tplc="040E000F" w:tentative="1">
      <w:start w:val="1"/>
      <w:numFmt w:val="decimal"/>
      <w:lvlText w:val="%7."/>
      <w:lvlJc w:val="left"/>
      <w:pPr>
        <w:tabs>
          <w:tab w:val="num" w:pos="4680"/>
        </w:tabs>
        <w:ind w:left="4680" w:hanging="360"/>
      </w:pPr>
    </w:lvl>
    <w:lvl w:ilvl="7" w:tplc="040E0019" w:tentative="1">
      <w:start w:val="1"/>
      <w:numFmt w:val="lowerLetter"/>
      <w:lvlText w:val="%8."/>
      <w:lvlJc w:val="left"/>
      <w:pPr>
        <w:tabs>
          <w:tab w:val="num" w:pos="5400"/>
        </w:tabs>
        <w:ind w:left="5400" w:hanging="360"/>
      </w:pPr>
    </w:lvl>
    <w:lvl w:ilvl="8" w:tplc="040E001B" w:tentative="1">
      <w:start w:val="1"/>
      <w:numFmt w:val="lowerRoman"/>
      <w:lvlText w:val="%9."/>
      <w:lvlJc w:val="right"/>
      <w:pPr>
        <w:tabs>
          <w:tab w:val="num" w:pos="6120"/>
        </w:tabs>
        <w:ind w:left="6120" w:hanging="180"/>
      </w:pPr>
    </w:lvl>
  </w:abstractNum>
  <w:abstractNum w:abstractNumId="72">
    <w:nsid w:val="353F60FE"/>
    <w:multiLevelType w:val="hybridMultilevel"/>
    <w:tmpl w:val="94F88E8A"/>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3">
    <w:nsid w:val="366E6618"/>
    <w:multiLevelType w:val="hybridMultilevel"/>
    <w:tmpl w:val="D5D25C8A"/>
    <w:lvl w:ilvl="0" w:tplc="8E3AA7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381B18CD"/>
    <w:multiLevelType w:val="hybridMultilevel"/>
    <w:tmpl w:val="17B2506A"/>
    <w:lvl w:ilvl="0" w:tplc="040E0005">
      <w:start w:val="1"/>
      <w:numFmt w:val="bullet"/>
      <w:lvlText w:val=""/>
      <w:lvlJc w:val="left"/>
      <w:pPr>
        <w:tabs>
          <w:tab w:val="num" w:pos="720"/>
        </w:tabs>
        <w:ind w:left="720" w:hanging="360"/>
      </w:pPr>
      <w:rPr>
        <w:rFonts w:ascii="Wingdings" w:hAnsi="Wingdings" w:hint="default"/>
      </w:rPr>
    </w:lvl>
    <w:lvl w:ilvl="1" w:tplc="B5808BDA">
      <w:numFmt w:val="bullet"/>
      <w:lvlText w:val="-"/>
      <w:lvlJc w:val="left"/>
      <w:pPr>
        <w:tabs>
          <w:tab w:val="num" w:pos="1440"/>
        </w:tabs>
        <w:ind w:left="1440" w:hanging="36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6">
    <w:nsid w:val="3839294B"/>
    <w:multiLevelType w:val="hybridMultilevel"/>
    <w:tmpl w:val="D0862E2C"/>
    <w:lvl w:ilvl="0" w:tplc="4350C2D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nsid w:val="39327105"/>
    <w:multiLevelType w:val="hybridMultilevel"/>
    <w:tmpl w:val="B5BEEFC0"/>
    <w:lvl w:ilvl="0" w:tplc="EC262160">
      <w:start w:val="1"/>
      <w:numFmt w:val="decimal"/>
      <w:lvlText w:val="(%1)"/>
      <w:lvlJc w:val="left"/>
      <w:pPr>
        <w:tabs>
          <w:tab w:val="num" w:pos="600"/>
        </w:tabs>
        <w:ind w:left="600" w:hanging="60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79">
    <w:nsid w:val="398B457F"/>
    <w:multiLevelType w:val="hybridMultilevel"/>
    <w:tmpl w:val="D9008C44"/>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8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81">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82">
    <w:nsid w:val="3A5F18FC"/>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83">
    <w:nsid w:val="3AD24795"/>
    <w:multiLevelType w:val="hybridMultilevel"/>
    <w:tmpl w:val="CA8AADBC"/>
    <w:lvl w:ilvl="0" w:tplc="040E0019">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4">
    <w:nsid w:val="3B3B0618"/>
    <w:multiLevelType w:val="multilevel"/>
    <w:tmpl w:val="206056D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5">
    <w:nsid w:val="3C467EE6"/>
    <w:multiLevelType w:val="hybridMultilevel"/>
    <w:tmpl w:val="31F62836"/>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nsid w:val="3C473B0C"/>
    <w:multiLevelType w:val="singleLevel"/>
    <w:tmpl w:val="040E0017"/>
    <w:lvl w:ilvl="0">
      <w:start w:val="1"/>
      <w:numFmt w:val="lowerLetter"/>
      <w:lvlText w:val="%1)"/>
      <w:lvlJc w:val="left"/>
      <w:pPr>
        <w:tabs>
          <w:tab w:val="num" w:pos="360"/>
        </w:tabs>
        <w:ind w:left="360" w:hanging="360"/>
      </w:pPr>
    </w:lvl>
  </w:abstractNum>
  <w:abstractNum w:abstractNumId="87">
    <w:nsid w:val="3CB061AB"/>
    <w:multiLevelType w:val="singleLevel"/>
    <w:tmpl w:val="DFF20B84"/>
    <w:lvl w:ilvl="0">
      <w:start w:val="1"/>
      <w:numFmt w:val="decimal"/>
      <w:lvlText w:val="%1."/>
      <w:lvlJc w:val="left"/>
      <w:pPr>
        <w:tabs>
          <w:tab w:val="num" w:pos="360"/>
        </w:tabs>
        <w:ind w:left="-1" w:firstLine="1"/>
      </w:pPr>
      <w:rPr>
        <w:rFonts w:hint="default"/>
      </w:rPr>
    </w:lvl>
  </w:abstractNum>
  <w:abstractNum w:abstractNumId="88">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89">
    <w:nsid w:val="3D7615AD"/>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90">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1">
    <w:nsid w:val="3ED6499E"/>
    <w:multiLevelType w:val="hybridMultilevel"/>
    <w:tmpl w:val="EE945F54"/>
    <w:lvl w:ilvl="0" w:tplc="040E0001">
      <w:start w:val="1"/>
      <w:numFmt w:val="bullet"/>
      <w:lvlText w:val=""/>
      <w:lvlJc w:val="left"/>
      <w:pPr>
        <w:tabs>
          <w:tab w:val="num" w:pos="720"/>
        </w:tabs>
        <w:ind w:left="720" w:hanging="360"/>
      </w:pPr>
      <w:rPr>
        <w:rFonts w:ascii="Symbol" w:hAnsi="Symbol" w:hint="default"/>
      </w:rPr>
    </w:lvl>
    <w:lvl w:ilvl="1" w:tplc="7BD2C2CA">
      <w:numFmt w:val="bullet"/>
      <w:lvlText w:val="–"/>
      <w:lvlJc w:val="left"/>
      <w:pPr>
        <w:tabs>
          <w:tab w:val="num" w:pos="1440"/>
        </w:tabs>
        <w:ind w:left="1440" w:hanging="360"/>
      </w:pPr>
      <w:rPr>
        <w:rFonts w:ascii="Times New Roman" w:eastAsia="Times New Roman" w:hAnsi="Times New Roman"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2">
    <w:nsid w:val="3F561432"/>
    <w:multiLevelType w:val="hybridMultilevel"/>
    <w:tmpl w:val="F44226F2"/>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93">
    <w:nsid w:val="3F9048CD"/>
    <w:multiLevelType w:val="multilevel"/>
    <w:tmpl w:val="B400D156"/>
    <w:lvl w:ilvl="0">
      <w:start w:val="2"/>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2"/>
      <w:numFmt w:val="bullet"/>
      <w:lvlText w:val=""/>
      <w:lvlJc w:val="left"/>
      <w:pPr>
        <w:tabs>
          <w:tab w:val="num" w:pos="2340"/>
        </w:tabs>
        <w:ind w:left="2340" w:hanging="360"/>
      </w:pPr>
      <w:rPr>
        <w:rFonts w:ascii="Wingdings" w:eastAsia="Times New Roman" w:hAnsi="Wingdings" w:cs="Times New Roman"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3FC35CF2"/>
    <w:multiLevelType w:val="hybridMultilevel"/>
    <w:tmpl w:val="16760E76"/>
    <w:lvl w:ilvl="0" w:tplc="F42A8768">
      <w:start w:val="578"/>
      <w:numFmt w:val="bullet"/>
      <w:lvlText w:val="-"/>
      <w:lvlJc w:val="left"/>
      <w:pPr>
        <w:tabs>
          <w:tab w:val="num" w:pos="420"/>
        </w:tabs>
        <w:ind w:left="420" w:hanging="42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96">
    <w:nsid w:val="41BD36F4"/>
    <w:multiLevelType w:val="hybridMultilevel"/>
    <w:tmpl w:val="907417E8"/>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7">
    <w:nsid w:val="43334779"/>
    <w:multiLevelType w:val="hybridMultilevel"/>
    <w:tmpl w:val="6936B386"/>
    <w:lvl w:ilvl="0" w:tplc="8C4A8DC6">
      <w:start w:val="1"/>
      <w:numFmt w:val="lowerLetter"/>
      <w:lvlText w:val="%1)"/>
      <w:lvlJc w:val="left"/>
      <w:pPr>
        <w:tabs>
          <w:tab w:val="num" w:pos="870"/>
        </w:tabs>
        <w:ind w:left="870" w:hanging="36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98">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99">
    <w:nsid w:val="45A22887"/>
    <w:multiLevelType w:val="hybridMultilevel"/>
    <w:tmpl w:val="E528EB4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0">
    <w:nsid w:val="46462F1F"/>
    <w:multiLevelType w:val="hybridMultilevel"/>
    <w:tmpl w:val="54AA4FC4"/>
    <w:lvl w:ilvl="0" w:tplc="18723C36">
      <w:start w:val="1"/>
      <w:numFmt w:val="lowerLetter"/>
      <w:lvlText w:val="%1）"/>
      <w:lvlJc w:val="left"/>
      <w:pPr>
        <w:tabs>
          <w:tab w:val="num" w:pos="1230"/>
        </w:tabs>
        <w:ind w:left="1230" w:hanging="72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01">
    <w:nsid w:val="46A450A9"/>
    <w:multiLevelType w:val="hybridMultilevel"/>
    <w:tmpl w:val="58926178"/>
    <w:lvl w:ilvl="0" w:tplc="459CE4F6">
      <w:start w:val="1"/>
      <w:numFmt w:val="lowerLetter"/>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103">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4">
    <w:nsid w:val="4846763F"/>
    <w:multiLevelType w:val="hybridMultilevel"/>
    <w:tmpl w:val="1E4EF006"/>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5">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6">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7">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8">
    <w:nsid w:val="4BED0650"/>
    <w:multiLevelType w:val="hybridMultilevel"/>
    <w:tmpl w:val="B2C00A88"/>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9">
    <w:nsid w:val="4C2F725C"/>
    <w:multiLevelType w:val="hybridMultilevel"/>
    <w:tmpl w:val="255A7164"/>
    <w:lvl w:ilvl="0" w:tplc="A0208126">
      <w:start w:val="1"/>
      <w:numFmt w:val="lowerLetter"/>
      <w:lvlText w:val="%1."/>
      <w:lvlJc w:val="left"/>
      <w:pPr>
        <w:tabs>
          <w:tab w:val="num" w:pos="1020"/>
        </w:tabs>
        <w:ind w:left="1020" w:hanging="51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10">
    <w:nsid w:val="4CF177D8"/>
    <w:multiLevelType w:val="hybridMultilevel"/>
    <w:tmpl w:val="E0642222"/>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112">
    <w:nsid w:val="4D8350A1"/>
    <w:multiLevelType w:val="hybridMultilevel"/>
    <w:tmpl w:val="50B2394E"/>
    <w:lvl w:ilvl="0" w:tplc="D40A0F1E">
      <w:start w:val="25"/>
      <w:numFmt w:val="decimal"/>
      <w:lvlText w:val="%1."/>
      <w:lvlJc w:val="left"/>
      <w:pPr>
        <w:tabs>
          <w:tab w:val="num" w:pos="540"/>
        </w:tabs>
        <w:ind w:left="540" w:hanging="5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114">
    <w:nsid w:val="4E0145E0"/>
    <w:multiLevelType w:val="multilevel"/>
    <w:tmpl w:val="37BC7744"/>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start w:val="1"/>
      <w:numFmt w:val="decimal"/>
      <w:lvlText w:val="%4."/>
      <w:lvlJc w:val="left"/>
      <w:pPr>
        <w:tabs>
          <w:tab w:val="num" w:pos="1080"/>
        </w:tabs>
        <w:ind w:left="108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5">
    <w:nsid w:val="4E5C5A72"/>
    <w:multiLevelType w:val="hybridMultilevel"/>
    <w:tmpl w:val="28464D48"/>
    <w:lvl w:ilvl="0" w:tplc="4350C2D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117">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8">
    <w:nsid w:val="4FB47D1F"/>
    <w:multiLevelType w:val="hybridMultilevel"/>
    <w:tmpl w:val="462A0F40"/>
    <w:lvl w:ilvl="0" w:tplc="AC085618">
      <w:start w:val="568"/>
      <w:numFmt w:val="bullet"/>
      <w:lvlText w:val="-"/>
      <w:lvlJc w:val="left"/>
      <w:pPr>
        <w:tabs>
          <w:tab w:val="num" w:pos="1020"/>
        </w:tabs>
        <w:ind w:left="1020" w:hanging="510"/>
      </w:pPr>
      <w:rPr>
        <w:rFonts w:ascii="Times New Roman" w:eastAsia="SimSun" w:hAnsi="Times New Roman" w:cs="Times New Roman" w:hint="default"/>
      </w:rPr>
    </w:lvl>
    <w:lvl w:ilvl="1" w:tplc="04090003">
      <w:start w:val="1"/>
      <w:numFmt w:val="bullet"/>
      <w:lvlText w:val=""/>
      <w:lvlJc w:val="left"/>
      <w:pPr>
        <w:tabs>
          <w:tab w:val="num" w:pos="1350"/>
        </w:tabs>
        <w:ind w:left="1350" w:hanging="420"/>
      </w:pPr>
      <w:rPr>
        <w:rFonts w:ascii="Wingdings" w:hAnsi="Wingdings" w:hint="default"/>
      </w:rPr>
    </w:lvl>
    <w:lvl w:ilvl="2" w:tplc="04090005" w:tentative="1">
      <w:start w:val="1"/>
      <w:numFmt w:val="bullet"/>
      <w:lvlText w:val=""/>
      <w:lvlJc w:val="left"/>
      <w:pPr>
        <w:tabs>
          <w:tab w:val="num" w:pos="1770"/>
        </w:tabs>
        <w:ind w:left="1770" w:hanging="420"/>
      </w:pPr>
      <w:rPr>
        <w:rFonts w:ascii="Wingdings" w:hAnsi="Wingdings" w:hint="default"/>
      </w:rPr>
    </w:lvl>
    <w:lvl w:ilvl="3" w:tplc="04090001" w:tentative="1">
      <w:start w:val="1"/>
      <w:numFmt w:val="bullet"/>
      <w:lvlText w:val=""/>
      <w:lvlJc w:val="left"/>
      <w:pPr>
        <w:tabs>
          <w:tab w:val="num" w:pos="2190"/>
        </w:tabs>
        <w:ind w:left="2190" w:hanging="420"/>
      </w:pPr>
      <w:rPr>
        <w:rFonts w:ascii="Wingdings" w:hAnsi="Wingdings" w:hint="default"/>
      </w:rPr>
    </w:lvl>
    <w:lvl w:ilvl="4" w:tplc="04090003" w:tentative="1">
      <w:start w:val="1"/>
      <w:numFmt w:val="bullet"/>
      <w:lvlText w:val=""/>
      <w:lvlJc w:val="left"/>
      <w:pPr>
        <w:tabs>
          <w:tab w:val="num" w:pos="2610"/>
        </w:tabs>
        <w:ind w:left="2610" w:hanging="420"/>
      </w:pPr>
      <w:rPr>
        <w:rFonts w:ascii="Wingdings" w:hAnsi="Wingdings" w:hint="default"/>
      </w:rPr>
    </w:lvl>
    <w:lvl w:ilvl="5" w:tplc="04090005" w:tentative="1">
      <w:start w:val="1"/>
      <w:numFmt w:val="bullet"/>
      <w:lvlText w:val=""/>
      <w:lvlJc w:val="left"/>
      <w:pPr>
        <w:tabs>
          <w:tab w:val="num" w:pos="3030"/>
        </w:tabs>
        <w:ind w:left="3030" w:hanging="420"/>
      </w:pPr>
      <w:rPr>
        <w:rFonts w:ascii="Wingdings" w:hAnsi="Wingdings" w:hint="default"/>
      </w:rPr>
    </w:lvl>
    <w:lvl w:ilvl="6" w:tplc="04090001" w:tentative="1">
      <w:start w:val="1"/>
      <w:numFmt w:val="bullet"/>
      <w:lvlText w:val=""/>
      <w:lvlJc w:val="left"/>
      <w:pPr>
        <w:tabs>
          <w:tab w:val="num" w:pos="3450"/>
        </w:tabs>
        <w:ind w:left="3450" w:hanging="420"/>
      </w:pPr>
      <w:rPr>
        <w:rFonts w:ascii="Wingdings" w:hAnsi="Wingdings" w:hint="default"/>
      </w:rPr>
    </w:lvl>
    <w:lvl w:ilvl="7" w:tplc="04090003" w:tentative="1">
      <w:start w:val="1"/>
      <w:numFmt w:val="bullet"/>
      <w:lvlText w:val=""/>
      <w:lvlJc w:val="left"/>
      <w:pPr>
        <w:tabs>
          <w:tab w:val="num" w:pos="3870"/>
        </w:tabs>
        <w:ind w:left="3870" w:hanging="420"/>
      </w:pPr>
      <w:rPr>
        <w:rFonts w:ascii="Wingdings" w:hAnsi="Wingdings" w:hint="default"/>
      </w:rPr>
    </w:lvl>
    <w:lvl w:ilvl="8" w:tplc="04090005" w:tentative="1">
      <w:start w:val="1"/>
      <w:numFmt w:val="bullet"/>
      <w:lvlText w:val=""/>
      <w:lvlJc w:val="left"/>
      <w:pPr>
        <w:tabs>
          <w:tab w:val="num" w:pos="4290"/>
        </w:tabs>
        <w:ind w:left="4290" w:hanging="420"/>
      </w:pPr>
      <w:rPr>
        <w:rFonts w:ascii="Wingdings" w:hAnsi="Wingdings" w:hint="default"/>
      </w:rPr>
    </w:lvl>
  </w:abstractNum>
  <w:abstractNum w:abstractNumId="119">
    <w:nsid w:val="50495437"/>
    <w:multiLevelType w:val="hybridMultilevel"/>
    <w:tmpl w:val="1B0C1FF2"/>
    <w:lvl w:ilvl="0" w:tplc="040E0003">
      <w:start w:val="1"/>
      <w:numFmt w:val="bullet"/>
      <w:lvlText w:val="o"/>
      <w:lvlJc w:val="left"/>
      <w:pPr>
        <w:tabs>
          <w:tab w:val="num" w:pos="360"/>
        </w:tabs>
        <w:ind w:left="360" w:hanging="360"/>
      </w:pPr>
      <w:rPr>
        <w:rFonts w:ascii="Courier New" w:hAnsi="Courier New"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20">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12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122">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123">
    <w:nsid w:val="51821BF1"/>
    <w:multiLevelType w:val="singleLevel"/>
    <w:tmpl w:val="040E0005"/>
    <w:lvl w:ilvl="0">
      <w:start w:val="1"/>
      <w:numFmt w:val="bullet"/>
      <w:lvlText w:val=""/>
      <w:lvlJc w:val="left"/>
      <w:pPr>
        <w:tabs>
          <w:tab w:val="num" w:pos="360"/>
        </w:tabs>
        <w:ind w:left="360" w:hanging="360"/>
      </w:pPr>
      <w:rPr>
        <w:rFonts w:ascii="Wingdings" w:hAnsi="Wingdings" w:hint="default"/>
      </w:rPr>
    </w:lvl>
  </w:abstractNum>
  <w:abstractNum w:abstractNumId="124">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125">
    <w:nsid w:val="51AF5BEC"/>
    <w:multiLevelType w:val="hybridMultilevel"/>
    <w:tmpl w:val="66123B08"/>
    <w:lvl w:ilvl="0" w:tplc="040E0003">
      <w:start w:val="1"/>
      <w:numFmt w:val="bullet"/>
      <w:lvlText w:val="o"/>
      <w:lvlJc w:val="left"/>
      <w:pPr>
        <w:tabs>
          <w:tab w:val="num" w:pos="1068"/>
        </w:tabs>
        <w:ind w:left="1068" w:hanging="360"/>
      </w:pPr>
      <w:rPr>
        <w:rFonts w:ascii="Courier New" w:hAnsi="Courier New" w:hint="default"/>
      </w:rPr>
    </w:lvl>
    <w:lvl w:ilvl="1" w:tplc="040E0003" w:tentative="1">
      <w:start w:val="1"/>
      <w:numFmt w:val="bullet"/>
      <w:lvlText w:val="o"/>
      <w:lvlJc w:val="left"/>
      <w:pPr>
        <w:tabs>
          <w:tab w:val="num" w:pos="1788"/>
        </w:tabs>
        <w:ind w:left="1788" w:hanging="360"/>
      </w:pPr>
      <w:rPr>
        <w:rFonts w:ascii="Courier New" w:hAnsi="Courier New" w:hint="default"/>
      </w:rPr>
    </w:lvl>
    <w:lvl w:ilvl="2" w:tplc="040E0005" w:tentative="1">
      <w:start w:val="1"/>
      <w:numFmt w:val="bullet"/>
      <w:lvlText w:val=""/>
      <w:lvlJc w:val="left"/>
      <w:pPr>
        <w:tabs>
          <w:tab w:val="num" w:pos="2508"/>
        </w:tabs>
        <w:ind w:left="2508" w:hanging="360"/>
      </w:pPr>
      <w:rPr>
        <w:rFonts w:ascii="Wingdings" w:hAnsi="Wingdings" w:hint="default"/>
      </w:rPr>
    </w:lvl>
    <w:lvl w:ilvl="3" w:tplc="040E0001" w:tentative="1">
      <w:start w:val="1"/>
      <w:numFmt w:val="bullet"/>
      <w:lvlText w:val=""/>
      <w:lvlJc w:val="left"/>
      <w:pPr>
        <w:tabs>
          <w:tab w:val="num" w:pos="3228"/>
        </w:tabs>
        <w:ind w:left="3228" w:hanging="360"/>
      </w:pPr>
      <w:rPr>
        <w:rFonts w:ascii="Symbol" w:hAnsi="Symbol" w:hint="default"/>
      </w:rPr>
    </w:lvl>
    <w:lvl w:ilvl="4" w:tplc="040E0003" w:tentative="1">
      <w:start w:val="1"/>
      <w:numFmt w:val="bullet"/>
      <w:lvlText w:val="o"/>
      <w:lvlJc w:val="left"/>
      <w:pPr>
        <w:tabs>
          <w:tab w:val="num" w:pos="3948"/>
        </w:tabs>
        <w:ind w:left="3948" w:hanging="360"/>
      </w:pPr>
      <w:rPr>
        <w:rFonts w:ascii="Courier New" w:hAnsi="Courier New" w:hint="default"/>
      </w:rPr>
    </w:lvl>
    <w:lvl w:ilvl="5" w:tplc="040E0005" w:tentative="1">
      <w:start w:val="1"/>
      <w:numFmt w:val="bullet"/>
      <w:lvlText w:val=""/>
      <w:lvlJc w:val="left"/>
      <w:pPr>
        <w:tabs>
          <w:tab w:val="num" w:pos="4668"/>
        </w:tabs>
        <w:ind w:left="4668" w:hanging="360"/>
      </w:pPr>
      <w:rPr>
        <w:rFonts w:ascii="Wingdings" w:hAnsi="Wingdings" w:hint="default"/>
      </w:rPr>
    </w:lvl>
    <w:lvl w:ilvl="6" w:tplc="040E0001" w:tentative="1">
      <w:start w:val="1"/>
      <w:numFmt w:val="bullet"/>
      <w:lvlText w:val=""/>
      <w:lvlJc w:val="left"/>
      <w:pPr>
        <w:tabs>
          <w:tab w:val="num" w:pos="5388"/>
        </w:tabs>
        <w:ind w:left="5388" w:hanging="360"/>
      </w:pPr>
      <w:rPr>
        <w:rFonts w:ascii="Symbol" w:hAnsi="Symbol" w:hint="default"/>
      </w:rPr>
    </w:lvl>
    <w:lvl w:ilvl="7" w:tplc="040E0003" w:tentative="1">
      <w:start w:val="1"/>
      <w:numFmt w:val="bullet"/>
      <w:lvlText w:val="o"/>
      <w:lvlJc w:val="left"/>
      <w:pPr>
        <w:tabs>
          <w:tab w:val="num" w:pos="6108"/>
        </w:tabs>
        <w:ind w:left="6108" w:hanging="360"/>
      </w:pPr>
      <w:rPr>
        <w:rFonts w:ascii="Courier New" w:hAnsi="Courier New" w:hint="default"/>
      </w:rPr>
    </w:lvl>
    <w:lvl w:ilvl="8" w:tplc="040E0005" w:tentative="1">
      <w:start w:val="1"/>
      <w:numFmt w:val="bullet"/>
      <w:lvlText w:val=""/>
      <w:lvlJc w:val="left"/>
      <w:pPr>
        <w:tabs>
          <w:tab w:val="num" w:pos="6828"/>
        </w:tabs>
        <w:ind w:left="6828" w:hanging="360"/>
      </w:pPr>
      <w:rPr>
        <w:rFonts w:ascii="Wingdings" w:hAnsi="Wingdings" w:hint="default"/>
      </w:rPr>
    </w:lvl>
  </w:abstractNum>
  <w:abstractNum w:abstractNumId="126">
    <w:nsid w:val="522F16E7"/>
    <w:multiLevelType w:val="hybridMultilevel"/>
    <w:tmpl w:val="B1B4DCFC"/>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7">
    <w:nsid w:val="52857222"/>
    <w:multiLevelType w:val="multilevel"/>
    <w:tmpl w:val="7BDC2798"/>
    <w:lvl w:ilvl="0">
      <w:numFmt w:val="bullet"/>
      <w:lvlText w:val="-"/>
      <w:lvlJc w:val="left"/>
      <w:pPr>
        <w:tabs>
          <w:tab w:val="num" w:pos="840"/>
        </w:tabs>
        <w:ind w:left="840" w:hanging="360"/>
      </w:pPr>
      <w:rPr>
        <w:rFonts w:ascii="Times New Roman" w:eastAsia="Times New Roman" w:hAnsi="Times New Roman" w:cs="Times New Roman"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128">
    <w:nsid w:val="54022A49"/>
    <w:multiLevelType w:val="multilevel"/>
    <w:tmpl w:val="040E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130">
    <w:nsid w:val="543827D7"/>
    <w:multiLevelType w:val="hybridMultilevel"/>
    <w:tmpl w:val="575CB976"/>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1">
    <w:nsid w:val="54824700"/>
    <w:multiLevelType w:val="hybridMultilevel"/>
    <w:tmpl w:val="20522D28"/>
    <w:lvl w:ilvl="0" w:tplc="B1825848">
      <w:start w:val="1"/>
      <w:numFmt w:val="lowerLetter"/>
      <w:lvlRestart w:val="0"/>
      <w:lvlText w:val="(%1)"/>
      <w:lvlJc w:val="right"/>
      <w:pPr>
        <w:tabs>
          <w:tab w:val="num" w:pos="1531"/>
        </w:tabs>
        <w:ind w:left="1531" w:hanging="227"/>
      </w:pPr>
      <w:rPr>
        <w:rFonts w:ascii="Times New Roman" w:hAnsi="Times New Roman"/>
        <w:b w:val="0"/>
        <w:i w:val="0"/>
        <w:sz w:val="24"/>
      </w:rPr>
    </w:lvl>
    <w:lvl w:ilvl="1" w:tplc="32540C16">
      <w:start w:val="1"/>
      <w:numFmt w:val="decimal"/>
      <w:lvlRestart w:val="0"/>
      <w:lvlText w:val="(%2)"/>
      <w:lvlJc w:val="right"/>
      <w:pPr>
        <w:tabs>
          <w:tab w:val="num" w:pos="707"/>
        </w:tabs>
        <w:ind w:left="707" w:hanging="227"/>
      </w:pPr>
      <w:rPr>
        <w:rFonts w:ascii="Times New Roman" w:hAnsi="Times New Roman"/>
        <w:b w:val="0"/>
        <w:i w:val="0"/>
        <w:sz w:val="22"/>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nsid w:val="55F02BBE"/>
    <w:multiLevelType w:val="hybridMultilevel"/>
    <w:tmpl w:val="BE06A7AA"/>
    <w:lvl w:ilvl="0" w:tplc="8E3AA7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3">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34">
    <w:nsid w:val="590D0275"/>
    <w:multiLevelType w:val="hybridMultilevel"/>
    <w:tmpl w:val="C64A9624"/>
    <w:lvl w:ilvl="0" w:tplc="15BE95C0">
      <w:start w:val="1"/>
      <w:numFmt w:val="decimal"/>
      <w:lvlRestart w:val="0"/>
      <w:lvlText w:val="(%1)"/>
      <w:lvlJc w:val="right"/>
      <w:pPr>
        <w:tabs>
          <w:tab w:val="num" w:pos="1531"/>
        </w:tabs>
        <w:ind w:left="1531" w:hanging="227"/>
      </w:pPr>
      <w:rPr>
        <w:rFonts w:ascii="Times New Roman" w:hAnsi="Times New Roman"/>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5">
    <w:nsid w:val="59554CF9"/>
    <w:multiLevelType w:val="hybridMultilevel"/>
    <w:tmpl w:val="8556A2D8"/>
    <w:lvl w:ilvl="0" w:tplc="71148D0A">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6">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7">
    <w:nsid w:val="5A47309B"/>
    <w:multiLevelType w:val="hybridMultilevel"/>
    <w:tmpl w:val="AA1C7F6E"/>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8">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39">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40">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1">
    <w:nsid w:val="5CBF4ED3"/>
    <w:multiLevelType w:val="hybridMultilevel"/>
    <w:tmpl w:val="8D06BB6A"/>
    <w:lvl w:ilvl="0" w:tplc="040E001B">
      <w:start w:val="1"/>
      <w:numFmt w:val="lowerRoman"/>
      <w:lvlText w:val="%1."/>
      <w:lvlJc w:val="righ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2">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3">
    <w:nsid w:val="5D431885"/>
    <w:multiLevelType w:val="singleLevel"/>
    <w:tmpl w:val="B0842F24"/>
    <w:lvl w:ilvl="0">
      <w:start w:val="13"/>
      <w:numFmt w:val="bullet"/>
      <w:lvlText w:val="-"/>
      <w:lvlJc w:val="left"/>
      <w:pPr>
        <w:tabs>
          <w:tab w:val="num" w:pos="360"/>
        </w:tabs>
        <w:ind w:left="360" w:hanging="360"/>
      </w:pPr>
      <w:rPr>
        <w:rFonts w:hint="default"/>
      </w:rPr>
    </w:lvl>
  </w:abstractNum>
  <w:abstractNum w:abstractNumId="144">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5">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46">
    <w:nsid w:val="5F1C0BFF"/>
    <w:multiLevelType w:val="hybridMultilevel"/>
    <w:tmpl w:val="E216209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7">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48">
    <w:nsid w:val="60FE34FB"/>
    <w:multiLevelType w:val="hybridMultilevel"/>
    <w:tmpl w:val="8F621B46"/>
    <w:lvl w:ilvl="0" w:tplc="F06E66F0">
      <w:start w:val="1"/>
      <w:numFmt w:val="lowerLetter"/>
      <w:lvlText w:val="%1)"/>
      <w:lvlJc w:val="left"/>
      <w:pPr>
        <w:tabs>
          <w:tab w:val="num" w:pos="495"/>
        </w:tabs>
        <w:ind w:left="495" w:hanging="49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9">
    <w:nsid w:val="61A673DC"/>
    <w:multiLevelType w:val="hybridMultilevel"/>
    <w:tmpl w:val="208E540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0">
    <w:nsid w:val="61B40A7A"/>
    <w:multiLevelType w:val="hybridMultilevel"/>
    <w:tmpl w:val="4002D874"/>
    <w:lvl w:ilvl="0" w:tplc="8E3AA7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1">
    <w:nsid w:val="61DC1199"/>
    <w:multiLevelType w:val="hybridMultilevel"/>
    <w:tmpl w:val="AC8E706C"/>
    <w:lvl w:ilvl="0" w:tplc="8E3AA7FE">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2">
    <w:nsid w:val="624426B5"/>
    <w:multiLevelType w:val="multilevel"/>
    <w:tmpl w:val="F9B2CAAE"/>
    <w:lvl w:ilvl="0">
      <w:start w:val="1"/>
      <w:numFmt w:val="bullet"/>
      <w:lvlText w:val="o"/>
      <w:lvlJc w:val="left"/>
      <w:pPr>
        <w:tabs>
          <w:tab w:val="num" w:pos="720"/>
        </w:tabs>
        <w:ind w:left="720" w:hanging="360"/>
      </w:pPr>
      <w:rPr>
        <w:rFonts w:ascii="Courier New" w:hAnsi="Courier New" w:hint="default"/>
      </w:rPr>
    </w:lvl>
    <w:lvl w:ilvl="1">
      <w:start w:val="1"/>
      <w:numFmt w:val="bullet"/>
      <w:lvlText w:val=""/>
      <w:lvlJc w:val="left"/>
      <w:pPr>
        <w:tabs>
          <w:tab w:val="num" w:pos="2880"/>
        </w:tabs>
        <w:ind w:left="2880" w:hanging="360"/>
      </w:pPr>
      <w:rPr>
        <w:rFonts w:ascii="Wingdings" w:hAnsi="Wingdings"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153">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4">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55">
    <w:nsid w:val="638A7D03"/>
    <w:multiLevelType w:val="hybridMultilevel"/>
    <w:tmpl w:val="799A67AE"/>
    <w:lvl w:ilvl="0" w:tplc="4350C2D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6">
    <w:nsid w:val="640D1A02"/>
    <w:multiLevelType w:val="hybridMultilevel"/>
    <w:tmpl w:val="0B0C120A"/>
    <w:lvl w:ilvl="0" w:tplc="14C8AFDA">
      <w:start w:val="1"/>
      <w:numFmt w:val="decimal"/>
      <w:lvlRestart w:val="0"/>
      <w:lvlText w:val="(%1)"/>
      <w:lvlJc w:val="right"/>
      <w:pPr>
        <w:tabs>
          <w:tab w:val="num" w:pos="2098"/>
        </w:tabs>
        <w:ind w:left="2098" w:hanging="227"/>
      </w:pPr>
      <w:rPr>
        <w:rFonts w:ascii="Times New Roman" w:hAnsi="Times New Roman" w:hint="eastAsia"/>
        <w:b w:val="0"/>
        <w:i w:val="0"/>
        <w:sz w:val="22"/>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57">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58">
    <w:nsid w:val="648D3A6F"/>
    <w:multiLevelType w:val="multilevel"/>
    <w:tmpl w:val="29EEE1F0"/>
    <w:lvl w:ilvl="0">
      <w:start w:val="1"/>
      <w:numFmt w:val="decimal"/>
      <w:lvlText w:val="%1."/>
      <w:lvlJc w:val="left"/>
      <w:pPr>
        <w:tabs>
          <w:tab w:val="num" w:pos="0"/>
        </w:tabs>
        <w:ind w:left="0" w:hanging="360"/>
      </w:pPr>
      <w:rPr>
        <w:rFonts w:hint="default"/>
      </w:rPr>
    </w:lvl>
    <w:lvl w:ilvl="1">
      <w:start w:val="1"/>
      <w:numFmt w:val="decimal"/>
      <w:lvlText w:val="3.%2."/>
      <w:lvlJc w:val="left"/>
      <w:pPr>
        <w:tabs>
          <w:tab w:val="num" w:pos="432"/>
        </w:tabs>
        <w:ind w:left="432" w:hanging="432"/>
      </w:pPr>
      <w:rPr>
        <w:rFonts w:hint="default"/>
      </w:rPr>
    </w:lvl>
    <w:lvl w:ilvl="2">
      <w:start w:val="1"/>
      <w:numFmt w:val="decimal"/>
      <w:lvlText w:val="%1.%2.%3."/>
      <w:lvlJc w:val="left"/>
      <w:pPr>
        <w:tabs>
          <w:tab w:val="num" w:pos="1080"/>
        </w:tabs>
        <w:ind w:left="864" w:hanging="504"/>
      </w:pPr>
      <w:rPr>
        <w:rFonts w:hint="default"/>
        <w:b/>
        <w:i w:val="0"/>
        <w:sz w:val="24"/>
        <w:szCs w:val="24"/>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abstractNum w:abstractNumId="159">
    <w:nsid w:val="64F55771"/>
    <w:multiLevelType w:val="hybridMultilevel"/>
    <w:tmpl w:val="B1FA64E8"/>
    <w:lvl w:ilvl="0" w:tplc="4350C2D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0">
    <w:nsid w:val="65570A59"/>
    <w:multiLevelType w:val="hybridMultilevel"/>
    <w:tmpl w:val="39E8E77C"/>
    <w:lvl w:ilvl="0" w:tplc="040E0003">
      <w:start w:val="1"/>
      <w:numFmt w:val="bullet"/>
      <w:lvlText w:val="o"/>
      <w:lvlJc w:val="left"/>
      <w:pPr>
        <w:tabs>
          <w:tab w:val="num" w:pos="720"/>
        </w:tabs>
        <w:ind w:left="720" w:hanging="360"/>
      </w:pPr>
      <w:rPr>
        <w:rFonts w:ascii="Courier New" w:hAnsi="Courier New"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1">
    <w:nsid w:val="655C3424"/>
    <w:multiLevelType w:val="hybridMultilevel"/>
    <w:tmpl w:val="057A8E7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2">
    <w:nsid w:val="66CF5067"/>
    <w:multiLevelType w:val="hybridMultilevel"/>
    <w:tmpl w:val="FD38F618"/>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3">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64">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5">
    <w:nsid w:val="68666698"/>
    <w:multiLevelType w:val="hybridMultilevel"/>
    <w:tmpl w:val="583EC2D0"/>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66">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67">
    <w:nsid w:val="68EC79C9"/>
    <w:multiLevelType w:val="hybridMultilevel"/>
    <w:tmpl w:val="E3387C80"/>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8">
    <w:nsid w:val="6A26077C"/>
    <w:multiLevelType w:val="hybridMultilevel"/>
    <w:tmpl w:val="9E26978C"/>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9">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70">
    <w:nsid w:val="6A405BDB"/>
    <w:multiLevelType w:val="hybridMultilevel"/>
    <w:tmpl w:val="7734A01E"/>
    <w:lvl w:ilvl="0" w:tplc="B02AD9BE">
      <w:start w:val="1"/>
      <w:numFmt w:val="lowerLetter"/>
      <w:lvlRestart w:val="0"/>
      <w:lvlText w:val="(%1)"/>
      <w:lvlJc w:val="right"/>
      <w:pPr>
        <w:tabs>
          <w:tab w:val="num" w:pos="1247"/>
        </w:tabs>
        <w:ind w:left="1247" w:hanging="227"/>
      </w:pPr>
      <w:rPr>
        <w:rFonts w:ascii="Times New Roman" w:hAnsi="Times New Roman" w:hint="eastAsia"/>
        <w:b w:val="0"/>
        <w:i w:val="0"/>
        <w:sz w:val="24"/>
      </w:rPr>
    </w:lvl>
    <w:lvl w:ilvl="1" w:tplc="04090019" w:tentative="1">
      <w:start w:val="1"/>
      <w:numFmt w:val="ideographTraditional"/>
      <w:lvlText w:val="%2、"/>
      <w:lvlJc w:val="left"/>
      <w:pPr>
        <w:tabs>
          <w:tab w:val="num" w:pos="676"/>
        </w:tabs>
        <w:ind w:left="676" w:hanging="480"/>
      </w:pPr>
    </w:lvl>
    <w:lvl w:ilvl="2" w:tplc="0409001B" w:tentative="1">
      <w:start w:val="1"/>
      <w:numFmt w:val="lowerRoman"/>
      <w:lvlText w:val="%3."/>
      <w:lvlJc w:val="right"/>
      <w:pPr>
        <w:tabs>
          <w:tab w:val="num" w:pos="1156"/>
        </w:tabs>
        <w:ind w:left="1156" w:hanging="480"/>
      </w:pPr>
    </w:lvl>
    <w:lvl w:ilvl="3" w:tplc="0409000F" w:tentative="1">
      <w:start w:val="1"/>
      <w:numFmt w:val="decimal"/>
      <w:lvlText w:val="%4."/>
      <w:lvlJc w:val="left"/>
      <w:pPr>
        <w:tabs>
          <w:tab w:val="num" w:pos="1636"/>
        </w:tabs>
        <w:ind w:left="1636" w:hanging="480"/>
      </w:pPr>
    </w:lvl>
    <w:lvl w:ilvl="4" w:tplc="04090019" w:tentative="1">
      <w:start w:val="1"/>
      <w:numFmt w:val="ideographTraditional"/>
      <w:lvlText w:val="%5、"/>
      <w:lvlJc w:val="left"/>
      <w:pPr>
        <w:tabs>
          <w:tab w:val="num" w:pos="2116"/>
        </w:tabs>
        <w:ind w:left="2116" w:hanging="480"/>
      </w:pPr>
    </w:lvl>
    <w:lvl w:ilvl="5" w:tplc="0409001B" w:tentative="1">
      <w:start w:val="1"/>
      <w:numFmt w:val="lowerRoman"/>
      <w:lvlText w:val="%6."/>
      <w:lvlJc w:val="right"/>
      <w:pPr>
        <w:tabs>
          <w:tab w:val="num" w:pos="2596"/>
        </w:tabs>
        <w:ind w:left="2596" w:hanging="480"/>
      </w:pPr>
    </w:lvl>
    <w:lvl w:ilvl="6" w:tplc="0409000F" w:tentative="1">
      <w:start w:val="1"/>
      <w:numFmt w:val="decimal"/>
      <w:lvlText w:val="%7."/>
      <w:lvlJc w:val="left"/>
      <w:pPr>
        <w:tabs>
          <w:tab w:val="num" w:pos="3076"/>
        </w:tabs>
        <w:ind w:left="3076" w:hanging="480"/>
      </w:pPr>
    </w:lvl>
    <w:lvl w:ilvl="7" w:tplc="04090019" w:tentative="1">
      <w:start w:val="1"/>
      <w:numFmt w:val="ideographTraditional"/>
      <w:lvlText w:val="%8、"/>
      <w:lvlJc w:val="left"/>
      <w:pPr>
        <w:tabs>
          <w:tab w:val="num" w:pos="3556"/>
        </w:tabs>
        <w:ind w:left="3556" w:hanging="480"/>
      </w:pPr>
    </w:lvl>
    <w:lvl w:ilvl="8" w:tplc="0409001B" w:tentative="1">
      <w:start w:val="1"/>
      <w:numFmt w:val="lowerRoman"/>
      <w:lvlText w:val="%9."/>
      <w:lvlJc w:val="right"/>
      <w:pPr>
        <w:tabs>
          <w:tab w:val="num" w:pos="4036"/>
        </w:tabs>
        <w:ind w:left="4036" w:hanging="480"/>
      </w:pPr>
    </w:lvl>
  </w:abstractNum>
  <w:abstractNum w:abstractNumId="171">
    <w:nsid w:val="6AA50268"/>
    <w:multiLevelType w:val="hybridMultilevel"/>
    <w:tmpl w:val="DB18E644"/>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2">
    <w:nsid w:val="6C0E3522"/>
    <w:multiLevelType w:val="singleLevel"/>
    <w:tmpl w:val="040E0017"/>
    <w:lvl w:ilvl="0">
      <w:start w:val="1"/>
      <w:numFmt w:val="lowerLetter"/>
      <w:lvlText w:val="%1)"/>
      <w:lvlJc w:val="left"/>
      <w:pPr>
        <w:tabs>
          <w:tab w:val="num" w:pos="360"/>
        </w:tabs>
        <w:ind w:left="360" w:hanging="360"/>
      </w:pPr>
      <w:rPr>
        <w:rFonts w:hint="default"/>
      </w:rPr>
    </w:lvl>
  </w:abstractNum>
  <w:abstractNum w:abstractNumId="173">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4">
    <w:nsid w:val="6CE967C4"/>
    <w:multiLevelType w:val="hybridMultilevel"/>
    <w:tmpl w:val="3F68E348"/>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5">
    <w:nsid w:val="6E713990"/>
    <w:multiLevelType w:val="hybridMultilevel"/>
    <w:tmpl w:val="24B80566"/>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6">
    <w:nsid w:val="6E9C179E"/>
    <w:multiLevelType w:val="hybridMultilevel"/>
    <w:tmpl w:val="6C7A0818"/>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7">
    <w:nsid w:val="6EB5596F"/>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178">
    <w:nsid w:val="6ECE31A2"/>
    <w:multiLevelType w:val="hybridMultilevel"/>
    <w:tmpl w:val="86E6A56A"/>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9">
    <w:nsid w:val="6EE809CD"/>
    <w:multiLevelType w:val="multilevel"/>
    <w:tmpl w:val="44F4B45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220"/>
        </w:tabs>
        <w:ind w:left="1220" w:hanging="360"/>
      </w:pPr>
      <w:rPr>
        <w:rFonts w:ascii="Courier New" w:hAnsi="Courier New" w:cs="Arial Unicode MS" w:hint="default"/>
      </w:rPr>
    </w:lvl>
    <w:lvl w:ilvl="2" w:tentative="1">
      <w:start w:val="1"/>
      <w:numFmt w:val="bullet"/>
      <w:lvlText w:val=""/>
      <w:lvlJc w:val="left"/>
      <w:pPr>
        <w:tabs>
          <w:tab w:val="num" w:pos="1940"/>
        </w:tabs>
        <w:ind w:left="1940" w:hanging="360"/>
      </w:pPr>
      <w:rPr>
        <w:rFonts w:ascii="Wingdings" w:hAnsi="Wingdings" w:hint="default"/>
      </w:rPr>
    </w:lvl>
    <w:lvl w:ilvl="3" w:tentative="1">
      <w:start w:val="1"/>
      <w:numFmt w:val="bullet"/>
      <w:lvlText w:val=""/>
      <w:lvlJc w:val="left"/>
      <w:pPr>
        <w:tabs>
          <w:tab w:val="num" w:pos="2660"/>
        </w:tabs>
        <w:ind w:left="2660" w:hanging="360"/>
      </w:pPr>
      <w:rPr>
        <w:rFonts w:ascii="Symbol" w:hAnsi="Symbol" w:hint="default"/>
      </w:rPr>
    </w:lvl>
    <w:lvl w:ilvl="4" w:tentative="1">
      <w:start w:val="1"/>
      <w:numFmt w:val="bullet"/>
      <w:lvlText w:val="o"/>
      <w:lvlJc w:val="left"/>
      <w:pPr>
        <w:tabs>
          <w:tab w:val="num" w:pos="3380"/>
        </w:tabs>
        <w:ind w:left="3380" w:hanging="360"/>
      </w:pPr>
      <w:rPr>
        <w:rFonts w:ascii="Courier New" w:hAnsi="Courier New" w:cs="Arial Unicode MS" w:hint="default"/>
      </w:rPr>
    </w:lvl>
    <w:lvl w:ilvl="5" w:tentative="1">
      <w:start w:val="1"/>
      <w:numFmt w:val="bullet"/>
      <w:lvlText w:val=""/>
      <w:lvlJc w:val="left"/>
      <w:pPr>
        <w:tabs>
          <w:tab w:val="num" w:pos="4100"/>
        </w:tabs>
        <w:ind w:left="4100" w:hanging="360"/>
      </w:pPr>
      <w:rPr>
        <w:rFonts w:ascii="Wingdings" w:hAnsi="Wingdings" w:hint="default"/>
      </w:rPr>
    </w:lvl>
    <w:lvl w:ilvl="6" w:tentative="1">
      <w:start w:val="1"/>
      <w:numFmt w:val="bullet"/>
      <w:lvlText w:val=""/>
      <w:lvlJc w:val="left"/>
      <w:pPr>
        <w:tabs>
          <w:tab w:val="num" w:pos="4820"/>
        </w:tabs>
        <w:ind w:left="4820" w:hanging="360"/>
      </w:pPr>
      <w:rPr>
        <w:rFonts w:ascii="Symbol" w:hAnsi="Symbol" w:hint="default"/>
      </w:rPr>
    </w:lvl>
    <w:lvl w:ilvl="7" w:tentative="1">
      <w:start w:val="1"/>
      <w:numFmt w:val="bullet"/>
      <w:lvlText w:val="o"/>
      <w:lvlJc w:val="left"/>
      <w:pPr>
        <w:tabs>
          <w:tab w:val="num" w:pos="5540"/>
        </w:tabs>
        <w:ind w:left="5540" w:hanging="360"/>
      </w:pPr>
      <w:rPr>
        <w:rFonts w:ascii="Courier New" w:hAnsi="Courier New" w:cs="Arial Unicode MS" w:hint="default"/>
      </w:rPr>
    </w:lvl>
    <w:lvl w:ilvl="8" w:tentative="1">
      <w:start w:val="1"/>
      <w:numFmt w:val="bullet"/>
      <w:lvlText w:val=""/>
      <w:lvlJc w:val="left"/>
      <w:pPr>
        <w:tabs>
          <w:tab w:val="num" w:pos="6260"/>
        </w:tabs>
        <w:ind w:left="6260" w:hanging="360"/>
      </w:pPr>
      <w:rPr>
        <w:rFonts w:ascii="Wingdings" w:hAnsi="Wingdings" w:hint="default"/>
      </w:rPr>
    </w:lvl>
  </w:abstractNum>
  <w:abstractNum w:abstractNumId="180">
    <w:nsid w:val="6F816C4E"/>
    <w:multiLevelType w:val="singleLevel"/>
    <w:tmpl w:val="3E9420FE"/>
    <w:lvl w:ilvl="0">
      <w:start w:val="1"/>
      <w:numFmt w:val="decimal"/>
      <w:lvlText w:val="%1."/>
      <w:lvlJc w:val="left"/>
      <w:pPr>
        <w:tabs>
          <w:tab w:val="num" w:pos="360"/>
        </w:tabs>
        <w:ind w:left="360" w:hanging="360"/>
      </w:pPr>
      <w:rPr>
        <w:b w:val="0"/>
      </w:rPr>
    </w:lvl>
  </w:abstractNum>
  <w:abstractNum w:abstractNumId="181">
    <w:nsid w:val="70442B4E"/>
    <w:multiLevelType w:val="hybridMultilevel"/>
    <w:tmpl w:val="F8D230C2"/>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2">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3">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4">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5">
    <w:nsid w:val="73636980"/>
    <w:multiLevelType w:val="hybridMultilevel"/>
    <w:tmpl w:val="3D94E5CE"/>
    <w:lvl w:ilvl="0" w:tplc="040E0017">
      <w:start w:val="1"/>
      <w:numFmt w:val="lowerLetter"/>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86">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7">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88">
    <w:nsid w:val="76D47360"/>
    <w:multiLevelType w:val="hybridMultilevel"/>
    <w:tmpl w:val="045EE2B0"/>
    <w:lvl w:ilvl="0" w:tplc="040E0017">
      <w:start w:val="1"/>
      <w:numFmt w:val="lowerLetter"/>
      <w:lvlText w:val="%1)"/>
      <w:lvlJc w:val="left"/>
      <w:pPr>
        <w:tabs>
          <w:tab w:val="num" w:pos="1068"/>
        </w:tabs>
        <w:ind w:left="1068" w:hanging="360"/>
      </w:pPr>
    </w:lvl>
    <w:lvl w:ilvl="1" w:tplc="040E0019" w:tentative="1">
      <w:start w:val="1"/>
      <w:numFmt w:val="lowerLetter"/>
      <w:lvlText w:val="%2."/>
      <w:lvlJc w:val="left"/>
      <w:pPr>
        <w:tabs>
          <w:tab w:val="num" w:pos="1788"/>
        </w:tabs>
        <w:ind w:left="1788" w:hanging="360"/>
      </w:pPr>
    </w:lvl>
    <w:lvl w:ilvl="2" w:tplc="040E001B" w:tentative="1">
      <w:start w:val="1"/>
      <w:numFmt w:val="lowerRoman"/>
      <w:lvlText w:val="%3."/>
      <w:lvlJc w:val="right"/>
      <w:pPr>
        <w:tabs>
          <w:tab w:val="num" w:pos="2508"/>
        </w:tabs>
        <w:ind w:left="2508" w:hanging="180"/>
      </w:pPr>
    </w:lvl>
    <w:lvl w:ilvl="3" w:tplc="040E000F" w:tentative="1">
      <w:start w:val="1"/>
      <w:numFmt w:val="decimal"/>
      <w:lvlText w:val="%4."/>
      <w:lvlJc w:val="left"/>
      <w:pPr>
        <w:tabs>
          <w:tab w:val="num" w:pos="3228"/>
        </w:tabs>
        <w:ind w:left="3228" w:hanging="360"/>
      </w:pPr>
    </w:lvl>
    <w:lvl w:ilvl="4" w:tplc="040E0019" w:tentative="1">
      <w:start w:val="1"/>
      <w:numFmt w:val="lowerLetter"/>
      <w:lvlText w:val="%5."/>
      <w:lvlJc w:val="left"/>
      <w:pPr>
        <w:tabs>
          <w:tab w:val="num" w:pos="3948"/>
        </w:tabs>
        <w:ind w:left="3948" w:hanging="360"/>
      </w:pPr>
    </w:lvl>
    <w:lvl w:ilvl="5" w:tplc="040E001B" w:tentative="1">
      <w:start w:val="1"/>
      <w:numFmt w:val="lowerRoman"/>
      <w:lvlText w:val="%6."/>
      <w:lvlJc w:val="right"/>
      <w:pPr>
        <w:tabs>
          <w:tab w:val="num" w:pos="4668"/>
        </w:tabs>
        <w:ind w:left="4668" w:hanging="180"/>
      </w:pPr>
    </w:lvl>
    <w:lvl w:ilvl="6" w:tplc="040E000F" w:tentative="1">
      <w:start w:val="1"/>
      <w:numFmt w:val="decimal"/>
      <w:lvlText w:val="%7."/>
      <w:lvlJc w:val="left"/>
      <w:pPr>
        <w:tabs>
          <w:tab w:val="num" w:pos="5388"/>
        </w:tabs>
        <w:ind w:left="5388" w:hanging="360"/>
      </w:pPr>
    </w:lvl>
    <w:lvl w:ilvl="7" w:tplc="040E0019" w:tentative="1">
      <w:start w:val="1"/>
      <w:numFmt w:val="lowerLetter"/>
      <w:lvlText w:val="%8."/>
      <w:lvlJc w:val="left"/>
      <w:pPr>
        <w:tabs>
          <w:tab w:val="num" w:pos="6108"/>
        </w:tabs>
        <w:ind w:left="6108" w:hanging="360"/>
      </w:pPr>
    </w:lvl>
    <w:lvl w:ilvl="8" w:tplc="040E001B" w:tentative="1">
      <w:start w:val="1"/>
      <w:numFmt w:val="lowerRoman"/>
      <w:lvlText w:val="%9."/>
      <w:lvlJc w:val="right"/>
      <w:pPr>
        <w:tabs>
          <w:tab w:val="num" w:pos="6828"/>
        </w:tabs>
        <w:ind w:left="6828" w:hanging="180"/>
      </w:pPr>
    </w:lvl>
  </w:abstractNum>
  <w:abstractNum w:abstractNumId="189">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775C4CDE"/>
    <w:multiLevelType w:val="hybridMultilevel"/>
    <w:tmpl w:val="A1DCE74C"/>
    <w:lvl w:ilvl="0" w:tplc="DA964162">
      <w:start w:val="1"/>
      <w:numFmt w:val="lowerLetter"/>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1">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92">
    <w:nsid w:val="77973075"/>
    <w:multiLevelType w:val="hybridMultilevel"/>
    <w:tmpl w:val="78AE462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3">
    <w:nsid w:val="77BC467B"/>
    <w:multiLevelType w:val="hybridMultilevel"/>
    <w:tmpl w:val="247E6DDA"/>
    <w:lvl w:ilvl="0" w:tplc="B5808BD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95">
    <w:nsid w:val="78B226E4"/>
    <w:multiLevelType w:val="hybridMultilevel"/>
    <w:tmpl w:val="65641C40"/>
    <w:lvl w:ilvl="0" w:tplc="DA8A5C88">
      <w:start w:val="1"/>
      <w:numFmt w:val="lowerLetter"/>
      <w:lvlRestart w:val="0"/>
      <w:lvlText w:val="(%1)"/>
      <w:lvlJc w:val="right"/>
      <w:pPr>
        <w:tabs>
          <w:tab w:val="num" w:pos="227"/>
        </w:tabs>
        <w:ind w:left="227" w:hanging="227"/>
      </w:pPr>
      <w:rPr>
        <w:rFonts w:ascii="Times New Roman" w:hAnsi="Times New Roman" w:hint="eastAsia"/>
        <w:b w:val="0"/>
        <w:i w:val="0"/>
        <w:sz w:val="24"/>
      </w:rPr>
    </w:lvl>
    <w:lvl w:ilvl="1" w:tplc="04090019" w:tentative="1">
      <w:start w:val="1"/>
      <w:numFmt w:val="ideographTraditional"/>
      <w:lvlText w:val="%2、"/>
      <w:lvlJc w:val="left"/>
      <w:pPr>
        <w:tabs>
          <w:tab w:val="num" w:pos="-344"/>
        </w:tabs>
        <w:ind w:left="-344" w:hanging="480"/>
      </w:pPr>
    </w:lvl>
    <w:lvl w:ilvl="2" w:tplc="0409001B" w:tentative="1">
      <w:start w:val="1"/>
      <w:numFmt w:val="lowerRoman"/>
      <w:lvlText w:val="%3."/>
      <w:lvlJc w:val="right"/>
      <w:pPr>
        <w:tabs>
          <w:tab w:val="num" w:pos="136"/>
        </w:tabs>
        <w:ind w:left="136" w:hanging="480"/>
      </w:pPr>
    </w:lvl>
    <w:lvl w:ilvl="3" w:tplc="0409000F" w:tentative="1">
      <w:start w:val="1"/>
      <w:numFmt w:val="decimal"/>
      <w:lvlText w:val="%4."/>
      <w:lvlJc w:val="left"/>
      <w:pPr>
        <w:tabs>
          <w:tab w:val="num" w:pos="616"/>
        </w:tabs>
        <w:ind w:left="616" w:hanging="480"/>
      </w:pPr>
    </w:lvl>
    <w:lvl w:ilvl="4" w:tplc="04090019" w:tentative="1">
      <w:start w:val="1"/>
      <w:numFmt w:val="ideographTraditional"/>
      <w:lvlText w:val="%5、"/>
      <w:lvlJc w:val="left"/>
      <w:pPr>
        <w:tabs>
          <w:tab w:val="num" w:pos="1096"/>
        </w:tabs>
        <w:ind w:left="1096" w:hanging="480"/>
      </w:pPr>
    </w:lvl>
    <w:lvl w:ilvl="5" w:tplc="0409001B" w:tentative="1">
      <w:start w:val="1"/>
      <w:numFmt w:val="lowerRoman"/>
      <w:lvlText w:val="%6."/>
      <w:lvlJc w:val="right"/>
      <w:pPr>
        <w:tabs>
          <w:tab w:val="num" w:pos="1576"/>
        </w:tabs>
        <w:ind w:left="1576" w:hanging="480"/>
      </w:pPr>
    </w:lvl>
    <w:lvl w:ilvl="6" w:tplc="0409000F" w:tentative="1">
      <w:start w:val="1"/>
      <w:numFmt w:val="decimal"/>
      <w:lvlText w:val="%7."/>
      <w:lvlJc w:val="left"/>
      <w:pPr>
        <w:tabs>
          <w:tab w:val="num" w:pos="2056"/>
        </w:tabs>
        <w:ind w:left="2056" w:hanging="480"/>
      </w:pPr>
    </w:lvl>
    <w:lvl w:ilvl="7" w:tplc="04090019" w:tentative="1">
      <w:start w:val="1"/>
      <w:numFmt w:val="ideographTraditional"/>
      <w:lvlText w:val="%8、"/>
      <w:lvlJc w:val="left"/>
      <w:pPr>
        <w:tabs>
          <w:tab w:val="num" w:pos="2536"/>
        </w:tabs>
        <w:ind w:left="2536" w:hanging="480"/>
      </w:pPr>
    </w:lvl>
    <w:lvl w:ilvl="8" w:tplc="0409001B" w:tentative="1">
      <w:start w:val="1"/>
      <w:numFmt w:val="lowerRoman"/>
      <w:lvlText w:val="%9."/>
      <w:lvlJc w:val="right"/>
      <w:pPr>
        <w:tabs>
          <w:tab w:val="num" w:pos="3016"/>
        </w:tabs>
        <w:ind w:left="3016" w:hanging="480"/>
      </w:pPr>
    </w:lvl>
  </w:abstractNum>
  <w:abstractNum w:abstractNumId="196">
    <w:nsid w:val="792269A7"/>
    <w:multiLevelType w:val="hybridMultilevel"/>
    <w:tmpl w:val="E85234A4"/>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7">
    <w:nsid w:val="79A20ED3"/>
    <w:multiLevelType w:val="hybridMultilevel"/>
    <w:tmpl w:val="3684E996"/>
    <w:lvl w:ilvl="0" w:tplc="7BD2C2CA">
      <w:numFmt w:val="bullet"/>
      <w:lvlText w:val="–"/>
      <w:lvlJc w:val="left"/>
      <w:pPr>
        <w:tabs>
          <w:tab w:val="num" w:pos="720"/>
        </w:tabs>
        <w:ind w:left="720" w:hanging="360"/>
      </w:pPr>
      <w:rPr>
        <w:rFonts w:ascii="Times New Roman" w:eastAsia="Times New Roman" w:hAnsi="Times New Roman" w:cs="Times New Roman" w:hint="default"/>
      </w:rPr>
    </w:lvl>
    <w:lvl w:ilvl="1" w:tplc="CDC49516">
      <w:start w:val="1"/>
      <w:numFmt w:val="lowerLetter"/>
      <w:lvlText w:val="%2)"/>
      <w:lvlJc w:val="left"/>
      <w:pPr>
        <w:tabs>
          <w:tab w:val="num" w:pos="1440"/>
        </w:tabs>
        <w:ind w:left="1440" w:hanging="360"/>
      </w:pPr>
      <w:rPr>
        <w:rFonts w:hint="default"/>
      </w:rPr>
    </w:lvl>
    <w:lvl w:ilvl="2" w:tplc="040E0001">
      <w:start w:val="1"/>
      <w:numFmt w:val="bullet"/>
      <w:lvlText w:val=""/>
      <w:lvlJc w:val="left"/>
      <w:pPr>
        <w:tabs>
          <w:tab w:val="num" w:pos="2688"/>
        </w:tabs>
        <w:ind w:left="2688" w:hanging="360"/>
      </w:pPr>
      <w:rPr>
        <w:rFonts w:ascii="Symbol" w:hAnsi="Symbol" w:hint="default"/>
      </w:r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8">
    <w:nsid w:val="7A00168B"/>
    <w:multiLevelType w:val="hybridMultilevel"/>
    <w:tmpl w:val="F7FAF338"/>
    <w:lvl w:ilvl="0" w:tplc="14C8AFDA">
      <w:start w:val="1"/>
      <w:numFmt w:val="decimal"/>
      <w:lvlRestart w:val="0"/>
      <w:lvlText w:val="(%1)"/>
      <w:lvlJc w:val="right"/>
      <w:pPr>
        <w:tabs>
          <w:tab w:val="num" w:pos="1531"/>
        </w:tabs>
        <w:ind w:left="1531" w:hanging="227"/>
      </w:pPr>
      <w:rPr>
        <w:rFonts w:ascii="Times New Roman" w:hAnsi="Times New Roman" w:hint="eastAsia"/>
        <w:b w:val="0"/>
        <w:i w:val="0"/>
        <w:sz w:val="2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9">
    <w:nsid w:val="7A64180E"/>
    <w:multiLevelType w:val="singleLevel"/>
    <w:tmpl w:val="01243D4E"/>
    <w:lvl w:ilvl="0">
      <w:start w:val="1"/>
      <w:numFmt w:val="upperLetter"/>
      <w:lvlText w:val="%1)"/>
      <w:lvlJc w:val="left"/>
      <w:pPr>
        <w:tabs>
          <w:tab w:val="num" w:pos="405"/>
        </w:tabs>
        <w:ind w:left="405" w:hanging="405"/>
      </w:pPr>
      <w:rPr>
        <w:rFonts w:hint="default"/>
      </w:rPr>
    </w:lvl>
  </w:abstractNum>
  <w:abstractNum w:abstractNumId="200">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201">
    <w:nsid w:val="7B036AC6"/>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202">
    <w:nsid w:val="7B2C06FD"/>
    <w:multiLevelType w:val="hybridMultilevel"/>
    <w:tmpl w:val="966E7B50"/>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3">
    <w:nsid w:val="7B6A5765"/>
    <w:multiLevelType w:val="hybridMultilevel"/>
    <w:tmpl w:val="16ECD07A"/>
    <w:lvl w:ilvl="0" w:tplc="B02AD9BE">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4">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205">
    <w:nsid w:val="7CD97226"/>
    <w:multiLevelType w:val="hybridMultilevel"/>
    <w:tmpl w:val="A62EC746"/>
    <w:lvl w:ilvl="0" w:tplc="7BD2C2CA">
      <w:numFmt w:val="bullet"/>
      <w:lvlText w:val="–"/>
      <w:lvlJc w:val="left"/>
      <w:pPr>
        <w:tabs>
          <w:tab w:val="num" w:pos="1080"/>
        </w:tabs>
        <w:ind w:left="108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6">
    <w:nsid w:val="7D3773F8"/>
    <w:multiLevelType w:val="multilevel"/>
    <w:tmpl w:val="C1905238"/>
    <w:lvl w:ilvl="0">
      <w:start w:val="2"/>
      <w:numFmt w:val="bullet"/>
      <w:lvlText w:val="-"/>
      <w:lvlJc w:val="left"/>
      <w:pPr>
        <w:tabs>
          <w:tab w:val="num" w:pos="1665"/>
        </w:tabs>
        <w:ind w:left="1665" w:hanging="945"/>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0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8">
    <w:nsid w:val="7E781793"/>
    <w:multiLevelType w:val="singleLevel"/>
    <w:tmpl w:val="913C4840"/>
    <w:lvl w:ilvl="0">
      <w:start w:val="1"/>
      <w:numFmt w:val="bullet"/>
      <w:lvlText w:val=""/>
      <w:lvlJc w:val="left"/>
      <w:pPr>
        <w:tabs>
          <w:tab w:val="num" w:pos="851"/>
        </w:tabs>
        <w:ind w:left="851" w:hanging="397"/>
      </w:pPr>
      <w:rPr>
        <w:rFonts w:ascii="Symbol" w:hAnsi="Symbol" w:hint="default"/>
      </w:rPr>
    </w:lvl>
  </w:abstractNum>
  <w:abstractNum w:abstractNumId="209">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210">
    <w:nsid w:val="7F192525"/>
    <w:multiLevelType w:val="hybridMultilevel"/>
    <w:tmpl w:val="6B702B26"/>
    <w:lvl w:ilvl="0" w:tplc="B5808BDA">
      <w:numFmt w:val="bullet"/>
      <w:lvlText w:val="-"/>
      <w:lvlJc w:val="left"/>
      <w:pPr>
        <w:tabs>
          <w:tab w:val="num" w:pos="1428"/>
        </w:tabs>
        <w:ind w:left="1428" w:hanging="360"/>
      </w:pPr>
      <w:rPr>
        <w:rFonts w:ascii="Times New Roman" w:eastAsia="Times New Roman" w:hAnsi="Times New Roman" w:cs="Times New Roman" w:hint="default"/>
      </w:rPr>
    </w:lvl>
    <w:lvl w:ilvl="1" w:tplc="040E0003" w:tentative="1">
      <w:start w:val="1"/>
      <w:numFmt w:val="bullet"/>
      <w:lvlText w:val="o"/>
      <w:lvlJc w:val="left"/>
      <w:pPr>
        <w:tabs>
          <w:tab w:val="num" w:pos="2148"/>
        </w:tabs>
        <w:ind w:left="2148" w:hanging="360"/>
      </w:pPr>
      <w:rPr>
        <w:rFonts w:ascii="Courier New" w:hAnsi="Courier New" w:hint="default"/>
      </w:rPr>
    </w:lvl>
    <w:lvl w:ilvl="2" w:tplc="040E0005" w:tentative="1">
      <w:start w:val="1"/>
      <w:numFmt w:val="bullet"/>
      <w:lvlText w:val=""/>
      <w:lvlJc w:val="left"/>
      <w:pPr>
        <w:tabs>
          <w:tab w:val="num" w:pos="2868"/>
        </w:tabs>
        <w:ind w:left="2868" w:hanging="360"/>
      </w:pPr>
      <w:rPr>
        <w:rFonts w:ascii="Wingdings" w:hAnsi="Wingdings" w:hint="default"/>
      </w:rPr>
    </w:lvl>
    <w:lvl w:ilvl="3" w:tplc="040E0001" w:tentative="1">
      <w:start w:val="1"/>
      <w:numFmt w:val="bullet"/>
      <w:lvlText w:val=""/>
      <w:lvlJc w:val="left"/>
      <w:pPr>
        <w:tabs>
          <w:tab w:val="num" w:pos="3588"/>
        </w:tabs>
        <w:ind w:left="3588" w:hanging="360"/>
      </w:pPr>
      <w:rPr>
        <w:rFonts w:ascii="Symbol" w:hAnsi="Symbol" w:hint="default"/>
      </w:rPr>
    </w:lvl>
    <w:lvl w:ilvl="4" w:tplc="040E0003" w:tentative="1">
      <w:start w:val="1"/>
      <w:numFmt w:val="bullet"/>
      <w:lvlText w:val="o"/>
      <w:lvlJc w:val="left"/>
      <w:pPr>
        <w:tabs>
          <w:tab w:val="num" w:pos="4308"/>
        </w:tabs>
        <w:ind w:left="4308" w:hanging="360"/>
      </w:pPr>
      <w:rPr>
        <w:rFonts w:ascii="Courier New" w:hAnsi="Courier New" w:hint="default"/>
      </w:rPr>
    </w:lvl>
    <w:lvl w:ilvl="5" w:tplc="040E0005" w:tentative="1">
      <w:start w:val="1"/>
      <w:numFmt w:val="bullet"/>
      <w:lvlText w:val=""/>
      <w:lvlJc w:val="left"/>
      <w:pPr>
        <w:tabs>
          <w:tab w:val="num" w:pos="5028"/>
        </w:tabs>
        <w:ind w:left="5028" w:hanging="360"/>
      </w:pPr>
      <w:rPr>
        <w:rFonts w:ascii="Wingdings" w:hAnsi="Wingdings" w:hint="default"/>
      </w:rPr>
    </w:lvl>
    <w:lvl w:ilvl="6" w:tplc="040E0001" w:tentative="1">
      <w:start w:val="1"/>
      <w:numFmt w:val="bullet"/>
      <w:lvlText w:val=""/>
      <w:lvlJc w:val="left"/>
      <w:pPr>
        <w:tabs>
          <w:tab w:val="num" w:pos="5748"/>
        </w:tabs>
        <w:ind w:left="5748" w:hanging="360"/>
      </w:pPr>
      <w:rPr>
        <w:rFonts w:ascii="Symbol" w:hAnsi="Symbol" w:hint="default"/>
      </w:rPr>
    </w:lvl>
    <w:lvl w:ilvl="7" w:tplc="040E0003" w:tentative="1">
      <w:start w:val="1"/>
      <w:numFmt w:val="bullet"/>
      <w:lvlText w:val="o"/>
      <w:lvlJc w:val="left"/>
      <w:pPr>
        <w:tabs>
          <w:tab w:val="num" w:pos="6468"/>
        </w:tabs>
        <w:ind w:left="6468" w:hanging="360"/>
      </w:pPr>
      <w:rPr>
        <w:rFonts w:ascii="Courier New" w:hAnsi="Courier New" w:hint="default"/>
      </w:rPr>
    </w:lvl>
    <w:lvl w:ilvl="8" w:tplc="040E0005" w:tentative="1">
      <w:start w:val="1"/>
      <w:numFmt w:val="bullet"/>
      <w:lvlText w:val=""/>
      <w:lvlJc w:val="left"/>
      <w:pPr>
        <w:tabs>
          <w:tab w:val="num" w:pos="7188"/>
        </w:tabs>
        <w:ind w:left="7188" w:hanging="360"/>
      </w:pPr>
      <w:rPr>
        <w:rFonts w:ascii="Wingdings" w:hAnsi="Wingdings" w:hint="default"/>
      </w:rPr>
    </w:lvl>
  </w:abstractNum>
  <w:num w:numId="1">
    <w:abstractNumId w:val="121"/>
  </w:num>
  <w:num w:numId="2">
    <w:abstractNumId w:val="80"/>
  </w:num>
  <w:num w:numId="3">
    <w:abstractNumId w:val="65"/>
  </w:num>
  <w:num w:numId="4">
    <w:abstractNumId w:val="68"/>
  </w:num>
  <w:num w:numId="5">
    <w:abstractNumId w:val="191"/>
  </w:num>
  <w:num w:numId="6">
    <w:abstractNumId w:val="0"/>
  </w:num>
  <w:num w:numId="7">
    <w:abstractNumId w:val="106"/>
  </w:num>
  <w:num w:numId="8">
    <w:abstractNumId w:val="53"/>
  </w:num>
  <w:num w:numId="9">
    <w:abstractNumId w:val="22"/>
  </w:num>
  <w:num w:numId="10">
    <w:abstractNumId w:val="31"/>
  </w:num>
  <w:num w:numId="11">
    <w:abstractNumId w:val="182"/>
  </w:num>
  <w:num w:numId="12">
    <w:abstractNumId w:val="38"/>
  </w:num>
  <w:num w:numId="13">
    <w:abstractNumId w:val="187"/>
  </w:num>
  <w:num w:numId="14">
    <w:abstractNumId w:val="116"/>
  </w:num>
  <w:num w:numId="15">
    <w:abstractNumId w:val="122"/>
  </w:num>
  <w:num w:numId="16">
    <w:abstractNumId w:val="11"/>
  </w:num>
  <w:num w:numId="17">
    <w:abstractNumId w:val="207"/>
  </w:num>
  <w:num w:numId="18">
    <w:abstractNumId w:val="173"/>
  </w:num>
  <w:num w:numId="19">
    <w:abstractNumId w:val="164"/>
  </w:num>
  <w:num w:numId="20">
    <w:abstractNumId w:val="14"/>
  </w:num>
  <w:num w:numId="21">
    <w:abstractNumId w:val="120"/>
  </w:num>
  <w:num w:numId="22">
    <w:abstractNumId w:val="129"/>
  </w:num>
  <w:num w:numId="23">
    <w:abstractNumId w:val="200"/>
  </w:num>
  <w:num w:numId="24">
    <w:abstractNumId w:val="145"/>
  </w:num>
  <w:num w:numId="25">
    <w:abstractNumId w:val="142"/>
  </w:num>
  <w:num w:numId="26">
    <w:abstractNumId w:val="105"/>
  </w:num>
  <w:num w:numId="27">
    <w:abstractNumId w:val="25"/>
  </w:num>
  <w:num w:numId="28">
    <w:abstractNumId w:val="20"/>
  </w:num>
  <w:num w:numId="29">
    <w:abstractNumId w:val="209"/>
  </w:num>
  <w:num w:numId="30">
    <w:abstractNumId w:val="1"/>
  </w:num>
  <w:num w:numId="31">
    <w:abstractNumId w:val="35"/>
  </w:num>
  <w:num w:numId="32">
    <w:abstractNumId w:val="186"/>
  </w:num>
  <w:num w:numId="33">
    <w:abstractNumId w:val="57"/>
  </w:num>
  <w:num w:numId="34">
    <w:abstractNumId w:val="163"/>
  </w:num>
  <w:num w:numId="35">
    <w:abstractNumId w:val="157"/>
  </w:num>
  <w:num w:numId="36">
    <w:abstractNumId w:val="81"/>
  </w:num>
  <w:num w:numId="37">
    <w:abstractNumId w:val="133"/>
  </w:num>
  <w:num w:numId="38">
    <w:abstractNumId w:val="140"/>
  </w:num>
  <w:num w:numId="39">
    <w:abstractNumId w:val="183"/>
  </w:num>
  <w:num w:numId="40">
    <w:abstractNumId w:val="12"/>
  </w:num>
  <w:num w:numId="41">
    <w:abstractNumId w:val="74"/>
  </w:num>
  <w:num w:numId="42">
    <w:abstractNumId w:val="204"/>
  </w:num>
  <w:num w:numId="43">
    <w:abstractNumId w:val="139"/>
  </w:num>
  <w:num w:numId="44">
    <w:abstractNumId w:val="166"/>
  </w:num>
  <w:num w:numId="45">
    <w:abstractNumId w:val="52"/>
  </w:num>
  <w:num w:numId="46">
    <w:abstractNumId w:val="78"/>
  </w:num>
  <w:num w:numId="47">
    <w:abstractNumId w:val="29"/>
  </w:num>
  <w:num w:numId="48">
    <w:abstractNumId w:val="147"/>
  </w:num>
  <w:num w:numId="49">
    <w:abstractNumId w:val="136"/>
  </w:num>
  <w:num w:numId="50">
    <w:abstractNumId w:val="90"/>
  </w:num>
  <w:num w:numId="51">
    <w:abstractNumId w:val="33"/>
  </w:num>
  <w:num w:numId="52">
    <w:abstractNumId w:val="138"/>
  </w:num>
  <w:num w:numId="53">
    <w:abstractNumId w:val="27"/>
  </w:num>
  <w:num w:numId="54">
    <w:abstractNumId w:val="88"/>
  </w:num>
  <w:num w:numId="55">
    <w:abstractNumId w:val="111"/>
  </w:num>
  <w:num w:numId="56">
    <w:abstractNumId w:val="194"/>
  </w:num>
  <w:num w:numId="57">
    <w:abstractNumId w:val="124"/>
  </w:num>
  <w:num w:numId="58">
    <w:abstractNumId w:val="95"/>
  </w:num>
  <w:num w:numId="59">
    <w:abstractNumId w:val="70"/>
  </w:num>
  <w:num w:numId="60">
    <w:abstractNumId w:val="9"/>
  </w:num>
  <w:num w:numId="61">
    <w:abstractNumId w:val="113"/>
  </w:num>
  <w:num w:numId="62">
    <w:abstractNumId w:val="44"/>
  </w:num>
  <w:num w:numId="63">
    <w:abstractNumId w:val="154"/>
  </w:num>
  <w:num w:numId="64">
    <w:abstractNumId w:val="153"/>
  </w:num>
  <w:num w:numId="65">
    <w:abstractNumId w:val="2"/>
  </w:num>
  <w:num w:numId="66">
    <w:abstractNumId w:val="117"/>
  </w:num>
  <w:num w:numId="67">
    <w:abstractNumId w:val="39"/>
  </w:num>
  <w:num w:numId="68">
    <w:abstractNumId w:val="107"/>
  </w:num>
  <w:num w:numId="69">
    <w:abstractNumId w:val="23"/>
  </w:num>
  <w:num w:numId="70">
    <w:abstractNumId w:val="144"/>
  </w:num>
  <w:num w:numId="71">
    <w:abstractNumId w:val="103"/>
  </w:num>
  <w:num w:numId="72">
    <w:abstractNumId w:val="184"/>
  </w:num>
  <w:num w:numId="73">
    <w:abstractNumId w:val="169"/>
  </w:num>
  <w:num w:numId="74">
    <w:abstractNumId w:val="49"/>
  </w:num>
  <w:num w:numId="75">
    <w:abstractNumId w:val="98"/>
  </w:num>
  <w:num w:numId="76">
    <w:abstractNumId w:val="102"/>
  </w:num>
  <w:num w:numId="77">
    <w:abstractNumId w:val="50"/>
  </w:num>
  <w:num w:numId="78">
    <w:abstractNumId w:val="189"/>
  </w:num>
  <w:num w:numId="79">
    <w:abstractNumId w:val="87"/>
  </w:num>
  <w:num w:numId="80">
    <w:abstractNumId w:val="71"/>
  </w:num>
  <w:num w:numId="81">
    <w:abstractNumId w:val="7"/>
  </w:num>
  <w:num w:numId="82">
    <w:abstractNumId w:val="112"/>
  </w:num>
  <w:num w:numId="83">
    <w:abstractNumId w:val="84"/>
  </w:num>
  <w:num w:numId="84">
    <w:abstractNumId w:val="179"/>
  </w:num>
  <w:num w:numId="85">
    <w:abstractNumId w:val="158"/>
  </w:num>
  <w:num w:numId="86">
    <w:abstractNumId w:val="162"/>
  </w:num>
  <w:num w:numId="87">
    <w:abstractNumId w:val="41"/>
  </w:num>
  <w:num w:numId="88">
    <w:abstractNumId w:val="13"/>
  </w:num>
  <w:num w:numId="89">
    <w:abstractNumId w:val="123"/>
  </w:num>
  <w:num w:numId="90">
    <w:abstractNumId w:val="143"/>
  </w:num>
  <w:num w:numId="91">
    <w:abstractNumId w:val="199"/>
  </w:num>
  <w:num w:numId="92">
    <w:abstractNumId w:val="172"/>
  </w:num>
  <w:num w:numId="93">
    <w:abstractNumId w:val="48"/>
  </w:num>
  <w:num w:numId="94">
    <w:abstractNumId w:val="206"/>
  </w:num>
  <w:num w:numId="95">
    <w:abstractNumId w:val="5"/>
  </w:num>
  <w:num w:numId="96">
    <w:abstractNumId w:val="30"/>
  </w:num>
  <w:num w:numId="97">
    <w:abstractNumId w:val="26"/>
  </w:num>
  <w:num w:numId="98">
    <w:abstractNumId w:val="66"/>
  </w:num>
  <w:num w:numId="99">
    <w:abstractNumId w:val="93"/>
  </w:num>
  <w:num w:numId="100">
    <w:abstractNumId w:val="86"/>
  </w:num>
  <w:num w:numId="101">
    <w:abstractNumId w:val="114"/>
  </w:num>
  <w:num w:numId="102">
    <w:abstractNumId w:val="201"/>
  </w:num>
  <w:num w:numId="103">
    <w:abstractNumId w:val="15"/>
  </w:num>
  <w:num w:numId="104">
    <w:abstractNumId w:val="62"/>
  </w:num>
  <w:num w:numId="105">
    <w:abstractNumId w:val="208"/>
  </w:num>
  <w:num w:numId="106">
    <w:abstractNumId w:val="32"/>
  </w:num>
  <w:num w:numId="107">
    <w:abstractNumId w:val="177"/>
  </w:num>
  <w:num w:numId="108">
    <w:abstractNumId w:val="82"/>
  </w:num>
  <w:num w:numId="109">
    <w:abstractNumId w:val="89"/>
  </w:num>
  <w:num w:numId="110">
    <w:abstractNumId w:val="127"/>
  </w:num>
  <w:num w:numId="111">
    <w:abstractNumId w:val="188"/>
  </w:num>
  <w:num w:numId="112">
    <w:abstractNumId w:val="83"/>
  </w:num>
  <w:num w:numId="113">
    <w:abstractNumId w:val="108"/>
  </w:num>
  <w:num w:numId="114">
    <w:abstractNumId w:val="60"/>
  </w:num>
  <w:num w:numId="115">
    <w:abstractNumId w:val="69"/>
  </w:num>
  <w:num w:numId="116">
    <w:abstractNumId w:val="193"/>
  </w:num>
  <w:num w:numId="117">
    <w:abstractNumId w:val="126"/>
  </w:num>
  <w:num w:numId="118">
    <w:abstractNumId w:val="56"/>
  </w:num>
  <w:num w:numId="119">
    <w:abstractNumId w:val="165"/>
  </w:num>
  <w:num w:numId="120">
    <w:abstractNumId w:val="72"/>
  </w:num>
  <w:num w:numId="121">
    <w:abstractNumId w:val="130"/>
  </w:num>
  <w:num w:numId="122">
    <w:abstractNumId w:val="110"/>
  </w:num>
  <w:num w:numId="123">
    <w:abstractNumId w:val="149"/>
  </w:num>
  <w:num w:numId="124">
    <w:abstractNumId w:val="171"/>
  </w:num>
  <w:num w:numId="125">
    <w:abstractNumId w:val="75"/>
  </w:num>
  <w:num w:numId="126">
    <w:abstractNumId w:val="37"/>
  </w:num>
  <w:num w:numId="127">
    <w:abstractNumId w:val="59"/>
  </w:num>
  <w:num w:numId="128">
    <w:abstractNumId w:val="58"/>
  </w:num>
  <w:num w:numId="129">
    <w:abstractNumId w:val="174"/>
  </w:num>
  <w:num w:numId="130">
    <w:abstractNumId w:val="146"/>
  </w:num>
  <w:num w:numId="131">
    <w:abstractNumId w:val="210"/>
  </w:num>
  <w:num w:numId="132">
    <w:abstractNumId w:val="175"/>
  </w:num>
  <w:num w:numId="133">
    <w:abstractNumId w:val="17"/>
  </w:num>
  <w:num w:numId="134">
    <w:abstractNumId w:val="161"/>
  </w:num>
  <w:num w:numId="135">
    <w:abstractNumId w:val="167"/>
  </w:num>
  <w:num w:numId="136">
    <w:abstractNumId w:val="137"/>
  </w:num>
  <w:num w:numId="137">
    <w:abstractNumId w:val="45"/>
  </w:num>
  <w:num w:numId="138">
    <w:abstractNumId w:val="128"/>
  </w:num>
  <w:num w:numId="139">
    <w:abstractNumId w:val="141"/>
  </w:num>
  <w:num w:numId="140">
    <w:abstractNumId w:val="46"/>
  </w:num>
  <w:num w:numId="141">
    <w:abstractNumId w:val="4"/>
  </w:num>
  <w:num w:numId="142">
    <w:abstractNumId w:val="152"/>
  </w:num>
  <w:num w:numId="143">
    <w:abstractNumId w:val="119"/>
  </w:num>
  <w:num w:numId="144">
    <w:abstractNumId w:val="92"/>
  </w:num>
  <w:num w:numId="145">
    <w:abstractNumId w:val="79"/>
  </w:num>
  <w:num w:numId="146">
    <w:abstractNumId w:val="125"/>
  </w:num>
  <w:num w:numId="147">
    <w:abstractNumId w:val="3"/>
  </w:num>
  <w:num w:numId="148">
    <w:abstractNumId w:val="51"/>
  </w:num>
  <w:num w:numId="149">
    <w:abstractNumId w:val="160"/>
  </w:num>
  <w:num w:numId="150">
    <w:abstractNumId w:val="42"/>
  </w:num>
  <w:num w:numId="151">
    <w:abstractNumId w:val="19"/>
  </w:num>
  <w:num w:numId="152">
    <w:abstractNumId w:val="40"/>
  </w:num>
  <w:num w:numId="153">
    <w:abstractNumId w:val="91"/>
  </w:num>
  <w:num w:numId="154">
    <w:abstractNumId w:val="55"/>
  </w:num>
  <w:num w:numId="155">
    <w:abstractNumId w:val="205"/>
  </w:num>
  <w:num w:numId="156">
    <w:abstractNumId w:val="168"/>
  </w:num>
  <w:num w:numId="157">
    <w:abstractNumId w:val="178"/>
  </w:num>
  <w:num w:numId="158">
    <w:abstractNumId w:val="67"/>
  </w:num>
  <w:num w:numId="159">
    <w:abstractNumId w:val="99"/>
  </w:num>
  <w:num w:numId="160">
    <w:abstractNumId w:val="180"/>
  </w:num>
  <w:num w:numId="161">
    <w:abstractNumId w:val="96"/>
  </w:num>
  <w:num w:numId="162">
    <w:abstractNumId w:val="197"/>
  </w:num>
  <w:num w:numId="163">
    <w:abstractNumId w:val="192"/>
  </w:num>
  <w:num w:numId="164">
    <w:abstractNumId w:val="185"/>
  </w:num>
  <w:num w:numId="165">
    <w:abstractNumId w:val="118"/>
  </w:num>
  <w:num w:numId="166">
    <w:abstractNumId w:val="94"/>
  </w:num>
  <w:num w:numId="167">
    <w:abstractNumId w:val="8"/>
  </w:num>
  <w:num w:numId="168">
    <w:abstractNumId w:val="54"/>
  </w:num>
  <w:num w:numId="169">
    <w:abstractNumId w:val="104"/>
  </w:num>
  <w:num w:numId="170">
    <w:abstractNumId w:val="134"/>
  </w:num>
  <w:num w:numId="171">
    <w:abstractNumId w:val="77"/>
  </w:num>
  <w:num w:numId="172">
    <w:abstractNumId w:val="16"/>
  </w:num>
  <w:num w:numId="173">
    <w:abstractNumId w:val="148"/>
  </w:num>
  <w:num w:numId="174">
    <w:abstractNumId w:val="131"/>
  </w:num>
  <w:num w:numId="175">
    <w:abstractNumId w:val="195"/>
  </w:num>
  <w:num w:numId="176">
    <w:abstractNumId w:val="47"/>
  </w:num>
  <w:num w:numId="177">
    <w:abstractNumId w:val="36"/>
  </w:num>
  <w:num w:numId="178">
    <w:abstractNumId w:val="73"/>
  </w:num>
  <w:num w:numId="179">
    <w:abstractNumId w:val="132"/>
  </w:num>
  <w:num w:numId="180">
    <w:abstractNumId w:val="151"/>
  </w:num>
  <w:num w:numId="181">
    <w:abstractNumId w:val="159"/>
  </w:num>
  <w:num w:numId="182">
    <w:abstractNumId w:val="100"/>
  </w:num>
  <w:num w:numId="183">
    <w:abstractNumId w:val="115"/>
  </w:num>
  <w:num w:numId="184">
    <w:abstractNumId w:val="34"/>
  </w:num>
  <w:num w:numId="185">
    <w:abstractNumId w:val="76"/>
  </w:num>
  <w:num w:numId="186">
    <w:abstractNumId w:val="109"/>
  </w:num>
  <w:num w:numId="187">
    <w:abstractNumId w:val="64"/>
  </w:num>
  <w:num w:numId="188">
    <w:abstractNumId w:val="101"/>
  </w:num>
  <w:num w:numId="189">
    <w:abstractNumId w:val="155"/>
  </w:num>
  <w:num w:numId="190">
    <w:abstractNumId w:val="150"/>
  </w:num>
  <w:num w:numId="191">
    <w:abstractNumId w:val="97"/>
  </w:num>
  <w:num w:numId="192">
    <w:abstractNumId w:val="156"/>
  </w:num>
  <w:num w:numId="193">
    <w:abstractNumId w:val="63"/>
  </w:num>
  <w:num w:numId="194">
    <w:abstractNumId w:val="198"/>
  </w:num>
  <w:num w:numId="195">
    <w:abstractNumId w:val="170"/>
  </w:num>
  <w:num w:numId="196">
    <w:abstractNumId w:val="6"/>
  </w:num>
  <w:num w:numId="197">
    <w:abstractNumId w:val="61"/>
  </w:num>
  <w:num w:numId="198">
    <w:abstractNumId w:val="190"/>
  </w:num>
  <w:num w:numId="199">
    <w:abstractNumId w:val="203"/>
  </w:num>
  <w:num w:numId="200">
    <w:abstractNumId w:val="85"/>
  </w:num>
  <w:num w:numId="201">
    <w:abstractNumId w:val="18"/>
  </w:num>
  <w:num w:numId="202">
    <w:abstractNumId w:val="196"/>
  </w:num>
  <w:num w:numId="203">
    <w:abstractNumId w:val="181"/>
  </w:num>
  <w:num w:numId="204">
    <w:abstractNumId w:val="176"/>
  </w:num>
  <w:num w:numId="205">
    <w:abstractNumId w:val="202"/>
  </w:num>
  <w:num w:numId="206">
    <w:abstractNumId w:val="28"/>
  </w:num>
  <w:num w:numId="207">
    <w:abstractNumId w:val="24"/>
  </w:num>
  <w:num w:numId="208">
    <w:abstractNumId w:val="21"/>
  </w:num>
  <w:num w:numId="209">
    <w:abstractNumId w:val="43"/>
  </w:num>
  <w:num w:numId="210">
    <w:abstractNumId w:val="10"/>
  </w:num>
  <w:num w:numId="211">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aliases w:val="Fejléc 2,H2-Sec. Head"/>
    <w:basedOn w:val="Normal"/>
    <w:next w:val="Normal"/>
    <w:qFormat/>
    <w:pPr>
      <w:keepNext/>
      <w:keepLines/>
      <w:spacing w:after="320" w:line="288" w:lineRule="auto"/>
      <w:jc w:val="center"/>
      <w:outlineLvl w:val="1"/>
    </w:pPr>
    <w:rPr>
      <w:kern w:val="28"/>
      <w:sz w:val="28"/>
    </w:rPr>
  </w:style>
  <w:style w:type="paragraph" w:styleId="Heading3">
    <w:name w:val="heading 3"/>
    <w:aliases w:val="H3-Sec. Head"/>
    <w:basedOn w:val="Normal"/>
    <w:next w:val="Normal"/>
    <w:qFormat/>
    <w:pPr>
      <w:keepNext/>
      <w:keepLines/>
      <w:spacing w:after="320"/>
      <w:jc w:val="center"/>
      <w:outlineLvl w:val="2"/>
    </w:pPr>
    <w:rPr>
      <w:kern w:val="28"/>
      <w:u w:val="single"/>
    </w:rPr>
  </w:style>
  <w:style w:type="paragraph" w:styleId="Heading4">
    <w:name w:val="heading 4"/>
    <w:aliases w:val="Numbered -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ParaNo">
    <w:name w:val="ParaNo."/>
    <w:basedOn w:val="Normal"/>
    <w:pPr>
      <w:numPr>
        <w:numId w:val="79"/>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Date">
    <w:name w:val="Date"/>
    <w:basedOn w:val="Normal"/>
    <w:next w:val="Normal"/>
    <w:semiHidden/>
    <w:pPr>
      <w:jc w:val="right"/>
    </w:p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styleId="BodyText">
    <w:name w:val="Body Text"/>
    <w:aliases w:val="normabeh,Szövegtörzs Char,bt,Body Text - Level 2,Standard paragraph"/>
    <w:basedOn w:val="Normal"/>
    <w:semiHidden/>
    <w:pPr>
      <w:widowControl w:val="0"/>
    </w:pPr>
    <w:rPr>
      <w:snapToGrid/>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rFonts w:eastAsia="SimSun"/>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zh.wikipedia.org/w/index.php?title=%E5%AE%89%E5%BE%B7%E6%8B%89%E5%B8%8C%E5%A4%A7%E8%A1%97&amp;action=edit" TargetMode="External"/><Relationship Id="rId18" Type="http://schemas.openxmlformats.org/officeDocument/2006/relationships/hyperlink" Target="http://zh.wikipedia.org/w/index.php?title=%E9%9C%8D%E5%B0%94%E6%89%98%E5%B7%B4%E5%90%89%E5%9B%BD%E5%AE%B6%E5%85%AC%E5%9B%AD&amp;action=edit"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zh.wikipedia.org/w/index.php?title=%E6%89%98%E5%8D%A1%E4%BC%8A&amp;action=edit" TargetMode="External"/><Relationship Id="rId7" Type="http://schemas.openxmlformats.org/officeDocument/2006/relationships/image" Target="media/image1.wmf"/><Relationship Id="rId12" Type="http://schemas.openxmlformats.org/officeDocument/2006/relationships/hyperlink" Target="http://zh.wikipedia.org/w/index.php?title=%E5%B8%83%E8%BE%BE%E5%9F%8E%E5%A0%A1%E5%9C%B0%E5%8C%BA&amp;action=edit" TargetMode="External"/><Relationship Id="rId17" Type="http://schemas.openxmlformats.org/officeDocument/2006/relationships/hyperlink" Target="http://zh.wikipedia.org/wiki/%E5%9F%BA%E7%9D%A3%E6%95%99" TargetMode="External"/><Relationship Id="rId25" Type="http://schemas.openxmlformats.org/officeDocument/2006/relationships/hyperlink" Target="http://www.mszh.hu/English/jogforras/" TargetMode="External"/><Relationship Id="rId2" Type="http://schemas.openxmlformats.org/officeDocument/2006/relationships/styles" Target="styles.xml"/><Relationship Id="rId16" Type="http://schemas.openxmlformats.org/officeDocument/2006/relationships/hyperlink" Target="http://zh.wikipedia.org/w/index.php?title=%E4%BD%A9%E5%A5%87&amp;action=edit" TargetMode="External"/><Relationship Id="rId20" Type="http://schemas.openxmlformats.org/officeDocument/2006/relationships/hyperlink" Target="http://zh.wikipedia.org/w/index.php?title=%E6%96%B0%E9%94%A1%E5%BE%B7%E5%B0%94%E6%B9%96&amp;action=edit"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h.wikipedia.org/wiki/%E5%A4%9A%E7%91%99%E6%B2%B3" TargetMode="External"/><Relationship Id="rId24" Type="http://schemas.openxmlformats.org/officeDocument/2006/relationships/hyperlink" Target="http://zh.wikipedia.org/w/index.php?title=%E6%96%B0%E9%94%A1%E5%BE%B7%E5%B0%94%E6%B9%96&amp;action=edit" TargetMode="External"/><Relationship Id="rId5" Type="http://schemas.openxmlformats.org/officeDocument/2006/relationships/footnotes" Target="footnotes.xml"/><Relationship Id="rId15" Type="http://schemas.openxmlformats.org/officeDocument/2006/relationships/hyperlink" Target="http://zh.wikipedia.org/w/index.php?title=%E5%8D%83%E5%B9%B4%E6%9C%AC%E7%AC%83%E4%BC%9A%E4%BF%AE%E9%81%93%E9%99%A2&amp;action=edit" TargetMode="External"/><Relationship Id="rId23" Type="http://schemas.openxmlformats.org/officeDocument/2006/relationships/hyperlink" Target="http://zh.wikipedia.org/w/index.php?title=%E8%B4%B9%E5%B0%94%E7%89%B9%E6%B9%96&amp;action=edit" TargetMode="External"/><Relationship Id="rId28" Type="http://schemas.openxmlformats.org/officeDocument/2006/relationships/header" Target="header3.xml"/><Relationship Id="rId10" Type="http://schemas.openxmlformats.org/officeDocument/2006/relationships/oleObject" Target="embeddings/oleObject2.bin"/><Relationship Id="rId19" Type="http://schemas.openxmlformats.org/officeDocument/2006/relationships/hyperlink" Target="http://zh.wikipedia.org/w/index.php?title=%E5%8C%88%E7%89%99%E5%88%A9%E5%A4%A7%E5%B9%B3%E5%8E%9F&amp;action=edit"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http://zh.wikipedia.org/w/index.php?title=%E8%93%AC%E5%86%9C%E8%B1%AA%E5%B0%94%E6%AF%9B&amp;action=edit" TargetMode="External"/><Relationship Id="rId22" Type="http://schemas.openxmlformats.org/officeDocument/2006/relationships/hyperlink" Target="http://zh.wikipedia.org/wiki/%E8%91%A1%E8%90%84%E9%85%92" TargetMode="External"/><Relationship Id="rId27" Type="http://schemas.openxmlformats.org/officeDocument/2006/relationships/header" Target="head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157</Pages>
  <Words>18629</Words>
  <Characters>106188</Characters>
  <Application>Microsoft Office Word</Application>
  <DocSecurity>4</DocSecurity>
  <Lines>884</Lines>
  <Paragraphs>212</Paragraphs>
  <ScaleCrop>false</ScaleCrop>
  <HeadingPairs>
    <vt:vector size="4" baseType="variant">
      <vt:variant>
        <vt:lpstr>题目</vt:lpstr>
      </vt:variant>
      <vt:variant>
        <vt:i4>1</vt:i4>
      </vt:variant>
      <vt:variant>
        <vt:lpstr>标题</vt:lpstr>
      </vt:variant>
      <vt:variant>
        <vt:i4>64</vt:i4>
      </vt:variant>
    </vt:vector>
  </HeadingPairs>
  <TitlesOfParts>
    <vt:vector size="65" baseType="lpstr">
      <vt:lpstr>2006年实质性会议</vt:lpstr>
      <vt:lpstr>    《经济、社会、文化权利国际公约》执行情况</vt:lpstr>
      <vt:lpstr>        缔约国根据《公约》第16和第17条 提交的第三次定期报告</vt:lpstr>
      <vt:lpstr>        增  编</vt:lpstr>
      <vt:lpstr>        匈 牙 利 * ** *** </vt:lpstr>
      <vt:lpstr>    导  言</vt:lpstr>
      <vt:lpstr>    第二条――所承认的权利的实现</vt:lpstr>
      <vt:lpstr>    第三条――男女机会平等</vt:lpstr>
      <vt:lpstr>        统计和分析</vt:lpstr>
      <vt:lpstr>        政府的方案和措施</vt:lpstr>
      <vt:lpstr>        法律体系</vt:lpstr>
      <vt:lpstr>    第六条――工作权</vt:lpstr>
      <vt:lpstr>        劳动市场的情况</vt:lpstr>
      <vt:lpstr>        就业政策的目标</vt:lpstr>
      <vt:lpstr>    第七条――公正有利的工作条件</vt:lpstr>
      <vt:lpstr>        工  资</vt:lpstr>
      <vt:lpstr>        职业卫生和安全</vt:lpstr>
      <vt:lpstr>        劳动法关于休息时间和业余时间的规定</vt:lpstr>
      <vt:lpstr>        行使权利</vt:lpstr>
      <vt:lpstr>    第八条――工会</vt:lpstr>
      <vt:lpstr>        工会运作</vt:lpstr>
      <vt:lpstr>        罢 工 权</vt:lpstr>
      <vt:lpstr>    第九条――社会保障</vt:lpstr>
      <vt:lpstr>        匈牙利的强制性社会保障体系</vt:lpstr>
      <vt:lpstr>        退休福利</vt:lpstr>
      <vt:lpstr>        匈牙利的养恤金体系</vt:lpstr>
      <vt:lpstr>        失业福利</vt:lpstr>
      <vt:lpstr>        登记失业人数以及失业福利/支助领取人数的变化趋势 (1996至2000年)</vt:lpstr>
      <vt:lpstr>        领取替代收入的补助和社会支助的人数</vt:lpstr>
      <vt:lpstr>    第十条――保护家庭、母亲和儿童</vt:lpstr>
      <vt:lpstr>        家庭补助</vt:lpstr>
      <vt:lpstr>        低收入家庭现金支助</vt:lpstr>
      <vt:lpstr>        日间照料儿童</vt:lpstr>
      <vt:lpstr>        组建家庭补助</vt:lpstr>
      <vt:lpstr>        对母亲的保护</vt:lpstr>
      <vt:lpstr>        国际援助对落实《公约》第十条的作用</vt:lpstr>
      <vt:lpstr>    第十一条――适足生活水准权</vt:lpstr>
      <vt:lpstr>        2002年至2003年收入变化情况</vt:lpstr>
      <vt:lpstr>        温饱水平</vt:lpstr>
      <vt:lpstr>        匈牙利贫穷状况</vt:lpstr>
      <vt:lpstr>        住  房</vt:lpstr>
      <vt:lpstr>        住宅单位的所有权明细表(百分比)</vt:lpstr>
      <vt:lpstr>        无家可归人员</vt:lpstr>
      <vt:lpstr>        无家可归者临时收容所</vt:lpstr>
      <vt:lpstr>        无家可归人员的夜间收容所</vt:lpstr>
      <vt:lpstr>        无家可归人员居所</vt:lpstr>
      <vt:lpstr>        无家可归人员的制度性复原</vt:lpstr>
      <vt:lpstr>        罗姆族住房状况</vt:lpstr>
      <vt:lpstr>        营养问题和食品卫生</vt:lpstr>
      <vt:lpstr>        获得安全水的机会</vt:lpstr>
      <vt:lpstr>    第十二条――享有能达到的最高的体质和心理 健康的标准的权利</vt:lpstr>
      <vt:lpstr>        法律背景</vt:lpstr>
      <vt:lpstr>        全民的身心健康状况</vt:lpstr>
      <vt:lpstr>        出生人数和出生率</vt:lpstr>
      <vt:lpstr>        1970-2002年婴儿死亡率</vt:lpstr>
      <vt:lpstr>        1970年至2001年期间的预期寿命</vt:lpstr>
      <vt:lpstr>        保健系统的结构</vt:lpstr>
      <vt:lpstr>        计划生育</vt:lpstr>
      <vt:lpstr>        为减少吸烟、酗酒和药物滥用现象以及 预防性传播疾病所采取的措施</vt:lpstr>
      <vt:lpstr>        某些弱势群体的卫生状况</vt:lpstr>
      <vt:lpstr>        为预防健康问题而开展教育</vt:lpstr>
      <vt:lpstr>        确保享有环境卫生权</vt:lpstr>
      <vt:lpstr>    第十三条――教 育 权</vt:lpstr>
      <vt:lpstr>        义务教育</vt:lpstr>
      <vt:lpstr>        学  制</vt:lpstr>
    </vt:vector>
  </TitlesOfParts>
  <Company>Chinese Unit - GE</Company>
  <LinksUpToDate>false</LinksUpToDate>
  <CharactersWithSpaces>130406</CharactersWithSpaces>
  <SharedDoc>false</SharedDoc>
  <HLinks>
    <vt:vector size="132" baseType="variant">
      <vt:variant>
        <vt:i4>458824</vt:i4>
      </vt:variant>
      <vt:variant>
        <vt:i4>68</vt:i4>
      </vt:variant>
      <vt:variant>
        <vt:i4>0</vt:i4>
      </vt:variant>
      <vt:variant>
        <vt:i4>5</vt:i4>
      </vt:variant>
      <vt:variant>
        <vt:lpwstr>http://www.mszh.hu/English/jogforras/</vt:lpwstr>
      </vt:variant>
      <vt:variant>
        <vt:lpwstr/>
      </vt:variant>
      <vt:variant>
        <vt:i4>6946853</vt:i4>
      </vt:variant>
      <vt:variant>
        <vt:i4>65</vt:i4>
      </vt:variant>
      <vt:variant>
        <vt:i4>0</vt:i4>
      </vt:variant>
      <vt:variant>
        <vt:i4>5</vt:i4>
      </vt:variant>
      <vt:variant>
        <vt:lpwstr>http://zh.wikipedia.org/w/index.php?title=%E6%96%B0%E9%94%A1%E5%BE%B7%E5%B0%94%E6%B9%96&amp;action=edit</vt:lpwstr>
      </vt:variant>
      <vt:variant>
        <vt:lpwstr/>
      </vt:variant>
      <vt:variant>
        <vt:i4>4063349</vt:i4>
      </vt:variant>
      <vt:variant>
        <vt:i4>62</vt:i4>
      </vt:variant>
      <vt:variant>
        <vt:i4>0</vt:i4>
      </vt:variant>
      <vt:variant>
        <vt:i4>5</vt:i4>
      </vt:variant>
      <vt:variant>
        <vt:lpwstr>http://zh.wikipedia.org/w/index.php?title=%E8%B4%B9%E5%B0%94%E7%89%B9%E6%B9%96&amp;action=edit</vt:lpwstr>
      </vt:variant>
      <vt:variant>
        <vt:lpwstr/>
      </vt:variant>
      <vt:variant>
        <vt:i4>3735670</vt:i4>
      </vt:variant>
      <vt:variant>
        <vt:i4>59</vt:i4>
      </vt:variant>
      <vt:variant>
        <vt:i4>0</vt:i4>
      </vt:variant>
      <vt:variant>
        <vt:i4>5</vt:i4>
      </vt:variant>
      <vt:variant>
        <vt:lpwstr>http://zh.wikipedia.org/wiki/%E5%96%80%E6%96%AF%E7%89%B9%E5%9C%B0%E5%BD%A2</vt:lpwstr>
      </vt:variant>
      <vt:variant>
        <vt:lpwstr/>
      </vt:variant>
      <vt:variant>
        <vt:i4>6684795</vt:i4>
      </vt:variant>
      <vt:variant>
        <vt:i4>56</vt:i4>
      </vt:variant>
      <vt:variant>
        <vt:i4>0</vt:i4>
      </vt:variant>
      <vt:variant>
        <vt:i4>5</vt:i4>
      </vt:variant>
      <vt:variant>
        <vt:lpwstr>http://zh.wikipedia.org/w/index.php?title=%E5%A5%A5%E6%A0%BC%E6%B3%B0%E8%8E%B1%E5%85%8B&amp;action=edit</vt:lpwstr>
      </vt:variant>
      <vt:variant>
        <vt:lpwstr/>
      </vt:variant>
      <vt:variant>
        <vt:i4>4915290</vt:i4>
      </vt:variant>
      <vt:variant>
        <vt:i4>53</vt:i4>
      </vt:variant>
      <vt:variant>
        <vt:i4>0</vt:i4>
      </vt:variant>
      <vt:variant>
        <vt:i4>5</vt:i4>
      </vt:variant>
      <vt:variant>
        <vt:lpwstr>http://zh.wikipedia.org/wiki/%E8%91%A1%E8%90%84%E9%85%92</vt:lpwstr>
      </vt:variant>
      <vt:variant>
        <vt:lpwstr/>
      </vt:variant>
      <vt:variant>
        <vt:i4>4980736</vt:i4>
      </vt:variant>
      <vt:variant>
        <vt:i4>50</vt:i4>
      </vt:variant>
      <vt:variant>
        <vt:i4>0</vt:i4>
      </vt:variant>
      <vt:variant>
        <vt:i4>5</vt:i4>
      </vt:variant>
      <vt:variant>
        <vt:lpwstr>http://zh.wikipedia.org/w/index.php?title=%E6%89%98%E5%8D%A1%E4%BC%8A&amp;action=edit</vt:lpwstr>
      </vt:variant>
      <vt:variant>
        <vt:lpwstr/>
      </vt:variant>
      <vt:variant>
        <vt:i4>6946853</vt:i4>
      </vt:variant>
      <vt:variant>
        <vt:i4>47</vt:i4>
      </vt:variant>
      <vt:variant>
        <vt:i4>0</vt:i4>
      </vt:variant>
      <vt:variant>
        <vt:i4>5</vt:i4>
      </vt:variant>
      <vt:variant>
        <vt:lpwstr>http://zh.wikipedia.org/w/index.php?title=%E6%96%B0%E9%94%A1%E5%BE%B7%E5%B0%94%E6%B9%96&amp;action=edit</vt:lpwstr>
      </vt:variant>
      <vt:variant>
        <vt:lpwstr/>
      </vt:variant>
      <vt:variant>
        <vt:i4>4063349</vt:i4>
      </vt:variant>
      <vt:variant>
        <vt:i4>44</vt:i4>
      </vt:variant>
      <vt:variant>
        <vt:i4>0</vt:i4>
      </vt:variant>
      <vt:variant>
        <vt:i4>5</vt:i4>
      </vt:variant>
      <vt:variant>
        <vt:lpwstr>http://zh.wikipedia.org/w/index.php?title=%E8%B4%B9%E5%B0%94%E7%89%B9%E6%B9%96&amp;action=edit</vt:lpwstr>
      </vt:variant>
      <vt:variant>
        <vt:lpwstr/>
      </vt:variant>
      <vt:variant>
        <vt:i4>1376261</vt:i4>
      </vt:variant>
      <vt:variant>
        <vt:i4>41</vt:i4>
      </vt:variant>
      <vt:variant>
        <vt:i4>0</vt:i4>
      </vt:variant>
      <vt:variant>
        <vt:i4>5</vt:i4>
      </vt:variant>
      <vt:variant>
        <vt:lpwstr>http://zh.wikipedia.org/w/index.php?title=%E5%8C%88%E7%89%99%E5%88%A9%E5%A4%A7%E5%B9%B3%E5%8E%9F&amp;action=edit</vt:lpwstr>
      </vt:variant>
      <vt:variant>
        <vt:lpwstr/>
      </vt:variant>
      <vt:variant>
        <vt:i4>3801121</vt:i4>
      </vt:variant>
      <vt:variant>
        <vt:i4>38</vt:i4>
      </vt:variant>
      <vt:variant>
        <vt:i4>0</vt:i4>
      </vt:variant>
      <vt:variant>
        <vt:i4>5</vt:i4>
      </vt:variant>
      <vt:variant>
        <vt:lpwstr>http://zh.wikipedia.org/w/index.php?title=%E9%9C%8D%E5%B0%94%E6%89%98%E5%B7%B4%E5%90%89%E5%9B%BD%E5%AE%B6%E5%85%AC%E5%9B%AD&amp;action=edit</vt:lpwstr>
      </vt:variant>
      <vt:variant>
        <vt:lpwstr/>
      </vt:variant>
      <vt:variant>
        <vt:i4>1966086</vt:i4>
      </vt:variant>
      <vt:variant>
        <vt:i4>35</vt:i4>
      </vt:variant>
      <vt:variant>
        <vt:i4>0</vt:i4>
      </vt:variant>
      <vt:variant>
        <vt:i4>5</vt:i4>
      </vt:variant>
      <vt:variant>
        <vt:lpwstr>http://zh.wikipedia.org/wiki/%E5%9F%BA%E7%9D%A3%E6%95%99</vt:lpwstr>
      </vt:variant>
      <vt:variant>
        <vt:lpwstr/>
      </vt:variant>
      <vt:variant>
        <vt:i4>1310731</vt:i4>
      </vt:variant>
      <vt:variant>
        <vt:i4>32</vt:i4>
      </vt:variant>
      <vt:variant>
        <vt:i4>0</vt:i4>
      </vt:variant>
      <vt:variant>
        <vt:i4>5</vt:i4>
      </vt:variant>
      <vt:variant>
        <vt:lpwstr>http://zh.wikipedia.org/w/index.php?title=%E4%BD%A9%E5%A5%87&amp;action=edit</vt:lpwstr>
      </vt:variant>
      <vt:variant>
        <vt:lpwstr/>
      </vt:variant>
      <vt:variant>
        <vt:i4>3735585</vt:i4>
      </vt:variant>
      <vt:variant>
        <vt:i4>29</vt:i4>
      </vt:variant>
      <vt:variant>
        <vt:i4>0</vt:i4>
      </vt:variant>
      <vt:variant>
        <vt:i4>5</vt:i4>
      </vt:variant>
      <vt:variant>
        <vt:lpwstr>http://zh.wikipedia.org/w/index.php?title=%E5%8D%83%E5%B9%B4%E6%9C%AC%E7%AC%83%E4%BC%9A%E4%BF%AE%E9%81%93%E9%99%A2&amp;action=edit</vt:lpwstr>
      </vt:variant>
      <vt:variant>
        <vt:lpwstr/>
      </vt:variant>
      <vt:variant>
        <vt:i4>3866670</vt:i4>
      </vt:variant>
      <vt:variant>
        <vt:i4>26</vt:i4>
      </vt:variant>
      <vt:variant>
        <vt:i4>0</vt:i4>
      </vt:variant>
      <vt:variant>
        <vt:i4>5</vt:i4>
      </vt:variant>
      <vt:variant>
        <vt:lpwstr>http://zh.wikipedia.org/w/index.php?title=%E8%93%AC%E5%86%9C%E8%B1%AA%E5%B0%94%E6%AF%9B&amp;action=edit</vt:lpwstr>
      </vt:variant>
      <vt:variant>
        <vt:lpwstr/>
      </vt:variant>
      <vt:variant>
        <vt:i4>4915202</vt:i4>
      </vt:variant>
      <vt:variant>
        <vt:i4>23</vt:i4>
      </vt:variant>
      <vt:variant>
        <vt:i4>0</vt:i4>
      </vt:variant>
      <vt:variant>
        <vt:i4>5</vt:i4>
      </vt:variant>
      <vt:variant>
        <vt:lpwstr>http://zh.wikipedia.org/w/index.php?title=%E9%9C%8D%E6%B4%9B%E5%85%8B&amp;action=edit</vt:lpwstr>
      </vt:variant>
      <vt:variant>
        <vt:lpwstr/>
      </vt:variant>
      <vt:variant>
        <vt:i4>1704031</vt:i4>
      </vt:variant>
      <vt:variant>
        <vt:i4>20</vt:i4>
      </vt:variant>
      <vt:variant>
        <vt:i4>0</vt:i4>
      </vt:variant>
      <vt:variant>
        <vt:i4>5</vt:i4>
      </vt:variant>
      <vt:variant>
        <vt:lpwstr>http://zh.wikipedia.org/w/index.php?title=%E5%AE%89%E5%BE%B7%E6%8B%89%E5%B8%8C%E5%A4%A7%E8%A1%97&amp;action=edit</vt:lpwstr>
      </vt:variant>
      <vt:variant>
        <vt:lpwstr/>
      </vt:variant>
      <vt:variant>
        <vt:i4>1769487</vt:i4>
      </vt:variant>
      <vt:variant>
        <vt:i4>17</vt:i4>
      </vt:variant>
      <vt:variant>
        <vt:i4>0</vt:i4>
      </vt:variant>
      <vt:variant>
        <vt:i4>5</vt:i4>
      </vt:variant>
      <vt:variant>
        <vt:lpwstr>http://zh.wikipedia.org/w/index.php?title=%E5%B8%83%E8%BE%BE%E5%9F%8E%E5%A0%A1%E5%9C%B0%E5%8C%BA&amp;action=edit</vt:lpwstr>
      </vt:variant>
      <vt:variant>
        <vt:lpwstr/>
      </vt:variant>
      <vt:variant>
        <vt:i4>1704025</vt:i4>
      </vt:variant>
      <vt:variant>
        <vt:i4>14</vt:i4>
      </vt:variant>
      <vt:variant>
        <vt:i4>0</vt:i4>
      </vt:variant>
      <vt:variant>
        <vt:i4>5</vt:i4>
      </vt:variant>
      <vt:variant>
        <vt:lpwstr>http://zh.wikipedia.org/wiki/%E5%A4%9A%E7%91%99%E6%B2%B3</vt:lpwstr>
      </vt:variant>
      <vt:variant>
        <vt:lpwstr/>
      </vt:variant>
      <vt:variant>
        <vt:i4>5963782</vt:i4>
      </vt:variant>
      <vt:variant>
        <vt:i4>11</vt:i4>
      </vt:variant>
      <vt:variant>
        <vt:i4>0</vt:i4>
      </vt:variant>
      <vt:variant>
        <vt:i4>5</vt:i4>
      </vt:variant>
      <vt:variant>
        <vt:lpwstr>http://zh.wikipedia.org/wiki/%E5%B8%83%E8%BE%BE%E4%BD%A9%E6%96%AF</vt:lpwstr>
      </vt:variant>
      <vt:variant>
        <vt:lpwstr/>
      </vt:variant>
      <vt:variant>
        <vt:i4>3735670</vt:i4>
      </vt:variant>
      <vt:variant>
        <vt:i4>8</vt:i4>
      </vt:variant>
      <vt:variant>
        <vt:i4>0</vt:i4>
      </vt:variant>
      <vt:variant>
        <vt:i4>5</vt:i4>
      </vt:variant>
      <vt:variant>
        <vt:lpwstr>http://zh.wikipedia.org/wiki/%E5%96%80%E6%96%AF%E7%89%B9%E5%9C%B0%E5%BD%A2</vt:lpwstr>
      </vt:variant>
      <vt:variant>
        <vt:lpwstr/>
      </vt:variant>
      <vt:variant>
        <vt:i4>6684795</vt:i4>
      </vt:variant>
      <vt:variant>
        <vt:i4>5</vt:i4>
      </vt:variant>
      <vt:variant>
        <vt:i4>0</vt:i4>
      </vt:variant>
      <vt:variant>
        <vt:i4>5</vt:i4>
      </vt:variant>
      <vt:variant>
        <vt:lpwstr>http://zh.wikipedia.org/w/index.php?title=%E5%A5%A5%E6%A0%BC%E6%B3%B0%E8%8E%B1%E5%85%8B&amp;action=edit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2006年实质性会议</dc:title>
  <dc:subject/>
  <dc:creator>Chang</dc:creator>
  <cp:keywords/>
  <dc:description>经济及社会理事会</dc:description>
  <cp:lastModifiedBy>CSD</cp:lastModifiedBy>
  <cp:revision>2</cp:revision>
  <cp:lastPrinted>2006-05-12T08:29:00Z</cp:lastPrinted>
  <dcterms:created xsi:type="dcterms:W3CDTF">2006-05-12T08:43:00Z</dcterms:created>
  <dcterms:modified xsi:type="dcterms:W3CDTF">2006-05-12T08:43:00Z</dcterms:modified>
  <cp:category>E</cp:category>
</cp:coreProperties>
</file>