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282A4D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82A4D" w:rsidP="00282A4D">
            <w:pPr>
              <w:jc w:val="right"/>
            </w:pPr>
            <w:r w:rsidRPr="00282A4D">
              <w:rPr>
                <w:sz w:val="40"/>
              </w:rPr>
              <w:t>CERD</w:t>
            </w:r>
            <w:r>
              <w:t>/C/GEO/Q/4-5</w:t>
            </w:r>
          </w:p>
        </w:tc>
      </w:tr>
      <w:tr w:rsidR="002D5AAC" w:rsidTr="00282A4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160FF7" w:rsidP="008728CD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>la Eliminación de todas 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82A4D" w:rsidRDefault="00282A4D" w:rsidP="00B778C8">
            <w:pPr>
              <w:spacing w:before="240"/>
            </w:pPr>
            <w:r>
              <w:t>Distr. general</w:t>
            </w:r>
          </w:p>
          <w:p w:rsidR="00282A4D" w:rsidRDefault="00282A4D" w:rsidP="00282A4D">
            <w:pPr>
              <w:spacing w:line="240" w:lineRule="exact"/>
            </w:pPr>
            <w:r>
              <w:t>2 de agosto de 2011</w:t>
            </w:r>
          </w:p>
          <w:p w:rsidR="00282A4D" w:rsidRDefault="00282A4D" w:rsidP="00282A4D">
            <w:pPr>
              <w:spacing w:line="240" w:lineRule="exact"/>
            </w:pPr>
            <w:r>
              <w:t>Español</w:t>
            </w:r>
          </w:p>
          <w:p w:rsidR="002D5AAC" w:rsidRDefault="00282A4D" w:rsidP="00282A4D">
            <w:pPr>
              <w:spacing w:line="240" w:lineRule="exact"/>
            </w:pPr>
            <w:r>
              <w:t>Original: inglés</w:t>
            </w:r>
          </w:p>
        </w:tc>
      </w:tr>
    </w:tbl>
    <w:p w:rsidR="00282A4D" w:rsidRPr="001F2741" w:rsidRDefault="00282A4D" w:rsidP="00282A4D">
      <w:pPr>
        <w:spacing w:before="120"/>
        <w:rPr>
          <w:b/>
          <w:sz w:val="24"/>
          <w:szCs w:val="24"/>
        </w:rPr>
      </w:pPr>
      <w:r w:rsidRPr="001F2741">
        <w:rPr>
          <w:b/>
          <w:sz w:val="24"/>
          <w:szCs w:val="24"/>
        </w:rPr>
        <w:t>Comité para la Eliminación de la Discriminación Racial</w:t>
      </w:r>
    </w:p>
    <w:p w:rsidR="00282A4D" w:rsidRPr="001F2741" w:rsidRDefault="00282A4D" w:rsidP="00282A4D">
      <w:pPr>
        <w:rPr>
          <w:b/>
        </w:rPr>
      </w:pPr>
      <w:r w:rsidRPr="001F2741">
        <w:rPr>
          <w:b/>
        </w:rPr>
        <w:t>79º período de sesiones</w:t>
      </w:r>
    </w:p>
    <w:p w:rsidR="00282A4D" w:rsidRPr="001F2741" w:rsidRDefault="00282A4D" w:rsidP="00282A4D">
      <w:r w:rsidRPr="001F2741">
        <w:t>8 de agosto a 2 de septiembre de 2011</w:t>
      </w:r>
    </w:p>
    <w:p w:rsidR="00282A4D" w:rsidRPr="001F2741" w:rsidRDefault="00282A4D" w:rsidP="00282A4D">
      <w:pPr>
        <w:pStyle w:val="HChG"/>
      </w:pPr>
      <w:r w:rsidRPr="001F2741">
        <w:tab/>
      </w:r>
      <w:r w:rsidRPr="001F2741">
        <w:tab/>
        <w:t>Aplicación de la Convención Internacional sobre la Eliminación de todas las Formas de Discriminación</w:t>
      </w:r>
      <w:r w:rsidRPr="001F2741">
        <w:br/>
        <w:t>Racial</w:t>
      </w:r>
    </w:p>
    <w:p w:rsidR="00282A4D" w:rsidRPr="001F2741" w:rsidRDefault="00282A4D" w:rsidP="00282A4D">
      <w:pPr>
        <w:pStyle w:val="H1G"/>
      </w:pPr>
      <w:r w:rsidRPr="001F2741">
        <w:tab/>
      </w:r>
      <w:r w:rsidRPr="001F2741">
        <w:tab/>
        <w:t xml:space="preserve">Lista de temas que deben abordarse al examinar los informes periódicos </w:t>
      </w:r>
      <w:r>
        <w:t xml:space="preserve">cuarto y quinto de Georgia </w:t>
      </w:r>
      <w:r w:rsidRPr="001F2741">
        <w:t>(CERD/C/</w:t>
      </w:r>
      <w:r>
        <w:t>GEO</w:t>
      </w:r>
      <w:r w:rsidRPr="001F2741">
        <w:t>/</w:t>
      </w:r>
      <w:r>
        <w:t>4-5</w:t>
      </w:r>
      <w:r w:rsidRPr="001F2741">
        <w:t>)</w:t>
      </w:r>
      <w:r w:rsidRPr="004062E5">
        <w:rPr>
          <w:rStyle w:val="FootnoteReference"/>
          <w:b w:val="0"/>
          <w:i/>
          <w:sz w:val="20"/>
          <w:vertAlign w:val="baseline"/>
        </w:rPr>
        <w:footnoteReference w:customMarkFollows="1" w:id="1"/>
        <w:t>*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282A4D" w:rsidTr="00282A4D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282A4D" w:rsidRDefault="00282A4D" w:rsidP="00282A4D">
            <w:pPr>
              <w:spacing w:line="240" w:lineRule="auto"/>
            </w:pPr>
          </w:p>
        </w:tc>
      </w:tr>
      <w:tr w:rsidR="00282A4D" w:rsidTr="00282A4D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82A4D" w:rsidRDefault="00282A4D" w:rsidP="00282A4D">
            <w:pPr>
              <w:spacing w:after="120"/>
              <w:jc w:val="both"/>
            </w:pPr>
            <w:r w:rsidRPr="001F2741">
              <w:tab/>
              <w:t xml:space="preserve">La lista de temas que figura a continuación ha sido elaborada por el Relator para el país, con el propósito de utilizarla en el examen de los informes periódicos </w:t>
            </w:r>
            <w:r>
              <w:t xml:space="preserve">cuarto y quinto </w:t>
            </w:r>
            <w:r w:rsidRPr="001F2741">
              <w:t xml:space="preserve">de </w:t>
            </w:r>
            <w:r>
              <w:t>Georgia</w:t>
            </w:r>
            <w:r w:rsidRPr="001F2741">
              <w:t xml:space="preserve">. El objetivo de esta lista es facilitar el diálogo entre la delegación del Estado parte y el Comité, y </w:t>
            </w:r>
            <w:r w:rsidRPr="001F2741">
              <w:rPr>
                <w:i/>
              </w:rPr>
              <w:t>no requiere respuestas por escrito</w:t>
            </w:r>
            <w:r w:rsidRPr="001F2741">
              <w:t>. No es una lista exhaustiva, pues durante el diálogo con el Estado parte podrán abordarse otros asuntos.</w:t>
            </w:r>
          </w:p>
        </w:tc>
      </w:tr>
      <w:tr w:rsidR="00282A4D" w:rsidTr="00282A4D">
        <w:tblPrEx>
          <w:tblCellMar>
            <w:top w:w="0" w:type="dxa"/>
            <w:bottom w:w="0" w:type="dxa"/>
          </w:tblCellMar>
        </w:tblPrEx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282A4D" w:rsidRDefault="00282A4D" w:rsidP="00282A4D">
            <w:pPr>
              <w:spacing w:line="240" w:lineRule="auto"/>
            </w:pPr>
          </w:p>
        </w:tc>
      </w:tr>
    </w:tbl>
    <w:p w:rsidR="00282A4D" w:rsidRPr="001F2741" w:rsidRDefault="00282A4D" w:rsidP="00282A4D">
      <w:pPr>
        <w:pStyle w:val="H23G"/>
      </w:pPr>
      <w:r w:rsidRPr="001F2741">
        <w:tab/>
        <w:t>1.</w:t>
      </w:r>
      <w:r w:rsidRPr="001F2741">
        <w:tab/>
        <w:t xml:space="preserve">La Convención en el derecho interno, marco institucional y de políticas </w:t>
      </w:r>
      <w:r>
        <w:t>y</w:t>
      </w:r>
      <w:r w:rsidRPr="001F2741">
        <w:t xml:space="preserve"> </w:t>
      </w:r>
      <w:r>
        <w:br/>
      </w:r>
      <w:r w:rsidRPr="001F2741">
        <w:t xml:space="preserve">medidas de recurso judicial </w:t>
      </w:r>
      <w:r w:rsidR="00084CBA">
        <w:t>(</w:t>
      </w:r>
      <w:r w:rsidRPr="001F2741">
        <w:t>art</w:t>
      </w:r>
      <w:r>
        <w:t>ículos</w:t>
      </w:r>
      <w:r w:rsidRPr="001F2741">
        <w:t xml:space="preserve"> 2, 4 y 6</w:t>
      </w:r>
      <w:r>
        <w:t>)</w:t>
      </w:r>
    </w:p>
    <w:p w:rsidR="00282A4D" w:rsidRPr="004062E5" w:rsidRDefault="00282A4D" w:rsidP="00282A4D">
      <w:pPr>
        <w:pStyle w:val="SingleTxtG"/>
      </w:pPr>
      <w:r>
        <w:tab/>
      </w:r>
      <w:r w:rsidRPr="004062E5">
        <w:t>a)</w:t>
      </w:r>
      <w:r w:rsidRPr="004062E5">
        <w:tab/>
        <w:t xml:space="preserve">Aprobación del proyecto de </w:t>
      </w:r>
      <w:r>
        <w:t xml:space="preserve">disposiciones legislativas relativas a la </w:t>
      </w:r>
      <w:r w:rsidRPr="004062E5">
        <w:t xml:space="preserve">protección </w:t>
      </w:r>
      <w:r>
        <w:t>de</w:t>
      </w:r>
      <w:r w:rsidRPr="004062E5">
        <w:t xml:space="preserve"> las minorías, así como del proyecto de ley sobre libertad de conciencia y religión y </w:t>
      </w:r>
      <w:r>
        <w:t xml:space="preserve">de </w:t>
      </w:r>
      <w:r w:rsidRPr="004062E5">
        <w:t>la legislación sobre la situación de las lenguas;</w:t>
      </w:r>
    </w:p>
    <w:p w:rsidR="00282A4D" w:rsidRPr="004062E5" w:rsidRDefault="00282A4D" w:rsidP="00282A4D">
      <w:pPr>
        <w:pStyle w:val="SingleTxtG"/>
      </w:pPr>
      <w:r w:rsidRPr="004062E5">
        <w:tab/>
        <w:t>b)</w:t>
      </w:r>
      <w:r w:rsidRPr="004062E5">
        <w:tab/>
        <w:t>Oficina del Defensor del Pueblo de Georgia: estadísticas sobre los casos relacionados con la discriminación racial y de otra índole examinad</w:t>
      </w:r>
      <w:r>
        <w:t>o</w:t>
      </w:r>
      <w:r w:rsidRPr="004062E5">
        <w:t>s por el Defensor del Pueblo; posibilidad de crear un órgano especializado para combatir la discriminación racial;</w:t>
      </w:r>
    </w:p>
    <w:p w:rsidR="00282A4D" w:rsidRPr="004062E5" w:rsidRDefault="00282A4D" w:rsidP="00282A4D">
      <w:pPr>
        <w:pStyle w:val="SingleTxtG"/>
      </w:pPr>
      <w:r w:rsidRPr="004062E5">
        <w:tab/>
        <w:t>c)</w:t>
      </w:r>
      <w:r w:rsidRPr="004062E5">
        <w:tab/>
        <w:t>Casos planteados o examinados por los tribunales y organismos judiciales nacionales durante el período 2006-2011;</w:t>
      </w:r>
    </w:p>
    <w:p w:rsidR="00282A4D" w:rsidRPr="004062E5" w:rsidRDefault="00282A4D" w:rsidP="00282A4D">
      <w:pPr>
        <w:pStyle w:val="SingleTxtG"/>
      </w:pPr>
      <w:r w:rsidRPr="004062E5">
        <w:tab/>
        <w:t>d)</w:t>
      </w:r>
      <w:r w:rsidRPr="004062E5">
        <w:tab/>
        <w:t>Difusión de la Convención entre las autoridades del Estado y el público.</w:t>
      </w:r>
    </w:p>
    <w:p w:rsidR="00282A4D" w:rsidRPr="004062E5" w:rsidRDefault="00282A4D" w:rsidP="00282A4D">
      <w:pPr>
        <w:pStyle w:val="H23G"/>
      </w:pPr>
      <w:r>
        <w:tab/>
      </w:r>
      <w:r w:rsidRPr="004062E5">
        <w:t>2.</w:t>
      </w:r>
      <w:r w:rsidRPr="004062E5">
        <w:tab/>
        <w:t>Situaci</w:t>
      </w:r>
      <w:r>
        <w:t>ón de las minorías (artículo 5)</w:t>
      </w:r>
    </w:p>
    <w:p w:rsidR="00282A4D" w:rsidRPr="004062E5" w:rsidRDefault="00282A4D" w:rsidP="00282A4D">
      <w:pPr>
        <w:pStyle w:val="SingleTxtG"/>
      </w:pPr>
      <w:r w:rsidRPr="004062E5">
        <w:tab/>
        <w:t>a)</w:t>
      </w:r>
      <w:r w:rsidRPr="004062E5">
        <w:tab/>
        <w:t>Utilización de las lenguas de las minorías étnicas en la administración pública;</w:t>
      </w:r>
    </w:p>
    <w:p w:rsidR="00282A4D" w:rsidRPr="004062E5" w:rsidRDefault="00282A4D" w:rsidP="00282A4D">
      <w:pPr>
        <w:pStyle w:val="SingleTxtG"/>
      </w:pPr>
      <w:r w:rsidRPr="004062E5">
        <w:tab/>
        <w:t>b)</w:t>
      </w:r>
      <w:r w:rsidRPr="004062E5">
        <w:tab/>
        <w:t>Consolidación de la enseñanza de la lengua georgiana;</w:t>
      </w:r>
    </w:p>
    <w:p w:rsidR="00282A4D" w:rsidRPr="004062E5" w:rsidRDefault="00282A4D" w:rsidP="00282A4D">
      <w:pPr>
        <w:pStyle w:val="SingleTxtG"/>
      </w:pPr>
      <w:r w:rsidRPr="004062E5">
        <w:tab/>
        <w:t>c)</w:t>
      </w:r>
      <w:r w:rsidRPr="004062E5">
        <w:tab/>
        <w:t xml:space="preserve">Acceso de los estudiantes de las minorías </w:t>
      </w:r>
      <w:r>
        <w:t>a</w:t>
      </w:r>
      <w:r w:rsidRPr="004062E5">
        <w:t xml:space="preserve"> instituciones de enseñanza superior</w:t>
      </w:r>
      <w:r>
        <w:t xml:space="preserve"> y matriculación en las mismas</w:t>
      </w:r>
      <w:r w:rsidRPr="004062E5">
        <w:t xml:space="preserve">, en particular desde la </w:t>
      </w:r>
      <w:r>
        <w:t xml:space="preserve">introducción </w:t>
      </w:r>
      <w:r w:rsidRPr="004062E5">
        <w:t>del examen de ingreso obligatorio;</w:t>
      </w:r>
    </w:p>
    <w:p w:rsidR="00282A4D" w:rsidRPr="004062E5" w:rsidRDefault="00282A4D" w:rsidP="00282A4D">
      <w:pPr>
        <w:pStyle w:val="SingleTxtG"/>
      </w:pPr>
      <w:r w:rsidRPr="004062E5">
        <w:tab/>
        <w:t>d)</w:t>
      </w:r>
      <w:r w:rsidRPr="004062E5">
        <w:tab/>
        <w:t>Prevención de la discrimin</w:t>
      </w:r>
      <w:r>
        <w:t>ación en el acceso al emple</w:t>
      </w:r>
      <w:r w:rsidRPr="004062E5">
        <w:t xml:space="preserve">o, así </w:t>
      </w:r>
      <w:r>
        <w:t>como en</w:t>
      </w:r>
      <w:r w:rsidRPr="004062E5">
        <w:t xml:space="preserve"> la administración de justicia sobre la base de la lengua; disponibilidad de material del Gobierno distribuido al público en las lenguas de las minorías;</w:t>
      </w:r>
    </w:p>
    <w:p w:rsidR="00282A4D" w:rsidRPr="004062E5" w:rsidRDefault="00282A4D" w:rsidP="00282A4D">
      <w:pPr>
        <w:pStyle w:val="SingleTxtG"/>
      </w:pPr>
      <w:r w:rsidRPr="004062E5">
        <w:tab/>
        <w:t>e)</w:t>
      </w:r>
      <w:r w:rsidRPr="004062E5">
        <w:tab/>
        <w:t>Datos sobre la representación de las minorías étnicas en la administ</w:t>
      </w:r>
      <w:r>
        <w:t>ración central y local, incluida</w:t>
      </w:r>
      <w:r w:rsidRPr="004062E5">
        <w:t xml:space="preserve"> </w:t>
      </w:r>
      <w:r>
        <w:t>la</w:t>
      </w:r>
      <w:r w:rsidRPr="004062E5">
        <w:t xml:space="preserve"> </w:t>
      </w:r>
      <w:r>
        <w:t xml:space="preserve">judicatura </w:t>
      </w:r>
      <w:r w:rsidRPr="004062E5">
        <w:t xml:space="preserve">y la policía, así como </w:t>
      </w:r>
      <w:r>
        <w:t xml:space="preserve">su </w:t>
      </w:r>
      <w:r w:rsidRPr="004062E5">
        <w:t>participación en la vida pública y política;</w:t>
      </w:r>
    </w:p>
    <w:p w:rsidR="00282A4D" w:rsidRPr="004062E5" w:rsidRDefault="00282A4D" w:rsidP="00282A4D">
      <w:pPr>
        <w:pStyle w:val="SingleTxtG"/>
      </w:pPr>
      <w:r w:rsidRPr="004062E5">
        <w:tab/>
        <w:t>f)</w:t>
      </w:r>
      <w:r w:rsidRPr="004062E5">
        <w:tab/>
        <w:t>Situación de la minoría meskh; estadística</w:t>
      </w:r>
      <w:r>
        <w:t>s</w:t>
      </w:r>
      <w:r w:rsidRPr="004062E5">
        <w:t xml:space="preserve"> sobre repatriación y ciudadanía y situación de la legislación para impedir la apatridia durante el procedimiento de cambio de nacionalidad;</w:t>
      </w:r>
    </w:p>
    <w:p w:rsidR="00282A4D" w:rsidRPr="004062E5" w:rsidRDefault="00282A4D" w:rsidP="00282A4D">
      <w:pPr>
        <w:pStyle w:val="SingleTxtG"/>
      </w:pPr>
      <w:r w:rsidRPr="004062E5">
        <w:tab/>
        <w:t>g)</w:t>
      </w:r>
      <w:r w:rsidRPr="004062E5">
        <w:tab/>
        <w:t>Situación de las minorías étnicas y religiosas: prevención y control de los estereotipos; prejuicios y malentendidos relativos a las minorías étnicas y religiosas y abusos conexos; respuesta de la policía a los actos de intolerancia religiosa;</w:t>
      </w:r>
    </w:p>
    <w:p w:rsidR="00282A4D" w:rsidRPr="004062E5" w:rsidRDefault="00282A4D" w:rsidP="00282A4D">
      <w:pPr>
        <w:pStyle w:val="SingleTxtG"/>
      </w:pPr>
      <w:r w:rsidRPr="004062E5">
        <w:tab/>
        <w:t>h)</w:t>
      </w:r>
      <w:r w:rsidRPr="004062E5">
        <w:tab/>
        <w:t xml:space="preserve">Medidas para combatir las actitudes ilegales de la policía frente a los grupos minoritarios y </w:t>
      </w:r>
      <w:r>
        <w:t xml:space="preserve">los de </w:t>
      </w:r>
      <w:r w:rsidRPr="004062E5">
        <w:t>no ciudadanos, incluidos aquellos cuya vulnerabilidad se deriva de la falta de conocimiento de la lengua georgiana.</w:t>
      </w:r>
    </w:p>
    <w:p w:rsidR="00282A4D" w:rsidRPr="004062E5" w:rsidRDefault="00282A4D" w:rsidP="00282A4D">
      <w:pPr>
        <w:pStyle w:val="H23G"/>
      </w:pPr>
      <w:r>
        <w:tab/>
      </w:r>
      <w:r w:rsidRPr="004062E5">
        <w:t>3.</w:t>
      </w:r>
      <w:r w:rsidRPr="004062E5">
        <w:tab/>
        <w:t>Situaci</w:t>
      </w:r>
      <w:r>
        <w:t>ón de los romaníes (artículo 5)</w:t>
      </w:r>
    </w:p>
    <w:p w:rsidR="00282A4D" w:rsidRPr="004062E5" w:rsidRDefault="00282A4D" w:rsidP="00282A4D">
      <w:pPr>
        <w:pStyle w:val="SingleTxtG"/>
      </w:pPr>
      <w:r w:rsidRPr="004062E5">
        <w:tab/>
        <w:t xml:space="preserve">Marginación de los romaníes; discriminación en el acceso a la atención de salud y a la escuela; y </w:t>
      </w:r>
      <w:r>
        <w:t>medidas para reducir su pobreza.</w:t>
      </w:r>
    </w:p>
    <w:p w:rsidR="00282A4D" w:rsidRPr="004062E5" w:rsidRDefault="00282A4D" w:rsidP="00282A4D">
      <w:pPr>
        <w:pStyle w:val="H23G"/>
      </w:pPr>
      <w:r>
        <w:tab/>
      </w:r>
      <w:r w:rsidRPr="004062E5">
        <w:t>4.</w:t>
      </w:r>
      <w:r w:rsidRPr="004062E5">
        <w:tab/>
        <w:t>Derechos de los no ciudadanos, incluidos los solicitantes de asilo y refugiados</w:t>
      </w:r>
      <w:r>
        <w:br/>
        <w:t>(artículo 5)</w:t>
      </w:r>
    </w:p>
    <w:p w:rsidR="00282A4D" w:rsidRPr="004062E5" w:rsidRDefault="00282A4D" w:rsidP="00282A4D">
      <w:pPr>
        <w:pStyle w:val="SingleTxtG"/>
      </w:pPr>
      <w:r w:rsidRPr="004062E5">
        <w:tab/>
        <w:t>a)</w:t>
      </w:r>
      <w:r w:rsidRPr="004062E5">
        <w:tab/>
        <w:t>Número y situación de los no ciudadanos y apátridas en el Estado parte;</w:t>
      </w:r>
    </w:p>
    <w:p w:rsidR="00282A4D" w:rsidRPr="004062E5" w:rsidRDefault="00282A4D" w:rsidP="00282A4D">
      <w:pPr>
        <w:pStyle w:val="SingleTxtG"/>
      </w:pPr>
      <w:r w:rsidRPr="004062E5">
        <w:tab/>
        <w:t>b)</w:t>
      </w:r>
      <w:r w:rsidRPr="004062E5">
        <w:tab/>
        <w:t>Situación actual de la protección jurídica y de las garantías procesales relativas a los refugiados y solicitantes de asilo;</w:t>
      </w:r>
    </w:p>
    <w:p w:rsidR="00282A4D" w:rsidRPr="004062E5" w:rsidRDefault="00282A4D" w:rsidP="00282A4D">
      <w:pPr>
        <w:pStyle w:val="SingleTxtG"/>
      </w:pPr>
      <w:r w:rsidRPr="004062E5">
        <w:tab/>
        <w:t>c)</w:t>
      </w:r>
      <w:r w:rsidRPr="004062E5">
        <w:tab/>
        <w:t>Acceso a la atención de salud y a la justicia.</w:t>
      </w:r>
    </w:p>
    <w:p w:rsidR="00282A4D" w:rsidRPr="004062E5" w:rsidRDefault="00282A4D" w:rsidP="00282A4D">
      <w:pPr>
        <w:pStyle w:val="H23G"/>
      </w:pPr>
      <w:r>
        <w:tab/>
      </w:r>
      <w:r w:rsidRPr="004062E5">
        <w:t>5.</w:t>
      </w:r>
      <w:r w:rsidRPr="004062E5">
        <w:tab/>
        <w:t xml:space="preserve">Situación de los desplazados internos </w:t>
      </w:r>
      <w:r>
        <w:t>en el Estado parte (artículo 5)</w:t>
      </w:r>
    </w:p>
    <w:p w:rsidR="00282A4D" w:rsidRPr="004062E5" w:rsidRDefault="00282A4D" w:rsidP="00282A4D">
      <w:pPr>
        <w:pStyle w:val="SingleTxtG"/>
      </w:pPr>
      <w:r w:rsidRPr="004062E5">
        <w:tab/>
        <w:t>a)</w:t>
      </w:r>
      <w:r w:rsidRPr="004062E5">
        <w:tab/>
        <w:t xml:space="preserve">Situación y número de desplazados internos, entre ellos los </w:t>
      </w:r>
      <w:r>
        <w:t xml:space="preserve">generados por </w:t>
      </w:r>
      <w:r w:rsidRPr="004062E5">
        <w:t>el conflicto de 2008;</w:t>
      </w:r>
    </w:p>
    <w:p w:rsidR="00282A4D" w:rsidRPr="004062E5" w:rsidRDefault="00282A4D" w:rsidP="00282A4D">
      <w:pPr>
        <w:pStyle w:val="SingleTxtG"/>
      </w:pPr>
      <w:r w:rsidRPr="004062E5">
        <w:tab/>
        <w:t>b)</w:t>
      </w:r>
      <w:r w:rsidRPr="004062E5">
        <w:tab/>
        <w:t>Acceso a la atención de salud, empleo, educación y seguridad social para los desplazados internos, así como condiciones de vida actuales de los expulsados por la fuerza de Tbilisi en 2010;</w:t>
      </w:r>
    </w:p>
    <w:p w:rsidR="00282A4D" w:rsidRPr="004062E5" w:rsidRDefault="00282A4D" w:rsidP="00282A4D">
      <w:pPr>
        <w:pStyle w:val="SingleTxtG"/>
        <w:spacing w:after="240"/>
      </w:pPr>
      <w:r w:rsidRPr="004062E5">
        <w:tab/>
        <w:t>c)</w:t>
      </w:r>
      <w:r w:rsidRPr="004062E5">
        <w:tab/>
        <w:t xml:space="preserve">Situación del requisito de </w:t>
      </w:r>
      <w:r>
        <w:t xml:space="preserve">notificación verbal con </w:t>
      </w:r>
      <w:r w:rsidRPr="004062E5">
        <w:t>cinco días</w:t>
      </w:r>
      <w:r>
        <w:t xml:space="preserve"> de antelación</w:t>
      </w:r>
      <w:r w:rsidRPr="004062E5">
        <w:t>.</w:t>
      </w:r>
    </w:p>
    <w:p w:rsidR="00282A4D" w:rsidRPr="004062E5" w:rsidRDefault="00282A4D" w:rsidP="00282A4D">
      <w:pPr>
        <w:pStyle w:val="SingleTxtG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82A4D" w:rsidRDefault="00282A4D" w:rsidP="00282A4D">
      <w:pPr>
        <w:pStyle w:val="SingleTxtG"/>
      </w:pPr>
    </w:p>
    <w:p w:rsidR="006F35EE" w:rsidRDefault="006F35EE" w:rsidP="001075E9"/>
    <w:p w:rsidR="00381C24" w:rsidRPr="001075E9" w:rsidRDefault="00381C24" w:rsidP="001075E9"/>
    <w:sectPr w:rsidR="00381C24" w:rsidRPr="001075E9" w:rsidSect="00282A4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15F7" w:rsidRDefault="00A115F7">
      <w:r>
        <w:separator/>
      </w:r>
    </w:p>
  </w:endnote>
  <w:endnote w:type="continuationSeparator" w:id="0">
    <w:p w:rsidR="00A115F7" w:rsidRDefault="00A11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519" w:rsidRPr="00282A4D" w:rsidRDefault="00AB0519" w:rsidP="00282A4D">
    <w:pPr>
      <w:pStyle w:val="Footer"/>
      <w:tabs>
        <w:tab w:val="right" w:pos="9638"/>
      </w:tabs>
    </w:pPr>
    <w:r w:rsidRPr="00282A4D">
      <w:rPr>
        <w:b/>
        <w:sz w:val="18"/>
      </w:rPr>
      <w:fldChar w:fldCharType="begin"/>
    </w:r>
    <w:r w:rsidRPr="00282A4D">
      <w:rPr>
        <w:b/>
        <w:sz w:val="18"/>
      </w:rPr>
      <w:instrText xml:space="preserve"> PAGE  \* MERGEFORMAT </w:instrText>
    </w:r>
    <w:r w:rsidRPr="00282A4D">
      <w:rPr>
        <w:b/>
        <w:sz w:val="18"/>
      </w:rPr>
      <w:fldChar w:fldCharType="separate"/>
    </w:r>
    <w:r w:rsidR="0097516F">
      <w:rPr>
        <w:b/>
        <w:noProof/>
        <w:sz w:val="18"/>
      </w:rPr>
      <w:t>2</w:t>
    </w:r>
    <w:r w:rsidRPr="00282A4D">
      <w:rPr>
        <w:b/>
        <w:sz w:val="18"/>
      </w:rPr>
      <w:fldChar w:fldCharType="end"/>
    </w:r>
    <w:r>
      <w:rPr>
        <w:b/>
        <w:sz w:val="18"/>
      </w:rPr>
      <w:tab/>
    </w:r>
    <w:r>
      <w:t>GE.11-44568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519" w:rsidRPr="00282A4D" w:rsidRDefault="00AB0519" w:rsidP="00282A4D">
    <w:pPr>
      <w:pStyle w:val="Footer"/>
      <w:tabs>
        <w:tab w:val="right" w:pos="9638"/>
      </w:tabs>
      <w:rPr>
        <w:b/>
        <w:sz w:val="18"/>
      </w:rPr>
    </w:pPr>
    <w:r>
      <w:t>GE.11-44568</w:t>
    </w:r>
    <w:r>
      <w:tab/>
    </w:r>
    <w:r w:rsidRPr="00282A4D">
      <w:rPr>
        <w:b/>
        <w:sz w:val="18"/>
      </w:rPr>
      <w:fldChar w:fldCharType="begin"/>
    </w:r>
    <w:r w:rsidRPr="00282A4D">
      <w:rPr>
        <w:b/>
        <w:sz w:val="18"/>
      </w:rPr>
      <w:instrText xml:space="preserve"> PAGE  \* MERGEFORMAT </w:instrText>
    </w:r>
    <w:r w:rsidRPr="00282A4D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282A4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519" w:rsidRPr="00282A4D" w:rsidRDefault="00AB0519">
    <w:pPr>
      <w:pStyle w:val="Footer"/>
      <w:rPr>
        <w:sz w:val="20"/>
      </w:rPr>
    </w:pPr>
    <w:r>
      <w:rPr>
        <w:sz w:val="20"/>
      </w:rPr>
      <w:t>GE.</w: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 w:rsidR="00FD503A">
      <w:rPr>
        <w:sz w:val="20"/>
      </w:rPr>
      <w:t>11-44568  (S)    230811    260811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15F7" w:rsidRPr="001075E9" w:rsidRDefault="00A115F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115F7" w:rsidRDefault="00A115F7">
      <w:r>
        <w:continuationSeparator/>
      </w:r>
    </w:p>
  </w:footnote>
  <w:footnote w:id="1">
    <w:p w:rsidR="00AB0519" w:rsidRPr="001F2741" w:rsidRDefault="00AB0519" w:rsidP="00282A4D">
      <w:pPr>
        <w:pStyle w:val="FootnoteText"/>
        <w:rPr>
          <w:sz w:val="20"/>
        </w:rPr>
      </w:pPr>
      <w:r>
        <w:tab/>
      </w:r>
      <w:r w:rsidRPr="001F2741">
        <w:rPr>
          <w:rStyle w:val="FootnoteReference"/>
          <w:sz w:val="20"/>
          <w:vertAlign w:val="baseline"/>
        </w:rPr>
        <w:t>*</w:t>
      </w:r>
      <w:r w:rsidRPr="001F2741">
        <w:tab/>
      </w:r>
      <w:r w:rsidRPr="001F2741">
        <w:rPr>
          <w:lang w:val="es-ES_tradnl"/>
        </w:rPr>
        <w:t>Presentado</w:t>
      </w:r>
      <w:r>
        <w:rPr>
          <w:lang w:val="es-ES_tradnl"/>
        </w:rPr>
        <w:t>s</w:t>
      </w:r>
      <w:r w:rsidRPr="001F2741">
        <w:rPr>
          <w:lang w:val="es-ES_tradnl"/>
        </w:rPr>
        <w:t xml:space="preserve"> con retraso.</w:t>
      </w:r>
      <w:r>
        <w:rPr>
          <w:lang w:val="es-ES_tradnl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519" w:rsidRPr="00282A4D" w:rsidRDefault="00AB0519">
    <w:pPr>
      <w:pStyle w:val="Header"/>
    </w:pPr>
    <w:r>
      <w:t>CERD/C/GEO/Q/4-5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0519" w:rsidRPr="00282A4D" w:rsidRDefault="00AB0519" w:rsidP="00282A4D">
    <w:pPr>
      <w:pStyle w:val="Header"/>
      <w:jc w:val="right"/>
    </w:pPr>
    <w:r>
      <w:t>CERD/C/GEO/Q/4-5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690B"/>
    <w:rsid w:val="00006BB9"/>
    <w:rsid w:val="000107A1"/>
    <w:rsid w:val="0002339D"/>
    <w:rsid w:val="00036733"/>
    <w:rsid w:val="00084CBA"/>
    <w:rsid w:val="000B57E7"/>
    <w:rsid w:val="000D193F"/>
    <w:rsid w:val="000F09DF"/>
    <w:rsid w:val="000F61B2"/>
    <w:rsid w:val="001075E9"/>
    <w:rsid w:val="00145F2F"/>
    <w:rsid w:val="00160FF7"/>
    <w:rsid w:val="00180183"/>
    <w:rsid w:val="00196389"/>
    <w:rsid w:val="001C7A89"/>
    <w:rsid w:val="00201F1A"/>
    <w:rsid w:val="002433EC"/>
    <w:rsid w:val="0025226E"/>
    <w:rsid w:val="00282A4D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3A690B"/>
    <w:rsid w:val="004031F0"/>
    <w:rsid w:val="00454E07"/>
    <w:rsid w:val="00471CB3"/>
    <w:rsid w:val="0050108D"/>
    <w:rsid w:val="0051740C"/>
    <w:rsid w:val="00572E19"/>
    <w:rsid w:val="005E37F9"/>
    <w:rsid w:val="005F0B42"/>
    <w:rsid w:val="00634841"/>
    <w:rsid w:val="00655A21"/>
    <w:rsid w:val="006725B3"/>
    <w:rsid w:val="006808A9"/>
    <w:rsid w:val="006D631C"/>
    <w:rsid w:val="006F35EE"/>
    <w:rsid w:val="007021FF"/>
    <w:rsid w:val="007076CB"/>
    <w:rsid w:val="007967DF"/>
    <w:rsid w:val="00834B71"/>
    <w:rsid w:val="0086445C"/>
    <w:rsid w:val="00865FAC"/>
    <w:rsid w:val="008728CD"/>
    <w:rsid w:val="008A08D7"/>
    <w:rsid w:val="008A13F9"/>
    <w:rsid w:val="008C0F65"/>
    <w:rsid w:val="00906890"/>
    <w:rsid w:val="00951972"/>
    <w:rsid w:val="00954E65"/>
    <w:rsid w:val="0097516F"/>
    <w:rsid w:val="00A115F7"/>
    <w:rsid w:val="00A17DFD"/>
    <w:rsid w:val="00A4674B"/>
    <w:rsid w:val="00A917B3"/>
    <w:rsid w:val="00AB0519"/>
    <w:rsid w:val="00AB4B51"/>
    <w:rsid w:val="00B066FC"/>
    <w:rsid w:val="00B10CC7"/>
    <w:rsid w:val="00B62458"/>
    <w:rsid w:val="00B778C8"/>
    <w:rsid w:val="00BB36EA"/>
    <w:rsid w:val="00BD33EE"/>
    <w:rsid w:val="00BE23AD"/>
    <w:rsid w:val="00C60F0C"/>
    <w:rsid w:val="00C63C2A"/>
    <w:rsid w:val="00C805C9"/>
    <w:rsid w:val="00CA1679"/>
    <w:rsid w:val="00D05347"/>
    <w:rsid w:val="00D90138"/>
    <w:rsid w:val="00E73F76"/>
    <w:rsid w:val="00EA31D8"/>
    <w:rsid w:val="00EA5579"/>
    <w:rsid w:val="00EF1360"/>
    <w:rsid w:val="00EF3220"/>
    <w:rsid w:val="00EF7198"/>
    <w:rsid w:val="00F41883"/>
    <w:rsid w:val="00F94155"/>
    <w:rsid w:val="00FD2EF7"/>
    <w:rsid w:val="00FD4AD6"/>
    <w:rsid w:val="00FD503A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A31D8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EA31D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A31D8"/>
  </w:style>
  <w:style w:type="character" w:styleId="FootnoteReference">
    <w:name w:val="footnote reference"/>
    <w:aliases w:val="4_G"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autoRedefine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semiHidden/>
    <w:rsid w:val="00EA31D8"/>
    <w:rPr>
      <w:i/>
      <w:iCs/>
    </w:rPr>
  </w:style>
  <w:style w:type="character" w:styleId="HTMLCode">
    <w:name w:val="HTML Code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qFormat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semiHidden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semiHidden/>
    <w:rsid w:val="00EA31D8"/>
    <w:rPr>
      <w:color w:val="0000FF"/>
      <w:u w:val="single"/>
    </w:rPr>
  </w:style>
  <w:style w:type="character" w:styleId="FollowedHyperlink">
    <w:name w:val="FollowedHyperlink"/>
    <w:semiHidden/>
    <w:rsid w:val="00EA31D8"/>
    <w:rPr>
      <w:color w:val="800080"/>
      <w:u w:val="singl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semiHidden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semiHidden/>
    <w:rsid w:val="00EA31D8"/>
    <w:pPr>
      <w:numPr>
        <w:numId w:val="12"/>
      </w:numPr>
    </w:pPr>
  </w:style>
  <w:style w:type="paragraph" w:styleId="ListBullet3">
    <w:name w:val="List Bullet 3"/>
    <w:basedOn w:val="Normal"/>
    <w:semiHidden/>
    <w:rsid w:val="00EA31D8"/>
    <w:pPr>
      <w:numPr>
        <w:numId w:val="13"/>
      </w:numPr>
    </w:pPr>
  </w:style>
  <w:style w:type="paragraph" w:styleId="ListBullet4">
    <w:name w:val="List Bullet 4"/>
    <w:basedOn w:val="Normal"/>
    <w:semiHidden/>
    <w:rsid w:val="00EA31D8"/>
    <w:pPr>
      <w:numPr>
        <w:numId w:val="14"/>
      </w:numPr>
    </w:pPr>
  </w:style>
  <w:style w:type="paragraph" w:styleId="ListBullet5">
    <w:name w:val="List Bullet 5"/>
    <w:basedOn w:val="Normal"/>
    <w:semiHidden/>
    <w:rsid w:val="00EA31D8"/>
    <w:pPr>
      <w:numPr>
        <w:numId w:val="15"/>
      </w:numPr>
    </w:pPr>
  </w:style>
  <w:style w:type="character" w:styleId="HTMLTypewriter">
    <w:name w:val="HTML Typewriter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rsid w:val="00EA31D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qFormat/>
    <w:rsid w:val="00EA31D8"/>
    <w:rPr>
      <w:b/>
      <w:bCs/>
    </w:rPr>
  </w:style>
  <w:style w:type="paragraph" w:styleId="BodyText">
    <w:name w:val="Body Text"/>
    <w:basedOn w:val="Normal"/>
    <w:semiHidden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EA31D8"/>
    <w:rPr>
      <w:i/>
      <w:iCs/>
    </w:rPr>
  </w:style>
  <w:style w:type="paragraph" w:customStyle="1" w:styleId="Bullet1G">
    <w:name w:val="_Bullet 1_G"/>
    <w:basedOn w:val="Normal"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EA31D8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7</TotalTime>
  <Pages>2</Pages>
  <Words>647</Words>
  <Characters>3560</Characters>
  <Application>Microsoft Office Word</Application>
  <DocSecurity>4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CERD/C/GEO/Q/4-5 - 11-44568</vt:lpstr>
    </vt:vector>
  </TitlesOfParts>
  <Company/>
  <LinksUpToDate>false</LinksUpToDate>
  <CharactersWithSpaces>4199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CERD/C/GEO/Q/4-5 - 11-44568</dc:title>
  <dc:subject>FINAL</dc:subject>
  <dc:creator>Mabel Parada</dc:creator>
  <cp:keywords/>
  <dc:description/>
  <cp:lastModifiedBy>Traductor</cp:lastModifiedBy>
  <cp:revision>2</cp:revision>
  <cp:lastPrinted>2011-08-26T06:53:00Z</cp:lastPrinted>
  <dcterms:created xsi:type="dcterms:W3CDTF">2011-08-26T08:56:00Z</dcterms:created>
  <dcterms:modified xsi:type="dcterms:W3CDTF">2011-08-26T08:56:00Z</dcterms:modified>
</cp:coreProperties>
</file>