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AAB" w:rsidRDefault="00A26AAB" w:rsidP="00A26AAB">
      <w:pPr>
        <w:spacing w:line="60" w:lineRule="exact"/>
        <w:rPr>
          <w:sz w:val="6"/>
        </w:rPr>
        <w:sectPr w:rsidR="00A26AAB" w:rsidSect="00A26AA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A26AAB" w:rsidRDefault="00A26AAB" w:rsidP="00A26AAB">
      <w:pPr>
        <w:spacing w:line="60" w:lineRule="exact"/>
        <w:rPr>
          <w:sz w:val="6"/>
        </w:rPr>
      </w:pPr>
    </w:p>
    <w:p w:rsidR="00FB4792" w:rsidRDefault="00FB4792" w:rsidP="00FB4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FB4792" w:rsidRPr="00FB4792" w:rsidRDefault="00FB4792" w:rsidP="00FB4792">
      <w:pPr>
        <w:pStyle w:val="SingleTxt"/>
        <w:spacing w:after="60"/>
        <w:ind w:left="0"/>
        <w:rPr>
          <w:rFonts w:ascii="SimHei" w:eastAsia="SimHei" w:hint="eastAsia"/>
          <w:color w:val="FF0000"/>
        </w:rPr>
      </w:pPr>
      <w:r w:rsidRPr="00FB4792">
        <w:rPr>
          <w:rFonts w:ascii="SimHei" w:eastAsia="SimHei" w:hint="eastAsia"/>
          <w:color w:val="FF0000"/>
        </w:rPr>
        <w:t>会前工作组第三十八届会议</w:t>
      </w:r>
    </w:p>
    <w:p w:rsidR="00FB4792" w:rsidRDefault="00FB4792" w:rsidP="00FB4792">
      <w:pPr>
        <w:pStyle w:val="SingleTxt"/>
        <w:spacing w:after="60"/>
        <w:ind w:left="0"/>
        <w:rPr>
          <w:rFonts w:hint="eastAsia"/>
        </w:rPr>
      </w:pPr>
      <w:r>
        <w:rPr>
          <w:rFonts w:hint="eastAsia"/>
        </w:rPr>
        <w:t>2007年5月14日至6月1日</w:t>
      </w:r>
    </w:p>
    <w:p w:rsidR="00FB4792" w:rsidRPr="00FB4792" w:rsidRDefault="00FB4792" w:rsidP="00FB4792">
      <w:pPr>
        <w:pStyle w:val="SingleTxt"/>
        <w:spacing w:after="0" w:line="120" w:lineRule="exact"/>
        <w:rPr>
          <w:rFonts w:hint="eastAsia"/>
          <w:sz w:val="10"/>
        </w:rPr>
      </w:pPr>
    </w:p>
    <w:p w:rsidR="00FB4792" w:rsidRPr="00FB4792" w:rsidRDefault="00FB4792" w:rsidP="00FB4792">
      <w:pPr>
        <w:pStyle w:val="SingleTxt"/>
        <w:spacing w:after="0" w:line="120" w:lineRule="exact"/>
        <w:rPr>
          <w:rFonts w:hint="eastAsia"/>
          <w:sz w:val="10"/>
        </w:rPr>
      </w:pPr>
    </w:p>
    <w:p w:rsidR="00FB4792" w:rsidRDefault="00FB4792" w:rsidP="00FB479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sidRPr="00FB4792">
        <w:rPr>
          <w:rFonts w:hint="eastAsia"/>
        </w:rPr>
        <w:t>与审议初次和定期报告有关的议题和问题清单</w:t>
      </w:r>
      <w:r w:rsidRPr="00FB4792">
        <w:rPr>
          <w:rStyle w:val="FootnoteReference"/>
          <w:sz w:val="21"/>
        </w:rPr>
        <w:footnoteReference w:customMarkFollows="1" w:id="1"/>
        <w:sym w:font="Symbol" w:char="F02A"/>
      </w:r>
    </w:p>
    <w:p w:rsidR="00FB4792" w:rsidRPr="00FB4792" w:rsidRDefault="00FB4792" w:rsidP="00FB4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rFonts w:hint="eastAsia"/>
          <w:sz w:val="10"/>
        </w:rPr>
      </w:pPr>
    </w:p>
    <w:p w:rsidR="00FB4792" w:rsidRPr="00FB4792" w:rsidRDefault="00FB4792" w:rsidP="00FB4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rFonts w:hint="eastAsia"/>
          <w:sz w:val="10"/>
        </w:rPr>
      </w:pPr>
    </w:p>
    <w:p w:rsidR="00FB4792" w:rsidRPr="00FB4792" w:rsidRDefault="00FB4792" w:rsidP="00FB4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sidRPr="00FB4792">
        <w:rPr>
          <w:rFonts w:hint="eastAsia"/>
        </w:rPr>
        <w:t>巴基斯坦</w:t>
      </w:r>
    </w:p>
    <w:p w:rsidR="00FB4792" w:rsidRPr="00FB4792" w:rsidRDefault="00FB4792" w:rsidP="00FB4792">
      <w:pPr>
        <w:pStyle w:val="SingleTxt"/>
        <w:spacing w:after="0" w:line="120" w:lineRule="exact"/>
        <w:rPr>
          <w:rFonts w:hint="eastAsia"/>
          <w:sz w:val="10"/>
        </w:rPr>
      </w:pPr>
    </w:p>
    <w:p w:rsidR="00FB4792" w:rsidRPr="00FB4792" w:rsidRDefault="00FB4792" w:rsidP="00FB4792">
      <w:pPr>
        <w:pStyle w:val="SingleTxt"/>
        <w:spacing w:after="0" w:line="120" w:lineRule="exact"/>
        <w:rPr>
          <w:rFonts w:hint="eastAsia"/>
          <w:sz w:val="10"/>
        </w:rPr>
      </w:pPr>
    </w:p>
    <w:p w:rsidR="00FB4792" w:rsidRDefault="00FB4792" w:rsidP="00FB4792">
      <w:pPr>
        <w:pStyle w:val="SingleTxt"/>
        <w:rPr>
          <w:rFonts w:hint="eastAsia"/>
        </w:rPr>
      </w:pPr>
      <w:r>
        <w:rPr>
          <w:rFonts w:hint="eastAsia"/>
        </w:rPr>
        <w:t>1.</w:t>
      </w:r>
      <w:r>
        <w:rPr>
          <w:rFonts w:hint="eastAsia"/>
        </w:rPr>
        <w:tab/>
        <w:t>会前工作组审阅了巴基斯坦初次、第二次和第三次合并定期报告（CEDAW/C/　PAK/1-3）。</w:t>
      </w:r>
    </w:p>
    <w:p w:rsidR="00FB4792" w:rsidRPr="00FB4792" w:rsidRDefault="00FB4792" w:rsidP="00FB4792">
      <w:pPr>
        <w:pStyle w:val="SingleTxt"/>
        <w:rPr>
          <w:rFonts w:ascii="SimHei" w:eastAsia="SimHei" w:hint="eastAsia"/>
          <w:color w:val="FF0000"/>
        </w:rPr>
      </w:pPr>
      <w:r w:rsidRPr="00FB4792">
        <w:rPr>
          <w:rFonts w:ascii="SimHei" w:eastAsia="SimHei" w:hint="eastAsia"/>
          <w:color w:val="FF0000"/>
        </w:rPr>
        <w:t>概述</w:t>
      </w:r>
    </w:p>
    <w:p w:rsidR="00FB4792" w:rsidRDefault="00FB4792" w:rsidP="00FB4792">
      <w:pPr>
        <w:pStyle w:val="SingleTxt"/>
        <w:rPr>
          <w:rFonts w:hint="eastAsia"/>
        </w:rPr>
      </w:pPr>
      <w:r>
        <w:rPr>
          <w:rFonts w:hint="eastAsia"/>
        </w:rPr>
        <w:t>2.</w:t>
      </w:r>
      <w:r>
        <w:rPr>
          <w:rFonts w:hint="eastAsia"/>
        </w:rPr>
        <w:tab/>
        <w:t>合并报告指出，妇女发展部已经请全国妇女地位委员会审查巴基斯坦关于《消除对妇女歧视公约》的声明，并就是否可以撤销该声明一事提出意见。请说明这方面的进展情况和撤消该声明的时间框架。</w:t>
      </w:r>
    </w:p>
    <w:p w:rsidR="00FB4792" w:rsidRDefault="00FB4792" w:rsidP="00FB4792">
      <w:pPr>
        <w:pStyle w:val="SingleTxt"/>
        <w:rPr>
          <w:rFonts w:hint="eastAsia"/>
        </w:rPr>
      </w:pPr>
      <w:r>
        <w:rPr>
          <w:rFonts w:hint="eastAsia"/>
        </w:rPr>
        <w:t>3.</w:t>
      </w:r>
      <w:r>
        <w:rPr>
          <w:rFonts w:hint="eastAsia"/>
        </w:rPr>
        <w:tab/>
        <w:t>鉴于最近发生的自然灾害，例如巴基斯坦境内的地震，请说明政府是否从社会性别的角度评估了向受害者提供人道主义援助的效力，政府是否制定了提供对性别问题有敏感认识的人道主义援助的框架。</w:t>
      </w:r>
    </w:p>
    <w:p w:rsidR="00FB4792" w:rsidRPr="00FB4792" w:rsidRDefault="00FB4792" w:rsidP="00FB4792">
      <w:pPr>
        <w:pStyle w:val="SingleTxt"/>
        <w:rPr>
          <w:rFonts w:ascii="SimHei" w:eastAsia="SimHei" w:hint="eastAsia"/>
          <w:color w:val="FF0000"/>
        </w:rPr>
      </w:pPr>
      <w:r w:rsidRPr="00FB4792">
        <w:rPr>
          <w:rFonts w:ascii="SimHei" w:eastAsia="SimHei" w:hint="eastAsia"/>
          <w:color w:val="FF0000"/>
        </w:rPr>
        <w:t>第1和第2条</w:t>
      </w:r>
    </w:p>
    <w:p w:rsidR="00FB4792" w:rsidRDefault="00FB4792" w:rsidP="00FB4792">
      <w:pPr>
        <w:pStyle w:val="SingleTxt"/>
        <w:rPr>
          <w:rFonts w:hint="eastAsia"/>
        </w:rPr>
      </w:pPr>
      <w:r>
        <w:rPr>
          <w:rFonts w:hint="eastAsia"/>
        </w:rPr>
        <w:t>4.</w:t>
      </w:r>
      <w:r>
        <w:rPr>
          <w:rFonts w:hint="eastAsia"/>
        </w:rPr>
        <w:tab/>
        <w:t>报告指出，《宪法》没有对歧视作出定义，也没有法律具体禁止对妇女的歧视</w:t>
      </w:r>
      <w:r w:rsidR="00F21712">
        <w:rPr>
          <w:rFonts w:hint="eastAsia"/>
        </w:rPr>
        <w:t>（</w:t>
      </w:r>
      <w:r>
        <w:rPr>
          <w:rFonts w:hint="eastAsia"/>
        </w:rPr>
        <w:t>第21至23页</w:t>
      </w:r>
      <w:r w:rsidR="00F21712">
        <w:rPr>
          <w:rFonts w:hint="eastAsia"/>
        </w:rPr>
        <w:t>）</w:t>
      </w:r>
      <w:r>
        <w:rPr>
          <w:rFonts w:hint="eastAsia"/>
        </w:rPr>
        <w:t>。请说明是否计划根据《公约》第2条规定，订立在公共部门和私营部门禁止对妇女歧视的适当立法措施。</w:t>
      </w:r>
    </w:p>
    <w:p w:rsidR="00FB4792" w:rsidRDefault="00FB4792" w:rsidP="00FB4792">
      <w:pPr>
        <w:pStyle w:val="SingleTxt"/>
        <w:rPr>
          <w:rFonts w:hint="eastAsia"/>
        </w:rPr>
      </w:pPr>
      <w:r>
        <w:rPr>
          <w:rFonts w:hint="eastAsia"/>
        </w:rPr>
        <w:t>5.</w:t>
      </w:r>
      <w:r>
        <w:rPr>
          <w:rFonts w:hint="eastAsia"/>
        </w:rPr>
        <w:tab/>
        <w:t>报告指出，虽然在理论上，任何公民在其基本权利受到侵犯的时候都可以向拥有管辖权的法院提起诉讼，但实际上，由于种种原因，例如需要费用以及“包括司法机构在内的所有国家机关”缺乏“社会性别敏感性”，“并非所有公民都能利用”这些求偿渠道（第13至14页）。请说明已计划采取和</w:t>
      </w:r>
      <w:r w:rsidR="00F21712">
        <w:rPr>
          <w:rFonts w:hint="eastAsia"/>
        </w:rPr>
        <w:t>（</w:t>
      </w:r>
      <w:r>
        <w:rPr>
          <w:rFonts w:hint="eastAsia"/>
        </w:rPr>
        <w:t>或</w:t>
      </w:r>
      <w:r w:rsidR="00F21712">
        <w:rPr>
          <w:rFonts w:hint="eastAsia"/>
        </w:rPr>
        <w:t>）</w:t>
      </w:r>
      <w:r>
        <w:rPr>
          <w:rFonts w:hint="eastAsia"/>
        </w:rPr>
        <w:t>正在采取哪些具体措施处理这些妨碍诉诸司法的现象，包括对司法人员进行具有社会性别敏感性的培训，并说明这些措施的影响力。</w:t>
      </w:r>
    </w:p>
    <w:p w:rsidR="00FB4792" w:rsidRPr="00FB4792" w:rsidRDefault="00FB4792" w:rsidP="00FB4792">
      <w:pPr>
        <w:pStyle w:val="SingleTxt"/>
        <w:rPr>
          <w:rFonts w:ascii="SimHei" w:eastAsia="SimHei" w:hint="eastAsia"/>
          <w:color w:val="FF0000"/>
        </w:rPr>
      </w:pPr>
      <w:r w:rsidRPr="00FB4792">
        <w:rPr>
          <w:rFonts w:ascii="SimHei" w:eastAsia="SimHei" w:hint="eastAsia"/>
          <w:color w:val="FF0000"/>
        </w:rPr>
        <w:t>第3条</w:t>
      </w:r>
    </w:p>
    <w:p w:rsidR="00FB4792" w:rsidRDefault="00FB4792" w:rsidP="00FB4792">
      <w:pPr>
        <w:pStyle w:val="SingleTxt"/>
        <w:rPr>
          <w:rFonts w:hint="eastAsia"/>
        </w:rPr>
      </w:pPr>
      <w:r>
        <w:rPr>
          <w:rFonts w:hint="eastAsia"/>
        </w:rPr>
        <w:t>6.</w:t>
      </w:r>
      <w:r>
        <w:rPr>
          <w:rFonts w:hint="eastAsia"/>
        </w:rPr>
        <w:tab/>
        <w:t>报告指出，政府已经建立了公民可借以“主张权利”的许多机构，例如联邦监察专员办公室、公职法庭（供政府公务员使用）和劳工法庭（第14页）。请说明在过去五年内妇女向公职法庭和劳工法庭提出基于社会性别歧视的案件数目以及这些案件的结果。关于妇女向联邦监察专员提出的投诉（第14页），请说明这些案件的结果。</w:t>
      </w:r>
    </w:p>
    <w:p w:rsidR="00FB4792" w:rsidRDefault="00FB4792" w:rsidP="00FB4792">
      <w:pPr>
        <w:pStyle w:val="SingleTxt"/>
        <w:rPr>
          <w:rFonts w:hint="eastAsia"/>
        </w:rPr>
      </w:pPr>
      <w:r>
        <w:rPr>
          <w:rFonts w:hint="eastAsia"/>
        </w:rPr>
        <w:t>7.</w:t>
      </w:r>
      <w:r>
        <w:rPr>
          <w:rFonts w:hint="eastAsia"/>
        </w:rPr>
        <w:tab/>
        <w:t>报告指出，妇女发展部的官员“得不到充分的资源和培训，所以无法充分应对履行职责时所涉各种问题的广度和复杂性”（第20页）。请说明妇女发展部的情况、人力和财力资源及其与全国妇女地位委员会的关系。</w:t>
      </w:r>
    </w:p>
    <w:p w:rsidR="00FB4792" w:rsidRPr="00FB4792" w:rsidRDefault="00FB4792" w:rsidP="00FB4792">
      <w:pPr>
        <w:pStyle w:val="SingleTxt"/>
        <w:rPr>
          <w:rFonts w:ascii="SimHei" w:eastAsia="SimHei" w:hint="eastAsia"/>
          <w:color w:val="FF0000"/>
        </w:rPr>
      </w:pPr>
      <w:r w:rsidRPr="00FB4792">
        <w:rPr>
          <w:rFonts w:ascii="SimHei" w:eastAsia="SimHei" w:hint="eastAsia"/>
          <w:color w:val="FF0000"/>
        </w:rPr>
        <w:t>第4条</w:t>
      </w:r>
    </w:p>
    <w:p w:rsidR="00FB4792" w:rsidRDefault="00FB4792" w:rsidP="00FB4792">
      <w:pPr>
        <w:pStyle w:val="SingleTxt"/>
        <w:rPr>
          <w:rFonts w:hint="eastAsia"/>
        </w:rPr>
      </w:pPr>
      <w:r>
        <w:rPr>
          <w:rFonts w:hint="eastAsia"/>
        </w:rPr>
        <w:t>8.</w:t>
      </w:r>
      <w:r>
        <w:rPr>
          <w:rFonts w:hint="eastAsia"/>
        </w:rPr>
        <w:tab/>
        <w:t>报告指出，虽然政府在公职岗位为妇女制订了5</w:t>
      </w:r>
      <w:r w:rsidR="00F21712">
        <w:rPr>
          <w:rFonts w:hint="eastAsia"/>
        </w:rPr>
        <w:t>％</w:t>
      </w:r>
      <w:r>
        <w:rPr>
          <w:rFonts w:hint="eastAsia"/>
        </w:rPr>
        <w:t>的配额，在国民议会、参议院和省议会为妇女制订了17</w:t>
      </w:r>
      <w:r w:rsidR="00F21712">
        <w:rPr>
          <w:rFonts w:hint="eastAsia"/>
        </w:rPr>
        <w:t>％</w:t>
      </w:r>
      <w:r>
        <w:rPr>
          <w:rFonts w:hint="eastAsia"/>
        </w:rPr>
        <w:t>的配额，在大多数级别的地方机构为妇女保留33</w:t>
      </w:r>
      <w:r w:rsidR="00F21712">
        <w:rPr>
          <w:rFonts w:hint="eastAsia"/>
        </w:rPr>
        <w:t>％</w:t>
      </w:r>
      <w:r>
        <w:rPr>
          <w:rFonts w:hint="eastAsia"/>
        </w:rPr>
        <w:t>的配额，但是，“这些行动尚未取得预期的进展”，“妇女发展部正在通过‘两性平等改革行动计划’促成更加协调一致的政府反歧视行动方案”（第25和26页）。请提供详细资料说明计划在“两性平等改革行动计划”之下开展的改革以及这种改革的时间框架。</w:t>
      </w:r>
    </w:p>
    <w:p w:rsidR="00FB4792" w:rsidRPr="00FB4792" w:rsidRDefault="00FB4792" w:rsidP="00FB4792">
      <w:pPr>
        <w:pStyle w:val="SingleTxt"/>
        <w:rPr>
          <w:rFonts w:ascii="SimHei" w:eastAsia="SimHei" w:hint="eastAsia"/>
          <w:color w:val="FF0000"/>
        </w:rPr>
      </w:pPr>
      <w:r w:rsidRPr="00FB4792">
        <w:rPr>
          <w:rFonts w:ascii="SimHei" w:eastAsia="SimHei" w:hint="eastAsia"/>
          <w:color w:val="FF0000"/>
        </w:rPr>
        <w:t>第5条</w:t>
      </w:r>
    </w:p>
    <w:p w:rsidR="00FB4792" w:rsidRDefault="00FB4792" w:rsidP="00FB4792">
      <w:pPr>
        <w:pStyle w:val="SingleTxt"/>
        <w:rPr>
          <w:rFonts w:hint="eastAsia"/>
        </w:rPr>
      </w:pPr>
      <w:r>
        <w:rPr>
          <w:rFonts w:hint="eastAsia"/>
        </w:rPr>
        <w:t>9.</w:t>
      </w:r>
      <w:r>
        <w:rPr>
          <w:rFonts w:hint="eastAsia"/>
        </w:rPr>
        <w:tab/>
        <w:t>报告指出，“习俗、惯例以及对宗教的错误解释被用作来纵容歧视妇女行为的理由”（第23页）。请说明正在采取哪些措施纠正这种习俗、惯例以及对宗教的解释。</w:t>
      </w:r>
    </w:p>
    <w:p w:rsidR="00FB4792" w:rsidRDefault="00FB4792" w:rsidP="00FB4792">
      <w:pPr>
        <w:pStyle w:val="SingleTxt"/>
        <w:rPr>
          <w:rFonts w:hint="eastAsia"/>
        </w:rPr>
      </w:pPr>
      <w:r>
        <w:rPr>
          <w:rFonts w:hint="eastAsia"/>
        </w:rPr>
        <w:t>10.</w:t>
      </w:r>
      <w:r>
        <w:rPr>
          <w:rFonts w:hint="eastAsia"/>
        </w:rPr>
        <w:tab/>
        <w:t>报告指出，已经采取某些措施在新闻媒体中培养对社会性别的敏感性（第27和28页），教育系统正在“以人权为重点修改教学大纲”（第29页）。但是，报告又指出，巴基斯坦社会中有很多人仍然对男女在社会中的作用持有根深蒂固的传统观念</w:t>
      </w:r>
      <w:r w:rsidR="00F21712">
        <w:rPr>
          <w:rFonts w:hint="eastAsia"/>
        </w:rPr>
        <w:t>（</w:t>
      </w:r>
      <w:r>
        <w:rPr>
          <w:rFonts w:hint="eastAsia"/>
        </w:rPr>
        <w:t>第30和31页</w:t>
      </w:r>
      <w:r w:rsidR="00F21712">
        <w:rPr>
          <w:rFonts w:hint="eastAsia"/>
        </w:rPr>
        <w:t>）</w:t>
      </w:r>
      <w:r>
        <w:rPr>
          <w:rFonts w:hint="eastAsia"/>
        </w:rPr>
        <w:t>。已经考虑和已经采取哪些措施在学校课程中和新闻媒体中消除对男女的陈规定型观念？已经采取哪些其他具体措施来改变社会上对男女在社会中和家庭中作用的看法？</w:t>
      </w:r>
    </w:p>
    <w:p w:rsidR="00FB4792" w:rsidRPr="00FB4792" w:rsidRDefault="00FB4792" w:rsidP="00FB4792">
      <w:pPr>
        <w:pStyle w:val="SingleTxt"/>
        <w:rPr>
          <w:rFonts w:ascii="SimHei" w:eastAsia="SimHei" w:hint="eastAsia"/>
          <w:color w:val="FF0000"/>
        </w:rPr>
      </w:pPr>
      <w:r w:rsidRPr="00FB4792">
        <w:rPr>
          <w:rFonts w:ascii="SimHei" w:eastAsia="SimHei" w:hint="eastAsia"/>
          <w:color w:val="FF0000"/>
        </w:rPr>
        <w:t>对妇女的暴力行为</w:t>
      </w:r>
    </w:p>
    <w:p w:rsidR="00FB4792" w:rsidRDefault="00FB4792" w:rsidP="00771535">
      <w:pPr>
        <w:pStyle w:val="SingleTxt"/>
        <w:spacing w:after="160" w:line="340" w:lineRule="exact"/>
        <w:rPr>
          <w:rFonts w:hint="eastAsia"/>
        </w:rPr>
      </w:pPr>
      <w:r>
        <w:rPr>
          <w:rFonts w:hint="eastAsia"/>
        </w:rPr>
        <w:t>11.</w:t>
      </w:r>
      <w:r>
        <w:rPr>
          <w:rFonts w:hint="eastAsia"/>
        </w:rPr>
        <w:tab/>
        <w:t>暴力侵害妇女行为及其因果问题特别报告员的报告指出，令人关切的是，家庭暴力事件不断增加，估计70％至95％的妇女受到过家庭暴力</w:t>
      </w:r>
      <w:r w:rsidR="00F21712">
        <w:rPr>
          <w:rFonts w:hint="eastAsia"/>
        </w:rPr>
        <w:t>（</w:t>
      </w:r>
      <w:r>
        <w:rPr>
          <w:rFonts w:hint="eastAsia"/>
        </w:rPr>
        <w:t>E/CN.4/2003/75/　Add.1，第1135段)。但是，报告指出，巴基斯坦没有关于家庭暴力的法律(第112和129页），而且，“存在一种除非案情非常严重否则不予追究的倾向（第125页）。请说明是否计划制定关于家庭暴力的法律，如果有此种计划，请说明其范围和内容以及颁布该法律的时间。</w:t>
      </w:r>
    </w:p>
    <w:p w:rsidR="00FB4792" w:rsidRDefault="00FB4792" w:rsidP="00771535">
      <w:pPr>
        <w:pStyle w:val="SingleTxt"/>
        <w:spacing w:after="160" w:line="340" w:lineRule="exact"/>
        <w:rPr>
          <w:rFonts w:hint="eastAsia"/>
        </w:rPr>
      </w:pPr>
      <w:r>
        <w:rPr>
          <w:rFonts w:hint="eastAsia"/>
        </w:rPr>
        <w:t>12.</w:t>
      </w:r>
      <w:r>
        <w:rPr>
          <w:rFonts w:hint="eastAsia"/>
        </w:rPr>
        <w:tab/>
        <w:t>报告指出，《Hudood法令》(尤其是《Zina法令》)中列有关于性暴力的法律(第122页）。但是，该法律规定，“对于强奸罪，必须有四位穆斯林成年男子作证，或者被告本人承认，才能定罪”，如果一位强奸受害者“不能满足举证的要求，她就有可能因涉嫌两厢情愿的违法奸情而遭到起诉”（第117页）。全国妇女地位委员会经过两年审查之后，建议废除这些法律，但是，报告指出，“社会若不达成一致意见，有关Hudood法律的问题就难以处理”(第117页)。政府采取哪些措施在社会上达成这种一致意见，废除《Hudood法令》？尤其是，政府根据其国际义务，采取哪些措施修正或废除《Zina法令》，并颁布便于对强奸犯进行报道、起诉和处罚的法律？数千名妇女被指控犯有通奸或其他罪行</w:t>
      </w:r>
      <w:r w:rsidR="00EC5D7F">
        <w:rPr>
          <w:rFonts w:hint="eastAsia"/>
        </w:rPr>
        <w:t>而</w:t>
      </w:r>
      <w:r>
        <w:rPr>
          <w:rFonts w:hint="eastAsia"/>
        </w:rPr>
        <w:t>被拘禁。最近《Hudood法令》修正案规定，对犯有这些罪行而拘禁的人员可以享有保释权。政府作出哪些努力使这些妇女具保获释？</w:t>
      </w:r>
    </w:p>
    <w:p w:rsidR="00FB4792" w:rsidRDefault="00FB4792" w:rsidP="00771535">
      <w:pPr>
        <w:pStyle w:val="SingleTxt"/>
        <w:spacing w:after="160" w:line="340" w:lineRule="exact"/>
        <w:rPr>
          <w:rFonts w:hint="eastAsia"/>
        </w:rPr>
      </w:pPr>
      <w:r>
        <w:rPr>
          <w:rFonts w:hint="eastAsia"/>
        </w:rPr>
        <w:t>13.</w:t>
      </w:r>
      <w:r>
        <w:rPr>
          <w:rFonts w:hint="eastAsia"/>
        </w:rPr>
        <w:tab/>
        <w:t>请</w:t>
      </w:r>
      <w:r w:rsidRPr="00FB4792">
        <w:rPr>
          <w:rFonts w:hint="eastAsia"/>
          <w:spacing w:val="2"/>
        </w:rPr>
        <w:t>说明政府采取哪些综合措施处理报告第119和126页所述各种形式强迫婚姻的问题，以及适足生活水准权所含适足住房问题及在此方面不受歧视权问题特别报告员所指出的情况，他说，在一些拥有大片土地的家庭中，妇女有时是“与《古兰经》成婚”，终身为处女，所以她们不会把家庭财产中属于她们的一部分带出家门(E/CN.4/2006/118，第41段)。并请说明已采取哪些措施切实执行(a)</w:t>
      </w:r>
      <w:r>
        <w:rPr>
          <w:spacing w:val="2"/>
        </w:rPr>
        <w:t xml:space="preserve"> </w:t>
      </w:r>
      <w:r>
        <w:rPr>
          <w:rFonts w:hint="eastAsia"/>
        </w:rPr>
        <w:t>赋予妇女自由婚姻权的法律(第119页）和(b)《刑法》中规定为解决争端而赠送妇女结婚的行为为犯罪的新的章节(310</w:t>
      </w:r>
      <w:r w:rsidR="00F21712">
        <w:t xml:space="preserve"> </w:t>
      </w:r>
      <w:r>
        <w:rPr>
          <w:rFonts w:hint="eastAsia"/>
        </w:rPr>
        <w:t>A)。此外，1929年的《限制童婚法》是否切实得到执行？请提供详细资料说明根据这项法律提出起诉的童婚案件以及定罪的数目。</w:t>
      </w:r>
    </w:p>
    <w:p w:rsidR="00FB4792" w:rsidRDefault="00FB4792" w:rsidP="00771535">
      <w:pPr>
        <w:pStyle w:val="SingleTxt"/>
        <w:spacing w:after="160" w:line="340" w:lineRule="exact"/>
        <w:rPr>
          <w:rFonts w:hint="eastAsia"/>
        </w:rPr>
      </w:pPr>
      <w:r>
        <w:rPr>
          <w:rFonts w:hint="eastAsia"/>
        </w:rPr>
        <w:t>14</w:t>
      </w:r>
      <w:r w:rsidR="002B69DE">
        <w:rPr>
          <w:rFonts w:hint="eastAsia"/>
        </w:rPr>
        <w:t>.</w:t>
      </w:r>
      <w:r w:rsidR="002B69DE">
        <w:rPr>
          <w:rFonts w:hint="eastAsia"/>
        </w:rPr>
        <w:tab/>
      </w:r>
      <w:r>
        <w:rPr>
          <w:rFonts w:hint="eastAsia"/>
        </w:rPr>
        <w:t>报告指出，2001年，在《刑事诉讼法典》中新增了第174-A条，目的是为了遏制与亡夫遗产有关的暴力行为。该条款规定，行医者必须立即笔录烧伤女性受害人的陈述并将所有烧伤案件就近报告本地治安官（第123页）。请说明这项新法律产生的影响，并详细说明因执行这项法律而起诉的案情以及导致定罪的案件数目。</w:t>
      </w:r>
    </w:p>
    <w:p w:rsidR="00FB4792" w:rsidRDefault="00FB4792" w:rsidP="00771535">
      <w:pPr>
        <w:pStyle w:val="SingleTxt"/>
        <w:spacing w:after="160" w:line="340" w:lineRule="exact"/>
        <w:rPr>
          <w:rFonts w:hint="eastAsia"/>
        </w:rPr>
      </w:pPr>
      <w:r>
        <w:rPr>
          <w:rFonts w:hint="eastAsia"/>
        </w:rPr>
        <w:t>15</w:t>
      </w:r>
      <w:r w:rsidR="002B69DE">
        <w:rPr>
          <w:rFonts w:hint="eastAsia"/>
        </w:rPr>
        <w:t>.</w:t>
      </w:r>
      <w:r w:rsidR="002B69DE">
        <w:rPr>
          <w:rFonts w:hint="eastAsia"/>
        </w:rPr>
        <w:tab/>
      </w:r>
      <w:r>
        <w:rPr>
          <w:rFonts w:hint="eastAsia"/>
        </w:rPr>
        <w:t>先后两任对妇女暴力行为及其因果问题特别报告员的报告指出，在巴基斯坦，为维护名誉而犯罪的现象是一个严重问题，犯下这种罪行的人员很少被绳之以法</w:t>
      </w:r>
      <w:r w:rsidR="002B69DE">
        <w:rPr>
          <w:rFonts w:hint="eastAsia"/>
        </w:rPr>
        <w:t>（</w:t>
      </w:r>
      <w:r>
        <w:rPr>
          <w:rFonts w:hint="eastAsia"/>
        </w:rPr>
        <w:t>E/CN.4/2003/75/Add.1第1132至1134段和E/CN.4/2005/72/Add.1</w:t>
      </w:r>
      <w:r w:rsidR="002B69DE">
        <w:rPr>
          <w:rFonts w:hint="eastAsia"/>
        </w:rPr>
        <w:t>）</w:t>
      </w:r>
      <w:r>
        <w:rPr>
          <w:rFonts w:hint="eastAsia"/>
        </w:rPr>
        <w:t>。报告指出，《刑法（修正）法》修正了《巴基斯坦刑法》和《刑事诉讼法》的某些条款，目的是为了更有效地检控所谓“名誉杀人”案件（第23页）。请说明相关修正案，包括这些修正案如何在Qisas与</w:t>
      </w:r>
      <w:r w:rsidR="00F21712">
        <w:rPr>
          <w:rFonts w:hint="eastAsia"/>
        </w:rPr>
        <w:t>Diyat</w:t>
      </w:r>
      <w:r>
        <w:rPr>
          <w:rFonts w:hint="eastAsia"/>
        </w:rPr>
        <w:t>法律之下处理名誉杀人犯的豁免问题（第118页），并说明这些修正案迄今对检控名誉杀人案产生的影响力，包括已起诉的案件数目和作出的判决。</w:t>
      </w:r>
    </w:p>
    <w:p w:rsidR="00FB4792" w:rsidRDefault="00FB4792" w:rsidP="00771535">
      <w:pPr>
        <w:pStyle w:val="SingleTxt"/>
        <w:spacing w:after="160" w:line="340" w:lineRule="exact"/>
        <w:rPr>
          <w:rFonts w:hint="eastAsia"/>
        </w:rPr>
      </w:pPr>
      <w:r>
        <w:rPr>
          <w:rFonts w:hint="eastAsia"/>
        </w:rPr>
        <w:t>16</w:t>
      </w:r>
      <w:r w:rsidR="002B69DE">
        <w:rPr>
          <w:rFonts w:hint="eastAsia"/>
        </w:rPr>
        <w:t>.</w:t>
      </w:r>
      <w:r w:rsidR="002B69DE">
        <w:rPr>
          <w:rFonts w:hint="eastAsia"/>
        </w:rPr>
        <w:tab/>
      </w:r>
      <w:r>
        <w:rPr>
          <w:rFonts w:hint="eastAsia"/>
        </w:rPr>
        <w:t>报告指出，人权活动分子认为，警察对暴力受害妇女的困境不够关切(第125页)。对妇女暴力行为及其因果问题特别报告员的报告表明，有时候警察自己对妇女施行暴力(E/CN.4/2005/72/Add.1)中。请详细说明已采取哪些措施促使执法人员关切对妇女的暴力行为，包括向公众开放司法方案（第124页）和妇女警务派出所（第19页）以及这些措施产生的影响。</w:t>
      </w:r>
    </w:p>
    <w:p w:rsidR="00FB4792" w:rsidRDefault="00FB4792" w:rsidP="00771535">
      <w:pPr>
        <w:pStyle w:val="SingleTxt"/>
        <w:spacing w:after="160" w:line="340" w:lineRule="exact"/>
        <w:rPr>
          <w:rFonts w:hint="eastAsia"/>
        </w:rPr>
      </w:pPr>
      <w:r>
        <w:rPr>
          <w:rFonts w:hint="eastAsia"/>
        </w:rPr>
        <w:t>17</w:t>
      </w:r>
      <w:r w:rsidR="002B69DE">
        <w:rPr>
          <w:rFonts w:hint="eastAsia"/>
        </w:rPr>
        <w:t>.</w:t>
      </w:r>
      <w:r w:rsidR="002B69DE">
        <w:rPr>
          <w:rFonts w:hint="eastAsia"/>
        </w:rPr>
        <w:tab/>
      </w:r>
      <w:r>
        <w:rPr>
          <w:rFonts w:hint="eastAsia"/>
        </w:rPr>
        <w:t>先后两任对妇女暴力行为及其因果问题特别报告员的报告</w:t>
      </w:r>
      <w:r w:rsidR="002B69DE">
        <w:rPr>
          <w:rFonts w:hint="eastAsia"/>
        </w:rPr>
        <w:t>（</w:t>
      </w:r>
      <w:r>
        <w:rPr>
          <w:rFonts w:hint="eastAsia"/>
        </w:rPr>
        <w:t>E/CN.4/2003/</w:t>
      </w:r>
      <w:r w:rsidR="002B69DE">
        <w:rPr>
          <w:rFonts w:hint="eastAsia"/>
        </w:rPr>
        <w:t xml:space="preserve">　</w:t>
      </w:r>
      <w:r>
        <w:rPr>
          <w:rFonts w:hint="eastAsia"/>
        </w:rPr>
        <w:t>75/Add.1第1132段和E/CN.4/2006/61第65段</w:t>
      </w:r>
      <w:r w:rsidR="002B69DE">
        <w:rPr>
          <w:rFonts w:hint="eastAsia"/>
        </w:rPr>
        <w:t>)</w:t>
      </w:r>
      <w:r>
        <w:rPr>
          <w:rFonts w:hint="eastAsia"/>
        </w:rPr>
        <w:t>指出，支尔格、即部落委员会有时作出判决，要求为维护名誉而杀害妇女。同样，还有报告指出，这些部落委员会规定进行强奸和强迫婚姻。请说明已采取哪些措施处理这些问题，包括对这些委员会成员提出的起诉和作出的处罚。</w:t>
      </w:r>
    </w:p>
    <w:p w:rsidR="00FB4792" w:rsidRPr="002B69DE" w:rsidRDefault="00FB4792" w:rsidP="00FB4792">
      <w:pPr>
        <w:pStyle w:val="SingleTxt"/>
        <w:rPr>
          <w:rFonts w:ascii="SimHei" w:eastAsia="SimHei" w:hint="eastAsia"/>
          <w:color w:val="FF0000"/>
        </w:rPr>
      </w:pPr>
      <w:r w:rsidRPr="002B69DE">
        <w:rPr>
          <w:rFonts w:ascii="SimHei" w:eastAsia="SimHei" w:hint="eastAsia"/>
          <w:color w:val="FF0000"/>
        </w:rPr>
        <w:t>第6条</w:t>
      </w:r>
    </w:p>
    <w:p w:rsidR="00FB4792" w:rsidRDefault="00FB4792" w:rsidP="00FB4792">
      <w:pPr>
        <w:pStyle w:val="SingleTxt"/>
        <w:rPr>
          <w:rFonts w:hint="eastAsia"/>
        </w:rPr>
      </w:pPr>
      <w:r>
        <w:rPr>
          <w:rFonts w:hint="eastAsia"/>
        </w:rPr>
        <w:t>18</w:t>
      </w:r>
      <w:r w:rsidR="002B69DE">
        <w:rPr>
          <w:rFonts w:hint="eastAsia"/>
        </w:rPr>
        <w:t>.</w:t>
      </w:r>
      <w:r w:rsidR="002B69DE">
        <w:rPr>
          <w:rFonts w:hint="eastAsia"/>
        </w:rPr>
        <w:tab/>
      </w:r>
      <w:r>
        <w:rPr>
          <w:rFonts w:hint="eastAsia"/>
        </w:rPr>
        <w:t>请提供信息说明2002年《预防和控制贩运人口法令》（第31页）的执行情况，包括2002年以来根据该法令所起诉案件的详细情况以及惩处人口贩子的人数。</w:t>
      </w:r>
    </w:p>
    <w:p w:rsidR="00FB4792" w:rsidRPr="002B69DE" w:rsidRDefault="00FB4792" w:rsidP="00FB4792">
      <w:pPr>
        <w:pStyle w:val="SingleTxt"/>
        <w:rPr>
          <w:rFonts w:ascii="SimHei" w:eastAsia="SimHei" w:hint="eastAsia"/>
          <w:color w:val="FF0000"/>
        </w:rPr>
      </w:pPr>
      <w:r w:rsidRPr="002B69DE">
        <w:rPr>
          <w:rFonts w:ascii="SimHei" w:eastAsia="SimHei" w:hint="eastAsia"/>
          <w:color w:val="FF0000"/>
        </w:rPr>
        <w:t>第7和第8条</w:t>
      </w:r>
    </w:p>
    <w:p w:rsidR="00FB4792" w:rsidRDefault="00FB4792" w:rsidP="00FB4792">
      <w:pPr>
        <w:pStyle w:val="SingleTxt"/>
        <w:rPr>
          <w:rFonts w:hint="eastAsia"/>
        </w:rPr>
      </w:pPr>
      <w:r>
        <w:rPr>
          <w:rFonts w:hint="eastAsia"/>
        </w:rPr>
        <w:t>19</w:t>
      </w:r>
      <w:r w:rsidR="002B69DE">
        <w:rPr>
          <w:rFonts w:hint="eastAsia"/>
        </w:rPr>
        <w:t>.</w:t>
      </w:r>
      <w:r w:rsidR="002B69DE">
        <w:rPr>
          <w:rFonts w:hint="eastAsia"/>
        </w:rPr>
        <w:tab/>
      </w:r>
      <w:r>
        <w:rPr>
          <w:rFonts w:hint="eastAsia"/>
        </w:rPr>
        <w:t>报告指出，在地方机构的选举和上次大选中，“来自各省的报告指出，存在着阻止妇女呈报其候选人身份和(或)行使其选举权的现象”（第37和46页)。白沙瓦高等法院宣布对妇女选举权的一切限制行为均属违法（第46页)。政府已采取哪些行动确保在今后的选举中保障妇女的行动自由以及有能力行使选举权并呈报其候选人身份。</w:t>
      </w:r>
    </w:p>
    <w:p w:rsidR="00FB4792" w:rsidRPr="002B69DE" w:rsidRDefault="00FB4792" w:rsidP="00FB4792">
      <w:pPr>
        <w:pStyle w:val="SingleTxt"/>
        <w:rPr>
          <w:rFonts w:ascii="SimHei" w:eastAsia="SimHei" w:hint="eastAsia"/>
          <w:color w:val="FF0000"/>
        </w:rPr>
      </w:pPr>
      <w:r w:rsidRPr="002B69DE">
        <w:rPr>
          <w:rFonts w:ascii="SimHei" w:eastAsia="SimHei" w:hint="eastAsia"/>
          <w:color w:val="FF0000"/>
        </w:rPr>
        <w:t>第9条</w:t>
      </w:r>
    </w:p>
    <w:p w:rsidR="00FB4792" w:rsidRDefault="00FB4792" w:rsidP="00FB4792">
      <w:pPr>
        <w:pStyle w:val="SingleTxt"/>
        <w:rPr>
          <w:rFonts w:hint="eastAsia"/>
        </w:rPr>
      </w:pPr>
      <w:r>
        <w:rPr>
          <w:rFonts w:hint="eastAsia"/>
        </w:rPr>
        <w:t>20</w:t>
      </w:r>
      <w:r w:rsidR="002B69DE">
        <w:rPr>
          <w:rFonts w:hint="eastAsia"/>
        </w:rPr>
        <w:t>.</w:t>
      </w:r>
      <w:r w:rsidR="002B69DE">
        <w:rPr>
          <w:rFonts w:hint="eastAsia"/>
        </w:rPr>
        <w:tab/>
      </w:r>
      <w:r>
        <w:rPr>
          <w:rFonts w:hint="eastAsia"/>
        </w:rPr>
        <w:t>报告指出，全国妇女地位委员会建议进一步修订2000年已修订的1951年《公民身份法》，以便巴基斯坦妇女能够为其外籍丈夫取得巴基斯坦国籍(第54页）。请说明这方面的进展情况以及开展法律改革的预期时间框架。</w:t>
      </w:r>
    </w:p>
    <w:p w:rsidR="00FB4792" w:rsidRPr="002B69DE" w:rsidRDefault="00FB4792" w:rsidP="00FB4792">
      <w:pPr>
        <w:pStyle w:val="SingleTxt"/>
        <w:rPr>
          <w:rFonts w:ascii="SimHei" w:eastAsia="SimHei" w:hint="eastAsia"/>
          <w:color w:val="FF0000"/>
        </w:rPr>
      </w:pPr>
      <w:r w:rsidRPr="002B69DE">
        <w:rPr>
          <w:rFonts w:ascii="SimHei" w:eastAsia="SimHei" w:hint="eastAsia"/>
          <w:color w:val="FF0000"/>
        </w:rPr>
        <w:t>第10条</w:t>
      </w:r>
    </w:p>
    <w:p w:rsidR="00FB4792" w:rsidRDefault="00FB4792" w:rsidP="00FB4792">
      <w:pPr>
        <w:pStyle w:val="SingleTxt"/>
        <w:rPr>
          <w:rFonts w:hint="eastAsia"/>
        </w:rPr>
      </w:pPr>
      <w:r>
        <w:rPr>
          <w:rFonts w:hint="eastAsia"/>
        </w:rPr>
        <w:t>21</w:t>
      </w:r>
      <w:r w:rsidR="002B69DE">
        <w:rPr>
          <w:rFonts w:hint="eastAsia"/>
        </w:rPr>
        <w:t>.</w:t>
      </w:r>
      <w:r w:rsidR="002B69DE">
        <w:rPr>
          <w:rFonts w:hint="eastAsia"/>
        </w:rPr>
        <w:tab/>
      </w:r>
      <w:r>
        <w:rPr>
          <w:rFonts w:hint="eastAsia"/>
        </w:rPr>
        <w:t>请提供按性别、年龄、民族和城乡分列的教育数据，并说明迄今执行《1998-2010年国家教育政策》、《十年远景发展计划》和《教育部门改革》等教育领域的政策文件对妇女和女孩教育所产生的影响。</w:t>
      </w:r>
      <w:r w:rsidR="00EC5D7F">
        <w:rPr>
          <w:rFonts w:hint="eastAsia"/>
        </w:rPr>
        <w:t>鉴于</w:t>
      </w:r>
      <w:r>
        <w:rPr>
          <w:rFonts w:hint="eastAsia"/>
        </w:rPr>
        <w:t>巴基斯坦妇女识字率较低，请说明政府有哪些具体计划在一定的时间框架内降低文盲率。</w:t>
      </w:r>
    </w:p>
    <w:p w:rsidR="00FB4792" w:rsidRDefault="00FB4792" w:rsidP="00771535">
      <w:pPr>
        <w:pStyle w:val="SingleTxt"/>
        <w:spacing w:after="160" w:line="340" w:lineRule="exact"/>
        <w:rPr>
          <w:rFonts w:hint="eastAsia"/>
        </w:rPr>
      </w:pPr>
      <w:r>
        <w:rPr>
          <w:rFonts w:hint="eastAsia"/>
        </w:rPr>
        <w:t>22</w:t>
      </w:r>
      <w:r w:rsidR="002B69DE">
        <w:rPr>
          <w:rFonts w:hint="eastAsia"/>
        </w:rPr>
        <w:t>.</w:t>
      </w:r>
      <w:r w:rsidR="002B69DE">
        <w:rPr>
          <w:rFonts w:hint="eastAsia"/>
        </w:rPr>
        <w:tab/>
      </w:r>
      <w:r>
        <w:rPr>
          <w:rFonts w:hint="eastAsia"/>
        </w:rPr>
        <w:t>报告指出，有些地方公立学校缺乏适当的设施，往往成为“阻碍女孩入学的因素”（第64和67页）。请说明政府采取哪些措施解决阻碍女孩受教育的因素，并降低女孩、尤其是农村女孩在中学阶段的辍学比例。</w:t>
      </w:r>
    </w:p>
    <w:p w:rsidR="00FB4792" w:rsidRPr="002B69DE" w:rsidRDefault="00FB4792" w:rsidP="00771535">
      <w:pPr>
        <w:pStyle w:val="SingleTxt"/>
        <w:spacing w:after="160" w:line="340" w:lineRule="exact"/>
        <w:rPr>
          <w:rFonts w:ascii="SimHei" w:eastAsia="SimHei" w:hint="eastAsia"/>
          <w:color w:val="FF0000"/>
        </w:rPr>
      </w:pPr>
      <w:r w:rsidRPr="002B69DE">
        <w:rPr>
          <w:rFonts w:ascii="SimHei" w:eastAsia="SimHei" w:hint="eastAsia"/>
          <w:color w:val="FF0000"/>
        </w:rPr>
        <w:t>第11条</w:t>
      </w:r>
    </w:p>
    <w:p w:rsidR="00FB4792" w:rsidRDefault="00FB4792" w:rsidP="00771535">
      <w:pPr>
        <w:pStyle w:val="SingleTxt"/>
        <w:spacing w:after="160" w:line="340" w:lineRule="exact"/>
        <w:rPr>
          <w:rFonts w:hint="eastAsia"/>
        </w:rPr>
      </w:pPr>
      <w:r>
        <w:rPr>
          <w:rFonts w:hint="eastAsia"/>
        </w:rPr>
        <w:t>23</w:t>
      </w:r>
      <w:r w:rsidR="002B69DE">
        <w:rPr>
          <w:rFonts w:hint="eastAsia"/>
        </w:rPr>
        <w:t>.</w:t>
      </w:r>
      <w:r w:rsidR="002B69DE">
        <w:rPr>
          <w:rFonts w:hint="eastAsia"/>
        </w:rPr>
        <w:tab/>
      </w:r>
      <w:r>
        <w:rPr>
          <w:rFonts w:hint="eastAsia"/>
        </w:rPr>
        <w:t>妇女参加工作的比例很低（第77页表11.02列示为9.9</w:t>
      </w:r>
      <w:r w:rsidR="00F21712">
        <w:rPr>
          <w:rFonts w:hint="eastAsia"/>
        </w:rPr>
        <w:t>％</w:t>
      </w:r>
      <w:r>
        <w:rPr>
          <w:rFonts w:hint="eastAsia"/>
        </w:rPr>
        <w:t>），报告列出妇女不能参加工作的某些因素，譬如妇女宁愿在家里料理家务，妇女需要照料子女，家庭成员阻止她们去工作，妇女缺乏资格以及雇主对招聘妇女有偏见（第79和80页）。此外，工作场所的性骚扰似乎也是一种阻碍因素（第127页）。请说明正在采取或考虑采取哪些措施来克服这些阻碍妇女就业的因素。</w:t>
      </w:r>
    </w:p>
    <w:p w:rsidR="00FB4792" w:rsidRDefault="00FB4792" w:rsidP="00771535">
      <w:pPr>
        <w:pStyle w:val="SingleTxt"/>
        <w:spacing w:after="160" w:line="340" w:lineRule="exact"/>
        <w:rPr>
          <w:rFonts w:hint="eastAsia"/>
        </w:rPr>
      </w:pPr>
      <w:r>
        <w:rPr>
          <w:rFonts w:hint="eastAsia"/>
        </w:rPr>
        <w:t>24</w:t>
      </w:r>
      <w:r w:rsidR="002B69DE">
        <w:rPr>
          <w:rFonts w:hint="eastAsia"/>
        </w:rPr>
        <w:t>.</w:t>
      </w:r>
      <w:r w:rsidR="002B69DE">
        <w:rPr>
          <w:rFonts w:hint="eastAsia"/>
        </w:rPr>
        <w:tab/>
      </w:r>
      <w:r>
        <w:rPr>
          <w:rFonts w:hint="eastAsia"/>
        </w:rPr>
        <w:t>报告指出，出于“健康和安全原因”以及在夜间某些时候，不允许妇女从事某种类别的工作(第68和69页）。请说明是否评估了这些规定可能对妇女就业产生的歧视性影响，并提供任何此种评估的详细资料，尤其应根据《公约》第11条第(1)款(b)项这样做。</w:t>
      </w:r>
    </w:p>
    <w:p w:rsidR="00FB4792" w:rsidRPr="002B69DE" w:rsidRDefault="00FB4792" w:rsidP="00771535">
      <w:pPr>
        <w:pStyle w:val="SingleTxt"/>
        <w:spacing w:after="160" w:line="340" w:lineRule="exact"/>
        <w:rPr>
          <w:rFonts w:ascii="SimHei" w:eastAsia="SimHei" w:hint="eastAsia"/>
          <w:color w:val="FF0000"/>
        </w:rPr>
      </w:pPr>
      <w:r w:rsidRPr="002B69DE">
        <w:rPr>
          <w:rFonts w:ascii="SimHei" w:eastAsia="SimHei" w:hint="eastAsia"/>
          <w:color w:val="FF0000"/>
        </w:rPr>
        <w:t>第12条</w:t>
      </w:r>
    </w:p>
    <w:p w:rsidR="00FB4792" w:rsidRDefault="00FB4792" w:rsidP="00771535">
      <w:pPr>
        <w:pStyle w:val="SingleTxt"/>
        <w:spacing w:after="160" w:line="340" w:lineRule="exact"/>
        <w:rPr>
          <w:rFonts w:hint="eastAsia"/>
        </w:rPr>
      </w:pPr>
      <w:r>
        <w:rPr>
          <w:rFonts w:hint="eastAsia"/>
        </w:rPr>
        <w:t>25</w:t>
      </w:r>
      <w:r w:rsidR="002B69DE">
        <w:rPr>
          <w:rFonts w:hint="eastAsia"/>
        </w:rPr>
        <w:t>.</w:t>
      </w:r>
      <w:r w:rsidR="002B69DE">
        <w:rPr>
          <w:rFonts w:hint="eastAsia"/>
        </w:rPr>
        <w:tab/>
      </w:r>
      <w:r>
        <w:rPr>
          <w:rFonts w:hint="eastAsia"/>
        </w:rPr>
        <w:t>请说明现有防治艾滋病毒/艾滋病方案是否纳入了社会性别观点，现在是否有针对妇女的特别预防措施。</w:t>
      </w:r>
    </w:p>
    <w:p w:rsidR="00FB4792" w:rsidRDefault="00FB4792" w:rsidP="00771535">
      <w:pPr>
        <w:pStyle w:val="SingleTxt"/>
        <w:spacing w:after="160" w:line="340" w:lineRule="exact"/>
        <w:rPr>
          <w:rFonts w:hint="eastAsia"/>
        </w:rPr>
      </w:pPr>
      <w:r>
        <w:rPr>
          <w:rFonts w:hint="eastAsia"/>
        </w:rPr>
        <w:t>26</w:t>
      </w:r>
      <w:r w:rsidR="002B69DE">
        <w:rPr>
          <w:rFonts w:hint="eastAsia"/>
        </w:rPr>
        <w:t>.</w:t>
      </w:r>
      <w:r w:rsidR="002B69DE">
        <w:rPr>
          <w:rFonts w:hint="eastAsia"/>
        </w:rPr>
        <w:tab/>
      </w:r>
      <w:r>
        <w:rPr>
          <w:rFonts w:hint="eastAsia"/>
        </w:rPr>
        <w:t>报告指出，巴基斯坦孕产妇死亡率可能超过为每100 000活产儿340人</w:t>
      </w:r>
      <w:r w:rsidR="00F21712">
        <w:t>(</w:t>
      </w:r>
      <w:r>
        <w:rPr>
          <w:rFonts w:hint="eastAsia"/>
        </w:rPr>
        <w:t>第82页）。请提供资料说明</w:t>
      </w:r>
      <w:r w:rsidR="005B426F">
        <w:rPr>
          <w:rFonts w:hint="eastAsia"/>
        </w:rPr>
        <w:t>孕</w:t>
      </w:r>
      <w:r>
        <w:rPr>
          <w:rFonts w:hint="eastAsia"/>
        </w:rPr>
        <w:t>产妇死亡的主要原因，并阐述已采取哪些措施降低孕产妇死亡率以及这些措施的影响力。</w:t>
      </w:r>
    </w:p>
    <w:p w:rsidR="00FB4792" w:rsidRPr="002B69DE" w:rsidRDefault="00FB4792" w:rsidP="00771535">
      <w:pPr>
        <w:pStyle w:val="SingleTxt"/>
        <w:spacing w:after="160" w:line="340" w:lineRule="exact"/>
        <w:rPr>
          <w:rFonts w:ascii="SimHei" w:eastAsia="SimHei" w:hint="eastAsia"/>
          <w:color w:val="FF0000"/>
        </w:rPr>
      </w:pPr>
      <w:r w:rsidRPr="002B69DE">
        <w:rPr>
          <w:rFonts w:ascii="SimHei" w:eastAsia="SimHei" w:hint="eastAsia"/>
          <w:color w:val="FF0000"/>
        </w:rPr>
        <w:t>第13条</w:t>
      </w:r>
    </w:p>
    <w:p w:rsidR="00FB4792" w:rsidRDefault="00FB4792" w:rsidP="00771535">
      <w:pPr>
        <w:pStyle w:val="SingleTxt"/>
        <w:spacing w:after="160" w:line="340" w:lineRule="exact"/>
        <w:rPr>
          <w:rFonts w:hint="eastAsia"/>
        </w:rPr>
      </w:pPr>
      <w:r>
        <w:rPr>
          <w:rFonts w:hint="eastAsia"/>
        </w:rPr>
        <w:t>27</w:t>
      </w:r>
      <w:r w:rsidR="002B69DE">
        <w:rPr>
          <w:rFonts w:hint="eastAsia"/>
        </w:rPr>
        <w:t>.</w:t>
      </w:r>
      <w:r w:rsidR="002B69DE">
        <w:rPr>
          <w:rFonts w:hint="eastAsia"/>
        </w:rPr>
        <w:tab/>
      </w:r>
      <w:r>
        <w:rPr>
          <w:rFonts w:hint="eastAsia"/>
        </w:rPr>
        <w:t>报告指出，政府的各项安全网方案包括各种食物补贴、食物支持方案、巴基斯坦Tawana方案、低成本住房、巴基斯坦 Baitul Mol方案。这些方案都与社会最贫困阶层有关（第104页）。请提供资料说明与男子相比，有多少妇女受益于这些安全网方案以及这些方案对妇女及其家庭产生的影响。</w:t>
      </w:r>
    </w:p>
    <w:p w:rsidR="00FB4792" w:rsidRPr="002B69DE" w:rsidRDefault="00FB4792" w:rsidP="00771535">
      <w:pPr>
        <w:pStyle w:val="SingleTxt"/>
        <w:spacing w:after="160" w:line="340" w:lineRule="exact"/>
        <w:rPr>
          <w:rFonts w:ascii="SimHei" w:eastAsia="SimHei" w:hint="eastAsia"/>
          <w:color w:val="FF0000"/>
        </w:rPr>
      </w:pPr>
      <w:r w:rsidRPr="002B69DE">
        <w:rPr>
          <w:rFonts w:ascii="SimHei" w:eastAsia="SimHei" w:hint="eastAsia"/>
          <w:color w:val="FF0000"/>
        </w:rPr>
        <w:t>第14条</w:t>
      </w:r>
    </w:p>
    <w:p w:rsidR="00FB4792" w:rsidRDefault="00FB4792" w:rsidP="00771535">
      <w:pPr>
        <w:pStyle w:val="SingleTxt"/>
        <w:spacing w:after="160" w:line="340" w:lineRule="exact"/>
        <w:rPr>
          <w:rFonts w:hint="eastAsia"/>
        </w:rPr>
      </w:pPr>
      <w:r>
        <w:rPr>
          <w:rFonts w:hint="eastAsia"/>
        </w:rPr>
        <w:t>28</w:t>
      </w:r>
      <w:r w:rsidR="002B69DE">
        <w:rPr>
          <w:rFonts w:hint="eastAsia"/>
        </w:rPr>
        <w:t>.</w:t>
      </w:r>
      <w:r w:rsidR="002B69DE">
        <w:rPr>
          <w:rFonts w:hint="eastAsia"/>
        </w:rPr>
        <w:tab/>
      </w:r>
      <w:r>
        <w:rPr>
          <w:rFonts w:hint="eastAsia"/>
        </w:rPr>
        <w:t>报告指出，农村妇女在教育、保健和就业等领域落后于城市妇女，虽然“教育和卫生部的新政策文件明确将重点放在农村地区……各主要微型信贷机构也宣布重视农村地区……然而这些措施还没有在缩小城乡差距方面发挥可观的积极作用”（第114页）。请说明对农村地区这些政策和方案的执行情况和影响力是否定期进行监测和评估，并说明正在考虑采取哪些措施加强其影响力。</w:t>
      </w:r>
    </w:p>
    <w:p w:rsidR="00FB4792" w:rsidRPr="002B69DE" w:rsidRDefault="00FB4792" w:rsidP="00771535">
      <w:pPr>
        <w:pStyle w:val="SingleTxt"/>
        <w:spacing w:after="160" w:line="340" w:lineRule="exact"/>
        <w:rPr>
          <w:rFonts w:ascii="SimHei" w:eastAsia="SimHei" w:hint="eastAsia"/>
          <w:color w:val="FF0000"/>
        </w:rPr>
      </w:pPr>
      <w:r w:rsidRPr="002B69DE">
        <w:rPr>
          <w:rFonts w:ascii="SimHei" w:eastAsia="SimHei" w:hint="eastAsia"/>
          <w:color w:val="FF0000"/>
        </w:rPr>
        <w:t>第15和16条</w:t>
      </w:r>
    </w:p>
    <w:p w:rsidR="00FB4792" w:rsidRDefault="00FB4792" w:rsidP="00FB4792">
      <w:pPr>
        <w:pStyle w:val="SingleTxt"/>
        <w:rPr>
          <w:rFonts w:hint="eastAsia"/>
        </w:rPr>
      </w:pPr>
      <w:r>
        <w:rPr>
          <w:rFonts w:hint="eastAsia"/>
        </w:rPr>
        <w:t>29</w:t>
      </w:r>
      <w:r w:rsidR="002B69DE">
        <w:rPr>
          <w:rFonts w:hint="eastAsia"/>
        </w:rPr>
        <w:t>.</w:t>
      </w:r>
      <w:r w:rsidR="002B69DE">
        <w:rPr>
          <w:rFonts w:hint="eastAsia"/>
        </w:rPr>
        <w:tab/>
      </w:r>
      <w:r>
        <w:rPr>
          <w:rFonts w:hint="eastAsia"/>
        </w:rPr>
        <w:t>报告指出，《证据法》规定，妇女不能成为法律契约的正式证人（第116页）。请说明缺乏这种能力对妇女、尤其是从事商业和法律工作的妇女具有何种影响，并说明是否打算对这项法律进行改革以及这种改革的预期时间。</w:t>
      </w:r>
    </w:p>
    <w:p w:rsidR="00FB4792" w:rsidRDefault="00FB4792" w:rsidP="00FB4792">
      <w:pPr>
        <w:pStyle w:val="SingleTxt"/>
        <w:rPr>
          <w:rFonts w:hint="eastAsia"/>
        </w:rPr>
      </w:pPr>
      <w:r>
        <w:rPr>
          <w:rFonts w:hint="eastAsia"/>
        </w:rPr>
        <w:t>30</w:t>
      </w:r>
      <w:r w:rsidR="002B69DE">
        <w:rPr>
          <w:rFonts w:hint="eastAsia"/>
        </w:rPr>
        <w:t>.</w:t>
      </w:r>
      <w:r w:rsidR="002B69DE">
        <w:rPr>
          <w:rFonts w:hint="eastAsia"/>
        </w:rPr>
        <w:tab/>
      </w:r>
      <w:r>
        <w:rPr>
          <w:rFonts w:hint="eastAsia"/>
        </w:rPr>
        <w:t>报告有关第16条的论述表明，妇女和男子在法律所涉及关于个人地位的许多领域或者在实践中，尤其是在婚姻、离婚、子女监护权和继承遗产等方面，不享有平等权利。请详细说明全国妇女地位委员会</w:t>
      </w:r>
      <w:r w:rsidR="005B426F">
        <w:rPr>
          <w:rFonts w:hint="eastAsia"/>
        </w:rPr>
        <w:t>已</w:t>
      </w:r>
      <w:r>
        <w:rPr>
          <w:rFonts w:hint="eastAsia"/>
        </w:rPr>
        <w:t>对这些法律进行的任何改革以及任何预期法律改革的时间框架，并说明为处理进行问题所采取的措施，包括提供的法律服务。</w:t>
      </w:r>
    </w:p>
    <w:p w:rsidR="00FB4792" w:rsidRPr="002B69DE" w:rsidRDefault="00FB4792" w:rsidP="00FB4792">
      <w:pPr>
        <w:pStyle w:val="SingleTxt"/>
        <w:rPr>
          <w:rFonts w:ascii="SimHei" w:eastAsia="SimHei" w:hint="eastAsia"/>
          <w:color w:val="FF0000"/>
        </w:rPr>
      </w:pPr>
      <w:r w:rsidRPr="002B69DE">
        <w:rPr>
          <w:rFonts w:ascii="SimHei" w:eastAsia="SimHei" w:hint="eastAsia"/>
          <w:color w:val="FF0000"/>
        </w:rPr>
        <w:t>批准任择议定书</w:t>
      </w:r>
    </w:p>
    <w:p w:rsidR="00EA31C3" w:rsidRDefault="00FB4792" w:rsidP="00FB4792">
      <w:pPr>
        <w:pStyle w:val="SingleTxt"/>
        <w:rPr>
          <w:rFonts w:hint="eastAsia"/>
        </w:rPr>
      </w:pPr>
      <w:r>
        <w:rPr>
          <w:rFonts w:hint="eastAsia"/>
        </w:rPr>
        <w:t>31</w:t>
      </w:r>
      <w:r w:rsidR="002B69DE">
        <w:rPr>
          <w:rFonts w:hint="eastAsia"/>
        </w:rPr>
        <w:t>.</w:t>
      </w:r>
      <w:r w:rsidR="002B69DE">
        <w:rPr>
          <w:rFonts w:hint="eastAsia"/>
        </w:rPr>
        <w:tab/>
      </w:r>
      <w:r>
        <w:rPr>
          <w:rFonts w:hint="eastAsia"/>
        </w:rPr>
        <w:t>请说明在批准和加入《消除对妇女一切形式歧视公约任择议定书》以及接受《公约》第20条第1款修正案方面的进展情况。</w:t>
      </w:r>
    </w:p>
    <w:p w:rsidR="00FB4792" w:rsidRPr="002B69DE" w:rsidRDefault="002B69DE" w:rsidP="002B69DE">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FB4792" w:rsidRPr="002B69DE" w:rsidSect="00A26AAB">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25T14:10:00Z" w:initials="Start">
    <w:p w:rsidR="000C2101" w:rsidRDefault="000C2101">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NO&gt;&gt;N0655522C&lt;&lt;ODS JOB NO&gt;&gt;</w:t>
      </w:r>
    </w:p>
    <w:p w:rsidR="000C2101" w:rsidRDefault="000C2101">
      <w:pPr>
        <w:pStyle w:val="CommentText"/>
      </w:pPr>
      <w:r>
        <w:t>&lt;&lt;ODS DOC SYMBOL1&gt;&gt;CEDAW/C/PAK/Q/3&lt;&lt;ODS DOC SYMBOL1&gt;&gt;</w:t>
      </w:r>
    </w:p>
    <w:p w:rsidR="000C2101" w:rsidRDefault="000C21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C64" w:rsidRDefault="00690C64" w:rsidP="00A26AAB">
      <w:pPr>
        <w:pStyle w:val="Footer"/>
      </w:pPr>
      <w:r>
        <w:separator/>
      </w:r>
    </w:p>
  </w:endnote>
  <w:endnote w:type="continuationSeparator" w:id="0">
    <w:p w:rsidR="00690C64" w:rsidRDefault="00690C64" w:rsidP="00A26AAB">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C2101" w:rsidTr="00A26AAB">
      <w:tblPrEx>
        <w:tblCellMar>
          <w:top w:w="0" w:type="dxa"/>
          <w:bottom w:w="0" w:type="dxa"/>
        </w:tblCellMar>
      </w:tblPrEx>
      <w:tc>
        <w:tcPr>
          <w:tcW w:w="5033" w:type="dxa"/>
          <w:shd w:val="clear" w:color="auto" w:fill="auto"/>
          <w:vAlign w:val="bottom"/>
        </w:tcPr>
        <w:p w:rsidR="000C2101" w:rsidRPr="00A26AAB" w:rsidRDefault="000C2101" w:rsidP="00A26AAB">
          <w:pPr>
            <w:pStyle w:val="Footer"/>
            <w:jc w:val="left"/>
          </w:pPr>
          <w:r>
            <w:fldChar w:fldCharType="begin"/>
          </w:r>
          <w:r>
            <w:instrText xml:space="preserve"> PAGE  \* MERGEFORMAT </w:instrText>
          </w:r>
          <w:r>
            <w:fldChar w:fldCharType="separate"/>
          </w:r>
          <w:r w:rsidR="003F69F8">
            <w:t>6</w:t>
          </w:r>
          <w:r>
            <w:fldChar w:fldCharType="end"/>
          </w:r>
        </w:p>
      </w:tc>
      <w:tc>
        <w:tcPr>
          <w:tcW w:w="5033" w:type="dxa"/>
          <w:shd w:val="clear" w:color="auto" w:fill="auto"/>
          <w:vAlign w:val="bottom"/>
        </w:tcPr>
        <w:p w:rsidR="000C2101" w:rsidRPr="00A26AAB" w:rsidRDefault="000C2101" w:rsidP="00A26AA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06-55522</w:t>
          </w:r>
          <w:r>
            <w:rPr>
              <w:b w:val="0"/>
              <w:sz w:val="14"/>
            </w:rPr>
            <w:fldChar w:fldCharType="end"/>
          </w:r>
        </w:p>
      </w:tc>
    </w:tr>
  </w:tbl>
  <w:p w:rsidR="000C2101" w:rsidRPr="00A26AAB" w:rsidRDefault="000C2101" w:rsidP="00A26A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C2101" w:rsidTr="00A26AAB">
      <w:tblPrEx>
        <w:tblCellMar>
          <w:top w:w="0" w:type="dxa"/>
          <w:bottom w:w="0" w:type="dxa"/>
        </w:tblCellMar>
      </w:tblPrEx>
      <w:tc>
        <w:tcPr>
          <w:tcW w:w="5033" w:type="dxa"/>
          <w:shd w:val="clear" w:color="auto" w:fill="auto"/>
          <w:vAlign w:val="bottom"/>
        </w:tcPr>
        <w:p w:rsidR="000C2101" w:rsidRPr="00A26AAB" w:rsidRDefault="000C2101" w:rsidP="00A26AAB">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06-55522</w:t>
          </w:r>
          <w:r>
            <w:rPr>
              <w:b w:val="0"/>
              <w:sz w:val="14"/>
            </w:rPr>
            <w:fldChar w:fldCharType="end"/>
          </w:r>
        </w:p>
      </w:tc>
      <w:tc>
        <w:tcPr>
          <w:tcW w:w="5033" w:type="dxa"/>
          <w:shd w:val="clear" w:color="auto" w:fill="auto"/>
          <w:vAlign w:val="bottom"/>
        </w:tcPr>
        <w:p w:rsidR="000C2101" w:rsidRPr="00A26AAB" w:rsidRDefault="000C2101" w:rsidP="00A26AAB">
          <w:pPr>
            <w:pStyle w:val="Footer"/>
            <w:jc w:val="right"/>
          </w:pPr>
          <w:r>
            <w:fldChar w:fldCharType="begin"/>
          </w:r>
          <w:r>
            <w:instrText xml:space="preserve"> PAGE  \* MERGEFORMAT </w:instrText>
          </w:r>
          <w:r>
            <w:fldChar w:fldCharType="separate"/>
          </w:r>
          <w:r w:rsidR="003F69F8">
            <w:t>5</w:t>
          </w:r>
          <w:r>
            <w:fldChar w:fldCharType="end"/>
          </w:r>
        </w:p>
      </w:tc>
    </w:tr>
  </w:tbl>
  <w:p w:rsidR="000C2101" w:rsidRPr="00A26AAB" w:rsidRDefault="000C2101" w:rsidP="00A26A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101" w:rsidRDefault="000C2101" w:rsidP="00A26AAB">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06-55522 (C)</w:t>
    </w:r>
    <w:r>
      <w:rPr>
        <w:b w:val="0"/>
        <w:sz w:val="21"/>
      </w:rPr>
      <w:fldChar w:fldCharType="end"/>
    </w:r>
    <w:r>
      <w:rPr>
        <w:b w:val="0"/>
        <w:sz w:val="21"/>
      </w:rPr>
      <w:t xml:space="preserve">    251006    2</w:t>
    </w:r>
    <w:r>
      <w:rPr>
        <w:rFonts w:hint="eastAsia"/>
        <w:b w:val="0"/>
        <w:sz w:val="21"/>
      </w:rPr>
      <w:t>7</w:t>
    </w:r>
    <w:r>
      <w:rPr>
        <w:b w:val="0"/>
        <w:sz w:val="21"/>
      </w:rPr>
      <w:t>1006</w:t>
    </w:r>
  </w:p>
  <w:p w:rsidR="000C2101" w:rsidRPr="00A26AAB" w:rsidRDefault="000C2101" w:rsidP="00A26AAB">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*0655522*</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C64" w:rsidRPr="00FB4792" w:rsidRDefault="00690C64" w:rsidP="00FB4792">
      <w:pPr>
        <w:pStyle w:val="Footer"/>
        <w:spacing w:after="80"/>
        <w:ind w:left="792"/>
        <w:rPr>
          <w:sz w:val="16"/>
        </w:rPr>
      </w:pPr>
      <w:r w:rsidRPr="00FB4792">
        <w:rPr>
          <w:sz w:val="16"/>
        </w:rPr>
        <w:t>__________________</w:t>
      </w:r>
    </w:p>
  </w:footnote>
  <w:footnote w:type="continuationSeparator" w:id="0">
    <w:p w:rsidR="00690C64" w:rsidRPr="00FB4792" w:rsidRDefault="00690C64" w:rsidP="00FB4792">
      <w:pPr>
        <w:pStyle w:val="Footer"/>
        <w:spacing w:after="80"/>
        <w:ind w:left="792"/>
        <w:rPr>
          <w:sz w:val="16"/>
        </w:rPr>
      </w:pPr>
      <w:r w:rsidRPr="00FB4792">
        <w:rPr>
          <w:sz w:val="16"/>
        </w:rPr>
        <w:t>__________________</w:t>
      </w:r>
    </w:p>
  </w:footnote>
  <w:footnote w:id="1">
    <w:p w:rsidR="000C2101" w:rsidRDefault="000C2101" w:rsidP="00FB4792">
      <w:pPr>
        <w:pStyle w:val="FootnoteText"/>
        <w:tabs>
          <w:tab w:val="clear" w:pos="418"/>
          <w:tab w:val="right" w:pos="1195"/>
          <w:tab w:val="left" w:pos="1264"/>
          <w:tab w:val="left" w:pos="1695"/>
          <w:tab w:val="left" w:pos="2126"/>
          <w:tab w:val="left" w:pos="2557"/>
        </w:tabs>
        <w:ind w:left="1264" w:right="1264" w:hanging="432"/>
      </w:pPr>
      <w:r>
        <w:rPr>
          <w:rFonts w:hint="eastAsia"/>
        </w:rPr>
        <w:tab/>
      </w:r>
      <w:r w:rsidRPr="00FB4792">
        <w:rPr>
          <w:rStyle w:val="FootnoteReference"/>
        </w:rPr>
        <w:sym w:font="Symbol" w:char="F02A"/>
      </w:r>
      <w:r>
        <w:rPr>
          <w:rFonts w:hint="eastAsia"/>
        </w:rPr>
        <w:tab/>
      </w:r>
      <w:r w:rsidRPr="00FB4792">
        <w:rPr>
          <w:rFonts w:hint="eastAsia"/>
        </w:rPr>
        <w:t>本议题和问题清单中提到的页数是指报告英文本的页数。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C2101" w:rsidTr="00A26AAB">
      <w:tblPrEx>
        <w:tblCellMar>
          <w:top w:w="0" w:type="dxa"/>
          <w:bottom w:w="0" w:type="dxa"/>
        </w:tblCellMar>
      </w:tblPrEx>
      <w:trPr>
        <w:trHeight w:hRule="exact" w:val="864"/>
      </w:trPr>
      <w:tc>
        <w:tcPr>
          <w:tcW w:w="4838" w:type="dxa"/>
          <w:shd w:val="clear" w:color="auto" w:fill="auto"/>
          <w:vAlign w:val="bottom"/>
        </w:tcPr>
        <w:p w:rsidR="000C2101" w:rsidRPr="00A26AAB" w:rsidRDefault="000C2101" w:rsidP="00A26AAB">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CEDAW/C/PAK/Q/3</w:t>
          </w:r>
          <w:r>
            <w:rPr>
              <w:b/>
              <w:sz w:val="17"/>
            </w:rPr>
            <w:fldChar w:fldCharType="end"/>
          </w:r>
        </w:p>
      </w:tc>
      <w:tc>
        <w:tcPr>
          <w:tcW w:w="5033" w:type="dxa"/>
          <w:shd w:val="clear" w:color="auto" w:fill="auto"/>
          <w:vAlign w:val="bottom"/>
        </w:tcPr>
        <w:p w:rsidR="000C2101" w:rsidRDefault="000C2101" w:rsidP="00A26AAB">
          <w:pPr>
            <w:pStyle w:val="Header"/>
          </w:pPr>
        </w:p>
      </w:tc>
    </w:tr>
  </w:tbl>
  <w:p w:rsidR="000C2101" w:rsidRPr="00A26AAB" w:rsidRDefault="000C2101" w:rsidP="00A26A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C2101" w:rsidTr="00A26AAB">
      <w:tblPrEx>
        <w:tblCellMar>
          <w:top w:w="0" w:type="dxa"/>
          <w:bottom w:w="0" w:type="dxa"/>
        </w:tblCellMar>
      </w:tblPrEx>
      <w:trPr>
        <w:trHeight w:hRule="exact" w:val="864"/>
      </w:trPr>
      <w:tc>
        <w:tcPr>
          <w:tcW w:w="4838" w:type="dxa"/>
          <w:shd w:val="clear" w:color="auto" w:fill="auto"/>
          <w:vAlign w:val="bottom"/>
        </w:tcPr>
        <w:p w:rsidR="000C2101" w:rsidRDefault="000C2101" w:rsidP="00A26AAB">
          <w:pPr>
            <w:pStyle w:val="Header"/>
          </w:pPr>
        </w:p>
      </w:tc>
      <w:tc>
        <w:tcPr>
          <w:tcW w:w="5033" w:type="dxa"/>
          <w:shd w:val="clear" w:color="auto" w:fill="auto"/>
          <w:vAlign w:val="bottom"/>
        </w:tcPr>
        <w:p w:rsidR="000C2101" w:rsidRPr="00A26AAB" w:rsidRDefault="000C2101" w:rsidP="00A26AAB">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CEDAW/C/PAK/Q/3</w:t>
          </w:r>
          <w:r>
            <w:rPr>
              <w:b/>
              <w:sz w:val="17"/>
            </w:rPr>
            <w:fldChar w:fldCharType="end"/>
          </w:r>
        </w:p>
      </w:tc>
    </w:tr>
  </w:tbl>
  <w:p w:rsidR="000C2101" w:rsidRPr="00A26AAB" w:rsidRDefault="000C2101" w:rsidP="00A26A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C2101" w:rsidTr="00A26AA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C2101" w:rsidRDefault="000C2101" w:rsidP="00A26AAB">
          <w:pPr>
            <w:pStyle w:val="Header"/>
            <w:spacing w:after="120"/>
          </w:pPr>
        </w:p>
      </w:tc>
      <w:tc>
        <w:tcPr>
          <w:tcW w:w="1872" w:type="dxa"/>
          <w:tcBorders>
            <w:bottom w:val="single" w:sz="4" w:space="0" w:color="auto"/>
          </w:tcBorders>
          <w:shd w:val="clear" w:color="auto" w:fill="auto"/>
          <w:vAlign w:val="bottom"/>
        </w:tcPr>
        <w:p w:rsidR="000C2101" w:rsidRPr="00A26AAB" w:rsidRDefault="000C2101" w:rsidP="00A26AA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C2101" w:rsidRDefault="000C2101" w:rsidP="00A26AAB">
          <w:pPr>
            <w:pStyle w:val="Header"/>
            <w:spacing w:after="120"/>
          </w:pPr>
        </w:p>
      </w:tc>
      <w:tc>
        <w:tcPr>
          <w:tcW w:w="6523" w:type="dxa"/>
          <w:gridSpan w:val="3"/>
          <w:tcBorders>
            <w:bottom w:val="single" w:sz="4" w:space="0" w:color="auto"/>
          </w:tcBorders>
          <w:shd w:val="clear" w:color="auto" w:fill="auto"/>
          <w:vAlign w:val="bottom"/>
        </w:tcPr>
        <w:p w:rsidR="000C2101" w:rsidRPr="00A26AAB" w:rsidRDefault="000C2101" w:rsidP="00A26AAB">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/C/PAK/Q/3</w:t>
          </w:r>
        </w:p>
      </w:tc>
    </w:tr>
    <w:tr w:rsidR="000C2101" w:rsidRPr="00A26AAB" w:rsidTr="00A26AA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C2101" w:rsidRDefault="000C2101" w:rsidP="00A26AA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C2101" w:rsidRPr="00A26AAB" w:rsidRDefault="000C2101" w:rsidP="00A26AAB">
          <w:pPr>
            <w:pStyle w:val="Header"/>
            <w:spacing w:before="109"/>
            <w:ind w:left="-72"/>
          </w:pPr>
        </w:p>
      </w:tc>
      <w:tc>
        <w:tcPr>
          <w:tcW w:w="5227" w:type="dxa"/>
          <w:gridSpan w:val="3"/>
          <w:tcBorders>
            <w:top w:val="single" w:sz="4" w:space="0" w:color="auto"/>
            <w:bottom w:val="single" w:sz="12" w:space="0" w:color="auto"/>
          </w:tcBorders>
          <w:shd w:val="clear" w:color="auto" w:fill="auto"/>
        </w:tcPr>
        <w:p w:rsidR="000C2101" w:rsidRPr="00A26AAB" w:rsidRDefault="000C2101" w:rsidP="00A26AA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C2101" w:rsidRPr="00A26AAB" w:rsidRDefault="000C2101" w:rsidP="00A26AAB">
          <w:pPr>
            <w:pStyle w:val="Header"/>
            <w:spacing w:before="109"/>
          </w:pPr>
        </w:p>
      </w:tc>
      <w:tc>
        <w:tcPr>
          <w:tcW w:w="3180" w:type="dxa"/>
          <w:gridSpan w:val="2"/>
          <w:tcBorders>
            <w:top w:val="single" w:sz="4" w:space="0" w:color="auto"/>
            <w:bottom w:val="single" w:sz="12" w:space="0" w:color="auto"/>
          </w:tcBorders>
          <w:shd w:val="clear" w:color="auto" w:fill="auto"/>
        </w:tcPr>
        <w:p w:rsidR="000C2101" w:rsidRDefault="000C2101" w:rsidP="00A26AAB">
          <w:pPr>
            <w:spacing w:before="240" w:line="240" w:lineRule="exact"/>
            <w:rPr>
              <w:rFonts w:ascii="Times New Roman"/>
            </w:rPr>
          </w:pPr>
          <w:r>
            <w:rPr>
              <w:rFonts w:ascii="Times New Roman"/>
            </w:rPr>
            <w:t>Distr.: General</w:t>
          </w:r>
        </w:p>
        <w:p w:rsidR="000C2101" w:rsidRDefault="000C2101" w:rsidP="00A26AAB">
          <w:pPr>
            <w:spacing w:line="240" w:lineRule="exact"/>
            <w:rPr>
              <w:rFonts w:ascii="Times New Roman"/>
            </w:rPr>
          </w:pPr>
          <w:r>
            <w:rPr>
              <w:rFonts w:ascii="Times New Roman"/>
            </w:rPr>
            <w:t>5 October 2006</w:t>
          </w:r>
        </w:p>
        <w:p w:rsidR="000C2101" w:rsidRDefault="000C2101" w:rsidP="00A26AAB">
          <w:pPr>
            <w:spacing w:line="240" w:lineRule="exact"/>
            <w:rPr>
              <w:rFonts w:ascii="Times New Roman"/>
            </w:rPr>
          </w:pPr>
          <w:r>
            <w:rPr>
              <w:rFonts w:ascii="Times New Roman"/>
            </w:rPr>
            <w:t>Chinese</w:t>
          </w:r>
        </w:p>
        <w:p w:rsidR="000C2101" w:rsidRPr="00A26AAB" w:rsidRDefault="000C2101" w:rsidP="00A26AAB">
          <w:pPr>
            <w:spacing w:line="240" w:lineRule="exact"/>
            <w:rPr>
              <w:rFonts w:ascii="Times New Roman"/>
            </w:rPr>
          </w:pPr>
          <w:r>
            <w:rPr>
              <w:rFonts w:ascii="Times New Roman"/>
            </w:rPr>
            <w:t>Original: English</w:t>
          </w:r>
        </w:p>
      </w:tc>
    </w:tr>
  </w:tbl>
  <w:p w:rsidR="000C2101" w:rsidRPr="00A26AAB" w:rsidRDefault="000C2101" w:rsidP="00A26AA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22*"/>
    <w:docVar w:name="CreationDt" w:val="25/10/2006 13:48:03"/>
    <w:docVar w:name="DocCategory" w:val="Doc"/>
    <w:docVar w:name="DocType" w:val="Final"/>
    <w:docVar w:name="FooterJN" w:val="06-55522"/>
    <w:docVar w:name="jobn" w:val="06-55522 (C)"/>
    <w:docVar w:name="jobnDT" w:val="06-55522 (C)   251006"/>
    <w:docVar w:name="jobnDTDT" w:val="06-55522 (C)   251006   251006"/>
    <w:docVar w:name="JobNo" w:val="0655522C"/>
    <w:docVar w:name="OandT" w:val="Wang xq"/>
    <w:docVar w:name="sss1" w:val="CEDAW/C/PAK/Q/3"/>
    <w:docVar w:name="sss2" w:val="-"/>
    <w:docVar w:name="Symbol1" w:val="CEDAW/C/PAK/Q/3"/>
    <w:docVar w:name="Symbol2" w:val="-"/>
  </w:docVars>
  <w:rsids>
    <w:rsidRoot w:val="00EB0109"/>
    <w:rsid w:val="000125BC"/>
    <w:rsid w:val="00021A2B"/>
    <w:rsid w:val="00037B39"/>
    <w:rsid w:val="00044CA4"/>
    <w:rsid w:val="00045EFE"/>
    <w:rsid w:val="0007337D"/>
    <w:rsid w:val="000758DF"/>
    <w:rsid w:val="00076EB8"/>
    <w:rsid w:val="00095C67"/>
    <w:rsid w:val="000A31F9"/>
    <w:rsid w:val="000C1786"/>
    <w:rsid w:val="000C2101"/>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B69DE"/>
    <w:rsid w:val="002C2254"/>
    <w:rsid w:val="002C3BC9"/>
    <w:rsid w:val="002C54DB"/>
    <w:rsid w:val="002D0694"/>
    <w:rsid w:val="002D5503"/>
    <w:rsid w:val="002E66D5"/>
    <w:rsid w:val="002F41E2"/>
    <w:rsid w:val="00320C99"/>
    <w:rsid w:val="003274A9"/>
    <w:rsid w:val="00331221"/>
    <w:rsid w:val="003649EE"/>
    <w:rsid w:val="00371BC6"/>
    <w:rsid w:val="00373A15"/>
    <w:rsid w:val="0039115F"/>
    <w:rsid w:val="00394A02"/>
    <w:rsid w:val="003B10DE"/>
    <w:rsid w:val="003C7B20"/>
    <w:rsid w:val="003E4565"/>
    <w:rsid w:val="003E748F"/>
    <w:rsid w:val="003E7612"/>
    <w:rsid w:val="003F69F8"/>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426F"/>
    <w:rsid w:val="005B7338"/>
    <w:rsid w:val="005C02AB"/>
    <w:rsid w:val="005D0F04"/>
    <w:rsid w:val="005F3273"/>
    <w:rsid w:val="005F34A3"/>
    <w:rsid w:val="00610CF2"/>
    <w:rsid w:val="006479F1"/>
    <w:rsid w:val="00650BEE"/>
    <w:rsid w:val="006520FA"/>
    <w:rsid w:val="0065377D"/>
    <w:rsid w:val="006740A7"/>
    <w:rsid w:val="00677C55"/>
    <w:rsid w:val="00690C64"/>
    <w:rsid w:val="00691524"/>
    <w:rsid w:val="006A654B"/>
    <w:rsid w:val="006A6746"/>
    <w:rsid w:val="006E2924"/>
    <w:rsid w:val="006E7A26"/>
    <w:rsid w:val="006F2B3D"/>
    <w:rsid w:val="007319E0"/>
    <w:rsid w:val="00737B00"/>
    <w:rsid w:val="0075155C"/>
    <w:rsid w:val="00753A05"/>
    <w:rsid w:val="00761190"/>
    <w:rsid w:val="00771535"/>
    <w:rsid w:val="00776537"/>
    <w:rsid w:val="00783A25"/>
    <w:rsid w:val="007E1B5E"/>
    <w:rsid w:val="007F2278"/>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26AAB"/>
    <w:rsid w:val="00A33D6D"/>
    <w:rsid w:val="00A5206D"/>
    <w:rsid w:val="00A72E47"/>
    <w:rsid w:val="00A95404"/>
    <w:rsid w:val="00A968C5"/>
    <w:rsid w:val="00AA3C28"/>
    <w:rsid w:val="00AB2786"/>
    <w:rsid w:val="00AD4308"/>
    <w:rsid w:val="00AE5789"/>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4B6F"/>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B0109"/>
    <w:rsid w:val="00EC5D7F"/>
    <w:rsid w:val="00EC6F21"/>
    <w:rsid w:val="00EE0913"/>
    <w:rsid w:val="00F01440"/>
    <w:rsid w:val="00F13305"/>
    <w:rsid w:val="00F21712"/>
    <w:rsid w:val="00F40463"/>
    <w:rsid w:val="00F50336"/>
    <w:rsid w:val="00F62E3F"/>
    <w:rsid w:val="00F67F90"/>
    <w:rsid w:val="00F77B3E"/>
    <w:rsid w:val="00F833CB"/>
    <w:rsid w:val="00F87754"/>
    <w:rsid w:val="00F90A4B"/>
    <w:rsid w:val="00FB4792"/>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272</TotalTime>
  <Pages>1</Pages>
  <Words>712</Words>
  <Characters>4065</Characters>
  <Application>Microsoft Office Word</Application>
  <DocSecurity>4</DocSecurity>
  <Lines>33</Lines>
  <Paragraphs>9</Paragraphs>
  <ScaleCrop>false</ScaleCrop>
  <Company>United Nations</Company>
  <LinksUpToDate>false</LinksUpToDate>
  <CharactersWithSpaces>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Xiuqin.Wang</dc:creator>
  <cp:keywords/>
  <dc:description/>
  <cp:lastModifiedBy>Xiuqin.Wang</cp:lastModifiedBy>
  <cp:revision>23</cp:revision>
  <cp:lastPrinted>2006-10-26T13:47:00Z</cp:lastPrinted>
  <dcterms:created xsi:type="dcterms:W3CDTF">2006-10-25T08:47:00Z</dcterms:created>
  <dcterms:modified xsi:type="dcterms:W3CDTF">2006-10-26T13:52:00Z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0655522</vt:lpwstr>
  </property>
  <property fmtid="{D5CDD505-2E9C-101B-9397-08002B2CF9AE}" pid="3" name="Symbol1">
    <vt:lpwstr>CEDAW/C/PAK/Q/3</vt:lpwstr>
  </property>
  <property fmtid="{D5CDD505-2E9C-101B-9397-08002B2CF9AE}" pid="4" name="Symbol2">
    <vt:lpwstr/>
  </property>
  <property fmtid="{D5CDD505-2E9C-101B-9397-08002B2CF9AE}" pid="5" name="Translator">
    <vt:lpwstr/>
  </property>
  <property fmtid="{D5CDD505-2E9C-101B-9397-08002B2CF9AE}" pid="6" name="Operator">
    <vt:lpwstr>Wang xq</vt:lpwstr>
  </property>
  <property fmtid="{D5CDD505-2E9C-101B-9397-08002B2CF9AE}" pid="7" name="DraftPages">
    <vt:lpwstr> </vt:lpwstr>
  </property>
  <property fmtid="{D5CDD505-2E9C-101B-9397-08002B2CF9AE}" pid="8" name="Comment">
    <vt:lpwstr/>
  </property>
</Properties>
</file>