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29204ACD" w14:textId="77777777" w:rsidTr="00E6618E">
        <w:trPr>
          <w:trHeight w:hRule="exact" w:val="851"/>
        </w:trPr>
        <w:tc>
          <w:tcPr>
            <w:tcW w:w="1276" w:type="dxa"/>
            <w:tcBorders>
              <w:bottom w:val="single" w:sz="4" w:space="0" w:color="auto"/>
            </w:tcBorders>
          </w:tcPr>
          <w:p w14:paraId="04307AE9" w14:textId="77777777" w:rsidR="00A12E20" w:rsidRPr="00DB58B5" w:rsidRDefault="00A12E20" w:rsidP="00225673"/>
        </w:tc>
        <w:tc>
          <w:tcPr>
            <w:tcW w:w="2268" w:type="dxa"/>
            <w:tcBorders>
              <w:bottom w:val="single" w:sz="4" w:space="0" w:color="auto"/>
            </w:tcBorders>
            <w:vAlign w:val="bottom"/>
          </w:tcPr>
          <w:p w14:paraId="52E7FAAF"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888F4B3" w14:textId="29D6BDE9" w:rsidR="00A12E20" w:rsidRPr="00DB58B5" w:rsidRDefault="00225673" w:rsidP="00225673">
            <w:pPr>
              <w:jc w:val="right"/>
            </w:pPr>
            <w:r w:rsidRPr="00225673">
              <w:rPr>
                <w:sz w:val="40"/>
              </w:rPr>
              <w:t>A</w:t>
            </w:r>
            <w:r>
              <w:t>/HRC/46/21</w:t>
            </w:r>
          </w:p>
        </w:tc>
      </w:tr>
      <w:tr w:rsidR="00A12E20" w:rsidRPr="00DB58B5" w14:paraId="761B810C" w14:textId="77777777" w:rsidTr="00E6618E">
        <w:trPr>
          <w:trHeight w:hRule="exact" w:val="2835"/>
        </w:trPr>
        <w:tc>
          <w:tcPr>
            <w:tcW w:w="1276" w:type="dxa"/>
            <w:tcBorders>
              <w:top w:val="single" w:sz="4" w:space="0" w:color="auto"/>
              <w:bottom w:val="single" w:sz="12" w:space="0" w:color="auto"/>
            </w:tcBorders>
          </w:tcPr>
          <w:p w14:paraId="56E250CB" w14:textId="77777777" w:rsidR="00A12E20" w:rsidRPr="00DB58B5" w:rsidRDefault="00A12E20" w:rsidP="00E6618E">
            <w:pPr>
              <w:spacing w:before="120"/>
              <w:jc w:val="center"/>
            </w:pPr>
            <w:r>
              <w:rPr>
                <w:noProof/>
                <w:lang w:eastAsia="fr-CH"/>
              </w:rPr>
              <w:drawing>
                <wp:inline distT="0" distB="0" distL="0" distR="0" wp14:anchorId="6F987AB7" wp14:editId="47A8A44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427009"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6EB38C21" w14:textId="77777777" w:rsidR="00A12E20" w:rsidRDefault="00225673" w:rsidP="00E6618E">
            <w:pPr>
              <w:spacing w:before="240"/>
            </w:pPr>
            <w:r>
              <w:t>Distr. générale</w:t>
            </w:r>
          </w:p>
          <w:p w14:paraId="0AE59743" w14:textId="77777777" w:rsidR="00225673" w:rsidRDefault="00225673" w:rsidP="00225673">
            <w:pPr>
              <w:spacing w:line="240" w:lineRule="exact"/>
            </w:pPr>
            <w:r>
              <w:t>11 février 2021</w:t>
            </w:r>
          </w:p>
          <w:p w14:paraId="5EBFEE57" w14:textId="77777777" w:rsidR="00225673" w:rsidRDefault="00225673" w:rsidP="00225673">
            <w:pPr>
              <w:spacing w:line="240" w:lineRule="exact"/>
            </w:pPr>
            <w:r>
              <w:t>Français</w:t>
            </w:r>
          </w:p>
          <w:p w14:paraId="66D0DF83" w14:textId="76992552" w:rsidR="00225673" w:rsidRPr="00DB58B5" w:rsidRDefault="00225673" w:rsidP="00225673">
            <w:pPr>
              <w:spacing w:line="240" w:lineRule="exact"/>
            </w:pPr>
            <w:r>
              <w:t>Original : anglais</w:t>
            </w:r>
          </w:p>
        </w:tc>
      </w:tr>
    </w:tbl>
    <w:p w14:paraId="1832AF1C" w14:textId="1BA193D1" w:rsidR="00D45432" w:rsidRDefault="00D45432" w:rsidP="00D45432">
      <w:pPr>
        <w:spacing w:before="120"/>
        <w:rPr>
          <w:b/>
          <w:sz w:val="24"/>
          <w:szCs w:val="24"/>
        </w:rPr>
      </w:pPr>
      <w:r w:rsidRPr="00BA184E">
        <w:rPr>
          <w:b/>
          <w:sz w:val="24"/>
          <w:szCs w:val="24"/>
        </w:rPr>
        <w:t>Conseil des droits de l</w:t>
      </w:r>
      <w:r w:rsidR="00225673">
        <w:rPr>
          <w:b/>
          <w:sz w:val="24"/>
          <w:szCs w:val="24"/>
        </w:rPr>
        <w:t>’</w:t>
      </w:r>
      <w:r w:rsidRPr="00BA184E">
        <w:rPr>
          <w:b/>
          <w:sz w:val="24"/>
          <w:szCs w:val="24"/>
        </w:rPr>
        <w:t>homme</w:t>
      </w:r>
    </w:p>
    <w:p w14:paraId="431E7C50" w14:textId="77777777" w:rsidR="00225673" w:rsidRPr="009D6168" w:rsidRDefault="00225673" w:rsidP="00225673">
      <w:pPr>
        <w:rPr>
          <w:b/>
          <w:bCs/>
          <w:lang w:val="fr-FR"/>
        </w:rPr>
      </w:pPr>
      <w:r w:rsidRPr="009D6168">
        <w:rPr>
          <w:b/>
          <w:bCs/>
          <w:lang w:val="fr-FR"/>
        </w:rPr>
        <w:t>Quarante-sixième session</w:t>
      </w:r>
    </w:p>
    <w:p w14:paraId="0393D498" w14:textId="77777777" w:rsidR="00225673" w:rsidRPr="009D6168" w:rsidRDefault="00225673" w:rsidP="00225673">
      <w:pPr>
        <w:rPr>
          <w:lang w:val="fr-FR"/>
        </w:rPr>
      </w:pPr>
      <w:r w:rsidRPr="009D6168">
        <w:rPr>
          <w:lang w:val="fr-FR"/>
        </w:rPr>
        <w:t>22 février-19 mars 2021</w:t>
      </w:r>
    </w:p>
    <w:p w14:paraId="594F824A" w14:textId="2C6C2F62" w:rsidR="00225673" w:rsidRPr="009D6168" w:rsidRDefault="00225673" w:rsidP="00225673">
      <w:pPr>
        <w:rPr>
          <w:lang w:val="fr-FR"/>
        </w:rPr>
      </w:pPr>
      <w:r w:rsidRPr="009D6168">
        <w:rPr>
          <w:lang w:val="fr-FR"/>
        </w:rPr>
        <w:t>Point 2 de l</w:t>
      </w:r>
      <w:r>
        <w:rPr>
          <w:lang w:val="fr-FR"/>
        </w:rPr>
        <w:t>’</w:t>
      </w:r>
      <w:r w:rsidRPr="009D6168">
        <w:rPr>
          <w:lang w:val="fr-FR"/>
        </w:rPr>
        <w:t>ordre du jour</w:t>
      </w:r>
    </w:p>
    <w:p w14:paraId="5A463E21" w14:textId="58CE071B" w:rsidR="00225673" w:rsidRPr="009D6168" w:rsidRDefault="00225673" w:rsidP="00225673">
      <w:pPr>
        <w:rPr>
          <w:b/>
          <w:bCs/>
          <w:lang w:val="fr-FR"/>
        </w:rPr>
      </w:pPr>
      <w:r w:rsidRPr="00686311">
        <w:rPr>
          <w:b/>
          <w:bCs/>
          <w:lang w:val="fr-FR"/>
        </w:rPr>
        <w:t>Rapport</w:t>
      </w:r>
      <w:r w:rsidRPr="009D6168">
        <w:rPr>
          <w:b/>
          <w:bCs/>
          <w:lang w:val="fr-FR"/>
        </w:rPr>
        <w:t xml:space="preserve"> annuel du Haut-Commissaire des Nations Unies </w:t>
      </w:r>
      <w:r w:rsidRPr="009D6168">
        <w:rPr>
          <w:b/>
          <w:bCs/>
          <w:lang w:val="fr-FR"/>
        </w:rPr>
        <w:br/>
        <w:t>aux droits de l</w:t>
      </w:r>
      <w:r>
        <w:rPr>
          <w:b/>
          <w:bCs/>
          <w:lang w:val="fr-FR"/>
        </w:rPr>
        <w:t>’</w:t>
      </w:r>
      <w:r w:rsidRPr="009D6168">
        <w:rPr>
          <w:b/>
          <w:bCs/>
          <w:lang w:val="fr-FR"/>
        </w:rPr>
        <w:t xml:space="preserve">homme et rapports du Haut-Commissariat </w:t>
      </w:r>
      <w:r w:rsidRPr="009D6168">
        <w:rPr>
          <w:b/>
          <w:bCs/>
          <w:lang w:val="fr-FR"/>
        </w:rPr>
        <w:br/>
        <w:t>et du Secrétaire général</w:t>
      </w:r>
    </w:p>
    <w:p w14:paraId="53CA4B62" w14:textId="7FA5A870" w:rsidR="00225673" w:rsidRPr="009D6168" w:rsidRDefault="00225673" w:rsidP="00225673">
      <w:pPr>
        <w:pStyle w:val="HChG"/>
        <w:rPr>
          <w:lang w:val="fr-FR"/>
        </w:rPr>
      </w:pPr>
      <w:r w:rsidRPr="009D6168">
        <w:rPr>
          <w:lang w:val="fr-FR"/>
        </w:rPr>
        <w:tab/>
      </w:r>
      <w:r w:rsidRPr="009D6168">
        <w:rPr>
          <w:lang w:val="fr-FR"/>
        </w:rPr>
        <w:tab/>
        <w:t>Situation des droits de l</w:t>
      </w:r>
      <w:r>
        <w:rPr>
          <w:lang w:val="fr-FR"/>
        </w:rPr>
        <w:t>’</w:t>
      </w:r>
      <w:r w:rsidRPr="009D6168">
        <w:rPr>
          <w:lang w:val="fr-FR"/>
        </w:rPr>
        <w:t>homme au Nicaragua</w:t>
      </w:r>
    </w:p>
    <w:p w14:paraId="12BACED0" w14:textId="40DA74C7" w:rsidR="00225673" w:rsidRPr="00B41FA4" w:rsidRDefault="00225673" w:rsidP="00225673">
      <w:pPr>
        <w:pStyle w:val="H1G"/>
        <w:rPr>
          <w:lang w:val="fr-FR"/>
        </w:rPr>
      </w:pPr>
      <w:r w:rsidRPr="009D6168">
        <w:rPr>
          <w:lang w:val="fr-FR"/>
        </w:rPr>
        <w:tab/>
      </w:r>
      <w:r w:rsidRPr="009D6168">
        <w:rPr>
          <w:lang w:val="fr-FR"/>
        </w:rPr>
        <w:tab/>
      </w:r>
      <w:r w:rsidRPr="009D6168">
        <w:rPr>
          <w:bCs/>
          <w:lang w:val="fr-FR"/>
        </w:rPr>
        <w:t xml:space="preserve">Rapport de la Haute-Commissaire des Nations Unies aux droits </w:t>
      </w:r>
      <w:r>
        <w:rPr>
          <w:bCs/>
          <w:lang w:val="fr-FR"/>
        </w:rPr>
        <w:br/>
      </w:r>
      <w:r w:rsidRPr="009D6168">
        <w:rPr>
          <w:bCs/>
          <w:lang w:val="fr-FR"/>
        </w:rPr>
        <w:t>de l</w:t>
      </w:r>
      <w:r>
        <w:rPr>
          <w:bCs/>
          <w:lang w:val="fr-FR"/>
        </w:rPr>
        <w:t>’</w:t>
      </w:r>
      <w:r w:rsidRPr="009D6168">
        <w:rPr>
          <w:bCs/>
          <w:lang w:val="fr-FR"/>
        </w:rPr>
        <w:t>homme</w:t>
      </w:r>
      <w:r w:rsidRPr="00225673">
        <w:rPr>
          <w:rStyle w:val="Appelnotedebasdep"/>
          <w:b w:val="0"/>
          <w:bCs/>
          <w:sz w:val="20"/>
          <w:vertAlign w:val="baseline"/>
          <w:lang w:val="fr-FR"/>
        </w:rPr>
        <w:footnoteReference w:customMarkFollows="1" w:id="2"/>
        <w:t>*</w:t>
      </w:r>
    </w:p>
    <w:tbl>
      <w:tblPr>
        <w:tblStyle w:val="Grilledutableau"/>
        <w:tblW w:w="0" w:type="auto"/>
        <w:jc w:val="center"/>
        <w:tblLook w:val="05E0" w:firstRow="1" w:lastRow="1" w:firstColumn="1" w:lastColumn="1" w:noHBand="0" w:noVBand="1"/>
      </w:tblPr>
      <w:tblGrid>
        <w:gridCol w:w="9628"/>
      </w:tblGrid>
      <w:tr w:rsidR="00225673" w:rsidRPr="0034530E" w14:paraId="4F27834D" w14:textId="77777777" w:rsidTr="00225673">
        <w:trPr>
          <w:jc w:val="center"/>
        </w:trPr>
        <w:tc>
          <w:tcPr>
            <w:tcW w:w="9637" w:type="dxa"/>
            <w:tcBorders>
              <w:bottom w:val="nil"/>
            </w:tcBorders>
          </w:tcPr>
          <w:p w14:paraId="239CBDBB" w14:textId="50ED1D07" w:rsidR="00225673" w:rsidRPr="0034530E" w:rsidRDefault="00225673" w:rsidP="00E92F03">
            <w:pPr>
              <w:spacing w:before="240" w:after="120"/>
              <w:ind w:left="255"/>
              <w:rPr>
                <w:sz w:val="24"/>
                <w:lang w:val="en-GB"/>
              </w:rPr>
            </w:pPr>
            <w:r>
              <w:rPr>
                <w:i/>
                <w:sz w:val="24"/>
                <w:lang w:val="en-GB"/>
              </w:rPr>
              <w:t>Résumé</w:t>
            </w:r>
          </w:p>
        </w:tc>
      </w:tr>
      <w:tr w:rsidR="00225673" w:rsidRPr="0078048D" w14:paraId="237EEC52" w14:textId="77777777" w:rsidTr="00225673">
        <w:trPr>
          <w:jc w:val="center"/>
        </w:trPr>
        <w:tc>
          <w:tcPr>
            <w:tcW w:w="9637" w:type="dxa"/>
            <w:tcBorders>
              <w:top w:val="nil"/>
              <w:bottom w:val="nil"/>
            </w:tcBorders>
            <w:shd w:val="clear" w:color="auto" w:fill="auto"/>
          </w:tcPr>
          <w:p w14:paraId="39E50F0B" w14:textId="75F4BE97" w:rsidR="00225673" w:rsidRPr="009D6168" w:rsidRDefault="00225673" w:rsidP="00225673">
            <w:pPr>
              <w:pStyle w:val="SingleTxtG"/>
              <w:rPr>
                <w:lang w:val="fr-FR"/>
              </w:rPr>
            </w:pPr>
            <w:r w:rsidRPr="009D6168">
              <w:rPr>
                <w:lang w:val="fr-FR"/>
              </w:rPr>
              <w:tab/>
            </w:r>
            <w:r>
              <w:rPr>
                <w:lang w:val="fr-FR"/>
              </w:rPr>
              <w:t>Le présent rapp</w:t>
            </w:r>
            <w:r w:rsidRPr="009D6168">
              <w:rPr>
                <w:lang w:val="fr-FR"/>
              </w:rPr>
              <w:t>ort, soumis en application de la résolution 43/2 du Conseil des droits de l</w:t>
            </w:r>
            <w:r>
              <w:rPr>
                <w:lang w:val="fr-FR"/>
              </w:rPr>
              <w:t>’</w:t>
            </w:r>
            <w:r w:rsidRPr="009D6168">
              <w:rPr>
                <w:lang w:val="fr-FR"/>
              </w:rPr>
              <w:t>homme, donne un</w:t>
            </w:r>
            <w:r>
              <w:rPr>
                <w:lang w:val="fr-FR"/>
              </w:rPr>
              <w:t>e vision d’ensemble</w:t>
            </w:r>
            <w:r w:rsidRPr="009D6168">
              <w:rPr>
                <w:lang w:val="fr-FR"/>
              </w:rPr>
              <w:t xml:space="preserve"> de la situation des droits de l</w:t>
            </w:r>
            <w:r>
              <w:rPr>
                <w:lang w:val="fr-FR"/>
              </w:rPr>
              <w:t>’</w:t>
            </w:r>
            <w:r w:rsidRPr="009D6168">
              <w:rPr>
                <w:lang w:val="fr-FR"/>
              </w:rPr>
              <w:t>homme au Nicaragua entre le 1</w:t>
            </w:r>
            <w:r w:rsidRPr="009D6168">
              <w:rPr>
                <w:vertAlign w:val="superscript"/>
                <w:lang w:val="fr-FR"/>
              </w:rPr>
              <w:t>er</w:t>
            </w:r>
            <w:r w:rsidRPr="009D6168">
              <w:rPr>
                <w:lang w:val="fr-FR"/>
              </w:rPr>
              <w:t> août 2019 et le 31 décembre 2020. Il décrit en particulier l</w:t>
            </w:r>
            <w:r>
              <w:rPr>
                <w:lang w:val="fr-FR"/>
              </w:rPr>
              <w:t>’</w:t>
            </w:r>
            <w:r w:rsidRPr="009D6168">
              <w:rPr>
                <w:lang w:val="fr-FR"/>
              </w:rPr>
              <w:t xml:space="preserve">imposition de restrictions de plus en plus nombreuses </w:t>
            </w:r>
            <w:r>
              <w:rPr>
                <w:lang w:val="fr-FR"/>
              </w:rPr>
              <w:t>au champ d’action de la société civile</w:t>
            </w:r>
            <w:r w:rsidRPr="009D6168">
              <w:rPr>
                <w:lang w:val="fr-FR"/>
              </w:rPr>
              <w:t xml:space="preserve"> et l</w:t>
            </w:r>
            <w:r>
              <w:rPr>
                <w:lang w:val="fr-FR"/>
              </w:rPr>
              <w:t>’</w:t>
            </w:r>
            <w:r w:rsidRPr="009D6168">
              <w:rPr>
                <w:lang w:val="fr-FR"/>
              </w:rPr>
              <w:t>impunité dont continuent de bénéficier les auteurs de violations des droits de l</w:t>
            </w:r>
            <w:r>
              <w:rPr>
                <w:lang w:val="fr-FR"/>
              </w:rPr>
              <w:t>’</w:t>
            </w:r>
            <w:r w:rsidRPr="009D6168">
              <w:rPr>
                <w:lang w:val="fr-FR"/>
              </w:rPr>
              <w:t>homme commises lors des manifestations de 2018. Il met également en lumière les effets de la pandémie de maladie à coronavirus (COVID-19) et des ouragans sur les droits de l</w:t>
            </w:r>
            <w:r>
              <w:rPr>
                <w:lang w:val="fr-FR"/>
              </w:rPr>
              <w:t>’</w:t>
            </w:r>
            <w:r w:rsidRPr="009D6168">
              <w:rPr>
                <w:lang w:val="fr-FR"/>
              </w:rPr>
              <w:t>homme. Le rapport contient des recommandations qui complètent celles formulées dans le précédent rapport de la Haute</w:t>
            </w:r>
            <w:r>
              <w:rPr>
                <w:lang w:val="fr-FR"/>
              </w:rPr>
              <w:noBreakHyphen/>
            </w:r>
            <w:r w:rsidRPr="009D6168">
              <w:rPr>
                <w:lang w:val="fr-FR"/>
              </w:rPr>
              <w:t>Commissaire des Nations Unies aux droits de l</w:t>
            </w:r>
            <w:r>
              <w:rPr>
                <w:lang w:val="fr-FR"/>
              </w:rPr>
              <w:t>’</w:t>
            </w:r>
            <w:r w:rsidRPr="009D6168">
              <w:rPr>
                <w:lang w:val="fr-FR"/>
              </w:rPr>
              <w:t>homme sur la situation des droits de l</w:t>
            </w:r>
            <w:r>
              <w:rPr>
                <w:lang w:val="fr-FR"/>
              </w:rPr>
              <w:t>’</w:t>
            </w:r>
            <w:r w:rsidRPr="009D6168">
              <w:rPr>
                <w:lang w:val="fr-FR"/>
              </w:rPr>
              <w:t>homme au Nicaragua (A/HRC/42/18).</w:t>
            </w:r>
          </w:p>
        </w:tc>
      </w:tr>
      <w:tr w:rsidR="00225673" w:rsidRPr="0078048D" w14:paraId="4F853869" w14:textId="77777777" w:rsidTr="00225673">
        <w:trPr>
          <w:jc w:val="center"/>
        </w:trPr>
        <w:tc>
          <w:tcPr>
            <w:tcW w:w="9637" w:type="dxa"/>
            <w:tcBorders>
              <w:top w:val="nil"/>
            </w:tcBorders>
          </w:tcPr>
          <w:p w14:paraId="573CB8AA" w14:textId="77777777" w:rsidR="00225673" w:rsidRPr="00225673" w:rsidRDefault="00225673" w:rsidP="00225673">
            <w:pPr>
              <w:suppressAutoHyphens w:val="0"/>
            </w:pPr>
          </w:p>
        </w:tc>
      </w:tr>
    </w:tbl>
    <w:p w14:paraId="4C98DDD8" w14:textId="77777777" w:rsidR="00E92F03" w:rsidRDefault="00E92F03" w:rsidP="00225673">
      <w:pPr>
        <w:rPr>
          <w:lang w:val="fr-FR"/>
        </w:rPr>
      </w:pPr>
    </w:p>
    <w:p w14:paraId="44D1E824" w14:textId="7C56A5BE" w:rsidR="00225673" w:rsidRPr="009D6168" w:rsidRDefault="00225673" w:rsidP="00225673">
      <w:pPr>
        <w:rPr>
          <w:lang w:val="fr-FR"/>
        </w:rPr>
      </w:pPr>
      <w:r w:rsidRPr="009D6168">
        <w:rPr>
          <w:lang w:val="fr-FR"/>
        </w:rPr>
        <w:br w:type="page"/>
      </w:r>
    </w:p>
    <w:p w14:paraId="43C3784E" w14:textId="77777777" w:rsidR="00225673" w:rsidRPr="009D6168" w:rsidRDefault="00225673" w:rsidP="00225673">
      <w:pPr>
        <w:pStyle w:val="HChG"/>
        <w:rPr>
          <w:lang w:val="fr-FR"/>
        </w:rPr>
      </w:pPr>
      <w:r w:rsidRPr="009D6168">
        <w:rPr>
          <w:lang w:val="fr-FR"/>
        </w:rPr>
        <w:lastRenderedPageBreak/>
        <w:tab/>
        <w:t>I.</w:t>
      </w:r>
      <w:r w:rsidRPr="009D6168">
        <w:rPr>
          <w:lang w:val="fr-FR"/>
        </w:rPr>
        <w:tab/>
      </w:r>
      <w:r w:rsidRPr="009D6168">
        <w:rPr>
          <w:lang w:val="fr-FR"/>
        </w:rPr>
        <w:tab/>
        <w:t>Introduction</w:t>
      </w:r>
    </w:p>
    <w:p w14:paraId="3CEB3043" w14:textId="244B7B9A" w:rsidR="00225673" w:rsidRPr="009D6168" w:rsidRDefault="00225673" w:rsidP="002A1A4E">
      <w:pPr>
        <w:pStyle w:val="SingleTxtG"/>
        <w:rPr>
          <w:lang w:val="fr-FR"/>
        </w:rPr>
      </w:pPr>
      <w:r w:rsidRPr="009D6168">
        <w:rPr>
          <w:lang w:val="fr-FR"/>
        </w:rPr>
        <w:t>1.</w:t>
      </w:r>
      <w:r w:rsidRPr="009D6168">
        <w:rPr>
          <w:lang w:val="fr-FR"/>
        </w:rPr>
        <w:tab/>
        <w:t>Le présent rapport, soumis en application de la résolution 43/2 du Conseil des droits de l</w:t>
      </w:r>
      <w:r>
        <w:rPr>
          <w:lang w:val="fr-FR"/>
        </w:rPr>
        <w:t>’</w:t>
      </w:r>
      <w:r w:rsidRPr="009D6168">
        <w:rPr>
          <w:lang w:val="fr-FR"/>
        </w:rPr>
        <w:t>homme, donne un</w:t>
      </w:r>
      <w:r>
        <w:rPr>
          <w:lang w:val="fr-FR"/>
        </w:rPr>
        <w:t xml:space="preserve">e vision d’ensemble </w:t>
      </w:r>
      <w:r w:rsidRPr="009D6168">
        <w:rPr>
          <w:lang w:val="fr-FR"/>
        </w:rPr>
        <w:t>de la situation des droits de l</w:t>
      </w:r>
      <w:r>
        <w:rPr>
          <w:lang w:val="fr-FR"/>
        </w:rPr>
        <w:t>’</w:t>
      </w:r>
      <w:r w:rsidRPr="009D6168">
        <w:rPr>
          <w:lang w:val="fr-FR"/>
        </w:rPr>
        <w:t>homme au Nicaragua entre le 1</w:t>
      </w:r>
      <w:r w:rsidRPr="009D6168">
        <w:rPr>
          <w:vertAlign w:val="superscript"/>
          <w:lang w:val="fr-FR"/>
        </w:rPr>
        <w:t>er</w:t>
      </w:r>
      <w:r w:rsidRPr="009D6168">
        <w:rPr>
          <w:lang w:val="fr-FR"/>
        </w:rPr>
        <w:t> août 2019 et le 31 décembre 2020.</w:t>
      </w:r>
    </w:p>
    <w:p w14:paraId="25A751B5" w14:textId="6AE38BFA" w:rsidR="00225673" w:rsidRPr="009D6168" w:rsidRDefault="00225673" w:rsidP="002A1A4E">
      <w:pPr>
        <w:pStyle w:val="SingleTxtG"/>
        <w:rPr>
          <w:lang w:val="fr-FR"/>
        </w:rPr>
      </w:pPr>
      <w:r w:rsidRPr="009D6168">
        <w:rPr>
          <w:lang w:val="fr-FR"/>
        </w:rPr>
        <w:t>2.</w:t>
      </w:r>
      <w:r w:rsidRPr="009D6168">
        <w:rPr>
          <w:lang w:val="fr-FR"/>
        </w:rPr>
        <w:tab/>
        <w:t>Le rapport s</w:t>
      </w:r>
      <w:r>
        <w:rPr>
          <w:lang w:val="fr-FR"/>
        </w:rPr>
        <w:t>’</w:t>
      </w:r>
      <w:r w:rsidRPr="009D6168">
        <w:rPr>
          <w:lang w:val="fr-FR"/>
        </w:rPr>
        <w:t>appuie sur les informations recueillies par le Haut-Commissariat des Nations Unies aux droits de l</w:t>
      </w:r>
      <w:r>
        <w:rPr>
          <w:lang w:val="fr-FR"/>
        </w:rPr>
        <w:t>’</w:t>
      </w:r>
      <w:r w:rsidRPr="009D6168">
        <w:rPr>
          <w:lang w:val="fr-FR"/>
        </w:rPr>
        <w:t>homme (HCDH) au Nicaragua</w:t>
      </w:r>
      <w:r>
        <w:rPr>
          <w:lang w:val="fr-FR"/>
        </w:rPr>
        <w:t xml:space="preserve">, </w:t>
      </w:r>
      <w:r w:rsidRPr="009D6168">
        <w:rPr>
          <w:lang w:val="fr-FR"/>
        </w:rPr>
        <w:t>au Costa Rica, au Panama et dans d</w:t>
      </w:r>
      <w:r>
        <w:rPr>
          <w:lang w:val="fr-FR"/>
        </w:rPr>
        <w:t>’</w:t>
      </w:r>
      <w:r w:rsidRPr="009D6168">
        <w:rPr>
          <w:lang w:val="fr-FR"/>
        </w:rPr>
        <w:t>autres pays, notamment dans le cadre d</w:t>
      </w:r>
      <w:r>
        <w:rPr>
          <w:lang w:val="fr-FR"/>
        </w:rPr>
        <w:t>’</w:t>
      </w:r>
      <w:r w:rsidRPr="009D6168">
        <w:rPr>
          <w:lang w:val="fr-FR"/>
        </w:rPr>
        <w:t>entretiens en personne et à distance. Pendant la période considérée, le HCDH s</w:t>
      </w:r>
      <w:r>
        <w:rPr>
          <w:lang w:val="fr-FR"/>
        </w:rPr>
        <w:t>’</w:t>
      </w:r>
      <w:r w:rsidRPr="009D6168">
        <w:rPr>
          <w:lang w:val="fr-FR"/>
        </w:rPr>
        <w:t>est entretenu avec 208 victimes, témoins de violations des droits de l</w:t>
      </w:r>
      <w:r>
        <w:rPr>
          <w:lang w:val="fr-FR"/>
        </w:rPr>
        <w:t>’</w:t>
      </w:r>
      <w:r w:rsidRPr="009D6168">
        <w:rPr>
          <w:lang w:val="fr-FR"/>
        </w:rPr>
        <w:t>homme et autres sources, parmi lesquelles des avocats, des journalistes et des professionnels de la santé (121 hommes et 87 femmes). Il a également tenu 232 réunions avec diverses parties prenantes, dont le Ministre des affaires étrangères du Nicaragua, des membres de la société civile et des représentants de la communauté internationale. Il a analysé des documents, des vidéos, des photos et des rapports en accès libre émanant de sources gouvernementales et non gouvernementales.</w:t>
      </w:r>
    </w:p>
    <w:p w14:paraId="1EF65EA7" w14:textId="505B7BF0" w:rsidR="00225673" w:rsidRPr="009D6168" w:rsidRDefault="00225673" w:rsidP="002A1A4E">
      <w:pPr>
        <w:pStyle w:val="SingleTxtG"/>
        <w:rPr>
          <w:lang w:val="fr-FR"/>
        </w:rPr>
      </w:pPr>
      <w:r w:rsidRPr="009D6168">
        <w:rPr>
          <w:lang w:val="fr-FR"/>
        </w:rPr>
        <w:t>3.</w:t>
      </w:r>
      <w:r w:rsidRPr="009D6168">
        <w:rPr>
          <w:lang w:val="fr-FR"/>
        </w:rPr>
        <w:tab/>
        <w:t>Le HCDH a adressé 37 communications au Ministère des affaires étrangères du Nicaragua demandant des renseignements détaillés sur des allégations de violations des droits de l</w:t>
      </w:r>
      <w:r>
        <w:rPr>
          <w:lang w:val="fr-FR"/>
        </w:rPr>
        <w:t>’</w:t>
      </w:r>
      <w:r w:rsidRPr="009D6168">
        <w:rPr>
          <w:lang w:val="fr-FR"/>
        </w:rPr>
        <w:t xml:space="preserve">homme. Le </w:t>
      </w:r>
      <w:r w:rsidRPr="008E3B37">
        <w:rPr>
          <w:lang w:val="fr-FR"/>
        </w:rPr>
        <w:t>Gouvernement</w:t>
      </w:r>
      <w:r w:rsidRPr="009D6168">
        <w:rPr>
          <w:lang w:val="fr-FR"/>
        </w:rPr>
        <w:t xml:space="preserve"> a répondu à 17 d</w:t>
      </w:r>
      <w:r>
        <w:rPr>
          <w:lang w:val="fr-FR"/>
        </w:rPr>
        <w:t>’</w:t>
      </w:r>
      <w:r w:rsidRPr="009D6168">
        <w:rPr>
          <w:lang w:val="fr-FR"/>
        </w:rPr>
        <w:t>entre elles, notamment à un questionnaire envoyé en vue d</w:t>
      </w:r>
      <w:r>
        <w:rPr>
          <w:lang w:val="fr-FR"/>
        </w:rPr>
        <w:t>’</w:t>
      </w:r>
      <w:r w:rsidRPr="009D6168">
        <w:rPr>
          <w:lang w:val="fr-FR"/>
        </w:rPr>
        <w:t>élaborer le compte rendu oral présenté le 27 février 2020 par la Haute</w:t>
      </w:r>
      <w:r>
        <w:rPr>
          <w:lang w:val="fr-FR"/>
        </w:rPr>
        <w:noBreakHyphen/>
      </w:r>
      <w:r w:rsidRPr="009D6168">
        <w:rPr>
          <w:lang w:val="fr-FR"/>
        </w:rPr>
        <w:t>Commissaire au Conseil des droits de l</w:t>
      </w:r>
      <w:r>
        <w:rPr>
          <w:lang w:val="fr-FR"/>
        </w:rPr>
        <w:t>’</w:t>
      </w:r>
      <w:r w:rsidRPr="009D6168">
        <w:rPr>
          <w:lang w:val="fr-FR"/>
        </w:rPr>
        <w:t>homme. Le HCDH a tenu compte de ces réponses dans son analyse de la situation. Malheureusement, depuis le 12 juin 2020, le Gouvernement a cessé de répondre aux communications du HCDH. Celui-ci a continué de demander à pouvoir se rendre dans le pays et a indiqué à plusieurs reprises qu</w:t>
      </w:r>
      <w:r>
        <w:rPr>
          <w:lang w:val="fr-FR"/>
        </w:rPr>
        <w:t>’</w:t>
      </w:r>
      <w:r w:rsidRPr="009D6168">
        <w:rPr>
          <w:lang w:val="fr-FR"/>
        </w:rPr>
        <w:t>il était disposé à fournir une assistance technique, mais n</w:t>
      </w:r>
      <w:r>
        <w:rPr>
          <w:lang w:val="fr-FR"/>
        </w:rPr>
        <w:t>’</w:t>
      </w:r>
      <w:r w:rsidRPr="009D6168">
        <w:rPr>
          <w:lang w:val="fr-FR"/>
        </w:rPr>
        <w:t>a reçu aucune réponse.</w:t>
      </w:r>
    </w:p>
    <w:p w14:paraId="6C99F499" w14:textId="1DFF753C" w:rsidR="00225673" w:rsidRPr="009D6168" w:rsidRDefault="00225673" w:rsidP="002A1A4E">
      <w:pPr>
        <w:pStyle w:val="SingleTxtG"/>
        <w:rPr>
          <w:lang w:val="fr-FR"/>
        </w:rPr>
      </w:pPr>
      <w:r w:rsidRPr="009D6168">
        <w:rPr>
          <w:lang w:val="fr-FR"/>
        </w:rPr>
        <w:t>4.</w:t>
      </w:r>
      <w:r w:rsidRPr="009D6168">
        <w:rPr>
          <w:lang w:val="fr-FR"/>
        </w:rPr>
        <w:tab/>
        <w:t>Conformément à ses méthodes de travail relatives au suivi, le HCDH a recoupé les renseignements qu</w:t>
      </w:r>
      <w:r>
        <w:rPr>
          <w:lang w:val="fr-FR"/>
        </w:rPr>
        <w:t>’</w:t>
      </w:r>
      <w:r w:rsidRPr="009D6168">
        <w:rPr>
          <w:lang w:val="fr-FR"/>
        </w:rPr>
        <w:t xml:space="preserve">il avait recueillis avec ceux </w:t>
      </w:r>
      <w:r>
        <w:rPr>
          <w:lang w:val="fr-FR"/>
        </w:rPr>
        <w:t xml:space="preserve">provenant </w:t>
      </w:r>
      <w:r w:rsidRPr="009D6168">
        <w:rPr>
          <w:lang w:val="fr-FR"/>
        </w:rPr>
        <w:t xml:space="preserve">de différentes sources, a évalué leur crédibilité en </w:t>
      </w:r>
      <w:r>
        <w:rPr>
          <w:lang w:val="fr-FR"/>
        </w:rPr>
        <w:t>exerçant la</w:t>
      </w:r>
      <w:r w:rsidRPr="009D6168">
        <w:rPr>
          <w:lang w:val="fr-FR"/>
        </w:rPr>
        <w:t xml:space="preserve"> diligence </w:t>
      </w:r>
      <w:r>
        <w:rPr>
          <w:lang w:val="fr-FR"/>
        </w:rPr>
        <w:t>voulue</w:t>
      </w:r>
      <w:r w:rsidRPr="009D6168">
        <w:rPr>
          <w:lang w:val="fr-FR"/>
        </w:rPr>
        <w:t xml:space="preserve"> et a examiné </w:t>
      </w:r>
      <w:r>
        <w:rPr>
          <w:lang w:val="fr-FR"/>
        </w:rPr>
        <w:t>c</w:t>
      </w:r>
      <w:r w:rsidRPr="009D6168">
        <w:rPr>
          <w:lang w:val="fr-FR"/>
        </w:rPr>
        <w:t>es renseignements à la lumière du droit international des droits de l</w:t>
      </w:r>
      <w:r>
        <w:rPr>
          <w:lang w:val="fr-FR"/>
        </w:rPr>
        <w:t>’</w:t>
      </w:r>
      <w:r w:rsidRPr="009D6168">
        <w:rPr>
          <w:lang w:val="fr-FR"/>
        </w:rPr>
        <w:t xml:space="preserve">homme applicable au Nicaragua et de la législation nationale pertinente. Compte tenu des </w:t>
      </w:r>
      <w:r>
        <w:rPr>
          <w:lang w:val="fr-FR"/>
        </w:rPr>
        <w:t>éléments</w:t>
      </w:r>
      <w:r w:rsidRPr="009D6168">
        <w:rPr>
          <w:lang w:val="fr-FR"/>
        </w:rPr>
        <w:t xml:space="preserve"> qu</w:t>
      </w:r>
      <w:r>
        <w:rPr>
          <w:lang w:val="fr-FR"/>
        </w:rPr>
        <w:t>’</w:t>
      </w:r>
      <w:r w:rsidRPr="009D6168">
        <w:rPr>
          <w:lang w:val="fr-FR"/>
        </w:rPr>
        <w:t>il a analysés et vérifiés, le HCDH continue d</w:t>
      </w:r>
      <w:r>
        <w:rPr>
          <w:lang w:val="fr-FR"/>
        </w:rPr>
        <w:t>’</w:t>
      </w:r>
      <w:r w:rsidRPr="009D6168">
        <w:rPr>
          <w:lang w:val="fr-FR"/>
        </w:rPr>
        <w:t xml:space="preserve">avoir des raisons valables de croire que les événements exposés </w:t>
      </w:r>
      <w:r>
        <w:rPr>
          <w:lang w:val="fr-FR"/>
        </w:rPr>
        <w:t>ont bien eu lieu</w:t>
      </w:r>
      <w:r w:rsidRPr="009D6168">
        <w:rPr>
          <w:lang w:val="fr-FR"/>
        </w:rPr>
        <w:t xml:space="preserve"> et tendent à prouver l</w:t>
      </w:r>
      <w:r>
        <w:rPr>
          <w:lang w:val="fr-FR"/>
        </w:rPr>
        <w:t>’</w:t>
      </w:r>
      <w:r w:rsidRPr="009D6168">
        <w:rPr>
          <w:lang w:val="fr-FR"/>
        </w:rPr>
        <w:t>existence de violations systématiques des droits de l</w:t>
      </w:r>
      <w:r>
        <w:rPr>
          <w:lang w:val="fr-FR"/>
        </w:rPr>
        <w:t>’</w:t>
      </w:r>
      <w:r w:rsidRPr="009D6168">
        <w:rPr>
          <w:lang w:val="fr-FR"/>
        </w:rPr>
        <w:t>homme, décrites dans le présent rapport.</w:t>
      </w:r>
    </w:p>
    <w:p w14:paraId="694979CE" w14:textId="77777777" w:rsidR="00225673" w:rsidRPr="009D6168" w:rsidRDefault="00225673" w:rsidP="00225673">
      <w:pPr>
        <w:pStyle w:val="HChG"/>
        <w:rPr>
          <w:lang w:val="fr-FR"/>
        </w:rPr>
      </w:pPr>
      <w:r w:rsidRPr="009D6168">
        <w:rPr>
          <w:lang w:val="fr-FR"/>
        </w:rPr>
        <w:tab/>
        <w:t>II.</w:t>
      </w:r>
      <w:r w:rsidRPr="009D6168">
        <w:rPr>
          <w:lang w:val="fr-FR"/>
        </w:rPr>
        <w:tab/>
      </w:r>
      <w:r w:rsidRPr="009D6168">
        <w:rPr>
          <w:lang w:val="fr-FR"/>
        </w:rPr>
        <w:tab/>
        <w:t>Contexte</w:t>
      </w:r>
    </w:p>
    <w:p w14:paraId="42D2C727" w14:textId="1B84FF13" w:rsidR="00225673" w:rsidRPr="009D6168" w:rsidRDefault="00225673" w:rsidP="002A1A4E">
      <w:pPr>
        <w:pStyle w:val="SingleTxtG"/>
        <w:rPr>
          <w:lang w:val="fr-FR"/>
        </w:rPr>
      </w:pPr>
      <w:r w:rsidRPr="009D6168">
        <w:rPr>
          <w:lang w:val="fr-FR"/>
        </w:rPr>
        <w:t>5.</w:t>
      </w:r>
      <w:r w:rsidRPr="009D6168">
        <w:rPr>
          <w:lang w:val="fr-FR"/>
        </w:rPr>
        <w:tab/>
        <w:t xml:space="preserve">Près de trois ans se sont écoulés depuis </w:t>
      </w:r>
      <w:r>
        <w:rPr>
          <w:lang w:val="fr-FR"/>
        </w:rPr>
        <w:t>qu’a éclaté, en avril 2018,</w:t>
      </w:r>
      <w:r w:rsidRPr="009D6168">
        <w:rPr>
          <w:lang w:val="fr-FR"/>
        </w:rPr>
        <w:t xml:space="preserve"> la crise </w:t>
      </w:r>
      <w:r>
        <w:rPr>
          <w:lang w:val="fr-FR"/>
        </w:rPr>
        <w:t xml:space="preserve">qui touche le Nicaragua sur le plan </w:t>
      </w:r>
      <w:r w:rsidRPr="009D6168">
        <w:rPr>
          <w:lang w:val="fr-FR"/>
        </w:rPr>
        <w:t xml:space="preserve">sociopolitique et </w:t>
      </w:r>
      <w:r>
        <w:rPr>
          <w:lang w:val="fr-FR"/>
        </w:rPr>
        <w:t xml:space="preserve">du point de vue </w:t>
      </w:r>
      <w:r w:rsidRPr="009D6168">
        <w:rPr>
          <w:lang w:val="fr-FR"/>
        </w:rPr>
        <w:t>des droits de l</w:t>
      </w:r>
      <w:r>
        <w:rPr>
          <w:lang w:val="fr-FR"/>
        </w:rPr>
        <w:t>’</w:t>
      </w:r>
      <w:r w:rsidRPr="009D6168">
        <w:rPr>
          <w:lang w:val="fr-FR"/>
        </w:rPr>
        <w:t>homme. Le HCDH, la Commission interaméricaine des droits de l</w:t>
      </w:r>
      <w:r>
        <w:rPr>
          <w:lang w:val="fr-FR"/>
        </w:rPr>
        <w:t>’</w:t>
      </w:r>
      <w:r w:rsidRPr="009D6168">
        <w:rPr>
          <w:lang w:val="fr-FR"/>
        </w:rPr>
        <w:t>homme et le Groupe interdisciplinaire d</w:t>
      </w:r>
      <w:r>
        <w:rPr>
          <w:lang w:val="fr-FR"/>
        </w:rPr>
        <w:t>’</w:t>
      </w:r>
      <w:r w:rsidRPr="009D6168">
        <w:rPr>
          <w:lang w:val="fr-FR"/>
        </w:rPr>
        <w:t>experts indépendants</w:t>
      </w:r>
      <w:r w:rsidRPr="009D6168">
        <w:rPr>
          <w:rStyle w:val="Appelnotedebasdep"/>
          <w:lang w:val="fr-FR"/>
        </w:rPr>
        <w:footnoteReference w:id="3"/>
      </w:r>
      <w:r w:rsidRPr="009D6168">
        <w:rPr>
          <w:lang w:val="fr-FR"/>
        </w:rPr>
        <w:t xml:space="preserve"> ont réuni des informations attestant de multiples formes de répression et de violence qui ont fait plus de 300 morts et 2</w:t>
      </w:r>
      <w:r>
        <w:rPr>
          <w:lang w:val="fr-FR"/>
        </w:rPr>
        <w:t> </w:t>
      </w:r>
      <w:r w:rsidRPr="009D6168">
        <w:rPr>
          <w:lang w:val="fr-FR"/>
        </w:rPr>
        <w:t xml:space="preserve">000 blessés </w:t>
      </w:r>
      <w:r>
        <w:rPr>
          <w:lang w:val="fr-FR"/>
        </w:rPr>
        <w:t>lors</w:t>
      </w:r>
      <w:r w:rsidRPr="009D6168">
        <w:rPr>
          <w:lang w:val="fr-FR"/>
        </w:rPr>
        <w:t xml:space="preserve"> de manifestations, tandis qu</w:t>
      </w:r>
      <w:r>
        <w:rPr>
          <w:lang w:val="fr-FR"/>
        </w:rPr>
        <w:t>’</w:t>
      </w:r>
      <w:r w:rsidRPr="009D6168">
        <w:rPr>
          <w:lang w:val="fr-FR"/>
        </w:rPr>
        <w:t>au moins 1</w:t>
      </w:r>
      <w:r>
        <w:rPr>
          <w:lang w:val="fr-FR"/>
        </w:rPr>
        <w:t> </w:t>
      </w:r>
      <w:r w:rsidRPr="009D6168">
        <w:rPr>
          <w:lang w:val="fr-FR"/>
        </w:rPr>
        <w:t xml:space="preserve">614 personnes </w:t>
      </w:r>
      <w:r>
        <w:rPr>
          <w:lang w:val="fr-FR"/>
        </w:rPr>
        <w:t xml:space="preserve">ont </w:t>
      </w:r>
      <w:r w:rsidRPr="009D6168">
        <w:rPr>
          <w:lang w:val="fr-FR"/>
        </w:rPr>
        <w:t xml:space="preserve">arbitrairement </w:t>
      </w:r>
      <w:r>
        <w:rPr>
          <w:lang w:val="fr-FR"/>
        </w:rPr>
        <w:t xml:space="preserve">été </w:t>
      </w:r>
      <w:r w:rsidRPr="009D6168">
        <w:rPr>
          <w:lang w:val="fr-FR"/>
        </w:rPr>
        <w:t>privées de liberté</w:t>
      </w:r>
      <w:r w:rsidRPr="009D6168">
        <w:rPr>
          <w:rStyle w:val="Appelnotedebasdep"/>
          <w:lang w:val="fr-FR"/>
        </w:rPr>
        <w:footnoteReference w:id="4"/>
      </w:r>
      <w:r w:rsidRPr="009D6168">
        <w:rPr>
          <w:lang w:val="fr-FR"/>
        </w:rPr>
        <w:t>. Plus de 100</w:t>
      </w:r>
      <w:r>
        <w:rPr>
          <w:lang w:val="fr-FR"/>
        </w:rPr>
        <w:t> </w:t>
      </w:r>
      <w:r w:rsidRPr="009D6168">
        <w:rPr>
          <w:lang w:val="fr-FR"/>
        </w:rPr>
        <w:t>000</w:t>
      </w:r>
      <w:r>
        <w:rPr>
          <w:lang w:val="fr-FR"/>
        </w:rPr>
        <w:t> </w:t>
      </w:r>
      <w:r w:rsidRPr="009D6168">
        <w:rPr>
          <w:lang w:val="fr-FR"/>
        </w:rPr>
        <w:t xml:space="preserve">Nicaraguayens, </w:t>
      </w:r>
      <w:r w:rsidRPr="008E3B37">
        <w:rPr>
          <w:lang w:val="fr-FR"/>
        </w:rPr>
        <w:t>dont</w:t>
      </w:r>
      <w:r w:rsidRPr="009D6168">
        <w:rPr>
          <w:lang w:val="fr-FR"/>
        </w:rPr>
        <w:t xml:space="preserve"> quelque 25 000 au cours de la période considérée, ont depuis demandé l</w:t>
      </w:r>
      <w:r>
        <w:rPr>
          <w:lang w:val="fr-FR"/>
        </w:rPr>
        <w:t>’</w:t>
      </w:r>
      <w:r w:rsidRPr="009D6168">
        <w:rPr>
          <w:lang w:val="fr-FR"/>
        </w:rPr>
        <w:t>asile dans des pays tiers</w:t>
      </w:r>
      <w:r w:rsidRPr="009D6168">
        <w:rPr>
          <w:rStyle w:val="Appelnotedebasdep"/>
          <w:lang w:val="fr-FR"/>
        </w:rPr>
        <w:footnoteReference w:id="5"/>
      </w:r>
      <w:r w:rsidRPr="009D6168">
        <w:rPr>
          <w:lang w:val="fr-FR"/>
        </w:rPr>
        <w:t>. La crise a pris des dimensions économiques et humanitaires, aggravées par la pandémie de COVID-19 et, en novembre 2020, par les ouragans.</w:t>
      </w:r>
    </w:p>
    <w:p w14:paraId="2B2EEB8D" w14:textId="7447DC8E" w:rsidR="00225673" w:rsidRPr="009D6168" w:rsidRDefault="00225673" w:rsidP="002A1A4E">
      <w:pPr>
        <w:pStyle w:val="SingleTxtG"/>
        <w:rPr>
          <w:lang w:val="fr-FR"/>
        </w:rPr>
      </w:pPr>
      <w:r w:rsidRPr="009D6168">
        <w:rPr>
          <w:lang w:val="fr-FR"/>
        </w:rPr>
        <w:lastRenderedPageBreak/>
        <w:t>6.</w:t>
      </w:r>
      <w:r w:rsidRPr="009D6168">
        <w:rPr>
          <w:lang w:val="fr-FR"/>
        </w:rPr>
        <w:tab/>
        <w:t>Fondamentalement, la crise perdure parce qu</w:t>
      </w:r>
      <w:r>
        <w:rPr>
          <w:lang w:val="fr-FR"/>
        </w:rPr>
        <w:t>’</w:t>
      </w:r>
      <w:r w:rsidRPr="009D6168">
        <w:rPr>
          <w:lang w:val="fr-FR"/>
        </w:rPr>
        <w:t>elle reste ancrée dans la fragilité des institutions et de l</w:t>
      </w:r>
      <w:r>
        <w:rPr>
          <w:lang w:val="fr-FR"/>
        </w:rPr>
        <w:t>’</w:t>
      </w:r>
      <w:r w:rsidRPr="009D6168">
        <w:rPr>
          <w:lang w:val="fr-FR"/>
        </w:rPr>
        <w:t>état de droit, qui se sont progressivement dégradés au fil des années, tandis que les violations des droits de l</w:t>
      </w:r>
      <w:r>
        <w:rPr>
          <w:lang w:val="fr-FR"/>
        </w:rPr>
        <w:t>’</w:t>
      </w:r>
      <w:r w:rsidRPr="009D6168">
        <w:rPr>
          <w:lang w:val="fr-FR"/>
        </w:rPr>
        <w:t>homme perpétrées en 2018 restaient impunies et l</w:t>
      </w:r>
      <w:r>
        <w:rPr>
          <w:lang w:val="fr-FR"/>
        </w:rPr>
        <w:t xml:space="preserve">e champ d’action de la société civile était en butte à de </w:t>
      </w:r>
      <w:r w:rsidRPr="009D6168">
        <w:rPr>
          <w:lang w:val="fr-FR"/>
        </w:rPr>
        <w:t>nouvelles restrictions.</w:t>
      </w:r>
    </w:p>
    <w:p w14:paraId="420F4588" w14:textId="0B5C99FF" w:rsidR="00225673" w:rsidRPr="009D6168" w:rsidRDefault="00225673" w:rsidP="002A1A4E">
      <w:pPr>
        <w:pStyle w:val="SingleTxtG"/>
        <w:rPr>
          <w:lang w:val="fr-FR"/>
        </w:rPr>
      </w:pPr>
      <w:r w:rsidRPr="009D6168">
        <w:rPr>
          <w:lang w:val="fr-FR"/>
        </w:rPr>
        <w:t>7.</w:t>
      </w:r>
      <w:r w:rsidRPr="009D6168">
        <w:rPr>
          <w:lang w:val="fr-FR"/>
        </w:rPr>
        <w:tab/>
        <w:t>Le dialogue entre le Gouvernement et l</w:t>
      </w:r>
      <w:r>
        <w:rPr>
          <w:lang w:val="fr-FR"/>
        </w:rPr>
        <w:t>’</w:t>
      </w:r>
      <w:r w:rsidRPr="009D6168">
        <w:rPr>
          <w:lang w:val="fr-FR"/>
        </w:rPr>
        <w:t xml:space="preserve">opposition est au point mort depuis mai 2019, ce qui a empêché tout </w:t>
      </w:r>
      <w:r>
        <w:rPr>
          <w:lang w:val="fr-FR"/>
        </w:rPr>
        <w:t xml:space="preserve">nouveau </w:t>
      </w:r>
      <w:r w:rsidRPr="009D6168">
        <w:rPr>
          <w:lang w:val="fr-FR"/>
        </w:rPr>
        <w:t>progrès dans la mise en œuvre des accords conclus en mars de cette même année, notamment en ce qui concerne la libération des personnes privées de liberté et le renforcement des droits et garanties des citoyens</w:t>
      </w:r>
      <w:r w:rsidRPr="009D6168">
        <w:rPr>
          <w:rStyle w:val="Appelnotedebasdep"/>
          <w:lang w:val="fr-FR"/>
        </w:rPr>
        <w:footnoteReference w:id="6"/>
      </w:r>
      <w:r w:rsidRPr="009D6168">
        <w:rPr>
          <w:lang w:val="fr-FR"/>
        </w:rPr>
        <w:t>.</w:t>
      </w:r>
    </w:p>
    <w:p w14:paraId="5EEB4CEB" w14:textId="625B05F5" w:rsidR="00225673" w:rsidRPr="009D6168" w:rsidRDefault="00225673" w:rsidP="002A1A4E">
      <w:pPr>
        <w:pStyle w:val="SingleTxtG"/>
        <w:rPr>
          <w:lang w:val="fr-FR"/>
        </w:rPr>
      </w:pPr>
      <w:r w:rsidRPr="009D6168">
        <w:rPr>
          <w:lang w:val="fr-FR"/>
        </w:rPr>
        <w:t>8.</w:t>
      </w:r>
      <w:r w:rsidRPr="009D6168">
        <w:rPr>
          <w:lang w:val="fr-FR"/>
        </w:rPr>
        <w:tab/>
        <w:t>Le 13 juillet 2020, le Conseil électoral suprême a fixé la date de l</w:t>
      </w:r>
      <w:r>
        <w:rPr>
          <w:lang w:val="fr-FR"/>
        </w:rPr>
        <w:t>’</w:t>
      </w:r>
      <w:r w:rsidRPr="009D6168">
        <w:rPr>
          <w:lang w:val="fr-FR"/>
        </w:rPr>
        <w:t>élection présidentielle (au 7 novembre 2021) et prolongé jusqu</w:t>
      </w:r>
      <w:r>
        <w:rPr>
          <w:lang w:val="fr-FR"/>
        </w:rPr>
        <w:t>’</w:t>
      </w:r>
      <w:r w:rsidRPr="009D6168">
        <w:rPr>
          <w:lang w:val="fr-FR"/>
        </w:rPr>
        <w:t>en juin 2021 le délai pour l</w:t>
      </w:r>
      <w:r>
        <w:rPr>
          <w:lang w:val="fr-FR"/>
        </w:rPr>
        <w:t>’</w:t>
      </w:r>
      <w:r w:rsidRPr="009D6168">
        <w:rPr>
          <w:lang w:val="fr-FR"/>
        </w:rPr>
        <w:t>enregistrement officiel des partis politiques. En décembre 2020, les autorités n</w:t>
      </w:r>
      <w:r>
        <w:rPr>
          <w:lang w:val="fr-FR"/>
        </w:rPr>
        <w:t>’</w:t>
      </w:r>
      <w:r w:rsidRPr="009D6168">
        <w:rPr>
          <w:lang w:val="fr-FR"/>
        </w:rPr>
        <w:t xml:space="preserve">avaient pris aucune mesure pour lancer les réformes permettant de garantir </w:t>
      </w:r>
      <w:r>
        <w:rPr>
          <w:lang w:val="fr-FR"/>
        </w:rPr>
        <w:t>la tenue d’</w:t>
      </w:r>
      <w:r w:rsidRPr="009D6168">
        <w:rPr>
          <w:lang w:val="fr-FR"/>
        </w:rPr>
        <w:t>élection</w:t>
      </w:r>
      <w:r>
        <w:rPr>
          <w:lang w:val="fr-FR"/>
        </w:rPr>
        <w:t>s</w:t>
      </w:r>
      <w:r w:rsidRPr="009D6168">
        <w:rPr>
          <w:lang w:val="fr-FR"/>
        </w:rPr>
        <w:t xml:space="preserve"> libre</w:t>
      </w:r>
      <w:r>
        <w:rPr>
          <w:lang w:val="fr-FR"/>
        </w:rPr>
        <w:t>s</w:t>
      </w:r>
      <w:r w:rsidRPr="009D6168">
        <w:rPr>
          <w:lang w:val="fr-FR"/>
        </w:rPr>
        <w:t>, équitable</w:t>
      </w:r>
      <w:r>
        <w:rPr>
          <w:lang w:val="fr-FR"/>
        </w:rPr>
        <w:t>s</w:t>
      </w:r>
      <w:r w:rsidRPr="009D6168">
        <w:rPr>
          <w:lang w:val="fr-FR"/>
        </w:rPr>
        <w:t xml:space="preserve"> et transparente</w:t>
      </w:r>
      <w:r>
        <w:rPr>
          <w:lang w:val="fr-FR"/>
        </w:rPr>
        <w:t>s</w:t>
      </w:r>
      <w:r w:rsidRPr="009D6168">
        <w:rPr>
          <w:lang w:val="fr-FR"/>
        </w:rPr>
        <w:t>. En septembre 2020, une partie de l</w:t>
      </w:r>
      <w:r>
        <w:rPr>
          <w:lang w:val="fr-FR"/>
        </w:rPr>
        <w:t>’</w:t>
      </w:r>
      <w:r w:rsidRPr="009D6168">
        <w:rPr>
          <w:lang w:val="fr-FR"/>
        </w:rPr>
        <w:t>opposition a soumis une proposition conjointe de réformes.</w:t>
      </w:r>
    </w:p>
    <w:p w14:paraId="03F2BD66" w14:textId="62FC17E3" w:rsidR="00225673" w:rsidRPr="009D6168" w:rsidRDefault="00225673" w:rsidP="002A1A4E">
      <w:pPr>
        <w:pStyle w:val="SingleTxtG"/>
        <w:rPr>
          <w:lang w:val="fr-FR"/>
        </w:rPr>
      </w:pPr>
      <w:r w:rsidRPr="009D6168">
        <w:rPr>
          <w:lang w:val="fr-FR"/>
        </w:rPr>
        <w:t>9.</w:t>
      </w:r>
      <w:r w:rsidRPr="009D6168">
        <w:rPr>
          <w:lang w:val="fr-FR"/>
        </w:rPr>
        <w:tab/>
        <w:t xml:space="preserve">Au 16 novembre, le Ministère de la </w:t>
      </w:r>
      <w:r>
        <w:rPr>
          <w:lang w:val="fr-FR"/>
        </w:rPr>
        <w:t>s</w:t>
      </w:r>
      <w:r w:rsidRPr="009D6168">
        <w:rPr>
          <w:lang w:val="fr-FR"/>
        </w:rPr>
        <w:t>anté avait enregistré 5 661 cas de COVID-19 et 158</w:t>
      </w:r>
      <w:r w:rsidR="00490A15">
        <w:rPr>
          <w:lang w:val="fr-FR"/>
        </w:rPr>
        <w:t> </w:t>
      </w:r>
      <w:r w:rsidRPr="009D6168">
        <w:rPr>
          <w:lang w:val="fr-FR"/>
        </w:rPr>
        <w:t>décès</w:t>
      </w:r>
      <w:r w:rsidRPr="009D6168">
        <w:rPr>
          <w:rStyle w:val="Appelnotedebasdep"/>
          <w:lang w:val="fr-FR"/>
        </w:rPr>
        <w:footnoteReference w:id="7"/>
      </w:r>
      <w:r w:rsidRPr="009D6168">
        <w:rPr>
          <w:lang w:val="fr-FR"/>
        </w:rPr>
        <w:t>. Cependant, selon un observatoire de la société civile sur la COVID-19, le nombre de cas suspects et de décès était largement supérieur aux chiffres officiels</w:t>
      </w:r>
      <w:r w:rsidRPr="009D6168">
        <w:rPr>
          <w:rStyle w:val="Appelnotedebasdep"/>
          <w:lang w:val="fr-FR"/>
        </w:rPr>
        <w:footnoteReference w:id="8"/>
      </w:r>
      <w:r w:rsidRPr="009D6168">
        <w:rPr>
          <w:lang w:val="fr-FR"/>
        </w:rPr>
        <w:t>. L</w:t>
      </w:r>
      <w:r>
        <w:rPr>
          <w:lang w:val="fr-FR"/>
        </w:rPr>
        <w:t>’</w:t>
      </w:r>
      <w:r w:rsidRPr="009D6168">
        <w:rPr>
          <w:lang w:val="fr-FR"/>
        </w:rPr>
        <w:t>Organisation panaméricaine de la santé a demandé au Gouvernement de communiquer des informations transparentes sur le nombre de cas et de décès ainsi que sur les tests effectués, entre autres données. Les effets de la pandémie sur les économies des pays d</w:t>
      </w:r>
      <w:r>
        <w:rPr>
          <w:lang w:val="fr-FR"/>
        </w:rPr>
        <w:t>’</w:t>
      </w:r>
      <w:r w:rsidRPr="009D6168">
        <w:rPr>
          <w:lang w:val="fr-FR"/>
        </w:rPr>
        <w:t xml:space="preserve">Amérique centrale ont poussé </w:t>
      </w:r>
      <w:r>
        <w:rPr>
          <w:lang w:val="fr-FR"/>
        </w:rPr>
        <w:t>d</w:t>
      </w:r>
      <w:r w:rsidRPr="009D6168">
        <w:rPr>
          <w:lang w:val="fr-FR"/>
        </w:rPr>
        <w:t xml:space="preserve">es travailleurs migrants et </w:t>
      </w:r>
      <w:r>
        <w:rPr>
          <w:lang w:val="fr-FR"/>
        </w:rPr>
        <w:t>d</w:t>
      </w:r>
      <w:r w:rsidRPr="009D6168">
        <w:rPr>
          <w:lang w:val="fr-FR"/>
        </w:rPr>
        <w:t>es demandeurs d</w:t>
      </w:r>
      <w:r>
        <w:rPr>
          <w:lang w:val="fr-FR"/>
        </w:rPr>
        <w:t>’</w:t>
      </w:r>
      <w:r w:rsidRPr="009D6168">
        <w:rPr>
          <w:lang w:val="fr-FR"/>
        </w:rPr>
        <w:t>asile nicaraguayens à revenir au Nicaragua. Au 26 novembre, 71</w:t>
      </w:r>
      <w:r>
        <w:rPr>
          <w:lang w:val="fr-FR"/>
        </w:rPr>
        <w:t> </w:t>
      </w:r>
      <w:r w:rsidRPr="009D6168">
        <w:rPr>
          <w:lang w:val="fr-FR"/>
        </w:rPr>
        <w:t>702 Nicaraguayens (43</w:t>
      </w:r>
      <w:r>
        <w:rPr>
          <w:lang w:val="fr-FR"/>
        </w:rPr>
        <w:t> </w:t>
      </w:r>
      <w:r w:rsidRPr="009D6168">
        <w:rPr>
          <w:lang w:val="fr-FR"/>
        </w:rPr>
        <w:t>950 hommes et 27</w:t>
      </w:r>
      <w:r>
        <w:rPr>
          <w:lang w:val="fr-FR"/>
        </w:rPr>
        <w:t> </w:t>
      </w:r>
      <w:r w:rsidRPr="009D6168">
        <w:rPr>
          <w:lang w:val="fr-FR"/>
        </w:rPr>
        <w:t>752 femmes) étaient ainsi rentrés de différents pays de la région, principalement du Panama</w:t>
      </w:r>
      <w:r w:rsidRPr="009D6168">
        <w:rPr>
          <w:rStyle w:val="Appelnotedebasdep"/>
          <w:lang w:val="fr-FR"/>
        </w:rPr>
        <w:footnoteReference w:id="9"/>
      </w:r>
      <w:r w:rsidRPr="009D6168">
        <w:rPr>
          <w:lang w:val="fr-FR"/>
        </w:rPr>
        <w:t>.</w:t>
      </w:r>
    </w:p>
    <w:p w14:paraId="1258A65C" w14:textId="77777777" w:rsidR="00225673" w:rsidRPr="009D6168" w:rsidRDefault="00225673" w:rsidP="002A1A4E">
      <w:pPr>
        <w:pStyle w:val="SingleTxtG"/>
        <w:rPr>
          <w:lang w:val="fr-FR"/>
        </w:rPr>
      </w:pPr>
      <w:r w:rsidRPr="009D6168">
        <w:rPr>
          <w:lang w:val="fr-FR"/>
        </w:rPr>
        <w:t>10.</w:t>
      </w:r>
      <w:r w:rsidRPr="009D6168">
        <w:rPr>
          <w:lang w:val="fr-FR"/>
        </w:rPr>
        <w:tab/>
      </w:r>
      <w:r w:rsidRPr="008E3B37">
        <w:rPr>
          <w:lang w:val="fr-FR"/>
        </w:rPr>
        <w:t>Par</w:t>
      </w:r>
      <w:r>
        <w:rPr>
          <w:lang w:val="fr-FR"/>
        </w:rPr>
        <w:t xml:space="preserve"> ailleurs</w:t>
      </w:r>
      <w:r w:rsidRPr="009D6168">
        <w:rPr>
          <w:lang w:val="fr-FR"/>
        </w:rPr>
        <w:t xml:space="preserve">, selon les estimations officielles, en novembre 2020, les ouragans Eta et Iota </w:t>
      </w:r>
      <w:r>
        <w:rPr>
          <w:lang w:val="fr-FR"/>
        </w:rPr>
        <w:t>avaie</w:t>
      </w:r>
      <w:r w:rsidRPr="009D6168">
        <w:rPr>
          <w:lang w:val="fr-FR"/>
        </w:rPr>
        <w:t>nt fait au moins 21 morts et déplacé 160</w:t>
      </w:r>
      <w:r>
        <w:rPr>
          <w:lang w:val="fr-FR"/>
        </w:rPr>
        <w:t> </w:t>
      </w:r>
      <w:r w:rsidRPr="009D6168">
        <w:rPr>
          <w:lang w:val="fr-FR"/>
        </w:rPr>
        <w:t>597 personnes, tout en provoquant 738,6</w:t>
      </w:r>
      <w:r>
        <w:rPr>
          <w:lang w:val="fr-FR"/>
        </w:rPr>
        <w:t> </w:t>
      </w:r>
      <w:r w:rsidRPr="009D6168">
        <w:rPr>
          <w:lang w:val="fr-FR"/>
        </w:rPr>
        <w:t>millions de dollars de dégâts matériels et de pertes économiques (6,2 % du produit intérieur brut)</w:t>
      </w:r>
      <w:r w:rsidRPr="009D6168">
        <w:rPr>
          <w:rStyle w:val="Appelnotedebasdep"/>
          <w:lang w:val="fr-FR"/>
        </w:rPr>
        <w:footnoteReference w:id="10"/>
      </w:r>
      <w:r w:rsidRPr="009D6168">
        <w:rPr>
          <w:lang w:val="fr-FR"/>
        </w:rPr>
        <w:t>.</w:t>
      </w:r>
    </w:p>
    <w:p w14:paraId="6DF2C2A7" w14:textId="3D709B76" w:rsidR="00225673" w:rsidRPr="009D6168" w:rsidRDefault="00225673" w:rsidP="002A1A4E">
      <w:pPr>
        <w:pStyle w:val="SingleTxtG"/>
        <w:rPr>
          <w:lang w:val="fr-FR"/>
        </w:rPr>
      </w:pPr>
      <w:r w:rsidRPr="009D6168">
        <w:rPr>
          <w:lang w:val="fr-FR"/>
        </w:rPr>
        <w:t>11.</w:t>
      </w:r>
      <w:r w:rsidRPr="009D6168">
        <w:rPr>
          <w:lang w:val="fr-FR"/>
        </w:rPr>
        <w:tab/>
        <w:t>Le Canada, les États-Unis d</w:t>
      </w:r>
      <w:r>
        <w:rPr>
          <w:lang w:val="fr-FR"/>
        </w:rPr>
        <w:t>’</w:t>
      </w:r>
      <w:r w:rsidRPr="009D6168">
        <w:rPr>
          <w:lang w:val="fr-FR"/>
        </w:rPr>
        <w:t>Amérique, le Royaume-Uni de Grande-Bretagne et d</w:t>
      </w:r>
      <w:r>
        <w:rPr>
          <w:lang w:val="fr-FR"/>
        </w:rPr>
        <w:t>’</w:t>
      </w:r>
      <w:r w:rsidRPr="009D6168">
        <w:rPr>
          <w:lang w:val="fr-FR"/>
        </w:rPr>
        <w:t>Irlande du Nord, la Suisse et l</w:t>
      </w:r>
      <w:r>
        <w:rPr>
          <w:lang w:val="fr-FR"/>
        </w:rPr>
        <w:t>’</w:t>
      </w:r>
      <w:r w:rsidRPr="009D6168">
        <w:rPr>
          <w:lang w:val="fr-FR"/>
        </w:rPr>
        <w:t>Union européenne ont adopté des sanctions financières ciblées contre des personnes, la police nationale et des entreprises publiques et privées qui seraient responsables de violations des droits de l</w:t>
      </w:r>
      <w:r>
        <w:rPr>
          <w:lang w:val="fr-FR"/>
        </w:rPr>
        <w:t>’</w:t>
      </w:r>
      <w:r w:rsidRPr="009D6168">
        <w:rPr>
          <w:lang w:val="fr-FR"/>
        </w:rPr>
        <w:t>homme ou d</w:t>
      </w:r>
      <w:r>
        <w:rPr>
          <w:lang w:val="fr-FR"/>
        </w:rPr>
        <w:t>’</w:t>
      </w:r>
      <w:r w:rsidRPr="009D6168">
        <w:rPr>
          <w:lang w:val="fr-FR"/>
        </w:rPr>
        <w:t>actes de corruption. Le 17</w:t>
      </w:r>
      <w:r>
        <w:rPr>
          <w:lang w:val="fr-FR"/>
        </w:rPr>
        <w:t> </w:t>
      </w:r>
      <w:r w:rsidRPr="009D6168">
        <w:rPr>
          <w:lang w:val="fr-FR"/>
        </w:rPr>
        <w:t>septembre 2020, le Gouvernement a de nouveau demandé la levée de ces sanctions, affirmant qu</w:t>
      </w:r>
      <w:r>
        <w:rPr>
          <w:lang w:val="fr-FR"/>
        </w:rPr>
        <w:t>’</w:t>
      </w:r>
      <w:r w:rsidRPr="009D6168">
        <w:rPr>
          <w:lang w:val="fr-FR"/>
        </w:rPr>
        <w:t xml:space="preserve">elles </w:t>
      </w:r>
      <w:r>
        <w:rPr>
          <w:lang w:val="fr-FR"/>
        </w:rPr>
        <w:t xml:space="preserve">faisaient </w:t>
      </w:r>
      <w:r w:rsidRPr="009D6168">
        <w:rPr>
          <w:lang w:val="fr-FR"/>
        </w:rPr>
        <w:t>obstacle à l</w:t>
      </w:r>
      <w:r>
        <w:rPr>
          <w:lang w:val="fr-FR"/>
        </w:rPr>
        <w:t>’</w:t>
      </w:r>
      <w:r w:rsidRPr="009D6168">
        <w:rPr>
          <w:lang w:val="fr-FR"/>
        </w:rPr>
        <w:t>élimination de la pauvreté et au développement durable, en particulier dans le contexte de la pandémie de COVID-19</w:t>
      </w:r>
      <w:r w:rsidRPr="009D6168">
        <w:rPr>
          <w:rStyle w:val="Appelnotedebasdep"/>
          <w:lang w:val="fr-FR"/>
        </w:rPr>
        <w:footnoteReference w:id="11"/>
      </w:r>
      <w:r w:rsidRPr="009D6168">
        <w:rPr>
          <w:lang w:val="fr-FR"/>
        </w:rPr>
        <w:t>.</w:t>
      </w:r>
    </w:p>
    <w:p w14:paraId="15227975" w14:textId="426AB014" w:rsidR="00225673" w:rsidRPr="009D6168" w:rsidRDefault="00225673" w:rsidP="002A1A4E">
      <w:pPr>
        <w:pStyle w:val="SingleTxtG"/>
        <w:rPr>
          <w:lang w:val="fr-FR"/>
        </w:rPr>
      </w:pPr>
      <w:r w:rsidRPr="009D6168">
        <w:rPr>
          <w:lang w:val="fr-FR"/>
        </w:rPr>
        <w:t>12.</w:t>
      </w:r>
      <w:r w:rsidRPr="009D6168">
        <w:rPr>
          <w:lang w:val="fr-FR"/>
        </w:rPr>
        <w:tab/>
        <w:t>Le 9 mars 2020, le Nicaragua a ratifié l</w:t>
      </w:r>
      <w:r>
        <w:rPr>
          <w:lang w:val="fr-FR"/>
        </w:rPr>
        <w:t>’</w:t>
      </w:r>
      <w:r w:rsidRPr="009D6168">
        <w:rPr>
          <w:lang w:val="fr-FR"/>
        </w:rPr>
        <w:t>Accord régional sur l</w:t>
      </w:r>
      <w:r>
        <w:rPr>
          <w:lang w:val="fr-FR"/>
        </w:rPr>
        <w:t>’</w:t>
      </w:r>
      <w:r w:rsidRPr="009D6168">
        <w:rPr>
          <w:lang w:val="fr-FR"/>
        </w:rPr>
        <w:t>accès à l</w:t>
      </w:r>
      <w:r>
        <w:rPr>
          <w:lang w:val="fr-FR"/>
        </w:rPr>
        <w:t>’</w:t>
      </w:r>
      <w:r w:rsidRPr="009D6168">
        <w:rPr>
          <w:lang w:val="fr-FR"/>
        </w:rPr>
        <w:t>information, la participation publique et l</w:t>
      </w:r>
      <w:r>
        <w:rPr>
          <w:lang w:val="fr-FR"/>
        </w:rPr>
        <w:t>’</w:t>
      </w:r>
      <w:r w:rsidRPr="009D6168">
        <w:rPr>
          <w:lang w:val="fr-FR"/>
        </w:rPr>
        <w:t>accès à la justice à propos des questions environnementales en Amérique latine et dans les Caraïbes (Accord d</w:t>
      </w:r>
      <w:r>
        <w:rPr>
          <w:lang w:val="fr-FR"/>
        </w:rPr>
        <w:t>’</w:t>
      </w:r>
      <w:r w:rsidRPr="009D6168">
        <w:rPr>
          <w:lang w:val="fr-FR"/>
        </w:rPr>
        <w:t>Escazú)</w:t>
      </w:r>
      <w:r w:rsidRPr="009D6168">
        <w:rPr>
          <w:rStyle w:val="Appelnotedebasdep"/>
          <w:lang w:val="fr-FR"/>
        </w:rPr>
        <w:footnoteReference w:id="12"/>
      </w:r>
      <w:r w:rsidRPr="009D6168">
        <w:rPr>
          <w:lang w:val="fr-FR"/>
        </w:rPr>
        <w:t>, premier traité sur l</w:t>
      </w:r>
      <w:r>
        <w:rPr>
          <w:lang w:val="fr-FR"/>
        </w:rPr>
        <w:t>’</w:t>
      </w:r>
      <w:r w:rsidRPr="009D6168">
        <w:rPr>
          <w:lang w:val="fr-FR"/>
        </w:rPr>
        <w:t xml:space="preserve">environnement </w:t>
      </w:r>
      <w:r w:rsidRPr="009D6168">
        <w:rPr>
          <w:lang w:val="fr-FR"/>
        </w:rPr>
        <w:lastRenderedPageBreak/>
        <w:t>adopté dans la région d</w:t>
      </w:r>
      <w:r>
        <w:rPr>
          <w:lang w:val="fr-FR"/>
        </w:rPr>
        <w:t>e l’</w:t>
      </w:r>
      <w:r w:rsidRPr="009D6168">
        <w:rPr>
          <w:lang w:val="fr-FR"/>
        </w:rPr>
        <w:t>Amérique latine et des Caraïbes, qui garantit le droit à l</w:t>
      </w:r>
      <w:r>
        <w:rPr>
          <w:lang w:val="fr-FR"/>
        </w:rPr>
        <w:t>’</w:t>
      </w:r>
      <w:r w:rsidRPr="009D6168">
        <w:rPr>
          <w:lang w:val="fr-FR"/>
        </w:rPr>
        <w:t>information, le droit à la participation et le droit à l</w:t>
      </w:r>
      <w:r>
        <w:rPr>
          <w:lang w:val="fr-FR"/>
        </w:rPr>
        <w:t>’</w:t>
      </w:r>
      <w:r w:rsidRPr="009D6168">
        <w:rPr>
          <w:lang w:val="fr-FR"/>
        </w:rPr>
        <w:t>accès à la justice en matière de gouvernance environnementale, notamment une protection forte aux peuples autochtones et aux défenseurs des droits de l</w:t>
      </w:r>
      <w:r>
        <w:rPr>
          <w:lang w:val="fr-FR"/>
        </w:rPr>
        <w:t>’</w:t>
      </w:r>
      <w:r w:rsidRPr="009D6168">
        <w:rPr>
          <w:lang w:val="fr-FR"/>
        </w:rPr>
        <w:t>homme liés à l</w:t>
      </w:r>
      <w:r>
        <w:rPr>
          <w:lang w:val="fr-FR"/>
        </w:rPr>
        <w:t>’</w:t>
      </w:r>
      <w:r w:rsidRPr="009D6168">
        <w:rPr>
          <w:lang w:val="fr-FR"/>
        </w:rPr>
        <w:t>environnement</w:t>
      </w:r>
      <w:r w:rsidRPr="009D6168">
        <w:rPr>
          <w:rStyle w:val="Appelnotedebasdep"/>
          <w:lang w:val="fr-FR"/>
        </w:rPr>
        <w:footnoteReference w:id="13"/>
      </w:r>
      <w:r w:rsidRPr="009D6168">
        <w:rPr>
          <w:lang w:val="fr-FR"/>
        </w:rPr>
        <w:t>.</w:t>
      </w:r>
    </w:p>
    <w:p w14:paraId="669A297C" w14:textId="70F314DD" w:rsidR="00225673" w:rsidRPr="009D6168" w:rsidRDefault="00225673" w:rsidP="00490A15">
      <w:pPr>
        <w:pStyle w:val="HChG"/>
        <w:rPr>
          <w:lang w:val="fr-FR"/>
        </w:rPr>
      </w:pPr>
      <w:r w:rsidRPr="009D6168">
        <w:rPr>
          <w:lang w:val="fr-FR"/>
        </w:rPr>
        <w:tab/>
        <w:t>III.</w:t>
      </w:r>
      <w:r w:rsidRPr="009D6168">
        <w:rPr>
          <w:lang w:val="fr-FR"/>
        </w:rPr>
        <w:tab/>
        <w:t xml:space="preserve">Violations des droits à la liberté de réunion pacifique </w:t>
      </w:r>
      <w:r w:rsidR="00490A15">
        <w:rPr>
          <w:lang w:val="fr-FR"/>
        </w:rPr>
        <w:br/>
      </w:r>
      <w:r w:rsidRPr="009D6168">
        <w:rPr>
          <w:lang w:val="fr-FR"/>
        </w:rPr>
        <w:t>et à la liberté d</w:t>
      </w:r>
      <w:r>
        <w:rPr>
          <w:lang w:val="fr-FR"/>
        </w:rPr>
        <w:t>’</w:t>
      </w:r>
      <w:r w:rsidRPr="009D6168">
        <w:rPr>
          <w:lang w:val="fr-FR"/>
        </w:rPr>
        <w:t xml:space="preserve">association et situation des défenseurs </w:t>
      </w:r>
      <w:r w:rsidR="00490A15">
        <w:rPr>
          <w:lang w:val="fr-FR"/>
        </w:rPr>
        <w:br/>
      </w:r>
      <w:r w:rsidRPr="009D6168">
        <w:rPr>
          <w:lang w:val="fr-FR"/>
        </w:rPr>
        <w:t>des droits de l</w:t>
      </w:r>
      <w:r>
        <w:rPr>
          <w:lang w:val="fr-FR"/>
        </w:rPr>
        <w:t>’</w:t>
      </w:r>
      <w:r w:rsidRPr="009D6168">
        <w:rPr>
          <w:lang w:val="fr-FR"/>
        </w:rPr>
        <w:t>homme</w:t>
      </w:r>
    </w:p>
    <w:p w14:paraId="43366BCA" w14:textId="61D6BF78" w:rsidR="00225673" w:rsidRPr="009D6168" w:rsidRDefault="00225673" w:rsidP="002A1A4E">
      <w:pPr>
        <w:pStyle w:val="SingleTxtG"/>
        <w:rPr>
          <w:lang w:val="fr-FR"/>
        </w:rPr>
      </w:pPr>
      <w:r w:rsidRPr="009D6168">
        <w:rPr>
          <w:lang w:val="fr-FR"/>
        </w:rPr>
        <w:t>13.</w:t>
      </w:r>
      <w:r w:rsidRPr="009D6168">
        <w:rPr>
          <w:lang w:val="fr-FR"/>
        </w:rPr>
        <w:tab/>
        <w:t>Le 27 février 2020, dans le contexte du compte rendu oral présenté par la Haute</w:t>
      </w:r>
      <w:r w:rsidR="00490A15">
        <w:rPr>
          <w:lang w:val="fr-FR"/>
        </w:rPr>
        <w:noBreakHyphen/>
      </w:r>
      <w:r w:rsidRPr="009D6168">
        <w:rPr>
          <w:lang w:val="fr-FR"/>
        </w:rPr>
        <w:t>Commissaire au Conseil des droits de l</w:t>
      </w:r>
      <w:r>
        <w:rPr>
          <w:lang w:val="fr-FR"/>
        </w:rPr>
        <w:t>’</w:t>
      </w:r>
      <w:r w:rsidRPr="009D6168">
        <w:rPr>
          <w:lang w:val="fr-FR"/>
        </w:rPr>
        <w:t>homme sur la situation au Nicaragua, un représentant du Nicaragua a déclaré que la liberté de mobilisation et d</w:t>
      </w:r>
      <w:r>
        <w:rPr>
          <w:lang w:val="fr-FR"/>
        </w:rPr>
        <w:t>’</w:t>
      </w:r>
      <w:r w:rsidRPr="009D6168">
        <w:rPr>
          <w:lang w:val="fr-FR"/>
        </w:rPr>
        <w:t>expression politique était garantie pour ceux qui s</w:t>
      </w:r>
      <w:r>
        <w:rPr>
          <w:lang w:val="fr-FR"/>
        </w:rPr>
        <w:t>’</w:t>
      </w:r>
      <w:r w:rsidRPr="009D6168">
        <w:rPr>
          <w:lang w:val="fr-FR"/>
        </w:rPr>
        <w:t>exprimaient en paix et sans intention de troubler la tranquillité de la population</w:t>
      </w:r>
      <w:r w:rsidRPr="009D6168">
        <w:rPr>
          <w:rStyle w:val="Appelnotedebasdep"/>
          <w:lang w:val="fr-FR"/>
        </w:rPr>
        <w:footnoteReference w:id="14"/>
      </w:r>
      <w:r w:rsidRPr="009D6168">
        <w:rPr>
          <w:lang w:val="fr-FR"/>
        </w:rPr>
        <w:t>.</w:t>
      </w:r>
    </w:p>
    <w:p w14:paraId="19D1F3E2" w14:textId="247578BE" w:rsidR="00225673" w:rsidRPr="009D6168" w:rsidRDefault="00225673" w:rsidP="002A1A4E">
      <w:pPr>
        <w:pStyle w:val="SingleTxtG"/>
        <w:rPr>
          <w:lang w:val="fr-FR"/>
        </w:rPr>
      </w:pPr>
      <w:r w:rsidRPr="009D6168">
        <w:rPr>
          <w:lang w:val="fr-FR"/>
        </w:rPr>
        <w:t>14.</w:t>
      </w:r>
      <w:r w:rsidRPr="009D6168">
        <w:rPr>
          <w:lang w:val="fr-FR"/>
        </w:rPr>
        <w:tab/>
        <w:t>Le HCDH a toutefois observé que</w:t>
      </w:r>
      <w:r>
        <w:rPr>
          <w:lang w:val="fr-FR"/>
        </w:rPr>
        <w:t xml:space="preserve"> les autorités continuaient d’interdire</w:t>
      </w:r>
      <w:r w:rsidRPr="009D6168">
        <w:rPr>
          <w:lang w:val="fr-FR"/>
        </w:rPr>
        <w:t xml:space="preserve"> </w:t>
      </w:r>
      <w:r>
        <w:rPr>
          <w:lang w:val="fr-FR"/>
        </w:rPr>
        <w:t>l</w:t>
      </w:r>
      <w:r w:rsidRPr="009D6168">
        <w:rPr>
          <w:lang w:val="fr-FR"/>
        </w:rPr>
        <w:t>es manifestations organisées par tout groupe critique à l</w:t>
      </w:r>
      <w:r>
        <w:rPr>
          <w:lang w:val="fr-FR"/>
        </w:rPr>
        <w:t>’</w:t>
      </w:r>
      <w:r w:rsidRPr="009D6168">
        <w:rPr>
          <w:lang w:val="fr-FR"/>
        </w:rPr>
        <w:t>égard du Gouvernement, sur la base d</w:t>
      </w:r>
      <w:r>
        <w:rPr>
          <w:lang w:val="fr-FR"/>
        </w:rPr>
        <w:t>’</w:t>
      </w:r>
      <w:r w:rsidRPr="009D6168">
        <w:rPr>
          <w:lang w:val="fr-FR"/>
        </w:rPr>
        <w:t xml:space="preserve">une interprétation restrictive de la loi </w:t>
      </w:r>
      <w:r>
        <w:rPr>
          <w:lang w:val="fr-FR"/>
        </w:rPr>
        <w:t>n</w:t>
      </w:r>
      <w:r w:rsidRPr="00243A37">
        <w:rPr>
          <w:vertAlign w:val="superscript"/>
          <w:lang w:val="fr-FR"/>
        </w:rPr>
        <w:t>o</w:t>
      </w:r>
      <w:r>
        <w:rPr>
          <w:lang w:val="fr-FR"/>
        </w:rPr>
        <w:t xml:space="preserve"> </w:t>
      </w:r>
      <w:r w:rsidRPr="009D6168">
        <w:rPr>
          <w:lang w:val="fr-FR"/>
        </w:rPr>
        <w:t xml:space="preserve">872 sur la </w:t>
      </w:r>
      <w:r>
        <w:rPr>
          <w:lang w:val="fr-FR"/>
        </w:rPr>
        <w:t>P</w:t>
      </w:r>
      <w:r w:rsidRPr="009D6168">
        <w:rPr>
          <w:lang w:val="fr-FR"/>
        </w:rPr>
        <w:t>olice nationale, qui soumet la tenue de</w:t>
      </w:r>
      <w:r>
        <w:rPr>
          <w:lang w:val="fr-FR"/>
        </w:rPr>
        <w:t xml:space="preserve"> </w:t>
      </w:r>
      <w:r w:rsidRPr="009D6168">
        <w:rPr>
          <w:lang w:val="fr-FR"/>
        </w:rPr>
        <w:t>manifestations</w:t>
      </w:r>
      <w:r>
        <w:rPr>
          <w:lang w:val="fr-FR"/>
        </w:rPr>
        <w:t xml:space="preserve"> publiques</w:t>
      </w:r>
      <w:r w:rsidRPr="009D6168">
        <w:rPr>
          <w:lang w:val="fr-FR"/>
        </w:rPr>
        <w:t xml:space="preserve"> à l</w:t>
      </w:r>
      <w:r>
        <w:rPr>
          <w:lang w:val="fr-FR"/>
        </w:rPr>
        <w:t>’</w:t>
      </w:r>
      <w:r w:rsidRPr="009D6168">
        <w:rPr>
          <w:lang w:val="fr-FR"/>
        </w:rPr>
        <w:t xml:space="preserve">autorisation de la </w:t>
      </w:r>
      <w:r>
        <w:rPr>
          <w:lang w:val="fr-FR"/>
        </w:rPr>
        <w:t>P</w:t>
      </w:r>
      <w:r w:rsidRPr="009D6168">
        <w:rPr>
          <w:lang w:val="fr-FR"/>
        </w:rPr>
        <w:t>olice nationale</w:t>
      </w:r>
      <w:r w:rsidRPr="009D6168">
        <w:rPr>
          <w:rStyle w:val="Appelnotedebasdep"/>
          <w:lang w:val="fr-FR"/>
        </w:rPr>
        <w:footnoteReference w:id="15"/>
      </w:r>
      <w:r w:rsidRPr="009D6168">
        <w:rPr>
          <w:lang w:val="fr-FR"/>
        </w:rPr>
        <w:t>.</w:t>
      </w:r>
    </w:p>
    <w:p w14:paraId="2685F43A" w14:textId="6A38D2B2" w:rsidR="00225673" w:rsidRPr="009D6168" w:rsidRDefault="00225673" w:rsidP="002A1A4E">
      <w:pPr>
        <w:pStyle w:val="SingleTxtG"/>
        <w:rPr>
          <w:lang w:val="fr-FR"/>
        </w:rPr>
      </w:pPr>
      <w:r w:rsidRPr="009D6168">
        <w:rPr>
          <w:lang w:val="fr-FR"/>
        </w:rPr>
        <w:t>15.</w:t>
      </w:r>
      <w:r w:rsidRPr="009D6168">
        <w:rPr>
          <w:lang w:val="fr-FR"/>
        </w:rPr>
        <w:tab/>
        <w:t xml:space="preserve">Malgré ces restrictions, le HCDH a </w:t>
      </w:r>
      <w:r>
        <w:rPr>
          <w:lang w:val="fr-FR"/>
        </w:rPr>
        <w:t>relevé</w:t>
      </w:r>
      <w:r w:rsidRPr="009D6168">
        <w:rPr>
          <w:lang w:val="fr-FR"/>
        </w:rPr>
        <w:t xml:space="preserve"> </w:t>
      </w:r>
      <w:r>
        <w:rPr>
          <w:lang w:val="fr-FR"/>
        </w:rPr>
        <w:t xml:space="preserve">que des personnes avaient tenté de </w:t>
      </w:r>
      <w:r w:rsidRPr="009D6168">
        <w:rPr>
          <w:lang w:val="fr-FR"/>
        </w:rPr>
        <w:t>manifest</w:t>
      </w:r>
      <w:r>
        <w:rPr>
          <w:lang w:val="fr-FR"/>
        </w:rPr>
        <w:t>er</w:t>
      </w:r>
      <w:r w:rsidRPr="009D6168">
        <w:rPr>
          <w:lang w:val="fr-FR"/>
        </w:rPr>
        <w:t xml:space="preserve"> dans des espaces publics</w:t>
      </w:r>
      <w:r>
        <w:rPr>
          <w:lang w:val="fr-FR"/>
        </w:rPr>
        <w:t xml:space="preserve"> afin d’</w:t>
      </w:r>
      <w:r w:rsidRPr="009D6168">
        <w:rPr>
          <w:lang w:val="fr-FR"/>
        </w:rPr>
        <w:t xml:space="preserve">exiger la libération de détenus ou </w:t>
      </w:r>
      <w:r>
        <w:rPr>
          <w:lang w:val="fr-FR"/>
        </w:rPr>
        <w:t xml:space="preserve">de </w:t>
      </w:r>
      <w:r w:rsidRPr="009D6168">
        <w:rPr>
          <w:lang w:val="fr-FR"/>
        </w:rPr>
        <w:t xml:space="preserve">rendre hommage aux personnes tuées lors des manifestations de 2018. Ces tentatives </w:t>
      </w:r>
      <w:r>
        <w:rPr>
          <w:lang w:val="fr-FR"/>
        </w:rPr>
        <w:t>avaient</w:t>
      </w:r>
      <w:r w:rsidRPr="009D6168">
        <w:rPr>
          <w:lang w:val="fr-FR"/>
        </w:rPr>
        <w:t xml:space="preserve"> systématiquement été empêchées par de nombreux déploiements policiers ou réprimées par les forces de l</w:t>
      </w:r>
      <w:r>
        <w:rPr>
          <w:lang w:val="fr-FR"/>
        </w:rPr>
        <w:t>’</w:t>
      </w:r>
      <w:r w:rsidRPr="009D6168">
        <w:rPr>
          <w:lang w:val="fr-FR"/>
        </w:rPr>
        <w:t xml:space="preserve">ordre et la police antiémeutes, qui </w:t>
      </w:r>
      <w:r>
        <w:rPr>
          <w:lang w:val="fr-FR"/>
        </w:rPr>
        <w:t>avaient</w:t>
      </w:r>
      <w:r w:rsidRPr="009D6168">
        <w:rPr>
          <w:lang w:val="fr-FR"/>
        </w:rPr>
        <w:t xml:space="preserve"> souvent eu recours à de brèves périodes de détention. Le HCDH a recensé au moins six cas dans lesquels </w:t>
      </w:r>
      <w:r>
        <w:rPr>
          <w:lang w:val="fr-FR"/>
        </w:rPr>
        <w:t>d</w:t>
      </w:r>
      <w:r w:rsidRPr="009D6168">
        <w:rPr>
          <w:lang w:val="fr-FR"/>
        </w:rPr>
        <w:t>es membres des forces de l</w:t>
      </w:r>
      <w:r>
        <w:rPr>
          <w:lang w:val="fr-FR"/>
        </w:rPr>
        <w:t>’</w:t>
      </w:r>
      <w:r w:rsidRPr="009D6168">
        <w:rPr>
          <w:lang w:val="fr-FR"/>
        </w:rPr>
        <w:t xml:space="preserve">ordre </w:t>
      </w:r>
      <w:r>
        <w:rPr>
          <w:lang w:val="fr-FR"/>
        </w:rPr>
        <w:t>avaient</w:t>
      </w:r>
      <w:r w:rsidRPr="009D6168">
        <w:rPr>
          <w:lang w:val="fr-FR"/>
        </w:rPr>
        <w:t xml:space="preserve"> fait un usage disproportionné de la force contre des manifestants et des journalistes. Il a également recensé au moins 11 cas dans lesquels des </w:t>
      </w:r>
      <w:r>
        <w:rPr>
          <w:lang w:val="fr-FR"/>
        </w:rPr>
        <w:t xml:space="preserve">foules ou des </w:t>
      </w:r>
      <w:r w:rsidRPr="009D6168">
        <w:rPr>
          <w:lang w:val="fr-FR"/>
        </w:rPr>
        <w:t xml:space="preserve">personnes armées, portant parfois les couleurs du parti au pouvoir, </w:t>
      </w:r>
      <w:r>
        <w:rPr>
          <w:lang w:val="fr-FR"/>
        </w:rPr>
        <w:t>avaient</w:t>
      </w:r>
      <w:r w:rsidRPr="009D6168">
        <w:rPr>
          <w:lang w:val="fr-FR"/>
        </w:rPr>
        <w:t xml:space="preserve"> attaqué ou menacé des opposants</w:t>
      </w:r>
      <w:r>
        <w:rPr>
          <w:lang w:val="fr-FR"/>
        </w:rPr>
        <w:t xml:space="preserve"> supposés</w:t>
      </w:r>
      <w:r w:rsidRPr="009D6168">
        <w:rPr>
          <w:lang w:val="fr-FR"/>
        </w:rPr>
        <w:t xml:space="preserve">, tandis que la police restait souvent passive. Des policiers et des éléments progouvernementaux </w:t>
      </w:r>
      <w:r>
        <w:rPr>
          <w:lang w:val="fr-FR"/>
        </w:rPr>
        <w:t>avaient</w:t>
      </w:r>
      <w:r w:rsidRPr="009D6168">
        <w:rPr>
          <w:lang w:val="fr-FR"/>
        </w:rPr>
        <w:t xml:space="preserve"> également fait obstacle, parfois avec violence, aux rassemblements de l</w:t>
      </w:r>
      <w:r>
        <w:rPr>
          <w:lang w:val="fr-FR"/>
        </w:rPr>
        <w:t>’</w:t>
      </w:r>
      <w:r w:rsidRPr="009D6168">
        <w:rPr>
          <w:lang w:val="fr-FR"/>
        </w:rPr>
        <w:t xml:space="preserve">opposition et de proches de victimes dans les églises catholiques. </w:t>
      </w:r>
      <w:r>
        <w:rPr>
          <w:lang w:val="fr-FR"/>
        </w:rPr>
        <w:t xml:space="preserve">Le </w:t>
      </w:r>
      <w:r w:rsidRPr="009D6168">
        <w:rPr>
          <w:lang w:val="fr-FR"/>
        </w:rPr>
        <w:t>18</w:t>
      </w:r>
      <w:r w:rsidR="00490A15">
        <w:rPr>
          <w:lang w:val="fr-FR"/>
        </w:rPr>
        <w:t> </w:t>
      </w:r>
      <w:r w:rsidRPr="009D6168">
        <w:rPr>
          <w:lang w:val="fr-FR"/>
        </w:rPr>
        <w:t xml:space="preserve">novembre 2019, </w:t>
      </w:r>
      <w:r>
        <w:rPr>
          <w:lang w:val="fr-FR"/>
        </w:rPr>
        <w:t>de</w:t>
      </w:r>
      <w:r w:rsidRPr="009D6168">
        <w:rPr>
          <w:lang w:val="fr-FR"/>
        </w:rPr>
        <w:t xml:space="preserve">s membres du clergé </w:t>
      </w:r>
      <w:r>
        <w:rPr>
          <w:lang w:val="fr-FR"/>
        </w:rPr>
        <w:t>avaient</w:t>
      </w:r>
      <w:r w:rsidRPr="009D6168">
        <w:rPr>
          <w:lang w:val="fr-FR"/>
        </w:rPr>
        <w:t xml:space="preserve"> été touchés par </w:t>
      </w:r>
      <w:r>
        <w:rPr>
          <w:lang w:val="fr-FR"/>
        </w:rPr>
        <w:t>c</w:t>
      </w:r>
      <w:r w:rsidRPr="009D6168">
        <w:rPr>
          <w:lang w:val="fr-FR"/>
        </w:rPr>
        <w:t>es violences</w:t>
      </w:r>
      <w:r>
        <w:rPr>
          <w:lang w:val="fr-FR"/>
        </w:rPr>
        <w:t> :</w:t>
      </w:r>
      <w:r w:rsidRPr="009D6168">
        <w:rPr>
          <w:lang w:val="fr-FR"/>
        </w:rPr>
        <w:t xml:space="preserve"> des dizaines de partisans du Gouvernement </w:t>
      </w:r>
      <w:r>
        <w:rPr>
          <w:lang w:val="fr-FR"/>
        </w:rPr>
        <w:t>avaient</w:t>
      </w:r>
      <w:r w:rsidRPr="009D6168">
        <w:rPr>
          <w:lang w:val="fr-FR"/>
        </w:rPr>
        <w:t xml:space="preserve"> intimidé et attaqué un prêtre et une religieuse, ainsi qu</w:t>
      </w:r>
      <w:r>
        <w:rPr>
          <w:lang w:val="fr-FR"/>
        </w:rPr>
        <w:t>’</w:t>
      </w:r>
      <w:r w:rsidRPr="009D6168">
        <w:rPr>
          <w:lang w:val="fr-FR"/>
        </w:rPr>
        <w:t xml:space="preserve">un groupe de proches de personnes détenues dans le </w:t>
      </w:r>
      <w:r>
        <w:rPr>
          <w:lang w:val="fr-FR"/>
        </w:rPr>
        <w:t>contexte</w:t>
      </w:r>
      <w:r w:rsidRPr="009D6168">
        <w:rPr>
          <w:lang w:val="fr-FR"/>
        </w:rPr>
        <w:t xml:space="preserve"> de la crise, qui observaient une grève de la faim dans la cathédrale de Managua.</w:t>
      </w:r>
    </w:p>
    <w:p w14:paraId="7BF727B6" w14:textId="460F5FE4" w:rsidR="00225673" w:rsidRPr="009D6168" w:rsidRDefault="00225673" w:rsidP="002A1A4E">
      <w:pPr>
        <w:pStyle w:val="SingleTxtG"/>
        <w:rPr>
          <w:lang w:val="fr-FR"/>
        </w:rPr>
      </w:pPr>
      <w:r w:rsidRPr="009D6168">
        <w:rPr>
          <w:lang w:val="fr-FR"/>
        </w:rPr>
        <w:t>16.</w:t>
      </w:r>
      <w:r w:rsidRPr="009D6168">
        <w:rPr>
          <w:lang w:val="fr-FR"/>
        </w:rPr>
        <w:tab/>
        <w:t>Le Gouvernement affirme qu</w:t>
      </w:r>
      <w:r>
        <w:rPr>
          <w:lang w:val="fr-FR"/>
        </w:rPr>
        <w:t>’</w:t>
      </w:r>
      <w:r w:rsidRPr="009D6168">
        <w:rPr>
          <w:lang w:val="fr-FR"/>
        </w:rPr>
        <w:t>il n</w:t>
      </w:r>
      <w:r>
        <w:rPr>
          <w:lang w:val="fr-FR"/>
        </w:rPr>
        <w:t>’</w:t>
      </w:r>
      <w:r w:rsidRPr="009D6168">
        <w:rPr>
          <w:lang w:val="fr-FR"/>
        </w:rPr>
        <w:t>y a pas eu d</w:t>
      </w:r>
      <w:r>
        <w:rPr>
          <w:lang w:val="fr-FR"/>
        </w:rPr>
        <w:t>’</w:t>
      </w:r>
      <w:r w:rsidRPr="009D6168">
        <w:rPr>
          <w:lang w:val="fr-FR"/>
        </w:rPr>
        <w:t xml:space="preserve">attaques </w:t>
      </w:r>
      <w:r>
        <w:rPr>
          <w:lang w:val="fr-FR"/>
        </w:rPr>
        <w:t>ni</w:t>
      </w:r>
      <w:r w:rsidRPr="009D6168">
        <w:rPr>
          <w:lang w:val="fr-FR"/>
        </w:rPr>
        <w:t xml:space="preserve"> d</w:t>
      </w:r>
      <w:r>
        <w:rPr>
          <w:lang w:val="fr-FR"/>
        </w:rPr>
        <w:t>’</w:t>
      </w:r>
      <w:r w:rsidRPr="009D6168">
        <w:rPr>
          <w:lang w:val="fr-FR"/>
        </w:rPr>
        <w:t>actes d</w:t>
      </w:r>
      <w:r>
        <w:rPr>
          <w:lang w:val="fr-FR"/>
        </w:rPr>
        <w:t>’</w:t>
      </w:r>
      <w:r w:rsidRPr="009D6168">
        <w:rPr>
          <w:lang w:val="fr-FR"/>
        </w:rPr>
        <w:t>intimidation contre des défenseurs des droits de l</w:t>
      </w:r>
      <w:r>
        <w:rPr>
          <w:lang w:val="fr-FR"/>
        </w:rPr>
        <w:t>’</w:t>
      </w:r>
      <w:r w:rsidRPr="009D6168">
        <w:rPr>
          <w:lang w:val="fr-FR"/>
        </w:rPr>
        <w:t xml:space="preserve">homme, des </w:t>
      </w:r>
      <w:r>
        <w:rPr>
          <w:lang w:val="fr-FR"/>
        </w:rPr>
        <w:t>personnes d’influence</w:t>
      </w:r>
      <w:r w:rsidRPr="009D6168">
        <w:rPr>
          <w:lang w:val="fr-FR"/>
        </w:rPr>
        <w:t xml:space="preserve">, des journalistes et des professionnels des médias, </w:t>
      </w:r>
      <w:r>
        <w:rPr>
          <w:lang w:val="fr-FR"/>
        </w:rPr>
        <w:t>ni</w:t>
      </w:r>
      <w:r w:rsidRPr="009D6168">
        <w:rPr>
          <w:lang w:val="fr-FR"/>
        </w:rPr>
        <w:t xml:space="preserve"> </w:t>
      </w:r>
      <w:r>
        <w:rPr>
          <w:lang w:val="fr-FR"/>
        </w:rPr>
        <w:t>aucune</w:t>
      </w:r>
      <w:r w:rsidRPr="009D6168">
        <w:rPr>
          <w:lang w:val="fr-FR"/>
        </w:rPr>
        <w:t xml:space="preserve"> personne critique à son égard, et que le travail de ces personnes </w:t>
      </w:r>
      <w:r>
        <w:rPr>
          <w:lang w:val="fr-FR"/>
        </w:rPr>
        <w:t>est</w:t>
      </w:r>
      <w:r w:rsidRPr="009D6168">
        <w:rPr>
          <w:lang w:val="fr-FR"/>
        </w:rPr>
        <w:t xml:space="preserve"> protégé</w:t>
      </w:r>
      <w:r w:rsidRPr="009D6168">
        <w:rPr>
          <w:rStyle w:val="Appelnotedebasdep"/>
          <w:lang w:val="fr-FR"/>
        </w:rPr>
        <w:footnoteReference w:id="16"/>
      </w:r>
      <w:r w:rsidRPr="009D6168">
        <w:rPr>
          <w:lang w:val="fr-FR"/>
        </w:rPr>
        <w:t>. Néanmoins, à la fin de 2019 et tout au long de l</w:t>
      </w:r>
      <w:r>
        <w:rPr>
          <w:lang w:val="fr-FR"/>
        </w:rPr>
        <w:t>’</w:t>
      </w:r>
      <w:r w:rsidRPr="009D6168">
        <w:rPr>
          <w:lang w:val="fr-FR"/>
        </w:rPr>
        <w:t xml:space="preserve">année 2020, le HCDH a recensé 83 cas de persécutions, de harcèlement et de menaces </w:t>
      </w:r>
      <w:r>
        <w:rPr>
          <w:lang w:val="fr-FR"/>
        </w:rPr>
        <w:t>visant</w:t>
      </w:r>
      <w:r w:rsidRPr="009D6168">
        <w:rPr>
          <w:lang w:val="fr-FR"/>
        </w:rPr>
        <w:t xml:space="preserve"> ces acteurs de la société civile, en particulier d</w:t>
      </w:r>
      <w:r>
        <w:rPr>
          <w:lang w:val="fr-FR"/>
        </w:rPr>
        <w:t xml:space="preserve">es </w:t>
      </w:r>
      <w:r w:rsidRPr="009D6168">
        <w:rPr>
          <w:lang w:val="fr-FR"/>
        </w:rPr>
        <w:t>étudiants, de</w:t>
      </w:r>
      <w:r>
        <w:rPr>
          <w:lang w:val="fr-FR"/>
        </w:rPr>
        <w:t>s</w:t>
      </w:r>
      <w:r w:rsidRPr="009D6168">
        <w:rPr>
          <w:lang w:val="fr-FR"/>
        </w:rPr>
        <w:t xml:space="preserve"> paysans et de</w:t>
      </w:r>
      <w:r>
        <w:rPr>
          <w:lang w:val="fr-FR"/>
        </w:rPr>
        <w:t>s</w:t>
      </w:r>
      <w:r w:rsidRPr="009D6168">
        <w:rPr>
          <w:lang w:val="fr-FR"/>
        </w:rPr>
        <w:t xml:space="preserve"> défenseurs des droits de l</w:t>
      </w:r>
      <w:r>
        <w:rPr>
          <w:lang w:val="fr-FR"/>
        </w:rPr>
        <w:t>’</w:t>
      </w:r>
      <w:r w:rsidRPr="009D6168">
        <w:rPr>
          <w:lang w:val="fr-FR"/>
        </w:rPr>
        <w:t>homme, notamment des membres d</w:t>
      </w:r>
      <w:r>
        <w:rPr>
          <w:lang w:val="fr-FR"/>
        </w:rPr>
        <w:t>’</w:t>
      </w:r>
      <w:r w:rsidRPr="009D6168">
        <w:rPr>
          <w:lang w:val="fr-FR"/>
        </w:rPr>
        <w:t>organisations de victimes et de femmes. Parmi eux, aux moins quatre femmes et trois hommes auraient fait l</w:t>
      </w:r>
      <w:r>
        <w:rPr>
          <w:lang w:val="fr-FR"/>
        </w:rPr>
        <w:t>’</w:t>
      </w:r>
      <w:r w:rsidRPr="009D6168">
        <w:rPr>
          <w:lang w:val="fr-FR"/>
        </w:rPr>
        <w:t>objet de représailles ou d</w:t>
      </w:r>
      <w:r>
        <w:rPr>
          <w:lang w:val="fr-FR"/>
        </w:rPr>
        <w:t>’actes d’</w:t>
      </w:r>
      <w:r w:rsidRPr="009D6168">
        <w:rPr>
          <w:lang w:val="fr-FR"/>
        </w:rPr>
        <w:t>intimidation pour avoir coopéré avec les Nations Unies dans le domaine des droits de l</w:t>
      </w:r>
      <w:r>
        <w:rPr>
          <w:lang w:val="fr-FR"/>
        </w:rPr>
        <w:t>’</w:t>
      </w:r>
      <w:r w:rsidRPr="009D6168">
        <w:rPr>
          <w:lang w:val="fr-FR"/>
        </w:rPr>
        <w:t>homme</w:t>
      </w:r>
      <w:r w:rsidRPr="009D6168">
        <w:rPr>
          <w:rStyle w:val="Appelnotedebasdep"/>
          <w:lang w:val="fr-FR"/>
        </w:rPr>
        <w:footnoteReference w:id="17"/>
      </w:r>
      <w:r w:rsidRPr="009D6168">
        <w:rPr>
          <w:lang w:val="fr-FR"/>
        </w:rPr>
        <w:t>.</w:t>
      </w:r>
    </w:p>
    <w:p w14:paraId="53BB7EBB" w14:textId="20F7DC6B" w:rsidR="00225673" w:rsidRPr="009D6168" w:rsidRDefault="00225673" w:rsidP="002A1A4E">
      <w:pPr>
        <w:pStyle w:val="SingleTxtG"/>
        <w:rPr>
          <w:lang w:val="fr-FR"/>
        </w:rPr>
      </w:pPr>
      <w:r w:rsidRPr="009D6168">
        <w:rPr>
          <w:lang w:val="fr-FR"/>
        </w:rPr>
        <w:t>17.</w:t>
      </w:r>
      <w:r w:rsidRPr="009D6168">
        <w:rPr>
          <w:lang w:val="fr-FR"/>
        </w:rPr>
        <w:tab/>
        <w:t>Les messages d</w:t>
      </w:r>
      <w:r>
        <w:rPr>
          <w:lang w:val="fr-FR"/>
        </w:rPr>
        <w:t>’</w:t>
      </w:r>
      <w:r w:rsidRPr="009D6168">
        <w:rPr>
          <w:lang w:val="fr-FR"/>
        </w:rPr>
        <w:t>intimidation sur les réseaux sociaux et les inscriptions sur les murs des bureaux et des domiciles des défenseurs des droits de l</w:t>
      </w:r>
      <w:r>
        <w:rPr>
          <w:lang w:val="fr-FR"/>
        </w:rPr>
        <w:t>’</w:t>
      </w:r>
      <w:r w:rsidRPr="009D6168">
        <w:rPr>
          <w:lang w:val="fr-FR"/>
        </w:rPr>
        <w:t>homme et des partisans de l</w:t>
      </w:r>
      <w:r>
        <w:rPr>
          <w:lang w:val="fr-FR"/>
        </w:rPr>
        <w:t>’</w:t>
      </w:r>
      <w:r w:rsidRPr="009D6168">
        <w:rPr>
          <w:lang w:val="fr-FR"/>
        </w:rPr>
        <w:t>opposition n</w:t>
      </w:r>
      <w:r>
        <w:rPr>
          <w:lang w:val="fr-FR"/>
        </w:rPr>
        <w:t>’</w:t>
      </w:r>
      <w:r w:rsidRPr="009D6168">
        <w:rPr>
          <w:lang w:val="fr-FR"/>
        </w:rPr>
        <w:t xml:space="preserve">ont pas cessé. Le HCDH a également recueilli des informations sur diverses </w:t>
      </w:r>
      <w:r>
        <w:rPr>
          <w:lang w:val="fr-FR"/>
        </w:rPr>
        <w:lastRenderedPageBreak/>
        <w:t>manœuvres</w:t>
      </w:r>
      <w:r w:rsidRPr="009D6168">
        <w:rPr>
          <w:lang w:val="fr-FR"/>
        </w:rPr>
        <w:t xml:space="preserve"> d</w:t>
      </w:r>
      <w:r>
        <w:rPr>
          <w:lang w:val="fr-FR"/>
        </w:rPr>
        <w:t>’</w:t>
      </w:r>
      <w:r w:rsidRPr="009D6168">
        <w:rPr>
          <w:lang w:val="fr-FR"/>
        </w:rPr>
        <w:t xml:space="preserve">intimidation et de harcèlement </w:t>
      </w:r>
      <w:r>
        <w:rPr>
          <w:lang w:val="fr-FR"/>
        </w:rPr>
        <w:t>auxquelles se livre</w:t>
      </w:r>
      <w:r w:rsidRPr="009D6168">
        <w:rPr>
          <w:lang w:val="fr-FR"/>
        </w:rPr>
        <w:t xml:space="preserve"> la police, comme l</w:t>
      </w:r>
      <w:r>
        <w:rPr>
          <w:lang w:val="fr-FR"/>
        </w:rPr>
        <w:t>’</w:t>
      </w:r>
      <w:r w:rsidRPr="009D6168">
        <w:rPr>
          <w:lang w:val="fr-FR"/>
        </w:rPr>
        <w:t>arrêt et la fouille sélectifs de véhicules, l</w:t>
      </w:r>
      <w:r>
        <w:rPr>
          <w:lang w:val="fr-FR"/>
        </w:rPr>
        <w:t>’</w:t>
      </w:r>
      <w:r w:rsidRPr="009D6168">
        <w:rPr>
          <w:lang w:val="fr-FR"/>
        </w:rPr>
        <w:t>installation de points de contrôle et la surveillance, par des véhicules de patrouille, de</w:t>
      </w:r>
      <w:r>
        <w:rPr>
          <w:lang w:val="fr-FR"/>
        </w:rPr>
        <w:t>s</w:t>
      </w:r>
      <w:r w:rsidRPr="009D6168">
        <w:rPr>
          <w:lang w:val="fr-FR"/>
        </w:rPr>
        <w:t xml:space="preserve"> locaux d</w:t>
      </w:r>
      <w:r>
        <w:rPr>
          <w:lang w:val="fr-FR"/>
        </w:rPr>
        <w:t>’</w:t>
      </w:r>
      <w:r w:rsidRPr="009D6168">
        <w:rPr>
          <w:lang w:val="fr-FR"/>
        </w:rPr>
        <w:t>organisations de la société civile ou d</w:t>
      </w:r>
      <w:r>
        <w:rPr>
          <w:lang w:val="fr-FR"/>
        </w:rPr>
        <w:t>u</w:t>
      </w:r>
      <w:r w:rsidRPr="009D6168">
        <w:rPr>
          <w:lang w:val="fr-FR"/>
        </w:rPr>
        <w:t xml:space="preserve"> domicile de militants. Ainsi, la Commission permanente des droits de l</w:t>
      </w:r>
      <w:r>
        <w:rPr>
          <w:lang w:val="fr-FR"/>
        </w:rPr>
        <w:t>’</w:t>
      </w:r>
      <w:r w:rsidRPr="009D6168">
        <w:rPr>
          <w:lang w:val="fr-FR"/>
        </w:rPr>
        <w:t xml:space="preserve">homme a signalé la présence de patrouilles de police devant ses locaux à au moins 10 reprises entre septembre 2019 et octobre 2020. Un opposant politique libéré en juin 2019 après avoir passé neuf mois en prison a </w:t>
      </w:r>
      <w:r>
        <w:rPr>
          <w:lang w:val="fr-FR"/>
        </w:rPr>
        <w:t>indiqué</w:t>
      </w:r>
      <w:r w:rsidRPr="009D6168">
        <w:rPr>
          <w:lang w:val="fr-FR"/>
        </w:rPr>
        <w:t xml:space="preserve"> </w:t>
      </w:r>
      <w:r>
        <w:rPr>
          <w:lang w:val="fr-FR"/>
        </w:rPr>
        <w:t xml:space="preserve">avoir relevé une présence policière devant </w:t>
      </w:r>
      <w:r w:rsidRPr="009D6168">
        <w:rPr>
          <w:lang w:val="fr-FR"/>
        </w:rPr>
        <w:t>sa maison</w:t>
      </w:r>
      <w:r>
        <w:rPr>
          <w:lang w:val="fr-FR"/>
        </w:rPr>
        <w:t xml:space="preserve">, à </w:t>
      </w:r>
      <w:r w:rsidRPr="009D6168">
        <w:rPr>
          <w:lang w:val="fr-FR"/>
        </w:rPr>
        <w:t>Managua</w:t>
      </w:r>
      <w:r>
        <w:rPr>
          <w:lang w:val="fr-FR"/>
        </w:rPr>
        <w:t>,</w:t>
      </w:r>
      <w:r w:rsidRPr="009D6168">
        <w:rPr>
          <w:lang w:val="fr-FR"/>
        </w:rPr>
        <w:t xml:space="preserve"> à 168 reprises entre octobre 2019 et novembre 2020. Dans certains cas, la police a également empêché des personnes de quitter leur domicile pendant plusieurs heures, apparemment pour</w:t>
      </w:r>
      <w:r>
        <w:rPr>
          <w:lang w:val="fr-FR"/>
        </w:rPr>
        <w:t xml:space="preserve"> qu’elles ne puissent pas </w:t>
      </w:r>
      <w:r w:rsidRPr="009D6168">
        <w:rPr>
          <w:lang w:val="fr-FR"/>
        </w:rPr>
        <w:t>participer à des manifestations. Le 8 mars 2020, Journée internationale de la femme, la police antiémeute a empêché un groupe de militants composé essentiellement de femmes de se rassembler devant les locaux d</w:t>
      </w:r>
      <w:r>
        <w:rPr>
          <w:lang w:val="fr-FR"/>
        </w:rPr>
        <w:t>’</w:t>
      </w:r>
      <w:r w:rsidRPr="009D6168">
        <w:rPr>
          <w:lang w:val="fr-FR"/>
        </w:rPr>
        <w:t>une organisation de femmes.</w:t>
      </w:r>
    </w:p>
    <w:p w14:paraId="5AF9B176" w14:textId="1D5576A9" w:rsidR="00225673" w:rsidRPr="009D6168" w:rsidRDefault="00225673" w:rsidP="002A1A4E">
      <w:pPr>
        <w:pStyle w:val="SingleTxtG"/>
        <w:rPr>
          <w:lang w:val="fr-FR"/>
        </w:rPr>
      </w:pPr>
      <w:r w:rsidRPr="009D6168">
        <w:rPr>
          <w:lang w:val="fr-FR"/>
        </w:rPr>
        <w:t>18.</w:t>
      </w:r>
      <w:r w:rsidRPr="009D6168">
        <w:rPr>
          <w:lang w:val="fr-FR"/>
        </w:rPr>
        <w:tab/>
        <w:t xml:space="preserve">Au moment de la rédaction du présent rapport, neuf organisations de la société civile </w:t>
      </w:r>
      <w:r>
        <w:rPr>
          <w:lang w:val="fr-FR"/>
        </w:rPr>
        <w:t>faisaient toujours l’objet d’une radiation</w:t>
      </w:r>
      <w:r w:rsidRPr="009D6168">
        <w:rPr>
          <w:rStyle w:val="Appelnotedebasdep"/>
          <w:lang w:val="fr-FR"/>
        </w:rPr>
        <w:footnoteReference w:id="18"/>
      </w:r>
      <w:r w:rsidRPr="009D6168">
        <w:rPr>
          <w:lang w:val="fr-FR"/>
        </w:rPr>
        <w:t xml:space="preserve">, </w:t>
      </w:r>
      <w:r>
        <w:rPr>
          <w:lang w:val="fr-FR"/>
        </w:rPr>
        <w:t>en raison</w:t>
      </w:r>
      <w:r w:rsidRPr="009D6168">
        <w:rPr>
          <w:lang w:val="fr-FR"/>
        </w:rPr>
        <w:t xml:space="preserve"> de supposées omissions administratives ou activités contraires à leurs objectifs </w:t>
      </w:r>
      <w:r>
        <w:rPr>
          <w:lang w:val="fr-FR"/>
        </w:rPr>
        <w:t>statutaires</w:t>
      </w:r>
      <w:r w:rsidRPr="009D6168">
        <w:rPr>
          <w:lang w:val="fr-FR"/>
        </w:rPr>
        <w:t>, notamment pour avoir soutenu des « act</w:t>
      </w:r>
      <w:r>
        <w:rPr>
          <w:lang w:val="fr-FR"/>
        </w:rPr>
        <w:t>e</w:t>
      </w:r>
      <w:r w:rsidRPr="009D6168">
        <w:rPr>
          <w:lang w:val="fr-FR"/>
        </w:rPr>
        <w:t xml:space="preserve">s terroristes » dans le </w:t>
      </w:r>
      <w:r>
        <w:rPr>
          <w:lang w:val="fr-FR"/>
        </w:rPr>
        <w:t>contexte</w:t>
      </w:r>
      <w:r w:rsidRPr="009D6168">
        <w:rPr>
          <w:lang w:val="fr-FR"/>
        </w:rPr>
        <w:t xml:space="preserve"> des manifestations de 2018. Leurs actifs </w:t>
      </w:r>
      <w:r>
        <w:rPr>
          <w:lang w:val="fr-FR"/>
        </w:rPr>
        <w:t>avaient</w:t>
      </w:r>
      <w:r w:rsidRPr="009D6168">
        <w:rPr>
          <w:lang w:val="fr-FR"/>
        </w:rPr>
        <w:t xml:space="preserve"> été liquidés et cédés par le Gouvernement. Certains représentants légaux de ces organisations </w:t>
      </w:r>
      <w:r>
        <w:rPr>
          <w:lang w:val="fr-FR"/>
        </w:rPr>
        <w:t>étaient toujours</w:t>
      </w:r>
      <w:r w:rsidRPr="009D6168">
        <w:rPr>
          <w:lang w:val="fr-FR"/>
        </w:rPr>
        <w:t xml:space="preserve"> en exil. Six de ces neuf organisations </w:t>
      </w:r>
      <w:r>
        <w:rPr>
          <w:lang w:val="fr-FR"/>
        </w:rPr>
        <w:t>avaient</w:t>
      </w:r>
      <w:r w:rsidRPr="009D6168">
        <w:rPr>
          <w:lang w:val="fr-FR"/>
        </w:rPr>
        <w:t xml:space="preserve"> contesté le</w:t>
      </w:r>
      <w:r>
        <w:rPr>
          <w:lang w:val="fr-FR"/>
        </w:rPr>
        <w:t>ur radiation</w:t>
      </w:r>
      <w:r w:rsidRPr="009D6168">
        <w:rPr>
          <w:lang w:val="fr-FR"/>
        </w:rPr>
        <w:t xml:space="preserve"> devant la Cour suprême de justice, dont on attendait toujours la décision en décembre 2020. Le 25 juin 2020, l</w:t>
      </w:r>
      <w:r>
        <w:rPr>
          <w:lang w:val="fr-FR"/>
        </w:rPr>
        <w:t>’</w:t>
      </w:r>
      <w:r w:rsidRPr="009D6168">
        <w:rPr>
          <w:lang w:val="fr-FR"/>
        </w:rPr>
        <w:t>Asociación de Hermanamiento Municipal de Camoapa a</w:t>
      </w:r>
      <w:r>
        <w:rPr>
          <w:lang w:val="fr-FR"/>
        </w:rPr>
        <w:t>vait</w:t>
      </w:r>
      <w:r w:rsidRPr="009D6168">
        <w:rPr>
          <w:lang w:val="fr-FR"/>
        </w:rPr>
        <w:t xml:space="preserve"> également été radiée de manière expéditive et sans garanties d</w:t>
      </w:r>
      <w:r>
        <w:rPr>
          <w:lang w:val="fr-FR"/>
        </w:rPr>
        <w:t>’</w:t>
      </w:r>
      <w:r w:rsidRPr="009D6168">
        <w:rPr>
          <w:lang w:val="fr-FR"/>
        </w:rPr>
        <w:t>une procédure régulière.</w:t>
      </w:r>
    </w:p>
    <w:p w14:paraId="3819DA6D" w14:textId="0C4EAEF4" w:rsidR="00225673" w:rsidRPr="009D6168" w:rsidRDefault="00225673" w:rsidP="002A1A4E">
      <w:pPr>
        <w:pStyle w:val="SingleTxtG"/>
        <w:rPr>
          <w:lang w:val="fr-FR"/>
        </w:rPr>
      </w:pPr>
      <w:r w:rsidRPr="009D6168">
        <w:rPr>
          <w:lang w:val="fr-FR"/>
        </w:rPr>
        <w:t>19.</w:t>
      </w:r>
      <w:r w:rsidRPr="009D6168">
        <w:rPr>
          <w:lang w:val="fr-FR"/>
        </w:rPr>
        <w:tab/>
        <w:t xml:space="preserve">Le 15 octobre 2020, la loi </w:t>
      </w:r>
      <w:r w:rsidR="00490A15" w:rsidRPr="00490A15">
        <w:rPr>
          <w:rFonts w:eastAsia="MS Mincho"/>
          <w:lang w:val="fr-FR"/>
        </w:rPr>
        <w:t>n</w:t>
      </w:r>
      <w:r w:rsidR="00490A15" w:rsidRPr="00490A15">
        <w:rPr>
          <w:rFonts w:eastAsia="MS Mincho"/>
          <w:vertAlign w:val="superscript"/>
          <w:lang w:val="fr-FR"/>
        </w:rPr>
        <w:t>o</w:t>
      </w:r>
      <w:r w:rsidR="00490A15">
        <w:rPr>
          <w:lang w:val="fr-FR"/>
        </w:rPr>
        <w:t> </w:t>
      </w:r>
      <w:r w:rsidRPr="009D6168">
        <w:rPr>
          <w:lang w:val="fr-FR"/>
        </w:rPr>
        <w:t>1040 sur la réglementation applicable aux agents étrangers a été adoptée, afin de prévenir l</w:t>
      </w:r>
      <w:r>
        <w:rPr>
          <w:lang w:val="fr-FR"/>
        </w:rPr>
        <w:t>’</w:t>
      </w:r>
      <w:r w:rsidRPr="009D6168">
        <w:rPr>
          <w:lang w:val="fr-FR"/>
        </w:rPr>
        <w:t>ingérence de gouvernements, d</w:t>
      </w:r>
      <w:r>
        <w:rPr>
          <w:lang w:val="fr-FR"/>
        </w:rPr>
        <w:t>’</w:t>
      </w:r>
      <w:r w:rsidRPr="009D6168">
        <w:rPr>
          <w:lang w:val="fr-FR"/>
        </w:rPr>
        <w:t xml:space="preserve">organisations ou de ressortissants étrangers dans les affaires intérieures et extérieures du Nicaragua. </w:t>
      </w:r>
      <w:r>
        <w:rPr>
          <w:lang w:val="fr-FR"/>
        </w:rPr>
        <w:t>Cette</w:t>
      </w:r>
      <w:r w:rsidRPr="009D6168">
        <w:rPr>
          <w:lang w:val="fr-FR"/>
        </w:rPr>
        <w:t xml:space="preserve"> loi prévoit la radiation des organisations qui reçoivent des fonds étrangers pour mener des activités </w:t>
      </w:r>
      <w:r>
        <w:rPr>
          <w:lang w:val="fr-FR"/>
        </w:rPr>
        <w:t>qui constituent une ingérence</w:t>
      </w:r>
      <w:r w:rsidRPr="009D6168">
        <w:rPr>
          <w:lang w:val="fr-FR"/>
        </w:rPr>
        <w:t xml:space="preserve"> dans les affaires intérieures du Nicaragua</w:t>
      </w:r>
      <w:r>
        <w:rPr>
          <w:lang w:val="fr-FR"/>
        </w:rPr>
        <w:t xml:space="preserve"> et </w:t>
      </w:r>
      <w:r w:rsidRPr="009D6168">
        <w:rPr>
          <w:lang w:val="fr-FR"/>
        </w:rPr>
        <w:t>mena</w:t>
      </w:r>
      <w:r>
        <w:rPr>
          <w:lang w:val="fr-FR"/>
        </w:rPr>
        <w:t>ce</w:t>
      </w:r>
      <w:r w:rsidRPr="009D6168">
        <w:rPr>
          <w:lang w:val="fr-FR"/>
        </w:rPr>
        <w:t xml:space="preserve">nt </w:t>
      </w:r>
      <w:r>
        <w:rPr>
          <w:lang w:val="fr-FR"/>
        </w:rPr>
        <w:t>l’</w:t>
      </w:r>
      <w:r w:rsidRPr="009D6168">
        <w:rPr>
          <w:lang w:val="fr-FR"/>
        </w:rPr>
        <w:t xml:space="preserve">indépendance, </w:t>
      </w:r>
      <w:r>
        <w:rPr>
          <w:lang w:val="fr-FR"/>
        </w:rPr>
        <w:t>l’</w:t>
      </w:r>
      <w:r w:rsidRPr="009D6168">
        <w:rPr>
          <w:lang w:val="fr-FR"/>
        </w:rPr>
        <w:t xml:space="preserve">autodétermination, </w:t>
      </w:r>
      <w:r>
        <w:rPr>
          <w:lang w:val="fr-FR"/>
        </w:rPr>
        <w:t>l</w:t>
      </w:r>
      <w:r w:rsidRPr="009D6168">
        <w:rPr>
          <w:lang w:val="fr-FR"/>
        </w:rPr>
        <w:t xml:space="preserve">a souveraineté et </w:t>
      </w:r>
      <w:r>
        <w:rPr>
          <w:lang w:val="fr-FR"/>
        </w:rPr>
        <w:t>l</w:t>
      </w:r>
      <w:r w:rsidRPr="009D6168">
        <w:rPr>
          <w:lang w:val="fr-FR"/>
        </w:rPr>
        <w:t>a stabilité économique et politique</w:t>
      </w:r>
      <w:r>
        <w:rPr>
          <w:lang w:val="fr-FR"/>
        </w:rPr>
        <w:t xml:space="preserve"> du pays</w:t>
      </w:r>
      <w:r w:rsidRPr="009D6168">
        <w:rPr>
          <w:lang w:val="fr-FR"/>
        </w:rPr>
        <w:t>. Cette formulation vague pourrait être utilisée pour démanteler toute organisation jugée critique à l</w:t>
      </w:r>
      <w:r>
        <w:rPr>
          <w:lang w:val="fr-FR"/>
        </w:rPr>
        <w:t>’</w:t>
      </w:r>
      <w:r w:rsidRPr="009D6168">
        <w:rPr>
          <w:lang w:val="fr-FR"/>
        </w:rPr>
        <w:t>égard du Gouvernement. D</w:t>
      </w:r>
      <w:r>
        <w:rPr>
          <w:lang w:val="fr-FR"/>
        </w:rPr>
        <w:t>’</w:t>
      </w:r>
      <w:r w:rsidRPr="009D6168">
        <w:rPr>
          <w:lang w:val="fr-FR"/>
        </w:rPr>
        <w:t>autres aspects de la loi, notamment l</w:t>
      </w:r>
      <w:r>
        <w:rPr>
          <w:lang w:val="fr-FR"/>
        </w:rPr>
        <w:t>’</w:t>
      </w:r>
      <w:r w:rsidRPr="009D6168">
        <w:rPr>
          <w:lang w:val="fr-FR"/>
        </w:rPr>
        <w:t>enregistrement obligatoire des organisations et des personnes</w:t>
      </w:r>
      <w:r w:rsidRPr="009D6168">
        <w:rPr>
          <w:rStyle w:val="Appelnotedebasdep"/>
          <w:lang w:val="fr-FR"/>
        </w:rPr>
        <w:footnoteReference w:id="19"/>
      </w:r>
      <w:r w:rsidRPr="009D6168">
        <w:rPr>
          <w:lang w:val="fr-FR"/>
        </w:rPr>
        <w:t xml:space="preserve"> auprès du Ministère de l</w:t>
      </w:r>
      <w:r>
        <w:rPr>
          <w:lang w:val="fr-FR"/>
        </w:rPr>
        <w:t>’</w:t>
      </w:r>
      <w:r w:rsidRPr="009D6168">
        <w:rPr>
          <w:lang w:val="fr-FR"/>
        </w:rPr>
        <w:t xml:space="preserve">intérieur </w:t>
      </w:r>
      <w:r>
        <w:rPr>
          <w:lang w:val="fr-FR"/>
        </w:rPr>
        <w:t>aux fins de l’</w:t>
      </w:r>
      <w:r w:rsidRPr="009D6168">
        <w:rPr>
          <w:lang w:val="fr-FR"/>
        </w:rPr>
        <w:t>obten</w:t>
      </w:r>
      <w:r>
        <w:rPr>
          <w:lang w:val="fr-FR"/>
        </w:rPr>
        <w:t>tion</w:t>
      </w:r>
      <w:r w:rsidRPr="009D6168">
        <w:rPr>
          <w:lang w:val="fr-FR"/>
        </w:rPr>
        <w:t xml:space="preserve"> de fonds étrangers, l</w:t>
      </w:r>
      <w:r>
        <w:rPr>
          <w:lang w:val="fr-FR"/>
        </w:rPr>
        <w:t>’</w:t>
      </w:r>
      <w:r w:rsidRPr="009D6168">
        <w:rPr>
          <w:lang w:val="fr-FR"/>
        </w:rPr>
        <w:t>interdiction des dons anonymes et l</w:t>
      </w:r>
      <w:r>
        <w:rPr>
          <w:lang w:val="fr-FR"/>
        </w:rPr>
        <w:t>’</w:t>
      </w:r>
      <w:r w:rsidRPr="009D6168">
        <w:rPr>
          <w:lang w:val="fr-FR"/>
        </w:rPr>
        <w:t>obligation d</w:t>
      </w:r>
      <w:r>
        <w:rPr>
          <w:lang w:val="fr-FR"/>
        </w:rPr>
        <w:t>’</w:t>
      </w:r>
      <w:r w:rsidRPr="009D6168">
        <w:rPr>
          <w:lang w:val="fr-FR"/>
        </w:rPr>
        <w:t xml:space="preserve">informer les autorités en détail </w:t>
      </w:r>
      <w:r>
        <w:rPr>
          <w:lang w:val="fr-FR"/>
        </w:rPr>
        <w:t>de</w:t>
      </w:r>
      <w:r w:rsidRPr="009D6168">
        <w:rPr>
          <w:lang w:val="fr-FR"/>
        </w:rPr>
        <w:t xml:space="preserve"> tous les fonds obtenus sont contraires aux normes internationales </w:t>
      </w:r>
      <w:r>
        <w:rPr>
          <w:lang w:val="fr-FR"/>
        </w:rPr>
        <w:t>relatives aux</w:t>
      </w:r>
      <w:r w:rsidRPr="009D6168">
        <w:rPr>
          <w:lang w:val="fr-FR"/>
        </w:rPr>
        <w:t xml:space="preserve"> droits de l</w:t>
      </w:r>
      <w:r>
        <w:rPr>
          <w:lang w:val="fr-FR"/>
        </w:rPr>
        <w:t>’</w:t>
      </w:r>
      <w:r w:rsidRPr="009D6168">
        <w:rPr>
          <w:lang w:val="fr-FR"/>
        </w:rPr>
        <w:t>homme</w:t>
      </w:r>
      <w:r w:rsidRPr="009D6168">
        <w:rPr>
          <w:rStyle w:val="Appelnotedebasdep"/>
          <w:lang w:val="fr-FR"/>
        </w:rPr>
        <w:footnoteReference w:id="20"/>
      </w:r>
      <w:r w:rsidRPr="009D6168">
        <w:rPr>
          <w:lang w:val="fr-FR"/>
        </w:rPr>
        <w:t>.</w:t>
      </w:r>
    </w:p>
    <w:p w14:paraId="52DD6A47" w14:textId="233D30F4" w:rsidR="00225673" w:rsidRPr="009D6168" w:rsidRDefault="00225673" w:rsidP="002A1A4E">
      <w:pPr>
        <w:pStyle w:val="SingleTxtG"/>
        <w:rPr>
          <w:lang w:val="fr-FR"/>
        </w:rPr>
      </w:pPr>
      <w:r w:rsidRPr="009D6168">
        <w:rPr>
          <w:lang w:val="fr-FR"/>
        </w:rPr>
        <w:t>20.</w:t>
      </w:r>
      <w:r w:rsidRPr="009D6168">
        <w:rPr>
          <w:lang w:val="fr-FR"/>
        </w:rPr>
        <w:tab/>
        <w:t>Le HCDH s</w:t>
      </w:r>
      <w:r>
        <w:rPr>
          <w:lang w:val="fr-FR"/>
        </w:rPr>
        <w:t>’</w:t>
      </w:r>
      <w:r w:rsidRPr="009D6168">
        <w:rPr>
          <w:lang w:val="fr-FR"/>
        </w:rPr>
        <w:t>est dit préoccupé par la loi susmentionnée</w:t>
      </w:r>
      <w:r w:rsidRPr="009D6168">
        <w:rPr>
          <w:rStyle w:val="Appelnotedebasdep"/>
          <w:lang w:val="fr-FR"/>
        </w:rPr>
        <w:footnoteReference w:id="21"/>
      </w:r>
      <w:r w:rsidRPr="009D6168">
        <w:rPr>
          <w:lang w:val="fr-FR"/>
        </w:rPr>
        <w:t xml:space="preserve"> et a proposé une assistance technique pour la rendre conforme aux normes et règles internationales relatives aux droits de l</w:t>
      </w:r>
      <w:r>
        <w:rPr>
          <w:lang w:val="fr-FR"/>
        </w:rPr>
        <w:t>’</w:t>
      </w:r>
      <w:r w:rsidRPr="009D6168">
        <w:rPr>
          <w:lang w:val="fr-FR"/>
        </w:rPr>
        <w:t>homme, en vain. La Commission interaméricaine des droits de l</w:t>
      </w:r>
      <w:r>
        <w:rPr>
          <w:lang w:val="fr-FR"/>
        </w:rPr>
        <w:t>’</w:t>
      </w:r>
      <w:r w:rsidRPr="009D6168">
        <w:rPr>
          <w:lang w:val="fr-FR"/>
        </w:rPr>
        <w:t>homme</w:t>
      </w:r>
      <w:r w:rsidRPr="009D6168">
        <w:rPr>
          <w:rStyle w:val="Appelnotedebasdep"/>
          <w:lang w:val="fr-FR"/>
        </w:rPr>
        <w:footnoteReference w:id="22"/>
      </w:r>
      <w:r w:rsidRPr="009D6168">
        <w:rPr>
          <w:lang w:val="fr-FR"/>
        </w:rPr>
        <w:t>, l</w:t>
      </w:r>
      <w:r>
        <w:rPr>
          <w:lang w:val="fr-FR"/>
        </w:rPr>
        <w:t>’</w:t>
      </w:r>
      <w:r w:rsidRPr="009D6168">
        <w:rPr>
          <w:lang w:val="fr-FR"/>
        </w:rPr>
        <w:t>Union européenne</w:t>
      </w:r>
      <w:r w:rsidRPr="009D6168">
        <w:rPr>
          <w:rStyle w:val="Appelnotedebasdep"/>
          <w:lang w:val="fr-FR"/>
        </w:rPr>
        <w:footnoteReference w:id="23"/>
      </w:r>
      <w:r w:rsidRPr="009D6168">
        <w:rPr>
          <w:lang w:val="fr-FR"/>
        </w:rPr>
        <w:t xml:space="preserve"> et quatre titulaires de mandat au titre des procédures spéciales</w:t>
      </w:r>
      <w:r w:rsidRPr="009D6168">
        <w:rPr>
          <w:rStyle w:val="Appelnotedebasdep"/>
          <w:lang w:val="fr-FR"/>
        </w:rPr>
        <w:footnoteReference w:id="24"/>
      </w:r>
      <w:r w:rsidRPr="009D6168">
        <w:rPr>
          <w:lang w:val="fr-FR"/>
        </w:rPr>
        <w:t xml:space="preserve"> ont également jugé cette loi inquiétante. Le 13 novembre 2020, ces derniers et le Rapporteur spécial pour la </w:t>
      </w:r>
      <w:r w:rsidRPr="009D6168">
        <w:rPr>
          <w:lang w:val="fr-FR"/>
        </w:rPr>
        <w:lastRenderedPageBreak/>
        <w:t>liberté d</w:t>
      </w:r>
      <w:r>
        <w:rPr>
          <w:lang w:val="fr-FR"/>
        </w:rPr>
        <w:t>’</w:t>
      </w:r>
      <w:r w:rsidRPr="009D6168">
        <w:rPr>
          <w:lang w:val="fr-FR"/>
        </w:rPr>
        <w:t>expression de la Commission interaméricaine des droits de l</w:t>
      </w:r>
      <w:r>
        <w:rPr>
          <w:lang w:val="fr-FR"/>
        </w:rPr>
        <w:t>’</w:t>
      </w:r>
      <w:r w:rsidRPr="009D6168">
        <w:rPr>
          <w:lang w:val="fr-FR"/>
        </w:rPr>
        <w:t xml:space="preserve">homme ont adressé une communication conjointe au Gouvernement dans laquelle ils ont indiqué que cette loi présentait des problèmes de compatibilité graves et fondamentaux avec les obligations incombant au Nicaragua en vertu du droit international et ont exhorté celui-ci à la revoir et à ouvrir un </w:t>
      </w:r>
      <w:r>
        <w:rPr>
          <w:lang w:val="fr-FR"/>
        </w:rPr>
        <w:t>débat</w:t>
      </w:r>
      <w:r w:rsidRPr="009D6168">
        <w:rPr>
          <w:lang w:val="fr-FR"/>
        </w:rPr>
        <w:t xml:space="preserve"> public pour discuter de son contenu</w:t>
      </w:r>
      <w:r w:rsidRPr="009D6168">
        <w:rPr>
          <w:rStyle w:val="Appelnotedebasdep"/>
          <w:lang w:val="fr-FR"/>
        </w:rPr>
        <w:footnoteReference w:id="25"/>
      </w:r>
      <w:r w:rsidRPr="009D6168">
        <w:rPr>
          <w:lang w:val="fr-FR"/>
        </w:rPr>
        <w:t>.</w:t>
      </w:r>
    </w:p>
    <w:p w14:paraId="1343081A" w14:textId="751662B8" w:rsidR="00225673" w:rsidRPr="009D6168" w:rsidRDefault="00225673" w:rsidP="00DC20B6">
      <w:pPr>
        <w:pStyle w:val="HChG"/>
        <w:rPr>
          <w:lang w:val="fr-FR"/>
        </w:rPr>
      </w:pPr>
      <w:r w:rsidRPr="009D6168">
        <w:rPr>
          <w:lang w:val="fr-FR"/>
        </w:rPr>
        <w:tab/>
        <w:t>IV.</w:t>
      </w:r>
      <w:r w:rsidRPr="009D6168">
        <w:rPr>
          <w:lang w:val="fr-FR"/>
        </w:rPr>
        <w:tab/>
        <w:t xml:space="preserve">Restrictions </w:t>
      </w:r>
      <w:r>
        <w:rPr>
          <w:lang w:val="fr-FR"/>
        </w:rPr>
        <w:t>d</w:t>
      </w:r>
      <w:r w:rsidRPr="009D6168">
        <w:rPr>
          <w:lang w:val="fr-FR"/>
        </w:rPr>
        <w:t>u droit à la liberté d</w:t>
      </w:r>
      <w:r>
        <w:rPr>
          <w:lang w:val="fr-FR"/>
        </w:rPr>
        <w:t>’</w:t>
      </w:r>
      <w:r w:rsidRPr="009D6168">
        <w:rPr>
          <w:lang w:val="fr-FR"/>
        </w:rPr>
        <w:t>expression</w:t>
      </w:r>
    </w:p>
    <w:p w14:paraId="0D9A8CEA" w14:textId="22CF6486" w:rsidR="00225673" w:rsidRPr="009D6168" w:rsidRDefault="00225673" w:rsidP="002A1A4E">
      <w:pPr>
        <w:pStyle w:val="SingleTxtG"/>
        <w:rPr>
          <w:lang w:val="fr-FR"/>
        </w:rPr>
      </w:pPr>
      <w:r w:rsidRPr="009D6168">
        <w:rPr>
          <w:lang w:val="fr-FR"/>
        </w:rPr>
        <w:t>21.</w:t>
      </w:r>
      <w:r w:rsidRPr="009D6168">
        <w:rPr>
          <w:lang w:val="fr-FR"/>
        </w:rPr>
        <w:tab/>
        <w:t>En septembre 2019, à la quarante-deuxième session du Conseil des droits de l</w:t>
      </w:r>
      <w:r>
        <w:rPr>
          <w:lang w:val="fr-FR"/>
        </w:rPr>
        <w:t>’</w:t>
      </w:r>
      <w:r w:rsidRPr="009D6168">
        <w:rPr>
          <w:lang w:val="fr-FR"/>
        </w:rPr>
        <w:t>homme, le Gouvernement a indiqué qu</w:t>
      </w:r>
      <w:r>
        <w:rPr>
          <w:lang w:val="fr-FR"/>
        </w:rPr>
        <w:t>’</w:t>
      </w:r>
      <w:r w:rsidRPr="009D6168">
        <w:rPr>
          <w:lang w:val="fr-FR"/>
        </w:rPr>
        <w:t>au Nicaragua, la liberté d</w:t>
      </w:r>
      <w:r>
        <w:rPr>
          <w:lang w:val="fr-FR"/>
        </w:rPr>
        <w:t>’</w:t>
      </w:r>
      <w:r w:rsidRPr="009D6168">
        <w:rPr>
          <w:lang w:val="fr-FR"/>
        </w:rPr>
        <w:t>expression et d</w:t>
      </w:r>
      <w:r>
        <w:rPr>
          <w:lang w:val="fr-FR"/>
        </w:rPr>
        <w:t>’</w:t>
      </w:r>
      <w:r w:rsidRPr="009D6168">
        <w:rPr>
          <w:lang w:val="fr-FR"/>
        </w:rPr>
        <w:t>association était totale et que les journalistes exerçaient leur métier sans censure ni restriction</w:t>
      </w:r>
      <w:r w:rsidRPr="009D6168">
        <w:rPr>
          <w:rStyle w:val="Appelnotedebasdep"/>
          <w:spacing w:val="-2"/>
          <w:lang w:val="fr-FR"/>
        </w:rPr>
        <w:footnoteReference w:id="26"/>
      </w:r>
      <w:r w:rsidRPr="009D6168">
        <w:rPr>
          <w:lang w:val="fr-FR"/>
        </w:rPr>
        <w:t>. Pourtant, les campagnes d</w:t>
      </w:r>
      <w:r>
        <w:rPr>
          <w:lang w:val="fr-FR"/>
        </w:rPr>
        <w:t>’</w:t>
      </w:r>
      <w:r w:rsidRPr="009D6168">
        <w:rPr>
          <w:lang w:val="fr-FR"/>
        </w:rPr>
        <w:t>intimidation et de délégitimation des médias ont continué, les professionnels des médias indépendants étant qualifiés d</w:t>
      </w:r>
      <w:r>
        <w:rPr>
          <w:lang w:val="fr-FR"/>
        </w:rPr>
        <w:t>’</w:t>
      </w:r>
      <w:r w:rsidRPr="009D6168">
        <w:rPr>
          <w:lang w:val="fr-FR"/>
        </w:rPr>
        <w:t>« ennemis de la patrie ». Les autorités n</w:t>
      </w:r>
      <w:r>
        <w:rPr>
          <w:lang w:val="fr-FR"/>
        </w:rPr>
        <w:t>’</w:t>
      </w:r>
      <w:r w:rsidRPr="009D6168">
        <w:rPr>
          <w:lang w:val="fr-FR"/>
        </w:rPr>
        <w:t>ont pas pris de mesures pour prévenir les actes de harcèlement ou d</w:t>
      </w:r>
      <w:r>
        <w:rPr>
          <w:lang w:val="fr-FR"/>
        </w:rPr>
        <w:t>’</w:t>
      </w:r>
      <w:r w:rsidRPr="009D6168">
        <w:rPr>
          <w:lang w:val="fr-FR"/>
        </w:rPr>
        <w:t xml:space="preserve">intimidation contre des professionnels des médias, enquêter lorsque de tels actes </w:t>
      </w:r>
      <w:r>
        <w:rPr>
          <w:lang w:val="fr-FR"/>
        </w:rPr>
        <w:t>avaient</w:t>
      </w:r>
      <w:r w:rsidRPr="009D6168">
        <w:rPr>
          <w:lang w:val="fr-FR"/>
        </w:rPr>
        <w:t xml:space="preserve"> lieu,</w:t>
      </w:r>
      <w:r>
        <w:rPr>
          <w:lang w:val="fr-FR"/>
        </w:rPr>
        <w:t xml:space="preserve"> et</w:t>
      </w:r>
      <w:r w:rsidRPr="009D6168">
        <w:rPr>
          <w:lang w:val="fr-FR"/>
        </w:rPr>
        <w:t xml:space="preserve"> poursui</w:t>
      </w:r>
      <w:r>
        <w:rPr>
          <w:lang w:val="fr-FR"/>
        </w:rPr>
        <w:t>vre</w:t>
      </w:r>
      <w:r w:rsidRPr="009D6168">
        <w:rPr>
          <w:lang w:val="fr-FR"/>
        </w:rPr>
        <w:t xml:space="preserve"> leurs auteurs et les punir. Le HCDH a recensé </w:t>
      </w:r>
      <w:r>
        <w:rPr>
          <w:lang w:val="fr-FR"/>
        </w:rPr>
        <w:t>30</w:t>
      </w:r>
      <w:r w:rsidRPr="009D6168">
        <w:rPr>
          <w:lang w:val="fr-FR"/>
        </w:rPr>
        <w:t xml:space="preserve"> cas d</w:t>
      </w:r>
      <w:r>
        <w:rPr>
          <w:lang w:val="fr-FR"/>
        </w:rPr>
        <w:t>’</w:t>
      </w:r>
      <w:r w:rsidRPr="009D6168">
        <w:rPr>
          <w:lang w:val="fr-FR"/>
        </w:rPr>
        <w:t>intimidation, de menaces, de sanctions pénales et de campagnes de dénigrement visant des journalistes ou des professionnels des médias, et quatre cas d</w:t>
      </w:r>
      <w:r>
        <w:rPr>
          <w:lang w:val="fr-FR"/>
        </w:rPr>
        <w:t>’</w:t>
      </w:r>
      <w:r w:rsidRPr="009D6168">
        <w:rPr>
          <w:lang w:val="fr-FR"/>
        </w:rPr>
        <w:t>organes d</w:t>
      </w:r>
      <w:r>
        <w:rPr>
          <w:lang w:val="fr-FR"/>
        </w:rPr>
        <w:t>’</w:t>
      </w:r>
      <w:r w:rsidRPr="009D6168">
        <w:rPr>
          <w:lang w:val="fr-FR"/>
        </w:rPr>
        <w:t xml:space="preserve">information ayant subi des perquisitions, des destructions de matériel et des sanctions administratives pour avoir critiqué le Gouvernement. En outre, en septembre 2019, trois organes, dont </w:t>
      </w:r>
      <w:r w:rsidRPr="009D6168">
        <w:rPr>
          <w:i/>
          <w:iCs/>
          <w:lang w:val="fr-FR"/>
        </w:rPr>
        <w:t>El Nuevo Diario</w:t>
      </w:r>
      <w:r w:rsidRPr="009D6168">
        <w:rPr>
          <w:lang w:val="fr-FR"/>
        </w:rPr>
        <w:t xml:space="preserve">, deuxième journal </w:t>
      </w:r>
      <w:r>
        <w:rPr>
          <w:lang w:val="fr-FR"/>
        </w:rPr>
        <w:t>en termes de</w:t>
      </w:r>
      <w:r w:rsidRPr="009D6168">
        <w:rPr>
          <w:lang w:val="fr-FR"/>
        </w:rPr>
        <w:t xml:space="preserve"> tirage, ont cessé leurs activités, apparemment pour des raisons économiques, techniques et logistiques. Cette situation continue d</w:t>
      </w:r>
      <w:r>
        <w:rPr>
          <w:lang w:val="fr-FR"/>
        </w:rPr>
        <w:t>’</w:t>
      </w:r>
      <w:r w:rsidRPr="009D6168">
        <w:rPr>
          <w:lang w:val="fr-FR"/>
        </w:rPr>
        <w:t>entraver l</w:t>
      </w:r>
      <w:r>
        <w:rPr>
          <w:lang w:val="fr-FR"/>
        </w:rPr>
        <w:t>’</w:t>
      </w:r>
      <w:r w:rsidRPr="009D6168">
        <w:rPr>
          <w:lang w:val="fr-FR"/>
        </w:rPr>
        <w:t>exercice du droit à la liberté d</w:t>
      </w:r>
      <w:r>
        <w:rPr>
          <w:lang w:val="fr-FR"/>
        </w:rPr>
        <w:t>’</w:t>
      </w:r>
      <w:r w:rsidRPr="009D6168">
        <w:rPr>
          <w:lang w:val="fr-FR"/>
        </w:rPr>
        <w:t>expression</w:t>
      </w:r>
      <w:r>
        <w:rPr>
          <w:lang w:val="fr-FR"/>
        </w:rPr>
        <w:t>.</w:t>
      </w:r>
    </w:p>
    <w:p w14:paraId="7D1C9AB6" w14:textId="654D5869" w:rsidR="00225673" w:rsidRPr="009D6168" w:rsidRDefault="00225673" w:rsidP="002A1A4E">
      <w:pPr>
        <w:pStyle w:val="SingleTxtG"/>
        <w:rPr>
          <w:lang w:val="fr-FR"/>
        </w:rPr>
      </w:pPr>
      <w:r w:rsidRPr="009D6168">
        <w:rPr>
          <w:lang w:val="fr-FR"/>
        </w:rPr>
        <w:t>22.</w:t>
      </w:r>
      <w:r w:rsidRPr="009D6168">
        <w:rPr>
          <w:lang w:val="fr-FR"/>
        </w:rPr>
        <w:tab/>
        <w:t>Le 26 août 2019, quatre titulaires de mandat au titre des procédures spéciales du Conseil des droits de l</w:t>
      </w:r>
      <w:r>
        <w:rPr>
          <w:lang w:val="fr-FR"/>
        </w:rPr>
        <w:t>’</w:t>
      </w:r>
      <w:r w:rsidRPr="009D6168">
        <w:rPr>
          <w:lang w:val="fr-FR"/>
        </w:rPr>
        <w:t>homme et le Rapporteur spécial pour la liberté d</w:t>
      </w:r>
      <w:r>
        <w:rPr>
          <w:lang w:val="fr-FR"/>
        </w:rPr>
        <w:t>’</w:t>
      </w:r>
      <w:r w:rsidRPr="009D6168">
        <w:rPr>
          <w:lang w:val="fr-FR"/>
        </w:rPr>
        <w:t>expression de la Commission interaméricaine des droits de l</w:t>
      </w:r>
      <w:r>
        <w:rPr>
          <w:lang w:val="fr-FR"/>
        </w:rPr>
        <w:t>’</w:t>
      </w:r>
      <w:r w:rsidRPr="009D6168">
        <w:rPr>
          <w:lang w:val="fr-FR"/>
        </w:rPr>
        <w:t>homme ont déclaré qu</w:t>
      </w:r>
      <w:r>
        <w:rPr>
          <w:lang w:val="fr-FR"/>
        </w:rPr>
        <w:t>’</w:t>
      </w:r>
      <w:r w:rsidRPr="009D6168">
        <w:rPr>
          <w:lang w:val="fr-FR"/>
        </w:rPr>
        <w:t>il semblait y avoir une répression systématique et persistante des médias, des journalistes étant réduits au silence, agressés et menacés de mort</w:t>
      </w:r>
      <w:r w:rsidRPr="009D6168">
        <w:rPr>
          <w:rStyle w:val="Appelnotedebasdep"/>
          <w:lang w:val="fr-FR"/>
        </w:rPr>
        <w:footnoteReference w:id="27"/>
      </w:r>
      <w:r w:rsidRPr="009D6168">
        <w:rPr>
          <w:lang w:val="fr-FR"/>
        </w:rPr>
        <w:t xml:space="preserve">. Dans un avis adopté le 20 juillet 2020, le Groupe de travail sur la détention arbitraire a conclu que Miguel Mora et Lucía Pineda, journalistes travaillant pour </w:t>
      </w:r>
      <w:r w:rsidRPr="009D6168">
        <w:rPr>
          <w:i/>
          <w:iCs/>
          <w:lang w:val="fr-FR"/>
        </w:rPr>
        <w:t>100% Noticias</w:t>
      </w:r>
      <w:r w:rsidRPr="009D6168">
        <w:rPr>
          <w:lang w:val="fr-FR"/>
        </w:rPr>
        <w:t>, chaîne de télévision indépendante, qui avaient été détenus du 21</w:t>
      </w:r>
      <w:r w:rsidR="00DC20B6">
        <w:rPr>
          <w:lang w:val="fr-FR"/>
        </w:rPr>
        <w:t> </w:t>
      </w:r>
      <w:r w:rsidRPr="009D6168">
        <w:rPr>
          <w:lang w:val="fr-FR"/>
        </w:rPr>
        <w:t>décembre 2018 au 11 juin 2019</w:t>
      </w:r>
      <w:r w:rsidRPr="009D6168">
        <w:rPr>
          <w:rStyle w:val="Appelnotedebasdep"/>
          <w:lang w:val="fr-FR"/>
        </w:rPr>
        <w:footnoteReference w:id="28"/>
      </w:r>
      <w:r w:rsidRPr="009D6168">
        <w:rPr>
          <w:lang w:val="fr-FR"/>
        </w:rPr>
        <w:t>, avaient fait l</w:t>
      </w:r>
      <w:r>
        <w:rPr>
          <w:lang w:val="fr-FR"/>
        </w:rPr>
        <w:t>’</w:t>
      </w:r>
      <w:r w:rsidRPr="009D6168">
        <w:rPr>
          <w:lang w:val="fr-FR"/>
        </w:rPr>
        <w:t>objet d</w:t>
      </w:r>
      <w:r>
        <w:rPr>
          <w:lang w:val="fr-FR"/>
        </w:rPr>
        <w:t>’</w:t>
      </w:r>
      <w:r w:rsidRPr="009D6168">
        <w:rPr>
          <w:lang w:val="fr-FR"/>
        </w:rPr>
        <w:t>une détention arbitraire et que leurs droits à la liberté, à la liberté d</w:t>
      </w:r>
      <w:r>
        <w:rPr>
          <w:lang w:val="fr-FR"/>
        </w:rPr>
        <w:t>’</w:t>
      </w:r>
      <w:r w:rsidRPr="009D6168">
        <w:rPr>
          <w:lang w:val="fr-FR"/>
        </w:rPr>
        <w:t>expression et aux garanties d</w:t>
      </w:r>
      <w:r>
        <w:rPr>
          <w:lang w:val="fr-FR"/>
        </w:rPr>
        <w:t>’</w:t>
      </w:r>
      <w:r w:rsidRPr="009D6168">
        <w:rPr>
          <w:lang w:val="fr-FR"/>
        </w:rPr>
        <w:t>une procédure régulière avaient été violés</w:t>
      </w:r>
      <w:r w:rsidRPr="009D6168">
        <w:rPr>
          <w:rStyle w:val="Appelnotedebasdep"/>
          <w:lang w:val="fr-FR"/>
        </w:rPr>
        <w:footnoteReference w:id="29"/>
      </w:r>
      <w:r w:rsidRPr="009D6168">
        <w:rPr>
          <w:lang w:val="fr-FR"/>
        </w:rPr>
        <w:t xml:space="preserve">. Leur chaîne, considérée par les autorités comme un </w:t>
      </w:r>
      <w:r>
        <w:rPr>
          <w:lang w:val="fr-FR"/>
        </w:rPr>
        <w:t>« </w:t>
      </w:r>
      <w:r w:rsidRPr="009D6168">
        <w:rPr>
          <w:lang w:val="fr-FR"/>
        </w:rPr>
        <w:t xml:space="preserve">instrument </w:t>
      </w:r>
      <w:r>
        <w:rPr>
          <w:lang w:val="fr-FR"/>
        </w:rPr>
        <w:t xml:space="preserve">au service de </w:t>
      </w:r>
      <w:r w:rsidRPr="009D6168">
        <w:rPr>
          <w:lang w:val="fr-FR"/>
        </w:rPr>
        <w:t>la commission d</w:t>
      </w:r>
      <w:r>
        <w:rPr>
          <w:lang w:val="fr-FR"/>
        </w:rPr>
        <w:t>’</w:t>
      </w:r>
      <w:r w:rsidRPr="009D6168">
        <w:rPr>
          <w:lang w:val="fr-FR"/>
        </w:rPr>
        <w:t>infractions », fait toujours l</w:t>
      </w:r>
      <w:r>
        <w:rPr>
          <w:lang w:val="fr-FR"/>
        </w:rPr>
        <w:t>’</w:t>
      </w:r>
      <w:r w:rsidRPr="009D6168">
        <w:rPr>
          <w:lang w:val="fr-FR"/>
        </w:rPr>
        <w:t>objet d</w:t>
      </w:r>
      <w:r>
        <w:rPr>
          <w:lang w:val="fr-FR"/>
        </w:rPr>
        <w:t>’</w:t>
      </w:r>
      <w:r w:rsidRPr="009D6168">
        <w:rPr>
          <w:lang w:val="fr-FR"/>
        </w:rPr>
        <w:t>une saisie</w:t>
      </w:r>
      <w:r w:rsidRPr="009D6168">
        <w:rPr>
          <w:rStyle w:val="Appelnotedebasdep"/>
          <w:lang w:val="fr-FR"/>
        </w:rPr>
        <w:footnoteReference w:id="30"/>
      </w:r>
      <w:r w:rsidRPr="009D6168">
        <w:rPr>
          <w:lang w:val="fr-FR"/>
        </w:rPr>
        <w:t>.</w:t>
      </w:r>
    </w:p>
    <w:p w14:paraId="4D6830AD" w14:textId="00B4F395" w:rsidR="00225673" w:rsidRPr="009D6168" w:rsidRDefault="00225673" w:rsidP="002A1A4E">
      <w:pPr>
        <w:pStyle w:val="SingleTxtG"/>
        <w:rPr>
          <w:lang w:val="fr-FR"/>
        </w:rPr>
      </w:pPr>
      <w:r w:rsidRPr="009D6168">
        <w:rPr>
          <w:lang w:val="fr-FR"/>
        </w:rPr>
        <w:t>23.</w:t>
      </w:r>
      <w:r w:rsidRPr="009D6168">
        <w:rPr>
          <w:lang w:val="fr-FR"/>
        </w:rPr>
        <w:tab/>
        <w:t>Dans certains cas, les autorités ont publiquement dénoncé ceux qui remettaient en cause l</w:t>
      </w:r>
      <w:r>
        <w:rPr>
          <w:lang w:val="fr-FR"/>
        </w:rPr>
        <w:t xml:space="preserve">es mesures prises par </w:t>
      </w:r>
      <w:r w:rsidRPr="009D6168">
        <w:rPr>
          <w:lang w:val="fr-FR"/>
        </w:rPr>
        <w:t>l</w:t>
      </w:r>
      <w:r>
        <w:rPr>
          <w:lang w:val="fr-FR"/>
        </w:rPr>
        <w:t>’</w:t>
      </w:r>
      <w:r w:rsidRPr="009D6168">
        <w:rPr>
          <w:lang w:val="fr-FR"/>
        </w:rPr>
        <w:t xml:space="preserve">État </w:t>
      </w:r>
      <w:r>
        <w:rPr>
          <w:lang w:val="fr-FR"/>
        </w:rPr>
        <w:t xml:space="preserve">face </w:t>
      </w:r>
      <w:r w:rsidRPr="009D6168">
        <w:rPr>
          <w:lang w:val="fr-FR"/>
        </w:rPr>
        <w:t xml:space="preserve">à la pandémie de COVID-19, les </w:t>
      </w:r>
      <w:r>
        <w:rPr>
          <w:lang w:val="fr-FR"/>
        </w:rPr>
        <w:t>taxant de</w:t>
      </w:r>
      <w:r w:rsidRPr="009D6168">
        <w:rPr>
          <w:lang w:val="fr-FR"/>
        </w:rPr>
        <w:t xml:space="preserve"> traîtres, de terroristes ou de putschistes</w:t>
      </w:r>
      <w:r w:rsidRPr="009D6168">
        <w:rPr>
          <w:rStyle w:val="Appelnotedebasdep"/>
          <w:lang w:val="fr-FR"/>
        </w:rPr>
        <w:footnoteReference w:id="31"/>
      </w:r>
      <w:r w:rsidRPr="009D6168">
        <w:rPr>
          <w:lang w:val="fr-FR"/>
        </w:rPr>
        <w:t>. Dans un livre blanc publié le 25 mai 2020, le Gouvernement a accusé l</w:t>
      </w:r>
      <w:r>
        <w:rPr>
          <w:lang w:val="fr-FR"/>
        </w:rPr>
        <w:t>’</w:t>
      </w:r>
      <w:r w:rsidRPr="009D6168">
        <w:rPr>
          <w:lang w:val="fr-FR"/>
        </w:rPr>
        <w:t>opposition de préparer un coup d</w:t>
      </w:r>
      <w:r>
        <w:rPr>
          <w:lang w:val="fr-FR"/>
        </w:rPr>
        <w:t>’</w:t>
      </w:r>
      <w:r w:rsidRPr="009D6168">
        <w:rPr>
          <w:lang w:val="fr-FR"/>
        </w:rPr>
        <w:t>État et de mener une campagne de désinformation massive dans le contexte de la pandémie</w:t>
      </w:r>
      <w:r w:rsidRPr="009D6168">
        <w:rPr>
          <w:rStyle w:val="Appelnotedebasdep"/>
          <w:lang w:val="fr-FR"/>
        </w:rPr>
        <w:footnoteReference w:id="32"/>
      </w:r>
      <w:r w:rsidRPr="009D6168">
        <w:rPr>
          <w:lang w:val="fr-FR"/>
        </w:rPr>
        <w:t>. Le HCDH a constaté qu</w:t>
      </w:r>
      <w:r>
        <w:rPr>
          <w:lang w:val="fr-FR"/>
        </w:rPr>
        <w:t>’</w:t>
      </w:r>
      <w:r w:rsidRPr="009D6168">
        <w:rPr>
          <w:lang w:val="fr-FR"/>
        </w:rPr>
        <w:t>au moins 16</w:t>
      </w:r>
      <w:r w:rsidR="00DC20B6">
        <w:rPr>
          <w:lang w:val="fr-FR"/>
        </w:rPr>
        <w:t> </w:t>
      </w:r>
      <w:r w:rsidRPr="009D6168">
        <w:rPr>
          <w:lang w:val="fr-FR"/>
        </w:rPr>
        <w:t>médecins (8 hommes et 8 femmes) qui avaient critiqué la riposte de l</w:t>
      </w:r>
      <w:r>
        <w:rPr>
          <w:lang w:val="fr-FR"/>
        </w:rPr>
        <w:t>’</w:t>
      </w:r>
      <w:r w:rsidRPr="009D6168">
        <w:rPr>
          <w:lang w:val="fr-FR"/>
        </w:rPr>
        <w:t>État</w:t>
      </w:r>
      <w:r>
        <w:rPr>
          <w:lang w:val="fr-FR"/>
        </w:rPr>
        <w:t xml:space="preserve"> face</w:t>
      </w:r>
      <w:r w:rsidRPr="009D6168">
        <w:rPr>
          <w:lang w:val="fr-FR"/>
        </w:rPr>
        <w:t xml:space="preserve"> à la pandémie de COVID-19 </w:t>
      </w:r>
      <w:r>
        <w:rPr>
          <w:lang w:val="fr-FR"/>
        </w:rPr>
        <w:t>avaient</w:t>
      </w:r>
      <w:r w:rsidRPr="009D6168">
        <w:rPr>
          <w:lang w:val="fr-FR"/>
        </w:rPr>
        <w:t xml:space="preserve"> été licenciés, sans respect des procédures légales applicables.</w:t>
      </w:r>
    </w:p>
    <w:p w14:paraId="312040BA" w14:textId="1D3B3CB0" w:rsidR="00225673" w:rsidRPr="009D6168" w:rsidRDefault="00225673" w:rsidP="002A1A4E">
      <w:pPr>
        <w:pStyle w:val="SingleTxtG"/>
        <w:rPr>
          <w:lang w:val="fr-FR"/>
        </w:rPr>
      </w:pPr>
      <w:r w:rsidRPr="009D6168">
        <w:rPr>
          <w:lang w:val="fr-FR"/>
        </w:rPr>
        <w:t>24.</w:t>
      </w:r>
      <w:r w:rsidRPr="009D6168">
        <w:rPr>
          <w:lang w:val="fr-FR"/>
        </w:rPr>
        <w:tab/>
      </w:r>
      <w:r w:rsidRPr="005B7518">
        <w:rPr>
          <w:lang w:val="fr-FR"/>
        </w:rPr>
        <w:t>Le HCDH</w:t>
      </w:r>
      <w:r w:rsidRPr="009D6168">
        <w:rPr>
          <w:lang w:val="fr-FR"/>
        </w:rPr>
        <w:t xml:space="preserve"> se dit également préoccupé par la loi spéciale </w:t>
      </w:r>
      <w:r>
        <w:rPr>
          <w:lang w:val="fr-FR"/>
        </w:rPr>
        <w:t>n</w:t>
      </w:r>
      <w:r w:rsidRPr="00D96E11">
        <w:rPr>
          <w:vertAlign w:val="superscript"/>
          <w:lang w:val="fr-FR"/>
        </w:rPr>
        <w:t>o</w:t>
      </w:r>
      <w:r>
        <w:rPr>
          <w:lang w:val="fr-FR"/>
        </w:rPr>
        <w:t xml:space="preserve"> </w:t>
      </w:r>
      <w:r w:rsidRPr="009D6168">
        <w:rPr>
          <w:lang w:val="fr-FR"/>
        </w:rPr>
        <w:t xml:space="preserve">1042 sur la cybercriminalité </w:t>
      </w:r>
      <w:r>
        <w:rPr>
          <w:lang w:val="fr-FR"/>
        </w:rPr>
        <w:t>votée</w:t>
      </w:r>
      <w:r w:rsidRPr="009D6168">
        <w:rPr>
          <w:lang w:val="fr-FR"/>
        </w:rPr>
        <w:t xml:space="preserve"> le 27 octobre 2020 par l</w:t>
      </w:r>
      <w:r>
        <w:rPr>
          <w:lang w:val="fr-FR"/>
        </w:rPr>
        <w:t>’</w:t>
      </w:r>
      <w:r w:rsidRPr="009D6168">
        <w:rPr>
          <w:lang w:val="fr-FR"/>
        </w:rPr>
        <w:t xml:space="preserve">Assemblée nationale pour </w:t>
      </w:r>
      <w:r>
        <w:rPr>
          <w:lang w:val="fr-FR"/>
        </w:rPr>
        <w:t>empêcher que d</w:t>
      </w:r>
      <w:r w:rsidRPr="009D6168">
        <w:rPr>
          <w:lang w:val="fr-FR"/>
        </w:rPr>
        <w:t xml:space="preserve">es infractions </w:t>
      </w:r>
      <w:r>
        <w:rPr>
          <w:lang w:val="fr-FR"/>
        </w:rPr>
        <w:t xml:space="preserve">ne soient </w:t>
      </w:r>
      <w:r w:rsidRPr="009D6168">
        <w:rPr>
          <w:lang w:val="fr-FR"/>
        </w:rPr>
        <w:t>commises au moyen des technologies de l</w:t>
      </w:r>
      <w:r>
        <w:rPr>
          <w:lang w:val="fr-FR"/>
        </w:rPr>
        <w:t>’</w:t>
      </w:r>
      <w:r w:rsidRPr="009D6168">
        <w:rPr>
          <w:lang w:val="fr-FR"/>
        </w:rPr>
        <w:t xml:space="preserve">information et de la </w:t>
      </w:r>
      <w:r w:rsidRPr="009D6168">
        <w:rPr>
          <w:lang w:val="fr-FR"/>
        </w:rPr>
        <w:lastRenderedPageBreak/>
        <w:t xml:space="preserve">communication, enquêter </w:t>
      </w:r>
      <w:r>
        <w:rPr>
          <w:lang w:val="fr-FR"/>
        </w:rPr>
        <w:t>lorsque de t</w:t>
      </w:r>
      <w:r w:rsidRPr="009D6168">
        <w:rPr>
          <w:lang w:val="fr-FR"/>
        </w:rPr>
        <w:t xml:space="preserve">els </w:t>
      </w:r>
      <w:r>
        <w:rPr>
          <w:lang w:val="fr-FR"/>
        </w:rPr>
        <w:t>actes sont commis</w:t>
      </w:r>
      <w:r w:rsidRPr="009D6168">
        <w:rPr>
          <w:lang w:val="fr-FR"/>
        </w:rPr>
        <w:t>, et poursuivre et punir leurs auteurs. Dans une communication conjointe adressée au Nicaragua, quatre titulaires de mandat au titre des procédures spéciales du Conseil des droits de l</w:t>
      </w:r>
      <w:r>
        <w:rPr>
          <w:lang w:val="fr-FR"/>
        </w:rPr>
        <w:t>’</w:t>
      </w:r>
      <w:r w:rsidRPr="009D6168">
        <w:rPr>
          <w:lang w:val="fr-FR"/>
        </w:rPr>
        <w:t>homme et le Rapporteur spécial pour la liberté d</w:t>
      </w:r>
      <w:r>
        <w:rPr>
          <w:lang w:val="fr-FR"/>
        </w:rPr>
        <w:t>’</w:t>
      </w:r>
      <w:r w:rsidRPr="009D6168">
        <w:rPr>
          <w:lang w:val="fr-FR"/>
        </w:rPr>
        <w:t>expression de la Commission interaméricaine des droits de l</w:t>
      </w:r>
      <w:r>
        <w:rPr>
          <w:lang w:val="fr-FR"/>
        </w:rPr>
        <w:t>’</w:t>
      </w:r>
      <w:r w:rsidRPr="009D6168">
        <w:rPr>
          <w:lang w:val="fr-FR"/>
        </w:rPr>
        <w:t>homme ont déclaré que, si le droit international faisait obligation aux États d</w:t>
      </w:r>
      <w:r>
        <w:rPr>
          <w:lang w:val="fr-FR"/>
        </w:rPr>
        <w:t>’</w:t>
      </w:r>
      <w:r w:rsidRPr="009D6168">
        <w:rPr>
          <w:lang w:val="fr-FR"/>
        </w:rPr>
        <w:t>interdire par la loi tout appel à la haine constituant une incitation à la discrimination, à l</w:t>
      </w:r>
      <w:r>
        <w:rPr>
          <w:lang w:val="fr-FR"/>
        </w:rPr>
        <w:t>’</w:t>
      </w:r>
      <w:r w:rsidRPr="009D6168">
        <w:rPr>
          <w:lang w:val="fr-FR"/>
        </w:rPr>
        <w:t>hostilité ou à la violence, la loi spéciale allait bien au-delà de ce type d</w:t>
      </w:r>
      <w:r>
        <w:rPr>
          <w:lang w:val="fr-FR"/>
        </w:rPr>
        <w:t>’</w:t>
      </w:r>
      <w:r w:rsidRPr="009D6168">
        <w:rPr>
          <w:lang w:val="fr-FR"/>
        </w:rPr>
        <w:t>interdiction et réprimait pénalement des actes qui pouvaient relever de l</w:t>
      </w:r>
      <w:r>
        <w:rPr>
          <w:lang w:val="fr-FR"/>
        </w:rPr>
        <w:t>’</w:t>
      </w:r>
      <w:r w:rsidRPr="009D6168">
        <w:rPr>
          <w:lang w:val="fr-FR"/>
        </w:rPr>
        <w:t>exercice de la liberté d</w:t>
      </w:r>
      <w:r>
        <w:rPr>
          <w:lang w:val="fr-FR"/>
        </w:rPr>
        <w:t>’</w:t>
      </w:r>
      <w:r w:rsidRPr="009D6168">
        <w:rPr>
          <w:lang w:val="fr-FR"/>
        </w:rPr>
        <w:t>expression</w:t>
      </w:r>
      <w:r w:rsidRPr="009D6168">
        <w:rPr>
          <w:rStyle w:val="Appelnotedebasdep"/>
          <w:lang w:val="fr-FR"/>
        </w:rPr>
        <w:footnoteReference w:id="33"/>
      </w:r>
      <w:r w:rsidRPr="009D6168">
        <w:rPr>
          <w:lang w:val="fr-FR"/>
        </w:rPr>
        <w:t>.</w:t>
      </w:r>
    </w:p>
    <w:p w14:paraId="3D5FFE48" w14:textId="1C9905C4" w:rsidR="00225673" w:rsidRPr="009D6168" w:rsidRDefault="00225673" w:rsidP="002A1A4E">
      <w:pPr>
        <w:pStyle w:val="SingleTxtG"/>
        <w:rPr>
          <w:lang w:val="fr-FR"/>
        </w:rPr>
      </w:pPr>
      <w:r w:rsidRPr="009D6168">
        <w:rPr>
          <w:lang w:val="fr-FR"/>
        </w:rPr>
        <w:t>25.</w:t>
      </w:r>
      <w:r w:rsidRPr="009D6168">
        <w:rPr>
          <w:lang w:val="fr-FR"/>
        </w:rPr>
        <w:tab/>
        <w:t>En outre, la proposition du Président du Nicaragua</w:t>
      </w:r>
      <w:r w:rsidRPr="009D6168">
        <w:rPr>
          <w:rStyle w:val="Appelnotedebasdep"/>
          <w:lang w:val="fr-FR"/>
        </w:rPr>
        <w:footnoteReference w:id="34"/>
      </w:r>
      <w:r w:rsidRPr="009D6168">
        <w:rPr>
          <w:lang w:val="fr-FR"/>
        </w:rPr>
        <w:t xml:space="preserve"> de réformer l</w:t>
      </w:r>
      <w:r>
        <w:rPr>
          <w:lang w:val="fr-FR"/>
        </w:rPr>
        <w:t>’</w:t>
      </w:r>
      <w:r w:rsidRPr="009D6168">
        <w:rPr>
          <w:lang w:val="fr-FR"/>
        </w:rPr>
        <w:t>article 37 de la Constitution afin de punir les crimes motivés par la haine de la réclusion criminelle à perpétuité et non plus, comme actuellement, d</w:t>
      </w:r>
      <w:r>
        <w:rPr>
          <w:lang w:val="fr-FR"/>
        </w:rPr>
        <w:t>’</w:t>
      </w:r>
      <w:r w:rsidRPr="009D6168">
        <w:rPr>
          <w:lang w:val="fr-FR"/>
        </w:rPr>
        <w:t xml:space="preserve">une peine maximale de </w:t>
      </w:r>
      <w:r w:rsidR="002A1A4E">
        <w:rPr>
          <w:lang w:val="fr-FR"/>
        </w:rPr>
        <w:t>trente</w:t>
      </w:r>
      <w:r w:rsidRPr="009D6168">
        <w:rPr>
          <w:lang w:val="fr-FR"/>
        </w:rPr>
        <w:t xml:space="preserve"> an</w:t>
      </w:r>
      <w:r>
        <w:rPr>
          <w:lang w:val="fr-FR"/>
        </w:rPr>
        <w:t>née</w:t>
      </w:r>
      <w:r w:rsidRPr="009D6168">
        <w:rPr>
          <w:lang w:val="fr-FR"/>
        </w:rPr>
        <w:t>s d</w:t>
      </w:r>
      <w:r>
        <w:rPr>
          <w:lang w:val="fr-FR"/>
        </w:rPr>
        <w:t>’</w:t>
      </w:r>
      <w:r w:rsidRPr="009D6168">
        <w:rPr>
          <w:lang w:val="fr-FR"/>
        </w:rPr>
        <w:t>emprisonnement suscite des inquiétudes. Compte tenu des tendances observées depuis les manifestations de 2018, le risque existe qu</w:t>
      </w:r>
      <w:r>
        <w:rPr>
          <w:lang w:val="fr-FR"/>
        </w:rPr>
        <w:t>’</w:t>
      </w:r>
      <w:r w:rsidRPr="009D6168">
        <w:rPr>
          <w:lang w:val="fr-FR"/>
        </w:rPr>
        <w:t xml:space="preserve">une telle réforme puisse servir à réprimer, de manière sélective, </w:t>
      </w:r>
      <w:r>
        <w:rPr>
          <w:lang w:val="fr-FR"/>
        </w:rPr>
        <w:t>les dissidents</w:t>
      </w:r>
      <w:r w:rsidRPr="009D6168">
        <w:rPr>
          <w:lang w:val="fr-FR"/>
        </w:rPr>
        <w:t>. Le 10 novembre 2020, l</w:t>
      </w:r>
      <w:r>
        <w:rPr>
          <w:lang w:val="fr-FR"/>
        </w:rPr>
        <w:t>’</w:t>
      </w:r>
      <w:r w:rsidRPr="009D6168">
        <w:rPr>
          <w:lang w:val="fr-FR"/>
        </w:rPr>
        <w:t>Assemblée nationale a approuvé la proposition lors d</w:t>
      </w:r>
      <w:r>
        <w:rPr>
          <w:lang w:val="fr-FR"/>
        </w:rPr>
        <w:t>’</w:t>
      </w:r>
      <w:r w:rsidRPr="009D6168">
        <w:rPr>
          <w:lang w:val="fr-FR"/>
        </w:rPr>
        <w:t>une première session. Elle devrait l</w:t>
      </w:r>
      <w:r>
        <w:rPr>
          <w:lang w:val="fr-FR"/>
        </w:rPr>
        <w:t>’</w:t>
      </w:r>
      <w:r w:rsidRPr="009D6168">
        <w:rPr>
          <w:lang w:val="fr-FR"/>
        </w:rPr>
        <w:t>adopter au début de 2021</w:t>
      </w:r>
      <w:r w:rsidRPr="009D6168">
        <w:rPr>
          <w:rStyle w:val="Appelnotedebasdep"/>
          <w:lang w:val="fr-FR"/>
        </w:rPr>
        <w:footnoteReference w:id="35"/>
      </w:r>
      <w:r w:rsidRPr="009D6168">
        <w:rPr>
          <w:lang w:val="fr-FR"/>
        </w:rPr>
        <w:t>.</w:t>
      </w:r>
    </w:p>
    <w:p w14:paraId="26AADA69" w14:textId="77777777" w:rsidR="00225673" w:rsidRPr="009D6168" w:rsidRDefault="00225673" w:rsidP="002A1A4E">
      <w:pPr>
        <w:pStyle w:val="HChG"/>
        <w:rPr>
          <w:lang w:val="fr-FR"/>
        </w:rPr>
      </w:pPr>
      <w:r w:rsidRPr="009D6168">
        <w:rPr>
          <w:lang w:val="fr-FR"/>
        </w:rPr>
        <w:tab/>
        <w:t>V.</w:t>
      </w:r>
      <w:r w:rsidRPr="009D6168">
        <w:rPr>
          <w:lang w:val="fr-FR"/>
        </w:rPr>
        <w:tab/>
        <w:t>Droit à la participation</w:t>
      </w:r>
    </w:p>
    <w:p w14:paraId="0389C836" w14:textId="42114658" w:rsidR="00225673" w:rsidRPr="009D6168" w:rsidRDefault="00225673" w:rsidP="002A1A4E">
      <w:pPr>
        <w:pStyle w:val="SingleTxtG"/>
        <w:rPr>
          <w:lang w:val="fr-FR"/>
        </w:rPr>
      </w:pPr>
      <w:r w:rsidRPr="009D6168">
        <w:rPr>
          <w:lang w:val="fr-FR"/>
        </w:rPr>
        <w:t>26.</w:t>
      </w:r>
      <w:r w:rsidRPr="009D6168">
        <w:rPr>
          <w:lang w:val="fr-FR"/>
        </w:rPr>
        <w:tab/>
        <w:t>Dans son rapport de 2019 au Conseil des droits de l</w:t>
      </w:r>
      <w:r>
        <w:rPr>
          <w:lang w:val="fr-FR"/>
        </w:rPr>
        <w:t>’</w:t>
      </w:r>
      <w:r w:rsidRPr="009D6168">
        <w:rPr>
          <w:lang w:val="fr-FR"/>
        </w:rPr>
        <w:t xml:space="preserve">homme et dans trois comptes rendus oraux présentés </w:t>
      </w:r>
      <w:r>
        <w:rPr>
          <w:lang w:val="fr-FR"/>
        </w:rPr>
        <w:t>ensuite</w:t>
      </w:r>
      <w:r w:rsidRPr="009D6168">
        <w:rPr>
          <w:lang w:val="fr-FR"/>
        </w:rPr>
        <w:t xml:space="preserve"> en 2020, la Haute-Commissaire a recommandé au Nicaragua de veiller rapidement à la mise en œuvre des réformes électorales et institutionnelles destinées à garantir des élections justes et transparentes</w:t>
      </w:r>
      <w:r w:rsidRPr="009D6168">
        <w:rPr>
          <w:rStyle w:val="Appelnotedebasdep"/>
          <w:lang w:val="fr-FR"/>
        </w:rPr>
        <w:footnoteReference w:id="36"/>
      </w:r>
      <w:r w:rsidRPr="009D6168">
        <w:rPr>
          <w:lang w:val="fr-FR"/>
        </w:rPr>
        <w:t xml:space="preserve">. </w:t>
      </w:r>
      <w:r>
        <w:rPr>
          <w:lang w:val="fr-FR"/>
        </w:rPr>
        <w:t>Bien que le</w:t>
      </w:r>
      <w:r w:rsidRPr="009D6168">
        <w:rPr>
          <w:lang w:val="fr-FR"/>
        </w:rPr>
        <w:t xml:space="preserve"> Gouvernement</w:t>
      </w:r>
      <w:r>
        <w:rPr>
          <w:lang w:val="fr-FR"/>
        </w:rPr>
        <w:t xml:space="preserve"> ait annoncé</w:t>
      </w:r>
      <w:r w:rsidRPr="009D6168">
        <w:rPr>
          <w:lang w:val="fr-FR"/>
        </w:rPr>
        <w:t xml:space="preserve"> qu</w:t>
      </w:r>
      <w:r>
        <w:rPr>
          <w:lang w:val="fr-FR"/>
        </w:rPr>
        <w:t>’</w:t>
      </w:r>
      <w:r w:rsidRPr="009D6168">
        <w:rPr>
          <w:lang w:val="fr-FR"/>
        </w:rPr>
        <w:t>il intégrerait certaines réformes électorales dans le programme législatif de 2020</w:t>
      </w:r>
      <w:r w:rsidRPr="009D6168">
        <w:rPr>
          <w:rStyle w:val="Appelnotedebasdep"/>
          <w:lang w:val="fr-FR"/>
        </w:rPr>
        <w:footnoteReference w:id="37"/>
      </w:r>
      <w:r w:rsidRPr="009D6168">
        <w:rPr>
          <w:lang w:val="fr-FR"/>
        </w:rPr>
        <w:t>, il n</w:t>
      </w:r>
      <w:r>
        <w:rPr>
          <w:lang w:val="fr-FR"/>
        </w:rPr>
        <w:t>’</w:t>
      </w:r>
      <w:r w:rsidRPr="009D6168">
        <w:rPr>
          <w:lang w:val="fr-FR"/>
        </w:rPr>
        <w:t>en a rien été. Le 21 octobre 2020, l</w:t>
      </w:r>
      <w:r>
        <w:rPr>
          <w:lang w:val="fr-FR"/>
        </w:rPr>
        <w:t>’</w:t>
      </w:r>
      <w:r w:rsidRPr="009D6168">
        <w:rPr>
          <w:lang w:val="fr-FR"/>
        </w:rPr>
        <w:t>Assemblée générale de l</w:t>
      </w:r>
      <w:r>
        <w:rPr>
          <w:lang w:val="fr-FR"/>
        </w:rPr>
        <w:t>’</w:t>
      </w:r>
      <w:r w:rsidRPr="009D6168">
        <w:rPr>
          <w:lang w:val="fr-FR"/>
        </w:rPr>
        <w:t xml:space="preserve">Organisation des États américains a </w:t>
      </w:r>
      <w:r>
        <w:rPr>
          <w:lang w:val="fr-FR"/>
        </w:rPr>
        <w:t>adopté</w:t>
      </w:r>
      <w:r w:rsidRPr="009D6168">
        <w:rPr>
          <w:lang w:val="fr-FR"/>
        </w:rPr>
        <w:t xml:space="preserve"> la résolution 2962 (L-O/20), dans laquelle elle a exhorté le Nicaragua à s</w:t>
      </w:r>
      <w:r>
        <w:rPr>
          <w:lang w:val="fr-FR"/>
        </w:rPr>
        <w:t>’</w:t>
      </w:r>
      <w:r w:rsidRPr="009D6168">
        <w:rPr>
          <w:lang w:val="fr-FR"/>
        </w:rPr>
        <w:t>engager à mettre en œuvre ces réformes au plus tard en mai 2021</w:t>
      </w:r>
      <w:r>
        <w:rPr>
          <w:lang w:val="fr-FR"/>
        </w:rPr>
        <w:t xml:space="preserve"> </w:t>
      </w:r>
      <w:r w:rsidRPr="009D6168">
        <w:rPr>
          <w:lang w:val="fr-FR"/>
        </w:rPr>
        <w:t xml:space="preserve">afin de garantir </w:t>
      </w:r>
      <w:r>
        <w:rPr>
          <w:lang w:val="fr-FR"/>
        </w:rPr>
        <w:t xml:space="preserve">la tenue d’élections </w:t>
      </w:r>
      <w:r w:rsidRPr="009D6168">
        <w:rPr>
          <w:lang w:val="fr-FR"/>
        </w:rPr>
        <w:t>libre</w:t>
      </w:r>
      <w:r>
        <w:rPr>
          <w:lang w:val="fr-FR"/>
        </w:rPr>
        <w:t>s</w:t>
      </w:r>
      <w:r w:rsidRPr="009D6168">
        <w:rPr>
          <w:lang w:val="fr-FR"/>
        </w:rPr>
        <w:t>, équitable</w:t>
      </w:r>
      <w:r>
        <w:rPr>
          <w:lang w:val="fr-FR"/>
        </w:rPr>
        <w:t>s</w:t>
      </w:r>
      <w:r w:rsidRPr="009D6168">
        <w:rPr>
          <w:lang w:val="fr-FR"/>
        </w:rPr>
        <w:t>, ouverte</w:t>
      </w:r>
      <w:r>
        <w:rPr>
          <w:lang w:val="fr-FR"/>
        </w:rPr>
        <w:t>s</w:t>
      </w:r>
      <w:r w:rsidRPr="009D6168">
        <w:rPr>
          <w:lang w:val="fr-FR"/>
        </w:rPr>
        <w:t>, légitime</w:t>
      </w:r>
      <w:r>
        <w:rPr>
          <w:lang w:val="fr-FR"/>
        </w:rPr>
        <w:t>s</w:t>
      </w:r>
      <w:r w:rsidRPr="009D6168">
        <w:rPr>
          <w:lang w:val="fr-FR"/>
        </w:rPr>
        <w:t xml:space="preserve"> et soumise</w:t>
      </w:r>
      <w:r>
        <w:rPr>
          <w:lang w:val="fr-FR"/>
        </w:rPr>
        <w:t>s</w:t>
      </w:r>
      <w:r w:rsidRPr="009D6168">
        <w:rPr>
          <w:lang w:val="fr-FR"/>
        </w:rPr>
        <w:t xml:space="preserve"> à observation</w:t>
      </w:r>
      <w:r w:rsidRPr="009D6168">
        <w:rPr>
          <w:rStyle w:val="Appelnotedebasdep"/>
          <w:lang w:val="fr-FR"/>
        </w:rPr>
        <w:footnoteReference w:id="38"/>
      </w:r>
      <w:r w:rsidRPr="009D6168">
        <w:rPr>
          <w:lang w:val="fr-FR"/>
        </w:rPr>
        <w:t>.</w:t>
      </w:r>
    </w:p>
    <w:p w14:paraId="57D27FD4" w14:textId="47963EEF" w:rsidR="00225673" w:rsidRPr="009D6168" w:rsidRDefault="00225673" w:rsidP="002A1A4E">
      <w:pPr>
        <w:pStyle w:val="SingleTxtG"/>
        <w:rPr>
          <w:lang w:val="fr-FR"/>
        </w:rPr>
      </w:pPr>
      <w:r w:rsidRPr="009D6168">
        <w:rPr>
          <w:lang w:val="fr-FR"/>
        </w:rPr>
        <w:t>27.</w:t>
      </w:r>
      <w:r w:rsidRPr="009D6168">
        <w:rPr>
          <w:lang w:val="fr-FR"/>
        </w:rPr>
        <w:tab/>
        <w:t>L</w:t>
      </w:r>
      <w:r>
        <w:rPr>
          <w:lang w:val="fr-FR"/>
        </w:rPr>
        <w:t>’</w:t>
      </w:r>
      <w:r w:rsidRPr="009D6168">
        <w:rPr>
          <w:lang w:val="fr-FR"/>
        </w:rPr>
        <w:t>épidémie de COVID-19 a contraint l</w:t>
      </w:r>
      <w:r>
        <w:rPr>
          <w:lang w:val="fr-FR"/>
        </w:rPr>
        <w:t>’</w:t>
      </w:r>
      <w:r w:rsidRPr="009D6168">
        <w:rPr>
          <w:lang w:val="fr-FR"/>
        </w:rPr>
        <w:t xml:space="preserve">opposition à réduire le nombre de réunions politiques, qui a néanmoins augmenté ces derniers mois </w:t>
      </w:r>
      <w:r>
        <w:rPr>
          <w:lang w:val="fr-FR"/>
        </w:rPr>
        <w:t xml:space="preserve">en prévision des </w:t>
      </w:r>
      <w:r w:rsidRPr="009D6168">
        <w:rPr>
          <w:lang w:val="fr-FR"/>
        </w:rPr>
        <w:t>élection</w:t>
      </w:r>
      <w:r>
        <w:rPr>
          <w:lang w:val="fr-FR"/>
        </w:rPr>
        <w:t>s</w:t>
      </w:r>
      <w:r w:rsidRPr="009D6168">
        <w:rPr>
          <w:lang w:val="fr-FR"/>
        </w:rPr>
        <w:t xml:space="preserve"> de 2021. Depuis le 1</w:t>
      </w:r>
      <w:r w:rsidRPr="009D6168">
        <w:rPr>
          <w:vertAlign w:val="superscript"/>
          <w:lang w:val="fr-FR"/>
        </w:rPr>
        <w:t>er</w:t>
      </w:r>
      <w:r w:rsidRPr="009D6168">
        <w:rPr>
          <w:lang w:val="fr-FR"/>
        </w:rPr>
        <w:t xml:space="preserve"> septembre 2020, le HCDH a reçu des informations selon lesque</w:t>
      </w:r>
      <w:r>
        <w:rPr>
          <w:lang w:val="fr-FR"/>
        </w:rPr>
        <w:t>l</w:t>
      </w:r>
      <w:r w:rsidRPr="009D6168">
        <w:rPr>
          <w:lang w:val="fr-FR"/>
        </w:rPr>
        <w:t>l</w:t>
      </w:r>
      <w:r>
        <w:rPr>
          <w:lang w:val="fr-FR"/>
        </w:rPr>
        <w:t>e</w:t>
      </w:r>
      <w:r w:rsidRPr="009D6168">
        <w:rPr>
          <w:lang w:val="fr-FR"/>
        </w:rPr>
        <w:t xml:space="preserve">s </w:t>
      </w:r>
      <w:r>
        <w:rPr>
          <w:lang w:val="fr-FR"/>
        </w:rPr>
        <w:t>15</w:t>
      </w:r>
      <w:r w:rsidRPr="009D6168">
        <w:rPr>
          <w:lang w:val="fr-FR"/>
        </w:rPr>
        <w:t xml:space="preserve"> partisans de l</w:t>
      </w:r>
      <w:r>
        <w:rPr>
          <w:lang w:val="fr-FR"/>
        </w:rPr>
        <w:t>’</w:t>
      </w:r>
      <w:r w:rsidRPr="009D6168">
        <w:rPr>
          <w:lang w:val="fr-FR"/>
        </w:rPr>
        <w:t xml:space="preserve">opposition </w:t>
      </w:r>
      <w:r>
        <w:rPr>
          <w:lang w:val="fr-FR"/>
        </w:rPr>
        <w:t>avaient</w:t>
      </w:r>
      <w:r w:rsidRPr="009D6168">
        <w:rPr>
          <w:lang w:val="fr-FR"/>
        </w:rPr>
        <w:t xml:space="preserve"> été détenus arbitrairement puis libérés dans les </w:t>
      </w:r>
      <w:r w:rsidR="002A1A4E">
        <w:rPr>
          <w:lang w:val="fr-FR"/>
        </w:rPr>
        <w:t>vingt-quatre</w:t>
      </w:r>
      <w:r w:rsidRPr="009D6168">
        <w:rPr>
          <w:lang w:val="fr-FR"/>
        </w:rPr>
        <w:t xml:space="preserve"> heures. Il a également recensé 34 cas dans lesquels des policiers ou des éléments progouvernementaux </w:t>
      </w:r>
      <w:r>
        <w:rPr>
          <w:lang w:val="fr-FR"/>
        </w:rPr>
        <w:t>avaient</w:t>
      </w:r>
      <w:r w:rsidRPr="009D6168">
        <w:rPr>
          <w:lang w:val="fr-FR"/>
        </w:rPr>
        <w:t xml:space="preserve"> harcelé ou intimidé des personnes participant à des rassemblements ou à d</w:t>
      </w:r>
      <w:r>
        <w:rPr>
          <w:lang w:val="fr-FR"/>
        </w:rPr>
        <w:t>’</w:t>
      </w:r>
      <w:r w:rsidRPr="009D6168">
        <w:rPr>
          <w:lang w:val="fr-FR"/>
        </w:rPr>
        <w:t xml:space="preserve">autres activités politiques. Parmi ces personnes figuraient trois responsables politiques dont les véhicules </w:t>
      </w:r>
      <w:r>
        <w:rPr>
          <w:lang w:val="fr-FR"/>
        </w:rPr>
        <w:t>avaient</w:t>
      </w:r>
      <w:r w:rsidRPr="009D6168">
        <w:rPr>
          <w:lang w:val="fr-FR"/>
        </w:rPr>
        <w:t xml:space="preserve"> été arrêtés par la police et qui </w:t>
      </w:r>
      <w:r>
        <w:rPr>
          <w:lang w:val="fr-FR"/>
        </w:rPr>
        <w:t>avaient</w:t>
      </w:r>
      <w:r w:rsidRPr="009D6168">
        <w:rPr>
          <w:lang w:val="fr-FR"/>
        </w:rPr>
        <w:t xml:space="preserve"> été empêchés de se rendre sur le lieu où devaient se tenir des rassemblements politiques.</w:t>
      </w:r>
    </w:p>
    <w:p w14:paraId="417EDB68" w14:textId="16D62504" w:rsidR="00225673" w:rsidRPr="009D6168" w:rsidRDefault="00225673" w:rsidP="002A1A4E">
      <w:pPr>
        <w:pStyle w:val="SingleTxtG"/>
        <w:rPr>
          <w:lang w:val="fr-FR"/>
        </w:rPr>
      </w:pPr>
      <w:r w:rsidRPr="009D6168">
        <w:rPr>
          <w:lang w:val="fr-FR"/>
        </w:rPr>
        <w:t>28.</w:t>
      </w:r>
      <w:r w:rsidRPr="009D6168">
        <w:rPr>
          <w:lang w:val="fr-FR"/>
        </w:rPr>
        <w:tab/>
        <w:t>Le 11 octobre 2020, des éléments progouvernementaux ont jeté des pierres aux participants à une réunion de la Coalition nationale à Masaya</w:t>
      </w:r>
      <w:r w:rsidRPr="009D6168">
        <w:rPr>
          <w:rStyle w:val="Appelnotedebasdep"/>
          <w:lang w:val="fr-FR"/>
        </w:rPr>
        <w:footnoteReference w:id="39"/>
      </w:r>
      <w:r w:rsidRPr="009D6168">
        <w:rPr>
          <w:lang w:val="fr-FR"/>
        </w:rPr>
        <w:t xml:space="preserve">. Le cofondateur de </w:t>
      </w:r>
      <w:r w:rsidRPr="009D6168">
        <w:rPr>
          <w:i/>
          <w:iCs/>
          <w:lang w:val="fr-FR"/>
        </w:rPr>
        <w:t>100% Noticias</w:t>
      </w:r>
      <w:r w:rsidRPr="009D6168">
        <w:rPr>
          <w:lang w:val="fr-FR"/>
        </w:rPr>
        <w:t>, qui assistait à la réunion, a été touché à la tête et a dû être hospitalisé</w:t>
      </w:r>
      <w:r w:rsidRPr="009D6168">
        <w:rPr>
          <w:rStyle w:val="Appelnotedebasdep"/>
          <w:lang w:val="fr-FR"/>
        </w:rPr>
        <w:footnoteReference w:id="40"/>
      </w:r>
      <w:r w:rsidRPr="009D6168">
        <w:rPr>
          <w:lang w:val="fr-FR"/>
        </w:rPr>
        <w:t xml:space="preserve">. Le </w:t>
      </w:r>
      <w:r w:rsidRPr="009D6168">
        <w:rPr>
          <w:lang w:val="fr-FR"/>
        </w:rPr>
        <w:lastRenderedPageBreak/>
        <w:t>1</w:t>
      </w:r>
      <w:r w:rsidRPr="009D6168">
        <w:rPr>
          <w:vertAlign w:val="superscript"/>
          <w:lang w:val="fr-FR"/>
        </w:rPr>
        <w:t>er</w:t>
      </w:r>
      <w:r w:rsidRPr="009D6168">
        <w:rPr>
          <w:lang w:val="fr-FR"/>
        </w:rPr>
        <w:t> novembre 2020, la police a brutalement interrompu une manifestation similaire, signifiant aux participants qu</w:t>
      </w:r>
      <w:r>
        <w:rPr>
          <w:lang w:val="fr-FR"/>
        </w:rPr>
        <w:t>’</w:t>
      </w:r>
      <w:r w:rsidRPr="009D6168">
        <w:rPr>
          <w:lang w:val="fr-FR"/>
        </w:rPr>
        <w:t>ils avaient cinq minutes pour terminer leur réunion et quitter les lieux</w:t>
      </w:r>
      <w:r w:rsidRPr="009D6168">
        <w:rPr>
          <w:rStyle w:val="Appelnotedebasdep"/>
          <w:lang w:val="fr-FR"/>
        </w:rPr>
        <w:footnoteReference w:id="41"/>
      </w:r>
      <w:r w:rsidRPr="009D6168">
        <w:rPr>
          <w:lang w:val="fr-FR"/>
        </w:rPr>
        <w:t>.</w:t>
      </w:r>
    </w:p>
    <w:p w14:paraId="3AB3F422" w14:textId="1A032889" w:rsidR="00225673" w:rsidRPr="009D6168" w:rsidRDefault="00225673" w:rsidP="002A1A4E">
      <w:pPr>
        <w:pStyle w:val="SingleTxtG"/>
        <w:rPr>
          <w:lang w:val="fr-FR"/>
        </w:rPr>
      </w:pPr>
      <w:r w:rsidRPr="009D6168">
        <w:rPr>
          <w:lang w:val="fr-FR"/>
        </w:rPr>
        <w:t>29.</w:t>
      </w:r>
      <w:r w:rsidRPr="009D6168">
        <w:rPr>
          <w:lang w:val="fr-FR"/>
        </w:rPr>
        <w:tab/>
        <w:t>Le 21 décembre 2020, l</w:t>
      </w:r>
      <w:r>
        <w:rPr>
          <w:lang w:val="fr-FR"/>
        </w:rPr>
        <w:t>’</w:t>
      </w:r>
      <w:r w:rsidRPr="009D6168">
        <w:rPr>
          <w:lang w:val="fr-FR"/>
        </w:rPr>
        <w:t xml:space="preserve">Assemblée nationale a adopté la loi </w:t>
      </w:r>
      <w:r>
        <w:rPr>
          <w:lang w:val="fr-FR"/>
        </w:rPr>
        <w:t>n</w:t>
      </w:r>
      <w:r w:rsidRPr="00EC1AD3">
        <w:rPr>
          <w:vertAlign w:val="superscript"/>
          <w:lang w:val="fr-FR"/>
        </w:rPr>
        <w:t>o</w:t>
      </w:r>
      <w:r>
        <w:rPr>
          <w:lang w:val="fr-FR"/>
        </w:rPr>
        <w:t xml:space="preserve"> </w:t>
      </w:r>
      <w:r w:rsidRPr="009D6168">
        <w:rPr>
          <w:lang w:val="fr-FR"/>
        </w:rPr>
        <w:t>1055 relative à la défense des droits d</w:t>
      </w:r>
      <w:r>
        <w:rPr>
          <w:lang w:val="fr-FR"/>
        </w:rPr>
        <w:t>u</w:t>
      </w:r>
      <w:r w:rsidRPr="009D6168">
        <w:rPr>
          <w:lang w:val="fr-FR"/>
        </w:rPr>
        <w:t xml:space="preserve"> peuple à l</w:t>
      </w:r>
      <w:r>
        <w:rPr>
          <w:lang w:val="fr-FR"/>
        </w:rPr>
        <w:t>’</w:t>
      </w:r>
      <w:r w:rsidRPr="009D6168">
        <w:rPr>
          <w:lang w:val="fr-FR"/>
        </w:rPr>
        <w:t>indépendance, à la souveraineté et à l</w:t>
      </w:r>
      <w:r>
        <w:rPr>
          <w:lang w:val="fr-FR"/>
        </w:rPr>
        <w:t>’</w:t>
      </w:r>
      <w:r w:rsidRPr="009D6168">
        <w:rPr>
          <w:lang w:val="fr-FR"/>
        </w:rPr>
        <w:t xml:space="preserve">autodétermination pour la paix. </w:t>
      </w:r>
      <w:r>
        <w:rPr>
          <w:lang w:val="fr-FR"/>
        </w:rPr>
        <w:t>Cette</w:t>
      </w:r>
      <w:r w:rsidRPr="009D6168">
        <w:rPr>
          <w:lang w:val="fr-FR"/>
        </w:rPr>
        <w:t xml:space="preserve"> loi interdit notamment à quiconque porte atteinte à l</w:t>
      </w:r>
      <w:r>
        <w:rPr>
          <w:lang w:val="fr-FR"/>
        </w:rPr>
        <w:t>’</w:t>
      </w:r>
      <w:r w:rsidRPr="009D6168">
        <w:rPr>
          <w:lang w:val="fr-FR"/>
        </w:rPr>
        <w:t>indépendance, à la souveraineté et à l</w:t>
      </w:r>
      <w:r>
        <w:rPr>
          <w:lang w:val="fr-FR"/>
        </w:rPr>
        <w:t>’</w:t>
      </w:r>
      <w:r w:rsidRPr="009D6168">
        <w:rPr>
          <w:lang w:val="fr-FR"/>
        </w:rPr>
        <w:t>autodétermination</w:t>
      </w:r>
      <w:r>
        <w:rPr>
          <w:lang w:val="fr-FR"/>
        </w:rPr>
        <w:t xml:space="preserve">, </w:t>
      </w:r>
      <w:r w:rsidRPr="009D6168">
        <w:rPr>
          <w:lang w:val="fr-FR"/>
        </w:rPr>
        <w:t xml:space="preserve">exige, prône et </w:t>
      </w:r>
      <w:r>
        <w:rPr>
          <w:lang w:val="fr-FR"/>
        </w:rPr>
        <w:t>loue</w:t>
      </w:r>
      <w:r w:rsidRPr="009D6168">
        <w:rPr>
          <w:lang w:val="fr-FR"/>
        </w:rPr>
        <w:t xml:space="preserve"> l</w:t>
      </w:r>
      <w:r>
        <w:rPr>
          <w:lang w:val="fr-FR"/>
        </w:rPr>
        <w:t>’</w:t>
      </w:r>
      <w:r w:rsidRPr="009D6168">
        <w:rPr>
          <w:lang w:val="fr-FR"/>
        </w:rPr>
        <w:t xml:space="preserve">imposition de sanctions contre le Nicaragua et ses citoyens, ou nuit aux intérêts suprêmes de la nation de présenter sa candidature aux fonctions électives. Comme dans le cas des lois </w:t>
      </w:r>
      <w:r>
        <w:rPr>
          <w:lang w:val="fr-FR"/>
        </w:rPr>
        <w:t>n</w:t>
      </w:r>
      <w:r w:rsidRPr="00EC1AD3">
        <w:rPr>
          <w:vertAlign w:val="superscript"/>
          <w:lang w:val="fr-FR"/>
        </w:rPr>
        <w:t>o</w:t>
      </w:r>
      <w:r>
        <w:rPr>
          <w:vertAlign w:val="superscript"/>
          <w:lang w:val="fr-FR"/>
        </w:rPr>
        <w:t>s</w:t>
      </w:r>
      <w:r w:rsidRPr="009D6168">
        <w:rPr>
          <w:lang w:val="fr-FR"/>
        </w:rPr>
        <w:t xml:space="preserve"> 1040 et 1042 adoptées en octobre 2020, la loi </w:t>
      </w:r>
      <w:r>
        <w:rPr>
          <w:lang w:val="fr-FR"/>
        </w:rPr>
        <w:t>n</w:t>
      </w:r>
      <w:r w:rsidRPr="00EC1AD3">
        <w:rPr>
          <w:vertAlign w:val="superscript"/>
          <w:lang w:val="fr-FR"/>
        </w:rPr>
        <w:t>o</w:t>
      </w:r>
      <w:r w:rsidRPr="009D6168">
        <w:rPr>
          <w:lang w:val="fr-FR"/>
        </w:rPr>
        <w:t xml:space="preserve"> 1055 établit des restrictions incompatibles avec les normes internationales relatives aux droits de l</w:t>
      </w:r>
      <w:r>
        <w:rPr>
          <w:lang w:val="fr-FR"/>
        </w:rPr>
        <w:t>’</w:t>
      </w:r>
      <w:r w:rsidRPr="009D6168">
        <w:rPr>
          <w:lang w:val="fr-FR"/>
        </w:rPr>
        <w:t>homme et susceptibles de nuire à l</w:t>
      </w:r>
      <w:r>
        <w:rPr>
          <w:lang w:val="fr-FR"/>
        </w:rPr>
        <w:t>’</w:t>
      </w:r>
      <w:r w:rsidRPr="009D6168">
        <w:rPr>
          <w:lang w:val="fr-FR"/>
        </w:rPr>
        <w:t>exercice du droit à la participation politique et du droit à la liberté d</w:t>
      </w:r>
      <w:r>
        <w:rPr>
          <w:lang w:val="fr-FR"/>
        </w:rPr>
        <w:t>’</w:t>
      </w:r>
      <w:r w:rsidRPr="009D6168">
        <w:rPr>
          <w:lang w:val="fr-FR"/>
        </w:rPr>
        <w:t xml:space="preserve">expression. En particulier, ses dispositions contiennent des définitions très larges qui </w:t>
      </w:r>
      <w:r>
        <w:rPr>
          <w:lang w:val="fr-FR"/>
        </w:rPr>
        <w:t>donnent aux autorités la latitude nécessaire pour tenter d’</w:t>
      </w:r>
      <w:r w:rsidRPr="009D6168">
        <w:rPr>
          <w:lang w:val="fr-FR"/>
        </w:rPr>
        <w:t>empêcher les candidats de l</w:t>
      </w:r>
      <w:r>
        <w:rPr>
          <w:lang w:val="fr-FR"/>
        </w:rPr>
        <w:t>’</w:t>
      </w:r>
      <w:r w:rsidRPr="009D6168">
        <w:rPr>
          <w:lang w:val="fr-FR"/>
        </w:rPr>
        <w:t xml:space="preserve">opposition de participer </w:t>
      </w:r>
      <w:r>
        <w:rPr>
          <w:lang w:val="fr-FR"/>
        </w:rPr>
        <w:t xml:space="preserve">aux </w:t>
      </w:r>
      <w:r w:rsidRPr="009D6168">
        <w:rPr>
          <w:lang w:val="fr-FR"/>
        </w:rPr>
        <w:t>élection</w:t>
      </w:r>
      <w:r>
        <w:rPr>
          <w:lang w:val="fr-FR"/>
        </w:rPr>
        <w:t>s</w:t>
      </w:r>
      <w:r w:rsidRPr="009D6168">
        <w:rPr>
          <w:lang w:val="fr-FR"/>
        </w:rPr>
        <w:t xml:space="preserve"> de novembre 2021.</w:t>
      </w:r>
    </w:p>
    <w:p w14:paraId="24A97D8B" w14:textId="77777777" w:rsidR="00225673" w:rsidRPr="009D6168" w:rsidRDefault="00225673" w:rsidP="002A1A4E">
      <w:pPr>
        <w:pStyle w:val="HChG"/>
        <w:rPr>
          <w:lang w:val="fr-FR"/>
        </w:rPr>
      </w:pPr>
      <w:r w:rsidRPr="009D6168">
        <w:rPr>
          <w:lang w:val="fr-FR"/>
        </w:rPr>
        <w:tab/>
        <w:t>VI.</w:t>
      </w:r>
      <w:r w:rsidRPr="009D6168">
        <w:rPr>
          <w:lang w:val="fr-FR"/>
        </w:rPr>
        <w:tab/>
        <w:t>Violations du droit à la vie</w:t>
      </w:r>
    </w:p>
    <w:p w14:paraId="1541F206" w14:textId="1C3E5821" w:rsidR="00225673" w:rsidRPr="009D6168" w:rsidRDefault="00225673" w:rsidP="002A1A4E">
      <w:pPr>
        <w:pStyle w:val="SingleTxtG"/>
        <w:rPr>
          <w:rStyle w:val="Appelnotedebasdep"/>
          <w:lang w:val="fr-FR"/>
        </w:rPr>
      </w:pPr>
      <w:r w:rsidRPr="009D6168">
        <w:rPr>
          <w:lang w:val="fr-FR"/>
        </w:rPr>
        <w:t>30.</w:t>
      </w:r>
      <w:r w:rsidRPr="009D6168">
        <w:rPr>
          <w:lang w:val="fr-FR"/>
        </w:rPr>
        <w:tab/>
        <w:t>Au moment de la rédaction de ce rapport, plus de 300 meurtres recensés par le HCDH dans le cadre des manifestations de 2018 restaient impunis. Aucune enquête n</w:t>
      </w:r>
      <w:r>
        <w:rPr>
          <w:lang w:val="fr-FR"/>
        </w:rPr>
        <w:t>’</w:t>
      </w:r>
      <w:r w:rsidRPr="009D6168">
        <w:rPr>
          <w:lang w:val="fr-FR"/>
        </w:rPr>
        <w:t xml:space="preserve">a été menée depuis </w:t>
      </w:r>
      <w:r>
        <w:rPr>
          <w:lang w:val="fr-FR"/>
        </w:rPr>
        <w:t>l’adoption</w:t>
      </w:r>
      <w:r w:rsidRPr="009D6168">
        <w:rPr>
          <w:lang w:val="fr-FR"/>
        </w:rPr>
        <w:t xml:space="preserve"> en juin 2019 de la loi d</w:t>
      </w:r>
      <w:r>
        <w:rPr>
          <w:lang w:val="fr-FR"/>
        </w:rPr>
        <w:t>’</w:t>
      </w:r>
      <w:r w:rsidRPr="009D6168">
        <w:rPr>
          <w:lang w:val="fr-FR"/>
        </w:rPr>
        <w:t>amnistie, qui accorde une amnistie générale à tous ceux et celles, sans exception, qui ont pris part aux événements survenus entre le 18 avril 2018 et le 10 juin 2019</w:t>
      </w:r>
      <w:r w:rsidRPr="009D6168">
        <w:rPr>
          <w:rStyle w:val="Appelnotedebasdep"/>
          <w:lang w:val="fr-FR"/>
        </w:rPr>
        <w:footnoteReference w:id="42"/>
      </w:r>
      <w:r w:rsidRPr="009D6168">
        <w:rPr>
          <w:lang w:val="fr-FR"/>
        </w:rPr>
        <w:t>.</w:t>
      </w:r>
    </w:p>
    <w:p w14:paraId="1DEE9052" w14:textId="62B750D3" w:rsidR="00225673" w:rsidRPr="009D6168" w:rsidRDefault="00225673" w:rsidP="002A1A4E">
      <w:pPr>
        <w:pStyle w:val="SingleTxtG"/>
        <w:rPr>
          <w:lang w:val="fr-FR"/>
        </w:rPr>
      </w:pPr>
      <w:r w:rsidRPr="009D6168">
        <w:rPr>
          <w:lang w:val="fr-FR"/>
        </w:rPr>
        <w:t>31.</w:t>
      </w:r>
      <w:r w:rsidRPr="009D6168">
        <w:rPr>
          <w:lang w:val="fr-FR"/>
        </w:rPr>
        <w:tab/>
        <w:t>Entre janvier 2019 et octobre 2020, le HCDH a dénombré 13 homicides et une tentative d</w:t>
      </w:r>
      <w:r>
        <w:rPr>
          <w:lang w:val="fr-FR"/>
        </w:rPr>
        <w:t>’</w:t>
      </w:r>
      <w:r w:rsidRPr="009D6168">
        <w:rPr>
          <w:lang w:val="fr-FR"/>
        </w:rPr>
        <w:t>homicide dans la région autonome de la Côte caraïbe nord et dans les départements de Jinotega et de Nueva Segovia. La plupart des victimes (parmi lesquel</w:t>
      </w:r>
      <w:r>
        <w:rPr>
          <w:lang w:val="fr-FR"/>
        </w:rPr>
        <w:t>le</w:t>
      </w:r>
      <w:r w:rsidRPr="009D6168">
        <w:rPr>
          <w:lang w:val="fr-FR"/>
        </w:rPr>
        <w:t>s figur</w:t>
      </w:r>
      <w:r>
        <w:rPr>
          <w:lang w:val="fr-FR"/>
        </w:rPr>
        <w:t>ai</w:t>
      </w:r>
      <w:r w:rsidRPr="009D6168">
        <w:rPr>
          <w:lang w:val="fr-FR"/>
        </w:rPr>
        <w:t>ent des paysans, des membres de partis d</w:t>
      </w:r>
      <w:r>
        <w:rPr>
          <w:lang w:val="fr-FR"/>
        </w:rPr>
        <w:t>’</w:t>
      </w:r>
      <w:r w:rsidRPr="009D6168">
        <w:rPr>
          <w:lang w:val="fr-FR"/>
        </w:rPr>
        <w:t>opposition et un ancien détenu) ont pu être identifiées comme étant des opposants, bien que les motifs de ces meurtres et les circonstances dans lesquelles ils ont été commis n</w:t>
      </w:r>
      <w:r>
        <w:rPr>
          <w:lang w:val="fr-FR"/>
        </w:rPr>
        <w:t>’</w:t>
      </w:r>
      <w:r w:rsidRPr="009D6168">
        <w:rPr>
          <w:lang w:val="fr-FR"/>
        </w:rPr>
        <w:t xml:space="preserve">aient pu être </w:t>
      </w:r>
      <w:r>
        <w:rPr>
          <w:lang w:val="fr-FR"/>
        </w:rPr>
        <w:t>établis</w:t>
      </w:r>
      <w:r w:rsidRPr="009D6168">
        <w:rPr>
          <w:lang w:val="fr-FR"/>
        </w:rPr>
        <w:t xml:space="preserve"> de manière précise. Les autorités ont déclaré avoir élucidé quatre affaires et condamné une personne</w:t>
      </w:r>
      <w:r w:rsidRPr="009D6168">
        <w:rPr>
          <w:rStyle w:val="Appelnotedebasdep"/>
          <w:lang w:val="fr-FR"/>
        </w:rPr>
        <w:footnoteReference w:id="43"/>
      </w:r>
      <w:r w:rsidRPr="009D6168">
        <w:rPr>
          <w:lang w:val="fr-FR"/>
        </w:rPr>
        <w:t>.</w:t>
      </w:r>
    </w:p>
    <w:p w14:paraId="64235FD8" w14:textId="0A54BBA5" w:rsidR="00225673" w:rsidRDefault="00225673" w:rsidP="002A1A4E">
      <w:pPr>
        <w:pStyle w:val="SingleTxtG"/>
        <w:rPr>
          <w:lang w:val="fr-FR"/>
        </w:rPr>
      </w:pPr>
      <w:r w:rsidRPr="009D6168">
        <w:rPr>
          <w:lang w:val="fr-FR"/>
        </w:rPr>
        <w:t>32.</w:t>
      </w:r>
      <w:r w:rsidRPr="009D6168">
        <w:rPr>
          <w:lang w:val="fr-FR"/>
        </w:rPr>
        <w:tab/>
        <w:t>Le 19 juillet 2020, à La Trinidad (département d</w:t>
      </w:r>
      <w:r>
        <w:rPr>
          <w:lang w:val="fr-FR"/>
        </w:rPr>
        <w:t>’</w:t>
      </w:r>
      <w:r w:rsidRPr="009D6168">
        <w:rPr>
          <w:lang w:val="fr-FR"/>
        </w:rPr>
        <w:t>Estelí), des éléments progouvernementaux présumés ont attaqué un homme et l</w:t>
      </w:r>
      <w:r>
        <w:rPr>
          <w:lang w:val="fr-FR"/>
        </w:rPr>
        <w:t>’</w:t>
      </w:r>
      <w:r w:rsidRPr="009D6168">
        <w:rPr>
          <w:lang w:val="fr-FR"/>
        </w:rPr>
        <w:t>ont mortellement blessé d</w:t>
      </w:r>
      <w:r>
        <w:rPr>
          <w:lang w:val="fr-FR"/>
        </w:rPr>
        <w:t>’</w:t>
      </w:r>
      <w:r w:rsidRPr="009D6168">
        <w:rPr>
          <w:lang w:val="fr-FR"/>
        </w:rPr>
        <w:t>une balle dans le cou, au motif qu</w:t>
      </w:r>
      <w:r>
        <w:rPr>
          <w:lang w:val="fr-FR"/>
        </w:rPr>
        <w:t>’</w:t>
      </w:r>
      <w:r w:rsidRPr="009D6168">
        <w:rPr>
          <w:lang w:val="fr-FR"/>
        </w:rPr>
        <w:t>il aurait crié « Vive le Nicaragua libre ». L</w:t>
      </w:r>
      <w:r>
        <w:rPr>
          <w:lang w:val="fr-FR"/>
        </w:rPr>
        <w:t>’</w:t>
      </w:r>
      <w:r w:rsidRPr="009D6168">
        <w:rPr>
          <w:lang w:val="fr-FR"/>
        </w:rPr>
        <w:t>auteur des faits a été placé en garde à vue et condamné à une peine d</w:t>
      </w:r>
      <w:r>
        <w:rPr>
          <w:lang w:val="fr-FR"/>
        </w:rPr>
        <w:t>’</w:t>
      </w:r>
      <w:r w:rsidRPr="009D6168">
        <w:rPr>
          <w:lang w:val="fr-FR"/>
        </w:rPr>
        <w:t>un</w:t>
      </w:r>
      <w:r>
        <w:rPr>
          <w:lang w:val="fr-FR"/>
        </w:rPr>
        <w:t>e</w:t>
      </w:r>
      <w:r w:rsidRPr="009D6168">
        <w:rPr>
          <w:lang w:val="fr-FR"/>
        </w:rPr>
        <w:t xml:space="preserve"> an</w:t>
      </w:r>
      <w:r>
        <w:rPr>
          <w:lang w:val="fr-FR"/>
        </w:rPr>
        <w:t>née</w:t>
      </w:r>
      <w:r w:rsidRPr="009D6168">
        <w:rPr>
          <w:lang w:val="fr-FR"/>
        </w:rPr>
        <w:t xml:space="preserve"> d</w:t>
      </w:r>
      <w:r>
        <w:rPr>
          <w:lang w:val="fr-FR"/>
        </w:rPr>
        <w:t>’</w:t>
      </w:r>
      <w:r w:rsidRPr="009D6168">
        <w:rPr>
          <w:lang w:val="fr-FR"/>
        </w:rPr>
        <w:t xml:space="preserve">emprisonnement </w:t>
      </w:r>
      <w:r>
        <w:rPr>
          <w:lang w:val="fr-FR"/>
        </w:rPr>
        <w:t xml:space="preserve">avec sursis et </w:t>
      </w:r>
      <w:r w:rsidRPr="009D6168">
        <w:rPr>
          <w:lang w:val="fr-FR"/>
        </w:rPr>
        <w:t>mise à l</w:t>
      </w:r>
      <w:r>
        <w:rPr>
          <w:lang w:val="fr-FR"/>
        </w:rPr>
        <w:t>’</w:t>
      </w:r>
      <w:r w:rsidRPr="009D6168">
        <w:rPr>
          <w:lang w:val="fr-FR"/>
        </w:rPr>
        <w:t>épreuve.</w:t>
      </w:r>
    </w:p>
    <w:p w14:paraId="3C20DB4D" w14:textId="18C9B00D" w:rsidR="00225673" w:rsidRPr="006A32B2" w:rsidRDefault="002A1A4E" w:rsidP="002A1A4E">
      <w:pPr>
        <w:pStyle w:val="HChG"/>
        <w:rPr>
          <w:lang w:val="fr-FR"/>
        </w:rPr>
      </w:pPr>
      <w:r>
        <w:rPr>
          <w:lang w:val="fr-FR"/>
        </w:rPr>
        <w:tab/>
      </w:r>
      <w:r w:rsidR="00225673" w:rsidRPr="006A32B2">
        <w:rPr>
          <w:lang w:val="fr-FR"/>
        </w:rPr>
        <w:t>VII.</w:t>
      </w:r>
      <w:r w:rsidR="00225673" w:rsidRPr="006A32B2">
        <w:rPr>
          <w:lang w:val="fr-FR"/>
        </w:rPr>
        <w:tab/>
        <w:t>Violence à l</w:t>
      </w:r>
      <w:r w:rsidR="00225673">
        <w:rPr>
          <w:lang w:val="fr-FR"/>
        </w:rPr>
        <w:t>’</w:t>
      </w:r>
      <w:r w:rsidR="00225673" w:rsidRPr="006A32B2">
        <w:rPr>
          <w:lang w:val="fr-FR"/>
        </w:rPr>
        <w:t>égard des femmes et des filles</w:t>
      </w:r>
    </w:p>
    <w:p w14:paraId="538A0026" w14:textId="4C6990C3" w:rsidR="00225673" w:rsidRPr="006A32B2" w:rsidRDefault="00225673" w:rsidP="002A1A4E">
      <w:pPr>
        <w:pStyle w:val="SingleTxtG"/>
        <w:rPr>
          <w:lang w:val="fr-FR"/>
        </w:rPr>
      </w:pPr>
      <w:r w:rsidRPr="006A32B2">
        <w:rPr>
          <w:lang w:val="fr-FR"/>
        </w:rPr>
        <w:t>33.</w:t>
      </w:r>
      <w:r w:rsidRPr="006A32B2">
        <w:rPr>
          <w:lang w:val="fr-FR"/>
        </w:rPr>
        <w:tab/>
        <w:t>Le Nicaragua a fait des progrès en matière d</w:t>
      </w:r>
      <w:r>
        <w:rPr>
          <w:lang w:val="fr-FR"/>
        </w:rPr>
        <w:t>’</w:t>
      </w:r>
      <w:r w:rsidRPr="006A32B2">
        <w:rPr>
          <w:lang w:val="fr-FR"/>
        </w:rPr>
        <w:t xml:space="preserve">égalité des sexes, notamment en améliorant la représentation des femmes </w:t>
      </w:r>
      <w:r>
        <w:rPr>
          <w:lang w:val="fr-FR"/>
        </w:rPr>
        <w:t xml:space="preserve">dans le milieu politique </w:t>
      </w:r>
      <w:r w:rsidRPr="006A32B2">
        <w:rPr>
          <w:lang w:val="fr-FR"/>
        </w:rPr>
        <w:t>et en créant, en 2013, le Ministère des femmes</w:t>
      </w:r>
      <w:r w:rsidR="002A1A4E">
        <w:rPr>
          <w:lang w:val="fr-FR"/>
        </w:rPr>
        <w:t> </w:t>
      </w:r>
      <w:r w:rsidRPr="006A32B2">
        <w:rPr>
          <w:lang w:val="fr-FR"/>
        </w:rPr>
        <w:t>; en revanche, on ne dispose pas de renseignements précis en ce qui concerne les étapes franchies et les difficultés rencontrées dans la mise en œuvre de ses politiques.</w:t>
      </w:r>
    </w:p>
    <w:p w14:paraId="70349036" w14:textId="197DDA28" w:rsidR="00225673" w:rsidRPr="006A32B2" w:rsidRDefault="00225673" w:rsidP="002A1A4E">
      <w:pPr>
        <w:pStyle w:val="SingleTxtG"/>
        <w:rPr>
          <w:lang w:val="fr-FR"/>
        </w:rPr>
      </w:pPr>
      <w:r w:rsidRPr="006A32B2">
        <w:rPr>
          <w:lang w:val="fr-FR"/>
        </w:rPr>
        <w:t>34.</w:t>
      </w:r>
      <w:r w:rsidRPr="006A32B2">
        <w:rPr>
          <w:lang w:val="fr-FR"/>
        </w:rPr>
        <w:tab/>
        <w:t xml:space="preserve">Pendant la période considérée, </w:t>
      </w:r>
      <w:r>
        <w:rPr>
          <w:lang w:val="fr-FR"/>
        </w:rPr>
        <w:t xml:space="preserve">on a observé une recrudescence de </w:t>
      </w:r>
      <w:r w:rsidRPr="006A32B2">
        <w:rPr>
          <w:lang w:val="fr-FR"/>
        </w:rPr>
        <w:t>la violence à l</w:t>
      </w:r>
      <w:r>
        <w:rPr>
          <w:lang w:val="fr-FR"/>
        </w:rPr>
        <w:t>’</w:t>
      </w:r>
      <w:r w:rsidRPr="006A32B2">
        <w:rPr>
          <w:lang w:val="fr-FR"/>
        </w:rPr>
        <w:t xml:space="preserve">égard des femmes, en particulier dans le </w:t>
      </w:r>
      <w:r>
        <w:rPr>
          <w:lang w:val="fr-FR"/>
        </w:rPr>
        <w:t>contexte</w:t>
      </w:r>
      <w:r w:rsidRPr="006A32B2">
        <w:rPr>
          <w:lang w:val="fr-FR"/>
        </w:rPr>
        <w:t xml:space="preserve"> de la pandémie de COVID-19 et de la crise humanitaire provoquée par les ouragans Eta et Iota. Selon </w:t>
      </w:r>
      <w:r>
        <w:rPr>
          <w:lang w:val="fr-FR"/>
        </w:rPr>
        <w:t>l</w:t>
      </w:r>
      <w:r w:rsidRPr="006A32B2">
        <w:rPr>
          <w:lang w:val="fr-FR"/>
        </w:rPr>
        <w:t>es informations officielles, 11</w:t>
      </w:r>
      <w:r w:rsidR="002A1A4E">
        <w:rPr>
          <w:lang w:val="fr-FR"/>
        </w:rPr>
        <w:t> </w:t>
      </w:r>
      <w:r w:rsidRPr="006A32B2">
        <w:rPr>
          <w:lang w:val="fr-FR"/>
        </w:rPr>
        <w:t xml:space="preserve">féminicides ont été </w:t>
      </w:r>
      <w:r>
        <w:rPr>
          <w:lang w:val="fr-FR"/>
        </w:rPr>
        <w:t>dénombrés</w:t>
      </w:r>
      <w:r w:rsidRPr="006A32B2">
        <w:rPr>
          <w:lang w:val="fr-FR"/>
        </w:rPr>
        <w:t xml:space="preserve"> entre le 1</w:t>
      </w:r>
      <w:r w:rsidRPr="006A32B2">
        <w:rPr>
          <w:vertAlign w:val="superscript"/>
          <w:lang w:val="fr-FR"/>
        </w:rPr>
        <w:t>er</w:t>
      </w:r>
      <w:r>
        <w:rPr>
          <w:lang w:val="fr-FR"/>
        </w:rPr>
        <w:t xml:space="preserve"> </w:t>
      </w:r>
      <w:r w:rsidRPr="006A32B2">
        <w:rPr>
          <w:lang w:val="fr-FR"/>
        </w:rPr>
        <w:t>février et le 7 août 2020, mais des organisations de la société civile ont fait état d</w:t>
      </w:r>
      <w:r>
        <w:rPr>
          <w:lang w:val="fr-FR"/>
        </w:rPr>
        <w:t>’</w:t>
      </w:r>
      <w:r w:rsidRPr="006A32B2">
        <w:rPr>
          <w:lang w:val="fr-FR"/>
        </w:rPr>
        <w:t>une augmentation de ce type d</w:t>
      </w:r>
      <w:r>
        <w:rPr>
          <w:lang w:val="fr-FR"/>
        </w:rPr>
        <w:t>’</w:t>
      </w:r>
      <w:r w:rsidRPr="006A32B2">
        <w:rPr>
          <w:lang w:val="fr-FR"/>
        </w:rPr>
        <w:t>homicide, le</w:t>
      </w:r>
      <w:r>
        <w:rPr>
          <w:lang w:val="fr-FR"/>
        </w:rPr>
        <w:t xml:space="preserve"> plus grand</w:t>
      </w:r>
      <w:r w:rsidRPr="006A32B2">
        <w:rPr>
          <w:lang w:val="fr-FR"/>
        </w:rPr>
        <w:t xml:space="preserve"> nombre de cas ayant été recensé dans la région autonome de la </w:t>
      </w:r>
      <w:r>
        <w:rPr>
          <w:lang w:val="fr-FR"/>
        </w:rPr>
        <w:t>C</w:t>
      </w:r>
      <w:r w:rsidRPr="006A32B2">
        <w:rPr>
          <w:lang w:val="fr-FR"/>
        </w:rPr>
        <w:t xml:space="preserve">ôte caraïbe nord et à </w:t>
      </w:r>
      <w:r w:rsidRPr="006A32B2">
        <w:rPr>
          <w:lang w:val="fr-FR"/>
        </w:rPr>
        <w:lastRenderedPageBreak/>
        <w:t>Managua. Des sources non gouvernementales dénombraient 71 féminicides, dont 11 sur mineures, et 115 tentatives de féminicide au 31 décembre 2020, contre 63 et 72, respectivement, sur la même période en 2019. Pendant la pandémie, des organisations de femmes ont mis en place des numéros d</w:t>
      </w:r>
      <w:r>
        <w:rPr>
          <w:lang w:val="fr-FR"/>
        </w:rPr>
        <w:t>’</w:t>
      </w:r>
      <w:r w:rsidRPr="006A32B2">
        <w:rPr>
          <w:lang w:val="fr-FR"/>
        </w:rPr>
        <w:t xml:space="preserve">urgence </w:t>
      </w:r>
      <w:r>
        <w:rPr>
          <w:lang w:val="fr-FR"/>
        </w:rPr>
        <w:t>car</w:t>
      </w:r>
      <w:r w:rsidRPr="006A32B2">
        <w:rPr>
          <w:lang w:val="fr-FR"/>
        </w:rPr>
        <w:t xml:space="preserve"> certaines victimes hésitaient à porter plainte auprès de la police.</w:t>
      </w:r>
    </w:p>
    <w:p w14:paraId="2B8D62BA" w14:textId="50402447" w:rsidR="00225673" w:rsidRPr="006A32B2" w:rsidRDefault="00225673" w:rsidP="002A1A4E">
      <w:pPr>
        <w:pStyle w:val="SingleTxtG"/>
        <w:rPr>
          <w:lang w:val="fr-FR"/>
        </w:rPr>
      </w:pPr>
      <w:r w:rsidRPr="006A32B2">
        <w:rPr>
          <w:lang w:val="fr-FR"/>
        </w:rPr>
        <w:t>35.</w:t>
      </w:r>
      <w:r w:rsidRPr="006A32B2">
        <w:rPr>
          <w:lang w:val="fr-FR"/>
        </w:rPr>
        <w:tab/>
        <w:t>D</w:t>
      </w:r>
      <w:r>
        <w:rPr>
          <w:lang w:val="fr-FR"/>
        </w:rPr>
        <w:t>’</w:t>
      </w:r>
      <w:r w:rsidRPr="006A32B2">
        <w:rPr>
          <w:lang w:val="fr-FR"/>
        </w:rPr>
        <w:t xml:space="preserve">après les sources susmentionnées, seuls 4 et 12 auteurs de féminicide ont été reconnus coupables en 2019 et 2020, respectivement. Ces chiffres </w:t>
      </w:r>
      <w:r>
        <w:rPr>
          <w:lang w:val="fr-FR"/>
        </w:rPr>
        <w:t>pourraient</w:t>
      </w:r>
      <w:r w:rsidRPr="006A32B2">
        <w:rPr>
          <w:lang w:val="fr-FR"/>
        </w:rPr>
        <w:t xml:space="preserve"> en partie s</w:t>
      </w:r>
      <w:r>
        <w:rPr>
          <w:lang w:val="fr-FR"/>
        </w:rPr>
        <w:t>’</w:t>
      </w:r>
      <w:r w:rsidRPr="006A32B2">
        <w:rPr>
          <w:lang w:val="fr-FR"/>
        </w:rPr>
        <w:t>expliquer par la mise en œuvre</w:t>
      </w:r>
      <w:r>
        <w:rPr>
          <w:lang w:val="fr-FR"/>
        </w:rPr>
        <w:t xml:space="preserve"> du décret d’application </w:t>
      </w:r>
      <w:r w:rsidRPr="006A32B2">
        <w:rPr>
          <w:lang w:val="fr-FR"/>
        </w:rPr>
        <w:t xml:space="preserve">de la loi </w:t>
      </w:r>
      <w:r w:rsidR="002A1A4E" w:rsidRPr="002A1A4E">
        <w:rPr>
          <w:rFonts w:eastAsia="MS Mincho"/>
          <w:lang w:val="fr-FR"/>
        </w:rPr>
        <w:t>n</w:t>
      </w:r>
      <w:r w:rsidR="002A1A4E" w:rsidRPr="002A1A4E">
        <w:rPr>
          <w:rFonts w:eastAsia="MS Mincho"/>
          <w:vertAlign w:val="superscript"/>
          <w:lang w:val="fr-FR"/>
        </w:rPr>
        <w:t>o</w:t>
      </w:r>
      <w:r w:rsidR="002A1A4E">
        <w:rPr>
          <w:lang w:val="fr-FR"/>
        </w:rPr>
        <w:t> </w:t>
      </w:r>
      <w:r w:rsidRPr="006A32B2">
        <w:rPr>
          <w:lang w:val="fr-FR"/>
        </w:rPr>
        <w:t>779 de 2012 sur la prévention de la violence à l</w:t>
      </w:r>
      <w:r>
        <w:rPr>
          <w:lang w:val="fr-FR"/>
        </w:rPr>
        <w:t>’</w:t>
      </w:r>
      <w:r w:rsidRPr="006A32B2">
        <w:rPr>
          <w:lang w:val="fr-FR"/>
        </w:rPr>
        <w:t>égard des femmes</w:t>
      </w:r>
      <w:r>
        <w:rPr>
          <w:lang w:val="fr-FR"/>
        </w:rPr>
        <w:t xml:space="preserve"> (2014)</w:t>
      </w:r>
      <w:r w:rsidRPr="006A32B2">
        <w:rPr>
          <w:rStyle w:val="Appelnotedebasdep"/>
          <w:lang w:val="fr-FR"/>
        </w:rPr>
        <w:footnoteReference w:id="44"/>
      </w:r>
      <w:r w:rsidRPr="006A32B2">
        <w:rPr>
          <w:lang w:val="fr-FR"/>
        </w:rPr>
        <w:t>, aux termes duquel seul le meurtre d</w:t>
      </w:r>
      <w:r>
        <w:rPr>
          <w:lang w:val="fr-FR"/>
        </w:rPr>
        <w:t>’</w:t>
      </w:r>
      <w:r w:rsidRPr="006A32B2">
        <w:rPr>
          <w:lang w:val="fr-FR"/>
        </w:rPr>
        <w:t>une femme au sein du couple est considéré comme un féminicide</w:t>
      </w:r>
      <w:r w:rsidRPr="006A32B2">
        <w:rPr>
          <w:rStyle w:val="Appelnotedebasdep"/>
          <w:lang w:val="fr-FR"/>
        </w:rPr>
        <w:footnoteReference w:id="45"/>
      </w:r>
      <w:r w:rsidRPr="006A32B2">
        <w:rPr>
          <w:lang w:val="fr-FR"/>
        </w:rPr>
        <w:t xml:space="preserve">. Des organisations de la société civile ont également </w:t>
      </w:r>
      <w:r>
        <w:rPr>
          <w:lang w:val="fr-FR"/>
        </w:rPr>
        <w:t>signalé des</w:t>
      </w:r>
      <w:r w:rsidRPr="006A32B2">
        <w:rPr>
          <w:lang w:val="fr-FR"/>
        </w:rPr>
        <w:t xml:space="preserve"> défaillances </w:t>
      </w:r>
      <w:r>
        <w:rPr>
          <w:lang w:val="fr-FR"/>
        </w:rPr>
        <w:t>au sein du</w:t>
      </w:r>
      <w:r w:rsidRPr="006A32B2">
        <w:rPr>
          <w:lang w:val="fr-FR"/>
        </w:rPr>
        <w:t xml:space="preserve"> système judiciaire, notamment </w:t>
      </w:r>
      <w:r>
        <w:rPr>
          <w:lang w:val="fr-FR"/>
        </w:rPr>
        <w:t>le</w:t>
      </w:r>
      <w:r w:rsidRPr="006A32B2">
        <w:rPr>
          <w:lang w:val="fr-FR"/>
        </w:rPr>
        <w:t xml:space="preserve"> fait que certains magistrats adhér</w:t>
      </w:r>
      <w:r>
        <w:rPr>
          <w:lang w:val="fr-FR"/>
        </w:rPr>
        <w:t>ai</w:t>
      </w:r>
      <w:r w:rsidRPr="006A32B2">
        <w:rPr>
          <w:lang w:val="fr-FR"/>
        </w:rPr>
        <w:t>ent à des stéréotypes sexistes ou que l</w:t>
      </w:r>
      <w:r>
        <w:rPr>
          <w:lang w:val="fr-FR"/>
        </w:rPr>
        <w:t>’</w:t>
      </w:r>
      <w:r w:rsidRPr="006A32B2">
        <w:rPr>
          <w:lang w:val="fr-FR"/>
        </w:rPr>
        <w:t xml:space="preserve">historique des violences et des mauvais traitements subis par les victimes de féminicide ne </w:t>
      </w:r>
      <w:r>
        <w:rPr>
          <w:lang w:val="fr-FR"/>
        </w:rPr>
        <w:t xml:space="preserve">faisait pas l’objet </w:t>
      </w:r>
      <w:r w:rsidRPr="006A32B2">
        <w:rPr>
          <w:lang w:val="fr-FR"/>
        </w:rPr>
        <w:t xml:space="preserve">une enquête. De plus, le décret </w:t>
      </w:r>
      <w:r>
        <w:rPr>
          <w:lang w:val="fr-FR"/>
        </w:rPr>
        <w:t>d’application</w:t>
      </w:r>
      <w:r w:rsidRPr="006A32B2">
        <w:rPr>
          <w:lang w:val="fr-FR"/>
        </w:rPr>
        <w:t xml:space="preserve"> de la loi</w:t>
      </w:r>
      <w:r w:rsidR="00750B68">
        <w:rPr>
          <w:lang w:val="fr-FR"/>
        </w:rPr>
        <w:t xml:space="preserve"> </w:t>
      </w:r>
      <w:r w:rsidR="00750B68" w:rsidRPr="00750B68">
        <w:rPr>
          <w:rFonts w:eastAsia="MS Mincho"/>
          <w:lang w:val="fr-FR"/>
        </w:rPr>
        <w:t>n</w:t>
      </w:r>
      <w:r w:rsidR="00750B68" w:rsidRPr="00750B68">
        <w:rPr>
          <w:rFonts w:eastAsia="MS Mincho"/>
          <w:vertAlign w:val="superscript"/>
          <w:lang w:val="fr-FR"/>
        </w:rPr>
        <w:t>o</w:t>
      </w:r>
      <w:r w:rsidR="00750B68">
        <w:rPr>
          <w:lang w:val="fr-FR"/>
        </w:rPr>
        <w:t> </w:t>
      </w:r>
      <w:r w:rsidRPr="006A32B2">
        <w:rPr>
          <w:lang w:val="fr-FR"/>
        </w:rPr>
        <w:t>779 a introduit une médiation entre la victime et son agresseur, ce qui accroît le risque d</w:t>
      </w:r>
      <w:r>
        <w:rPr>
          <w:lang w:val="fr-FR"/>
        </w:rPr>
        <w:t>’</w:t>
      </w:r>
      <w:r w:rsidRPr="006A32B2">
        <w:rPr>
          <w:lang w:val="fr-FR"/>
        </w:rPr>
        <w:t xml:space="preserve">impunité et expose les victimes </w:t>
      </w:r>
      <w:r>
        <w:rPr>
          <w:lang w:val="fr-FR"/>
        </w:rPr>
        <w:t>au risque de subir</w:t>
      </w:r>
      <w:r w:rsidRPr="006A32B2">
        <w:rPr>
          <w:lang w:val="fr-FR"/>
        </w:rPr>
        <w:t xml:space="preserve"> </w:t>
      </w:r>
      <w:r>
        <w:rPr>
          <w:lang w:val="fr-FR"/>
        </w:rPr>
        <w:t xml:space="preserve">de nouvelles violences </w:t>
      </w:r>
      <w:r w:rsidRPr="006A32B2">
        <w:rPr>
          <w:lang w:val="fr-FR"/>
        </w:rPr>
        <w:t xml:space="preserve">et </w:t>
      </w:r>
      <w:r>
        <w:rPr>
          <w:lang w:val="fr-FR"/>
        </w:rPr>
        <w:t>de faire l’objet</w:t>
      </w:r>
      <w:r w:rsidRPr="006A32B2">
        <w:rPr>
          <w:lang w:val="fr-FR"/>
        </w:rPr>
        <w:t xml:space="preserve"> de représailles.</w:t>
      </w:r>
    </w:p>
    <w:p w14:paraId="6A113DD4" w14:textId="202B40E2" w:rsidR="00225673" w:rsidRPr="006A32B2" w:rsidRDefault="00225673" w:rsidP="00750B68">
      <w:pPr>
        <w:pStyle w:val="SingleTxtG"/>
        <w:rPr>
          <w:lang w:val="fr-FR"/>
        </w:rPr>
      </w:pPr>
      <w:r w:rsidRPr="006A32B2">
        <w:rPr>
          <w:lang w:val="fr-FR"/>
        </w:rPr>
        <w:t>36.</w:t>
      </w:r>
      <w:r w:rsidRPr="006A32B2">
        <w:rPr>
          <w:lang w:val="fr-FR"/>
        </w:rPr>
        <w:tab/>
        <w:t>D</w:t>
      </w:r>
      <w:r>
        <w:rPr>
          <w:lang w:val="fr-FR"/>
        </w:rPr>
        <w:t>’</w:t>
      </w:r>
      <w:r w:rsidRPr="006A32B2">
        <w:rPr>
          <w:lang w:val="fr-FR"/>
        </w:rPr>
        <w:t>après des organisations de la société civile, la violence en ligne à l</w:t>
      </w:r>
      <w:r>
        <w:rPr>
          <w:lang w:val="fr-FR"/>
        </w:rPr>
        <w:t>’</w:t>
      </w:r>
      <w:r w:rsidRPr="006A32B2">
        <w:rPr>
          <w:lang w:val="fr-FR"/>
        </w:rPr>
        <w:t>égard des femmes, qui comprend le fait d</w:t>
      </w:r>
      <w:r>
        <w:rPr>
          <w:lang w:val="fr-FR"/>
        </w:rPr>
        <w:t>’</w:t>
      </w:r>
      <w:r w:rsidRPr="006A32B2">
        <w:rPr>
          <w:lang w:val="fr-FR"/>
        </w:rPr>
        <w:t>étaler leur vie personnelle au grand jour ou de les menacer de viol ou d</w:t>
      </w:r>
      <w:r>
        <w:rPr>
          <w:lang w:val="fr-FR"/>
        </w:rPr>
        <w:t>’</w:t>
      </w:r>
      <w:r w:rsidRPr="006A32B2">
        <w:rPr>
          <w:lang w:val="fr-FR"/>
        </w:rPr>
        <w:t>humiliation publique, a augmenté de 73,1 % depuis avril 2018</w:t>
      </w:r>
      <w:r w:rsidRPr="006A32B2">
        <w:rPr>
          <w:rStyle w:val="Appelnotedebasdep"/>
          <w:lang w:val="fr-FR"/>
        </w:rPr>
        <w:footnoteReference w:id="46"/>
      </w:r>
      <w:r w:rsidRPr="006A32B2">
        <w:rPr>
          <w:lang w:val="fr-FR"/>
        </w:rPr>
        <w:t>.</w:t>
      </w:r>
    </w:p>
    <w:p w14:paraId="327DDA10" w14:textId="27B30AF5" w:rsidR="00225673" w:rsidRPr="006A32B2" w:rsidRDefault="00225673" w:rsidP="00750B68">
      <w:pPr>
        <w:pStyle w:val="SingleTxtG"/>
        <w:rPr>
          <w:lang w:val="fr-FR"/>
        </w:rPr>
      </w:pPr>
      <w:r w:rsidRPr="006A32B2">
        <w:rPr>
          <w:lang w:val="fr-FR"/>
        </w:rPr>
        <w:t>37.</w:t>
      </w:r>
      <w:r w:rsidRPr="006A32B2">
        <w:rPr>
          <w:lang w:val="fr-FR"/>
        </w:rPr>
        <w:tab/>
        <w:t>Le Nicaragua affiche l</w:t>
      </w:r>
      <w:r>
        <w:rPr>
          <w:lang w:val="fr-FR"/>
        </w:rPr>
        <w:t>’</w:t>
      </w:r>
      <w:r w:rsidRPr="006A32B2">
        <w:rPr>
          <w:lang w:val="fr-FR"/>
        </w:rPr>
        <w:t>un des taux de grossesse précoce les plus élevés de la région</w:t>
      </w:r>
      <w:r w:rsidRPr="006A32B2">
        <w:rPr>
          <w:rStyle w:val="Appelnotedebasdep"/>
          <w:lang w:val="fr-FR"/>
        </w:rPr>
        <w:footnoteReference w:id="47"/>
      </w:r>
      <w:r w:rsidRPr="006A32B2">
        <w:rPr>
          <w:lang w:val="fr-FR"/>
        </w:rPr>
        <w:t>. Même s</w:t>
      </w:r>
      <w:r>
        <w:rPr>
          <w:lang w:val="fr-FR"/>
        </w:rPr>
        <w:t>’</w:t>
      </w:r>
      <w:r w:rsidRPr="006A32B2">
        <w:rPr>
          <w:lang w:val="fr-FR"/>
        </w:rPr>
        <w:t>il n</w:t>
      </w:r>
      <w:r>
        <w:rPr>
          <w:lang w:val="fr-FR"/>
        </w:rPr>
        <w:t>’</w:t>
      </w:r>
      <w:r w:rsidRPr="006A32B2">
        <w:rPr>
          <w:lang w:val="fr-FR"/>
        </w:rPr>
        <w:t>est pas possible d</w:t>
      </w:r>
      <w:r>
        <w:rPr>
          <w:lang w:val="fr-FR"/>
        </w:rPr>
        <w:t>’</w:t>
      </w:r>
      <w:r w:rsidRPr="006A32B2">
        <w:rPr>
          <w:lang w:val="fr-FR"/>
        </w:rPr>
        <w:t>accéder à des statistiques officielles à jour, le HCDH a reçu des informations dignes de foi selon lesquelles le nombre de jeunes mères âgées de 10 à 14</w:t>
      </w:r>
      <w:r w:rsidR="00750B68">
        <w:rPr>
          <w:lang w:val="fr-FR"/>
        </w:rPr>
        <w:t> </w:t>
      </w:r>
      <w:r w:rsidRPr="006A32B2">
        <w:rPr>
          <w:lang w:val="fr-FR"/>
        </w:rPr>
        <w:t>ans continuait d</w:t>
      </w:r>
      <w:r>
        <w:rPr>
          <w:lang w:val="fr-FR"/>
        </w:rPr>
        <w:t>’</w:t>
      </w:r>
      <w:r w:rsidRPr="006A32B2">
        <w:rPr>
          <w:lang w:val="fr-FR"/>
        </w:rPr>
        <w:t>augmenter. À cela s</w:t>
      </w:r>
      <w:r>
        <w:rPr>
          <w:lang w:val="fr-FR"/>
        </w:rPr>
        <w:t>’</w:t>
      </w:r>
      <w:r w:rsidRPr="006A32B2">
        <w:rPr>
          <w:lang w:val="fr-FR"/>
        </w:rPr>
        <w:t>ajoute l</w:t>
      </w:r>
      <w:r>
        <w:rPr>
          <w:lang w:val="fr-FR"/>
        </w:rPr>
        <w:t>’</w:t>
      </w:r>
      <w:r w:rsidRPr="006A32B2">
        <w:rPr>
          <w:lang w:val="fr-FR"/>
        </w:rPr>
        <w:t>interdiction totale de l</w:t>
      </w:r>
      <w:r>
        <w:rPr>
          <w:lang w:val="fr-FR"/>
        </w:rPr>
        <w:t>’</w:t>
      </w:r>
      <w:r w:rsidRPr="006A32B2">
        <w:rPr>
          <w:lang w:val="fr-FR"/>
        </w:rPr>
        <w:t>avortement, qui met en danger les femmes et les filles, y compris les victimes de violence sexuelle, et oblige les filles à devenir mères.</w:t>
      </w:r>
    </w:p>
    <w:p w14:paraId="21236ECE" w14:textId="77777777" w:rsidR="00225673" w:rsidRPr="006A32B2" w:rsidRDefault="00225673" w:rsidP="00750B68">
      <w:pPr>
        <w:pStyle w:val="HChG"/>
        <w:rPr>
          <w:lang w:val="fr-FR"/>
        </w:rPr>
      </w:pPr>
      <w:r>
        <w:rPr>
          <w:lang w:val="fr-FR"/>
        </w:rPr>
        <w:tab/>
      </w:r>
      <w:r w:rsidRPr="006A32B2">
        <w:rPr>
          <w:lang w:val="fr-FR"/>
        </w:rPr>
        <w:t>VIII.</w:t>
      </w:r>
      <w:r w:rsidRPr="006A32B2">
        <w:rPr>
          <w:lang w:val="fr-FR"/>
        </w:rPr>
        <w:tab/>
        <w:t>Détention arbitraire et violations des droits des personnes privées de liberté</w:t>
      </w:r>
    </w:p>
    <w:p w14:paraId="675EAA41" w14:textId="7F36C5E8" w:rsidR="00225673" w:rsidRPr="006A32B2" w:rsidRDefault="00225673" w:rsidP="00750B68">
      <w:pPr>
        <w:pStyle w:val="SingleTxtG"/>
        <w:rPr>
          <w:lang w:val="fr-FR"/>
        </w:rPr>
      </w:pPr>
      <w:r w:rsidRPr="006A32B2">
        <w:rPr>
          <w:lang w:val="fr-FR"/>
        </w:rPr>
        <w:t>38.</w:t>
      </w:r>
      <w:r w:rsidRPr="006A32B2">
        <w:rPr>
          <w:lang w:val="fr-FR"/>
        </w:rPr>
        <w:tab/>
        <w:t>Le HCDH a continué de relever des cas de détention arbitraire, les victimes étant essentiellement des personnes considérées comme des opposants au Gouvernement. Entre le 1</w:t>
      </w:r>
      <w:r w:rsidRPr="00D0034C">
        <w:rPr>
          <w:vertAlign w:val="superscript"/>
          <w:lang w:val="fr-FR"/>
        </w:rPr>
        <w:t>er</w:t>
      </w:r>
      <w:r w:rsidR="00750B68">
        <w:rPr>
          <w:lang w:val="fr-FR"/>
        </w:rPr>
        <w:t> </w:t>
      </w:r>
      <w:r w:rsidRPr="006A32B2">
        <w:rPr>
          <w:lang w:val="fr-FR"/>
        </w:rPr>
        <w:t xml:space="preserve">août 2019 et le 30 novembre 2020, </w:t>
      </w:r>
      <w:r>
        <w:rPr>
          <w:lang w:val="fr-FR"/>
        </w:rPr>
        <w:t>l</w:t>
      </w:r>
      <w:r w:rsidRPr="006A32B2">
        <w:rPr>
          <w:lang w:val="fr-FR"/>
        </w:rPr>
        <w:t>es organisations de la société civile ont recensé 586</w:t>
      </w:r>
      <w:r w:rsidR="00750B68">
        <w:rPr>
          <w:lang w:val="fr-FR"/>
        </w:rPr>
        <w:t> </w:t>
      </w:r>
      <w:r w:rsidRPr="006A32B2">
        <w:rPr>
          <w:lang w:val="fr-FR"/>
        </w:rPr>
        <w:t>cas, dont 51 pour lesquels le HCDH a pu recueillir des preuves. Le plus souvent, les victimes étaient mises en détention par la police pour une courte période allant de quelques heures à deux jours. Elles n</w:t>
      </w:r>
      <w:r>
        <w:rPr>
          <w:lang w:val="fr-FR"/>
        </w:rPr>
        <w:t>’</w:t>
      </w:r>
      <w:r w:rsidRPr="006A32B2">
        <w:rPr>
          <w:lang w:val="fr-FR"/>
        </w:rPr>
        <w:t xml:space="preserve">étaient pas informées des faits qui leur étaient reprochés et étaient libérées sans avoir été présentées à un juge. La plupart ont </w:t>
      </w:r>
      <w:r>
        <w:rPr>
          <w:lang w:val="fr-FR"/>
        </w:rPr>
        <w:t xml:space="preserve">fait savoir qu’on avait proféré des menaces contre elles ou contre </w:t>
      </w:r>
      <w:r w:rsidRPr="006A32B2">
        <w:rPr>
          <w:lang w:val="fr-FR"/>
        </w:rPr>
        <w:t>leur famille alors qu</w:t>
      </w:r>
      <w:r>
        <w:rPr>
          <w:lang w:val="fr-FR"/>
        </w:rPr>
        <w:t>’</w:t>
      </w:r>
      <w:r w:rsidRPr="006A32B2">
        <w:rPr>
          <w:lang w:val="fr-FR"/>
        </w:rPr>
        <w:t xml:space="preserve">elles étaient détenues, généralement dans un commissariat de police, et certaines ont fait état de mauvais traitements et </w:t>
      </w:r>
      <w:r>
        <w:rPr>
          <w:lang w:val="fr-FR"/>
        </w:rPr>
        <w:t xml:space="preserve">de violences </w:t>
      </w:r>
      <w:r w:rsidRPr="006A32B2">
        <w:rPr>
          <w:lang w:val="fr-FR"/>
        </w:rPr>
        <w:t>psychologiques.</w:t>
      </w:r>
    </w:p>
    <w:p w14:paraId="35B65C27" w14:textId="6B00B6C0" w:rsidR="00225673" w:rsidRPr="006A32B2" w:rsidRDefault="00225673" w:rsidP="00750B68">
      <w:pPr>
        <w:pStyle w:val="SingleTxtG"/>
        <w:rPr>
          <w:lang w:val="fr-FR"/>
        </w:rPr>
      </w:pPr>
      <w:r w:rsidRPr="006A32B2">
        <w:rPr>
          <w:lang w:val="fr-FR"/>
        </w:rPr>
        <w:t>39.</w:t>
      </w:r>
      <w:r w:rsidRPr="006A32B2">
        <w:rPr>
          <w:lang w:val="fr-FR"/>
        </w:rPr>
        <w:tab/>
        <w:t xml:space="preserve">Le HCDH a en outre réuni des éléments attestant de cas où des individus </w:t>
      </w:r>
      <w:r>
        <w:rPr>
          <w:lang w:val="fr-FR"/>
        </w:rPr>
        <w:t>avaient</w:t>
      </w:r>
      <w:r w:rsidRPr="006A32B2">
        <w:rPr>
          <w:lang w:val="fr-FR"/>
        </w:rPr>
        <w:t xml:space="preserve"> été détenus plus longtemps, comme les 16 personnes (neuf hommes et sept femmes) connues sous le nom d</w:t>
      </w:r>
      <w:r>
        <w:rPr>
          <w:lang w:val="fr-FR"/>
        </w:rPr>
        <w:t>’« </w:t>
      </w:r>
      <w:r w:rsidRPr="006A32B2">
        <w:rPr>
          <w:i/>
          <w:iCs/>
          <w:lang w:val="fr-FR"/>
        </w:rPr>
        <w:t>aguadores</w:t>
      </w:r>
      <w:r>
        <w:rPr>
          <w:lang w:val="fr-FR"/>
        </w:rPr>
        <w:t> »</w:t>
      </w:r>
      <w:r w:rsidRPr="006A32B2">
        <w:rPr>
          <w:lang w:val="fr-FR"/>
        </w:rPr>
        <w:t xml:space="preserve">, qui </w:t>
      </w:r>
      <w:r>
        <w:rPr>
          <w:lang w:val="fr-FR"/>
        </w:rPr>
        <w:t>avaient</w:t>
      </w:r>
      <w:r w:rsidRPr="006A32B2">
        <w:rPr>
          <w:lang w:val="fr-FR"/>
        </w:rPr>
        <w:t xml:space="preserve"> été arrêtées le 14 novembre 2019 pour des </w:t>
      </w:r>
      <w:r>
        <w:rPr>
          <w:lang w:val="fr-FR"/>
        </w:rPr>
        <w:t>faits</w:t>
      </w:r>
      <w:r w:rsidRPr="006A32B2">
        <w:rPr>
          <w:lang w:val="fr-FR"/>
        </w:rPr>
        <w:t xml:space="preserve"> prétendument inventés</w:t>
      </w:r>
      <w:r>
        <w:rPr>
          <w:lang w:val="fr-FR"/>
        </w:rPr>
        <w:t xml:space="preserve"> de toute pièce</w:t>
      </w:r>
      <w:r w:rsidRPr="006A32B2">
        <w:rPr>
          <w:lang w:val="fr-FR"/>
        </w:rPr>
        <w:t xml:space="preserve"> après avoir apporté de l</w:t>
      </w:r>
      <w:r>
        <w:rPr>
          <w:lang w:val="fr-FR"/>
        </w:rPr>
        <w:t>’</w:t>
      </w:r>
      <w:r w:rsidRPr="006A32B2">
        <w:rPr>
          <w:lang w:val="fr-FR"/>
        </w:rPr>
        <w:t>eau à des grévistes de la faim dans l</w:t>
      </w:r>
      <w:r>
        <w:rPr>
          <w:lang w:val="fr-FR"/>
        </w:rPr>
        <w:t>’</w:t>
      </w:r>
      <w:r w:rsidRPr="006A32B2">
        <w:rPr>
          <w:lang w:val="fr-FR"/>
        </w:rPr>
        <w:t xml:space="preserve">Église San Miguel de Masaya. Ces personnes ont été poursuivies </w:t>
      </w:r>
      <w:r>
        <w:rPr>
          <w:lang w:val="fr-FR"/>
        </w:rPr>
        <w:t>avant d’être</w:t>
      </w:r>
      <w:r w:rsidRPr="006A32B2">
        <w:rPr>
          <w:lang w:val="fr-FR"/>
        </w:rPr>
        <w:t xml:space="preserve"> finalement libérées le 30 décembre 2019 au titre de mesures de substitution à la détention, </w:t>
      </w:r>
      <w:r>
        <w:rPr>
          <w:lang w:val="fr-FR"/>
        </w:rPr>
        <w:t>tout comme</w:t>
      </w:r>
      <w:r w:rsidRPr="006A32B2">
        <w:rPr>
          <w:lang w:val="fr-FR"/>
        </w:rPr>
        <w:t xml:space="preserve"> 74 hommes et une femme qui avaient également été arrêtés dans le </w:t>
      </w:r>
      <w:r>
        <w:rPr>
          <w:lang w:val="fr-FR"/>
        </w:rPr>
        <w:t>contexte</w:t>
      </w:r>
      <w:r w:rsidRPr="006A32B2">
        <w:rPr>
          <w:lang w:val="fr-FR"/>
        </w:rPr>
        <w:t xml:space="preserve"> de la crise sévissant sur le plan sociopolitique et en matière de droits de l</w:t>
      </w:r>
      <w:r>
        <w:rPr>
          <w:lang w:val="fr-FR"/>
        </w:rPr>
        <w:t>’</w:t>
      </w:r>
      <w:r w:rsidRPr="006A32B2">
        <w:rPr>
          <w:lang w:val="fr-FR"/>
        </w:rPr>
        <w:t>homme.</w:t>
      </w:r>
    </w:p>
    <w:p w14:paraId="2FFA0428" w14:textId="2FA81603" w:rsidR="00225673" w:rsidRPr="006A32B2" w:rsidRDefault="00225673" w:rsidP="00750B68">
      <w:pPr>
        <w:pStyle w:val="SingleTxtG"/>
        <w:rPr>
          <w:lang w:val="fr-FR"/>
        </w:rPr>
      </w:pPr>
      <w:r w:rsidRPr="006A32B2">
        <w:rPr>
          <w:lang w:val="fr-FR"/>
        </w:rPr>
        <w:t>40.</w:t>
      </w:r>
      <w:r w:rsidRPr="006A32B2">
        <w:rPr>
          <w:lang w:val="fr-FR"/>
        </w:rPr>
        <w:tab/>
      </w:r>
      <w:r w:rsidRPr="008164E4">
        <w:rPr>
          <w:lang w:val="fr-FR"/>
        </w:rPr>
        <w:t>Entre</w:t>
      </w:r>
      <w:r w:rsidRPr="006A32B2">
        <w:rPr>
          <w:lang w:val="fr-FR"/>
        </w:rPr>
        <w:t xml:space="preserve"> juin 2019 et octobre 2020, le Groupe de travail sur la détention arbitraire a rendu six décisions dans lesquelles il a conclu que 21 personnes (13 hommes et </w:t>
      </w:r>
      <w:r w:rsidR="00750B68">
        <w:rPr>
          <w:lang w:val="fr-FR"/>
        </w:rPr>
        <w:t>8</w:t>
      </w:r>
      <w:r w:rsidRPr="006A32B2">
        <w:rPr>
          <w:lang w:val="fr-FR"/>
        </w:rPr>
        <w:t xml:space="preserve"> femmes) </w:t>
      </w:r>
      <w:r>
        <w:rPr>
          <w:lang w:val="fr-FR"/>
        </w:rPr>
        <w:t>avaient été arbitrairement placés en détention</w:t>
      </w:r>
      <w:r w:rsidRPr="006A32B2">
        <w:rPr>
          <w:lang w:val="fr-FR"/>
        </w:rPr>
        <w:t xml:space="preserve"> par des agents des forces de l</w:t>
      </w:r>
      <w:r>
        <w:rPr>
          <w:lang w:val="fr-FR"/>
        </w:rPr>
        <w:t>’</w:t>
      </w:r>
      <w:r w:rsidRPr="006A32B2">
        <w:rPr>
          <w:lang w:val="fr-FR"/>
        </w:rPr>
        <w:t>ordre depuis août 2018</w:t>
      </w:r>
      <w:r>
        <w:rPr>
          <w:lang w:val="fr-FR"/>
        </w:rPr>
        <w:t xml:space="preserve">, </w:t>
      </w:r>
      <w:r>
        <w:rPr>
          <w:lang w:val="fr-FR"/>
        </w:rPr>
        <w:lastRenderedPageBreak/>
        <w:t xml:space="preserve">dans des circonstances semblables, c’est-à-dire </w:t>
      </w:r>
      <w:r w:rsidRPr="006A32B2">
        <w:rPr>
          <w:lang w:val="fr-FR"/>
        </w:rPr>
        <w:t>sans garanties d</w:t>
      </w:r>
      <w:r>
        <w:rPr>
          <w:lang w:val="fr-FR"/>
        </w:rPr>
        <w:t>’</w:t>
      </w:r>
      <w:r w:rsidRPr="006A32B2">
        <w:rPr>
          <w:lang w:val="fr-FR"/>
        </w:rPr>
        <w:t>une procédure régulière</w:t>
      </w:r>
      <w:r w:rsidR="00750B68">
        <w:rPr>
          <w:lang w:val="fr-FR"/>
        </w:rPr>
        <w:t> </w:t>
      </w:r>
      <w:r w:rsidRPr="006A32B2">
        <w:rPr>
          <w:lang w:val="fr-FR"/>
        </w:rPr>
        <w:t xml:space="preserve">; 17 de ces personnes (10 hommes et </w:t>
      </w:r>
      <w:r w:rsidR="00750B68">
        <w:rPr>
          <w:lang w:val="fr-FR"/>
        </w:rPr>
        <w:t>7</w:t>
      </w:r>
      <w:r w:rsidRPr="006A32B2">
        <w:rPr>
          <w:lang w:val="fr-FR"/>
        </w:rPr>
        <w:t xml:space="preserve"> femmes) avaient été arrêtées après septembre 2019</w:t>
      </w:r>
      <w:r w:rsidRPr="006A32B2">
        <w:rPr>
          <w:rStyle w:val="Appelnotedebasdep"/>
          <w:lang w:val="fr-FR"/>
        </w:rPr>
        <w:footnoteReference w:id="48"/>
      </w:r>
      <w:r w:rsidRPr="006A32B2">
        <w:rPr>
          <w:lang w:val="fr-FR"/>
        </w:rPr>
        <w:t>. Les intéressés avaient été placés en détention provisoire et n</w:t>
      </w:r>
      <w:r>
        <w:rPr>
          <w:lang w:val="fr-FR"/>
        </w:rPr>
        <w:t>’</w:t>
      </w:r>
      <w:r w:rsidRPr="006A32B2">
        <w:rPr>
          <w:lang w:val="fr-FR"/>
        </w:rPr>
        <w:t>avaient pas été autorisés à s</w:t>
      </w:r>
      <w:r>
        <w:rPr>
          <w:lang w:val="fr-FR"/>
        </w:rPr>
        <w:t>’</w:t>
      </w:r>
      <w:r w:rsidRPr="006A32B2">
        <w:rPr>
          <w:lang w:val="fr-FR"/>
        </w:rPr>
        <w:t>entretenir avec l</w:t>
      </w:r>
      <w:r>
        <w:rPr>
          <w:lang w:val="fr-FR"/>
        </w:rPr>
        <w:t>’</w:t>
      </w:r>
      <w:r w:rsidRPr="006A32B2">
        <w:rPr>
          <w:lang w:val="fr-FR"/>
        </w:rPr>
        <w:t xml:space="preserve">avocat de leur choix ni à consulter leur dossier pénal. Pendant leur interrogatoire, certains détenus auraient subi des pressions telles que des menaces et même des violences physiques. </w:t>
      </w:r>
      <w:bookmarkStart w:id="6" w:name="_Hlk67903595"/>
      <w:r w:rsidRPr="006A32B2">
        <w:rPr>
          <w:lang w:val="fr-FR"/>
        </w:rPr>
        <w:t>D</w:t>
      </w:r>
      <w:r>
        <w:rPr>
          <w:lang w:val="fr-FR"/>
        </w:rPr>
        <w:t>’</w:t>
      </w:r>
      <w:r w:rsidRPr="006A32B2">
        <w:rPr>
          <w:lang w:val="fr-FR"/>
        </w:rPr>
        <w:t xml:space="preserve">autres ont été poursuivis </w:t>
      </w:r>
      <w:r w:rsidRPr="00EB2C62">
        <w:rPr>
          <w:lang w:val="fr-FR"/>
        </w:rPr>
        <w:t>devant des juridictions dont la compétence territoriale ne s</w:t>
      </w:r>
      <w:r>
        <w:rPr>
          <w:lang w:val="fr-FR"/>
        </w:rPr>
        <w:t>’</w:t>
      </w:r>
      <w:r w:rsidRPr="00EB2C62">
        <w:rPr>
          <w:lang w:val="fr-FR"/>
        </w:rPr>
        <w:t>étendait pas aux lieux où auraient été commis les faits en cause</w:t>
      </w:r>
      <w:bookmarkEnd w:id="6"/>
      <w:r w:rsidRPr="006A32B2">
        <w:rPr>
          <w:lang w:val="fr-FR"/>
        </w:rPr>
        <w:t>.</w:t>
      </w:r>
    </w:p>
    <w:p w14:paraId="257E5105" w14:textId="4F726563" w:rsidR="00225673" w:rsidRPr="006A32B2" w:rsidRDefault="00225673" w:rsidP="00750B68">
      <w:pPr>
        <w:pStyle w:val="SingleTxtG"/>
        <w:rPr>
          <w:lang w:val="fr-FR"/>
        </w:rPr>
      </w:pPr>
      <w:r w:rsidRPr="006A32B2">
        <w:rPr>
          <w:lang w:val="fr-FR"/>
        </w:rPr>
        <w:t>41.</w:t>
      </w:r>
      <w:r w:rsidRPr="006A32B2">
        <w:rPr>
          <w:lang w:val="fr-FR"/>
        </w:rPr>
        <w:tab/>
        <w:t>Des organisations de la société civile ont indiqué qu</w:t>
      </w:r>
      <w:r>
        <w:rPr>
          <w:lang w:val="fr-FR"/>
        </w:rPr>
        <w:t>’</w:t>
      </w:r>
      <w:r w:rsidRPr="006A32B2">
        <w:rPr>
          <w:lang w:val="fr-FR"/>
        </w:rPr>
        <w:t>au 7 décembre 2020, 110</w:t>
      </w:r>
      <w:r w:rsidR="00750B68">
        <w:rPr>
          <w:lang w:val="fr-FR"/>
        </w:rPr>
        <w:t> </w:t>
      </w:r>
      <w:r w:rsidRPr="006A32B2">
        <w:rPr>
          <w:lang w:val="fr-FR"/>
        </w:rPr>
        <w:t xml:space="preserve">personnes (106 hommes et </w:t>
      </w:r>
      <w:r w:rsidR="00750B68">
        <w:rPr>
          <w:lang w:val="fr-FR"/>
        </w:rPr>
        <w:t>4</w:t>
      </w:r>
      <w:r w:rsidRPr="006A32B2">
        <w:rPr>
          <w:lang w:val="fr-FR"/>
        </w:rPr>
        <w:t xml:space="preserve"> femmes)</w:t>
      </w:r>
      <w:r w:rsidRPr="006A32B2">
        <w:rPr>
          <w:rStyle w:val="Appelnotedebasdep"/>
          <w:lang w:val="fr-FR"/>
        </w:rPr>
        <w:footnoteReference w:id="49"/>
      </w:r>
      <w:r w:rsidRPr="006A32B2">
        <w:rPr>
          <w:lang w:val="fr-FR"/>
        </w:rPr>
        <w:t xml:space="preserve"> étaient encore détenues pour des motifs politiques, 30 d</w:t>
      </w:r>
      <w:r>
        <w:rPr>
          <w:lang w:val="fr-FR"/>
        </w:rPr>
        <w:t>’</w:t>
      </w:r>
      <w:r w:rsidRPr="006A32B2">
        <w:rPr>
          <w:lang w:val="fr-FR"/>
        </w:rPr>
        <w:t>entre elles ayant été réincarcérées. Ces chiffres représentent une baisse de 10</w:t>
      </w:r>
      <w:r>
        <w:rPr>
          <w:lang w:val="fr-FR"/>
        </w:rPr>
        <w:t> </w:t>
      </w:r>
      <w:r w:rsidRPr="006A32B2">
        <w:rPr>
          <w:lang w:val="fr-FR"/>
        </w:rPr>
        <w:t xml:space="preserve">% par rapport à ceux enregistrés en juillet 2019 par les mêmes sources. Le Gouvernement a </w:t>
      </w:r>
      <w:r>
        <w:rPr>
          <w:lang w:val="fr-FR"/>
        </w:rPr>
        <w:t>nié</w:t>
      </w:r>
      <w:r w:rsidRPr="006A32B2">
        <w:rPr>
          <w:lang w:val="fr-FR"/>
        </w:rPr>
        <w:t xml:space="preserve"> toute motivation politique et déclaré que l</w:t>
      </w:r>
      <w:r>
        <w:rPr>
          <w:lang w:val="fr-FR"/>
        </w:rPr>
        <w:t>’</w:t>
      </w:r>
      <w:r w:rsidRPr="006A32B2">
        <w:rPr>
          <w:lang w:val="fr-FR"/>
        </w:rPr>
        <w:t xml:space="preserve">ensemble des personnes détenues dans le </w:t>
      </w:r>
      <w:r>
        <w:rPr>
          <w:lang w:val="fr-FR"/>
        </w:rPr>
        <w:t>contexte</w:t>
      </w:r>
      <w:r w:rsidRPr="006A32B2">
        <w:rPr>
          <w:lang w:val="fr-FR"/>
        </w:rPr>
        <w:t xml:space="preserve"> des </w:t>
      </w:r>
      <w:r>
        <w:rPr>
          <w:lang w:val="fr-FR"/>
        </w:rPr>
        <w:t>« </w:t>
      </w:r>
      <w:r w:rsidRPr="006A32B2">
        <w:rPr>
          <w:lang w:val="fr-FR"/>
        </w:rPr>
        <w:t>violents événements survenus depuis le 18 avril 2018</w:t>
      </w:r>
      <w:r>
        <w:rPr>
          <w:lang w:val="fr-FR"/>
        </w:rPr>
        <w:t> »</w:t>
      </w:r>
      <w:r w:rsidRPr="006A32B2">
        <w:rPr>
          <w:lang w:val="fr-FR"/>
        </w:rPr>
        <w:t xml:space="preserve"> avaient été libérées à la date du 11 juin 2019</w:t>
      </w:r>
      <w:r w:rsidRPr="006A32B2">
        <w:rPr>
          <w:rStyle w:val="Appelnotedebasdep"/>
          <w:lang w:val="fr-FR"/>
        </w:rPr>
        <w:footnoteReference w:id="50"/>
      </w:r>
      <w:r w:rsidRPr="006A32B2">
        <w:rPr>
          <w:lang w:val="fr-FR"/>
        </w:rPr>
        <w:t>. La plupart des personnes restées en détention, 13 d</w:t>
      </w:r>
      <w:r>
        <w:rPr>
          <w:lang w:val="fr-FR"/>
        </w:rPr>
        <w:t>’</w:t>
      </w:r>
      <w:r w:rsidRPr="006A32B2">
        <w:rPr>
          <w:lang w:val="fr-FR"/>
        </w:rPr>
        <w:t xml:space="preserve">entre elles depuis 2018, ont été inculpées ou </w:t>
      </w:r>
      <w:r>
        <w:rPr>
          <w:lang w:val="fr-FR"/>
        </w:rPr>
        <w:t>reconnues coupables</w:t>
      </w:r>
      <w:r w:rsidRPr="006A32B2">
        <w:rPr>
          <w:lang w:val="fr-FR"/>
        </w:rPr>
        <w:t xml:space="preserve"> </w:t>
      </w:r>
      <w:r>
        <w:rPr>
          <w:lang w:val="fr-FR"/>
        </w:rPr>
        <w:t>d’</w:t>
      </w:r>
      <w:r w:rsidRPr="006A32B2">
        <w:rPr>
          <w:lang w:val="fr-FR"/>
        </w:rPr>
        <w:t xml:space="preserve">infractions de droit commun, </w:t>
      </w:r>
      <w:r>
        <w:rPr>
          <w:lang w:val="fr-FR"/>
        </w:rPr>
        <w:t>notamment de</w:t>
      </w:r>
      <w:r w:rsidRPr="006A32B2">
        <w:rPr>
          <w:lang w:val="fr-FR"/>
        </w:rPr>
        <w:t xml:space="preserve"> trafic de drogue</w:t>
      </w:r>
      <w:r w:rsidR="00750B68">
        <w:rPr>
          <w:lang w:val="fr-FR"/>
        </w:rPr>
        <w:t>s</w:t>
      </w:r>
      <w:r w:rsidRPr="006A32B2">
        <w:rPr>
          <w:lang w:val="fr-FR"/>
        </w:rPr>
        <w:t xml:space="preserve"> ou </w:t>
      </w:r>
      <w:r>
        <w:rPr>
          <w:lang w:val="fr-FR"/>
        </w:rPr>
        <w:t>de</w:t>
      </w:r>
      <w:r w:rsidRPr="006A32B2">
        <w:rPr>
          <w:lang w:val="fr-FR"/>
        </w:rPr>
        <w:t xml:space="preserve"> fabrication, </w:t>
      </w:r>
      <w:r>
        <w:rPr>
          <w:lang w:val="fr-FR"/>
        </w:rPr>
        <w:t>de</w:t>
      </w:r>
      <w:r w:rsidRPr="006A32B2">
        <w:rPr>
          <w:lang w:val="fr-FR"/>
        </w:rPr>
        <w:t xml:space="preserve"> trafic, </w:t>
      </w:r>
      <w:r>
        <w:rPr>
          <w:lang w:val="fr-FR"/>
        </w:rPr>
        <w:t>de</w:t>
      </w:r>
      <w:r w:rsidRPr="006A32B2">
        <w:rPr>
          <w:lang w:val="fr-FR"/>
        </w:rPr>
        <w:t xml:space="preserve"> </w:t>
      </w:r>
      <w:r>
        <w:rPr>
          <w:lang w:val="fr-FR"/>
        </w:rPr>
        <w:t>détention</w:t>
      </w:r>
      <w:r w:rsidRPr="006A32B2">
        <w:rPr>
          <w:lang w:val="fr-FR"/>
        </w:rPr>
        <w:t xml:space="preserve"> ou </w:t>
      </w:r>
      <w:r>
        <w:rPr>
          <w:lang w:val="fr-FR"/>
        </w:rPr>
        <w:t>d’</w:t>
      </w:r>
      <w:r w:rsidRPr="006A32B2">
        <w:rPr>
          <w:lang w:val="fr-FR"/>
        </w:rPr>
        <w:t>utilisation illicites d</w:t>
      </w:r>
      <w:r>
        <w:rPr>
          <w:lang w:val="fr-FR"/>
        </w:rPr>
        <w:t>’</w:t>
      </w:r>
      <w:r w:rsidRPr="006A32B2">
        <w:rPr>
          <w:lang w:val="fr-FR"/>
        </w:rPr>
        <w:t>armes ou d</w:t>
      </w:r>
      <w:r>
        <w:rPr>
          <w:lang w:val="fr-FR"/>
        </w:rPr>
        <w:t>’</w:t>
      </w:r>
      <w:r w:rsidRPr="006A32B2">
        <w:rPr>
          <w:lang w:val="fr-FR"/>
        </w:rPr>
        <w:t>explosifs. Toutes ces personnes avaient cependant participé aux manifestations de 2018, et le HCDH a réuni des éléments dignes de foi indiquant que, dans la majorité des cas, les procédures de détention n</w:t>
      </w:r>
      <w:r>
        <w:rPr>
          <w:lang w:val="fr-FR"/>
        </w:rPr>
        <w:t>’</w:t>
      </w:r>
      <w:r w:rsidRPr="006A32B2">
        <w:rPr>
          <w:lang w:val="fr-FR"/>
        </w:rPr>
        <w:t>avaient pas été suivies et les garanties d</w:t>
      </w:r>
      <w:r>
        <w:rPr>
          <w:lang w:val="fr-FR"/>
        </w:rPr>
        <w:t>’</w:t>
      </w:r>
      <w:r w:rsidRPr="006A32B2">
        <w:rPr>
          <w:lang w:val="fr-FR"/>
        </w:rPr>
        <w:t>une procédure régulière n</w:t>
      </w:r>
      <w:r>
        <w:rPr>
          <w:lang w:val="fr-FR"/>
        </w:rPr>
        <w:t>’</w:t>
      </w:r>
      <w:r w:rsidRPr="006A32B2">
        <w:rPr>
          <w:lang w:val="fr-FR"/>
        </w:rPr>
        <w:t>avaient pas été respectées.</w:t>
      </w:r>
    </w:p>
    <w:p w14:paraId="79F6E22A" w14:textId="66882DDF" w:rsidR="00225673" w:rsidRPr="006A32B2" w:rsidRDefault="00225673" w:rsidP="00750B68">
      <w:pPr>
        <w:pStyle w:val="SingleTxtG"/>
        <w:rPr>
          <w:lang w:val="fr-FR"/>
        </w:rPr>
      </w:pPr>
      <w:r w:rsidRPr="006A32B2">
        <w:rPr>
          <w:lang w:val="fr-FR"/>
        </w:rPr>
        <w:t>42.</w:t>
      </w:r>
      <w:r w:rsidRPr="006A32B2">
        <w:rPr>
          <w:lang w:val="fr-FR"/>
        </w:rPr>
        <w:tab/>
      </w:r>
      <w:bookmarkStart w:id="7" w:name="_Hlk67910024"/>
      <w:r w:rsidRPr="006A32B2">
        <w:rPr>
          <w:lang w:val="fr-FR"/>
        </w:rPr>
        <w:t xml:space="preserve">Par ailleurs, le HCDH a </w:t>
      </w:r>
      <w:r>
        <w:rPr>
          <w:lang w:val="fr-FR"/>
        </w:rPr>
        <w:t>été informé que</w:t>
      </w:r>
      <w:r w:rsidRPr="006A32B2">
        <w:rPr>
          <w:lang w:val="fr-FR"/>
        </w:rPr>
        <w:t xml:space="preserve"> </w:t>
      </w:r>
      <w:r w:rsidRPr="00624CD9">
        <w:rPr>
          <w:lang w:val="fr-FR"/>
        </w:rPr>
        <w:t>certains des 110 détenus en question n</w:t>
      </w:r>
      <w:r>
        <w:rPr>
          <w:lang w:val="fr-FR"/>
        </w:rPr>
        <w:t>’</w:t>
      </w:r>
      <w:r w:rsidRPr="00624CD9">
        <w:rPr>
          <w:lang w:val="fr-FR"/>
        </w:rPr>
        <w:t xml:space="preserve">auraient pas reçu en temps utile les soins médicaux dont ils avaient besoin et auraient été victimes </w:t>
      </w:r>
      <w:r w:rsidRPr="006A32B2">
        <w:rPr>
          <w:lang w:val="fr-FR"/>
        </w:rPr>
        <w:t>de torture et de mauvais traitements</w:t>
      </w:r>
      <w:bookmarkEnd w:id="7"/>
      <w:r w:rsidRPr="006A32B2">
        <w:rPr>
          <w:lang w:val="fr-FR"/>
        </w:rPr>
        <w:t xml:space="preserve">. Le Gouvernement a continué de </w:t>
      </w:r>
      <w:r>
        <w:rPr>
          <w:lang w:val="fr-FR"/>
        </w:rPr>
        <w:t>contester</w:t>
      </w:r>
      <w:r w:rsidRPr="006A32B2">
        <w:rPr>
          <w:lang w:val="fr-FR"/>
        </w:rPr>
        <w:t xml:space="preserve"> ces allégations et fourni des rapports médicaux et des photos pour </w:t>
      </w:r>
      <w:r>
        <w:rPr>
          <w:lang w:val="fr-FR"/>
        </w:rPr>
        <w:t>justifier du</w:t>
      </w:r>
      <w:r w:rsidRPr="006A32B2">
        <w:rPr>
          <w:lang w:val="fr-FR"/>
        </w:rPr>
        <w:t xml:space="preserve"> bon état de santé et </w:t>
      </w:r>
      <w:r>
        <w:rPr>
          <w:lang w:val="fr-FR"/>
        </w:rPr>
        <w:t>du</w:t>
      </w:r>
      <w:r w:rsidRPr="006A32B2">
        <w:rPr>
          <w:lang w:val="fr-FR"/>
        </w:rPr>
        <w:t xml:space="preserve"> bien-être de certains de ces détenus. Malheureusement, les organisations nationales et internationales de défense des droits de l</w:t>
      </w:r>
      <w:r>
        <w:rPr>
          <w:lang w:val="fr-FR"/>
        </w:rPr>
        <w:t>’</w:t>
      </w:r>
      <w:r w:rsidRPr="006A32B2">
        <w:rPr>
          <w:lang w:val="fr-FR"/>
        </w:rPr>
        <w:t>homme ne sont toujours pas autorisées à procéder à une évaluation indépendante des conditions de détention. Le HCDH a également pu établir qu</w:t>
      </w:r>
      <w:r>
        <w:rPr>
          <w:lang w:val="fr-FR"/>
        </w:rPr>
        <w:t>’</w:t>
      </w:r>
      <w:r w:rsidRPr="006A32B2">
        <w:rPr>
          <w:lang w:val="fr-FR"/>
        </w:rPr>
        <w:t>au moins deux femmes transgenres avaient été détenues dans la même cellule que des hommes, la législation pénitentiaire ne reconnaissant pas les personnes transgenres selon leur identité de genre.</w:t>
      </w:r>
    </w:p>
    <w:p w14:paraId="0F4F4BB0" w14:textId="40AAAF9A" w:rsidR="00225673" w:rsidRPr="006A32B2" w:rsidRDefault="00225673" w:rsidP="00750B68">
      <w:pPr>
        <w:pStyle w:val="SingleTxtG"/>
        <w:rPr>
          <w:lang w:val="fr-FR"/>
        </w:rPr>
      </w:pPr>
      <w:r w:rsidRPr="006A32B2">
        <w:rPr>
          <w:lang w:val="fr-FR"/>
        </w:rPr>
        <w:t>43.</w:t>
      </w:r>
      <w:r w:rsidRPr="006A32B2">
        <w:rPr>
          <w:lang w:val="fr-FR"/>
        </w:rPr>
        <w:tab/>
        <w:t>Certains proches de détenus, en particulier des femmes, ont indiqué avoir fait l</w:t>
      </w:r>
      <w:r>
        <w:rPr>
          <w:lang w:val="fr-FR"/>
        </w:rPr>
        <w:t>’</w:t>
      </w:r>
      <w:r w:rsidRPr="006A32B2">
        <w:rPr>
          <w:lang w:val="fr-FR"/>
        </w:rPr>
        <w:t>objet de fouilles corporelles et de pressions indues au cours de leurs visites dans des établissements pénitentiaires, avoir été contraints de signer des déclarations relatives au bien-être des détenus ou avoir dû s</w:t>
      </w:r>
      <w:r>
        <w:rPr>
          <w:lang w:val="fr-FR"/>
        </w:rPr>
        <w:t>’</w:t>
      </w:r>
      <w:r w:rsidRPr="006A32B2">
        <w:rPr>
          <w:lang w:val="fr-FR"/>
        </w:rPr>
        <w:t>engager à ne pas divulguer de fausses informations concernant l</w:t>
      </w:r>
      <w:r>
        <w:rPr>
          <w:lang w:val="fr-FR"/>
        </w:rPr>
        <w:t>’</w:t>
      </w:r>
      <w:r w:rsidRPr="006A32B2">
        <w:rPr>
          <w:lang w:val="fr-FR"/>
        </w:rPr>
        <w:t>état de santé de ceux-ci. Le 2 novembre 2020, la Commission interaméricaine des droits de l</w:t>
      </w:r>
      <w:r>
        <w:rPr>
          <w:lang w:val="fr-FR"/>
        </w:rPr>
        <w:t>’</w:t>
      </w:r>
      <w:r w:rsidRPr="006A32B2">
        <w:rPr>
          <w:lang w:val="fr-FR"/>
        </w:rPr>
        <w:t>homme a, dans sa résolution 82/2020, accordé des mesures de protection en faveur de 37</w:t>
      </w:r>
      <w:r w:rsidR="00750B68">
        <w:rPr>
          <w:lang w:val="fr-FR"/>
        </w:rPr>
        <w:t> </w:t>
      </w:r>
      <w:r w:rsidRPr="006A32B2">
        <w:rPr>
          <w:lang w:val="fr-FR"/>
        </w:rPr>
        <w:t xml:space="preserve">hommes et de quatre femmes </w:t>
      </w:r>
      <w:r>
        <w:rPr>
          <w:lang w:val="fr-FR"/>
        </w:rPr>
        <w:t xml:space="preserve">qui avaient été </w:t>
      </w:r>
      <w:r w:rsidRPr="006A32B2">
        <w:rPr>
          <w:lang w:val="fr-FR"/>
        </w:rPr>
        <w:t xml:space="preserve">privés de liberté </w:t>
      </w:r>
      <w:r>
        <w:rPr>
          <w:lang w:val="fr-FR"/>
        </w:rPr>
        <w:t>comme</w:t>
      </w:r>
      <w:r w:rsidRPr="006A32B2">
        <w:rPr>
          <w:lang w:val="fr-FR"/>
        </w:rPr>
        <w:t xml:space="preserve"> suite </w:t>
      </w:r>
      <w:r>
        <w:rPr>
          <w:lang w:val="fr-FR"/>
        </w:rPr>
        <w:t>aux</w:t>
      </w:r>
      <w:r w:rsidRPr="006A32B2">
        <w:rPr>
          <w:lang w:val="fr-FR"/>
        </w:rPr>
        <w:t xml:space="preserve"> manifestations de 2018</w:t>
      </w:r>
      <w:r>
        <w:rPr>
          <w:lang w:val="fr-FR"/>
        </w:rPr>
        <w:t xml:space="preserve"> et</w:t>
      </w:r>
      <w:r w:rsidRPr="006A32B2">
        <w:rPr>
          <w:lang w:val="fr-FR"/>
        </w:rPr>
        <w:t xml:space="preserve"> qui présentaient</w:t>
      </w:r>
      <w:r>
        <w:rPr>
          <w:lang w:val="fr-FR"/>
        </w:rPr>
        <w:t xml:space="preserve"> </w:t>
      </w:r>
      <w:r w:rsidRPr="006A32B2">
        <w:rPr>
          <w:lang w:val="fr-FR"/>
        </w:rPr>
        <w:t>des symptômes associés à la COVID-19, en plus d</w:t>
      </w:r>
      <w:r>
        <w:rPr>
          <w:lang w:val="fr-FR"/>
        </w:rPr>
        <w:t>’</w:t>
      </w:r>
      <w:r w:rsidRPr="006A32B2">
        <w:rPr>
          <w:lang w:val="fr-FR"/>
        </w:rPr>
        <w:t xml:space="preserve">autres problèmes de santé </w:t>
      </w:r>
      <w:r>
        <w:rPr>
          <w:lang w:val="fr-FR"/>
        </w:rPr>
        <w:t>à l’état latent qui</w:t>
      </w:r>
      <w:r w:rsidRPr="006A32B2">
        <w:rPr>
          <w:lang w:val="fr-FR"/>
        </w:rPr>
        <w:t xml:space="preserve"> avaient</w:t>
      </w:r>
      <w:r>
        <w:rPr>
          <w:lang w:val="fr-FR"/>
        </w:rPr>
        <w:t>, dans certains cas,</w:t>
      </w:r>
      <w:r w:rsidRPr="006A32B2">
        <w:rPr>
          <w:lang w:val="fr-FR"/>
        </w:rPr>
        <w:t xml:space="preserve"> été aggravés par les conditions de détention</w:t>
      </w:r>
      <w:r w:rsidRPr="006A32B2">
        <w:rPr>
          <w:rStyle w:val="Appelnotedebasdep"/>
          <w:lang w:val="fr-FR"/>
        </w:rPr>
        <w:footnoteReference w:id="51"/>
      </w:r>
      <w:r w:rsidRPr="006A32B2">
        <w:rPr>
          <w:lang w:val="fr-FR"/>
        </w:rPr>
        <w:t>.</w:t>
      </w:r>
    </w:p>
    <w:p w14:paraId="70175E19" w14:textId="33E18DF2" w:rsidR="00225673" w:rsidRPr="006A32B2" w:rsidRDefault="00225673" w:rsidP="00750B68">
      <w:pPr>
        <w:pStyle w:val="SingleTxtG"/>
        <w:rPr>
          <w:lang w:val="fr-FR"/>
        </w:rPr>
      </w:pPr>
      <w:r w:rsidRPr="006A32B2">
        <w:rPr>
          <w:lang w:val="fr-FR"/>
        </w:rPr>
        <w:t>44.</w:t>
      </w:r>
      <w:r w:rsidRPr="006A32B2">
        <w:rPr>
          <w:lang w:val="fr-FR"/>
        </w:rPr>
        <w:tab/>
        <w:t>Selon des sources officielles, au 1</w:t>
      </w:r>
      <w:r w:rsidRPr="00D0034C">
        <w:rPr>
          <w:vertAlign w:val="superscript"/>
          <w:lang w:val="fr-FR"/>
        </w:rPr>
        <w:t>er</w:t>
      </w:r>
      <w:r>
        <w:rPr>
          <w:lang w:val="fr-FR"/>
        </w:rPr>
        <w:t xml:space="preserve"> </w:t>
      </w:r>
      <w:r w:rsidRPr="006A32B2">
        <w:rPr>
          <w:lang w:val="fr-FR"/>
        </w:rPr>
        <w:t xml:space="preserve">avril 2020, le taux de surpopulation carcérale au Nicaragua était de 30 %. Le Gouvernement a fait savoir que la </w:t>
      </w:r>
      <w:r>
        <w:rPr>
          <w:lang w:val="fr-FR"/>
        </w:rPr>
        <w:t>P</w:t>
      </w:r>
      <w:r w:rsidRPr="006A32B2">
        <w:rPr>
          <w:lang w:val="fr-FR"/>
        </w:rPr>
        <w:t>olice nationale et le système pénitentiaire national avaient mis en place des plans de prévention, d</w:t>
      </w:r>
      <w:r>
        <w:rPr>
          <w:lang w:val="fr-FR"/>
        </w:rPr>
        <w:t>’</w:t>
      </w:r>
      <w:r w:rsidRPr="006A32B2">
        <w:rPr>
          <w:lang w:val="fr-FR"/>
        </w:rPr>
        <w:t>atténuation et de traitement de la COVID-19 dans les commissariats et les établissements pénitentiaires</w:t>
      </w:r>
      <w:r w:rsidRPr="006A32B2">
        <w:rPr>
          <w:rStyle w:val="Appelnotedebasdep"/>
          <w:lang w:val="fr-FR"/>
        </w:rPr>
        <w:footnoteReference w:id="52"/>
      </w:r>
      <w:r w:rsidRPr="006A32B2">
        <w:rPr>
          <w:lang w:val="fr-FR"/>
        </w:rPr>
        <w:t>. Depuis le 1</w:t>
      </w:r>
      <w:r w:rsidRPr="00D0034C">
        <w:rPr>
          <w:vertAlign w:val="superscript"/>
          <w:lang w:val="fr-FR"/>
        </w:rPr>
        <w:t>er</w:t>
      </w:r>
      <w:r>
        <w:rPr>
          <w:lang w:val="fr-FR"/>
        </w:rPr>
        <w:t xml:space="preserve"> </w:t>
      </w:r>
      <w:r w:rsidRPr="006A32B2">
        <w:rPr>
          <w:lang w:val="fr-FR"/>
        </w:rPr>
        <w:t xml:space="preserve">août 2019, le Gouvernement </w:t>
      </w:r>
      <w:r>
        <w:rPr>
          <w:lang w:val="fr-FR"/>
        </w:rPr>
        <w:t xml:space="preserve">a </w:t>
      </w:r>
      <w:r w:rsidRPr="006A32B2">
        <w:rPr>
          <w:lang w:val="fr-FR"/>
        </w:rPr>
        <w:t xml:space="preserve">réduit la surpopulation carcérale en </w:t>
      </w:r>
      <w:r>
        <w:rPr>
          <w:lang w:val="fr-FR"/>
        </w:rPr>
        <w:t xml:space="preserve">faisant en </w:t>
      </w:r>
      <w:r>
        <w:rPr>
          <w:lang w:val="fr-FR"/>
        </w:rPr>
        <w:lastRenderedPageBreak/>
        <w:t xml:space="preserve">sorte que </w:t>
      </w:r>
      <w:r w:rsidRPr="006A32B2">
        <w:rPr>
          <w:lang w:val="fr-FR"/>
        </w:rPr>
        <w:t>plus de 11 400 personnes</w:t>
      </w:r>
      <w:r>
        <w:rPr>
          <w:lang w:val="fr-FR"/>
        </w:rPr>
        <w:t xml:space="preserve"> bénéficient</w:t>
      </w:r>
      <w:r w:rsidRPr="006A32B2">
        <w:rPr>
          <w:lang w:val="fr-FR"/>
        </w:rPr>
        <w:t xml:space="preserve"> de mesures de substitution à la détention, </w:t>
      </w:r>
      <w:r>
        <w:rPr>
          <w:lang w:val="fr-FR"/>
        </w:rPr>
        <w:t xml:space="preserve">mesures appliquées, dans la moitié des cas, </w:t>
      </w:r>
      <w:r w:rsidRPr="006A32B2">
        <w:rPr>
          <w:lang w:val="fr-FR"/>
        </w:rPr>
        <w:t>en raison de la pandémie de COVID-19</w:t>
      </w:r>
      <w:r w:rsidRPr="006A32B2">
        <w:rPr>
          <w:rStyle w:val="Appelnotedebasdep"/>
          <w:lang w:val="fr-FR"/>
        </w:rPr>
        <w:footnoteReference w:id="53"/>
      </w:r>
      <w:r w:rsidRPr="006A32B2">
        <w:rPr>
          <w:lang w:val="fr-FR"/>
        </w:rPr>
        <w:t>.</w:t>
      </w:r>
    </w:p>
    <w:p w14:paraId="4B81EA01" w14:textId="27FB20EA" w:rsidR="00225673" w:rsidRPr="006A32B2" w:rsidRDefault="00225673" w:rsidP="00750B68">
      <w:pPr>
        <w:pStyle w:val="HChG"/>
        <w:rPr>
          <w:lang w:val="fr-FR"/>
        </w:rPr>
      </w:pPr>
      <w:r>
        <w:rPr>
          <w:lang w:val="fr-FR"/>
        </w:rPr>
        <w:tab/>
      </w:r>
      <w:r w:rsidRPr="006A32B2">
        <w:rPr>
          <w:lang w:val="fr-FR"/>
        </w:rPr>
        <w:t>IX.</w:t>
      </w:r>
      <w:r w:rsidRPr="006A32B2">
        <w:rPr>
          <w:lang w:val="fr-FR"/>
        </w:rPr>
        <w:tab/>
        <w:t xml:space="preserve">Droits des victimes de violations graves des droits </w:t>
      </w:r>
      <w:r w:rsidR="00750B68">
        <w:rPr>
          <w:lang w:val="fr-FR"/>
        </w:rPr>
        <w:br/>
      </w:r>
      <w:r w:rsidRPr="006A32B2">
        <w:rPr>
          <w:lang w:val="fr-FR"/>
        </w:rPr>
        <w:t>de l</w:t>
      </w:r>
      <w:r>
        <w:rPr>
          <w:lang w:val="fr-FR"/>
        </w:rPr>
        <w:t>’</w:t>
      </w:r>
      <w:r w:rsidRPr="006A32B2">
        <w:rPr>
          <w:lang w:val="fr-FR"/>
        </w:rPr>
        <w:t xml:space="preserve">homme et mesures visant à leur accorder </w:t>
      </w:r>
      <w:r w:rsidR="00750B68">
        <w:rPr>
          <w:lang w:val="fr-FR"/>
        </w:rPr>
        <w:br/>
      </w:r>
      <w:r w:rsidRPr="006A32B2">
        <w:rPr>
          <w:lang w:val="fr-FR"/>
        </w:rPr>
        <w:t>réparation et à permettre la réconciliation</w:t>
      </w:r>
    </w:p>
    <w:p w14:paraId="51FB0B31" w14:textId="1B88D046" w:rsidR="00225673" w:rsidRPr="006A32B2" w:rsidRDefault="00225673" w:rsidP="00750B68">
      <w:pPr>
        <w:pStyle w:val="SingleTxtG"/>
        <w:rPr>
          <w:lang w:val="fr-FR"/>
        </w:rPr>
      </w:pPr>
      <w:r w:rsidRPr="006A32B2">
        <w:rPr>
          <w:lang w:val="fr-FR"/>
        </w:rPr>
        <w:t>45.</w:t>
      </w:r>
      <w:r w:rsidRPr="006A32B2">
        <w:rPr>
          <w:lang w:val="fr-FR"/>
        </w:rPr>
        <w:tab/>
        <w:t xml:space="preserve">Les autorités ne se sont pas montrées disposées à modifier les lois </w:t>
      </w:r>
      <w:r>
        <w:rPr>
          <w:lang w:val="fr-FR"/>
        </w:rPr>
        <w:t>n</w:t>
      </w:r>
      <w:r w:rsidRPr="003766A8">
        <w:rPr>
          <w:vertAlign w:val="superscript"/>
          <w:lang w:val="fr-FR"/>
        </w:rPr>
        <w:t>os</w:t>
      </w:r>
      <w:r>
        <w:rPr>
          <w:lang w:val="fr-FR"/>
        </w:rPr>
        <w:t xml:space="preserve"> </w:t>
      </w:r>
      <w:r w:rsidRPr="006A32B2">
        <w:rPr>
          <w:lang w:val="fr-FR"/>
        </w:rPr>
        <w:t>985, 994 et 996</w:t>
      </w:r>
      <w:r w:rsidRPr="006A32B2">
        <w:rPr>
          <w:rStyle w:val="Appelnotedebasdep"/>
          <w:lang w:val="fr-FR"/>
        </w:rPr>
        <w:footnoteReference w:id="54"/>
      </w:r>
      <w:r w:rsidRPr="006A32B2">
        <w:rPr>
          <w:lang w:val="fr-FR"/>
        </w:rPr>
        <w:t>, adoptées en 2019, qui empêchent les victimes de violations graves des droits de l</w:t>
      </w:r>
      <w:r>
        <w:rPr>
          <w:lang w:val="fr-FR"/>
        </w:rPr>
        <w:t>’</w:t>
      </w:r>
      <w:r w:rsidRPr="006A32B2">
        <w:rPr>
          <w:lang w:val="fr-FR"/>
        </w:rPr>
        <w:t>homme d</w:t>
      </w:r>
      <w:r>
        <w:rPr>
          <w:lang w:val="fr-FR"/>
        </w:rPr>
        <w:t>’</w:t>
      </w:r>
      <w:r w:rsidRPr="006A32B2">
        <w:rPr>
          <w:lang w:val="fr-FR"/>
        </w:rPr>
        <w:t>exercer leurs droits à un recours et à réparation. À plusieurs reprises, le Gouvernement a souligné qu</w:t>
      </w:r>
      <w:r>
        <w:rPr>
          <w:lang w:val="fr-FR"/>
        </w:rPr>
        <w:t>’</w:t>
      </w:r>
      <w:r w:rsidRPr="006A32B2">
        <w:rPr>
          <w:lang w:val="fr-FR"/>
        </w:rPr>
        <w:t xml:space="preserve">au </w:t>
      </w:r>
      <w:r>
        <w:rPr>
          <w:lang w:val="fr-FR"/>
        </w:rPr>
        <w:t>regard</w:t>
      </w:r>
      <w:r w:rsidRPr="006A32B2">
        <w:rPr>
          <w:lang w:val="fr-FR"/>
        </w:rPr>
        <w:t xml:space="preserve"> de la loi d</w:t>
      </w:r>
      <w:r>
        <w:rPr>
          <w:lang w:val="fr-FR"/>
        </w:rPr>
        <w:t>’</w:t>
      </w:r>
      <w:r w:rsidRPr="006A32B2">
        <w:rPr>
          <w:lang w:val="fr-FR"/>
        </w:rPr>
        <w:t>amnistie, il n</w:t>
      </w:r>
      <w:r>
        <w:rPr>
          <w:lang w:val="fr-FR"/>
        </w:rPr>
        <w:t>’</w:t>
      </w:r>
      <w:r w:rsidRPr="006A32B2">
        <w:rPr>
          <w:lang w:val="fr-FR"/>
        </w:rPr>
        <w:t>était pas possible d</w:t>
      </w:r>
      <w:r>
        <w:rPr>
          <w:lang w:val="fr-FR"/>
        </w:rPr>
        <w:t>’</w:t>
      </w:r>
      <w:r w:rsidRPr="006A32B2">
        <w:rPr>
          <w:lang w:val="fr-FR"/>
        </w:rPr>
        <w:t xml:space="preserve">enquêter sur les </w:t>
      </w:r>
      <w:r>
        <w:rPr>
          <w:lang w:val="fr-FR"/>
        </w:rPr>
        <w:t>événements survenus</w:t>
      </w:r>
      <w:r w:rsidRPr="006A32B2">
        <w:rPr>
          <w:lang w:val="fr-FR"/>
        </w:rPr>
        <w:t xml:space="preserve"> entre le 18 avril 2018 et le 10 juin 2019. Cette loi a également été invoquée aux fins de la clôture d</w:t>
      </w:r>
      <w:r>
        <w:rPr>
          <w:lang w:val="fr-FR"/>
        </w:rPr>
        <w:t>’</w:t>
      </w:r>
      <w:r w:rsidRPr="006A32B2">
        <w:rPr>
          <w:lang w:val="fr-FR"/>
        </w:rPr>
        <w:t>une enquête pénale sur le meurtre d</w:t>
      </w:r>
      <w:r>
        <w:rPr>
          <w:lang w:val="fr-FR"/>
        </w:rPr>
        <w:t>’</w:t>
      </w:r>
      <w:r w:rsidRPr="006A32B2">
        <w:rPr>
          <w:lang w:val="fr-FR"/>
        </w:rPr>
        <w:t>un détenu, commis lors d</w:t>
      </w:r>
      <w:r>
        <w:rPr>
          <w:lang w:val="fr-FR"/>
        </w:rPr>
        <w:t>’</w:t>
      </w:r>
      <w:r w:rsidRPr="006A32B2">
        <w:rPr>
          <w:lang w:val="fr-FR"/>
        </w:rPr>
        <w:t>un</w:t>
      </w:r>
      <w:r>
        <w:rPr>
          <w:lang w:val="fr-FR"/>
        </w:rPr>
        <w:t xml:space="preserve">e émeute </w:t>
      </w:r>
      <w:r w:rsidRPr="006A32B2">
        <w:rPr>
          <w:lang w:val="fr-FR"/>
        </w:rPr>
        <w:t>survenu</w:t>
      </w:r>
      <w:r>
        <w:rPr>
          <w:lang w:val="fr-FR"/>
        </w:rPr>
        <w:t>e</w:t>
      </w:r>
      <w:r w:rsidRPr="006A32B2">
        <w:rPr>
          <w:lang w:val="fr-FR"/>
        </w:rPr>
        <w:t xml:space="preserve"> </w:t>
      </w:r>
      <w:r>
        <w:rPr>
          <w:lang w:val="fr-FR"/>
        </w:rPr>
        <w:t>à</w:t>
      </w:r>
      <w:r w:rsidRPr="006A32B2">
        <w:rPr>
          <w:lang w:val="fr-FR"/>
        </w:rPr>
        <w:t xml:space="preserve"> la prison de La Modelo en mai 2019</w:t>
      </w:r>
      <w:r w:rsidRPr="006A32B2">
        <w:rPr>
          <w:rStyle w:val="Appelnotedebasdep"/>
          <w:lang w:val="fr-FR"/>
        </w:rPr>
        <w:footnoteReference w:id="55"/>
      </w:r>
      <w:r w:rsidRPr="006A32B2">
        <w:rPr>
          <w:lang w:val="fr-FR"/>
        </w:rPr>
        <w:t>. Le HCDH rappelle que les amnisties ne sont pas autorisées par le droit international lorsqu</w:t>
      </w:r>
      <w:r>
        <w:rPr>
          <w:lang w:val="fr-FR"/>
        </w:rPr>
        <w:t>’</w:t>
      </w:r>
      <w:r w:rsidRPr="006A32B2">
        <w:rPr>
          <w:lang w:val="fr-FR"/>
        </w:rPr>
        <w:t>elles empêchent de poursuivre les auteurs de violations graves des droits de l</w:t>
      </w:r>
      <w:r>
        <w:rPr>
          <w:lang w:val="fr-FR"/>
        </w:rPr>
        <w:t>’</w:t>
      </w:r>
      <w:r w:rsidRPr="006A32B2">
        <w:rPr>
          <w:lang w:val="fr-FR"/>
        </w:rPr>
        <w:t>homme ou portent atteinte aux droits des victimes à la vérité, à la justice, à réparation ou à des garanties de non-répétition</w:t>
      </w:r>
      <w:r w:rsidRPr="006A32B2">
        <w:rPr>
          <w:rStyle w:val="Appelnotedebasdep"/>
          <w:lang w:val="fr-FR"/>
        </w:rPr>
        <w:footnoteReference w:id="56"/>
      </w:r>
      <w:r w:rsidRPr="006A32B2">
        <w:rPr>
          <w:lang w:val="fr-FR"/>
        </w:rPr>
        <w:t>.</w:t>
      </w:r>
    </w:p>
    <w:p w14:paraId="26E9470C" w14:textId="563041C2" w:rsidR="00225673" w:rsidRPr="006A32B2" w:rsidRDefault="00225673" w:rsidP="007B115A">
      <w:pPr>
        <w:pStyle w:val="SingleTxtG"/>
        <w:rPr>
          <w:lang w:val="fr-FR"/>
        </w:rPr>
      </w:pPr>
      <w:r w:rsidRPr="006A32B2">
        <w:rPr>
          <w:lang w:val="fr-FR"/>
        </w:rPr>
        <w:t>46.</w:t>
      </w:r>
      <w:r w:rsidRPr="006A32B2">
        <w:rPr>
          <w:lang w:val="fr-FR"/>
        </w:rPr>
        <w:tab/>
        <w:t>Le HCDH n</w:t>
      </w:r>
      <w:r>
        <w:rPr>
          <w:lang w:val="fr-FR"/>
        </w:rPr>
        <w:t>’</w:t>
      </w:r>
      <w:r w:rsidRPr="006A32B2">
        <w:rPr>
          <w:lang w:val="fr-FR"/>
        </w:rPr>
        <w:t xml:space="preserve">a pas reçu de renseignements détaillés concernant les programmes et les mesures mis en œuvre </w:t>
      </w:r>
      <w:r>
        <w:rPr>
          <w:lang w:val="fr-FR"/>
        </w:rPr>
        <w:t>en application</w:t>
      </w:r>
      <w:r w:rsidRPr="006A32B2">
        <w:rPr>
          <w:lang w:val="fr-FR"/>
        </w:rPr>
        <w:t xml:space="preserve"> des lois</w:t>
      </w:r>
      <w:r>
        <w:rPr>
          <w:lang w:val="fr-FR"/>
        </w:rPr>
        <w:t xml:space="preserve"> n</w:t>
      </w:r>
      <w:r>
        <w:rPr>
          <w:vertAlign w:val="superscript"/>
          <w:lang w:val="fr-FR"/>
        </w:rPr>
        <w:t>os</w:t>
      </w:r>
      <w:r w:rsidRPr="006A32B2">
        <w:rPr>
          <w:lang w:val="fr-FR"/>
        </w:rPr>
        <w:t xml:space="preserve"> 985 et 994. Le Gouvernement a fait référence en termes généraux</w:t>
      </w:r>
      <w:r w:rsidRPr="006A32B2">
        <w:rPr>
          <w:rStyle w:val="Appelnotedebasdep"/>
          <w:lang w:val="fr-FR"/>
        </w:rPr>
        <w:footnoteReference w:id="57"/>
      </w:r>
      <w:r w:rsidRPr="006A32B2">
        <w:rPr>
          <w:lang w:val="fr-FR"/>
        </w:rPr>
        <w:t xml:space="preserve"> à des </w:t>
      </w:r>
      <w:r>
        <w:rPr>
          <w:lang w:val="fr-FR"/>
        </w:rPr>
        <w:t>« </w:t>
      </w:r>
      <w:r w:rsidRPr="006A32B2">
        <w:rPr>
          <w:lang w:val="fr-FR"/>
        </w:rPr>
        <w:t>mesures intensives</w:t>
      </w:r>
      <w:r>
        <w:rPr>
          <w:lang w:val="fr-FR"/>
        </w:rPr>
        <w:t> »</w:t>
      </w:r>
      <w:r w:rsidRPr="006A32B2">
        <w:rPr>
          <w:lang w:val="fr-FR"/>
        </w:rPr>
        <w:t xml:space="preserve"> prises par l</w:t>
      </w:r>
      <w:r>
        <w:rPr>
          <w:lang w:val="fr-FR"/>
        </w:rPr>
        <w:t>’</w:t>
      </w:r>
      <w:r w:rsidRPr="006A32B2">
        <w:rPr>
          <w:lang w:val="fr-FR"/>
        </w:rPr>
        <w:t>institution nationale des droits de l</w:t>
      </w:r>
      <w:r>
        <w:rPr>
          <w:lang w:val="fr-FR"/>
        </w:rPr>
        <w:t>’</w:t>
      </w:r>
      <w:r w:rsidRPr="006A32B2">
        <w:rPr>
          <w:lang w:val="fr-FR"/>
        </w:rPr>
        <w:t>homme, à savoir le Bureau du Défenseur des droits de l</w:t>
      </w:r>
      <w:r>
        <w:rPr>
          <w:lang w:val="fr-FR"/>
        </w:rPr>
        <w:t>’</w:t>
      </w:r>
      <w:r w:rsidRPr="006A32B2">
        <w:rPr>
          <w:lang w:val="fr-FR"/>
        </w:rPr>
        <w:t>homme (</w:t>
      </w:r>
      <w:r w:rsidRPr="003766A8">
        <w:rPr>
          <w:i/>
          <w:iCs/>
          <w:lang w:val="fr-FR"/>
        </w:rPr>
        <w:t>Procuraduría para la Defensa de los Derechos Humanos</w:t>
      </w:r>
      <w:r w:rsidRPr="006A32B2">
        <w:rPr>
          <w:lang w:val="fr-FR"/>
        </w:rPr>
        <w:t>), qui aurait rendu visite</w:t>
      </w:r>
      <w:r>
        <w:rPr>
          <w:lang w:val="fr-FR"/>
        </w:rPr>
        <w:t xml:space="preserve"> </w:t>
      </w:r>
      <w:r w:rsidRPr="006A32B2">
        <w:rPr>
          <w:lang w:val="fr-FR"/>
        </w:rPr>
        <w:t xml:space="preserve">à </w:t>
      </w:r>
      <w:r>
        <w:rPr>
          <w:lang w:val="fr-FR"/>
        </w:rPr>
        <w:t>« </w:t>
      </w:r>
      <w:r w:rsidRPr="006A32B2">
        <w:rPr>
          <w:lang w:val="fr-FR"/>
        </w:rPr>
        <w:t>toutes les victimes</w:t>
      </w:r>
      <w:r>
        <w:rPr>
          <w:lang w:val="fr-FR"/>
        </w:rPr>
        <w:t> »</w:t>
      </w:r>
      <w:r w:rsidRPr="006A32B2">
        <w:rPr>
          <w:lang w:val="fr-FR"/>
        </w:rPr>
        <w:t>, en compagnie de membres du Ministère de la santé et du Ministère de la famille, de la jeunesse et des enfants.</w:t>
      </w:r>
    </w:p>
    <w:p w14:paraId="5E574E94" w14:textId="0E46F94C" w:rsidR="00225673" w:rsidRPr="006A32B2" w:rsidRDefault="00225673" w:rsidP="007B115A">
      <w:pPr>
        <w:pStyle w:val="SingleTxtG"/>
        <w:rPr>
          <w:lang w:val="fr-FR"/>
        </w:rPr>
      </w:pPr>
      <w:r w:rsidRPr="006A32B2">
        <w:rPr>
          <w:lang w:val="fr-FR"/>
        </w:rPr>
        <w:t>47.</w:t>
      </w:r>
      <w:r w:rsidRPr="006A32B2">
        <w:rPr>
          <w:lang w:val="fr-FR"/>
        </w:rPr>
        <w:tab/>
        <w:t>Depuis le début des manifestations de 2018, les pouvoirs publi</w:t>
      </w:r>
      <w:r>
        <w:rPr>
          <w:lang w:val="fr-FR"/>
        </w:rPr>
        <w:t>c</w:t>
      </w:r>
      <w:r w:rsidRPr="006A32B2">
        <w:rPr>
          <w:lang w:val="fr-FR"/>
        </w:rPr>
        <w:t>s n</w:t>
      </w:r>
      <w:r>
        <w:rPr>
          <w:lang w:val="fr-FR"/>
        </w:rPr>
        <w:t>’</w:t>
      </w:r>
      <w:r w:rsidRPr="006A32B2">
        <w:rPr>
          <w:lang w:val="fr-FR"/>
        </w:rPr>
        <w:t>ont reconnu aucune des violations des droits de l</w:t>
      </w:r>
      <w:r>
        <w:rPr>
          <w:lang w:val="fr-FR"/>
        </w:rPr>
        <w:t>’</w:t>
      </w:r>
      <w:r w:rsidRPr="006A32B2">
        <w:rPr>
          <w:lang w:val="fr-FR"/>
        </w:rPr>
        <w:t xml:space="preserve">homme pourtant largement attestées par des institutions régionales et internationales ainsi que par des organisations non gouvernementales du pays. Comme il a été expliqué plus haut, dans le discours officiel selon lequel le pays a subi une tentative de </w:t>
      </w:r>
      <w:r>
        <w:rPr>
          <w:lang w:val="fr-FR"/>
        </w:rPr>
        <w:t>« </w:t>
      </w:r>
      <w:r w:rsidRPr="006A32B2">
        <w:rPr>
          <w:lang w:val="fr-FR"/>
        </w:rPr>
        <w:t>coup d</w:t>
      </w:r>
      <w:r>
        <w:rPr>
          <w:lang w:val="fr-FR"/>
        </w:rPr>
        <w:t>’</w:t>
      </w:r>
      <w:r w:rsidRPr="006A32B2">
        <w:rPr>
          <w:lang w:val="fr-FR"/>
        </w:rPr>
        <w:t>état</w:t>
      </w:r>
      <w:r>
        <w:rPr>
          <w:lang w:val="fr-FR"/>
        </w:rPr>
        <w:t> »</w:t>
      </w:r>
      <w:r w:rsidRPr="006A32B2">
        <w:rPr>
          <w:lang w:val="fr-FR"/>
        </w:rPr>
        <w:t>, les participants aux manifestations ont souvent été qualifiés de traîtres, de terroristes ou de putschistes.</w:t>
      </w:r>
    </w:p>
    <w:p w14:paraId="566E7EF2" w14:textId="1A739DCD" w:rsidR="00225673" w:rsidRPr="006A32B2" w:rsidRDefault="00225673" w:rsidP="007B115A">
      <w:pPr>
        <w:pStyle w:val="SingleTxtG"/>
        <w:rPr>
          <w:lang w:val="fr-FR"/>
        </w:rPr>
      </w:pPr>
      <w:r w:rsidRPr="006A32B2">
        <w:rPr>
          <w:lang w:val="fr-FR"/>
        </w:rPr>
        <w:t>48.</w:t>
      </w:r>
      <w:r w:rsidRPr="006A32B2">
        <w:rPr>
          <w:lang w:val="fr-FR"/>
        </w:rPr>
        <w:tab/>
        <w:t>Le 30 septembre 2019, à Managua, l</w:t>
      </w:r>
      <w:r>
        <w:rPr>
          <w:lang w:val="fr-FR"/>
        </w:rPr>
        <w:t>’</w:t>
      </w:r>
      <w:r w:rsidRPr="006A32B2">
        <w:rPr>
          <w:lang w:val="fr-FR"/>
        </w:rPr>
        <w:t xml:space="preserve">association Madres de Abril a inauguré un musée de la mémoire destiné à </w:t>
      </w:r>
      <w:r>
        <w:rPr>
          <w:lang w:val="fr-FR"/>
        </w:rPr>
        <w:t>« </w:t>
      </w:r>
      <w:r w:rsidRPr="006A32B2">
        <w:rPr>
          <w:lang w:val="fr-FR"/>
        </w:rPr>
        <w:t>faire valoir le statut de victime, le souvenir et la dignité</w:t>
      </w:r>
      <w:r>
        <w:rPr>
          <w:lang w:val="fr-FR"/>
        </w:rPr>
        <w:t> »</w:t>
      </w:r>
      <w:r w:rsidRPr="006A32B2">
        <w:rPr>
          <w:lang w:val="fr-FR"/>
        </w:rPr>
        <w:t xml:space="preserve"> de 71 des plus de 300 personnes tuées </w:t>
      </w:r>
      <w:r>
        <w:rPr>
          <w:lang w:val="fr-FR"/>
        </w:rPr>
        <w:t>au cours</w:t>
      </w:r>
      <w:r w:rsidRPr="006A32B2">
        <w:rPr>
          <w:lang w:val="fr-FR"/>
        </w:rPr>
        <w:t xml:space="preserve"> des manifestations de 2018</w:t>
      </w:r>
      <w:r w:rsidRPr="006A32B2">
        <w:rPr>
          <w:rStyle w:val="Appelnotedebasdep"/>
          <w:lang w:val="fr-FR"/>
        </w:rPr>
        <w:footnoteReference w:id="58"/>
      </w:r>
      <w:r w:rsidRPr="006A32B2">
        <w:rPr>
          <w:lang w:val="fr-FR"/>
        </w:rPr>
        <w:t>. À la suite de cette initiative, l</w:t>
      </w:r>
      <w:r>
        <w:rPr>
          <w:lang w:val="fr-FR"/>
        </w:rPr>
        <w:t>’</w:t>
      </w:r>
      <w:r w:rsidRPr="006A32B2">
        <w:rPr>
          <w:lang w:val="fr-FR"/>
        </w:rPr>
        <w:t>association a indiqué que ses membres, dont la plupart sont des femmes, avaient été la cible de très nombreux actes de harcèlement et d</w:t>
      </w:r>
      <w:r>
        <w:rPr>
          <w:lang w:val="fr-FR"/>
        </w:rPr>
        <w:t>’</w:t>
      </w:r>
      <w:r w:rsidRPr="006A32B2">
        <w:rPr>
          <w:lang w:val="fr-FR"/>
        </w:rPr>
        <w:t>intimidation commis par la police et par des éléments progouvernementaux à Carazo, Ticuantepe, León, Estelí et Managua. Les membres de l</w:t>
      </w:r>
      <w:r>
        <w:rPr>
          <w:lang w:val="fr-FR"/>
        </w:rPr>
        <w:t>’</w:t>
      </w:r>
      <w:r w:rsidRPr="006A32B2">
        <w:rPr>
          <w:lang w:val="fr-FR"/>
        </w:rPr>
        <w:t>association ont affirmé que leur domicile était sous surveillance constante et qu</w:t>
      </w:r>
      <w:r>
        <w:rPr>
          <w:lang w:val="fr-FR"/>
        </w:rPr>
        <w:t>’</w:t>
      </w:r>
      <w:r w:rsidRPr="006A32B2">
        <w:rPr>
          <w:lang w:val="fr-FR"/>
        </w:rPr>
        <w:t xml:space="preserve">on les empêchait </w:t>
      </w:r>
      <w:r>
        <w:rPr>
          <w:lang w:val="fr-FR"/>
        </w:rPr>
        <w:t xml:space="preserve">d’organiser des cérémonies religieuses </w:t>
      </w:r>
      <w:r w:rsidRPr="006A32B2">
        <w:rPr>
          <w:lang w:val="fr-FR"/>
        </w:rPr>
        <w:t>en mémoire de leurs êtres chers. Les 29 octobre et 1</w:t>
      </w:r>
      <w:r w:rsidRPr="008F284A">
        <w:rPr>
          <w:vertAlign w:val="superscript"/>
          <w:lang w:val="fr-FR"/>
        </w:rPr>
        <w:t>er</w:t>
      </w:r>
      <w:r>
        <w:rPr>
          <w:lang w:val="fr-FR"/>
        </w:rPr>
        <w:t xml:space="preserve"> </w:t>
      </w:r>
      <w:r w:rsidRPr="006A32B2">
        <w:rPr>
          <w:lang w:val="fr-FR"/>
        </w:rPr>
        <w:t>novembre 2019, respectivement</w:t>
      </w:r>
      <w:r>
        <w:rPr>
          <w:lang w:val="fr-FR"/>
        </w:rPr>
        <w:t>,</w:t>
      </w:r>
      <w:r w:rsidRPr="006A32B2">
        <w:rPr>
          <w:lang w:val="fr-FR"/>
        </w:rPr>
        <w:t xml:space="preserve"> les sépultures de parents de deux membres de l</w:t>
      </w:r>
      <w:r>
        <w:rPr>
          <w:lang w:val="fr-FR"/>
        </w:rPr>
        <w:t>’</w:t>
      </w:r>
      <w:r w:rsidRPr="006A32B2">
        <w:rPr>
          <w:lang w:val="fr-FR"/>
        </w:rPr>
        <w:t>association ont été vandalisées et recouvertes d</w:t>
      </w:r>
      <w:r>
        <w:rPr>
          <w:lang w:val="fr-FR"/>
        </w:rPr>
        <w:t>’</w:t>
      </w:r>
      <w:r w:rsidRPr="006A32B2">
        <w:rPr>
          <w:lang w:val="fr-FR"/>
        </w:rPr>
        <w:t>inscriptions injurieuses à caractère politique.</w:t>
      </w:r>
    </w:p>
    <w:p w14:paraId="6808FB6E" w14:textId="324E347F" w:rsidR="00225673" w:rsidRPr="006A32B2" w:rsidRDefault="00225673" w:rsidP="007B115A">
      <w:pPr>
        <w:pStyle w:val="HChG"/>
        <w:rPr>
          <w:lang w:val="fr-FR"/>
        </w:rPr>
      </w:pPr>
      <w:r>
        <w:rPr>
          <w:lang w:val="fr-FR"/>
        </w:rPr>
        <w:lastRenderedPageBreak/>
        <w:tab/>
      </w:r>
      <w:r w:rsidRPr="006A32B2">
        <w:rPr>
          <w:lang w:val="fr-FR"/>
        </w:rPr>
        <w:t>X.</w:t>
      </w:r>
      <w:r w:rsidRPr="006A32B2">
        <w:rPr>
          <w:lang w:val="fr-FR"/>
        </w:rPr>
        <w:tab/>
        <w:t>Peuples autochtones et personnes d</w:t>
      </w:r>
      <w:r>
        <w:rPr>
          <w:lang w:val="fr-FR"/>
        </w:rPr>
        <w:t>’</w:t>
      </w:r>
      <w:r w:rsidRPr="006A32B2">
        <w:rPr>
          <w:lang w:val="fr-FR"/>
        </w:rPr>
        <w:t>ascendance africaine</w:t>
      </w:r>
    </w:p>
    <w:p w14:paraId="3BA28BEB" w14:textId="5661B0F3" w:rsidR="00225673" w:rsidRPr="006A32B2" w:rsidRDefault="00225673" w:rsidP="007B115A">
      <w:pPr>
        <w:pStyle w:val="SingleTxtG"/>
        <w:rPr>
          <w:lang w:val="fr-FR"/>
        </w:rPr>
      </w:pPr>
      <w:r w:rsidRPr="006A32B2">
        <w:rPr>
          <w:lang w:val="fr-FR"/>
        </w:rPr>
        <w:t>49.</w:t>
      </w:r>
      <w:r w:rsidRPr="006A32B2">
        <w:rPr>
          <w:lang w:val="fr-FR"/>
        </w:rPr>
        <w:tab/>
        <w:t>Au Nicaragua, les</w:t>
      </w:r>
      <w:r>
        <w:rPr>
          <w:lang w:val="fr-FR"/>
        </w:rPr>
        <w:t xml:space="preserve"> zones où vivent les</w:t>
      </w:r>
      <w:r w:rsidRPr="006A32B2">
        <w:rPr>
          <w:lang w:val="fr-FR"/>
        </w:rPr>
        <w:t xml:space="preserve"> peuples autochtones et</w:t>
      </w:r>
      <w:r>
        <w:rPr>
          <w:lang w:val="fr-FR"/>
        </w:rPr>
        <w:t xml:space="preserve"> les</w:t>
      </w:r>
      <w:r w:rsidRPr="006A32B2">
        <w:rPr>
          <w:lang w:val="fr-FR"/>
        </w:rPr>
        <w:t xml:space="preserve"> personnes d</w:t>
      </w:r>
      <w:r>
        <w:rPr>
          <w:lang w:val="fr-FR"/>
        </w:rPr>
        <w:t>’</w:t>
      </w:r>
      <w:r w:rsidRPr="006A32B2">
        <w:rPr>
          <w:lang w:val="fr-FR"/>
        </w:rPr>
        <w:t xml:space="preserve">ascendance africaine </w:t>
      </w:r>
      <w:r>
        <w:rPr>
          <w:lang w:val="fr-FR"/>
        </w:rPr>
        <w:t>représentent</w:t>
      </w:r>
      <w:r w:rsidRPr="006A32B2">
        <w:rPr>
          <w:lang w:val="fr-FR"/>
        </w:rPr>
        <w:t xml:space="preserve"> 31 % du territoire national. </w:t>
      </w:r>
      <w:r>
        <w:rPr>
          <w:lang w:val="fr-FR"/>
        </w:rPr>
        <w:t>En 2003, les autorités ont adopté l</w:t>
      </w:r>
      <w:r w:rsidRPr="006A32B2">
        <w:rPr>
          <w:lang w:val="fr-FR"/>
        </w:rPr>
        <w:t xml:space="preserve">a loi </w:t>
      </w:r>
      <w:r w:rsidR="007B115A" w:rsidRPr="007B115A">
        <w:rPr>
          <w:rFonts w:eastAsia="MS Mincho"/>
          <w:lang w:val="fr-FR"/>
        </w:rPr>
        <w:t>n</w:t>
      </w:r>
      <w:r w:rsidR="007B115A" w:rsidRPr="007B115A">
        <w:rPr>
          <w:rFonts w:eastAsia="MS Mincho"/>
          <w:vertAlign w:val="superscript"/>
          <w:lang w:val="fr-FR"/>
        </w:rPr>
        <w:t>o</w:t>
      </w:r>
      <w:r w:rsidR="007B115A">
        <w:rPr>
          <w:lang w:val="fr-FR"/>
        </w:rPr>
        <w:t> </w:t>
      </w:r>
      <w:r w:rsidRPr="006A32B2">
        <w:rPr>
          <w:lang w:val="fr-FR"/>
        </w:rPr>
        <w:t>445, qui reconnaît l</w:t>
      </w:r>
      <w:r>
        <w:rPr>
          <w:lang w:val="fr-FR"/>
        </w:rPr>
        <w:t>’</w:t>
      </w:r>
      <w:r w:rsidRPr="006A32B2">
        <w:rPr>
          <w:lang w:val="fr-FR"/>
        </w:rPr>
        <w:t>occupation de plus de 37 842 km</w:t>
      </w:r>
      <w:r w:rsidRPr="008F284A">
        <w:rPr>
          <w:vertAlign w:val="superscript"/>
          <w:lang w:val="fr-FR"/>
        </w:rPr>
        <w:t>2</w:t>
      </w:r>
      <w:r w:rsidRPr="006A32B2">
        <w:rPr>
          <w:lang w:val="fr-FR"/>
        </w:rPr>
        <w:t xml:space="preserve"> de terres collectives</w:t>
      </w:r>
      <w:r w:rsidRPr="006A32B2">
        <w:rPr>
          <w:rStyle w:val="Appelnotedebasdep"/>
          <w:lang w:val="fr-FR"/>
        </w:rPr>
        <w:footnoteReference w:id="59"/>
      </w:r>
      <w:r w:rsidRPr="006A32B2">
        <w:rPr>
          <w:lang w:val="fr-FR"/>
        </w:rPr>
        <w:t xml:space="preserve">, </w:t>
      </w:r>
      <w:r>
        <w:rPr>
          <w:lang w:val="fr-FR"/>
        </w:rPr>
        <w:t>dont</w:t>
      </w:r>
      <w:r w:rsidRPr="006A32B2">
        <w:rPr>
          <w:lang w:val="fr-FR"/>
        </w:rPr>
        <w:t xml:space="preserve"> 23 territoires de peuples autochtones où résident 304 communautés. Ces communautés se heurtent toutefois à des problèmes puisqu</w:t>
      </w:r>
      <w:r>
        <w:rPr>
          <w:lang w:val="fr-FR"/>
        </w:rPr>
        <w:t>’e</w:t>
      </w:r>
      <w:r w:rsidRPr="006A32B2">
        <w:rPr>
          <w:lang w:val="fr-FR"/>
        </w:rPr>
        <w:t>l</w:t>
      </w:r>
      <w:r>
        <w:rPr>
          <w:lang w:val="fr-FR"/>
        </w:rPr>
        <w:t>le</w:t>
      </w:r>
      <w:r w:rsidRPr="006A32B2">
        <w:rPr>
          <w:lang w:val="fr-FR"/>
        </w:rPr>
        <w:t>s sont la cible d</w:t>
      </w:r>
      <w:r>
        <w:rPr>
          <w:lang w:val="fr-FR"/>
        </w:rPr>
        <w:t>’</w:t>
      </w:r>
      <w:r w:rsidRPr="006A32B2">
        <w:rPr>
          <w:lang w:val="fr-FR"/>
        </w:rPr>
        <w:t xml:space="preserve">invasions récurrentes et de violentes attaques menées par </w:t>
      </w:r>
      <w:r>
        <w:rPr>
          <w:lang w:val="fr-FR"/>
        </w:rPr>
        <w:t>d</w:t>
      </w:r>
      <w:r w:rsidRPr="006A32B2">
        <w:rPr>
          <w:lang w:val="fr-FR"/>
        </w:rPr>
        <w:t>es colons (</w:t>
      </w:r>
      <w:r w:rsidRPr="006A32B2">
        <w:rPr>
          <w:i/>
          <w:iCs/>
          <w:lang w:val="fr-FR"/>
        </w:rPr>
        <w:t>colonos</w:t>
      </w:r>
      <w:r w:rsidRPr="006A32B2">
        <w:rPr>
          <w:lang w:val="fr-FR"/>
        </w:rPr>
        <w:t>). Lorsqu</w:t>
      </w:r>
      <w:r>
        <w:rPr>
          <w:lang w:val="fr-FR"/>
        </w:rPr>
        <w:t>’</w:t>
      </w:r>
      <w:r w:rsidRPr="006A32B2">
        <w:rPr>
          <w:lang w:val="fr-FR"/>
        </w:rPr>
        <w:t>elles perdent leurs terres, elles sont également en proie à la faim et aux maladies</w:t>
      </w:r>
      <w:r w:rsidRPr="006A32B2">
        <w:rPr>
          <w:rStyle w:val="Appelnotedebasdep"/>
          <w:lang w:val="fr-FR"/>
        </w:rPr>
        <w:footnoteReference w:id="60"/>
      </w:r>
      <w:r w:rsidRPr="006A32B2">
        <w:rPr>
          <w:lang w:val="fr-FR"/>
        </w:rPr>
        <w:t>.</w:t>
      </w:r>
    </w:p>
    <w:p w14:paraId="65DE91DB" w14:textId="4CDE3319" w:rsidR="00225673" w:rsidRPr="006A32B2" w:rsidRDefault="00225673" w:rsidP="007B115A">
      <w:pPr>
        <w:pStyle w:val="SingleTxtG"/>
        <w:rPr>
          <w:lang w:val="fr-FR"/>
        </w:rPr>
      </w:pPr>
      <w:r w:rsidRPr="006A32B2">
        <w:rPr>
          <w:lang w:val="fr-FR"/>
        </w:rPr>
        <w:t>50.</w:t>
      </w:r>
      <w:r w:rsidRPr="006A32B2">
        <w:rPr>
          <w:lang w:val="fr-FR"/>
        </w:rPr>
        <w:tab/>
        <w:t xml:space="preserve">Entre octobre 2019 et janvier 2020, la </w:t>
      </w:r>
      <w:r>
        <w:rPr>
          <w:lang w:val="fr-FR"/>
        </w:rPr>
        <w:t>P</w:t>
      </w:r>
      <w:r w:rsidRPr="006A32B2">
        <w:rPr>
          <w:lang w:val="fr-FR"/>
        </w:rPr>
        <w:t xml:space="preserve">olice nationale a recensé 20 </w:t>
      </w:r>
      <w:r>
        <w:rPr>
          <w:lang w:val="fr-FR"/>
        </w:rPr>
        <w:t>faits d’</w:t>
      </w:r>
      <w:r w:rsidRPr="006A32B2">
        <w:rPr>
          <w:lang w:val="fr-FR"/>
        </w:rPr>
        <w:t>homicide (</w:t>
      </w:r>
      <w:r>
        <w:rPr>
          <w:lang w:val="fr-FR"/>
        </w:rPr>
        <w:t xml:space="preserve">visant </w:t>
      </w:r>
      <w:r w:rsidRPr="006A32B2">
        <w:rPr>
          <w:lang w:val="fr-FR"/>
        </w:rPr>
        <w:t xml:space="preserve">19 hommes et une femme), deux </w:t>
      </w:r>
      <w:r>
        <w:rPr>
          <w:lang w:val="fr-FR"/>
        </w:rPr>
        <w:t xml:space="preserve">cas de </w:t>
      </w:r>
      <w:r w:rsidRPr="006A32B2">
        <w:rPr>
          <w:lang w:val="fr-FR"/>
        </w:rPr>
        <w:t xml:space="preserve">disparition et </w:t>
      </w:r>
      <w:r w:rsidR="00E61BDE">
        <w:rPr>
          <w:lang w:val="fr-FR"/>
        </w:rPr>
        <w:t>deux</w:t>
      </w:r>
      <w:r w:rsidRPr="006A32B2">
        <w:rPr>
          <w:lang w:val="fr-FR"/>
        </w:rPr>
        <w:t xml:space="preserve"> </w:t>
      </w:r>
      <w:r>
        <w:rPr>
          <w:lang w:val="fr-FR"/>
        </w:rPr>
        <w:t>cas de coups et blessures survenus</w:t>
      </w:r>
      <w:r w:rsidRPr="006A32B2">
        <w:rPr>
          <w:lang w:val="fr-FR"/>
        </w:rPr>
        <w:t xml:space="preserve"> dans le cadre de litiges fonciers entre des membres de communautés et des tiers dans la région autonome de la </w:t>
      </w:r>
      <w:r>
        <w:rPr>
          <w:lang w:val="fr-FR"/>
        </w:rPr>
        <w:t>C</w:t>
      </w:r>
      <w:r w:rsidRPr="006A32B2">
        <w:rPr>
          <w:lang w:val="fr-FR"/>
        </w:rPr>
        <w:t>ôte caraïbe nord</w:t>
      </w:r>
      <w:r w:rsidRPr="006A32B2">
        <w:rPr>
          <w:rStyle w:val="Appelnotedebasdep"/>
          <w:lang w:val="fr-FR"/>
        </w:rPr>
        <w:footnoteReference w:id="61"/>
      </w:r>
      <w:r w:rsidRPr="006A32B2">
        <w:rPr>
          <w:lang w:val="fr-FR"/>
        </w:rPr>
        <w:t xml:space="preserve">. En 2020, le HCDH a établi que 10 hommes autochtones avaient été tués et </w:t>
      </w:r>
      <w:r>
        <w:rPr>
          <w:lang w:val="fr-FR"/>
        </w:rPr>
        <w:t xml:space="preserve">que </w:t>
      </w:r>
      <w:r w:rsidRPr="006A32B2">
        <w:rPr>
          <w:lang w:val="fr-FR"/>
        </w:rPr>
        <w:t>six autres ainsi qu</w:t>
      </w:r>
      <w:r>
        <w:rPr>
          <w:lang w:val="fr-FR"/>
        </w:rPr>
        <w:t>’</w:t>
      </w:r>
      <w:r w:rsidRPr="006A32B2">
        <w:rPr>
          <w:lang w:val="fr-FR"/>
        </w:rPr>
        <w:t xml:space="preserve">une fille avaient été blessés dans quatre affaires qui seraient liées à des litiges fonciers dans cette même région. </w:t>
      </w:r>
      <w:r>
        <w:rPr>
          <w:lang w:val="fr-FR"/>
        </w:rPr>
        <w:t>D</w:t>
      </w:r>
      <w:r w:rsidRPr="006A32B2">
        <w:rPr>
          <w:lang w:val="fr-FR"/>
        </w:rPr>
        <w:t>ébut 2020, les autorités ont informé le HCDH qu</w:t>
      </w:r>
      <w:r>
        <w:rPr>
          <w:lang w:val="fr-FR"/>
        </w:rPr>
        <w:t>’</w:t>
      </w:r>
      <w:r w:rsidRPr="006A32B2">
        <w:rPr>
          <w:lang w:val="fr-FR"/>
        </w:rPr>
        <w:t xml:space="preserve">elles avaient mené des enquêtes et déterminé qui étaient les auteurs présumés de certains </w:t>
      </w:r>
      <w:r>
        <w:rPr>
          <w:lang w:val="fr-FR"/>
        </w:rPr>
        <w:t>de ces faits</w:t>
      </w:r>
      <w:r w:rsidRPr="006A32B2">
        <w:rPr>
          <w:rStyle w:val="Appelnotedebasdep"/>
          <w:lang w:val="fr-FR"/>
        </w:rPr>
        <w:footnoteReference w:id="62"/>
      </w:r>
      <w:r w:rsidRPr="006A32B2">
        <w:rPr>
          <w:lang w:val="fr-FR"/>
        </w:rPr>
        <w:t>.</w:t>
      </w:r>
    </w:p>
    <w:p w14:paraId="268E7672" w14:textId="673B6FF7" w:rsidR="00225673" w:rsidRPr="006A32B2" w:rsidRDefault="00225673" w:rsidP="00E61BDE">
      <w:pPr>
        <w:pStyle w:val="SingleTxtG"/>
        <w:rPr>
          <w:lang w:val="fr-FR"/>
        </w:rPr>
      </w:pPr>
      <w:r w:rsidRPr="006A32B2">
        <w:rPr>
          <w:lang w:val="fr-FR"/>
        </w:rPr>
        <w:t>51.</w:t>
      </w:r>
      <w:r w:rsidRPr="006A32B2">
        <w:rPr>
          <w:lang w:val="fr-FR"/>
        </w:rPr>
        <w:tab/>
        <w:t>Les autorités judiciaires et l</w:t>
      </w:r>
      <w:r>
        <w:rPr>
          <w:lang w:val="fr-FR"/>
        </w:rPr>
        <w:t>’</w:t>
      </w:r>
      <w:r w:rsidRPr="006A32B2">
        <w:rPr>
          <w:lang w:val="fr-FR"/>
        </w:rPr>
        <w:t>institution nationale des droits de l</w:t>
      </w:r>
      <w:r>
        <w:rPr>
          <w:lang w:val="fr-FR"/>
        </w:rPr>
        <w:t>’</w:t>
      </w:r>
      <w:r w:rsidRPr="006A32B2">
        <w:rPr>
          <w:lang w:val="fr-FR"/>
        </w:rPr>
        <w:t>homme auraient enquêt</w:t>
      </w:r>
      <w:r>
        <w:rPr>
          <w:lang w:val="fr-FR"/>
        </w:rPr>
        <w:t>é sur</w:t>
      </w:r>
      <w:r w:rsidRPr="006A32B2">
        <w:rPr>
          <w:lang w:val="fr-FR"/>
        </w:rPr>
        <w:t xml:space="preserve"> les faits survenus dans la région autonome de la </w:t>
      </w:r>
      <w:r>
        <w:rPr>
          <w:lang w:val="fr-FR"/>
        </w:rPr>
        <w:t>C</w:t>
      </w:r>
      <w:r w:rsidRPr="006A32B2">
        <w:rPr>
          <w:lang w:val="fr-FR"/>
        </w:rPr>
        <w:t xml:space="preserve">ôte caraïbe nord, notamment </w:t>
      </w:r>
      <w:r>
        <w:rPr>
          <w:lang w:val="fr-FR"/>
        </w:rPr>
        <w:t xml:space="preserve">sur </w:t>
      </w:r>
      <w:r w:rsidRPr="006A32B2">
        <w:rPr>
          <w:lang w:val="fr-FR"/>
        </w:rPr>
        <w:t>l</w:t>
      </w:r>
      <w:r>
        <w:rPr>
          <w:lang w:val="fr-FR"/>
        </w:rPr>
        <w:t>’</w:t>
      </w:r>
      <w:r w:rsidRPr="006A32B2">
        <w:rPr>
          <w:lang w:val="fr-FR"/>
        </w:rPr>
        <w:t>attaque perpétrée le 29 janvier 2020 contre le peuple mayangna alal sur le territoire Sauni As, dans la réserve de biosphère de Bosawás. Une commission nationale spéciale suit également ces affaires. Après les faits, la Cour suprême de justice a créé une commission interinstitutionnelle chargée d</w:t>
      </w:r>
      <w:r>
        <w:rPr>
          <w:lang w:val="fr-FR"/>
        </w:rPr>
        <w:t>’</w:t>
      </w:r>
      <w:r w:rsidRPr="006A32B2">
        <w:rPr>
          <w:lang w:val="fr-FR"/>
        </w:rPr>
        <w:t>instruire toutes les affaires concernant des violations des droits des peuples autochtones aux terres et aux territoires</w:t>
      </w:r>
      <w:r w:rsidRPr="006A32B2">
        <w:rPr>
          <w:rStyle w:val="Appelnotedebasdep"/>
          <w:lang w:val="fr-FR"/>
        </w:rPr>
        <w:footnoteReference w:id="63"/>
      </w:r>
      <w:r w:rsidRPr="006A32B2">
        <w:rPr>
          <w:lang w:val="fr-FR"/>
        </w:rPr>
        <w:t>.</w:t>
      </w:r>
    </w:p>
    <w:p w14:paraId="4262BEDE" w14:textId="1A628C23" w:rsidR="00225673" w:rsidRPr="006A32B2" w:rsidRDefault="00225673" w:rsidP="00E61BDE">
      <w:pPr>
        <w:pStyle w:val="SingleTxtG"/>
        <w:rPr>
          <w:lang w:val="fr-FR"/>
        </w:rPr>
      </w:pPr>
      <w:r w:rsidRPr="006A32B2">
        <w:rPr>
          <w:lang w:val="fr-FR"/>
        </w:rPr>
        <w:t>52.</w:t>
      </w:r>
      <w:r w:rsidRPr="006A32B2">
        <w:rPr>
          <w:lang w:val="fr-FR"/>
        </w:rPr>
        <w:tab/>
        <w:t>Depuis mai 2020, le HCDH n</w:t>
      </w:r>
      <w:r>
        <w:rPr>
          <w:lang w:val="fr-FR"/>
        </w:rPr>
        <w:t>’</w:t>
      </w:r>
      <w:r w:rsidRPr="006A32B2">
        <w:rPr>
          <w:lang w:val="fr-FR"/>
        </w:rPr>
        <w:t>est pas informé des progrès réalisés dans le cadre des enquêtes menées ni de l</w:t>
      </w:r>
      <w:r>
        <w:rPr>
          <w:lang w:val="fr-FR"/>
        </w:rPr>
        <w:t>’</w:t>
      </w:r>
      <w:r w:rsidRPr="006A32B2">
        <w:rPr>
          <w:lang w:val="fr-FR"/>
        </w:rPr>
        <w:t xml:space="preserve">issue de celles-ci, </w:t>
      </w:r>
      <w:r>
        <w:rPr>
          <w:lang w:val="fr-FR"/>
        </w:rPr>
        <w:t>eu égard notamment aux informations concernant</w:t>
      </w:r>
      <w:r w:rsidRPr="006A32B2">
        <w:rPr>
          <w:lang w:val="fr-FR"/>
        </w:rPr>
        <w:t xml:space="preserve"> la collusion présumée des colons et des autorités locales ou la mise en œuvre, par les institutions publiques, de mesures de protection visant à </w:t>
      </w:r>
      <w:r>
        <w:rPr>
          <w:lang w:val="fr-FR"/>
        </w:rPr>
        <w:t>faire en sorte que</w:t>
      </w:r>
      <w:r w:rsidRPr="006A32B2">
        <w:rPr>
          <w:lang w:val="fr-FR"/>
        </w:rPr>
        <w:t xml:space="preserve"> les peuples autochtones et les personnes d</w:t>
      </w:r>
      <w:r>
        <w:rPr>
          <w:lang w:val="fr-FR"/>
        </w:rPr>
        <w:t>’</w:t>
      </w:r>
      <w:r w:rsidRPr="006A32B2">
        <w:rPr>
          <w:lang w:val="fr-FR"/>
        </w:rPr>
        <w:t xml:space="preserve">ascendance africaine </w:t>
      </w:r>
      <w:r>
        <w:rPr>
          <w:lang w:val="fr-FR"/>
        </w:rPr>
        <w:t>ne soient plus</w:t>
      </w:r>
      <w:r w:rsidRPr="006A32B2">
        <w:rPr>
          <w:lang w:val="fr-FR"/>
        </w:rPr>
        <w:t xml:space="preserve"> menacés sur leurs </w:t>
      </w:r>
      <w:r>
        <w:rPr>
          <w:lang w:val="fr-FR"/>
        </w:rPr>
        <w:t xml:space="preserve">propres </w:t>
      </w:r>
      <w:r w:rsidRPr="006A32B2">
        <w:rPr>
          <w:lang w:val="fr-FR"/>
        </w:rPr>
        <w:t>territoires.</w:t>
      </w:r>
    </w:p>
    <w:p w14:paraId="6141211D" w14:textId="2CD7C295" w:rsidR="00225673" w:rsidRPr="006A32B2" w:rsidRDefault="00225673" w:rsidP="00E61BDE">
      <w:pPr>
        <w:pStyle w:val="SingleTxtG"/>
        <w:rPr>
          <w:lang w:val="fr-FR"/>
        </w:rPr>
      </w:pPr>
      <w:r w:rsidRPr="006A32B2">
        <w:rPr>
          <w:lang w:val="fr-FR"/>
        </w:rPr>
        <w:t>53.</w:t>
      </w:r>
      <w:r w:rsidRPr="006A32B2">
        <w:rPr>
          <w:lang w:val="fr-FR"/>
        </w:rPr>
        <w:tab/>
        <w:t>Le HCDH a appris que les pouvoirs publics établissaient des autorités autochtones et des autorités d</w:t>
      </w:r>
      <w:r>
        <w:rPr>
          <w:lang w:val="fr-FR"/>
        </w:rPr>
        <w:t>’</w:t>
      </w:r>
      <w:r w:rsidRPr="006A32B2">
        <w:rPr>
          <w:lang w:val="fr-FR"/>
        </w:rPr>
        <w:t>ascendance africaine autres que celles que les communautés avaient élues selon leurs propres procédures. D</w:t>
      </w:r>
      <w:r>
        <w:rPr>
          <w:lang w:val="fr-FR"/>
        </w:rPr>
        <w:t>’</w:t>
      </w:r>
      <w:r w:rsidRPr="006A32B2">
        <w:rPr>
          <w:lang w:val="fr-FR"/>
        </w:rPr>
        <w:t xml:space="preserve">après ce qui a été rapporté, ces </w:t>
      </w:r>
      <w:r>
        <w:rPr>
          <w:lang w:val="fr-FR"/>
        </w:rPr>
        <w:t>« </w:t>
      </w:r>
      <w:r w:rsidRPr="006A32B2">
        <w:rPr>
          <w:lang w:val="fr-FR"/>
        </w:rPr>
        <w:t>autorités parallèles</w:t>
      </w:r>
      <w:r>
        <w:rPr>
          <w:lang w:val="fr-FR"/>
        </w:rPr>
        <w:t> »</w:t>
      </w:r>
      <w:r w:rsidRPr="006A32B2">
        <w:rPr>
          <w:lang w:val="fr-FR"/>
        </w:rPr>
        <w:t xml:space="preserve"> imposaient leurs décisions aux autorités locales des peuples autochtones et des personnes d</w:t>
      </w:r>
      <w:r>
        <w:rPr>
          <w:lang w:val="fr-FR"/>
        </w:rPr>
        <w:t>’</w:t>
      </w:r>
      <w:r w:rsidRPr="006A32B2">
        <w:rPr>
          <w:lang w:val="fr-FR"/>
        </w:rPr>
        <w:t>ascendance africaine sans respecter comme il se doit le principe du consentement préalable, libre et éclairé.</w:t>
      </w:r>
    </w:p>
    <w:p w14:paraId="1AA046E7" w14:textId="697752BC" w:rsidR="00225673" w:rsidRPr="006A32B2" w:rsidRDefault="00225673" w:rsidP="00E61BDE">
      <w:pPr>
        <w:pStyle w:val="HChG"/>
        <w:rPr>
          <w:lang w:val="fr-FR"/>
        </w:rPr>
      </w:pPr>
      <w:r>
        <w:rPr>
          <w:lang w:val="fr-FR"/>
        </w:rPr>
        <w:tab/>
      </w:r>
      <w:r w:rsidRPr="006A32B2">
        <w:rPr>
          <w:lang w:val="fr-FR"/>
        </w:rPr>
        <w:t>XI.</w:t>
      </w:r>
      <w:r w:rsidRPr="006A32B2">
        <w:rPr>
          <w:lang w:val="fr-FR"/>
        </w:rPr>
        <w:tab/>
      </w:r>
      <w:r w:rsidRPr="006A32B2">
        <w:rPr>
          <w:lang w:val="fr-FR"/>
        </w:rPr>
        <w:tab/>
        <w:t>Répercussions de la crise et de ses multiples aspects sur l</w:t>
      </w:r>
      <w:r>
        <w:rPr>
          <w:lang w:val="fr-FR"/>
        </w:rPr>
        <w:t>’</w:t>
      </w:r>
      <w:r w:rsidRPr="006A32B2">
        <w:rPr>
          <w:lang w:val="fr-FR"/>
        </w:rPr>
        <w:t>exercice des droits économiques, sociaux et culturels</w:t>
      </w:r>
    </w:p>
    <w:p w14:paraId="11CCDEF1" w14:textId="6F1090A5" w:rsidR="00225673" w:rsidRPr="006A32B2" w:rsidRDefault="00225673" w:rsidP="00E61BDE">
      <w:pPr>
        <w:pStyle w:val="SingleTxtG"/>
        <w:rPr>
          <w:lang w:val="fr-FR"/>
        </w:rPr>
      </w:pPr>
      <w:r w:rsidRPr="006A32B2">
        <w:rPr>
          <w:lang w:val="fr-FR"/>
        </w:rPr>
        <w:t>54.</w:t>
      </w:r>
      <w:r w:rsidRPr="006A32B2">
        <w:rPr>
          <w:lang w:val="fr-FR"/>
        </w:rPr>
        <w:tab/>
        <w:t>Le Nicaragua, qui affichait en 2019 des taux de pauvreté et d</w:t>
      </w:r>
      <w:r>
        <w:rPr>
          <w:lang w:val="fr-FR"/>
        </w:rPr>
        <w:t>’</w:t>
      </w:r>
      <w:r w:rsidRPr="006A32B2">
        <w:rPr>
          <w:lang w:val="fr-FR"/>
        </w:rPr>
        <w:t xml:space="preserve">extrême pauvreté </w:t>
      </w:r>
      <w:r>
        <w:rPr>
          <w:lang w:val="fr-FR"/>
        </w:rPr>
        <w:t>s’élevant respectivement à</w:t>
      </w:r>
      <w:r w:rsidRPr="006A32B2">
        <w:rPr>
          <w:lang w:val="fr-FR"/>
        </w:rPr>
        <w:t xml:space="preserve"> 47,1 % et 18 %, est l</w:t>
      </w:r>
      <w:r>
        <w:rPr>
          <w:lang w:val="fr-FR"/>
        </w:rPr>
        <w:t>’</w:t>
      </w:r>
      <w:r w:rsidRPr="006A32B2">
        <w:rPr>
          <w:lang w:val="fr-FR"/>
        </w:rPr>
        <w:t>un des pays les plus pauvres d</w:t>
      </w:r>
      <w:r>
        <w:rPr>
          <w:lang w:val="fr-FR"/>
        </w:rPr>
        <w:t>’</w:t>
      </w:r>
      <w:r w:rsidRPr="006A32B2">
        <w:rPr>
          <w:lang w:val="fr-FR"/>
        </w:rPr>
        <w:t>Amérique latine</w:t>
      </w:r>
      <w:r w:rsidRPr="006A32B2">
        <w:rPr>
          <w:rStyle w:val="Appelnotedebasdep"/>
          <w:lang w:val="fr-FR"/>
        </w:rPr>
        <w:footnoteReference w:id="64"/>
      </w:r>
      <w:r w:rsidRPr="006A32B2">
        <w:rPr>
          <w:lang w:val="fr-FR"/>
        </w:rPr>
        <w:t xml:space="preserve">. Cependant, au cours des dix dernières années, le pays a nettement progressé en matière de lutte contre la pauvreté et la mortalité infanto-juvénile et </w:t>
      </w:r>
      <w:r>
        <w:rPr>
          <w:lang w:val="fr-FR"/>
        </w:rPr>
        <w:t>pour ce qui est d</w:t>
      </w:r>
      <w:r w:rsidRPr="006A32B2">
        <w:rPr>
          <w:lang w:val="fr-FR"/>
        </w:rPr>
        <w:t>e</w:t>
      </w:r>
      <w:r>
        <w:rPr>
          <w:lang w:val="fr-FR"/>
        </w:rPr>
        <w:t xml:space="preserve"> la</w:t>
      </w:r>
      <w:r w:rsidRPr="006A32B2">
        <w:rPr>
          <w:lang w:val="fr-FR"/>
        </w:rPr>
        <w:t xml:space="preserve"> </w:t>
      </w:r>
      <w:r w:rsidRPr="006A32B2">
        <w:rPr>
          <w:lang w:val="fr-FR"/>
        </w:rPr>
        <w:lastRenderedPageBreak/>
        <w:t>réalisation du droit à une nourriture suffisante, entre autres</w:t>
      </w:r>
      <w:r w:rsidRPr="006A32B2">
        <w:rPr>
          <w:rStyle w:val="Appelnotedebasdep"/>
          <w:lang w:val="fr-FR"/>
        </w:rPr>
        <w:footnoteReference w:id="65"/>
      </w:r>
      <w:r w:rsidRPr="006A32B2">
        <w:rPr>
          <w:lang w:val="fr-FR"/>
        </w:rPr>
        <w:t>. La pandémie de COVID-19, qui a considérablement réduit la disponibilité des ressources nécessaires à la réalisation des droits économiques et sociaux, risque de compromettre les avancées obtenues. Après avoir enregistré un taux de croissance de 4,6 % en 2017, le PIB s</w:t>
      </w:r>
      <w:r>
        <w:rPr>
          <w:lang w:val="fr-FR"/>
        </w:rPr>
        <w:t>’</w:t>
      </w:r>
      <w:r w:rsidRPr="006A32B2">
        <w:rPr>
          <w:lang w:val="fr-FR"/>
        </w:rPr>
        <w:t>est contracté de 4,0 % en 2018 et de 3,9 % en 2019. Pour 2020, la Banque centrale du Nicaragua a, dans ses dernières prévisions, estimé que la contraction se situerait entre 1,5 et 2,5 %, ce qui représente une amélioration par rapport à la contraction de 4,5 % correspondant à ses prévisions initiales</w:t>
      </w:r>
      <w:r w:rsidRPr="006A32B2">
        <w:rPr>
          <w:rStyle w:val="Appelnotedebasdep"/>
          <w:lang w:val="fr-FR"/>
        </w:rPr>
        <w:footnoteReference w:id="66"/>
      </w:r>
      <w:r w:rsidRPr="006A32B2">
        <w:rPr>
          <w:lang w:val="fr-FR"/>
        </w:rPr>
        <w:t xml:space="preserve">. Toutefois, selon </w:t>
      </w:r>
      <w:r>
        <w:rPr>
          <w:lang w:val="fr-FR"/>
        </w:rPr>
        <w:t>l</w:t>
      </w:r>
      <w:r w:rsidRPr="006A32B2">
        <w:rPr>
          <w:lang w:val="fr-FR"/>
        </w:rPr>
        <w:t>es prévisions régionales, la pandémie pourrait avoir indirectement aggravé la pauvreté et l</w:t>
      </w:r>
      <w:r>
        <w:rPr>
          <w:lang w:val="fr-FR"/>
        </w:rPr>
        <w:t>’</w:t>
      </w:r>
      <w:r w:rsidRPr="006A32B2">
        <w:rPr>
          <w:lang w:val="fr-FR"/>
        </w:rPr>
        <w:t>extrême pauvreté, dont les taux, respectivement estimés à 52,7 % et à 22,8 % en 2020, sont supérieurs aux moyennes de la région</w:t>
      </w:r>
      <w:r w:rsidRPr="006A32B2">
        <w:rPr>
          <w:rStyle w:val="Appelnotedebasdep"/>
          <w:lang w:val="fr-FR"/>
        </w:rPr>
        <w:footnoteReference w:id="67"/>
      </w:r>
      <w:r w:rsidRPr="006A32B2">
        <w:rPr>
          <w:lang w:val="fr-FR"/>
        </w:rPr>
        <w:t xml:space="preserve">. La pandémie de COVID-19 a donc accentué les difficultés économiques </w:t>
      </w:r>
      <w:r>
        <w:rPr>
          <w:lang w:val="fr-FR"/>
        </w:rPr>
        <w:t xml:space="preserve">avec lesquelles le pays est aux prises </w:t>
      </w:r>
      <w:r w:rsidRPr="006A32B2">
        <w:rPr>
          <w:lang w:val="fr-FR"/>
        </w:rPr>
        <w:t>depuis deux ans, les tensions sociales de 2018 ayant provoqué des pertes d</w:t>
      </w:r>
      <w:r>
        <w:rPr>
          <w:lang w:val="fr-FR"/>
        </w:rPr>
        <w:t>’</w:t>
      </w:r>
      <w:r w:rsidRPr="006A32B2">
        <w:rPr>
          <w:lang w:val="fr-FR"/>
        </w:rPr>
        <w:t>emploi, une chute de la confiance des consommateurs et de l</w:t>
      </w:r>
      <w:r>
        <w:rPr>
          <w:lang w:val="fr-FR"/>
        </w:rPr>
        <w:t>’</w:t>
      </w:r>
      <w:r w:rsidRPr="006A32B2">
        <w:rPr>
          <w:lang w:val="fr-FR"/>
        </w:rPr>
        <w:t>optimisme des milieux d</w:t>
      </w:r>
      <w:r>
        <w:rPr>
          <w:lang w:val="fr-FR"/>
        </w:rPr>
        <w:t>’</w:t>
      </w:r>
      <w:r w:rsidRPr="006A32B2">
        <w:rPr>
          <w:lang w:val="fr-FR"/>
        </w:rPr>
        <w:t>affaires ainsi qu</w:t>
      </w:r>
      <w:r>
        <w:rPr>
          <w:lang w:val="fr-FR"/>
        </w:rPr>
        <w:t>’</w:t>
      </w:r>
      <w:r w:rsidRPr="006A32B2">
        <w:rPr>
          <w:lang w:val="fr-FR"/>
        </w:rPr>
        <w:t>un recul du tourisme et de la construction, qui sont deux des principaux secteurs économiques du Nicaragua</w:t>
      </w:r>
      <w:r w:rsidRPr="006A32B2">
        <w:rPr>
          <w:rStyle w:val="Appelnotedebasdep"/>
          <w:lang w:val="fr-FR"/>
        </w:rPr>
        <w:footnoteReference w:id="68"/>
      </w:r>
      <w:r w:rsidRPr="006A32B2">
        <w:rPr>
          <w:lang w:val="fr-FR"/>
        </w:rPr>
        <w:t>.</w:t>
      </w:r>
    </w:p>
    <w:p w14:paraId="7B9180EA" w14:textId="106D7AE9" w:rsidR="00225673" w:rsidRPr="006A32B2" w:rsidRDefault="00225673" w:rsidP="00E61BDE">
      <w:pPr>
        <w:pStyle w:val="SingleTxtG"/>
        <w:rPr>
          <w:lang w:val="fr-FR"/>
        </w:rPr>
      </w:pPr>
      <w:r w:rsidRPr="006A32B2">
        <w:rPr>
          <w:lang w:val="fr-FR"/>
        </w:rPr>
        <w:t>55.</w:t>
      </w:r>
      <w:r w:rsidRPr="006A32B2">
        <w:rPr>
          <w:lang w:val="fr-FR"/>
        </w:rPr>
        <w:tab/>
        <w:t xml:space="preserve">Selon </w:t>
      </w:r>
      <w:r>
        <w:rPr>
          <w:lang w:val="fr-FR"/>
        </w:rPr>
        <w:t>l</w:t>
      </w:r>
      <w:r w:rsidRPr="006A32B2">
        <w:rPr>
          <w:lang w:val="fr-FR"/>
        </w:rPr>
        <w:t xml:space="preserve">es données officielles, le taux de chômage </w:t>
      </w:r>
      <w:r>
        <w:rPr>
          <w:lang w:val="fr-FR"/>
        </w:rPr>
        <w:t>s’élevait</w:t>
      </w:r>
      <w:r w:rsidRPr="006A32B2">
        <w:rPr>
          <w:lang w:val="fr-FR"/>
        </w:rPr>
        <w:t xml:space="preserve"> à 5,4 % au deuxième trimestre de 2020 (5,7 % chez les hommes et 5,0 % chez les femmes). Pendant la même période, le taux d</w:t>
      </w:r>
      <w:r>
        <w:rPr>
          <w:lang w:val="fr-FR"/>
        </w:rPr>
        <w:t>’</w:t>
      </w:r>
      <w:r w:rsidRPr="006A32B2">
        <w:rPr>
          <w:lang w:val="fr-FR"/>
        </w:rPr>
        <w:t>inactivité a atteint 33,5 % (21,4 % chez les hommes et 44,3 % chez les femmes), son plus haut point depuis cinq ans, ce qui représente une augmentation de 4,0 % par rapport au deuxième trimestre de 2019</w:t>
      </w:r>
      <w:r w:rsidRPr="006A32B2">
        <w:rPr>
          <w:rStyle w:val="Appelnotedebasdep"/>
          <w:lang w:val="fr-FR"/>
        </w:rPr>
        <w:footnoteReference w:id="69"/>
      </w:r>
      <w:r w:rsidRPr="006A32B2">
        <w:rPr>
          <w:lang w:val="fr-FR"/>
        </w:rPr>
        <w:t>. Cela s</w:t>
      </w:r>
      <w:r>
        <w:rPr>
          <w:lang w:val="fr-FR"/>
        </w:rPr>
        <w:t>’</w:t>
      </w:r>
      <w:r w:rsidRPr="006A32B2">
        <w:rPr>
          <w:lang w:val="fr-FR"/>
        </w:rPr>
        <w:t>est en outre traduit par la perte, entre 2017 et 2019, d</w:t>
      </w:r>
      <w:r>
        <w:rPr>
          <w:lang w:val="fr-FR"/>
        </w:rPr>
        <w:t>’</w:t>
      </w:r>
      <w:r w:rsidRPr="006A32B2">
        <w:rPr>
          <w:lang w:val="fr-FR"/>
        </w:rPr>
        <w:t>environ 180 000 travailleurs affiliés à l</w:t>
      </w:r>
      <w:r>
        <w:rPr>
          <w:lang w:val="fr-FR"/>
        </w:rPr>
        <w:t>’</w:t>
      </w:r>
      <w:r w:rsidRPr="006A32B2">
        <w:rPr>
          <w:lang w:val="fr-FR"/>
        </w:rPr>
        <w:t>Institut nicaraguayen de sécurité sociale, et de plus de 21 000 travailleurs supplémentaires au cours de l</w:t>
      </w:r>
      <w:r>
        <w:rPr>
          <w:lang w:val="fr-FR"/>
        </w:rPr>
        <w:t>’</w:t>
      </w:r>
      <w:r w:rsidRPr="006A32B2">
        <w:rPr>
          <w:lang w:val="fr-FR"/>
        </w:rPr>
        <w:t>année 2020</w:t>
      </w:r>
      <w:r w:rsidRPr="006A32B2">
        <w:rPr>
          <w:rStyle w:val="Appelnotedebasdep"/>
          <w:lang w:val="fr-FR"/>
        </w:rPr>
        <w:footnoteReference w:id="70"/>
      </w:r>
      <w:r w:rsidRPr="006A32B2">
        <w:rPr>
          <w:lang w:val="fr-FR"/>
        </w:rPr>
        <w:t>.</w:t>
      </w:r>
    </w:p>
    <w:p w14:paraId="180B8826" w14:textId="40019287" w:rsidR="00225673" w:rsidRPr="006A32B2" w:rsidRDefault="00225673" w:rsidP="00E61BDE">
      <w:pPr>
        <w:pStyle w:val="SingleTxtG"/>
        <w:rPr>
          <w:lang w:val="fr-FR"/>
        </w:rPr>
      </w:pPr>
      <w:r w:rsidRPr="006A32B2">
        <w:rPr>
          <w:lang w:val="fr-FR"/>
        </w:rPr>
        <w:t>56.</w:t>
      </w:r>
      <w:r w:rsidRPr="006A32B2">
        <w:rPr>
          <w:lang w:val="fr-FR"/>
        </w:rPr>
        <w:tab/>
        <w:t xml:space="preserve">En 2018 et 2019, le Gouvernement est parvenu à limiter les </w:t>
      </w:r>
      <w:r>
        <w:rPr>
          <w:lang w:val="fr-FR"/>
        </w:rPr>
        <w:t>retombées</w:t>
      </w:r>
      <w:r w:rsidRPr="006A32B2">
        <w:rPr>
          <w:lang w:val="fr-FR"/>
        </w:rPr>
        <w:t xml:space="preserve"> des chocs su</w:t>
      </w:r>
      <w:r>
        <w:rPr>
          <w:lang w:val="fr-FR"/>
        </w:rPr>
        <w:t>bis dans</w:t>
      </w:r>
      <w:r w:rsidRPr="006A32B2">
        <w:rPr>
          <w:lang w:val="fr-FR"/>
        </w:rPr>
        <w:t xml:space="preserve"> les secteurs </w:t>
      </w:r>
      <w:r>
        <w:rPr>
          <w:lang w:val="fr-FR"/>
        </w:rPr>
        <w:t>budgétaire</w:t>
      </w:r>
      <w:r w:rsidRPr="006A32B2">
        <w:rPr>
          <w:lang w:val="fr-FR"/>
        </w:rPr>
        <w:t xml:space="preserve"> et financier</w:t>
      </w:r>
      <w:r w:rsidRPr="006A32B2">
        <w:rPr>
          <w:rStyle w:val="Appelnotedebasdep"/>
          <w:lang w:val="fr-FR"/>
        </w:rPr>
        <w:footnoteReference w:id="71"/>
      </w:r>
      <w:r w:rsidRPr="006A32B2">
        <w:rPr>
          <w:lang w:val="fr-FR"/>
        </w:rPr>
        <w:t>. Il a continué à faire des dépenses sociales une priorité budgétaire, en particulier s</w:t>
      </w:r>
      <w:r>
        <w:rPr>
          <w:lang w:val="fr-FR"/>
        </w:rPr>
        <w:t>’</w:t>
      </w:r>
      <w:r w:rsidRPr="006A32B2">
        <w:rPr>
          <w:lang w:val="fr-FR"/>
        </w:rPr>
        <w:t>agissant des dépenses de santé et d</w:t>
      </w:r>
      <w:r>
        <w:rPr>
          <w:lang w:val="fr-FR"/>
        </w:rPr>
        <w:t>’</w:t>
      </w:r>
      <w:r w:rsidRPr="006A32B2">
        <w:rPr>
          <w:lang w:val="fr-FR"/>
        </w:rPr>
        <w:t>éducation, et a maintenu les mesures de lutte contre la pauvreté prévues par le plan national de développement humain</w:t>
      </w:r>
      <w:r w:rsidRPr="006A32B2">
        <w:rPr>
          <w:rStyle w:val="Appelnotedebasdep"/>
          <w:lang w:val="fr-FR"/>
        </w:rPr>
        <w:footnoteReference w:id="72"/>
      </w:r>
      <w:r w:rsidRPr="006A32B2">
        <w:rPr>
          <w:lang w:val="fr-FR"/>
        </w:rPr>
        <w:t xml:space="preserve"> et des programmes spéciaux tels que les programmes </w:t>
      </w:r>
      <w:r w:rsidRPr="003766A8">
        <w:rPr>
          <w:i/>
          <w:iCs/>
          <w:lang w:val="fr-FR"/>
        </w:rPr>
        <w:t>Usura cero</w:t>
      </w:r>
      <w:r w:rsidRPr="006A32B2">
        <w:rPr>
          <w:lang w:val="fr-FR"/>
        </w:rPr>
        <w:t xml:space="preserve"> (Usure zéro), </w:t>
      </w:r>
      <w:r w:rsidRPr="003766A8">
        <w:rPr>
          <w:i/>
          <w:iCs/>
          <w:lang w:val="fr-FR"/>
        </w:rPr>
        <w:t>Hambre cero</w:t>
      </w:r>
      <w:r w:rsidRPr="006A32B2">
        <w:rPr>
          <w:lang w:val="fr-FR"/>
        </w:rPr>
        <w:t xml:space="preserve"> (Faim zéro) et </w:t>
      </w:r>
      <w:r w:rsidRPr="003766A8">
        <w:rPr>
          <w:i/>
          <w:iCs/>
          <w:lang w:val="fr-FR"/>
        </w:rPr>
        <w:t>Bono solidario</w:t>
      </w:r>
      <w:r w:rsidRPr="006A32B2">
        <w:rPr>
          <w:lang w:val="fr-FR"/>
        </w:rPr>
        <w:t xml:space="preserve"> (Prime de solidarité), ainsi que la gratuité de </w:t>
      </w:r>
      <w:r>
        <w:rPr>
          <w:lang w:val="fr-FR"/>
        </w:rPr>
        <w:t>l’enseignement</w:t>
      </w:r>
      <w:r w:rsidRPr="006A32B2">
        <w:rPr>
          <w:rStyle w:val="Appelnotedebasdep"/>
          <w:lang w:val="fr-FR"/>
        </w:rPr>
        <w:footnoteReference w:id="73"/>
      </w:r>
      <w:r w:rsidRPr="006A32B2">
        <w:rPr>
          <w:lang w:val="fr-FR"/>
        </w:rPr>
        <w:t>. En outre, le Gouvernement a relevé le niveau des dépenses sociales, notamment dans les domaines de la santé, de l</w:t>
      </w:r>
      <w:r>
        <w:rPr>
          <w:lang w:val="fr-FR"/>
        </w:rPr>
        <w:t>’</w:t>
      </w:r>
      <w:r w:rsidRPr="006A32B2">
        <w:rPr>
          <w:lang w:val="fr-FR"/>
        </w:rPr>
        <w:t>éducation, du logement et de la protection sociale</w:t>
      </w:r>
      <w:r w:rsidR="00800981">
        <w:rPr>
          <w:lang w:val="fr-FR"/>
        </w:rPr>
        <w:t> </w:t>
      </w:r>
      <w:r w:rsidRPr="006A32B2">
        <w:rPr>
          <w:lang w:val="fr-FR"/>
        </w:rPr>
        <w:t>: celles-ci représentent 57,1 % des dépenses totales dans le budget 2021, soit une augmentation de 1,5</w:t>
      </w:r>
      <w:r>
        <w:rPr>
          <w:lang w:val="fr-FR"/>
        </w:rPr>
        <w:t> </w:t>
      </w:r>
      <w:r w:rsidRPr="006A32B2">
        <w:rPr>
          <w:lang w:val="fr-FR"/>
        </w:rPr>
        <w:t>% par rapport à 2020</w:t>
      </w:r>
      <w:r w:rsidRPr="006A32B2">
        <w:rPr>
          <w:rStyle w:val="Appelnotedebasdep"/>
          <w:lang w:val="fr-FR"/>
        </w:rPr>
        <w:footnoteReference w:id="74"/>
      </w:r>
      <w:r w:rsidRPr="006A32B2">
        <w:rPr>
          <w:lang w:val="fr-FR"/>
        </w:rPr>
        <w:t>.</w:t>
      </w:r>
    </w:p>
    <w:p w14:paraId="0D72C617" w14:textId="4F860192" w:rsidR="00225673" w:rsidRPr="006A32B2" w:rsidRDefault="00225673" w:rsidP="00800981">
      <w:pPr>
        <w:pStyle w:val="SingleTxtG"/>
        <w:rPr>
          <w:lang w:val="fr-FR"/>
        </w:rPr>
      </w:pPr>
      <w:r w:rsidRPr="006A32B2">
        <w:rPr>
          <w:lang w:val="fr-FR"/>
        </w:rPr>
        <w:t>57.</w:t>
      </w:r>
      <w:r w:rsidRPr="006A32B2">
        <w:rPr>
          <w:lang w:val="fr-FR"/>
        </w:rPr>
        <w:tab/>
        <w:t>Pour faire face à la crise sanitaire et économique, le Gouvernement a sollicité l</w:t>
      </w:r>
      <w:r>
        <w:rPr>
          <w:lang w:val="fr-FR"/>
        </w:rPr>
        <w:t>’</w:t>
      </w:r>
      <w:r w:rsidRPr="006A32B2">
        <w:rPr>
          <w:lang w:val="fr-FR"/>
        </w:rPr>
        <w:t>appui d</w:t>
      </w:r>
      <w:r>
        <w:rPr>
          <w:lang w:val="fr-FR"/>
        </w:rPr>
        <w:t>’</w:t>
      </w:r>
      <w:r w:rsidRPr="006A32B2">
        <w:rPr>
          <w:lang w:val="fr-FR"/>
        </w:rPr>
        <w:t>institutions multilatérales. En juillet 2020, la Banque interaméricaine de développement a approuvé un projet d</w:t>
      </w:r>
      <w:r>
        <w:rPr>
          <w:lang w:val="fr-FR"/>
        </w:rPr>
        <w:t>’</w:t>
      </w:r>
      <w:r w:rsidRPr="006A32B2">
        <w:rPr>
          <w:lang w:val="fr-FR"/>
        </w:rPr>
        <w:t xml:space="preserve">un montant de 43 millions de dollars visant à </w:t>
      </w:r>
      <w:r>
        <w:rPr>
          <w:lang w:val="fr-FR"/>
        </w:rPr>
        <w:t>contenir</w:t>
      </w:r>
      <w:r w:rsidRPr="006A32B2">
        <w:rPr>
          <w:lang w:val="fr-FR"/>
        </w:rPr>
        <w:t xml:space="preserve"> et à </w:t>
      </w:r>
      <w:r>
        <w:rPr>
          <w:lang w:val="fr-FR"/>
        </w:rPr>
        <w:t>maîtriser</w:t>
      </w:r>
      <w:r w:rsidRPr="006A32B2">
        <w:rPr>
          <w:lang w:val="fr-FR"/>
        </w:rPr>
        <w:t xml:space="preserve"> la pandémie, et à en atténuer les effets</w:t>
      </w:r>
      <w:r w:rsidRPr="006A32B2">
        <w:rPr>
          <w:rStyle w:val="Appelnotedebasdep"/>
          <w:lang w:val="fr-FR"/>
        </w:rPr>
        <w:footnoteReference w:id="75"/>
      </w:r>
      <w:r w:rsidRPr="006A32B2">
        <w:rPr>
          <w:lang w:val="fr-FR"/>
        </w:rPr>
        <w:t xml:space="preserve">. En novembre 2020, </w:t>
      </w:r>
      <w:r>
        <w:rPr>
          <w:lang w:val="fr-FR"/>
        </w:rPr>
        <w:t xml:space="preserve">pour </w:t>
      </w:r>
      <w:r w:rsidRPr="006A32B2">
        <w:rPr>
          <w:lang w:val="fr-FR"/>
        </w:rPr>
        <w:t>répondre aux besoins en matière de balance des paiements</w:t>
      </w:r>
      <w:r w:rsidRPr="006A32B2">
        <w:rPr>
          <w:rStyle w:val="Appelnotedebasdep"/>
          <w:lang w:val="fr-FR"/>
        </w:rPr>
        <w:footnoteReference w:id="76"/>
      </w:r>
      <w:r w:rsidRPr="006A32B2">
        <w:rPr>
          <w:lang w:val="fr-FR"/>
        </w:rPr>
        <w:t>, le Fonds monétaire international a accordé au pays une assistance financière d</w:t>
      </w:r>
      <w:r>
        <w:rPr>
          <w:lang w:val="fr-FR"/>
        </w:rPr>
        <w:t>’</w:t>
      </w:r>
      <w:r w:rsidRPr="006A32B2">
        <w:rPr>
          <w:lang w:val="fr-FR"/>
        </w:rPr>
        <w:t xml:space="preserve">un montant de 185,32 millions de dollars destinée à couvrir les </w:t>
      </w:r>
      <w:r w:rsidRPr="006A32B2">
        <w:rPr>
          <w:lang w:val="fr-FR"/>
        </w:rPr>
        <w:lastRenderedPageBreak/>
        <w:t xml:space="preserve">dépenses sociales et </w:t>
      </w:r>
      <w:r>
        <w:rPr>
          <w:lang w:val="fr-FR"/>
        </w:rPr>
        <w:t xml:space="preserve">les dépenses </w:t>
      </w:r>
      <w:r w:rsidRPr="006A32B2">
        <w:rPr>
          <w:lang w:val="fr-FR"/>
        </w:rPr>
        <w:t>liées à la santé. Le Gouvernement s</w:t>
      </w:r>
      <w:r>
        <w:rPr>
          <w:lang w:val="fr-FR"/>
        </w:rPr>
        <w:t>’</w:t>
      </w:r>
      <w:r w:rsidRPr="006A32B2">
        <w:rPr>
          <w:lang w:val="fr-FR"/>
        </w:rPr>
        <w:t>est engagé à respecter les normes relatives à la transparence des finances publiques, à atténuer le risque de corruption et à faire en sorte que ce financement d</w:t>
      </w:r>
      <w:r>
        <w:rPr>
          <w:lang w:val="fr-FR"/>
        </w:rPr>
        <w:t>’</w:t>
      </w:r>
      <w:r w:rsidRPr="006A32B2">
        <w:rPr>
          <w:lang w:val="fr-FR"/>
        </w:rPr>
        <w:t xml:space="preserve">urgence </w:t>
      </w:r>
      <w:r>
        <w:rPr>
          <w:lang w:val="fr-FR"/>
        </w:rPr>
        <w:t>profite</w:t>
      </w:r>
      <w:r w:rsidRPr="006A32B2">
        <w:rPr>
          <w:lang w:val="fr-FR"/>
        </w:rPr>
        <w:t xml:space="preserve"> aux personnes les plus vulnérables</w:t>
      </w:r>
      <w:r w:rsidRPr="006A32B2">
        <w:rPr>
          <w:rStyle w:val="Appelnotedebasdep"/>
          <w:lang w:val="fr-FR"/>
        </w:rPr>
        <w:footnoteReference w:id="77"/>
      </w:r>
      <w:r w:rsidRPr="006A32B2">
        <w:rPr>
          <w:lang w:val="fr-FR"/>
        </w:rPr>
        <w:t>.</w:t>
      </w:r>
    </w:p>
    <w:p w14:paraId="0726213F" w14:textId="045545AD" w:rsidR="00225673" w:rsidRPr="006A32B2" w:rsidRDefault="00225673" w:rsidP="00800981">
      <w:pPr>
        <w:pStyle w:val="SingleTxtG"/>
        <w:rPr>
          <w:lang w:val="fr-FR"/>
        </w:rPr>
      </w:pPr>
      <w:r w:rsidRPr="006A32B2">
        <w:rPr>
          <w:lang w:val="fr-FR"/>
        </w:rPr>
        <w:t>58.</w:t>
      </w:r>
      <w:r w:rsidRPr="006A32B2">
        <w:rPr>
          <w:lang w:val="fr-FR"/>
        </w:rPr>
        <w:tab/>
        <w:t>Le 31 mars 2020, la Ministre de la santé a annoncé que cinq premiers cas de COVID</w:t>
      </w:r>
      <w:r w:rsidR="00800981">
        <w:rPr>
          <w:lang w:val="fr-FR"/>
        </w:rPr>
        <w:noBreakHyphen/>
      </w:r>
      <w:r w:rsidRPr="006A32B2">
        <w:rPr>
          <w:lang w:val="fr-FR"/>
        </w:rPr>
        <w:t>19 avaient été enregistrés au Nicaragua. À la fin du mois de mars, le Gouvernement a indiqué que des brigades éducatives avaient effectué des visites dans plus de 1,3 million de foyers, y compris auprès des peuples autochtones et des personnes d</w:t>
      </w:r>
      <w:r>
        <w:rPr>
          <w:lang w:val="fr-FR"/>
        </w:rPr>
        <w:t>’</w:t>
      </w:r>
      <w:r w:rsidRPr="006A32B2">
        <w:rPr>
          <w:lang w:val="fr-FR"/>
        </w:rPr>
        <w:t xml:space="preserve">ascendance africaine, pour </w:t>
      </w:r>
      <w:r>
        <w:rPr>
          <w:lang w:val="fr-FR"/>
        </w:rPr>
        <w:t>sensibiliser la population dans le domaine de la prévention en matière de santé</w:t>
      </w:r>
      <w:r w:rsidRPr="006A32B2">
        <w:rPr>
          <w:lang w:val="fr-FR"/>
        </w:rPr>
        <w:t xml:space="preserve"> et dépister les personnes porteuses du virus, et il a souligné que l</w:t>
      </w:r>
      <w:r>
        <w:rPr>
          <w:lang w:val="fr-FR"/>
        </w:rPr>
        <w:t>’</w:t>
      </w:r>
      <w:r w:rsidRPr="006A32B2">
        <w:rPr>
          <w:lang w:val="fr-FR"/>
        </w:rPr>
        <w:t xml:space="preserve">État </w:t>
      </w:r>
      <w:r>
        <w:rPr>
          <w:lang w:val="fr-FR"/>
        </w:rPr>
        <w:t>assurait</w:t>
      </w:r>
      <w:r w:rsidRPr="006A32B2">
        <w:rPr>
          <w:lang w:val="fr-FR"/>
        </w:rPr>
        <w:t xml:space="preserve"> une couverture sanitaire universelle à l</w:t>
      </w:r>
      <w:r>
        <w:rPr>
          <w:lang w:val="fr-FR"/>
        </w:rPr>
        <w:t>’</w:t>
      </w:r>
      <w:r w:rsidRPr="006A32B2">
        <w:rPr>
          <w:lang w:val="fr-FR"/>
        </w:rPr>
        <w:t>ensemble de ses citoyens</w:t>
      </w:r>
      <w:r w:rsidRPr="006A32B2">
        <w:rPr>
          <w:rStyle w:val="Appelnotedebasdep"/>
          <w:lang w:val="fr-FR"/>
        </w:rPr>
        <w:footnoteReference w:id="78"/>
      </w:r>
      <w:r w:rsidRPr="006A32B2">
        <w:rPr>
          <w:lang w:val="fr-FR"/>
        </w:rPr>
        <w:t>. La participation du Nicaragua aux actions menées par le Système d</w:t>
      </w:r>
      <w:r>
        <w:rPr>
          <w:lang w:val="fr-FR"/>
        </w:rPr>
        <w:t>’</w:t>
      </w:r>
      <w:r w:rsidRPr="006A32B2">
        <w:rPr>
          <w:lang w:val="fr-FR"/>
        </w:rPr>
        <w:t>intégration de l</w:t>
      </w:r>
      <w:r>
        <w:rPr>
          <w:lang w:val="fr-FR"/>
        </w:rPr>
        <w:t>’</w:t>
      </w:r>
      <w:r w:rsidRPr="006A32B2">
        <w:rPr>
          <w:lang w:val="fr-FR"/>
        </w:rPr>
        <w:t>Amérique centrale a contribué à l</w:t>
      </w:r>
      <w:r>
        <w:rPr>
          <w:lang w:val="fr-FR"/>
        </w:rPr>
        <w:t>’</w:t>
      </w:r>
      <w:r w:rsidRPr="006A32B2">
        <w:rPr>
          <w:lang w:val="fr-FR"/>
        </w:rPr>
        <w:t>adoption, en mars, d</w:t>
      </w:r>
      <w:r>
        <w:rPr>
          <w:lang w:val="fr-FR"/>
        </w:rPr>
        <w:t>’</w:t>
      </w:r>
      <w:r w:rsidRPr="006A32B2">
        <w:rPr>
          <w:lang w:val="fr-FR"/>
        </w:rPr>
        <w:t xml:space="preserve">une déclaration intitulée </w:t>
      </w:r>
      <w:r>
        <w:rPr>
          <w:lang w:val="fr-FR"/>
        </w:rPr>
        <w:t>« </w:t>
      </w:r>
      <w:r w:rsidRPr="00800981">
        <w:rPr>
          <w:i/>
          <w:iCs/>
          <w:lang w:val="fr-FR"/>
        </w:rPr>
        <w:t>Centroamérica</w:t>
      </w:r>
      <w:r w:rsidRPr="003766A8">
        <w:rPr>
          <w:i/>
          <w:iCs/>
          <w:lang w:val="fr-FR"/>
        </w:rPr>
        <w:t xml:space="preserve"> unida contra el coronavirus</w:t>
      </w:r>
      <w:r>
        <w:rPr>
          <w:lang w:val="fr-FR"/>
        </w:rPr>
        <w:t> »</w:t>
      </w:r>
      <w:r w:rsidRPr="006A32B2">
        <w:rPr>
          <w:lang w:val="fr-FR"/>
        </w:rPr>
        <w:t xml:space="preserve"> (l</w:t>
      </w:r>
      <w:r>
        <w:rPr>
          <w:lang w:val="fr-FR"/>
        </w:rPr>
        <w:t>’</w:t>
      </w:r>
      <w:r w:rsidRPr="006A32B2">
        <w:rPr>
          <w:lang w:val="fr-FR"/>
        </w:rPr>
        <w:t>Amérique centrale unie contre le coronavirus) et d</w:t>
      </w:r>
      <w:r>
        <w:rPr>
          <w:lang w:val="fr-FR"/>
        </w:rPr>
        <w:t>’</w:t>
      </w:r>
      <w:r w:rsidRPr="006A32B2">
        <w:rPr>
          <w:lang w:val="fr-FR"/>
        </w:rPr>
        <w:t>un plan d</w:t>
      </w:r>
      <w:r>
        <w:rPr>
          <w:lang w:val="fr-FR"/>
        </w:rPr>
        <w:t>’</w:t>
      </w:r>
      <w:r w:rsidRPr="006A32B2">
        <w:rPr>
          <w:lang w:val="fr-FR"/>
        </w:rPr>
        <w:t>urgence régional contre le coronavirus.</w:t>
      </w:r>
    </w:p>
    <w:p w14:paraId="5CD62CE6" w14:textId="2116B847" w:rsidR="00225673" w:rsidRPr="006A32B2" w:rsidRDefault="00225673" w:rsidP="00800981">
      <w:pPr>
        <w:pStyle w:val="SingleTxtG"/>
        <w:rPr>
          <w:lang w:val="fr-FR"/>
        </w:rPr>
      </w:pPr>
      <w:r w:rsidRPr="006A32B2">
        <w:rPr>
          <w:lang w:val="fr-FR"/>
        </w:rPr>
        <w:t>59.</w:t>
      </w:r>
      <w:r w:rsidRPr="006A32B2">
        <w:rPr>
          <w:lang w:val="fr-FR"/>
        </w:rPr>
        <w:tab/>
        <w:t>Malgré tout, certaines des mesures prises par le Gouvernement n</w:t>
      </w:r>
      <w:r>
        <w:rPr>
          <w:lang w:val="fr-FR"/>
        </w:rPr>
        <w:t>’</w:t>
      </w:r>
      <w:r w:rsidRPr="006A32B2">
        <w:rPr>
          <w:lang w:val="fr-FR"/>
        </w:rPr>
        <w:t>étaient pas conformes aux recommandations formulées par l</w:t>
      </w:r>
      <w:r>
        <w:rPr>
          <w:lang w:val="fr-FR"/>
        </w:rPr>
        <w:t>’</w:t>
      </w:r>
      <w:r w:rsidRPr="006A32B2">
        <w:rPr>
          <w:lang w:val="fr-FR"/>
        </w:rPr>
        <w:t>Organisation mondiale de la Santé et par l</w:t>
      </w:r>
      <w:r>
        <w:rPr>
          <w:lang w:val="fr-FR"/>
        </w:rPr>
        <w:t>’</w:t>
      </w:r>
      <w:r w:rsidRPr="006A32B2">
        <w:rPr>
          <w:lang w:val="fr-FR"/>
        </w:rPr>
        <w:t>Organisation panaméricaine de la santé (OPS), notamment en ce qui concerne la distanciation physique et les rassemblements</w:t>
      </w:r>
      <w:r w:rsidRPr="006A32B2">
        <w:rPr>
          <w:rStyle w:val="Appelnotedebasdep"/>
          <w:lang w:val="fr-FR"/>
        </w:rPr>
        <w:footnoteReference w:id="79"/>
      </w:r>
      <w:r w:rsidRPr="006A32B2">
        <w:rPr>
          <w:lang w:val="fr-FR"/>
        </w:rPr>
        <w:t>. Tout au long de l</w:t>
      </w:r>
      <w:r>
        <w:rPr>
          <w:lang w:val="fr-FR"/>
        </w:rPr>
        <w:t>’</w:t>
      </w:r>
      <w:r w:rsidRPr="006A32B2">
        <w:rPr>
          <w:lang w:val="fr-FR"/>
        </w:rPr>
        <w:t>année 2020, le HCDH a relevé qu</w:t>
      </w:r>
      <w:r>
        <w:rPr>
          <w:lang w:val="fr-FR"/>
        </w:rPr>
        <w:t>’</w:t>
      </w:r>
      <w:r w:rsidRPr="006A32B2">
        <w:rPr>
          <w:lang w:val="fr-FR"/>
        </w:rPr>
        <w:t>il fallait améliorer la transparence des informations officielles communiquées au sujet des effets de la COVID-19 au Nicaragua.</w:t>
      </w:r>
    </w:p>
    <w:p w14:paraId="1F856A8B" w14:textId="7691090A" w:rsidR="00225673" w:rsidRPr="006A32B2" w:rsidRDefault="00225673" w:rsidP="00800981">
      <w:pPr>
        <w:pStyle w:val="SingleTxtG"/>
        <w:rPr>
          <w:lang w:val="fr-FR"/>
        </w:rPr>
      </w:pPr>
      <w:r w:rsidRPr="006A32B2">
        <w:rPr>
          <w:lang w:val="fr-FR"/>
        </w:rPr>
        <w:t>60.</w:t>
      </w:r>
      <w:r w:rsidRPr="006A32B2">
        <w:rPr>
          <w:lang w:val="fr-FR"/>
        </w:rPr>
        <w:tab/>
        <w:t xml:space="preserve">Les soignants ont </w:t>
      </w:r>
      <w:r>
        <w:rPr>
          <w:lang w:val="fr-FR"/>
        </w:rPr>
        <w:t>fait</w:t>
      </w:r>
      <w:r w:rsidRPr="006A32B2">
        <w:rPr>
          <w:lang w:val="fr-FR"/>
        </w:rPr>
        <w:t xml:space="preserve"> trois déclarations publiques</w:t>
      </w:r>
      <w:r w:rsidRPr="006A32B2">
        <w:rPr>
          <w:rStyle w:val="Appelnotedebasdep"/>
          <w:lang w:val="fr-FR"/>
        </w:rPr>
        <w:footnoteReference w:id="80"/>
      </w:r>
      <w:r w:rsidRPr="006A32B2">
        <w:rPr>
          <w:lang w:val="fr-FR"/>
        </w:rPr>
        <w:t xml:space="preserve"> dans lesquelles ils priaient instamment les autorités nationales de mettre en œuvre des mesures de distanciation</w:t>
      </w:r>
      <w:r>
        <w:rPr>
          <w:lang w:val="fr-FR"/>
        </w:rPr>
        <w:t xml:space="preserve"> sociale</w:t>
      </w:r>
      <w:r w:rsidRPr="006A32B2">
        <w:rPr>
          <w:lang w:val="fr-FR"/>
        </w:rPr>
        <w:t xml:space="preserve"> et de limiter les rassemblements sans délai. Le 11 mai, cinq anciens Ministres de la santé ont publié une déclaration allant dans ce sens, tandis que des associations de médecins ont invité la population à respecter une </w:t>
      </w:r>
      <w:r>
        <w:rPr>
          <w:lang w:val="fr-FR"/>
        </w:rPr>
        <w:t>« </w:t>
      </w:r>
      <w:r w:rsidRPr="006A32B2">
        <w:rPr>
          <w:lang w:val="fr-FR"/>
        </w:rPr>
        <w:t>quarantaine volontaire</w:t>
      </w:r>
      <w:r>
        <w:rPr>
          <w:lang w:val="fr-FR"/>
        </w:rPr>
        <w:t> »</w:t>
      </w:r>
      <w:r w:rsidRPr="006A32B2">
        <w:rPr>
          <w:rStyle w:val="Appelnotedebasdep"/>
          <w:lang w:val="fr-FR"/>
        </w:rPr>
        <w:footnoteReference w:id="81"/>
      </w:r>
      <w:r w:rsidRPr="006A32B2">
        <w:rPr>
          <w:lang w:val="fr-FR"/>
        </w:rPr>
        <w:t xml:space="preserve">. En mai et en juin, le HCDH a reçu des informations très inquiétantes selon lesquelles des véhicules transportaient, en pleine nuit, les corps de personnes décédées </w:t>
      </w:r>
      <w:r>
        <w:rPr>
          <w:lang w:val="fr-FR"/>
        </w:rPr>
        <w:t>des suites de</w:t>
      </w:r>
      <w:r w:rsidRPr="006A32B2">
        <w:rPr>
          <w:lang w:val="fr-FR"/>
        </w:rPr>
        <w:t xml:space="preserve"> symptômes associés à la COVID-19, notamment afin qu</w:t>
      </w:r>
      <w:r>
        <w:rPr>
          <w:lang w:val="fr-FR"/>
        </w:rPr>
        <w:t>’</w:t>
      </w:r>
      <w:r w:rsidRPr="006A32B2">
        <w:rPr>
          <w:lang w:val="fr-FR"/>
        </w:rPr>
        <w:t>il soit procédé à des inhumations hâtives.</w:t>
      </w:r>
    </w:p>
    <w:p w14:paraId="5C551B0E" w14:textId="50D8DA9F" w:rsidR="00225673" w:rsidRPr="006A32B2" w:rsidRDefault="00225673" w:rsidP="00800981">
      <w:pPr>
        <w:pStyle w:val="SingleTxtG"/>
        <w:rPr>
          <w:lang w:val="fr-FR"/>
        </w:rPr>
      </w:pPr>
      <w:r w:rsidRPr="006A32B2">
        <w:rPr>
          <w:lang w:val="fr-FR"/>
        </w:rPr>
        <w:t>61.</w:t>
      </w:r>
      <w:r w:rsidRPr="006A32B2">
        <w:rPr>
          <w:lang w:val="fr-FR"/>
        </w:rPr>
        <w:tab/>
        <w:t>En mai, l</w:t>
      </w:r>
      <w:r>
        <w:rPr>
          <w:lang w:val="fr-FR"/>
        </w:rPr>
        <w:t>’</w:t>
      </w:r>
      <w:r w:rsidRPr="006A32B2">
        <w:rPr>
          <w:lang w:val="fr-FR"/>
        </w:rPr>
        <w:t>OPS a proposé d</w:t>
      </w:r>
      <w:r>
        <w:rPr>
          <w:lang w:val="fr-FR"/>
        </w:rPr>
        <w:t>’</w:t>
      </w:r>
      <w:r w:rsidRPr="006A32B2">
        <w:rPr>
          <w:lang w:val="fr-FR"/>
        </w:rPr>
        <w:t>envoyer une équipe d</w:t>
      </w:r>
      <w:r>
        <w:rPr>
          <w:lang w:val="fr-FR"/>
        </w:rPr>
        <w:t>’</w:t>
      </w:r>
      <w:r w:rsidRPr="006A32B2">
        <w:rPr>
          <w:lang w:val="fr-FR"/>
        </w:rPr>
        <w:t>experts au Nicaragua pour évaluer la situation du pays au regard de la COVID-19. Le Gouvernement lui a fait savoir que les experts seraient autorisés à visiter les établissements de soins et que des statistiques détaillées et ventilées sur les cas confirmés et les cas suspects leur seraient communiquées. Toutefois, au moment de l</w:t>
      </w:r>
      <w:r>
        <w:rPr>
          <w:lang w:val="fr-FR"/>
        </w:rPr>
        <w:t>’</w:t>
      </w:r>
      <w:r w:rsidRPr="006A32B2">
        <w:rPr>
          <w:lang w:val="fr-FR"/>
        </w:rPr>
        <w:t>établissement du présent rapport, les experts ne s</w:t>
      </w:r>
      <w:r>
        <w:rPr>
          <w:lang w:val="fr-FR"/>
        </w:rPr>
        <w:t>’</w:t>
      </w:r>
      <w:r w:rsidRPr="006A32B2">
        <w:rPr>
          <w:lang w:val="fr-FR"/>
        </w:rPr>
        <w:t>étaient toujours pas rendus sur place</w:t>
      </w:r>
      <w:r w:rsidRPr="006A32B2">
        <w:rPr>
          <w:rStyle w:val="Appelnotedebasdep"/>
          <w:lang w:val="fr-FR"/>
        </w:rPr>
        <w:footnoteReference w:id="82"/>
      </w:r>
      <w:r w:rsidRPr="006A32B2">
        <w:rPr>
          <w:lang w:val="fr-FR"/>
        </w:rPr>
        <w:t>.</w:t>
      </w:r>
    </w:p>
    <w:p w14:paraId="47FBC9A4" w14:textId="04FA9714" w:rsidR="00225673" w:rsidRPr="006A32B2" w:rsidRDefault="00225673" w:rsidP="00800981">
      <w:pPr>
        <w:pStyle w:val="SingleTxtG"/>
        <w:rPr>
          <w:lang w:val="fr-FR"/>
        </w:rPr>
      </w:pPr>
      <w:r w:rsidRPr="006A32B2">
        <w:rPr>
          <w:lang w:val="fr-FR"/>
        </w:rPr>
        <w:t>62.</w:t>
      </w:r>
      <w:r w:rsidRPr="006A32B2">
        <w:rPr>
          <w:lang w:val="fr-FR"/>
        </w:rPr>
        <w:tab/>
        <w:t>Le HCDH s</w:t>
      </w:r>
      <w:r>
        <w:rPr>
          <w:lang w:val="fr-FR"/>
        </w:rPr>
        <w:t>’</w:t>
      </w:r>
      <w:r w:rsidRPr="006A32B2">
        <w:rPr>
          <w:lang w:val="fr-FR"/>
        </w:rPr>
        <w:t>inquiète de l</w:t>
      </w:r>
      <w:r>
        <w:rPr>
          <w:lang w:val="fr-FR"/>
        </w:rPr>
        <w:t>’</w:t>
      </w:r>
      <w:r w:rsidRPr="006A32B2">
        <w:rPr>
          <w:lang w:val="fr-FR"/>
        </w:rPr>
        <w:t>absence de données ventilées concernant la contamination des peuples autochtones et des personnes d</w:t>
      </w:r>
      <w:r>
        <w:rPr>
          <w:lang w:val="fr-FR"/>
        </w:rPr>
        <w:t>’</w:t>
      </w:r>
      <w:r w:rsidRPr="006A32B2">
        <w:rPr>
          <w:lang w:val="fr-FR"/>
        </w:rPr>
        <w:t>ascendance africaine par le coronavirus ainsi que du manque d</w:t>
      </w:r>
      <w:r>
        <w:rPr>
          <w:lang w:val="fr-FR"/>
        </w:rPr>
        <w:t>’</w:t>
      </w:r>
      <w:r w:rsidRPr="006A32B2">
        <w:rPr>
          <w:lang w:val="fr-FR"/>
        </w:rPr>
        <w:t xml:space="preserve">informations sur les mesures spéciales mises en œuvre aux fins de la protection de ces groupes. </w:t>
      </w:r>
      <w:r>
        <w:rPr>
          <w:lang w:val="fr-FR"/>
        </w:rPr>
        <w:t>À</w:t>
      </w:r>
      <w:r w:rsidRPr="006A32B2">
        <w:rPr>
          <w:lang w:val="fr-FR"/>
        </w:rPr>
        <w:t xml:space="preserve"> la date du 2 décembre 2020, des sources de la société civile dénombraient 461</w:t>
      </w:r>
      <w:r w:rsidR="00800981">
        <w:rPr>
          <w:lang w:val="fr-FR"/>
        </w:rPr>
        <w:t> </w:t>
      </w:r>
      <w:r w:rsidRPr="006A32B2">
        <w:rPr>
          <w:lang w:val="fr-FR"/>
        </w:rPr>
        <w:t xml:space="preserve">cas suspects de COVID-19 et 167 décès au sein de </w:t>
      </w:r>
      <w:r>
        <w:rPr>
          <w:lang w:val="fr-FR"/>
        </w:rPr>
        <w:t>ces populations</w:t>
      </w:r>
      <w:r w:rsidRPr="006A32B2">
        <w:rPr>
          <w:rStyle w:val="Appelnotedebasdep"/>
          <w:lang w:val="fr-FR"/>
        </w:rPr>
        <w:footnoteReference w:id="83"/>
      </w:r>
      <w:r w:rsidRPr="006A32B2">
        <w:rPr>
          <w:lang w:val="fr-FR"/>
        </w:rPr>
        <w:t xml:space="preserve">, </w:t>
      </w:r>
      <w:r>
        <w:rPr>
          <w:lang w:val="fr-FR"/>
        </w:rPr>
        <w:t xml:space="preserve">qui le plus souvent </w:t>
      </w:r>
      <w:r w:rsidRPr="006A32B2">
        <w:rPr>
          <w:lang w:val="fr-FR"/>
        </w:rPr>
        <w:t>ne disposent pas des infrastructures et des services sanitaires de base et n</w:t>
      </w:r>
      <w:r>
        <w:rPr>
          <w:lang w:val="fr-FR"/>
        </w:rPr>
        <w:t>’</w:t>
      </w:r>
      <w:r w:rsidRPr="006A32B2">
        <w:rPr>
          <w:lang w:val="fr-FR"/>
        </w:rPr>
        <w:t>ont notamment pas accès à l</w:t>
      </w:r>
      <w:r>
        <w:rPr>
          <w:lang w:val="fr-FR"/>
        </w:rPr>
        <w:t>’</w:t>
      </w:r>
      <w:r w:rsidRPr="006A32B2">
        <w:rPr>
          <w:lang w:val="fr-FR"/>
        </w:rPr>
        <w:t>eau potable ni aux soins de santé publics. Le Gouvernement a indiqué avoir préparé des messages en anglais, en mosquito et en mayangna sur les mesures liées à la COVID-19</w:t>
      </w:r>
      <w:r w:rsidRPr="006A32B2">
        <w:rPr>
          <w:rStyle w:val="Appelnotedebasdep"/>
          <w:lang w:val="fr-FR"/>
        </w:rPr>
        <w:footnoteReference w:id="84"/>
      </w:r>
      <w:r w:rsidRPr="006A32B2">
        <w:rPr>
          <w:lang w:val="fr-FR"/>
        </w:rPr>
        <w:t xml:space="preserve">. Cependant, le HCDH a </w:t>
      </w:r>
      <w:r>
        <w:rPr>
          <w:lang w:val="fr-FR"/>
        </w:rPr>
        <w:t>appris que</w:t>
      </w:r>
      <w:r w:rsidRPr="006A32B2">
        <w:rPr>
          <w:lang w:val="fr-FR"/>
        </w:rPr>
        <w:t xml:space="preserve"> les renseignements relatifs à la COVID-19 et les protocoles d</w:t>
      </w:r>
      <w:r>
        <w:rPr>
          <w:lang w:val="fr-FR"/>
        </w:rPr>
        <w:t>’</w:t>
      </w:r>
      <w:r w:rsidRPr="006A32B2">
        <w:rPr>
          <w:lang w:val="fr-FR"/>
        </w:rPr>
        <w:t>isolement applicables n</w:t>
      </w:r>
      <w:r>
        <w:rPr>
          <w:lang w:val="fr-FR"/>
        </w:rPr>
        <w:t>’</w:t>
      </w:r>
      <w:r w:rsidRPr="006A32B2">
        <w:rPr>
          <w:lang w:val="fr-FR"/>
        </w:rPr>
        <w:t xml:space="preserve">étaient pas toujours disponibles dans ces langues. Le </w:t>
      </w:r>
      <w:r>
        <w:rPr>
          <w:lang w:val="fr-FR"/>
        </w:rPr>
        <w:t xml:space="preserve">peu </w:t>
      </w:r>
      <w:r>
        <w:rPr>
          <w:lang w:val="fr-FR"/>
        </w:rPr>
        <w:lastRenderedPageBreak/>
        <w:t>d’informations communiqué aux</w:t>
      </w:r>
      <w:r w:rsidRPr="006A32B2">
        <w:rPr>
          <w:lang w:val="fr-FR"/>
        </w:rPr>
        <w:t xml:space="preserve"> communautés autochtones et </w:t>
      </w:r>
      <w:r>
        <w:rPr>
          <w:lang w:val="fr-FR"/>
        </w:rPr>
        <w:t>aux</w:t>
      </w:r>
      <w:r w:rsidRPr="006A32B2">
        <w:rPr>
          <w:lang w:val="fr-FR"/>
        </w:rPr>
        <w:t xml:space="preserve"> </w:t>
      </w:r>
      <w:r>
        <w:rPr>
          <w:lang w:val="fr-FR"/>
        </w:rPr>
        <w:t>populations</w:t>
      </w:r>
      <w:r w:rsidRPr="006A32B2">
        <w:rPr>
          <w:lang w:val="fr-FR"/>
        </w:rPr>
        <w:t xml:space="preserve"> d</w:t>
      </w:r>
      <w:r>
        <w:rPr>
          <w:lang w:val="fr-FR"/>
        </w:rPr>
        <w:t>’</w:t>
      </w:r>
      <w:r w:rsidRPr="006A32B2">
        <w:rPr>
          <w:lang w:val="fr-FR"/>
        </w:rPr>
        <w:t>ascendance africaine et le manque de confiance</w:t>
      </w:r>
      <w:r>
        <w:rPr>
          <w:lang w:val="fr-FR"/>
        </w:rPr>
        <w:t xml:space="preserve"> </w:t>
      </w:r>
      <w:r w:rsidRPr="006A32B2">
        <w:rPr>
          <w:lang w:val="fr-FR"/>
        </w:rPr>
        <w:t>à l</w:t>
      </w:r>
      <w:r>
        <w:rPr>
          <w:lang w:val="fr-FR"/>
        </w:rPr>
        <w:t>’</w:t>
      </w:r>
      <w:r w:rsidRPr="006A32B2">
        <w:rPr>
          <w:lang w:val="fr-FR"/>
        </w:rPr>
        <w:t xml:space="preserve">égard des institutions publiques </w:t>
      </w:r>
      <w:r>
        <w:rPr>
          <w:lang w:val="fr-FR"/>
        </w:rPr>
        <w:t>ont incité</w:t>
      </w:r>
      <w:r w:rsidRPr="006A32B2">
        <w:rPr>
          <w:lang w:val="fr-FR"/>
        </w:rPr>
        <w:t xml:space="preserve"> au moins 20</w:t>
      </w:r>
      <w:r w:rsidR="001D41E3">
        <w:rPr>
          <w:lang w:val="fr-FR"/>
        </w:rPr>
        <w:t> </w:t>
      </w:r>
      <w:r w:rsidRPr="006A32B2">
        <w:rPr>
          <w:lang w:val="fr-FR"/>
        </w:rPr>
        <w:t xml:space="preserve">groupes de la </w:t>
      </w:r>
      <w:r>
        <w:rPr>
          <w:lang w:val="fr-FR"/>
        </w:rPr>
        <w:t>C</w:t>
      </w:r>
      <w:r w:rsidRPr="006A32B2">
        <w:rPr>
          <w:lang w:val="fr-FR"/>
        </w:rPr>
        <w:t>ôt</w:t>
      </w:r>
      <w:r>
        <w:rPr>
          <w:lang w:val="fr-FR"/>
        </w:rPr>
        <w:t>e</w:t>
      </w:r>
      <w:r w:rsidRPr="006A32B2">
        <w:rPr>
          <w:lang w:val="fr-FR"/>
        </w:rPr>
        <w:t xml:space="preserve"> cara</w:t>
      </w:r>
      <w:r>
        <w:rPr>
          <w:lang w:val="fr-FR"/>
        </w:rPr>
        <w:t>ï</w:t>
      </w:r>
      <w:r w:rsidRPr="006A32B2">
        <w:rPr>
          <w:lang w:val="fr-FR"/>
        </w:rPr>
        <w:t>be</w:t>
      </w:r>
      <w:r>
        <w:rPr>
          <w:lang w:val="fr-FR"/>
        </w:rPr>
        <w:t xml:space="preserve"> à décider d’eux-mêmes de s’isoler</w:t>
      </w:r>
      <w:r w:rsidRPr="006A32B2">
        <w:rPr>
          <w:lang w:val="fr-FR"/>
        </w:rPr>
        <w:t xml:space="preserve"> en mai et juin 2020.</w:t>
      </w:r>
    </w:p>
    <w:p w14:paraId="21738573" w14:textId="38DE3A04" w:rsidR="00225673" w:rsidRPr="006A32B2" w:rsidRDefault="00225673" w:rsidP="001D41E3">
      <w:pPr>
        <w:pStyle w:val="SingleTxtG"/>
        <w:rPr>
          <w:lang w:val="fr-FR"/>
        </w:rPr>
      </w:pPr>
      <w:r w:rsidRPr="006A32B2">
        <w:rPr>
          <w:lang w:val="fr-FR"/>
        </w:rPr>
        <w:t>63.</w:t>
      </w:r>
      <w:r w:rsidRPr="006A32B2">
        <w:rPr>
          <w:lang w:val="fr-FR"/>
        </w:rPr>
        <w:tab/>
        <w:t>Le HCDH a établi qu</w:t>
      </w:r>
      <w:r>
        <w:rPr>
          <w:lang w:val="fr-FR"/>
        </w:rPr>
        <w:t>’</w:t>
      </w:r>
      <w:r w:rsidRPr="006A32B2">
        <w:rPr>
          <w:lang w:val="fr-FR"/>
        </w:rPr>
        <w:t xml:space="preserve">entre le 27 juin et le 5 août 2020, environ 1 300 migrants nicaraguayens étaient restés bloqués pendant </w:t>
      </w:r>
      <w:r w:rsidR="001D41E3">
        <w:rPr>
          <w:lang w:val="fr-FR"/>
        </w:rPr>
        <w:t>dix</w:t>
      </w:r>
      <w:r w:rsidRPr="006A32B2">
        <w:rPr>
          <w:lang w:val="fr-FR"/>
        </w:rPr>
        <w:t xml:space="preserve"> à </w:t>
      </w:r>
      <w:r w:rsidR="001D41E3">
        <w:rPr>
          <w:lang w:val="fr-FR"/>
        </w:rPr>
        <w:t>trente</w:t>
      </w:r>
      <w:r w:rsidRPr="006A32B2">
        <w:rPr>
          <w:lang w:val="fr-FR"/>
        </w:rPr>
        <w:t xml:space="preserve"> jours, dans des conditions très précaires, aux frontières du pays avec le Panama, le Costa Rica et le Guatemala, en attendant que le Gouvernement autorise leur entrée sur le territoire.</w:t>
      </w:r>
    </w:p>
    <w:p w14:paraId="67D363B1" w14:textId="44BB2CC4" w:rsidR="00225673" w:rsidRPr="006A32B2" w:rsidRDefault="00225673" w:rsidP="001D41E3">
      <w:pPr>
        <w:pStyle w:val="SingleTxtG"/>
        <w:rPr>
          <w:lang w:val="fr-FR"/>
        </w:rPr>
      </w:pPr>
      <w:r w:rsidRPr="006A32B2">
        <w:rPr>
          <w:lang w:val="fr-FR"/>
        </w:rPr>
        <w:t>64.</w:t>
      </w:r>
      <w:r w:rsidRPr="006A32B2">
        <w:rPr>
          <w:lang w:val="fr-FR"/>
        </w:rPr>
        <w:tab/>
        <w:t>Entre le 3 et le 15 novembre 2020, les ouragans Eta et Iota ont frappé environ 60 % du territoire nicaraguayen, ce qui a provoqué des inondations ainsi que des glissements de terrain et gravement endommagé les infrastructures des secteurs des transports, de l</w:t>
      </w:r>
      <w:r>
        <w:rPr>
          <w:lang w:val="fr-FR"/>
        </w:rPr>
        <w:t>’</w:t>
      </w:r>
      <w:r w:rsidRPr="006A32B2">
        <w:rPr>
          <w:lang w:val="fr-FR"/>
        </w:rPr>
        <w:t>énergie et de la communication. Dans un premier bilan, le Gouvernement a indiqué que 5</w:t>
      </w:r>
      <w:r w:rsidR="001D41E3">
        <w:rPr>
          <w:lang w:val="fr-FR"/>
        </w:rPr>
        <w:t> </w:t>
      </w:r>
      <w:r w:rsidRPr="006A32B2">
        <w:rPr>
          <w:lang w:val="fr-FR"/>
        </w:rPr>
        <w:t>800</w:t>
      </w:r>
      <w:r w:rsidR="001D41E3">
        <w:rPr>
          <w:lang w:val="fr-FR"/>
        </w:rPr>
        <w:t> </w:t>
      </w:r>
      <w:r w:rsidRPr="006A32B2">
        <w:rPr>
          <w:lang w:val="fr-FR"/>
        </w:rPr>
        <w:t>habitations avaient été totalement détruites et 38 000 en partie endommagées. Selon lui, les secteurs de l</w:t>
      </w:r>
      <w:r>
        <w:rPr>
          <w:lang w:val="fr-FR"/>
        </w:rPr>
        <w:t>’</w:t>
      </w:r>
      <w:r w:rsidRPr="006A32B2">
        <w:rPr>
          <w:lang w:val="fr-FR"/>
        </w:rPr>
        <w:t xml:space="preserve">éducation et de la santé </w:t>
      </w:r>
      <w:r>
        <w:rPr>
          <w:lang w:val="fr-FR"/>
        </w:rPr>
        <w:t>o</w:t>
      </w:r>
      <w:r w:rsidRPr="006A32B2">
        <w:rPr>
          <w:lang w:val="fr-FR"/>
        </w:rPr>
        <w:t>nt subi des pertes respectivement estimées à 42</w:t>
      </w:r>
      <w:r w:rsidR="001D41E3">
        <w:rPr>
          <w:lang w:val="fr-FR"/>
        </w:rPr>
        <w:t> </w:t>
      </w:r>
      <w:r>
        <w:rPr>
          <w:lang w:val="fr-FR"/>
        </w:rPr>
        <w:t xml:space="preserve">millions </w:t>
      </w:r>
      <w:r w:rsidRPr="006A32B2">
        <w:rPr>
          <w:lang w:val="fr-FR"/>
        </w:rPr>
        <w:t xml:space="preserve">et à </w:t>
      </w:r>
      <w:r>
        <w:rPr>
          <w:lang w:val="fr-FR"/>
        </w:rPr>
        <w:t xml:space="preserve">plus de </w:t>
      </w:r>
      <w:r w:rsidRPr="006A32B2">
        <w:rPr>
          <w:lang w:val="fr-FR"/>
        </w:rPr>
        <w:t>12 millions de dollars</w:t>
      </w:r>
      <w:r w:rsidRPr="006A32B2">
        <w:rPr>
          <w:rStyle w:val="Appelnotedebasdep"/>
          <w:lang w:val="fr-FR"/>
        </w:rPr>
        <w:footnoteReference w:id="85"/>
      </w:r>
      <w:r w:rsidRPr="006A32B2">
        <w:rPr>
          <w:lang w:val="fr-FR"/>
        </w:rPr>
        <w:t xml:space="preserve">. Le HCDH a </w:t>
      </w:r>
      <w:r>
        <w:rPr>
          <w:lang w:val="fr-FR"/>
        </w:rPr>
        <w:t>appris qu’un grand nombre de</w:t>
      </w:r>
      <w:r w:rsidRPr="006A32B2">
        <w:rPr>
          <w:lang w:val="fr-FR"/>
        </w:rPr>
        <w:t xml:space="preserve"> communautés paysannes</w:t>
      </w:r>
      <w:r>
        <w:rPr>
          <w:lang w:val="fr-FR"/>
        </w:rPr>
        <w:t xml:space="preserve"> et</w:t>
      </w:r>
      <w:r w:rsidRPr="006A32B2">
        <w:rPr>
          <w:lang w:val="fr-FR"/>
        </w:rPr>
        <w:t xml:space="preserve"> autochtones </w:t>
      </w:r>
      <w:r>
        <w:rPr>
          <w:lang w:val="fr-FR"/>
        </w:rPr>
        <w:t xml:space="preserve">et de populations </w:t>
      </w:r>
      <w:r w:rsidRPr="006A32B2">
        <w:rPr>
          <w:lang w:val="fr-FR"/>
        </w:rPr>
        <w:t>d</w:t>
      </w:r>
      <w:r>
        <w:rPr>
          <w:lang w:val="fr-FR"/>
        </w:rPr>
        <w:t>’</w:t>
      </w:r>
      <w:r w:rsidRPr="006A32B2">
        <w:rPr>
          <w:lang w:val="fr-FR"/>
        </w:rPr>
        <w:t>ascendance africaine avaient perdu leur</w:t>
      </w:r>
      <w:r>
        <w:rPr>
          <w:lang w:val="fr-FR"/>
        </w:rPr>
        <w:t>s habitations</w:t>
      </w:r>
      <w:r w:rsidRPr="006A32B2">
        <w:rPr>
          <w:lang w:val="fr-FR"/>
        </w:rPr>
        <w:t xml:space="preserve">, leurs champs et leurs moyens de subsistance, en particulier dans </w:t>
      </w:r>
      <w:r>
        <w:rPr>
          <w:lang w:val="fr-FR"/>
        </w:rPr>
        <w:t>les</w:t>
      </w:r>
      <w:r w:rsidRPr="006A32B2">
        <w:rPr>
          <w:lang w:val="fr-FR"/>
        </w:rPr>
        <w:t xml:space="preserve"> région</w:t>
      </w:r>
      <w:r>
        <w:rPr>
          <w:lang w:val="fr-FR"/>
        </w:rPr>
        <w:t>s</w:t>
      </w:r>
      <w:r w:rsidRPr="006A32B2">
        <w:rPr>
          <w:lang w:val="fr-FR"/>
        </w:rPr>
        <w:t xml:space="preserve"> autonome</w:t>
      </w:r>
      <w:r>
        <w:rPr>
          <w:lang w:val="fr-FR"/>
        </w:rPr>
        <w:t>s</w:t>
      </w:r>
      <w:r w:rsidRPr="006A32B2">
        <w:rPr>
          <w:lang w:val="fr-FR"/>
        </w:rPr>
        <w:t xml:space="preserve"> de la </w:t>
      </w:r>
      <w:r>
        <w:rPr>
          <w:lang w:val="fr-FR"/>
        </w:rPr>
        <w:t>C</w:t>
      </w:r>
      <w:r w:rsidRPr="006A32B2">
        <w:rPr>
          <w:lang w:val="fr-FR"/>
        </w:rPr>
        <w:t>ôt</w:t>
      </w:r>
      <w:r>
        <w:rPr>
          <w:lang w:val="fr-FR"/>
        </w:rPr>
        <w:t>e</w:t>
      </w:r>
      <w:r w:rsidRPr="006A32B2">
        <w:rPr>
          <w:lang w:val="fr-FR"/>
        </w:rPr>
        <w:t xml:space="preserve"> caraïbe nord</w:t>
      </w:r>
      <w:r>
        <w:rPr>
          <w:lang w:val="fr-FR"/>
        </w:rPr>
        <w:t xml:space="preserve"> et de la Côte caraïbe sud</w:t>
      </w:r>
      <w:r w:rsidRPr="006A32B2">
        <w:rPr>
          <w:lang w:val="fr-FR"/>
        </w:rPr>
        <w:t>. Cette situation pose de graves problèmes s</w:t>
      </w:r>
      <w:r>
        <w:rPr>
          <w:lang w:val="fr-FR"/>
        </w:rPr>
        <w:t>’</w:t>
      </w:r>
      <w:r w:rsidRPr="006A32B2">
        <w:rPr>
          <w:lang w:val="fr-FR"/>
        </w:rPr>
        <w:t>agissant de garantir l</w:t>
      </w:r>
      <w:r>
        <w:rPr>
          <w:lang w:val="fr-FR"/>
        </w:rPr>
        <w:t>’</w:t>
      </w:r>
      <w:r w:rsidRPr="006A32B2">
        <w:rPr>
          <w:lang w:val="fr-FR"/>
        </w:rPr>
        <w:t>exercice des droits au logement, à une nourriture suffisante, à la santé et à l</w:t>
      </w:r>
      <w:r>
        <w:rPr>
          <w:lang w:val="fr-FR"/>
        </w:rPr>
        <w:t>’</w:t>
      </w:r>
      <w:r w:rsidRPr="006A32B2">
        <w:rPr>
          <w:lang w:val="fr-FR"/>
        </w:rPr>
        <w:t>éducation, entre autres.</w:t>
      </w:r>
    </w:p>
    <w:p w14:paraId="33A4721D" w14:textId="77777777" w:rsidR="00225673" w:rsidRPr="006A32B2" w:rsidRDefault="00225673" w:rsidP="001D41E3">
      <w:pPr>
        <w:pStyle w:val="HChG"/>
        <w:rPr>
          <w:lang w:val="fr-FR"/>
        </w:rPr>
      </w:pPr>
      <w:r>
        <w:rPr>
          <w:lang w:val="fr-FR"/>
        </w:rPr>
        <w:tab/>
      </w:r>
      <w:r w:rsidRPr="006A32B2">
        <w:rPr>
          <w:lang w:val="fr-FR"/>
        </w:rPr>
        <w:t>XII.</w:t>
      </w:r>
      <w:r w:rsidRPr="006A32B2">
        <w:rPr>
          <w:lang w:val="fr-FR"/>
        </w:rPr>
        <w:tab/>
        <w:t>Conclusions</w:t>
      </w:r>
    </w:p>
    <w:p w14:paraId="46BAA331" w14:textId="375E2367" w:rsidR="00225673" w:rsidRPr="006A32B2" w:rsidRDefault="00225673" w:rsidP="001D41E3">
      <w:pPr>
        <w:pStyle w:val="SingleTxtG"/>
        <w:rPr>
          <w:lang w:val="fr-FR"/>
        </w:rPr>
      </w:pPr>
      <w:r w:rsidRPr="006A32B2">
        <w:rPr>
          <w:lang w:val="fr-FR"/>
        </w:rPr>
        <w:t>65.</w:t>
      </w:r>
      <w:r w:rsidRPr="006A32B2">
        <w:rPr>
          <w:lang w:val="fr-FR"/>
        </w:rPr>
        <w:tab/>
        <w:t>Près de trois ans après le début des mouvements sociaux au Nicaragua, le Gouvernement n</w:t>
      </w:r>
      <w:r>
        <w:rPr>
          <w:lang w:val="fr-FR"/>
        </w:rPr>
        <w:t>’</w:t>
      </w:r>
      <w:r w:rsidRPr="006A32B2">
        <w:rPr>
          <w:lang w:val="fr-FR"/>
        </w:rPr>
        <w:t>a pas admis que l</w:t>
      </w:r>
      <w:r>
        <w:rPr>
          <w:lang w:val="fr-FR"/>
        </w:rPr>
        <w:t>’</w:t>
      </w:r>
      <w:r w:rsidRPr="006A32B2">
        <w:rPr>
          <w:lang w:val="fr-FR"/>
        </w:rPr>
        <w:t>État était responsable des multiples violations des droits de l</w:t>
      </w:r>
      <w:r>
        <w:rPr>
          <w:lang w:val="fr-FR"/>
        </w:rPr>
        <w:t>’</w:t>
      </w:r>
      <w:r w:rsidRPr="006A32B2">
        <w:rPr>
          <w:lang w:val="fr-FR"/>
        </w:rPr>
        <w:t>homme commises depuis avril 2018, notamment de meurtres et de détentions arbitraires. Restées impunies, ces violations sont devenues récurrentes, comme l</w:t>
      </w:r>
      <w:r>
        <w:rPr>
          <w:lang w:val="fr-FR"/>
        </w:rPr>
        <w:t>’</w:t>
      </w:r>
      <w:r w:rsidRPr="006A32B2">
        <w:rPr>
          <w:lang w:val="fr-FR"/>
        </w:rPr>
        <w:t>ont démontré le HCDH et d</w:t>
      </w:r>
      <w:r>
        <w:rPr>
          <w:lang w:val="fr-FR"/>
        </w:rPr>
        <w:t>’</w:t>
      </w:r>
      <w:r w:rsidRPr="006A32B2">
        <w:rPr>
          <w:lang w:val="fr-FR"/>
        </w:rPr>
        <w:t>autres mécanismes régionaux et internationaux de défense des droits de l</w:t>
      </w:r>
      <w:r>
        <w:rPr>
          <w:lang w:val="fr-FR"/>
        </w:rPr>
        <w:t>’</w:t>
      </w:r>
      <w:r w:rsidRPr="006A32B2">
        <w:rPr>
          <w:lang w:val="fr-FR"/>
        </w:rPr>
        <w:t>homme</w:t>
      </w:r>
      <w:r w:rsidR="001D41E3">
        <w:rPr>
          <w:lang w:val="fr-FR"/>
        </w:rPr>
        <w:t> </w:t>
      </w:r>
      <w:r w:rsidRPr="006A32B2">
        <w:rPr>
          <w:lang w:val="fr-FR"/>
        </w:rPr>
        <w:t>; il s</w:t>
      </w:r>
      <w:r>
        <w:rPr>
          <w:lang w:val="fr-FR"/>
        </w:rPr>
        <w:t>’</w:t>
      </w:r>
      <w:r w:rsidRPr="006A32B2">
        <w:rPr>
          <w:lang w:val="fr-FR"/>
        </w:rPr>
        <w:t xml:space="preserve">agit notamment de restrictions </w:t>
      </w:r>
      <w:r>
        <w:rPr>
          <w:lang w:val="fr-FR"/>
        </w:rPr>
        <w:t>du</w:t>
      </w:r>
      <w:r w:rsidRPr="006A32B2">
        <w:rPr>
          <w:lang w:val="fr-FR"/>
        </w:rPr>
        <w:t xml:space="preserve"> droit à la liberté d</w:t>
      </w:r>
      <w:r>
        <w:rPr>
          <w:lang w:val="fr-FR"/>
        </w:rPr>
        <w:t>’</w:t>
      </w:r>
      <w:r w:rsidRPr="006A32B2">
        <w:rPr>
          <w:lang w:val="fr-FR"/>
        </w:rPr>
        <w:t xml:space="preserve">expression, </w:t>
      </w:r>
      <w:r>
        <w:rPr>
          <w:lang w:val="fr-FR"/>
        </w:rPr>
        <w:t xml:space="preserve">du droit </w:t>
      </w:r>
      <w:r w:rsidRPr="006A32B2">
        <w:rPr>
          <w:lang w:val="fr-FR"/>
        </w:rPr>
        <w:t>d</w:t>
      </w:r>
      <w:r>
        <w:rPr>
          <w:lang w:val="fr-FR"/>
        </w:rPr>
        <w:t>’</w:t>
      </w:r>
      <w:r w:rsidRPr="006A32B2">
        <w:rPr>
          <w:lang w:val="fr-FR"/>
        </w:rPr>
        <w:t xml:space="preserve">association et de réunion pacifique et </w:t>
      </w:r>
      <w:r>
        <w:rPr>
          <w:lang w:val="fr-FR"/>
        </w:rPr>
        <w:t>d</w:t>
      </w:r>
      <w:r w:rsidRPr="006A32B2">
        <w:rPr>
          <w:lang w:val="fr-FR"/>
        </w:rPr>
        <w:t>u droit de prendre part à la direction des affaires publiques.</w:t>
      </w:r>
    </w:p>
    <w:p w14:paraId="011374C8" w14:textId="7310532B" w:rsidR="00225673" w:rsidRPr="006A32B2" w:rsidRDefault="00225673" w:rsidP="001D41E3">
      <w:pPr>
        <w:pStyle w:val="SingleTxtG"/>
        <w:rPr>
          <w:lang w:val="fr-FR"/>
        </w:rPr>
      </w:pPr>
      <w:r w:rsidRPr="006A32B2">
        <w:rPr>
          <w:lang w:val="fr-FR"/>
        </w:rPr>
        <w:t>66.</w:t>
      </w:r>
      <w:r w:rsidRPr="006A32B2">
        <w:rPr>
          <w:lang w:val="fr-FR"/>
        </w:rPr>
        <w:tab/>
        <w:t>Le manque d</w:t>
      </w:r>
      <w:r>
        <w:rPr>
          <w:lang w:val="fr-FR"/>
        </w:rPr>
        <w:t>’</w:t>
      </w:r>
      <w:r w:rsidRPr="006A32B2">
        <w:rPr>
          <w:lang w:val="fr-FR"/>
        </w:rPr>
        <w:t>indépendance du pouvoir judiciaire et de l</w:t>
      </w:r>
      <w:r>
        <w:rPr>
          <w:lang w:val="fr-FR"/>
        </w:rPr>
        <w:t>’</w:t>
      </w:r>
      <w:r w:rsidRPr="006A32B2">
        <w:rPr>
          <w:lang w:val="fr-FR"/>
        </w:rPr>
        <w:t>institution nationale des droits de l</w:t>
      </w:r>
      <w:r>
        <w:rPr>
          <w:lang w:val="fr-FR"/>
        </w:rPr>
        <w:t>’</w:t>
      </w:r>
      <w:r w:rsidRPr="006A32B2">
        <w:rPr>
          <w:lang w:val="fr-FR"/>
        </w:rPr>
        <w:t>homme et la réduction constante de l</w:t>
      </w:r>
      <w:r>
        <w:rPr>
          <w:lang w:val="fr-FR"/>
        </w:rPr>
        <w:t>’</w:t>
      </w:r>
      <w:r w:rsidRPr="006A32B2">
        <w:rPr>
          <w:lang w:val="fr-FR"/>
        </w:rPr>
        <w:t xml:space="preserve">espace civique nuisent à la transparence et au </w:t>
      </w:r>
      <w:r>
        <w:rPr>
          <w:lang w:val="fr-FR"/>
        </w:rPr>
        <w:t xml:space="preserve">respect du </w:t>
      </w:r>
      <w:r w:rsidRPr="006A32B2">
        <w:rPr>
          <w:lang w:val="fr-FR"/>
        </w:rPr>
        <w:t>principe de responsabilité, notamment en ce qui concerne les mesures que le Gouvernement a prises pour faire face à la pandémie de COVID-19 et les élections de 2021.</w:t>
      </w:r>
    </w:p>
    <w:p w14:paraId="6273D84C" w14:textId="3697F1D7" w:rsidR="00225673" w:rsidRPr="006A32B2" w:rsidRDefault="00225673" w:rsidP="001D41E3">
      <w:pPr>
        <w:pStyle w:val="SingleTxtG"/>
        <w:rPr>
          <w:lang w:val="fr-FR"/>
        </w:rPr>
      </w:pPr>
      <w:r w:rsidRPr="006A32B2">
        <w:rPr>
          <w:lang w:val="fr-FR"/>
        </w:rPr>
        <w:t>67.</w:t>
      </w:r>
      <w:r w:rsidRPr="006A32B2">
        <w:rPr>
          <w:lang w:val="fr-FR"/>
        </w:rPr>
        <w:tab/>
        <w:t>L</w:t>
      </w:r>
      <w:r>
        <w:rPr>
          <w:lang w:val="fr-FR"/>
        </w:rPr>
        <w:t>’</w:t>
      </w:r>
      <w:r w:rsidRPr="006A32B2">
        <w:rPr>
          <w:lang w:val="fr-FR"/>
        </w:rPr>
        <w:t>ajournement des réformes électorales et l</w:t>
      </w:r>
      <w:r>
        <w:rPr>
          <w:lang w:val="fr-FR"/>
        </w:rPr>
        <w:t>’</w:t>
      </w:r>
      <w:r w:rsidRPr="006A32B2">
        <w:rPr>
          <w:lang w:val="fr-FR"/>
        </w:rPr>
        <w:t>adoption par l</w:t>
      </w:r>
      <w:r>
        <w:rPr>
          <w:lang w:val="fr-FR"/>
        </w:rPr>
        <w:t>’</w:t>
      </w:r>
      <w:r w:rsidRPr="006A32B2">
        <w:rPr>
          <w:lang w:val="fr-FR"/>
        </w:rPr>
        <w:t>Assemblée nationale de lois portant atteinte à l</w:t>
      </w:r>
      <w:r>
        <w:rPr>
          <w:lang w:val="fr-FR"/>
        </w:rPr>
        <w:t>’</w:t>
      </w:r>
      <w:r w:rsidRPr="006A32B2">
        <w:rPr>
          <w:lang w:val="fr-FR"/>
        </w:rPr>
        <w:t>exercice des droits civils et politiques ne sont pas propices à la tenue d</w:t>
      </w:r>
      <w:r>
        <w:rPr>
          <w:lang w:val="fr-FR"/>
        </w:rPr>
        <w:t>’</w:t>
      </w:r>
      <w:r w:rsidRPr="006A32B2">
        <w:rPr>
          <w:lang w:val="fr-FR"/>
        </w:rPr>
        <w:t>élections représentatives, pluralistes, transparentes et régulières en 2021.</w:t>
      </w:r>
    </w:p>
    <w:p w14:paraId="113DCBEE" w14:textId="79D9B3FD" w:rsidR="00225673" w:rsidRPr="006A32B2" w:rsidRDefault="00225673" w:rsidP="001D41E3">
      <w:pPr>
        <w:pStyle w:val="SingleTxtG"/>
        <w:rPr>
          <w:lang w:val="fr-FR"/>
        </w:rPr>
      </w:pPr>
      <w:r w:rsidRPr="006A32B2">
        <w:rPr>
          <w:lang w:val="fr-FR"/>
        </w:rPr>
        <w:t>68.</w:t>
      </w:r>
      <w:r w:rsidRPr="006A32B2">
        <w:rPr>
          <w:lang w:val="fr-FR"/>
        </w:rPr>
        <w:tab/>
        <w:t>Le HCDH admet que le Gouvernement a récemment fait preuve d</w:t>
      </w:r>
      <w:r>
        <w:rPr>
          <w:lang w:val="fr-FR"/>
        </w:rPr>
        <w:t>’</w:t>
      </w:r>
      <w:r w:rsidRPr="006A32B2">
        <w:rPr>
          <w:lang w:val="fr-FR"/>
        </w:rPr>
        <w:t>un esprit d</w:t>
      </w:r>
      <w:r>
        <w:rPr>
          <w:lang w:val="fr-FR"/>
        </w:rPr>
        <w:t>’</w:t>
      </w:r>
      <w:r w:rsidRPr="006A32B2">
        <w:rPr>
          <w:lang w:val="fr-FR"/>
        </w:rPr>
        <w:t>ouverture en collaborant avec des institutions spécialisées des Nations Unies aux fins de la gestion de la pandémie de COVID-19 et au lendemain des ouragans Eta et Iota, en particulier s</w:t>
      </w:r>
      <w:r>
        <w:rPr>
          <w:lang w:val="fr-FR"/>
        </w:rPr>
        <w:t>’</w:t>
      </w:r>
      <w:r w:rsidRPr="006A32B2">
        <w:rPr>
          <w:lang w:val="fr-FR"/>
        </w:rPr>
        <w:t>agissant de la reconstruction et de l</w:t>
      </w:r>
      <w:r>
        <w:rPr>
          <w:lang w:val="fr-FR"/>
        </w:rPr>
        <w:t>’</w:t>
      </w:r>
      <w:r w:rsidRPr="006A32B2">
        <w:rPr>
          <w:lang w:val="fr-FR"/>
        </w:rPr>
        <w:t>aide humanitaire. Néanmoins, il est urgent de s</w:t>
      </w:r>
      <w:r>
        <w:rPr>
          <w:lang w:val="fr-FR"/>
        </w:rPr>
        <w:t>’</w:t>
      </w:r>
      <w:r w:rsidRPr="006A32B2">
        <w:rPr>
          <w:lang w:val="fr-FR"/>
        </w:rPr>
        <w:t>intéresser aux nombreuses dimensions de la crise qui a éclaté en 2018, notamment à celles qui ont trait aux droits de l</w:t>
      </w:r>
      <w:r>
        <w:rPr>
          <w:lang w:val="fr-FR"/>
        </w:rPr>
        <w:t>’</w:t>
      </w:r>
      <w:r w:rsidRPr="006A32B2">
        <w:rPr>
          <w:lang w:val="fr-FR"/>
        </w:rPr>
        <w:t>homme, car la situation continue de se détériorer. Les efforts visant à redresser le pays, touché par les effets de la COVID-19 et par les ouragans, sont l</w:t>
      </w:r>
      <w:r>
        <w:rPr>
          <w:lang w:val="fr-FR"/>
        </w:rPr>
        <w:t>’</w:t>
      </w:r>
      <w:r w:rsidRPr="006A32B2">
        <w:rPr>
          <w:lang w:val="fr-FR"/>
        </w:rPr>
        <w:t>occasion pour le Gouvernement de reprendre le dialogue politique et de s</w:t>
      </w:r>
      <w:r>
        <w:rPr>
          <w:lang w:val="fr-FR"/>
        </w:rPr>
        <w:t>’</w:t>
      </w:r>
      <w:r w:rsidRPr="006A32B2">
        <w:rPr>
          <w:lang w:val="fr-FR"/>
        </w:rPr>
        <w:t>associer à tous les secteurs de la société pour rétablir la confiance et veiller à ce que personne ne soit laissé pour compte. Cet aspect est particulièrement important dans la perspective du cycle électoral de 2021.</w:t>
      </w:r>
    </w:p>
    <w:p w14:paraId="0AC5331E" w14:textId="508E30BE" w:rsidR="00225673" w:rsidRPr="006A32B2" w:rsidRDefault="00225673" w:rsidP="001D41E3">
      <w:pPr>
        <w:pStyle w:val="SingleTxtG"/>
        <w:rPr>
          <w:lang w:val="fr-FR"/>
        </w:rPr>
      </w:pPr>
      <w:r w:rsidRPr="006A32B2">
        <w:rPr>
          <w:lang w:val="fr-FR"/>
        </w:rPr>
        <w:t>69.</w:t>
      </w:r>
      <w:r w:rsidRPr="006A32B2">
        <w:rPr>
          <w:lang w:val="fr-FR"/>
        </w:rPr>
        <w:tab/>
        <w:t>Les recommandations formulées par les mécanismes internationaux et régionaux de défense des droits de l</w:t>
      </w:r>
      <w:r>
        <w:rPr>
          <w:lang w:val="fr-FR"/>
        </w:rPr>
        <w:t>’</w:t>
      </w:r>
      <w:r w:rsidRPr="006A32B2">
        <w:rPr>
          <w:lang w:val="fr-FR"/>
        </w:rPr>
        <w:t xml:space="preserve">homme ainsi que par la Haute-Commissaire forment une feuille de route qui aidera le pays à remédier aux problèmes qui subsistent et à </w:t>
      </w:r>
      <w:r>
        <w:rPr>
          <w:lang w:val="fr-FR"/>
        </w:rPr>
        <w:t>mieux</w:t>
      </w:r>
      <w:r w:rsidRPr="006A32B2">
        <w:rPr>
          <w:lang w:val="fr-FR"/>
        </w:rPr>
        <w:t xml:space="preserve"> prot</w:t>
      </w:r>
      <w:r>
        <w:rPr>
          <w:lang w:val="fr-FR"/>
        </w:rPr>
        <w:t>éger les</w:t>
      </w:r>
      <w:r w:rsidRPr="006A32B2">
        <w:rPr>
          <w:lang w:val="fr-FR"/>
        </w:rPr>
        <w:t xml:space="preserve"> plus vulnérables. Le Nicaragua a pris peu de mesures en vue de mettre en œuvre ces recommandations, et le HCDH reste disposé à l</w:t>
      </w:r>
      <w:r>
        <w:rPr>
          <w:lang w:val="fr-FR"/>
        </w:rPr>
        <w:t>’</w:t>
      </w:r>
      <w:r w:rsidRPr="006A32B2">
        <w:rPr>
          <w:lang w:val="fr-FR"/>
        </w:rPr>
        <w:t>aider à cet</w:t>
      </w:r>
      <w:r>
        <w:rPr>
          <w:lang w:val="fr-FR"/>
        </w:rPr>
        <w:t>te fin</w:t>
      </w:r>
      <w:r w:rsidRPr="006A32B2">
        <w:rPr>
          <w:lang w:val="fr-FR"/>
        </w:rPr>
        <w:t>.</w:t>
      </w:r>
    </w:p>
    <w:p w14:paraId="4A46CE94" w14:textId="77777777" w:rsidR="00225673" w:rsidRPr="006A32B2" w:rsidRDefault="00225673" w:rsidP="00E92F03">
      <w:pPr>
        <w:pStyle w:val="HChG"/>
        <w:rPr>
          <w:lang w:val="fr-FR"/>
        </w:rPr>
      </w:pPr>
      <w:r>
        <w:rPr>
          <w:lang w:val="fr-FR"/>
        </w:rPr>
        <w:lastRenderedPageBreak/>
        <w:tab/>
      </w:r>
      <w:r w:rsidRPr="006A32B2">
        <w:rPr>
          <w:lang w:val="fr-FR"/>
        </w:rPr>
        <w:t>XIII.</w:t>
      </w:r>
      <w:r w:rsidRPr="006A32B2">
        <w:rPr>
          <w:lang w:val="fr-FR"/>
        </w:rPr>
        <w:tab/>
        <w:t>Recommandations</w:t>
      </w:r>
    </w:p>
    <w:p w14:paraId="196FE4F3" w14:textId="49FD00D9" w:rsidR="00225673" w:rsidRPr="00E92F03" w:rsidRDefault="00225673" w:rsidP="00E92F03">
      <w:pPr>
        <w:pStyle w:val="SingleTxtG"/>
        <w:rPr>
          <w:b/>
          <w:bCs/>
          <w:lang w:val="fr-FR"/>
        </w:rPr>
      </w:pPr>
      <w:r w:rsidRPr="006A32B2">
        <w:rPr>
          <w:lang w:val="fr-FR"/>
        </w:rPr>
        <w:t>70.</w:t>
      </w:r>
      <w:r w:rsidRPr="006A32B2">
        <w:rPr>
          <w:lang w:val="fr-FR"/>
        </w:rPr>
        <w:tab/>
      </w:r>
      <w:r w:rsidRPr="00E92F03">
        <w:rPr>
          <w:b/>
          <w:bCs/>
          <w:lang w:val="fr-FR"/>
        </w:rPr>
        <w:t>La Haute-Commissaire invite le Gouvernement nicaraguayen et l’opposition à engager un dialogue constructif fondé sur les normes et les règles internationales relatives aux droits de l’homme afin de remédier à la crise multidimensionnelle qui frappe le pays.</w:t>
      </w:r>
    </w:p>
    <w:p w14:paraId="74AF084E" w14:textId="621D1B32" w:rsidR="00225673" w:rsidRPr="006A32B2" w:rsidRDefault="00225673" w:rsidP="00E92F03">
      <w:pPr>
        <w:pStyle w:val="SingleTxtG"/>
        <w:rPr>
          <w:b/>
          <w:bCs/>
          <w:lang w:val="fr-FR"/>
        </w:rPr>
      </w:pPr>
      <w:r w:rsidRPr="006A32B2">
        <w:rPr>
          <w:lang w:val="fr-FR"/>
        </w:rPr>
        <w:t>71.</w:t>
      </w:r>
      <w:r w:rsidRPr="006A32B2">
        <w:rPr>
          <w:lang w:val="fr-FR"/>
        </w:rPr>
        <w:tab/>
      </w:r>
      <w:r w:rsidRPr="006A32B2">
        <w:rPr>
          <w:b/>
          <w:bCs/>
          <w:lang w:val="fr-FR"/>
        </w:rPr>
        <w:t>La Haute-Commissaire invite notamment le Nicaragua à</w:t>
      </w:r>
      <w:r w:rsidR="00E92F03">
        <w:rPr>
          <w:b/>
          <w:bCs/>
          <w:lang w:val="fr-FR"/>
        </w:rPr>
        <w:t> </w:t>
      </w:r>
      <w:r w:rsidRPr="006A32B2">
        <w:rPr>
          <w:b/>
          <w:bCs/>
          <w:lang w:val="fr-FR"/>
        </w:rPr>
        <w:t>:</w:t>
      </w:r>
    </w:p>
    <w:p w14:paraId="79DE83DB" w14:textId="2AAA08C5" w:rsidR="00225673" w:rsidRPr="006A32B2" w:rsidRDefault="00225673" w:rsidP="00225673">
      <w:pPr>
        <w:pStyle w:val="SingleTxtG"/>
        <w:rPr>
          <w:b/>
          <w:bCs/>
          <w:lang w:val="fr-FR"/>
        </w:rPr>
      </w:pPr>
      <w:r w:rsidRPr="00E92F03">
        <w:rPr>
          <w:b/>
          <w:bCs/>
          <w:lang w:val="fr-FR"/>
        </w:rPr>
        <w:tab/>
        <w:t>a)</w:t>
      </w:r>
      <w:r w:rsidRPr="00E92F03">
        <w:rPr>
          <w:b/>
          <w:bCs/>
          <w:lang w:val="fr-FR"/>
        </w:rPr>
        <w:tab/>
      </w:r>
      <w:r w:rsidRPr="006A32B2">
        <w:rPr>
          <w:b/>
          <w:bCs/>
          <w:lang w:val="fr-FR"/>
        </w:rPr>
        <w:t>Adopter un plan d</w:t>
      </w:r>
      <w:r>
        <w:rPr>
          <w:b/>
          <w:bCs/>
          <w:lang w:val="fr-FR"/>
        </w:rPr>
        <w:t>’</w:t>
      </w:r>
      <w:r w:rsidRPr="006A32B2">
        <w:rPr>
          <w:b/>
          <w:bCs/>
          <w:lang w:val="fr-FR"/>
        </w:rPr>
        <w:t xml:space="preserve">action soumis à un calendrier et définissant clairement les responsabilités </w:t>
      </w:r>
      <w:r>
        <w:rPr>
          <w:b/>
          <w:bCs/>
          <w:lang w:val="fr-FR"/>
        </w:rPr>
        <w:t xml:space="preserve">à assumer, </w:t>
      </w:r>
      <w:r w:rsidRPr="006A32B2">
        <w:rPr>
          <w:b/>
          <w:bCs/>
          <w:lang w:val="fr-FR"/>
        </w:rPr>
        <w:t>afin de mettre en œuvre toutes les recommandations formulées dans son premier rapport, présenté au Conseil des droits de l</w:t>
      </w:r>
      <w:r>
        <w:rPr>
          <w:b/>
          <w:bCs/>
          <w:lang w:val="fr-FR"/>
        </w:rPr>
        <w:t>’</w:t>
      </w:r>
      <w:r w:rsidRPr="006A32B2">
        <w:rPr>
          <w:b/>
          <w:bCs/>
          <w:lang w:val="fr-FR"/>
        </w:rPr>
        <w:t xml:space="preserve">homme en septembre 2019, </w:t>
      </w:r>
      <w:r>
        <w:rPr>
          <w:b/>
          <w:bCs/>
          <w:lang w:val="fr-FR"/>
        </w:rPr>
        <w:t xml:space="preserve">et </w:t>
      </w:r>
      <w:r w:rsidRPr="006A32B2">
        <w:rPr>
          <w:b/>
          <w:bCs/>
          <w:lang w:val="fr-FR"/>
        </w:rPr>
        <w:t xml:space="preserve">notamment </w:t>
      </w:r>
      <w:r>
        <w:rPr>
          <w:b/>
          <w:bCs/>
          <w:lang w:val="fr-FR"/>
        </w:rPr>
        <w:t>d</w:t>
      </w:r>
      <w:r w:rsidRPr="006A32B2">
        <w:rPr>
          <w:b/>
          <w:bCs/>
          <w:lang w:val="fr-FR"/>
        </w:rPr>
        <w:t>e procéd</w:t>
      </w:r>
      <w:r>
        <w:rPr>
          <w:b/>
          <w:bCs/>
          <w:lang w:val="fr-FR"/>
        </w:rPr>
        <w:t>er</w:t>
      </w:r>
      <w:r w:rsidRPr="006A32B2">
        <w:rPr>
          <w:b/>
          <w:bCs/>
          <w:lang w:val="fr-FR"/>
        </w:rPr>
        <w:t xml:space="preserve"> à la libération immédiate de toutes les personnes arbitrairement privées de liberté dans le </w:t>
      </w:r>
      <w:r>
        <w:rPr>
          <w:b/>
          <w:bCs/>
          <w:lang w:val="fr-FR"/>
        </w:rPr>
        <w:t>contexte</w:t>
      </w:r>
      <w:r w:rsidRPr="006A32B2">
        <w:rPr>
          <w:b/>
          <w:bCs/>
          <w:lang w:val="fr-FR"/>
        </w:rPr>
        <w:t xml:space="preserve"> de la crise </w:t>
      </w:r>
      <w:r>
        <w:rPr>
          <w:b/>
          <w:bCs/>
          <w:lang w:val="fr-FR"/>
        </w:rPr>
        <w:t>actuelle</w:t>
      </w:r>
      <w:r w:rsidRPr="006A32B2">
        <w:rPr>
          <w:b/>
          <w:bCs/>
          <w:lang w:val="fr-FR"/>
        </w:rPr>
        <w:t>,</w:t>
      </w:r>
      <w:r w:rsidRPr="006A32B2">
        <w:rPr>
          <w:lang w:val="fr-FR"/>
        </w:rPr>
        <w:t xml:space="preserve"> </w:t>
      </w:r>
      <w:r>
        <w:rPr>
          <w:b/>
          <w:bCs/>
          <w:lang w:val="fr-FR"/>
        </w:rPr>
        <w:t>de</w:t>
      </w:r>
      <w:r w:rsidRPr="006A32B2">
        <w:rPr>
          <w:b/>
          <w:bCs/>
          <w:lang w:val="fr-FR"/>
        </w:rPr>
        <w:t xml:space="preserve"> protége</w:t>
      </w:r>
      <w:r>
        <w:rPr>
          <w:b/>
          <w:bCs/>
          <w:lang w:val="fr-FR"/>
        </w:rPr>
        <w:t>r</w:t>
      </w:r>
      <w:r w:rsidRPr="006A32B2">
        <w:rPr>
          <w:b/>
          <w:bCs/>
          <w:lang w:val="fr-FR"/>
        </w:rPr>
        <w:t xml:space="preserve"> la liberté d</w:t>
      </w:r>
      <w:r>
        <w:rPr>
          <w:b/>
          <w:bCs/>
          <w:lang w:val="fr-FR"/>
        </w:rPr>
        <w:t>’</w:t>
      </w:r>
      <w:r w:rsidRPr="006A32B2">
        <w:rPr>
          <w:b/>
          <w:bCs/>
          <w:lang w:val="fr-FR"/>
        </w:rPr>
        <w:t>expression, d</w:t>
      </w:r>
      <w:r>
        <w:rPr>
          <w:b/>
          <w:bCs/>
          <w:lang w:val="fr-FR"/>
        </w:rPr>
        <w:t>’</w:t>
      </w:r>
      <w:r w:rsidRPr="006A32B2">
        <w:rPr>
          <w:b/>
          <w:bCs/>
          <w:lang w:val="fr-FR"/>
        </w:rPr>
        <w:t>association et de réunion pacifique ainsi que les défenseurs des droits de l</w:t>
      </w:r>
      <w:r>
        <w:rPr>
          <w:b/>
          <w:bCs/>
          <w:lang w:val="fr-FR"/>
        </w:rPr>
        <w:t>’</w:t>
      </w:r>
      <w:r w:rsidRPr="006A32B2">
        <w:rPr>
          <w:b/>
          <w:bCs/>
          <w:lang w:val="fr-FR"/>
        </w:rPr>
        <w:t xml:space="preserve">homme, les </w:t>
      </w:r>
      <w:r>
        <w:rPr>
          <w:b/>
          <w:bCs/>
          <w:lang w:val="fr-FR"/>
        </w:rPr>
        <w:t>personnes d’influence</w:t>
      </w:r>
      <w:r w:rsidRPr="006A32B2">
        <w:rPr>
          <w:b/>
          <w:bCs/>
          <w:lang w:val="fr-FR"/>
        </w:rPr>
        <w:t>, les journalistes et les professionnels des médias,</w:t>
      </w:r>
      <w:r w:rsidRPr="006A32B2">
        <w:rPr>
          <w:lang w:val="fr-FR"/>
        </w:rPr>
        <w:t xml:space="preserve"> </w:t>
      </w:r>
      <w:r w:rsidRPr="006A32B2">
        <w:rPr>
          <w:b/>
          <w:bCs/>
          <w:lang w:val="fr-FR"/>
        </w:rPr>
        <w:t xml:space="preserve">et </w:t>
      </w:r>
      <w:r>
        <w:rPr>
          <w:b/>
          <w:bCs/>
          <w:lang w:val="fr-FR"/>
        </w:rPr>
        <w:t>de</w:t>
      </w:r>
      <w:r w:rsidRPr="006A32B2">
        <w:rPr>
          <w:b/>
          <w:bCs/>
          <w:lang w:val="fr-FR"/>
        </w:rPr>
        <w:t xml:space="preserve"> </w:t>
      </w:r>
      <w:r>
        <w:rPr>
          <w:b/>
          <w:bCs/>
          <w:lang w:val="fr-FR"/>
        </w:rPr>
        <w:t>donner</w:t>
      </w:r>
      <w:r w:rsidRPr="006A32B2">
        <w:rPr>
          <w:b/>
          <w:bCs/>
          <w:lang w:val="fr-FR"/>
        </w:rPr>
        <w:t xml:space="preserve"> pleinement </w:t>
      </w:r>
      <w:r>
        <w:rPr>
          <w:b/>
          <w:bCs/>
          <w:lang w:val="fr-FR"/>
        </w:rPr>
        <w:t>effet au</w:t>
      </w:r>
      <w:r w:rsidRPr="006A32B2">
        <w:rPr>
          <w:b/>
          <w:bCs/>
          <w:lang w:val="fr-FR"/>
        </w:rPr>
        <w:t xml:space="preserve"> droit à un recours et à réparation (restitution, indemnisation, réadaptation, satisfaction et garanties de non</w:t>
      </w:r>
      <w:r w:rsidR="00E92F03">
        <w:rPr>
          <w:b/>
          <w:bCs/>
          <w:lang w:val="fr-FR"/>
        </w:rPr>
        <w:noBreakHyphen/>
      </w:r>
      <w:r w:rsidRPr="006A32B2">
        <w:rPr>
          <w:b/>
          <w:bCs/>
          <w:lang w:val="fr-FR"/>
        </w:rPr>
        <w:t>répétition) de toutes les victimes de violations des droits de l</w:t>
      </w:r>
      <w:r>
        <w:rPr>
          <w:b/>
          <w:bCs/>
          <w:lang w:val="fr-FR"/>
        </w:rPr>
        <w:t>’</w:t>
      </w:r>
      <w:r w:rsidRPr="006A32B2">
        <w:rPr>
          <w:b/>
          <w:bCs/>
          <w:lang w:val="fr-FR"/>
        </w:rPr>
        <w:t>homme</w:t>
      </w:r>
      <w:r w:rsidR="00E92F03">
        <w:rPr>
          <w:b/>
          <w:bCs/>
          <w:lang w:val="fr-FR"/>
        </w:rPr>
        <w:t> </w:t>
      </w:r>
      <w:r w:rsidRPr="006A32B2">
        <w:rPr>
          <w:b/>
          <w:bCs/>
          <w:lang w:val="fr-FR"/>
        </w:rPr>
        <w:t>;</w:t>
      </w:r>
    </w:p>
    <w:p w14:paraId="68755B92" w14:textId="4076AFCF" w:rsidR="00225673" w:rsidRPr="006A32B2" w:rsidRDefault="00225673" w:rsidP="00225673">
      <w:pPr>
        <w:pStyle w:val="SingleTxtG"/>
        <w:rPr>
          <w:b/>
          <w:bCs/>
          <w:lang w:val="fr-FR"/>
        </w:rPr>
      </w:pPr>
      <w:r w:rsidRPr="00E92F03">
        <w:rPr>
          <w:b/>
          <w:bCs/>
          <w:lang w:val="fr-FR"/>
        </w:rPr>
        <w:tab/>
        <w:t>b)</w:t>
      </w:r>
      <w:r w:rsidRPr="006A32B2">
        <w:rPr>
          <w:lang w:val="fr-FR"/>
        </w:rPr>
        <w:tab/>
      </w:r>
      <w:r w:rsidRPr="006A32B2">
        <w:rPr>
          <w:b/>
          <w:bCs/>
          <w:lang w:val="fr-FR"/>
        </w:rPr>
        <w:t>Adopter d</w:t>
      </w:r>
      <w:r>
        <w:rPr>
          <w:b/>
          <w:bCs/>
          <w:lang w:val="fr-FR"/>
        </w:rPr>
        <w:t>’</w:t>
      </w:r>
      <w:r w:rsidRPr="006A32B2">
        <w:rPr>
          <w:b/>
          <w:bCs/>
          <w:lang w:val="fr-FR"/>
        </w:rPr>
        <w:t>urgence des réformes électorales efficaces qui garantissent la tenue d</w:t>
      </w:r>
      <w:r>
        <w:rPr>
          <w:b/>
          <w:bCs/>
          <w:lang w:val="fr-FR"/>
        </w:rPr>
        <w:t>’</w:t>
      </w:r>
      <w:r w:rsidRPr="006A32B2">
        <w:rPr>
          <w:b/>
          <w:bCs/>
          <w:lang w:val="fr-FR"/>
        </w:rPr>
        <w:t>élections libres, régulières et transparentes et devront être définies au moyen d</w:t>
      </w:r>
      <w:r>
        <w:rPr>
          <w:b/>
          <w:bCs/>
          <w:lang w:val="fr-FR"/>
        </w:rPr>
        <w:t>’</w:t>
      </w:r>
      <w:r w:rsidRPr="006A32B2">
        <w:rPr>
          <w:b/>
          <w:bCs/>
          <w:lang w:val="fr-FR"/>
        </w:rPr>
        <w:t>un dialogue ouvert et constructif avec tous les secteurs de l</w:t>
      </w:r>
      <w:r>
        <w:rPr>
          <w:b/>
          <w:bCs/>
          <w:lang w:val="fr-FR"/>
        </w:rPr>
        <w:t>’</w:t>
      </w:r>
      <w:r w:rsidRPr="006A32B2">
        <w:rPr>
          <w:b/>
          <w:bCs/>
          <w:lang w:val="fr-FR"/>
        </w:rPr>
        <w:t>opposition</w:t>
      </w:r>
      <w:r w:rsidR="00E92F03">
        <w:rPr>
          <w:b/>
          <w:bCs/>
          <w:lang w:val="fr-FR"/>
        </w:rPr>
        <w:t> </w:t>
      </w:r>
      <w:r w:rsidRPr="006A32B2">
        <w:rPr>
          <w:b/>
          <w:bCs/>
          <w:lang w:val="fr-FR"/>
        </w:rPr>
        <w:t>;</w:t>
      </w:r>
    </w:p>
    <w:p w14:paraId="7946E958" w14:textId="4C9FC29A" w:rsidR="00225673" w:rsidRPr="006A32B2" w:rsidRDefault="00225673" w:rsidP="00225673">
      <w:pPr>
        <w:pStyle w:val="SingleTxtG"/>
        <w:rPr>
          <w:b/>
          <w:bCs/>
          <w:lang w:val="fr-FR"/>
        </w:rPr>
      </w:pPr>
      <w:r w:rsidRPr="00E92F03">
        <w:rPr>
          <w:b/>
          <w:bCs/>
          <w:lang w:val="fr-FR"/>
        </w:rPr>
        <w:tab/>
        <w:t>c)</w:t>
      </w:r>
      <w:r w:rsidRPr="006A32B2">
        <w:rPr>
          <w:lang w:val="fr-FR"/>
        </w:rPr>
        <w:tab/>
      </w:r>
      <w:r w:rsidRPr="006A32B2">
        <w:rPr>
          <w:b/>
          <w:bCs/>
          <w:lang w:val="fr-FR"/>
        </w:rPr>
        <w:t xml:space="preserve">Mettre immédiatement un terme aux détentions arbitraires, aux restrictions indues </w:t>
      </w:r>
      <w:r>
        <w:rPr>
          <w:b/>
          <w:bCs/>
          <w:lang w:val="fr-FR"/>
        </w:rPr>
        <w:t>de</w:t>
      </w:r>
      <w:r w:rsidRPr="006A32B2">
        <w:rPr>
          <w:b/>
          <w:bCs/>
          <w:lang w:val="fr-FR"/>
        </w:rPr>
        <w:t xml:space="preserve"> la liberté de circulation, aux menaces et aux autres formes d</w:t>
      </w:r>
      <w:r>
        <w:rPr>
          <w:b/>
          <w:bCs/>
          <w:lang w:val="fr-FR"/>
        </w:rPr>
        <w:t>’</w:t>
      </w:r>
      <w:r w:rsidRPr="006A32B2">
        <w:rPr>
          <w:b/>
          <w:bCs/>
          <w:lang w:val="fr-FR"/>
        </w:rPr>
        <w:t>intimidation à l</w:t>
      </w:r>
      <w:r>
        <w:rPr>
          <w:b/>
          <w:bCs/>
          <w:lang w:val="fr-FR"/>
        </w:rPr>
        <w:t>’</w:t>
      </w:r>
      <w:r w:rsidRPr="006A32B2">
        <w:rPr>
          <w:b/>
          <w:bCs/>
          <w:lang w:val="fr-FR"/>
        </w:rPr>
        <w:t>égard des personnes qui participent à des réunions pacifiques ou à d</w:t>
      </w:r>
      <w:r>
        <w:rPr>
          <w:b/>
          <w:bCs/>
          <w:lang w:val="fr-FR"/>
        </w:rPr>
        <w:t>’</w:t>
      </w:r>
      <w:r w:rsidRPr="006A32B2">
        <w:rPr>
          <w:b/>
          <w:bCs/>
          <w:lang w:val="fr-FR"/>
        </w:rPr>
        <w:t>autres activités politiques, ou qui expriment des opinions qui diffèrent de celles du Gouvernement</w:t>
      </w:r>
      <w:r w:rsidR="00E92F03">
        <w:rPr>
          <w:b/>
          <w:bCs/>
          <w:lang w:val="fr-FR"/>
        </w:rPr>
        <w:t> </w:t>
      </w:r>
      <w:r w:rsidRPr="006A32B2">
        <w:rPr>
          <w:b/>
          <w:bCs/>
          <w:lang w:val="fr-FR"/>
        </w:rPr>
        <w:t>;</w:t>
      </w:r>
    </w:p>
    <w:p w14:paraId="3072D818" w14:textId="0C328B21" w:rsidR="00225673" w:rsidRPr="006A32B2" w:rsidRDefault="00225673" w:rsidP="00225673">
      <w:pPr>
        <w:pStyle w:val="SingleTxtG"/>
        <w:rPr>
          <w:b/>
          <w:bCs/>
          <w:lang w:val="fr-FR"/>
        </w:rPr>
      </w:pPr>
      <w:r w:rsidRPr="00E92F03">
        <w:rPr>
          <w:b/>
          <w:bCs/>
          <w:lang w:val="fr-FR"/>
        </w:rPr>
        <w:tab/>
        <w:t>d)</w:t>
      </w:r>
      <w:r w:rsidRPr="006A32B2">
        <w:rPr>
          <w:lang w:val="fr-FR"/>
        </w:rPr>
        <w:tab/>
      </w:r>
      <w:r w:rsidRPr="006A32B2">
        <w:rPr>
          <w:b/>
          <w:bCs/>
          <w:lang w:val="fr-FR"/>
        </w:rPr>
        <w:t xml:space="preserve">Modifier la loi </w:t>
      </w:r>
      <w:r w:rsidR="00E92F03" w:rsidRPr="00E92F03">
        <w:rPr>
          <w:rFonts w:eastAsia="MS Mincho"/>
          <w:b/>
          <w:bCs/>
          <w:lang w:val="fr-FR"/>
        </w:rPr>
        <w:t>n</w:t>
      </w:r>
      <w:r w:rsidR="00E92F03" w:rsidRPr="00E92F03">
        <w:rPr>
          <w:rFonts w:eastAsia="MS Mincho"/>
          <w:b/>
          <w:bCs/>
          <w:vertAlign w:val="superscript"/>
          <w:lang w:val="fr-FR"/>
        </w:rPr>
        <w:t>o</w:t>
      </w:r>
      <w:r w:rsidR="00E92F03">
        <w:rPr>
          <w:b/>
          <w:bCs/>
          <w:lang w:val="fr-FR"/>
        </w:rPr>
        <w:t> </w:t>
      </w:r>
      <w:r w:rsidRPr="006A32B2">
        <w:rPr>
          <w:b/>
          <w:bCs/>
          <w:lang w:val="fr-FR"/>
        </w:rPr>
        <w:t xml:space="preserve">1040 sur la réglementation applicable aux agents étrangers, la loi spéciale </w:t>
      </w:r>
      <w:r w:rsidR="00E92F03" w:rsidRPr="00E92F03">
        <w:rPr>
          <w:rFonts w:eastAsia="MS Mincho"/>
          <w:b/>
          <w:bCs/>
          <w:lang w:val="fr-FR"/>
        </w:rPr>
        <w:t>n</w:t>
      </w:r>
      <w:r w:rsidR="00E92F03" w:rsidRPr="00E92F03">
        <w:rPr>
          <w:rFonts w:eastAsia="MS Mincho"/>
          <w:b/>
          <w:bCs/>
          <w:vertAlign w:val="superscript"/>
          <w:lang w:val="fr-FR"/>
        </w:rPr>
        <w:t>o</w:t>
      </w:r>
      <w:r w:rsidR="00E92F03">
        <w:rPr>
          <w:b/>
          <w:bCs/>
          <w:lang w:val="fr-FR"/>
        </w:rPr>
        <w:t> </w:t>
      </w:r>
      <w:r w:rsidRPr="006A32B2">
        <w:rPr>
          <w:b/>
          <w:bCs/>
          <w:lang w:val="fr-FR"/>
        </w:rPr>
        <w:t>1042 sur la cybercriminalité et la loi</w:t>
      </w:r>
      <w:r>
        <w:rPr>
          <w:b/>
          <w:bCs/>
          <w:lang w:val="fr-FR"/>
        </w:rPr>
        <w:t xml:space="preserve"> </w:t>
      </w:r>
      <w:r w:rsidR="00E92F03" w:rsidRPr="00E92F03">
        <w:rPr>
          <w:rFonts w:eastAsia="MS Mincho"/>
          <w:b/>
          <w:bCs/>
          <w:lang w:val="fr-FR"/>
        </w:rPr>
        <w:t>n</w:t>
      </w:r>
      <w:r w:rsidR="00E92F03" w:rsidRPr="00E92F03">
        <w:rPr>
          <w:rFonts w:eastAsia="MS Mincho"/>
          <w:b/>
          <w:bCs/>
          <w:vertAlign w:val="superscript"/>
          <w:lang w:val="fr-FR"/>
        </w:rPr>
        <w:t>o</w:t>
      </w:r>
      <w:r w:rsidR="00E92F03">
        <w:rPr>
          <w:b/>
          <w:bCs/>
          <w:lang w:val="fr-FR"/>
        </w:rPr>
        <w:t> </w:t>
      </w:r>
      <w:r w:rsidRPr="006A32B2">
        <w:rPr>
          <w:b/>
          <w:bCs/>
          <w:lang w:val="fr-FR"/>
        </w:rPr>
        <w:t>1055 sur la défense des droits des peuples à l</w:t>
      </w:r>
      <w:r>
        <w:rPr>
          <w:b/>
          <w:bCs/>
          <w:lang w:val="fr-FR"/>
        </w:rPr>
        <w:t>’</w:t>
      </w:r>
      <w:r w:rsidRPr="006A32B2">
        <w:rPr>
          <w:b/>
          <w:bCs/>
          <w:lang w:val="fr-FR"/>
        </w:rPr>
        <w:t>indépendance, à la souveraineté et à l</w:t>
      </w:r>
      <w:r>
        <w:rPr>
          <w:b/>
          <w:bCs/>
          <w:lang w:val="fr-FR"/>
        </w:rPr>
        <w:t>’</w:t>
      </w:r>
      <w:r w:rsidRPr="006A32B2">
        <w:rPr>
          <w:b/>
          <w:bCs/>
          <w:lang w:val="fr-FR"/>
        </w:rPr>
        <w:t>autodétermination pour la paix de façon à les mettre en conformité avec les normes et règles internationales relatives aux droits de l</w:t>
      </w:r>
      <w:r>
        <w:rPr>
          <w:b/>
          <w:bCs/>
          <w:lang w:val="fr-FR"/>
        </w:rPr>
        <w:t>’</w:t>
      </w:r>
      <w:r w:rsidRPr="006A32B2">
        <w:rPr>
          <w:b/>
          <w:bCs/>
          <w:lang w:val="fr-FR"/>
        </w:rPr>
        <w:t>homme, en consultation avec différents secteurs de la société civile et experts</w:t>
      </w:r>
      <w:r>
        <w:rPr>
          <w:b/>
          <w:bCs/>
          <w:lang w:val="fr-FR"/>
        </w:rPr>
        <w:t> </w:t>
      </w:r>
      <w:r w:rsidRPr="006A32B2">
        <w:rPr>
          <w:b/>
          <w:bCs/>
          <w:lang w:val="fr-FR"/>
        </w:rPr>
        <w:t>;</w:t>
      </w:r>
    </w:p>
    <w:p w14:paraId="40D8E5C3" w14:textId="29DD8930" w:rsidR="00225673" w:rsidRPr="006A32B2" w:rsidRDefault="00225673" w:rsidP="00225673">
      <w:pPr>
        <w:pStyle w:val="SingleTxtG"/>
        <w:rPr>
          <w:b/>
          <w:bCs/>
          <w:lang w:val="fr-FR"/>
        </w:rPr>
      </w:pPr>
      <w:r w:rsidRPr="00E92F03">
        <w:rPr>
          <w:b/>
          <w:bCs/>
          <w:lang w:val="fr-FR"/>
        </w:rPr>
        <w:tab/>
        <w:t>e)</w:t>
      </w:r>
      <w:r w:rsidRPr="006A32B2">
        <w:rPr>
          <w:lang w:val="fr-FR"/>
        </w:rPr>
        <w:tab/>
      </w:r>
      <w:r w:rsidRPr="006A32B2">
        <w:rPr>
          <w:b/>
          <w:bCs/>
          <w:lang w:val="fr-FR"/>
        </w:rPr>
        <w:t>Garantir que les personnes concernées, notamment les femmes, les peuples autochtones et les personnes d</w:t>
      </w:r>
      <w:r>
        <w:rPr>
          <w:b/>
          <w:bCs/>
          <w:lang w:val="fr-FR"/>
        </w:rPr>
        <w:t>’</w:t>
      </w:r>
      <w:r w:rsidRPr="006A32B2">
        <w:rPr>
          <w:b/>
          <w:bCs/>
          <w:lang w:val="fr-FR"/>
        </w:rPr>
        <w:t xml:space="preserve">ascendance africaine, participent effectivement à la </w:t>
      </w:r>
      <w:r>
        <w:rPr>
          <w:b/>
          <w:bCs/>
          <w:lang w:val="fr-FR"/>
        </w:rPr>
        <w:t>conception</w:t>
      </w:r>
      <w:r w:rsidRPr="006A32B2">
        <w:rPr>
          <w:b/>
          <w:bCs/>
          <w:lang w:val="fr-FR"/>
        </w:rPr>
        <w:t>, à la mise en œuvre, au suivi et à l</w:t>
      </w:r>
      <w:r>
        <w:rPr>
          <w:b/>
          <w:bCs/>
          <w:lang w:val="fr-FR"/>
        </w:rPr>
        <w:t>’</w:t>
      </w:r>
      <w:r w:rsidRPr="006A32B2">
        <w:rPr>
          <w:b/>
          <w:bCs/>
          <w:lang w:val="fr-FR"/>
        </w:rPr>
        <w:t>évaluation des politiques et programmes destinés à aider le pays à se remettre de la pandémie de COVID-19 et des ouragans Eta et Iota</w:t>
      </w:r>
      <w:r w:rsidR="00E92F03">
        <w:rPr>
          <w:b/>
          <w:bCs/>
          <w:lang w:val="fr-FR"/>
        </w:rPr>
        <w:t> </w:t>
      </w:r>
      <w:r w:rsidRPr="006A32B2">
        <w:rPr>
          <w:b/>
          <w:bCs/>
          <w:lang w:val="fr-FR"/>
        </w:rPr>
        <w:t>;</w:t>
      </w:r>
    </w:p>
    <w:p w14:paraId="5BF349E6" w14:textId="4BE05485" w:rsidR="00225673" w:rsidRPr="006A32B2" w:rsidRDefault="00225673" w:rsidP="00225673">
      <w:pPr>
        <w:pStyle w:val="SingleTxtG"/>
        <w:rPr>
          <w:lang w:val="fr-FR"/>
        </w:rPr>
      </w:pPr>
      <w:r w:rsidRPr="00E92F03">
        <w:rPr>
          <w:b/>
          <w:bCs/>
          <w:lang w:val="fr-FR"/>
        </w:rPr>
        <w:tab/>
        <w:t>f)</w:t>
      </w:r>
      <w:r w:rsidRPr="006A32B2">
        <w:rPr>
          <w:lang w:val="fr-FR"/>
        </w:rPr>
        <w:tab/>
      </w:r>
      <w:r w:rsidRPr="006A32B2">
        <w:rPr>
          <w:b/>
          <w:bCs/>
          <w:lang w:val="fr-FR"/>
        </w:rPr>
        <w:t>Reprendre un dialogue constructif avec le HCDH sur la coopération technique et l</w:t>
      </w:r>
      <w:r>
        <w:rPr>
          <w:b/>
          <w:bCs/>
          <w:lang w:val="fr-FR"/>
        </w:rPr>
        <w:t>’</w:t>
      </w:r>
      <w:r w:rsidRPr="006A32B2">
        <w:rPr>
          <w:b/>
          <w:bCs/>
          <w:lang w:val="fr-FR"/>
        </w:rPr>
        <w:t>autoriser à se rendre dans le pays.</w:t>
      </w:r>
    </w:p>
    <w:p w14:paraId="1F66D127" w14:textId="26990F58" w:rsidR="00225673" w:rsidRPr="006A32B2" w:rsidRDefault="00225673" w:rsidP="00E92F03">
      <w:pPr>
        <w:pStyle w:val="SingleTxtG"/>
        <w:rPr>
          <w:b/>
          <w:bCs/>
          <w:lang w:val="fr-FR"/>
        </w:rPr>
      </w:pPr>
      <w:r w:rsidRPr="006A32B2">
        <w:rPr>
          <w:lang w:val="fr-FR"/>
        </w:rPr>
        <w:t>72.</w:t>
      </w:r>
      <w:r w:rsidRPr="006A32B2">
        <w:rPr>
          <w:lang w:val="fr-FR"/>
        </w:rPr>
        <w:tab/>
      </w:r>
      <w:r w:rsidRPr="006A32B2">
        <w:rPr>
          <w:b/>
          <w:bCs/>
          <w:lang w:val="fr-FR"/>
        </w:rPr>
        <w:t>La Haute-Commissaire invite le Conseil des droits de l</w:t>
      </w:r>
      <w:r>
        <w:rPr>
          <w:b/>
          <w:bCs/>
          <w:lang w:val="fr-FR"/>
        </w:rPr>
        <w:t>’</w:t>
      </w:r>
      <w:r w:rsidRPr="006A32B2">
        <w:rPr>
          <w:b/>
          <w:bCs/>
          <w:lang w:val="fr-FR"/>
        </w:rPr>
        <w:t>homme et la communauté internationale à</w:t>
      </w:r>
      <w:r w:rsidR="00E92F03">
        <w:rPr>
          <w:b/>
          <w:bCs/>
          <w:lang w:val="fr-FR"/>
        </w:rPr>
        <w:t> </w:t>
      </w:r>
      <w:r w:rsidRPr="006A32B2">
        <w:rPr>
          <w:b/>
          <w:bCs/>
          <w:lang w:val="fr-FR"/>
        </w:rPr>
        <w:t>:</w:t>
      </w:r>
    </w:p>
    <w:p w14:paraId="46727B6A" w14:textId="60A9A2CB" w:rsidR="00225673" w:rsidRPr="006A32B2" w:rsidRDefault="00225673" w:rsidP="00225673">
      <w:pPr>
        <w:pStyle w:val="SingleTxtG"/>
        <w:rPr>
          <w:b/>
          <w:bCs/>
          <w:lang w:val="fr-FR"/>
        </w:rPr>
      </w:pPr>
      <w:r w:rsidRPr="00E92F03">
        <w:rPr>
          <w:b/>
          <w:bCs/>
          <w:lang w:val="fr-FR"/>
        </w:rPr>
        <w:tab/>
        <w:t>a)</w:t>
      </w:r>
      <w:r w:rsidRPr="006A32B2">
        <w:rPr>
          <w:lang w:val="fr-FR"/>
        </w:rPr>
        <w:tab/>
      </w:r>
      <w:r w:rsidRPr="006A32B2">
        <w:rPr>
          <w:b/>
          <w:bCs/>
          <w:lang w:val="fr-FR"/>
        </w:rPr>
        <w:t>Prier instamment le Nicaragua de respecter ses obligations</w:t>
      </w:r>
      <w:r w:rsidR="00E92F03">
        <w:rPr>
          <w:b/>
          <w:bCs/>
          <w:lang w:val="fr-FR"/>
        </w:rPr>
        <w:t xml:space="preserve"> </w:t>
      </w:r>
      <w:r w:rsidRPr="006A32B2">
        <w:rPr>
          <w:b/>
          <w:bCs/>
          <w:lang w:val="fr-FR"/>
        </w:rPr>
        <w:t>internationales en matière de droits de l</w:t>
      </w:r>
      <w:r>
        <w:rPr>
          <w:b/>
          <w:bCs/>
          <w:lang w:val="fr-FR"/>
        </w:rPr>
        <w:t>’</w:t>
      </w:r>
      <w:r w:rsidRPr="006A32B2">
        <w:rPr>
          <w:b/>
          <w:bCs/>
          <w:lang w:val="fr-FR"/>
        </w:rPr>
        <w:t>homme et d</w:t>
      </w:r>
      <w:r>
        <w:rPr>
          <w:b/>
          <w:bCs/>
          <w:lang w:val="fr-FR"/>
        </w:rPr>
        <w:t>’</w:t>
      </w:r>
      <w:r w:rsidRPr="006A32B2">
        <w:rPr>
          <w:b/>
          <w:bCs/>
          <w:lang w:val="fr-FR"/>
        </w:rPr>
        <w:t>autoriser le HCDH et les titulaires de mandat au titre des procédures spéciales des Nations Unies à se rendre dans le pays</w:t>
      </w:r>
      <w:r w:rsidR="00E92F03">
        <w:rPr>
          <w:b/>
          <w:bCs/>
          <w:lang w:val="fr-FR"/>
        </w:rPr>
        <w:t> </w:t>
      </w:r>
      <w:r w:rsidRPr="006A32B2">
        <w:rPr>
          <w:b/>
          <w:bCs/>
          <w:lang w:val="fr-FR"/>
        </w:rPr>
        <w:t>;</w:t>
      </w:r>
    </w:p>
    <w:p w14:paraId="30F57ED4" w14:textId="68C92DCC" w:rsidR="00225673" w:rsidRPr="006A32B2" w:rsidRDefault="00225673" w:rsidP="00225673">
      <w:pPr>
        <w:pStyle w:val="SingleTxtG"/>
        <w:rPr>
          <w:b/>
          <w:bCs/>
          <w:lang w:val="fr-FR"/>
        </w:rPr>
      </w:pPr>
      <w:r w:rsidRPr="00E92F03">
        <w:rPr>
          <w:b/>
          <w:bCs/>
          <w:lang w:val="fr-FR"/>
        </w:rPr>
        <w:tab/>
        <w:t>b)</w:t>
      </w:r>
      <w:r w:rsidRPr="006A32B2">
        <w:rPr>
          <w:lang w:val="fr-FR"/>
        </w:rPr>
        <w:tab/>
      </w:r>
      <w:r w:rsidRPr="006A32B2">
        <w:rPr>
          <w:b/>
          <w:bCs/>
          <w:lang w:val="fr-FR"/>
        </w:rPr>
        <w:t>Aider le Nicaragua à trouver rapidement une solution à la crise multidimensionnelle qu</w:t>
      </w:r>
      <w:r>
        <w:rPr>
          <w:b/>
          <w:bCs/>
          <w:lang w:val="fr-FR"/>
        </w:rPr>
        <w:t>’</w:t>
      </w:r>
      <w:r w:rsidRPr="006A32B2">
        <w:rPr>
          <w:b/>
          <w:bCs/>
          <w:lang w:val="fr-FR"/>
        </w:rPr>
        <w:t>il traverse, en prévision des élections</w:t>
      </w:r>
      <w:r w:rsidR="00E92F03">
        <w:rPr>
          <w:b/>
          <w:bCs/>
          <w:lang w:val="fr-FR"/>
        </w:rPr>
        <w:t> </w:t>
      </w:r>
      <w:r w:rsidRPr="006A32B2">
        <w:rPr>
          <w:b/>
          <w:bCs/>
          <w:lang w:val="fr-FR"/>
        </w:rPr>
        <w:t>;</w:t>
      </w:r>
    </w:p>
    <w:p w14:paraId="550F6561" w14:textId="222CC0FC" w:rsidR="00225673" w:rsidRPr="006A32B2" w:rsidRDefault="00225673" w:rsidP="00225673">
      <w:pPr>
        <w:pStyle w:val="SingleTxtG"/>
        <w:rPr>
          <w:lang w:val="fr-FR"/>
        </w:rPr>
      </w:pPr>
      <w:r w:rsidRPr="00E92F03">
        <w:rPr>
          <w:b/>
          <w:bCs/>
          <w:lang w:val="fr-FR"/>
        </w:rPr>
        <w:tab/>
        <w:t>c)</w:t>
      </w:r>
      <w:r w:rsidRPr="006A32B2">
        <w:rPr>
          <w:lang w:val="fr-FR"/>
        </w:rPr>
        <w:tab/>
      </w:r>
      <w:r w:rsidRPr="006A32B2">
        <w:rPr>
          <w:b/>
          <w:bCs/>
          <w:lang w:val="fr-FR"/>
        </w:rPr>
        <w:t xml:space="preserve">Demander à nouveau au HCDH de renforcer ses activités </w:t>
      </w:r>
      <w:r>
        <w:rPr>
          <w:b/>
          <w:bCs/>
          <w:lang w:val="fr-FR"/>
        </w:rPr>
        <w:t xml:space="preserve">de </w:t>
      </w:r>
      <w:r w:rsidRPr="006A32B2">
        <w:rPr>
          <w:b/>
          <w:bCs/>
          <w:lang w:val="fr-FR"/>
        </w:rPr>
        <w:t>suivi</w:t>
      </w:r>
      <w:r>
        <w:rPr>
          <w:b/>
          <w:bCs/>
          <w:lang w:val="fr-FR"/>
        </w:rPr>
        <w:t xml:space="preserve"> et d’analyse </w:t>
      </w:r>
      <w:r w:rsidRPr="006A32B2">
        <w:rPr>
          <w:b/>
          <w:bCs/>
          <w:lang w:val="fr-FR"/>
        </w:rPr>
        <w:t>de</w:t>
      </w:r>
      <w:r>
        <w:rPr>
          <w:b/>
          <w:bCs/>
          <w:lang w:val="fr-FR"/>
        </w:rPr>
        <w:t xml:space="preserve"> </w:t>
      </w:r>
      <w:r w:rsidRPr="006A32B2">
        <w:rPr>
          <w:b/>
          <w:bCs/>
          <w:lang w:val="fr-FR"/>
        </w:rPr>
        <w:t>la situation des droits de l</w:t>
      </w:r>
      <w:r>
        <w:rPr>
          <w:b/>
          <w:bCs/>
          <w:lang w:val="fr-FR"/>
        </w:rPr>
        <w:t>’</w:t>
      </w:r>
      <w:r w:rsidRPr="006A32B2">
        <w:rPr>
          <w:b/>
          <w:bCs/>
          <w:lang w:val="fr-FR"/>
        </w:rPr>
        <w:t>homme au Nicaragua</w:t>
      </w:r>
      <w:r>
        <w:rPr>
          <w:b/>
          <w:bCs/>
          <w:lang w:val="fr-FR"/>
        </w:rPr>
        <w:t>, ainsi que la</w:t>
      </w:r>
      <w:r w:rsidRPr="006A32B2">
        <w:rPr>
          <w:b/>
          <w:bCs/>
          <w:lang w:val="fr-FR"/>
        </w:rPr>
        <w:t xml:space="preserve"> collecte d</w:t>
      </w:r>
      <w:r>
        <w:rPr>
          <w:b/>
          <w:bCs/>
          <w:lang w:val="fr-FR"/>
        </w:rPr>
        <w:t>’</w:t>
      </w:r>
      <w:r w:rsidRPr="006A32B2">
        <w:rPr>
          <w:b/>
          <w:bCs/>
          <w:lang w:val="fr-FR"/>
        </w:rPr>
        <w:t>informations</w:t>
      </w:r>
      <w:r>
        <w:rPr>
          <w:b/>
          <w:bCs/>
          <w:lang w:val="fr-FR"/>
        </w:rPr>
        <w:t xml:space="preserve"> </w:t>
      </w:r>
      <w:r w:rsidRPr="006A32B2">
        <w:rPr>
          <w:b/>
          <w:bCs/>
          <w:lang w:val="fr-FR"/>
        </w:rPr>
        <w:t xml:space="preserve">et </w:t>
      </w:r>
      <w:r>
        <w:rPr>
          <w:b/>
          <w:bCs/>
          <w:lang w:val="fr-FR"/>
        </w:rPr>
        <w:t>l’établissement de rapports publics sur cette question</w:t>
      </w:r>
      <w:r w:rsidRPr="006A32B2">
        <w:rPr>
          <w:b/>
          <w:bCs/>
          <w:lang w:val="fr-FR"/>
        </w:rPr>
        <w:t>.</w:t>
      </w:r>
    </w:p>
    <w:p w14:paraId="4AB11653" w14:textId="77777777" w:rsidR="00225673" w:rsidRPr="006A32B2" w:rsidRDefault="00225673" w:rsidP="00225673">
      <w:pPr>
        <w:spacing w:before="240"/>
        <w:jc w:val="center"/>
        <w:rPr>
          <w:u w:val="single"/>
          <w:lang w:val="fr-FR"/>
        </w:rPr>
      </w:pPr>
      <w:r w:rsidRPr="006A32B2">
        <w:rPr>
          <w:u w:val="single"/>
          <w:lang w:val="fr-FR"/>
        </w:rPr>
        <w:tab/>
      </w:r>
      <w:r w:rsidRPr="006A32B2">
        <w:rPr>
          <w:u w:val="single"/>
          <w:lang w:val="fr-FR"/>
        </w:rPr>
        <w:tab/>
      </w:r>
      <w:r w:rsidRPr="006A32B2">
        <w:rPr>
          <w:u w:val="single"/>
          <w:lang w:val="fr-FR"/>
        </w:rPr>
        <w:tab/>
      </w:r>
    </w:p>
    <w:sectPr w:rsidR="00225673" w:rsidRPr="006A32B2" w:rsidSect="0022567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A6D97B" w14:textId="77777777" w:rsidR="00225673" w:rsidRPr="00EF7F30" w:rsidRDefault="00225673" w:rsidP="00EF7F30">
      <w:pPr>
        <w:pStyle w:val="Pieddepage"/>
      </w:pPr>
    </w:p>
  </w:endnote>
  <w:endnote w:type="continuationSeparator" w:id="0">
    <w:p w14:paraId="71DE04BA" w14:textId="77777777" w:rsidR="00225673" w:rsidRPr="00EF7F30" w:rsidRDefault="00225673" w:rsidP="00EF7F30">
      <w:pPr>
        <w:pStyle w:val="Pieddepage"/>
      </w:pPr>
    </w:p>
  </w:endnote>
  <w:endnote w:type="continuationNotice" w:id="1">
    <w:p w14:paraId="566B445D" w14:textId="77777777" w:rsidR="00225673" w:rsidRDefault="002256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159F5B" w14:textId="23E77F4D" w:rsidR="00225673" w:rsidRPr="00225673" w:rsidRDefault="00225673" w:rsidP="00225673">
    <w:pPr>
      <w:pStyle w:val="Pieddepage"/>
      <w:tabs>
        <w:tab w:val="right" w:pos="9638"/>
      </w:tabs>
    </w:pPr>
    <w:r w:rsidRPr="00225673">
      <w:rPr>
        <w:b/>
        <w:sz w:val="18"/>
      </w:rPr>
      <w:fldChar w:fldCharType="begin"/>
    </w:r>
    <w:r w:rsidRPr="00225673">
      <w:rPr>
        <w:b/>
        <w:sz w:val="18"/>
      </w:rPr>
      <w:instrText xml:space="preserve"> PAGE  \* MERGEFORMAT </w:instrText>
    </w:r>
    <w:r w:rsidRPr="00225673">
      <w:rPr>
        <w:b/>
        <w:sz w:val="18"/>
      </w:rPr>
      <w:fldChar w:fldCharType="separate"/>
    </w:r>
    <w:r w:rsidRPr="00225673">
      <w:rPr>
        <w:b/>
        <w:noProof/>
        <w:sz w:val="18"/>
      </w:rPr>
      <w:t>2</w:t>
    </w:r>
    <w:r w:rsidRPr="00225673">
      <w:rPr>
        <w:b/>
        <w:sz w:val="18"/>
      </w:rPr>
      <w:fldChar w:fldCharType="end"/>
    </w:r>
    <w:r>
      <w:rPr>
        <w:b/>
        <w:sz w:val="18"/>
      </w:rPr>
      <w:tab/>
    </w:r>
    <w:r>
      <w:t>GE.21-01889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47C0DD" w14:textId="70502E17" w:rsidR="00225673" w:rsidRPr="00225673" w:rsidRDefault="00225673" w:rsidP="00225673">
    <w:pPr>
      <w:pStyle w:val="Pieddepage"/>
      <w:tabs>
        <w:tab w:val="right" w:pos="9638"/>
      </w:tabs>
      <w:rPr>
        <w:b/>
        <w:sz w:val="18"/>
      </w:rPr>
    </w:pPr>
    <w:r>
      <w:t>GE.21-01889</w:t>
    </w:r>
    <w:r>
      <w:tab/>
    </w:r>
    <w:r w:rsidRPr="00225673">
      <w:rPr>
        <w:b/>
        <w:sz w:val="18"/>
      </w:rPr>
      <w:fldChar w:fldCharType="begin"/>
    </w:r>
    <w:r w:rsidRPr="00225673">
      <w:rPr>
        <w:b/>
        <w:sz w:val="18"/>
      </w:rPr>
      <w:instrText xml:space="preserve"> PAGE  \* MERGEFORMAT </w:instrText>
    </w:r>
    <w:r w:rsidRPr="00225673">
      <w:rPr>
        <w:b/>
        <w:sz w:val="18"/>
      </w:rPr>
      <w:fldChar w:fldCharType="separate"/>
    </w:r>
    <w:r w:rsidRPr="00225673">
      <w:rPr>
        <w:b/>
        <w:noProof/>
        <w:sz w:val="18"/>
      </w:rPr>
      <w:t>3</w:t>
    </w:r>
    <w:r w:rsidRPr="0022567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5032BB" w14:textId="01860229" w:rsidR="00225673" w:rsidRPr="00225673" w:rsidRDefault="00225673" w:rsidP="00225673">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22A8802" wp14:editId="10A2644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21-01889  (F)</w:t>
    </w:r>
    <w:r>
      <w:rPr>
        <w:noProof/>
        <w:sz w:val="20"/>
      </w:rPr>
      <w:drawing>
        <wp:anchor distT="0" distB="0" distL="114300" distR="114300" simplePos="0" relativeHeight="251660288" behindDoc="0" locked="0" layoutInCell="1" allowOverlap="1" wp14:anchorId="2A5E2449" wp14:editId="1797A1D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300321    300321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B43ED8" w14:textId="77777777" w:rsidR="00225673" w:rsidRPr="00EF7F30" w:rsidRDefault="00225673"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5506CF89" w14:textId="77777777" w:rsidR="00225673" w:rsidRPr="00EF7F30" w:rsidRDefault="00225673" w:rsidP="000E5ADA">
      <w:pPr>
        <w:pStyle w:val="Pieddepage"/>
        <w:tabs>
          <w:tab w:val="right" w:pos="2155"/>
        </w:tabs>
        <w:spacing w:after="80" w:line="240" w:lineRule="atLeast"/>
        <w:ind w:left="680"/>
      </w:pPr>
      <w:r w:rsidRPr="00EF7F30">
        <w:rPr>
          <w:u w:val="single"/>
        </w:rPr>
        <w:tab/>
      </w:r>
    </w:p>
  </w:footnote>
  <w:footnote w:type="continuationNotice" w:id="1">
    <w:p w14:paraId="2493D952" w14:textId="77777777" w:rsidR="00225673" w:rsidRPr="000F2457" w:rsidRDefault="00225673">
      <w:pPr>
        <w:spacing w:line="240" w:lineRule="auto"/>
        <w:rPr>
          <w:sz w:val="2"/>
          <w:szCs w:val="2"/>
        </w:rPr>
      </w:pPr>
    </w:p>
  </w:footnote>
  <w:footnote w:id="2">
    <w:p w14:paraId="01DC7D4D" w14:textId="0AE03F8E" w:rsidR="00225673" w:rsidRPr="000839E1" w:rsidRDefault="00225673" w:rsidP="00225673">
      <w:pPr>
        <w:pStyle w:val="Notedebasdepage"/>
        <w:rPr>
          <w:lang w:val="fr-FR"/>
        </w:rPr>
      </w:pPr>
      <w:r>
        <w:rPr>
          <w:lang w:val="fr-FR"/>
        </w:rPr>
        <w:tab/>
      </w:r>
      <w:r w:rsidRPr="00225673">
        <w:rPr>
          <w:sz w:val="20"/>
          <w:lang w:val="fr-FR"/>
        </w:rPr>
        <w:t>*</w:t>
      </w:r>
      <w:r>
        <w:rPr>
          <w:lang w:val="fr-FR"/>
        </w:rPr>
        <w:tab/>
        <w:t>Le présent document est soumis après la date prévue pour que l</w:t>
      </w:r>
      <w:r w:rsidR="00E92F03">
        <w:rPr>
          <w:lang w:val="fr-FR"/>
        </w:rPr>
        <w:t>’</w:t>
      </w:r>
      <w:r>
        <w:rPr>
          <w:lang w:val="fr-FR"/>
        </w:rPr>
        <w:t>information la plus récente puisse y figurer.</w:t>
      </w:r>
    </w:p>
  </w:footnote>
  <w:footnote w:id="3">
    <w:p w14:paraId="02BFA614" w14:textId="1B691476" w:rsidR="00225673" w:rsidRPr="000839E1" w:rsidRDefault="00225673" w:rsidP="00E92F03">
      <w:pPr>
        <w:pStyle w:val="Notedebasdepage"/>
        <w:rPr>
          <w:lang w:val="fr-FR"/>
        </w:rPr>
      </w:pPr>
      <w:r w:rsidRPr="004B6A15">
        <w:rPr>
          <w:lang w:val="fr-FR"/>
        </w:rPr>
        <w:tab/>
      </w:r>
      <w:r w:rsidRPr="004B6A15">
        <w:rPr>
          <w:rStyle w:val="Appelnotedebasdep"/>
          <w:lang w:val="fr-FR"/>
        </w:rPr>
        <w:footnoteRef/>
      </w:r>
      <w:r>
        <w:rPr>
          <w:lang w:val="fr-FR"/>
        </w:rPr>
        <w:tab/>
      </w:r>
      <w:r w:rsidRPr="00E92F03">
        <w:t>Créé</w:t>
      </w:r>
      <w:r>
        <w:rPr>
          <w:lang w:val="fr-FR"/>
        </w:rPr>
        <w:t xml:space="preserve"> en vertu d</w:t>
      </w:r>
      <w:r w:rsidR="00E92F03">
        <w:rPr>
          <w:lang w:val="fr-FR"/>
        </w:rPr>
        <w:t>’</w:t>
      </w:r>
      <w:r>
        <w:rPr>
          <w:lang w:val="fr-FR"/>
        </w:rPr>
        <w:t>un accord conclu entre le Secrétariat général de l</w:t>
      </w:r>
      <w:r w:rsidR="00E92F03">
        <w:rPr>
          <w:lang w:val="fr-FR"/>
        </w:rPr>
        <w:t>’</w:t>
      </w:r>
      <w:r>
        <w:rPr>
          <w:lang w:val="fr-FR"/>
        </w:rPr>
        <w:t>Organisation des États américains, la Commission interaméricaine des droits de l</w:t>
      </w:r>
      <w:r w:rsidR="00E92F03">
        <w:rPr>
          <w:lang w:val="fr-FR"/>
        </w:rPr>
        <w:t>’</w:t>
      </w:r>
      <w:r>
        <w:rPr>
          <w:lang w:val="fr-FR"/>
        </w:rPr>
        <w:t>homme et le Gouvernement nicaraguayen, le Groupe interdisciplinaire d</w:t>
      </w:r>
      <w:r w:rsidR="00E92F03">
        <w:rPr>
          <w:lang w:val="fr-FR"/>
        </w:rPr>
        <w:t>’</w:t>
      </w:r>
      <w:r>
        <w:rPr>
          <w:lang w:val="fr-FR"/>
        </w:rPr>
        <w:t>experts indépendants a débuté ses travaux en juillet 2018.</w:t>
      </w:r>
    </w:p>
  </w:footnote>
  <w:footnote w:id="4">
    <w:p w14:paraId="0D52FC1A" w14:textId="237CAB66" w:rsidR="00225673" w:rsidRPr="000839E1"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Nombre de détentions arbitraires recensées par la Commission interaméricaine des droits de l</w:t>
      </w:r>
      <w:r w:rsidR="00E92F03">
        <w:rPr>
          <w:lang w:val="fr-FR"/>
        </w:rPr>
        <w:t>’</w:t>
      </w:r>
      <w:r>
        <w:rPr>
          <w:lang w:val="fr-FR"/>
        </w:rPr>
        <w:t>homme entre avril 2018 et décembre 2019, consultable à l</w:t>
      </w:r>
      <w:r w:rsidR="00E92F03">
        <w:rPr>
          <w:lang w:val="fr-FR"/>
        </w:rPr>
        <w:t>’</w:t>
      </w:r>
      <w:r>
        <w:rPr>
          <w:lang w:val="fr-FR"/>
        </w:rPr>
        <w:t>adresse suivante</w:t>
      </w:r>
      <w:r w:rsidR="00E92F03">
        <w:rPr>
          <w:lang w:val="fr-FR"/>
        </w:rPr>
        <w:t> </w:t>
      </w:r>
      <w:r>
        <w:rPr>
          <w:lang w:val="fr-FR"/>
        </w:rPr>
        <w:t xml:space="preserve">: </w:t>
      </w:r>
      <w:hyperlink r:id="rId1" w:history="1">
        <w:r w:rsidR="00E92F03" w:rsidRPr="004B6A15">
          <w:rPr>
            <w:rStyle w:val="Lienhypertexte"/>
          </w:rPr>
          <w:t>www.oas.org/es/cidh/informes/pdfs/Nicaragua-PPL-es.pdf</w:t>
        </w:r>
      </w:hyperlink>
      <w:r>
        <w:rPr>
          <w:lang w:val="fr-FR"/>
        </w:rPr>
        <w:t>.</w:t>
      </w:r>
    </w:p>
  </w:footnote>
  <w:footnote w:id="5">
    <w:p w14:paraId="439E29B6" w14:textId="00C83ADB" w:rsidR="00225673" w:rsidRPr="000839E1"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Haut-Commissariat des Nations Unies pour les réfugiés, d</w:t>
      </w:r>
      <w:r w:rsidR="00E92F03">
        <w:rPr>
          <w:lang w:val="fr-FR"/>
        </w:rPr>
        <w:t>’</w:t>
      </w:r>
      <w:r>
        <w:rPr>
          <w:lang w:val="fr-FR"/>
        </w:rPr>
        <w:t xml:space="preserve">après les données communiquées par des gouvernements. Voir </w:t>
      </w:r>
      <w:hyperlink r:id="rId2" w:history="1">
        <w:r w:rsidR="00E92F03" w:rsidRPr="004B6A15">
          <w:rPr>
            <w:rStyle w:val="Lienhypertexte"/>
          </w:rPr>
          <w:t>www.oacnudh.org/wp-content/uploads/2020/02/Nicaragua-Bimonthly-Bulletin-N14-December2019-January2020.pdf</w:t>
        </w:r>
      </w:hyperlink>
      <w:r>
        <w:rPr>
          <w:lang w:val="fr-FR"/>
        </w:rPr>
        <w:t xml:space="preserve"> et </w:t>
      </w:r>
      <w:hyperlink r:id="rId3" w:history="1">
        <w:r w:rsidR="00E92F03" w:rsidRPr="004B6A15">
          <w:rPr>
            <w:rStyle w:val="Lienhypertextesuivivisit"/>
          </w:rPr>
          <w:t>www.unhcr.org/news/briefing/2020/3/5e6759934/years-political-social-crisis-nicaragua-force-100000-flee.html#_ga=2.265339407.1047830798.1608001082-545631427.1608001082</w:t>
        </w:r>
      </w:hyperlink>
      <w:r>
        <w:rPr>
          <w:lang w:val="fr-FR"/>
        </w:rPr>
        <w:t>.</w:t>
      </w:r>
    </w:p>
  </w:footnote>
  <w:footnote w:id="6">
    <w:p w14:paraId="25B30D25" w14:textId="68FE92EC" w:rsidR="00225673" w:rsidRPr="000839E1"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Accords consultables aux adresses suivantes</w:t>
      </w:r>
      <w:r w:rsidR="00E92F03">
        <w:rPr>
          <w:lang w:val="fr-FR"/>
        </w:rPr>
        <w:t> </w:t>
      </w:r>
      <w:r>
        <w:rPr>
          <w:lang w:val="fr-FR"/>
        </w:rPr>
        <w:t xml:space="preserve">: </w:t>
      </w:r>
      <w:hyperlink r:id="rId4" w:history="1">
        <w:r w:rsidR="00E92F03" w:rsidRPr="00E92F03">
          <w:rPr>
            <w:rStyle w:val="Lienhypertexte"/>
            <w:szCs w:val="24"/>
          </w:rPr>
          <w:t>www.alianzacivicanicaragua.com/acuerdo-para-la-facilitacion-del-proceso-de-liberacion-de-personas-privadas-de-libertad-de-conformidad-al-ordenamiento-juridico-del-pais-y-las-respectivas-obligaciones-internacionales-de-nicaragua-en/</w:t>
        </w:r>
      </w:hyperlink>
      <w:r>
        <w:rPr>
          <w:lang w:val="fr-FR"/>
        </w:rPr>
        <w:t xml:space="preserve"> et </w:t>
      </w:r>
      <w:hyperlink r:id="rId5" w:history="1">
        <w:r w:rsidR="00E92F03" w:rsidRPr="00E92F03">
          <w:rPr>
            <w:rStyle w:val="Lienhypertexte"/>
            <w:lang w:val="fr-FR"/>
          </w:rPr>
          <w:t>www.alianzacivicanicaragua.com/es/acuerdo-para-fortalecer-los-derechos-y-garantias-ciudadanas</w:t>
        </w:r>
      </w:hyperlink>
      <w:r>
        <w:rPr>
          <w:lang w:val="fr-FR"/>
        </w:rPr>
        <w:t>.</w:t>
      </w:r>
    </w:p>
  </w:footnote>
  <w:footnote w:id="7">
    <w:p w14:paraId="610C0687" w14:textId="1568CC76" w:rsidR="00225673" w:rsidRPr="000839E1" w:rsidRDefault="00225673" w:rsidP="00225673">
      <w:pPr>
        <w:pStyle w:val="Notedebasdepage"/>
        <w:rPr>
          <w:lang w:val="fr-FR"/>
        </w:rPr>
      </w:pPr>
      <w:r w:rsidRPr="004B6A15">
        <w:rPr>
          <w:lang w:val="fr-FR"/>
        </w:rPr>
        <w:tab/>
      </w:r>
      <w:bookmarkStart w:id="0" w:name="_Hlk63773148"/>
      <w:r w:rsidRPr="004B6A15">
        <w:rPr>
          <w:rStyle w:val="Appelnotedebasdep"/>
          <w:lang w:val="fr-FR"/>
        </w:rPr>
        <w:footnoteRef/>
      </w:r>
      <w:r>
        <w:rPr>
          <w:lang w:val="fr-FR"/>
        </w:rPr>
        <w:tab/>
        <w:t xml:space="preserve">Voir </w:t>
      </w:r>
      <w:hyperlink r:id="rId6" w:history="1">
        <w:r w:rsidR="00E92F03" w:rsidRPr="004B6A15">
          <w:rPr>
            <w:rStyle w:val="Lienhypertexte"/>
            <w:rFonts w:eastAsia="Arial Unicode MS" w:cs="Arial Unicode MS"/>
          </w:rPr>
          <w:t>www.imf.org/en/Publications/CR/Issues/2020/11/20/Nicaragua-Requests-for-Purchase-under-the-Rapid-Financing-Instrument-and-Disbursement-under-49908</w:t>
        </w:r>
      </w:hyperlink>
      <w:r>
        <w:rPr>
          <w:lang w:val="fr-FR"/>
        </w:rPr>
        <w:t>.</w:t>
      </w:r>
      <w:bookmarkEnd w:id="0"/>
    </w:p>
  </w:footnote>
  <w:footnote w:id="8">
    <w:p w14:paraId="25634AD4" w14:textId="46B4A271" w:rsidR="00225673" w:rsidRPr="000839E1"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Au 18 novembre 2020, l</w:t>
      </w:r>
      <w:r w:rsidR="00E92F03">
        <w:rPr>
          <w:lang w:val="fr-FR"/>
        </w:rPr>
        <w:t>’</w:t>
      </w:r>
      <w:r>
        <w:rPr>
          <w:lang w:val="fr-FR"/>
        </w:rPr>
        <w:t>organisation Observatorio ciudadano avait dénombré 11 251 cas suspects et 2</w:t>
      </w:r>
      <w:r w:rsidR="00331485">
        <w:rPr>
          <w:lang w:val="fr-FR"/>
        </w:rPr>
        <w:t> </w:t>
      </w:r>
      <w:r>
        <w:rPr>
          <w:lang w:val="fr-FR"/>
        </w:rPr>
        <w:t>796</w:t>
      </w:r>
      <w:r w:rsidR="00331485">
        <w:rPr>
          <w:lang w:val="fr-FR"/>
        </w:rPr>
        <w:t> </w:t>
      </w:r>
      <w:r>
        <w:rPr>
          <w:lang w:val="fr-FR"/>
        </w:rPr>
        <w:t>décès dus à la pneumonie et vraisemblablement à la COVID-19.</w:t>
      </w:r>
    </w:p>
  </w:footnote>
  <w:footnote w:id="9">
    <w:p w14:paraId="6D3A5C10" w14:textId="5918F2E6" w:rsidR="00225673" w:rsidRPr="000839E1"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 xml:space="preserve">Voir </w:t>
      </w:r>
      <w:hyperlink r:id="rId7" w:history="1">
        <w:r w:rsidR="00331485" w:rsidRPr="00331485">
          <w:rPr>
            <w:rStyle w:val="Lienhypertexte"/>
            <w:szCs w:val="24"/>
          </w:rPr>
          <w:t>www.migob.gob.ni/158-hermans-nicaraguense-procedentes-de-panama-regresaron-al-pais</w:t>
        </w:r>
      </w:hyperlink>
      <w:r w:rsidR="00331485" w:rsidRPr="00331485">
        <w:t>.</w:t>
      </w:r>
      <w:r>
        <w:rPr>
          <w:lang w:val="fr-FR"/>
        </w:rPr>
        <w:t>.</w:t>
      </w:r>
    </w:p>
  </w:footnote>
  <w:footnote w:id="10">
    <w:p w14:paraId="72EAC2BA" w14:textId="33799A3C" w:rsidR="00225673" w:rsidRPr="000839E1"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 xml:space="preserve">Voir </w:t>
      </w:r>
      <w:hyperlink r:id="rId8" w:history="1">
        <w:r w:rsidR="00331485" w:rsidRPr="00331485">
          <w:rPr>
            <w:rStyle w:val="Lienhypertexte"/>
            <w:szCs w:val="24"/>
          </w:rPr>
          <w:t>www.el19digital.com/articulos/ver/titulo:110247-presentacion-preliminar-cuantificacion-de-danos-perdidas-y-necesidades-post-huracanes</w:t>
        </w:r>
      </w:hyperlink>
      <w:r>
        <w:rPr>
          <w:lang w:val="fr-FR"/>
        </w:rPr>
        <w:t>.</w:t>
      </w:r>
    </w:p>
  </w:footnote>
  <w:footnote w:id="11">
    <w:p w14:paraId="333D4F95" w14:textId="728DFF97" w:rsidR="00225673" w:rsidRPr="000839E1" w:rsidRDefault="00225673" w:rsidP="00225673">
      <w:pPr>
        <w:pStyle w:val="Notedebasdepage"/>
        <w:rPr>
          <w:lang w:val="fr-FR"/>
        </w:rPr>
      </w:pPr>
      <w:r w:rsidRPr="004B6A15">
        <w:rPr>
          <w:lang w:val="fr-FR"/>
        </w:rPr>
        <w:tab/>
      </w:r>
      <w:bookmarkStart w:id="1" w:name="_Hlk63773192"/>
      <w:r w:rsidRPr="004B6A15">
        <w:rPr>
          <w:rStyle w:val="Appelnotedebasdep"/>
          <w:lang w:val="fr-FR"/>
        </w:rPr>
        <w:footnoteRef/>
      </w:r>
      <w:r>
        <w:rPr>
          <w:lang w:val="fr-FR"/>
        </w:rPr>
        <w:tab/>
        <w:t>Discours prononcé le 17 septembre 2020 par le Ministre des affaires étrangères à la réunion de haut niveau de l</w:t>
      </w:r>
      <w:r w:rsidR="00E92F03">
        <w:rPr>
          <w:lang w:val="fr-FR"/>
        </w:rPr>
        <w:t>’</w:t>
      </w:r>
      <w:r>
        <w:rPr>
          <w:lang w:val="fr-FR"/>
        </w:rPr>
        <w:t>Assemblée générale consacrée à la célébration du soixante-quinzième anniversaire de l</w:t>
      </w:r>
      <w:r w:rsidR="00E92F03">
        <w:rPr>
          <w:lang w:val="fr-FR"/>
        </w:rPr>
        <w:t>’</w:t>
      </w:r>
      <w:r>
        <w:rPr>
          <w:lang w:val="fr-FR"/>
        </w:rPr>
        <w:t>Organisation des Nations Unies, consultable à l</w:t>
      </w:r>
      <w:r w:rsidR="00E92F03">
        <w:rPr>
          <w:lang w:val="fr-FR"/>
        </w:rPr>
        <w:t>’</w:t>
      </w:r>
      <w:r>
        <w:rPr>
          <w:lang w:val="fr-FR"/>
        </w:rPr>
        <w:t>adresse suivante</w:t>
      </w:r>
      <w:r w:rsidR="00331485">
        <w:rPr>
          <w:lang w:val="fr-FR"/>
        </w:rPr>
        <w:t> </w:t>
      </w:r>
      <w:r>
        <w:rPr>
          <w:lang w:val="fr-FR"/>
        </w:rPr>
        <w:t xml:space="preserve">: </w:t>
      </w:r>
      <w:hyperlink r:id="rId9" w:history="1">
        <w:r w:rsidR="00331485" w:rsidRPr="00331485">
          <w:rPr>
            <w:rStyle w:val="Lienhypertexte"/>
            <w:szCs w:val="24"/>
          </w:rPr>
          <w:t>www.el19digital.com/articulos/ver/titulo:107548-mensaje-del-gobierno-de-nicaragua-en-la-reunion-de-alto-nivel-conmemorando-el-75-aniversario-de-las-naciones-unidas</w:t>
        </w:r>
      </w:hyperlink>
      <w:r>
        <w:rPr>
          <w:lang w:val="fr-FR"/>
        </w:rPr>
        <w:t>.</w:t>
      </w:r>
      <w:bookmarkEnd w:id="1"/>
    </w:p>
  </w:footnote>
  <w:footnote w:id="12">
    <w:p w14:paraId="5222E444" w14:textId="1284FB9B" w:rsidR="00225673" w:rsidRPr="000839E1"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L</w:t>
      </w:r>
      <w:r w:rsidR="00E92F03">
        <w:rPr>
          <w:lang w:val="fr-FR"/>
        </w:rPr>
        <w:t>’</w:t>
      </w:r>
      <w:r>
        <w:rPr>
          <w:lang w:val="fr-FR"/>
        </w:rPr>
        <w:t xml:space="preserve">accord a été adopté le 4 mars 2018 et entrera en vigueur le 22 avril 2021, soit </w:t>
      </w:r>
      <w:r w:rsidR="00331485">
        <w:rPr>
          <w:lang w:val="fr-FR"/>
        </w:rPr>
        <w:t xml:space="preserve">quatre-vingt-dix </w:t>
      </w:r>
      <w:r>
        <w:rPr>
          <w:lang w:val="fr-FR"/>
        </w:rPr>
        <w:t xml:space="preserve">jours après le dépôt du onzième instrument de ratification. Voir </w:t>
      </w:r>
      <w:hyperlink r:id="rId10" w:history="1">
        <w:r w:rsidR="00331485" w:rsidRPr="00331485">
          <w:rPr>
            <w:rStyle w:val="Lienhypertexte"/>
            <w:szCs w:val="24"/>
          </w:rPr>
          <w:t>https://treaties.un.org/Pages/</w:t>
        </w:r>
        <w:r w:rsidR="00331485">
          <w:rPr>
            <w:rStyle w:val="Lienhypertexte"/>
            <w:szCs w:val="24"/>
          </w:rPr>
          <w:br/>
        </w:r>
        <w:r w:rsidR="00331485" w:rsidRPr="00331485">
          <w:rPr>
            <w:rStyle w:val="Lienhypertexte"/>
            <w:szCs w:val="24"/>
          </w:rPr>
          <w:t>ViewDetails.aspx?src=TREATY&amp;mtdsg_no=XXVII-18&amp;chapter=27&amp;clang=_en</w:t>
        </w:r>
      </w:hyperlink>
      <w:r>
        <w:rPr>
          <w:lang w:val="fr-FR"/>
        </w:rPr>
        <w:t>.</w:t>
      </w:r>
    </w:p>
  </w:footnote>
  <w:footnote w:id="13">
    <w:p w14:paraId="1F9BD614" w14:textId="40D5B016" w:rsidR="00225673" w:rsidRPr="000839E1" w:rsidRDefault="00225673" w:rsidP="00225673">
      <w:pPr>
        <w:pStyle w:val="Notedebasdepage"/>
        <w:rPr>
          <w:lang w:val="fr-FR"/>
        </w:rPr>
      </w:pPr>
      <w:r w:rsidRPr="004B6A15">
        <w:rPr>
          <w:lang w:val="fr-FR"/>
        </w:rPr>
        <w:tab/>
      </w:r>
      <w:bookmarkStart w:id="2" w:name="_Hlk63773225"/>
      <w:r w:rsidRPr="004B6A15">
        <w:rPr>
          <w:rStyle w:val="Appelnotedebasdep"/>
          <w:lang w:val="fr-FR"/>
        </w:rPr>
        <w:footnoteRef/>
      </w:r>
      <w:r>
        <w:rPr>
          <w:lang w:val="fr-FR"/>
        </w:rPr>
        <w:tab/>
        <w:t>Déclaration des experts des Nations Unies du 9 novembre 2020, à consulter à l</w:t>
      </w:r>
      <w:r w:rsidR="00E92F03">
        <w:rPr>
          <w:lang w:val="fr-FR"/>
        </w:rPr>
        <w:t>’</w:t>
      </w:r>
      <w:r>
        <w:rPr>
          <w:lang w:val="fr-FR"/>
        </w:rPr>
        <w:t>adresse suivante</w:t>
      </w:r>
      <w:r w:rsidR="00331485">
        <w:rPr>
          <w:lang w:val="fr-FR"/>
        </w:rPr>
        <w:t> </w:t>
      </w:r>
      <w:r>
        <w:rPr>
          <w:lang w:val="fr-FR"/>
        </w:rPr>
        <w:t xml:space="preserve">: </w:t>
      </w:r>
      <w:hyperlink r:id="rId11" w:history="1">
        <w:r w:rsidR="00331485" w:rsidRPr="004B6A15">
          <w:rPr>
            <w:rStyle w:val="Lienhypertexte"/>
            <w:rFonts w:cs="Arial Unicode MS"/>
          </w:rPr>
          <w:t>www.ohchr.org/EN/NewsEvents/Pages/DisplayNews.aspx?NewsID=26488&amp;LangID=E</w:t>
        </w:r>
      </w:hyperlink>
      <w:r>
        <w:rPr>
          <w:lang w:val="fr-FR"/>
        </w:rPr>
        <w:t>.</w:t>
      </w:r>
      <w:bookmarkEnd w:id="2"/>
    </w:p>
  </w:footnote>
  <w:footnote w:id="14">
    <w:p w14:paraId="38707AC8" w14:textId="46B934A3" w:rsidR="00225673" w:rsidRPr="00654451" w:rsidRDefault="00225673" w:rsidP="00225673">
      <w:pPr>
        <w:pStyle w:val="Notedebasdepage"/>
        <w:rPr>
          <w:lang w:val="fr-FR"/>
        </w:rPr>
      </w:pPr>
      <w:r w:rsidRPr="004B6A15">
        <w:rPr>
          <w:lang w:val="fr-FR"/>
        </w:rPr>
        <w:tab/>
      </w:r>
      <w:bookmarkStart w:id="3" w:name="_Hlk63773274"/>
      <w:r w:rsidRPr="004B6A15">
        <w:rPr>
          <w:rStyle w:val="Appelnotedebasdep"/>
          <w:lang w:val="fr-FR"/>
        </w:rPr>
        <w:footnoteRef/>
      </w:r>
      <w:r>
        <w:rPr>
          <w:lang w:val="fr-FR"/>
        </w:rPr>
        <w:tab/>
      </w:r>
      <w:r w:rsidRPr="00654451">
        <w:rPr>
          <w:lang w:val="fr-FR"/>
        </w:rPr>
        <w:t xml:space="preserve">Voir </w:t>
      </w:r>
      <w:hyperlink r:id="rId12" w:history="1">
        <w:r w:rsidR="00331485" w:rsidRPr="004B6A15">
          <w:rPr>
            <w:rStyle w:val="Lienhypertexte"/>
            <w:rFonts w:cs="Arial Unicode MS"/>
          </w:rPr>
          <w:t>www.el19digital.com/articulos/ver/titulo:100579-intervencion-de-nicaragua-ante-el-consejo-de-derechos-humanos-de-naciones-unidas</w:t>
        </w:r>
      </w:hyperlink>
      <w:r w:rsidRPr="00654451">
        <w:rPr>
          <w:lang w:val="fr-FR"/>
        </w:rPr>
        <w:t xml:space="preserve">. </w:t>
      </w:r>
      <w:bookmarkEnd w:id="3"/>
    </w:p>
  </w:footnote>
  <w:footnote w:id="15">
    <w:p w14:paraId="4E23295D" w14:textId="51C354F8" w:rsidR="00225673" w:rsidRPr="000839E1"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Loi n</w:t>
      </w:r>
      <w:r w:rsidR="00331485">
        <w:rPr>
          <w:vertAlign w:val="superscript"/>
          <w:lang w:val="fr-FR"/>
        </w:rPr>
        <w:t>o</w:t>
      </w:r>
      <w:r>
        <w:rPr>
          <w:lang w:val="fr-FR"/>
        </w:rPr>
        <w:t xml:space="preserve"> 872 du 26 juin 2014 relative à l</w:t>
      </w:r>
      <w:r w:rsidR="00E92F03">
        <w:rPr>
          <w:lang w:val="fr-FR"/>
        </w:rPr>
        <w:t>’</w:t>
      </w:r>
      <w:r>
        <w:rPr>
          <w:lang w:val="fr-FR"/>
        </w:rPr>
        <w:t>organisation, aux fonctions, à la carrière et au régime spécial de sécurité sociale de la Police nationale, art. 7 (par. 1).</w:t>
      </w:r>
    </w:p>
  </w:footnote>
  <w:footnote w:id="16">
    <w:p w14:paraId="35F6C567" w14:textId="4D9F98B7" w:rsidR="00225673" w:rsidRPr="000839E1"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Communication adressée au HCDH par le Gouvernement nicaraguayen le 28 janvier 2020.</w:t>
      </w:r>
    </w:p>
  </w:footnote>
  <w:footnote w:id="17">
    <w:p w14:paraId="56FFDA7B" w14:textId="7EB29086" w:rsidR="00225673" w:rsidRPr="000839E1"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A/HRC/45/36, par. 94 à 96.</w:t>
      </w:r>
    </w:p>
  </w:footnote>
  <w:footnote w:id="18">
    <w:p w14:paraId="306D8743" w14:textId="235F6209" w:rsidR="00225673" w:rsidRPr="000839E1"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A/HRC/42/18, par. 20.</w:t>
      </w:r>
    </w:p>
  </w:footnote>
  <w:footnote w:id="19">
    <w:p w14:paraId="74EAE25D" w14:textId="3D134633" w:rsidR="00225673" w:rsidRPr="000839E1"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L</w:t>
      </w:r>
      <w:r w:rsidR="00E92F03">
        <w:rPr>
          <w:lang w:val="fr-FR"/>
        </w:rPr>
        <w:t>’</w:t>
      </w:r>
      <w:r>
        <w:rPr>
          <w:lang w:val="fr-FR"/>
        </w:rPr>
        <w:t>article 3 (par. 2) de la loi n</w:t>
      </w:r>
      <w:r w:rsidR="00331485">
        <w:rPr>
          <w:vertAlign w:val="superscript"/>
          <w:lang w:val="fr-FR"/>
        </w:rPr>
        <w:t>o</w:t>
      </w:r>
      <w:r>
        <w:rPr>
          <w:lang w:val="fr-FR"/>
        </w:rPr>
        <w:t xml:space="preserve"> 1040 définit un agent étranger comme une personne physique ou morale, nicaraguayenne ou d</w:t>
      </w:r>
      <w:r w:rsidR="00E92F03">
        <w:rPr>
          <w:lang w:val="fr-FR"/>
        </w:rPr>
        <w:t>’</w:t>
      </w:r>
      <w:r>
        <w:rPr>
          <w:lang w:val="fr-FR"/>
        </w:rPr>
        <w:t>une autre nationalité, qui reçoit, au Nicaragua, des fonds, des biens ou tout objet de valeur provenant directement ou indirectement de particuliers, de gouvernements, d</w:t>
      </w:r>
      <w:r w:rsidR="00E92F03">
        <w:rPr>
          <w:lang w:val="fr-FR"/>
        </w:rPr>
        <w:t>’</w:t>
      </w:r>
      <w:r>
        <w:rPr>
          <w:lang w:val="fr-FR"/>
        </w:rPr>
        <w:t>organismes, de fondations, de sociétés ou d</w:t>
      </w:r>
      <w:r w:rsidR="00E92F03">
        <w:rPr>
          <w:lang w:val="fr-FR"/>
        </w:rPr>
        <w:t>’</w:t>
      </w:r>
      <w:r>
        <w:rPr>
          <w:lang w:val="fr-FR"/>
        </w:rPr>
        <w:t>associations étrangères de tout type ou de toute nature qui perçoivent des fonds, relèvent ou œuvrent au profit d</w:t>
      </w:r>
      <w:r w:rsidR="00E92F03">
        <w:rPr>
          <w:lang w:val="fr-FR"/>
        </w:rPr>
        <w:t>’</w:t>
      </w:r>
      <w:r>
        <w:rPr>
          <w:lang w:val="fr-FR"/>
        </w:rPr>
        <w:t>organes qui appartiennent à des particuliers, des gouvernements ou des entités étrangères ou qui sont contrôlés directement ou indirectement par eux, sauf exceptions prévues par la même loi.</w:t>
      </w:r>
    </w:p>
  </w:footnote>
  <w:footnote w:id="20">
    <w:p w14:paraId="71FAFF7F" w14:textId="2778F163" w:rsidR="00225673" w:rsidRPr="000839E1"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A/HRC/23/39 et A/70/266.</w:t>
      </w:r>
    </w:p>
  </w:footnote>
  <w:footnote w:id="21">
    <w:p w14:paraId="452892C3" w14:textId="49E6D4F7" w:rsidR="00225673" w:rsidRPr="000839E1"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 xml:space="preserve">Voir </w:t>
      </w:r>
      <w:hyperlink r:id="rId13" w:history="1">
        <w:r w:rsidR="00331485" w:rsidRPr="004B6A15">
          <w:rPr>
            <w:rStyle w:val="Lienhypertexte"/>
          </w:rPr>
          <w:t>www.oacnudh.org/oacnudh-expresa-su-preocupacion-sobre-la-aprobacion-de-la-ley-de-regulacion-de-agentes-extranjeros</w:t>
        </w:r>
      </w:hyperlink>
      <w:r>
        <w:rPr>
          <w:lang w:val="fr-FR"/>
        </w:rPr>
        <w:t>.</w:t>
      </w:r>
    </w:p>
  </w:footnote>
  <w:footnote w:id="22">
    <w:p w14:paraId="409324C5" w14:textId="101EAAD2" w:rsidR="00225673" w:rsidRPr="000839E1"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 xml:space="preserve">Voir </w:t>
      </w:r>
      <w:hyperlink r:id="rId14" w:history="1">
        <w:r w:rsidR="00331485" w:rsidRPr="00331485">
          <w:rPr>
            <w:rStyle w:val="Lienhypertexte"/>
            <w:lang w:val="fr-FR"/>
          </w:rPr>
          <w:t>www.oas.org/es/cidh/MESENI/Boletines/BOLETIN-MESENI-2020_10.pdf</w:t>
        </w:r>
      </w:hyperlink>
      <w:r>
        <w:rPr>
          <w:lang w:val="fr-FR"/>
        </w:rPr>
        <w:t>.</w:t>
      </w:r>
    </w:p>
  </w:footnote>
  <w:footnote w:id="23">
    <w:p w14:paraId="67F682EA" w14:textId="5FC6334B" w:rsidR="00225673" w:rsidRPr="000839E1"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Résolution du Parlement européen du 8 octobre 2020 relative à la loi nicaraguayenne sur les « agents étrangers » (2020/2814(RSP)), consultable à l</w:t>
      </w:r>
      <w:r w:rsidR="00E92F03">
        <w:rPr>
          <w:lang w:val="fr-FR"/>
        </w:rPr>
        <w:t>’</w:t>
      </w:r>
      <w:r>
        <w:rPr>
          <w:lang w:val="fr-FR"/>
        </w:rPr>
        <w:t>adresse suivante</w:t>
      </w:r>
      <w:r w:rsidR="00331485">
        <w:rPr>
          <w:lang w:val="fr-FR"/>
        </w:rPr>
        <w:t> </w:t>
      </w:r>
      <w:r>
        <w:rPr>
          <w:lang w:val="fr-FR"/>
        </w:rPr>
        <w:t xml:space="preserve">: </w:t>
      </w:r>
      <w:hyperlink r:id="rId15" w:history="1">
        <w:r w:rsidRPr="00852C02">
          <w:rPr>
            <w:rStyle w:val="Lienhypertexte"/>
            <w:lang w:val="fr-FR"/>
          </w:rPr>
          <w:t>https://www.europarl.europa.eu/doceo/document/TA-9-2020-0259_FR.html</w:t>
        </w:r>
      </w:hyperlink>
      <w:r>
        <w:rPr>
          <w:lang w:val="fr-FR"/>
        </w:rPr>
        <w:t>.</w:t>
      </w:r>
    </w:p>
  </w:footnote>
  <w:footnote w:id="24">
    <w:p w14:paraId="770933AE" w14:textId="51AAAAF9" w:rsidR="00225673" w:rsidRPr="000839E1" w:rsidRDefault="00225673" w:rsidP="00225673">
      <w:pPr>
        <w:pStyle w:val="Notedebasdepage"/>
        <w:rPr>
          <w:lang w:val="fr-FR"/>
        </w:rPr>
      </w:pPr>
      <w:r w:rsidRPr="004B6A15">
        <w:rPr>
          <w:lang w:val="fr-FR"/>
        </w:rPr>
        <w:tab/>
      </w:r>
      <w:bookmarkStart w:id="4" w:name="_Hlk63773310"/>
      <w:r w:rsidRPr="004B6A15">
        <w:rPr>
          <w:rStyle w:val="Appelnotedebasdep"/>
          <w:lang w:val="fr-FR"/>
        </w:rPr>
        <w:footnoteRef/>
      </w:r>
      <w:r>
        <w:rPr>
          <w:lang w:val="fr-FR"/>
        </w:rPr>
        <w:tab/>
        <w:t>La Rapporteuse spéciale sur la promotion et la protection du droit à la liberté d</w:t>
      </w:r>
      <w:r w:rsidR="00E92F03">
        <w:rPr>
          <w:lang w:val="fr-FR"/>
        </w:rPr>
        <w:t>’</w:t>
      </w:r>
      <w:r>
        <w:rPr>
          <w:lang w:val="fr-FR"/>
        </w:rPr>
        <w:t>opinion et d</w:t>
      </w:r>
      <w:r w:rsidR="00E92F03">
        <w:rPr>
          <w:lang w:val="fr-FR"/>
        </w:rPr>
        <w:t>’</w:t>
      </w:r>
      <w:r>
        <w:rPr>
          <w:lang w:val="fr-FR"/>
        </w:rPr>
        <w:t>expression, le Rapporteur spécial sur les droits à la liberté de réunion pacifique et d</w:t>
      </w:r>
      <w:r w:rsidR="00E92F03">
        <w:rPr>
          <w:lang w:val="fr-FR"/>
        </w:rPr>
        <w:t>’</w:t>
      </w:r>
      <w:r>
        <w:rPr>
          <w:lang w:val="fr-FR"/>
        </w:rPr>
        <w:t>association, la Rapporteuse spéciale sur la situation des défenseurs des droits de l</w:t>
      </w:r>
      <w:r w:rsidR="00E92F03">
        <w:rPr>
          <w:lang w:val="fr-FR"/>
        </w:rPr>
        <w:t>’</w:t>
      </w:r>
      <w:r>
        <w:rPr>
          <w:lang w:val="fr-FR"/>
        </w:rPr>
        <w:t>homme et la Rapporteuse spéciale sur la promotion et la protection des droits de l</w:t>
      </w:r>
      <w:r w:rsidR="00E92F03">
        <w:rPr>
          <w:lang w:val="fr-FR"/>
        </w:rPr>
        <w:t>’</w:t>
      </w:r>
      <w:r>
        <w:rPr>
          <w:lang w:val="fr-FR"/>
        </w:rPr>
        <w:t>homme et des libertés fondamentales dans la lutte antiterroriste.</w:t>
      </w:r>
      <w:bookmarkEnd w:id="4"/>
    </w:p>
  </w:footnote>
  <w:footnote w:id="25">
    <w:p w14:paraId="371090E6" w14:textId="4089211F" w:rsidR="00225673" w:rsidRPr="00852C02" w:rsidRDefault="00225673" w:rsidP="00225673">
      <w:pPr>
        <w:pStyle w:val="Notedebasdepage"/>
        <w:rPr>
          <w:rStyle w:val="Lienhypertexte"/>
          <w:color w:val="auto"/>
        </w:rPr>
      </w:pPr>
      <w:r w:rsidRPr="004B6A15">
        <w:rPr>
          <w:lang w:val="fr-FR"/>
        </w:rPr>
        <w:tab/>
      </w:r>
      <w:r w:rsidRPr="004B6A15">
        <w:rPr>
          <w:rStyle w:val="Appelnotedebasdep"/>
          <w:lang w:val="fr-FR"/>
        </w:rPr>
        <w:footnoteRef/>
      </w:r>
      <w:r>
        <w:rPr>
          <w:lang w:val="fr-FR"/>
        </w:rPr>
        <w:tab/>
        <w:t>Consultable à l</w:t>
      </w:r>
      <w:r w:rsidR="00E92F03">
        <w:rPr>
          <w:lang w:val="fr-FR"/>
        </w:rPr>
        <w:t>’</w:t>
      </w:r>
      <w:r>
        <w:rPr>
          <w:lang w:val="fr-FR"/>
        </w:rPr>
        <w:t>adresse suivante</w:t>
      </w:r>
      <w:r w:rsidR="00852C02">
        <w:rPr>
          <w:lang w:val="fr-FR"/>
        </w:rPr>
        <w:t> </w:t>
      </w:r>
      <w:r>
        <w:rPr>
          <w:lang w:val="fr-FR"/>
        </w:rPr>
        <w:t xml:space="preserve">: </w:t>
      </w:r>
      <w:hyperlink r:id="rId16" w:history="1">
        <w:r w:rsidR="00852C02" w:rsidRPr="00852C02">
          <w:rPr>
            <w:rStyle w:val="Lienhypertexte"/>
            <w:lang w:val="fr-FR"/>
          </w:rPr>
          <w:t>https://spcommreports.ohchr.org/TMResultsBase/DownLoadPublicCommunicationFile?gId=25691</w:t>
        </w:r>
      </w:hyperlink>
      <w:r w:rsidRPr="00852C02">
        <w:rPr>
          <w:rStyle w:val="Lienhypertexte"/>
          <w:color w:val="auto"/>
        </w:rPr>
        <w:t>.</w:t>
      </w:r>
    </w:p>
  </w:footnote>
  <w:footnote w:id="26">
    <w:p w14:paraId="1193969B" w14:textId="3B55579F" w:rsidR="00225673" w:rsidRPr="000839E1"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 xml:space="preserve">Voir </w:t>
      </w:r>
      <w:hyperlink r:id="rId17" w:history="1">
        <w:r w:rsidR="00852C02" w:rsidRPr="00852C02">
          <w:rPr>
            <w:rStyle w:val="Lienhypertexte"/>
          </w:rPr>
          <w:t>http://webtv.un.org/search/enhanced-id-human-rights-in-nicaragua-4th-meeting-42nd-regular-session-human-rights-council-/6084897806001/?term=nicaragua&amp;sort=date&amp;page=9#player</w:t>
        </w:r>
      </w:hyperlink>
      <w:r>
        <w:rPr>
          <w:lang w:val="fr-FR"/>
        </w:rPr>
        <w:t xml:space="preserve"> (24:03).</w:t>
      </w:r>
    </w:p>
  </w:footnote>
  <w:footnote w:id="27">
    <w:p w14:paraId="660583FC" w14:textId="3DD7AC0F" w:rsidR="00225673" w:rsidRPr="000839E1"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 xml:space="preserve">Voir </w:t>
      </w:r>
      <w:hyperlink r:id="rId18" w:history="1">
        <w:r w:rsidR="00852C02" w:rsidRPr="00852C02">
          <w:rPr>
            <w:rStyle w:val="Lienhypertexte"/>
          </w:rPr>
          <w:t>www.ohchr.org/EN/NewsEvents/Pages/DisplayNews.aspx?NewsID=24920&amp;LangID=E</w:t>
        </w:r>
      </w:hyperlink>
      <w:r>
        <w:rPr>
          <w:lang w:val="fr-FR"/>
        </w:rPr>
        <w:t>.</w:t>
      </w:r>
    </w:p>
  </w:footnote>
  <w:footnote w:id="28">
    <w:p w14:paraId="7CA545EA" w14:textId="1F96928E" w:rsidR="00225673" w:rsidRPr="000839E1"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A/HRC/42/18, par. 18.</w:t>
      </w:r>
    </w:p>
  </w:footnote>
  <w:footnote w:id="29">
    <w:p w14:paraId="6B782D5F" w14:textId="6E810BF4" w:rsidR="00225673" w:rsidRPr="000839E1"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A/HRC/WGAD/2020/17.</w:t>
      </w:r>
    </w:p>
  </w:footnote>
  <w:footnote w:id="30">
    <w:p w14:paraId="7C719004" w14:textId="67B47C96" w:rsidR="00225673" w:rsidRPr="000839E1"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Communication adressée au HCDH par le Gouvernement nicaraguayen le 28 janvier 2020.</w:t>
      </w:r>
    </w:p>
  </w:footnote>
  <w:footnote w:id="31">
    <w:p w14:paraId="2BAEE90F" w14:textId="12F763BD" w:rsidR="00225673" w:rsidRPr="000839E1"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 xml:space="preserve">Voir </w:t>
      </w:r>
      <w:hyperlink r:id="rId19" w:history="1">
        <w:r w:rsidR="00852C02" w:rsidRPr="004B6A15">
          <w:rPr>
            <w:rStyle w:val="Lienhypertexte"/>
            <w:rFonts w:cs="Arial Unicode MS"/>
            <w14:textOutline w14:w="12700" w14:cap="flat" w14:cmpd="sng" w14:algn="ctr">
              <w14:noFill/>
              <w14:prstDash w14:val="solid"/>
              <w14:miter w14:lim="400000"/>
            </w14:textOutline>
          </w:rPr>
          <w:t>www.el19digital.com/articulos/ver/titulo:103397-companera-rosario-murillo-en-multinoticias-15-05-20</w:t>
        </w:r>
      </w:hyperlink>
      <w:r>
        <w:rPr>
          <w:lang w:val="fr-FR"/>
        </w:rPr>
        <w:t>.</w:t>
      </w:r>
    </w:p>
  </w:footnote>
  <w:footnote w:id="32">
    <w:p w14:paraId="702FA4CF" w14:textId="00FE9913" w:rsidR="00225673" w:rsidRPr="000839E1"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Consultable à l</w:t>
      </w:r>
      <w:r w:rsidR="00E92F03">
        <w:rPr>
          <w:lang w:val="fr-FR"/>
        </w:rPr>
        <w:t>’</w:t>
      </w:r>
      <w:r>
        <w:rPr>
          <w:lang w:val="fr-FR"/>
        </w:rPr>
        <w:t>adresse suivante</w:t>
      </w:r>
      <w:r w:rsidR="00852C02">
        <w:rPr>
          <w:lang w:val="fr-FR"/>
        </w:rPr>
        <w:t> </w:t>
      </w:r>
      <w:r>
        <w:rPr>
          <w:lang w:val="fr-FR"/>
        </w:rPr>
        <w:t xml:space="preserve">: </w:t>
      </w:r>
      <w:hyperlink r:id="rId20" w:history="1">
        <w:r w:rsidR="00852C02" w:rsidRPr="004B6A15">
          <w:rPr>
            <w:rStyle w:val="Lienhypertexte"/>
            <w:rFonts w:cs="Arial Unicode MS"/>
          </w:rPr>
          <w:t>www.el19digital.com/app/webroot/tinymce/source/2020/00-Mayo/25%20MAYO/AL%20PUEBLO%20DE%20NICARAGUA%20Y%20AL%20MUNDO-%20INFORME%20SOBRE%20EL%20COVID-19.pdf</w:t>
        </w:r>
      </w:hyperlink>
      <w:r>
        <w:rPr>
          <w:lang w:val="fr-FR"/>
        </w:rPr>
        <w:t>.</w:t>
      </w:r>
    </w:p>
  </w:footnote>
  <w:footnote w:id="33">
    <w:p w14:paraId="6ED29A86" w14:textId="5A09A7FF" w:rsidR="00225673" w:rsidRPr="000839E1"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Consultable à l</w:t>
      </w:r>
      <w:r w:rsidR="00E92F03">
        <w:rPr>
          <w:lang w:val="fr-FR"/>
        </w:rPr>
        <w:t>’</w:t>
      </w:r>
      <w:r>
        <w:rPr>
          <w:lang w:val="fr-FR"/>
        </w:rPr>
        <w:t>adresse suivante</w:t>
      </w:r>
      <w:r w:rsidR="00852C02">
        <w:rPr>
          <w:lang w:val="fr-FR"/>
        </w:rPr>
        <w:t> </w:t>
      </w:r>
      <w:r>
        <w:rPr>
          <w:lang w:val="fr-FR"/>
        </w:rPr>
        <w:t xml:space="preserve">: </w:t>
      </w:r>
      <w:hyperlink r:id="rId21" w:history="1">
        <w:r w:rsidR="00852C02" w:rsidRPr="00852C02">
          <w:rPr>
            <w:rStyle w:val="Lienhypertexte"/>
            <w:rFonts w:cs="Arial Unicode MS"/>
          </w:rPr>
          <w:t>https://spcommreports.ohchr.org/TMResultsBase/</w:t>
        </w:r>
        <w:r w:rsidR="00852C02">
          <w:rPr>
            <w:rStyle w:val="Lienhypertexte"/>
            <w:rFonts w:cs="Arial Unicode MS"/>
          </w:rPr>
          <w:br/>
        </w:r>
        <w:r w:rsidR="00852C02" w:rsidRPr="00852C02">
          <w:rPr>
            <w:rStyle w:val="Lienhypertexte"/>
            <w:rFonts w:cs="Arial Unicode MS"/>
          </w:rPr>
          <w:t>DownLoadPublicCommunicationFile?gId=25691</w:t>
        </w:r>
      </w:hyperlink>
      <w:r w:rsidRPr="00852C02">
        <w:rPr>
          <w:rStyle w:val="Lienhypertexte"/>
          <w:rFonts w:cs="Arial Unicode MS"/>
          <w:color w:val="auto"/>
        </w:rPr>
        <w:t>.</w:t>
      </w:r>
    </w:p>
  </w:footnote>
  <w:footnote w:id="34">
    <w:p w14:paraId="207EF44D" w14:textId="775BAEB2" w:rsidR="00225673" w:rsidRPr="000839E1"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 xml:space="preserve">Voir </w:t>
      </w:r>
      <w:hyperlink r:id="rId22" w:history="1">
        <w:r w:rsidR="00852C02" w:rsidRPr="00852C02">
          <w:rPr>
            <w:rStyle w:val="Lienhypertexte"/>
            <w:lang w:val="fr-FR"/>
          </w:rPr>
          <w:t>www.el19digital.com/articulos/ver/titulo:107322-declaracion-de-la-presidencia-de-la-republica-sobre-cadena-perpetua-para-castigar-crimenes-atroces</w:t>
        </w:r>
      </w:hyperlink>
      <w:r>
        <w:rPr>
          <w:lang w:val="fr-FR"/>
        </w:rPr>
        <w:t>.</w:t>
      </w:r>
    </w:p>
  </w:footnote>
  <w:footnote w:id="35">
    <w:p w14:paraId="416EFDEC" w14:textId="2A029D8D" w:rsidR="00225673" w:rsidRPr="000839E1"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Les révisions constitutionnelles doivent être adoptées lors de deux sessions législatives distinctes. Le 10</w:t>
      </w:r>
      <w:r w:rsidR="00852C02">
        <w:rPr>
          <w:lang w:val="fr-FR"/>
        </w:rPr>
        <w:t> </w:t>
      </w:r>
      <w:r>
        <w:rPr>
          <w:lang w:val="fr-FR"/>
        </w:rPr>
        <w:t>novembre 2020, l</w:t>
      </w:r>
      <w:r w:rsidR="00E92F03">
        <w:rPr>
          <w:lang w:val="fr-FR"/>
        </w:rPr>
        <w:t>’</w:t>
      </w:r>
      <w:r>
        <w:rPr>
          <w:lang w:val="fr-FR"/>
        </w:rPr>
        <w:t>Assemblée nationale a approuvé à une large majorité une loi de réforme punissant de la réclusion criminelle à perpétuité les crimes graves motivés par la haine et de nature à scandaliser l</w:t>
      </w:r>
      <w:r w:rsidR="00E92F03">
        <w:rPr>
          <w:lang w:val="fr-FR"/>
        </w:rPr>
        <w:t>’</w:t>
      </w:r>
      <w:r>
        <w:rPr>
          <w:lang w:val="fr-FR"/>
        </w:rPr>
        <w:t>opinion publique.</w:t>
      </w:r>
    </w:p>
  </w:footnote>
  <w:footnote w:id="36">
    <w:p w14:paraId="5A10194E" w14:textId="4162E8DD" w:rsidR="00225673" w:rsidRPr="0078048D" w:rsidRDefault="00225673" w:rsidP="00225673">
      <w:pPr>
        <w:pStyle w:val="Notedebasdepage"/>
        <w:rPr>
          <w:lang w:val="es-ES"/>
        </w:rPr>
      </w:pPr>
      <w:r w:rsidRPr="004B6A15">
        <w:rPr>
          <w:lang w:val="fr-FR"/>
        </w:rPr>
        <w:tab/>
      </w:r>
      <w:r w:rsidRPr="004B6A15">
        <w:rPr>
          <w:rStyle w:val="Appelnotedebasdep"/>
          <w:lang w:val="fr-FR"/>
        </w:rPr>
        <w:footnoteRef/>
      </w:r>
      <w:r w:rsidRPr="0078048D">
        <w:rPr>
          <w:lang w:val="es-ES"/>
        </w:rPr>
        <w:tab/>
        <w:t>A/HRC/42/18, par. 65 (al. h).</w:t>
      </w:r>
    </w:p>
  </w:footnote>
  <w:footnote w:id="37">
    <w:p w14:paraId="36A7A59F" w14:textId="0A8C3A6F" w:rsidR="00225673" w:rsidRPr="000839E1" w:rsidRDefault="00225673" w:rsidP="00225673">
      <w:pPr>
        <w:pStyle w:val="Notedebasdepage"/>
        <w:rPr>
          <w:lang w:val="fr-FR"/>
        </w:rPr>
      </w:pPr>
      <w:r w:rsidRPr="0078048D">
        <w:rPr>
          <w:lang w:val="es-ES"/>
        </w:rPr>
        <w:tab/>
      </w:r>
      <w:r w:rsidRPr="004B6A15">
        <w:rPr>
          <w:rStyle w:val="Appelnotedebasdep"/>
          <w:lang w:val="fr-FR"/>
        </w:rPr>
        <w:footnoteRef/>
      </w:r>
      <w:r>
        <w:rPr>
          <w:lang w:val="fr-FR"/>
        </w:rPr>
        <w:tab/>
        <w:t>Communication adressée au HCDH par le Gouvernement nicaraguayen le 28 janvier 2020.</w:t>
      </w:r>
    </w:p>
  </w:footnote>
  <w:footnote w:id="38">
    <w:p w14:paraId="588987E5" w14:textId="4C9ABD8E" w:rsidR="00225673" w:rsidRPr="000839E1"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Consultable à l</w:t>
      </w:r>
      <w:r w:rsidR="00E92F03">
        <w:rPr>
          <w:lang w:val="fr-FR"/>
        </w:rPr>
        <w:t>’</w:t>
      </w:r>
      <w:r>
        <w:rPr>
          <w:lang w:val="fr-FR"/>
        </w:rPr>
        <w:t>adresse suivante</w:t>
      </w:r>
      <w:r w:rsidR="00852C02">
        <w:rPr>
          <w:lang w:val="fr-FR"/>
        </w:rPr>
        <w:t> </w:t>
      </w:r>
      <w:r>
        <w:rPr>
          <w:lang w:val="fr-FR"/>
        </w:rPr>
        <w:t xml:space="preserve">: </w:t>
      </w:r>
      <w:hyperlink r:id="rId23" w:history="1">
        <w:r w:rsidR="00852C02" w:rsidRPr="00852C02">
          <w:rPr>
            <w:rStyle w:val="Lienhypertexte"/>
            <w:lang w:val="fr-FR"/>
          </w:rPr>
          <w:t>http://scm.oas.org/IDMS/Redirectpage.aspx?class=AG/doc.&amp;classNum=5717&amp;lang=e</w:t>
        </w:r>
      </w:hyperlink>
      <w:r w:rsidRPr="00852C02">
        <w:rPr>
          <w:rStyle w:val="Lienhypertexte"/>
        </w:rPr>
        <w:t>,</w:t>
      </w:r>
      <w:r>
        <w:rPr>
          <w:lang w:val="fr-FR"/>
        </w:rPr>
        <w:t xml:space="preserve"> p. 183 à 185.</w:t>
      </w:r>
    </w:p>
  </w:footnote>
  <w:footnote w:id="39">
    <w:p w14:paraId="2F2F52CE" w14:textId="541B012D" w:rsidR="00225673" w:rsidRPr="000839E1"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Le 25 février 2020, diverses organisations créées après la tenue des manifestations de 2018 et divers partis politiques ont créé une large coalition en vue des prochaines élections.</w:t>
      </w:r>
    </w:p>
  </w:footnote>
  <w:footnote w:id="40">
    <w:p w14:paraId="458870EB" w14:textId="0523C025" w:rsidR="00225673" w:rsidRPr="000839E1"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 xml:space="preserve">Voir </w:t>
      </w:r>
      <w:hyperlink r:id="rId24" w:history="1">
        <w:r w:rsidRPr="00852C02">
          <w:rPr>
            <w:rStyle w:val="Lienhypertexte"/>
            <w:lang w:val="fr-FR"/>
          </w:rPr>
          <w:t>https://100noticias.com.ni/nacionales/103280-paramilitares-agreden-hieren-veronica-chavez</w:t>
        </w:r>
      </w:hyperlink>
      <w:r>
        <w:rPr>
          <w:lang w:val="fr-FR"/>
        </w:rPr>
        <w:t>.</w:t>
      </w:r>
    </w:p>
  </w:footnote>
  <w:footnote w:id="41">
    <w:p w14:paraId="1E60B72C" w14:textId="44F827BA" w:rsidR="00225673" w:rsidRPr="000839E1"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 xml:space="preserve">Voir </w:t>
      </w:r>
      <w:hyperlink r:id="rId25" w:history="1">
        <w:r w:rsidRPr="00852C02">
          <w:rPr>
            <w:rStyle w:val="Lienhypertexte"/>
            <w:lang w:val="fr-FR"/>
          </w:rPr>
          <w:t>https://ipnicaragua.com/se-me-salen-ya-les-doy-cinco-minutos-asi-amenazo-la-policia-a-opositores-este-domingo</w:t>
        </w:r>
      </w:hyperlink>
      <w:r>
        <w:rPr>
          <w:lang w:val="fr-FR"/>
        </w:rPr>
        <w:t>.</w:t>
      </w:r>
    </w:p>
  </w:footnote>
  <w:footnote w:id="42">
    <w:p w14:paraId="7F5FD79D" w14:textId="7F18EDF1" w:rsidR="00225673" w:rsidRPr="000839E1"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L</w:t>
      </w:r>
      <w:r w:rsidR="00E92F03">
        <w:rPr>
          <w:lang w:val="fr-FR"/>
        </w:rPr>
        <w:t>’</w:t>
      </w:r>
      <w:r>
        <w:rPr>
          <w:lang w:val="fr-FR"/>
        </w:rPr>
        <w:t>article premier de cette loi dispose notamment qu</w:t>
      </w:r>
      <w:r w:rsidR="00E92F03">
        <w:rPr>
          <w:lang w:val="fr-FR"/>
        </w:rPr>
        <w:t>’</w:t>
      </w:r>
      <w:r>
        <w:rPr>
          <w:lang w:val="fr-FR"/>
        </w:rPr>
        <w:t>une amnistie générale est accordée à toutes les personnes ayant participé aux événements survenus dans tout le pays entre le 18 avril 2018 et la date d</w:t>
      </w:r>
      <w:r w:rsidR="00E92F03">
        <w:rPr>
          <w:lang w:val="fr-FR"/>
        </w:rPr>
        <w:t>’</w:t>
      </w:r>
      <w:r>
        <w:rPr>
          <w:lang w:val="fr-FR"/>
        </w:rPr>
        <w:t>entrée en vigueur de la loi et que, conformément à la loi, les autorités compétentes annuleront les antécédents judiciaires de toutes les personnes qui bénéficient de l</w:t>
      </w:r>
      <w:r w:rsidR="00E92F03">
        <w:rPr>
          <w:lang w:val="fr-FR"/>
        </w:rPr>
        <w:t>’</w:t>
      </w:r>
      <w:r>
        <w:rPr>
          <w:lang w:val="fr-FR"/>
        </w:rPr>
        <w:t>amnistie.</w:t>
      </w:r>
    </w:p>
  </w:footnote>
  <w:footnote w:id="43">
    <w:p w14:paraId="1ADFB0ED" w14:textId="23E4B60E" w:rsidR="00225673" w:rsidRPr="000839E1"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Communication adressée au HCDH par le Gouvernement nicaraguayen le 28 janvier 2020.</w:t>
      </w:r>
    </w:p>
  </w:footnote>
  <w:footnote w:id="44">
    <w:p w14:paraId="12933690" w14:textId="7A78F087" w:rsidR="00225673" w:rsidRPr="006A32B2" w:rsidRDefault="00225673" w:rsidP="00225673">
      <w:pPr>
        <w:pStyle w:val="Notedebasdepage"/>
        <w:rPr>
          <w:lang w:val="fr-FR"/>
        </w:rPr>
      </w:pPr>
      <w:r w:rsidRPr="003766A8">
        <w:rPr>
          <w:rStyle w:val="Appelnotedebasdep"/>
          <w:lang w:val="fr-FR"/>
        </w:rPr>
        <w:tab/>
      </w:r>
      <w:r w:rsidRPr="004B6A15">
        <w:rPr>
          <w:rStyle w:val="Appelnotedebasdep"/>
          <w:lang w:val="fr-FR"/>
        </w:rPr>
        <w:footnoteRef/>
      </w:r>
      <w:r>
        <w:rPr>
          <w:lang w:val="fr-FR"/>
        </w:rPr>
        <w:tab/>
        <w:t>En particulier l</w:t>
      </w:r>
      <w:r w:rsidR="00E92F03">
        <w:rPr>
          <w:lang w:val="fr-FR"/>
        </w:rPr>
        <w:t>’</w:t>
      </w:r>
      <w:r>
        <w:rPr>
          <w:lang w:val="fr-FR"/>
        </w:rPr>
        <w:t>article 9</w:t>
      </w:r>
      <w:r w:rsidR="003466DC">
        <w:rPr>
          <w:lang w:val="fr-FR"/>
        </w:rPr>
        <w:t> </w:t>
      </w:r>
      <w:r>
        <w:rPr>
          <w:lang w:val="fr-FR"/>
        </w:rPr>
        <w:t xml:space="preserve">; voir aussi les modifications de la loi </w:t>
      </w:r>
      <w:r w:rsidR="003466DC" w:rsidRPr="003466DC">
        <w:rPr>
          <w:rFonts w:eastAsia="MS Mincho"/>
          <w:lang w:val="fr-FR"/>
        </w:rPr>
        <w:t>n</w:t>
      </w:r>
      <w:r w:rsidR="003466DC" w:rsidRPr="003466DC">
        <w:rPr>
          <w:rFonts w:eastAsia="MS Mincho"/>
          <w:vertAlign w:val="superscript"/>
          <w:lang w:val="fr-FR"/>
        </w:rPr>
        <w:t>o</w:t>
      </w:r>
      <w:r w:rsidR="003466DC">
        <w:rPr>
          <w:vertAlign w:val="superscript"/>
          <w:lang w:val="fr-FR"/>
        </w:rPr>
        <w:t> </w:t>
      </w:r>
      <w:r>
        <w:rPr>
          <w:lang w:val="fr-FR"/>
        </w:rPr>
        <w:t>641 portant Code pénal.</w:t>
      </w:r>
    </w:p>
  </w:footnote>
  <w:footnote w:id="45">
    <w:p w14:paraId="34A0EA36" w14:textId="2298ACCF" w:rsidR="00225673" w:rsidRPr="006A32B2"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Art</w:t>
      </w:r>
      <w:r w:rsidR="003466DC">
        <w:rPr>
          <w:lang w:val="fr-FR"/>
        </w:rPr>
        <w:t>.</w:t>
      </w:r>
      <w:r>
        <w:rPr>
          <w:lang w:val="fr-FR"/>
        </w:rPr>
        <w:t xml:space="preserve"> 2 du décret </w:t>
      </w:r>
      <w:r w:rsidR="003466DC" w:rsidRPr="003466DC">
        <w:rPr>
          <w:rFonts w:eastAsia="MS Mincho"/>
          <w:lang w:val="fr-FR"/>
        </w:rPr>
        <w:t>n</w:t>
      </w:r>
      <w:r w:rsidR="003466DC" w:rsidRPr="003466DC">
        <w:rPr>
          <w:rFonts w:eastAsia="MS Mincho"/>
          <w:vertAlign w:val="superscript"/>
          <w:lang w:val="fr-FR"/>
        </w:rPr>
        <w:t>o</w:t>
      </w:r>
      <w:r w:rsidR="003466DC">
        <w:rPr>
          <w:lang w:val="fr-FR"/>
        </w:rPr>
        <w:t> </w:t>
      </w:r>
      <w:r>
        <w:rPr>
          <w:lang w:val="fr-FR"/>
        </w:rPr>
        <w:t>42-2014.</w:t>
      </w:r>
    </w:p>
  </w:footnote>
  <w:footnote w:id="46">
    <w:p w14:paraId="1C45E06D" w14:textId="6F66E43A" w:rsidR="00225673" w:rsidRPr="006A32B2" w:rsidRDefault="00225673" w:rsidP="00225673">
      <w:pPr>
        <w:pStyle w:val="Notedebasdepage"/>
        <w:rPr>
          <w:lang w:val="fr-FR"/>
        </w:rPr>
      </w:pPr>
      <w:r w:rsidRPr="004B6A15">
        <w:rPr>
          <w:lang w:val="fr-FR"/>
        </w:rPr>
        <w:tab/>
      </w:r>
      <w:bookmarkStart w:id="5" w:name="_Hlk63773443"/>
      <w:r w:rsidRPr="004B6A15">
        <w:rPr>
          <w:rStyle w:val="Appelnotedebasdep"/>
          <w:lang w:val="fr-FR"/>
        </w:rPr>
        <w:footnoteRef/>
      </w:r>
      <w:r>
        <w:rPr>
          <w:lang w:val="fr-FR"/>
        </w:rPr>
        <w:tab/>
        <w:t xml:space="preserve">Voir </w:t>
      </w:r>
      <w:hyperlink r:id="rId26" w:history="1">
        <w:r w:rsidR="003466DC" w:rsidRPr="004B6A15">
          <w:rPr>
            <w:rStyle w:val="Lienhypertexte"/>
          </w:rPr>
          <w:t>https://confidencial.com.ni/the-nicaragua-crisis-means-increased-violence-against-women</w:t>
        </w:r>
      </w:hyperlink>
      <w:r>
        <w:rPr>
          <w:lang w:val="fr-FR"/>
        </w:rPr>
        <w:t>.</w:t>
      </w:r>
    </w:p>
    <w:bookmarkEnd w:id="5"/>
  </w:footnote>
  <w:footnote w:id="47">
    <w:p w14:paraId="3FBF8206" w14:textId="594E6580" w:rsidR="00225673" w:rsidRPr="006A32B2"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D</w:t>
      </w:r>
      <w:r w:rsidR="00E92F03">
        <w:rPr>
          <w:lang w:val="fr-FR"/>
        </w:rPr>
        <w:t>’</w:t>
      </w:r>
      <w:r>
        <w:rPr>
          <w:lang w:val="fr-FR"/>
        </w:rPr>
        <w:t>après des organisations de la société civile, les mineures comptaient pour 24 % des grossesses recensées en 2019.</w:t>
      </w:r>
    </w:p>
  </w:footnote>
  <w:footnote w:id="48">
    <w:p w14:paraId="30EC0483" w14:textId="5F2701D5" w:rsidR="00225673" w:rsidRPr="006A32B2"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A/HRC/WGAD/2019/16, A/HRC/WGAD/2019/19, A/HRC/WGAD/2019/43, A/HRC/WGAD/2020/17, A/HRC/WGAD/2020/21 et A/HRC/WGAD/2020/39.</w:t>
      </w:r>
    </w:p>
  </w:footnote>
  <w:footnote w:id="49">
    <w:p w14:paraId="6975D161" w14:textId="5BD8ABF9" w:rsidR="00225673" w:rsidRPr="006A32B2"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Après que le Ministère de l</w:t>
      </w:r>
      <w:r w:rsidR="00E92F03">
        <w:rPr>
          <w:lang w:val="fr-FR"/>
        </w:rPr>
        <w:t>’</w:t>
      </w:r>
      <w:r>
        <w:rPr>
          <w:lang w:val="fr-FR"/>
        </w:rPr>
        <w:t xml:space="preserve">intérieur eut, le 21 décembre 2020, permis à trois hommes et à une femme de ce groupe de bénéficier de mesures de substitution à la détention, 106 personnes (103 hommes et </w:t>
      </w:r>
      <w:r w:rsidR="003466DC">
        <w:rPr>
          <w:lang w:val="fr-FR"/>
        </w:rPr>
        <w:t>3 </w:t>
      </w:r>
      <w:r>
        <w:rPr>
          <w:lang w:val="fr-FR"/>
        </w:rPr>
        <w:t>femmes) étaient toujours privées de liberté.</w:t>
      </w:r>
    </w:p>
  </w:footnote>
  <w:footnote w:id="50">
    <w:p w14:paraId="67EE747E" w14:textId="6747437C" w:rsidR="00225673" w:rsidRPr="006A32B2"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Selon des sources officielles, le Gouvernement a fait libérer au moins 492 personnes (452 hommes et 40</w:t>
      </w:r>
      <w:r w:rsidR="003466DC">
        <w:rPr>
          <w:lang w:val="fr-FR"/>
        </w:rPr>
        <w:t> </w:t>
      </w:r>
      <w:r>
        <w:rPr>
          <w:lang w:val="fr-FR"/>
        </w:rPr>
        <w:t>femmes) entre le 27 février et le 11 juin 2019.</w:t>
      </w:r>
    </w:p>
  </w:footnote>
  <w:footnote w:id="51">
    <w:p w14:paraId="41F7E216" w14:textId="056B30A4" w:rsidR="00225673" w:rsidRPr="006A32B2"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 xml:space="preserve">Voir </w:t>
      </w:r>
      <w:hyperlink r:id="rId27" w:history="1">
        <w:r w:rsidR="003466DC" w:rsidRPr="004B6A15">
          <w:rPr>
            <w:rStyle w:val="Lienhypertexte"/>
          </w:rPr>
          <w:t>www.oas.org/es/cidh/prensa/comunicados/2020/266.asp</w:t>
        </w:r>
      </w:hyperlink>
      <w:r>
        <w:rPr>
          <w:lang w:val="fr-FR"/>
        </w:rPr>
        <w:t>.</w:t>
      </w:r>
    </w:p>
  </w:footnote>
  <w:footnote w:id="52">
    <w:p w14:paraId="5DA93770" w14:textId="7C35C909" w:rsidR="00225673" w:rsidRPr="006A32B2"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Communication adressée au HCDH par le Gouvernement nicaraguayen le 3 avril 2020.</w:t>
      </w:r>
    </w:p>
  </w:footnote>
  <w:footnote w:id="53">
    <w:p w14:paraId="3FC0AE89" w14:textId="192D44BD" w:rsidR="00225673" w:rsidRPr="006A32B2" w:rsidRDefault="00225673" w:rsidP="00225673">
      <w:pPr>
        <w:pStyle w:val="Notedebasdepage"/>
        <w:rPr>
          <w:lang w:val="fr-FR"/>
        </w:rPr>
      </w:pPr>
      <w:bookmarkStart w:id="8" w:name="_Hlk63773501"/>
      <w:r w:rsidRPr="004B6A15">
        <w:rPr>
          <w:lang w:val="fr-FR"/>
        </w:rPr>
        <w:tab/>
      </w:r>
      <w:r w:rsidRPr="004B6A15">
        <w:rPr>
          <w:rStyle w:val="Appelnotedebasdep"/>
          <w:lang w:val="fr-FR"/>
        </w:rPr>
        <w:footnoteRef/>
      </w:r>
      <w:r>
        <w:rPr>
          <w:lang w:val="fr-FR"/>
        </w:rPr>
        <w:tab/>
        <w:t>Communiqués de presse publiés par le Ministère de l</w:t>
      </w:r>
      <w:r w:rsidR="00E92F03">
        <w:rPr>
          <w:lang w:val="fr-FR"/>
        </w:rPr>
        <w:t>’</w:t>
      </w:r>
      <w:r>
        <w:rPr>
          <w:lang w:val="fr-FR"/>
        </w:rPr>
        <w:t>intérieur sur son site Web officiel</w:t>
      </w:r>
      <w:r w:rsidR="003466DC">
        <w:rPr>
          <w:lang w:val="fr-FR"/>
        </w:rPr>
        <w:t> </w:t>
      </w:r>
      <w:r>
        <w:rPr>
          <w:lang w:val="fr-FR"/>
        </w:rPr>
        <w:t xml:space="preserve">: </w:t>
      </w:r>
      <w:hyperlink r:id="rId28" w:history="1">
        <w:r w:rsidR="003466DC" w:rsidRPr="004B6A15">
          <w:rPr>
            <w:rStyle w:val="Lienhypertexte"/>
          </w:rPr>
          <w:t>www.migob.gob.ni/noticias</w:t>
        </w:r>
      </w:hyperlink>
      <w:r>
        <w:rPr>
          <w:lang w:val="fr-FR"/>
        </w:rPr>
        <w:t>.</w:t>
      </w:r>
      <w:bookmarkEnd w:id="8"/>
    </w:p>
  </w:footnote>
  <w:footnote w:id="54">
    <w:p w14:paraId="5DF4985B" w14:textId="0D720C69" w:rsidR="00225673" w:rsidRPr="006A32B2"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 xml:space="preserve">Loi </w:t>
      </w:r>
      <w:r w:rsidR="003466DC" w:rsidRPr="003466DC">
        <w:rPr>
          <w:rFonts w:eastAsia="MS Mincho"/>
          <w:lang w:val="fr-FR"/>
        </w:rPr>
        <w:t>n</w:t>
      </w:r>
      <w:r w:rsidR="003466DC" w:rsidRPr="003466DC">
        <w:rPr>
          <w:rFonts w:eastAsia="MS Mincho"/>
          <w:vertAlign w:val="superscript"/>
          <w:lang w:val="fr-FR"/>
        </w:rPr>
        <w:t>o</w:t>
      </w:r>
      <w:r w:rsidR="003466DC">
        <w:rPr>
          <w:lang w:val="fr-FR"/>
        </w:rPr>
        <w:t> </w:t>
      </w:r>
      <w:r>
        <w:rPr>
          <w:lang w:val="fr-FR"/>
        </w:rPr>
        <w:t xml:space="preserve">985 pour une culture de dialogue, de réconciliation, de sécurité, de travail et de paix, et loi </w:t>
      </w:r>
      <w:r w:rsidR="003466DC" w:rsidRPr="003466DC">
        <w:rPr>
          <w:rFonts w:eastAsia="MS Mincho"/>
          <w:lang w:val="fr-FR"/>
        </w:rPr>
        <w:t>n</w:t>
      </w:r>
      <w:r w:rsidR="003466DC" w:rsidRPr="003466DC">
        <w:rPr>
          <w:rFonts w:eastAsia="MS Mincho"/>
          <w:vertAlign w:val="superscript"/>
          <w:lang w:val="fr-FR"/>
        </w:rPr>
        <w:t>o</w:t>
      </w:r>
      <w:r w:rsidR="003466DC">
        <w:rPr>
          <w:lang w:val="fr-FR"/>
        </w:rPr>
        <w:t> </w:t>
      </w:r>
      <w:r>
        <w:rPr>
          <w:lang w:val="fr-FR"/>
        </w:rPr>
        <w:t xml:space="preserve">994 sur la prise en charge intégrale des victimes, adoptées le 24 janvier et le 29 mai 2019, respectivement, et loi </w:t>
      </w:r>
      <w:r w:rsidR="003466DC" w:rsidRPr="003466DC">
        <w:rPr>
          <w:rFonts w:eastAsia="MS Mincho"/>
          <w:lang w:val="fr-FR"/>
        </w:rPr>
        <w:t>n</w:t>
      </w:r>
      <w:r w:rsidR="003466DC" w:rsidRPr="003466DC">
        <w:rPr>
          <w:rFonts w:eastAsia="MS Mincho"/>
          <w:vertAlign w:val="superscript"/>
          <w:lang w:val="fr-FR"/>
        </w:rPr>
        <w:t>o</w:t>
      </w:r>
      <w:r w:rsidR="003466DC">
        <w:rPr>
          <w:lang w:val="fr-FR"/>
        </w:rPr>
        <w:t> </w:t>
      </w:r>
      <w:r>
        <w:rPr>
          <w:lang w:val="fr-FR"/>
        </w:rPr>
        <w:t>996 (loi d</w:t>
      </w:r>
      <w:r w:rsidR="00E92F03">
        <w:rPr>
          <w:lang w:val="fr-FR"/>
        </w:rPr>
        <w:t>’</w:t>
      </w:r>
      <w:r>
        <w:rPr>
          <w:lang w:val="fr-FR"/>
        </w:rPr>
        <w:t>amnistie), adoptée le 8 juin 2019. Voir A/HRC/42/18, par. 49 et 51.</w:t>
      </w:r>
    </w:p>
  </w:footnote>
  <w:footnote w:id="55">
    <w:p w14:paraId="0B85CC0E" w14:textId="6B52CE17" w:rsidR="00225673" w:rsidRPr="006A32B2"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A/HRC/42/18, par. 47.</w:t>
      </w:r>
    </w:p>
  </w:footnote>
  <w:footnote w:id="56">
    <w:p w14:paraId="26F1E544" w14:textId="3634937E" w:rsidR="00225673" w:rsidRPr="006A32B2"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 xml:space="preserve">HCDH, </w:t>
      </w:r>
      <w:r w:rsidRPr="003466DC">
        <w:rPr>
          <w:i/>
          <w:iCs/>
          <w:lang w:val="fr-FR"/>
        </w:rPr>
        <w:t>Les instruments de l</w:t>
      </w:r>
      <w:r w:rsidR="00E92F03" w:rsidRPr="003466DC">
        <w:rPr>
          <w:i/>
          <w:iCs/>
          <w:lang w:val="fr-FR"/>
        </w:rPr>
        <w:t>’</w:t>
      </w:r>
      <w:r w:rsidRPr="003466DC">
        <w:rPr>
          <w:i/>
          <w:iCs/>
          <w:lang w:val="fr-FR"/>
        </w:rPr>
        <w:t>état de droit dans les sociétés sortant d</w:t>
      </w:r>
      <w:r w:rsidR="00E92F03" w:rsidRPr="003466DC">
        <w:rPr>
          <w:i/>
          <w:iCs/>
          <w:lang w:val="fr-FR"/>
        </w:rPr>
        <w:t>’</w:t>
      </w:r>
      <w:r w:rsidRPr="003466DC">
        <w:rPr>
          <w:i/>
          <w:iCs/>
          <w:lang w:val="fr-FR"/>
        </w:rPr>
        <w:t>un conflit</w:t>
      </w:r>
      <w:r w:rsidR="003466DC" w:rsidRPr="003466DC">
        <w:rPr>
          <w:i/>
          <w:iCs/>
          <w:lang w:val="fr-FR"/>
        </w:rPr>
        <w:t> </w:t>
      </w:r>
      <w:r w:rsidRPr="003466DC">
        <w:rPr>
          <w:i/>
          <w:iCs/>
          <w:lang w:val="fr-FR"/>
        </w:rPr>
        <w:t>: Amnisties</w:t>
      </w:r>
      <w:r>
        <w:rPr>
          <w:lang w:val="fr-FR"/>
        </w:rPr>
        <w:t xml:space="preserve"> (New</w:t>
      </w:r>
      <w:r w:rsidR="003466DC">
        <w:rPr>
          <w:lang w:val="fr-FR"/>
        </w:rPr>
        <w:t> </w:t>
      </w:r>
      <w:r>
        <w:rPr>
          <w:lang w:val="fr-FR"/>
        </w:rPr>
        <w:t>York et Genève, Nations Unies, 2009), chap. II</w:t>
      </w:r>
      <w:r w:rsidR="003466DC">
        <w:rPr>
          <w:lang w:val="fr-FR"/>
        </w:rPr>
        <w:t>.A</w:t>
      </w:r>
      <w:r>
        <w:rPr>
          <w:lang w:val="fr-FR"/>
        </w:rPr>
        <w:t>.</w:t>
      </w:r>
    </w:p>
  </w:footnote>
  <w:footnote w:id="57">
    <w:p w14:paraId="28F533AD" w14:textId="0A6424CD" w:rsidR="00225673" w:rsidRPr="006A32B2"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Communication adressée au HCDH par le Gouvernement nicaraguayen le 28 janvier 2020.</w:t>
      </w:r>
    </w:p>
  </w:footnote>
  <w:footnote w:id="58">
    <w:p w14:paraId="61CC42BF" w14:textId="0C5CA615" w:rsidR="00225673" w:rsidRPr="006A32B2" w:rsidRDefault="00225673" w:rsidP="00225673">
      <w:pPr>
        <w:pStyle w:val="Notedebasdepage"/>
        <w:rPr>
          <w:lang w:val="fr-FR"/>
        </w:rPr>
      </w:pPr>
      <w:r w:rsidRPr="004B6A15">
        <w:rPr>
          <w:lang w:val="fr-FR"/>
        </w:rPr>
        <w:tab/>
      </w:r>
      <w:bookmarkStart w:id="9" w:name="_Hlk63773551"/>
      <w:r w:rsidRPr="004B6A15">
        <w:rPr>
          <w:rStyle w:val="Appelnotedebasdep"/>
          <w:lang w:val="fr-FR"/>
        </w:rPr>
        <w:footnoteRef/>
      </w:r>
      <w:r>
        <w:rPr>
          <w:lang w:val="fr-FR"/>
        </w:rPr>
        <w:tab/>
        <w:t xml:space="preserve">Voir </w:t>
      </w:r>
      <w:hyperlink r:id="rId29" w:history="1">
        <w:r w:rsidR="003466DC" w:rsidRPr="003466DC">
          <w:rPr>
            <w:rStyle w:val="Lienhypertexte"/>
          </w:rPr>
          <w:t>www.museodelamemorianicaragua.org/sobre-el-museo</w:t>
        </w:r>
      </w:hyperlink>
      <w:r>
        <w:rPr>
          <w:lang w:val="fr-FR"/>
        </w:rPr>
        <w:t>.</w:t>
      </w:r>
      <w:bookmarkEnd w:id="9"/>
    </w:p>
  </w:footnote>
  <w:footnote w:id="59">
    <w:p w14:paraId="74297D7D" w14:textId="5C445EBA" w:rsidR="00225673" w:rsidRPr="0078048D" w:rsidRDefault="00225673" w:rsidP="00225673">
      <w:pPr>
        <w:pStyle w:val="Notedebasdepage"/>
        <w:rPr>
          <w:lang w:val="fr-FR"/>
        </w:rPr>
      </w:pPr>
      <w:r w:rsidRPr="004B6A15">
        <w:rPr>
          <w:lang w:val="fr-FR"/>
        </w:rPr>
        <w:tab/>
      </w:r>
      <w:r w:rsidRPr="004B6A15">
        <w:rPr>
          <w:rStyle w:val="Appelnotedebasdep"/>
          <w:lang w:val="fr-FR"/>
        </w:rPr>
        <w:footnoteRef/>
      </w:r>
      <w:r w:rsidRPr="0078048D">
        <w:rPr>
          <w:lang w:val="fr-FR"/>
        </w:rPr>
        <w:tab/>
        <w:t>A/HRC/42/G/2, par. 54.</w:t>
      </w:r>
    </w:p>
  </w:footnote>
  <w:footnote w:id="60">
    <w:p w14:paraId="76C01806" w14:textId="59C7B833" w:rsidR="00225673" w:rsidRPr="00E92F03" w:rsidRDefault="00225673" w:rsidP="00225673">
      <w:pPr>
        <w:pStyle w:val="Notedebasdepage"/>
        <w:rPr>
          <w:lang w:val="es-ES"/>
        </w:rPr>
      </w:pPr>
      <w:r w:rsidRPr="0078048D">
        <w:rPr>
          <w:lang w:val="fr-FR"/>
        </w:rPr>
        <w:tab/>
      </w:r>
      <w:r w:rsidRPr="004B6A15">
        <w:rPr>
          <w:rStyle w:val="Appelnotedebasdep"/>
          <w:lang w:val="fr-FR"/>
        </w:rPr>
        <w:footnoteRef/>
      </w:r>
      <w:r w:rsidRPr="00E92F03">
        <w:rPr>
          <w:lang w:val="es-ES"/>
        </w:rPr>
        <w:tab/>
        <w:t xml:space="preserve">Center for Justice and International Law, </w:t>
      </w:r>
      <w:r w:rsidR="003466DC" w:rsidRPr="006952CC">
        <w:rPr>
          <w:i/>
          <w:iCs/>
          <w:lang w:val="es-ES_tradnl"/>
        </w:rPr>
        <w:t>Resistencia Mískitu: una lucha por el territorio y la vida</w:t>
      </w:r>
      <w:r w:rsidRPr="00E92F03">
        <w:rPr>
          <w:lang w:val="es-ES"/>
        </w:rPr>
        <w:t xml:space="preserve"> (San José, 2019), chap. 3.B. À consulter à l</w:t>
      </w:r>
      <w:r w:rsidR="00E92F03" w:rsidRPr="00E92F03">
        <w:rPr>
          <w:lang w:val="es-ES"/>
        </w:rPr>
        <w:t>’</w:t>
      </w:r>
      <w:r w:rsidRPr="00E92F03">
        <w:rPr>
          <w:lang w:val="es-ES"/>
        </w:rPr>
        <w:t>adresse</w:t>
      </w:r>
      <w:r w:rsidR="003466DC">
        <w:rPr>
          <w:lang w:val="es-ES"/>
        </w:rPr>
        <w:t> </w:t>
      </w:r>
      <w:r w:rsidRPr="00E92F03">
        <w:rPr>
          <w:lang w:val="es-ES"/>
        </w:rPr>
        <w:t xml:space="preserve">: </w:t>
      </w:r>
      <w:hyperlink r:id="rId30" w:history="1">
        <w:r w:rsidR="003466DC" w:rsidRPr="006952CC">
          <w:rPr>
            <w:rStyle w:val="Lienhypertexte"/>
            <w:szCs w:val="24"/>
            <w:lang w:val="es-ES_tradnl"/>
          </w:rPr>
          <w:t>https://cejil.org/es/informe-resistencia-miskitu-una-lucha-territorio-y-vida</w:t>
        </w:r>
      </w:hyperlink>
      <w:r w:rsidRPr="00E92F03">
        <w:rPr>
          <w:lang w:val="es-ES"/>
        </w:rPr>
        <w:t>.</w:t>
      </w:r>
    </w:p>
  </w:footnote>
  <w:footnote w:id="61">
    <w:p w14:paraId="42668282" w14:textId="45BA463C" w:rsidR="00225673" w:rsidRPr="006A32B2" w:rsidRDefault="00225673" w:rsidP="00225673">
      <w:pPr>
        <w:pStyle w:val="Notedebasdepage"/>
        <w:rPr>
          <w:lang w:val="fr-FR"/>
        </w:rPr>
      </w:pPr>
      <w:r w:rsidRPr="00E92F03">
        <w:rPr>
          <w:lang w:val="es-ES"/>
        </w:rPr>
        <w:tab/>
      </w:r>
      <w:r w:rsidRPr="004B6A15">
        <w:rPr>
          <w:rStyle w:val="Appelnotedebasdep"/>
          <w:lang w:val="fr-FR"/>
        </w:rPr>
        <w:footnoteRef/>
      </w:r>
      <w:r>
        <w:rPr>
          <w:lang w:val="fr-FR"/>
        </w:rPr>
        <w:tab/>
        <w:t>Communication adressée au HCDH par le Gouvernement nicaraguayen le 10 février 2020. Ces faits se sont produits dans les régions de Triángulo Minero, Prinzapolka et Mulukuku.</w:t>
      </w:r>
    </w:p>
  </w:footnote>
  <w:footnote w:id="62">
    <w:p w14:paraId="71A99774" w14:textId="18B5712B" w:rsidR="00225673" w:rsidRPr="006A32B2"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Ibid. Les autorités ont également signalé qu</w:t>
      </w:r>
      <w:r w:rsidR="00E92F03">
        <w:rPr>
          <w:lang w:val="fr-FR"/>
        </w:rPr>
        <w:t>’</w:t>
      </w:r>
      <w:r>
        <w:rPr>
          <w:lang w:val="fr-FR"/>
        </w:rPr>
        <w:t>en décembre 2019, environ 240 familles non autochtones avaient été expulsées du territoire Sauni As pour non-respect des procédures de location de terres communales.</w:t>
      </w:r>
    </w:p>
  </w:footnote>
  <w:footnote w:id="63">
    <w:p w14:paraId="1224425E" w14:textId="03C34A14" w:rsidR="00225673" w:rsidRPr="006A32B2"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Communication adressée au HCDH par le Gouvernement nicaraguayen le 7 mai 2020.</w:t>
      </w:r>
    </w:p>
  </w:footnote>
  <w:footnote w:id="64">
    <w:p w14:paraId="1412C221" w14:textId="3C3F8F48" w:rsidR="00225673" w:rsidRPr="006A32B2" w:rsidRDefault="00225673" w:rsidP="00225673">
      <w:pPr>
        <w:pStyle w:val="Notedebasdepage"/>
        <w:rPr>
          <w:lang w:val="fr-FR"/>
        </w:rPr>
      </w:pPr>
      <w:r w:rsidRPr="004B6A15">
        <w:rPr>
          <w:lang w:val="fr-FR"/>
        </w:rPr>
        <w:tab/>
      </w:r>
      <w:r w:rsidRPr="004B6A15">
        <w:rPr>
          <w:rStyle w:val="Appelnotedebasdep"/>
          <w:lang w:val="fr-FR"/>
        </w:rPr>
        <w:footnoteRef/>
      </w:r>
      <w:r>
        <w:rPr>
          <w:lang w:val="fr-FR"/>
        </w:rPr>
        <w:tab/>
        <w:t xml:space="preserve">Voir </w:t>
      </w:r>
      <w:hyperlink r:id="rId31" w:history="1">
        <w:r w:rsidR="009D47B8" w:rsidRPr="009D47B8">
          <w:rPr>
            <w:rStyle w:val="Lienhypertexte"/>
            <w:szCs w:val="24"/>
            <w:lang w:val="es-ES_tradnl"/>
          </w:rPr>
          <w:t>https://repositorio.cepal.org/bitstream/handle/11362/45784/4/S2000470_en.pdf</w:t>
        </w:r>
      </w:hyperlink>
      <w:r>
        <w:rPr>
          <w:lang w:val="fr-FR"/>
        </w:rPr>
        <w:t>, tableau 4.</w:t>
      </w:r>
    </w:p>
  </w:footnote>
  <w:footnote w:id="65">
    <w:p w14:paraId="2EAE2562" w14:textId="398476FB" w:rsidR="00225673" w:rsidRPr="006A32B2" w:rsidRDefault="00225673" w:rsidP="00225673">
      <w:pPr>
        <w:pStyle w:val="Notedebasdepage"/>
        <w:rPr>
          <w:lang w:val="fr-FR"/>
        </w:rPr>
      </w:pPr>
      <w:r w:rsidRPr="004B6A15">
        <w:rPr>
          <w:lang w:val="fr-FR"/>
        </w:rPr>
        <w:tab/>
      </w:r>
      <w:r w:rsidRPr="004B6A15">
        <w:rPr>
          <w:vertAlign w:val="superscript"/>
          <w:lang w:val="fr-FR"/>
        </w:rPr>
        <w:footnoteRef/>
      </w:r>
      <w:r>
        <w:rPr>
          <w:lang w:val="fr-FR"/>
        </w:rPr>
        <w:tab/>
        <w:t>A/HRC/42/18, par. 54.</w:t>
      </w:r>
    </w:p>
  </w:footnote>
  <w:footnote w:id="66">
    <w:p w14:paraId="69DCFFAF" w14:textId="29D54B35" w:rsidR="00225673" w:rsidRPr="006A32B2" w:rsidRDefault="00225673" w:rsidP="00225673">
      <w:pPr>
        <w:pStyle w:val="Notedebasdepage"/>
        <w:rPr>
          <w:lang w:val="fr-FR"/>
        </w:rPr>
      </w:pPr>
      <w:r w:rsidRPr="004B6A15">
        <w:rPr>
          <w:lang w:val="fr-FR"/>
        </w:rPr>
        <w:t xml:space="preserve"> </w:t>
      </w:r>
      <w:r w:rsidRPr="004B6A15">
        <w:rPr>
          <w:lang w:val="fr-FR"/>
        </w:rPr>
        <w:tab/>
      </w:r>
      <w:r w:rsidRPr="004B6A15">
        <w:rPr>
          <w:vertAlign w:val="superscript"/>
          <w:lang w:val="fr-FR"/>
        </w:rPr>
        <w:footnoteRef/>
      </w:r>
      <w:r>
        <w:rPr>
          <w:lang w:val="fr-FR"/>
        </w:rPr>
        <w:tab/>
        <w:t>Déclaration prononcée le 17 décembre 2020 par le Président de la Banque centrale du Nicaragua.</w:t>
      </w:r>
    </w:p>
  </w:footnote>
  <w:footnote w:id="67">
    <w:p w14:paraId="5E49C9AB" w14:textId="5496C910" w:rsidR="00225673" w:rsidRPr="006A32B2" w:rsidRDefault="00225673" w:rsidP="00225673">
      <w:pPr>
        <w:pStyle w:val="Notedebasdepage"/>
        <w:rPr>
          <w:lang w:val="fr-FR"/>
        </w:rPr>
      </w:pPr>
      <w:r w:rsidRPr="004B6A15">
        <w:rPr>
          <w:lang w:val="fr-FR"/>
        </w:rPr>
        <w:tab/>
      </w:r>
      <w:r w:rsidRPr="004B6A15">
        <w:rPr>
          <w:vertAlign w:val="superscript"/>
          <w:lang w:val="fr-FR"/>
        </w:rPr>
        <w:footnoteRef/>
      </w:r>
      <w:r>
        <w:rPr>
          <w:lang w:val="fr-FR"/>
        </w:rPr>
        <w:tab/>
      </w:r>
      <w:hyperlink r:id="rId32" w:history="1">
        <w:r w:rsidR="009D47B8" w:rsidRPr="009D47B8">
          <w:rPr>
            <w:rStyle w:val="Lienhypertexte"/>
            <w:szCs w:val="24"/>
            <w:lang w:val="es-ES_tradnl"/>
          </w:rPr>
          <w:t>https://repositorio.cepal.org/bitstream/handle/11362/45784/4/S2000470_en.pdf</w:t>
        </w:r>
      </w:hyperlink>
      <w:r>
        <w:rPr>
          <w:lang w:val="fr-FR"/>
        </w:rPr>
        <w:t>, tableau 4.</w:t>
      </w:r>
    </w:p>
  </w:footnote>
  <w:footnote w:id="68">
    <w:p w14:paraId="4FCA90F1" w14:textId="5B5C4CD0" w:rsidR="00225673" w:rsidRPr="006A32B2" w:rsidRDefault="00225673" w:rsidP="00225673">
      <w:pPr>
        <w:pStyle w:val="Notedebasdepage"/>
        <w:rPr>
          <w:lang w:val="fr-FR"/>
        </w:rPr>
      </w:pPr>
      <w:r w:rsidRPr="004B6A15">
        <w:rPr>
          <w:lang w:val="fr-FR"/>
        </w:rPr>
        <w:tab/>
      </w:r>
      <w:r w:rsidRPr="004B6A15">
        <w:rPr>
          <w:vertAlign w:val="superscript"/>
          <w:lang w:val="fr-FR"/>
        </w:rPr>
        <w:footnoteRef/>
      </w:r>
      <w:r>
        <w:rPr>
          <w:lang w:val="fr-FR"/>
        </w:rPr>
        <w:tab/>
        <w:t xml:space="preserve">Voir </w:t>
      </w:r>
      <w:hyperlink r:id="rId33" w:history="1">
        <w:r w:rsidR="009D47B8" w:rsidRPr="004B6A15">
          <w:rPr>
            <w:rStyle w:val="Lienhypertexte"/>
          </w:rPr>
          <w:t>www.worldbank.org/en/country/nicaragua/overview</w:t>
        </w:r>
      </w:hyperlink>
      <w:r>
        <w:rPr>
          <w:lang w:val="fr-FR"/>
        </w:rPr>
        <w:t xml:space="preserve"> et </w:t>
      </w:r>
      <w:hyperlink r:id="rId34" w:history="1">
        <w:r w:rsidR="009D47B8" w:rsidRPr="004B6A15">
          <w:rPr>
            <w:rStyle w:val="Lienhypertexte"/>
          </w:rPr>
          <w:t>www.imf.org/en/News/Articles/2019/11/20/mcs112019-nicaragua-staff-concluding-statement-of-the-2019-article-iv-mission</w:t>
        </w:r>
      </w:hyperlink>
      <w:r>
        <w:rPr>
          <w:lang w:val="fr-FR"/>
        </w:rPr>
        <w:t>.</w:t>
      </w:r>
    </w:p>
  </w:footnote>
  <w:footnote w:id="69">
    <w:p w14:paraId="29275601" w14:textId="67A3FAFF" w:rsidR="00225673" w:rsidRPr="006A32B2" w:rsidRDefault="00225673" w:rsidP="00225673">
      <w:pPr>
        <w:pStyle w:val="Notedebasdepage"/>
        <w:rPr>
          <w:lang w:val="fr-FR"/>
        </w:rPr>
      </w:pPr>
      <w:r w:rsidRPr="004B6A15">
        <w:rPr>
          <w:lang w:val="fr-FR"/>
        </w:rPr>
        <w:tab/>
      </w:r>
      <w:r w:rsidRPr="004B6A15">
        <w:rPr>
          <w:vertAlign w:val="superscript"/>
          <w:lang w:val="fr-FR"/>
        </w:rPr>
        <w:footnoteRef/>
      </w:r>
      <w:r>
        <w:rPr>
          <w:lang w:val="fr-FR"/>
        </w:rPr>
        <w:tab/>
        <w:t xml:space="preserve">Voir </w:t>
      </w:r>
      <w:hyperlink r:id="rId35" w:history="1">
        <w:r w:rsidR="009D47B8" w:rsidRPr="004B6A15">
          <w:rPr>
            <w:rStyle w:val="Lienhypertexte"/>
          </w:rPr>
          <w:t>www.inide.gob.ni/docs/Ech/2doTrim2020/Publicación%20ECH%20II%20Trimestre%202020.pdf</w:t>
        </w:r>
      </w:hyperlink>
      <w:r>
        <w:rPr>
          <w:lang w:val="fr-FR"/>
        </w:rPr>
        <w:t>.</w:t>
      </w:r>
    </w:p>
  </w:footnote>
  <w:footnote w:id="70">
    <w:p w14:paraId="651B1FC8" w14:textId="7BEE882B" w:rsidR="00225673" w:rsidRPr="006A32B2" w:rsidRDefault="00225673" w:rsidP="00225673">
      <w:pPr>
        <w:pStyle w:val="Notedebasdepage"/>
        <w:rPr>
          <w:lang w:val="fr-FR"/>
        </w:rPr>
      </w:pPr>
      <w:r w:rsidRPr="004B6A15">
        <w:rPr>
          <w:lang w:val="fr-FR"/>
        </w:rPr>
        <w:tab/>
      </w:r>
      <w:r w:rsidRPr="004B6A15">
        <w:rPr>
          <w:vertAlign w:val="superscript"/>
          <w:lang w:val="fr-FR"/>
        </w:rPr>
        <w:footnoteRef/>
      </w:r>
      <w:r>
        <w:rPr>
          <w:lang w:val="fr-FR"/>
        </w:rPr>
        <w:tab/>
        <w:t xml:space="preserve">Voir </w:t>
      </w:r>
      <w:hyperlink r:id="rId36" w:history="1">
        <w:r w:rsidR="009D47B8" w:rsidRPr="004B6A15">
          <w:rPr>
            <w:rStyle w:val="Lienhypertexte"/>
          </w:rPr>
          <w:t>www.bcn.gob.ni/estadisticas/sector_real/mercado_laboral/3-1.htm</w:t>
        </w:r>
      </w:hyperlink>
      <w:r>
        <w:rPr>
          <w:lang w:val="fr-FR"/>
        </w:rPr>
        <w:t>.</w:t>
      </w:r>
    </w:p>
  </w:footnote>
  <w:footnote w:id="71">
    <w:p w14:paraId="5C9F1711" w14:textId="1D52BA1D" w:rsidR="00225673" w:rsidRPr="006A32B2" w:rsidRDefault="00225673" w:rsidP="00225673">
      <w:pPr>
        <w:pStyle w:val="Notedebasdepage"/>
        <w:rPr>
          <w:lang w:val="fr-FR"/>
        </w:rPr>
      </w:pPr>
      <w:r w:rsidRPr="004B6A15">
        <w:rPr>
          <w:lang w:val="fr-FR"/>
        </w:rPr>
        <w:tab/>
      </w:r>
      <w:r w:rsidRPr="004B6A15">
        <w:rPr>
          <w:vertAlign w:val="superscript"/>
          <w:lang w:val="fr-FR"/>
        </w:rPr>
        <w:footnoteRef/>
      </w:r>
      <w:r>
        <w:rPr>
          <w:lang w:val="fr-FR"/>
        </w:rPr>
        <w:tab/>
        <w:t xml:space="preserve">Voir </w:t>
      </w:r>
      <w:hyperlink r:id="rId37" w:history="1">
        <w:r w:rsidR="009D47B8" w:rsidRPr="004B6A15">
          <w:rPr>
            <w:rStyle w:val="Lienhypertexte"/>
          </w:rPr>
          <w:t>www.imf.org/en/News/Articles/2019/11/20/mcs112019-nicaragua-staff-concluding-statement-of-the-2019-article-iv-mission</w:t>
        </w:r>
      </w:hyperlink>
      <w:r>
        <w:rPr>
          <w:lang w:val="fr-FR"/>
        </w:rPr>
        <w:t>.</w:t>
      </w:r>
    </w:p>
  </w:footnote>
  <w:footnote w:id="72">
    <w:p w14:paraId="5E44D817" w14:textId="2736193D" w:rsidR="00225673" w:rsidRPr="006A32B2" w:rsidRDefault="00225673" w:rsidP="00225673">
      <w:pPr>
        <w:pStyle w:val="Notedebasdepage"/>
        <w:rPr>
          <w:lang w:val="fr-FR"/>
        </w:rPr>
      </w:pPr>
      <w:r w:rsidRPr="004B6A15">
        <w:rPr>
          <w:lang w:val="fr-FR"/>
        </w:rPr>
        <w:tab/>
      </w:r>
      <w:r w:rsidRPr="004B6A15">
        <w:rPr>
          <w:vertAlign w:val="superscript"/>
          <w:lang w:val="fr-FR"/>
        </w:rPr>
        <w:footnoteRef/>
      </w:r>
      <w:r>
        <w:rPr>
          <w:lang w:val="fr-FR"/>
        </w:rPr>
        <w:tab/>
        <w:t xml:space="preserve">Voir </w:t>
      </w:r>
      <w:hyperlink r:id="rId38" w:history="1">
        <w:r w:rsidR="009D47B8" w:rsidRPr="004B6A15">
          <w:rPr>
            <w:rStyle w:val="Lienhypertexte"/>
          </w:rPr>
          <w:t>www.el19digital.com/app/webroot/tinymce/source/2018/00-Enero/Del22al28Enero/</w:t>
        </w:r>
        <w:r w:rsidR="009D47B8">
          <w:rPr>
            <w:rStyle w:val="Lienhypertexte"/>
          </w:rPr>
          <w:br/>
        </w:r>
        <w:r w:rsidR="009D47B8" w:rsidRPr="004B6A15">
          <w:rPr>
            <w:rStyle w:val="Lienhypertexte"/>
          </w:rPr>
          <w:t>Viernes26Enero/EJES%20DEL%20PROGRAMA%20NACIONAL%20DE%20DESARROLLO%20HUMANO.pdf</w:t>
        </w:r>
      </w:hyperlink>
      <w:r>
        <w:rPr>
          <w:lang w:val="fr-FR"/>
        </w:rPr>
        <w:t>.</w:t>
      </w:r>
    </w:p>
  </w:footnote>
  <w:footnote w:id="73">
    <w:p w14:paraId="1222E04C" w14:textId="6172F88C" w:rsidR="00225673" w:rsidRPr="006A32B2" w:rsidRDefault="00225673" w:rsidP="00225673">
      <w:pPr>
        <w:pStyle w:val="Notedebasdepage"/>
        <w:rPr>
          <w:lang w:val="fr-FR"/>
        </w:rPr>
      </w:pPr>
      <w:r w:rsidRPr="004B6A15">
        <w:rPr>
          <w:lang w:val="fr-FR"/>
        </w:rPr>
        <w:tab/>
      </w:r>
      <w:r w:rsidRPr="004B6A15">
        <w:rPr>
          <w:vertAlign w:val="superscript"/>
          <w:lang w:val="fr-FR"/>
        </w:rPr>
        <w:footnoteRef/>
      </w:r>
      <w:r>
        <w:rPr>
          <w:lang w:val="fr-FR"/>
        </w:rPr>
        <w:tab/>
        <w:t>Communication adressée au HCDH</w:t>
      </w:r>
      <w:r w:rsidRPr="00EF5F4E">
        <w:rPr>
          <w:lang w:val="fr-FR"/>
        </w:rPr>
        <w:t xml:space="preserve"> </w:t>
      </w:r>
      <w:r>
        <w:rPr>
          <w:lang w:val="fr-FR"/>
        </w:rPr>
        <w:t>par le Gouvernement nicaraguayen le 28 janvier 2020.</w:t>
      </w:r>
    </w:p>
  </w:footnote>
  <w:footnote w:id="74">
    <w:p w14:paraId="5F037356" w14:textId="228DEA70" w:rsidR="00225673" w:rsidRPr="006A32B2" w:rsidRDefault="00225673" w:rsidP="00225673">
      <w:pPr>
        <w:pStyle w:val="Notedebasdepage"/>
        <w:rPr>
          <w:lang w:val="fr-FR"/>
        </w:rPr>
      </w:pPr>
      <w:r w:rsidRPr="004B6A15">
        <w:rPr>
          <w:lang w:val="fr-FR"/>
        </w:rPr>
        <w:tab/>
      </w:r>
      <w:r w:rsidRPr="004B6A15">
        <w:rPr>
          <w:vertAlign w:val="superscript"/>
          <w:lang w:val="fr-FR"/>
        </w:rPr>
        <w:footnoteRef/>
      </w:r>
      <w:r>
        <w:rPr>
          <w:lang w:val="fr-FR"/>
        </w:rPr>
        <w:tab/>
        <w:t xml:space="preserve">Voir </w:t>
      </w:r>
      <w:hyperlink r:id="rId39" w:history="1">
        <w:r w:rsidR="009D47B8" w:rsidRPr="004B6A15">
          <w:rPr>
            <w:rStyle w:val="Lienhypertexte"/>
          </w:rPr>
          <w:t>www.hacienda.gob.ni/hacienda/ppresupuesto2021/pgr/1.ExposicionMotivos.pdf</w:t>
        </w:r>
      </w:hyperlink>
      <w:r>
        <w:rPr>
          <w:lang w:val="fr-FR"/>
        </w:rPr>
        <w:t xml:space="preserve"> et </w:t>
      </w:r>
      <w:hyperlink r:id="rId40" w:history="1">
        <w:r w:rsidR="009D47B8" w:rsidRPr="004B6A15">
          <w:rPr>
            <w:rStyle w:val="Lienhypertexte"/>
          </w:rPr>
          <w:t>www.hacienda.gob.ni/hacienda/ppresupuesto2020/pgr/1.ExposicionMotivos.pdf</w:t>
        </w:r>
      </w:hyperlink>
      <w:r>
        <w:rPr>
          <w:lang w:val="fr-FR"/>
        </w:rPr>
        <w:t>.</w:t>
      </w:r>
    </w:p>
  </w:footnote>
  <w:footnote w:id="75">
    <w:p w14:paraId="226C9F22" w14:textId="10981DEE" w:rsidR="00225673" w:rsidRPr="006A32B2" w:rsidRDefault="00225673" w:rsidP="00225673">
      <w:pPr>
        <w:pStyle w:val="Notedebasdepage"/>
        <w:rPr>
          <w:lang w:val="fr-FR"/>
        </w:rPr>
      </w:pPr>
      <w:r w:rsidRPr="004B6A15">
        <w:rPr>
          <w:lang w:val="fr-FR"/>
        </w:rPr>
        <w:tab/>
      </w:r>
      <w:r w:rsidRPr="004B6A15">
        <w:rPr>
          <w:vertAlign w:val="superscript"/>
          <w:lang w:val="fr-FR"/>
        </w:rPr>
        <w:footnoteRef/>
      </w:r>
      <w:r>
        <w:rPr>
          <w:lang w:val="fr-FR"/>
        </w:rPr>
        <w:tab/>
        <w:t>Projet n</w:t>
      </w:r>
      <w:r w:rsidRPr="003766A8">
        <w:rPr>
          <w:vertAlign w:val="superscript"/>
          <w:lang w:val="fr-FR"/>
        </w:rPr>
        <w:t>o</w:t>
      </w:r>
      <w:r>
        <w:rPr>
          <w:lang w:val="fr-FR"/>
        </w:rPr>
        <w:t xml:space="preserve"> NI-L1161 de la Banque interaméricaine de développement, voir </w:t>
      </w:r>
      <w:hyperlink r:id="rId41" w:history="1">
        <w:r w:rsidR="009D47B8" w:rsidRPr="000051BE">
          <w:rPr>
            <w:rStyle w:val="Lienhypertexte"/>
          </w:rPr>
          <w:t>www.iadb.org/en/project/NI-L1161</w:t>
        </w:r>
      </w:hyperlink>
      <w:r>
        <w:rPr>
          <w:lang w:val="fr-FR"/>
        </w:rPr>
        <w:t>.</w:t>
      </w:r>
    </w:p>
  </w:footnote>
  <w:footnote w:id="76">
    <w:p w14:paraId="3C219C9D" w14:textId="127DD7D9" w:rsidR="00225673" w:rsidRPr="006A32B2" w:rsidRDefault="00225673" w:rsidP="00225673">
      <w:pPr>
        <w:pStyle w:val="Notedebasdepage"/>
        <w:rPr>
          <w:lang w:val="fr-FR"/>
        </w:rPr>
      </w:pPr>
      <w:r w:rsidRPr="000051BE">
        <w:rPr>
          <w:lang w:val="fr-FR"/>
        </w:rPr>
        <w:tab/>
      </w:r>
      <w:r w:rsidRPr="004B6A15">
        <w:rPr>
          <w:vertAlign w:val="superscript"/>
          <w:lang w:val="fr-FR"/>
        </w:rPr>
        <w:footnoteRef/>
      </w:r>
      <w:r>
        <w:rPr>
          <w:lang w:val="fr-FR"/>
        </w:rPr>
        <w:tab/>
        <w:t xml:space="preserve">Voir </w:t>
      </w:r>
      <w:hyperlink r:id="rId42" w:history="1">
        <w:r w:rsidR="009D47B8" w:rsidRPr="004B6A15">
          <w:rPr>
            <w:rStyle w:val="Lienhypertexte"/>
          </w:rPr>
          <w:t>www.imf.org/en/News/Articles/2020/11/20/pr20349-nicaragua-imf-executive-board-approves-us-185-3m-emergency-support-to-address-covid19</w:t>
        </w:r>
      </w:hyperlink>
      <w:r>
        <w:rPr>
          <w:lang w:val="fr-FR"/>
        </w:rPr>
        <w:t>.</w:t>
      </w:r>
    </w:p>
  </w:footnote>
  <w:footnote w:id="77">
    <w:p w14:paraId="708214E4" w14:textId="03E64D40" w:rsidR="00225673" w:rsidRPr="006A32B2" w:rsidRDefault="00225673" w:rsidP="00225673">
      <w:pPr>
        <w:pStyle w:val="Notedebasdepage"/>
        <w:rPr>
          <w:lang w:val="fr-FR"/>
        </w:rPr>
      </w:pPr>
      <w:r w:rsidRPr="004B6A15">
        <w:rPr>
          <w:lang w:val="fr-FR"/>
        </w:rPr>
        <w:tab/>
      </w:r>
      <w:r w:rsidRPr="004B6A15">
        <w:rPr>
          <w:vertAlign w:val="superscript"/>
          <w:lang w:val="fr-FR"/>
        </w:rPr>
        <w:footnoteRef/>
      </w:r>
      <w:r>
        <w:rPr>
          <w:lang w:val="fr-FR"/>
        </w:rPr>
        <w:tab/>
        <w:t xml:space="preserve">Voir </w:t>
      </w:r>
      <w:hyperlink r:id="rId43" w:history="1">
        <w:r w:rsidR="009D47B8" w:rsidRPr="004B6A15">
          <w:rPr>
            <w:rStyle w:val="Lienhypertexte"/>
          </w:rPr>
          <w:t>www.imf.org/en/Publications/CR/Issues/2020/11/20/Nicaragua-Requests-for-Purchase-under-the-Rapid-Financing-Instrument-and-Disbursement-under-49908</w:t>
        </w:r>
      </w:hyperlink>
      <w:r>
        <w:rPr>
          <w:lang w:val="fr-FR"/>
        </w:rPr>
        <w:t>.</w:t>
      </w:r>
    </w:p>
  </w:footnote>
  <w:footnote w:id="78">
    <w:p w14:paraId="49685135" w14:textId="352E37BD" w:rsidR="00225673" w:rsidRPr="006A32B2" w:rsidRDefault="00225673" w:rsidP="00225673">
      <w:pPr>
        <w:pStyle w:val="Notedebasdepage"/>
        <w:rPr>
          <w:lang w:val="fr-FR"/>
        </w:rPr>
      </w:pPr>
      <w:r w:rsidRPr="004B6A15">
        <w:rPr>
          <w:lang w:val="fr-FR"/>
        </w:rPr>
        <w:tab/>
      </w:r>
      <w:r w:rsidRPr="004B6A15">
        <w:rPr>
          <w:vertAlign w:val="superscript"/>
          <w:lang w:val="fr-FR"/>
        </w:rPr>
        <w:footnoteRef/>
      </w:r>
      <w:r>
        <w:rPr>
          <w:lang w:val="fr-FR"/>
        </w:rPr>
        <w:tab/>
        <w:t>Communication adressée au HCDH</w:t>
      </w:r>
      <w:r w:rsidDel="00787ABB">
        <w:rPr>
          <w:lang w:val="fr-FR"/>
        </w:rPr>
        <w:t xml:space="preserve"> </w:t>
      </w:r>
      <w:r>
        <w:rPr>
          <w:lang w:val="fr-FR"/>
        </w:rPr>
        <w:t>par le Gouvernement nicaraguayen le 3 avril 2020.</w:t>
      </w:r>
    </w:p>
  </w:footnote>
  <w:footnote w:id="79">
    <w:p w14:paraId="42004B20" w14:textId="491D1CEF" w:rsidR="00225673" w:rsidRPr="006A32B2" w:rsidRDefault="00225673" w:rsidP="00225673">
      <w:pPr>
        <w:pStyle w:val="Notedebasdepage"/>
        <w:rPr>
          <w:lang w:val="fr-FR"/>
        </w:rPr>
      </w:pPr>
      <w:r w:rsidRPr="004B6A15">
        <w:rPr>
          <w:lang w:val="fr-FR"/>
        </w:rPr>
        <w:tab/>
      </w:r>
      <w:r w:rsidRPr="004B6A15">
        <w:rPr>
          <w:vertAlign w:val="superscript"/>
          <w:lang w:val="fr-FR"/>
        </w:rPr>
        <w:footnoteRef/>
      </w:r>
      <w:r>
        <w:rPr>
          <w:lang w:val="fr-FR"/>
        </w:rPr>
        <w:tab/>
        <w:t>Déclaration prononcée le 12 mai 2020 par le docteur Ciro Ugarte, Directeur des urgences sanitaires de l</w:t>
      </w:r>
      <w:r w:rsidR="00E92F03">
        <w:rPr>
          <w:lang w:val="fr-FR"/>
        </w:rPr>
        <w:t>’</w:t>
      </w:r>
      <w:r>
        <w:rPr>
          <w:lang w:val="fr-FR"/>
        </w:rPr>
        <w:t>OPS, à l</w:t>
      </w:r>
      <w:r w:rsidR="00E92F03">
        <w:rPr>
          <w:lang w:val="fr-FR"/>
        </w:rPr>
        <w:t>’</w:t>
      </w:r>
      <w:r>
        <w:rPr>
          <w:lang w:val="fr-FR"/>
        </w:rPr>
        <w:t>occasion d</w:t>
      </w:r>
      <w:r w:rsidR="00E92F03">
        <w:rPr>
          <w:lang w:val="fr-FR"/>
        </w:rPr>
        <w:t>’</w:t>
      </w:r>
      <w:r>
        <w:rPr>
          <w:lang w:val="fr-FR"/>
        </w:rPr>
        <w:t>un point de presse en ligne sur la COVID-19.</w:t>
      </w:r>
    </w:p>
  </w:footnote>
  <w:footnote w:id="80">
    <w:p w14:paraId="204EE18B" w14:textId="7CEBDD67" w:rsidR="00225673" w:rsidRPr="006A32B2" w:rsidRDefault="00225673" w:rsidP="00225673">
      <w:pPr>
        <w:pStyle w:val="Notedebasdepage"/>
        <w:rPr>
          <w:lang w:val="fr-FR"/>
        </w:rPr>
      </w:pPr>
      <w:r w:rsidRPr="004B6A15">
        <w:rPr>
          <w:lang w:val="fr-FR"/>
        </w:rPr>
        <w:tab/>
      </w:r>
      <w:r w:rsidRPr="004B6A15">
        <w:rPr>
          <w:vertAlign w:val="superscript"/>
          <w:lang w:val="fr-FR"/>
        </w:rPr>
        <w:footnoteRef/>
      </w:r>
      <w:r>
        <w:rPr>
          <w:lang w:val="fr-FR"/>
        </w:rPr>
        <w:tab/>
        <w:t>Les 30 avril, 18 mai et 2 juillet 2020.</w:t>
      </w:r>
    </w:p>
  </w:footnote>
  <w:footnote w:id="81">
    <w:p w14:paraId="0D2F5FF3" w14:textId="12298F3F" w:rsidR="00225673" w:rsidRPr="006A32B2" w:rsidRDefault="00225673" w:rsidP="00225673">
      <w:pPr>
        <w:pStyle w:val="Notedebasdepage"/>
        <w:rPr>
          <w:lang w:val="fr-FR"/>
        </w:rPr>
      </w:pPr>
      <w:r w:rsidRPr="004B6A15">
        <w:rPr>
          <w:lang w:val="fr-FR"/>
        </w:rPr>
        <w:tab/>
      </w:r>
      <w:r w:rsidRPr="004B6A15">
        <w:rPr>
          <w:vertAlign w:val="superscript"/>
          <w:lang w:val="fr-FR"/>
        </w:rPr>
        <w:footnoteRef/>
      </w:r>
      <w:r>
        <w:rPr>
          <w:lang w:val="fr-FR"/>
        </w:rPr>
        <w:tab/>
        <w:t xml:space="preserve">Voir </w:t>
      </w:r>
      <w:hyperlink r:id="rId44" w:history="1">
        <w:r w:rsidR="009D47B8" w:rsidRPr="009D47B8">
          <w:rPr>
            <w:rStyle w:val="Lienhypertexte"/>
            <w:lang w:val="fr-FR"/>
          </w:rPr>
          <w:t>www.abc.es/internacional/abci-ministros-salud-denuncian-manipulacion-cifra-muertos-covid--19-nicaragua-202005111758_noticia.html</w:t>
        </w:r>
      </w:hyperlink>
      <w:r>
        <w:rPr>
          <w:lang w:val="fr-FR"/>
        </w:rPr>
        <w:t xml:space="preserve"> et </w:t>
      </w:r>
      <w:hyperlink r:id="rId45" w:history="1">
        <w:r w:rsidR="009D47B8" w:rsidRPr="004B6A15">
          <w:rPr>
            <w:rStyle w:val="Lienhypertexte"/>
          </w:rPr>
          <w:t>https://confidencial.com.ni/asociaciones-medicas-de-nicaragua-urgen-cuarentena-voluntaria-ante-contagio-masivo-de-covid-19</w:t>
        </w:r>
      </w:hyperlink>
      <w:r>
        <w:rPr>
          <w:lang w:val="fr-FR"/>
        </w:rPr>
        <w:t>.</w:t>
      </w:r>
    </w:p>
  </w:footnote>
  <w:footnote w:id="82">
    <w:p w14:paraId="6D80A792" w14:textId="5B18E4AB" w:rsidR="00225673" w:rsidRPr="006A32B2" w:rsidRDefault="00225673" w:rsidP="00225673">
      <w:pPr>
        <w:pStyle w:val="Notedebasdepage"/>
        <w:rPr>
          <w:lang w:val="fr-FR"/>
        </w:rPr>
      </w:pPr>
      <w:r w:rsidRPr="004B6A15">
        <w:rPr>
          <w:lang w:val="fr-FR"/>
        </w:rPr>
        <w:tab/>
      </w:r>
      <w:r w:rsidRPr="004B6A15">
        <w:rPr>
          <w:vertAlign w:val="superscript"/>
          <w:lang w:val="fr-FR"/>
        </w:rPr>
        <w:footnoteRef/>
      </w:r>
      <w:r>
        <w:rPr>
          <w:lang w:val="fr-FR"/>
        </w:rPr>
        <w:tab/>
        <w:t xml:space="preserve">Voir </w:t>
      </w:r>
      <w:hyperlink r:id="rId46" w:history="1">
        <w:r w:rsidR="009D47B8" w:rsidRPr="009D47B8">
          <w:rPr>
            <w:rStyle w:val="Lienhypertexte"/>
            <w:lang w:val="fr-FR"/>
          </w:rPr>
          <w:t>https://news.un.org/es/story/2020/05/1474642</w:t>
        </w:r>
      </w:hyperlink>
      <w:r>
        <w:rPr>
          <w:lang w:val="fr-FR"/>
        </w:rPr>
        <w:t>.</w:t>
      </w:r>
    </w:p>
  </w:footnote>
  <w:footnote w:id="83">
    <w:p w14:paraId="7BA97203" w14:textId="256C55A3" w:rsidR="00225673" w:rsidRPr="006A32B2" w:rsidRDefault="00225673" w:rsidP="00225673">
      <w:pPr>
        <w:pStyle w:val="Notedebasdepage"/>
        <w:rPr>
          <w:lang w:val="fr-FR"/>
        </w:rPr>
      </w:pPr>
      <w:r w:rsidRPr="004B6A15">
        <w:rPr>
          <w:lang w:val="fr-FR"/>
        </w:rPr>
        <w:tab/>
      </w:r>
      <w:r w:rsidRPr="004B6A15">
        <w:rPr>
          <w:vertAlign w:val="superscript"/>
          <w:lang w:val="fr-FR"/>
        </w:rPr>
        <w:footnoteRef/>
      </w:r>
      <w:r>
        <w:rPr>
          <w:lang w:val="fr-FR"/>
        </w:rPr>
        <w:tab/>
        <w:t xml:space="preserve">Voir </w:t>
      </w:r>
      <w:hyperlink r:id="rId47" w:history="1">
        <w:r w:rsidR="009D47B8" w:rsidRPr="009D47B8">
          <w:rPr>
            <w:rStyle w:val="Lienhypertexte"/>
            <w:lang w:val="fr-FR"/>
          </w:rPr>
          <w:t>https://observatorioni.org/wp-content/uploads/2020/12/Nota-37-Observatorio-4.diciembre.pdf</w:t>
        </w:r>
      </w:hyperlink>
      <w:r>
        <w:rPr>
          <w:lang w:val="fr-FR"/>
        </w:rPr>
        <w:t>.</w:t>
      </w:r>
    </w:p>
  </w:footnote>
  <w:footnote w:id="84">
    <w:p w14:paraId="2E87E589" w14:textId="779E1A3D" w:rsidR="00225673" w:rsidRPr="006A32B2" w:rsidRDefault="00225673" w:rsidP="00225673">
      <w:pPr>
        <w:pStyle w:val="Notedebasdepage"/>
        <w:rPr>
          <w:lang w:val="fr-FR"/>
        </w:rPr>
      </w:pPr>
      <w:r w:rsidRPr="004B6A15">
        <w:rPr>
          <w:lang w:val="fr-FR"/>
        </w:rPr>
        <w:tab/>
      </w:r>
      <w:r w:rsidRPr="004B6A15">
        <w:rPr>
          <w:vertAlign w:val="superscript"/>
          <w:lang w:val="fr-FR"/>
        </w:rPr>
        <w:footnoteRef/>
      </w:r>
      <w:r>
        <w:rPr>
          <w:lang w:val="fr-FR"/>
        </w:rPr>
        <w:tab/>
        <w:t>Communication adressée au HCDH</w:t>
      </w:r>
      <w:r w:rsidDel="00787ABB">
        <w:rPr>
          <w:lang w:val="fr-FR"/>
        </w:rPr>
        <w:t xml:space="preserve"> </w:t>
      </w:r>
      <w:r>
        <w:rPr>
          <w:lang w:val="fr-FR"/>
        </w:rPr>
        <w:t>par le Gouvernement nicaraguayen le 3 avril 2020.</w:t>
      </w:r>
    </w:p>
  </w:footnote>
  <w:footnote w:id="85">
    <w:p w14:paraId="2E7D89C5" w14:textId="7CCB7BBE" w:rsidR="00225673" w:rsidRPr="006A32B2" w:rsidRDefault="00225673" w:rsidP="00225673">
      <w:pPr>
        <w:pStyle w:val="Notedebasdepage"/>
        <w:rPr>
          <w:lang w:val="fr-FR"/>
        </w:rPr>
      </w:pPr>
      <w:r w:rsidRPr="004B6A15">
        <w:rPr>
          <w:lang w:val="fr-FR"/>
        </w:rPr>
        <w:tab/>
      </w:r>
      <w:r w:rsidRPr="004B6A15">
        <w:rPr>
          <w:vertAlign w:val="superscript"/>
          <w:lang w:val="fr-FR"/>
        </w:rPr>
        <w:footnoteRef/>
      </w:r>
      <w:r>
        <w:rPr>
          <w:lang w:val="fr-FR"/>
        </w:rPr>
        <w:tab/>
        <w:t xml:space="preserve">Voir </w:t>
      </w:r>
      <w:hyperlink r:id="rId48" w:history="1">
        <w:r w:rsidR="00F97302" w:rsidRPr="004B6A15">
          <w:rPr>
            <w:rStyle w:val="Lienhypertexte"/>
          </w:rPr>
          <w:t>www.lavozdelsandinismo.com/nicaragua/2020-11-24/gobierno-de-nicaragua-expone-balance-preliminar-de-danos-por-huracanes-eta-e-iota</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ACF450" w14:textId="09CBE684" w:rsidR="00225673" w:rsidRPr="00225673" w:rsidRDefault="00225673">
    <w:pPr>
      <w:pStyle w:val="En-tte"/>
    </w:pPr>
    <w:fldSimple w:instr=" TITLE  \* MERGEFORMAT ">
      <w:r>
        <w:t>A/HRC/46/21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01EFCC" w14:textId="6D921B57" w:rsidR="00225673" w:rsidRPr="00225673" w:rsidRDefault="00225673" w:rsidP="00225673">
    <w:pPr>
      <w:pStyle w:val="En-tte"/>
      <w:jc w:val="right"/>
    </w:pPr>
    <w:fldSimple w:instr=" TITLE  \* MERGEFORMAT ">
      <w:r>
        <w:t>A/HRC/46/21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2248A680"/>
    <w:lvl w:ilvl="0" w:tplc="EF3ED114">
      <w:start w:val="1"/>
      <w:numFmt w:val="decimal"/>
      <w:pStyle w:val="ParaNoG"/>
      <w:lvlText w:val="%1."/>
      <w:lvlJc w:val="left"/>
      <w:pPr>
        <w:tabs>
          <w:tab w:val="num" w:pos="0"/>
        </w:tabs>
        <w:ind w:left="113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6"/>
  </w:num>
  <w:num w:numId="16">
    <w:abstractNumId w:val="12"/>
  </w:num>
  <w:num w:numId="17">
    <w:abstractNumId w:val="15"/>
  </w:num>
  <w:num w:numId="18">
    <w:abstractNumId w:val="14"/>
  </w:num>
  <w:num w:numId="19">
    <w:abstractNumId w:val="10"/>
  </w:num>
  <w:num w:numId="20">
    <w:abstractNumId w:val="17"/>
  </w:num>
  <w:num w:numId="21">
    <w:abstractNumId w:val="18"/>
  </w:num>
  <w:num w:numId="22">
    <w:abstractNumId w:val="21"/>
  </w:num>
  <w:num w:numId="23">
    <w:abstractNumId w:val="13"/>
  </w:num>
  <w:num w:numId="24">
    <w:abstractNumId w:val="11"/>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proofState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5AA"/>
    <w:rsid w:val="00023842"/>
    <w:rsid w:val="0007796D"/>
    <w:rsid w:val="000E5ADA"/>
    <w:rsid w:val="000F2457"/>
    <w:rsid w:val="00111F2F"/>
    <w:rsid w:val="00131E73"/>
    <w:rsid w:val="0014365E"/>
    <w:rsid w:val="00176178"/>
    <w:rsid w:val="001D41E3"/>
    <w:rsid w:val="001F525A"/>
    <w:rsid w:val="00212168"/>
    <w:rsid w:val="002165E2"/>
    <w:rsid w:val="00225673"/>
    <w:rsid w:val="00260711"/>
    <w:rsid w:val="002A1A4E"/>
    <w:rsid w:val="002E0D9C"/>
    <w:rsid w:val="00331485"/>
    <w:rsid w:val="003466DC"/>
    <w:rsid w:val="003547BE"/>
    <w:rsid w:val="00446FE5"/>
    <w:rsid w:val="00490A15"/>
    <w:rsid w:val="004D4CB4"/>
    <w:rsid w:val="00552797"/>
    <w:rsid w:val="00573BE5"/>
    <w:rsid w:val="00586ED3"/>
    <w:rsid w:val="00587A52"/>
    <w:rsid w:val="005B4E23"/>
    <w:rsid w:val="00617B29"/>
    <w:rsid w:val="0068446C"/>
    <w:rsid w:val="00695AED"/>
    <w:rsid w:val="00710BD6"/>
    <w:rsid w:val="0071601D"/>
    <w:rsid w:val="00721020"/>
    <w:rsid w:val="00731589"/>
    <w:rsid w:val="00750B68"/>
    <w:rsid w:val="007B115A"/>
    <w:rsid w:val="007E15AA"/>
    <w:rsid w:val="00800981"/>
    <w:rsid w:val="0080684C"/>
    <w:rsid w:val="00840FB4"/>
    <w:rsid w:val="00852C02"/>
    <w:rsid w:val="00871C75"/>
    <w:rsid w:val="008776DC"/>
    <w:rsid w:val="008B386A"/>
    <w:rsid w:val="0094352E"/>
    <w:rsid w:val="00962015"/>
    <w:rsid w:val="009705C8"/>
    <w:rsid w:val="009942C7"/>
    <w:rsid w:val="009A47AB"/>
    <w:rsid w:val="009D47B8"/>
    <w:rsid w:val="00A12E20"/>
    <w:rsid w:val="00A2307A"/>
    <w:rsid w:val="00AC7BEB"/>
    <w:rsid w:val="00AE323C"/>
    <w:rsid w:val="00B16AAF"/>
    <w:rsid w:val="00B22A9E"/>
    <w:rsid w:val="00B24C75"/>
    <w:rsid w:val="00B528BF"/>
    <w:rsid w:val="00BE2FA2"/>
    <w:rsid w:val="00C02897"/>
    <w:rsid w:val="00C12613"/>
    <w:rsid w:val="00D45432"/>
    <w:rsid w:val="00DB1831"/>
    <w:rsid w:val="00DC20B6"/>
    <w:rsid w:val="00DD3BFD"/>
    <w:rsid w:val="00E228A8"/>
    <w:rsid w:val="00E61BDE"/>
    <w:rsid w:val="00E6618E"/>
    <w:rsid w:val="00E92F03"/>
    <w:rsid w:val="00EF7F30"/>
    <w:rsid w:val="00F660DF"/>
    <w:rsid w:val="00F95C08"/>
    <w:rsid w:val="00F9730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7F8301E"/>
  <w15:docId w15:val="{7F8F98B3-0A5A-4BB7-B58F-280B30114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paragraph" w:customStyle="1" w:styleId="ParaNoG">
    <w:name w:val="_ParaNo._G"/>
    <w:basedOn w:val="SingleTxtG"/>
    <w:qFormat/>
    <w:rsid w:val="00225673"/>
    <w:pPr>
      <w:numPr>
        <w:numId w:val="19"/>
      </w:numPr>
      <w:tabs>
        <w:tab w:val="clear" w:pos="2835"/>
      </w:tabs>
    </w:pPr>
    <w:rPr>
      <w:lang w:val="en-GB"/>
    </w:rPr>
  </w:style>
  <w:style w:type="numbering" w:styleId="111111">
    <w:name w:val="Outline List 2"/>
    <w:basedOn w:val="Aucuneliste"/>
    <w:semiHidden/>
    <w:rsid w:val="00225673"/>
    <w:pPr>
      <w:numPr>
        <w:numId w:val="21"/>
      </w:numPr>
    </w:pPr>
  </w:style>
  <w:style w:type="numbering" w:styleId="1ai">
    <w:name w:val="Outline List 1"/>
    <w:basedOn w:val="Aucuneliste"/>
    <w:semiHidden/>
    <w:rsid w:val="00225673"/>
    <w:pPr>
      <w:numPr>
        <w:numId w:val="22"/>
      </w:numPr>
    </w:pPr>
  </w:style>
  <w:style w:type="character" w:styleId="Titredulivre">
    <w:name w:val="Book Title"/>
    <w:basedOn w:val="Policepardfaut"/>
    <w:uiPriority w:val="33"/>
    <w:semiHidden/>
    <w:rsid w:val="00225673"/>
    <w:rPr>
      <w:b/>
      <w:bCs/>
      <w:smallCaps/>
      <w:spacing w:val="5"/>
    </w:rPr>
  </w:style>
  <w:style w:type="character" w:customStyle="1" w:styleId="Mentionnonrsolue1">
    <w:name w:val="Mention non résolue1"/>
    <w:basedOn w:val="Policepardfaut"/>
    <w:uiPriority w:val="99"/>
    <w:semiHidden/>
    <w:unhideWhenUsed/>
    <w:rsid w:val="00225673"/>
    <w:rPr>
      <w:color w:val="605E5C"/>
      <w:shd w:val="clear" w:color="auto" w:fill="E1DFDD"/>
    </w:rPr>
  </w:style>
  <w:style w:type="character" w:styleId="Marquedecommentaire">
    <w:name w:val="annotation reference"/>
    <w:basedOn w:val="Policepardfaut"/>
    <w:uiPriority w:val="99"/>
    <w:semiHidden/>
    <w:unhideWhenUsed/>
    <w:rsid w:val="00225673"/>
    <w:rPr>
      <w:sz w:val="16"/>
      <w:szCs w:val="16"/>
    </w:rPr>
  </w:style>
  <w:style w:type="paragraph" w:styleId="Commentaire">
    <w:name w:val="annotation text"/>
    <w:basedOn w:val="Normal"/>
    <w:link w:val="CommentaireCar"/>
    <w:uiPriority w:val="99"/>
    <w:semiHidden/>
    <w:unhideWhenUsed/>
    <w:rsid w:val="00225673"/>
    <w:pPr>
      <w:spacing w:line="240" w:lineRule="auto"/>
    </w:pPr>
    <w:rPr>
      <w:lang w:val="en-GB"/>
    </w:rPr>
  </w:style>
  <w:style w:type="character" w:customStyle="1" w:styleId="CommentaireCar">
    <w:name w:val="Commentaire Car"/>
    <w:basedOn w:val="Policepardfaut"/>
    <w:link w:val="Commentaire"/>
    <w:uiPriority w:val="99"/>
    <w:semiHidden/>
    <w:rsid w:val="00225673"/>
    <w:rPr>
      <w:rFonts w:ascii="Times New Roman" w:eastAsiaTheme="minorHAnsi"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225673"/>
    <w:rPr>
      <w:b/>
      <w:bCs/>
    </w:rPr>
  </w:style>
  <w:style w:type="character" w:customStyle="1" w:styleId="ObjetducommentaireCar">
    <w:name w:val="Objet du commentaire Car"/>
    <w:basedOn w:val="CommentaireCar"/>
    <w:link w:val="Objetducommentaire"/>
    <w:uiPriority w:val="99"/>
    <w:semiHidden/>
    <w:rsid w:val="00225673"/>
    <w:rPr>
      <w:rFonts w:ascii="Times New Roman" w:eastAsiaTheme="minorHAnsi" w:hAnsi="Times New Roman" w:cs="Times New Roman"/>
      <w:b/>
      <w:bCs/>
      <w:sz w:val="20"/>
      <w:szCs w:val="20"/>
      <w:lang w:val="en-GB" w:eastAsia="en-US"/>
    </w:rPr>
  </w:style>
  <w:style w:type="character" w:customStyle="1" w:styleId="Hyperlink3">
    <w:name w:val="Hyperlink.3"/>
    <w:basedOn w:val="Policepardfaut"/>
    <w:rsid w:val="00225673"/>
    <w:rPr>
      <w:rFonts w:ascii="Times New Roman" w:eastAsia="Times New Roman" w:hAnsi="Times New Roman" w:cs="Times New Roman"/>
      <w:u w:val="single" w:color="0000FF"/>
    </w:rPr>
  </w:style>
  <w:style w:type="character" w:customStyle="1" w:styleId="Hyperlink8">
    <w:name w:val="Hyperlink.8"/>
    <w:basedOn w:val="Policepardfaut"/>
    <w:rsid w:val="00225673"/>
    <w:rPr>
      <w:u w:val="single" w:color="0000FF"/>
    </w:rPr>
  </w:style>
  <w:style w:type="character" w:customStyle="1" w:styleId="Hyperlink10">
    <w:name w:val="Hyperlink.10"/>
    <w:basedOn w:val="Policepardfaut"/>
    <w:rsid w:val="00225673"/>
    <w:rPr>
      <w:outline w:val="0"/>
      <w:color w:val="000000"/>
      <w:u w:val="single" w:color="000000"/>
      <w14:textOutline w14:w="12700" w14:cap="flat" w14:cmpd="sng" w14:algn="ctr">
        <w14:noFill/>
        <w14:prstDash w14:val="solid"/>
        <w14:miter w14:lim="400000"/>
      </w14:textOutline>
    </w:rPr>
  </w:style>
  <w:style w:type="character" w:customStyle="1" w:styleId="Hyperlink6">
    <w:name w:val="Hyperlink.6"/>
    <w:basedOn w:val="Policepardfaut"/>
    <w:rsid w:val="00225673"/>
    <w:rPr>
      <w:outline w:val="0"/>
      <w:color w:val="000000"/>
      <w:u w:val="single" w:color="0000FF"/>
    </w:rPr>
  </w:style>
  <w:style w:type="character" w:customStyle="1" w:styleId="Hyperlink11">
    <w:name w:val="Hyperlink.11"/>
    <w:basedOn w:val="Policepardfaut"/>
    <w:rsid w:val="00225673"/>
    <w:rPr>
      <w:rFonts w:ascii="Times New Roman" w:eastAsia="Times New Roman" w:hAnsi="Times New Roman" w:cs="Times New Roman"/>
      <w:u w:val="single" w:color="0000FF"/>
      <w:shd w:val="clear" w:color="auto" w:fill="FFFFFF"/>
    </w:rPr>
  </w:style>
  <w:style w:type="character" w:customStyle="1" w:styleId="Hyperlink2">
    <w:name w:val="Hyperlink.2"/>
    <w:basedOn w:val="Policepardfaut"/>
    <w:rsid w:val="00225673"/>
    <w:rPr>
      <w:rFonts w:ascii="Times New Roman" w:eastAsia="Times New Roman" w:hAnsi="Times New Roman" w:cs="Times New Roman"/>
      <w:u w:val="single"/>
    </w:rPr>
  </w:style>
  <w:style w:type="character" w:customStyle="1" w:styleId="SingleTxtGChar">
    <w:name w:val="_ Single Txt_G Char"/>
    <w:link w:val="SingleTxtG"/>
    <w:rsid w:val="00E92F03"/>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E92F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el19digital.com/articulos/ver/titulo:110247-presentacion-preliminar-cuantificacion-de-danos-perdidas-y-necesidades-post-huracanes" TargetMode="External"/><Relationship Id="rId13" Type="http://schemas.openxmlformats.org/officeDocument/2006/relationships/hyperlink" Target="file:///\\conf-share1\LS\ENG\COMMON\FINAL\www.oacnudh.org\oacnudh-expresa-su-preocupacion-sobre-la-aprobacion-de-la-ley-de-regulacion-de-agentes-extranjeros" TargetMode="External"/><Relationship Id="rId18" Type="http://schemas.openxmlformats.org/officeDocument/2006/relationships/hyperlink" Target="http://www.ohchr.org/EN/NewsEvents/Pages/DisplayNews.aspx?NewsID=24920&amp;LangID=E" TargetMode="External"/><Relationship Id="rId26" Type="http://schemas.openxmlformats.org/officeDocument/2006/relationships/hyperlink" Target="https://confidencial.com.ni/the-nicaragua-crisis-means-increased-violence-against-women/" TargetMode="External"/><Relationship Id="rId39" Type="http://schemas.openxmlformats.org/officeDocument/2006/relationships/hyperlink" Target="file:///\\conf-share1\LS\ENG\COMMON\FINAL\www.hacienda.gob.ni\hacienda\ppresupuesto2021\pgr\1.ExposicionMotivos.pdf" TargetMode="External"/><Relationship Id="rId3" Type="http://schemas.openxmlformats.org/officeDocument/2006/relationships/hyperlink" Target="http://www.unhcr.org/news/briefing/2020/3/5e6759934/years-political-social-crisis-nicaragua-force-100000-flee.html%23_ga=2.265339407.1047830798.1608001082-545631427.1608001082" TargetMode="External"/><Relationship Id="rId21" Type="http://schemas.openxmlformats.org/officeDocument/2006/relationships/hyperlink" Target="https://spcommreports.ohchr.org/TMResultsBase/DownLoadPublicCommunicationFile?gId=25691" TargetMode="External"/><Relationship Id="rId34" Type="http://schemas.openxmlformats.org/officeDocument/2006/relationships/hyperlink" Target="http://www.imf.org/en/News/Articles/2019/11/20/mcs112019-nicaragua-staff-concluding-statement-of-the-2019-article-iv-mission" TargetMode="External"/><Relationship Id="rId42" Type="http://schemas.openxmlformats.org/officeDocument/2006/relationships/hyperlink" Target="http://www.imf.org/en/News/Articles/2020/11/20/pr20349-nicaragua-imf-executive-board-approves-us-185-3m-emergency-support-to-address-covid19" TargetMode="External"/><Relationship Id="rId47" Type="http://schemas.openxmlformats.org/officeDocument/2006/relationships/hyperlink" Target="https://observatorioni.org/wp-content/uploads/2020/12/Nota-37-Observatorio-4.diciembre.pdf" TargetMode="External"/><Relationship Id="rId7" Type="http://schemas.openxmlformats.org/officeDocument/2006/relationships/hyperlink" Target="http://www.migob.gob.ni/158-hermans-nicaraguense-procedentes-de-panama-regresaron-al-pais" TargetMode="External"/><Relationship Id="rId12" Type="http://schemas.openxmlformats.org/officeDocument/2006/relationships/hyperlink" Target="http://www.el19digital.com/articulos/ver/titulo:100579-intervencion-de-nicaragua-ante-el-consejo-de-derechos-humanos-de-naciones-unidas" TargetMode="External"/><Relationship Id="rId17" Type="http://schemas.openxmlformats.org/officeDocument/2006/relationships/hyperlink" Target="http://webtv.un.org/search/enhanced-id-human-rights-in-nicaragua-4th-meeting-42nd-regular-session-human-rights-council-/6084897806001/?term=nicaragua&amp;sort=date&amp;page=9%23player" TargetMode="External"/><Relationship Id="rId25" Type="http://schemas.openxmlformats.org/officeDocument/2006/relationships/hyperlink" Target="https://ipnicaragua.com/se-me-salen-ya-les-doy-cinco-minutos-asi-amenazo-la-policia-a-opositores-este-domingo" TargetMode="External"/><Relationship Id="rId33" Type="http://schemas.openxmlformats.org/officeDocument/2006/relationships/hyperlink" Target="http://www.worldbank.org/en/country/nicaragua/overview" TargetMode="External"/><Relationship Id="rId38" Type="http://schemas.openxmlformats.org/officeDocument/2006/relationships/hyperlink" Target="http://www.el19digital.com/app/webroot/tinymce/source/2018/00-Enero/Del22al28Enero/Viernes26Enero/EJES%20DEL%20PROGRAMA%20NACIONAL%20DE%20DESARROLLO%20HUMANO.pdf" TargetMode="External"/><Relationship Id="rId46" Type="http://schemas.openxmlformats.org/officeDocument/2006/relationships/hyperlink" Target="https://news.un.org/es/story/2020/05/1474642" TargetMode="External"/><Relationship Id="rId2" Type="http://schemas.openxmlformats.org/officeDocument/2006/relationships/hyperlink" Target="http://www.oacnudh.org/wp-content/uploads/2020/02/Nicaragua-Bimonthly-Bulletin-N14-December2019-January2020.pdf" TargetMode="External"/><Relationship Id="rId16" Type="http://schemas.openxmlformats.org/officeDocument/2006/relationships/hyperlink" Target="https://spcommreports.ohchr.org/TMResultsBase/DownLoadPublicCommunicationFile?gId=25691" TargetMode="External"/><Relationship Id="rId20" Type="http://schemas.openxmlformats.org/officeDocument/2006/relationships/hyperlink" Target="http://www.el19digital.com/app/webroot/tinymce/source/2020/00-Mayo/25%20MAYO/AL%20PUEBLO%20DE%20NICARAGUA%20Y%20AL%20MUNDO-%20INFORME%20SOBRE%20EL%20COVID-19.pdf" TargetMode="External"/><Relationship Id="rId29" Type="http://schemas.openxmlformats.org/officeDocument/2006/relationships/hyperlink" Target="http://www.museodelamemorianicaragua.org/sobre-el-museo/" TargetMode="External"/><Relationship Id="rId41" Type="http://schemas.openxmlformats.org/officeDocument/2006/relationships/hyperlink" Target="http://www.iadb.org/en/project/NI-L1161" TargetMode="External"/><Relationship Id="rId1" Type="http://schemas.openxmlformats.org/officeDocument/2006/relationships/hyperlink" Target="http://www.oas.org/es/cidh/informes/pdfs/Nicaragua-PPL-es.pdf" TargetMode="External"/><Relationship Id="rId6" Type="http://schemas.openxmlformats.org/officeDocument/2006/relationships/hyperlink" Target="http://www.imf.org/en/Publications/CR/Issues/2020/11/20/Nicaragua-Requests-for-Purchase-under-the-Rapid-Financing-Instrument-and-Disbursement-under-49908" TargetMode="External"/><Relationship Id="rId11" Type="http://schemas.openxmlformats.org/officeDocument/2006/relationships/hyperlink" Target="http://www.ohchr.org/EN/NewsEvents/Pages/DisplayNews.aspx?NewsID=26488&amp;LangID=E" TargetMode="External"/><Relationship Id="rId24" Type="http://schemas.openxmlformats.org/officeDocument/2006/relationships/hyperlink" Target="https://100noticias.com.ni/nacionales/103280-paramilitares-agreden-hieren-veronica-chavez" TargetMode="External"/><Relationship Id="rId32" Type="http://schemas.openxmlformats.org/officeDocument/2006/relationships/hyperlink" Target="https://repositorio.cepal.org/bitstream/handle/11362/45784/4/S2000470_en.pdf" TargetMode="External"/><Relationship Id="rId37" Type="http://schemas.openxmlformats.org/officeDocument/2006/relationships/hyperlink" Target="http://www.imf.org/en/News/Articles/2019/11/20/mcs112019-nicaragua-staff-concluding-statement-of-the-2019-article-iv-mission" TargetMode="External"/><Relationship Id="rId40" Type="http://schemas.openxmlformats.org/officeDocument/2006/relationships/hyperlink" Target="file:///\\conf-share1\LS\ENG\COMMON\FINAL\www.hacienda.gob.ni\hacienda\ppresupuesto2020\pgr\1.ExposicionMotivos.pdf" TargetMode="External"/><Relationship Id="rId45" Type="http://schemas.openxmlformats.org/officeDocument/2006/relationships/hyperlink" Target="https://confidencial.com.ni/asociaciones-medicas-de-nicaragua-urgen-cuarentena-voluntaria-ante-contagio-masivo-de-covid-19" TargetMode="External"/><Relationship Id="rId5" Type="http://schemas.openxmlformats.org/officeDocument/2006/relationships/hyperlink" Target="http://www.alianzacivicanicaragua.com/es/acuerdo-para-fortalecer-los-derechos-y-garantias-ciudadanas" TargetMode="External"/><Relationship Id="rId15" Type="http://schemas.openxmlformats.org/officeDocument/2006/relationships/hyperlink" Target="https://www.europarl.europa.eu/doceo/document/TA-9-2020-0259_FR.html" TargetMode="External"/><Relationship Id="rId23" Type="http://schemas.openxmlformats.org/officeDocument/2006/relationships/hyperlink" Target="http://scm.oas.org/IDMS/Redirectpage.aspx?class=AG/doc.&amp;classNum=5717&amp;lang=e" TargetMode="External"/><Relationship Id="rId28" Type="http://schemas.openxmlformats.org/officeDocument/2006/relationships/hyperlink" Target="http://www.migob.gob.ni/noticias/" TargetMode="External"/><Relationship Id="rId36" Type="http://schemas.openxmlformats.org/officeDocument/2006/relationships/hyperlink" Target="http://www.bcn.gob.ni/estadisticas/sector_real/mercado_laboral/3-1.htm" TargetMode="External"/><Relationship Id="rId10" Type="http://schemas.openxmlformats.org/officeDocument/2006/relationships/hyperlink" Target="https://treaties.un.org/Pages/ViewDetails.aspx?src=TREATY&amp;mtdsg_no=XXVII-18&amp;chapter=27&amp;clang=_en" TargetMode="External"/><Relationship Id="rId19" Type="http://schemas.openxmlformats.org/officeDocument/2006/relationships/hyperlink" Target="http://www.el19digital.com/articulos/ver/titulo:103397-companera-rosario-murillo-en-multinoticias-15-05-20" TargetMode="External"/><Relationship Id="rId31" Type="http://schemas.openxmlformats.org/officeDocument/2006/relationships/hyperlink" Target="https://repositorio.cepal.org/bitstream/handle/11362/45784/4/S2000470_en.pdf" TargetMode="External"/><Relationship Id="rId44" Type="http://schemas.openxmlformats.org/officeDocument/2006/relationships/hyperlink" Target="http://www.abc.es/internacional/abci-ministros-salud-denuncian-manipulacion-cifra-muertos-covid--19-nicaragua-202005111758_noticia.html" TargetMode="External"/><Relationship Id="rId4" Type="http://schemas.openxmlformats.org/officeDocument/2006/relationships/hyperlink" Target="https://www.alianzacivicanicaragua.com/acuerdo-para-la-facilitacion-del-proceso-de-liberacion-de-personas-privadas-de-libertad-de-conformidad-al-ordenamiento-juridico-del-pais-y-las-respectivas-obligaciones-internacionales-de-nicaragua-en/" TargetMode="External"/><Relationship Id="rId9" Type="http://schemas.openxmlformats.org/officeDocument/2006/relationships/hyperlink" Target="http://www.el19digital.com/articulos/ver/titulo:107548-mensaje-del-gobierno-de-nicaragua-en-la-reunion-de-alto-nivel-conmemorando-el-75-aniversario-de-las-naciones-unidas" TargetMode="External"/><Relationship Id="rId14" Type="http://schemas.openxmlformats.org/officeDocument/2006/relationships/hyperlink" Target="http://www.oas.org/es/cidh/MESENI/Boletines/BOLETIN-MESENI-2020_10.pdf" TargetMode="External"/><Relationship Id="rId22" Type="http://schemas.openxmlformats.org/officeDocument/2006/relationships/hyperlink" Target="http://www.el19digital.com/articulos/ver/titulo:107322-declaracion-de-la-presidencia-de-la-republica-sobre-cadena-perpetua-para-castigar-crimenes-atroces" TargetMode="External"/><Relationship Id="rId27" Type="http://schemas.openxmlformats.org/officeDocument/2006/relationships/hyperlink" Target="file:///\\conf-share1\LS\ENG\COMMON\FINAL\www.oas.org\es\cidh\prensa\comunicados\2020\266.asp" TargetMode="External"/><Relationship Id="rId30" Type="http://schemas.openxmlformats.org/officeDocument/2006/relationships/hyperlink" Target="https://cejil.org/es/informe-resistencia-miskitu-una-lucha-territorio-y-vida" TargetMode="External"/><Relationship Id="rId35" Type="http://schemas.openxmlformats.org/officeDocument/2006/relationships/hyperlink" Target="http://www.inide.gob.ni/docs/Ech/2doTrim2020/Publicaci&#243;n%20ECH%20II%20Trimestre%202020.pdf" TargetMode="External"/><Relationship Id="rId43" Type="http://schemas.openxmlformats.org/officeDocument/2006/relationships/hyperlink" Target="http://www.imf.org/en/Publications/CR/Issues/2020/11/20/Nicaragua-Requests-for-Purchase-under-the-Rapid-Financing-Instrument-and-Disbursement-under-49908" TargetMode="External"/><Relationship Id="rId48" Type="http://schemas.openxmlformats.org/officeDocument/2006/relationships/hyperlink" Target="http://www.lavozdelsandinismo.com/nicaragua/2020-11-24/gobierno-de-nicaragua-expone-balance-preliminar-de-danos-por-huracanes-eta-e-iot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16</Pages>
  <Words>8612</Words>
  <Characters>45518</Characters>
  <Application>Microsoft Office Word</Application>
  <DocSecurity>0</DocSecurity>
  <Lines>671</Lines>
  <Paragraphs>110</Paragraphs>
  <ScaleCrop>false</ScaleCrop>
  <HeadingPairs>
    <vt:vector size="2" baseType="variant">
      <vt:variant>
        <vt:lpstr>Titre</vt:lpstr>
      </vt:variant>
      <vt:variant>
        <vt:i4>1</vt:i4>
      </vt:variant>
    </vt:vector>
  </HeadingPairs>
  <TitlesOfParts>
    <vt:vector size="1" baseType="lpstr">
      <vt:lpstr>A/HRC/46/21</vt:lpstr>
    </vt:vector>
  </TitlesOfParts>
  <Company>DCM</Company>
  <LinksUpToDate>false</LinksUpToDate>
  <CharactersWithSpaces>53987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A/HRC/46/21</dc:title>
  <dc:subject/>
  <dc:creator>Sandrine CLERE</dc:creator>
  <cp:keywords/>
  <cp:lastModifiedBy>Sandrine CLERE</cp:lastModifiedBy>
  <cp:revision>2</cp:revision>
  <dcterms:created xsi:type="dcterms:W3CDTF">2021-03-30T09:12:00Z</dcterms:created>
  <dcterms:modified xsi:type="dcterms:W3CDTF">2021-03-30T09:12:00Z</dcterms:modified>
</cp:coreProperties>
</file>