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48639E" w:rsidP="00ED2F11">
            <w:pPr>
              <w:bidi w:val="0"/>
              <w:spacing w:after="20"/>
              <w:jc w:val="left"/>
              <w:rPr>
                <w:szCs w:val="20"/>
              </w:rPr>
            </w:pPr>
            <w:r w:rsidRPr="0048639E">
              <w:rPr>
                <w:sz w:val="40"/>
                <w:szCs w:val="20"/>
              </w:rPr>
              <w:t>CRC</w:t>
            </w:r>
            <w:r>
              <w:rPr>
                <w:szCs w:val="20"/>
              </w:rPr>
              <w:t>/C/74/D/5/2016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6B08E162" wp14:editId="4EBB590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ED2F11" w:rsidP="00ED2F11">
            <w:pPr>
              <w:bidi w:val="0"/>
              <w:spacing w:before="240"/>
              <w:jc w:val="left"/>
            </w:pPr>
            <w:r>
              <w:t>Distr.: General</w:t>
            </w:r>
          </w:p>
          <w:p w:rsidR="00ED2F11" w:rsidRDefault="00ED2F11" w:rsidP="00ED2F11">
            <w:pPr>
              <w:bidi w:val="0"/>
              <w:jc w:val="left"/>
            </w:pPr>
            <w:r>
              <w:t>1 March 2017</w:t>
            </w:r>
          </w:p>
          <w:p w:rsidR="00ED2F11" w:rsidRDefault="00ED2F11" w:rsidP="00ED2F11">
            <w:pPr>
              <w:bidi w:val="0"/>
              <w:jc w:val="left"/>
            </w:pPr>
            <w:r>
              <w:t>Arabic</w:t>
            </w:r>
          </w:p>
          <w:p w:rsidR="00ED2F11" w:rsidRPr="008B4BC6" w:rsidRDefault="00ED2F11" w:rsidP="00ED2F11">
            <w:pPr>
              <w:bidi w:val="0"/>
              <w:jc w:val="left"/>
            </w:pPr>
            <w:r>
              <w:t>Original: Spanish</w:t>
            </w:r>
          </w:p>
        </w:tc>
      </w:tr>
    </w:tbl>
    <w:p w:rsidR="00ED2F11" w:rsidRPr="00ED2F11" w:rsidRDefault="00ED2F11" w:rsidP="00ED2F11">
      <w:pPr>
        <w:spacing w:before="120" w:line="380" w:lineRule="exact"/>
        <w:rPr>
          <w:b/>
          <w:bCs/>
          <w:sz w:val="26"/>
          <w:szCs w:val="36"/>
          <w:rtl/>
          <w:lang w:eastAsia="zh-TW"/>
        </w:rPr>
      </w:pPr>
      <w:r w:rsidRPr="00ED2F11">
        <w:rPr>
          <w:b/>
          <w:bCs/>
          <w:sz w:val="26"/>
          <w:szCs w:val="36"/>
          <w:rtl/>
          <w:lang w:eastAsia="zh-TW"/>
        </w:rPr>
        <w:t>لجنة حقوق الطفل</w:t>
      </w:r>
    </w:p>
    <w:p w:rsidR="00ED2F11" w:rsidRDefault="00ED2F11" w:rsidP="00ED2F11">
      <w:pPr>
        <w:pStyle w:val="HChGA"/>
        <w:rPr>
          <w:rtl/>
          <w:lang w:eastAsia="zh-TW"/>
        </w:rPr>
      </w:pPr>
      <w:r>
        <w:rPr>
          <w:rtl/>
          <w:lang w:eastAsia="zh-TW"/>
        </w:rPr>
        <w:tab/>
      </w:r>
      <w:r>
        <w:rPr>
          <w:rtl/>
          <w:lang w:eastAsia="zh-TW"/>
        </w:rPr>
        <w:tab/>
        <w:t>قرار اعتمدته اللجنة بموجب البروتوكول الاختياري لاتفاقية حقوق الطفل المتعلق بإجراء تقديم البلاغات رقم 5/2016</w:t>
      </w:r>
      <w:r w:rsidRPr="00ED2F11">
        <w:rPr>
          <w:rFonts w:hint="cs"/>
          <w:b w:val="0"/>
          <w:bCs w:val="0"/>
          <w:sz w:val="30"/>
          <w:szCs w:val="30"/>
          <w:vertAlign w:val="superscript"/>
          <w:rtl/>
          <w:lang w:eastAsia="zh-TW"/>
        </w:rPr>
        <w:t>(</w:t>
      </w:r>
      <w:r w:rsidRPr="00ED2F11">
        <w:rPr>
          <w:rStyle w:val="FootnoteReference"/>
          <w:b/>
          <w:bCs w:val="0"/>
          <w:sz w:val="30"/>
          <w:szCs w:val="30"/>
          <w:rtl/>
          <w:lang w:eastAsia="zh-TW"/>
        </w:rPr>
        <w:footnoteReference w:id="1"/>
      </w:r>
      <w:r w:rsidRPr="00ED2F11">
        <w:rPr>
          <w:rFonts w:hint="cs"/>
          <w:b w:val="0"/>
          <w:bCs w:val="0"/>
          <w:sz w:val="30"/>
          <w:szCs w:val="30"/>
          <w:vertAlign w:val="superscript"/>
          <w:rtl/>
          <w:lang w:eastAsia="zh-TW"/>
        </w:rPr>
        <w:t>) (</w:t>
      </w:r>
      <w:r w:rsidRPr="00ED2F11">
        <w:rPr>
          <w:rStyle w:val="FootnoteReference"/>
          <w:b/>
          <w:bCs w:val="0"/>
          <w:sz w:val="30"/>
          <w:szCs w:val="30"/>
          <w:rtl/>
          <w:lang w:eastAsia="zh-TW"/>
        </w:rPr>
        <w:footnoteReference w:id="2"/>
      </w:r>
      <w:r w:rsidRPr="00ED2F11">
        <w:rPr>
          <w:rFonts w:hint="cs"/>
          <w:b w:val="0"/>
          <w:bCs w:val="0"/>
          <w:sz w:val="30"/>
          <w:szCs w:val="30"/>
          <w:vertAlign w:val="superscript"/>
          <w:rtl/>
          <w:lang w:eastAsia="zh-TW"/>
        </w:rPr>
        <w:t>)</w:t>
      </w:r>
    </w:p>
    <w:p w:rsidR="00ED2F11" w:rsidRPr="00324427" w:rsidRDefault="00ED2F11" w:rsidP="00ED2F11">
      <w:pPr>
        <w:pStyle w:val="SingleTxtGA"/>
        <w:tabs>
          <w:tab w:val="clear" w:pos="1928"/>
          <w:tab w:val="clear" w:pos="2608"/>
          <w:tab w:val="clear" w:pos="3289"/>
          <w:tab w:val="clear" w:pos="3969"/>
          <w:tab w:val="clear" w:pos="4649"/>
          <w:tab w:val="left" w:pos="4557"/>
        </w:tabs>
        <w:ind w:left="4557" w:hanging="2629"/>
        <w:rPr>
          <w:rtl/>
          <w:lang w:eastAsia="zh-TW"/>
        </w:rPr>
      </w:pPr>
      <w:r w:rsidRPr="00ED2F11">
        <w:rPr>
          <w:rFonts w:hint="cs"/>
          <w:i/>
          <w:iCs/>
          <w:rtl/>
          <w:lang w:eastAsia="zh-TW"/>
        </w:rPr>
        <w:t>ال</w:t>
      </w:r>
      <w:r w:rsidRPr="00ED2F11">
        <w:rPr>
          <w:i/>
          <w:iCs/>
          <w:rtl/>
          <w:lang w:eastAsia="zh-TW"/>
        </w:rPr>
        <w:t>مقدم من:</w:t>
      </w:r>
      <w:r>
        <w:rPr>
          <w:rtl/>
          <w:lang w:eastAsia="zh-TW"/>
        </w:rPr>
        <w:tab/>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ascii="Traditional Arabic" w:hAnsi="Traditional Arabic" w:hint="cs"/>
          <w:rtl/>
          <w:lang w:eastAsia="zh-TW"/>
        </w:rPr>
        <w:t>ج</w:t>
      </w:r>
      <w:r>
        <w:rPr>
          <w:rtl/>
          <w:lang w:eastAsia="zh-TW"/>
        </w:rPr>
        <w:t>.</w:t>
      </w:r>
      <w:r>
        <w:rPr>
          <w:rFonts w:hint="cs"/>
          <w:rtl/>
          <w:lang w:eastAsia="zh-TW"/>
        </w:rPr>
        <w:t xml:space="preserve"> </w:t>
      </w:r>
      <w:r>
        <w:rPr>
          <w:rFonts w:ascii="Traditional Arabic" w:hAnsi="Traditional Arabic" w:hint="cs"/>
          <w:rtl/>
          <w:lang w:eastAsia="zh-TW"/>
        </w:rPr>
        <w:t>أ</w:t>
      </w:r>
      <w:r>
        <w:rPr>
          <w:rtl/>
          <w:lang w:eastAsia="zh-TW"/>
        </w:rPr>
        <w:t>.</w:t>
      </w:r>
      <w:r>
        <w:rPr>
          <w:rFonts w:hint="cs"/>
          <w:rtl/>
          <w:lang w:eastAsia="zh-TW"/>
        </w:rPr>
        <w:t xml:space="preserve"> </w:t>
      </w:r>
      <w:r>
        <w:rPr>
          <w:rFonts w:ascii="Traditional Arabic" w:hAnsi="Traditional Arabic" w:hint="cs"/>
          <w:rtl/>
          <w:lang w:eastAsia="zh-TW"/>
        </w:rPr>
        <w:t>ب</w:t>
      </w:r>
      <w:r>
        <w:rPr>
          <w:rtl/>
          <w:lang w:eastAsia="zh-TW"/>
        </w:rPr>
        <w:t>.</w:t>
      </w:r>
      <w:r>
        <w:rPr>
          <w:rFonts w:ascii="Traditional Arabic" w:hAnsi="Traditional Arabic" w:hint="cs"/>
          <w:rtl/>
          <w:lang w:eastAsia="zh-TW"/>
        </w:rPr>
        <w:t xml:space="preserve"> س.</w:t>
      </w:r>
      <w:r>
        <w:rPr>
          <w:rtl/>
        </w:rPr>
        <w:t>‬</w:t>
      </w:r>
      <w:r>
        <w:rPr>
          <w:rtl/>
        </w:rPr>
        <w:t>‬</w:t>
      </w:r>
      <w:r>
        <w:rPr>
          <w:rtl/>
        </w:rPr>
        <w:t>‬</w:t>
      </w:r>
    </w:p>
    <w:p w:rsidR="00ED2F11" w:rsidRPr="00324427" w:rsidRDefault="00ED2F11" w:rsidP="00ED2F11">
      <w:pPr>
        <w:pStyle w:val="SingleTxtGA"/>
        <w:tabs>
          <w:tab w:val="clear" w:pos="1928"/>
          <w:tab w:val="clear" w:pos="2608"/>
          <w:tab w:val="clear" w:pos="3289"/>
          <w:tab w:val="clear" w:pos="3969"/>
          <w:tab w:val="clear" w:pos="4649"/>
          <w:tab w:val="left" w:pos="4557"/>
        </w:tabs>
        <w:ind w:left="4557" w:hanging="2629"/>
        <w:rPr>
          <w:rtl/>
          <w:lang w:eastAsia="zh-TW"/>
        </w:rPr>
      </w:pPr>
      <w:r w:rsidRPr="00ED2F11">
        <w:rPr>
          <w:i/>
          <w:iCs/>
          <w:rtl/>
          <w:lang w:eastAsia="zh-TW"/>
        </w:rPr>
        <w:t>الأشخاص المدّعى أنهم ضحايا:</w:t>
      </w:r>
      <w:r>
        <w:rPr>
          <w:rtl/>
          <w:lang w:eastAsia="zh-TW"/>
        </w:rPr>
        <w:tab/>
        <w:t>أ.</w:t>
      </w:r>
      <w:r>
        <w:rPr>
          <w:rFonts w:hint="cs"/>
          <w:rtl/>
          <w:lang w:eastAsia="zh-TW"/>
        </w:rPr>
        <w:t xml:space="preserve"> </w:t>
      </w:r>
      <w:r>
        <w:rPr>
          <w:rtl/>
          <w:lang w:eastAsia="zh-TW"/>
        </w:rPr>
        <w:t>ب.</w:t>
      </w:r>
      <w:r>
        <w:rPr>
          <w:rFonts w:hint="cs"/>
          <w:rtl/>
          <w:lang w:eastAsia="zh-TW"/>
        </w:rPr>
        <w:t xml:space="preserve"> </w:t>
      </w:r>
      <w:r>
        <w:rPr>
          <w:rtl/>
          <w:lang w:eastAsia="zh-TW"/>
        </w:rPr>
        <w:t>ه</w:t>
      </w:r>
      <w:r>
        <w:rPr>
          <w:rFonts w:hint="cs"/>
          <w:rtl/>
          <w:lang w:eastAsia="zh-TW"/>
        </w:rPr>
        <w:t>.</w:t>
      </w:r>
      <w:r>
        <w:rPr>
          <w:rtl/>
          <w:lang w:eastAsia="zh-TW"/>
        </w:rPr>
        <w:t xml:space="preserve"> </w:t>
      </w:r>
      <w:proofErr w:type="spellStart"/>
      <w:r>
        <w:rPr>
          <w:rtl/>
          <w:lang w:eastAsia="zh-TW"/>
        </w:rPr>
        <w:t>وم</w:t>
      </w:r>
      <w:proofErr w:type="spellEnd"/>
      <w:r>
        <w:rPr>
          <w:rtl/>
          <w:lang w:eastAsia="zh-TW"/>
        </w:rPr>
        <w:t>.</w:t>
      </w:r>
      <w:r>
        <w:rPr>
          <w:rFonts w:hint="cs"/>
          <w:rtl/>
          <w:lang w:eastAsia="zh-TW"/>
        </w:rPr>
        <w:t xml:space="preserve"> </w:t>
      </w:r>
      <w:r>
        <w:rPr>
          <w:rtl/>
          <w:lang w:eastAsia="zh-TW"/>
        </w:rPr>
        <w:t>ب.</w:t>
      </w:r>
      <w:r>
        <w:rPr>
          <w:rFonts w:hint="cs"/>
          <w:rtl/>
          <w:lang w:eastAsia="zh-TW"/>
        </w:rPr>
        <w:t xml:space="preserve"> </w:t>
      </w:r>
      <w:r>
        <w:rPr>
          <w:rtl/>
          <w:lang w:eastAsia="zh-TW"/>
        </w:rPr>
        <w:t>ه</w:t>
      </w:r>
      <w:r>
        <w:rPr>
          <w:rFonts w:hint="cs"/>
          <w:rtl/>
          <w:lang w:eastAsia="zh-TW"/>
        </w:rPr>
        <w:t>.</w:t>
      </w:r>
    </w:p>
    <w:p w:rsidR="00ED2F11" w:rsidRPr="00324427" w:rsidRDefault="00ED2F11" w:rsidP="00ED2F11">
      <w:pPr>
        <w:pStyle w:val="SingleTxtGA"/>
        <w:tabs>
          <w:tab w:val="clear" w:pos="1928"/>
          <w:tab w:val="clear" w:pos="2608"/>
          <w:tab w:val="clear" w:pos="3289"/>
          <w:tab w:val="clear" w:pos="3969"/>
          <w:tab w:val="clear" w:pos="4649"/>
          <w:tab w:val="left" w:pos="4557"/>
        </w:tabs>
        <w:ind w:left="4557" w:hanging="2629"/>
        <w:rPr>
          <w:rtl/>
          <w:lang w:eastAsia="zh-TW"/>
        </w:rPr>
      </w:pPr>
      <w:r w:rsidRPr="00ED2F11">
        <w:rPr>
          <w:i/>
          <w:iCs/>
          <w:rtl/>
          <w:lang w:eastAsia="zh-TW"/>
        </w:rPr>
        <w:t>الدولة الطرف:</w:t>
      </w:r>
      <w:r>
        <w:rPr>
          <w:rtl/>
          <w:lang w:eastAsia="zh-TW"/>
        </w:rPr>
        <w:tab/>
        <w:t>كوستاريكا</w:t>
      </w:r>
    </w:p>
    <w:p w:rsidR="00ED2F11" w:rsidRDefault="00ED0EE3" w:rsidP="00ED2F11">
      <w:pPr>
        <w:pStyle w:val="SingleTxtGA"/>
        <w:tabs>
          <w:tab w:val="clear" w:pos="1928"/>
          <w:tab w:val="clear" w:pos="2608"/>
          <w:tab w:val="clear" w:pos="3289"/>
          <w:tab w:val="clear" w:pos="3969"/>
          <w:tab w:val="clear" w:pos="4649"/>
          <w:tab w:val="left" w:pos="4557"/>
        </w:tabs>
        <w:ind w:left="4557" w:hanging="2629"/>
        <w:rPr>
          <w:rtl/>
          <w:lang w:eastAsia="zh-TW"/>
        </w:rPr>
      </w:pPr>
      <w:dir w:val="rtl">
        <w:r w:rsidR="00ED2F11" w:rsidRPr="00ED2F11">
          <w:rPr>
            <w:i/>
            <w:iCs/>
            <w:rtl/>
            <w:lang w:eastAsia="zh-TW"/>
          </w:rPr>
          <w:t>تاريخ البلاغ:</w:t>
        </w:r>
        <w:r w:rsidR="00ED2F11" w:rsidRPr="00ED2F11">
          <w:rPr>
            <w:rFonts w:cs="Times New Roman" w:hint="cs"/>
            <w:i/>
            <w:iCs/>
            <w:rtl/>
            <w:lang w:eastAsia="zh-TW"/>
          </w:rPr>
          <w:t>‬</w:t>
        </w:r>
        <w:r w:rsidR="00ED2F11">
          <w:rPr>
            <w:rtl/>
            <w:lang w:eastAsia="zh-TW"/>
          </w:rPr>
          <w:tab/>
          <w:t>١٩ أيلول/سبتمبر ٢٠١٥</w:t>
        </w:r>
        <w:r w:rsidR="00ED2F11">
          <w:rPr>
            <w:rtl/>
          </w:rPr>
          <w:t>‬</w:t>
        </w:r>
        <w:r w:rsidR="00ED2F11">
          <w:rPr>
            <w:rtl/>
          </w:rPr>
          <w:t>‬</w:t>
        </w:r>
        <w:r w:rsidR="00ED2F11">
          <w:rPr>
            <w:rtl/>
          </w:rPr>
          <w:t>‬</w:t>
        </w:r>
        <w:r>
          <w:t>‬</w:t>
        </w:r>
      </w:dir>
    </w:p>
    <w:p w:rsidR="00ED2F11" w:rsidRDefault="00ED0EE3" w:rsidP="00ED2F11">
      <w:pPr>
        <w:pStyle w:val="SingleTxtGA"/>
        <w:tabs>
          <w:tab w:val="clear" w:pos="1928"/>
          <w:tab w:val="clear" w:pos="2608"/>
          <w:tab w:val="clear" w:pos="3289"/>
          <w:tab w:val="clear" w:pos="3969"/>
          <w:tab w:val="clear" w:pos="4649"/>
          <w:tab w:val="left" w:pos="4557"/>
        </w:tabs>
        <w:ind w:left="4557" w:hanging="2629"/>
        <w:rPr>
          <w:rtl/>
          <w:lang w:eastAsia="zh-TW"/>
        </w:rPr>
      </w:pPr>
      <w:dir w:val="rtl">
        <w:r w:rsidR="00ED2F11" w:rsidRPr="00ED2F11">
          <w:rPr>
            <w:i/>
            <w:iCs/>
            <w:rtl/>
            <w:lang w:eastAsia="zh-TW"/>
          </w:rPr>
          <w:t>تاريخ اعتماد القرار:</w:t>
        </w:r>
        <w:r w:rsidR="00ED2F11">
          <w:rPr>
            <w:rtl/>
            <w:lang w:eastAsia="zh-TW"/>
          </w:rPr>
          <w:tab/>
        </w:r>
        <w:r w:rsidR="00ED2F11">
          <w:rPr>
            <w:rFonts w:cs="Times New Roman" w:hint="cs"/>
            <w:rtl/>
            <w:lang w:eastAsia="zh-TW"/>
          </w:rPr>
          <w:t>‬</w:t>
        </w:r>
        <w:r w:rsidR="00ED2F11">
          <w:rPr>
            <w:rFonts w:cs="Times New Roman" w:hint="cs"/>
            <w:rtl/>
            <w:lang w:eastAsia="zh-TW"/>
          </w:rPr>
          <w:t>‬</w:t>
        </w:r>
        <w:r w:rsidR="00ED2F11">
          <w:rPr>
            <w:rFonts w:cs="Times New Roman" w:hint="cs"/>
            <w:rtl/>
            <w:lang w:eastAsia="zh-TW"/>
          </w:rPr>
          <w:t>‬</w:t>
        </w:r>
        <w:r w:rsidR="00ED2F11">
          <w:rPr>
            <w:rFonts w:cs="Times New Roman" w:hint="cs"/>
            <w:rtl/>
            <w:lang w:eastAsia="zh-TW"/>
          </w:rPr>
          <w:t>‬</w:t>
        </w:r>
        <w:r w:rsidR="00ED2F11">
          <w:rPr>
            <w:rFonts w:cs="Times New Roman" w:hint="cs"/>
            <w:rtl/>
            <w:lang w:eastAsia="zh-TW"/>
          </w:rPr>
          <w:t>‬</w:t>
        </w:r>
        <w:r w:rsidR="00ED2F11">
          <w:rPr>
            <w:rFonts w:cs="Times New Roman" w:hint="cs"/>
            <w:rtl/>
            <w:lang w:eastAsia="zh-TW"/>
          </w:rPr>
          <w:t>‬</w:t>
        </w:r>
        <w:r w:rsidR="00ED2F11">
          <w:rPr>
            <w:rFonts w:cs="Times New Roman" w:hint="cs"/>
            <w:rtl/>
            <w:lang w:eastAsia="zh-TW"/>
          </w:rPr>
          <w:t>‬</w:t>
        </w:r>
        <w:r w:rsidR="00ED2F11">
          <w:rPr>
            <w:rFonts w:cs="Times New Roman" w:hint="cs"/>
            <w:rtl/>
            <w:lang w:eastAsia="zh-TW"/>
          </w:rPr>
          <w:t>‬</w:t>
        </w:r>
        <w:r w:rsidR="00ED2F11">
          <w:rPr>
            <w:rFonts w:cs="Times New Roman" w:hint="cs"/>
            <w:rtl/>
            <w:lang w:eastAsia="zh-TW"/>
          </w:rPr>
          <w:t>‬</w:t>
        </w:r>
        <w:r w:rsidR="00ED2F11">
          <w:rPr>
            <w:rFonts w:cs="Times New Roman" w:hint="cs"/>
            <w:rtl/>
            <w:lang w:eastAsia="zh-TW"/>
          </w:rPr>
          <w:t>‬</w:t>
        </w:r>
        <w:r w:rsidR="00ED2F11">
          <w:rPr>
            <w:rFonts w:cs="Times New Roman" w:hint="cs"/>
            <w:rtl/>
            <w:lang w:eastAsia="zh-TW"/>
          </w:rPr>
          <w:t>‬</w:t>
        </w:r>
        <w:r w:rsidR="00ED2F11">
          <w:rPr>
            <w:rFonts w:ascii="Traditional Arabic" w:hAnsi="Traditional Arabic" w:hint="cs"/>
            <w:rtl/>
            <w:lang w:eastAsia="zh-TW"/>
          </w:rPr>
          <w:t>١٧</w:t>
        </w:r>
        <w:r w:rsidR="00ED2F11">
          <w:rPr>
            <w:rtl/>
            <w:lang w:eastAsia="zh-TW"/>
          </w:rPr>
          <w:t xml:space="preserve"> </w:t>
        </w:r>
        <w:r w:rsidR="00ED2F11">
          <w:rPr>
            <w:rFonts w:ascii="Traditional Arabic" w:hAnsi="Traditional Arabic" w:hint="cs"/>
            <w:rtl/>
            <w:lang w:eastAsia="zh-TW"/>
          </w:rPr>
          <w:t>كانون الثاني</w:t>
        </w:r>
        <w:r w:rsidR="00ED2F11">
          <w:rPr>
            <w:rtl/>
            <w:lang w:eastAsia="zh-TW"/>
          </w:rPr>
          <w:t>/</w:t>
        </w:r>
        <w:r w:rsidR="00ED2F11">
          <w:rPr>
            <w:rFonts w:ascii="Traditional Arabic" w:hAnsi="Traditional Arabic" w:hint="cs"/>
            <w:rtl/>
            <w:lang w:eastAsia="zh-TW"/>
          </w:rPr>
          <w:t>يناير</w:t>
        </w:r>
        <w:r w:rsidR="00ED2F11">
          <w:rPr>
            <w:rtl/>
            <w:lang w:eastAsia="zh-TW"/>
          </w:rPr>
          <w:t xml:space="preserve"> </w:t>
        </w:r>
        <w:r w:rsidR="00ED2F11">
          <w:rPr>
            <w:rFonts w:ascii="Traditional Arabic" w:hAnsi="Traditional Arabic" w:hint="cs"/>
            <w:rtl/>
            <w:lang w:eastAsia="zh-TW"/>
          </w:rPr>
          <w:t>٢٠١٧</w:t>
        </w:r>
        <w:r w:rsidR="00ED2F11">
          <w:rPr>
            <w:rtl/>
          </w:rPr>
          <w:t>‬</w:t>
        </w:r>
        <w:r w:rsidR="00ED2F11">
          <w:rPr>
            <w:rtl/>
          </w:rPr>
          <w:t>‬</w:t>
        </w:r>
        <w:r w:rsidR="00ED2F11">
          <w:rPr>
            <w:rtl/>
          </w:rPr>
          <w:t>‬</w:t>
        </w:r>
        <w:r>
          <w:t>‬</w:t>
        </w:r>
      </w:dir>
    </w:p>
    <w:p w:rsidR="00ED2F11" w:rsidRPr="009A1B9F" w:rsidRDefault="00ED0EE3" w:rsidP="00ED2F11">
      <w:pPr>
        <w:pStyle w:val="SingleTxtGA"/>
        <w:tabs>
          <w:tab w:val="clear" w:pos="1928"/>
          <w:tab w:val="clear" w:pos="2608"/>
          <w:tab w:val="clear" w:pos="3289"/>
          <w:tab w:val="clear" w:pos="3969"/>
          <w:tab w:val="clear" w:pos="4649"/>
          <w:tab w:val="left" w:pos="4557"/>
        </w:tabs>
        <w:ind w:left="4557" w:hanging="2629"/>
        <w:rPr>
          <w:rtl/>
          <w:lang w:eastAsia="zh-TW"/>
        </w:rPr>
      </w:pPr>
      <w:dir w:val="rtl">
        <w:r w:rsidR="00ED2F11" w:rsidRPr="00ED2F11">
          <w:rPr>
            <w:i/>
            <w:iCs/>
            <w:rtl/>
            <w:lang w:eastAsia="zh-TW"/>
          </w:rPr>
          <w:t>الموضوع:</w:t>
        </w:r>
        <w:r w:rsidR="00ED2F11">
          <w:rPr>
            <w:rtl/>
            <w:lang w:eastAsia="zh-TW"/>
          </w:rPr>
          <w:tab/>
          <w:t>تسجيل المواليد في السجل المدني</w:t>
        </w:r>
        <w:r w:rsidR="00ED2F11">
          <w:rPr>
            <w:rtl/>
          </w:rPr>
          <w:t>‬</w:t>
        </w:r>
        <w:r w:rsidR="00ED2F11">
          <w:rPr>
            <w:rtl/>
          </w:rPr>
          <w:t>‬</w:t>
        </w:r>
        <w:r w:rsidR="00ED2F11">
          <w:rPr>
            <w:rtl/>
          </w:rPr>
          <w:t>‬</w:t>
        </w:r>
        <w:r>
          <w:t>‬</w:t>
        </w:r>
      </w:dir>
    </w:p>
    <w:p w:rsidR="00ED2F11" w:rsidRPr="009A1B9F" w:rsidRDefault="00ED0EE3" w:rsidP="00ED2F11">
      <w:pPr>
        <w:pStyle w:val="SingleTxtGA"/>
        <w:tabs>
          <w:tab w:val="clear" w:pos="1928"/>
          <w:tab w:val="clear" w:pos="2608"/>
          <w:tab w:val="clear" w:pos="3289"/>
          <w:tab w:val="clear" w:pos="3969"/>
          <w:tab w:val="clear" w:pos="4649"/>
          <w:tab w:val="left" w:pos="4557"/>
        </w:tabs>
        <w:ind w:left="4557" w:hanging="2629"/>
        <w:rPr>
          <w:rtl/>
          <w:lang w:eastAsia="zh-TW"/>
        </w:rPr>
      </w:pPr>
      <w:dir w:val="rtl">
        <w:r w:rsidR="00ED2F11" w:rsidRPr="00ED2F11">
          <w:rPr>
            <w:i/>
            <w:iCs/>
            <w:rtl/>
            <w:lang w:eastAsia="zh-TW"/>
          </w:rPr>
          <w:t>المسائل الإجرائية:</w:t>
        </w:r>
        <w:r w:rsidR="00ED2F11">
          <w:rPr>
            <w:rtl/>
            <w:lang w:eastAsia="zh-TW"/>
          </w:rPr>
          <w:tab/>
        </w:r>
        <w:dir w:val="rtl">
          <w:r w:rsidR="00ED2F11">
            <w:rPr>
              <w:rtl/>
              <w:lang w:eastAsia="zh-TW"/>
            </w:rPr>
            <w:t>عدم إثبات الشكاوى</w:t>
          </w:r>
          <w:r w:rsidR="00ED2F11">
            <w:rPr>
              <w:rtl/>
            </w:rPr>
            <w:t>‬</w:t>
          </w:r>
          <w:r w:rsidR="00ED2F11">
            <w:rPr>
              <w:rtl/>
            </w:rPr>
            <w:t>‬</w:t>
          </w:r>
          <w:r w:rsidR="00ED2F11">
            <w:rPr>
              <w:rtl/>
            </w:rPr>
            <w:t>‬</w:t>
          </w:r>
          <w:r w:rsidR="00ED2F11">
            <w:rPr>
              <w:rtl/>
            </w:rPr>
            <w:t>‬</w:t>
          </w:r>
          <w:r w:rsidR="00ED2F11">
            <w:rPr>
              <w:rtl/>
            </w:rPr>
            <w:t>‬</w:t>
          </w:r>
          <w:r w:rsidR="00ED2F11">
            <w:rPr>
              <w:rtl/>
            </w:rPr>
            <w:t>‬</w:t>
          </w:r>
          <w:r>
            <w:t>‬</w:t>
          </w:r>
          <w:r>
            <w:t>‬</w:t>
          </w:r>
        </w:dir>
      </w:dir>
    </w:p>
    <w:p w:rsidR="00ED2F11" w:rsidRDefault="00ED0EE3" w:rsidP="00ED2F11">
      <w:pPr>
        <w:pStyle w:val="SingleTxtGA"/>
        <w:tabs>
          <w:tab w:val="clear" w:pos="1928"/>
          <w:tab w:val="clear" w:pos="2608"/>
          <w:tab w:val="clear" w:pos="3289"/>
          <w:tab w:val="clear" w:pos="3969"/>
          <w:tab w:val="clear" w:pos="4649"/>
          <w:tab w:val="left" w:pos="4557"/>
        </w:tabs>
        <w:ind w:left="4557" w:hanging="2629"/>
        <w:rPr>
          <w:rtl/>
          <w:lang w:eastAsia="zh-TW"/>
        </w:rPr>
      </w:pPr>
      <w:dir w:val="rtl">
        <w:r w:rsidR="00ED2F11" w:rsidRPr="00ED2F11">
          <w:rPr>
            <w:i/>
            <w:iCs/>
            <w:rtl/>
            <w:lang w:eastAsia="zh-TW"/>
          </w:rPr>
          <w:t>مادة الاتفاقية:</w:t>
        </w:r>
        <w:r w:rsidR="00ED2F11">
          <w:rPr>
            <w:rtl/>
            <w:lang w:eastAsia="zh-TW"/>
          </w:rPr>
          <w:tab/>
        </w:r>
        <w:r w:rsidR="00ED2F11">
          <w:rPr>
            <w:rFonts w:cs="Times New Roman" w:hint="cs"/>
            <w:rtl/>
            <w:lang w:eastAsia="zh-TW"/>
          </w:rPr>
          <w:t>‬</w:t>
        </w:r>
        <w:r w:rsidR="00ED2F11">
          <w:rPr>
            <w:rFonts w:cs="Times New Roman" w:hint="cs"/>
            <w:rtl/>
            <w:lang w:eastAsia="zh-TW"/>
          </w:rPr>
          <w:t>‬</w:t>
        </w:r>
        <w:r w:rsidR="00ED2F11">
          <w:rPr>
            <w:rFonts w:ascii="Traditional Arabic" w:hAnsi="Traditional Arabic" w:hint="cs"/>
            <w:rtl/>
            <w:lang w:eastAsia="zh-TW"/>
          </w:rPr>
          <w:t>٨</w:t>
        </w:r>
        <w:r w:rsidR="00ED2F11">
          <w:rPr>
            <w:rtl/>
          </w:rPr>
          <w:t>‬</w:t>
        </w:r>
        <w:r w:rsidR="00ED2F11">
          <w:rPr>
            <w:rtl/>
          </w:rPr>
          <w:t>‬</w:t>
        </w:r>
        <w:r w:rsidR="00ED2F11">
          <w:rPr>
            <w:rtl/>
          </w:rPr>
          <w:t>‬</w:t>
        </w:r>
        <w:r>
          <w:t>‬</w:t>
        </w:r>
      </w:dir>
    </w:p>
    <w:p w:rsidR="00ED2F11" w:rsidRDefault="00ED0EE3" w:rsidP="00ED2F11">
      <w:pPr>
        <w:pStyle w:val="SingleTxtGA"/>
        <w:tabs>
          <w:tab w:val="clear" w:pos="1928"/>
          <w:tab w:val="clear" w:pos="2608"/>
          <w:tab w:val="clear" w:pos="3289"/>
          <w:tab w:val="clear" w:pos="3969"/>
          <w:tab w:val="clear" w:pos="4649"/>
          <w:tab w:val="left" w:pos="4557"/>
        </w:tabs>
        <w:ind w:left="4557" w:hanging="2629"/>
        <w:rPr>
          <w:rtl/>
          <w:lang w:eastAsia="zh-TW"/>
        </w:rPr>
      </w:pPr>
      <w:dir w:val="rtl">
        <w:r w:rsidR="00ED2F11" w:rsidRPr="00ED2F11">
          <w:rPr>
            <w:i/>
            <w:iCs/>
            <w:rtl/>
            <w:lang w:eastAsia="zh-TW"/>
          </w:rPr>
          <w:t>مادة البروتوكول الاختياري:</w:t>
        </w:r>
        <w:r w:rsidR="00ED2F11">
          <w:rPr>
            <w:rtl/>
            <w:lang w:eastAsia="zh-TW"/>
          </w:rPr>
          <w:tab/>
        </w:r>
        <w:r w:rsidR="00ED2F11">
          <w:rPr>
            <w:rFonts w:cs="Times New Roman" w:hint="cs"/>
            <w:rtl/>
            <w:lang w:eastAsia="zh-TW"/>
          </w:rPr>
          <w:t>‬</w:t>
        </w:r>
        <w:r w:rsidR="00ED2F11">
          <w:rPr>
            <w:rtl/>
            <w:lang w:eastAsia="zh-TW"/>
          </w:rPr>
          <w:t>7(</w:t>
        </w:r>
        <w:r w:rsidR="00ED2F11">
          <w:rPr>
            <w:rFonts w:ascii="Traditional Arabic" w:hAnsi="Traditional Arabic" w:hint="cs"/>
            <w:rtl/>
            <w:lang w:eastAsia="zh-TW"/>
          </w:rPr>
          <w:t>و</w:t>
        </w:r>
        <w:r w:rsidR="00ED2F11">
          <w:rPr>
            <w:rtl/>
            <w:lang w:eastAsia="zh-TW"/>
          </w:rPr>
          <w:t>)</w:t>
        </w:r>
        <w:r w:rsidR="00ED2F11">
          <w:rPr>
            <w:rtl/>
          </w:rPr>
          <w:t>‬</w:t>
        </w:r>
        <w:r w:rsidR="00ED2F11">
          <w:rPr>
            <w:rtl/>
          </w:rPr>
          <w:t>‬</w:t>
        </w:r>
        <w:r w:rsidR="00ED2F11">
          <w:rPr>
            <w:rtl/>
          </w:rPr>
          <w:t>‬</w:t>
        </w:r>
        <w:r>
          <w:t>‬</w:t>
        </w:r>
      </w:dir>
    </w:p>
    <w:p w:rsidR="00ED2F11" w:rsidRPr="00673147" w:rsidRDefault="00ED2F11" w:rsidP="00D23876">
      <w:pPr>
        <w:pStyle w:val="SingleTxtGA"/>
        <w:keepNext/>
        <w:keepLines/>
        <w:pageBreakBefore/>
        <w:rPr>
          <w:rtl/>
          <w:lang w:eastAsia="zh-TW"/>
        </w:rPr>
      </w:pPr>
      <w:r>
        <w:rPr>
          <w:rtl/>
          <w:lang w:eastAsia="zh-TW"/>
        </w:rPr>
        <w:lastRenderedPageBreak/>
        <w:t>1-1</w:t>
      </w:r>
      <w:r>
        <w:rPr>
          <w:rFonts w:hint="cs"/>
          <w:rtl/>
          <w:lang w:eastAsia="zh-TW"/>
        </w:rPr>
        <w:tab/>
      </w:r>
      <w:r>
        <w:rPr>
          <w:rtl/>
          <w:lang w:eastAsia="zh-TW"/>
        </w:rPr>
        <w:t>صاحب البلاغ، السيد ج.</w:t>
      </w:r>
      <w:r>
        <w:rPr>
          <w:rFonts w:hint="cs"/>
          <w:rtl/>
          <w:lang w:eastAsia="zh-TW"/>
        </w:rPr>
        <w:t xml:space="preserve"> </w:t>
      </w:r>
      <w:r>
        <w:rPr>
          <w:rtl/>
          <w:lang w:eastAsia="zh-TW"/>
        </w:rPr>
        <w:t>أ.</w:t>
      </w:r>
      <w:r>
        <w:rPr>
          <w:rFonts w:hint="cs"/>
          <w:rtl/>
          <w:lang w:eastAsia="zh-TW"/>
        </w:rPr>
        <w:t xml:space="preserve"> </w:t>
      </w:r>
      <w:r>
        <w:rPr>
          <w:rtl/>
          <w:lang w:eastAsia="zh-TW"/>
        </w:rPr>
        <w:t>ب.</w:t>
      </w:r>
      <w:r>
        <w:rPr>
          <w:rFonts w:hint="cs"/>
          <w:rtl/>
          <w:lang w:eastAsia="zh-TW"/>
        </w:rPr>
        <w:t xml:space="preserve"> </w:t>
      </w:r>
      <w:r>
        <w:rPr>
          <w:rtl/>
          <w:lang w:eastAsia="zh-TW"/>
        </w:rPr>
        <w:t>س</w:t>
      </w:r>
      <w:r>
        <w:rPr>
          <w:rFonts w:hint="cs"/>
          <w:rtl/>
          <w:lang w:eastAsia="zh-TW"/>
        </w:rPr>
        <w:t>.</w:t>
      </w:r>
      <w:r>
        <w:rPr>
          <w:rtl/>
          <w:lang w:eastAsia="zh-TW"/>
        </w:rPr>
        <w:t>، مواطن كوستاريكي وأمريكي مولود في عام</w:t>
      </w:r>
      <w:r>
        <w:rPr>
          <w:rFonts w:hint="cs"/>
          <w:rtl/>
          <w:lang w:eastAsia="zh-TW"/>
        </w:rPr>
        <w:t> </w:t>
      </w:r>
      <w:r>
        <w:rPr>
          <w:rtl/>
          <w:lang w:eastAsia="zh-TW"/>
        </w:rPr>
        <w:t>1957. وهو يقدم البلاغ نيابة عن ابنيه التوأمين أ.</w:t>
      </w:r>
      <w:r>
        <w:rPr>
          <w:rFonts w:hint="cs"/>
          <w:rtl/>
          <w:lang w:eastAsia="zh-TW"/>
        </w:rPr>
        <w:t xml:space="preserve"> </w:t>
      </w:r>
      <w:r>
        <w:rPr>
          <w:rtl/>
          <w:lang w:eastAsia="zh-TW"/>
        </w:rPr>
        <w:t>ب.</w:t>
      </w:r>
      <w:r>
        <w:rPr>
          <w:rFonts w:hint="cs"/>
          <w:rtl/>
          <w:lang w:eastAsia="zh-TW"/>
        </w:rPr>
        <w:t xml:space="preserve"> </w:t>
      </w:r>
      <w:r>
        <w:rPr>
          <w:rtl/>
          <w:lang w:eastAsia="zh-TW"/>
        </w:rPr>
        <w:t>ه</w:t>
      </w:r>
      <w:r>
        <w:rPr>
          <w:rFonts w:hint="cs"/>
          <w:rtl/>
          <w:lang w:eastAsia="zh-TW"/>
        </w:rPr>
        <w:t>.</w:t>
      </w:r>
      <w:r>
        <w:rPr>
          <w:rtl/>
          <w:lang w:eastAsia="zh-TW"/>
        </w:rPr>
        <w:t xml:space="preserve"> </w:t>
      </w:r>
      <w:proofErr w:type="spellStart"/>
      <w:r>
        <w:rPr>
          <w:rtl/>
          <w:lang w:eastAsia="zh-TW"/>
        </w:rPr>
        <w:t>وم</w:t>
      </w:r>
      <w:proofErr w:type="spellEnd"/>
      <w:r>
        <w:rPr>
          <w:rtl/>
          <w:lang w:eastAsia="zh-TW"/>
        </w:rPr>
        <w:t>.</w:t>
      </w:r>
      <w:r>
        <w:rPr>
          <w:rFonts w:hint="cs"/>
          <w:rtl/>
          <w:lang w:eastAsia="zh-TW"/>
        </w:rPr>
        <w:t xml:space="preserve"> </w:t>
      </w:r>
      <w:r>
        <w:rPr>
          <w:rtl/>
          <w:lang w:eastAsia="zh-TW"/>
        </w:rPr>
        <w:t>ب.</w:t>
      </w:r>
      <w:r>
        <w:rPr>
          <w:rFonts w:hint="cs"/>
          <w:rtl/>
          <w:lang w:eastAsia="zh-TW"/>
        </w:rPr>
        <w:t xml:space="preserve"> </w:t>
      </w:r>
      <w:r>
        <w:rPr>
          <w:rtl/>
          <w:lang w:eastAsia="zh-TW"/>
        </w:rPr>
        <w:t>ه</w:t>
      </w:r>
      <w:r>
        <w:rPr>
          <w:rFonts w:hint="cs"/>
          <w:rtl/>
          <w:lang w:eastAsia="zh-TW"/>
        </w:rPr>
        <w:t>.</w:t>
      </w:r>
      <w:r>
        <w:rPr>
          <w:rtl/>
          <w:lang w:eastAsia="zh-TW"/>
        </w:rPr>
        <w:t xml:space="preserve"> المولودين في 23 حزيران/يونيه 2014. ويدّعي أن ابنيه ضحيتان لانتهاك المادة 8 من الاتفاقية. وصاحب البلاغ لا يمثله محام. وقد دخل البروتوكول الاختياري حيز النفاذ بالنسبة إلى الدولة الطرف في ١٤ نيسان/أبريل ٢٠١٤.</w:t>
      </w:r>
    </w:p>
    <w:p w:rsidR="00ED2F11" w:rsidRPr="00673147" w:rsidRDefault="00ED2F11" w:rsidP="002F6D66">
      <w:pPr>
        <w:pStyle w:val="SingleTxtGA"/>
        <w:rPr>
          <w:rtl/>
          <w:lang w:eastAsia="zh-TW"/>
        </w:rPr>
      </w:pPr>
      <w:r>
        <w:rPr>
          <w:rtl/>
          <w:lang w:eastAsia="zh-TW"/>
        </w:rPr>
        <w:t>1-2</w:t>
      </w:r>
      <w:r>
        <w:rPr>
          <w:rFonts w:hint="cs"/>
          <w:rtl/>
          <w:lang w:eastAsia="zh-TW"/>
        </w:rPr>
        <w:tab/>
      </w:r>
      <w:r>
        <w:rPr>
          <w:rtl/>
          <w:lang w:eastAsia="zh-TW"/>
        </w:rPr>
        <w:t>وإذ تتصرف اللجنة من خلال فريقها العامل المعني بالبلاغات، قررت في 27 حزيران/يونيه 2016، استنادا</w:t>
      </w:r>
      <w:r>
        <w:rPr>
          <w:rFonts w:hint="cs"/>
          <w:rtl/>
          <w:lang w:eastAsia="zh-TW"/>
        </w:rPr>
        <w:t>ً</w:t>
      </w:r>
      <w:r>
        <w:rPr>
          <w:rtl/>
          <w:lang w:eastAsia="zh-TW"/>
        </w:rPr>
        <w:t xml:space="preserve"> إلى نظامها الداخلي بموجب البروتوكول الاختياري لاتفاقية حقوق الطفل المتعلق بإجراء تقديم البلاغات، رفض طلب صاحب البلاغ اتخاذ تدابير مؤقتة لتسجيل ولادة ابنيه مؤقتا</w:t>
      </w:r>
      <w:r>
        <w:rPr>
          <w:rFonts w:hint="cs"/>
          <w:rtl/>
          <w:lang w:eastAsia="zh-TW"/>
        </w:rPr>
        <w:t>ً</w:t>
      </w:r>
      <w:r>
        <w:rPr>
          <w:rtl/>
          <w:lang w:eastAsia="zh-TW"/>
        </w:rPr>
        <w:t xml:space="preserve"> في السجلّ المدني الكوستاريكي باستخدام الألقاب المسندة إليهما في الولايات المتحدة الأمريكية. وفي التاريخ نفسه، قرّرت اللجنة، وفقا</w:t>
      </w:r>
      <w:r>
        <w:rPr>
          <w:rFonts w:hint="cs"/>
          <w:rtl/>
          <w:lang w:eastAsia="zh-TW"/>
        </w:rPr>
        <w:t>ً</w:t>
      </w:r>
      <w:r w:rsidR="002F6D66">
        <w:rPr>
          <w:rtl/>
          <w:lang w:eastAsia="zh-TW"/>
        </w:rPr>
        <w:t xml:space="preserve"> للمادة 18(1) من نظامها الداخلي</w:t>
      </w:r>
      <w:r>
        <w:rPr>
          <w:rtl/>
          <w:lang w:eastAsia="zh-TW"/>
        </w:rPr>
        <w:t>، أن النظر في المقبولية لا يتطلب إحالة البلاغ إلى الدولة الطرف للتعليق عليه.</w:t>
      </w:r>
    </w:p>
    <w:p w:rsidR="00ED2F11" w:rsidRPr="00673147" w:rsidRDefault="00ED2F11" w:rsidP="00ED2F11">
      <w:pPr>
        <w:pStyle w:val="H1GA"/>
        <w:rPr>
          <w:lang w:eastAsia="zh-TW"/>
        </w:rPr>
      </w:pPr>
      <w:r>
        <w:rPr>
          <w:lang w:eastAsia="zh-TW"/>
        </w:rPr>
        <w:tab/>
      </w:r>
      <w:r>
        <w:rPr>
          <w:lang w:eastAsia="zh-TW"/>
        </w:rPr>
        <w:tab/>
      </w:r>
      <w:dir w:val="rtl">
        <w:r w:rsidRPr="00AA2925">
          <w:rPr>
            <w:rtl/>
            <w:lang w:eastAsia="zh-TW"/>
          </w:rPr>
          <w:t>الوقائع كما عرضها صاحب البلاغ</w:t>
        </w:r>
        <w:r w:rsidRPr="00AA2925">
          <w:rPr>
            <w:rFonts w:cs="Times New Roman" w:hint="cs"/>
            <w:rtl/>
            <w:lang w:eastAsia="zh-TW"/>
          </w:rPr>
          <w:t>‬</w:t>
        </w:r>
        <w:r>
          <w:t>‬</w:t>
        </w:r>
        <w:r>
          <w:t>‬</w:t>
        </w:r>
        <w:r>
          <w:t>‬</w:t>
        </w:r>
        <w:r w:rsidR="00ED0EE3">
          <w:t>‬</w:t>
        </w:r>
        <w:bookmarkStart w:id="0" w:name="_GoBack"/>
        <w:bookmarkEnd w:id="0"/>
      </w:dir>
    </w:p>
    <w:p w:rsidR="00ED2F11" w:rsidRPr="00673147" w:rsidRDefault="00ED2F11" w:rsidP="00ED2F11">
      <w:pPr>
        <w:pStyle w:val="SingleTxtGA"/>
        <w:rPr>
          <w:rtl/>
          <w:lang w:eastAsia="zh-TW"/>
        </w:rPr>
      </w:pPr>
      <w:r>
        <w:rPr>
          <w:rtl/>
          <w:lang w:eastAsia="zh-TW"/>
        </w:rPr>
        <w:t>2-1</w:t>
      </w:r>
      <w:r>
        <w:rPr>
          <w:rFonts w:hint="cs"/>
          <w:rtl/>
          <w:lang w:eastAsia="zh-TW"/>
        </w:rPr>
        <w:tab/>
      </w:r>
      <w:r>
        <w:rPr>
          <w:rtl/>
          <w:lang w:eastAsia="zh-TW"/>
        </w:rPr>
        <w:t>وُلد ابنا صاحب البلاغ، أ.</w:t>
      </w:r>
      <w:r>
        <w:rPr>
          <w:rFonts w:hint="cs"/>
          <w:rtl/>
          <w:lang w:eastAsia="zh-TW"/>
        </w:rPr>
        <w:t xml:space="preserve"> </w:t>
      </w:r>
      <w:r>
        <w:rPr>
          <w:rtl/>
          <w:lang w:eastAsia="zh-TW"/>
        </w:rPr>
        <w:t>ب.</w:t>
      </w:r>
      <w:r>
        <w:rPr>
          <w:rFonts w:hint="cs"/>
          <w:rtl/>
          <w:lang w:eastAsia="zh-TW"/>
        </w:rPr>
        <w:t xml:space="preserve"> </w:t>
      </w:r>
      <w:r>
        <w:rPr>
          <w:rtl/>
          <w:lang w:eastAsia="zh-TW"/>
        </w:rPr>
        <w:t xml:space="preserve">ه. </w:t>
      </w:r>
      <w:proofErr w:type="spellStart"/>
      <w:r>
        <w:rPr>
          <w:rtl/>
          <w:lang w:eastAsia="zh-TW"/>
        </w:rPr>
        <w:t>وم</w:t>
      </w:r>
      <w:proofErr w:type="spellEnd"/>
      <w:r>
        <w:rPr>
          <w:rtl/>
          <w:lang w:eastAsia="zh-TW"/>
        </w:rPr>
        <w:t>.</w:t>
      </w:r>
      <w:r>
        <w:rPr>
          <w:rFonts w:hint="cs"/>
          <w:rtl/>
          <w:lang w:eastAsia="zh-TW"/>
        </w:rPr>
        <w:t xml:space="preserve"> </w:t>
      </w:r>
      <w:r>
        <w:rPr>
          <w:rtl/>
          <w:lang w:eastAsia="zh-TW"/>
        </w:rPr>
        <w:t>ب.</w:t>
      </w:r>
      <w:r>
        <w:rPr>
          <w:rFonts w:hint="cs"/>
          <w:rtl/>
          <w:lang w:eastAsia="zh-TW"/>
        </w:rPr>
        <w:t xml:space="preserve"> </w:t>
      </w:r>
      <w:r>
        <w:rPr>
          <w:rtl/>
          <w:lang w:eastAsia="zh-TW"/>
        </w:rPr>
        <w:t>ه. في ولاية كاليفورنيا (الولايات المتحدة الأمريكية)، عن طريق الإخصاب الأنبوبي باستخدام بويضة من متبرّعة وحيوان منوي من صاحب البلاغ. وقد تكلفت أم بديلة بالحمل إلى حين الوضع. وفي 2 أيار/مايو 2014، قضت المحكمة العليا لكاليفورنيا أن صاحبَ البلاغ هو الوالد القانوني الوحيد لهذين التوأمين اللذين لم يكونا قد ولدا بعد حينها، ومنحته السلطة الأبوية حصريا</w:t>
      </w:r>
      <w:r w:rsidR="009A6C48">
        <w:rPr>
          <w:rFonts w:hint="cs"/>
          <w:rtl/>
          <w:lang w:eastAsia="zh-TW"/>
        </w:rPr>
        <w:t>ً</w:t>
      </w:r>
      <w:r>
        <w:rPr>
          <w:rtl/>
          <w:lang w:eastAsia="zh-TW"/>
        </w:rPr>
        <w:t>، مع حرمان الأم البديلة من الصفة القانونية للأم عمل</w:t>
      </w:r>
      <w:r w:rsidR="009A6C48">
        <w:rPr>
          <w:rtl/>
          <w:lang w:eastAsia="zh-TW"/>
        </w:rPr>
        <w:t xml:space="preserve">اً </w:t>
      </w:r>
      <w:r>
        <w:rPr>
          <w:rtl/>
          <w:lang w:eastAsia="zh-TW"/>
        </w:rPr>
        <w:t>باتفاق تأجير الأرحام الذي وقعته مع صاحب البلاغ.</w:t>
      </w:r>
    </w:p>
    <w:p w:rsidR="00ED2F11" w:rsidRPr="00673147" w:rsidRDefault="00ED2F11" w:rsidP="00ED2F11">
      <w:pPr>
        <w:pStyle w:val="SingleTxtGA"/>
        <w:rPr>
          <w:rtl/>
          <w:lang w:eastAsia="zh-TW"/>
        </w:rPr>
      </w:pPr>
      <w:r>
        <w:rPr>
          <w:rtl/>
          <w:lang w:eastAsia="zh-TW"/>
        </w:rPr>
        <w:t>2-2</w:t>
      </w:r>
      <w:r>
        <w:rPr>
          <w:rFonts w:hint="cs"/>
          <w:rtl/>
          <w:lang w:eastAsia="zh-TW"/>
        </w:rPr>
        <w:tab/>
      </w:r>
      <w:r>
        <w:rPr>
          <w:rtl/>
          <w:lang w:eastAsia="zh-TW"/>
        </w:rPr>
        <w:t>وتتضمن شهادات ميلاد ابني صاحب البلاغ الصادرتين في الولايات المتحدة الأمريكية لقبين اثنين، وهما: اللقب الأول لصاحب البلاغ ولقب المتبرعة بالبويضة قبل الزواج. وقد سُجّل اسم صاحب البلاغ على شهادات الميلاد في خانة اسم الأب، بينما تركت فارغة خانة اسم الأم. ويشير صاحب البلاغ إلى أن اتفاق التبرع بالبويضة تضمّن بند</w:t>
      </w:r>
      <w:r w:rsidR="009A6C48">
        <w:rPr>
          <w:rtl/>
          <w:lang w:eastAsia="zh-TW"/>
        </w:rPr>
        <w:t xml:space="preserve">اً </w:t>
      </w:r>
      <w:r>
        <w:rPr>
          <w:rtl/>
          <w:lang w:eastAsia="zh-TW"/>
        </w:rPr>
        <w:t>ينصّ على عدم الكشف عن هوية المتبرعة. غير أنها وافقت على كشف هويتها لصاحب البلاغ وفسح المجال أمام الطفلين للتواصل معها عند بلوغهما سن الثامنة عشرة إذا ما رغبا في ذلك.</w:t>
      </w:r>
    </w:p>
    <w:p w:rsidR="00ED2F11" w:rsidRPr="00673147" w:rsidRDefault="00ED2F11" w:rsidP="00ED2F11">
      <w:pPr>
        <w:pStyle w:val="SingleTxtGA"/>
        <w:rPr>
          <w:rtl/>
          <w:lang w:eastAsia="zh-TW"/>
        </w:rPr>
      </w:pPr>
      <w:r>
        <w:rPr>
          <w:rtl/>
          <w:lang w:eastAsia="zh-TW"/>
        </w:rPr>
        <w:t>2-3</w:t>
      </w:r>
      <w:r>
        <w:rPr>
          <w:rFonts w:hint="cs"/>
          <w:rtl/>
          <w:lang w:eastAsia="zh-TW"/>
        </w:rPr>
        <w:tab/>
      </w:r>
      <w:r>
        <w:rPr>
          <w:rtl/>
          <w:lang w:eastAsia="zh-TW"/>
        </w:rPr>
        <w:t>وفي 22 تموز/يوليه 2014، دخل صاحب البلاغ وابناه كوستاريكا بجوازات سفرهم الأمريكية. وفي 30 تموز/يوليه 2014، طلب صاحب البلاغ أن تسجل ولادة ابنيه في السجل المدني للمحكمة الانتخابية العليا لكوستاريكا. وبموجب قرار مؤرخ 19 آب/أغسطس 2014، وافق السجل المدني على تسجيل ولادة ابني صاحب البلاغ باستخدام لقبي صاحب البلاغ، وفقا</w:t>
      </w:r>
      <w:r>
        <w:rPr>
          <w:rFonts w:hint="cs"/>
          <w:rtl/>
          <w:lang w:eastAsia="zh-TW"/>
        </w:rPr>
        <w:t>ً</w:t>
      </w:r>
      <w:r>
        <w:rPr>
          <w:rtl/>
          <w:lang w:eastAsia="zh-TW"/>
        </w:rPr>
        <w:t xml:space="preserve"> للقانون المدني الكوستاريكي، وأبلغ صاحب البلاغ بقراره في التاريخ نفسه. </w:t>
      </w:r>
    </w:p>
    <w:p w:rsidR="00ED2F11" w:rsidRPr="00673147" w:rsidRDefault="00ED2F11" w:rsidP="00ED2F11">
      <w:pPr>
        <w:pStyle w:val="SingleTxtGA"/>
        <w:rPr>
          <w:rtl/>
          <w:lang w:eastAsia="zh-TW"/>
        </w:rPr>
      </w:pPr>
      <w:r>
        <w:rPr>
          <w:rtl/>
          <w:lang w:eastAsia="zh-TW"/>
        </w:rPr>
        <w:t>2-4</w:t>
      </w:r>
      <w:r>
        <w:rPr>
          <w:rFonts w:hint="cs"/>
          <w:rtl/>
          <w:lang w:eastAsia="zh-TW"/>
        </w:rPr>
        <w:tab/>
      </w:r>
      <w:r>
        <w:rPr>
          <w:rtl/>
          <w:lang w:eastAsia="zh-TW"/>
        </w:rPr>
        <w:t>وقدّم صاحب البلاغ طعن</w:t>
      </w:r>
      <w:r w:rsidR="009A6C48">
        <w:rPr>
          <w:rtl/>
          <w:lang w:eastAsia="zh-TW"/>
        </w:rPr>
        <w:t xml:space="preserve">اً </w:t>
      </w:r>
      <w:r>
        <w:rPr>
          <w:rtl/>
          <w:lang w:eastAsia="zh-TW"/>
        </w:rPr>
        <w:t>في قرار السجلّ المدني الذي أبطلته المحكمة الانتخابية العليا في 3 تشرين الأول/أكتوبر 2014 بدافع أن ولادة طفلي صاحب البلاغ في الولايات المتحدة الأمريكية وتسجيلهما بموجب قوانينها لا يلزم كوستاريكا بتسجيل ولادتهما بالطريقة نفسها، بالنظر إلى وجود لوائح وطنية إلزامية نافذة بهذا الخصوص في كوستاريكا. ورأت المحكمة أنه بالنظر إلى عدم تحديد نَسَب الطفلين إلى الأم فإن الحل الوحيد المقبول قانونا</w:t>
      </w:r>
      <w:r w:rsidR="009A6C48">
        <w:rPr>
          <w:rFonts w:hint="cs"/>
          <w:rtl/>
          <w:lang w:eastAsia="zh-TW"/>
        </w:rPr>
        <w:t>ً</w:t>
      </w:r>
      <w:r>
        <w:rPr>
          <w:rtl/>
          <w:lang w:eastAsia="zh-TW"/>
        </w:rPr>
        <w:t xml:space="preserve"> هو تطبيق أحكام </w:t>
      </w:r>
      <w:r>
        <w:rPr>
          <w:rtl/>
          <w:lang w:eastAsia="zh-TW"/>
        </w:rPr>
        <w:lastRenderedPageBreak/>
        <w:t>القانون المدني المماثلة المطبقة على حالة الأطفال المولودين خارج إطار الزواج، وإسناد لقب الأب إلى الطفلين</w:t>
      </w:r>
      <w:r w:rsidRPr="00ED2F11">
        <w:rPr>
          <w:rFonts w:hint="cs"/>
          <w:vertAlign w:val="superscript"/>
          <w:rtl/>
          <w:lang w:eastAsia="zh-TW"/>
        </w:rPr>
        <w:t>(</w:t>
      </w:r>
      <w:r w:rsidRPr="00ED2F11">
        <w:rPr>
          <w:rStyle w:val="FootnoteReference"/>
          <w:rtl/>
          <w:lang w:eastAsia="zh-TW"/>
        </w:rPr>
        <w:footnoteReference w:id="3"/>
      </w:r>
      <w:r w:rsidRPr="00ED2F11">
        <w:rPr>
          <w:rFonts w:hint="cs"/>
          <w:vertAlign w:val="superscript"/>
          <w:rtl/>
          <w:lang w:eastAsia="zh-TW"/>
        </w:rPr>
        <w:t>)</w:t>
      </w:r>
      <w:r>
        <w:rPr>
          <w:rFonts w:hint="cs"/>
          <w:rtl/>
          <w:lang w:eastAsia="zh-TW"/>
        </w:rPr>
        <w:t>.</w:t>
      </w:r>
    </w:p>
    <w:p w:rsidR="00ED2F11" w:rsidRPr="00673147" w:rsidRDefault="00ED2F11" w:rsidP="00ED2F11">
      <w:pPr>
        <w:pStyle w:val="SingleTxtGA"/>
        <w:rPr>
          <w:rtl/>
          <w:lang w:eastAsia="zh-TW"/>
        </w:rPr>
      </w:pPr>
      <w:r>
        <w:rPr>
          <w:rtl/>
          <w:lang w:eastAsia="zh-TW"/>
        </w:rPr>
        <w:t>2-5</w:t>
      </w:r>
      <w:r>
        <w:rPr>
          <w:rFonts w:hint="cs"/>
          <w:rtl/>
          <w:lang w:eastAsia="zh-TW"/>
        </w:rPr>
        <w:tab/>
      </w:r>
      <w:r>
        <w:rPr>
          <w:rtl/>
          <w:lang w:eastAsia="zh-TW"/>
        </w:rPr>
        <w:t>وفي 19 كانون الأول/ديسمبر 2014، رفضت الدائرة الدستورية للمحكمة العليا طلب صاحب البلاغ إنفاذ الحقوق الدستورية، مؤيدة الاستنتاج الذي يفيد بأن القوانين في البلد الأصلي للأطفال غير ملزمة لكوستاريكا لأنها تملك لوائح إلزامية بشأن تسجيل المواليد. ورأت المحكمة أيض</w:t>
      </w:r>
      <w:r w:rsidR="009A6C48">
        <w:rPr>
          <w:rtl/>
          <w:lang w:eastAsia="zh-TW"/>
        </w:rPr>
        <w:t xml:space="preserve">اً </w:t>
      </w:r>
      <w:r>
        <w:rPr>
          <w:rtl/>
          <w:lang w:eastAsia="zh-TW"/>
        </w:rPr>
        <w:t>أنه لم يحدث، بأي حال من الأحوال، انتهاك للحقوق الأساسية، لأن صاحب البلاغ لم يحرم من حق تسجيل طفليه كمواطنين كوستاريكيين.</w:t>
      </w:r>
    </w:p>
    <w:p w:rsidR="00ED2F11" w:rsidRPr="00594D1E" w:rsidRDefault="00ED2F11" w:rsidP="00ED2F11">
      <w:pPr>
        <w:pStyle w:val="H23GA"/>
        <w:rPr>
          <w:rtl/>
        </w:rPr>
      </w:pPr>
      <w:r>
        <w:tab/>
      </w:r>
      <w:r w:rsidRPr="00594D1E">
        <w:tab/>
      </w:r>
      <w:dir w:val="rtl">
        <w:r w:rsidRPr="00594D1E">
          <w:rPr>
            <w:rtl/>
          </w:rPr>
          <w:t>الشكوى</w:t>
        </w:r>
        <w:r w:rsidRPr="00594D1E">
          <w:rPr>
            <w:rFonts w:cs="Times New Roman" w:hint="cs"/>
            <w:rtl/>
          </w:rPr>
          <w:t>‬</w:t>
        </w:r>
        <w:r>
          <w:t>‬</w:t>
        </w:r>
        <w:r>
          <w:t>‬</w:t>
        </w:r>
        <w:r>
          <w:t>‬</w:t>
        </w:r>
        <w:r w:rsidR="00ED0EE3">
          <w:t>‬</w:t>
        </w:r>
      </w:dir>
    </w:p>
    <w:p w:rsidR="00ED2F11" w:rsidRPr="00673147" w:rsidRDefault="00ED2F11" w:rsidP="009A6C48">
      <w:pPr>
        <w:pStyle w:val="SingleTxtGA"/>
        <w:rPr>
          <w:rtl/>
          <w:lang w:eastAsia="zh-TW"/>
        </w:rPr>
      </w:pPr>
      <w:r>
        <w:rPr>
          <w:rtl/>
          <w:lang w:eastAsia="zh-TW"/>
        </w:rPr>
        <w:t>3-1</w:t>
      </w:r>
      <w:r>
        <w:rPr>
          <w:rFonts w:hint="cs"/>
          <w:rtl/>
          <w:lang w:eastAsia="zh-TW"/>
        </w:rPr>
        <w:tab/>
      </w:r>
      <w:r>
        <w:rPr>
          <w:rtl/>
          <w:lang w:eastAsia="zh-TW"/>
        </w:rPr>
        <w:t>يدّعي صاحب البلاغ حدوث انتهاك لحق ابنيه في الحفاظ على هويتهما بموجب المادة</w:t>
      </w:r>
      <w:r w:rsidR="009A6C48">
        <w:rPr>
          <w:rFonts w:hint="cs"/>
          <w:rtl/>
          <w:lang w:eastAsia="zh-TW"/>
        </w:rPr>
        <w:t> </w:t>
      </w:r>
      <w:r>
        <w:rPr>
          <w:rtl/>
          <w:lang w:eastAsia="zh-TW"/>
        </w:rPr>
        <w:t>8 من الاتفاقية، وبوجه خاص، الحق في معرفة أصولهما البيولوجية معرفة كاملة. وبإم</w:t>
      </w:r>
      <w:r w:rsidR="009A6C48">
        <w:rPr>
          <w:rtl/>
          <w:lang w:eastAsia="zh-TW"/>
        </w:rPr>
        <w:t xml:space="preserve">كان الطفلين </w:t>
      </w:r>
      <w:r>
        <w:rPr>
          <w:rtl/>
          <w:lang w:eastAsia="zh-TW"/>
        </w:rPr>
        <w:t>الحفاظ على هوية ميلادهما الحقيقية والاحتفاظ بعلاقة طبيعية دائمة مع هذه الهوية من خلال حمل لقب أمهما البيولوجية قبل الزواج.</w:t>
      </w:r>
    </w:p>
    <w:p w:rsidR="00ED2F11" w:rsidRPr="00673147" w:rsidRDefault="00ED2F11" w:rsidP="00ED2F11">
      <w:pPr>
        <w:pStyle w:val="SingleTxtGA"/>
        <w:rPr>
          <w:rtl/>
          <w:lang w:eastAsia="zh-TW"/>
        </w:rPr>
      </w:pPr>
      <w:r>
        <w:rPr>
          <w:rtl/>
          <w:lang w:eastAsia="zh-TW"/>
        </w:rPr>
        <w:t>3-2</w:t>
      </w:r>
      <w:r>
        <w:rPr>
          <w:rFonts w:hint="cs"/>
          <w:rtl/>
          <w:lang w:eastAsia="zh-TW"/>
        </w:rPr>
        <w:tab/>
      </w:r>
      <w:r>
        <w:rPr>
          <w:rtl/>
          <w:lang w:eastAsia="zh-TW"/>
        </w:rPr>
        <w:t>ويدفع صاحب البلاغ بأن تطبيق القانون المدني الكوستاريكي كان خاطئ</w:t>
      </w:r>
      <w:r w:rsidR="009A6C48">
        <w:rPr>
          <w:rtl/>
          <w:lang w:eastAsia="zh-TW"/>
        </w:rPr>
        <w:t xml:space="preserve">اً </w:t>
      </w:r>
      <w:r>
        <w:rPr>
          <w:rtl/>
          <w:lang w:eastAsia="zh-TW"/>
        </w:rPr>
        <w:t>وتعسّفي</w:t>
      </w:r>
      <w:r w:rsidR="009A6C48">
        <w:rPr>
          <w:rtl/>
          <w:lang w:eastAsia="zh-TW"/>
        </w:rPr>
        <w:t xml:space="preserve">اً </w:t>
      </w:r>
      <w:r>
        <w:rPr>
          <w:rtl/>
          <w:lang w:eastAsia="zh-TW"/>
        </w:rPr>
        <w:t>لأنه لا يرتبط ارتباط</w:t>
      </w:r>
      <w:r w:rsidR="009A6C48">
        <w:rPr>
          <w:rtl/>
          <w:lang w:eastAsia="zh-TW"/>
        </w:rPr>
        <w:t xml:space="preserve">اً </w:t>
      </w:r>
      <w:r>
        <w:rPr>
          <w:rtl/>
          <w:lang w:eastAsia="zh-TW"/>
        </w:rPr>
        <w:t>مباشر</w:t>
      </w:r>
      <w:r w:rsidR="009A6C48">
        <w:rPr>
          <w:rtl/>
          <w:lang w:eastAsia="zh-TW"/>
        </w:rPr>
        <w:t xml:space="preserve">اً </w:t>
      </w:r>
      <w:r>
        <w:rPr>
          <w:rtl/>
          <w:lang w:eastAsia="zh-TW"/>
        </w:rPr>
        <w:t>أو صارم</w:t>
      </w:r>
      <w:r w:rsidR="009A6C48">
        <w:rPr>
          <w:rtl/>
          <w:lang w:eastAsia="zh-TW"/>
        </w:rPr>
        <w:t xml:space="preserve">اً </w:t>
      </w:r>
      <w:r>
        <w:rPr>
          <w:rtl/>
          <w:lang w:eastAsia="zh-TW"/>
        </w:rPr>
        <w:t>بالدستور أو بقانون الخيارات والتجنيس لكوستاريكا وبأن أحكام القانون المدني تنطبق على الكوستاريكيين المولودين في الإقليم الوطني وليس على أولئك</w:t>
      </w:r>
      <w:r w:rsidR="009A6C48">
        <w:rPr>
          <w:rtl/>
          <w:lang w:eastAsia="zh-TW"/>
        </w:rPr>
        <w:t xml:space="preserve"> المولودين في الخارج</w:t>
      </w:r>
      <w:r w:rsidR="009A6C48" w:rsidRPr="009A6C48">
        <w:rPr>
          <w:rFonts w:hint="cs"/>
          <w:vertAlign w:val="superscript"/>
          <w:rtl/>
          <w:lang w:eastAsia="zh-TW"/>
        </w:rPr>
        <w:t>(</w:t>
      </w:r>
      <w:r w:rsidRPr="009A6C48">
        <w:rPr>
          <w:rStyle w:val="FootnoteReference"/>
          <w:rtl/>
          <w:lang w:eastAsia="zh-TW"/>
        </w:rPr>
        <w:footnoteReference w:id="4"/>
      </w:r>
      <w:r w:rsidR="009A6C48" w:rsidRPr="009A6C48">
        <w:rPr>
          <w:rFonts w:hint="cs"/>
          <w:vertAlign w:val="superscript"/>
          <w:rtl/>
          <w:lang w:eastAsia="zh-TW"/>
        </w:rPr>
        <w:t>)</w:t>
      </w:r>
      <w:r w:rsidR="009A6C48">
        <w:rPr>
          <w:rFonts w:hint="cs"/>
          <w:rtl/>
          <w:lang w:eastAsia="zh-TW"/>
        </w:rPr>
        <w:t>.</w:t>
      </w:r>
    </w:p>
    <w:p w:rsidR="00ED2F11" w:rsidRPr="00673147" w:rsidRDefault="00ED2F11" w:rsidP="00ED2F11">
      <w:pPr>
        <w:pStyle w:val="SingleTxtGA"/>
        <w:rPr>
          <w:rtl/>
          <w:lang w:eastAsia="zh-TW"/>
        </w:rPr>
      </w:pPr>
      <w:r>
        <w:rPr>
          <w:rtl/>
          <w:lang w:eastAsia="zh-TW"/>
        </w:rPr>
        <w:t>3-3</w:t>
      </w:r>
      <w:r>
        <w:rPr>
          <w:rFonts w:hint="cs"/>
          <w:rtl/>
          <w:lang w:eastAsia="zh-TW"/>
        </w:rPr>
        <w:tab/>
      </w:r>
      <w:r>
        <w:rPr>
          <w:rtl/>
          <w:lang w:eastAsia="zh-TW"/>
        </w:rPr>
        <w:t>ويدفع صاحب البلاغ أيض</w:t>
      </w:r>
      <w:r w:rsidR="009A6C48">
        <w:rPr>
          <w:rtl/>
          <w:lang w:eastAsia="zh-TW"/>
        </w:rPr>
        <w:t xml:space="preserve">اً </w:t>
      </w:r>
      <w:r>
        <w:rPr>
          <w:rtl/>
          <w:lang w:eastAsia="zh-TW"/>
        </w:rPr>
        <w:t>بأن عدم إخطاره من قبل السجل المدني للمحكمة الانتخابية العليا بقراره المتعلق بكيفية تسجيل ولادة ابنيه إلا بعد اعتماده، ومن ثم منعه من الطعن فيه، يشكل انتهاك</w:t>
      </w:r>
      <w:r w:rsidR="009A6C48">
        <w:rPr>
          <w:rtl/>
          <w:lang w:eastAsia="zh-TW"/>
        </w:rPr>
        <w:t xml:space="preserve">اً </w:t>
      </w:r>
      <w:r>
        <w:rPr>
          <w:rtl/>
          <w:lang w:eastAsia="zh-TW"/>
        </w:rPr>
        <w:t>لحق طفليه في مراعاة الأصول القانونية في المسائل الإدارية. وبالإضافة إلى ذلك، لم يُمنح صاحب البلاغ فرصة سحب طلبه تسجيل ابنيه كمواطنين كوستاريكيين في حالة عدم الموافقة على طلبه تغيير اسميهما العائلي.</w:t>
      </w:r>
    </w:p>
    <w:p w:rsidR="00ED2F11" w:rsidRPr="008E7C86" w:rsidRDefault="00ED2F11" w:rsidP="009A6C48">
      <w:pPr>
        <w:pStyle w:val="H23GA"/>
        <w:rPr>
          <w:rtl/>
        </w:rPr>
      </w:pPr>
      <w:r>
        <w:tab/>
      </w:r>
      <w:r w:rsidRPr="008E7C86">
        <w:tab/>
      </w:r>
      <w:dir w:val="rtl">
        <w:r w:rsidRPr="008E7C86">
          <w:rPr>
            <w:rtl/>
          </w:rPr>
          <w:t>القضايا و</w:t>
        </w:r>
        <w:r w:rsidR="009A6C48">
          <w:rPr>
            <w:rFonts w:hint="cs"/>
            <w:rtl/>
          </w:rPr>
          <w:t>الإ</w:t>
        </w:r>
        <w:r w:rsidRPr="008E7C86">
          <w:rPr>
            <w:rtl/>
          </w:rPr>
          <w:t>جراءات المعروضة على اللجنة</w:t>
        </w:r>
        <w:r w:rsidRPr="008E7C86">
          <w:rPr>
            <w:rFonts w:cs="Times New Roman" w:hint="cs"/>
            <w:rtl/>
          </w:rPr>
          <w:t>‬</w:t>
        </w:r>
        <w:r>
          <w:t>‬</w:t>
        </w:r>
        <w:r>
          <w:t>‬</w:t>
        </w:r>
        <w:r>
          <w:t>‬</w:t>
        </w:r>
        <w:r w:rsidR="00ED0EE3">
          <w:t>‬</w:t>
        </w:r>
      </w:dir>
    </w:p>
    <w:p w:rsidR="00ED2F11" w:rsidRPr="008E7C86" w:rsidRDefault="00ED2F11" w:rsidP="00ED2F11">
      <w:pPr>
        <w:pStyle w:val="H4GA"/>
        <w:rPr>
          <w:rtl/>
          <w:lang w:eastAsia="zh-TW"/>
        </w:rPr>
      </w:pPr>
      <w:r>
        <w:rPr>
          <w:lang w:eastAsia="zh-TW"/>
        </w:rPr>
        <w:tab/>
      </w:r>
      <w:r w:rsidRPr="008E7C86">
        <w:rPr>
          <w:lang w:eastAsia="zh-TW"/>
        </w:rPr>
        <w:tab/>
      </w:r>
      <w:r w:rsidRPr="008E7C86">
        <w:rPr>
          <w:rtl/>
          <w:lang w:eastAsia="zh-TW"/>
        </w:rPr>
        <w:t>النظر في مقبولية البلاغ</w:t>
      </w:r>
    </w:p>
    <w:p w:rsidR="00ED2F11" w:rsidRPr="00673147" w:rsidRDefault="00ED2F11" w:rsidP="00ED2F11">
      <w:pPr>
        <w:pStyle w:val="SingleTxtGA"/>
        <w:rPr>
          <w:rtl/>
          <w:lang w:eastAsia="zh-TW"/>
        </w:rPr>
      </w:pPr>
      <w:r>
        <w:rPr>
          <w:rtl/>
          <w:lang w:eastAsia="zh-TW"/>
        </w:rPr>
        <w:t>4-1</w:t>
      </w:r>
      <w:r>
        <w:rPr>
          <w:rFonts w:hint="cs"/>
          <w:rtl/>
          <w:lang w:eastAsia="zh-TW"/>
        </w:rPr>
        <w:tab/>
      </w:r>
      <w:r>
        <w:rPr>
          <w:rtl/>
          <w:lang w:eastAsia="zh-TW"/>
        </w:rPr>
        <w:t>قبل النظر في أي ادعاء يَرد في بلاغٍ ما، يجب على اللجنة، وفقاً للمادة 20 من نظامها الداخلي، أن تقرر ما إذا كان البلاغ مقبولاً أم لا.</w:t>
      </w:r>
    </w:p>
    <w:p w:rsidR="00ED2F11" w:rsidRPr="00673147" w:rsidRDefault="00ED2F11" w:rsidP="002F6D66">
      <w:pPr>
        <w:pStyle w:val="SingleTxtGA"/>
        <w:rPr>
          <w:rtl/>
          <w:lang w:eastAsia="zh-TW"/>
        </w:rPr>
      </w:pPr>
      <w:r>
        <w:rPr>
          <w:rtl/>
          <w:lang w:eastAsia="zh-TW"/>
        </w:rPr>
        <w:t>4-2</w:t>
      </w:r>
      <w:r>
        <w:rPr>
          <w:rFonts w:hint="cs"/>
          <w:rtl/>
          <w:lang w:eastAsia="zh-TW"/>
        </w:rPr>
        <w:tab/>
      </w:r>
      <w:r>
        <w:rPr>
          <w:rtl/>
          <w:lang w:eastAsia="zh-TW"/>
        </w:rPr>
        <w:t>وتحيط اللجنة علما</w:t>
      </w:r>
      <w:r>
        <w:rPr>
          <w:rFonts w:hint="cs"/>
          <w:rtl/>
          <w:lang w:eastAsia="zh-TW"/>
        </w:rPr>
        <w:t>ً</w:t>
      </w:r>
      <w:r>
        <w:rPr>
          <w:rtl/>
          <w:lang w:eastAsia="zh-TW"/>
        </w:rPr>
        <w:t xml:space="preserve"> بقرار السلطات الكوستاريكية الذي يقضي بتسجيل ولادة الطفلين في السجل المدني وفق</w:t>
      </w:r>
      <w:r w:rsidR="009A6C48">
        <w:rPr>
          <w:rtl/>
          <w:lang w:eastAsia="zh-TW"/>
        </w:rPr>
        <w:t xml:space="preserve">اً </w:t>
      </w:r>
      <w:r>
        <w:rPr>
          <w:rtl/>
          <w:lang w:eastAsia="zh-TW"/>
        </w:rPr>
        <w:t xml:space="preserve">للمعايير المنصوص عليها في القانون المدني الكوستاريكي، وبمعزل عن المعايير المطبقة في بلد مولد الطفل. وتشير اللجنة في هذا الصدد إلى أنه يتعين على الدول </w:t>
      </w:r>
      <w:r w:rsidR="002F6D66">
        <w:rPr>
          <w:rFonts w:hint="cs"/>
          <w:rtl/>
          <w:lang w:eastAsia="zh-TW"/>
        </w:rPr>
        <w:t>الأطراف</w:t>
      </w:r>
      <w:r>
        <w:rPr>
          <w:rtl/>
          <w:lang w:eastAsia="zh-TW"/>
        </w:rPr>
        <w:t>، وفق</w:t>
      </w:r>
      <w:r w:rsidR="009A6C48">
        <w:rPr>
          <w:rtl/>
          <w:lang w:eastAsia="zh-TW"/>
        </w:rPr>
        <w:t xml:space="preserve">اً </w:t>
      </w:r>
      <w:r>
        <w:rPr>
          <w:rtl/>
          <w:lang w:eastAsia="zh-TW"/>
        </w:rPr>
        <w:t>للمادة 7 من الاتفاقية، ضمان إعمال الحق في اسم وفق</w:t>
      </w:r>
      <w:r w:rsidR="009A6C48">
        <w:rPr>
          <w:rtl/>
          <w:lang w:eastAsia="zh-TW"/>
        </w:rPr>
        <w:t xml:space="preserve">اً </w:t>
      </w:r>
      <w:r>
        <w:rPr>
          <w:rtl/>
          <w:lang w:eastAsia="zh-TW"/>
        </w:rPr>
        <w:t>لقانونها الوطني. وترى اللجنة أن صاحب البلاغ لم يقدم حججا</w:t>
      </w:r>
      <w:r w:rsidR="009A6C48">
        <w:rPr>
          <w:rFonts w:hint="cs"/>
          <w:rtl/>
          <w:lang w:eastAsia="zh-TW"/>
        </w:rPr>
        <w:t>ً</w:t>
      </w:r>
      <w:r>
        <w:rPr>
          <w:rtl/>
          <w:lang w:eastAsia="zh-TW"/>
        </w:rPr>
        <w:t xml:space="preserve"> دامغة تثبت أن إسناد لقبيه إلى طفليه، تمشي</w:t>
      </w:r>
      <w:r w:rsidR="009A6C48">
        <w:rPr>
          <w:rtl/>
          <w:lang w:eastAsia="zh-TW"/>
        </w:rPr>
        <w:t xml:space="preserve">اً </w:t>
      </w:r>
      <w:r>
        <w:rPr>
          <w:rtl/>
          <w:lang w:eastAsia="zh-TW"/>
        </w:rPr>
        <w:t xml:space="preserve">مع </w:t>
      </w:r>
      <w:r>
        <w:rPr>
          <w:rtl/>
          <w:lang w:eastAsia="zh-TW"/>
        </w:rPr>
        <w:lastRenderedPageBreak/>
        <w:t>القانون الكوستاريكي، يعوق قدرتهما على معرفة أصولهما البيولوجية معرفة كاملة أو لا يحترم حقهما في الحفاظ على هويتهما.</w:t>
      </w:r>
    </w:p>
    <w:p w:rsidR="00ED2F11" w:rsidRPr="00673147" w:rsidRDefault="00ED2F11" w:rsidP="00B2178D">
      <w:pPr>
        <w:pStyle w:val="SingleTxtGA"/>
        <w:rPr>
          <w:rtl/>
          <w:lang w:eastAsia="zh-TW"/>
        </w:rPr>
      </w:pPr>
      <w:r>
        <w:rPr>
          <w:rtl/>
          <w:lang w:eastAsia="zh-TW"/>
        </w:rPr>
        <w:t>4-3</w:t>
      </w:r>
      <w:r>
        <w:rPr>
          <w:rFonts w:hint="cs"/>
          <w:rtl/>
          <w:lang w:eastAsia="zh-TW"/>
        </w:rPr>
        <w:tab/>
      </w:r>
      <w:r>
        <w:rPr>
          <w:rtl/>
          <w:lang w:eastAsia="zh-TW"/>
        </w:rPr>
        <w:t>وفيما يتعلق بدفوعات صاحب البلاغ بشأن مزاعم تطبيق السلطات الوطنية لقانون كوستاريكا تطبيق</w:t>
      </w:r>
      <w:r w:rsidR="009A6C48">
        <w:rPr>
          <w:rtl/>
          <w:lang w:eastAsia="zh-TW"/>
        </w:rPr>
        <w:t xml:space="preserve">اً </w:t>
      </w:r>
      <w:r>
        <w:rPr>
          <w:rtl/>
          <w:lang w:eastAsia="zh-TW"/>
        </w:rPr>
        <w:t>خاطئا</w:t>
      </w:r>
      <w:r w:rsidR="009A6C48">
        <w:rPr>
          <w:rFonts w:hint="cs"/>
          <w:rtl/>
          <w:lang w:eastAsia="zh-TW"/>
        </w:rPr>
        <w:t>ً</w:t>
      </w:r>
      <w:r>
        <w:rPr>
          <w:rtl/>
          <w:lang w:eastAsia="zh-TW"/>
        </w:rPr>
        <w:t>، تلاحظ اللجنة أن مهمة تفسير أو تطبيق التشريعات الوطنية توكل بالأساس إلى السلطات الوطنية، ما لم يشكل هذا التفسير أو التطبيق إجراء تعسفي</w:t>
      </w:r>
      <w:r w:rsidR="009A6C48">
        <w:rPr>
          <w:rtl/>
          <w:lang w:eastAsia="zh-TW"/>
        </w:rPr>
        <w:t xml:space="preserve">اً </w:t>
      </w:r>
      <w:r>
        <w:rPr>
          <w:rtl/>
          <w:lang w:eastAsia="zh-TW"/>
        </w:rPr>
        <w:t>واضح</w:t>
      </w:r>
      <w:r w:rsidR="009A6C48">
        <w:rPr>
          <w:rtl/>
          <w:lang w:eastAsia="zh-TW"/>
        </w:rPr>
        <w:t xml:space="preserve">اً </w:t>
      </w:r>
      <w:r>
        <w:rPr>
          <w:rtl/>
          <w:lang w:eastAsia="zh-TW"/>
        </w:rPr>
        <w:t>أو</w:t>
      </w:r>
      <w:r w:rsidR="00B2178D">
        <w:rPr>
          <w:rFonts w:hint="cs"/>
          <w:rtl/>
          <w:lang w:eastAsia="zh-TW"/>
        </w:rPr>
        <w:t> </w:t>
      </w:r>
      <w:r>
        <w:rPr>
          <w:rtl/>
          <w:lang w:eastAsia="zh-TW"/>
        </w:rPr>
        <w:t>إنكار</w:t>
      </w:r>
      <w:r w:rsidR="009A6C48">
        <w:rPr>
          <w:rtl/>
          <w:lang w:eastAsia="zh-TW"/>
        </w:rPr>
        <w:t xml:space="preserve">اً </w:t>
      </w:r>
      <w:r>
        <w:rPr>
          <w:rtl/>
          <w:lang w:eastAsia="zh-TW"/>
        </w:rPr>
        <w:t>للعدالة. وفي هذه القضية، لا تستند دفوعات صاحب البلاغ بوجود تناقضات في التشريعات المحلية إلى أساس، ولذلك لا يمكن الاستناد إليها لتحديد ما إذا كان تصرف السلطات الوطنية يشكل إجراء تعسفي</w:t>
      </w:r>
      <w:r w:rsidR="009A6C48">
        <w:rPr>
          <w:rtl/>
          <w:lang w:eastAsia="zh-TW"/>
        </w:rPr>
        <w:t xml:space="preserve">اً </w:t>
      </w:r>
      <w:r>
        <w:rPr>
          <w:rtl/>
          <w:lang w:eastAsia="zh-TW"/>
        </w:rPr>
        <w:t>أو إنكار</w:t>
      </w:r>
      <w:r w:rsidR="009A6C48">
        <w:rPr>
          <w:rtl/>
          <w:lang w:eastAsia="zh-TW"/>
        </w:rPr>
        <w:t xml:space="preserve">اً </w:t>
      </w:r>
      <w:r>
        <w:rPr>
          <w:rtl/>
          <w:lang w:eastAsia="zh-TW"/>
        </w:rPr>
        <w:t>للعدالة.</w:t>
      </w:r>
    </w:p>
    <w:p w:rsidR="00ED2F11" w:rsidRPr="00673147" w:rsidRDefault="00ED2F11" w:rsidP="00ED2F11">
      <w:pPr>
        <w:pStyle w:val="SingleTxtGA"/>
        <w:rPr>
          <w:rtl/>
          <w:lang w:eastAsia="zh-TW"/>
        </w:rPr>
      </w:pPr>
      <w:r>
        <w:rPr>
          <w:rtl/>
          <w:lang w:eastAsia="zh-TW"/>
        </w:rPr>
        <w:t>4-4</w:t>
      </w:r>
      <w:r>
        <w:rPr>
          <w:rFonts w:hint="cs"/>
          <w:rtl/>
          <w:lang w:eastAsia="zh-TW"/>
        </w:rPr>
        <w:tab/>
      </w:r>
      <w:r>
        <w:rPr>
          <w:rtl/>
          <w:lang w:eastAsia="zh-TW"/>
        </w:rPr>
        <w:t>وفيما يتعلق بادّعاءات صاحب البلاغ أنه من المستحيل الطعن في قرار السجل المدني، تلاحظ اللجنة أنه كان بإمكان صاحب البلاغ الطعن في هذا القرار وتقديم طلب إلى المحكمة العليا لإنفاذ الحقوق الدستورية. كما تلاحظ اللجنة أن صاحب البلاغ لم يثبت إلى أي حدّ تسبب قصوره عن الطعن في قرار السجل المدني قبل إصداره في انتهاك حقوق طفليه كما تنص عليها الاتفاقية.</w:t>
      </w:r>
    </w:p>
    <w:p w:rsidR="00ED2F11" w:rsidRPr="00673147" w:rsidRDefault="00ED2F11" w:rsidP="00ED2F11">
      <w:pPr>
        <w:pStyle w:val="SingleTxtGA"/>
        <w:rPr>
          <w:rtl/>
          <w:lang w:eastAsia="zh-TW"/>
        </w:rPr>
      </w:pPr>
      <w:r>
        <w:rPr>
          <w:rtl/>
          <w:lang w:eastAsia="zh-TW"/>
        </w:rPr>
        <w:t>4-5</w:t>
      </w:r>
      <w:r>
        <w:rPr>
          <w:rFonts w:hint="cs"/>
          <w:rtl/>
          <w:lang w:eastAsia="zh-TW"/>
        </w:rPr>
        <w:tab/>
      </w:r>
      <w:r>
        <w:rPr>
          <w:rtl/>
          <w:lang w:eastAsia="zh-TW"/>
        </w:rPr>
        <w:t>وفي ضوء ما تقدم، تعلن اللجنة أن البلاغ لا يستند مطلق</w:t>
      </w:r>
      <w:r w:rsidR="009A6C48">
        <w:rPr>
          <w:rtl/>
          <w:lang w:eastAsia="zh-TW"/>
        </w:rPr>
        <w:t xml:space="preserve">اً </w:t>
      </w:r>
      <w:r>
        <w:rPr>
          <w:rtl/>
          <w:lang w:eastAsia="zh-TW"/>
        </w:rPr>
        <w:t>إلى أساس سليم وأنه غير مقبول بموجب المادة 7(و) من البروتوكول الاختياري.</w:t>
      </w:r>
    </w:p>
    <w:p w:rsidR="00ED2F11" w:rsidRPr="00673147" w:rsidRDefault="00ED2F11" w:rsidP="00ED2F11">
      <w:pPr>
        <w:pStyle w:val="SingleTxtGA"/>
        <w:rPr>
          <w:rtl/>
          <w:lang w:eastAsia="zh-TW"/>
        </w:rPr>
      </w:pPr>
      <w:r>
        <w:rPr>
          <w:rtl/>
          <w:lang w:eastAsia="zh-TW"/>
        </w:rPr>
        <w:t>٥-</w:t>
      </w:r>
      <w:r>
        <w:rPr>
          <w:rFonts w:hint="cs"/>
          <w:rtl/>
          <w:lang w:eastAsia="zh-TW"/>
        </w:rPr>
        <w:tab/>
      </w:r>
      <w:r>
        <w:rPr>
          <w:rtl/>
          <w:lang w:eastAsia="zh-TW"/>
        </w:rPr>
        <w:t>وتقرر اللجنة ما يلي:</w:t>
      </w:r>
    </w:p>
    <w:p w:rsidR="00ED2F11" w:rsidRPr="00673147" w:rsidRDefault="00ED2F11" w:rsidP="00902DBB">
      <w:pPr>
        <w:pStyle w:val="SingleTxtGA"/>
        <w:rPr>
          <w:rtl/>
          <w:lang w:eastAsia="zh-TW"/>
        </w:rPr>
      </w:pPr>
      <w:r>
        <w:rPr>
          <w:rFonts w:hint="cs"/>
          <w:rtl/>
          <w:lang w:eastAsia="zh-TW"/>
        </w:rPr>
        <w:tab/>
      </w:r>
      <w:r>
        <w:rPr>
          <w:rtl/>
          <w:lang w:eastAsia="zh-TW"/>
        </w:rPr>
        <w:t>(أ)</w:t>
      </w:r>
      <w:r>
        <w:rPr>
          <w:rFonts w:hint="cs"/>
          <w:rtl/>
          <w:lang w:eastAsia="zh-TW"/>
        </w:rPr>
        <w:tab/>
      </w:r>
      <w:dir w:val="rtl">
        <w:r>
          <w:rPr>
            <w:rtl/>
            <w:lang w:eastAsia="zh-TW"/>
          </w:rPr>
          <w:t>عدم مقبولي</w:t>
        </w:r>
        <w:r w:rsidR="009A6C48">
          <w:rPr>
            <w:rtl/>
            <w:lang w:eastAsia="zh-TW"/>
          </w:rPr>
          <w:t>ة البلاغ بموجب المادة 7</w:t>
        </w:r>
        <w:r>
          <w:rPr>
            <w:rtl/>
            <w:lang w:eastAsia="zh-TW"/>
          </w:rPr>
          <w:t>(و) من البروتوكول الاختياري؛</w:t>
        </w:r>
        <w:r w:rsidR="00902DBB">
          <w:rPr>
            <w:rFonts w:hint="cs"/>
            <w:rtl/>
            <w:lang w:eastAsia="zh-TW"/>
          </w:rPr>
          <w:t xml:space="preserve"> </w:t>
        </w:r>
        <w:r w:rsidR="00ED0EE3">
          <w:t>‬</w:t>
        </w:r>
      </w:dir>
    </w:p>
    <w:p w:rsidR="00B54045" w:rsidRPr="00B2178D" w:rsidRDefault="00ED2F11" w:rsidP="00ED2F11">
      <w:pPr>
        <w:pStyle w:val="SingleTxtGA"/>
        <w:rPr>
          <w:spacing w:val="-4"/>
          <w:rtl/>
          <w:lang w:eastAsia="zh-TW"/>
        </w:rPr>
      </w:pPr>
      <w:r w:rsidRPr="00B2178D">
        <w:rPr>
          <w:rFonts w:hint="cs"/>
          <w:spacing w:val="-4"/>
          <w:rtl/>
          <w:lang w:eastAsia="zh-TW"/>
        </w:rPr>
        <w:tab/>
      </w:r>
      <w:r w:rsidRPr="00B2178D">
        <w:rPr>
          <w:spacing w:val="-4"/>
          <w:rtl/>
          <w:lang w:eastAsia="zh-TW"/>
        </w:rPr>
        <w:t>(ب)</w:t>
      </w:r>
      <w:r w:rsidRPr="00B2178D">
        <w:rPr>
          <w:rFonts w:hint="cs"/>
          <w:spacing w:val="-4"/>
          <w:rtl/>
          <w:lang w:eastAsia="zh-TW"/>
        </w:rPr>
        <w:tab/>
      </w:r>
      <w:r w:rsidRPr="00B2178D">
        <w:rPr>
          <w:spacing w:val="-4"/>
          <w:rtl/>
          <w:lang w:eastAsia="zh-TW"/>
        </w:rPr>
        <w:t>إحالة هذا القرار إلى صاحب البلاغ وإلى الدولة الطرف من أجل الاطلاع عليه.</w:t>
      </w:r>
    </w:p>
    <w:p w:rsidR="00ED2F11" w:rsidRPr="00ED2F11" w:rsidRDefault="00ED2F11" w:rsidP="00ED2F11">
      <w:pPr>
        <w:spacing w:before="120"/>
        <w:jc w:val="center"/>
        <w:rPr>
          <w:u w:val="single"/>
          <w:rtl/>
        </w:rPr>
      </w:pPr>
      <w:r>
        <w:rPr>
          <w:u w:val="single"/>
          <w:rtl/>
        </w:rPr>
        <w:tab/>
      </w:r>
      <w:r>
        <w:rPr>
          <w:u w:val="single"/>
          <w:rtl/>
        </w:rPr>
        <w:tab/>
      </w:r>
      <w:r>
        <w:rPr>
          <w:u w:val="single"/>
          <w:rtl/>
        </w:rPr>
        <w:tab/>
      </w:r>
    </w:p>
    <w:sectPr w:rsidR="00ED2F11" w:rsidRPr="00ED2F11" w:rsidSect="0048639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783" w:rsidRPr="002901D9" w:rsidRDefault="001A0783" w:rsidP="002901D9">
      <w:pPr>
        <w:spacing w:after="60" w:line="240" w:lineRule="auto"/>
        <w:rPr>
          <w:i/>
          <w:iCs/>
        </w:rPr>
      </w:pPr>
      <w:r>
        <w:rPr>
          <w:rFonts w:hint="cs"/>
          <w:i/>
          <w:iCs/>
          <w:rtl/>
        </w:rPr>
        <w:t>الحواشي</w:t>
      </w:r>
    </w:p>
  </w:endnote>
  <w:endnote w:type="continuationSeparator" w:id="0">
    <w:p w:rsidR="001A0783" w:rsidRDefault="001A078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39E" w:rsidRPr="00ED2F11" w:rsidRDefault="00ED2F11" w:rsidP="00ED2F11">
    <w:pPr>
      <w:pStyle w:val="Footer"/>
      <w:tabs>
        <w:tab w:val="right" w:pos="9598"/>
      </w:tabs>
      <w:rPr>
        <w:sz w:val="17"/>
      </w:rPr>
    </w:pPr>
    <w:r>
      <w:rPr>
        <w:sz w:val="17"/>
      </w:rPr>
      <w:t>GE.17-03396</w:t>
    </w:r>
    <w:r>
      <w:rPr>
        <w:sz w:val="17"/>
      </w:rPr>
      <w:tab/>
    </w:r>
    <w:r w:rsidRPr="00ED2F11">
      <w:rPr>
        <w:b/>
        <w:sz w:val="18"/>
      </w:rPr>
      <w:fldChar w:fldCharType="begin"/>
    </w:r>
    <w:r w:rsidRPr="00ED2F11">
      <w:rPr>
        <w:b/>
        <w:sz w:val="18"/>
      </w:rPr>
      <w:instrText xml:space="preserve"> PAGE  \* MERGEFORMAT </w:instrText>
    </w:r>
    <w:r w:rsidRPr="00ED2F11">
      <w:rPr>
        <w:b/>
        <w:sz w:val="18"/>
      </w:rPr>
      <w:fldChar w:fldCharType="separate"/>
    </w:r>
    <w:r w:rsidR="000B3024">
      <w:rPr>
        <w:b/>
        <w:noProof/>
        <w:sz w:val="18"/>
      </w:rPr>
      <w:t>2</w:t>
    </w:r>
    <w:r w:rsidRPr="00ED2F1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D2F11" w:rsidRDefault="00ED2F11" w:rsidP="006959B0">
    <w:pPr>
      <w:pStyle w:val="Footer"/>
      <w:tabs>
        <w:tab w:val="right" w:pos="9599"/>
      </w:tabs>
      <w:jc w:val="left"/>
      <w:rPr>
        <w:b/>
        <w:sz w:val="18"/>
        <w:lang w:val="en-US"/>
      </w:rPr>
    </w:pPr>
    <w:r w:rsidRPr="00ED2F11">
      <w:rPr>
        <w:b/>
        <w:sz w:val="18"/>
        <w:lang w:val="en-US"/>
      </w:rPr>
      <w:fldChar w:fldCharType="begin"/>
    </w:r>
    <w:r w:rsidRPr="00ED2F11">
      <w:rPr>
        <w:b/>
        <w:sz w:val="18"/>
        <w:lang w:val="en-US"/>
      </w:rPr>
      <w:instrText xml:space="preserve"> PAGE  \* MERGEFORMAT </w:instrText>
    </w:r>
    <w:r w:rsidRPr="00ED2F11">
      <w:rPr>
        <w:b/>
        <w:sz w:val="18"/>
        <w:lang w:val="en-US"/>
      </w:rPr>
      <w:fldChar w:fldCharType="separate"/>
    </w:r>
    <w:r w:rsidR="000B3024">
      <w:rPr>
        <w:b/>
        <w:noProof/>
        <w:sz w:val="18"/>
        <w:lang w:val="en-US"/>
      </w:rPr>
      <w:t>3</w:t>
    </w:r>
    <w:r w:rsidRPr="00ED2F11">
      <w:rPr>
        <w:b/>
        <w:sz w:val="18"/>
        <w:lang w:val="en-US"/>
      </w:rPr>
      <w:fldChar w:fldCharType="end"/>
    </w:r>
    <w:r>
      <w:rPr>
        <w:b/>
        <w:sz w:val="18"/>
        <w:lang w:val="en-US"/>
      </w:rPr>
      <w:tab/>
    </w:r>
    <w:r>
      <w:rPr>
        <w:sz w:val="17"/>
        <w:lang w:val="en-US"/>
      </w:rPr>
      <w:t>GE.17-03396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48639E" w:rsidP="006E444F">
    <w:pPr>
      <w:pStyle w:val="Footer"/>
      <w:spacing w:before="360"/>
      <w:jc w:val="right"/>
      <w:rPr>
        <w:sz w:val="20"/>
        <w:szCs w:val="20"/>
      </w:rPr>
    </w:pPr>
    <w:r>
      <w:rPr>
        <w:sz w:val="20"/>
        <w:szCs w:val="20"/>
      </w:rPr>
      <w:t>GE.17-03396</w:t>
    </w:r>
    <w:r w:rsidR="001D5AC0">
      <w:rPr>
        <w:noProof/>
        <w:lang w:val="en-US"/>
      </w:rPr>
      <w:drawing>
        <wp:anchor distT="0" distB="0" distL="114300" distR="114300" simplePos="0" relativeHeight="251659264" behindDoc="1" locked="1" layoutInCell="0" allowOverlap="1" wp14:anchorId="6B3DF88F" wp14:editId="4375779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48639E" w:rsidRPr="0048639E" w:rsidRDefault="0048639E" w:rsidP="0048639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783" w:rsidRDefault="001A0783" w:rsidP="00CB28F9">
      <w:pPr>
        <w:pStyle w:val="Footer"/>
        <w:bidi/>
        <w:spacing w:after="80" w:line="200" w:lineRule="exact"/>
        <w:ind w:left="680"/>
      </w:pPr>
      <w:r>
        <w:rPr>
          <w:rtl/>
        </w:rPr>
        <w:t>__________</w:t>
      </w:r>
    </w:p>
  </w:footnote>
  <w:footnote w:type="continuationSeparator" w:id="0">
    <w:p w:rsidR="001A0783" w:rsidRDefault="001A0783" w:rsidP="00656392">
      <w:pPr>
        <w:spacing w:line="240" w:lineRule="auto"/>
      </w:pPr>
      <w:r>
        <w:continuationSeparator/>
      </w:r>
    </w:p>
  </w:footnote>
  <w:footnote w:id="1">
    <w:p w:rsidR="00ED2F11" w:rsidRPr="00B2178D" w:rsidRDefault="00ED2F11" w:rsidP="00ED2F11">
      <w:pPr>
        <w:pStyle w:val="FootnoteText1"/>
        <w:textDirection w:val="tbRlV"/>
        <w:rPr>
          <w:rtl/>
        </w:rPr>
      </w:pPr>
      <w:r w:rsidRPr="00B2178D">
        <w:rPr>
          <w:rtl/>
        </w:rPr>
        <w:t>(</w:t>
      </w:r>
      <w:r w:rsidRPr="00B2178D">
        <w:rPr>
          <w:rStyle w:val="FootnoteReference"/>
          <w:szCs w:val="26"/>
          <w:vertAlign w:val="baseline"/>
        </w:rPr>
        <w:footnoteRef/>
      </w:r>
      <w:r w:rsidRPr="00B2178D">
        <w:rPr>
          <w:rtl/>
        </w:rPr>
        <w:t>)</w:t>
      </w:r>
      <w:r w:rsidRPr="00B2178D">
        <w:rPr>
          <w:rtl/>
        </w:rPr>
        <w:tab/>
        <w:t>اعتمدته اللجنة في دورتها الرابعة والسبعين (من 16 كانون الثاني/يناير إلى 3 شباط/فبراير 2017).</w:t>
      </w:r>
    </w:p>
  </w:footnote>
  <w:footnote w:id="2">
    <w:p w:rsidR="00ED2F11" w:rsidRPr="00B2178D" w:rsidRDefault="00ED2F11" w:rsidP="00ED2F11">
      <w:pPr>
        <w:pStyle w:val="FootnoteText1"/>
        <w:textDirection w:val="tbRlV"/>
        <w:rPr>
          <w:rtl/>
        </w:rPr>
      </w:pPr>
      <w:r w:rsidRPr="00B2178D">
        <w:rPr>
          <w:rtl/>
        </w:rPr>
        <w:t>(</w:t>
      </w:r>
      <w:r w:rsidRPr="00B2178D">
        <w:rPr>
          <w:rStyle w:val="FootnoteReference"/>
          <w:szCs w:val="26"/>
          <w:vertAlign w:val="baseline"/>
        </w:rPr>
        <w:footnoteRef/>
      </w:r>
      <w:r w:rsidRPr="00B2178D">
        <w:rPr>
          <w:rtl/>
        </w:rPr>
        <w:t>)</w:t>
      </w:r>
      <w:r w:rsidRPr="00B2178D">
        <w:rPr>
          <w:rtl/>
        </w:rPr>
        <w:tab/>
        <w:t xml:space="preserve">شارك أعضاء اللجنة التالية أسماؤهم في النظر في هذا البلاغ: السيدة أمل سلمان الدوسري، والسيدة سوزان </w:t>
      </w:r>
      <w:proofErr w:type="spellStart"/>
      <w:r w:rsidRPr="00B2178D">
        <w:rPr>
          <w:rtl/>
        </w:rPr>
        <w:t>آهو</w:t>
      </w:r>
      <w:proofErr w:type="spellEnd"/>
      <w:r w:rsidRPr="00B2178D">
        <w:rPr>
          <w:rtl/>
        </w:rPr>
        <w:t xml:space="preserve"> أسوما، والسيد برنار </w:t>
      </w:r>
      <w:proofErr w:type="spellStart"/>
      <w:r w:rsidRPr="00B2178D">
        <w:rPr>
          <w:rtl/>
        </w:rPr>
        <w:t>غاستو</w:t>
      </w:r>
      <w:proofErr w:type="spellEnd"/>
      <w:r w:rsidRPr="00B2178D">
        <w:rPr>
          <w:rtl/>
        </w:rPr>
        <w:t xml:space="preserve">، والسيد بيتر غوران، والسيدة أولغا أ. </w:t>
      </w:r>
      <w:proofErr w:type="spellStart"/>
      <w:r w:rsidRPr="00B2178D">
        <w:rPr>
          <w:rtl/>
        </w:rPr>
        <w:t>خازوفا</w:t>
      </w:r>
      <w:proofErr w:type="spellEnd"/>
      <w:r w:rsidRPr="00B2178D">
        <w:rPr>
          <w:rtl/>
        </w:rPr>
        <w:t xml:space="preserve">، والسيد حاتم قطران، والسيد جهاد ماضي، والسيد بنيام داويت مزمور، والسيدة ياسمين محمد شريف، والسيد </w:t>
      </w:r>
      <w:proofErr w:type="spellStart"/>
      <w:r w:rsidRPr="00B2178D">
        <w:rPr>
          <w:rtl/>
        </w:rPr>
        <w:t>كلارنس</w:t>
      </w:r>
      <w:proofErr w:type="spellEnd"/>
      <w:r w:rsidRPr="00B2178D">
        <w:rPr>
          <w:rtl/>
        </w:rPr>
        <w:t xml:space="preserve"> نلسون، والسيد </w:t>
      </w:r>
      <w:proofErr w:type="spellStart"/>
      <w:r w:rsidRPr="00B2178D">
        <w:rPr>
          <w:rtl/>
        </w:rPr>
        <w:t>وانديرلينو</w:t>
      </w:r>
      <w:proofErr w:type="spellEnd"/>
      <w:r w:rsidRPr="00B2178D">
        <w:rPr>
          <w:rtl/>
        </w:rPr>
        <w:t xml:space="preserve"> </w:t>
      </w:r>
      <w:proofErr w:type="spellStart"/>
      <w:r w:rsidRPr="00B2178D">
        <w:rPr>
          <w:rtl/>
        </w:rPr>
        <w:t>نوغيرا</w:t>
      </w:r>
      <w:proofErr w:type="spellEnd"/>
      <w:r w:rsidRPr="00B2178D">
        <w:rPr>
          <w:rtl/>
        </w:rPr>
        <w:t xml:space="preserve"> </w:t>
      </w:r>
      <w:proofErr w:type="spellStart"/>
      <w:r w:rsidRPr="00B2178D">
        <w:rPr>
          <w:rtl/>
        </w:rPr>
        <w:t>نيتو</w:t>
      </w:r>
      <w:proofErr w:type="spellEnd"/>
      <w:r w:rsidRPr="00B2178D">
        <w:rPr>
          <w:rtl/>
        </w:rPr>
        <w:t xml:space="preserve">، والسيدة سارا دي </w:t>
      </w:r>
      <w:proofErr w:type="spellStart"/>
      <w:r w:rsidRPr="00B2178D">
        <w:rPr>
          <w:rtl/>
        </w:rPr>
        <w:t>خيسوس</w:t>
      </w:r>
      <w:proofErr w:type="spellEnd"/>
      <w:r w:rsidRPr="00B2178D">
        <w:rPr>
          <w:rtl/>
        </w:rPr>
        <w:t xml:space="preserve"> </w:t>
      </w:r>
      <w:proofErr w:type="spellStart"/>
      <w:r w:rsidRPr="00B2178D">
        <w:rPr>
          <w:rtl/>
        </w:rPr>
        <w:t>أوفييدو</w:t>
      </w:r>
      <w:proofErr w:type="spellEnd"/>
      <w:r w:rsidRPr="00B2178D">
        <w:rPr>
          <w:rtl/>
        </w:rPr>
        <w:t xml:space="preserve"> </w:t>
      </w:r>
      <w:proofErr w:type="spellStart"/>
      <w:r w:rsidRPr="00B2178D">
        <w:rPr>
          <w:rtl/>
        </w:rPr>
        <w:t>فييرو</w:t>
      </w:r>
      <w:proofErr w:type="spellEnd"/>
      <w:r w:rsidRPr="00B2178D">
        <w:rPr>
          <w:rtl/>
        </w:rPr>
        <w:t xml:space="preserve">، والسيد خوسيه أنخيل </w:t>
      </w:r>
      <w:proofErr w:type="spellStart"/>
      <w:r w:rsidRPr="00B2178D">
        <w:rPr>
          <w:rtl/>
        </w:rPr>
        <w:t>رودريغش</w:t>
      </w:r>
      <w:proofErr w:type="spellEnd"/>
      <w:r w:rsidRPr="00B2178D">
        <w:rPr>
          <w:rtl/>
        </w:rPr>
        <w:t xml:space="preserve"> </w:t>
      </w:r>
      <w:proofErr w:type="spellStart"/>
      <w:r w:rsidRPr="00B2178D">
        <w:rPr>
          <w:rtl/>
        </w:rPr>
        <w:t>رييس</w:t>
      </w:r>
      <w:proofErr w:type="spellEnd"/>
      <w:r w:rsidRPr="00B2178D">
        <w:rPr>
          <w:rtl/>
        </w:rPr>
        <w:t xml:space="preserve">، والسيدة </w:t>
      </w:r>
      <w:proofErr w:type="spellStart"/>
      <w:r w:rsidRPr="00B2178D">
        <w:rPr>
          <w:rtl/>
        </w:rPr>
        <w:t>كيرستن</w:t>
      </w:r>
      <w:proofErr w:type="spellEnd"/>
      <w:r w:rsidRPr="00B2178D">
        <w:rPr>
          <w:rtl/>
        </w:rPr>
        <w:t xml:space="preserve"> </w:t>
      </w:r>
      <w:proofErr w:type="spellStart"/>
      <w:r w:rsidRPr="00B2178D">
        <w:rPr>
          <w:rtl/>
        </w:rPr>
        <w:t>ساندبرغ</w:t>
      </w:r>
      <w:proofErr w:type="spellEnd"/>
      <w:r w:rsidRPr="00B2178D">
        <w:rPr>
          <w:rtl/>
        </w:rPr>
        <w:t xml:space="preserve">، والسيدة </w:t>
      </w:r>
      <w:proofErr w:type="spellStart"/>
      <w:r w:rsidRPr="00B2178D">
        <w:rPr>
          <w:rtl/>
        </w:rPr>
        <w:t>ريناتي</w:t>
      </w:r>
      <w:proofErr w:type="spellEnd"/>
      <w:r w:rsidRPr="00B2178D">
        <w:rPr>
          <w:rtl/>
        </w:rPr>
        <w:t xml:space="preserve"> وينتر.</w:t>
      </w:r>
    </w:p>
  </w:footnote>
  <w:footnote w:id="3">
    <w:p w:rsidR="00ED2F11" w:rsidRPr="00D813EF" w:rsidRDefault="00ED2F11" w:rsidP="00ED2F11">
      <w:pPr>
        <w:pStyle w:val="FootnoteText1"/>
        <w:textDirection w:val="tbRlV"/>
        <w:rPr>
          <w:rtl/>
        </w:rPr>
      </w:pPr>
      <w:r w:rsidRPr="00ED2F11">
        <w:rPr>
          <w:rtl/>
        </w:rPr>
        <w:t>(</w:t>
      </w:r>
      <w:r w:rsidRPr="00ED2F11">
        <w:rPr>
          <w:b/>
        </w:rPr>
        <w:footnoteRef/>
      </w:r>
      <w:r w:rsidRPr="00ED2F11">
        <w:rPr>
          <w:rtl/>
        </w:rPr>
        <w:t>)</w:t>
      </w:r>
      <w:r w:rsidRPr="00ED2F11">
        <w:rPr>
          <w:rtl/>
        </w:rPr>
        <w:tab/>
        <w:t>وفقا</w:t>
      </w:r>
      <w:r>
        <w:rPr>
          <w:rFonts w:hint="cs"/>
          <w:rtl/>
        </w:rPr>
        <w:t>ً</w:t>
      </w:r>
      <w:r w:rsidRPr="00ED2F11">
        <w:rPr>
          <w:rtl/>
        </w:rPr>
        <w:t xml:space="preserve"> للمادة 52 من القانون المدني الكوستاريكي، يسند لقبا الأم إلى الأطفال المولودين خارج إطار الزواج.</w:t>
      </w:r>
      <w:r>
        <w:rPr>
          <w:rtl/>
        </w:rPr>
        <w:t xml:space="preserve"> </w:t>
      </w:r>
    </w:p>
  </w:footnote>
  <w:footnote w:id="4">
    <w:p w:rsidR="00ED2F11" w:rsidRPr="00D813EF" w:rsidRDefault="00ED2F11" w:rsidP="00ED2F11">
      <w:pPr>
        <w:pStyle w:val="FootnoteText1"/>
        <w:textDirection w:val="tbRlV"/>
        <w:rPr>
          <w:rtl/>
        </w:rPr>
      </w:pPr>
      <w:r w:rsidRPr="00ED2F11">
        <w:rPr>
          <w:rtl/>
        </w:rPr>
        <w:t>(</w:t>
      </w:r>
      <w:r w:rsidRPr="00ED2F11">
        <w:rPr>
          <w:b/>
        </w:rPr>
        <w:footnoteRef/>
      </w:r>
      <w:r w:rsidRPr="00ED2F11">
        <w:rPr>
          <w:rtl/>
        </w:rPr>
        <w:t>)</w:t>
      </w:r>
      <w:r w:rsidRPr="00ED2F11">
        <w:rPr>
          <w:rtl/>
        </w:rPr>
        <w:tab/>
        <w:t>يشير صاحب البلاغ إلى الم</w:t>
      </w:r>
      <w:r w:rsidR="002F6D66">
        <w:rPr>
          <w:rtl/>
        </w:rPr>
        <w:t>ادة 13 من الدستور والمادتين 1 و</w:t>
      </w:r>
      <w:r w:rsidRPr="00ED2F11">
        <w:rPr>
          <w:rtl/>
        </w:rPr>
        <w:t>9 من قانون الخيارات والتجنيس، وهي المواد التي تنص على أن الأطفال الذين يولدون في الخارج من أب كوستاريكي أو أم كوستاريكية وتسجل ولادتهم في السجل المدني يعتبرون مواطنين كوستاريكيين بالولادة.</w:t>
      </w:r>
      <w:r>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39E" w:rsidRPr="00ED2F11" w:rsidRDefault="00ED2F11" w:rsidP="00ED2F11">
    <w:pPr>
      <w:pStyle w:val="Header"/>
      <w:jc w:val="right"/>
    </w:pPr>
    <w:r w:rsidRPr="00ED2F11">
      <w:t>CRC/C/74/D/5/2016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39E" w:rsidRPr="00ED2F11" w:rsidRDefault="00ED2F11" w:rsidP="00ED2F11">
    <w:pPr>
      <w:pStyle w:val="Header"/>
      <w:jc w:val="left"/>
    </w:pPr>
    <w:r w:rsidRPr="00ED2F11">
      <w:t>CRC/C/74/D/5/2016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A0783"/>
    <w:rsid w:val="000076D5"/>
    <w:rsid w:val="00043663"/>
    <w:rsid w:val="000505CF"/>
    <w:rsid w:val="000B3024"/>
    <w:rsid w:val="000D701C"/>
    <w:rsid w:val="000E2A71"/>
    <w:rsid w:val="00160263"/>
    <w:rsid w:val="00181F96"/>
    <w:rsid w:val="001A0783"/>
    <w:rsid w:val="001A1371"/>
    <w:rsid w:val="001B346A"/>
    <w:rsid w:val="001D5AC0"/>
    <w:rsid w:val="001E1CAD"/>
    <w:rsid w:val="001E290D"/>
    <w:rsid w:val="002144FA"/>
    <w:rsid w:val="0023469A"/>
    <w:rsid w:val="00243C8A"/>
    <w:rsid w:val="00267A0E"/>
    <w:rsid w:val="002901D9"/>
    <w:rsid w:val="002976C2"/>
    <w:rsid w:val="002D2D42"/>
    <w:rsid w:val="002F6D66"/>
    <w:rsid w:val="003260FF"/>
    <w:rsid w:val="00343D95"/>
    <w:rsid w:val="00374341"/>
    <w:rsid w:val="003C50EA"/>
    <w:rsid w:val="003D1062"/>
    <w:rsid w:val="00420D7B"/>
    <w:rsid w:val="00450B21"/>
    <w:rsid w:val="00453B63"/>
    <w:rsid w:val="00455780"/>
    <w:rsid w:val="0045649E"/>
    <w:rsid w:val="004863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8071A"/>
    <w:rsid w:val="00852A9A"/>
    <w:rsid w:val="008F49E1"/>
    <w:rsid w:val="00902DBB"/>
    <w:rsid w:val="0090370F"/>
    <w:rsid w:val="009269D2"/>
    <w:rsid w:val="00942135"/>
    <w:rsid w:val="009521B0"/>
    <w:rsid w:val="00994130"/>
    <w:rsid w:val="009A6C48"/>
    <w:rsid w:val="009A7E9F"/>
    <w:rsid w:val="009E5018"/>
    <w:rsid w:val="00A12B37"/>
    <w:rsid w:val="00A65558"/>
    <w:rsid w:val="00AB6758"/>
    <w:rsid w:val="00B13763"/>
    <w:rsid w:val="00B2178D"/>
    <w:rsid w:val="00B477A4"/>
    <w:rsid w:val="00B54045"/>
    <w:rsid w:val="00C438D7"/>
    <w:rsid w:val="00C81585"/>
    <w:rsid w:val="00C81B50"/>
    <w:rsid w:val="00CB28F9"/>
    <w:rsid w:val="00CD1801"/>
    <w:rsid w:val="00D10EF1"/>
    <w:rsid w:val="00D23876"/>
    <w:rsid w:val="00D42810"/>
    <w:rsid w:val="00D914A7"/>
    <w:rsid w:val="00DD13C3"/>
    <w:rsid w:val="00DD596E"/>
    <w:rsid w:val="00DD621E"/>
    <w:rsid w:val="00DF0575"/>
    <w:rsid w:val="00E70E04"/>
    <w:rsid w:val="00E76499"/>
    <w:rsid w:val="00EC05A7"/>
    <w:rsid w:val="00EC4B6B"/>
    <w:rsid w:val="00ED2F11"/>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G">
    <w:name w:val="_ H_1_G"/>
    <w:basedOn w:val="Normal"/>
    <w:next w:val="Normal"/>
    <w:rsid w:val="00ED2F11"/>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ED2F11"/>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ED2F11"/>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SingleTxtG">
    <w:name w:val="_ Single Txt_G"/>
    <w:basedOn w:val="Normal"/>
    <w:link w:val="SingleTxtGChar"/>
    <w:rsid w:val="00ED2F11"/>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link w:val="SingleTxtG"/>
    <w:rsid w:val="00ED2F11"/>
    <w:rPr>
      <w:rFonts w:ascii="Times New Roman" w:eastAsia="SimSun" w:cs="Traditional Arabic"/>
      <w:sz w:val="20"/>
      <w:szCs w:val="3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G">
    <w:name w:val="_ H_1_G"/>
    <w:basedOn w:val="Normal"/>
    <w:next w:val="Normal"/>
    <w:rsid w:val="00ED2F11"/>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ED2F11"/>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ED2F11"/>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SingleTxtG">
    <w:name w:val="_ Single Txt_G"/>
    <w:basedOn w:val="Normal"/>
    <w:link w:val="SingleTxtGChar"/>
    <w:rsid w:val="00ED2F11"/>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link w:val="SingleTxtG"/>
    <w:rsid w:val="00ED2F11"/>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5F1B6-4991-44D2-8683-7A3B93169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987</Words>
  <Characters>5627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CRC/C/74/D/5/2016</vt:lpstr>
    </vt:vector>
  </TitlesOfParts>
  <Company>DCM</Company>
  <LinksUpToDate>false</LinksUpToDate>
  <CharactersWithSpaces>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CRC/C/74/D/5/2016</dc:title>
  <dc:subject>GE. 1703396A</dc:subject>
  <dc:creator>IBAL34 - EM</dc:creator>
  <cp:keywords>ODS 1704881</cp:keywords>
  <dc:description>Distr.: General_x000d_
Date: 1 March 2017_x000d_
Original: Spanish</dc:description>
  <cp:lastModifiedBy>Tpsara</cp:lastModifiedBy>
  <cp:revision>2</cp:revision>
  <cp:lastPrinted>2017-03-31T06:23:00Z</cp:lastPrinted>
  <dcterms:created xsi:type="dcterms:W3CDTF">2017-03-31T10:06:00Z</dcterms:created>
  <dcterms:modified xsi:type="dcterms:W3CDTF">2017-03-31T10:06:00Z</dcterms:modified>
</cp:coreProperties>
</file>