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6063C797" w14:textId="77777777" w:rsidTr="00DE3D9F">
        <w:trPr>
          <w:trHeight w:hRule="exact" w:val="851"/>
        </w:trPr>
        <w:tc>
          <w:tcPr>
            <w:tcW w:w="1274" w:type="dxa"/>
            <w:tcBorders>
              <w:bottom w:val="single" w:sz="4" w:space="0" w:color="auto"/>
            </w:tcBorders>
            <w:shd w:val="clear" w:color="auto" w:fill="auto"/>
          </w:tcPr>
          <w:p w14:paraId="6154C604" w14:textId="77777777" w:rsidR="00E40CC2" w:rsidRPr="00BE5849" w:rsidRDefault="00E40CC2" w:rsidP="00A175F0">
            <w:pPr>
              <w:kinsoku w:val="0"/>
              <w:overflowPunct w:val="0"/>
              <w:autoSpaceDE w:val="0"/>
              <w:autoSpaceDN w:val="0"/>
              <w:adjustRightInd w:val="0"/>
              <w:snapToGrid w:val="0"/>
              <w:spacing w:after="80" w:line="480" w:lineRule="exact"/>
              <w:rPr>
                <w:sz w:val="40"/>
                <w:szCs w:val="40"/>
                <w:rtl/>
                <w:lang w:eastAsia="zh-TW"/>
              </w:rPr>
            </w:pPr>
          </w:p>
        </w:tc>
        <w:tc>
          <w:tcPr>
            <w:tcW w:w="4963" w:type="dxa"/>
            <w:tcBorders>
              <w:bottom w:val="single" w:sz="4" w:space="0" w:color="auto"/>
            </w:tcBorders>
            <w:shd w:val="clear" w:color="auto" w:fill="auto"/>
            <w:vAlign w:val="bottom"/>
          </w:tcPr>
          <w:p w14:paraId="0C3D6844"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AD59FE4" w14:textId="3ABCBE1D" w:rsidR="00E40CC2" w:rsidRPr="009D7EDF" w:rsidRDefault="009D7EDF" w:rsidP="009D7EDF">
            <w:pPr>
              <w:bidi w:val="0"/>
              <w:rPr>
                <w:szCs w:val="20"/>
                <w:lang w:eastAsia="zh-TW"/>
              </w:rPr>
            </w:pPr>
            <w:r w:rsidRPr="009D7EDF">
              <w:rPr>
                <w:sz w:val="40"/>
                <w:szCs w:val="20"/>
                <w:lang w:eastAsia="zh-TW"/>
              </w:rPr>
              <w:t>HRI</w:t>
            </w:r>
            <w:r>
              <w:rPr>
                <w:szCs w:val="20"/>
                <w:lang w:eastAsia="zh-TW"/>
              </w:rPr>
              <w:t>/CORE/THA/</w:t>
            </w:r>
            <w:r w:rsidRPr="00AF3116">
              <w:rPr>
                <w:szCs w:val="20"/>
                <w:lang w:eastAsia="zh-TW"/>
              </w:rPr>
              <w:t>2021</w:t>
            </w:r>
          </w:p>
        </w:tc>
      </w:tr>
      <w:tr w:rsidR="00E40CC2" w:rsidRPr="00207677" w14:paraId="435F46EF" w14:textId="77777777" w:rsidTr="00DE3D9F">
        <w:trPr>
          <w:trHeight w:hRule="exact" w:val="2835"/>
        </w:trPr>
        <w:tc>
          <w:tcPr>
            <w:tcW w:w="1274" w:type="dxa"/>
            <w:tcBorders>
              <w:top w:val="single" w:sz="4" w:space="0" w:color="auto"/>
              <w:bottom w:val="single" w:sz="12" w:space="0" w:color="auto"/>
            </w:tcBorders>
            <w:shd w:val="clear" w:color="auto" w:fill="auto"/>
          </w:tcPr>
          <w:p w14:paraId="6EECDCEB" w14:textId="77777777" w:rsidR="00E40CC2" w:rsidRPr="00D00159" w:rsidRDefault="00E40CC2" w:rsidP="00DE3D9F">
            <w:pPr>
              <w:jc w:val="center"/>
              <w:rPr>
                <w:sz w:val="56"/>
                <w:szCs w:val="56"/>
                <w:lang w:val="es-ES_tradnl"/>
              </w:rPr>
            </w:pPr>
            <w:r w:rsidRPr="00AC03B4">
              <w:rPr>
                <w:noProof/>
                <w:sz w:val="56"/>
                <w:szCs w:val="56"/>
              </w:rPr>
              <w:drawing>
                <wp:inline distT="0" distB="0" distL="0" distR="0" wp14:anchorId="2C8EB7CB" wp14:editId="7A2DA68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FE42740" w14:textId="77777777" w:rsidR="00E40CC2" w:rsidRPr="00AF3116" w:rsidRDefault="00E40CC2" w:rsidP="00B452DB">
            <w:pPr>
              <w:spacing w:before="120" w:after="40" w:line="640" w:lineRule="exact"/>
              <w:ind w:left="57"/>
              <w:rPr>
                <w:rFonts w:ascii="Times New Roman Bold" w:hAnsi="Times New Roman Bold" w:hint="eastAsia"/>
                <w:b/>
                <w:bCs/>
                <w:sz w:val="46"/>
                <w:szCs w:val="46"/>
              </w:rPr>
            </w:pPr>
            <w:r w:rsidRPr="00AF3116">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28F6B1C1" w14:textId="77777777" w:rsidR="00E40CC2" w:rsidRDefault="009D7EDF" w:rsidP="00DE3D9F">
            <w:pPr>
              <w:bidi w:val="0"/>
              <w:spacing w:before="240"/>
              <w:rPr>
                <w:szCs w:val="20"/>
              </w:rPr>
            </w:pPr>
            <w:r>
              <w:rPr>
                <w:szCs w:val="20"/>
              </w:rPr>
              <w:t>Distr.: General</w:t>
            </w:r>
          </w:p>
          <w:p w14:paraId="7059D607" w14:textId="6EBDE764" w:rsidR="009D7EDF" w:rsidRDefault="00DE3D9F" w:rsidP="009D7EDF">
            <w:pPr>
              <w:bidi w:val="0"/>
              <w:spacing w:line="240" w:lineRule="exact"/>
              <w:jc w:val="left"/>
              <w:rPr>
                <w:szCs w:val="20"/>
              </w:rPr>
            </w:pPr>
            <w:r w:rsidRPr="00AF3116">
              <w:rPr>
                <w:szCs w:val="20"/>
              </w:rPr>
              <w:t>7</w:t>
            </w:r>
            <w:r>
              <w:rPr>
                <w:szCs w:val="20"/>
              </w:rPr>
              <w:t xml:space="preserve"> December </w:t>
            </w:r>
            <w:r w:rsidR="009D7EDF" w:rsidRPr="00AF3116">
              <w:rPr>
                <w:szCs w:val="20"/>
              </w:rPr>
              <w:t>2021</w:t>
            </w:r>
          </w:p>
          <w:p w14:paraId="38016CEF" w14:textId="77777777" w:rsidR="009D7EDF" w:rsidRDefault="009D7EDF" w:rsidP="009D7EDF">
            <w:pPr>
              <w:bidi w:val="0"/>
              <w:spacing w:line="240" w:lineRule="exact"/>
              <w:jc w:val="left"/>
              <w:rPr>
                <w:szCs w:val="20"/>
              </w:rPr>
            </w:pPr>
            <w:r>
              <w:rPr>
                <w:szCs w:val="20"/>
              </w:rPr>
              <w:t>Arabic</w:t>
            </w:r>
          </w:p>
          <w:p w14:paraId="3EC269BD" w14:textId="4B96FFB6" w:rsidR="009D7EDF" w:rsidRPr="009D7EDF" w:rsidRDefault="009D7EDF" w:rsidP="009D7EDF">
            <w:pPr>
              <w:bidi w:val="0"/>
              <w:spacing w:line="240" w:lineRule="exact"/>
              <w:jc w:val="left"/>
              <w:rPr>
                <w:szCs w:val="20"/>
              </w:rPr>
            </w:pPr>
            <w:r>
              <w:rPr>
                <w:szCs w:val="20"/>
              </w:rPr>
              <w:t>Original: English</w:t>
            </w:r>
          </w:p>
        </w:tc>
      </w:tr>
    </w:tbl>
    <w:p w14:paraId="4FB40726" w14:textId="77777777" w:rsidR="00DE3D9F" w:rsidRPr="00AF3116" w:rsidRDefault="00DE3D9F" w:rsidP="00DE3D9F">
      <w:pPr>
        <w:pStyle w:val="HMGA"/>
        <w:rPr>
          <w:lang w:val="ar-SA" w:eastAsia="zh-TW" w:bidi="en-GB"/>
        </w:rPr>
      </w:pPr>
      <w:r w:rsidRPr="00AF3116">
        <w:rPr>
          <w:rtl/>
        </w:rPr>
        <w:tab/>
      </w:r>
      <w:r w:rsidRPr="00AF3116">
        <w:rPr>
          <w:rtl/>
        </w:rPr>
        <w:tab/>
      </w:r>
      <w:bookmarkStart w:id="0" w:name="_Toc92899411"/>
      <w:r w:rsidRPr="00AF3116">
        <w:rPr>
          <w:rtl/>
        </w:rPr>
        <w:t>وثيقة أساسية موحَّدة تشكل جزءاً من تقارير الدول الأطراف</w:t>
      </w:r>
      <w:bookmarkEnd w:id="0"/>
    </w:p>
    <w:p w14:paraId="48832EFF" w14:textId="48C74E7B" w:rsidR="00DE3D9F" w:rsidRPr="00AF3116" w:rsidRDefault="00DE3D9F" w:rsidP="00DE3D9F">
      <w:pPr>
        <w:pStyle w:val="HMGA"/>
        <w:rPr>
          <w:sz w:val="40"/>
          <w:szCs w:val="40"/>
          <w:lang w:val="en-US" w:eastAsia="zh-TW" w:bidi="en-GB"/>
        </w:rPr>
      </w:pPr>
      <w:r w:rsidRPr="00AF3116">
        <w:rPr>
          <w:rtl/>
        </w:rPr>
        <w:tab/>
      </w:r>
      <w:r w:rsidRPr="00AF3116">
        <w:rPr>
          <w:rtl/>
        </w:rPr>
        <w:tab/>
      </w:r>
      <w:bookmarkStart w:id="1" w:name="_Toc92899412"/>
      <w:r w:rsidRPr="00AF3116">
        <w:rPr>
          <w:rtl/>
        </w:rPr>
        <w:t>تايلند</w:t>
      </w:r>
      <w:r w:rsidRPr="00AF3116">
        <w:rPr>
          <w:rStyle w:val="FootnoteReference"/>
          <w:sz w:val="26"/>
          <w:szCs w:val="26"/>
          <w:vertAlign w:val="baseline"/>
          <w:rtl/>
          <w:lang w:val="en-US" w:eastAsia="zh-TW"/>
        </w:rPr>
        <w:footnoteReference w:customMarkFollows="1" w:id="1"/>
        <w:t>*</w:t>
      </w:r>
      <w:bookmarkEnd w:id="1"/>
    </w:p>
    <w:p w14:paraId="6BAEBF94" w14:textId="77777777" w:rsidR="00DE3D9F" w:rsidRPr="001B6C67" w:rsidRDefault="00DE3D9F" w:rsidP="00DE3D9F">
      <w:pPr>
        <w:pStyle w:val="SingleTxtG"/>
        <w:bidi/>
        <w:jc w:val="right"/>
        <w:textDirection w:val="tbRlV"/>
        <w:rPr>
          <w:rFonts w:ascii="Simplified Arabic" w:hAnsi="Simplified Arabic"/>
          <w:sz w:val="22"/>
          <w:szCs w:val="22"/>
          <w:lang w:val="ar-SA" w:eastAsia="zh-TW" w:bidi="en-GB"/>
        </w:rPr>
      </w:pPr>
      <w:r w:rsidRPr="001B6C67">
        <w:rPr>
          <w:rFonts w:ascii="Simplified Arabic" w:hAnsi="Simplified Arabic"/>
          <w:sz w:val="22"/>
          <w:szCs w:val="22"/>
          <w:rtl/>
        </w:rPr>
        <w:t>[تاريخ الاستلام</w:t>
      </w:r>
      <w:r w:rsidRPr="001B6C67">
        <w:rPr>
          <w:rFonts w:ascii="Simplified Arabic" w:hAnsi="Simplified Arabic"/>
          <w:sz w:val="22"/>
          <w:szCs w:val="22"/>
        </w:rPr>
        <w:t>:</w:t>
      </w:r>
      <w:r w:rsidRPr="001B6C67">
        <w:rPr>
          <w:rFonts w:ascii="Simplified Arabic" w:hAnsi="Simplified Arabic"/>
          <w:sz w:val="22"/>
          <w:szCs w:val="22"/>
          <w:rtl/>
        </w:rPr>
        <w:t xml:space="preserve"> </w:t>
      </w:r>
      <w:r w:rsidRPr="00AF3116">
        <w:rPr>
          <w:rFonts w:ascii="Simplified Arabic" w:hAnsi="Simplified Arabic"/>
          <w:sz w:val="22"/>
          <w:szCs w:val="22"/>
          <w:rtl/>
        </w:rPr>
        <w:t>15</w:t>
      </w:r>
      <w:r w:rsidRPr="001B6C67">
        <w:rPr>
          <w:rFonts w:ascii="Simplified Arabic" w:hAnsi="Simplified Arabic"/>
          <w:sz w:val="22"/>
          <w:szCs w:val="22"/>
          <w:rtl/>
        </w:rPr>
        <w:t xml:space="preserve"> تشرين الثاني/نوفمبر </w:t>
      </w:r>
      <w:r w:rsidRPr="00AF3116">
        <w:rPr>
          <w:rFonts w:ascii="Simplified Arabic" w:hAnsi="Simplified Arabic"/>
          <w:sz w:val="22"/>
          <w:szCs w:val="22"/>
          <w:rtl/>
        </w:rPr>
        <w:t>2021</w:t>
      </w:r>
      <w:r w:rsidRPr="001B6C67">
        <w:rPr>
          <w:rFonts w:ascii="Simplified Arabic" w:hAnsi="Simplified Arabic"/>
          <w:sz w:val="22"/>
          <w:szCs w:val="22"/>
          <w:rtl/>
        </w:rPr>
        <w:t>]</w:t>
      </w:r>
    </w:p>
    <w:p w14:paraId="29F893E4" w14:textId="77777777" w:rsidR="00DE3D9F" w:rsidRPr="001B6C67" w:rsidRDefault="00DE3D9F" w:rsidP="00DE3D9F">
      <w:pPr>
        <w:spacing w:line="240" w:lineRule="auto"/>
        <w:rPr>
          <w:rFonts w:ascii="Simplified Arabic" w:hAnsi="Simplified Arabic"/>
          <w:sz w:val="22"/>
        </w:rPr>
      </w:pPr>
      <w:r w:rsidRPr="001B6C67">
        <w:rPr>
          <w:rFonts w:ascii="Simplified Arabic" w:hAnsi="Simplified Arabic"/>
          <w:sz w:val="22"/>
        </w:rPr>
        <w:br w:type="page"/>
      </w:r>
    </w:p>
    <w:p w14:paraId="5505D5A6" w14:textId="77777777" w:rsidR="001A356A" w:rsidRPr="00E9251F" w:rsidRDefault="001A356A" w:rsidP="004D0C38">
      <w:pPr>
        <w:keepNext/>
        <w:spacing w:line="360" w:lineRule="exact"/>
        <w:rPr>
          <w:sz w:val="26"/>
          <w:szCs w:val="26"/>
          <w:rtl/>
        </w:rPr>
      </w:pPr>
      <w:r w:rsidRPr="00E9251F">
        <w:rPr>
          <w:rFonts w:hint="cs"/>
          <w:sz w:val="26"/>
          <w:szCs w:val="26"/>
          <w:rtl/>
        </w:rPr>
        <w:lastRenderedPageBreak/>
        <w:t>المحتويات</w:t>
      </w:r>
    </w:p>
    <w:p w14:paraId="5BE2264F" w14:textId="77777777" w:rsidR="001A356A" w:rsidRPr="00E64ED3" w:rsidRDefault="001A356A" w:rsidP="004D0C38">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06973B67" w14:textId="7E214952" w:rsidR="001A356A" w:rsidRDefault="001A356A" w:rsidP="001A356A">
      <w:pPr>
        <w:pStyle w:val="TOC4"/>
        <w:rPr>
          <w:rFonts w:asciiTheme="minorHAnsi" w:hAnsiTheme="minorHAnsi" w:cstheme="minorBidi"/>
          <w:sz w:val="22"/>
          <w:szCs w:val="22"/>
          <w:rtl/>
          <w:lang w:val="en-US" w:eastAsia="zh-CN"/>
        </w:rPr>
      </w:pPr>
      <w:r w:rsidRPr="00EB65FD">
        <w:fldChar w:fldCharType="begin"/>
      </w:r>
      <w:r w:rsidRPr="00EB65FD">
        <w:instrText xml:space="preserve"> TOC \o "1-3" \h \z \t "_ H _Ch_GA;4;_ H_1_GA;5" </w:instrText>
      </w:r>
      <w:r w:rsidRPr="00EB65FD">
        <w:fldChar w:fldCharType="separate"/>
      </w:r>
      <w:hyperlink w:anchor="_Toc92899413" w:history="1">
        <w:r w:rsidRPr="00AF3116">
          <w:rPr>
            <w:rStyle w:val="Hyperlink"/>
            <w:rtl/>
          </w:rPr>
          <w:tab/>
          <w:t>أولاً</w:t>
        </w:r>
        <w:r w:rsidRPr="00AF3116">
          <w:rPr>
            <w:rStyle w:val="Hyperlink"/>
            <w:rtl/>
          </w:rPr>
          <w:tab/>
          <w:t>-</w:t>
        </w:r>
        <w:r w:rsidRPr="00AF3116">
          <w:rPr>
            <w:rStyle w:val="Hyperlink"/>
            <w:rtl/>
          </w:rPr>
          <w:tab/>
        </w:r>
        <w:r w:rsidRPr="001A356A">
          <w:rPr>
            <w:rStyle w:val="Hyperlink"/>
            <w:rtl/>
          </w:rPr>
          <w:t>معلومات</w:t>
        </w:r>
        <w:r w:rsidRPr="00AF3116">
          <w:rPr>
            <w:rStyle w:val="Hyperlink"/>
            <w:rtl/>
          </w:rPr>
          <w:t xml:space="preserve"> عامة</w:t>
        </w:r>
        <w:r>
          <w:rPr>
            <w:webHidden/>
            <w:rtl/>
          </w:rPr>
          <w:tab/>
        </w:r>
        <w:r w:rsidRPr="00AF311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Toc92899413 \h</w:instrText>
        </w:r>
        <w:r>
          <w:rPr>
            <w:webHidden/>
            <w:rtl/>
          </w:rPr>
          <w:instrText xml:space="preserve"> </w:instrText>
        </w:r>
        <w:r>
          <w:rPr>
            <w:rStyle w:val="Hyperlink"/>
          </w:rPr>
        </w:r>
        <w:r>
          <w:rPr>
            <w:rStyle w:val="Hyperlink"/>
          </w:rPr>
          <w:fldChar w:fldCharType="separate"/>
        </w:r>
        <w:r w:rsidR="00146491">
          <w:rPr>
            <w:webHidden/>
            <w:rtl/>
          </w:rPr>
          <w:t>3</w:t>
        </w:r>
        <w:r>
          <w:rPr>
            <w:rStyle w:val="Hyperlink"/>
          </w:rPr>
          <w:fldChar w:fldCharType="end"/>
        </w:r>
      </w:hyperlink>
    </w:p>
    <w:p w14:paraId="72CE92CA" w14:textId="34C8A513" w:rsidR="001A356A" w:rsidRDefault="00F50514">
      <w:pPr>
        <w:pStyle w:val="TOC5"/>
        <w:rPr>
          <w:rFonts w:asciiTheme="minorHAnsi" w:hAnsiTheme="minorHAnsi" w:cstheme="minorBidi"/>
          <w:sz w:val="22"/>
          <w:szCs w:val="22"/>
          <w:rtl/>
          <w:lang w:val="en-US" w:eastAsia="zh-CN"/>
        </w:rPr>
      </w:pPr>
      <w:hyperlink w:anchor="_Toc92899414" w:history="1">
        <w:r w:rsidR="001A356A" w:rsidRPr="00AF3116">
          <w:rPr>
            <w:rStyle w:val="Hyperlink"/>
            <w:rtl/>
          </w:rPr>
          <w:t>ألف</w:t>
        </w:r>
        <w:r w:rsidR="001A356A" w:rsidRPr="00AF3116">
          <w:rPr>
            <w:rStyle w:val="Hyperlink"/>
            <w:rtl/>
          </w:rPr>
          <w:tab/>
          <w:t>-</w:t>
        </w:r>
        <w:r w:rsidR="001A356A">
          <w:rPr>
            <w:rFonts w:asciiTheme="minorHAnsi" w:hAnsiTheme="minorHAnsi"/>
            <w:sz w:val="22"/>
            <w:szCs w:val="22"/>
            <w:rtl/>
            <w:lang w:val="en-US" w:eastAsia="zh-CN"/>
          </w:rPr>
          <w:tab/>
        </w:r>
        <w:r w:rsidR="001A356A" w:rsidRPr="00AF3116">
          <w:rPr>
            <w:rStyle w:val="Hyperlink"/>
            <w:rtl/>
          </w:rPr>
          <w:t>الخصائص الديمغرافية والاقتصادية والاجتماعية والثقافية</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Toc92899414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w:t>
        </w:r>
        <w:r w:rsidR="001A356A">
          <w:rPr>
            <w:rStyle w:val="Hyperlink"/>
          </w:rPr>
          <w:fldChar w:fldCharType="end"/>
        </w:r>
      </w:hyperlink>
    </w:p>
    <w:p w14:paraId="79E24E4F" w14:textId="50A5BDD5" w:rsidR="001A356A" w:rsidRDefault="00F50514">
      <w:pPr>
        <w:pStyle w:val="TOC5"/>
        <w:rPr>
          <w:rFonts w:asciiTheme="minorHAnsi" w:hAnsiTheme="minorHAnsi" w:cstheme="minorBidi"/>
          <w:sz w:val="22"/>
          <w:szCs w:val="22"/>
          <w:rtl/>
          <w:lang w:val="en-US" w:eastAsia="zh-CN"/>
        </w:rPr>
      </w:pPr>
      <w:hyperlink w:anchor="_Toc92899415" w:history="1">
        <w:r w:rsidR="001A356A" w:rsidRPr="00AF3116">
          <w:rPr>
            <w:rStyle w:val="Hyperlink"/>
            <w:rtl/>
          </w:rPr>
          <w:t>باء</w:t>
        </w:r>
        <w:r w:rsidR="001A356A" w:rsidRPr="00AF3116">
          <w:rPr>
            <w:rStyle w:val="Hyperlink"/>
            <w:rtl/>
          </w:rPr>
          <w:tab/>
          <w:t>-</w:t>
        </w:r>
        <w:r w:rsidR="001A356A">
          <w:rPr>
            <w:rFonts w:asciiTheme="minorHAnsi" w:hAnsiTheme="minorHAnsi"/>
            <w:sz w:val="22"/>
            <w:szCs w:val="22"/>
            <w:rtl/>
            <w:lang w:val="en-US" w:eastAsia="zh-CN"/>
          </w:rPr>
          <w:tab/>
        </w:r>
        <w:r w:rsidR="001A356A" w:rsidRPr="00AF3116">
          <w:rPr>
            <w:rStyle w:val="Hyperlink"/>
            <w:rtl/>
          </w:rPr>
          <w:t>الهيكل الدستوري والسياسي والقانوني</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Toc92899415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9</w:t>
        </w:r>
        <w:r w:rsidR="001A356A">
          <w:rPr>
            <w:rStyle w:val="Hyperlink"/>
          </w:rPr>
          <w:fldChar w:fldCharType="end"/>
        </w:r>
      </w:hyperlink>
    </w:p>
    <w:p w14:paraId="79E32182" w14:textId="79764998" w:rsidR="001A356A" w:rsidRDefault="00F50514">
      <w:pPr>
        <w:pStyle w:val="TOC4"/>
        <w:rPr>
          <w:rFonts w:asciiTheme="minorHAnsi" w:hAnsiTheme="minorHAnsi" w:cstheme="minorBidi"/>
          <w:sz w:val="22"/>
          <w:szCs w:val="22"/>
          <w:rtl/>
          <w:lang w:val="en-US" w:eastAsia="zh-CN"/>
        </w:rPr>
      </w:pPr>
      <w:hyperlink w:anchor="_Toc92899416" w:history="1">
        <w:r w:rsidR="001A356A">
          <w:rPr>
            <w:rStyle w:val="Hyperlink"/>
            <w:rtl/>
          </w:rPr>
          <w:tab/>
        </w:r>
        <w:r w:rsidR="001A356A" w:rsidRPr="00B936AA">
          <w:rPr>
            <w:rStyle w:val="Hyperlink"/>
            <w:rtl/>
          </w:rPr>
          <w:t>ثانياً</w:t>
        </w:r>
        <w:r w:rsidR="001A356A">
          <w:rPr>
            <w:rStyle w:val="Hyperlink"/>
            <w:rtl/>
          </w:rPr>
          <w:tab/>
          <w:t>-</w:t>
        </w:r>
        <w:r w:rsidR="001A356A">
          <w:rPr>
            <w:rStyle w:val="Hyperlink"/>
            <w:rtl/>
          </w:rPr>
          <w:tab/>
        </w:r>
        <w:r w:rsidR="001A356A" w:rsidRPr="00AF3116">
          <w:rPr>
            <w:rStyle w:val="Hyperlink"/>
            <w:rtl/>
          </w:rPr>
          <w:t>الإطار العام لحماية حقوق الإنسان وتعزيزها</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Toc92899416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16</w:t>
        </w:r>
        <w:r w:rsidR="001A356A">
          <w:rPr>
            <w:rStyle w:val="Hyperlink"/>
          </w:rPr>
          <w:fldChar w:fldCharType="end"/>
        </w:r>
      </w:hyperlink>
    </w:p>
    <w:p w14:paraId="19897F53" w14:textId="60B7D37F" w:rsidR="001A356A" w:rsidRDefault="00F50514">
      <w:pPr>
        <w:pStyle w:val="TOC5"/>
        <w:rPr>
          <w:rFonts w:asciiTheme="minorHAnsi" w:hAnsiTheme="minorHAnsi" w:cstheme="minorBidi"/>
          <w:sz w:val="22"/>
          <w:szCs w:val="22"/>
          <w:rtl/>
          <w:lang w:val="en-US" w:eastAsia="zh-CN"/>
        </w:rPr>
      </w:pPr>
      <w:hyperlink w:anchor="_Toc92899417" w:history="1">
        <w:r w:rsidR="001A356A" w:rsidRPr="00B936AA">
          <w:rPr>
            <w:rStyle w:val="Hyperlink"/>
            <w:rtl/>
          </w:rPr>
          <w:t>ألف</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AF3116">
          <w:rPr>
            <w:rStyle w:val="Hyperlink"/>
            <w:rtl/>
          </w:rPr>
          <w:t>قبول القواعد الدولية المتعلقة بحقوق الإنسان</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Toc92899417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16</w:t>
        </w:r>
        <w:r w:rsidR="001A356A">
          <w:rPr>
            <w:rStyle w:val="Hyperlink"/>
          </w:rPr>
          <w:fldChar w:fldCharType="end"/>
        </w:r>
      </w:hyperlink>
    </w:p>
    <w:p w14:paraId="4AE659CF" w14:textId="29613FFF" w:rsidR="001A356A" w:rsidRDefault="00F50514">
      <w:pPr>
        <w:pStyle w:val="TOC5"/>
        <w:rPr>
          <w:rFonts w:asciiTheme="minorHAnsi" w:hAnsiTheme="minorHAnsi" w:cstheme="minorBidi"/>
          <w:sz w:val="22"/>
          <w:szCs w:val="22"/>
          <w:rtl/>
          <w:lang w:val="en-US" w:eastAsia="zh-CN"/>
        </w:rPr>
      </w:pPr>
      <w:hyperlink w:anchor="_Toc92899418" w:history="1">
        <w:r w:rsidR="001A356A" w:rsidRPr="00B936AA">
          <w:rPr>
            <w:rStyle w:val="Hyperlink"/>
            <w:rtl/>
          </w:rPr>
          <w:t>باء</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AF3116">
          <w:rPr>
            <w:rStyle w:val="Hyperlink"/>
            <w:rtl/>
          </w:rPr>
          <w:t>الإطار القانوني لحماية حقوق الإنسان على الصعيد الوطني</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Toc92899418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20</w:t>
        </w:r>
        <w:r w:rsidR="001A356A">
          <w:rPr>
            <w:rStyle w:val="Hyperlink"/>
          </w:rPr>
          <w:fldChar w:fldCharType="end"/>
        </w:r>
      </w:hyperlink>
    </w:p>
    <w:p w14:paraId="02103F0F" w14:textId="3D15ACAA" w:rsidR="001A356A" w:rsidRDefault="00F50514">
      <w:pPr>
        <w:pStyle w:val="TOC5"/>
        <w:rPr>
          <w:rFonts w:asciiTheme="minorHAnsi" w:hAnsiTheme="minorHAnsi" w:cstheme="minorBidi"/>
          <w:sz w:val="22"/>
          <w:szCs w:val="22"/>
          <w:rtl/>
          <w:lang w:val="en-US" w:eastAsia="zh-CN"/>
        </w:rPr>
      </w:pPr>
      <w:hyperlink w:anchor="_Toc92899419" w:history="1">
        <w:r w:rsidR="001A356A" w:rsidRPr="00B936AA">
          <w:rPr>
            <w:rStyle w:val="Hyperlink"/>
            <w:rtl/>
          </w:rPr>
          <w:t>جيم</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AF3116">
          <w:rPr>
            <w:rStyle w:val="Hyperlink"/>
            <w:rtl/>
          </w:rPr>
          <w:t>إطار تعزيز حقوق الإنسان على الصعيد الوطني</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Toc92899419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30</w:t>
        </w:r>
        <w:r w:rsidR="001A356A">
          <w:rPr>
            <w:rStyle w:val="Hyperlink"/>
          </w:rPr>
          <w:fldChar w:fldCharType="end"/>
        </w:r>
      </w:hyperlink>
    </w:p>
    <w:p w14:paraId="444FC24B" w14:textId="738AF308" w:rsidR="001A356A" w:rsidRDefault="00F50514">
      <w:pPr>
        <w:pStyle w:val="TOC5"/>
        <w:rPr>
          <w:rFonts w:asciiTheme="minorHAnsi" w:hAnsiTheme="minorHAnsi" w:cstheme="minorBidi"/>
          <w:sz w:val="22"/>
          <w:szCs w:val="22"/>
          <w:rtl/>
          <w:lang w:val="en-US" w:eastAsia="zh-CN"/>
        </w:rPr>
      </w:pPr>
      <w:hyperlink w:anchor="_Toc92899420" w:history="1">
        <w:r w:rsidR="001A356A" w:rsidRPr="00B936AA">
          <w:rPr>
            <w:rStyle w:val="Hyperlink"/>
            <w:rtl/>
          </w:rPr>
          <w:t>دال</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AF3116">
          <w:rPr>
            <w:rStyle w:val="Hyperlink"/>
            <w:rtl/>
          </w:rPr>
          <w:t>عملية تقديم التقارير إلى الأمم المتحدة على الصعيد الوطني</w:t>
        </w:r>
        <w:r w:rsidR="001A356A">
          <w:rPr>
            <w:webHidden/>
            <w:rtl/>
          </w:rPr>
          <w:tab/>
        </w:r>
        <w:r w:rsidR="001A356A" w:rsidRPr="00AF3116">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Toc92899420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35</w:t>
        </w:r>
        <w:r w:rsidR="001A356A">
          <w:rPr>
            <w:rStyle w:val="Hyperlink"/>
          </w:rPr>
          <w:fldChar w:fldCharType="end"/>
        </w:r>
      </w:hyperlink>
    </w:p>
    <w:p w14:paraId="42DD98A8" w14:textId="44917FBA" w:rsidR="001A356A" w:rsidRDefault="00F50514">
      <w:pPr>
        <w:pStyle w:val="TOC4"/>
        <w:rPr>
          <w:rFonts w:asciiTheme="minorHAnsi" w:hAnsiTheme="minorHAnsi" w:cstheme="minorBidi"/>
          <w:sz w:val="22"/>
          <w:szCs w:val="22"/>
          <w:rtl/>
          <w:lang w:val="en-US" w:eastAsia="zh-CN"/>
        </w:rPr>
      </w:pPr>
      <w:hyperlink w:anchor="_Toc92899421" w:history="1">
        <w:r w:rsidR="001A356A">
          <w:rPr>
            <w:rStyle w:val="Hyperlink"/>
            <w:rtl/>
          </w:rPr>
          <w:tab/>
        </w:r>
        <w:r w:rsidR="001A356A" w:rsidRPr="00B936AA">
          <w:rPr>
            <w:rStyle w:val="Hyperlink"/>
            <w:rtl/>
          </w:rPr>
          <w:t>ثالثاً</w:t>
        </w:r>
        <w:r w:rsidR="001A356A">
          <w:rPr>
            <w:rStyle w:val="Hyperlink"/>
            <w:rtl/>
          </w:rPr>
          <w:tab/>
          <w:t>-</w:t>
        </w:r>
        <w:r w:rsidR="001A356A">
          <w:rPr>
            <w:rStyle w:val="Hyperlink"/>
            <w:rtl/>
          </w:rPr>
          <w:tab/>
        </w:r>
        <w:r w:rsidR="001A356A" w:rsidRPr="00B936AA">
          <w:rPr>
            <w:rStyle w:val="Hyperlink"/>
            <w:rtl/>
          </w:rPr>
          <w:t>تنفيذ أحكام حقوق الإنسان الموضوعية</w:t>
        </w:r>
        <w:r w:rsidR="001A356A">
          <w:rPr>
            <w:webHidden/>
            <w:rtl/>
          </w:rPr>
          <w:tab/>
        </w:r>
        <w:r w:rsidR="001A356A">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Toc92899421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36</w:t>
        </w:r>
        <w:r w:rsidR="001A356A">
          <w:rPr>
            <w:rStyle w:val="Hyperlink"/>
          </w:rPr>
          <w:fldChar w:fldCharType="end"/>
        </w:r>
      </w:hyperlink>
    </w:p>
    <w:p w14:paraId="4A36349B" w14:textId="0A23AE49" w:rsidR="001A356A" w:rsidRDefault="00F50514">
      <w:pPr>
        <w:pStyle w:val="TOC5"/>
        <w:rPr>
          <w:rFonts w:asciiTheme="minorHAnsi" w:hAnsiTheme="minorHAnsi" w:cstheme="minorBidi"/>
          <w:sz w:val="22"/>
          <w:szCs w:val="22"/>
          <w:rtl/>
          <w:lang w:val="en-US" w:eastAsia="zh-CN"/>
        </w:rPr>
      </w:pPr>
      <w:hyperlink w:anchor="_Toc92899422" w:history="1">
        <w:r w:rsidR="001A356A" w:rsidRPr="00B936AA">
          <w:rPr>
            <w:rStyle w:val="Hyperlink"/>
            <w:rtl/>
          </w:rPr>
          <w:t>ألف</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B936AA">
          <w:rPr>
            <w:rStyle w:val="Hyperlink"/>
            <w:rtl/>
          </w:rPr>
          <w:t>عدم التمييز والمساواة</w:t>
        </w:r>
        <w:r w:rsidR="001A356A">
          <w:rPr>
            <w:webHidden/>
            <w:rtl/>
          </w:rPr>
          <w:tab/>
        </w:r>
        <w:r w:rsidR="001A356A">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Toc92899422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36</w:t>
        </w:r>
        <w:r w:rsidR="001A356A">
          <w:rPr>
            <w:rStyle w:val="Hyperlink"/>
          </w:rPr>
          <w:fldChar w:fldCharType="end"/>
        </w:r>
      </w:hyperlink>
    </w:p>
    <w:p w14:paraId="1C8CF467" w14:textId="65CB69E5" w:rsidR="001A356A" w:rsidRDefault="00F50514">
      <w:pPr>
        <w:pStyle w:val="TOC5"/>
        <w:rPr>
          <w:rFonts w:asciiTheme="minorHAnsi" w:hAnsiTheme="minorHAnsi" w:cstheme="minorBidi"/>
          <w:sz w:val="22"/>
          <w:szCs w:val="22"/>
          <w:rtl/>
          <w:lang w:val="en-US" w:eastAsia="zh-CN"/>
        </w:rPr>
      </w:pPr>
      <w:hyperlink w:anchor="_Toc92899423" w:history="1">
        <w:r w:rsidR="001A356A" w:rsidRPr="00B936AA">
          <w:rPr>
            <w:rStyle w:val="Hyperlink"/>
            <w:rtl/>
          </w:rPr>
          <w:t>باء</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B936AA">
          <w:rPr>
            <w:rStyle w:val="Hyperlink"/>
            <w:rtl/>
          </w:rPr>
          <w:t>سبل الانتصاف الفعالة</w:t>
        </w:r>
        <w:r w:rsidR="001A356A">
          <w:rPr>
            <w:webHidden/>
            <w:rtl/>
          </w:rPr>
          <w:tab/>
        </w:r>
        <w:r w:rsidR="001A356A">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Toc92899423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38</w:t>
        </w:r>
        <w:r w:rsidR="001A356A">
          <w:rPr>
            <w:rStyle w:val="Hyperlink"/>
          </w:rPr>
          <w:fldChar w:fldCharType="end"/>
        </w:r>
      </w:hyperlink>
    </w:p>
    <w:p w14:paraId="6688E1F1" w14:textId="6883D219" w:rsidR="001A356A" w:rsidRDefault="00F50514">
      <w:pPr>
        <w:pStyle w:val="TOC5"/>
        <w:rPr>
          <w:rFonts w:asciiTheme="minorHAnsi" w:hAnsiTheme="minorHAnsi" w:cstheme="minorBidi"/>
          <w:sz w:val="22"/>
          <w:szCs w:val="22"/>
          <w:rtl/>
          <w:lang w:val="en-US" w:eastAsia="zh-CN"/>
        </w:rPr>
      </w:pPr>
      <w:hyperlink w:anchor="_Toc92899424" w:history="1">
        <w:r w:rsidR="001A356A" w:rsidRPr="00B936AA">
          <w:rPr>
            <w:rStyle w:val="Hyperlink"/>
            <w:rtl/>
          </w:rPr>
          <w:t>جيم</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B936AA">
          <w:rPr>
            <w:rStyle w:val="Hyperlink"/>
            <w:rtl/>
          </w:rPr>
          <w:t>الضمانات الإجرائية</w:t>
        </w:r>
        <w:r w:rsidR="001A356A">
          <w:rPr>
            <w:webHidden/>
            <w:rtl/>
          </w:rPr>
          <w:tab/>
        </w:r>
        <w:r w:rsidR="001A356A">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Toc92899424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38</w:t>
        </w:r>
        <w:r w:rsidR="001A356A">
          <w:rPr>
            <w:rStyle w:val="Hyperlink"/>
          </w:rPr>
          <w:fldChar w:fldCharType="end"/>
        </w:r>
      </w:hyperlink>
    </w:p>
    <w:p w14:paraId="2C50C22E" w14:textId="42D51BB5" w:rsidR="001A356A" w:rsidRDefault="00F50514">
      <w:pPr>
        <w:pStyle w:val="TOC5"/>
        <w:rPr>
          <w:rFonts w:asciiTheme="minorHAnsi" w:hAnsiTheme="minorHAnsi" w:cstheme="minorBidi"/>
          <w:sz w:val="22"/>
          <w:szCs w:val="22"/>
          <w:rtl/>
          <w:lang w:val="en-US" w:eastAsia="zh-CN"/>
        </w:rPr>
      </w:pPr>
      <w:hyperlink w:anchor="_Toc92899425" w:history="1">
        <w:r w:rsidR="001A356A" w:rsidRPr="00B936AA">
          <w:rPr>
            <w:rStyle w:val="Hyperlink"/>
            <w:rtl/>
          </w:rPr>
          <w:t>دال</w:t>
        </w:r>
        <w:r w:rsidR="001A356A">
          <w:rPr>
            <w:rStyle w:val="Hyperlink"/>
            <w:rtl/>
          </w:rPr>
          <w:tab/>
        </w:r>
        <w:r w:rsidR="001A356A" w:rsidRPr="00B936AA">
          <w:rPr>
            <w:rStyle w:val="Hyperlink"/>
            <w:rtl/>
          </w:rPr>
          <w:t>-</w:t>
        </w:r>
        <w:r w:rsidR="001A356A">
          <w:rPr>
            <w:rFonts w:asciiTheme="minorHAnsi" w:hAnsiTheme="minorHAnsi"/>
            <w:sz w:val="22"/>
            <w:szCs w:val="22"/>
            <w:rtl/>
            <w:lang w:val="en-US" w:eastAsia="zh-CN"/>
          </w:rPr>
          <w:tab/>
        </w:r>
        <w:r w:rsidR="001A356A" w:rsidRPr="00B936AA">
          <w:rPr>
            <w:rStyle w:val="Hyperlink"/>
            <w:rtl/>
          </w:rPr>
          <w:t>المشاركة في الحياة العامة</w:t>
        </w:r>
        <w:r w:rsidR="001A356A">
          <w:rPr>
            <w:webHidden/>
            <w:rtl/>
          </w:rPr>
          <w:tab/>
        </w:r>
        <w:r w:rsidR="001A356A">
          <w:rPr>
            <w:rStyle w:val="Hyperlink"/>
            <w:rtl/>
          </w:rPr>
          <w:tab/>
        </w:r>
        <w:r w:rsidR="001A356A">
          <w:rPr>
            <w:rStyle w:val="Hyperlink"/>
          </w:rPr>
          <w:fldChar w:fldCharType="begin"/>
        </w:r>
        <w:r w:rsidR="001A356A">
          <w:rPr>
            <w:webHidden/>
            <w:rtl/>
          </w:rPr>
          <w:instrText xml:space="preserve"> </w:instrText>
        </w:r>
        <w:r w:rsidR="001A356A">
          <w:rPr>
            <w:webHidden/>
          </w:rPr>
          <w:instrText>PAGEREF</w:instrText>
        </w:r>
        <w:r w:rsidR="001A356A">
          <w:rPr>
            <w:webHidden/>
            <w:rtl/>
          </w:rPr>
          <w:instrText xml:space="preserve"> _</w:instrText>
        </w:r>
        <w:r w:rsidR="001A356A">
          <w:rPr>
            <w:webHidden/>
          </w:rPr>
          <w:instrText>Toc92899425 \h</w:instrText>
        </w:r>
        <w:r w:rsidR="001A356A">
          <w:rPr>
            <w:webHidden/>
            <w:rtl/>
          </w:rPr>
          <w:instrText xml:space="preserve"> </w:instrText>
        </w:r>
        <w:r w:rsidR="001A356A">
          <w:rPr>
            <w:rStyle w:val="Hyperlink"/>
          </w:rPr>
        </w:r>
        <w:r w:rsidR="001A356A">
          <w:rPr>
            <w:rStyle w:val="Hyperlink"/>
          </w:rPr>
          <w:fldChar w:fldCharType="separate"/>
        </w:r>
        <w:r w:rsidR="00146491">
          <w:rPr>
            <w:webHidden/>
            <w:rtl/>
          </w:rPr>
          <w:t>38</w:t>
        </w:r>
        <w:r w:rsidR="001A356A">
          <w:rPr>
            <w:rStyle w:val="Hyperlink"/>
          </w:rPr>
          <w:fldChar w:fldCharType="end"/>
        </w:r>
      </w:hyperlink>
    </w:p>
    <w:p w14:paraId="76839F86" w14:textId="31361A35" w:rsidR="001A356A" w:rsidRPr="00EB65FD" w:rsidRDefault="001A356A" w:rsidP="004D0C38">
      <w:pPr>
        <w:pStyle w:val="TOC4"/>
        <w:rPr>
          <w:rtl/>
        </w:rPr>
      </w:pPr>
      <w:r w:rsidRPr="00EB65FD">
        <w:fldChar w:fldCharType="end"/>
      </w:r>
    </w:p>
    <w:p w14:paraId="2C1823B4" w14:textId="423A26C5" w:rsidR="00DE3D9F" w:rsidRPr="00AF3116" w:rsidRDefault="00DE3D9F" w:rsidP="001C785F">
      <w:pPr>
        <w:pStyle w:val="HChGA"/>
        <w:spacing w:before="120"/>
        <w:ind w:hanging="680"/>
        <w:rPr>
          <w:lang w:val="ar-SA" w:eastAsia="zh-TW" w:bidi="en-GB"/>
        </w:rPr>
      </w:pPr>
      <w:r w:rsidRPr="00AF3116">
        <w:rPr>
          <w:rtl/>
          <w:lang w:val="en-US"/>
        </w:rPr>
        <w:br w:type="page"/>
      </w:r>
      <w:bookmarkStart w:id="2" w:name="_Toc92899413"/>
      <w:r w:rsidRPr="00AF3116">
        <w:rPr>
          <w:rtl/>
        </w:rPr>
        <w:lastRenderedPageBreak/>
        <w:t>أولا</w:t>
      </w:r>
      <w:r w:rsidRPr="00AF3116">
        <w:rPr>
          <w:rFonts w:hint="cs"/>
          <w:rtl/>
        </w:rPr>
        <w:t>ً</w:t>
      </w:r>
      <w:r w:rsidRPr="00AF3116">
        <w:rPr>
          <w:rtl/>
        </w:rPr>
        <w:t>-</w:t>
      </w:r>
      <w:r w:rsidR="00AD7242" w:rsidRPr="00AF3116">
        <w:rPr>
          <w:rtl/>
        </w:rPr>
        <w:tab/>
      </w:r>
      <w:r w:rsidRPr="00AF3116">
        <w:rPr>
          <w:rtl/>
        </w:rPr>
        <w:t>معلومات عامة</w:t>
      </w:r>
      <w:bookmarkStart w:id="3" w:name="_Toc89701532"/>
      <w:bookmarkEnd w:id="3"/>
      <w:bookmarkEnd w:id="2"/>
    </w:p>
    <w:p w14:paraId="351E75ED" w14:textId="77777777" w:rsidR="00DE3D9F" w:rsidRPr="001B6C67" w:rsidRDefault="00DE3D9F" w:rsidP="00DE3D9F">
      <w:pPr>
        <w:pStyle w:val="SingleTxtGA"/>
        <w:rPr>
          <w:lang w:val="ar-SA" w:eastAsia="zh-TW" w:bidi="en-GB"/>
        </w:rPr>
      </w:pPr>
      <w:r w:rsidRPr="00AF3116">
        <w:rPr>
          <w:rtl/>
        </w:rPr>
        <w:t>1</w:t>
      </w:r>
      <w:r w:rsidRPr="001B6C67">
        <w:rPr>
          <w:rtl/>
        </w:rPr>
        <w:t>-</w:t>
      </w:r>
      <w:r w:rsidRPr="001B6C67">
        <w:rPr>
          <w:rtl/>
        </w:rPr>
        <w:tab/>
        <w:t xml:space="preserve">تم تحديث هذه الوثيقة </w:t>
      </w:r>
      <w:r>
        <w:rPr>
          <w:rtl/>
        </w:rPr>
        <w:t>بالاستناد إلى</w:t>
      </w:r>
      <w:r w:rsidRPr="001B6C67">
        <w:rPr>
          <w:rtl/>
        </w:rPr>
        <w:t xml:space="preserve"> الوثيقة الأساسية المشتركة السابقة التي تشكل جزءاً من تقارير تايلند (</w:t>
      </w:r>
      <w:r w:rsidRPr="001B6C67">
        <w:t>HRI/CORE/THA/</w:t>
      </w:r>
      <w:r w:rsidRPr="00AF3116">
        <w:t>2012</w:t>
      </w:r>
      <w:r w:rsidRPr="001B6C67">
        <w:rPr>
          <w:rtl/>
        </w:rPr>
        <w:t>). وأُعِدت وفقاً للمبادئ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1B6C67">
        <w:t>HRI/GEN/</w:t>
      </w:r>
      <w:r w:rsidRPr="00AF3116">
        <w:t>2</w:t>
      </w:r>
      <w:r w:rsidRPr="001B6C67">
        <w:t>/Rev.</w:t>
      </w:r>
      <w:r w:rsidRPr="00AF3116">
        <w:t>6</w:t>
      </w:r>
      <w:r w:rsidRPr="001B6C67">
        <w:rPr>
          <w:rtl/>
        </w:rPr>
        <w:t>).</w:t>
      </w:r>
    </w:p>
    <w:p w14:paraId="6C9ECE26" w14:textId="77777777" w:rsidR="00DE3D9F" w:rsidRPr="001B6C67" w:rsidRDefault="00DE3D9F" w:rsidP="00DE3D9F">
      <w:pPr>
        <w:pStyle w:val="SingleTxtGA"/>
        <w:rPr>
          <w:lang w:val="ar-SA" w:eastAsia="zh-TW" w:bidi="en-GB"/>
        </w:rPr>
      </w:pPr>
      <w:r w:rsidRPr="00AF3116">
        <w:rPr>
          <w:rtl/>
        </w:rPr>
        <w:t>2</w:t>
      </w:r>
      <w:r w:rsidRPr="001B6C67">
        <w:rPr>
          <w:rtl/>
        </w:rPr>
        <w:t>-</w:t>
      </w:r>
      <w:r w:rsidRPr="001B6C67">
        <w:rPr>
          <w:rtl/>
        </w:rPr>
        <w:tab/>
      </w:r>
      <w:r>
        <w:rPr>
          <w:rtl/>
        </w:rPr>
        <w:t>و</w:t>
      </w:r>
      <w:r w:rsidRPr="001B6C67">
        <w:rPr>
          <w:rtl/>
        </w:rPr>
        <w:t xml:space="preserve">عقد الفريق العامل المعني بالوثيقة الأساسية الموحدة لتايلاند، الذي أنشأته وزارة العدل ويضم جميع الوكالات الحكومية ذات الصلة، واللجنة الوطنية لحقوق الإنسان في تايلاند، وخبراء في مجال حقوق الإنسان سلسلة من الاجتماعات منذ آذار/مارس </w:t>
      </w:r>
      <w:r w:rsidRPr="00AF3116">
        <w:rPr>
          <w:rtl/>
        </w:rPr>
        <w:t>2019</w:t>
      </w:r>
      <w:r w:rsidRPr="001B6C67">
        <w:rPr>
          <w:rtl/>
        </w:rPr>
        <w:t xml:space="preserve">. ووُضِعت هذه الوثيقة في صيغتها النهائية في تموز/يوليه </w:t>
      </w:r>
      <w:r w:rsidRPr="00AF3116">
        <w:rPr>
          <w:rtl/>
        </w:rPr>
        <w:t>2020</w:t>
      </w:r>
      <w:r w:rsidRPr="001B6C67">
        <w:rPr>
          <w:rtl/>
        </w:rPr>
        <w:t>.</w:t>
      </w:r>
    </w:p>
    <w:p w14:paraId="23578BD5" w14:textId="7F4C3BC5" w:rsidR="00DE3D9F" w:rsidRPr="00AF3116" w:rsidRDefault="00AD7242" w:rsidP="00AD7242">
      <w:pPr>
        <w:pStyle w:val="H1GA"/>
        <w:rPr>
          <w:lang w:val="ar-SA" w:eastAsia="zh-TW" w:bidi="en-GB"/>
        </w:rPr>
      </w:pPr>
      <w:r w:rsidRPr="00AF3116">
        <w:rPr>
          <w:rtl/>
        </w:rPr>
        <w:tab/>
      </w:r>
      <w:bookmarkStart w:id="4" w:name="_Toc92899414"/>
      <w:r w:rsidR="00DE3D9F" w:rsidRPr="00AF3116">
        <w:rPr>
          <w:rtl/>
        </w:rPr>
        <w:t>ألف-</w:t>
      </w:r>
      <w:r w:rsidR="00DE3D9F" w:rsidRPr="00AF3116">
        <w:rPr>
          <w:rtl/>
        </w:rPr>
        <w:tab/>
        <w:t>الخصائص الديمغرافية والاقتصادية والاجتماعية والثقافية</w:t>
      </w:r>
      <w:bookmarkStart w:id="5" w:name="_Toc89701533"/>
      <w:bookmarkEnd w:id="5"/>
      <w:bookmarkEnd w:id="4"/>
    </w:p>
    <w:p w14:paraId="709C1FF3" w14:textId="77777777" w:rsidR="00DE3D9F" w:rsidRPr="00AF3116" w:rsidRDefault="00DE3D9F" w:rsidP="00AD7242">
      <w:pPr>
        <w:pStyle w:val="H23GA"/>
        <w:rPr>
          <w:lang w:val="ar-SA" w:eastAsia="zh-TW" w:bidi="en-GB"/>
        </w:rPr>
      </w:pPr>
      <w:r w:rsidRPr="00AF3116">
        <w:rPr>
          <w:rtl/>
        </w:rPr>
        <w:tab/>
      </w:r>
      <w:r w:rsidRPr="00AF3116">
        <w:rPr>
          <w:rtl/>
        </w:rPr>
        <w:tab/>
        <w:t>الجغرافيا</w:t>
      </w:r>
    </w:p>
    <w:p w14:paraId="3082A89C" w14:textId="4D8E30BF" w:rsidR="00DE3D9F" w:rsidRPr="001B6C67" w:rsidRDefault="00DE3D9F" w:rsidP="00DE3D9F">
      <w:pPr>
        <w:pStyle w:val="SingleTxtGA"/>
        <w:rPr>
          <w:lang w:val="ar-SA" w:eastAsia="zh-TW" w:bidi="en-GB"/>
        </w:rPr>
      </w:pPr>
      <w:r w:rsidRPr="00AF3116">
        <w:rPr>
          <w:rtl/>
        </w:rPr>
        <w:t>3</w:t>
      </w:r>
      <w:r w:rsidRPr="001B6C67">
        <w:rPr>
          <w:rtl/>
        </w:rPr>
        <w:t>-</w:t>
      </w:r>
      <w:r w:rsidRPr="001B6C67">
        <w:rPr>
          <w:rtl/>
        </w:rPr>
        <w:tab/>
        <w:t>تقع تايلاند على البر الرئيس</w:t>
      </w:r>
      <w:r w:rsidR="001C785F">
        <w:rPr>
          <w:rFonts w:hint="cs"/>
          <w:rtl/>
        </w:rPr>
        <w:t>ي</w:t>
      </w:r>
      <w:r w:rsidRPr="001B6C67">
        <w:rPr>
          <w:rtl/>
        </w:rPr>
        <w:t xml:space="preserve"> لجنوب شرق آسيا على مساحة </w:t>
      </w:r>
      <w:r w:rsidRPr="00AF3116">
        <w:rPr>
          <w:rtl/>
        </w:rPr>
        <w:t>120</w:t>
      </w:r>
      <w:r w:rsidRPr="001B6C67">
        <w:rPr>
          <w:rtl/>
        </w:rPr>
        <w:t xml:space="preserve"> </w:t>
      </w:r>
      <w:r w:rsidRPr="00AF3116">
        <w:rPr>
          <w:rtl/>
        </w:rPr>
        <w:t>513</w:t>
      </w:r>
      <w:r w:rsidRPr="001B6C67">
        <w:rPr>
          <w:rtl/>
        </w:rPr>
        <w:t xml:space="preserve"> </w:t>
      </w:r>
      <w:r>
        <w:rPr>
          <w:rtl/>
        </w:rPr>
        <w:t>كيلومتراً</w:t>
      </w:r>
      <w:r w:rsidRPr="001B6C67">
        <w:rPr>
          <w:rtl/>
        </w:rPr>
        <w:t xml:space="preserve"> مربع</w:t>
      </w:r>
      <w:r>
        <w:rPr>
          <w:rtl/>
        </w:rPr>
        <w:t>اً</w:t>
      </w:r>
      <w:r w:rsidRPr="001B6C67">
        <w:rPr>
          <w:rtl/>
        </w:rPr>
        <w:t xml:space="preserve">. وهي تشترك حدوداً مع جمهورية لاو الديمقراطية الشعبية وميانمار في الشمال؛ وجمهورية لاو الديمقراطية الشعبية وكمبوديا وخليج تايلند </w:t>
      </w:r>
      <w:r>
        <w:rPr>
          <w:rtl/>
        </w:rPr>
        <w:t>في</w:t>
      </w:r>
      <w:r w:rsidRPr="001B6C67">
        <w:rPr>
          <w:rtl/>
        </w:rPr>
        <w:t xml:space="preserve"> الشرق؛ وميانمار والمحيط الهندي في الغرب؛ وماليزيا في الجنوب. </w:t>
      </w:r>
    </w:p>
    <w:p w14:paraId="1F8B41EA" w14:textId="77777777" w:rsidR="00DE3D9F" w:rsidRPr="001B6C67" w:rsidRDefault="00DE3D9F" w:rsidP="00DE3D9F">
      <w:pPr>
        <w:pStyle w:val="SingleTxtGA"/>
        <w:rPr>
          <w:lang w:val="ar-SA" w:eastAsia="zh-TW" w:bidi="en-GB"/>
        </w:rPr>
      </w:pPr>
      <w:r w:rsidRPr="00AF3116">
        <w:rPr>
          <w:rtl/>
        </w:rPr>
        <w:t>4</w:t>
      </w:r>
      <w:r w:rsidRPr="001B6C67">
        <w:rPr>
          <w:rtl/>
        </w:rPr>
        <w:t>-</w:t>
      </w:r>
      <w:r w:rsidRPr="001B6C67">
        <w:rPr>
          <w:rtl/>
        </w:rPr>
        <w:tab/>
        <w:t>وتنقسم تايلند إلى أربع مناطق جغرافية رئيسية. ولكل منطقة سمات طبيعية محددة</w:t>
      </w:r>
      <w:r>
        <w:rPr>
          <w:rtl/>
        </w:rPr>
        <w:t xml:space="preserve"> نوعاً ما</w:t>
      </w:r>
      <w:r w:rsidRPr="001B6C67">
        <w:rPr>
          <w:rtl/>
        </w:rPr>
        <w:t xml:space="preserve">: جبال عالية في الشمال؛ وهضبة مرتفعات في الشمال الشرقي؛ ومنطقة أراضي منخفضة في السهول الوسطى تتصل بالجنوب بسلسلة جباله الطويلة وسهل ضيق يمتد إلى البحر. وبانكوك هي العاصمة. </w:t>
      </w:r>
    </w:p>
    <w:p w14:paraId="3C6C6E4C" w14:textId="77777777" w:rsidR="00DE3D9F" w:rsidRPr="00AF3116" w:rsidRDefault="00DE3D9F" w:rsidP="00AD7242">
      <w:pPr>
        <w:pStyle w:val="H23GA"/>
        <w:rPr>
          <w:lang w:val="ar-SA" w:eastAsia="zh-TW" w:bidi="en-GB"/>
        </w:rPr>
      </w:pPr>
      <w:r w:rsidRPr="00AF3116">
        <w:rPr>
          <w:rtl/>
        </w:rPr>
        <w:tab/>
      </w:r>
      <w:r w:rsidRPr="00AF3116">
        <w:rPr>
          <w:rtl/>
        </w:rPr>
        <w:tab/>
        <w:t>السكان</w:t>
      </w:r>
    </w:p>
    <w:p w14:paraId="26D02D9B" w14:textId="13E91874" w:rsidR="00DE3D9F" w:rsidRPr="001B6C67" w:rsidRDefault="00DE3D9F" w:rsidP="00DE3D9F">
      <w:pPr>
        <w:pStyle w:val="SingleTxtGA"/>
        <w:rPr>
          <w:lang w:val="ar-SA" w:eastAsia="zh-TW" w:bidi="en-GB"/>
        </w:rPr>
      </w:pPr>
      <w:r w:rsidRPr="00AF3116">
        <w:rPr>
          <w:rtl/>
        </w:rPr>
        <w:t>5</w:t>
      </w:r>
      <w:r w:rsidRPr="001B6C67">
        <w:rPr>
          <w:rtl/>
        </w:rPr>
        <w:t>-</w:t>
      </w:r>
      <w:r w:rsidRPr="001B6C67">
        <w:rPr>
          <w:rtl/>
        </w:rPr>
        <w:tab/>
        <w:t xml:space="preserve">في </w:t>
      </w:r>
      <w:r w:rsidRPr="00AF3116">
        <w:rPr>
          <w:rtl/>
        </w:rPr>
        <w:t>31</w:t>
      </w:r>
      <w:r w:rsidRPr="001B6C67">
        <w:rPr>
          <w:rtl/>
        </w:rPr>
        <w:t xml:space="preserve"> كانون الأول/ديسمبر </w:t>
      </w:r>
      <w:r w:rsidRPr="00AF3116">
        <w:rPr>
          <w:rtl/>
        </w:rPr>
        <w:t>2018</w:t>
      </w:r>
      <w:r w:rsidRPr="001B6C67">
        <w:rPr>
          <w:rtl/>
        </w:rPr>
        <w:t xml:space="preserve">، كان عدد سكان تايلاند يبلغ حوالي </w:t>
      </w:r>
      <w:r w:rsidRPr="00AF3116">
        <w:rPr>
          <w:rtl/>
        </w:rPr>
        <w:t>66</w:t>
      </w:r>
      <w:r w:rsidRPr="001B6C67">
        <w:rPr>
          <w:rtl/>
        </w:rPr>
        <w:t>,</w:t>
      </w:r>
      <w:r w:rsidRPr="00AF3116">
        <w:rPr>
          <w:rtl/>
        </w:rPr>
        <w:t>41</w:t>
      </w:r>
      <w:r w:rsidRPr="001B6C67">
        <w:rPr>
          <w:rtl/>
        </w:rPr>
        <w:t xml:space="preserve"> مليون نسمة، منهم </w:t>
      </w:r>
      <w:r w:rsidRPr="00AF3116">
        <w:rPr>
          <w:rtl/>
        </w:rPr>
        <w:t>98</w:t>
      </w:r>
      <w:r w:rsidRPr="001B6C67">
        <w:rPr>
          <w:rtl/>
        </w:rPr>
        <w:t>,</w:t>
      </w:r>
      <w:r w:rsidRPr="00AF3116">
        <w:rPr>
          <w:rtl/>
        </w:rPr>
        <w:t>62</w:t>
      </w:r>
      <w:r w:rsidRPr="001B6C67">
        <w:rPr>
          <w:rtl/>
        </w:rPr>
        <w:t xml:space="preserve"> في المائة من المواطنين التايلانديين، في حين كانت النسبة المتبقية تتكون</w:t>
      </w:r>
      <w:r w:rsidR="001118BF">
        <w:rPr>
          <w:rFonts w:hint="cs"/>
          <w:rtl/>
        </w:rPr>
        <w:t xml:space="preserve"> </w:t>
      </w:r>
      <w:r w:rsidRPr="001B6C67">
        <w:rPr>
          <w:rtl/>
        </w:rPr>
        <w:t xml:space="preserve">من بورميين وكمبوديين </w:t>
      </w:r>
      <w:proofErr w:type="spellStart"/>
      <w:r w:rsidRPr="001B6C67">
        <w:rPr>
          <w:rtl/>
        </w:rPr>
        <w:t>ولاوسيين</w:t>
      </w:r>
      <w:proofErr w:type="spellEnd"/>
      <w:r w:rsidRPr="001B6C67">
        <w:rPr>
          <w:rtl/>
        </w:rPr>
        <w:t>، في جملة جنسيات أخرى.</w:t>
      </w:r>
    </w:p>
    <w:p w14:paraId="1B725E8A" w14:textId="77777777" w:rsidR="00DE3D9F" w:rsidRPr="001B6C67" w:rsidRDefault="00DE3D9F" w:rsidP="00DE3D9F">
      <w:pPr>
        <w:pStyle w:val="SingleTxtGA"/>
        <w:rPr>
          <w:lang w:val="ar-SA" w:eastAsia="zh-TW" w:bidi="en-GB"/>
        </w:rPr>
      </w:pPr>
      <w:r w:rsidRPr="00AF3116">
        <w:rPr>
          <w:rtl/>
        </w:rPr>
        <w:t>6</w:t>
      </w:r>
      <w:r w:rsidRPr="001B6C67">
        <w:rPr>
          <w:rtl/>
        </w:rPr>
        <w:t>-</w:t>
      </w:r>
      <w:r w:rsidRPr="001B6C67">
        <w:rPr>
          <w:rtl/>
        </w:rPr>
        <w:tab/>
        <w:t xml:space="preserve">وكان البوذيون يشكلون </w:t>
      </w:r>
      <w:r w:rsidRPr="00AF3116">
        <w:rPr>
          <w:rtl/>
        </w:rPr>
        <w:t>93</w:t>
      </w:r>
      <w:r w:rsidRPr="001B6C67">
        <w:rPr>
          <w:rtl/>
        </w:rPr>
        <w:t>,</w:t>
      </w:r>
      <w:r w:rsidRPr="00AF3116">
        <w:rPr>
          <w:rtl/>
        </w:rPr>
        <w:t>6</w:t>
      </w:r>
      <w:r w:rsidRPr="001B6C67">
        <w:rPr>
          <w:rtl/>
        </w:rPr>
        <w:t xml:space="preserve"> في المائة من مجموع السكان، في حين أن </w:t>
      </w:r>
      <w:r w:rsidRPr="00AF3116">
        <w:rPr>
          <w:rtl/>
        </w:rPr>
        <w:t>4</w:t>
      </w:r>
      <w:r w:rsidRPr="001B6C67">
        <w:rPr>
          <w:rtl/>
        </w:rPr>
        <w:t>,</w:t>
      </w:r>
      <w:r w:rsidRPr="00AF3116">
        <w:rPr>
          <w:rtl/>
        </w:rPr>
        <w:t>9</w:t>
      </w:r>
      <w:r w:rsidRPr="001B6C67">
        <w:rPr>
          <w:rtl/>
        </w:rPr>
        <w:t xml:space="preserve"> في المائة كانوا مسلمين، و</w:t>
      </w:r>
      <w:r w:rsidRPr="00AF3116">
        <w:rPr>
          <w:rtl/>
        </w:rPr>
        <w:t>1</w:t>
      </w:r>
      <w:r w:rsidRPr="001B6C67">
        <w:rPr>
          <w:rtl/>
        </w:rPr>
        <w:t>,</w:t>
      </w:r>
      <w:r w:rsidRPr="00AF3116">
        <w:rPr>
          <w:rtl/>
        </w:rPr>
        <w:t>5</w:t>
      </w:r>
      <w:r w:rsidRPr="001B6C67">
        <w:rPr>
          <w:rtl/>
        </w:rPr>
        <w:t xml:space="preserve"> في المائة المتبقية كانوا من الديانة المسيحية وغيرها من الديانات.</w:t>
      </w:r>
    </w:p>
    <w:p w14:paraId="0DA195B3" w14:textId="77777777" w:rsidR="00DE3D9F" w:rsidRPr="001B6C67" w:rsidRDefault="00DE3D9F" w:rsidP="00DE3D9F">
      <w:pPr>
        <w:pStyle w:val="SingleTxtGA"/>
        <w:rPr>
          <w:lang w:val="ar-SA" w:eastAsia="zh-TW" w:bidi="en-GB"/>
        </w:rPr>
      </w:pPr>
      <w:r w:rsidRPr="00AF3116">
        <w:rPr>
          <w:rtl/>
        </w:rPr>
        <w:t>7</w:t>
      </w:r>
      <w:r w:rsidRPr="001B6C67">
        <w:rPr>
          <w:rtl/>
        </w:rPr>
        <w:t>-</w:t>
      </w:r>
      <w:r w:rsidRPr="001B6C67">
        <w:rPr>
          <w:rtl/>
        </w:rPr>
        <w:tab/>
        <w:t xml:space="preserve">ومن حيث الهيكل العمري، </w:t>
      </w:r>
      <w:r>
        <w:rPr>
          <w:rtl/>
        </w:rPr>
        <w:t>كان</w:t>
      </w:r>
      <w:r w:rsidRPr="001B6C67">
        <w:rPr>
          <w:rtl/>
        </w:rPr>
        <w:t xml:space="preserve"> </w:t>
      </w:r>
      <w:r w:rsidRPr="00AF3116">
        <w:rPr>
          <w:rtl/>
        </w:rPr>
        <w:t>17</w:t>
      </w:r>
      <w:r w:rsidRPr="001B6C67">
        <w:rPr>
          <w:rtl/>
        </w:rPr>
        <w:t>,</w:t>
      </w:r>
      <w:r w:rsidRPr="00AF3116">
        <w:rPr>
          <w:rtl/>
        </w:rPr>
        <w:t>48</w:t>
      </w:r>
      <w:r w:rsidRPr="001B6C67">
        <w:rPr>
          <w:rtl/>
        </w:rPr>
        <w:t xml:space="preserve"> في المائة من السكان يندرجون في الفئة العمرية من صفر إلى </w:t>
      </w:r>
      <w:r w:rsidRPr="00AF3116">
        <w:rPr>
          <w:rtl/>
        </w:rPr>
        <w:t>14</w:t>
      </w:r>
      <w:r w:rsidRPr="001B6C67">
        <w:rPr>
          <w:rtl/>
        </w:rPr>
        <w:t xml:space="preserve"> عاماً، و</w:t>
      </w:r>
      <w:r w:rsidRPr="00AF3116">
        <w:rPr>
          <w:rtl/>
        </w:rPr>
        <w:t>65</w:t>
      </w:r>
      <w:r w:rsidRPr="001B6C67">
        <w:rPr>
          <w:rtl/>
        </w:rPr>
        <w:t>,</w:t>
      </w:r>
      <w:r w:rsidRPr="00AF3116">
        <w:rPr>
          <w:rtl/>
        </w:rPr>
        <w:t>87</w:t>
      </w:r>
      <w:r w:rsidRPr="001B6C67">
        <w:rPr>
          <w:rtl/>
        </w:rPr>
        <w:t xml:space="preserve"> في المائة في الفئة العمرية من </w:t>
      </w:r>
      <w:r w:rsidRPr="00AF3116">
        <w:rPr>
          <w:rtl/>
        </w:rPr>
        <w:t>15</w:t>
      </w:r>
      <w:r w:rsidRPr="001B6C67">
        <w:rPr>
          <w:rtl/>
        </w:rPr>
        <w:t xml:space="preserve"> إلى </w:t>
      </w:r>
      <w:r w:rsidRPr="00AF3116">
        <w:rPr>
          <w:rtl/>
        </w:rPr>
        <w:t>59</w:t>
      </w:r>
      <w:r w:rsidRPr="001B6C67">
        <w:rPr>
          <w:rtl/>
        </w:rPr>
        <w:t xml:space="preserve"> عاماً، و</w:t>
      </w:r>
      <w:r w:rsidRPr="00AF3116">
        <w:rPr>
          <w:rtl/>
        </w:rPr>
        <w:t>16</w:t>
      </w:r>
      <w:r w:rsidRPr="001B6C67">
        <w:rPr>
          <w:rtl/>
        </w:rPr>
        <w:t>,</w:t>
      </w:r>
      <w:r w:rsidRPr="00AF3116">
        <w:rPr>
          <w:rtl/>
        </w:rPr>
        <w:t>65</w:t>
      </w:r>
      <w:r w:rsidRPr="001B6C67">
        <w:rPr>
          <w:rtl/>
        </w:rPr>
        <w:t xml:space="preserve"> في المائة كانوا في </w:t>
      </w:r>
      <w:r w:rsidRPr="00AF3116">
        <w:rPr>
          <w:rtl/>
        </w:rPr>
        <w:t>سن الستين أو</w:t>
      </w:r>
      <w:r w:rsidRPr="001B6C67">
        <w:rPr>
          <w:rtl/>
        </w:rPr>
        <w:t xml:space="preserve"> أكثر. وانخفض النمو السكاني الطبيعي </w:t>
      </w:r>
      <w:r>
        <w:rPr>
          <w:rtl/>
        </w:rPr>
        <w:t xml:space="preserve">في </w:t>
      </w:r>
      <w:r w:rsidRPr="001B6C67">
        <w:rPr>
          <w:rtl/>
        </w:rPr>
        <w:t xml:space="preserve">عام </w:t>
      </w:r>
      <w:r w:rsidRPr="00AF3116">
        <w:rPr>
          <w:rtl/>
        </w:rPr>
        <w:t>2017</w:t>
      </w:r>
      <w:r w:rsidRPr="001B6C67">
        <w:rPr>
          <w:rtl/>
        </w:rPr>
        <w:t xml:space="preserve"> إلى </w:t>
      </w:r>
      <w:r w:rsidRPr="00AF3116">
        <w:rPr>
          <w:rtl/>
        </w:rPr>
        <w:t>0</w:t>
      </w:r>
      <w:r w:rsidRPr="001B6C67">
        <w:rPr>
          <w:rtl/>
        </w:rPr>
        <w:t>,</w:t>
      </w:r>
      <w:r w:rsidRPr="00AF3116">
        <w:rPr>
          <w:rtl/>
        </w:rPr>
        <w:t>4</w:t>
      </w:r>
      <w:r w:rsidRPr="001B6C67">
        <w:rPr>
          <w:rtl/>
        </w:rPr>
        <w:t xml:space="preserve"> في المائة. ومن المتوقع أن يرتفع متوسط العمر المتوقع للإناث إلى </w:t>
      </w:r>
      <w:r w:rsidRPr="00AF3116">
        <w:rPr>
          <w:rtl/>
        </w:rPr>
        <w:t>76</w:t>
      </w:r>
      <w:r w:rsidRPr="001B6C67">
        <w:rPr>
          <w:rtl/>
        </w:rPr>
        <w:t>,</w:t>
      </w:r>
      <w:r w:rsidRPr="00AF3116">
        <w:rPr>
          <w:rtl/>
        </w:rPr>
        <w:t>3</w:t>
      </w:r>
      <w:r w:rsidRPr="001B6C67">
        <w:rPr>
          <w:rtl/>
        </w:rPr>
        <w:t xml:space="preserve"> عاماً </w:t>
      </w:r>
      <w:r>
        <w:rPr>
          <w:rtl/>
        </w:rPr>
        <w:t>و</w:t>
      </w:r>
      <w:r w:rsidRPr="001B6C67">
        <w:rPr>
          <w:rtl/>
        </w:rPr>
        <w:t xml:space="preserve">للذكور إلى </w:t>
      </w:r>
      <w:r w:rsidRPr="00AF3116">
        <w:rPr>
          <w:rtl/>
        </w:rPr>
        <w:t>69</w:t>
      </w:r>
      <w:r w:rsidRPr="001B6C67">
        <w:rPr>
          <w:rtl/>
        </w:rPr>
        <w:t>,</w:t>
      </w:r>
      <w:r w:rsidRPr="00AF3116">
        <w:rPr>
          <w:rtl/>
        </w:rPr>
        <w:t>5</w:t>
      </w:r>
      <w:r w:rsidRPr="001B6C67">
        <w:rPr>
          <w:rtl/>
        </w:rPr>
        <w:t xml:space="preserve"> عاماً. </w:t>
      </w:r>
    </w:p>
    <w:p w14:paraId="0AF8A509" w14:textId="77777777" w:rsidR="00DE3D9F" w:rsidRPr="001B6C67" w:rsidRDefault="00DE3D9F" w:rsidP="00DE3D9F">
      <w:pPr>
        <w:rPr>
          <w:rFonts w:ascii="Simplified Arabic" w:hAnsi="Simplified Arabic"/>
          <w:sz w:val="22"/>
        </w:rPr>
      </w:pPr>
      <w:r w:rsidRPr="001B6C67">
        <w:rPr>
          <w:rFonts w:ascii="Simplified Arabic" w:hAnsi="Simplified Arabic"/>
          <w:sz w:val="22"/>
        </w:rPr>
        <w:br w:type="page"/>
      </w:r>
    </w:p>
    <w:p w14:paraId="7FDFF5CD" w14:textId="196DCC57" w:rsidR="00DE3D9F" w:rsidRPr="00AF3116" w:rsidRDefault="00DE3D9F" w:rsidP="00DE3D9F">
      <w:pPr>
        <w:pStyle w:val="H23G"/>
        <w:bidi/>
        <w:textDirection w:val="tbRlV"/>
        <w:rPr>
          <w:rFonts w:ascii="Simplified Arabic" w:hAnsi="Simplified Arabic"/>
          <w:sz w:val="22"/>
          <w:szCs w:val="22"/>
          <w:lang w:val="ar-SA" w:eastAsia="zh-TW" w:bidi="en-GB"/>
        </w:rPr>
      </w:pPr>
      <w:r w:rsidRPr="00AF3116">
        <w:rPr>
          <w:rFonts w:ascii="Simplified Arabic" w:hAnsi="Simplified Arabic"/>
          <w:sz w:val="22"/>
          <w:szCs w:val="22"/>
          <w:rtl/>
        </w:rPr>
        <w:lastRenderedPageBreak/>
        <w:tab/>
      </w:r>
      <w:r w:rsidRPr="00AF3116">
        <w:rPr>
          <w:rFonts w:ascii="Simplified Arabic" w:hAnsi="Simplified Arabic"/>
          <w:sz w:val="22"/>
          <w:szCs w:val="22"/>
          <w:rtl/>
        </w:rPr>
        <w:tab/>
      </w:r>
      <w:r w:rsidRPr="00AF3116">
        <w:rPr>
          <w:rFonts w:ascii="Simplified Arabic" w:hAnsi="Simplified Arabic"/>
          <w:bCs/>
          <w:sz w:val="22"/>
          <w:szCs w:val="22"/>
          <w:rtl/>
        </w:rPr>
        <w:t>الهرم السكاني التايلاندي لعام 2017</w:t>
      </w:r>
      <w:r w:rsidR="001118BF" w:rsidRPr="00AF3116">
        <w:rPr>
          <w:rFonts w:ascii="Simplified Arabic" w:hAnsi="Simplified Arabic" w:hint="cs"/>
          <w:b w:val="0"/>
          <w:sz w:val="22"/>
          <w:szCs w:val="22"/>
          <w:vertAlign w:val="superscript"/>
          <w:rtl/>
        </w:rPr>
        <w:t>(</w:t>
      </w:r>
      <w:r w:rsidRPr="00AF3116">
        <w:rPr>
          <w:rStyle w:val="FootnoteReference"/>
          <w:rFonts w:ascii="Simplified Arabic" w:hAnsi="Simplified Arabic"/>
          <w:b w:val="0"/>
          <w:sz w:val="22"/>
          <w:szCs w:val="22"/>
          <w:lang w:val="en-US"/>
        </w:rPr>
        <w:footnoteReference w:id="2"/>
      </w:r>
      <w:r w:rsidR="001118BF" w:rsidRPr="00AF3116">
        <w:rPr>
          <w:rFonts w:ascii="Simplified Arabic" w:hAnsi="Simplified Arabic" w:hint="cs"/>
          <w:b w:val="0"/>
          <w:sz w:val="22"/>
          <w:szCs w:val="22"/>
          <w:vertAlign w:val="superscript"/>
          <w:rtl/>
        </w:rPr>
        <w:t>)</w:t>
      </w:r>
    </w:p>
    <w:p w14:paraId="4DE5A7C4" w14:textId="77777777" w:rsidR="00DE3D9F" w:rsidRPr="001B6C67" w:rsidRDefault="00DE3D9F" w:rsidP="00DE3D9F">
      <w:pPr>
        <w:jc w:val="center"/>
        <w:rPr>
          <w:rFonts w:ascii="Simplified Arabic" w:hAnsi="Simplified Arabic"/>
          <w:sz w:val="22"/>
        </w:rPr>
      </w:pPr>
      <w:r w:rsidRPr="001B6C67">
        <w:rPr>
          <w:rFonts w:ascii="Simplified Arabic" w:hAnsi="Simplified Arabic"/>
          <w:noProof/>
          <w:sz w:val="22"/>
          <w:lang w:eastAsia="en-GB"/>
        </w:rPr>
        <w:drawing>
          <wp:inline distT="0" distB="0" distL="0" distR="0" wp14:anchorId="7CD959F9" wp14:editId="02490D1D">
            <wp:extent cx="5474037" cy="3585393"/>
            <wp:effectExtent l="0" t="0" r="12700" b="15240"/>
            <wp:docPr id="3"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61F26D" w14:textId="6421BC1E" w:rsidR="00DE3D9F" w:rsidRPr="003B756C" w:rsidRDefault="00DE3D9F" w:rsidP="00DE3D9F">
      <w:pPr>
        <w:pStyle w:val="SingleTxtGA"/>
        <w:rPr>
          <w:lang w:val="en-US" w:eastAsia="zh-TW" w:bidi="en-GB"/>
        </w:rPr>
      </w:pPr>
      <w:r w:rsidRPr="00AF3116">
        <w:rPr>
          <w:rtl/>
        </w:rPr>
        <w:t>8</w:t>
      </w:r>
      <w:r w:rsidRPr="001B6C67">
        <w:rPr>
          <w:rtl/>
        </w:rPr>
        <w:t>-</w:t>
      </w:r>
      <w:r w:rsidRPr="001B6C67">
        <w:rPr>
          <w:rtl/>
        </w:rPr>
        <w:tab/>
        <w:t>وينتشر السكان في مختلف المناطق، حيث سُجِّلت أعلى كثافة في بانكوك والمناطق المجاورة</w:t>
      </w:r>
      <w:r w:rsidR="00FC545D">
        <w:rPr>
          <w:rFonts w:hint="cs"/>
          <w:rtl/>
        </w:rPr>
        <w:t xml:space="preserve"> </w:t>
      </w:r>
      <w:r w:rsidRPr="001B6C67">
        <w:rPr>
          <w:rtl/>
        </w:rPr>
        <w:t>لها والمنطقة الوسطى والمنطقة الشرقية، على التوالي. ويبلغ معدل الخصوبة أعلى مستوياته في المنطقة الشرقية والمنطقة الجنوبية وبانكوك والمناطق المجاورة لها، في حين يقع أعلى معدل للوفيات في المناطق الوسطى والشمالية والغربية، على التوالي، على النحو المبين أدناه:</w:t>
      </w:r>
    </w:p>
    <w:tbl>
      <w:tblPr>
        <w:bidiVisual/>
        <w:tblW w:w="7719"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7"/>
        <w:gridCol w:w="765"/>
        <w:gridCol w:w="7"/>
        <w:gridCol w:w="1281"/>
        <w:gridCol w:w="1135"/>
        <w:gridCol w:w="1135"/>
        <w:gridCol w:w="1275"/>
        <w:gridCol w:w="1354"/>
      </w:tblGrid>
      <w:tr w:rsidR="00DE3D9F" w:rsidRPr="00C72472" w14:paraId="12657E5C" w14:textId="77777777" w:rsidTr="0023489D">
        <w:trPr>
          <w:tblHeader/>
        </w:trPr>
        <w:tc>
          <w:tcPr>
            <w:tcW w:w="1529" w:type="dxa"/>
            <w:gridSpan w:val="2"/>
            <w:tcBorders>
              <w:top w:val="single" w:sz="4" w:space="0" w:color="auto"/>
              <w:bottom w:val="single" w:sz="12" w:space="0" w:color="auto"/>
            </w:tcBorders>
            <w:shd w:val="clear" w:color="auto" w:fill="auto"/>
            <w:vAlign w:val="bottom"/>
          </w:tcPr>
          <w:p w14:paraId="0E9E32D7" w14:textId="77777777" w:rsidR="00DE3D9F" w:rsidRPr="003B756C" w:rsidRDefault="00DE3D9F" w:rsidP="00146491">
            <w:pPr>
              <w:spacing w:before="40" w:after="40" w:line="240" w:lineRule="exact"/>
              <w:ind w:left="57" w:right="57"/>
              <w:textDirection w:val="tbRlV"/>
              <w:rPr>
                <w:rFonts w:ascii="Simplified Arabic" w:hAnsi="Simplified Arabic"/>
                <w:i/>
                <w:spacing w:val="-4"/>
                <w:szCs w:val="20"/>
                <w:lang w:val="ar-SA" w:eastAsia="zh-TW" w:bidi="en-GB"/>
              </w:rPr>
            </w:pPr>
            <w:r w:rsidRPr="003B756C">
              <w:rPr>
                <w:rFonts w:ascii="Simplified Arabic" w:hAnsi="Simplified Arabic"/>
                <w:i/>
                <w:iCs/>
                <w:spacing w:val="-4"/>
                <w:szCs w:val="20"/>
                <w:rtl/>
              </w:rPr>
              <w:t>المنطقة</w:t>
            </w:r>
          </w:p>
        </w:tc>
        <w:tc>
          <w:tcPr>
            <w:tcW w:w="1289" w:type="dxa"/>
            <w:gridSpan w:val="2"/>
            <w:tcBorders>
              <w:top w:val="single" w:sz="4" w:space="0" w:color="auto"/>
              <w:bottom w:val="single" w:sz="12" w:space="0" w:color="auto"/>
            </w:tcBorders>
            <w:shd w:val="clear" w:color="auto" w:fill="auto"/>
            <w:vAlign w:val="bottom"/>
          </w:tcPr>
          <w:p w14:paraId="661123AA" w14:textId="77777777" w:rsidR="00DE3D9F" w:rsidRPr="003B756C" w:rsidRDefault="00DE3D9F" w:rsidP="00146491">
            <w:pPr>
              <w:spacing w:before="40" w:after="40" w:line="240" w:lineRule="exact"/>
              <w:ind w:left="57" w:right="57"/>
              <w:textDirection w:val="tbRlV"/>
              <w:rPr>
                <w:rFonts w:ascii="Simplified Arabic" w:hAnsi="Simplified Arabic"/>
                <w:i/>
                <w:spacing w:val="-4"/>
                <w:szCs w:val="20"/>
                <w:lang w:eastAsia="zh-TW" w:bidi="en-GB"/>
              </w:rPr>
            </w:pPr>
            <w:r w:rsidRPr="003B756C">
              <w:rPr>
                <w:rFonts w:ascii="Simplified Arabic" w:hAnsi="Simplified Arabic"/>
                <w:i/>
                <w:iCs/>
                <w:spacing w:val="-4"/>
                <w:szCs w:val="20"/>
                <w:rtl/>
              </w:rPr>
              <w:t>السكان</w:t>
            </w:r>
          </w:p>
        </w:tc>
        <w:tc>
          <w:tcPr>
            <w:tcW w:w="1136" w:type="dxa"/>
            <w:tcBorders>
              <w:top w:val="single" w:sz="4" w:space="0" w:color="auto"/>
              <w:bottom w:val="single" w:sz="12" w:space="0" w:color="auto"/>
            </w:tcBorders>
            <w:shd w:val="clear" w:color="auto" w:fill="auto"/>
            <w:vAlign w:val="bottom"/>
          </w:tcPr>
          <w:p w14:paraId="3A922E7D" w14:textId="77777777" w:rsidR="00DE3D9F" w:rsidRPr="003B756C" w:rsidRDefault="00DE3D9F" w:rsidP="00146491">
            <w:pPr>
              <w:spacing w:before="40" w:after="40" w:line="240" w:lineRule="exact"/>
              <w:ind w:left="57" w:right="57"/>
              <w:textDirection w:val="tbRlV"/>
              <w:rPr>
                <w:rFonts w:ascii="Simplified Arabic" w:hAnsi="Simplified Arabic"/>
                <w:i/>
                <w:spacing w:val="-4"/>
                <w:szCs w:val="20"/>
                <w:lang w:eastAsia="zh-TW" w:bidi="en-GB"/>
              </w:rPr>
            </w:pPr>
            <w:r w:rsidRPr="003B756C">
              <w:rPr>
                <w:rFonts w:ascii="Simplified Arabic" w:hAnsi="Simplified Arabic"/>
                <w:i/>
                <w:iCs/>
                <w:spacing w:val="-4"/>
                <w:szCs w:val="20"/>
                <w:rtl/>
              </w:rPr>
              <w:t>الكثافة (في الكيلومتر المربع)</w:t>
            </w:r>
          </w:p>
        </w:tc>
        <w:tc>
          <w:tcPr>
            <w:tcW w:w="1136" w:type="dxa"/>
            <w:tcBorders>
              <w:top w:val="single" w:sz="4" w:space="0" w:color="auto"/>
              <w:bottom w:val="single" w:sz="12" w:space="0" w:color="auto"/>
            </w:tcBorders>
            <w:shd w:val="clear" w:color="auto" w:fill="auto"/>
            <w:vAlign w:val="bottom"/>
          </w:tcPr>
          <w:p w14:paraId="150E434F" w14:textId="3F225012" w:rsidR="00DE3D9F" w:rsidRPr="003B756C" w:rsidRDefault="00DE3D9F" w:rsidP="00146491">
            <w:pPr>
              <w:spacing w:before="40" w:after="40" w:line="240" w:lineRule="exact"/>
              <w:ind w:left="57" w:right="57"/>
              <w:textDirection w:val="tbRlV"/>
              <w:rPr>
                <w:rFonts w:ascii="Simplified Arabic" w:hAnsi="Simplified Arabic"/>
                <w:i/>
                <w:spacing w:val="-4"/>
                <w:szCs w:val="20"/>
                <w:lang w:val="ar-SA" w:eastAsia="zh-TW" w:bidi="en-GB"/>
              </w:rPr>
            </w:pPr>
            <w:r w:rsidRPr="003B756C">
              <w:rPr>
                <w:rFonts w:ascii="Simplified Arabic" w:hAnsi="Simplified Arabic"/>
                <w:i/>
                <w:iCs/>
                <w:spacing w:val="-4"/>
                <w:szCs w:val="20"/>
                <w:rtl/>
              </w:rPr>
              <w:t xml:space="preserve">معدل الخصوبة (لكل 000 </w:t>
            </w:r>
            <w:r w:rsidR="001118BF" w:rsidRPr="003B756C">
              <w:rPr>
                <w:rFonts w:ascii="Simplified Arabic" w:hAnsi="Simplified Arabic"/>
                <w:i/>
                <w:iCs/>
                <w:spacing w:val="-4"/>
                <w:szCs w:val="20"/>
                <w:rtl/>
              </w:rPr>
              <w:t>1</w:t>
            </w:r>
            <w:r w:rsidR="001118BF" w:rsidRPr="003B756C">
              <w:rPr>
                <w:rFonts w:ascii="Simplified Arabic" w:hAnsi="Simplified Arabic" w:hint="cs"/>
                <w:i/>
                <w:iCs/>
                <w:spacing w:val="-4"/>
                <w:szCs w:val="20"/>
                <w:rtl/>
              </w:rPr>
              <w:t xml:space="preserve"> </w:t>
            </w:r>
            <w:r w:rsidRPr="003B756C">
              <w:rPr>
                <w:rFonts w:ascii="Simplified Arabic" w:hAnsi="Simplified Arabic"/>
                <w:i/>
                <w:iCs/>
                <w:spacing w:val="-4"/>
                <w:szCs w:val="20"/>
                <w:rtl/>
              </w:rPr>
              <w:t>شخص)</w:t>
            </w:r>
          </w:p>
        </w:tc>
        <w:tc>
          <w:tcPr>
            <w:tcW w:w="1274" w:type="dxa"/>
            <w:tcBorders>
              <w:top w:val="single" w:sz="4" w:space="0" w:color="auto"/>
              <w:bottom w:val="single" w:sz="12" w:space="0" w:color="auto"/>
            </w:tcBorders>
            <w:shd w:val="clear" w:color="auto" w:fill="auto"/>
            <w:vAlign w:val="bottom"/>
          </w:tcPr>
          <w:p w14:paraId="5F38F5A1" w14:textId="0294B227" w:rsidR="00DE3D9F" w:rsidRPr="003B756C" w:rsidRDefault="00DE3D9F" w:rsidP="00146491">
            <w:pPr>
              <w:spacing w:before="40" w:after="40" w:line="240" w:lineRule="exact"/>
              <w:ind w:left="57" w:right="57"/>
              <w:jc w:val="left"/>
              <w:textDirection w:val="tbRlV"/>
              <w:rPr>
                <w:rFonts w:ascii="Simplified Arabic" w:hAnsi="Simplified Arabic"/>
                <w:i/>
                <w:spacing w:val="-6"/>
                <w:szCs w:val="20"/>
                <w:lang w:eastAsia="zh-TW" w:bidi="en-GB"/>
              </w:rPr>
            </w:pPr>
            <w:r w:rsidRPr="003B756C">
              <w:rPr>
                <w:rFonts w:ascii="Simplified Arabic" w:hAnsi="Simplified Arabic"/>
                <w:i/>
                <w:iCs/>
                <w:spacing w:val="-6"/>
                <w:szCs w:val="20"/>
                <w:rtl/>
              </w:rPr>
              <w:t>معدل الوفيات (لكل 000</w:t>
            </w:r>
            <w:r w:rsidR="001118BF" w:rsidRPr="003B756C">
              <w:rPr>
                <w:rFonts w:ascii="Simplified Arabic" w:hAnsi="Simplified Arabic" w:hint="cs"/>
                <w:i/>
                <w:iCs/>
                <w:spacing w:val="-6"/>
                <w:szCs w:val="20"/>
                <w:rtl/>
              </w:rPr>
              <w:t> </w:t>
            </w:r>
            <w:r w:rsidR="001118BF" w:rsidRPr="003B756C">
              <w:rPr>
                <w:rFonts w:ascii="Simplified Arabic" w:hAnsi="Simplified Arabic"/>
                <w:i/>
                <w:iCs/>
                <w:spacing w:val="-6"/>
                <w:szCs w:val="20"/>
                <w:rtl/>
              </w:rPr>
              <w:t>1</w:t>
            </w:r>
            <w:r w:rsidR="001118BF" w:rsidRPr="003B756C">
              <w:rPr>
                <w:rFonts w:ascii="Simplified Arabic" w:hAnsi="Simplified Arabic" w:hint="cs"/>
                <w:i/>
                <w:iCs/>
                <w:spacing w:val="-6"/>
                <w:szCs w:val="20"/>
                <w:rtl/>
              </w:rPr>
              <w:t xml:space="preserve"> </w:t>
            </w:r>
            <w:r w:rsidRPr="003B756C">
              <w:rPr>
                <w:rFonts w:ascii="Simplified Arabic" w:hAnsi="Simplified Arabic"/>
                <w:i/>
                <w:iCs/>
                <w:spacing w:val="-6"/>
                <w:szCs w:val="20"/>
                <w:rtl/>
              </w:rPr>
              <w:t>شخص</w:t>
            </w:r>
            <w:r w:rsidRPr="003B756C">
              <w:rPr>
                <w:rFonts w:ascii="Simplified Arabic" w:hAnsi="Simplified Arabic"/>
                <w:spacing w:val="-6"/>
                <w:szCs w:val="20"/>
                <w:rtl/>
              </w:rPr>
              <w:t>)</w:t>
            </w:r>
          </w:p>
        </w:tc>
        <w:tc>
          <w:tcPr>
            <w:tcW w:w="1355" w:type="dxa"/>
            <w:tcBorders>
              <w:top w:val="single" w:sz="4" w:space="0" w:color="auto"/>
              <w:bottom w:val="single" w:sz="12" w:space="0" w:color="auto"/>
            </w:tcBorders>
            <w:shd w:val="clear" w:color="auto" w:fill="auto"/>
            <w:vAlign w:val="bottom"/>
          </w:tcPr>
          <w:p w14:paraId="273409B7" w14:textId="28C629E5" w:rsidR="00DE3D9F" w:rsidRPr="003B756C" w:rsidRDefault="00DE3D9F" w:rsidP="00146491">
            <w:pPr>
              <w:spacing w:before="40" w:after="40" w:line="240" w:lineRule="exact"/>
              <w:ind w:left="57" w:right="57"/>
              <w:textDirection w:val="tbRlV"/>
              <w:rPr>
                <w:rFonts w:ascii="Simplified Arabic" w:hAnsi="Simplified Arabic"/>
                <w:i/>
                <w:spacing w:val="-6"/>
                <w:szCs w:val="20"/>
                <w:lang w:val="ar-SA" w:eastAsia="zh-TW" w:bidi="en-GB"/>
              </w:rPr>
            </w:pPr>
            <w:r w:rsidRPr="003B756C">
              <w:rPr>
                <w:rFonts w:ascii="Simplified Arabic" w:hAnsi="Simplified Arabic"/>
                <w:i/>
                <w:iCs/>
                <w:spacing w:val="-6"/>
                <w:szCs w:val="20"/>
                <w:rtl/>
              </w:rPr>
              <w:t>معدل وفيات الرضع (لكل 000</w:t>
            </w:r>
            <w:r w:rsidR="001118BF" w:rsidRPr="003B756C">
              <w:rPr>
                <w:rFonts w:ascii="Simplified Arabic" w:hAnsi="Simplified Arabic" w:hint="cs"/>
                <w:i/>
                <w:iCs/>
                <w:spacing w:val="-6"/>
                <w:szCs w:val="20"/>
                <w:rtl/>
              </w:rPr>
              <w:t> </w:t>
            </w:r>
            <w:r w:rsidRPr="003B756C">
              <w:rPr>
                <w:rFonts w:ascii="Simplified Arabic" w:hAnsi="Simplified Arabic"/>
                <w:i/>
                <w:iCs/>
                <w:spacing w:val="-6"/>
                <w:szCs w:val="20"/>
                <w:rtl/>
              </w:rPr>
              <w:t>1 مولود حي)</w:t>
            </w:r>
          </w:p>
        </w:tc>
      </w:tr>
      <w:tr w:rsidR="00DE3D9F" w:rsidRPr="00206BEB" w14:paraId="2037E138" w14:textId="77777777" w:rsidTr="0023489D">
        <w:tc>
          <w:tcPr>
            <w:tcW w:w="1529" w:type="dxa"/>
            <w:gridSpan w:val="2"/>
            <w:tcBorders>
              <w:top w:val="single" w:sz="12" w:space="0" w:color="auto"/>
            </w:tcBorders>
            <w:shd w:val="clear" w:color="auto" w:fill="auto"/>
          </w:tcPr>
          <w:p w14:paraId="5AAD50D5"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على الصعيد الوطني</w:t>
            </w:r>
          </w:p>
        </w:tc>
        <w:tc>
          <w:tcPr>
            <w:tcW w:w="1289" w:type="dxa"/>
            <w:gridSpan w:val="2"/>
            <w:tcBorders>
              <w:top w:val="single" w:sz="12" w:space="0" w:color="auto"/>
            </w:tcBorders>
            <w:shd w:val="clear" w:color="auto" w:fill="auto"/>
            <w:vAlign w:val="bottom"/>
          </w:tcPr>
          <w:p w14:paraId="4602EB2C"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979 413 66</w:t>
            </w:r>
          </w:p>
        </w:tc>
        <w:tc>
          <w:tcPr>
            <w:tcW w:w="1136" w:type="dxa"/>
            <w:tcBorders>
              <w:top w:val="single" w:sz="12" w:space="0" w:color="auto"/>
            </w:tcBorders>
            <w:shd w:val="clear" w:color="auto" w:fill="auto"/>
            <w:vAlign w:val="bottom"/>
          </w:tcPr>
          <w:p w14:paraId="7904D11F"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129,0</w:t>
            </w:r>
          </w:p>
        </w:tc>
        <w:tc>
          <w:tcPr>
            <w:tcW w:w="1136" w:type="dxa"/>
            <w:tcBorders>
              <w:top w:val="single" w:sz="12" w:space="0" w:color="auto"/>
            </w:tcBorders>
            <w:shd w:val="clear" w:color="auto" w:fill="auto"/>
            <w:vAlign w:val="bottom"/>
          </w:tcPr>
          <w:p w14:paraId="48D77FCF"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19,8</w:t>
            </w:r>
          </w:p>
        </w:tc>
        <w:tc>
          <w:tcPr>
            <w:tcW w:w="1274" w:type="dxa"/>
            <w:tcBorders>
              <w:top w:val="single" w:sz="12" w:space="0" w:color="auto"/>
            </w:tcBorders>
            <w:shd w:val="clear" w:color="auto" w:fill="auto"/>
            <w:vAlign w:val="bottom"/>
          </w:tcPr>
          <w:p w14:paraId="0E4EF142"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7,0</w:t>
            </w:r>
          </w:p>
        </w:tc>
        <w:tc>
          <w:tcPr>
            <w:tcW w:w="1355" w:type="dxa"/>
            <w:tcBorders>
              <w:top w:val="single" w:sz="12" w:space="0" w:color="auto"/>
            </w:tcBorders>
            <w:shd w:val="clear" w:color="auto" w:fill="auto"/>
            <w:vAlign w:val="bottom"/>
          </w:tcPr>
          <w:p w14:paraId="058A2847" w14:textId="77777777" w:rsidR="00DE3D9F" w:rsidRPr="003B756C" w:rsidRDefault="00DE3D9F" w:rsidP="00146491">
            <w:pPr>
              <w:spacing w:before="40" w:after="40" w:line="2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5,9</w:t>
            </w:r>
          </w:p>
        </w:tc>
      </w:tr>
      <w:tr w:rsidR="00DE3D9F" w:rsidRPr="00206BEB" w14:paraId="3D80EBD0" w14:textId="77777777" w:rsidTr="0023489D">
        <w:tc>
          <w:tcPr>
            <w:tcW w:w="763" w:type="dxa"/>
            <w:shd w:val="clear" w:color="auto" w:fill="auto"/>
          </w:tcPr>
          <w:p w14:paraId="1AC7E861"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6" w:type="dxa"/>
            <w:shd w:val="clear" w:color="auto" w:fill="auto"/>
          </w:tcPr>
          <w:p w14:paraId="022A8C36"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 xml:space="preserve">الإناث </w:t>
            </w:r>
          </w:p>
        </w:tc>
        <w:tc>
          <w:tcPr>
            <w:tcW w:w="1289" w:type="dxa"/>
            <w:gridSpan w:val="2"/>
            <w:shd w:val="clear" w:color="auto" w:fill="auto"/>
            <w:vAlign w:val="bottom"/>
          </w:tcPr>
          <w:p w14:paraId="3551A538" w14:textId="322FC0CC" w:rsidR="00DE3D9F" w:rsidRPr="003B756C" w:rsidRDefault="00DE3D9F" w:rsidP="00146491">
            <w:pPr>
              <w:spacing w:before="40" w:after="40" w:line="320" w:lineRule="exact"/>
              <w:ind w:left="57" w:right="57"/>
              <w:jc w:val="left"/>
              <w:rPr>
                <w:rFonts w:ascii="Simplified Arabic" w:hAnsi="Simplified Arabic"/>
                <w:spacing w:val="-4"/>
                <w:szCs w:val="20"/>
                <w:rtl/>
              </w:rPr>
            </w:pPr>
            <w:r w:rsidRPr="003B756C">
              <w:rPr>
                <w:rFonts w:ascii="Simplified Arabic" w:hAnsi="Simplified Arabic"/>
                <w:spacing w:val="-4"/>
                <w:szCs w:val="20"/>
              </w:rPr>
              <w:t>33 857 708</w:t>
            </w:r>
            <w:r w:rsidRPr="003B756C">
              <w:rPr>
                <w:rFonts w:ascii="Simplified Arabic" w:hAnsi="Simplified Arabic"/>
                <w:spacing w:val="-4"/>
                <w:szCs w:val="20"/>
                <w:cs/>
              </w:rPr>
              <w:t xml:space="preserve"> </w:t>
            </w:r>
            <w:r w:rsidR="00146491">
              <w:rPr>
                <w:rFonts w:ascii="Simplified Arabic" w:hAnsi="Simplified Arabic" w:hint="cs"/>
                <w:spacing w:val="-4"/>
                <w:szCs w:val="20"/>
                <w:rtl/>
              </w:rPr>
              <w:t>(</w:t>
            </w:r>
            <w:r w:rsidR="00146491" w:rsidRPr="003B756C">
              <w:rPr>
                <w:rFonts w:ascii="Simplified Arabic" w:hAnsi="Simplified Arabic"/>
                <w:spacing w:val="-4"/>
                <w:szCs w:val="20"/>
              </w:rPr>
              <w:t>50</w:t>
            </w:r>
            <w:r w:rsidR="00146491">
              <w:rPr>
                <w:rFonts w:ascii="Simplified Arabic" w:hAnsi="Simplified Arabic"/>
                <w:spacing w:val="-4"/>
                <w:szCs w:val="20"/>
              </w:rPr>
              <w:t>,</w:t>
            </w:r>
            <w:r w:rsidR="00146491" w:rsidRPr="003B756C">
              <w:rPr>
                <w:rFonts w:ascii="Simplified Arabic" w:hAnsi="Simplified Arabic"/>
                <w:spacing w:val="-4"/>
                <w:szCs w:val="20"/>
              </w:rPr>
              <w:t>9</w:t>
            </w:r>
            <w:r w:rsidR="00146491">
              <w:rPr>
                <w:rFonts w:ascii="Simplified Arabic" w:hAnsi="Simplified Arabic"/>
                <w:spacing w:val="-4"/>
                <w:szCs w:val="20"/>
              </w:rPr>
              <w:t>8</w:t>
            </w:r>
            <w:r w:rsidR="00146491">
              <w:rPr>
                <w:rFonts w:ascii="Simplified Arabic" w:hAnsi="Simplified Arabic" w:hint="cs"/>
                <w:spacing w:val="-4"/>
                <w:szCs w:val="20"/>
                <w:rtl/>
              </w:rPr>
              <w:t>%)</w:t>
            </w:r>
          </w:p>
        </w:tc>
        <w:tc>
          <w:tcPr>
            <w:tcW w:w="1136" w:type="dxa"/>
            <w:vMerge w:val="restart"/>
            <w:shd w:val="clear" w:color="auto" w:fill="auto"/>
            <w:vAlign w:val="bottom"/>
          </w:tcPr>
          <w:p w14:paraId="183C38A1"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136" w:type="dxa"/>
            <w:vMerge w:val="restart"/>
            <w:shd w:val="clear" w:color="auto" w:fill="auto"/>
            <w:vAlign w:val="bottom"/>
          </w:tcPr>
          <w:p w14:paraId="59553674"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274" w:type="dxa"/>
            <w:vMerge w:val="restart"/>
            <w:shd w:val="clear" w:color="auto" w:fill="auto"/>
            <w:vAlign w:val="bottom"/>
          </w:tcPr>
          <w:p w14:paraId="3516E24C"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355" w:type="dxa"/>
            <w:vMerge w:val="restart"/>
            <w:shd w:val="clear" w:color="auto" w:fill="auto"/>
            <w:vAlign w:val="bottom"/>
          </w:tcPr>
          <w:p w14:paraId="49F45580" w14:textId="77777777" w:rsidR="00DE3D9F" w:rsidRPr="003B756C" w:rsidRDefault="00DE3D9F" w:rsidP="00146491">
            <w:pPr>
              <w:spacing w:before="40" w:after="40" w:line="220" w:lineRule="exact"/>
              <w:ind w:left="57" w:right="57"/>
              <w:jc w:val="left"/>
              <w:rPr>
                <w:rFonts w:ascii="Simplified Arabic" w:hAnsi="Simplified Arabic"/>
                <w:spacing w:val="-4"/>
                <w:szCs w:val="20"/>
              </w:rPr>
            </w:pPr>
          </w:p>
        </w:tc>
      </w:tr>
      <w:tr w:rsidR="00DE3D9F" w:rsidRPr="00206BEB" w14:paraId="2D3D4B36" w14:textId="77777777" w:rsidTr="0023489D">
        <w:tc>
          <w:tcPr>
            <w:tcW w:w="763" w:type="dxa"/>
            <w:shd w:val="clear" w:color="auto" w:fill="auto"/>
          </w:tcPr>
          <w:p w14:paraId="15E35C03"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6" w:type="dxa"/>
            <w:shd w:val="clear" w:color="auto" w:fill="auto"/>
          </w:tcPr>
          <w:p w14:paraId="4E4DA393"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الذكور</w:t>
            </w:r>
          </w:p>
        </w:tc>
        <w:tc>
          <w:tcPr>
            <w:tcW w:w="1289" w:type="dxa"/>
            <w:gridSpan w:val="2"/>
            <w:shd w:val="clear" w:color="auto" w:fill="auto"/>
            <w:vAlign w:val="bottom"/>
          </w:tcPr>
          <w:p w14:paraId="138918FE" w14:textId="7342D33B" w:rsidR="00DE3D9F" w:rsidRPr="003B756C" w:rsidRDefault="00DE3D9F" w:rsidP="00146491">
            <w:pPr>
              <w:spacing w:before="40" w:after="40" w:line="320" w:lineRule="exact"/>
              <w:ind w:left="57" w:right="57"/>
              <w:jc w:val="left"/>
              <w:rPr>
                <w:rFonts w:ascii="Simplified Arabic" w:hAnsi="Simplified Arabic"/>
                <w:spacing w:val="-4"/>
                <w:szCs w:val="20"/>
                <w:rtl/>
              </w:rPr>
            </w:pPr>
            <w:r w:rsidRPr="003B756C">
              <w:rPr>
                <w:rFonts w:ascii="Simplified Arabic" w:hAnsi="Simplified Arabic"/>
                <w:spacing w:val="-4"/>
                <w:szCs w:val="20"/>
              </w:rPr>
              <w:t>32 556 271</w:t>
            </w:r>
            <w:r w:rsidRPr="003B756C">
              <w:rPr>
                <w:rFonts w:ascii="Simplified Arabic" w:hAnsi="Simplified Arabic"/>
                <w:spacing w:val="-4"/>
                <w:szCs w:val="20"/>
                <w:cs/>
              </w:rPr>
              <w:t xml:space="preserve"> </w:t>
            </w:r>
            <w:r w:rsidRPr="003B756C">
              <w:rPr>
                <w:rFonts w:ascii="Simplified Arabic" w:hAnsi="Simplified Arabic"/>
                <w:spacing w:val="-4"/>
                <w:szCs w:val="20"/>
                <w:rtl/>
                <w:cs/>
              </w:rPr>
              <w:t>(</w:t>
            </w:r>
            <w:r w:rsidR="00146491" w:rsidRPr="003B756C">
              <w:rPr>
                <w:rFonts w:ascii="Simplified Arabic" w:hAnsi="Simplified Arabic"/>
                <w:spacing w:val="-4"/>
                <w:szCs w:val="20"/>
                <w:rtl/>
              </w:rPr>
              <w:t>49</w:t>
            </w:r>
            <w:r w:rsidR="00146491">
              <w:rPr>
                <w:rFonts w:ascii="Simplified Arabic" w:hAnsi="Simplified Arabic"/>
                <w:spacing w:val="-4"/>
                <w:szCs w:val="20"/>
                <w:rtl/>
              </w:rPr>
              <w:t>,</w:t>
            </w:r>
            <w:r w:rsidR="00146491" w:rsidRPr="003B756C">
              <w:rPr>
                <w:rFonts w:ascii="Simplified Arabic" w:hAnsi="Simplified Arabic"/>
                <w:spacing w:val="-4"/>
                <w:szCs w:val="20"/>
                <w:rtl/>
              </w:rPr>
              <w:t>02</w:t>
            </w:r>
            <w:r w:rsidRPr="003B756C">
              <w:rPr>
                <w:rFonts w:ascii="Simplified Arabic" w:hAnsi="Simplified Arabic"/>
                <w:spacing w:val="-4"/>
                <w:szCs w:val="20"/>
                <w:rtl/>
                <w:cs/>
              </w:rPr>
              <w:t>%)</w:t>
            </w:r>
          </w:p>
        </w:tc>
        <w:tc>
          <w:tcPr>
            <w:tcW w:w="1136" w:type="dxa"/>
            <w:vMerge/>
            <w:shd w:val="clear" w:color="auto" w:fill="auto"/>
            <w:vAlign w:val="bottom"/>
          </w:tcPr>
          <w:p w14:paraId="0D9092E8"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136" w:type="dxa"/>
            <w:vMerge/>
            <w:shd w:val="clear" w:color="auto" w:fill="auto"/>
            <w:vAlign w:val="bottom"/>
          </w:tcPr>
          <w:p w14:paraId="7E607E75"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274" w:type="dxa"/>
            <w:vMerge/>
            <w:shd w:val="clear" w:color="auto" w:fill="auto"/>
            <w:vAlign w:val="bottom"/>
          </w:tcPr>
          <w:p w14:paraId="56E046D6"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355" w:type="dxa"/>
            <w:vMerge/>
            <w:tcBorders>
              <w:bottom w:val="nil"/>
            </w:tcBorders>
            <w:shd w:val="clear" w:color="auto" w:fill="auto"/>
            <w:vAlign w:val="bottom"/>
          </w:tcPr>
          <w:p w14:paraId="750A7527" w14:textId="77777777" w:rsidR="00DE3D9F" w:rsidRPr="003B756C" w:rsidRDefault="00DE3D9F" w:rsidP="00146491">
            <w:pPr>
              <w:spacing w:before="40" w:after="40" w:line="220" w:lineRule="exact"/>
              <w:ind w:left="57" w:right="57"/>
              <w:jc w:val="left"/>
              <w:rPr>
                <w:rFonts w:ascii="Simplified Arabic" w:hAnsi="Simplified Arabic"/>
                <w:spacing w:val="-4"/>
                <w:szCs w:val="20"/>
              </w:rPr>
            </w:pPr>
          </w:p>
        </w:tc>
      </w:tr>
      <w:tr w:rsidR="00DE3D9F" w:rsidRPr="00206BEB" w14:paraId="70A3A90A" w14:textId="77777777" w:rsidTr="0023489D">
        <w:tc>
          <w:tcPr>
            <w:tcW w:w="1542" w:type="dxa"/>
            <w:gridSpan w:val="3"/>
            <w:shd w:val="clear" w:color="auto" w:fill="auto"/>
          </w:tcPr>
          <w:p w14:paraId="237B1BC7"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بانكوك والمناطق المجاورة لها</w:t>
            </w:r>
          </w:p>
        </w:tc>
        <w:tc>
          <w:tcPr>
            <w:tcW w:w="1276" w:type="dxa"/>
            <w:shd w:val="clear" w:color="auto" w:fill="auto"/>
            <w:vAlign w:val="bottom"/>
          </w:tcPr>
          <w:p w14:paraId="44E56DDF"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988 831 10</w:t>
            </w:r>
          </w:p>
        </w:tc>
        <w:tc>
          <w:tcPr>
            <w:tcW w:w="1136" w:type="dxa"/>
            <w:vMerge w:val="restart"/>
            <w:shd w:val="clear" w:color="auto" w:fill="auto"/>
            <w:vAlign w:val="bottom"/>
          </w:tcPr>
          <w:p w14:paraId="30B4CFEA"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395,6 1</w:t>
            </w:r>
          </w:p>
        </w:tc>
        <w:tc>
          <w:tcPr>
            <w:tcW w:w="1136" w:type="dxa"/>
            <w:vMerge w:val="restart"/>
            <w:shd w:val="clear" w:color="auto" w:fill="auto"/>
            <w:vAlign w:val="bottom"/>
          </w:tcPr>
          <w:p w14:paraId="23991DEC"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12,6</w:t>
            </w:r>
          </w:p>
        </w:tc>
        <w:tc>
          <w:tcPr>
            <w:tcW w:w="1274" w:type="dxa"/>
            <w:vMerge w:val="restart"/>
            <w:shd w:val="clear" w:color="auto" w:fill="auto"/>
            <w:vAlign w:val="bottom"/>
          </w:tcPr>
          <w:p w14:paraId="441DBF60"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7,1</w:t>
            </w:r>
          </w:p>
        </w:tc>
        <w:tc>
          <w:tcPr>
            <w:tcW w:w="1355" w:type="dxa"/>
            <w:vMerge w:val="restart"/>
            <w:tcBorders>
              <w:top w:val="nil"/>
              <w:bottom w:val="nil"/>
            </w:tcBorders>
            <w:shd w:val="clear" w:color="auto" w:fill="auto"/>
            <w:vAlign w:val="bottom"/>
          </w:tcPr>
          <w:p w14:paraId="44439B25" w14:textId="63DECA45" w:rsidR="00DE3D9F" w:rsidRPr="003B756C" w:rsidRDefault="00DE3D9F" w:rsidP="00146491">
            <w:pPr>
              <w:spacing w:before="40" w:after="40" w:line="220" w:lineRule="exact"/>
              <w:ind w:left="57" w:right="57"/>
              <w:jc w:val="left"/>
              <w:textDirection w:val="tbRlV"/>
              <w:rPr>
                <w:rFonts w:ascii="Simplified Arabic" w:hAnsi="Simplified Arabic"/>
                <w:spacing w:val="-4"/>
                <w:szCs w:val="20"/>
                <w:lang w:eastAsia="zh-TW" w:bidi="en-GB"/>
              </w:rPr>
            </w:pPr>
          </w:p>
        </w:tc>
      </w:tr>
      <w:tr w:rsidR="00DE3D9F" w:rsidRPr="00206BEB" w14:paraId="0289A904" w14:textId="77777777" w:rsidTr="0023489D">
        <w:tc>
          <w:tcPr>
            <w:tcW w:w="769" w:type="dxa"/>
            <w:shd w:val="clear" w:color="auto" w:fill="auto"/>
          </w:tcPr>
          <w:p w14:paraId="5198D33A"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73" w:type="dxa"/>
            <w:gridSpan w:val="2"/>
            <w:shd w:val="clear" w:color="auto" w:fill="auto"/>
          </w:tcPr>
          <w:p w14:paraId="6EEC35CE"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الإناث</w:t>
            </w:r>
          </w:p>
        </w:tc>
        <w:tc>
          <w:tcPr>
            <w:tcW w:w="1276" w:type="dxa"/>
            <w:shd w:val="clear" w:color="auto" w:fill="auto"/>
            <w:vAlign w:val="bottom"/>
          </w:tcPr>
          <w:p w14:paraId="76D90297"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r w:rsidRPr="003B756C">
              <w:rPr>
                <w:rFonts w:ascii="Simplified Arabic" w:hAnsi="Simplified Arabic"/>
                <w:spacing w:val="-4"/>
                <w:szCs w:val="20"/>
              </w:rPr>
              <w:t>5 699 1255</w:t>
            </w:r>
          </w:p>
        </w:tc>
        <w:tc>
          <w:tcPr>
            <w:tcW w:w="1136" w:type="dxa"/>
            <w:vMerge/>
            <w:shd w:val="clear" w:color="auto" w:fill="auto"/>
            <w:vAlign w:val="bottom"/>
          </w:tcPr>
          <w:p w14:paraId="7E454447"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136" w:type="dxa"/>
            <w:vMerge/>
            <w:shd w:val="clear" w:color="auto" w:fill="auto"/>
            <w:vAlign w:val="bottom"/>
          </w:tcPr>
          <w:p w14:paraId="42594783"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274" w:type="dxa"/>
            <w:vMerge/>
            <w:shd w:val="clear" w:color="auto" w:fill="auto"/>
            <w:vAlign w:val="bottom"/>
          </w:tcPr>
          <w:p w14:paraId="76193FD5"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355" w:type="dxa"/>
            <w:vMerge/>
            <w:tcBorders>
              <w:top w:val="nil"/>
              <w:bottom w:val="nil"/>
            </w:tcBorders>
            <w:shd w:val="clear" w:color="auto" w:fill="auto"/>
            <w:vAlign w:val="bottom"/>
          </w:tcPr>
          <w:p w14:paraId="41B2C704" w14:textId="77777777" w:rsidR="00DE3D9F" w:rsidRPr="003B756C" w:rsidRDefault="00DE3D9F" w:rsidP="00146491">
            <w:pPr>
              <w:spacing w:before="40" w:after="40" w:line="220" w:lineRule="exact"/>
              <w:ind w:left="57" w:right="57"/>
              <w:jc w:val="left"/>
              <w:rPr>
                <w:rFonts w:ascii="Simplified Arabic" w:hAnsi="Simplified Arabic"/>
                <w:spacing w:val="-4"/>
                <w:szCs w:val="20"/>
              </w:rPr>
            </w:pPr>
          </w:p>
        </w:tc>
      </w:tr>
      <w:tr w:rsidR="00DE3D9F" w:rsidRPr="00206BEB" w14:paraId="47E10749" w14:textId="77777777" w:rsidTr="0023489D">
        <w:tc>
          <w:tcPr>
            <w:tcW w:w="769" w:type="dxa"/>
            <w:tcBorders>
              <w:bottom w:val="nil"/>
            </w:tcBorders>
            <w:shd w:val="clear" w:color="auto" w:fill="auto"/>
          </w:tcPr>
          <w:p w14:paraId="7625B9A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73" w:type="dxa"/>
            <w:gridSpan w:val="2"/>
            <w:tcBorders>
              <w:bottom w:val="nil"/>
            </w:tcBorders>
            <w:shd w:val="clear" w:color="auto" w:fill="auto"/>
          </w:tcPr>
          <w:p w14:paraId="204FDBD1"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الذكور</w:t>
            </w:r>
          </w:p>
        </w:tc>
        <w:tc>
          <w:tcPr>
            <w:tcW w:w="1276" w:type="dxa"/>
            <w:tcBorders>
              <w:bottom w:val="nil"/>
            </w:tcBorders>
            <w:shd w:val="clear" w:color="auto" w:fill="auto"/>
            <w:vAlign w:val="bottom"/>
          </w:tcPr>
          <w:p w14:paraId="32B0A87C"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863 132 5</w:t>
            </w:r>
          </w:p>
        </w:tc>
        <w:tc>
          <w:tcPr>
            <w:tcW w:w="1136" w:type="dxa"/>
            <w:vMerge/>
            <w:tcBorders>
              <w:bottom w:val="nil"/>
            </w:tcBorders>
            <w:shd w:val="clear" w:color="auto" w:fill="auto"/>
            <w:vAlign w:val="bottom"/>
          </w:tcPr>
          <w:p w14:paraId="3E3C626E"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136" w:type="dxa"/>
            <w:vMerge/>
            <w:tcBorders>
              <w:bottom w:val="nil"/>
            </w:tcBorders>
            <w:shd w:val="clear" w:color="auto" w:fill="auto"/>
            <w:vAlign w:val="bottom"/>
          </w:tcPr>
          <w:p w14:paraId="2D98F772"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274" w:type="dxa"/>
            <w:vMerge/>
            <w:tcBorders>
              <w:bottom w:val="nil"/>
            </w:tcBorders>
            <w:shd w:val="clear" w:color="auto" w:fill="auto"/>
            <w:vAlign w:val="bottom"/>
          </w:tcPr>
          <w:p w14:paraId="60598FF4" w14:textId="77777777" w:rsidR="00DE3D9F" w:rsidRPr="003B756C" w:rsidRDefault="00DE3D9F" w:rsidP="00146491">
            <w:pPr>
              <w:spacing w:before="40" w:after="40" w:line="320" w:lineRule="exact"/>
              <w:ind w:left="57" w:right="57"/>
              <w:jc w:val="left"/>
              <w:rPr>
                <w:rFonts w:ascii="Simplified Arabic" w:hAnsi="Simplified Arabic"/>
                <w:spacing w:val="-4"/>
                <w:szCs w:val="20"/>
              </w:rPr>
            </w:pPr>
          </w:p>
        </w:tc>
        <w:tc>
          <w:tcPr>
            <w:tcW w:w="1355" w:type="dxa"/>
            <w:vMerge/>
            <w:tcBorders>
              <w:top w:val="nil"/>
              <w:bottom w:val="nil"/>
            </w:tcBorders>
            <w:shd w:val="clear" w:color="auto" w:fill="auto"/>
            <w:vAlign w:val="bottom"/>
          </w:tcPr>
          <w:p w14:paraId="66F45EAD" w14:textId="77777777" w:rsidR="00DE3D9F" w:rsidRPr="003B756C" w:rsidRDefault="00DE3D9F" w:rsidP="00146491">
            <w:pPr>
              <w:spacing w:before="40" w:after="40" w:line="220" w:lineRule="exact"/>
              <w:ind w:left="57" w:right="57"/>
              <w:jc w:val="left"/>
              <w:rPr>
                <w:rFonts w:ascii="Simplified Arabic" w:hAnsi="Simplified Arabic"/>
                <w:spacing w:val="-4"/>
                <w:szCs w:val="20"/>
              </w:rPr>
            </w:pPr>
          </w:p>
        </w:tc>
      </w:tr>
      <w:tr w:rsidR="00DE3D9F" w:rsidRPr="00206BEB" w14:paraId="472D936A" w14:textId="77777777" w:rsidTr="0023489D">
        <w:tc>
          <w:tcPr>
            <w:tcW w:w="1542" w:type="dxa"/>
            <w:gridSpan w:val="3"/>
            <w:tcBorders>
              <w:top w:val="nil"/>
              <w:bottom w:val="nil"/>
            </w:tcBorders>
            <w:shd w:val="clear" w:color="auto" w:fill="auto"/>
          </w:tcPr>
          <w:p w14:paraId="1EE15FB3"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المنطقة الوسطى</w:t>
            </w:r>
          </w:p>
        </w:tc>
        <w:tc>
          <w:tcPr>
            <w:tcW w:w="1276" w:type="dxa"/>
            <w:tcBorders>
              <w:top w:val="nil"/>
              <w:bottom w:val="nil"/>
            </w:tcBorders>
            <w:shd w:val="clear" w:color="auto" w:fill="auto"/>
            <w:vAlign w:val="bottom"/>
          </w:tcPr>
          <w:p w14:paraId="47212A3F"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162 034 3</w:t>
            </w:r>
          </w:p>
        </w:tc>
        <w:tc>
          <w:tcPr>
            <w:tcW w:w="1136" w:type="dxa"/>
            <w:vMerge w:val="restart"/>
            <w:tcBorders>
              <w:top w:val="nil"/>
              <w:bottom w:val="nil"/>
            </w:tcBorders>
            <w:shd w:val="clear" w:color="auto" w:fill="auto"/>
            <w:vAlign w:val="bottom"/>
          </w:tcPr>
          <w:p w14:paraId="5E5E9305"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eastAsia="zh-TW" w:bidi="en-GB"/>
              </w:rPr>
            </w:pPr>
            <w:r w:rsidRPr="003B756C">
              <w:rPr>
                <w:rFonts w:ascii="Simplified Arabic" w:hAnsi="Simplified Arabic"/>
                <w:spacing w:val="-4"/>
                <w:szCs w:val="20"/>
                <w:rtl/>
              </w:rPr>
              <w:t>182,9</w:t>
            </w:r>
          </w:p>
        </w:tc>
        <w:tc>
          <w:tcPr>
            <w:tcW w:w="1136" w:type="dxa"/>
            <w:vMerge w:val="restart"/>
            <w:tcBorders>
              <w:top w:val="nil"/>
              <w:bottom w:val="nil"/>
            </w:tcBorders>
            <w:shd w:val="clear" w:color="auto" w:fill="auto"/>
            <w:vAlign w:val="bottom"/>
          </w:tcPr>
          <w:p w14:paraId="6D3B0260"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9,1</w:t>
            </w:r>
          </w:p>
        </w:tc>
        <w:tc>
          <w:tcPr>
            <w:tcW w:w="1274" w:type="dxa"/>
            <w:vMerge w:val="restart"/>
            <w:tcBorders>
              <w:top w:val="nil"/>
              <w:bottom w:val="nil"/>
            </w:tcBorders>
            <w:shd w:val="clear" w:color="auto" w:fill="auto"/>
            <w:vAlign w:val="bottom"/>
          </w:tcPr>
          <w:p w14:paraId="0BD71BBB" w14:textId="77777777" w:rsidR="00DE3D9F" w:rsidRPr="003B756C" w:rsidRDefault="00DE3D9F" w:rsidP="00146491">
            <w:pPr>
              <w:spacing w:before="40" w:after="40" w:line="320" w:lineRule="exact"/>
              <w:ind w:left="57" w:right="57"/>
              <w:jc w:val="left"/>
              <w:textDirection w:val="tbRlV"/>
              <w:rPr>
                <w:rFonts w:ascii="Simplified Arabic" w:hAnsi="Simplified Arabic"/>
                <w:spacing w:val="-4"/>
                <w:szCs w:val="20"/>
                <w:lang w:val="ar-SA" w:eastAsia="zh-TW" w:bidi="en-GB"/>
              </w:rPr>
            </w:pPr>
            <w:r w:rsidRPr="003B756C">
              <w:rPr>
                <w:rFonts w:ascii="Simplified Arabic" w:hAnsi="Simplified Arabic"/>
                <w:spacing w:val="-4"/>
                <w:szCs w:val="20"/>
                <w:rtl/>
              </w:rPr>
              <w:t>8,7</w:t>
            </w:r>
          </w:p>
        </w:tc>
        <w:tc>
          <w:tcPr>
            <w:tcW w:w="1355" w:type="dxa"/>
            <w:vMerge/>
            <w:tcBorders>
              <w:top w:val="nil"/>
              <w:bottom w:val="nil"/>
            </w:tcBorders>
            <w:shd w:val="clear" w:color="auto" w:fill="auto"/>
            <w:vAlign w:val="bottom"/>
          </w:tcPr>
          <w:p w14:paraId="564F9C57" w14:textId="77777777" w:rsidR="00DE3D9F" w:rsidRPr="003B756C" w:rsidRDefault="00DE3D9F" w:rsidP="00146491">
            <w:pPr>
              <w:spacing w:before="40" w:after="40" w:line="220" w:lineRule="exact"/>
              <w:ind w:left="57" w:right="57"/>
              <w:jc w:val="left"/>
              <w:rPr>
                <w:rFonts w:ascii="Simplified Arabic" w:hAnsi="Simplified Arabic"/>
                <w:spacing w:val="-4"/>
                <w:szCs w:val="20"/>
              </w:rPr>
            </w:pPr>
          </w:p>
        </w:tc>
      </w:tr>
      <w:tr w:rsidR="00DE3D9F" w:rsidRPr="00206BEB" w14:paraId="613895EC" w14:textId="77777777" w:rsidTr="0023489D">
        <w:tc>
          <w:tcPr>
            <w:tcW w:w="769" w:type="dxa"/>
            <w:tcBorders>
              <w:top w:val="nil"/>
              <w:bottom w:val="nil"/>
            </w:tcBorders>
            <w:shd w:val="clear" w:color="auto" w:fill="auto"/>
          </w:tcPr>
          <w:p w14:paraId="3A7D333B"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73" w:type="dxa"/>
            <w:gridSpan w:val="2"/>
            <w:tcBorders>
              <w:top w:val="nil"/>
              <w:bottom w:val="nil"/>
            </w:tcBorders>
            <w:shd w:val="clear" w:color="auto" w:fill="auto"/>
          </w:tcPr>
          <w:p w14:paraId="70234396"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الإناث</w:t>
            </w:r>
          </w:p>
        </w:tc>
        <w:tc>
          <w:tcPr>
            <w:tcW w:w="1276" w:type="dxa"/>
            <w:tcBorders>
              <w:top w:val="nil"/>
              <w:bottom w:val="nil"/>
            </w:tcBorders>
            <w:shd w:val="clear" w:color="auto" w:fill="auto"/>
            <w:vAlign w:val="bottom"/>
          </w:tcPr>
          <w:p w14:paraId="13E4B394"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237 552 1</w:t>
            </w:r>
          </w:p>
        </w:tc>
        <w:tc>
          <w:tcPr>
            <w:tcW w:w="1136" w:type="dxa"/>
            <w:vMerge/>
            <w:tcBorders>
              <w:top w:val="nil"/>
              <w:bottom w:val="nil"/>
            </w:tcBorders>
            <w:shd w:val="clear" w:color="auto" w:fill="auto"/>
            <w:vAlign w:val="bottom"/>
          </w:tcPr>
          <w:p w14:paraId="47C9DF66"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268C337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6B9EDC74"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487C3CE2"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2A3BFEC5" w14:textId="77777777" w:rsidTr="0023489D">
        <w:tc>
          <w:tcPr>
            <w:tcW w:w="769" w:type="dxa"/>
            <w:tcBorders>
              <w:top w:val="nil"/>
              <w:bottom w:val="nil"/>
            </w:tcBorders>
            <w:shd w:val="clear" w:color="auto" w:fill="auto"/>
          </w:tcPr>
          <w:p w14:paraId="52DC672F"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73" w:type="dxa"/>
            <w:gridSpan w:val="2"/>
            <w:tcBorders>
              <w:top w:val="nil"/>
              <w:bottom w:val="nil"/>
            </w:tcBorders>
            <w:shd w:val="clear" w:color="auto" w:fill="auto"/>
          </w:tcPr>
          <w:p w14:paraId="6C6F57DA"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الذكور</w:t>
            </w:r>
          </w:p>
        </w:tc>
        <w:tc>
          <w:tcPr>
            <w:tcW w:w="1276" w:type="dxa"/>
            <w:tcBorders>
              <w:top w:val="nil"/>
              <w:bottom w:val="nil"/>
            </w:tcBorders>
            <w:shd w:val="clear" w:color="auto" w:fill="auto"/>
            <w:vAlign w:val="bottom"/>
          </w:tcPr>
          <w:p w14:paraId="068A47FA"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925 481 1</w:t>
            </w:r>
          </w:p>
        </w:tc>
        <w:tc>
          <w:tcPr>
            <w:tcW w:w="1136" w:type="dxa"/>
            <w:vMerge/>
            <w:tcBorders>
              <w:top w:val="nil"/>
              <w:bottom w:val="nil"/>
            </w:tcBorders>
            <w:shd w:val="clear" w:color="auto" w:fill="auto"/>
            <w:vAlign w:val="bottom"/>
          </w:tcPr>
          <w:p w14:paraId="01F7E604"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1E3FD0AB"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1134DFDB"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347C93B9"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1A6DC654" w14:textId="77777777" w:rsidTr="0023489D">
        <w:tc>
          <w:tcPr>
            <w:tcW w:w="1529" w:type="dxa"/>
            <w:gridSpan w:val="2"/>
            <w:shd w:val="clear" w:color="auto" w:fill="auto"/>
          </w:tcPr>
          <w:p w14:paraId="5AA987E2"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lastRenderedPageBreak/>
              <w:t>المنطقة الشرقية</w:t>
            </w:r>
          </w:p>
        </w:tc>
        <w:tc>
          <w:tcPr>
            <w:tcW w:w="1289" w:type="dxa"/>
            <w:gridSpan w:val="2"/>
            <w:shd w:val="clear" w:color="auto" w:fill="auto"/>
            <w:vAlign w:val="bottom"/>
          </w:tcPr>
          <w:p w14:paraId="34CECB6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182 003 5</w:t>
            </w:r>
          </w:p>
        </w:tc>
        <w:tc>
          <w:tcPr>
            <w:tcW w:w="1136" w:type="dxa"/>
            <w:vMerge w:val="restart"/>
            <w:shd w:val="clear" w:color="auto" w:fill="auto"/>
            <w:vAlign w:val="bottom"/>
          </w:tcPr>
          <w:p w14:paraId="7C5E3A9B"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137,1</w:t>
            </w:r>
          </w:p>
        </w:tc>
        <w:tc>
          <w:tcPr>
            <w:tcW w:w="1136" w:type="dxa"/>
            <w:vMerge w:val="restart"/>
            <w:shd w:val="clear" w:color="auto" w:fill="auto"/>
            <w:vAlign w:val="bottom"/>
          </w:tcPr>
          <w:p w14:paraId="45FB46BE"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13,6</w:t>
            </w:r>
          </w:p>
        </w:tc>
        <w:tc>
          <w:tcPr>
            <w:tcW w:w="1274" w:type="dxa"/>
            <w:vMerge w:val="restart"/>
            <w:shd w:val="clear" w:color="auto" w:fill="auto"/>
            <w:vAlign w:val="bottom"/>
          </w:tcPr>
          <w:p w14:paraId="53D5B95E"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7,4</w:t>
            </w:r>
          </w:p>
        </w:tc>
        <w:tc>
          <w:tcPr>
            <w:tcW w:w="1355" w:type="dxa"/>
            <w:vMerge w:val="restart"/>
            <w:tcBorders>
              <w:top w:val="nil"/>
              <w:bottom w:val="nil"/>
            </w:tcBorders>
            <w:shd w:val="clear" w:color="auto" w:fill="auto"/>
            <w:vAlign w:val="bottom"/>
          </w:tcPr>
          <w:p w14:paraId="49353CE4"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4C2BEEB7" w14:textId="77777777" w:rsidTr="0023489D">
        <w:tc>
          <w:tcPr>
            <w:tcW w:w="769" w:type="dxa"/>
            <w:shd w:val="clear" w:color="auto" w:fill="auto"/>
          </w:tcPr>
          <w:p w14:paraId="005E53A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0" w:type="dxa"/>
            <w:shd w:val="clear" w:color="auto" w:fill="auto"/>
          </w:tcPr>
          <w:p w14:paraId="3DBB8D3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الإناث</w:t>
            </w:r>
          </w:p>
        </w:tc>
        <w:tc>
          <w:tcPr>
            <w:tcW w:w="1289" w:type="dxa"/>
            <w:gridSpan w:val="2"/>
            <w:shd w:val="clear" w:color="auto" w:fill="auto"/>
            <w:vAlign w:val="bottom"/>
          </w:tcPr>
          <w:p w14:paraId="5F25AAF5"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439 539 2</w:t>
            </w:r>
          </w:p>
        </w:tc>
        <w:tc>
          <w:tcPr>
            <w:tcW w:w="1136" w:type="dxa"/>
            <w:vMerge/>
            <w:shd w:val="clear" w:color="auto" w:fill="auto"/>
            <w:vAlign w:val="bottom"/>
          </w:tcPr>
          <w:p w14:paraId="431C6CC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shd w:val="clear" w:color="auto" w:fill="auto"/>
            <w:vAlign w:val="bottom"/>
          </w:tcPr>
          <w:p w14:paraId="34858D6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shd w:val="clear" w:color="auto" w:fill="auto"/>
            <w:vAlign w:val="bottom"/>
          </w:tcPr>
          <w:p w14:paraId="028E2EA4"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239FFFFA"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53E57A30" w14:textId="77777777" w:rsidTr="0023489D">
        <w:tc>
          <w:tcPr>
            <w:tcW w:w="769" w:type="dxa"/>
            <w:tcBorders>
              <w:bottom w:val="nil"/>
            </w:tcBorders>
            <w:shd w:val="clear" w:color="auto" w:fill="auto"/>
          </w:tcPr>
          <w:p w14:paraId="4C71CB9B"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0" w:type="dxa"/>
            <w:tcBorders>
              <w:bottom w:val="nil"/>
            </w:tcBorders>
            <w:shd w:val="clear" w:color="auto" w:fill="auto"/>
          </w:tcPr>
          <w:p w14:paraId="449CCD14"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الذكور</w:t>
            </w:r>
          </w:p>
        </w:tc>
        <w:tc>
          <w:tcPr>
            <w:tcW w:w="1289" w:type="dxa"/>
            <w:gridSpan w:val="2"/>
            <w:tcBorders>
              <w:bottom w:val="nil"/>
            </w:tcBorders>
            <w:shd w:val="clear" w:color="auto" w:fill="auto"/>
            <w:vAlign w:val="bottom"/>
          </w:tcPr>
          <w:p w14:paraId="4E7454F4"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743 463 2</w:t>
            </w:r>
          </w:p>
        </w:tc>
        <w:tc>
          <w:tcPr>
            <w:tcW w:w="1136" w:type="dxa"/>
            <w:vMerge/>
            <w:tcBorders>
              <w:bottom w:val="nil"/>
            </w:tcBorders>
            <w:shd w:val="clear" w:color="auto" w:fill="auto"/>
            <w:vAlign w:val="bottom"/>
          </w:tcPr>
          <w:p w14:paraId="5FEBE290"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bottom w:val="nil"/>
            </w:tcBorders>
            <w:shd w:val="clear" w:color="auto" w:fill="auto"/>
            <w:vAlign w:val="bottom"/>
          </w:tcPr>
          <w:p w14:paraId="775FAAEA"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bottom w:val="nil"/>
            </w:tcBorders>
            <w:shd w:val="clear" w:color="auto" w:fill="auto"/>
            <w:vAlign w:val="bottom"/>
          </w:tcPr>
          <w:p w14:paraId="2C2CD5D6"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4F142BE9"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77024646" w14:textId="77777777" w:rsidTr="0023489D">
        <w:tc>
          <w:tcPr>
            <w:tcW w:w="1529" w:type="dxa"/>
            <w:gridSpan w:val="2"/>
            <w:tcBorders>
              <w:top w:val="nil"/>
              <w:bottom w:val="nil"/>
            </w:tcBorders>
            <w:shd w:val="clear" w:color="auto" w:fill="auto"/>
          </w:tcPr>
          <w:p w14:paraId="258D568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المنطقة الغربية</w:t>
            </w:r>
          </w:p>
        </w:tc>
        <w:tc>
          <w:tcPr>
            <w:tcW w:w="1289" w:type="dxa"/>
            <w:gridSpan w:val="2"/>
            <w:tcBorders>
              <w:top w:val="nil"/>
              <w:bottom w:val="nil"/>
            </w:tcBorders>
            <w:shd w:val="clear" w:color="auto" w:fill="auto"/>
            <w:vAlign w:val="bottom"/>
          </w:tcPr>
          <w:p w14:paraId="3A3D8A1B"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952 831 3</w:t>
            </w:r>
          </w:p>
        </w:tc>
        <w:tc>
          <w:tcPr>
            <w:tcW w:w="1136" w:type="dxa"/>
            <w:tcBorders>
              <w:top w:val="nil"/>
              <w:bottom w:val="nil"/>
            </w:tcBorders>
            <w:shd w:val="clear" w:color="auto" w:fill="auto"/>
            <w:vAlign w:val="bottom"/>
          </w:tcPr>
          <w:p w14:paraId="65E7FA7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tcBorders>
              <w:top w:val="nil"/>
              <w:bottom w:val="nil"/>
            </w:tcBorders>
            <w:shd w:val="clear" w:color="auto" w:fill="auto"/>
            <w:vAlign w:val="bottom"/>
          </w:tcPr>
          <w:p w14:paraId="0F8053BE"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tcBorders>
              <w:top w:val="nil"/>
              <w:bottom w:val="nil"/>
            </w:tcBorders>
            <w:shd w:val="clear" w:color="auto" w:fill="auto"/>
            <w:vAlign w:val="bottom"/>
          </w:tcPr>
          <w:p w14:paraId="49194F74"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6B09EE27"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52ADFB90" w14:textId="77777777" w:rsidTr="0023489D">
        <w:tc>
          <w:tcPr>
            <w:tcW w:w="1529" w:type="dxa"/>
            <w:gridSpan w:val="2"/>
            <w:tcBorders>
              <w:top w:val="nil"/>
              <w:bottom w:val="nil"/>
            </w:tcBorders>
            <w:shd w:val="clear" w:color="auto" w:fill="auto"/>
          </w:tcPr>
          <w:p w14:paraId="2D4EF23A"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rtl/>
              </w:rPr>
            </w:pPr>
            <w:r w:rsidRPr="003B756C">
              <w:rPr>
                <w:rFonts w:ascii="Simplified Arabic" w:hAnsi="Simplified Arabic"/>
                <w:szCs w:val="20"/>
                <w:rtl/>
              </w:rPr>
              <w:t>الإناث</w:t>
            </w:r>
          </w:p>
        </w:tc>
        <w:tc>
          <w:tcPr>
            <w:tcW w:w="1289" w:type="dxa"/>
            <w:gridSpan w:val="2"/>
            <w:tcBorders>
              <w:top w:val="nil"/>
              <w:bottom w:val="nil"/>
            </w:tcBorders>
            <w:shd w:val="clear" w:color="auto" w:fill="auto"/>
            <w:vAlign w:val="bottom"/>
          </w:tcPr>
          <w:p w14:paraId="48AF6C38"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591 952 1</w:t>
            </w:r>
          </w:p>
        </w:tc>
        <w:tc>
          <w:tcPr>
            <w:tcW w:w="1136" w:type="dxa"/>
            <w:tcBorders>
              <w:top w:val="nil"/>
              <w:bottom w:val="nil"/>
            </w:tcBorders>
            <w:shd w:val="clear" w:color="auto" w:fill="auto"/>
            <w:vAlign w:val="bottom"/>
          </w:tcPr>
          <w:p w14:paraId="0CD76F52" w14:textId="4B834936"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p>
        </w:tc>
        <w:tc>
          <w:tcPr>
            <w:tcW w:w="1136" w:type="dxa"/>
            <w:tcBorders>
              <w:top w:val="nil"/>
              <w:bottom w:val="nil"/>
            </w:tcBorders>
            <w:shd w:val="clear" w:color="auto" w:fill="auto"/>
            <w:vAlign w:val="bottom"/>
          </w:tcPr>
          <w:p w14:paraId="3FD66180" w14:textId="6C45C429"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p>
        </w:tc>
        <w:tc>
          <w:tcPr>
            <w:tcW w:w="1276" w:type="dxa"/>
            <w:tcBorders>
              <w:top w:val="nil"/>
              <w:bottom w:val="nil"/>
            </w:tcBorders>
            <w:shd w:val="clear" w:color="auto" w:fill="auto"/>
            <w:vAlign w:val="bottom"/>
          </w:tcPr>
          <w:p w14:paraId="1E6734A2" w14:textId="13D4F849"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p>
        </w:tc>
        <w:tc>
          <w:tcPr>
            <w:tcW w:w="1353" w:type="dxa"/>
            <w:tcBorders>
              <w:top w:val="nil"/>
              <w:bottom w:val="nil"/>
            </w:tcBorders>
            <w:shd w:val="clear" w:color="auto" w:fill="auto"/>
            <w:vAlign w:val="bottom"/>
          </w:tcPr>
          <w:p w14:paraId="785AE91D" w14:textId="4F8828E7" w:rsidR="00DE3D9F" w:rsidRPr="003B756C" w:rsidRDefault="00DE3D9F" w:rsidP="00146491">
            <w:pPr>
              <w:spacing w:before="40" w:after="40" w:line="320" w:lineRule="exact"/>
              <w:ind w:left="57" w:right="57"/>
              <w:jc w:val="left"/>
              <w:rPr>
                <w:rFonts w:ascii="Simplified Arabic" w:hAnsi="Simplified Arabic"/>
                <w:szCs w:val="20"/>
              </w:rPr>
            </w:pPr>
          </w:p>
        </w:tc>
      </w:tr>
      <w:tr w:rsidR="00206BEB" w:rsidRPr="00206BEB" w14:paraId="02EE2DE9" w14:textId="77777777" w:rsidTr="0023489D">
        <w:tc>
          <w:tcPr>
            <w:tcW w:w="1529" w:type="dxa"/>
            <w:gridSpan w:val="2"/>
            <w:tcBorders>
              <w:top w:val="nil"/>
              <w:bottom w:val="nil"/>
            </w:tcBorders>
            <w:shd w:val="clear" w:color="auto" w:fill="auto"/>
          </w:tcPr>
          <w:p w14:paraId="326FE581" w14:textId="24C7D2E4" w:rsidR="00206BEB" w:rsidRPr="003B756C" w:rsidRDefault="00206BEB" w:rsidP="00146491">
            <w:pPr>
              <w:spacing w:before="40" w:after="40" w:line="320" w:lineRule="exact"/>
              <w:ind w:left="57" w:right="57"/>
              <w:jc w:val="left"/>
              <w:textDirection w:val="tbRlV"/>
              <w:rPr>
                <w:rFonts w:ascii="Simplified Arabic" w:hAnsi="Simplified Arabic"/>
                <w:szCs w:val="20"/>
                <w:rtl/>
              </w:rPr>
            </w:pPr>
            <w:r w:rsidRPr="003B756C">
              <w:rPr>
                <w:rFonts w:ascii="Simplified Arabic" w:hAnsi="Simplified Arabic"/>
                <w:szCs w:val="20"/>
                <w:rtl/>
              </w:rPr>
              <w:t>الذكور</w:t>
            </w:r>
          </w:p>
        </w:tc>
        <w:tc>
          <w:tcPr>
            <w:tcW w:w="1289" w:type="dxa"/>
            <w:gridSpan w:val="2"/>
            <w:tcBorders>
              <w:top w:val="nil"/>
              <w:bottom w:val="nil"/>
            </w:tcBorders>
            <w:shd w:val="clear" w:color="auto" w:fill="auto"/>
            <w:vAlign w:val="bottom"/>
          </w:tcPr>
          <w:p w14:paraId="09C44B7A" w14:textId="20F24228" w:rsidR="00206BEB" w:rsidRPr="003B756C" w:rsidRDefault="00206BEB" w:rsidP="00146491">
            <w:pPr>
              <w:spacing w:before="40" w:after="40" w:line="320" w:lineRule="exact"/>
              <w:ind w:left="57" w:right="57"/>
              <w:jc w:val="left"/>
              <w:textDirection w:val="tbRlV"/>
              <w:rPr>
                <w:rFonts w:ascii="Simplified Arabic" w:hAnsi="Simplified Arabic"/>
                <w:szCs w:val="20"/>
                <w:highlight w:val="yellow"/>
                <w:rtl/>
              </w:rPr>
            </w:pPr>
            <w:r w:rsidRPr="003B756C">
              <w:rPr>
                <w:rFonts w:ascii="Simplified Arabic" w:hAnsi="Simplified Arabic"/>
                <w:szCs w:val="20"/>
                <w:rtl/>
              </w:rPr>
              <w:t>361 879 1</w:t>
            </w:r>
          </w:p>
        </w:tc>
        <w:tc>
          <w:tcPr>
            <w:tcW w:w="1136" w:type="dxa"/>
            <w:tcBorders>
              <w:top w:val="nil"/>
              <w:bottom w:val="nil"/>
            </w:tcBorders>
            <w:shd w:val="clear" w:color="auto" w:fill="auto"/>
            <w:vAlign w:val="bottom"/>
          </w:tcPr>
          <w:p w14:paraId="4A9030FB" w14:textId="08E0BD65" w:rsidR="00206BEB" w:rsidRPr="003B756C" w:rsidRDefault="00206BEB"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89,0</w:t>
            </w:r>
          </w:p>
        </w:tc>
        <w:tc>
          <w:tcPr>
            <w:tcW w:w="1136" w:type="dxa"/>
            <w:tcBorders>
              <w:top w:val="nil"/>
              <w:bottom w:val="nil"/>
            </w:tcBorders>
            <w:shd w:val="clear" w:color="auto" w:fill="auto"/>
            <w:vAlign w:val="bottom"/>
          </w:tcPr>
          <w:p w14:paraId="18B3E6BA" w14:textId="30CE7C65" w:rsidR="00206BEB" w:rsidRPr="003B756C" w:rsidRDefault="00206BEB"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9,4</w:t>
            </w:r>
          </w:p>
        </w:tc>
        <w:tc>
          <w:tcPr>
            <w:tcW w:w="1276" w:type="dxa"/>
            <w:tcBorders>
              <w:top w:val="nil"/>
              <w:bottom w:val="nil"/>
            </w:tcBorders>
            <w:shd w:val="clear" w:color="auto" w:fill="auto"/>
            <w:vAlign w:val="bottom"/>
          </w:tcPr>
          <w:p w14:paraId="48A7235E" w14:textId="7C870B13" w:rsidR="00206BEB" w:rsidRPr="003B756C" w:rsidRDefault="00206BEB"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7,5</w:t>
            </w:r>
          </w:p>
        </w:tc>
        <w:tc>
          <w:tcPr>
            <w:tcW w:w="1353" w:type="dxa"/>
            <w:tcBorders>
              <w:top w:val="nil"/>
              <w:bottom w:val="nil"/>
            </w:tcBorders>
            <w:shd w:val="clear" w:color="auto" w:fill="auto"/>
            <w:vAlign w:val="bottom"/>
          </w:tcPr>
          <w:p w14:paraId="4F04B706" w14:textId="670A15D1" w:rsidR="00206BEB" w:rsidRPr="003B756C" w:rsidRDefault="00206BEB" w:rsidP="00146491">
            <w:pPr>
              <w:spacing w:before="40" w:after="40" w:line="320" w:lineRule="exact"/>
              <w:ind w:left="57" w:right="57"/>
              <w:jc w:val="left"/>
              <w:rPr>
                <w:rFonts w:ascii="Simplified Arabic" w:hAnsi="Simplified Arabic"/>
                <w:szCs w:val="20"/>
              </w:rPr>
            </w:pPr>
            <w:r w:rsidRPr="003B756C">
              <w:rPr>
                <w:rFonts w:ascii="Simplified Arabic" w:hAnsi="Simplified Arabic" w:hint="cs"/>
                <w:szCs w:val="20"/>
                <w:rtl/>
              </w:rPr>
              <w:t>لا ينطبق</w:t>
            </w:r>
          </w:p>
        </w:tc>
      </w:tr>
      <w:tr w:rsidR="00DE3D9F" w:rsidRPr="00206BEB" w14:paraId="48FFB83A" w14:textId="77777777" w:rsidTr="0023489D">
        <w:tc>
          <w:tcPr>
            <w:tcW w:w="1529" w:type="dxa"/>
            <w:gridSpan w:val="2"/>
            <w:tcBorders>
              <w:top w:val="nil"/>
              <w:bottom w:val="nil"/>
            </w:tcBorders>
            <w:shd w:val="clear" w:color="auto" w:fill="auto"/>
          </w:tcPr>
          <w:p w14:paraId="3C97943B"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المنطقة الشمالية</w:t>
            </w:r>
          </w:p>
        </w:tc>
        <w:tc>
          <w:tcPr>
            <w:tcW w:w="1289" w:type="dxa"/>
            <w:gridSpan w:val="2"/>
            <w:tcBorders>
              <w:top w:val="nil"/>
              <w:bottom w:val="nil"/>
            </w:tcBorders>
            <w:shd w:val="clear" w:color="auto" w:fill="auto"/>
            <w:vAlign w:val="bottom"/>
          </w:tcPr>
          <w:p w14:paraId="1E1E61B8"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164 098 12</w:t>
            </w:r>
          </w:p>
        </w:tc>
        <w:tc>
          <w:tcPr>
            <w:tcW w:w="1136" w:type="dxa"/>
            <w:vMerge w:val="restart"/>
            <w:tcBorders>
              <w:top w:val="nil"/>
              <w:bottom w:val="nil"/>
            </w:tcBorders>
            <w:shd w:val="clear" w:color="auto" w:fill="auto"/>
            <w:vAlign w:val="bottom"/>
          </w:tcPr>
          <w:p w14:paraId="0E9791DC"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71,3</w:t>
            </w:r>
          </w:p>
        </w:tc>
        <w:tc>
          <w:tcPr>
            <w:tcW w:w="1136" w:type="dxa"/>
            <w:vMerge w:val="restart"/>
            <w:tcBorders>
              <w:top w:val="nil"/>
              <w:bottom w:val="nil"/>
            </w:tcBorders>
            <w:shd w:val="clear" w:color="auto" w:fill="auto"/>
            <w:vAlign w:val="bottom"/>
          </w:tcPr>
          <w:p w14:paraId="67C3595F"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8,3</w:t>
            </w:r>
          </w:p>
        </w:tc>
        <w:tc>
          <w:tcPr>
            <w:tcW w:w="1274" w:type="dxa"/>
            <w:vMerge w:val="restart"/>
            <w:tcBorders>
              <w:top w:val="nil"/>
              <w:bottom w:val="nil"/>
            </w:tcBorders>
            <w:shd w:val="clear" w:color="auto" w:fill="auto"/>
            <w:vAlign w:val="bottom"/>
          </w:tcPr>
          <w:p w14:paraId="4C48710B"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8,3</w:t>
            </w:r>
          </w:p>
        </w:tc>
        <w:tc>
          <w:tcPr>
            <w:tcW w:w="1355" w:type="dxa"/>
            <w:vMerge w:val="restart"/>
            <w:tcBorders>
              <w:top w:val="nil"/>
              <w:bottom w:val="nil"/>
            </w:tcBorders>
            <w:shd w:val="clear" w:color="auto" w:fill="auto"/>
            <w:vAlign w:val="bottom"/>
          </w:tcPr>
          <w:p w14:paraId="1225A38B"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0C7EE750" w14:textId="77777777" w:rsidTr="0023489D">
        <w:tc>
          <w:tcPr>
            <w:tcW w:w="769" w:type="dxa"/>
            <w:tcBorders>
              <w:top w:val="nil"/>
              <w:bottom w:val="nil"/>
            </w:tcBorders>
            <w:shd w:val="clear" w:color="auto" w:fill="auto"/>
          </w:tcPr>
          <w:p w14:paraId="154B73C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0" w:type="dxa"/>
            <w:tcBorders>
              <w:top w:val="nil"/>
              <w:bottom w:val="nil"/>
            </w:tcBorders>
            <w:shd w:val="clear" w:color="auto" w:fill="auto"/>
          </w:tcPr>
          <w:p w14:paraId="0AA5193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الإناث</w:t>
            </w:r>
          </w:p>
        </w:tc>
        <w:tc>
          <w:tcPr>
            <w:tcW w:w="1289" w:type="dxa"/>
            <w:gridSpan w:val="2"/>
            <w:tcBorders>
              <w:top w:val="nil"/>
              <w:bottom w:val="nil"/>
            </w:tcBorders>
            <w:shd w:val="clear" w:color="auto" w:fill="auto"/>
            <w:vAlign w:val="bottom"/>
          </w:tcPr>
          <w:p w14:paraId="7AC54C36"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265 159 6</w:t>
            </w:r>
          </w:p>
        </w:tc>
        <w:tc>
          <w:tcPr>
            <w:tcW w:w="1136" w:type="dxa"/>
            <w:vMerge/>
            <w:tcBorders>
              <w:top w:val="nil"/>
              <w:bottom w:val="nil"/>
            </w:tcBorders>
            <w:shd w:val="clear" w:color="auto" w:fill="auto"/>
            <w:vAlign w:val="bottom"/>
          </w:tcPr>
          <w:p w14:paraId="7E09AFC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54A91805"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760B509A"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2B202D84"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43C27CEF" w14:textId="77777777" w:rsidTr="0023489D">
        <w:tc>
          <w:tcPr>
            <w:tcW w:w="769" w:type="dxa"/>
            <w:tcBorders>
              <w:top w:val="nil"/>
              <w:bottom w:val="nil"/>
            </w:tcBorders>
            <w:shd w:val="clear" w:color="auto" w:fill="auto"/>
          </w:tcPr>
          <w:p w14:paraId="7B7CB10A"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0" w:type="dxa"/>
            <w:tcBorders>
              <w:top w:val="nil"/>
              <w:bottom w:val="nil"/>
            </w:tcBorders>
            <w:shd w:val="clear" w:color="auto" w:fill="auto"/>
          </w:tcPr>
          <w:p w14:paraId="79A0C9AF"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الذكور</w:t>
            </w:r>
          </w:p>
        </w:tc>
        <w:tc>
          <w:tcPr>
            <w:tcW w:w="1289" w:type="dxa"/>
            <w:gridSpan w:val="2"/>
            <w:tcBorders>
              <w:top w:val="nil"/>
              <w:bottom w:val="nil"/>
            </w:tcBorders>
            <w:shd w:val="clear" w:color="auto" w:fill="auto"/>
            <w:vAlign w:val="bottom"/>
          </w:tcPr>
          <w:p w14:paraId="286644EC"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899 938 5</w:t>
            </w:r>
          </w:p>
        </w:tc>
        <w:tc>
          <w:tcPr>
            <w:tcW w:w="1136" w:type="dxa"/>
            <w:vMerge/>
            <w:tcBorders>
              <w:top w:val="nil"/>
              <w:bottom w:val="nil"/>
            </w:tcBorders>
            <w:shd w:val="clear" w:color="auto" w:fill="auto"/>
            <w:vAlign w:val="bottom"/>
          </w:tcPr>
          <w:p w14:paraId="766EDF6F"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167E8D07"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0FF50802"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4640EC9F"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39150E35" w14:textId="77777777" w:rsidTr="0023489D">
        <w:tc>
          <w:tcPr>
            <w:tcW w:w="1529" w:type="dxa"/>
            <w:gridSpan w:val="2"/>
            <w:tcBorders>
              <w:top w:val="nil"/>
              <w:bottom w:val="nil"/>
            </w:tcBorders>
            <w:shd w:val="clear" w:color="auto" w:fill="auto"/>
          </w:tcPr>
          <w:p w14:paraId="173FA941"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المنطقة الشمالية الشرقية</w:t>
            </w:r>
          </w:p>
        </w:tc>
        <w:tc>
          <w:tcPr>
            <w:tcW w:w="1289" w:type="dxa"/>
            <w:gridSpan w:val="2"/>
            <w:tcBorders>
              <w:top w:val="nil"/>
              <w:bottom w:val="nil"/>
            </w:tcBorders>
            <w:shd w:val="clear" w:color="auto" w:fill="auto"/>
            <w:vAlign w:val="bottom"/>
          </w:tcPr>
          <w:p w14:paraId="004CE095"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477 989 21</w:t>
            </w:r>
          </w:p>
        </w:tc>
        <w:tc>
          <w:tcPr>
            <w:tcW w:w="1136" w:type="dxa"/>
            <w:vMerge w:val="restart"/>
            <w:tcBorders>
              <w:top w:val="nil"/>
              <w:bottom w:val="nil"/>
            </w:tcBorders>
            <w:shd w:val="clear" w:color="auto" w:fill="auto"/>
            <w:vAlign w:val="bottom"/>
          </w:tcPr>
          <w:p w14:paraId="20506FED"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130,2</w:t>
            </w:r>
          </w:p>
        </w:tc>
        <w:tc>
          <w:tcPr>
            <w:tcW w:w="1136" w:type="dxa"/>
            <w:vMerge w:val="restart"/>
            <w:tcBorders>
              <w:top w:val="nil"/>
              <w:bottom w:val="nil"/>
            </w:tcBorders>
            <w:shd w:val="clear" w:color="auto" w:fill="auto"/>
            <w:vAlign w:val="bottom"/>
          </w:tcPr>
          <w:p w14:paraId="48E288A0"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8,6</w:t>
            </w:r>
          </w:p>
        </w:tc>
        <w:tc>
          <w:tcPr>
            <w:tcW w:w="1274" w:type="dxa"/>
            <w:vMerge w:val="restart"/>
            <w:tcBorders>
              <w:top w:val="nil"/>
              <w:bottom w:val="nil"/>
            </w:tcBorders>
            <w:shd w:val="clear" w:color="auto" w:fill="auto"/>
            <w:vAlign w:val="bottom"/>
          </w:tcPr>
          <w:p w14:paraId="35A04CD3"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6,8</w:t>
            </w:r>
          </w:p>
        </w:tc>
        <w:tc>
          <w:tcPr>
            <w:tcW w:w="1355" w:type="dxa"/>
            <w:vMerge/>
            <w:tcBorders>
              <w:top w:val="nil"/>
              <w:bottom w:val="nil"/>
            </w:tcBorders>
            <w:shd w:val="clear" w:color="auto" w:fill="auto"/>
            <w:vAlign w:val="bottom"/>
          </w:tcPr>
          <w:p w14:paraId="61B0074D"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14109288" w14:textId="77777777" w:rsidTr="0023489D">
        <w:tc>
          <w:tcPr>
            <w:tcW w:w="769" w:type="dxa"/>
            <w:tcBorders>
              <w:top w:val="nil"/>
              <w:bottom w:val="nil"/>
            </w:tcBorders>
            <w:shd w:val="clear" w:color="auto" w:fill="auto"/>
          </w:tcPr>
          <w:p w14:paraId="77CEDD0B"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0" w:type="dxa"/>
            <w:tcBorders>
              <w:top w:val="nil"/>
              <w:bottom w:val="nil"/>
            </w:tcBorders>
            <w:shd w:val="clear" w:color="auto" w:fill="auto"/>
          </w:tcPr>
          <w:p w14:paraId="5602EE60"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الإناث</w:t>
            </w:r>
          </w:p>
        </w:tc>
        <w:tc>
          <w:tcPr>
            <w:tcW w:w="1289" w:type="dxa"/>
            <w:gridSpan w:val="2"/>
            <w:tcBorders>
              <w:top w:val="nil"/>
              <w:bottom w:val="nil"/>
            </w:tcBorders>
            <w:shd w:val="clear" w:color="auto" w:fill="auto"/>
            <w:vAlign w:val="bottom"/>
          </w:tcPr>
          <w:p w14:paraId="497FAA9F"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715 051 11</w:t>
            </w:r>
          </w:p>
        </w:tc>
        <w:tc>
          <w:tcPr>
            <w:tcW w:w="1136" w:type="dxa"/>
            <w:vMerge/>
            <w:tcBorders>
              <w:top w:val="nil"/>
              <w:bottom w:val="nil"/>
            </w:tcBorders>
            <w:shd w:val="clear" w:color="auto" w:fill="auto"/>
            <w:vAlign w:val="bottom"/>
          </w:tcPr>
          <w:p w14:paraId="41C1761F"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35DD4D5E"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05EDDB48"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1101FB40"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4AE3617B" w14:textId="77777777" w:rsidTr="0023489D">
        <w:tc>
          <w:tcPr>
            <w:tcW w:w="769" w:type="dxa"/>
            <w:tcBorders>
              <w:top w:val="nil"/>
              <w:bottom w:val="nil"/>
            </w:tcBorders>
            <w:shd w:val="clear" w:color="auto" w:fill="auto"/>
          </w:tcPr>
          <w:p w14:paraId="5AD21B6F"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760" w:type="dxa"/>
            <w:tcBorders>
              <w:top w:val="nil"/>
              <w:bottom w:val="nil"/>
            </w:tcBorders>
            <w:shd w:val="clear" w:color="auto" w:fill="auto"/>
          </w:tcPr>
          <w:p w14:paraId="49735BB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الذكور</w:t>
            </w:r>
          </w:p>
        </w:tc>
        <w:tc>
          <w:tcPr>
            <w:tcW w:w="1289" w:type="dxa"/>
            <w:gridSpan w:val="2"/>
            <w:tcBorders>
              <w:top w:val="nil"/>
              <w:bottom w:val="nil"/>
            </w:tcBorders>
            <w:shd w:val="clear" w:color="auto" w:fill="auto"/>
            <w:vAlign w:val="bottom"/>
          </w:tcPr>
          <w:p w14:paraId="69929F5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762 937 10</w:t>
            </w:r>
          </w:p>
        </w:tc>
        <w:tc>
          <w:tcPr>
            <w:tcW w:w="1136" w:type="dxa"/>
            <w:vMerge/>
            <w:tcBorders>
              <w:top w:val="nil"/>
              <w:bottom w:val="nil"/>
            </w:tcBorders>
            <w:shd w:val="clear" w:color="auto" w:fill="auto"/>
            <w:vAlign w:val="bottom"/>
          </w:tcPr>
          <w:p w14:paraId="38F7FCB0"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1CA5C03C"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1DCC7E8A" w14:textId="77777777" w:rsidR="00DE3D9F" w:rsidRPr="003B756C" w:rsidRDefault="00DE3D9F" w:rsidP="00146491">
            <w:pPr>
              <w:spacing w:before="40" w:after="40" w:line="3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491F2536"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51B073E0" w14:textId="77777777" w:rsidTr="0023489D">
        <w:tc>
          <w:tcPr>
            <w:tcW w:w="1529" w:type="dxa"/>
            <w:gridSpan w:val="2"/>
            <w:tcBorders>
              <w:top w:val="nil"/>
              <w:bottom w:val="nil"/>
            </w:tcBorders>
            <w:shd w:val="clear" w:color="auto" w:fill="auto"/>
          </w:tcPr>
          <w:p w14:paraId="101F95DC"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المنطقة الجنوبية</w:t>
            </w:r>
          </w:p>
        </w:tc>
        <w:tc>
          <w:tcPr>
            <w:tcW w:w="1289" w:type="dxa"/>
            <w:gridSpan w:val="2"/>
            <w:tcBorders>
              <w:top w:val="nil"/>
              <w:bottom w:val="nil"/>
            </w:tcBorders>
            <w:shd w:val="clear" w:color="auto" w:fill="auto"/>
            <w:vAlign w:val="bottom"/>
          </w:tcPr>
          <w:p w14:paraId="26C4DB29"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578 399 9</w:t>
            </w:r>
          </w:p>
        </w:tc>
        <w:tc>
          <w:tcPr>
            <w:tcW w:w="1136" w:type="dxa"/>
            <w:vMerge w:val="restart"/>
            <w:tcBorders>
              <w:top w:val="nil"/>
              <w:bottom w:val="nil"/>
            </w:tcBorders>
            <w:shd w:val="clear" w:color="auto" w:fill="auto"/>
            <w:vAlign w:val="bottom"/>
          </w:tcPr>
          <w:p w14:paraId="69187D3F"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132,9</w:t>
            </w:r>
          </w:p>
        </w:tc>
        <w:tc>
          <w:tcPr>
            <w:tcW w:w="1136" w:type="dxa"/>
            <w:vMerge w:val="restart"/>
            <w:tcBorders>
              <w:top w:val="nil"/>
              <w:bottom w:val="nil"/>
            </w:tcBorders>
            <w:shd w:val="clear" w:color="auto" w:fill="auto"/>
            <w:vAlign w:val="bottom"/>
          </w:tcPr>
          <w:p w14:paraId="6B89D36B"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13,0</w:t>
            </w:r>
          </w:p>
        </w:tc>
        <w:tc>
          <w:tcPr>
            <w:tcW w:w="1274" w:type="dxa"/>
            <w:vMerge w:val="restart"/>
            <w:tcBorders>
              <w:top w:val="nil"/>
              <w:bottom w:val="nil"/>
            </w:tcBorders>
            <w:shd w:val="clear" w:color="auto" w:fill="auto"/>
            <w:vAlign w:val="bottom"/>
          </w:tcPr>
          <w:p w14:paraId="2180A18A" w14:textId="77777777" w:rsidR="00DE3D9F" w:rsidRPr="003B756C" w:rsidRDefault="00DE3D9F" w:rsidP="00146491">
            <w:pPr>
              <w:spacing w:before="40" w:after="40" w:line="3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6,1</w:t>
            </w:r>
          </w:p>
        </w:tc>
        <w:tc>
          <w:tcPr>
            <w:tcW w:w="1355" w:type="dxa"/>
            <w:vMerge/>
            <w:tcBorders>
              <w:top w:val="nil"/>
              <w:bottom w:val="nil"/>
            </w:tcBorders>
            <w:shd w:val="clear" w:color="auto" w:fill="auto"/>
            <w:vAlign w:val="bottom"/>
          </w:tcPr>
          <w:p w14:paraId="5EC1F3BD"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61946ACD" w14:textId="77777777" w:rsidTr="0023489D">
        <w:tc>
          <w:tcPr>
            <w:tcW w:w="769" w:type="dxa"/>
            <w:tcBorders>
              <w:top w:val="nil"/>
              <w:bottom w:val="nil"/>
            </w:tcBorders>
            <w:shd w:val="clear" w:color="auto" w:fill="auto"/>
          </w:tcPr>
          <w:p w14:paraId="795A2686"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760" w:type="dxa"/>
            <w:tcBorders>
              <w:top w:val="nil"/>
              <w:bottom w:val="nil"/>
            </w:tcBorders>
            <w:shd w:val="clear" w:color="auto" w:fill="auto"/>
          </w:tcPr>
          <w:p w14:paraId="1284CDD5" w14:textId="77777777" w:rsidR="00DE3D9F" w:rsidRPr="003B756C" w:rsidRDefault="00DE3D9F" w:rsidP="00146491">
            <w:pPr>
              <w:spacing w:before="40" w:after="40" w:line="2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الإناث</w:t>
            </w:r>
          </w:p>
        </w:tc>
        <w:tc>
          <w:tcPr>
            <w:tcW w:w="1289" w:type="dxa"/>
            <w:gridSpan w:val="2"/>
            <w:tcBorders>
              <w:top w:val="nil"/>
              <w:bottom w:val="nil"/>
            </w:tcBorders>
            <w:shd w:val="clear" w:color="auto" w:fill="auto"/>
            <w:vAlign w:val="bottom"/>
          </w:tcPr>
          <w:p w14:paraId="0BD90E44" w14:textId="77777777" w:rsidR="00DE3D9F" w:rsidRPr="0023489D" w:rsidRDefault="00DE3D9F" w:rsidP="00146491">
            <w:pPr>
              <w:spacing w:before="40" w:after="40" w:line="220" w:lineRule="exact"/>
              <w:ind w:left="57" w:right="57"/>
              <w:jc w:val="left"/>
              <w:textDirection w:val="tbRlV"/>
              <w:rPr>
                <w:rFonts w:ascii="Simplified Arabic" w:hAnsi="Simplified Arabic"/>
                <w:szCs w:val="20"/>
                <w:lang w:eastAsia="zh-TW" w:bidi="en-GB"/>
              </w:rPr>
            </w:pPr>
            <w:r w:rsidRPr="003B756C">
              <w:rPr>
                <w:rFonts w:ascii="Simplified Arabic" w:hAnsi="Simplified Arabic"/>
                <w:szCs w:val="20"/>
                <w:rtl/>
              </w:rPr>
              <w:t>225 769 4</w:t>
            </w:r>
          </w:p>
        </w:tc>
        <w:tc>
          <w:tcPr>
            <w:tcW w:w="1136" w:type="dxa"/>
            <w:vMerge/>
            <w:tcBorders>
              <w:top w:val="nil"/>
              <w:bottom w:val="nil"/>
            </w:tcBorders>
            <w:shd w:val="clear" w:color="auto" w:fill="auto"/>
            <w:vAlign w:val="bottom"/>
          </w:tcPr>
          <w:p w14:paraId="21050EC9"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1136" w:type="dxa"/>
            <w:vMerge/>
            <w:tcBorders>
              <w:top w:val="nil"/>
              <w:bottom w:val="nil"/>
            </w:tcBorders>
            <w:shd w:val="clear" w:color="auto" w:fill="auto"/>
            <w:vAlign w:val="bottom"/>
          </w:tcPr>
          <w:p w14:paraId="5A1504D1"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1274" w:type="dxa"/>
            <w:vMerge/>
            <w:tcBorders>
              <w:top w:val="nil"/>
              <w:bottom w:val="nil"/>
            </w:tcBorders>
            <w:shd w:val="clear" w:color="auto" w:fill="auto"/>
            <w:vAlign w:val="bottom"/>
          </w:tcPr>
          <w:p w14:paraId="7366B0EC"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1355" w:type="dxa"/>
            <w:vMerge/>
            <w:tcBorders>
              <w:top w:val="nil"/>
              <w:bottom w:val="nil"/>
            </w:tcBorders>
            <w:shd w:val="clear" w:color="auto" w:fill="auto"/>
            <w:vAlign w:val="bottom"/>
          </w:tcPr>
          <w:p w14:paraId="459E3642" w14:textId="77777777" w:rsidR="00DE3D9F" w:rsidRPr="003B756C" w:rsidRDefault="00DE3D9F" w:rsidP="00146491">
            <w:pPr>
              <w:spacing w:before="40" w:after="40" w:line="220" w:lineRule="exact"/>
              <w:ind w:left="57" w:right="57"/>
              <w:jc w:val="left"/>
              <w:rPr>
                <w:rFonts w:ascii="Simplified Arabic" w:hAnsi="Simplified Arabic"/>
                <w:szCs w:val="20"/>
              </w:rPr>
            </w:pPr>
          </w:p>
        </w:tc>
      </w:tr>
      <w:tr w:rsidR="00DE3D9F" w:rsidRPr="00206BEB" w14:paraId="3D0D626F" w14:textId="77777777" w:rsidTr="0023489D">
        <w:tc>
          <w:tcPr>
            <w:tcW w:w="769" w:type="dxa"/>
            <w:tcBorders>
              <w:top w:val="nil"/>
              <w:bottom w:val="single" w:sz="12" w:space="0" w:color="auto"/>
            </w:tcBorders>
            <w:shd w:val="clear" w:color="auto" w:fill="auto"/>
          </w:tcPr>
          <w:p w14:paraId="15D218BC"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760" w:type="dxa"/>
            <w:tcBorders>
              <w:top w:val="nil"/>
              <w:bottom w:val="single" w:sz="12" w:space="0" w:color="auto"/>
            </w:tcBorders>
            <w:shd w:val="clear" w:color="auto" w:fill="auto"/>
          </w:tcPr>
          <w:p w14:paraId="380BAB1B" w14:textId="77777777" w:rsidR="00DE3D9F" w:rsidRPr="003B756C" w:rsidRDefault="00DE3D9F" w:rsidP="00146491">
            <w:pPr>
              <w:spacing w:before="40" w:after="40" w:line="2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الذكور</w:t>
            </w:r>
          </w:p>
        </w:tc>
        <w:tc>
          <w:tcPr>
            <w:tcW w:w="1289" w:type="dxa"/>
            <w:gridSpan w:val="2"/>
            <w:tcBorders>
              <w:top w:val="nil"/>
              <w:bottom w:val="single" w:sz="12" w:space="0" w:color="auto"/>
            </w:tcBorders>
            <w:shd w:val="clear" w:color="auto" w:fill="auto"/>
            <w:vAlign w:val="bottom"/>
          </w:tcPr>
          <w:p w14:paraId="32AFF73D" w14:textId="77777777" w:rsidR="00DE3D9F" w:rsidRPr="003B756C" w:rsidRDefault="00DE3D9F" w:rsidP="00146491">
            <w:pPr>
              <w:spacing w:before="40" w:after="40" w:line="220" w:lineRule="exact"/>
              <w:ind w:left="57" w:right="57"/>
              <w:jc w:val="left"/>
              <w:textDirection w:val="tbRlV"/>
              <w:rPr>
                <w:rFonts w:ascii="Simplified Arabic" w:hAnsi="Simplified Arabic"/>
                <w:szCs w:val="20"/>
                <w:lang w:val="ar-SA" w:eastAsia="zh-TW" w:bidi="en-GB"/>
              </w:rPr>
            </w:pPr>
            <w:r w:rsidRPr="003B756C">
              <w:rPr>
                <w:rFonts w:ascii="Simplified Arabic" w:hAnsi="Simplified Arabic"/>
                <w:szCs w:val="20"/>
                <w:rtl/>
              </w:rPr>
              <w:t>353 630 4</w:t>
            </w:r>
          </w:p>
        </w:tc>
        <w:tc>
          <w:tcPr>
            <w:tcW w:w="1136" w:type="dxa"/>
            <w:vMerge/>
            <w:tcBorders>
              <w:top w:val="nil"/>
              <w:bottom w:val="single" w:sz="12" w:space="0" w:color="auto"/>
            </w:tcBorders>
            <w:shd w:val="clear" w:color="auto" w:fill="auto"/>
            <w:vAlign w:val="bottom"/>
          </w:tcPr>
          <w:p w14:paraId="23AC9D21"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1136" w:type="dxa"/>
            <w:vMerge/>
            <w:tcBorders>
              <w:top w:val="nil"/>
              <w:bottom w:val="single" w:sz="12" w:space="0" w:color="auto"/>
            </w:tcBorders>
            <w:shd w:val="clear" w:color="auto" w:fill="auto"/>
            <w:vAlign w:val="bottom"/>
          </w:tcPr>
          <w:p w14:paraId="3014B6C8"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1274" w:type="dxa"/>
            <w:vMerge/>
            <w:tcBorders>
              <w:top w:val="nil"/>
              <w:bottom w:val="single" w:sz="12" w:space="0" w:color="auto"/>
            </w:tcBorders>
            <w:shd w:val="clear" w:color="auto" w:fill="auto"/>
            <w:vAlign w:val="bottom"/>
          </w:tcPr>
          <w:p w14:paraId="25B4EE8D" w14:textId="77777777" w:rsidR="00DE3D9F" w:rsidRPr="003B756C" w:rsidRDefault="00DE3D9F" w:rsidP="00146491">
            <w:pPr>
              <w:spacing w:before="40" w:after="40" w:line="220" w:lineRule="exact"/>
              <w:ind w:left="57" w:right="57"/>
              <w:jc w:val="left"/>
              <w:rPr>
                <w:rFonts w:ascii="Simplified Arabic" w:hAnsi="Simplified Arabic"/>
                <w:szCs w:val="20"/>
              </w:rPr>
            </w:pPr>
          </w:p>
        </w:tc>
        <w:tc>
          <w:tcPr>
            <w:tcW w:w="1355" w:type="dxa"/>
            <w:vMerge/>
            <w:tcBorders>
              <w:top w:val="nil"/>
              <w:bottom w:val="single" w:sz="12" w:space="0" w:color="auto"/>
            </w:tcBorders>
            <w:shd w:val="clear" w:color="auto" w:fill="auto"/>
            <w:vAlign w:val="bottom"/>
          </w:tcPr>
          <w:p w14:paraId="29304D2C" w14:textId="77777777" w:rsidR="00DE3D9F" w:rsidRPr="003B756C" w:rsidRDefault="00DE3D9F" w:rsidP="00146491">
            <w:pPr>
              <w:spacing w:before="40" w:after="40" w:line="220" w:lineRule="exact"/>
              <w:ind w:left="57" w:right="57"/>
              <w:jc w:val="left"/>
              <w:rPr>
                <w:rFonts w:ascii="Simplified Arabic" w:hAnsi="Simplified Arabic"/>
                <w:szCs w:val="20"/>
              </w:rPr>
            </w:pPr>
          </w:p>
        </w:tc>
      </w:tr>
    </w:tbl>
    <w:p w14:paraId="458600CF" w14:textId="77777777" w:rsidR="00DE3D9F" w:rsidRPr="001B6C67" w:rsidRDefault="00DE3D9F" w:rsidP="00AD7242">
      <w:pPr>
        <w:pStyle w:val="SingleTxtGA"/>
        <w:spacing w:before="240"/>
        <w:rPr>
          <w:lang w:val="ar-SA" w:eastAsia="zh-TW" w:bidi="en-GB"/>
        </w:rPr>
      </w:pPr>
      <w:r w:rsidRPr="00AF3116">
        <w:rPr>
          <w:rtl/>
        </w:rPr>
        <w:t>9</w:t>
      </w:r>
      <w:r w:rsidRPr="001B6C67">
        <w:rPr>
          <w:rtl/>
        </w:rPr>
        <w:t>-</w:t>
      </w:r>
      <w:r w:rsidRPr="001B6C67">
        <w:rPr>
          <w:rtl/>
        </w:rPr>
        <w:tab/>
      </w:r>
      <w:r>
        <w:rPr>
          <w:rtl/>
        </w:rPr>
        <w:t>و</w:t>
      </w:r>
      <w:r w:rsidRPr="001B6C67">
        <w:rPr>
          <w:rtl/>
        </w:rPr>
        <w:t xml:space="preserve">حتى كانون الأول/ديسمبر </w:t>
      </w:r>
      <w:r w:rsidRPr="00AF3116">
        <w:rPr>
          <w:rtl/>
        </w:rPr>
        <w:t>2019</w:t>
      </w:r>
      <w:r w:rsidRPr="001B6C67">
        <w:rPr>
          <w:rtl/>
        </w:rPr>
        <w:t xml:space="preserve">، كان هناك </w:t>
      </w:r>
      <w:r w:rsidRPr="00AF3116">
        <w:rPr>
          <w:rtl/>
        </w:rPr>
        <w:t>385</w:t>
      </w:r>
      <w:r w:rsidRPr="001B6C67">
        <w:rPr>
          <w:rtl/>
        </w:rPr>
        <w:t xml:space="preserve"> </w:t>
      </w:r>
      <w:r w:rsidRPr="00AF3116">
        <w:rPr>
          <w:rtl/>
        </w:rPr>
        <w:t>015</w:t>
      </w:r>
      <w:r w:rsidRPr="001B6C67">
        <w:rPr>
          <w:rtl/>
        </w:rPr>
        <w:t xml:space="preserve"> </w:t>
      </w:r>
      <w:r w:rsidRPr="00AF3116">
        <w:rPr>
          <w:rtl/>
        </w:rPr>
        <w:t>2</w:t>
      </w:r>
      <w:r w:rsidRPr="001B6C67">
        <w:rPr>
          <w:rtl/>
        </w:rPr>
        <w:t xml:space="preserve"> شخصاً مسجلاً من ذوي الإعاقة في تايلاند، منهم </w:t>
      </w:r>
      <w:r w:rsidRPr="00AF3116">
        <w:rPr>
          <w:rtl/>
        </w:rPr>
        <w:t>507</w:t>
      </w:r>
      <w:r w:rsidRPr="001B6C67">
        <w:rPr>
          <w:rtl/>
        </w:rPr>
        <w:t xml:space="preserve"> </w:t>
      </w:r>
      <w:r w:rsidRPr="00AF3116">
        <w:rPr>
          <w:rtl/>
        </w:rPr>
        <w:t>963</w:t>
      </w:r>
      <w:r w:rsidRPr="001B6C67">
        <w:rPr>
          <w:rtl/>
        </w:rPr>
        <w:t xml:space="preserve"> من الإناث و</w:t>
      </w:r>
      <w:r w:rsidRPr="00AF3116">
        <w:rPr>
          <w:rtl/>
        </w:rPr>
        <w:t>878</w:t>
      </w:r>
      <w:r w:rsidRPr="001B6C67">
        <w:rPr>
          <w:rtl/>
        </w:rPr>
        <w:t xml:space="preserve"> </w:t>
      </w:r>
      <w:r w:rsidRPr="00AF3116">
        <w:rPr>
          <w:rtl/>
        </w:rPr>
        <w:t>051</w:t>
      </w:r>
      <w:r w:rsidRPr="001B6C67">
        <w:rPr>
          <w:rtl/>
        </w:rPr>
        <w:t xml:space="preserve"> </w:t>
      </w:r>
      <w:r w:rsidRPr="00AF3116">
        <w:rPr>
          <w:rtl/>
        </w:rPr>
        <w:t>1</w:t>
      </w:r>
      <w:r w:rsidRPr="001B6C67">
        <w:rPr>
          <w:rtl/>
        </w:rPr>
        <w:t xml:space="preserve"> من الذكور. ويقل عمر </w:t>
      </w:r>
      <w:r w:rsidRPr="00AF3116">
        <w:rPr>
          <w:rtl/>
        </w:rPr>
        <w:t>543</w:t>
      </w:r>
      <w:r w:rsidRPr="001B6C67">
        <w:rPr>
          <w:rtl/>
        </w:rPr>
        <w:t xml:space="preserve"> </w:t>
      </w:r>
      <w:r w:rsidRPr="00AF3116">
        <w:rPr>
          <w:rtl/>
        </w:rPr>
        <w:t>83</w:t>
      </w:r>
      <w:r w:rsidRPr="001B6C67">
        <w:rPr>
          <w:rtl/>
        </w:rPr>
        <w:t xml:space="preserve"> شخصاً (</w:t>
      </w:r>
      <w:r w:rsidRPr="00AF3116">
        <w:rPr>
          <w:rtl/>
        </w:rPr>
        <w:t>4</w:t>
      </w:r>
      <w:r w:rsidRPr="001B6C67">
        <w:rPr>
          <w:rtl/>
        </w:rPr>
        <w:t>,</w:t>
      </w:r>
      <w:r w:rsidRPr="00AF3116">
        <w:rPr>
          <w:rtl/>
        </w:rPr>
        <w:t>14</w:t>
      </w:r>
      <w:r w:rsidRPr="001B6C67">
        <w:rPr>
          <w:rtl/>
        </w:rPr>
        <w:t xml:space="preserve"> في المائة) عن سن </w:t>
      </w:r>
      <w:r w:rsidRPr="00AF3116">
        <w:rPr>
          <w:rtl/>
        </w:rPr>
        <w:t>14</w:t>
      </w:r>
      <w:r w:rsidRPr="001B6C67">
        <w:rPr>
          <w:rtl/>
        </w:rPr>
        <w:t xml:space="preserve"> عاماً، وتتراوح أعمار </w:t>
      </w:r>
      <w:r w:rsidRPr="00AF3116">
        <w:rPr>
          <w:rtl/>
        </w:rPr>
        <w:t>270</w:t>
      </w:r>
      <w:r w:rsidRPr="001B6C67">
        <w:rPr>
          <w:rtl/>
        </w:rPr>
        <w:t xml:space="preserve"> </w:t>
      </w:r>
      <w:r w:rsidRPr="00AF3116">
        <w:rPr>
          <w:rtl/>
        </w:rPr>
        <w:t>850</w:t>
      </w:r>
      <w:r w:rsidRPr="001B6C67">
        <w:rPr>
          <w:rtl/>
        </w:rPr>
        <w:t xml:space="preserve"> شخصاً (</w:t>
      </w:r>
      <w:r w:rsidRPr="00AF3116">
        <w:rPr>
          <w:rtl/>
        </w:rPr>
        <w:t>42</w:t>
      </w:r>
      <w:r w:rsidRPr="001B6C67">
        <w:rPr>
          <w:rtl/>
        </w:rPr>
        <w:t>,</w:t>
      </w:r>
      <w:r w:rsidRPr="00AF3116">
        <w:rPr>
          <w:rtl/>
        </w:rPr>
        <w:t>19</w:t>
      </w:r>
      <w:r w:rsidRPr="001B6C67">
        <w:rPr>
          <w:rtl/>
        </w:rPr>
        <w:t xml:space="preserve"> في المائة) بين </w:t>
      </w:r>
      <w:r w:rsidRPr="00AF3116">
        <w:rPr>
          <w:rtl/>
        </w:rPr>
        <w:t>15</w:t>
      </w:r>
      <w:r w:rsidRPr="001B6C67">
        <w:rPr>
          <w:rtl/>
        </w:rPr>
        <w:t xml:space="preserve"> و</w:t>
      </w:r>
      <w:r w:rsidRPr="00AF3116">
        <w:rPr>
          <w:rtl/>
        </w:rPr>
        <w:t>59</w:t>
      </w:r>
      <w:r w:rsidRPr="001B6C67">
        <w:rPr>
          <w:rtl/>
        </w:rPr>
        <w:t xml:space="preserve"> عاماً، وتزيد أعما</w:t>
      </w:r>
      <w:r>
        <w:rPr>
          <w:rtl/>
        </w:rPr>
        <w:t>ر</w:t>
      </w:r>
      <w:r w:rsidRPr="001B6C67">
        <w:rPr>
          <w:rtl/>
        </w:rPr>
        <w:t xml:space="preserve"> </w:t>
      </w:r>
      <w:r w:rsidRPr="00AF3116">
        <w:rPr>
          <w:rtl/>
        </w:rPr>
        <w:t>572</w:t>
      </w:r>
      <w:r w:rsidRPr="001B6C67">
        <w:rPr>
          <w:rtl/>
        </w:rPr>
        <w:t xml:space="preserve"> </w:t>
      </w:r>
      <w:r w:rsidRPr="00AF3116">
        <w:rPr>
          <w:rtl/>
        </w:rPr>
        <w:t>081</w:t>
      </w:r>
      <w:r w:rsidRPr="001B6C67">
        <w:rPr>
          <w:rtl/>
        </w:rPr>
        <w:t xml:space="preserve"> </w:t>
      </w:r>
      <w:r w:rsidRPr="00AF3116">
        <w:rPr>
          <w:rtl/>
        </w:rPr>
        <w:t>1</w:t>
      </w:r>
      <w:r w:rsidRPr="001B6C67">
        <w:rPr>
          <w:rtl/>
        </w:rPr>
        <w:t xml:space="preserve"> شخصاً (</w:t>
      </w:r>
      <w:r w:rsidRPr="00AF3116">
        <w:rPr>
          <w:rtl/>
        </w:rPr>
        <w:t>53</w:t>
      </w:r>
      <w:r w:rsidRPr="001B6C67">
        <w:rPr>
          <w:rtl/>
        </w:rPr>
        <w:t>,</w:t>
      </w:r>
      <w:r w:rsidRPr="00AF3116">
        <w:rPr>
          <w:rtl/>
        </w:rPr>
        <w:t>67</w:t>
      </w:r>
      <w:r w:rsidRPr="001B6C67">
        <w:rPr>
          <w:rtl/>
        </w:rPr>
        <w:t xml:space="preserve"> في المائة) عن </w:t>
      </w:r>
      <w:r w:rsidRPr="00AF3116">
        <w:rPr>
          <w:rtl/>
        </w:rPr>
        <w:t>60</w:t>
      </w:r>
      <w:r w:rsidRPr="001B6C67">
        <w:rPr>
          <w:rtl/>
        </w:rPr>
        <w:t xml:space="preserve"> عاماً.</w:t>
      </w:r>
    </w:p>
    <w:p w14:paraId="40D9DFCA" w14:textId="77777777" w:rsidR="00DE3D9F" w:rsidRPr="00AF3116" w:rsidRDefault="00DE3D9F" w:rsidP="00AD7242">
      <w:pPr>
        <w:pStyle w:val="H23GA"/>
        <w:rPr>
          <w:lang w:val="ar-SA" w:eastAsia="zh-TW" w:bidi="en-GB"/>
        </w:rPr>
      </w:pPr>
      <w:r w:rsidRPr="00AF3116">
        <w:rPr>
          <w:rtl/>
        </w:rPr>
        <w:tab/>
      </w:r>
      <w:r w:rsidRPr="00AF3116">
        <w:rPr>
          <w:rtl/>
        </w:rPr>
        <w:tab/>
        <w:t>اللغات</w:t>
      </w:r>
    </w:p>
    <w:p w14:paraId="016B1304" w14:textId="77777777" w:rsidR="00DE3D9F" w:rsidRPr="001B6C67" w:rsidRDefault="00DE3D9F" w:rsidP="00DE3D9F">
      <w:pPr>
        <w:pStyle w:val="SingleTxtGA"/>
        <w:rPr>
          <w:lang w:val="ar-SA" w:eastAsia="zh-TW" w:bidi="en-GB"/>
        </w:rPr>
      </w:pPr>
      <w:r w:rsidRPr="00AF3116">
        <w:rPr>
          <w:rtl/>
        </w:rPr>
        <w:t>10</w:t>
      </w:r>
      <w:r w:rsidRPr="001B6C67">
        <w:rPr>
          <w:rtl/>
        </w:rPr>
        <w:t>-</w:t>
      </w:r>
      <w:r w:rsidRPr="001B6C67">
        <w:rPr>
          <w:rtl/>
        </w:rPr>
        <w:tab/>
        <w:t>اللغة التايلندية هي اللغة الرسمية في تايلند. وعلى الرغم من أن اللهجة المركزية هي لهجة التحدث المعيارية، فإن لهجات محلية عدة يُتحدَّث بها في مناطق مختلفة. وإلى جانب اللغة التايلندية، تتحدث بعض المجموعات الإثنية لغاتها</w:t>
      </w:r>
      <w:r>
        <w:rPr>
          <w:rtl/>
        </w:rPr>
        <w:t xml:space="preserve"> الخاصة</w:t>
      </w:r>
      <w:r w:rsidRPr="001B6C67">
        <w:rPr>
          <w:rtl/>
        </w:rPr>
        <w:t xml:space="preserve">. فعلى سبيل المثال، يتحدث مسلمو مالايو في </w:t>
      </w:r>
      <w:proofErr w:type="spellStart"/>
      <w:r w:rsidRPr="001B6C67">
        <w:rPr>
          <w:rtl/>
        </w:rPr>
        <w:t>باتاني</w:t>
      </w:r>
      <w:proofErr w:type="spellEnd"/>
      <w:r w:rsidRPr="001B6C67">
        <w:rPr>
          <w:rtl/>
        </w:rPr>
        <w:t xml:space="preserve"> </w:t>
      </w:r>
      <w:proofErr w:type="spellStart"/>
      <w:r w:rsidRPr="001B6C67">
        <w:rPr>
          <w:rtl/>
        </w:rPr>
        <w:t>ويالا</w:t>
      </w:r>
      <w:proofErr w:type="spellEnd"/>
      <w:r w:rsidRPr="001B6C67">
        <w:rPr>
          <w:rtl/>
        </w:rPr>
        <w:t xml:space="preserve"> </w:t>
      </w:r>
      <w:proofErr w:type="spellStart"/>
      <w:r w:rsidRPr="001B6C67">
        <w:rPr>
          <w:rtl/>
        </w:rPr>
        <w:t>ونراثيوات</w:t>
      </w:r>
      <w:proofErr w:type="spellEnd"/>
      <w:r w:rsidRPr="001B6C67">
        <w:rPr>
          <w:rtl/>
        </w:rPr>
        <w:t xml:space="preserve"> لغة مالايو المحلية، في حين تتحدث جماعة كارين الإثنية لغات قبائلها الخاصة، وتتحدث جماعة </w:t>
      </w:r>
      <w:proofErr w:type="spellStart"/>
      <w:r w:rsidRPr="001B6C67">
        <w:rPr>
          <w:rtl/>
        </w:rPr>
        <w:t>همونغ</w:t>
      </w:r>
      <w:proofErr w:type="spellEnd"/>
      <w:r w:rsidRPr="001B6C67">
        <w:rPr>
          <w:rtl/>
        </w:rPr>
        <w:t xml:space="preserve"> الإثنية لغة </w:t>
      </w:r>
      <w:proofErr w:type="spellStart"/>
      <w:r w:rsidRPr="001B6C67">
        <w:rPr>
          <w:rtl/>
        </w:rPr>
        <w:t>الهمونغ</w:t>
      </w:r>
      <w:proofErr w:type="spellEnd"/>
      <w:r w:rsidRPr="001B6C67">
        <w:rPr>
          <w:rtl/>
        </w:rPr>
        <w:t>.</w:t>
      </w:r>
    </w:p>
    <w:p w14:paraId="03C530A3" w14:textId="77777777" w:rsidR="00DE3D9F" w:rsidRPr="00A40237" w:rsidRDefault="00DE3D9F" w:rsidP="00AD7242">
      <w:pPr>
        <w:pStyle w:val="H23GA"/>
        <w:rPr>
          <w:lang w:val="en-US" w:eastAsia="zh-TW" w:bidi="en-GB"/>
        </w:rPr>
      </w:pPr>
      <w:r w:rsidRPr="00AF3116">
        <w:rPr>
          <w:rtl/>
        </w:rPr>
        <w:tab/>
      </w:r>
      <w:r w:rsidRPr="00AF3116">
        <w:rPr>
          <w:rtl/>
        </w:rPr>
        <w:tab/>
        <w:t>الاقتصاد</w:t>
      </w:r>
    </w:p>
    <w:p w14:paraId="3EE788D3" w14:textId="7F6B512E" w:rsidR="00DE3D9F" w:rsidRPr="001B6C67" w:rsidRDefault="00DE3D9F" w:rsidP="00DE3D9F">
      <w:pPr>
        <w:pStyle w:val="SingleTxtGA"/>
        <w:rPr>
          <w:lang w:val="ar-SA" w:eastAsia="zh-TW" w:bidi="en-GB"/>
        </w:rPr>
      </w:pPr>
      <w:r w:rsidRPr="00AF3116">
        <w:rPr>
          <w:rtl/>
        </w:rPr>
        <w:t>11</w:t>
      </w:r>
      <w:r w:rsidRPr="001B6C67">
        <w:rPr>
          <w:rtl/>
        </w:rPr>
        <w:t>-</w:t>
      </w:r>
      <w:r w:rsidRPr="001B6C67">
        <w:rPr>
          <w:rtl/>
        </w:rPr>
        <w:tab/>
        <w:t xml:space="preserve">أصبحت تايلاند دولة متوسطة الدخل </w:t>
      </w:r>
      <w:r>
        <w:rPr>
          <w:rtl/>
        </w:rPr>
        <w:t xml:space="preserve">من الشريحة العليا </w:t>
      </w:r>
      <w:r w:rsidRPr="001B6C67">
        <w:rPr>
          <w:rtl/>
        </w:rPr>
        <w:t xml:space="preserve">منذ عام </w:t>
      </w:r>
      <w:r w:rsidRPr="00AF3116">
        <w:rPr>
          <w:rtl/>
        </w:rPr>
        <w:t>2011</w:t>
      </w:r>
      <w:r w:rsidRPr="001B6C67">
        <w:rPr>
          <w:rtl/>
        </w:rPr>
        <w:t xml:space="preserve">. وبالنسبة لعام </w:t>
      </w:r>
      <w:r w:rsidRPr="00AF3116">
        <w:rPr>
          <w:rtl/>
        </w:rPr>
        <w:t>2019</w:t>
      </w:r>
      <w:r w:rsidRPr="001B6C67">
        <w:rPr>
          <w:rtl/>
        </w:rPr>
        <w:t xml:space="preserve">، بلغت قيمة الناتج المحلي الإجمالي بالأسعار الحالية </w:t>
      </w:r>
      <w:r w:rsidRPr="00AF3116">
        <w:rPr>
          <w:rtl/>
        </w:rPr>
        <w:t>879</w:t>
      </w:r>
      <w:r w:rsidRPr="001B6C67">
        <w:rPr>
          <w:rtl/>
        </w:rPr>
        <w:t xml:space="preserve"> </w:t>
      </w:r>
      <w:r w:rsidRPr="00AF3116">
        <w:rPr>
          <w:rtl/>
        </w:rPr>
        <w:t>16</w:t>
      </w:r>
      <w:r w:rsidRPr="001B6C67">
        <w:rPr>
          <w:rtl/>
        </w:rPr>
        <w:t xml:space="preserve"> مليار بات تايلندي (</w:t>
      </w:r>
      <w:r w:rsidRPr="00AF3116">
        <w:rPr>
          <w:rtl/>
        </w:rPr>
        <w:t>543</w:t>
      </w:r>
      <w:r w:rsidRPr="001B6C67">
        <w:rPr>
          <w:rtl/>
        </w:rPr>
        <w:t>,</w:t>
      </w:r>
      <w:r w:rsidRPr="00AF3116">
        <w:rPr>
          <w:rtl/>
        </w:rPr>
        <w:t>7</w:t>
      </w:r>
      <w:r w:rsidRPr="001B6C67">
        <w:rPr>
          <w:rtl/>
        </w:rPr>
        <w:t xml:space="preserve"> مليار دولار أمريكي). وبلغ نصيب الفرد من الناتج المحلي الإجمالي </w:t>
      </w:r>
      <w:r w:rsidRPr="00AF3116">
        <w:rPr>
          <w:rtl/>
        </w:rPr>
        <w:t>257</w:t>
      </w:r>
      <w:r w:rsidRPr="001B6C67">
        <w:rPr>
          <w:rtl/>
        </w:rPr>
        <w:t>,</w:t>
      </w:r>
      <w:r w:rsidRPr="00AF3116">
        <w:rPr>
          <w:rtl/>
        </w:rPr>
        <w:t>4</w:t>
      </w:r>
      <w:r w:rsidRPr="001B6C67">
        <w:rPr>
          <w:rtl/>
        </w:rPr>
        <w:t xml:space="preserve"> </w:t>
      </w:r>
      <w:r w:rsidRPr="00AF3116">
        <w:rPr>
          <w:rtl/>
        </w:rPr>
        <w:t>248</w:t>
      </w:r>
      <w:r w:rsidRPr="001B6C67">
        <w:rPr>
          <w:rtl/>
        </w:rPr>
        <w:t xml:space="preserve"> بات تايلندي سنوياً (</w:t>
      </w:r>
      <w:r w:rsidRPr="00AF3116">
        <w:rPr>
          <w:rtl/>
        </w:rPr>
        <w:t>996</w:t>
      </w:r>
      <w:r w:rsidRPr="001B6C67">
        <w:rPr>
          <w:rtl/>
        </w:rPr>
        <w:t>,</w:t>
      </w:r>
      <w:r w:rsidRPr="00AF3116">
        <w:rPr>
          <w:rtl/>
        </w:rPr>
        <w:t>2</w:t>
      </w:r>
      <w:r w:rsidRPr="001B6C67">
        <w:rPr>
          <w:rtl/>
        </w:rPr>
        <w:t xml:space="preserve"> </w:t>
      </w:r>
      <w:r w:rsidRPr="00AF3116">
        <w:rPr>
          <w:rtl/>
        </w:rPr>
        <w:t>7</w:t>
      </w:r>
      <w:r w:rsidRPr="001B6C67">
        <w:rPr>
          <w:rtl/>
        </w:rPr>
        <w:t xml:space="preserve"> دولاراً أمريكياً للشخص سنوياً)، وهو ما يزيد عن </w:t>
      </w:r>
      <w:r w:rsidRPr="00AF3116">
        <w:rPr>
          <w:rtl/>
        </w:rPr>
        <w:t>269</w:t>
      </w:r>
      <w:r w:rsidRPr="001B6C67">
        <w:rPr>
          <w:rtl/>
        </w:rPr>
        <w:t>,</w:t>
      </w:r>
      <w:r w:rsidRPr="00AF3116">
        <w:rPr>
          <w:rtl/>
        </w:rPr>
        <w:t>6</w:t>
      </w:r>
      <w:r w:rsidRPr="001B6C67">
        <w:rPr>
          <w:rtl/>
        </w:rPr>
        <w:t xml:space="preserve"> </w:t>
      </w:r>
      <w:r w:rsidRPr="00AF3116">
        <w:rPr>
          <w:rtl/>
        </w:rPr>
        <w:t>241</w:t>
      </w:r>
      <w:r w:rsidRPr="001B6C67">
        <w:rPr>
          <w:rtl/>
        </w:rPr>
        <w:t xml:space="preserve"> بات تايلندي للشخص سنوياً (</w:t>
      </w:r>
      <w:r w:rsidRPr="00AF3116">
        <w:rPr>
          <w:rtl/>
        </w:rPr>
        <w:t>467</w:t>
      </w:r>
      <w:r w:rsidRPr="001B6C67">
        <w:rPr>
          <w:rtl/>
        </w:rPr>
        <w:t>,</w:t>
      </w:r>
      <w:r w:rsidRPr="00AF3116">
        <w:rPr>
          <w:rtl/>
        </w:rPr>
        <w:t>1</w:t>
      </w:r>
      <w:r w:rsidRPr="001B6C67">
        <w:rPr>
          <w:rtl/>
        </w:rPr>
        <w:t xml:space="preserve"> </w:t>
      </w:r>
      <w:r w:rsidRPr="00AF3116">
        <w:rPr>
          <w:rtl/>
        </w:rPr>
        <w:t>7</w:t>
      </w:r>
      <w:r w:rsidRPr="001B6C67">
        <w:rPr>
          <w:rtl/>
        </w:rPr>
        <w:t xml:space="preserve"> دولاراً أمريكياً للشخص سنوياً) في العام السابق. وبلغت نسبة السكان الذين يعيشون تحت خط الفقر </w:t>
      </w:r>
      <w:r w:rsidRPr="001B6C67">
        <w:rPr>
          <w:rtl/>
        </w:rPr>
        <w:lastRenderedPageBreak/>
        <w:t xml:space="preserve">الوطني </w:t>
      </w:r>
      <w:r w:rsidRPr="00AF3116">
        <w:rPr>
          <w:rtl/>
        </w:rPr>
        <w:t>9</w:t>
      </w:r>
      <w:r w:rsidRPr="001B6C67">
        <w:rPr>
          <w:rtl/>
        </w:rPr>
        <w:t>,</w:t>
      </w:r>
      <w:r w:rsidRPr="00AF3116">
        <w:rPr>
          <w:rtl/>
        </w:rPr>
        <w:t>85</w:t>
      </w:r>
      <w:r w:rsidRPr="001B6C67">
        <w:rPr>
          <w:rtl/>
        </w:rPr>
        <w:t xml:space="preserve"> في المائة في عام </w:t>
      </w:r>
      <w:r w:rsidRPr="00AF3116">
        <w:rPr>
          <w:rtl/>
        </w:rPr>
        <w:t>2018</w:t>
      </w:r>
      <w:r w:rsidRPr="001B6C67">
        <w:rPr>
          <w:rtl/>
        </w:rPr>
        <w:t xml:space="preserve"> و</w:t>
      </w:r>
      <w:r w:rsidRPr="00AF3116">
        <w:rPr>
          <w:rtl/>
        </w:rPr>
        <w:t>8</w:t>
      </w:r>
      <w:r w:rsidRPr="001B6C67">
        <w:rPr>
          <w:rtl/>
        </w:rPr>
        <w:t>,</w:t>
      </w:r>
      <w:r w:rsidRPr="00AF3116">
        <w:rPr>
          <w:rtl/>
        </w:rPr>
        <w:t>61</w:t>
      </w:r>
      <w:r w:rsidRPr="001B6C67">
        <w:rPr>
          <w:rtl/>
        </w:rPr>
        <w:t xml:space="preserve"> في المائة في عام </w:t>
      </w:r>
      <w:r w:rsidRPr="00AF3116">
        <w:rPr>
          <w:rtl/>
        </w:rPr>
        <w:t>2019</w:t>
      </w:r>
      <w:r w:rsidRPr="001B6C67">
        <w:rPr>
          <w:rtl/>
        </w:rPr>
        <w:t>، وهو ما يمثل انخفاضاً بنسبة</w:t>
      </w:r>
      <w:r w:rsidR="00AD7242">
        <w:rPr>
          <w:rFonts w:hint="cs"/>
          <w:rtl/>
        </w:rPr>
        <w:t> </w:t>
      </w:r>
      <w:r w:rsidRPr="00AF3116">
        <w:rPr>
          <w:rtl/>
        </w:rPr>
        <w:t>12</w:t>
      </w:r>
      <w:r w:rsidRPr="001B6C67">
        <w:rPr>
          <w:rtl/>
        </w:rPr>
        <w:t>,</w:t>
      </w:r>
      <w:r w:rsidRPr="00AF3116">
        <w:rPr>
          <w:rtl/>
        </w:rPr>
        <w:t>59</w:t>
      </w:r>
      <w:r w:rsidRPr="001B6C67">
        <w:rPr>
          <w:rtl/>
        </w:rPr>
        <w:t xml:space="preserve"> في المائة.</w:t>
      </w:r>
    </w:p>
    <w:p w14:paraId="5378E10C" w14:textId="77777777" w:rsidR="00DE3D9F" w:rsidRPr="001B6C67" w:rsidRDefault="00DE3D9F" w:rsidP="00DE3D9F">
      <w:pPr>
        <w:pStyle w:val="SingleTxtGA"/>
        <w:rPr>
          <w:lang w:val="ar-SA" w:eastAsia="zh-TW" w:bidi="en-GB"/>
        </w:rPr>
      </w:pPr>
      <w:r w:rsidRPr="00AF3116">
        <w:rPr>
          <w:rtl/>
        </w:rPr>
        <w:t>12</w:t>
      </w:r>
      <w:r w:rsidRPr="001B6C67">
        <w:rPr>
          <w:rtl/>
        </w:rPr>
        <w:t>-</w:t>
      </w:r>
      <w:r w:rsidRPr="001B6C67">
        <w:rPr>
          <w:rtl/>
        </w:rPr>
        <w:tab/>
        <w:t xml:space="preserve">وفي عام </w:t>
      </w:r>
      <w:r w:rsidRPr="00AF3116">
        <w:rPr>
          <w:rtl/>
        </w:rPr>
        <w:t>2019</w:t>
      </w:r>
      <w:r w:rsidRPr="001B6C67">
        <w:rPr>
          <w:rtl/>
        </w:rPr>
        <w:t xml:space="preserve">، نما الاقتصاد التايلندي بنسبة </w:t>
      </w:r>
      <w:r w:rsidRPr="00AF3116">
        <w:rPr>
          <w:rtl/>
        </w:rPr>
        <w:t>2</w:t>
      </w:r>
      <w:r w:rsidRPr="001B6C67">
        <w:rPr>
          <w:rtl/>
        </w:rPr>
        <w:t>,</w:t>
      </w:r>
      <w:r w:rsidRPr="00AF3116">
        <w:rPr>
          <w:rtl/>
        </w:rPr>
        <w:t>4</w:t>
      </w:r>
      <w:r w:rsidRPr="001B6C67">
        <w:rPr>
          <w:rtl/>
        </w:rPr>
        <w:t xml:space="preserve"> في المائة، بالمقارنة مع </w:t>
      </w:r>
      <w:r w:rsidRPr="00AF3116">
        <w:rPr>
          <w:rtl/>
        </w:rPr>
        <w:t>4</w:t>
      </w:r>
      <w:r w:rsidRPr="001B6C67">
        <w:rPr>
          <w:rtl/>
        </w:rPr>
        <w:t>,</w:t>
      </w:r>
      <w:r w:rsidRPr="00AF3116">
        <w:rPr>
          <w:rtl/>
        </w:rPr>
        <w:t>2</w:t>
      </w:r>
      <w:r w:rsidRPr="001B6C67">
        <w:rPr>
          <w:rtl/>
        </w:rPr>
        <w:t xml:space="preserve"> في المائة في عام </w:t>
      </w:r>
      <w:r w:rsidRPr="00AF3116">
        <w:rPr>
          <w:rtl/>
        </w:rPr>
        <w:t>2018</w:t>
      </w:r>
      <w:r w:rsidRPr="001B6C67">
        <w:rPr>
          <w:rtl/>
        </w:rPr>
        <w:t xml:space="preserve">. وعلى صعيد الإنفاق، </w:t>
      </w:r>
      <w:r>
        <w:rPr>
          <w:rtl/>
        </w:rPr>
        <w:t>وزاد</w:t>
      </w:r>
      <w:r w:rsidRPr="001B6C67">
        <w:rPr>
          <w:rtl/>
        </w:rPr>
        <w:t xml:space="preserve"> الاستهلاك والاستثمار في القطاع الخاص بنسبة </w:t>
      </w:r>
      <w:r w:rsidRPr="00AF3116">
        <w:rPr>
          <w:rtl/>
        </w:rPr>
        <w:t>4</w:t>
      </w:r>
      <w:r w:rsidRPr="001B6C67">
        <w:rPr>
          <w:rtl/>
        </w:rPr>
        <w:t>,</w:t>
      </w:r>
      <w:r w:rsidRPr="00AF3116">
        <w:rPr>
          <w:rtl/>
        </w:rPr>
        <w:t>5</w:t>
      </w:r>
      <w:r w:rsidRPr="001B6C67">
        <w:rPr>
          <w:rtl/>
        </w:rPr>
        <w:t xml:space="preserve"> في المائة و</w:t>
      </w:r>
      <w:r w:rsidRPr="00AF3116">
        <w:rPr>
          <w:rtl/>
        </w:rPr>
        <w:t>2</w:t>
      </w:r>
      <w:r w:rsidRPr="001B6C67">
        <w:rPr>
          <w:rtl/>
        </w:rPr>
        <w:t>,</w:t>
      </w:r>
      <w:r w:rsidRPr="00AF3116">
        <w:rPr>
          <w:rtl/>
        </w:rPr>
        <w:t>8</w:t>
      </w:r>
      <w:r w:rsidRPr="001B6C67">
        <w:rPr>
          <w:rtl/>
        </w:rPr>
        <w:t xml:space="preserve"> في المائة، </w:t>
      </w:r>
      <w:r>
        <w:rPr>
          <w:rtl/>
        </w:rPr>
        <w:t>ونما</w:t>
      </w:r>
      <w:r w:rsidRPr="001B6C67">
        <w:rPr>
          <w:rtl/>
        </w:rPr>
        <w:t xml:space="preserve"> باستمرار من </w:t>
      </w:r>
      <w:r w:rsidRPr="00AF3116">
        <w:rPr>
          <w:rtl/>
        </w:rPr>
        <w:t>4</w:t>
      </w:r>
      <w:r w:rsidRPr="001B6C67">
        <w:rPr>
          <w:rtl/>
        </w:rPr>
        <w:t>,</w:t>
      </w:r>
      <w:r w:rsidRPr="00AF3116">
        <w:rPr>
          <w:rtl/>
        </w:rPr>
        <w:t>6</w:t>
      </w:r>
      <w:r w:rsidRPr="001B6C67">
        <w:rPr>
          <w:rtl/>
        </w:rPr>
        <w:t xml:space="preserve"> في المائة و</w:t>
      </w:r>
      <w:r w:rsidRPr="00AF3116">
        <w:rPr>
          <w:rtl/>
        </w:rPr>
        <w:t>4</w:t>
      </w:r>
      <w:r w:rsidRPr="001B6C67">
        <w:rPr>
          <w:rtl/>
        </w:rPr>
        <w:t>,</w:t>
      </w:r>
      <w:r w:rsidRPr="00AF3116">
        <w:rPr>
          <w:rtl/>
        </w:rPr>
        <w:t>1</w:t>
      </w:r>
      <w:r w:rsidRPr="001B6C67">
        <w:rPr>
          <w:rtl/>
        </w:rPr>
        <w:t xml:space="preserve"> في المائة في العام السابق، على التوالي. وبالإضافة إلى ذلك، ارتفع الاستهلاك والاستثمار الحكوميين بنسبة </w:t>
      </w:r>
      <w:r w:rsidRPr="00AF3116">
        <w:rPr>
          <w:rtl/>
        </w:rPr>
        <w:t>1</w:t>
      </w:r>
      <w:r w:rsidRPr="001B6C67">
        <w:rPr>
          <w:rtl/>
        </w:rPr>
        <w:t>,</w:t>
      </w:r>
      <w:r w:rsidRPr="00AF3116">
        <w:rPr>
          <w:rtl/>
        </w:rPr>
        <w:t>4</w:t>
      </w:r>
      <w:r w:rsidRPr="001B6C67">
        <w:rPr>
          <w:rtl/>
        </w:rPr>
        <w:t xml:space="preserve"> في المائة و</w:t>
      </w:r>
      <w:r w:rsidRPr="00AF3116">
        <w:rPr>
          <w:rtl/>
        </w:rPr>
        <w:t>0</w:t>
      </w:r>
      <w:r w:rsidRPr="001B6C67">
        <w:rPr>
          <w:rtl/>
        </w:rPr>
        <w:t>,</w:t>
      </w:r>
      <w:r w:rsidRPr="00AF3116">
        <w:rPr>
          <w:rtl/>
        </w:rPr>
        <w:t>2</w:t>
      </w:r>
      <w:r w:rsidRPr="001B6C67">
        <w:rPr>
          <w:rtl/>
        </w:rPr>
        <w:t xml:space="preserve"> في المائة، بالمقارنة مع </w:t>
      </w:r>
      <w:r w:rsidRPr="00AF3116">
        <w:rPr>
          <w:rtl/>
        </w:rPr>
        <w:t>2</w:t>
      </w:r>
      <w:r w:rsidRPr="001B6C67">
        <w:rPr>
          <w:rtl/>
        </w:rPr>
        <w:t>,</w:t>
      </w:r>
      <w:r w:rsidRPr="00AF3116">
        <w:rPr>
          <w:rtl/>
        </w:rPr>
        <w:t>6</w:t>
      </w:r>
      <w:r w:rsidRPr="001B6C67">
        <w:rPr>
          <w:rtl/>
        </w:rPr>
        <w:t xml:space="preserve"> في المائة و</w:t>
      </w:r>
      <w:r w:rsidRPr="00AF3116">
        <w:rPr>
          <w:rtl/>
        </w:rPr>
        <w:t>2</w:t>
      </w:r>
      <w:r w:rsidRPr="001B6C67">
        <w:rPr>
          <w:rtl/>
        </w:rPr>
        <w:t>,</w:t>
      </w:r>
      <w:r w:rsidRPr="00AF3116">
        <w:rPr>
          <w:rtl/>
        </w:rPr>
        <w:t>9</w:t>
      </w:r>
      <w:r w:rsidRPr="001B6C67">
        <w:rPr>
          <w:rtl/>
        </w:rPr>
        <w:t xml:space="preserve"> في المائة في العام السابق، على التوالي. ومع ذلك، انخفضت قيمة الصادرات بنسبة </w:t>
      </w:r>
      <w:r w:rsidRPr="00AF3116">
        <w:rPr>
          <w:rtl/>
        </w:rPr>
        <w:t>3</w:t>
      </w:r>
      <w:r w:rsidRPr="001B6C67">
        <w:rPr>
          <w:rtl/>
        </w:rPr>
        <w:t>,</w:t>
      </w:r>
      <w:r w:rsidRPr="00AF3116">
        <w:rPr>
          <w:rtl/>
        </w:rPr>
        <w:t>2</w:t>
      </w:r>
      <w:r w:rsidRPr="001B6C67">
        <w:rPr>
          <w:rtl/>
        </w:rPr>
        <w:t xml:space="preserve"> في المائة، بالمقارنة مع نمو </w:t>
      </w:r>
      <w:r w:rsidRPr="00AF3116">
        <w:rPr>
          <w:rtl/>
        </w:rPr>
        <w:t>7</w:t>
      </w:r>
      <w:r w:rsidRPr="001B6C67">
        <w:rPr>
          <w:rtl/>
        </w:rPr>
        <w:t>,</w:t>
      </w:r>
      <w:r w:rsidRPr="00AF3116">
        <w:rPr>
          <w:rtl/>
        </w:rPr>
        <w:t>5</w:t>
      </w:r>
      <w:r w:rsidRPr="001B6C67">
        <w:rPr>
          <w:rtl/>
        </w:rPr>
        <w:t xml:space="preserve"> في المائة في العام السابق. </w:t>
      </w:r>
    </w:p>
    <w:p w14:paraId="5F5E7481" w14:textId="1C3719D3" w:rsidR="00DE3D9F" w:rsidRPr="001B6C67" w:rsidRDefault="00DE3D9F" w:rsidP="00DE3D9F">
      <w:pPr>
        <w:pStyle w:val="SingleTxtGA"/>
        <w:rPr>
          <w:lang w:val="ar-SA" w:eastAsia="zh-TW" w:bidi="en-GB"/>
        </w:rPr>
      </w:pPr>
      <w:r w:rsidRPr="00AF3116">
        <w:rPr>
          <w:rtl/>
        </w:rPr>
        <w:t>13</w:t>
      </w:r>
      <w:r w:rsidRPr="001B6C67">
        <w:rPr>
          <w:rtl/>
        </w:rPr>
        <w:t>-</w:t>
      </w:r>
      <w:r w:rsidRPr="001B6C67">
        <w:rPr>
          <w:rtl/>
        </w:rPr>
        <w:tab/>
        <w:t>وعلى صعيد الإنتاج، كان</w:t>
      </w:r>
      <w:r>
        <w:rPr>
          <w:rtl/>
        </w:rPr>
        <w:t>ت</w:t>
      </w:r>
      <w:r w:rsidRPr="001B6C67">
        <w:rPr>
          <w:rtl/>
        </w:rPr>
        <w:t xml:space="preserve"> القطاعا</w:t>
      </w:r>
      <w:r>
        <w:rPr>
          <w:rtl/>
        </w:rPr>
        <w:t>ت</w:t>
      </w:r>
      <w:r w:rsidRPr="001B6C67">
        <w:rPr>
          <w:rtl/>
        </w:rPr>
        <w:t xml:space="preserve"> الزراعي</w:t>
      </w:r>
      <w:r>
        <w:rPr>
          <w:rtl/>
        </w:rPr>
        <w:t>ة</w:t>
      </w:r>
      <w:r w:rsidRPr="001B6C67">
        <w:rPr>
          <w:rtl/>
        </w:rPr>
        <w:t xml:space="preserve"> وغير الزراعي</w:t>
      </w:r>
      <w:r>
        <w:rPr>
          <w:rtl/>
        </w:rPr>
        <w:t>ة</w:t>
      </w:r>
      <w:r w:rsidRPr="001B6C67">
        <w:rPr>
          <w:rtl/>
        </w:rPr>
        <w:t xml:space="preserve"> </w:t>
      </w:r>
      <w:r>
        <w:rPr>
          <w:rtl/>
        </w:rPr>
        <w:t>تمثل</w:t>
      </w:r>
      <w:r w:rsidRPr="001B6C67">
        <w:rPr>
          <w:rtl/>
        </w:rPr>
        <w:t xml:space="preserve"> </w:t>
      </w:r>
      <w:r w:rsidRPr="00AF3116">
        <w:rPr>
          <w:rtl/>
        </w:rPr>
        <w:t>6</w:t>
      </w:r>
      <w:r w:rsidRPr="001B6C67">
        <w:rPr>
          <w:rtl/>
        </w:rPr>
        <w:t>,</w:t>
      </w:r>
      <w:r w:rsidRPr="00AF3116">
        <w:rPr>
          <w:rtl/>
        </w:rPr>
        <w:t>16</w:t>
      </w:r>
      <w:r w:rsidRPr="001B6C67">
        <w:rPr>
          <w:rtl/>
        </w:rPr>
        <w:t xml:space="preserve"> في المائة و</w:t>
      </w:r>
      <w:r w:rsidRPr="00AF3116">
        <w:rPr>
          <w:rtl/>
        </w:rPr>
        <w:t>93</w:t>
      </w:r>
      <w:r w:rsidRPr="001B6C67">
        <w:rPr>
          <w:rtl/>
        </w:rPr>
        <w:t>,</w:t>
      </w:r>
      <w:r w:rsidRPr="00AF3116">
        <w:rPr>
          <w:rtl/>
        </w:rPr>
        <w:t>84</w:t>
      </w:r>
      <w:r w:rsidRPr="001B6C67">
        <w:rPr>
          <w:rtl/>
        </w:rPr>
        <w:t xml:space="preserve"> في المائة من الناتج المحلي الإجمالي، على التوالي. ونما الإنتاج الزراعي، والإنتاج الحرجي وقطاع</w:t>
      </w:r>
      <w:r w:rsidR="00AD7242">
        <w:rPr>
          <w:rFonts w:hint="cs"/>
          <w:rtl/>
        </w:rPr>
        <w:t> </w:t>
      </w:r>
      <w:r w:rsidRPr="001B6C67">
        <w:rPr>
          <w:rtl/>
        </w:rPr>
        <w:t xml:space="preserve">مصايد الأسماك، وقطاع السكن وأنشطة الخدمات الغذائية، وتجارة الجملة والتجزئة؛ وقطاع إصلاح السيارات والدراجات النارية، وقطاع النقل والتخزين بنسبة </w:t>
      </w:r>
      <w:r w:rsidRPr="00AF3116">
        <w:rPr>
          <w:rtl/>
        </w:rPr>
        <w:t>0</w:t>
      </w:r>
      <w:r w:rsidRPr="001B6C67">
        <w:rPr>
          <w:rtl/>
        </w:rPr>
        <w:t>,</w:t>
      </w:r>
      <w:r w:rsidRPr="00AF3116">
        <w:rPr>
          <w:rtl/>
        </w:rPr>
        <w:t>1</w:t>
      </w:r>
      <w:r w:rsidRPr="001B6C67">
        <w:rPr>
          <w:rtl/>
        </w:rPr>
        <w:t xml:space="preserve"> في المائة، و</w:t>
      </w:r>
      <w:r w:rsidRPr="00AF3116">
        <w:rPr>
          <w:rtl/>
        </w:rPr>
        <w:t>5</w:t>
      </w:r>
      <w:r w:rsidRPr="001B6C67">
        <w:rPr>
          <w:rtl/>
        </w:rPr>
        <w:t>,</w:t>
      </w:r>
      <w:r w:rsidRPr="00AF3116">
        <w:rPr>
          <w:rtl/>
        </w:rPr>
        <w:t>5</w:t>
      </w:r>
      <w:r w:rsidRPr="001B6C67">
        <w:rPr>
          <w:rtl/>
        </w:rPr>
        <w:t xml:space="preserve"> في المائة، و</w:t>
      </w:r>
      <w:r w:rsidRPr="00AF3116">
        <w:rPr>
          <w:rtl/>
        </w:rPr>
        <w:t>5</w:t>
      </w:r>
      <w:r w:rsidRPr="001B6C67">
        <w:rPr>
          <w:rtl/>
        </w:rPr>
        <w:t>,</w:t>
      </w:r>
      <w:r w:rsidRPr="00AF3116">
        <w:rPr>
          <w:rtl/>
        </w:rPr>
        <w:t>7</w:t>
      </w:r>
      <w:r w:rsidRPr="001B6C67">
        <w:rPr>
          <w:rtl/>
        </w:rPr>
        <w:t xml:space="preserve"> في المائة، و</w:t>
      </w:r>
      <w:r w:rsidRPr="00AF3116">
        <w:rPr>
          <w:rtl/>
        </w:rPr>
        <w:t>3</w:t>
      </w:r>
      <w:r w:rsidRPr="001B6C67">
        <w:rPr>
          <w:rtl/>
        </w:rPr>
        <w:t>,</w:t>
      </w:r>
      <w:r w:rsidRPr="00AF3116">
        <w:rPr>
          <w:rtl/>
        </w:rPr>
        <w:t>4</w:t>
      </w:r>
      <w:r w:rsidRPr="001B6C67">
        <w:rPr>
          <w:rtl/>
        </w:rPr>
        <w:t xml:space="preserve"> في المائة، مما يمثل تباطؤاً بالمقارنة مع </w:t>
      </w:r>
      <w:r w:rsidRPr="00AF3116">
        <w:rPr>
          <w:rtl/>
        </w:rPr>
        <w:t>5</w:t>
      </w:r>
      <w:r w:rsidRPr="001B6C67">
        <w:rPr>
          <w:rtl/>
        </w:rPr>
        <w:t>,</w:t>
      </w:r>
      <w:r w:rsidRPr="00AF3116">
        <w:rPr>
          <w:rtl/>
        </w:rPr>
        <w:t>5</w:t>
      </w:r>
      <w:r w:rsidRPr="001B6C67">
        <w:rPr>
          <w:rtl/>
        </w:rPr>
        <w:t xml:space="preserve"> في المائة و</w:t>
      </w:r>
      <w:r w:rsidRPr="00AF3116">
        <w:rPr>
          <w:rtl/>
        </w:rPr>
        <w:t>7</w:t>
      </w:r>
      <w:r w:rsidRPr="001B6C67">
        <w:rPr>
          <w:rtl/>
        </w:rPr>
        <w:t>,</w:t>
      </w:r>
      <w:r w:rsidRPr="00AF3116">
        <w:rPr>
          <w:rtl/>
        </w:rPr>
        <w:t>6</w:t>
      </w:r>
      <w:r w:rsidRPr="001B6C67">
        <w:rPr>
          <w:rtl/>
        </w:rPr>
        <w:t xml:space="preserve"> في المائة و</w:t>
      </w:r>
      <w:r w:rsidRPr="00AF3116">
        <w:rPr>
          <w:rtl/>
        </w:rPr>
        <w:t>6</w:t>
      </w:r>
      <w:r w:rsidRPr="001B6C67">
        <w:rPr>
          <w:rtl/>
        </w:rPr>
        <w:t>,</w:t>
      </w:r>
      <w:r w:rsidRPr="00AF3116">
        <w:rPr>
          <w:rtl/>
        </w:rPr>
        <w:t>6</w:t>
      </w:r>
      <w:r w:rsidRPr="001B6C67">
        <w:rPr>
          <w:rtl/>
        </w:rPr>
        <w:t xml:space="preserve"> في المائة و</w:t>
      </w:r>
      <w:r w:rsidRPr="00AF3116">
        <w:rPr>
          <w:rtl/>
        </w:rPr>
        <w:t>4</w:t>
      </w:r>
      <w:r w:rsidRPr="001B6C67">
        <w:rPr>
          <w:rtl/>
        </w:rPr>
        <w:t>,</w:t>
      </w:r>
      <w:r w:rsidRPr="00AF3116">
        <w:rPr>
          <w:rtl/>
        </w:rPr>
        <w:t>4</w:t>
      </w:r>
      <w:r w:rsidRPr="001B6C67">
        <w:rPr>
          <w:rtl/>
        </w:rPr>
        <w:t xml:space="preserve"> في المائة في العام السابق، على التوالي. وتراجع قطاع الصناعات التحويلية بنسبة </w:t>
      </w:r>
      <w:r w:rsidRPr="00AF3116">
        <w:rPr>
          <w:rtl/>
        </w:rPr>
        <w:t>0</w:t>
      </w:r>
      <w:r w:rsidRPr="001B6C67">
        <w:rPr>
          <w:rtl/>
        </w:rPr>
        <w:t>,</w:t>
      </w:r>
      <w:r w:rsidRPr="00AF3116">
        <w:rPr>
          <w:rtl/>
        </w:rPr>
        <w:t>7</w:t>
      </w:r>
      <w:r w:rsidRPr="001B6C67">
        <w:rPr>
          <w:rtl/>
        </w:rPr>
        <w:t xml:space="preserve"> في المائة، بالمقارنة مع نمو بلغ </w:t>
      </w:r>
      <w:r w:rsidRPr="00AF3116">
        <w:rPr>
          <w:rtl/>
        </w:rPr>
        <w:t>3</w:t>
      </w:r>
      <w:r w:rsidRPr="001B6C67">
        <w:rPr>
          <w:rtl/>
        </w:rPr>
        <w:t>,</w:t>
      </w:r>
      <w:r w:rsidRPr="00AF3116">
        <w:rPr>
          <w:rtl/>
        </w:rPr>
        <w:t>2</w:t>
      </w:r>
      <w:r w:rsidRPr="001B6C67">
        <w:rPr>
          <w:rtl/>
        </w:rPr>
        <w:t xml:space="preserve"> في المائة في عام </w:t>
      </w:r>
      <w:r w:rsidRPr="00AF3116">
        <w:rPr>
          <w:rtl/>
        </w:rPr>
        <w:t>2018</w:t>
      </w:r>
      <w:r w:rsidRPr="001B6C67">
        <w:rPr>
          <w:rtl/>
        </w:rPr>
        <w:t xml:space="preserve">. </w:t>
      </w:r>
    </w:p>
    <w:p w14:paraId="45A86F53" w14:textId="77777777" w:rsidR="00DE3D9F" w:rsidRPr="001B6C67" w:rsidRDefault="00DE3D9F" w:rsidP="00DE3D9F">
      <w:pPr>
        <w:pStyle w:val="SingleTxtGA"/>
        <w:rPr>
          <w:lang w:val="ar-SA" w:eastAsia="zh-TW" w:bidi="en-GB"/>
        </w:rPr>
      </w:pPr>
      <w:r w:rsidRPr="00AF3116">
        <w:rPr>
          <w:rtl/>
        </w:rPr>
        <w:t>14</w:t>
      </w:r>
      <w:r w:rsidRPr="001B6C67">
        <w:rPr>
          <w:rtl/>
        </w:rPr>
        <w:t>-</w:t>
      </w:r>
      <w:r w:rsidRPr="001B6C67">
        <w:rPr>
          <w:rtl/>
        </w:rPr>
        <w:tab/>
      </w:r>
      <w:r>
        <w:rPr>
          <w:rtl/>
        </w:rPr>
        <w:t>و</w:t>
      </w:r>
      <w:r w:rsidRPr="001B6C67">
        <w:rPr>
          <w:rtl/>
        </w:rPr>
        <w:t xml:space="preserve">تم تحديد إجمالي الميزانية الوطنية لعام </w:t>
      </w:r>
      <w:r w:rsidRPr="00AF3116">
        <w:rPr>
          <w:rtl/>
        </w:rPr>
        <w:t>2019</w:t>
      </w:r>
      <w:r w:rsidRPr="001B6C67">
        <w:rPr>
          <w:rtl/>
        </w:rPr>
        <w:t xml:space="preserve"> بمبلغ </w:t>
      </w:r>
      <w:r w:rsidRPr="00AF3116">
        <w:rPr>
          <w:rtl/>
        </w:rPr>
        <w:t>3</w:t>
      </w:r>
      <w:r w:rsidRPr="001B6C67">
        <w:rPr>
          <w:rtl/>
        </w:rPr>
        <w:t>,</w:t>
      </w:r>
      <w:r w:rsidRPr="00AF3116">
        <w:rPr>
          <w:rtl/>
        </w:rPr>
        <w:t>0</w:t>
      </w:r>
      <w:r w:rsidRPr="001B6C67">
        <w:rPr>
          <w:rtl/>
        </w:rPr>
        <w:t xml:space="preserve"> تريليون بات تايلندي، وهو ما يمثل زيادة بنسبة </w:t>
      </w:r>
      <w:r w:rsidRPr="00AF3116">
        <w:rPr>
          <w:rtl/>
        </w:rPr>
        <w:t>1</w:t>
      </w:r>
      <w:r w:rsidRPr="001B6C67">
        <w:rPr>
          <w:rtl/>
        </w:rPr>
        <w:t xml:space="preserve"> في المائة بالمقارنة مع ميزانية عام </w:t>
      </w:r>
      <w:r w:rsidRPr="00AF3116">
        <w:rPr>
          <w:rtl/>
        </w:rPr>
        <w:t>2018</w:t>
      </w:r>
      <w:r w:rsidRPr="001B6C67">
        <w:rPr>
          <w:rtl/>
        </w:rPr>
        <w:t xml:space="preserve">. </w:t>
      </w:r>
    </w:p>
    <w:p w14:paraId="69C3A3A8" w14:textId="77777777" w:rsidR="00DE3D9F" w:rsidRPr="001B6C67" w:rsidRDefault="00DE3D9F" w:rsidP="00DE3D9F">
      <w:pPr>
        <w:pStyle w:val="SingleTxtGA"/>
        <w:rPr>
          <w:lang w:val="ar-SA" w:eastAsia="zh-TW" w:bidi="en-GB"/>
        </w:rPr>
      </w:pPr>
      <w:r w:rsidRPr="00AF3116">
        <w:rPr>
          <w:rtl/>
        </w:rPr>
        <w:t>15</w:t>
      </w:r>
      <w:r w:rsidRPr="001B6C67">
        <w:rPr>
          <w:rtl/>
        </w:rPr>
        <w:t>-</w:t>
      </w:r>
      <w:r w:rsidRPr="001B6C67">
        <w:rPr>
          <w:rtl/>
        </w:rPr>
        <w:tab/>
        <w:t xml:space="preserve">وبشكل عام، ظل الاستقرار الاقتصادي </w:t>
      </w:r>
      <w:proofErr w:type="spellStart"/>
      <w:r w:rsidRPr="001B6C67">
        <w:rPr>
          <w:rtl/>
        </w:rPr>
        <w:t>مواتياً</w:t>
      </w:r>
      <w:proofErr w:type="spellEnd"/>
      <w:r w:rsidRPr="001B6C67">
        <w:rPr>
          <w:rtl/>
        </w:rPr>
        <w:t xml:space="preserve">. وبلغ معدل التضخم الرئيسي </w:t>
      </w:r>
      <w:r w:rsidRPr="00AF3116">
        <w:rPr>
          <w:rtl/>
        </w:rPr>
        <w:t>0</w:t>
      </w:r>
      <w:r w:rsidRPr="001B6C67">
        <w:rPr>
          <w:rtl/>
        </w:rPr>
        <w:t>,</w:t>
      </w:r>
      <w:r w:rsidRPr="00AF3116">
        <w:rPr>
          <w:rtl/>
        </w:rPr>
        <w:t>7</w:t>
      </w:r>
      <w:r w:rsidRPr="001B6C67">
        <w:rPr>
          <w:rtl/>
        </w:rPr>
        <w:t xml:space="preserve"> في المائة وسجل الحساب الجاري فائضاً بنسبة </w:t>
      </w:r>
      <w:r w:rsidRPr="00AF3116">
        <w:rPr>
          <w:rtl/>
        </w:rPr>
        <w:t>6</w:t>
      </w:r>
      <w:r w:rsidRPr="001B6C67">
        <w:rPr>
          <w:rtl/>
        </w:rPr>
        <w:t>,</w:t>
      </w:r>
      <w:r w:rsidRPr="00AF3116">
        <w:rPr>
          <w:rtl/>
        </w:rPr>
        <w:t>8</w:t>
      </w:r>
      <w:r w:rsidRPr="001B6C67">
        <w:rPr>
          <w:rtl/>
        </w:rPr>
        <w:t xml:space="preserve"> في المائة من الناتج المحلي الإجمالي.</w:t>
      </w:r>
    </w:p>
    <w:tbl>
      <w:tblPr>
        <w:bidiVisual/>
        <w:tblW w:w="7370" w:type="dxa"/>
        <w:tblInd w:w="125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32"/>
        <w:gridCol w:w="1131"/>
        <w:gridCol w:w="1075"/>
        <w:gridCol w:w="812"/>
        <w:gridCol w:w="1022"/>
        <w:gridCol w:w="898"/>
      </w:tblGrid>
      <w:tr w:rsidR="00DE3D9F" w:rsidRPr="00E90634" w14:paraId="2C879E9C" w14:textId="77777777" w:rsidTr="003B756C">
        <w:trPr>
          <w:tblHeader/>
        </w:trPr>
        <w:tc>
          <w:tcPr>
            <w:tcW w:w="2432" w:type="dxa"/>
            <w:tcBorders>
              <w:top w:val="single" w:sz="4" w:space="0" w:color="auto"/>
              <w:bottom w:val="single" w:sz="12" w:space="0" w:color="auto"/>
            </w:tcBorders>
            <w:shd w:val="clear" w:color="auto" w:fill="auto"/>
            <w:vAlign w:val="bottom"/>
          </w:tcPr>
          <w:p w14:paraId="116A6270" w14:textId="77777777" w:rsidR="00DE3D9F" w:rsidRPr="00E90634" w:rsidRDefault="00DE3D9F" w:rsidP="003B756C">
            <w:pPr>
              <w:spacing w:before="40" w:after="40" w:line="360" w:lineRule="exact"/>
              <w:ind w:left="57" w:right="57"/>
              <w:jc w:val="left"/>
              <w:textDirection w:val="tbRlV"/>
              <w:rPr>
                <w:rFonts w:ascii="Simplified Arabic" w:hAnsi="Simplified Arabic"/>
                <w:i/>
                <w:szCs w:val="20"/>
                <w:lang w:eastAsia="zh-TW" w:bidi="en-GB"/>
              </w:rPr>
            </w:pPr>
            <w:r w:rsidRPr="00AF3116">
              <w:rPr>
                <w:rFonts w:ascii="Simplified Arabic" w:hAnsi="Simplified Arabic"/>
                <w:i/>
                <w:iCs/>
                <w:szCs w:val="20"/>
                <w:rtl/>
              </w:rPr>
              <w:t>نصيب الفرد من الدخل</w:t>
            </w:r>
          </w:p>
        </w:tc>
        <w:tc>
          <w:tcPr>
            <w:tcW w:w="4938" w:type="dxa"/>
            <w:gridSpan w:val="5"/>
            <w:tcBorders>
              <w:top w:val="single" w:sz="4" w:space="0" w:color="auto"/>
              <w:bottom w:val="single" w:sz="12" w:space="0" w:color="auto"/>
            </w:tcBorders>
            <w:shd w:val="clear" w:color="auto" w:fill="auto"/>
            <w:vAlign w:val="bottom"/>
          </w:tcPr>
          <w:p w14:paraId="394F2693" w14:textId="3538499E" w:rsidR="00DE3D9F" w:rsidRPr="00AF3116" w:rsidRDefault="00DE3D9F" w:rsidP="003B756C">
            <w:pPr>
              <w:spacing w:before="40" w:after="40" w:line="360" w:lineRule="exact"/>
              <w:ind w:left="57" w:right="57"/>
              <w:jc w:val="right"/>
              <w:textDirection w:val="tbRlV"/>
              <w:rPr>
                <w:rFonts w:ascii="Simplified Arabic" w:hAnsi="Simplified Arabic"/>
                <w:i/>
                <w:szCs w:val="20"/>
                <w:rtl/>
                <w:lang w:val="ar-SA" w:eastAsia="zh-TW"/>
              </w:rPr>
            </w:pPr>
            <w:r w:rsidRPr="00AF3116">
              <w:rPr>
                <w:rFonts w:ascii="Simplified Arabic" w:hAnsi="Simplified Arabic"/>
                <w:i/>
                <w:iCs/>
                <w:szCs w:val="20"/>
                <w:rtl/>
              </w:rPr>
              <w:t>615,24 4 دولار أمريكي (147,088 بات تايلندي)</w:t>
            </w:r>
            <w:r w:rsidR="00E90634" w:rsidRPr="00AF3116">
              <w:rPr>
                <w:rFonts w:ascii="Simplified Arabic" w:hAnsi="Simplified Arabic" w:hint="cs"/>
                <w:szCs w:val="20"/>
                <w:vertAlign w:val="superscript"/>
                <w:rtl/>
              </w:rPr>
              <w:t>(</w:t>
            </w:r>
            <w:r w:rsidRPr="00AF3116">
              <w:rPr>
                <w:rStyle w:val="FootnoteReference"/>
                <w:rFonts w:ascii="Simplified Arabic" w:hAnsi="Simplified Arabic"/>
                <w:szCs w:val="20"/>
              </w:rPr>
              <w:footnoteReference w:id="3"/>
            </w:r>
            <w:r w:rsidR="00E90634" w:rsidRPr="00AF3116">
              <w:rPr>
                <w:rFonts w:ascii="Simplified Arabic" w:hAnsi="Simplified Arabic" w:hint="cs"/>
                <w:szCs w:val="20"/>
                <w:vertAlign w:val="superscript"/>
                <w:rtl/>
              </w:rPr>
              <w:t>)</w:t>
            </w:r>
          </w:p>
        </w:tc>
      </w:tr>
      <w:tr w:rsidR="00DE3D9F" w:rsidRPr="00E90634" w14:paraId="31A88ACC" w14:textId="77777777" w:rsidTr="003B756C">
        <w:tc>
          <w:tcPr>
            <w:tcW w:w="2432" w:type="dxa"/>
            <w:tcBorders>
              <w:top w:val="single" w:sz="12" w:space="0" w:color="auto"/>
            </w:tcBorders>
            <w:shd w:val="clear" w:color="auto" w:fill="auto"/>
          </w:tcPr>
          <w:p w14:paraId="69DC8BE7"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الناتج المحلي الإجمالي بالملايين</w:t>
            </w:r>
          </w:p>
        </w:tc>
        <w:tc>
          <w:tcPr>
            <w:tcW w:w="4938" w:type="dxa"/>
            <w:gridSpan w:val="5"/>
            <w:tcBorders>
              <w:top w:val="single" w:sz="12" w:space="0" w:color="auto"/>
            </w:tcBorders>
            <w:shd w:val="clear" w:color="auto" w:fill="auto"/>
            <w:vAlign w:val="bottom"/>
          </w:tcPr>
          <w:p w14:paraId="4CF016D3"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701</w:t>
            </w:r>
            <w:r w:rsidRPr="00E90634">
              <w:rPr>
                <w:rFonts w:ascii="Simplified Arabic" w:hAnsi="Simplified Arabic"/>
                <w:szCs w:val="20"/>
                <w:rtl/>
              </w:rPr>
              <w:t>,</w:t>
            </w:r>
            <w:r w:rsidRPr="00AF3116">
              <w:rPr>
                <w:rFonts w:ascii="Simplified Arabic" w:hAnsi="Simplified Arabic"/>
                <w:szCs w:val="20"/>
                <w:rtl/>
              </w:rPr>
              <w:t>53</w:t>
            </w:r>
            <w:r w:rsidRPr="00E90634">
              <w:rPr>
                <w:rFonts w:ascii="Simplified Arabic" w:hAnsi="Simplified Arabic"/>
                <w:szCs w:val="20"/>
                <w:rtl/>
              </w:rPr>
              <w:t xml:space="preserve"> </w:t>
            </w:r>
            <w:r w:rsidRPr="00AF3116">
              <w:rPr>
                <w:rFonts w:ascii="Simplified Arabic" w:hAnsi="Simplified Arabic"/>
                <w:szCs w:val="20"/>
                <w:rtl/>
              </w:rPr>
              <w:t>313</w:t>
            </w:r>
            <w:r w:rsidRPr="00E90634">
              <w:rPr>
                <w:rFonts w:ascii="Simplified Arabic" w:hAnsi="Simplified Arabic"/>
                <w:szCs w:val="20"/>
                <w:rtl/>
              </w:rPr>
              <w:t xml:space="preserve"> دولار أمريكي (</w:t>
            </w:r>
            <w:r w:rsidRPr="00AF3116">
              <w:rPr>
                <w:rFonts w:ascii="Simplified Arabic" w:hAnsi="Simplified Arabic"/>
                <w:szCs w:val="20"/>
                <w:rtl/>
              </w:rPr>
              <w:t>668</w:t>
            </w:r>
            <w:r w:rsidRPr="00E90634">
              <w:rPr>
                <w:rFonts w:ascii="Simplified Arabic" w:hAnsi="Simplified Arabic"/>
                <w:szCs w:val="20"/>
                <w:rtl/>
              </w:rPr>
              <w:t xml:space="preserve"> </w:t>
            </w:r>
            <w:r w:rsidRPr="00AF3116">
              <w:rPr>
                <w:rFonts w:ascii="Simplified Arabic" w:hAnsi="Simplified Arabic"/>
                <w:szCs w:val="20"/>
                <w:rtl/>
              </w:rPr>
              <w:t>997</w:t>
            </w:r>
            <w:r w:rsidRPr="00E90634">
              <w:rPr>
                <w:rFonts w:ascii="Simplified Arabic" w:hAnsi="Simplified Arabic"/>
                <w:szCs w:val="20"/>
                <w:rtl/>
              </w:rPr>
              <w:t xml:space="preserve"> </w:t>
            </w:r>
            <w:r w:rsidRPr="00AF3116">
              <w:rPr>
                <w:rFonts w:ascii="Simplified Arabic" w:hAnsi="Simplified Arabic"/>
                <w:szCs w:val="20"/>
                <w:rtl/>
              </w:rPr>
              <w:t>9</w:t>
            </w:r>
            <w:r w:rsidRPr="00E90634">
              <w:rPr>
                <w:rFonts w:ascii="Simplified Arabic" w:hAnsi="Simplified Arabic"/>
                <w:szCs w:val="20"/>
                <w:rtl/>
              </w:rPr>
              <w:t xml:space="preserve"> باتاً تايلندياً)</w:t>
            </w:r>
          </w:p>
        </w:tc>
      </w:tr>
      <w:tr w:rsidR="00DE3D9F" w:rsidRPr="00E90634" w14:paraId="7AACE302" w14:textId="77777777" w:rsidTr="003B756C">
        <w:tc>
          <w:tcPr>
            <w:tcW w:w="2432" w:type="dxa"/>
            <w:shd w:val="clear" w:color="auto" w:fill="auto"/>
          </w:tcPr>
          <w:p w14:paraId="29E18E66" w14:textId="77777777" w:rsidR="00DE3D9F" w:rsidRPr="003B756C"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معدل النمو السنوي</w:t>
            </w:r>
          </w:p>
        </w:tc>
        <w:tc>
          <w:tcPr>
            <w:tcW w:w="4938" w:type="dxa"/>
            <w:gridSpan w:val="5"/>
            <w:shd w:val="clear" w:color="auto" w:fill="auto"/>
            <w:vAlign w:val="bottom"/>
          </w:tcPr>
          <w:p w14:paraId="4D20B42C" w14:textId="77777777" w:rsidR="00DE3D9F" w:rsidRPr="00E90634" w:rsidRDefault="00DE3D9F" w:rsidP="003B756C">
            <w:pPr>
              <w:spacing w:before="40" w:after="40" w:line="360" w:lineRule="exact"/>
              <w:ind w:left="57" w:right="57"/>
              <w:jc w:val="right"/>
              <w:textDirection w:val="tbRlV"/>
              <w:rPr>
                <w:rFonts w:ascii="Simplified Arabic" w:hAnsi="Simplified Arabic"/>
                <w:szCs w:val="20"/>
                <w:lang w:eastAsia="zh-TW" w:bidi="en-GB"/>
              </w:rPr>
            </w:pPr>
            <w:r w:rsidRPr="00AF3116">
              <w:rPr>
                <w:rFonts w:ascii="Simplified Arabic" w:hAnsi="Simplified Arabic"/>
                <w:szCs w:val="20"/>
              </w:rPr>
              <w:t>3</w:t>
            </w:r>
            <w:r w:rsidRPr="00E90634">
              <w:rPr>
                <w:rFonts w:ascii="Simplified Arabic" w:hAnsi="Simplified Arabic"/>
                <w:szCs w:val="20"/>
              </w:rPr>
              <w:t>,</w:t>
            </w:r>
            <w:r w:rsidRPr="00AF3116">
              <w:rPr>
                <w:rFonts w:ascii="Simplified Arabic" w:hAnsi="Simplified Arabic"/>
                <w:szCs w:val="20"/>
              </w:rPr>
              <w:t>3</w:t>
            </w:r>
            <w:r w:rsidRPr="00E90634">
              <w:rPr>
                <w:rFonts w:ascii="Simplified Arabic" w:hAnsi="Simplified Arabic"/>
                <w:szCs w:val="20"/>
              </w:rPr>
              <w:t> %</w:t>
            </w:r>
          </w:p>
        </w:tc>
      </w:tr>
      <w:tr w:rsidR="00DE3D9F" w:rsidRPr="00E90634" w14:paraId="28002427" w14:textId="77777777" w:rsidTr="003B756C">
        <w:tc>
          <w:tcPr>
            <w:tcW w:w="2432" w:type="dxa"/>
            <w:shd w:val="clear" w:color="auto" w:fill="auto"/>
          </w:tcPr>
          <w:p w14:paraId="558DBA90"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الدخل القومي الإجمالي بالملايين</w:t>
            </w:r>
          </w:p>
        </w:tc>
        <w:tc>
          <w:tcPr>
            <w:tcW w:w="4938" w:type="dxa"/>
            <w:gridSpan w:val="5"/>
            <w:shd w:val="clear" w:color="auto" w:fill="auto"/>
            <w:vAlign w:val="bottom"/>
          </w:tcPr>
          <w:p w14:paraId="393B0373"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AF3116">
              <w:rPr>
                <w:rFonts w:ascii="Simplified Arabic" w:hAnsi="Simplified Arabic"/>
                <w:szCs w:val="20"/>
                <w:rtl/>
              </w:rPr>
              <w:t>612</w:t>
            </w:r>
            <w:r w:rsidRPr="00E90634">
              <w:rPr>
                <w:rFonts w:ascii="Simplified Arabic" w:hAnsi="Simplified Arabic"/>
                <w:szCs w:val="20"/>
                <w:rtl/>
              </w:rPr>
              <w:t>,</w:t>
            </w:r>
            <w:r w:rsidRPr="00AF3116">
              <w:rPr>
                <w:rFonts w:ascii="Simplified Arabic" w:hAnsi="Simplified Arabic"/>
                <w:spacing w:val="-4"/>
                <w:szCs w:val="20"/>
                <w:rtl/>
              </w:rPr>
              <w:t>83</w:t>
            </w:r>
            <w:r w:rsidRPr="00E90634">
              <w:rPr>
                <w:rFonts w:ascii="Simplified Arabic" w:hAnsi="Simplified Arabic"/>
                <w:spacing w:val="-4"/>
                <w:szCs w:val="20"/>
                <w:rtl/>
              </w:rPr>
              <w:t xml:space="preserve"> </w:t>
            </w:r>
            <w:r w:rsidRPr="00AF3116">
              <w:rPr>
                <w:rFonts w:ascii="Simplified Arabic" w:hAnsi="Simplified Arabic"/>
                <w:spacing w:val="-4"/>
                <w:szCs w:val="20"/>
                <w:rtl/>
              </w:rPr>
              <w:t>434</w:t>
            </w:r>
            <w:r w:rsidRPr="00E90634">
              <w:rPr>
                <w:rFonts w:ascii="Simplified Arabic" w:hAnsi="Simplified Arabic"/>
                <w:spacing w:val="-4"/>
                <w:szCs w:val="20"/>
                <w:rtl/>
              </w:rPr>
              <w:t xml:space="preserve"> دولار أمريكي (</w:t>
            </w:r>
            <w:r w:rsidRPr="00AF3116">
              <w:rPr>
                <w:rFonts w:ascii="Simplified Arabic" w:hAnsi="Simplified Arabic"/>
                <w:spacing w:val="-4"/>
                <w:szCs w:val="20"/>
                <w:rtl/>
              </w:rPr>
              <w:t>111</w:t>
            </w:r>
            <w:r w:rsidRPr="00E90634">
              <w:rPr>
                <w:rFonts w:ascii="Simplified Arabic" w:hAnsi="Simplified Arabic"/>
                <w:spacing w:val="-4"/>
                <w:szCs w:val="20"/>
                <w:rtl/>
              </w:rPr>
              <w:t xml:space="preserve"> </w:t>
            </w:r>
            <w:r w:rsidRPr="00AF3116">
              <w:rPr>
                <w:rFonts w:ascii="Simplified Arabic" w:hAnsi="Simplified Arabic"/>
                <w:spacing w:val="-4"/>
                <w:szCs w:val="20"/>
                <w:rtl/>
              </w:rPr>
              <w:t>851</w:t>
            </w:r>
            <w:r w:rsidRPr="00E90634">
              <w:rPr>
                <w:rFonts w:ascii="Simplified Arabic" w:hAnsi="Simplified Arabic"/>
                <w:spacing w:val="-4"/>
                <w:szCs w:val="20"/>
                <w:rtl/>
              </w:rPr>
              <w:t xml:space="preserve"> </w:t>
            </w:r>
            <w:r w:rsidRPr="00AF3116">
              <w:rPr>
                <w:rFonts w:ascii="Simplified Arabic" w:hAnsi="Simplified Arabic"/>
                <w:spacing w:val="-4"/>
                <w:szCs w:val="20"/>
                <w:rtl/>
              </w:rPr>
              <w:t>13</w:t>
            </w:r>
            <w:r w:rsidRPr="00E90634">
              <w:rPr>
                <w:rFonts w:ascii="Simplified Arabic" w:hAnsi="Simplified Arabic"/>
                <w:spacing w:val="-4"/>
                <w:szCs w:val="20"/>
                <w:rtl/>
              </w:rPr>
              <w:t xml:space="preserve"> باتاً تايلندياً)</w:t>
            </w:r>
          </w:p>
        </w:tc>
      </w:tr>
      <w:tr w:rsidR="00DE3D9F" w:rsidRPr="00E90634" w14:paraId="075A17D8" w14:textId="77777777" w:rsidTr="003B756C">
        <w:tc>
          <w:tcPr>
            <w:tcW w:w="2432" w:type="dxa"/>
            <w:vMerge w:val="restart"/>
            <w:shd w:val="clear" w:color="auto" w:fill="auto"/>
          </w:tcPr>
          <w:p w14:paraId="2877A9B0"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cs/>
                <w:lang w:val="ar-SA" w:eastAsia="zh-TW" w:bidi="en-GB"/>
              </w:rPr>
            </w:pPr>
            <w:r w:rsidRPr="00E90634">
              <w:rPr>
                <w:rFonts w:ascii="Simplified Arabic" w:hAnsi="Simplified Arabic"/>
                <w:szCs w:val="20"/>
                <w:rtl/>
              </w:rPr>
              <w:t xml:space="preserve">النفقات الاجتماعية بملايين الباتات وكنسبة من مجموع الإنفاق العام </w:t>
            </w:r>
          </w:p>
        </w:tc>
        <w:tc>
          <w:tcPr>
            <w:tcW w:w="1131" w:type="dxa"/>
            <w:shd w:val="clear" w:color="auto" w:fill="auto"/>
            <w:vAlign w:val="bottom"/>
          </w:tcPr>
          <w:p w14:paraId="11B57D49" w14:textId="77777777" w:rsidR="00DE3D9F" w:rsidRPr="00E90634" w:rsidRDefault="00DE3D9F" w:rsidP="003B756C">
            <w:pPr>
              <w:spacing w:before="40" w:after="40" w:line="360" w:lineRule="exact"/>
              <w:ind w:left="57" w:right="57"/>
              <w:jc w:val="left"/>
              <w:rPr>
                <w:rFonts w:ascii="Simplified Arabic" w:hAnsi="Simplified Arabic"/>
                <w:szCs w:val="20"/>
              </w:rPr>
            </w:pPr>
          </w:p>
        </w:tc>
        <w:tc>
          <w:tcPr>
            <w:tcW w:w="1075" w:type="dxa"/>
            <w:shd w:val="clear" w:color="auto" w:fill="auto"/>
            <w:vAlign w:val="bottom"/>
          </w:tcPr>
          <w:p w14:paraId="7A9423C5" w14:textId="17307D2F" w:rsidR="00DE3D9F" w:rsidRPr="00E90634" w:rsidRDefault="003C7406" w:rsidP="003B756C">
            <w:pPr>
              <w:spacing w:before="40" w:after="40" w:line="360" w:lineRule="exact"/>
              <w:ind w:left="57" w:right="57"/>
              <w:jc w:val="both"/>
              <w:rPr>
                <w:rFonts w:ascii="Simplified Arabic" w:hAnsi="Simplified Arabic"/>
                <w:szCs w:val="20"/>
              </w:rPr>
            </w:pPr>
            <w:r w:rsidRPr="00E90634">
              <w:rPr>
                <w:rFonts w:asciiTheme="majorBidi" w:hAnsiTheme="majorBidi" w:cstheme="majorBidi"/>
                <w:szCs w:val="20"/>
              </w:rPr>
              <w:t xml:space="preserve"> </w:t>
            </w:r>
            <w:r w:rsidR="00DE3D9F" w:rsidRPr="00E90634">
              <w:rPr>
                <w:rFonts w:asciiTheme="majorBidi" w:hAnsiTheme="majorBidi" w:cstheme="majorBidi"/>
                <w:szCs w:val="20"/>
              </w:rPr>
              <w:t>FY</w:t>
            </w:r>
            <w:r w:rsidR="00DE3D9F" w:rsidRPr="00AF3116">
              <w:rPr>
                <w:rFonts w:ascii="Simplified Arabic" w:hAnsi="Simplified Arabic"/>
                <w:szCs w:val="20"/>
                <w:rtl/>
              </w:rPr>
              <w:t>2017</w:t>
            </w:r>
          </w:p>
        </w:tc>
        <w:tc>
          <w:tcPr>
            <w:tcW w:w="812" w:type="dxa"/>
            <w:shd w:val="clear" w:color="auto" w:fill="auto"/>
            <w:vAlign w:val="bottom"/>
          </w:tcPr>
          <w:p w14:paraId="202D3CFF" w14:textId="72F08832" w:rsidR="00DE3D9F" w:rsidRPr="00E90634" w:rsidRDefault="003C7406" w:rsidP="003B756C">
            <w:pPr>
              <w:spacing w:before="40" w:after="40" w:line="360" w:lineRule="exact"/>
              <w:ind w:left="57" w:right="57"/>
              <w:jc w:val="both"/>
              <w:rPr>
                <w:rFonts w:ascii="Simplified Arabic" w:hAnsi="Simplified Arabic"/>
                <w:szCs w:val="20"/>
              </w:rPr>
            </w:pPr>
            <w:r w:rsidRPr="00E90634">
              <w:rPr>
                <w:rFonts w:ascii="Simplified Arabic" w:hAnsi="Simplified Arabic"/>
                <w:szCs w:val="20"/>
                <w:cs/>
              </w:rPr>
              <w:t>%</w:t>
            </w:r>
          </w:p>
        </w:tc>
        <w:tc>
          <w:tcPr>
            <w:tcW w:w="1022" w:type="dxa"/>
            <w:shd w:val="clear" w:color="auto" w:fill="auto"/>
            <w:vAlign w:val="bottom"/>
          </w:tcPr>
          <w:p w14:paraId="0289C301" w14:textId="29BB8F3A" w:rsidR="00DE3D9F" w:rsidRPr="00E90634" w:rsidRDefault="00DE3D9F" w:rsidP="003B756C">
            <w:pPr>
              <w:spacing w:before="40" w:after="40" w:line="360" w:lineRule="exact"/>
              <w:ind w:left="57" w:right="57"/>
              <w:jc w:val="both"/>
              <w:rPr>
                <w:rFonts w:ascii="Simplified Arabic" w:hAnsi="Simplified Arabic"/>
                <w:szCs w:val="20"/>
              </w:rPr>
            </w:pPr>
            <w:r w:rsidRPr="00AF3116">
              <w:rPr>
                <w:rFonts w:ascii="Simplified Arabic" w:hAnsi="Simplified Arabic"/>
                <w:szCs w:val="20"/>
              </w:rPr>
              <w:t>2018</w:t>
            </w:r>
            <w:r w:rsidR="00DA075B" w:rsidRPr="00E90634">
              <w:rPr>
                <w:rFonts w:ascii="Simplified Arabic" w:hAnsi="Simplified Arabic"/>
                <w:szCs w:val="20"/>
              </w:rPr>
              <w:t xml:space="preserve"> </w:t>
            </w:r>
            <w:r w:rsidR="00DA075B" w:rsidRPr="00E90634">
              <w:rPr>
                <w:rFonts w:cs="Times New Roman"/>
                <w:szCs w:val="20"/>
              </w:rPr>
              <w:t>FY</w:t>
            </w:r>
          </w:p>
        </w:tc>
        <w:tc>
          <w:tcPr>
            <w:tcW w:w="898" w:type="dxa"/>
            <w:shd w:val="clear" w:color="auto" w:fill="auto"/>
            <w:vAlign w:val="bottom"/>
          </w:tcPr>
          <w:p w14:paraId="7A0AB1F6" w14:textId="77777777" w:rsidR="00DE3D9F" w:rsidRPr="00E90634" w:rsidRDefault="00DE3D9F" w:rsidP="003B756C">
            <w:pPr>
              <w:spacing w:before="40" w:after="40" w:line="360" w:lineRule="exact"/>
              <w:ind w:left="57" w:right="57"/>
              <w:jc w:val="both"/>
              <w:rPr>
                <w:rFonts w:ascii="Simplified Arabic" w:hAnsi="Simplified Arabic"/>
                <w:szCs w:val="20"/>
                <w:rtl/>
              </w:rPr>
            </w:pPr>
            <w:r w:rsidRPr="00E90634">
              <w:rPr>
                <w:rFonts w:ascii="Simplified Arabic" w:hAnsi="Simplified Arabic"/>
                <w:szCs w:val="20"/>
                <w:cs/>
              </w:rPr>
              <w:t>%</w:t>
            </w:r>
          </w:p>
        </w:tc>
      </w:tr>
      <w:tr w:rsidR="00DE3D9F" w:rsidRPr="00E90634" w14:paraId="3F0C4A06" w14:textId="77777777" w:rsidTr="003B756C">
        <w:tc>
          <w:tcPr>
            <w:tcW w:w="2432" w:type="dxa"/>
            <w:vMerge/>
            <w:shd w:val="clear" w:color="auto" w:fill="auto"/>
          </w:tcPr>
          <w:p w14:paraId="26516C0C" w14:textId="77777777" w:rsidR="00DE3D9F" w:rsidRPr="00E90634" w:rsidRDefault="00DE3D9F" w:rsidP="003B756C">
            <w:pPr>
              <w:spacing w:before="40" w:after="40" w:line="360" w:lineRule="exact"/>
              <w:ind w:left="57" w:right="57"/>
              <w:jc w:val="left"/>
              <w:rPr>
                <w:rFonts w:ascii="Simplified Arabic" w:hAnsi="Simplified Arabic"/>
                <w:szCs w:val="20"/>
              </w:rPr>
            </w:pPr>
          </w:p>
        </w:tc>
        <w:tc>
          <w:tcPr>
            <w:tcW w:w="1131" w:type="dxa"/>
            <w:shd w:val="clear" w:color="auto" w:fill="auto"/>
            <w:vAlign w:val="bottom"/>
          </w:tcPr>
          <w:p w14:paraId="1CAAD324" w14:textId="77777777" w:rsidR="00DE3D9F" w:rsidRPr="009110F6" w:rsidRDefault="00DE3D9F" w:rsidP="003B756C">
            <w:pPr>
              <w:spacing w:after="40" w:line="360" w:lineRule="exact"/>
              <w:ind w:left="57" w:right="57"/>
              <w:textDirection w:val="tbRlV"/>
              <w:rPr>
                <w:rFonts w:ascii="Simplified Arabic" w:hAnsi="Simplified Arabic"/>
                <w:spacing w:val="-4"/>
                <w:szCs w:val="20"/>
                <w:lang w:eastAsia="zh-TW" w:bidi="en-GB"/>
              </w:rPr>
            </w:pPr>
            <w:r w:rsidRPr="009110F6">
              <w:rPr>
                <w:rFonts w:ascii="Simplified Arabic" w:hAnsi="Simplified Arabic"/>
                <w:spacing w:val="-4"/>
                <w:szCs w:val="20"/>
                <w:rtl/>
              </w:rPr>
              <w:t>السكن العام والمجتمع المحلي</w:t>
            </w:r>
          </w:p>
        </w:tc>
        <w:tc>
          <w:tcPr>
            <w:tcW w:w="1075" w:type="dxa"/>
            <w:shd w:val="clear" w:color="auto" w:fill="auto"/>
            <w:vAlign w:val="bottom"/>
          </w:tcPr>
          <w:p w14:paraId="6072CA31"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423</w:t>
            </w:r>
            <w:r w:rsidRPr="00E90634">
              <w:rPr>
                <w:rFonts w:ascii="Simplified Arabic" w:hAnsi="Simplified Arabic"/>
                <w:szCs w:val="20"/>
                <w:rtl/>
              </w:rPr>
              <w:t xml:space="preserve"> </w:t>
            </w:r>
            <w:r w:rsidRPr="00AF3116">
              <w:rPr>
                <w:rFonts w:ascii="Simplified Arabic" w:hAnsi="Simplified Arabic"/>
                <w:szCs w:val="20"/>
                <w:rtl/>
              </w:rPr>
              <w:t>72</w:t>
            </w:r>
          </w:p>
        </w:tc>
        <w:tc>
          <w:tcPr>
            <w:tcW w:w="812" w:type="dxa"/>
            <w:shd w:val="clear" w:color="auto" w:fill="auto"/>
            <w:vAlign w:val="bottom"/>
          </w:tcPr>
          <w:p w14:paraId="2EC3A9E5"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3</w:t>
            </w:r>
            <w:r w:rsidRPr="00E90634">
              <w:rPr>
                <w:rFonts w:ascii="Simplified Arabic" w:hAnsi="Simplified Arabic"/>
                <w:szCs w:val="20"/>
                <w:rtl/>
              </w:rPr>
              <w:t>,</w:t>
            </w:r>
            <w:r w:rsidRPr="00AF3116">
              <w:rPr>
                <w:rFonts w:ascii="Simplified Arabic" w:hAnsi="Simplified Arabic"/>
                <w:szCs w:val="20"/>
                <w:rtl/>
              </w:rPr>
              <w:t>58</w:t>
            </w:r>
          </w:p>
        </w:tc>
        <w:tc>
          <w:tcPr>
            <w:tcW w:w="1022" w:type="dxa"/>
            <w:shd w:val="clear" w:color="auto" w:fill="auto"/>
            <w:vAlign w:val="bottom"/>
          </w:tcPr>
          <w:p w14:paraId="235985D8"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rtl/>
                <w:lang w:val="ar-SA" w:eastAsia="zh-TW"/>
              </w:rPr>
            </w:pPr>
            <w:r w:rsidRPr="00AF3116">
              <w:rPr>
                <w:rFonts w:ascii="Simplified Arabic" w:hAnsi="Simplified Arabic"/>
                <w:szCs w:val="20"/>
                <w:rtl/>
              </w:rPr>
              <w:t>929</w:t>
            </w:r>
            <w:r w:rsidRPr="00E90634">
              <w:rPr>
                <w:rFonts w:ascii="Simplified Arabic" w:hAnsi="Simplified Arabic"/>
                <w:szCs w:val="20"/>
                <w:rtl/>
              </w:rPr>
              <w:t xml:space="preserve"> </w:t>
            </w:r>
            <w:r w:rsidRPr="00AF3116">
              <w:rPr>
                <w:rFonts w:ascii="Simplified Arabic" w:hAnsi="Simplified Arabic"/>
                <w:szCs w:val="20"/>
                <w:rtl/>
              </w:rPr>
              <w:t>70</w:t>
            </w:r>
          </w:p>
        </w:tc>
        <w:tc>
          <w:tcPr>
            <w:tcW w:w="898" w:type="dxa"/>
            <w:shd w:val="clear" w:color="auto" w:fill="auto"/>
            <w:vAlign w:val="bottom"/>
          </w:tcPr>
          <w:p w14:paraId="3C70662B"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3</w:t>
            </w:r>
            <w:r w:rsidRPr="00E90634">
              <w:rPr>
                <w:rFonts w:ascii="Simplified Arabic" w:hAnsi="Simplified Arabic"/>
                <w:szCs w:val="20"/>
                <w:rtl/>
              </w:rPr>
              <w:t>,</w:t>
            </w:r>
            <w:r w:rsidRPr="00AF3116">
              <w:rPr>
                <w:rFonts w:ascii="Simplified Arabic" w:hAnsi="Simplified Arabic"/>
                <w:szCs w:val="20"/>
                <w:rtl/>
              </w:rPr>
              <w:t>32</w:t>
            </w:r>
          </w:p>
        </w:tc>
      </w:tr>
      <w:tr w:rsidR="00DE3D9F" w:rsidRPr="00E90634" w14:paraId="0FF1C7EE" w14:textId="77777777" w:rsidTr="003B756C">
        <w:tc>
          <w:tcPr>
            <w:tcW w:w="2432" w:type="dxa"/>
            <w:vMerge/>
            <w:shd w:val="clear" w:color="auto" w:fill="auto"/>
          </w:tcPr>
          <w:p w14:paraId="5580B02E" w14:textId="77777777" w:rsidR="00DE3D9F" w:rsidRPr="00E90634" w:rsidRDefault="00DE3D9F" w:rsidP="003B756C">
            <w:pPr>
              <w:spacing w:before="40" w:after="40" w:line="360" w:lineRule="exact"/>
              <w:ind w:left="57" w:right="57"/>
              <w:jc w:val="left"/>
              <w:rPr>
                <w:rFonts w:ascii="Simplified Arabic" w:hAnsi="Simplified Arabic"/>
                <w:szCs w:val="20"/>
              </w:rPr>
            </w:pPr>
          </w:p>
        </w:tc>
        <w:tc>
          <w:tcPr>
            <w:tcW w:w="1131" w:type="dxa"/>
            <w:shd w:val="clear" w:color="auto" w:fill="auto"/>
            <w:vAlign w:val="bottom"/>
          </w:tcPr>
          <w:p w14:paraId="44F3B30C" w14:textId="77777777" w:rsidR="00DE3D9F" w:rsidRPr="00E90634" w:rsidRDefault="00DE3D9F" w:rsidP="003B756C">
            <w:pPr>
              <w:spacing w:after="40" w:line="36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الصحة العامة</w:t>
            </w:r>
          </w:p>
        </w:tc>
        <w:tc>
          <w:tcPr>
            <w:tcW w:w="1075" w:type="dxa"/>
            <w:shd w:val="clear" w:color="auto" w:fill="auto"/>
            <w:vAlign w:val="bottom"/>
          </w:tcPr>
          <w:p w14:paraId="5428A122"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207</w:t>
            </w:r>
            <w:r w:rsidRPr="00E90634">
              <w:rPr>
                <w:rFonts w:ascii="Simplified Arabic" w:hAnsi="Simplified Arabic"/>
                <w:szCs w:val="20"/>
                <w:rtl/>
              </w:rPr>
              <w:t xml:space="preserve"> </w:t>
            </w:r>
            <w:r w:rsidRPr="00AF3116">
              <w:rPr>
                <w:rFonts w:ascii="Simplified Arabic" w:hAnsi="Simplified Arabic"/>
                <w:szCs w:val="20"/>
                <w:rtl/>
              </w:rPr>
              <w:t>295</w:t>
            </w:r>
          </w:p>
        </w:tc>
        <w:tc>
          <w:tcPr>
            <w:tcW w:w="812" w:type="dxa"/>
            <w:shd w:val="clear" w:color="auto" w:fill="auto"/>
            <w:vAlign w:val="bottom"/>
          </w:tcPr>
          <w:p w14:paraId="35BA8406"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14</w:t>
            </w:r>
            <w:r w:rsidRPr="00E90634">
              <w:rPr>
                <w:rFonts w:ascii="Simplified Arabic" w:hAnsi="Simplified Arabic"/>
                <w:szCs w:val="20"/>
                <w:rtl/>
              </w:rPr>
              <w:t>,</w:t>
            </w:r>
            <w:r w:rsidRPr="00AF3116">
              <w:rPr>
                <w:rFonts w:ascii="Simplified Arabic" w:hAnsi="Simplified Arabic"/>
                <w:szCs w:val="20"/>
                <w:rtl/>
              </w:rPr>
              <w:t>59</w:t>
            </w:r>
          </w:p>
        </w:tc>
        <w:tc>
          <w:tcPr>
            <w:tcW w:w="1022" w:type="dxa"/>
            <w:shd w:val="clear" w:color="auto" w:fill="auto"/>
            <w:vAlign w:val="bottom"/>
          </w:tcPr>
          <w:p w14:paraId="4F679885"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169</w:t>
            </w:r>
            <w:r w:rsidRPr="00E90634">
              <w:rPr>
                <w:rFonts w:ascii="Simplified Arabic" w:hAnsi="Simplified Arabic"/>
                <w:szCs w:val="20"/>
                <w:rtl/>
              </w:rPr>
              <w:t xml:space="preserve"> </w:t>
            </w:r>
            <w:r w:rsidRPr="00AF3116">
              <w:rPr>
                <w:rFonts w:ascii="Simplified Arabic" w:hAnsi="Simplified Arabic"/>
                <w:szCs w:val="20"/>
                <w:rtl/>
              </w:rPr>
              <w:t>304</w:t>
            </w:r>
          </w:p>
        </w:tc>
        <w:tc>
          <w:tcPr>
            <w:tcW w:w="898" w:type="dxa"/>
            <w:shd w:val="clear" w:color="auto" w:fill="auto"/>
            <w:vAlign w:val="bottom"/>
          </w:tcPr>
          <w:p w14:paraId="545304F3"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14</w:t>
            </w:r>
            <w:r w:rsidRPr="00E90634">
              <w:rPr>
                <w:rFonts w:ascii="Simplified Arabic" w:hAnsi="Simplified Arabic"/>
                <w:szCs w:val="20"/>
                <w:rtl/>
              </w:rPr>
              <w:t>,</w:t>
            </w:r>
            <w:r w:rsidRPr="00AF3116">
              <w:rPr>
                <w:rFonts w:ascii="Simplified Arabic" w:hAnsi="Simplified Arabic"/>
                <w:szCs w:val="20"/>
                <w:rtl/>
              </w:rPr>
              <w:t>27</w:t>
            </w:r>
          </w:p>
        </w:tc>
      </w:tr>
      <w:tr w:rsidR="00DE3D9F" w:rsidRPr="00E90634" w14:paraId="7B8110A3" w14:textId="77777777" w:rsidTr="003B756C">
        <w:tc>
          <w:tcPr>
            <w:tcW w:w="2432" w:type="dxa"/>
            <w:vMerge/>
            <w:shd w:val="clear" w:color="auto" w:fill="auto"/>
          </w:tcPr>
          <w:p w14:paraId="498FAD48" w14:textId="77777777" w:rsidR="00DE3D9F" w:rsidRPr="00E90634" w:rsidRDefault="00DE3D9F" w:rsidP="003B756C">
            <w:pPr>
              <w:spacing w:before="40" w:after="40" w:line="360" w:lineRule="exact"/>
              <w:ind w:left="57" w:right="57"/>
              <w:jc w:val="left"/>
              <w:rPr>
                <w:rFonts w:ascii="Simplified Arabic" w:hAnsi="Simplified Arabic"/>
                <w:szCs w:val="20"/>
              </w:rPr>
            </w:pPr>
          </w:p>
        </w:tc>
        <w:tc>
          <w:tcPr>
            <w:tcW w:w="1131" w:type="dxa"/>
            <w:shd w:val="clear" w:color="auto" w:fill="auto"/>
            <w:vAlign w:val="bottom"/>
          </w:tcPr>
          <w:p w14:paraId="27F7895C"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التعليم</w:t>
            </w:r>
          </w:p>
        </w:tc>
        <w:tc>
          <w:tcPr>
            <w:tcW w:w="1075" w:type="dxa"/>
            <w:shd w:val="clear" w:color="auto" w:fill="auto"/>
            <w:vAlign w:val="bottom"/>
          </w:tcPr>
          <w:p w14:paraId="5E5D5EF8"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059</w:t>
            </w:r>
            <w:r w:rsidRPr="00E90634">
              <w:rPr>
                <w:rFonts w:ascii="Simplified Arabic" w:hAnsi="Simplified Arabic"/>
                <w:szCs w:val="20"/>
                <w:rtl/>
              </w:rPr>
              <w:t xml:space="preserve"> </w:t>
            </w:r>
            <w:r w:rsidRPr="00AF3116">
              <w:rPr>
                <w:rFonts w:ascii="Simplified Arabic" w:hAnsi="Simplified Arabic"/>
                <w:szCs w:val="20"/>
                <w:rtl/>
              </w:rPr>
              <w:t>534</w:t>
            </w:r>
          </w:p>
        </w:tc>
        <w:tc>
          <w:tcPr>
            <w:tcW w:w="812" w:type="dxa"/>
            <w:shd w:val="clear" w:color="auto" w:fill="auto"/>
            <w:vAlign w:val="bottom"/>
          </w:tcPr>
          <w:p w14:paraId="3F11340C"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eastAsia="zh-TW" w:bidi="en-GB"/>
              </w:rPr>
            </w:pPr>
            <w:r w:rsidRPr="00AF3116">
              <w:rPr>
                <w:rFonts w:ascii="Simplified Arabic" w:hAnsi="Simplified Arabic"/>
                <w:szCs w:val="20"/>
                <w:rtl/>
              </w:rPr>
              <w:t>26</w:t>
            </w:r>
            <w:r w:rsidRPr="00E90634">
              <w:rPr>
                <w:rFonts w:ascii="Simplified Arabic" w:hAnsi="Simplified Arabic"/>
                <w:szCs w:val="20"/>
                <w:rtl/>
              </w:rPr>
              <w:t>,</w:t>
            </w:r>
            <w:r w:rsidRPr="00AF3116">
              <w:rPr>
                <w:rFonts w:ascii="Simplified Arabic" w:hAnsi="Simplified Arabic"/>
                <w:szCs w:val="20"/>
                <w:rtl/>
              </w:rPr>
              <w:t>39</w:t>
            </w:r>
          </w:p>
        </w:tc>
        <w:tc>
          <w:tcPr>
            <w:tcW w:w="1022" w:type="dxa"/>
            <w:shd w:val="clear" w:color="auto" w:fill="auto"/>
            <w:vAlign w:val="bottom"/>
          </w:tcPr>
          <w:p w14:paraId="1206960A"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eastAsia="zh-TW" w:bidi="en-GB"/>
              </w:rPr>
            </w:pPr>
            <w:r w:rsidRPr="00AF3116">
              <w:rPr>
                <w:rFonts w:ascii="Simplified Arabic" w:hAnsi="Simplified Arabic"/>
                <w:szCs w:val="20"/>
                <w:rtl/>
              </w:rPr>
              <w:t>132</w:t>
            </w:r>
            <w:r w:rsidRPr="00E90634">
              <w:rPr>
                <w:rFonts w:ascii="Simplified Arabic" w:hAnsi="Simplified Arabic"/>
                <w:szCs w:val="20"/>
                <w:rtl/>
              </w:rPr>
              <w:t xml:space="preserve"> </w:t>
            </w:r>
            <w:r w:rsidRPr="00AF3116">
              <w:rPr>
                <w:rFonts w:ascii="Simplified Arabic" w:hAnsi="Simplified Arabic"/>
                <w:szCs w:val="20"/>
                <w:rtl/>
              </w:rPr>
              <w:t>521</w:t>
            </w:r>
          </w:p>
        </w:tc>
        <w:tc>
          <w:tcPr>
            <w:tcW w:w="898" w:type="dxa"/>
            <w:shd w:val="clear" w:color="auto" w:fill="auto"/>
            <w:vAlign w:val="bottom"/>
          </w:tcPr>
          <w:p w14:paraId="21B6C3C5" w14:textId="77777777" w:rsidR="00DE3D9F" w:rsidRPr="00E90634" w:rsidRDefault="00DE3D9F" w:rsidP="003B756C">
            <w:pPr>
              <w:spacing w:before="40" w:after="40" w:line="360" w:lineRule="exact"/>
              <w:ind w:left="57" w:right="57"/>
              <w:jc w:val="both"/>
              <w:textDirection w:val="tbRlV"/>
              <w:rPr>
                <w:rFonts w:ascii="Simplified Arabic" w:hAnsi="Simplified Arabic"/>
                <w:szCs w:val="20"/>
                <w:lang w:val="ar-SA" w:eastAsia="zh-TW" w:bidi="en-GB"/>
              </w:rPr>
            </w:pPr>
            <w:r w:rsidRPr="00AF3116">
              <w:rPr>
                <w:rFonts w:ascii="Simplified Arabic" w:hAnsi="Simplified Arabic"/>
                <w:szCs w:val="20"/>
                <w:rtl/>
              </w:rPr>
              <w:t>24</w:t>
            </w:r>
            <w:r w:rsidRPr="00E90634">
              <w:rPr>
                <w:rFonts w:ascii="Simplified Arabic" w:hAnsi="Simplified Arabic"/>
                <w:szCs w:val="20"/>
                <w:rtl/>
              </w:rPr>
              <w:t>,</w:t>
            </w:r>
            <w:r w:rsidRPr="00AF3116">
              <w:rPr>
                <w:rFonts w:ascii="Simplified Arabic" w:hAnsi="Simplified Arabic"/>
                <w:szCs w:val="20"/>
                <w:rtl/>
              </w:rPr>
              <w:t>46</w:t>
            </w:r>
          </w:p>
        </w:tc>
      </w:tr>
      <w:tr w:rsidR="00DE3D9F" w:rsidRPr="00E90634" w14:paraId="029A636A" w14:textId="77777777" w:rsidTr="003B756C">
        <w:tc>
          <w:tcPr>
            <w:tcW w:w="2432" w:type="dxa"/>
            <w:vMerge w:val="restart"/>
            <w:shd w:val="clear" w:color="auto" w:fill="auto"/>
          </w:tcPr>
          <w:p w14:paraId="216846A3" w14:textId="69CA6753" w:rsidR="00DE3D9F" w:rsidRPr="00E90634"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الدين العام الخارجي والمحلي (بملايين</w:t>
            </w:r>
            <w:r w:rsidR="00DA075B" w:rsidRPr="00E90634">
              <w:rPr>
                <w:rFonts w:ascii="Simplified Arabic" w:hAnsi="Simplified Arabic" w:hint="cs"/>
                <w:szCs w:val="20"/>
                <w:rtl/>
              </w:rPr>
              <w:t> </w:t>
            </w:r>
            <w:r w:rsidRPr="00E90634">
              <w:rPr>
                <w:rFonts w:ascii="Simplified Arabic" w:hAnsi="Simplified Arabic"/>
                <w:szCs w:val="20"/>
                <w:rtl/>
              </w:rPr>
              <w:t>الباتات)</w:t>
            </w:r>
          </w:p>
        </w:tc>
        <w:tc>
          <w:tcPr>
            <w:tcW w:w="2206" w:type="dxa"/>
            <w:gridSpan w:val="2"/>
            <w:shd w:val="clear" w:color="auto" w:fill="auto"/>
            <w:vAlign w:val="bottom"/>
          </w:tcPr>
          <w:p w14:paraId="386A93C9" w14:textId="77777777" w:rsidR="00DE3D9F" w:rsidRPr="006274B2" w:rsidRDefault="00DE3D9F" w:rsidP="003B756C">
            <w:pPr>
              <w:spacing w:before="40" w:after="40" w:line="360" w:lineRule="exact"/>
              <w:ind w:left="57" w:right="57"/>
              <w:jc w:val="left"/>
              <w:textDirection w:val="tbRlV"/>
              <w:rPr>
                <w:rFonts w:ascii="Simplified Arabic" w:hAnsi="Simplified Arabic"/>
                <w:spacing w:val="-4"/>
                <w:szCs w:val="20"/>
                <w:lang w:eastAsia="zh-TW" w:bidi="en-GB"/>
              </w:rPr>
            </w:pPr>
            <w:r w:rsidRPr="006274B2">
              <w:rPr>
                <w:rFonts w:ascii="Simplified Arabic" w:hAnsi="Simplified Arabic"/>
                <w:spacing w:val="-4"/>
                <w:szCs w:val="20"/>
                <w:rtl/>
              </w:rPr>
              <w:t>الدين العام الخارجي</w:t>
            </w:r>
          </w:p>
        </w:tc>
        <w:tc>
          <w:tcPr>
            <w:tcW w:w="2732" w:type="dxa"/>
            <w:gridSpan w:val="3"/>
            <w:shd w:val="clear" w:color="auto" w:fill="auto"/>
            <w:vAlign w:val="bottom"/>
          </w:tcPr>
          <w:p w14:paraId="6BB4652D" w14:textId="70D14AA6" w:rsidR="00DE3D9F" w:rsidRPr="00E90634"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AF3116">
              <w:rPr>
                <w:rFonts w:ascii="Simplified Arabic" w:hAnsi="Simplified Arabic"/>
                <w:szCs w:val="20"/>
                <w:rtl/>
              </w:rPr>
              <w:t>596</w:t>
            </w:r>
            <w:r w:rsidRPr="00E90634">
              <w:rPr>
                <w:rFonts w:ascii="Simplified Arabic" w:hAnsi="Simplified Arabic"/>
                <w:szCs w:val="20"/>
                <w:rtl/>
              </w:rPr>
              <w:t>,</w:t>
            </w:r>
            <w:r w:rsidRPr="00AF3116">
              <w:rPr>
                <w:rFonts w:ascii="Simplified Arabic" w:hAnsi="Simplified Arabic"/>
                <w:szCs w:val="20"/>
                <w:rtl/>
              </w:rPr>
              <w:t>51</w:t>
            </w:r>
            <w:r w:rsidRPr="00E90634">
              <w:rPr>
                <w:rFonts w:ascii="Simplified Arabic" w:hAnsi="Simplified Arabic"/>
                <w:szCs w:val="20"/>
                <w:rtl/>
              </w:rPr>
              <w:t xml:space="preserve"> </w:t>
            </w:r>
            <w:r w:rsidRPr="00AF3116">
              <w:rPr>
                <w:rFonts w:ascii="Simplified Arabic" w:hAnsi="Simplified Arabic"/>
                <w:szCs w:val="20"/>
                <w:rtl/>
              </w:rPr>
              <w:t>227</w:t>
            </w:r>
            <w:r w:rsidRPr="00E90634">
              <w:rPr>
                <w:rFonts w:ascii="Simplified Arabic" w:hAnsi="Simplified Arabic"/>
                <w:szCs w:val="20"/>
                <w:rtl/>
              </w:rPr>
              <w:t xml:space="preserve"> (</w:t>
            </w:r>
            <w:r w:rsidRPr="00AF3116">
              <w:rPr>
                <w:rFonts w:ascii="Simplified Arabic" w:hAnsi="Simplified Arabic"/>
                <w:szCs w:val="20"/>
                <w:rtl/>
              </w:rPr>
              <w:t>141</w:t>
            </w:r>
            <w:r w:rsidRPr="00E90634">
              <w:rPr>
                <w:rFonts w:ascii="Simplified Arabic" w:hAnsi="Simplified Arabic"/>
                <w:szCs w:val="20"/>
                <w:rtl/>
              </w:rPr>
              <w:t>,</w:t>
            </w:r>
            <w:r w:rsidRPr="00AF3116">
              <w:rPr>
                <w:rFonts w:ascii="Simplified Arabic" w:hAnsi="Simplified Arabic"/>
                <w:szCs w:val="20"/>
                <w:rtl/>
              </w:rPr>
              <w:t>4</w:t>
            </w:r>
            <w:r w:rsidRPr="00E90634">
              <w:rPr>
                <w:rFonts w:ascii="Simplified Arabic" w:hAnsi="Simplified Arabic"/>
                <w:szCs w:val="20"/>
                <w:rtl/>
              </w:rPr>
              <w:t xml:space="preserve"> </w:t>
            </w:r>
            <w:r w:rsidRPr="00AF3116">
              <w:rPr>
                <w:rFonts w:ascii="Simplified Arabic" w:hAnsi="Simplified Arabic"/>
                <w:szCs w:val="20"/>
                <w:rtl/>
              </w:rPr>
              <w:t>7</w:t>
            </w:r>
            <w:r w:rsidRPr="00E90634">
              <w:rPr>
                <w:rFonts w:ascii="Simplified Arabic" w:hAnsi="Simplified Arabic"/>
                <w:szCs w:val="20"/>
                <w:rtl/>
              </w:rPr>
              <w:t xml:space="preserve"> دولارا</w:t>
            </w:r>
            <w:r w:rsidR="00DA075B" w:rsidRPr="00E90634">
              <w:rPr>
                <w:rFonts w:ascii="Simplified Arabic" w:hAnsi="Simplified Arabic" w:hint="cs"/>
                <w:szCs w:val="20"/>
                <w:rtl/>
              </w:rPr>
              <w:t>ً</w:t>
            </w:r>
            <w:r w:rsidRPr="00E90634">
              <w:rPr>
                <w:rFonts w:ascii="Simplified Arabic" w:hAnsi="Simplified Arabic"/>
                <w:szCs w:val="20"/>
                <w:rtl/>
              </w:rPr>
              <w:t>)</w:t>
            </w:r>
          </w:p>
        </w:tc>
      </w:tr>
      <w:tr w:rsidR="00DE3D9F" w:rsidRPr="00E90634" w14:paraId="28647A68" w14:textId="77777777" w:rsidTr="003B756C">
        <w:tc>
          <w:tcPr>
            <w:tcW w:w="2432" w:type="dxa"/>
            <w:vMerge/>
            <w:shd w:val="clear" w:color="auto" w:fill="auto"/>
          </w:tcPr>
          <w:p w14:paraId="77E49AEB" w14:textId="77777777" w:rsidR="00DE3D9F" w:rsidRPr="00E90634" w:rsidRDefault="00DE3D9F" w:rsidP="003B756C">
            <w:pPr>
              <w:spacing w:before="40" w:after="40" w:line="360" w:lineRule="exact"/>
              <w:ind w:left="57" w:right="57"/>
              <w:jc w:val="left"/>
              <w:rPr>
                <w:rFonts w:ascii="Simplified Arabic" w:hAnsi="Simplified Arabic"/>
                <w:szCs w:val="20"/>
              </w:rPr>
            </w:pPr>
          </w:p>
        </w:tc>
        <w:tc>
          <w:tcPr>
            <w:tcW w:w="2206" w:type="dxa"/>
            <w:gridSpan w:val="2"/>
            <w:tcBorders>
              <w:bottom w:val="single" w:sz="4" w:space="0" w:color="auto"/>
            </w:tcBorders>
            <w:shd w:val="clear" w:color="auto" w:fill="auto"/>
            <w:vAlign w:val="bottom"/>
          </w:tcPr>
          <w:p w14:paraId="1818192B" w14:textId="77777777" w:rsidR="00DE3D9F" w:rsidRPr="00E90634" w:rsidRDefault="00DE3D9F" w:rsidP="003B756C">
            <w:pPr>
              <w:spacing w:before="40" w:after="40" w:line="36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الدين العام المحلي</w:t>
            </w:r>
          </w:p>
        </w:tc>
        <w:tc>
          <w:tcPr>
            <w:tcW w:w="2732" w:type="dxa"/>
            <w:gridSpan w:val="3"/>
            <w:tcBorders>
              <w:bottom w:val="single" w:sz="4" w:space="0" w:color="auto"/>
            </w:tcBorders>
            <w:shd w:val="clear" w:color="auto" w:fill="auto"/>
            <w:vAlign w:val="bottom"/>
          </w:tcPr>
          <w:p w14:paraId="6F8A5179" w14:textId="5C8B78F9" w:rsidR="00DE3D9F" w:rsidRPr="00E90634" w:rsidRDefault="00DE3D9F" w:rsidP="003B756C">
            <w:pPr>
              <w:spacing w:before="40" w:after="40" w:line="360" w:lineRule="exact"/>
              <w:ind w:left="57" w:right="57"/>
              <w:jc w:val="left"/>
              <w:textDirection w:val="tbRlV"/>
              <w:rPr>
                <w:rFonts w:ascii="Simplified Arabic" w:hAnsi="Simplified Arabic"/>
                <w:szCs w:val="20"/>
                <w:lang w:eastAsia="zh-TW" w:bidi="en-GB"/>
              </w:rPr>
            </w:pPr>
            <w:r w:rsidRPr="00AF3116">
              <w:rPr>
                <w:rFonts w:ascii="Simplified Arabic" w:hAnsi="Simplified Arabic"/>
                <w:szCs w:val="20"/>
                <w:rtl/>
              </w:rPr>
              <w:t>028</w:t>
            </w:r>
            <w:r w:rsidRPr="00E90634">
              <w:rPr>
                <w:rFonts w:ascii="Simplified Arabic" w:hAnsi="Simplified Arabic"/>
                <w:szCs w:val="20"/>
                <w:rtl/>
              </w:rPr>
              <w:t>,</w:t>
            </w:r>
            <w:r w:rsidRPr="00AF3116">
              <w:rPr>
                <w:rFonts w:ascii="Simplified Arabic" w:hAnsi="Simplified Arabic"/>
                <w:szCs w:val="20"/>
                <w:rtl/>
              </w:rPr>
              <w:t>95</w:t>
            </w:r>
            <w:r w:rsidRPr="00E90634">
              <w:rPr>
                <w:rFonts w:ascii="Simplified Arabic" w:hAnsi="Simplified Arabic"/>
                <w:szCs w:val="20"/>
                <w:rtl/>
              </w:rPr>
              <w:t xml:space="preserve"> </w:t>
            </w:r>
            <w:r w:rsidRPr="00AF3116">
              <w:rPr>
                <w:rFonts w:ascii="Simplified Arabic" w:hAnsi="Simplified Arabic"/>
                <w:szCs w:val="20"/>
                <w:rtl/>
              </w:rPr>
              <w:t>733</w:t>
            </w:r>
            <w:r w:rsidRPr="00E90634">
              <w:rPr>
                <w:rFonts w:ascii="Simplified Arabic" w:hAnsi="Simplified Arabic"/>
                <w:szCs w:val="20"/>
                <w:rtl/>
              </w:rPr>
              <w:t xml:space="preserve"> </w:t>
            </w:r>
            <w:r w:rsidRPr="00AF3116">
              <w:rPr>
                <w:rFonts w:ascii="Simplified Arabic" w:hAnsi="Simplified Arabic"/>
                <w:szCs w:val="20"/>
                <w:rtl/>
              </w:rPr>
              <w:t>6</w:t>
            </w:r>
            <w:r w:rsidR="003C7406" w:rsidRPr="00E90634">
              <w:rPr>
                <w:rFonts w:ascii="Simplified Arabic" w:hAnsi="Simplified Arabic"/>
                <w:szCs w:val="20"/>
                <w:rtl/>
              </w:rPr>
              <w:br/>
            </w:r>
            <w:r w:rsidRPr="00E90634">
              <w:rPr>
                <w:rFonts w:ascii="Simplified Arabic" w:hAnsi="Simplified Arabic"/>
                <w:szCs w:val="20"/>
                <w:rtl/>
              </w:rPr>
              <w:t>(</w:t>
            </w:r>
            <w:r w:rsidRPr="00AF3116">
              <w:rPr>
                <w:rFonts w:ascii="Simplified Arabic" w:hAnsi="Simplified Arabic"/>
                <w:szCs w:val="20"/>
                <w:rtl/>
              </w:rPr>
              <w:t>265</w:t>
            </w:r>
            <w:r w:rsidRPr="00E90634">
              <w:rPr>
                <w:rFonts w:ascii="Simplified Arabic" w:hAnsi="Simplified Arabic"/>
                <w:szCs w:val="20"/>
                <w:rtl/>
              </w:rPr>
              <w:t>,</w:t>
            </w:r>
            <w:r w:rsidRPr="00AF3116">
              <w:rPr>
                <w:rFonts w:ascii="Simplified Arabic" w:hAnsi="Simplified Arabic"/>
                <w:szCs w:val="20"/>
                <w:rtl/>
              </w:rPr>
              <w:t>42</w:t>
            </w:r>
            <w:r w:rsidRPr="00E90634">
              <w:rPr>
                <w:rFonts w:ascii="Simplified Arabic" w:hAnsi="Simplified Arabic"/>
                <w:szCs w:val="20"/>
                <w:rtl/>
              </w:rPr>
              <w:t xml:space="preserve"> </w:t>
            </w:r>
            <w:r w:rsidRPr="00AF3116">
              <w:rPr>
                <w:rFonts w:ascii="Simplified Arabic" w:hAnsi="Simplified Arabic"/>
                <w:szCs w:val="20"/>
                <w:rtl/>
              </w:rPr>
              <w:t>211</w:t>
            </w:r>
            <w:r w:rsidRPr="00E90634">
              <w:rPr>
                <w:rFonts w:ascii="Simplified Arabic" w:hAnsi="Simplified Arabic"/>
                <w:szCs w:val="20"/>
                <w:rtl/>
              </w:rPr>
              <w:t xml:space="preserve"> دولاراً أمريكياً)</w:t>
            </w:r>
          </w:p>
        </w:tc>
      </w:tr>
      <w:tr w:rsidR="00DE3D9F" w:rsidRPr="00E90634" w14:paraId="3C36455D" w14:textId="77777777" w:rsidTr="003B756C">
        <w:tc>
          <w:tcPr>
            <w:tcW w:w="2432" w:type="dxa"/>
            <w:vMerge/>
            <w:shd w:val="clear" w:color="auto" w:fill="auto"/>
          </w:tcPr>
          <w:p w14:paraId="31B8AD8A" w14:textId="77777777" w:rsidR="00DE3D9F" w:rsidRPr="00E90634" w:rsidRDefault="00DE3D9F" w:rsidP="003B756C">
            <w:pPr>
              <w:spacing w:before="40" w:after="40" w:line="360" w:lineRule="exact"/>
              <w:ind w:left="57" w:right="57"/>
              <w:jc w:val="left"/>
              <w:rPr>
                <w:rFonts w:ascii="Simplified Arabic" w:hAnsi="Simplified Arabic"/>
                <w:szCs w:val="20"/>
              </w:rPr>
            </w:pPr>
          </w:p>
        </w:tc>
        <w:tc>
          <w:tcPr>
            <w:tcW w:w="2206" w:type="dxa"/>
            <w:gridSpan w:val="2"/>
            <w:tcBorders>
              <w:top w:val="single" w:sz="4" w:space="0" w:color="auto"/>
              <w:bottom w:val="single" w:sz="12" w:space="0" w:color="auto"/>
            </w:tcBorders>
            <w:shd w:val="clear" w:color="auto" w:fill="auto"/>
            <w:vAlign w:val="bottom"/>
          </w:tcPr>
          <w:p w14:paraId="14E66519" w14:textId="77777777" w:rsidR="00DE3D9F" w:rsidRPr="00E90634" w:rsidRDefault="00DE3D9F" w:rsidP="003B756C">
            <w:pPr>
              <w:spacing w:before="40" w:after="40" w:line="360" w:lineRule="exact"/>
              <w:ind w:left="57" w:right="57"/>
              <w:jc w:val="left"/>
              <w:textDirection w:val="tbRlV"/>
              <w:rPr>
                <w:rFonts w:ascii="Simplified Arabic" w:hAnsi="Simplified Arabic"/>
                <w:b/>
                <w:szCs w:val="20"/>
                <w:lang w:val="ar-SA" w:eastAsia="zh-TW" w:bidi="en-GB"/>
              </w:rPr>
            </w:pPr>
            <w:r w:rsidRPr="00AF3116">
              <w:rPr>
                <w:rFonts w:ascii="Simplified Arabic" w:hAnsi="Simplified Arabic"/>
                <w:b/>
                <w:bCs/>
                <w:szCs w:val="20"/>
                <w:rtl/>
              </w:rPr>
              <w:t>المجموع</w:t>
            </w:r>
          </w:p>
        </w:tc>
        <w:tc>
          <w:tcPr>
            <w:tcW w:w="2732" w:type="dxa"/>
            <w:gridSpan w:val="3"/>
            <w:tcBorders>
              <w:top w:val="single" w:sz="4" w:space="0" w:color="auto"/>
              <w:bottom w:val="single" w:sz="12" w:space="0" w:color="auto"/>
            </w:tcBorders>
            <w:shd w:val="clear" w:color="auto" w:fill="auto"/>
            <w:vAlign w:val="bottom"/>
          </w:tcPr>
          <w:p w14:paraId="65C11B04" w14:textId="3C635B2C" w:rsidR="00DE3D9F" w:rsidRPr="00AF3116" w:rsidRDefault="00DE3D9F" w:rsidP="003B756C">
            <w:pPr>
              <w:spacing w:before="40" w:after="40" w:line="360" w:lineRule="exact"/>
              <w:ind w:left="57" w:right="57"/>
              <w:jc w:val="left"/>
              <w:textDirection w:val="tbRlV"/>
              <w:rPr>
                <w:rFonts w:ascii="Simplified Arabic" w:hAnsi="Simplified Arabic"/>
                <w:b/>
                <w:bCs/>
                <w:szCs w:val="20"/>
                <w:lang w:val="ar-SA" w:eastAsia="zh-TW" w:bidi="en-GB"/>
              </w:rPr>
            </w:pPr>
            <w:r w:rsidRPr="00AF3116">
              <w:rPr>
                <w:rFonts w:ascii="Simplified Arabic" w:hAnsi="Simplified Arabic"/>
                <w:b/>
                <w:bCs/>
                <w:szCs w:val="20"/>
                <w:rtl/>
              </w:rPr>
              <w:t xml:space="preserve">625,46 960 6 </w:t>
            </w:r>
            <w:r w:rsidR="003C7406" w:rsidRPr="00AF3116">
              <w:rPr>
                <w:rFonts w:ascii="Simplified Arabic" w:hAnsi="Simplified Arabic"/>
                <w:b/>
                <w:bCs/>
                <w:szCs w:val="20"/>
                <w:rtl/>
              </w:rPr>
              <w:br/>
            </w:r>
            <w:r w:rsidRPr="00AF3116">
              <w:rPr>
                <w:rFonts w:ascii="Simplified Arabic" w:hAnsi="Simplified Arabic"/>
                <w:b/>
                <w:bCs/>
                <w:szCs w:val="20"/>
                <w:rtl/>
              </w:rPr>
              <w:t>(406,82 218 دولارات أمريكية)</w:t>
            </w:r>
          </w:p>
        </w:tc>
      </w:tr>
    </w:tbl>
    <w:p w14:paraId="090FE39F" w14:textId="77777777" w:rsidR="00DE3D9F" w:rsidRPr="00AF3116" w:rsidRDefault="00DE3D9F" w:rsidP="00AD7242">
      <w:pPr>
        <w:pStyle w:val="H23GA"/>
        <w:rPr>
          <w:lang w:val="ar-SA" w:eastAsia="zh-TW" w:bidi="en-GB"/>
        </w:rPr>
      </w:pPr>
      <w:r w:rsidRPr="00AF3116">
        <w:rPr>
          <w:rtl/>
        </w:rPr>
        <w:lastRenderedPageBreak/>
        <w:tab/>
      </w:r>
      <w:r w:rsidRPr="00AF3116">
        <w:rPr>
          <w:rtl/>
        </w:rPr>
        <w:tab/>
        <w:t>العمالة</w:t>
      </w:r>
    </w:p>
    <w:p w14:paraId="419BEE47" w14:textId="77777777" w:rsidR="00DE3D9F" w:rsidRPr="001B6C67" w:rsidRDefault="00DE3D9F" w:rsidP="00DE3D9F">
      <w:pPr>
        <w:pStyle w:val="SingleTxtGA"/>
        <w:rPr>
          <w:lang w:val="ar-SA" w:eastAsia="zh-TW" w:bidi="en-GB"/>
        </w:rPr>
      </w:pPr>
      <w:r w:rsidRPr="00AF3116">
        <w:rPr>
          <w:rtl/>
        </w:rPr>
        <w:t>16</w:t>
      </w:r>
      <w:r w:rsidRPr="001B6C67">
        <w:rPr>
          <w:rtl/>
        </w:rPr>
        <w:t>-</w:t>
      </w:r>
      <w:r w:rsidRPr="001B6C67">
        <w:rPr>
          <w:rtl/>
        </w:rPr>
        <w:tab/>
        <w:t xml:space="preserve">بقي معدل البطالة منخفضاً في عام </w:t>
      </w:r>
      <w:r w:rsidRPr="00AF3116">
        <w:rPr>
          <w:rtl/>
        </w:rPr>
        <w:t>2019</w:t>
      </w:r>
      <w:r w:rsidRPr="001B6C67">
        <w:rPr>
          <w:rtl/>
        </w:rPr>
        <w:t xml:space="preserve"> عند </w:t>
      </w:r>
      <w:r w:rsidRPr="00AF3116">
        <w:rPr>
          <w:rtl/>
        </w:rPr>
        <w:t>0</w:t>
      </w:r>
      <w:r w:rsidRPr="001B6C67">
        <w:rPr>
          <w:rtl/>
        </w:rPr>
        <w:t>,</w:t>
      </w:r>
      <w:r w:rsidRPr="00AF3116">
        <w:rPr>
          <w:rtl/>
        </w:rPr>
        <w:t>99</w:t>
      </w:r>
      <w:r w:rsidRPr="001B6C67">
        <w:rPr>
          <w:rtl/>
        </w:rPr>
        <w:t xml:space="preserve"> في المائة، </w:t>
      </w:r>
      <w:r>
        <w:rPr>
          <w:rtl/>
        </w:rPr>
        <w:t xml:space="preserve">مما </w:t>
      </w:r>
      <w:r w:rsidRPr="001B6C67">
        <w:rPr>
          <w:rtl/>
        </w:rPr>
        <w:t xml:space="preserve">يمثل </w:t>
      </w:r>
      <w:r w:rsidRPr="00AF3116">
        <w:rPr>
          <w:rtl/>
        </w:rPr>
        <w:t>000</w:t>
      </w:r>
      <w:r w:rsidRPr="001B6C67">
        <w:rPr>
          <w:rtl/>
        </w:rPr>
        <w:t xml:space="preserve"> </w:t>
      </w:r>
      <w:r w:rsidRPr="00AF3116">
        <w:rPr>
          <w:rtl/>
        </w:rPr>
        <w:t>370</w:t>
      </w:r>
      <w:r w:rsidRPr="001B6C67">
        <w:rPr>
          <w:rtl/>
        </w:rPr>
        <w:t xml:space="preserve"> عاطل عن العمل. وزاد المتوسط العام للأجور ومتوسط الأجور في القطاع الخاص بنسبة </w:t>
      </w:r>
      <w:r w:rsidRPr="00AF3116">
        <w:rPr>
          <w:rtl/>
        </w:rPr>
        <w:t>2</w:t>
      </w:r>
      <w:r w:rsidRPr="001B6C67">
        <w:rPr>
          <w:rtl/>
        </w:rPr>
        <w:t>,</w:t>
      </w:r>
      <w:r w:rsidRPr="00AF3116">
        <w:rPr>
          <w:rtl/>
        </w:rPr>
        <w:t>3</w:t>
      </w:r>
      <w:r w:rsidRPr="001B6C67">
        <w:rPr>
          <w:rtl/>
        </w:rPr>
        <w:t xml:space="preserve"> و</w:t>
      </w:r>
      <w:r w:rsidRPr="00AF3116">
        <w:rPr>
          <w:rtl/>
        </w:rPr>
        <w:t>3</w:t>
      </w:r>
      <w:r w:rsidRPr="001B6C67">
        <w:rPr>
          <w:rtl/>
        </w:rPr>
        <w:t>,</w:t>
      </w:r>
      <w:r w:rsidRPr="00AF3116">
        <w:rPr>
          <w:rtl/>
        </w:rPr>
        <w:t>3</w:t>
      </w:r>
      <w:r w:rsidRPr="001B6C67">
        <w:rPr>
          <w:rtl/>
        </w:rPr>
        <w:t xml:space="preserve"> في المائة على التوالي. وزادت إنتاجية العمل بنسبة </w:t>
      </w:r>
      <w:r w:rsidRPr="00AF3116">
        <w:rPr>
          <w:rtl/>
        </w:rPr>
        <w:t>3</w:t>
      </w:r>
      <w:r w:rsidRPr="001B6C67">
        <w:rPr>
          <w:rtl/>
        </w:rPr>
        <w:t>,</w:t>
      </w:r>
      <w:r w:rsidRPr="00AF3116">
        <w:rPr>
          <w:rtl/>
        </w:rPr>
        <w:t>1</w:t>
      </w:r>
      <w:r w:rsidRPr="001B6C67">
        <w:rPr>
          <w:rtl/>
        </w:rPr>
        <w:t xml:space="preserve"> في المائة مقارنة بالعام السابق. </w:t>
      </w:r>
    </w:p>
    <w:p w14:paraId="1610F762" w14:textId="77777777" w:rsidR="00DE3D9F" w:rsidRPr="001B6C67" w:rsidRDefault="00DE3D9F" w:rsidP="00DE3D9F">
      <w:pPr>
        <w:pStyle w:val="SingleTxtGA"/>
        <w:rPr>
          <w:lang w:val="ar-SA" w:eastAsia="zh-TW" w:bidi="en-GB"/>
        </w:rPr>
      </w:pPr>
      <w:r w:rsidRPr="00AF3116">
        <w:rPr>
          <w:rtl/>
        </w:rPr>
        <w:t>17</w:t>
      </w:r>
      <w:r w:rsidRPr="001B6C67">
        <w:rPr>
          <w:rtl/>
        </w:rPr>
        <w:t>-</w:t>
      </w:r>
      <w:r w:rsidRPr="001B6C67">
        <w:rPr>
          <w:rtl/>
        </w:rPr>
        <w:tab/>
        <w:t xml:space="preserve">وظلت العمالة في قطاع الخدمات تتزايد في عام </w:t>
      </w:r>
      <w:r w:rsidRPr="00AF3116">
        <w:rPr>
          <w:rtl/>
        </w:rPr>
        <w:t>2019</w:t>
      </w:r>
      <w:r w:rsidRPr="001B6C67">
        <w:rPr>
          <w:rtl/>
        </w:rPr>
        <w:t>، لا سيما في قطاع الفنادق/المطاعم (</w:t>
      </w:r>
      <w:r w:rsidRPr="00AF3116">
        <w:rPr>
          <w:rtl/>
        </w:rPr>
        <w:t>0</w:t>
      </w:r>
      <w:r w:rsidRPr="001B6C67">
        <w:rPr>
          <w:rtl/>
        </w:rPr>
        <w:t>,</w:t>
      </w:r>
      <w:r w:rsidRPr="00AF3116">
        <w:rPr>
          <w:rtl/>
        </w:rPr>
        <w:t>8</w:t>
      </w:r>
      <w:r w:rsidRPr="001B6C67">
        <w:rPr>
          <w:rtl/>
        </w:rPr>
        <w:t xml:space="preserve"> في المائة). وبالإضافة إلى ذلك، ظلت العمالة في قطاع</w:t>
      </w:r>
      <w:r>
        <w:rPr>
          <w:rtl/>
        </w:rPr>
        <w:t>ي</w:t>
      </w:r>
      <w:r w:rsidRPr="001B6C67">
        <w:rPr>
          <w:rtl/>
        </w:rPr>
        <w:t xml:space="preserve"> البناء والنقل تتزايد بنسبة </w:t>
      </w:r>
      <w:r w:rsidRPr="00AF3116">
        <w:rPr>
          <w:rtl/>
        </w:rPr>
        <w:t>3</w:t>
      </w:r>
      <w:r w:rsidRPr="001B6C67">
        <w:rPr>
          <w:rtl/>
        </w:rPr>
        <w:t>,</w:t>
      </w:r>
      <w:r w:rsidRPr="00AF3116">
        <w:rPr>
          <w:rtl/>
        </w:rPr>
        <w:t>3</w:t>
      </w:r>
      <w:r w:rsidRPr="001B6C67">
        <w:rPr>
          <w:rtl/>
        </w:rPr>
        <w:t xml:space="preserve"> و</w:t>
      </w:r>
      <w:r w:rsidRPr="00AF3116">
        <w:rPr>
          <w:rtl/>
        </w:rPr>
        <w:t>3</w:t>
      </w:r>
      <w:r w:rsidRPr="001B6C67">
        <w:rPr>
          <w:rtl/>
        </w:rPr>
        <w:t>,</w:t>
      </w:r>
      <w:r w:rsidRPr="00AF3116">
        <w:rPr>
          <w:rtl/>
        </w:rPr>
        <w:t>7</w:t>
      </w:r>
      <w:r w:rsidRPr="001B6C67">
        <w:rPr>
          <w:rtl/>
        </w:rPr>
        <w:t xml:space="preserve"> في المائة، على التوالي، بفضل نمو الاستثمار العام والتجارة/الطلب عبر الإنترنت من خلال منصات مختلفة. </w:t>
      </w:r>
    </w:p>
    <w:p w14:paraId="23EF190F" w14:textId="77777777" w:rsidR="00DE3D9F" w:rsidRPr="001B6C67" w:rsidRDefault="00DE3D9F" w:rsidP="00DE3D9F">
      <w:pPr>
        <w:pStyle w:val="SingleTxtGA"/>
        <w:rPr>
          <w:lang w:val="ar-SA" w:eastAsia="zh-TW" w:bidi="en-GB"/>
        </w:rPr>
      </w:pPr>
      <w:r w:rsidRPr="00AF3116">
        <w:rPr>
          <w:rtl/>
        </w:rPr>
        <w:t>18</w:t>
      </w:r>
      <w:r w:rsidRPr="001B6C67">
        <w:rPr>
          <w:rtl/>
        </w:rPr>
        <w:t>-</w:t>
      </w:r>
      <w:r w:rsidRPr="001B6C67">
        <w:rPr>
          <w:rtl/>
        </w:rPr>
        <w:tab/>
        <w:t xml:space="preserve">لكن العمالة الإجمالية في تايلاند انخفضت في عام </w:t>
      </w:r>
      <w:r w:rsidRPr="00AF3116">
        <w:rPr>
          <w:rtl/>
        </w:rPr>
        <w:t>2019</w:t>
      </w:r>
      <w:r w:rsidRPr="001B6C67">
        <w:rPr>
          <w:rtl/>
        </w:rPr>
        <w:t xml:space="preserve"> بنسبة </w:t>
      </w:r>
      <w:r w:rsidRPr="00AF3116">
        <w:rPr>
          <w:rtl/>
        </w:rPr>
        <w:t>0</w:t>
      </w:r>
      <w:r w:rsidRPr="001B6C67">
        <w:rPr>
          <w:rtl/>
        </w:rPr>
        <w:t>,</w:t>
      </w:r>
      <w:r w:rsidRPr="00AF3116">
        <w:rPr>
          <w:rtl/>
        </w:rPr>
        <w:t>7</w:t>
      </w:r>
      <w:r w:rsidRPr="001B6C67">
        <w:rPr>
          <w:rtl/>
        </w:rPr>
        <w:t xml:space="preserve"> في المائة. وقد تأثر سوق العمل بعوامل دورية بسبب تباطؤ اقتصادي أدى إلى انخفاض العمالة من خلال الإنتاج والصادرات، فضلاً عن </w:t>
      </w:r>
      <w:r>
        <w:rPr>
          <w:rtl/>
        </w:rPr>
        <w:t>أثر</w:t>
      </w:r>
      <w:r w:rsidRPr="001B6C67">
        <w:rPr>
          <w:rtl/>
        </w:rPr>
        <w:t xml:space="preserve"> هيكلي </w:t>
      </w:r>
      <w:r>
        <w:rPr>
          <w:rtl/>
        </w:rPr>
        <w:t>ي</w:t>
      </w:r>
      <w:r w:rsidRPr="001B6C67">
        <w:rPr>
          <w:rtl/>
        </w:rPr>
        <w:t>شمل تغييراً في هيكل سوق العمل في تايلاند وزيادة في فرص الحصول على التعليم، مما يمكن أن يتسبب في بطء دخول العمالة إلى السوق، والتقدم التكنولوجي.</w:t>
      </w:r>
    </w:p>
    <w:p w14:paraId="26A11F9B" w14:textId="7B02F0C3" w:rsidR="00DE3D9F" w:rsidRPr="001B6C67" w:rsidRDefault="00DE3D9F" w:rsidP="00DE3D9F">
      <w:pPr>
        <w:pStyle w:val="SingleTxtGA"/>
        <w:rPr>
          <w:lang w:val="ar-SA" w:eastAsia="zh-TW" w:bidi="en-GB"/>
        </w:rPr>
      </w:pPr>
      <w:r w:rsidRPr="00AF3116">
        <w:rPr>
          <w:rtl/>
        </w:rPr>
        <w:t>19</w:t>
      </w:r>
      <w:r w:rsidRPr="001B6C67">
        <w:rPr>
          <w:rtl/>
        </w:rPr>
        <w:t>-</w:t>
      </w:r>
      <w:r w:rsidRPr="001B6C67">
        <w:rPr>
          <w:rtl/>
        </w:rPr>
        <w:tab/>
        <w:t xml:space="preserve">وفي آذار/مارس </w:t>
      </w:r>
      <w:r w:rsidRPr="00AF3116">
        <w:rPr>
          <w:rtl/>
        </w:rPr>
        <w:t>2019</w:t>
      </w:r>
      <w:r w:rsidRPr="001B6C67">
        <w:rPr>
          <w:rtl/>
        </w:rPr>
        <w:t xml:space="preserve">، بلغ عدد الأشخاص </w:t>
      </w:r>
      <w:r>
        <w:rPr>
          <w:rtl/>
        </w:rPr>
        <w:t>في</w:t>
      </w:r>
      <w:r w:rsidRPr="001B6C67">
        <w:rPr>
          <w:rtl/>
        </w:rPr>
        <w:t xml:space="preserve"> القوة العاملة المسجلين لدى النقابات العمالية</w:t>
      </w:r>
      <w:r w:rsidR="007B06D9">
        <w:rPr>
          <w:rFonts w:hint="cs"/>
          <w:rtl/>
        </w:rPr>
        <w:t> </w:t>
      </w:r>
      <w:r w:rsidRPr="00AF3116">
        <w:rPr>
          <w:rtl/>
        </w:rPr>
        <w:t>492</w:t>
      </w:r>
      <w:r w:rsidRPr="001B6C67">
        <w:rPr>
          <w:rtl/>
        </w:rPr>
        <w:t xml:space="preserve"> </w:t>
      </w:r>
      <w:r w:rsidRPr="00AF3116">
        <w:rPr>
          <w:rtl/>
        </w:rPr>
        <w:t>616</w:t>
      </w:r>
      <w:r w:rsidRPr="001B6C67">
        <w:rPr>
          <w:rtl/>
        </w:rPr>
        <w:t xml:space="preserve"> شخصاً.</w:t>
      </w:r>
    </w:p>
    <w:p w14:paraId="0E4637E8" w14:textId="77777777" w:rsidR="00DE3D9F" w:rsidRPr="00AF3116" w:rsidRDefault="00DE3D9F" w:rsidP="00AD7242">
      <w:pPr>
        <w:pStyle w:val="H23GA"/>
        <w:rPr>
          <w:lang w:val="ar-SA" w:eastAsia="zh-TW" w:bidi="en-GB"/>
        </w:rPr>
      </w:pPr>
      <w:r w:rsidRPr="00AF3116">
        <w:rPr>
          <w:rtl/>
        </w:rPr>
        <w:tab/>
      </w:r>
      <w:r w:rsidRPr="00AF3116">
        <w:rPr>
          <w:rtl/>
        </w:rPr>
        <w:tab/>
        <w:t>النفقات الاستهلاكية للأسر المعيشية</w:t>
      </w:r>
    </w:p>
    <w:p w14:paraId="36DB7468" w14:textId="63F3EECE" w:rsidR="00DE3D9F" w:rsidRPr="007B06D9" w:rsidRDefault="00DE3D9F" w:rsidP="00DE3D9F">
      <w:pPr>
        <w:pStyle w:val="SingleTxtGA"/>
        <w:rPr>
          <w:lang w:val="en-US" w:eastAsia="zh-TW" w:bidi="en-GB"/>
        </w:rPr>
      </w:pPr>
      <w:bookmarkStart w:id="6" w:name="_Ref51892242"/>
      <w:r w:rsidRPr="00AF3116">
        <w:rPr>
          <w:rtl/>
        </w:rPr>
        <w:t>20</w:t>
      </w:r>
      <w:r w:rsidRPr="001B6C67">
        <w:rPr>
          <w:rtl/>
        </w:rPr>
        <w:t>-</w:t>
      </w:r>
      <w:r w:rsidRPr="001B6C67">
        <w:rPr>
          <w:rtl/>
        </w:rPr>
        <w:tab/>
        <w:t xml:space="preserve">في عام </w:t>
      </w:r>
      <w:r w:rsidRPr="00AF3116">
        <w:rPr>
          <w:rtl/>
        </w:rPr>
        <w:t>2019</w:t>
      </w:r>
      <w:r w:rsidRPr="001B6C67">
        <w:rPr>
          <w:rtl/>
        </w:rPr>
        <w:t>، شملت النفقات الاستهلاكية للأسر المعيشية في تايلاند بشكل رئيسي الأغذية والمشروبات غير الكحولية (</w:t>
      </w:r>
      <w:r w:rsidRPr="00AF3116">
        <w:rPr>
          <w:rtl/>
        </w:rPr>
        <w:t>38</w:t>
      </w:r>
      <w:r w:rsidRPr="001B6C67">
        <w:rPr>
          <w:rtl/>
        </w:rPr>
        <w:t>,</w:t>
      </w:r>
      <w:r w:rsidRPr="00AF3116">
        <w:rPr>
          <w:rtl/>
        </w:rPr>
        <w:t>31</w:t>
      </w:r>
      <w:r w:rsidRPr="001B6C67">
        <w:rPr>
          <w:rtl/>
        </w:rPr>
        <w:t xml:space="preserve"> في المائة)، والمشروبات الكحولية (</w:t>
      </w:r>
      <w:r w:rsidRPr="00AF3116">
        <w:rPr>
          <w:rtl/>
        </w:rPr>
        <w:t>1</w:t>
      </w:r>
      <w:r w:rsidRPr="001B6C67">
        <w:rPr>
          <w:rtl/>
        </w:rPr>
        <w:t>,</w:t>
      </w:r>
      <w:r w:rsidRPr="00AF3116">
        <w:rPr>
          <w:rtl/>
        </w:rPr>
        <w:t>37</w:t>
      </w:r>
      <w:r w:rsidRPr="001B6C67">
        <w:rPr>
          <w:rtl/>
        </w:rPr>
        <w:t xml:space="preserve"> في المائة)، ومنتجات التبغ</w:t>
      </w:r>
      <w:r w:rsidR="007D3947">
        <w:rPr>
          <w:rFonts w:hint="cs"/>
          <w:rtl/>
        </w:rPr>
        <w:t> </w:t>
      </w:r>
      <w:r w:rsidRPr="001B6C67">
        <w:rPr>
          <w:rtl/>
        </w:rPr>
        <w:t>(</w:t>
      </w:r>
      <w:r w:rsidRPr="00AF3116">
        <w:rPr>
          <w:rtl/>
        </w:rPr>
        <w:t>0</w:t>
      </w:r>
      <w:r w:rsidRPr="001B6C67">
        <w:rPr>
          <w:rtl/>
        </w:rPr>
        <w:t>,</w:t>
      </w:r>
      <w:r w:rsidRPr="00AF3116">
        <w:rPr>
          <w:rtl/>
        </w:rPr>
        <w:t>68</w:t>
      </w:r>
      <w:r w:rsidRPr="001B6C67">
        <w:rPr>
          <w:rtl/>
        </w:rPr>
        <w:t xml:space="preserve"> في المائة)، والسلع المنزلية (</w:t>
      </w:r>
      <w:r w:rsidRPr="00AF3116">
        <w:rPr>
          <w:rtl/>
        </w:rPr>
        <w:t>23</w:t>
      </w:r>
      <w:r w:rsidRPr="001B6C67">
        <w:rPr>
          <w:rtl/>
        </w:rPr>
        <w:t>,</w:t>
      </w:r>
      <w:r w:rsidRPr="00AF3116">
        <w:rPr>
          <w:rtl/>
        </w:rPr>
        <w:t>38</w:t>
      </w:r>
      <w:r w:rsidRPr="001B6C67">
        <w:rPr>
          <w:rtl/>
        </w:rPr>
        <w:t xml:space="preserve"> في المائة)، والملابس والأحذية (</w:t>
      </w:r>
      <w:r w:rsidRPr="00AF3116">
        <w:rPr>
          <w:rtl/>
        </w:rPr>
        <w:t>2</w:t>
      </w:r>
      <w:r w:rsidRPr="001B6C67">
        <w:rPr>
          <w:rtl/>
        </w:rPr>
        <w:t>,</w:t>
      </w:r>
      <w:r w:rsidRPr="00AF3116">
        <w:rPr>
          <w:rtl/>
        </w:rPr>
        <w:t>50</w:t>
      </w:r>
      <w:r w:rsidRPr="001B6C67">
        <w:rPr>
          <w:rtl/>
        </w:rPr>
        <w:t xml:space="preserve"> في المائة)، والنفقات الشخصية (</w:t>
      </w:r>
      <w:r w:rsidRPr="00AF3116">
        <w:rPr>
          <w:rtl/>
        </w:rPr>
        <w:t>3</w:t>
      </w:r>
      <w:r w:rsidRPr="001B6C67">
        <w:rPr>
          <w:rtl/>
        </w:rPr>
        <w:t>,</w:t>
      </w:r>
      <w:r w:rsidRPr="00AF3116">
        <w:rPr>
          <w:rtl/>
        </w:rPr>
        <w:t>43</w:t>
      </w:r>
      <w:r w:rsidRPr="001B6C67">
        <w:rPr>
          <w:rtl/>
        </w:rPr>
        <w:t xml:space="preserve"> في المائة)، والصحة (</w:t>
      </w:r>
      <w:r w:rsidRPr="00AF3116">
        <w:rPr>
          <w:rtl/>
        </w:rPr>
        <w:t>1</w:t>
      </w:r>
      <w:r w:rsidRPr="001B6C67">
        <w:rPr>
          <w:rtl/>
        </w:rPr>
        <w:t>,</w:t>
      </w:r>
      <w:r w:rsidRPr="00AF3116">
        <w:rPr>
          <w:rtl/>
        </w:rPr>
        <w:t>78</w:t>
      </w:r>
      <w:r w:rsidRPr="001B6C67">
        <w:rPr>
          <w:rtl/>
        </w:rPr>
        <w:t xml:space="preserve"> في المائة)، والنقل والاتصالات (</w:t>
      </w:r>
      <w:r w:rsidRPr="00AF3116">
        <w:rPr>
          <w:rtl/>
        </w:rPr>
        <w:t>23</w:t>
      </w:r>
      <w:r w:rsidRPr="001B6C67">
        <w:rPr>
          <w:rtl/>
        </w:rPr>
        <w:t>,</w:t>
      </w:r>
      <w:r w:rsidRPr="00AF3116">
        <w:rPr>
          <w:rtl/>
        </w:rPr>
        <w:t>94</w:t>
      </w:r>
      <w:r w:rsidRPr="001B6C67">
        <w:rPr>
          <w:rtl/>
        </w:rPr>
        <w:t xml:space="preserve"> في المائة)، والتعليم (</w:t>
      </w:r>
      <w:r w:rsidRPr="00AF3116">
        <w:rPr>
          <w:rtl/>
        </w:rPr>
        <w:t>2</w:t>
      </w:r>
      <w:r w:rsidRPr="001B6C67">
        <w:rPr>
          <w:rtl/>
        </w:rPr>
        <w:t>,</w:t>
      </w:r>
      <w:r w:rsidRPr="00AF3116">
        <w:rPr>
          <w:rtl/>
        </w:rPr>
        <w:t>02</w:t>
      </w:r>
      <w:r w:rsidRPr="001B6C67">
        <w:rPr>
          <w:rtl/>
        </w:rPr>
        <w:t xml:space="preserve"> في المائة)، والترفيه والقراءة والأنشطة الدينية (</w:t>
      </w:r>
      <w:r w:rsidRPr="00AF3116">
        <w:rPr>
          <w:rtl/>
        </w:rPr>
        <w:t>1</w:t>
      </w:r>
      <w:r w:rsidRPr="001B6C67">
        <w:rPr>
          <w:rtl/>
        </w:rPr>
        <w:t>,</w:t>
      </w:r>
      <w:r w:rsidRPr="00AF3116">
        <w:rPr>
          <w:rtl/>
        </w:rPr>
        <w:t>77</w:t>
      </w:r>
      <w:r w:rsidRPr="001B6C67">
        <w:rPr>
          <w:rtl/>
        </w:rPr>
        <w:t xml:space="preserve"> في المائة)، والنفقات الثقافية</w:t>
      </w:r>
      <w:r w:rsidR="007D3947">
        <w:rPr>
          <w:rFonts w:hint="cs"/>
          <w:rtl/>
        </w:rPr>
        <w:t> </w:t>
      </w:r>
      <w:r w:rsidRPr="001B6C67">
        <w:rPr>
          <w:rtl/>
        </w:rPr>
        <w:t>(</w:t>
      </w:r>
      <w:r w:rsidRPr="00AF3116">
        <w:rPr>
          <w:rtl/>
        </w:rPr>
        <w:t>0</w:t>
      </w:r>
      <w:r w:rsidRPr="001B6C67">
        <w:rPr>
          <w:rtl/>
        </w:rPr>
        <w:t>,</w:t>
      </w:r>
      <w:r w:rsidRPr="00AF3116">
        <w:rPr>
          <w:rtl/>
        </w:rPr>
        <w:t>82</w:t>
      </w:r>
      <w:r w:rsidRPr="001B6C67">
        <w:rPr>
          <w:rtl/>
        </w:rPr>
        <w:t xml:space="preserve"> في المائة).</w:t>
      </w:r>
      <w:bookmarkEnd w:id="6"/>
    </w:p>
    <w:p w14:paraId="1C0D8B4E" w14:textId="77777777" w:rsidR="00DE3D9F" w:rsidRPr="001B6C67" w:rsidRDefault="00DE3D9F" w:rsidP="00DE3D9F">
      <w:pPr>
        <w:pStyle w:val="SingleTxtGA"/>
        <w:rPr>
          <w:lang w:val="ar-SA" w:eastAsia="zh-TW" w:bidi="en-GB"/>
        </w:rPr>
      </w:pPr>
      <w:r w:rsidRPr="00AF3116">
        <w:rPr>
          <w:rtl/>
        </w:rPr>
        <w:t>21</w:t>
      </w:r>
      <w:r w:rsidRPr="001B6C67">
        <w:rPr>
          <w:rtl/>
        </w:rPr>
        <w:t>-</w:t>
      </w:r>
      <w:r w:rsidRPr="001B6C67">
        <w:rPr>
          <w:rtl/>
        </w:rPr>
        <w:tab/>
        <w:t xml:space="preserve">وبلغ معامل جيني المتعلق بتوزيع الدخل أو الإنفاق الاستهلاكي للأسر المعيشية </w:t>
      </w:r>
      <w:r w:rsidRPr="00AF3116">
        <w:rPr>
          <w:rtl/>
        </w:rPr>
        <w:t>0</w:t>
      </w:r>
      <w:r w:rsidRPr="001B6C67">
        <w:rPr>
          <w:rtl/>
        </w:rPr>
        <w:t>,</w:t>
      </w:r>
      <w:r w:rsidRPr="00AF3116">
        <w:rPr>
          <w:rtl/>
        </w:rPr>
        <w:t>364</w:t>
      </w:r>
      <w:r w:rsidRPr="001B6C67">
        <w:rPr>
          <w:rtl/>
        </w:rPr>
        <w:t xml:space="preserve"> في عام </w:t>
      </w:r>
      <w:r w:rsidRPr="00AF3116">
        <w:rPr>
          <w:rtl/>
        </w:rPr>
        <w:t>2019</w:t>
      </w:r>
      <w:r w:rsidRPr="001B6C67">
        <w:rPr>
          <w:rtl/>
        </w:rPr>
        <w:t>.</w:t>
      </w:r>
    </w:p>
    <w:p w14:paraId="4EA5FACA" w14:textId="77777777" w:rsidR="00DE3D9F" w:rsidRPr="00AF3116" w:rsidRDefault="00DE3D9F" w:rsidP="00AD7242">
      <w:pPr>
        <w:pStyle w:val="H23GA"/>
        <w:rPr>
          <w:lang w:val="ar-SA" w:eastAsia="zh-TW" w:bidi="en-GB"/>
        </w:rPr>
      </w:pPr>
      <w:r w:rsidRPr="00AF3116">
        <w:rPr>
          <w:rtl/>
        </w:rPr>
        <w:tab/>
      </w:r>
      <w:r w:rsidRPr="00AF3116">
        <w:rPr>
          <w:rtl/>
        </w:rPr>
        <w:tab/>
        <w:t>الصحة</w:t>
      </w:r>
    </w:p>
    <w:p w14:paraId="5092EDD9" w14:textId="77777777" w:rsidR="00DE3D9F" w:rsidRPr="001B6C67" w:rsidRDefault="00DE3D9F" w:rsidP="00DE3D9F">
      <w:pPr>
        <w:pStyle w:val="SingleTxtGA"/>
        <w:rPr>
          <w:lang w:val="ar-SA" w:eastAsia="zh-TW" w:bidi="en-GB"/>
        </w:rPr>
      </w:pPr>
      <w:r w:rsidRPr="00AF3116">
        <w:rPr>
          <w:rtl/>
        </w:rPr>
        <w:t>22</w:t>
      </w:r>
      <w:r w:rsidRPr="001B6C67">
        <w:rPr>
          <w:rtl/>
        </w:rPr>
        <w:t>-</w:t>
      </w:r>
      <w:r w:rsidRPr="001B6C67">
        <w:rPr>
          <w:rtl/>
        </w:rPr>
        <w:tab/>
        <w:t xml:space="preserve">بلغت النفقات الصحية للبلاد حوالي </w:t>
      </w:r>
      <w:r w:rsidRPr="00AF3116">
        <w:rPr>
          <w:rtl/>
        </w:rPr>
        <w:t>3</w:t>
      </w:r>
      <w:r w:rsidRPr="001B6C67">
        <w:rPr>
          <w:rtl/>
        </w:rPr>
        <w:t>,</w:t>
      </w:r>
      <w:r w:rsidRPr="00AF3116">
        <w:rPr>
          <w:rtl/>
        </w:rPr>
        <w:t>7</w:t>
      </w:r>
      <w:r w:rsidRPr="001B6C67">
        <w:rPr>
          <w:rtl/>
        </w:rPr>
        <w:t xml:space="preserve"> في المائة من الناتج المحلي الإجمالي في عام </w:t>
      </w:r>
      <w:r w:rsidRPr="00AF3116">
        <w:rPr>
          <w:rtl/>
        </w:rPr>
        <w:t>2017</w:t>
      </w:r>
      <w:r w:rsidRPr="001B6C67">
        <w:rPr>
          <w:rtl/>
        </w:rPr>
        <w:t xml:space="preserve">. وكما ورد في الفقرة </w:t>
      </w:r>
      <w:r w:rsidRPr="00AF3116">
        <w:rPr>
          <w:rtl/>
        </w:rPr>
        <w:t>20</w:t>
      </w:r>
      <w:r w:rsidRPr="001B6C67">
        <w:rPr>
          <w:rtl/>
        </w:rPr>
        <w:t xml:space="preserve">، مثلت النفقات الصحية للأسر المعيشية </w:t>
      </w:r>
      <w:r w:rsidRPr="00AF3116">
        <w:rPr>
          <w:rtl/>
        </w:rPr>
        <w:t>1</w:t>
      </w:r>
      <w:r w:rsidRPr="001B6C67">
        <w:rPr>
          <w:rtl/>
        </w:rPr>
        <w:t>,</w:t>
      </w:r>
      <w:r w:rsidRPr="00AF3116">
        <w:rPr>
          <w:rtl/>
        </w:rPr>
        <w:t>78</w:t>
      </w:r>
      <w:r w:rsidRPr="001B6C67">
        <w:rPr>
          <w:rtl/>
        </w:rPr>
        <w:t xml:space="preserve"> في المائة من النفقات الاستهلاكية للأسر المعيشية.</w:t>
      </w:r>
    </w:p>
    <w:p w14:paraId="2FBB8F33" w14:textId="3A9A2718" w:rsidR="00DE3D9F" w:rsidRPr="001B6C67" w:rsidRDefault="00DE3D9F" w:rsidP="00DE3D9F">
      <w:pPr>
        <w:pStyle w:val="SingleTxtGA"/>
        <w:rPr>
          <w:lang w:val="ar-SA" w:eastAsia="zh-TW" w:bidi="en-GB"/>
        </w:rPr>
      </w:pPr>
      <w:r w:rsidRPr="00AF3116">
        <w:rPr>
          <w:rtl/>
        </w:rPr>
        <w:t>23</w:t>
      </w:r>
      <w:r w:rsidRPr="001B6C67">
        <w:rPr>
          <w:rtl/>
        </w:rPr>
        <w:t>-</w:t>
      </w:r>
      <w:r w:rsidRPr="001B6C67">
        <w:rPr>
          <w:rtl/>
        </w:rPr>
        <w:tab/>
        <w:t>وتفخر تايلاند بتحقيق التغطية الصحية الشاملة. ويغطي مخطط التغطية الصحية الشاملة ما</w:t>
      </w:r>
      <w:r w:rsidR="007B06D9">
        <w:rPr>
          <w:rFonts w:hint="cs"/>
          <w:rtl/>
        </w:rPr>
        <w:t> </w:t>
      </w:r>
      <w:r w:rsidRPr="001B6C67">
        <w:rPr>
          <w:rtl/>
        </w:rPr>
        <w:t>يقرب من مائة في المائة من السكان. وعلى الرغم من أن تايلند بلد متوسط الدخل، فإنها تحظى بالاعتراف كنموذج للتغطية الصحية الشاملة يمكن تقاسم خبرته مع بلدان أخرى. وفي الوقت نفسه، يلتزم البلد</w:t>
      </w:r>
      <w:r w:rsidR="007B06D9">
        <w:rPr>
          <w:rFonts w:hint="cs"/>
          <w:rtl/>
        </w:rPr>
        <w:t> </w:t>
      </w:r>
      <w:r w:rsidRPr="001B6C67">
        <w:rPr>
          <w:rtl/>
        </w:rPr>
        <w:t>بمواصلة تحسين مخططه الخاص بالتغطية الصحية الشاملة لضمان حصول الجميع عليها بقدر أكبر من الإنصاف.</w:t>
      </w:r>
    </w:p>
    <w:p w14:paraId="49716A8C" w14:textId="77777777" w:rsidR="00DE3D9F" w:rsidRPr="001B6C67" w:rsidRDefault="00DE3D9F" w:rsidP="00DE3D9F">
      <w:pPr>
        <w:pStyle w:val="SingleTxtGA"/>
        <w:rPr>
          <w:lang w:val="ar-SA" w:eastAsia="zh-TW" w:bidi="en-GB"/>
        </w:rPr>
      </w:pPr>
      <w:r w:rsidRPr="00AF3116">
        <w:rPr>
          <w:rtl/>
        </w:rPr>
        <w:t>24</w:t>
      </w:r>
      <w:r w:rsidRPr="001B6C67">
        <w:rPr>
          <w:rtl/>
        </w:rPr>
        <w:t>-</w:t>
      </w:r>
      <w:r w:rsidRPr="001B6C67">
        <w:rPr>
          <w:rtl/>
        </w:rPr>
        <w:tab/>
        <w:t xml:space="preserve">وفيما يتعلق بالصحة الجنسية والإنجابية، نفذت تايلند تدريجياً الأهداف والغايات ذات الصلة من خطة التنمية المستدامة لعام </w:t>
      </w:r>
      <w:r w:rsidRPr="00AF3116">
        <w:rPr>
          <w:rtl/>
        </w:rPr>
        <w:t>2030</w:t>
      </w:r>
      <w:r w:rsidRPr="001B6C67">
        <w:rPr>
          <w:rtl/>
        </w:rPr>
        <w:t xml:space="preserve">. في عام </w:t>
      </w:r>
      <w:r w:rsidRPr="00AF3116">
        <w:rPr>
          <w:rtl/>
        </w:rPr>
        <w:t>2019</w:t>
      </w:r>
      <w:r w:rsidRPr="001B6C67">
        <w:rPr>
          <w:rtl/>
        </w:rPr>
        <w:t>، بلغت النسبة المئوية للنساء في سن الإنجاب/الحمل اللا</w:t>
      </w:r>
      <w:r>
        <w:rPr>
          <w:rtl/>
        </w:rPr>
        <w:t>ئ</w:t>
      </w:r>
      <w:r w:rsidRPr="001B6C67">
        <w:rPr>
          <w:rtl/>
        </w:rPr>
        <w:t>ي يستخدمن وسائل منع الحمل أو اللا</w:t>
      </w:r>
      <w:r>
        <w:rPr>
          <w:rtl/>
        </w:rPr>
        <w:t>ئ</w:t>
      </w:r>
      <w:r w:rsidRPr="001B6C67">
        <w:rPr>
          <w:rtl/>
        </w:rPr>
        <w:t xml:space="preserve">ي يستخدم شريكهن وسائل منع الحمل </w:t>
      </w:r>
      <w:r w:rsidRPr="00AF3116">
        <w:rPr>
          <w:rtl/>
        </w:rPr>
        <w:t>78</w:t>
      </w:r>
      <w:r w:rsidRPr="001B6C67">
        <w:rPr>
          <w:rtl/>
        </w:rPr>
        <w:t>,</w:t>
      </w:r>
      <w:r w:rsidRPr="00AF3116">
        <w:rPr>
          <w:rtl/>
        </w:rPr>
        <w:t>4</w:t>
      </w:r>
      <w:r w:rsidRPr="001B6C67">
        <w:rPr>
          <w:rtl/>
        </w:rPr>
        <w:t xml:space="preserve"> في المائة، </w:t>
      </w:r>
      <w:r w:rsidRPr="001B6C67">
        <w:rPr>
          <w:rtl/>
        </w:rPr>
        <w:lastRenderedPageBreak/>
        <w:t xml:space="preserve">بالمقارنة مع </w:t>
      </w:r>
      <w:r w:rsidRPr="00AF3116">
        <w:rPr>
          <w:rtl/>
        </w:rPr>
        <w:t>72</w:t>
      </w:r>
      <w:r w:rsidRPr="001B6C67">
        <w:rPr>
          <w:rtl/>
        </w:rPr>
        <w:t xml:space="preserve"> في المائة في عام </w:t>
      </w:r>
      <w:r w:rsidRPr="00AF3116">
        <w:rPr>
          <w:rtl/>
        </w:rPr>
        <w:t>1994</w:t>
      </w:r>
      <w:r w:rsidRPr="001B6C67">
        <w:rPr>
          <w:rtl/>
        </w:rPr>
        <w:t xml:space="preserve">. واعترف صندوق الأمم المتحدة للسكان بأن تايلند "من البلدان الرائدة والسباقة في تحقيق الغايات السكانية والإنمائية على مدى السنوات الـ </w:t>
      </w:r>
      <w:r w:rsidRPr="00AF3116">
        <w:rPr>
          <w:rtl/>
        </w:rPr>
        <w:t>25</w:t>
      </w:r>
      <w:r w:rsidRPr="001B6C67">
        <w:rPr>
          <w:rtl/>
        </w:rPr>
        <w:t xml:space="preserve"> الماضية".</w:t>
      </w:r>
    </w:p>
    <w:p w14:paraId="1F116097" w14:textId="77777777" w:rsidR="00DE3D9F" w:rsidRPr="001B6C67" w:rsidRDefault="00DE3D9F" w:rsidP="00DE3D9F">
      <w:pPr>
        <w:pStyle w:val="SingleTxtGA"/>
        <w:rPr>
          <w:lang w:val="ar-SA" w:eastAsia="zh-TW" w:bidi="en-GB"/>
        </w:rPr>
      </w:pPr>
      <w:r w:rsidRPr="00AF3116">
        <w:rPr>
          <w:rtl/>
        </w:rPr>
        <w:t>25</w:t>
      </w:r>
      <w:r w:rsidRPr="001B6C67">
        <w:rPr>
          <w:rtl/>
        </w:rPr>
        <w:t>-</w:t>
      </w:r>
      <w:r w:rsidRPr="001B6C67">
        <w:rPr>
          <w:rtl/>
        </w:rPr>
        <w:tab/>
        <w:t xml:space="preserve">كانت هناك </w:t>
      </w:r>
      <w:r w:rsidRPr="00AF3116">
        <w:rPr>
          <w:rtl/>
        </w:rPr>
        <w:t>043</w:t>
      </w:r>
      <w:r w:rsidRPr="001B6C67">
        <w:rPr>
          <w:rtl/>
        </w:rPr>
        <w:t xml:space="preserve"> </w:t>
      </w:r>
      <w:r w:rsidRPr="00AF3116">
        <w:rPr>
          <w:rtl/>
        </w:rPr>
        <w:t>5</w:t>
      </w:r>
      <w:r w:rsidRPr="001B6C67">
        <w:rPr>
          <w:rtl/>
        </w:rPr>
        <w:t xml:space="preserve"> حالة من حالات الإنهاء الطبي للحمل من خلال أقراص </w:t>
      </w:r>
      <w:proofErr w:type="spellStart"/>
      <w:r w:rsidRPr="001B6C67">
        <w:rPr>
          <w:rtl/>
        </w:rPr>
        <w:t>ميدابون</w:t>
      </w:r>
      <w:proofErr w:type="spellEnd"/>
      <w:r w:rsidRPr="001B6C67">
        <w:rPr>
          <w:rtl/>
        </w:rPr>
        <w:t xml:space="preserve"> التي وزعتها وزارة الصحة في عام </w:t>
      </w:r>
      <w:r w:rsidRPr="00AF3116">
        <w:rPr>
          <w:rtl/>
        </w:rPr>
        <w:t>2018</w:t>
      </w:r>
      <w:r w:rsidRPr="001B6C67">
        <w:rPr>
          <w:rtl/>
        </w:rPr>
        <w:t>.</w:t>
      </w:r>
    </w:p>
    <w:p w14:paraId="78B351A0" w14:textId="6EB96D18" w:rsidR="00DE3D9F" w:rsidRPr="001B6C67" w:rsidRDefault="00DE3D9F" w:rsidP="00DE3D9F">
      <w:pPr>
        <w:pStyle w:val="SingleTxtGA"/>
        <w:rPr>
          <w:lang w:val="ar-SA" w:eastAsia="zh-TW" w:bidi="en-GB"/>
        </w:rPr>
      </w:pPr>
      <w:r w:rsidRPr="00AF3116">
        <w:rPr>
          <w:rtl/>
        </w:rPr>
        <w:t>26</w:t>
      </w:r>
      <w:r w:rsidRPr="001B6C67">
        <w:rPr>
          <w:rtl/>
        </w:rPr>
        <w:t>-</w:t>
      </w:r>
      <w:r w:rsidRPr="001B6C67">
        <w:rPr>
          <w:rtl/>
        </w:rPr>
        <w:tab/>
        <w:t xml:space="preserve">وتشمل الأسباب الرئيسية للوفاة (لكل </w:t>
      </w:r>
      <w:r w:rsidRPr="00AF3116">
        <w:rPr>
          <w:rtl/>
        </w:rPr>
        <w:t>000</w:t>
      </w:r>
      <w:r w:rsidRPr="001B6C67">
        <w:rPr>
          <w:rtl/>
        </w:rPr>
        <w:t xml:space="preserve"> </w:t>
      </w:r>
      <w:r w:rsidRPr="00AF3116">
        <w:rPr>
          <w:rtl/>
        </w:rPr>
        <w:t>100</w:t>
      </w:r>
      <w:r w:rsidRPr="001B6C67">
        <w:rPr>
          <w:rtl/>
        </w:rPr>
        <w:t xml:space="preserve"> نسمة) الأورام الخبيثة بجميع أشكالها (</w:t>
      </w:r>
      <w:r w:rsidRPr="00AF3116">
        <w:rPr>
          <w:rtl/>
        </w:rPr>
        <w:t>120</w:t>
      </w:r>
      <w:r w:rsidRPr="001B6C67">
        <w:rPr>
          <w:rtl/>
        </w:rPr>
        <w:t>,</w:t>
      </w:r>
      <w:r w:rsidRPr="00AF3116">
        <w:rPr>
          <w:rtl/>
        </w:rPr>
        <w:t>5</w:t>
      </w:r>
      <w:r w:rsidRPr="001B6C67">
        <w:rPr>
          <w:rtl/>
        </w:rPr>
        <w:t>)، وأمراض الدورة الدموية (</w:t>
      </w:r>
      <w:r w:rsidRPr="00AF3116">
        <w:rPr>
          <w:rtl/>
        </w:rPr>
        <w:t>103</w:t>
      </w:r>
      <w:r w:rsidRPr="001B6C67">
        <w:rPr>
          <w:rtl/>
        </w:rPr>
        <w:t>,</w:t>
      </w:r>
      <w:r w:rsidRPr="00AF3116">
        <w:rPr>
          <w:rtl/>
        </w:rPr>
        <w:t>7</w:t>
      </w:r>
      <w:r w:rsidRPr="001B6C67">
        <w:rPr>
          <w:rtl/>
        </w:rPr>
        <w:t>)، وأمراض الجهاز التنفسي (</w:t>
      </w:r>
      <w:r w:rsidRPr="00AF3116">
        <w:rPr>
          <w:rtl/>
        </w:rPr>
        <w:t>64</w:t>
      </w:r>
      <w:r w:rsidRPr="001B6C67">
        <w:rPr>
          <w:rtl/>
        </w:rPr>
        <w:t>,</w:t>
      </w:r>
      <w:r w:rsidRPr="00AF3116">
        <w:rPr>
          <w:rtl/>
        </w:rPr>
        <w:t>0</w:t>
      </w:r>
      <w:r w:rsidRPr="001B6C67">
        <w:rPr>
          <w:rtl/>
        </w:rPr>
        <w:t>)، والأسباب الخارجية للمرضة والوفيات (</w:t>
      </w:r>
      <w:r w:rsidRPr="00AF3116">
        <w:rPr>
          <w:rtl/>
        </w:rPr>
        <w:t>59</w:t>
      </w:r>
      <w:r w:rsidRPr="001B6C67">
        <w:rPr>
          <w:rtl/>
        </w:rPr>
        <w:t>,</w:t>
      </w:r>
      <w:r w:rsidRPr="00AF3116">
        <w:rPr>
          <w:rtl/>
        </w:rPr>
        <w:t>7</w:t>
      </w:r>
      <w:r w:rsidRPr="001B6C67">
        <w:rPr>
          <w:rtl/>
        </w:rPr>
        <w:t>)، وبعض الأمراض المعدية والطفيلية (</w:t>
      </w:r>
      <w:r w:rsidRPr="00AF3116">
        <w:rPr>
          <w:rtl/>
        </w:rPr>
        <w:t>56</w:t>
      </w:r>
      <w:r w:rsidRPr="001B6C67">
        <w:rPr>
          <w:rtl/>
        </w:rPr>
        <w:t>,</w:t>
      </w:r>
      <w:r w:rsidRPr="00AF3116">
        <w:rPr>
          <w:rtl/>
        </w:rPr>
        <w:t>7</w:t>
      </w:r>
      <w:r w:rsidRPr="001B6C67">
        <w:rPr>
          <w:rtl/>
        </w:rPr>
        <w:t>)، وأمراض الجهاز البولي التناسلي (</w:t>
      </w:r>
      <w:r w:rsidRPr="00AF3116">
        <w:rPr>
          <w:rtl/>
        </w:rPr>
        <w:t>35</w:t>
      </w:r>
      <w:r w:rsidRPr="001B6C67">
        <w:rPr>
          <w:rtl/>
        </w:rPr>
        <w:t>,</w:t>
      </w:r>
      <w:r w:rsidRPr="00AF3116">
        <w:rPr>
          <w:rtl/>
        </w:rPr>
        <w:t>2</w:t>
      </w:r>
      <w:r w:rsidRPr="001B6C67">
        <w:rPr>
          <w:rtl/>
        </w:rPr>
        <w:t>)، وأمراض الجهاز الهضمي (</w:t>
      </w:r>
      <w:r w:rsidRPr="00AF3116">
        <w:rPr>
          <w:rtl/>
        </w:rPr>
        <w:t>29</w:t>
      </w:r>
      <w:r w:rsidRPr="001B6C67">
        <w:rPr>
          <w:rtl/>
        </w:rPr>
        <w:t>,</w:t>
      </w:r>
      <w:r w:rsidRPr="00AF3116">
        <w:rPr>
          <w:rtl/>
        </w:rPr>
        <w:t>7</w:t>
      </w:r>
      <w:r w:rsidRPr="001B6C67">
        <w:rPr>
          <w:rtl/>
        </w:rPr>
        <w:t>)، والغدد الصماء والأمراض الغذائية والأيضية (</w:t>
      </w:r>
      <w:r w:rsidRPr="00AF3116">
        <w:rPr>
          <w:rtl/>
        </w:rPr>
        <w:t>23</w:t>
      </w:r>
      <w:r w:rsidRPr="001B6C67">
        <w:rPr>
          <w:rtl/>
        </w:rPr>
        <w:t>,</w:t>
      </w:r>
      <w:r w:rsidRPr="00AF3116">
        <w:rPr>
          <w:rtl/>
        </w:rPr>
        <w:t>9</w:t>
      </w:r>
      <w:r w:rsidRPr="001B6C67">
        <w:rPr>
          <w:rtl/>
        </w:rPr>
        <w:t>)، وأمراض الجهاز العصبي (</w:t>
      </w:r>
      <w:r w:rsidRPr="00AF3116">
        <w:rPr>
          <w:rtl/>
        </w:rPr>
        <w:t>17</w:t>
      </w:r>
      <w:r w:rsidRPr="001B6C67">
        <w:rPr>
          <w:rtl/>
        </w:rPr>
        <w:t>,</w:t>
      </w:r>
      <w:r w:rsidRPr="00AF3116">
        <w:rPr>
          <w:rtl/>
        </w:rPr>
        <w:t>6</w:t>
      </w:r>
      <w:r w:rsidRPr="001B6C67">
        <w:rPr>
          <w:rtl/>
        </w:rPr>
        <w:t>)، وأمراض الدم والأعضاء التي تشكل الدم وبعض الاضطرابات التي تنطوي على آلية المناعة (</w:t>
      </w:r>
      <w:r w:rsidRPr="00AF3116">
        <w:rPr>
          <w:rtl/>
        </w:rPr>
        <w:t>1</w:t>
      </w:r>
      <w:r w:rsidRPr="001B6C67">
        <w:rPr>
          <w:rtl/>
        </w:rPr>
        <w:t>,</w:t>
      </w:r>
      <w:r w:rsidRPr="00AF3116">
        <w:rPr>
          <w:rtl/>
        </w:rPr>
        <w:t>7</w:t>
      </w:r>
      <w:r w:rsidRPr="001B6C67">
        <w:rPr>
          <w:rtl/>
        </w:rPr>
        <w:t>).</w:t>
      </w:r>
    </w:p>
    <w:p w14:paraId="124F5FFD" w14:textId="77777777" w:rsidR="00DE3D9F" w:rsidRPr="001B6C67" w:rsidRDefault="00DE3D9F" w:rsidP="00DE3D9F">
      <w:pPr>
        <w:pStyle w:val="SingleTxtGA"/>
        <w:rPr>
          <w:lang w:val="ar-SA" w:eastAsia="zh-TW" w:bidi="en-GB"/>
        </w:rPr>
      </w:pPr>
      <w:r w:rsidRPr="00AF3116">
        <w:rPr>
          <w:rtl/>
        </w:rPr>
        <w:t>27</w:t>
      </w:r>
      <w:r w:rsidRPr="001B6C67">
        <w:rPr>
          <w:rtl/>
        </w:rPr>
        <w:t>-</w:t>
      </w:r>
      <w:r w:rsidRPr="001B6C67">
        <w:rPr>
          <w:rtl/>
        </w:rPr>
        <w:tab/>
        <w:t xml:space="preserve">وفي عام </w:t>
      </w:r>
      <w:r w:rsidRPr="00AF3116">
        <w:rPr>
          <w:rtl/>
        </w:rPr>
        <w:t>2019</w:t>
      </w:r>
      <w:r w:rsidRPr="001B6C67">
        <w:rPr>
          <w:rtl/>
        </w:rPr>
        <w:t xml:space="preserve">، كان انتشار الأمراض غير المعدية الرئيسية في تايلاند لكل </w:t>
      </w:r>
      <w:r w:rsidRPr="00AF3116">
        <w:rPr>
          <w:rtl/>
        </w:rPr>
        <w:t>000</w:t>
      </w:r>
      <w:r w:rsidRPr="001B6C67">
        <w:rPr>
          <w:rtl/>
        </w:rPr>
        <w:t xml:space="preserve"> </w:t>
      </w:r>
      <w:r w:rsidRPr="00AF3116">
        <w:rPr>
          <w:rtl/>
        </w:rPr>
        <w:t>100</w:t>
      </w:r>
      <w:r w:rsidRPr="001B6C67">
        <w:rPr>
          <w:rtl/>
        </w:rPr>
        <w:t xml:space="preserve"> شخص عولجوا في المستشفيات التابعة لوزارة الصحة العامة كما يلي: ’</w:t>
      </w:r>
      <w:r w:rsidRPr="00AF3116">
        <w:rPr>
          <w:rtl/>
        </w:rPr>
        <w:t>1</w:t>
      </w:r>
      <w:r w:rsidRPr="001B6C67">
        <w:rPr>
          <w:rtl/>
        </w:rPr>
        <w:t>‘ مرض الشريان التاجي (</w:t>
      </w:r>
      <w:r w:rsidRPr="00AF3116">
        <w:rPr>
          <w:rtl/>
        </w:rPr>
        <w:t>610</w:t>
      </w:r>
      <w:r w:rsidRPr="001B6C67">
        <w:rPr>
          <w:rtl/>
        </w:rPr>
        <w:t>,</w:t>
      </w:r>
      <w:r w:rsidRPr="00AF3116">
        <w:rPr>
          <w:rtl/>
        </w:rPr>
        <w:t>2</w:t>
      </w:r>
      <w:r w:rsidRPr="001B6C67">
        <w:rPr>
          <w:rtl/>
        </w:rPr>
        <w:t>)، ’</w:t>
      </w:r>
      <w:r w:rsidRPr="00AF3116">
        <w:rPr>
          <w:rtl/>
        </w:rPr>
        <w:t>2</w:t>
      </w:r>
      <w:r w:rsidRPr="001B6C67">
        <w:rPr>
          <w:rtl/>
        </w:rPr>
        <w:t>‘ مرض الانسداد الرئوي المزمن (</w:t>
      </w:r>
      <w:r w:rsidRPr="00AF3116">
        <w:rPr>
          <w:rtl/>
        </w:rPr>
        <w:t>473</w:t>
      </w:r>
      <w:r w:rsidRPr="001B6C67">
        <w:rPr>
          <w:rtl/>
        </w:rPr>
        <w:t>,</w:t>
      </w:r>
      <w:r w:rsidRPr="00AF3116">
        <w:rPr>
          <w:rtl/>
        </w:rPr>
        <w:t>6</w:t>
      </w:r>
      <w:r w:rsidRPr="001B6C67">
        <w:rPr>
          <w:rtl/>
        </w:rPr>
        <w:t>)، ’</w:t>
      </w:r>
      <w:r w:rsidRPr="00AF3116">
        <w:rPr>
          <w:rtl/>
        </w:rPr>
        <w:t>3</w:t>
      </w:r>
      <w:r w:rsidRPr="001B6C67">
        <w:rPr>
          <w:rtl/>
        </w:rPr>
        <w:t>‘ مرض السكري (</w:t>
      </w:r>
      <w:r w:rsidRPr="00AF3116">
        <w:rPr>
          <w:rtl/>
        </w:rPr>
        <w:t>440</w:t>
      </w:r>
      <w:r w:rsidRPr="001B6C67">
        <w:rPr>
          <w:rtl/>
        </w:rPr>
        <w:t>,</w:t>
      </w:r>
      <w:r w:rsidRPr="00AF3116">
        <w:rPr>
          <w:rtl/>
        </w:rPr>
        <w:t>8</w:t>
      </w:r>
      <w:r w:rsidRPr="001B6C67">
        <w:rPr>
          <w:rtl/>
        </w:rPr>
        <w:t xml:space="preserve"> </w:t>
      </w:r>
      <w:r w:rsidRPr="00AF3116">
        <w:rPr>
          <w:rtl/>
        </w:rPr>
        <w:t>5</w:t>
      </w:r>
      <w:r w:rsidRPr="001B6C67">
        <w:rPr>
          <w:rtl/>
        </w:rPr>
        <w:t xml:space="preserve">). </w:t>
      </w:r>
    </w:p>
    <w:p w14:paraId="0A221FF1" w14:textId="77777777" w:rsidR="00DE3D9F" w:rsidRPr="001B6C67" w:rsidRDefault="00DE3D9F" w:rsidP="00DE3D9F">
      <w:pPr>
        <w:pStyle w:val="SingleTxtGA"/>
        <w:rPr>
          <w:lang w:val="ar-SA" w:eastAsia="zh-TW" w:bidi="en-GB"/>
        </w:rPr>
      </w:pPr>
      <w:r w:rsidRPr="00AF3116">
        <w:rPr>
          <w:rtl/>
        </w:rPr>
        <w:t>28</w:t>
      </w:r>
      <w:r w:rsidRPr="001B6C67">
        <w:rPr>
          <w:rtl/>
        </w:rPr>
        <w:t>-</w:t>
      </w:r>
      <w:r w:rsidRPr="001B6C67">
        <w:rPr>
          <w:rtl/>
        </w:rPr>
        <w:tab/>
        <w:t xml:space="preserve">وفي تشرين الأول/أكتوبر </w:t>
      </w:r>
      <w:r w:rsidRPr="00AF3116">
        <w:rPr>
          <w:rtl/>
        </w:rPr>
        <w:t>2018</w:t>
      </w:r>
      <w:r w:rsidRPr="001B6C67">
        <w:rPr>
          <w:rtl/>
        </w:rPr>
        <w:t xml:space="preserve">، كان </w:t>
      </w:r>
      <w:r w:rsidRPr="00AF3116">
        <w:rPr>
          <w:rtl/>
        </w:rPr>
        <w:t>573</w:t>
      </w:r>
      <w:r w:rsidRPr="001B6C67">
        <w:rPr>
          <w:rtl/>
        </w:rPr>
        <w:t xml:space="preserve"> </w:t>
      </w:r>
      <w:r w:rsidRPr="00AF3116">
        <w:rPr>
          <w:rtl/>
        </w:rPr>
        <w:t>450</w:t>
      </w:r>
      <w:r w:rsidRPr="001B6C67">
        <w:rPr>
          <w:rtl/>
        </w:rPr>
        <w:t xml:space="preserve"> شخصاً في تايلاند مصابين بفيروس نقص المناعة البشرية/الإيدز.</w:t>
      </w:r>
    </w:p>
    <w:p w14:paraId="5A300869" w14:textId="77777777" w:rsidR="00DE3D9F" w:rsidRPr="00AF3116" w:rsidRDefault="00DE3D9F" w:rsidP="00AD7242">
      <w:pPr>
        <w:pStyle w:val="H23GA"/>
        <w:rPr>
          <w:lang w:val="ar-SA" w:eastAsia="zh-TW" w:bidi="en-GB"/>
        </w:rPr>
      </w:pPr>
      <w:r w:rsidRPr="00AF3116">
        <w:rPr>
          <w:rtl/>
        </w:rPr>
        <w:tab/>
      </w:r>
      <w:r w:rsidRPr="00AF3116">
        <w:rPr>
          <w:rtl/>
        </w:rPr>
        <w:tab/>
        <w:t>التعليم</w:t>
      </w:r>
    </w:p>
    <w:p w14:paraId="7FBF9642" w14:textId="77777777" w:rsidR="00DE3D9F" w:rsidRPr="001B6C67" w:rsidRDefault="00DE3D9F" w:rsidP="00DE3D9F">
      <w:pPr>
        <w:pStyle w:val="SingleTxtGA"/>
        <w:rPr>
          <w:lang w:val="ar-SA" w:eastAsia="zh-TW" w:bidi="en-GB"/>
        </w:rPr>
      </w:pPr>
      <w:bookmarkStart w:id="7" w:name="_Ref45066167"/>
      <w:r w:rsidRPr="00AF3116">
        <w:rPr>
          <w:rtl/>
        </w:rPr>
        <w:t>29</w:t>
      </w:r>
      <w:r w:rsidRPr="001B6C67">
        <w:rPr>
          <w:rtl/>
        </w:rPr>
        <w:t>-</w:t>
      </w:r>
      <w:r w:rsidRPr="001B6C67">
        <w:rPr>
          <w:rtl/>
        </w:rPr>
        <w:tab/>
        <w:t xml:space="preserve">اعتمدت تايلند سياسة "التعليم للجميع" (انظر الفقرة </w:t>
      </w:r>
      <w:r w:rsidRPr="00AF3116">
        <w:rPr>
          <w:rtl/>
        </w:rPr>
        <w:t>114</w:t>
      </w:r>
      <w:r w:rsidRPr="001B6C67">
        <w:rPr>
          <w:rtl/>
        </w:rPr>
        <w:t>). وبلغ</w:t>
      </w:r>
      <w:r>
        <w:rPr>
          <w:rtl/>
        </w:rPr>
        <w:t xml:space="preserve"> صافي</w:t>
      </w:r>
      <w:r w:rsidRPr="001B6C67">
        <w:rPr>
          <w:rtl/>
        </w:rPr>
        <w:t xml:space="preserve"> نسبة الالتحاق بالتعليم الابتدائي والثانوي، ال</w:t>
      </w:r>
      <w:r>
        <w:rPr>
          <w:rtl/>
        </w:rPr>
        <w:t>ذ</w:t>
      </w:r>
      <w:r w:rsidRPr="001B6C67">
        <w:rPr>
          <w:rtl/>
        </w:rPr>
        <w:t xml:space="preserve">ي </w:t>
      </w:r>
      <w:r>
        <w:rPr>
          <w:rtl/>
        </w:rPr>
        <w:t>حُسِب من ا</w:t>
      </w:r>
      <w:r w:rsidRPr="001B6C67">
        <w:rPr>
          <w:rtl/>
        </w:rPr>
        <w:t xml:space="preserve">لطلاب كنسبة مئوية من السكان في سن الدراسة، نسبة </w:t>
      </w:r>
      <w:r w:rsidRPr="00AF3116">
        <w:rPr>
          <w:rtl/>
        </w:rPr>
        <w:t>102</w:t>
      </w:r>
      <w:r w:rsidRPr="001B6C67">
        <w:rPr>
          <w:rtl/>
        </w:rPr>
        <w:t>,</w:t>
      </w:r>
      <w:r w:rsidRPr="00AF3116">
        <w:rPr>
          <w:rtl/>
        </w:rPr>
        <w:t>74</w:t>
      </w:r>
      <w:r w:rsidRPr="001B6C67">
        <w:rPr>
          <w:rtl/>
        </w:rPr>
        <w:t xml:space="preserve"> في المائة (</w:t>
      </w:r>
      <w:r w:rsidRPr="00AF3116">
        <w:rPr>
          <w:rtl/>
        </w:rPr>
        <w:t>46</w:t>
      </w:r>
      <w:r w:rsidRPr="001B6C67">
        <w:rPr>
          <w:rtl/>
        </w:rPr>
        <w:t>,</w:t>
      </w:r>
      <w:r w:rsidRPr="00AF3116">
        <w:rPr>
          <w:rtl/>
        </w:rPr>
        <w:t>72</w:t>
      </w:r>
      <w:r w:rsidRPr="001B6C67">
        <w:rPr>
          <w:rtl/>
        </w:rPr>
        <w:t xml:space="preserve"> في المائة من الإناث و</w:t>
      </w:r>
      <w:r w:rsidRPr="00AF3116">
        <w:rPr>
          <w:rtl/>
        </w:rPr>
        <w:t>53</w:t>
      </w:r>
      <w:r w:rsidRPr="001B6C67">
        <w:rPr>
          <w:rtl/>
        </w:rPr>
        <w:t>,</w:t>
      </w:r>
      <w:r w:rsidRPr="00AF3116">
        <w:rPr>
          <w:rtl/>
        </w:rPr>
        <w:t>28</w:t>
      </w:r>
      <w:r w:rsidRPr="001B6C67">
        <w:rPr>
          <w:rtl/>
        </w:rPr>
        <w:t xml:space="preserve"> في المائة من الذكور) و</w:t>
      </w:r>
      <w:r w:rsidRPr="00AF3116">
        <w:rPr>
          <w:rtl/>
        </w:rPr>
        <w:t>87</w:t>
      </w:r>
      <w:r w:rsidRPr="001B6C67">
        <w:rPr>
          <w:rtl/>
        </w:rPr>
        <w:t>,</w:t>
      </w:r>
      <w:r w:rsidRPr="00AF3116">
        <w:rPr>
          <w:rtl/>
        </w:rPr>
        <w:t>52</w:t>
      </w:r>
      <w:r w:rsidRPr="001B6C67">
        <w:rPr>
          <w:rtl/>
        </w:rPr>
        <w:t xml:space="preserve"> في المائة (</w:t>
      </w:r>
      <w:r w:rsidRPr="00AF3116">
        <w:rPr>
          <w:rtl/>
        </w:rPr>
        <w:t>50</w:t>
      </w:r>
      <w:r w:rsidRPr="001B6C67">
        <w:rPr>
          <w:rtl/>
        </w:rPr>
        <w:t>,</w:t>
      </w:r>
      <w:r w:rsidRPr="00AF3116">
        <w:rPr>
          <w:rtl/>
        </w:rPr>
        <w:t>25</w:t>
      </w:r>
      <w:r w:rsidRPr="001B6C67">
        <w:rPr>
          <w:rtl/>
        </w:rPr>
        <w:t xml:space="preserve"> في المائة من الإناث و</w:t>
      </w:r>
      <w:r w:rsidRPr="00AF3116">
        <w:rPr>
          <w:rtl/>
        </w:rPr>
        <w:t>49</w:t>
      </w:r>
      <w:r w:rsidRPr="001B6C67">
        <w:rPr>
          <w:rtl/>
        </w:rPr>
        <w:t>,</w:t>
      </w:r>
      <w:r w:rsidRPr="00AF3116">
        <w:rPr>
          <w:rtl/>
        </w:rPr>
        <w:t>75</w:t>
      </w:r>
      <w:r w:rsidRPr="001B6C67">
        <w:rPr>
          <w:rtl/>
        </w:rPr>
        <w:t xml:space="preserve"> في المائة من الذكور)، على التوالي. </w:t>
      </w:r>
      <w:bookmarkEnd w:id="7"/>
    </w:p>
    <w:p w14:paraId="73F45450" w14:textId="154E9FF6" w:rsidR="00DE3D9F" w:rsidRPr="001B6C67" w:rsidRDefault="00DE3D9F" w:rsidP="00DE3D9F">
      <w:pPr>
        <w:pStyle w:val="SingleTxtGA"/>
        <w:rPr>
          <w:lang w:val="ar-SA" w:eastAsia="zh-TW" w:bidi="en-GB"/>
        </w:rPr>
      </w:pPr>
      <w:r w:rsidRPr="00AF3116">
        <w:rPr>
          <w:rtl/>
        </w:rPr>
        <w:t>30</w:t>
      </w:r>
      <w:r w:rsidRPr="001B6C67">
        <w:rPr>
          <w:rtl/>
        </w:rPr>
        <w:t>-</w:t>
      </w:r>
      <w:r w:rsidRPr="001B6C67">
        <w:rPr>
          <w:rtl/>
        </w:rPr>
        <w:tab/>
        <w:t xml:space="preserve">وبلغت معدلات التسرب في عام </w:t>
      </w:r>
      <w:r w:rsidRPr="00AF3116">
        <w:rPr>
          <w:rtl/>
        </w:rPr>
        <w:t>2016</w:t>
      </w:r>
      <w:r w:rsidRPr="001B6C67">
        <w:rPr>
          <w:rtl/>
        </w:rPr>
        <w:t xml:space="preserve"> نسبة </w:t>
      </w:r>
      <w:r w:rsidRPr="00AF3116">
        <w:rPr>
          <w:rtl/>
        </w:rPr>
        <w:t>0</w:t>
      </w:r>
      <w:r w:rsidRPr="001B6C67">
        <w:rPr>
          <w:rtl/>
        </w:rPr>
        <w:t>,</w:t>
      </w:r>
      <w:r w:rsidRPr="00AF3116">
        <w:rPr>
          <w:rtl/>
        </w:rPr>
        <w:t>04</w:t>
      </w:r>
      <w:r w:rsidRPr="001B6C67">
        <w:rPr>
          <w:rtl/>
        </w:rPr>
        <w:t xml:space="preserve"> في المائة في التعليم الابتدائي و</w:t>
      </w:r>
      <w:r w:rsidRPr="00AF3116">
        <w:rPr>
          <w:rtl/>
        </w:rPr>
        <w:t>0</w:t>
      </w:r>
      <w:r w:rsidRPr="001B6C67">
        <w:rPr>
          <w:rtl/>
        </w:rPr>
        <w:t>,</w:t>
      </w:r>
      <w:r w:rsidRPr="00AF3116">
        <w:rPr>
          <w:rtl/>
        </w:rPr>
        <w:t>16</w:t>
      </w:r>
      <w:r w:rsidRPr="001B6C67">
        <w:rPr>
          <w:rtl/>
        </w:rPr>
        <w:t xml:space="preserve"> في</w:t>
      </w:r>
      <w:r w:rsidR="00AD7242">
        <w:rPr>
          <w:rFonts w:hint="cs"/>
          <w:rtl/>
        </w:rPr>
        <w:t> </w:t>
      </w:r>
      <w:r w:rsidRPr="001B6C67">
        <w:rPr>
          <w:rtl/>
        </w:rPr>
        <w:t>المائة في التعليم الثانوي الأدنى و</w:t>
      </w:r>
      <w:r w:rsidRPr="00AF3116">
        <w:rPr>
          <w:rtl/>
        </w:rPr>
        <w:t>0</w:t>
      </w:r>
      <w:r w:rsidRPr="001B6C67">
        <w:rPr>
          <w:rtl/>
        </w:rPr>
        <w:t>,</w:t>
      </w:r>
      <w:r w:rsidRPr="00AF3116">
        <w:rPr>
          <w:rtl/>
        </w:rPr>
        <w:t>13</w:t>
      </w:r>
      <w:r w:rsidRPr="001B6C67">
        <w:rPr>
          <w:rtl/>
        </w:rPr>
        <w:t xml:space="preserve"> في المائة في التعليم الثانوي العالي، مما يمثل </w:t>
      </w:r>
      <w:r w:rsidRPr="00AF3116">
        <w:rPr>
          <w:rtl/>
        </w:rPr>
        <w:t>377</w:t>
      </w:r>
      <w:r w:rsidRPr="001B6C67">
        <w:rPr>
          <w:rtl/>
        </w:rPr>
        <w:t xml:space="preserve"> </w:t>
      </w:r>
      <w:r w:rsidRPr="00AF3116">
        <w:rPr>
          <w:rtl/>
        </w:rPr>
        <w:t>5</w:t>
      </w:r>
      <w:r w:rsidRPr="001B6C67">
        <w:rPr>
          <w:rtl/>
        </w:rPr>
        <w:t xml:space="preserve"> طالباً في المجموع.</w:t>
      </w:r>
    </w:p>
    <w:p w14:paraId="7F538874" w14:textId="77777777" w:rsidR="00DE3D9F" w:rsidRPr="001B6C67" w:rsidRDefault="00DE3D9F" w:rsidP="00DE3D9F">
      <w:pPr>
        <w:pStyle w:val="SingleTxtGA"/>
        <w:rPr>
          <w:lang w:val="ar-SA" w:eastAsia="zh-TW" w:bidi="en-GB"/>
        </w:rPr>
      </w:pPr>
      <w:r w:rsidRPr="00AF3116">
        <w:rPr>
          <w:rtl/>
        </w:rPr>
        <w:t>31</w:t>
      </w:r>
      <w:r w:rsidRPr="001B6C67">
        <w:rPr>
          <w:rtl/>
        </w:rPr>
        <w:t>-</w:t>
      </w:r>
      <w:r w:rsidRPr="001B6C67">
        <w:rPr>
          <w:rtl/>
        </w:rPr>
        <w:tab/>
        <w:t xml:space="preserve">ووفقاً لمسح برنامج التقييم الدولي للطلاب لعام </w:t>
      </w:r>
      <w:r w:rsidRPr="00AF3116">
        <w:rPr>
          <w:rtl/>
        </w:rPr>
        <w:t>2018</w:t>
      </w:r>
      <w:r w:rsidRPr="001B6C67">
        <w:rPr>
          <w:rtl/>
        </w:rPr>
        <w:t xml:space="preserve">، كان متوسط درجات الطلاب التايلانديين في القراءة والرياضيات والعلوم </w:t>
      </w:r>
      <w:r w:rsidRPr="00AF3116">
        <w:rPr>
          <w:rtl/>
        </w:rPr>
        <w:t>393</w:t>
      </w:r>
      <w:r w:rsidRPr="001B6C67">
        <w:rPr>
          <w:rtl/>
        </w:rPr>
        <w:t xml:space="preserve"> و</w:t>
      </w:r>
      <w:r w:rsidRPr="00AF3116">
        <w:rPr>
          <w:rtl/>
        </w:rPr>
        <w:t>419</w:t>
      </w:r>
      <w:r w:rsidRPr="001B6C67">
        <w:rPr>
          <w:rtl/>
        </w:rPr>
        <w:t xml:space="preserve"> و</w:t>
      </w:r>
      <w:r w:rsidRPr="00AF3116">
        <w:rPr>
          <w:rtl/>
        </w:rPr>
        <w:t>426</w:t>
      </w:r>
      <w:r w:rsidRPr="001B6C67">
        <w:rPr>
          <w:rtl/>
        </w:rPr>
        <w:t xml:space="preserve">، أي أقل من متوسط </w:t>
      </w:r>
      <w:r w:rsidRPr="008972FC">
        <w:rPr>
          <w:rtl/>
        </w:rPr>
        <w:t xml:space="preserve">منظمة التعاون والتنمية في </w:t>
      </w:r>
      <w:r w:rsidRPr="00FE57EB">
        <w:rPr>
          <w:spacing w:val="4"/>
          <w:rtl/>
        </w:rPr>
        <w:t xml:space="preserve">الميدان الاقتصادي الذي بلغ </w:t>
      </w:r>
      <w:r w:rsidRPr="00AF3116">
        <w:rPr>
          <w:spacing w:val="4"/>
          <w:rtl/>
        </w:rPr>
        <w:t>487</w:t>
      </w:r>
      <w:r w:rsidRPr="00FE57EB">
        <w:rPr>
          <w:spacing w:val="4"/>
          <w:rtl/>
        </w:rPr>
        <w:t xml:space="preserve"> و</w:t>
      </w:r>
      <w:r w:rsidRPr="00AF3116">
        <w:rPr>
          <w:spacing w:val="4"/>
          <w:rtl/>
        </w:rPr>
        <w:t>489</w:t>
      </w:r>
      <w:r w:rsidRPr="00FE57EB">
        <w:rPr>
          <w:spacing w:val="4"/>
          <w:rtl/>
        </w:rPr>
        <w:t xml:space="preserve"> </w:t>
      </w:r>
      <w:proofErr w:type="spellStart"/>
      <w:r w:rsidRPr="00FE57EB">
        <w:rPr>
          <w:spacing w:val="4"/>
          <w:rtl/>
        </w:rPr>
        <w:t>و</w:t>
      </w:r>
      <w:r w:rsidRPr="00AF3116">
        <w:rPr>
          <w:spacing w:val="4"/>
          <w:rtl/>
        </w:rPr>
        <w:t>489</w:t>
      </w:r>
      <w:proofErr w:type="spellEnd"/>
      <w:r w:rsidRPr="00FE57EB">
        <w:rPr>
          <w:spacing w:val="4"/>
          <w:rtl/>
        </w:rPr>
        <w:t xml:space="preserve">، على التوالي. وكان متوسط درجة القراءة أقل بمقدار </w:t>
      </w:r>
      <w:r w:rsidRPr="00AF3116">
        <w:rPr>
          <w:spacing w:val="4"/>
          <w:rtl/>
        </w:rPr>
        <w:t>16</w:t>
      </w:r>
      <w:r w:rsidRPr="00FE57EB">
        <w:rPr>
          <w:spacing w:val="4"/>
          <w:rtl/>
        </w:rPr>
        <w:t xml:space="preserve"> نقطة</w:t>
      </w:r>
      <w:r w:rsidRPr="001B6C67">
        <w:rPr>
          <w:rtl/>
        </w:rPr>
        <w:t xml:space="preserve"> مما كان عليه في مسح برنامج التقييم الدولي للطلاب لعام </w:t>
      </w:r>
      <w:r w:rsidRPr="00AF3116">
        <w:rPr>
          <w:rtl/>
        </w:rPr>
        <w:t>2015</w:t>
      </w:r>
      <w:r w:rsidRPr="001B6C67">
        <w:rPr>
          <w:rtl/>
        </w:rPr>
        <w:t xml:space="preserve">، في حين زاد متوسط الدرجات في الرياضيات والعلوم بمقدار </w:t>
      </w:r>
      <w:r w:rsidRPr="00AF3116">
        <w:rPr>
          <w:rtl/>
        </w:rPr>
        <w:t>4</w:t>
      </w:r>
      <w:r w:rsidRPr="001B6C67">
        <w:rPr>
          <w:rtl/>
        </w:rPr>
        <w:t xml:space="preserve"> و</w:t>
      </w:r>
      <w:r w:rsidRPr="00AF3116">
        <w:rPr>
          <w:rtl/>
        </w:rPr>
        <w:t>5</w:t>
      </w:r>
      <w:r w:rsidRPr="001B6C67">
        <w:rPr>
          <w:rtl/>
        </w:rPr>
        <w:t xml:space="preserve"> نقاط، على التوالي. وسجلت الفتيات درجات أعلى من الفتيان في القراءة بمقدار </w:t>
      </w:r>
      <w:r w:rsidRPr="00AF3116">
        <w:rPr>
          <w:rtl/>
        </w:rPr>
        <w:t>39</w:t>
      </w:r>
      <w:r w:rsidRPr="001B6C67">
        <w:rPr>
          <w:rtl/>
        </w:rPr>
        <w:t xml:space="preserve"> نقطة، وفي الرياضيات بمقدار </w:t>
      </w:r>
      <w:r w:rsidRPr="00AF3116">
        <w:rPr>
          <w:rtl/>
        </w:rPr>
        <w:t>16</w:t>
      </w:r>
      <w:r w:rsidRPr="001B6C67">
        <w:rPr>
          <w:rtl/>
        </w:rPr>
        <w:t xml:space="preserve"> نقطة، وفي العلوم بمقدار </w:t>
      </w:r>
      <w:r w:rsidRPr="00AF3116">
        <w:rPr>
          <w:rtl/>
        </w:rPr>
        <w:t>20</w:t>
      </w:r>
      <w:r w:rsidRPr="001B6C67">
        <w:rPr>
          <w:rtl/>
        </w:rPr>
        <w:t xml:space="preserve"> نقطة. </w:t>
      </w:r>
    </w:p>
    <w:p w14:paraId="42A6D309" w14:textId="77777777" w:rsidR="00DE3D9F" w:rsidRPr="001B6C67" w:rsidRDefault="00DE3D9F" w:rsidP="00DE3D9F">
      <w:pPr>
        <w:pStyle w:val="SingleTxtGA"/>
        <w:rPr>
          <w:lang w:val="ar-SA" w:eastAsia="zh-TW" w:bidi="en-GB"/>
        </w:rPr>
      </w:pPr>
      <w:r w:rsidRPr="00AF3116">
        <w:rPr>
          <w:rtl/>
        </w:rPr>
        <w:t>32</w:t>
      </w:r>
      <w:r w:rsidRPr="001B6C67">
        <w:rPr>
          <w:rtl/>
        </w:rPr>
        <w:t>-</w:t>
      </w:r>
      <w:r w:rsidRPr="001B6C67">
        <w:rPr>
          <w:rtl/>
        </w:rPr>
        <w:tab/>
        <w:t xml:space="preserve">وفي العام الدراسي </w:t>
      </w:r>
      <w:r w:rsidRPr="00AF3116">
        <w:rPr>
          <w:rtl/>
        </w:rPr>
        <w:t>2018</w:t>
      </w:r>
      <w:r w:rsidRPr="001B6C67">
        <w:rPr>
          <w:rtl/>
        </w:rPr>
        <w:t xml:space="preserve">، تلقى </w:t>
      </w:r>
      <w:r w:rsidRPr="00AF3116">
        <w:rPr>
          <w:rtl/>
        </w:rPr>
        <w:t>040</w:t>
      </w:r>
      <w:r w:rsidRPr="001B6C67">
        <w:rPr>
          <w:rtl/>
        </w:rPr>
        <w:t xml:space="preserve"> </w:t>
      </w:r>
      <w:r w:rsidRPr="00AF3116">
        <w:rPr>
          <w:rtl/>
        </w:rPr>
        <w:t>510</w:t>
      </w:r>
      <w:r w:rsidRPr="001B6C67">
        <w:rPr>
          <w:rtl/>
        </w:rPr>
        <w:t xml:space="preserve"> طالباً يعانون من ظروف خاصة في </w:t>
      </w:r>
      <w:r w:rsidRPr="00AF3116">
        <w:rPr>
          <w:rtl/>
        </w:rPr>
        <w:t>557</w:t>
      </w:r>
      <w:r w:rsidRPr="001B6C67">
        <w:rPr>
          <w:rtl/>
        </w:rPr>
        <w:t xml:space="preserve"> </w:t>
      </w:r>
      <w:r w:rsidRPr="00AF3116">
        <w:rPr>
          <w:rtl/>
        </w:rPr>
        <w:t>26</w:t>
      </w:r>
      <w:r w:rsidRPr="001B6C67">
        <w:rPr>
          <w:rtl/>
        </w:rPr>
        <w:t xml:space="preserve"> مدرسة تابعة لمكتب لجنة التعليم الأساسي منحاً من صندوق التعليم المنصف. ويمكن الاطلاع على مزيد من المعلومات عن برنامج صندوق التعليم المنصف في الفقرة </w:t>
      </w:r>
      <w:r w:rsidRPr="00AF3116">
        <w:rPr>
          <w:rtl/>
        </w:rPr>
        <w:t>115</w:t>
      </w:r>
      <w:r w:rsidRPr="001B6C67">
        <w:rPr>
          <w:rtl/>
        </w:rPr>
        <w:t>.</w:t>
      </w:r>
    </w:p>
    <w:p w14:paraId="14FAD4B7" w14:textId="77777777" w:rsidR="00DE3D9F" w:rsidRPr="00AF3116" w:rsidRDefault="00DE3D9F" w:rsidP="00AD7242">
      <w:pPr>
        <w:pStyle w:val="H1GA"/>
        <w:rPr>
          <w:lang w:val="ar-SA" w:eastAsia="zh-TW" w:bidi="en-GB"/>
        </w:rPr>
      </w:pPr>
      <w:r w:rsidRPr="00AF3116">
        <w:rPr>
          <w:rtl/>
        </w:rPr>
        <w:lastRenderedPageBreak/>
        <w:tab/>
      </w:r>
      <w:bookmarkStart w:id="8" w:name="_Toc92899415"/>
      <w:r w:rsidRPr="00AF3116">
        <w:rPr>
          <w:rtl/>
        </w:rPr>
        <w:t>باء-</w:t>
      </w:r>
      <w:r w:rsidRPr="00AF3116">
        <w:rPr>
          <w:rtl/>
        </w:rPr>
        <w:tab/>
        <w:t>الهيكل الدستوري والسياسي والقانوني</w:t>
      </w:r>
      <w:bookmarkStart w:id="9" w:name="_Toc89701534"/>
      <w:bookmarkEnd w:id="9"/>
      <w:bookmarkEnd w:id="8"/>
    </w:p>
    <w:p w14:paraId="75BF3F27" w14:textId="77777777" w:rsidR="00DE3D9F" w:rsidRPr="001B6C67" w:rsidRDefault="00DE3D9F" w:rsidP="00DE3D9F">
      <w:pPr>
        <w:pStyle w:val="SingleTxtGA"/>
        <w:rPr>
          <w:lang w:val="ar-SA" w:eastAsia="zh-TW" w:bidi="en-GB"/>
        </w:rPr>
      </w:pPr>
      <w:r w:rsidRPr="00AF3116">
        <w:rPr>
          <w:rtl/>
        </w:rPr>
        <w:t>33</w:t>
      </w:r>
      <w:r w:rsidRPr="001B6C67">
        <w:rPr>
          <w:rtl/>
        </w:rPr>
        <w:t>-</w:t>
      </w:r>
      <w:r w:rsidRPr="001B6C67">
        <w:rPr>
          <w:rtl/>
        </w:rPr>
        <w:tab/>
        <w:t xml:space="preserve">كانت تايلاند (المعروفة سابقاً باسم سيام) تخضع لحكم نظام ملكي مطلق وأصبحت ملكية دستورية في عام </w:t>
      </w:r>
      <w:r w:rsidRPr="00AF3116">
        <w:rPr>
          <w:rtl/>
        </w:rPr>
        <w:t>1932</w:t>
      </w:r>
      <w:r w:rsidRPr="001B6C67">
        <w:rPr>
          <w:rtl/>
        </w:rPr>
        <w:t xml:space="preserve">. والملك الحاكم هو صاحب الجلالة الملك مها </w:t>
      </w:r>
      <w:proofErr w:type="spellStart"/>
      <w:r w:rsidRPr="001B6C67">
        <w:rPr>
          <w:rtl/>
        </w:rPr>
        <w:t>فاجيرالونغكورن</w:t>
      </w:r>
      <w:proofErr w:type="spellEnd"/>
      <w:r w:rsidRPr="001B6C67">
        <w:rPr>
          <w:rtl/>
        </w:rPr>
        <w:t xml:space="preserve"> فرا </w:t>
      </w:r>
      <w:proofErr w:type="spellStart"/>
      <w:r w:rsidRPr="001B6C67">
        <w:rPr>
          <w:rtl/>
        </w:rPr>
        <w:t>فاجيراكالاوتشاويوهوا</w:t>
      </w:r>
      <w:proofErr w:type="spellEnd"/>
      <w:r w:rsidRPr="001B6C67">
        <w:rPr>
          <w:rtl/>
        </w:rPr>
        <w:t xml:space="preserve">، الملك العاشر </w:t>
      </w:r>
      <w:r>
        <w:rPr>
          <w:rtl/>
        </w:rPr>
        <w:t xml:space="preserve">من </w:t>
      </w:r>
      <w:r w:rsidRPr="001B6C67">
        <w:rPr>
          <w:rtl/>
        </w:rPr>
        <w:t xml:space="preserve">أسرة شاكري. </w:t>
      </w:r>
    </w:p>
    <w:p w14:paraId="44E6B0BB" w14:textId="26ADFF8B" w:rsidR="00DE3D9F" w:rsidRPr="001B6C67" w:rsidRDefault="00DE3D9F" w:rsidP="00DE3D9F">
      <w:pPr>
        <w:pStyle w:val="SingleTxtGA"/>
        <w:rPr>
          <w:lang w:val="ar-SA" w:eastAsia="zh-TW" w:bidi="en-GB"/>
        </w:rPr>
      </w:pPr>
      <w:r w:rsidRPr="00AF3116">
        <w:rPr>
          <w:rtl/>
        </w:rPr>
        <w:t>34</w:t>
      </w:r>
      <w:r w:rsidRPr="001B6C67">
        <w:rPr>
          <w:rtl/>
        </w:rPr>
        <w:t>-</w:t>
      </w:r>
      <w:r w:rsidRPr="001B6C67">
        <w:rPr>
          <w:rtl/>
        </w:rPr>
        <w:tab/>
        <w:t xml:space="preserve">وصدر </w:t>
      </w:r>
      <w:r>
        <w:rPr>
          <w:rtl/>
        </w:rPr>
        <w:t>ال</w:t>
      </w:r>
      <w:r w:rsidRPr="001B6C67">
        <w:rPr>
          <w:rtl/>
        </w:rPr>
        <w:t xml:space="preserve">دستور </w:t>
      </w:r>
      <w:r>
        <w:rPr>
          <w:rtl/>
        </w:rPr>
        <w:t>الحالي</w:t>
      </w:r>
      <w:r w:rsidRPr="001B6C67">
        <w:rPr>
          <w:rtl/>
        </w:rPr>
        <w:t xml:space="preserve"> في </w:t>
      </w:r>
      <w:r w:rsidRPr="00AF3116">
        <w:rPr>
          <w:rtl/>
        </w:rPr>
        <w:t>6</w:t>
      </w:r>
      <w:r w:rsidRPr="001B6C67">
        <w:rPr>
          <w:rtl/>
        </w:rPr>
        <w:t xml:space="preserve"> نيسان/أبريل </w:t>
      </w:r>
      <w:r w:rsidRPr="00AF3116">
        <w:rPr>
          <w:rtl/>
        </w:rPr>
        <w:t>2017</w:t>
      </w:r>
      <w:r w:rsidRPr="001B6C67">
        <w:rPr>
          <w:rtl/>
        </w:rPr>
        <w:t xml:space="preserve"> ليحل محل الدستور المؤقت لعام </w:t>
      </w:r>
      <w:r w:rsidRPr="00AF3116">
        <w:rPr>
          <w:rtl/>
        </w:rPr>
        <w:t>2014</w:t>
      </w:r>
      <w:r w:rsidRPr="001B6C67">
        <w:rPr>
          <w:rtl/>
        </w:rPr>
        <w:t xml:space="preserve">. وشددت صياغة دستور عام </w:t>
      </w:r>
      <w:r w:rsidRPr="00AF3116">
        <w:rPr>
          <w:rtl/>
        </w:rPr>
        <w:t>2017</w:t>
      </w:r>
      <w:r w:rsidRPr="001B6C67">
        <w:rPr>
          <w:rtl/>
        </w:rPr>
        <w:t xml:space="preserve"> على المشاركة العامة، بما في ذلك من خلال وسائل التواصل الاجتماعي. وأُقِر المشروع من خلال استفتاء وطني في آب/أغسطس </w:t>
      </w:r>
      <w:r w:rsidRPr="00AF3116">
        <w:rPr>
          <w:rtl/>
        </w:rPr>
        <w:t>2016</w:t>
      </w:r>
      <w:r w:rsidRPr="001B6C67">
        <w:rPr>
          <w:rtl/>
        </w:rPr>
        <w:t xml:space="preserve"> بتأييد </w:t>
      </w:r>
      <w:r w:rsidRPr="00AF3116">
        <w:rPr>
          <w:rtl/>
        </w:rPr>
        <w:t>61</w:t>
      </w:r>
      <w:r w:rsidRPr="001B6C67">
        <w:rPr>
          <w:rtl/>
        </w:rPr>
        <w:t>,</w:t>
      </w:r>
      <w:r w:rsidRPr="00AF3116">
        <w:rPr>
          <w:rtl/>
        </w:rPr>
        <w:t>35</w:t>
      </w:r>
      <w:r w:rsidRPr="001B6C67">
        <w:rPr>
          <w:rtl/>
        </w:rPr>
        <w:t xml:space="preserve"> في المئة من</w:t>
      </w:r>
      <w:r w:rsidR="00AD7242">
        <w:rPr>
          <w:rFonts w:hint="eastAsia"/>
          <w:rtl/>
        </w:rPr>
        <w:t> </w:t>
      </w:r>
      <w:r w:rsidRPr="001B6C67">
        <w:rPr>
          <w:rtl/>
        </w:rPr>
        <w:t>الأصوات.</w:t>
      </w:r>
    </w:p>
    <w:p w14:paraId="6116CF9F" w14:textId="07E54621" w:rsidR="00DE3D9F" w:rsidRPr="00AD7242" w:rsidRDefault="00DE3D9F" w:rsidP="00DE3D9F">
      <w:pPr>
        <w:pStyle w:val="SingleTxtGA"/>
        <w:rPr>
          <w:lang w:val="en-US" w:eastAsia="zh-TW" w:bidi="en-GB"/>
        </w:rPr>
      </w:pPr>
      <w:r w:rsidRPr="00AF3116">
        <w:rPr>
          <w:rtl/>
        </w:rPr>
        <w:t>35</w:t>
      </w:r>
      <w:r w:rsidRPr="001B6C67">
        <w:rPr>
          <w:rtl/>
        </w:rPr>
        <w:t>-</w:t>
      </w:r>
      <w:r w:rsidRPr="00FE57EB">
        <w:rPr>
          <w:spacing w:val="-4"/>
          <w:rtl/>
        </w:rPr>
        <w:tab/>
        <w:t xml:space="preserve">ووفقاً لدستور عام </w:t>
      </w:r>
      <w:r w:rsidRPr="00AF3116">
        <w:rPr>
          <w:spacing w:val="-4"/>
          <w:rtl/>
        </w:rPr>
        <w:t>2017</w:t>
      </w:r>
      <w:r w:rsidRPr="00FE57EB">
        <w:rPr>
          <w:spacing w:val="-4"/>
          <w:rtl/>
        </w:rPr>
        <w:t xml:space="preserve">، يجسد النظام السياسي التايلاندي الخصائص الأربع التالية. </w:t>
      </w:r>
      <w:r w:rsidRPr="00FE57EB">
        <w:rPr>
          <w:spacing w:val="-4"/>
        </w:rPr>
        <w:t>’</w:t>
      </w:r>
      <w:r w:rsidRPr="00AF3116">
        <w:rPr>
          <w:spacing w:val="-4"/>
          <w:rtl/>
        </w:rPr>
        <w:t>1</w:t>
      </w:r>
      <w:r w:rsidRPr="00FE57EB">
        <w:rPr>
          <w:spacing w:val="-4"/>
          <w:rtl/>
        </w:rPr>
        <w:t>‘ نظام ملكي دستوري، ’</w:t>
      </w:r>
      <w:r w:rsidRPr="00AF3116">
        <w:rPr>
          <w:spacing w:val="-4"/>
          <w:rtl/>
        </w:rPr>
        <w:t>2</w:t>
      </w:r>
      <w:r w:rsidRPr="00FE57EB">
        <w:rPr>
          <w:spacing w:val="-4"/>
          <w:rtl/>
        </w:rPr>
        <w:t>‘ دولة نظام وحدوي، ’</w:t>
      </w:r>
      <w:r w:rsidRPr="00AF3116">
        <w:rPr>
          <w:spacing w:val="-4"/>
          <w:rtl/>
        </w:rPr>
        <w:t>3</w:t>
      </w:r>
      <w:r w:rsidRPr="00FE57EB">
        <w:rPr>
          <w:spacing w:val="-4"/>
          <w:rtl/>
        </w:rPr>
        <w:t>‘ نظام فصل بين السلطات، ’</w:t>
      </w:r>
      <w:r w:rsidRPr="00AF3116">
        <w:rPr>
          <w:spacing w:val="-4"/>
          <w:rtl/>
        </w:rPr>
        <w:t>4</w:t>
      </w:r>
      <w:r w:rsidRPr="00FE57EB">
        <w:rPr>
          <w:spacing w:val="-4"/>
          <w:rtl/>
        </w:rPr>
        <w:t>‘ نظام برلماني ذو</w:t>
      </w:r>
      <w:r w:rsidR="00AD7242" w:rsidRPr="00FE57EB">
        <w:rPr>
          <w:rFonts w:hint="cs"/>
          <w:spacing w:val="-4"/>
          <w:rtl/>
        </w:rPr>
        <w:t> </w:t>
      </w:r>
      <w:r w:rsidRPr="00FE57EB">
        <w:rPr>
          <w:spacing w:val="-4"/>
          <w:rtl/>
        </w:rPr>
        <w:t>مجلسين</w:t>
      </w:r>
      <w:r w:rsidRPr="001B6C67">
        <w:rPr>
          <w:rtl/>
        </w:rPr>
        <w:t>.</w:t>
      </w:r>
    </w:p>
    <w:p w14:paraId="4327F0DC" w14:textId="77777777" w:rsidR="00DE3D9F" w:rsidRPr="001B6C67" w:rsidRDefault="00DE3D9F" w:rsidP="00DE3D9F">
      <w:pPr>
        <w:pStyle w:val="SingleTxtGA"/>
        <w:rPr>
          <w:lang w:val="ar-SA" w:eastAsia="zh-TW" w:bidi="en-GB"/>
        </w:rPr>
      </w:pPr>
      <w:r w:rsidRPr="00AF3116">
        <w:rPr>
          <w:rtl/>
        </w:rPr>
        <w:t>36</w:t>
      </w:r>
      <w:r w:rsidRPr="001B6C67">
        <w:rPr>
          <w:rtl/>
        </w:rPr>
        <w:t>-</w:t>
      </w:r>
      <w:r w:rsidRPr="001B6C67">
        <w:rPr>
          <w:rtl/>
        </w:rPr>
        <w:tab/>
        <w:t>وتعود السلطة السيادية للشعب التايلندي. ويمارس الملك بصفته رئيساً للدولة السلطات التشريعية والتنفيذية والقضائية من خلال البرلمان والحكومة والمحاكم على التوالي وفقاً لأحكام هذا الدستور. والطابع الديمقراطي للنظام السياسي التايلندي مضمون بالفصل التام بين السلطة القضائية والفروع الأخرى، وبالتالي استقلال المحاكم.</w:t>
      </w:r>
    </w:p>
    <w:p w14:paraId="6E50098D" w14:textId="77777777" w:rsidR="00DE3D9F" w:rsidRPr="00AF3116" w:rsidRDefault="00DE3D9F" w:rsidP="00AD7242">
      <w:pPr>
        <w:pStyle w:val="H23GA"/>
        <w:rPr>
          <w:lang w:val="ar-SA" w:eastAsia="zh-TW" w:bidi="en-GB"/>
        </w:rPr>
      </w:pPr>
      <w:r w:rsidRPr="00AF3116">
        <w:rPr>
          <w:rtl/>
        </w:rPr>
        <w:tab/>
      </w:r>
      <w:r w:rsidRPr="00AF3116">
        <w:rPr>
          <w:rtl/>
        </w:rPr>
        <w:tab/>
        <w:t>السلطة التشريعية: نظام برلماني ذو مجلسين</w:t>
      </w:r>
    </w:p>
    <w:p w14:paraId="0F8B5A11" w14:textId="411F093F" w:rsidR="00DE3D9F" w:rsidRPr="00AD7242" w:rsidRDefault="00DE3D9F" w:rsidP="00DE3D9F">
      <w:pPr>
        <w:pStyle w:val="SingleTxtGA"/>
        <w:rPr>
          <w:lang w:val="en-US" w:eastAsia="zh-TW" w:bidi="en-GB"/>
        </w:rPr>
      </w:pPr>
      <w:r w:rsidRPr="00AF3116">
        <w:rPr>
          <w:rtl/>
        </w:rPr>
        <w:t>37</w:t>
      </w:r>
      <w:r w:rsidRPr="001B6C67">
        <w:rPr>
          <w:rtl/>
        </w:rPr>
        <w:t>-</w:t>
      </w:r>
      <w:r w:rsidRPr="001B6C67">
        <w:rPr>
          <w:rtl/>
        </w:rPr>
        <w:tab/>
        <w:t xml:space="preserve">ينص دستور عام </w:t>
      </w:r>
      <w:r w:rsidRPr="00AF3116">
        <w:rPr>
          <w:rtl/>
        </w:rPr>
        <w:t>2017</w:t>
      </w:r>
      <w:r w:rsidRPr="001B6C67">
        <w:rPr>
          <w:rtl/>
        </w:rPr>
        <w:t xml:space="preserve"> على أن البرلمان يتكون من مجلسين هما مجلس النواب ومجلس</w:t>
      </w:r>
      <w:r w:rsidR="00AD7242">
        <w:rPr>
          <w:rFonts w:hint="eastAsia"/>
          <w:rtl/>
        </w:rPr>
        <w:t> </w:t>
      </w:r>
      <w:r w:rsidRPr="001B6C67">
        <w:rPr>
          <w:rtl/>
        </w:rPr>
        <w:t>الشيوخ.</w:t>
      </w:r>
    </w:p>
    <w:p w14:paraId="700AEAC1" w14:textId="77777777" w:rsidR="00DE3D9F" w:rsidRPr="001B6C67" w:rsidRDefault="00DE3D9F" w:rsidP="00DE3D9F">
      <w:pPr>
        <w:pStyle w:val="SingleTxtGA"/>
        <w:rPr>
          <w:lang w:val="ar-SA" w:eastAsia="zh-TW" w:bidi="en-GB"/>
        </w:rPr>
      </w:pPr>
      <w:r w:rsidRPr="00AF3116">
        <w:rPr>
          <w:rtl/>
        </w:rPr>
        <w:t>38</w:t>
      </w:r>
      <w:r w:rsidRPr="001B6C67">
        <w:rPr>
          <w:rtl/>
        </w:rPr>
        <w:t>-</w:t>
      </w:r>
      <w:r w:rsidRPr="001B6C67">
        <w:rPr>
          <w:rtl/>
        </w:rPr>
        <w:tab/>
        <w:t xml:space="preserve">ويضم مجلس النواب خمسمائة عضو يتألفون من </w:t>
      </w:r>
      <w:r w:rsidRPr="00AF3116">
        <w:rPr>
          <w:rtl/>
        </w:rPr>
        <w:t>350</w:t>
      </w:r>
      <w:r w:rsidRPr="001B6C67">
        <w:rPr>
          <w:rtl/>
        </w:rPr>
        <w:t xml:space="preserve"> نائباً </w:t>
      </w:r>
      <w:r>
        <w:rPr>
          <w:rtl/>
        </w:rPr>
        <w:t>برلمانياً ل</w:t>
      </w:r>
      <w:r w:rsidRPr="001B6C67">
        <w:rPr>
          <w:rtl/>
        </w:rPr>
        <w:t>لدوائر الانتخابية و</w:t>
      </w:r>
      <w:r w:rsidRPr="00AF3116">
        <w:rPr>
          <w:rtl/>
        </w:rPr>
        <w:t>150</w:t>
      </w:r>
      <w:r w:rsidRPr="001B6C67">
        <w:rPr>
          <w:rtl/>
        </w:rPr>
        <w:t xml:space="preserve"> نائباً </w:t>
      </w:r>
      <w:r>
        <w:rPr>
          <w:rtl/>
        </w:rPr>
        <w:t xml:space="preserve">برلمانياً </w:t>
      </w:r>
      <w:r w:rsidRPr="001B6C67">
        <w:rPr>
          <w:rtl/>
        </w:rPr>
        <w:t>من قائمة الأحزاب يتم اختيارهم وفقاً للتمثيل النسبي.</w:t>
      </w:r>
    </w:p>
    <w:p w14:paraId="6DDCF13C" w14:textId="77777777" w:rsidR="00DE3D9F" w:rsidRPr="001B6C67" w:rsidRDefault="00DE3D9F" w:rsidP="00DE3D9F">
      <w:pPr>
        <w:pStyle w:val="SingleTxtGA"/>
        <w:rPr>
          <w:lang w:val="ar-SA" w:eastAsia="zh-TW" w:bidi="en-GB"/>
        </w:rPr>
      </w:pPr>
      <w:r w:rsidRPr="00AF3116">
        <w:rPr>
          <w:rtl/>
        </w:rPr>
        <w:t>39</w:t>
      </w:r>
      <w:r w:rsidRPr="001B6C67">
        <w:rPr>
          <w:rtl/>
        </w:rPr>
        <w:t>-</w:t>
      </w:r>
      <w:r w:rsidRPr="001B6C67">
        <w:rPr>
          <w:rtl/>
        </w:rPr>
        <w:tab/>
        <w:t xml:space="preserve">ويتألف مجلس الشيوخ من </w:t>
      </w:r>
      <w:r w:rsidRPr="00AF3116">
        <w:rPr>
          <w:rtl/>
        </w:rPr>
        <w:t>200</w:t>
      </w:r>
      <w:r w:rsidRPr="001B6C67">
        <w:rPr>
          <w:rtl/>
        </w:rPr>
        <w:t xml:space="preserve"> عضو </w:t>
      </w:r>
      <w:r>
        <w:rPr>
          <w:rtl/>
        </w:rPr>
        <w:t>تقوم</w:t>
      </w:r>
      <w:r w:rsidRPr="001B6C67">
        <w:rPr>
          <w:rtl/>
        </w:rPr>
        <w:t xml:space="preserve"> </w:t>
      </w:r>
      <w:r>
        <w:rPr>
          <w:rtl/>
        </w:rPr>
        <w:t>ب</w:t>
      </w:r>
      <w:r w:rsidRPr="001B6C67">
        <w:rPr>
          <w:rtl/>
        </w:rPr>
        <w:t>تنصيبهم من بين</w:t>
      </w:r>
      <w:r>
        <w:rPr>
          <w:rtl/>
        </w:rPr>
        <w:t>ها</w:t>
      </w:r>
      <w:r w:rsidRPr="001B6C67">
        <w:rPr>
          <w:rtl/>
        </w:rPr>
        <w:t xml:space="preserve"> مجموعة مختارة من الأشخاص لديهم المعرفة أو الخبرة أو التجربة أو المهنة أو الخصائص أو مصالح مشتركة أو يعملون أو عملوا في مجالات متنوعة من المجتمع. ويتم تقسيم المجموعات بطريقة تمكن كل شخص من أن يكون له الحق في التقدم بطلب لاختياره لكي ينتمي إلى أي مجموعة. غير أن مجلس الشيوخ الأولي الذي له ولاية مدتها خمس سنوات يتألف من </w:t>
      </w:r>
      <w:r w:rsidRPr="00AF3116">
        <w:rPr>
          <w:rtl/>
        </w:rPr>
        <w:t>250</w:t>
      </w:r>
      <w:r w:rsidRPr="001B6C67">
        <w:rPr>
          <w:rtl/>
        </w:rPr>
        <w:t xml:space="preserve"> عضواً يعينهم الملك بناءً على مشورة المجلس الوطني للسلام والنظام.</w:t>
      </w:r>
    </w:p>
    <w:p w14:paraId="501F8634" w14:textId="77777777" w:rsidR="00DE3D9F" w:rsidRPr="001B6C67" w:rsidRDefault="00DE3D9F" w:rsidP="00DE3D9F">
      <w:pPr>
        <w:pStyle w:val="SingleTxtGA"/>
        <w:rPr>
          <w:lang w:val="ar-SA" w:eastAsia="zh-TW" w:bidi="en-GB"/>
        </w:rPr>
      </w:pPr>
      <w:r w:rsidRPr="00AF3116">
        <w:rPr>
          <w:rtl/>
        </w:rPr>
        <w:t>40</w:t>
      </w:r>
      <w:r w:rsidRPr="001B6C67">
        <w:rPr>
          <w:rtl/>
        </w:rPr>
        <w:t>-</w:t>
      </w:r>
      <w:r w:rsidRPr="001B6C67">
        <w:rPr>
          <w:rtl/>
        </w:rPr>
        <w:tab/>
        <w:t xml:space="preserve">وفي الوقت الراهن، هناك </w:t>
      </w:r>
      <w:r w:rsidRPr="00AF3116">
        <w:rPr>
          <w:rtl/>
        </w:rPr>
        <w:t>78</w:t>
      </w:r>
      <w:r w:rsidRPr="001B6C67">
        <w:rPr>
          <w:rtl/>
        </w:rPr>
        <w:t xml:space="preserve"> عضوة في البرلمان (</w:t>
      </w:r>
      <w:r w:rsidRPr="00AF3116">
        <w:rPr>
          <w:rtl/>
        </w:rPr>
        <w:t>15</w:t>
      </w:r>
      <w:r w:rsidRPr="001B6C67">
        <w:rPr>
          <w:rtl/>
        </w:rPr>
        <w:t>,</w:t>
      </w:r>
      <w:r w:rsidRPr="00AF3116">
        <w:rPr>
          <w:rtl/>
        </w:rPr>
        <w:t>6</w:t>
      </w:r>
      <w:r w:rsidRPr="001B6C67">
        <w:rPr>
          <w:rtl/>
        </w:rPr>
        <w:t xml:space="preserve"> في المائة) و</w:t>
      </w:r>
      <w:r w:rsidRPr="00AF3116">
        <w:rPr>
          <w:rtl/>
        </w:rPr>
        <w:t>25</w:t>
      </w:r>
      <w:r w:rsidRPr="001B6C67">
        <w:rPr>
          <w:rtl/>
        </w:rPr>
        <w:t xml:space="preserve"> عضوة في مجلس الشيوخ (</w:t>
      </w:r>
      <w:r w:rsidRPr="00AF3116">
        <w:rPr>
          <w:rtl/>
        </w:rPr>
        <w:t>10</w:t>
      </w:r>
      <w:r w:rsidRPr="001B6C67">
        <w:rPr>
          <w:rtl/>
        </w:rPr>
        <w:t xml:space="preserve"> في المائة).</w:t>
      </w:r>
    </w:p>
    <w:p w14:paraId="646C5906" w14:textId="77777777" w:rsidR="00DE3D9F" w:rsidRPr="00AF3116" w:rsidRDefault="00DE3D9F" w:rsidP="00AD7242">
      <w:pPr>
        <w:pStyle w:val="H23GA"/>
        <w:rPr>
          <w:lang w:val="ar-SA" w:eastAsia="zh-TW" w:bidi="en-GB"/>
        </w:rPr>
      </w:pPr>
      <w:r w:rsidRPr="00AF3116">
        <w:rPr>
          <w:rtl/>
        </w:rPr>
        <w:tab/>
      </w:r>
      <w:r w:rsidRPr="00AF3116">
        <w:rPr>
          <w:rtl/>
        </w:rPr>
        <w:tab/>
        <w:t>السلطة التنفيذية</w:t>
      </w:r>
    </w:p>
    <w:p w14:paraId="2BA016BE" w14:textId="77777777" w:rsidR="00DE3D9F" w:rsidRPr="001B6C67" w:rsidRDefault="00DE3D9F" w:rsidP="00DE3D9F">
      <w:pPr>
        <w:pStyle w:val="SingleTxtGA"/>
        <w:rPr>
          <w:lang w:val="ar-SA" w:eastAsia="zh-TW" w:bidi="en-GB"/>
        </w:rPr>
      </w:pPr>
      <w:r w:rsidRPr="00AF3116">
        <w:rPr>
          <w:rtl/>
        </w:rPr>
        <w:t>41</w:t>
      </w:r>
      <w:r w:rsidRPr="001B6C67">
        <w:rPr>
          <w:rtl/>
        </w:rPr>
        <w:t>-</w:t>
      </w:r>
      <w:r w:rsidRPr="001B6C67">
        <w:rPr>
          <w:rtl/>
        </w:rPr>
        <w:tab/>
        <w:t xml:space="preserve">السلطة التنفيذية برئاسة رئيس الوزراء مسؤولة عن إدارة شؤون الدولة وتنفيذ القوانين. وهي مسؤولة أمام البرلمان عن جميع إجراءاتها وقراراتها. </w:t>
      </w:r>
    </w:p>
    <w:p w14:paraId="37954F84" w14:textId="03F2F33B" w:rsidR="00DE3D9F" w:rsidRPr="001B6C67" w:rsidRDefault="00DE3D9F" w:rsidP="00DE3D9F">
      <w:pPr>
        <w:pStyle w:val="SingleTxtGA"/>
        <w:rPr>
          <w:lang w:val="ar-SA" w:eastAsia="zh-TW" w:bidi="en-GB"/>
        </w:rPr>
      </w:pPr>
      <w:r w:rsidRPr="00AF3116">
        <w:rPr>
          <w:rtl/>
        </w:rPr>
        <w:t>42</w:t>
      </w:r>
      <w:r w:rsidRPr="001B6C67">
        <w:rPr>
          <w:rtl/>
        </w:rPr>
        <w:t>-</w:t>
      </w:r>
      <w:r w:rsidRPr="001B6C67">
        <w:rPr>
          <w:rtl/>
        </w:rPr>
        <w:tab/>
        <w:t>وينقسم الهيكل الإداري للبلد إلى ثلاثة مستويات: الإدارة المركزية، والإدارة الإقليمية، والإدارة</w:t>
      </w:r>
      <w:r w:rsidR="00AD7242">
        <w:rPr>
          <w:rFonts w:hint="cs"/>
          <w:rtl/>
        </w:rPr>
        <w:t> </w:t>
      </w:r>
      <w:r w:rsidRPr="001B6C67">
        <w:rPr>
          <w:rtl/>
        </w:rPr>
        <w:t>المحلية:</w:t>
      </w:r>
    </w:p>
    <w:p w14:paraId="76184248" w14:textId="77777777" w:rsidR="00DE3D9F" w:rsidRPr="001B6C67" w:rsidRDefault="00DE3D9F" w:rsidP="00FE57EB">
      <w:pPr>
        <w:pStyle w:val="SingleTxtGA"/>
        <w:numPr>
          <w:ilvl w:val="0"/>
          <w:numId w:val="32"/>
        </w:numPr>
        <w:tabs>
          <w:tab w:val="clear" w:pos="1928"/>
          <w:tab w:val="left" w:pos="1968"/>
        </w:tabs>
        <w:rPr>
          <w:lang w:val="ar-SA" w:eastAsia="zh-TW" w:bidi="en-GB"/>
        </w:rPr>
      </w:pPr>
      <w:r w:rsidRPr="001B6C67">
        <w:rPr>
          <w:rtl/>
        </w:rPr>
        <w:t>الإدارة المركزية</w:t>
      </w:r>
      <w:r>
        <w:rPr>
          <w:rtl/>
        </w:rPr>
        <w:t>.</w:t>
      </w:r>
      <w:r w:rsidRPr="001B6C67">
        <w:rPr>
          <w:rtl/>
        </w:rPr>
        <w:t xml:space="preserve"> تتألف الإدارة المركزية من </w:t>
      </w:r>
      <w:r w:rsidRPr="00AF3116">
        <w:rPr>
          <w:rtl/>
        </w:rPr>
        <w:t>20</w:t>
      </w:r>
      <w:r w:rsidRPr="001B6C67">
        <w:rPr>
          <w:rtl/>
        </w:rPr>
        <w:t xml:space="preserve"> وزارة مسؤولة عن أداء مهامها وفقاً لقانون إعادة هيكلة الحكومة</w:t>
      </w:r>
      <w:r>
        <w:rPr>
          <w:rtl/>
        </w:rPr>
        <w:t xml:space="preserve"> </w:t>
      </w:r>
      <w:r w:rsidRPr="00AD7242">
        <w:rPr>
          <w:rFonts w:cs="Times New Roman"/>
          <w:rtl/>
        </w:rPr>
        <w:t>B.E</w:t>
      </w:r>
      <w:r w:rsidRPr="001B6C67">
        <w:rPr>
          <w:rtl/>
        </w:rPr>
        <w:t xml:space="preserve">. </w:t>
      </w:r>
      <w:r w:rsidRPr="00AF3116">
        <w:rPr>
          <w:rtl/>
        </w:rPr>
        <w:t>2534</w:t>
      </w:r>
      <w:r w:rsidRPr="001B6C67">
        <w:rPr>
          <w:rtl/>
        </w:rPr>
        <w:t xml:space="preserve"> (</w:t>
      </w:r>
      <w:r w:rsidRPr="00AF3116">
        <w:rPr>
          <w:rtl/>
        </w:rPr>
        <w:t>1991</w:t>
      </w:r>
      <w:r w:rsidRPr="001B6C67">
        <w:rPr>
          <w:rtl/>
        </w:rPr>
        <w:t>) في تقديم الخدمات العامة. ورئيس الحكومة هو رئيس الوزراء، وهو مسؤول عن جميع الوزارات؛</w:t>
      </w:r>
    </w:p>
    <w:p w14:paraId="1BB3C15D" w14:textId="6B19FCCE" w:rsidR="00DE3D9F" w:rsidRPr="001B6C67" w:rsidRDefault="00DE3D9F" w:rsidP="00FE57EB">
      <w:pPr>
        <w:pStyle w:val="SingleTxtGA"/>
        <w:numPr>
          <w:ilvl w:val="0"/>
          <w:numId w:val="32"/>
        </w:numPr>
        <w:tabs>
          <w:tab w:val="clear" w:pos="1928"/>
          <w:tab w:val="left" w:pos="1968"/>
        </w:tabs>
        <w:rPr>
          <w:lang w:val="ar-SA" w:eastAsia="zh-TW" w:bidi="en-GB"/>
        </w:rPr>
      </w:pPr>
      <w:r w:rsidRPr="001B6C67">
        <w:rPr>
          <w:rtl/>
        </w:rPr>
        <w:lastRenderedPageBreak/>
        <w:t>الإدارة الإقليمية</w:t>
      </w:r>
      <w:r>
        <w:rPr>
          <w:rtl/>
        </w:rPr>
        <w:t>.</w:t>
      </w:r>
      <w:r w:rsidRPr="001B6C67">
        <w:rPr>
          <w:rtl/>
        </w:rPr>
        <w:t xml:space="preserve"> ينقسم البلد إدارياً إلى </w:t>
      </w:r>
      <w:r w:rsidRPr="00AF3116">
        <w:rPr>
          <w:rtl/>
        </w:rPr>
        <w:t>76</w:t>
      </w:r>
      <w:r w:rsidRPr="001B6C67">
        <w:rPr>
          <w:rtl/>
        </w:rPr>
        <w:t xml:space="preserve"> محافظة و</w:t>
      </w:r>
      <w:r w:rsidRPr="00AF3116">
        <w:rPr>
          <w:rtl/>
        </w:rPr>
        <w:t>878</w:t>
      </w:r>
      <w:r w:rsidRPr="001B6C67">
        <w:rPr>
          <w:rtl/>
        </w:rPr>
        <w:t xml:space="preserve"> مقاطعة و</w:t>
      </w:r>
      <w:r w:rsidRPr="00AF3116">
        <w:rPr>
          <w:rtl/>
        </w:rPr>
        <w:t>255</w:t>
      </w:r>
      <w:r w:rsidRPr="001B6C67">
        <w:rPr>
          <w:rtl/>
        </w:rPr>
        <w:t xml:space="preserve"> </w:t>
      </w:r>
      <w:r w:rsidRPr="00AF3116">
        <w:rPr>
          <w:rtl/>
        </w:rPr>
        <w:t>7</w:t>
      </w:r>
      <w:r w:rsidRPr="001B6C67">
        <w:rPr>
          <w:rtl/>
        </w:rPr>
        <w:t xml:space="preserve"> منطقة فرعية </w:t>
      </w:r>
      <w:r>
        <w:rPr>
          <w:rtl/>
        </w:rPr>
        <w:br/>
      </w:r>
      <w:r w:rsidRPr="001B6C67">
        <w:rPr>
          <w:rtl/>
        </w:rPr>
        <w:t>و</w:t>
      </w:r>
      <w:r w:rsidRPr="00AF3116">
        <w:rPr>
          <w:rtl/>
        </w:rPr>
        <w:t>032</w:t>
      </w:r>
      <w:r w:rsidRPr="001B6C67">
        <w:rPr>
          <w:rtl/>
        </w:rPr>
        <w:t xml:space="preserve"> </w:t>
      </w:r>
      <w:r w:rsidRPr="00AF3116">
        <w:rPr>
          <w:rtl/>
        </w:rPr>
        <w:t>75</w:t>
      </w:r>
      <w:r w:rsidRPr="001B6C67">
        <w:rPr>
          <w:rtl/>
        </w:rPr>
        <w:t xml:space="preserve"> قرية. والقرية هي أبسط شكل من أشكال الإدارة، يقودها رئيس قرية مسؤول عن حفظ القانون والنظام. والمنطقة الفرعية مجموعة من القرى، يرأسها رئيس المنطقة الفرعية (كامنان). ورؤساء القرى ورؤساء المناطق الفرعية ممثلون حكوميون، ولكن ينتخبهم السكان المحليون، ويخضعون مباشرة لرؤساء المقاطعات الذين يقعون تحت المسؤولية المباشرة </w:t>
      </w:r>
      <w:r>
        <w:rPr>
          <w:rtl/>
        </w:rPr>
        <w:t>لحكام</w:t>
      </w:r>
      <w:r w:rsidRPr="001B6C67">
        <w:rPr>
          <w:rtl/>
        </w:rPr>
        <w:t xml:space="preserve"> المحافظ</w:t>
      </w:r>
      <w:r>
        <w:rPr>
          <w:rtl/>
        </w:rPr>
        <w:t>ات</w:t>
      </w:r>
      <w:r w:rsidRPr="001B6C67">
        <w:rPr>
          <w:rtl/>
        </w:rPr>
        <w:t>. ورؤساء المقاطعات وحكام المحافظات موظفون مدنيون تعينهم وزارة الداخلية</w:t>
      </w:r>
      <w:r w:rsidR="00FE57EB">
        <w:rPr>
          <w:rFonts w:hint="cs"/>
          <w:rtl/>
        </w:rPr>
        <w:t> </w:t>
      </w:r>
      <w:r w:rsidRPr="001B6C67">
        <w:rPr>
          <w:rtl/>
        </w:rPr>
        <w:t>مركزياً؛</w:t>
      </w:r>
    </w:p>
    <w:p w14:paraId="5A0DD457" w14:textId="643BB80F" w:rsidR="00DE3D9F" w:rsidRPr="00FE57EB" w:rsidRDefault="00DE3D9F" w:rsidP="00FE57EB">
      <w:pPr>
        <w:pStyle w:val="SingleTxtGA"/>
        <w:numPr>
          <w:ilvl w:val="0"/>
          <w:numId w:val="32"/>
        </w:numPr>
        <w:tabs>
          <w:tab w:val="clear" w:pos="1928"/>
          <w:tab w:val="left" w:pos="1968"/>
        </w:tabs>
        <w:rPr>
          <w:spacing w:val="-4"/>
          <w:lang w:val="ar-SA" w:eastAsia="zh-TW" w:bidi="en-GB"/>
        </w:rPr>
      </w:pPr>
      <w:r w:rsidRPr="001B6C67">
        <w:rPr>
          <w:rtl/>
        </w:rPr>
        <w:t>الإدارة المحلية</w:t>
      </w:r>
      <w:r>
        <w:rPr>
          <w:rtl/>
        </w:rPr>
        <w:t>،</w:t>
      </w:r>
      <w:r w:rsidRPr="001B6C67">
        <w:rPr>
          <w:rtl/>
        </w:rPr>
        <w:t xml:space="preserve"> الإدارة المحلية هي الآلية الرئيسية لرعاية الخدمات العامة وتوفيرها لفائدة السكان في الجماعات المحلية. ولديها القدرة على الحكم الذاتي لشؤونها الخاصة. وتتمتع كل منظمة إدارية محلية بالشرعية لوضع سياساتها الإدارية والمالية والضريبية الخاصة بها بصورة مستقلة، وتنفيذ سلطتها وواجباتها المحددة، ولكن مع إيلاء الاعتبار الواجب لسياسات التنمية الإقليمية والوطنية. ولن توفر الحكومة إلا</w:t>
      </w:r>
      <w:r w:rsidR="00D55C97">
        <w:rPr>
          <w:rFonts w:hint="cs"/>
          <w:rtl/>
        </w:rPr>
        <w:t> </w:t>
      </w:r>
      <w:r w:rsidRPr="001B6C67">
        <w:rPr>
          <w:rtl/>
        </w:rPr>
        <w:t xml:space="preserve">الإشراف اللازم على النحو المنصوص عليه في القانون من أجل مواصلة تعزيز عملية اللامركزية. </w:t>
      </w:r>
      <w:r>
        <w:rPr>
          <w:rtl/>
        </w:rPr>
        <w:t>و</w:t>
      </w:r>
      <w:r w:rsidRPr="001B6C67">
        <w:rPr>
          <w:rtl/>
        </w:rPr>
        <w:t xml:space="preserve">في عام </w:t>
      </w:r>
      <w:r w:rsidRPr="00AF3116">
        <w:rPr>
          <w:rtl/>
        </w:rPr>
        <w:t>2018</w:t>
      </w:r>
      <w:r w:rsidRPr="001B6C67">
        <w:rPr>
          <w:rtl/>
        </w:rPr>
        <w:t xml:space="preserve">، ترأس رؤساء تنفيذيون </w:t>
      </w:r>
      <w:r w:rsidRPr="00FE57EB">
        <w:rPr>
          <w:spacing w:val="-4"/>
          <w:rtl/>
        </w:rPr>
        <w:t xml:space="preserve">منتخبون بالتصويت الشعبي المنظمات الإدارية المحلية المكونة من إدارة العاصمة بانكوك، ومدينة </w:t>
      </w:r>
      <w:proofErr w:type="spellStart"/>
      <w:r w:rsidRPr="00FE57EB">
        <w:rPr>
          <w:spacing w:val="-4"/>
          <w:rtl/>
        </w:rPr>
        <w:t>باتايا</w:t>
      </w:r>
      <w:proofErr w:type="spellEnd"/>
      <w:r w:rsidRPr="00FE57EB">
        <w:rPr>
          <w:spacing w:val="-4"/>
          <w:rtl/>
        </w:rPr>
        <w:t>، و</w:t>
      </w:r>
      <w:r w:rsidRPr="00AF3116">
        <w:rPr>
          <w:spacing w:val="-4"/>
          <w:rtl/>
        </w:rPr>
        <w:t>76</w:t>
      </w:r>
      <w:r w:rsidRPr="00FE57EB">
        <w:rPr>
          <w:spacing w:val="-4"/>
          <w:rtl/>
        </w:rPr>
        <w:t xml:space="preserve"> منظمة إدارية إقليمية، و</w:t>
      </w:r>
      <w:r w:rsidRPr="00AF3116">
        <w:rPr>
          <w:spacing w:val="-4"/>
          <w:rtl/>
        </w:rPr>
        <w:t>442</w:t>
      </w:r>
      <w:r w:rsidRPr="00FE57EB">
        <w:rPr>
          <w:spacing w:val="-4"/>
          <w:rtl/>
        </w:rPr>
        <w:t xml:space="preserve"> </w:t>
      </w:r>
      <w:r w:rsidRPr="00AF3116">
        <w:rPr>
          <w:spacing w:val="-4"/>
          <w:rtl/>
        </w:rPr>
        <w:t>2</w:t>
      </w:r>
      <w:r w:rsidRPr="00FE57EB">
        <w:rPr>
          <w:spacing w:val="-4"/>
          <w:rtl/>
        </w:rPr>
        <w:t xml:space="preserve"> بلدية، و</w:t>
      </w:r>
      <w:r w:rsidRPr="00AF3116">
        <w:rPr>
          <w:spacing w:val="-4"/>
          <w:rtl/>
        </w:rPr>
        <w:t>332</w:t>
      </w:r>
      <w:r w:rsidRPr="00FE57EB">
        <w:rPr>
          <w:spacing w:val="-4"/>
          <w:rtl/>
        </w:rPr>
        <w:t xml:space="preserve"> </w:t>
      </w:r>
      <w:r w:rsidRPr="00AF3116">
        <w:rPr>
          <w:spacing w:val="-4"/>
          <w:rtl/>
        </w:rPr>
        <w:t>5</w:t>
      </w:r>
      <w:r w:rsidRPr="00FE57EB">
        <w:rPr>
          <w:spacing w:val="-4"/>
          <w:rtl/>
        </w:rPr>
        <w:t xml:space="preserve"> منظمة إدارية للمناطق الفرعية.</w:t>
      </w:r>
    </w:p>
    <w:p w14:paraId="5F97F95A" w14:textId="77777777" w:rsidR="00DE3D9F" w:rsidRPr="001B6C67" w:rsidRDefault="00DE3D9F" w:rsidP="00DE3D9F">
      <w:pPr>
        <w:pStyle w:val="SingleTxtGA"/>
        <w:rPr>
          <w:lang w:val="ar-SA" w:eastAsia="zh-TW" w:bidi="en-GB"/>
        </w:rPr>
      </w:pPr>
      <w:r w:rsidRPr="00AF3116">
        <w:rPr>
          <w:rtl/>
        </w:rPr>
        <w:t>43</w:t>
      </w:r>
      <w:r w:rsidRPr="001B6C67">
        <w:rPr>
          <w:rtl/>
        </w:rPr>
        <w:t>-</w:t>
      </w:r>
      <w:r w:rsidRPr="001B6C67">
        <w:rPr>
          <w:rtl/>
        </w:rPr>
        <w:tab/>
        <w:t xml:space="preserve">وتنفذ الإدارة الحكومية في إطار نظام الميزانية الوطنية، مع فحص البرلمان لمخصصات الميزانية السنوية وإقراره لها. وتبدأ السنة المالية في </w:t>
      </w:r>
      <w:r w:rsidRPr="00AF3116">
        <w:rPr>
          <w:rtl/>
        </w:rPr>
        <w:t>1</w:t>
      </w:r>
      <w:r w:rsidRPr="001B6C67">
        <w:rPr>
          <w:rtl/>
        </w:rPr>
        <w:t xml:space="preserve"> تشرين الأول/أكتوبر وتنتهي في </w:t>
      </w:r>
      <w:r w:rsidRPr="00AF3116">
        <w:rPr>
          <w:rtl/>
        </w:rPr>
        <w:t>30</w:t>
      </w:r>
      <w:r w:rsidRPr="001B6C67">
        <w:rPr>
          <w:rtl/>
        </w:rPr>
        <w:t xml:space="preserve"> أيلول/سبتمبر من العام التالي.</w:t>
      </w:r>
    </w:p>
    <w:p w14:paraId="6445D32D" w14:textId="77777777" w:rsidR="00DE3D9F" w:rsidRPr="001B6C67" w:rsidRDefault="00DE3D9F" w:rsidP="00DE3D9F">
      <w:pPr>
        <w:pStyle w:val="SingleTxtGA"/>
        <w:rPr>
          <w:lang w:val="ar-SA" w:eastAsia="zh-TW" w:bidi="en-GB"/>
        </w:rPr>
      </w:pPr>
      <w:r w:rsidRPr="00AF3116">
        <w:rPr>
          <w:rtl/>
        </w:rPr>
        <w:t>44</w:t>
      </w:r>
      <w:r w:rsidRPr="001B6C67">
        <w:rPr>
          <w:rtl/>
        </w:rPr>
        <w:t>-</w:t>
      </w:r>
      <w:r w:rsidRPr="001B6C67">
        <w:rPr>
          <w:rtl/>
        </w:rPr>
        <w:tab/>
        <w:t xml:space="preserve">وقد تخفق الحكومة في مجلس النواب </w:t>
      </w:r>
      <w:r>
        <w:rPr>
          <w:rtl/>
        </w:rPr>
        <w:t>من خلال تصويت عدم الثقة</w:t>
      </w:r>
      <w:r w:rsidRPr="001B6C67">
        <w:rPr>
          <w:rtl/>
        </w:rPr>
        <w:t>، وفي هذه الحالة يكون على رئيس المجلس أن يعين زعيماً آخر يستطيع الحفاظ على ثقة البرلمان، وإلا استطاع رئيس الوزراء أن يقوم بحل البرلمان عن طريق إصدار أمر بإجراء انتخابات.</w:t>
      </w:r>
    </w:p>
    <w:p w14:paraId="65C34B40" w14:textId="77777777" w:rsidR="00DE3D9F" w:rsidRPr="00AF3116" w:rsidRDefault="00DE3D9F" w:rsidP="00AD7242">
      <w:pPr>
        <w:pStyle w:val="H23GA"/>
        <w:rPr>
          <w:lang w:val="ar-SA" w:eastAsia="zh-TW" w:bidi="en-GB"/>
        </w:rPr>
      </w:pPr>
      <w:r w:rsidRPr="00AF3116">
        <w:rPr>
          <w:rtl/>
        </w:rPr>
        <w:tab/>
      </w:r>
      <w:r w:rsidRPr="00AF3116">
        <w:rPr>
          <w:rtl/>
        </w:rPr>
        <w:tab/>
        <w:t>السلطة القضائية</w:t>
      </w:r>
    </w:p>
    <w:p w14:paraId="102AB14B" w14:textId="5289B5CA" w:rsidR="00DE3D9F" w:rsidRPr="001B6C67" w:rsidRDefault="00DE3D9F" w:rsidP="00DE3D9F">
      <w:pPr>
        <w:pStyle w:val="SingleTxtGA"/>
        <w:rPr>
          <w:lang w:val="ar-SA" w:eastAsia="zh-TW" w:bidi="en-GB"/>
        </w:rPr>
      </w:pPr>
      <w:r w:rsidRPr="00AF3116">
        <w:rPr>
          <w:rtl/>
        </w:rPr>
        <w:t>45</w:t>
      </w:r>
      <w:r w:rsidRPr="001B6C67">
        <w:rPr>
          <w:rtl/>
        </w:rPr>
        <w:t>-</w:t>
      </w:r>
      <w:r w:rsidRPr="001B6C67">
        <w:rPr>
          <w:rtl/>
        </w:rPr>
        <w:tab/>
        <w:t>تتألف السلطة القضائية من المحكمة الدستورية ومحاكم العدل والمحكمة الإدارية والمحكمة</w:t>
      </w:r>
      <w:r w:rsidR="00AD7242">
        <w:rPr>
          <w:rFonts w:hint="cs"/>
          <w:rtl/>
        </w:rPr>
        <w:t> </w:t>
      </w:r>
      <w:r w:rsidRPr="001B6C67">
        <w:rPr>
          <w:rtl/>
        </w:rPr>
        <w:t>العسكرية.</w:t>
      </w:r>
    </w:p>
    <w:p w14:paraId="50E031F5" w14:textId="64EE72CF" w:rsidR="00DE3D9F" w:rsidRPr="001B6C67" w:rsidRDefault="00DE3D9F" w:rsidP="00DE3D9F">
      <w:pPr>
        <w:pStyle w:val="SingleTxtGA"/>
        <w:rPr>
          <w:lang w:val="ar-SA" w:eastAsia="zh-TW" w:bidi="en-GB"/>
        </w:rPr>
      </w:pPr>
      <w:r w:rsidRPr="00AF3116">
        <w:rPr>
          <w:rtl/>
        </w:rPr>
        <w:t>46</w:t>
      </w:r>
      <w:r w:rsidRPr="001B6C67">
        <w:rPr>
          <w:rtl/>
        </w:rPr>
        <w:t>-</w:t>
      </w:r>
      <w:r w:rsidRPr="001B6C67">
        <w:rPr>
          <w:rtl/>
        </w:rPr>
        <w:tab/>
        <w:t>والمحكمة الدستورية مسؤولة عن التداول بشأن ما إذا كانت أحكام القانون مخالفة للدستور أو</w:t>
      </w:r>
      <w:r w:rsidR="00AD7242">
        <w:rPr>
          <w:rFonts w:hint="cs"/>
          <w:rtl/>
        </w:rPr>
        <w:t> </w:t>
      </w:r>
      <w:r w:rsidRPr="001B6C67">
        <w:rPr>
          <w:rtl/>
        </w:rPr>
        <w:t xml:space="preserve">غير متسقة معه. </w:t>
      </w:r>
    </w:p>
    <w:p w14:paraId="43E9682F" w14:textId="77777777" w:rsidR="00DE3D9F" w:rsidRPr="001B6C67" w:rsidRDefault="00DE3D9F" w:rsidP="00DE3D9F">
      <w:pPr>
        <w:pStyle w:val="SingleTxtGA"/>
        <w:rPr>
          <w:lang w:val="ar-SA" w:eastAsia="zh-TW" w:bidi="en-GB"/>
        </w:rPr>
      </w:pPr>
      <w:r w:rsidRPr="00AF3116">
        <w:rPr>
          <w:rtl/>
        </w:rPr>
        <w:t>47</w:t>
      </w:r>
      <w:r w:rsidRPr="001B6C67">
        <w:rPr>
          <w:rtl/>
        </w:rPr>
        <w:t>-</w:t>
      </w:r>
      <w:r w:rsidRPr="001B6C67">
        <w:rPr>
          <w:rtl/>
        </w:rPr>
        <w:tab/>
        <w:t>وتتمتع محاكم العدل بسلطة النظر في جميع القضايا والبت فيها باستثناء القضايا التي يحددها هذا الدستور أو القانون الذي يكون ضمن اختصاص المحاكم الأخرى. واستناداً إلى القانون الذي أصدر قانون تنظيم محكمة العدل</w:t>
      </w:r>
      <w:r>
        <w:rPr>
          <w:rtl/>
        </w:rPr>
        <w:t xml:space="preserve"> </w:t>
      </w:r>
      <w:r w:rsidRPr="001B6C67">
        <w:t xml:space="preserve">B.E. </w:t>
      </w:r>
      <w:r w:rsidRPr="00AF3116">
        <w:t>2543</w:t>
      </w:r>
      <w:r w:rsidRPr="001B6C67">
        <w:t xml:space="preserve"> (</w:t>
      </w:r>
      <w:r w:rsidRPr="00AF3116">
        <w:t>2000</w:t>
      </w:r>
      <w:r w:rsidRPr="001B6C67">
        <w:t>)</w:t>
      </w:r>
      <w:r w:rsidRPr="001B6C67">
        <w:rPr>
          <w:rtl/>
        </w:rPr>
        <w:t>، هناك ثلاثة مستويات من محاكم العدل في تايلند: محاكم الدرجة الأولى، ومحاكم الاستئناف، والمحكمة العليا. ولما كان بعض أنواع القضايا يتطلب خبرة وإجراءات خاصة، فإن محاكم وشعب خاصة تُنشأ لمعالجة القضايا المتعلقة بالانتخابات، والمخدرات، والعمل، والضرائب، والإفلاس، والاتجار بالبشر، والملكية الفكرية، والقضايا البيئية، والتجارة الدولية، و</w:t>
      </w:r>
      <w:r>
        <w:rPr>
          <w:rtl/>
        </w:rPr>
        <w:t xml:space="preserve">قضايا </w:t>
      </w:r>
      <w:r w:rsidRPr="001B6C67">
        <w:rPr>
          <w:rtl/>
        </w:rPr>
        <w:t>الأحداث والأسرة، والفساد وسوء السلوك، فضلاً عن القضايا الجنائية للأشخاص الذين يشغلون مناصب سياسية.</w:t>
      </w:r>
    </w:p>
    <w:p w14:paraId="6C4EA74B" w14:textId="77777777" w:rsidR="00DE3D9F" w:rsidRPr="001B6C67" w:rsidRDefault="00DE3D9F" w:rsidP="00DE3D9F">
      <w:pPr>
        <w:pStyle w:val="SingleTxtGA"/>
        <w:rPr>
          <w:lang w:val="ar-SA" w:eastAsia="zh-TW" w:bidi="en-GB"/>
        </w:rPr>
      </w:pPr>
      <w:r w:rsidRPr="00AF3116">
        <w:rPr>
          <w:rtl/>
        </w:rPr>
        <w:lastRenderedPageBreak/>
        <w:t>48</w:t>
      </w:r>
      <w:r w:rsidRPr="001B6C67">
        <w:rPr>
          <w:rtl/>
        </w:rPr>
        <w:t>-</w:t>
      </w:r>
      <w:r w:rsidRPr="001B6C67">
        <w:rPr>
          <w:rtl/>
        </w:rPr>
        <w:tab/>
        <w:t>وتتمتع المحاكم الإدارية بسلطة النظر في القضايا المتنازع عليها بين الوكالات الحكومية ومسؤولي الدولة والأفراد الخواص، أو بين مسؤولي الدولة أنفسهم، والبت فيها. وهناك محاكم إدارية ابتدائية والمحكمة الإدارية العليا.</w:t>
      </w:r>
    </w:p>
    <w:p w14:paraId="2074C862" w14:textId="77777777" w:rsidR="00DE3D9F" w:rsidRPr="001B6C67" w:rsidRDefault="00DE3D9F" w:rsidP="00DE3D9F">
      <w:pPr>
        <w:pStyle w:val="SingleTxtGA"/>
        <w:rPr>
          <w:lang w:val="ar-SA" w:eastAsia="zh-TW" w:bidi="en-GB"/>
        </w:rPr>
      </w:pPr>
      <w:r w:rsidRPr="00AF3116">
        <w:rPr>
          <w:rtl/>
        </w:rPr>
        <w:t>49</w:t>
      </w:r>
      <w:r w:rsidRPr="001B6C67">
        <w:rPr>
          <w:rtl/>
        </w:rPr>
        <w:t>-</w:t>
      </w:r>
      <w:r w:rsidRPr="001B6C67">
        <w:rPr>
          <w:rtl/>
        </w:rPr>
        <w:tab/>
        <w:t>وتتمتع المحاكم العسكرية بسلطة النظر في القضايا التي يخضع فيها الجناة لولاية المحاكم العسكرية والبت فيها.</w:t>
      </w:r>
    </w:p>
    <w:p w14:paraId="3B380CE0" w14:textId="77777777" w:rsidR="00DE3D9F" w:rsidRPr="00AF3116" w:rsidRDefault="00DE3D9F" w:rsidP="00AD7242">
      <w:pPr>
        <w:pStyle w:val="H23GA"/>
        <w:rPr>
          <w:lang w:val="ar-SA" w:eastAsia="zh-TW" w:bidi="en-GB"/>
        </w:rPr>
      </w:pPr>
      <w:r w:rsidRPr="00AF3116">
        <w:rPr>
          <w:rtl/>
        </w:rPr>
        <w:tab/>
      </w:r>
      <w:r w:rsidRPr="00AF3116">
        <w:rPr>
          <w:rtl/>
        </w:rPr>
        <w:tab/>
        <w:t>المنظمات المستقلة بموجب الدستور</w:t>
      </w:r>
    </w:p>
    <w:p w14:paraId="7052CCD5" w14:textId="77777777" w:rsidR="00DE3D9F" w:rsidRPr="001B6C67" w:rsidRDefault="00DE3D9F" w:rsidP="00DE3D9F">
      <w:pPr>
        <w:pStyle w:val="SingleTxtGA"/>
        <w:rPr>
          <w:lang w:val="ar-SA" w:eastAsia="zh-TW" w:bidi="en-GB"/>
        </w:rPr>
      </w:pPr>
      <w:r w:rsidRPr="00AF3116">
        <w:rPr>
          <w:rtl/>
        </w:rPr>
        <w:t>50</w:t>
      </w:r>
      <w:r w:rsidRPr="001B6C67">
        <w:rPr>
          <w:rtl/>
        </w:rPr>
        <w:t>-</w:t>
      </w:r>
      <w:r w:rsidRPr="001B6C67">
        <w:rPr>
          <w:rtl/>
        </w:rPr>
        <w:tab/>
        <w:t xml:space="preserve">بموجب الفصل </w:t>
      </w:r>
      <w:r w:rsidRPr="00AF3116">
        <w:rPr>
          <w:rtl/>
        </w:rPr>
        <w:t>12</w:t>
      </w:r>
      <w:r w:rsidRPr="001B6C67">
        <w:rPr>
          <w:rtl/>
        </w:rPr>
        <w:t xml:space="preserve"> من دستور عام </w:t>
      </w:r>
      <w:r w:rsidRPr="00AF3116">
        <w:rPr>
          <w:rtl/>
        </w:rPr>
        <w:t>2017</w:t>
      </w:r>
      <w:r w:rsidRPr="001B6C67">
        <w:rPr>
          <w:rtl/>
        </w:rPr>
        <w:t>، أُنشِئت خمس منظمات مستقلة كآليات للقيام بمهام تحتاج إلى التخصص والنزاهة، وهي لجنة الانتخابات، وأمناء المظالم، واللجنة الوطنية لمكافحة الفساد، ولجنة الدولة لمراجعة الحسابات، واللجنة الوطنية لحقوق الإنسان.</w:t>
      </w:r>
    </w:p>
    <w:p w14:paraId="3388F0F4" w14:textId="77777777" w:rsidR="00DE3D9F" w:rsidRPr="001B6C67" w:rsidRDefault="00DE3D9F" w:rsidP="00DE3D9F">
      <w:pPr>
        <w:pStyle w:val="SingleTxtGA"/>
        <w:rPr>
          <w:lang w:val="ar-SA" w:eastAsia="zh-TW" w:bidi="en-GB"/>
        </w:rPr>
      </w:pPr>
      <w:r w:rsidRPr="00AF3116">
        <w:rPr>
          <w:rtl/>
        </w:rPr>
        <w:t>51</w:t>
      </w:r>
      <w:r w:rsidRPr="001B6C67">
        <w:rPr>
          <w:rtl/>
        </w:rPr>
        <w:t>-</w:t>
      </w:r>
      <w:r w:rsidRPr="001B6C67">
        <w:rPr>
          <w:rtl/>
        </w:rPr>
        <w:tab/>
        <w:t>وتتولى لجنة الانتخابات مسؤولية مراقبة الانتخابات و/أو اختيار أعضاء مجلس النواب ومجلس الشيوخ والجمعية المحلية والإداريين المحليين، حسب الحالة. وتحدد أيضاً واجبات الحكومة المؤقتة وتشرف على التصويت في الاستفتاء لضمان سيره بطريقة نزيهة وعادلة.</w:t>
      </w:r>
    </w:p>
    <w:p w14:paraId="279097EF" w14:textId="77777777" w:rsidR="00DE3D9F" w:rsidRPr="001B6C67" w:rsidRDefault="00DE3D9F" w:rsidP="00DE3D9F">
      <w:pPr>
        <w:pStyle w:val="SingleTxtGA"/>
        <w:rPr>
          <w:lang w:val="ar-SA" w:eastAsia="zh-TW" w:bidi="en-GB"/>
        </w:rPr>
      </w:pPr>
      <w:r w:rsidRPr="00AF3116">
        <w:rPr>
          <w:rtl/>
        </w:rPr>
        <w:t>52</w:t>
      </w:r>
      <w:r w:rsidRPr="001B6C67">
        <w:rPr>
          <w:rtl/>
        </w:rPr>
        <w:t>-</w:t>
      </w:r>
      <w:r w:rsidRPr="001B6C67">
        <w:rPr>
          <w:rtl/>
        </w:rPr>
        <w:tab/>
        <w:t>وأمناء المظالم مسؤولون عن ’</w:t>
      </w:r>
      <w:r w:rsidRPr="00AF3116">
        <w:rPr>
          <w:rtl/>
        </w:rPr>
        <w:t>1</w:t>
      </w:r>
      <w:r w:rsidRPr="001B6C67">
        <w:rPr>
          <w:rtl/>
        </w:rPr>
        <w:t xml:space="preserve">‘ النظر في الشكاوى والتحقيق فيها لتقصي الحقائق في الحالات التالية: (أ) عدم الامتثال للقانون في أداء الواجبات أو أدائها بطريقة تتجاوز السلطات والواجبات المنصوص عليها في القانون من جانب مسؤول حكومي أو مسؤول أو موظف في وكالة حكومية أو وكالة تابعة للدولة أو مؤسسة مملوكة للدولة أو منظمة حكومية محلية؛ (ب) أداء أو إغفال أداء واجبات موظف حكومي أو موظف أو </w:t>
      </w:r>
      <w:r>
        <w:rPr>
          <w:rtl/>
        </w:rPr>
        <w:t>مستخدم</w:t>
      </w:r>
      <w:r w:rsidRPr="001B6C67">
        <w:rPr>
          <w:rtl/>
        </w:rPr>
        <w:t xml:space="preserve"> في وكالة حكومية أو وكالة تابعة للدولة أو مؤسسة مملوكة للدولة أو منظمة حكومية محلية، مما يتسبب ظلماً في ضرر للمشتكي أو الجمهور؛ </w:t>
      </w:r>
      <w:r w:rsidRPr="001B6C67">
        <w:t>’</w:t>
      </w:r>
      <w:r w:rsidRPr="00AF3116">
        <w:rPr>
          <w:rtl/>
        </w:rPr>
        <w:t>2</w:t>
      </w:r>
      <w:r w:rsidRPr="001B6C67">
        <w:rPr>
          <w:rtl/>
        </w:rPr>
        <w:t xml:space="preserve">‘ اتخاذ إجراءات فيما يتعلق بأخلاقيات شاغلي المناصب السياسية ومسؤولي الدولة؛ </w:t>
      </w:r>
      <w:r w:rsidRPr="001B6C67">
        <w:t>’</w:t>
      </w:r>
      <w:r w:rsidRPr="00AF3116">
        <w:rPr>
          <w:rtl/>
        </w:rPr>
        <w:t>3</w:t>
      </w:r>
      <w:r w:rsidRPr="001B6C67">
        <w:rPr>
          <w:rtl/>
        </w:rPr>
        <w:t xml:space="preserve">‘ رصد وتقييم وإعداد التوصيات المتعلقة بالامتثال للدستور؛ </w:t>
      </w:r>
      <w:r w:rsidRPr="001B6C67">
        <w:t>’</w:t>
      </w:r>
      <w:r w:rsidRPr="00AF3116">
        <w:rPr>
          <w:rtl/>
        </w:rPr>
        <w:t>4</w:t>
      </w:r>
      <w:r w:rsidRPr="001B6C67">
        <w:rPr>
          <w:rtl/>
        </w:rPr>
        <w:t>‘ إجراء تحريات في الحالات التي تهدد فيها هذه الإجراءات بإلحاق ضرر بالجمهور بشكل عام أو إذا كانت هناك حاجة إلى حماية المصالح العامة.</w:t>
      </w:r>
    </w:p>
    <w:p w14:paraId="712176C0" w14:textId="77777777" w:rsidR="00DE3D9F" w:rsidRPr="001B6C67" w:rsidRDefault="00DE3D9F" w:rsidP="00DE3D9F">
      <w:pPr>
        <w:pStyle w:val="SingleTxtGA"/>
        <w:rPr>
          <w:lang w:val="ar-SA" w:eastAsia="zh-TW" w:bidi="en-GB"/>
        </w:rPr>
      </w:pPr>
      <w:r w:rsidRPr="00AF3116">
        <w:rPr>
          <w:rtl/>
        </w:rPr>
        <w:t>53</w:t>
      </w:r>
      <w:r w:rsidRPr="001B6C67">
        <w:rPr>
          <w:rtl/>
        </w:rPr>
        <w:t>-</w:t>
      </w:r>
      <w:r w:rsidRPr="001B6C67">
        <w:rPr>
          <w:rtl/>
        </w:rPr>
        <w:tab/>
        <w:t xml:space="preserve">واللجنة الوطنية لمكافحة الفساد مسؤولة عن التحقيق في الوقائع وإعداد الآراء المتعلقة بعزل شاغلي المناصب السياسية وكبار المسؤولين من مناصبهم لتقديمها إلى مجلس الشيوخ أو الشعبة الجنائية للأشخاص الذين يشغلون مناصب سياسية في محكمة العدل العليا؛ وتفتيش أصول وخصوم الأشخاص الذين يشغلون مناصب سياسية؛ ورصد أخلاق وأخلاقيات الأشخاص الذين يشغلون مناصب سياسية. </w:t>
      </w:r>
    </w:p>
    <w:p w14:paraId="2BD5962B" w14:textId="77777777" w:rsidR="00DE3D9F" w:rsidRPr="001B6C67" w:rsidRDefault="00DE3D9F" w:rsidP="00DE3D9F">
      <w:pPr>
        <w:pStyle w:val="SingleTxtGA"/>
        <w:rPr>
          <w:lang w:val="ar-SA" w:eastAsia="zh-TW" w:bidi="en-GB"/>
        </w:rPr>
      </w:pPr>
      <w:r w:rsidRPr="00AF3116">
        <w:rPr>
          <w:rtl/>
        </w:rPr>
        <w:t>54</w:t>
      </w:r>
      <w:r w:rsidRPr="001B6C67">
        <w:rPr>
          <w:rtl/>
        </w:rPr>
        <w:t>-</w:t>
      </w:r>
      <w:r w:rsidRPr="001B6C67">
        <w:rPr>
          <w:rtl/>
        </w:rPr>
        <w:tab/>
        <w:t>ولجنة الدولة لمراجعة الحسابات مسؤولة عن عمليات التفتيش، ووضع المعايير والقواعد اللازمة لمراجعة حسابات الدولة، وتقديم المشورة والتوصية بتدابير علاجية بشأن عمليات مراجعة حسابات الدولة بطريقة مستقلة ومحايدة.</w:t>
      </w:r>
    </w:p>
    <w:p w14:paraId="3BEEB12F" w14:textId="435823C4" w:rsidR="00DE3D9F" w:rsidRPr="001B6C67" w:rsidRDefault="00DE3D9F" w:rsidP="00DE3D9F">
      <w:pPr>
        <w:pStyle w:val="SingleTxtGA"/>
        <w:rPr>
          <w:lang w:val="ar-SA" w:eastAsia="zh-TW" w:bidi="en-GB"/>
        </w:rPr>
      </w:pPr>
      <w:r w:rsidRPr="00AF3116">
        <w:rPr>
          <w:rtl/>
        </w:rPr>
        <w:t>55</w:t>
      </w:r>
      <w:r w:rsidRPr="00C4076A">
        <w:rPr>
          <w:rtl/>
        </w:rPr>
        <w:t>-</w:t>
      </w:r>
      <w:r w:rsidRPr="00C4076A">
        <w:rPr>
          <w:rtl/>
        </w:rPr>
        <w:tab/>
        <w:t xml:space="preserve">واللجنة الوطنية لحقوق الإنسان مسؤولة عن فحص الوقائع المتعلقة بانتهاكات حقوق الإنسان </w:t>
      </w:r>
      <w:r>
        <w:rPr>
          <w:rtl/>
        </w:rPr>
        <w:t>وإبلاغها</w:t>
      </w:r>
      <w:r w:rsidRPr="00C4076A">
        <w:rPr>
          <w:rtl/>
        </w:rPr>
        <w:t xml:space="preserve"> إلى الوكالات الحكومية ذات الصلة و/أو القطاع الخاص؛ و</w:t>
      </w:r>
      <w:r>
        <w:rPr>
          <w:rtl/>
        </w:rPr>
        <w:t xml:space="preserve">عن </w:t>
      </w:r>
      <w:r w:rsidRPr="00C4076A">
        <w:rPr>
          <w:rtl/>
        </w:rPr>
        <w:t xml:space="preserve">تقديم توصيات إلى الجمعية الوطنية ومجلس الوزراء والوكالات ذات الصلة بشأن التدابير أو المبادئ التوجيهية </w:t>
      </w:r>
      <w:r>
        <w:rPr>
          <w:rtl/>
        </w:rPr>
        <w:t xml:space="preserve">اللازم اتخاذها </w:t>
      </w:r>
      <w:r w:rsidRPr="00C4076A">
        <w:rPr>
          <w:rtl/>
        </w:rPr>
        <w:t>لتعزيز وحماية حقوق الإنسان. ويعكس القانون الأساسي للجنة الوطنية لحقوق الإنسان، الذي دخل حيز النفاذ في</w:t>
      </w:r>
      <w:r w:rsidR="00D55C97">
        <w:rPr>
          <w:rFonts w:hint="cs"/>
          <w:rtl/>
        </w:rPr>
        <w:t> </w:t>
      </w:r>
      <w:r w:rsidRPr="00AF3116">
        <w:rPr>
          <w:rtl/>
        </w:rPr>
        <w:t>13</w:t>
      </w:r>
      <w:r w:rsidRPr="00C4076A">
        <w:rPr>
          <w:rtl/>
        </w:rPr>
        <w:t xml:space="preserve"> كانون الأول/ديسمبر </w:t>
      </w:r>
      <w:r w:rsidRPr="00AF3116">
        <w:rPr>
          <w:rtl/>
        </w:rPr>
        <w:t>2017</w:t>
      </w:r>
      <w:r w:rsidRPr="00C4076A">
        <w:rPr>
          <w:rtl/>
        </w:rPr>
        <w:t xml:space="preserve">، </w:t>
      </w:r>
      <w:r>
        <w:rPr>
          <w:rtl/>
        </w:rPr>
        <w:t>ال</w:t>
      </w:r>
      <w:r w:rsidRPr="00C4076A">
        <w:rPr>
          <w:rtl/>
        </w:rPr>
        <w:t>جهود</w:t>
      </w:r>
      <w:r>
        <w:rPr>
          <w:rtl/>
        </w:rPr>
        <w:t xml:space="preserve"> التي يبذلها</w:t>
      </w:r>
      <w:r w:rsidRPr="00C4076A">
        <w:rPr>
          <w:rtl/>
        </w:rPr>
        <w:t xml:space="preserve"> البلد لتنشيط قوة هذه الآلية الرئيسية لحقوق الإنسان وفقاً للمبادئ المتعلقة </w:t>
      </w:r>
      <w:r>
        <w:rPr>
          <w:rtl/>
        </w:rPr>
        <w:t>بمركز</w:t>
      </w:r>
      <w:r w:rsidRPr="00C4076A">
        <w:rPr>
          <w:rtl/>
        </w:rPr>
        <w:t xml:space="preserve"> المؤسسات الوطنية (مبادئ باريس).</w:t>
      </w:r>
    </w:p>
    <w:p w14:paraId="4F102F71" w14:textId="77777777" w:rsidR="00DE3D9F" w:rsidRPr="00AF3116" w:rsidRDefault="00DE3D9F" w:rsidP="00AD7242">
      <w:pPr>
        <w:pStyle w:val="H23GA"/>
        <w:rPr>
          <w:lang w:val="ar-SA" w:eastAsia="zh-TW" w:bidi="en-GB"/>
        </w:rPr>
      </w:pPr>
      <w:r w:rsidRPr="00AF3116">
        <w:rPr>
          <w:rtl/>
        </w:rPr>
        <w:lastRenderedPageBreak/>
        <w:tab/>
      </w:r>
      <w:r w:rsidRPr="00AF3116">
        <w:rPr>
          <w:rtl/>
        </w:rPr>
        <w:tab/>
        <w:t>المدعي العام للدولة</w:t>
      </w:r>
    </w:p>
    <w:p w14:paraId="3AF8D3F3" w14:textId="4AAA9654" w:rsidR="00DE3D9F" w:rsidRPr="001B6C67" w:rsidRDefault="00DE3D9F" w:rsidP="00DE3D9F">
      <w:pPr>
        <w:pStyle w:val="SingleTxtGA"/>
        <w:rPr>
          <w:lang w:val="ar-SA" w:eastAsia="zh-TW" w:bidi="en-GB"/>
        </w:rPr>
      </w:pPr>
      <w:r w:rsidRPr="00AF3116">
        <w:rPr>
          <w:rtl/>
        </w:rPr>
        <w:t>56</w:t>
      </w:r>
      <w:r w:rsidRPr="001B6C67">
        <w:rPr>
          <w:rtl/>
        </w:rPr>
        <w:t>-</w:t>
      </w:r>
      <w:r w:rsidRPr="001B6C67">
        <w:rPr>
          <w:rtl/>
        </w:rPr>
        <w:tab/>
        <w:t xml:space="preserve">يتمتع مكتب المدعي العام بسلطة واستقلالية مضمونة دستورياً ليقرر ما إذا كان سينظر في قضية أم لا ويؤدي مهامه بموجب الدستور بطريقة عادلة. والمكتب </w:t>
      </w:r>
      <w:r>
        <w:rPr>
          <w:rtl/>
        </w:rPr>
        <w:t>فاعل</w:t>
      </w:r>
      <w:r w:rsidRPr="001B6C67">
        <w:rPr>
          <w:rtl/>
        </w:rPr>
        <w:t xml:space="preserve"> رئيسي في حماية حقوق الإنسان</w:t>
      </w:r>
      <w:r w:rsidR="007B06D9">
        <w:rPr>
          <w:rFonts w:hint="cs"/>
          <w:rtl/>
        </w:rPr>
        <w:t> </w:t>
      </w:r>
      <w:r w:rsidRPr="001B6C67">
        <w:rPr>
          <w:rtl/>
        </w:rPr>
        <w:t>للمواطنين.</w:t>
      </w:r>
    </w:p>
    <w:p w14:paraId="76E7D935" w14:textId="77777777" w:rsidR="00DE3D9F" w:rsidRPr="00AF3116" w:rsidRDefault="00DE3D9F" w:rsidP="00AD7242">
      <w:pPr>
        <w:pStyle w:val="H23GA"/>
        <w:rPr>
          <w:lang w:val="ar-SA" w:eastAsia="zh-TW" w:bidi="en-GB"/>
        </w:rPr>
      </w:pPr>
      <w:r w:rsidRPr="00AF3116">
        <w:rPr>
          <w:rtl/>
        </w:rPr>
        <w:tab/>
      </w:r>
      <w:r w:rsidRPr="00AF3116">
        <w:rPr>
          <w:rtl/>
        </w:rPr>
        <w:tab/>
        <w:t>النظام الانتخابي</w:t>
      </w:r>
    </w:p>
    <w:p w14:paraId="3784AE7B" w14:textId="77777777" w:rsidR="00DE3D9F" w:rsidRPr="001B6C67" w:rsidRDefault="00DE3D9F" w:rsidP="00DE3D9F">
      <w:pPr>
        <w:pStyle w:val="SingleTxtGA"/>
        <w:rPr>
          <w:lang w:val="ar-SA" w:eastAsia="zh-TW" w:bidi="en-GB"/>
        </w:rPr>
      </w:pPr>
      <w:r w:rsidRPr="00AF3116">
        <w:rPr>
          <w:rtl/>
        </w:rPr>
        <w:t>57</w:t>
      </w:r>
      <w:r w:rsidRPr="001B6C67">
        <w:rPr>
          <w:rtl/>
        </w:rPr>
        <w:t>-</w:t>
      </w:r>
      <w:r w:rsidRPr="001B6C67">
        <w:rPr>
          <w:rtl/>
        </w:rPr>
        <w:tab/>
        <w:t>لكي يحق ل</w:t>
      </w:r>
      <w:r>
        <w:rPr>
          <w:rtl/>
        </w:rPr>
        <w:t xml:space="preserve">أي </w:t>
      </w:r>
      <w:r w:rsidRPr="001B6C67">
        <w:rPr>
          <w:rtl/>
        </w:rPr>
        <w:t>شخص أن يصوت في الانتخابات، يجب أن يكون مواطناً تايلندياً (إ</w:t>
      </w:r>
      <w:r>
        <w:rPr>
          <w:rtl/>
        </w:rPr>
        <w:t>ن</w:t>
      </w:r>
      <w:r w:rsidRPr="001B6C67">
        <w:rPr>
          <w:rtl/>
        </w:rPr>
        <w:t xml:space="preserve"> اكتُسِبت الجنسية التايلندية عن طريق التجنس، يجب أن يحملها لمدة لا تقل عن خمس سنوات) وأن يكون قد بلغ </w:t>
      </w:r>
      <w:r w:rsidRPr="00AF3116">
        <w:rPr>
          <w:rtl/>
        </w:rPr>
        <w:t>الثامنة عشرة من</w:t>
      </w:r>
      <w:r w:rsidRPr="001B6C67">
        <w:rPr>
          <w:rtl/>
        </w:rPr>
        <w:t xml:space="preserve"> العمر في يوم الانتخابات.</w:t>
      </w:r>
    </w:p>
    <w:p w14:paraId="782671A2" w14:textId="77777777" w:rsidR="00DE3D9F" w:rsidRPr="00AD7242" w:rsidRDefault="00DE3D9F" w:rsidP="00DE3D9F">
      <w:pPr>
        <w:pStyle w:val="SingleTxtGA"/>
        <w:rPr>
          <w:lang w:val="en-US" w:eastAsia="zh-TW" w:bidi="en-GB"/>
        </w:rPr>
      </w:pPr>
      <w:r w:rsidRPr="00AF3116">
        <w:rPr>
          <w:rtl/>
        </w:rPr>
        <w:t>58</w:t>
      </w:r>
      <w:r w:rsidRPr="001B6C67">
        <w:rPr>
          <w:rtl/>
        </w:rPr>
        <w:t>-</w:t>
      </w:r>
      <w:r w:rsidRPr="001B6C67">
        <w:rPr>
          <w:rtl/>
        </w:rPr>
        <w:tab/>
      </w:r>
      <w:r w:rsidRPr="00AD7242">
        <w:rPr>
          <w:spacing w:val="-4"/>
          <w:rtl/>
        </w:rPr>
        <w:t xml:space="preserve">وفي انتخابات عام </w:t>
      </w:r>
      <w:r w:rsidRPr="00AF3116">
        <w:rPr>
          <w:spacing w:val="-4"/>
          <w:rtl/>
        </w:rPr>
        <w:t>2019</w:t>
      </w:r>
      <w:r w:rsidRPr="00AD7242">
        <w:rPr>
          <w:spacing w:val="-4"/>
          <w:rtl/>
        </w:rPr>
        <w:t xml:space="preserve">، كان </w:t>
      </w:r>
      <w:r w:rsidRPr="00AF3116">
        <w:rPr>
          <w:spacing w:val="-4"/>
          <w:rtl/>
        </w:rPr>
        <w:t>975</w:t>
      </w:r>
      <w:r w:rsidRPr="00AD7242">
        <w:rPr>
          <w:spacing w:val="-4"/>
          <w:rtl/>
        </w:rPr>
        <w:t xml:space="preserve"> </w:t>
      </w:r>
      <w:r w:rsidRPr="00AF3116">
        <w:rPr>
          <w:spacing w:val="-4"/>
          <w:rtl/>
        </w:rPr>
        <w:t>419</w:t>
      </w:r>
      <w:r w:rsidRPr="00AD7242">
        <w:rPr>
          <w:spacing w:val="-4"/>
          <w:rtl/>
        </w:rPr>
        <w:t xml:space="preserve"> </w:t>
      </w:r>
      <w:r w:rsidRPr="00AF3116">
        <w:rPr>
          <w:spacing w:val="-4"/>
          <w:rtl/>
        </w:rPr>
        <w:t>51</w:t>
      </w:r>
      <w:r w:rsidRPr="00AD7242">
        <w:rPr>
          <w:spacing w:val="-4"/>
          <w:rtl/>
        </w:rPr>
        <w:t xml:space="preserve"> شخصاً مؤهلين للتصويت، منهم </w:t>
      </w:r>
      <w:r w:rsidRPr="00AF3116">
        <w:rPr>
          <w:spacing w:val="-4"/>
          <w:rtl/>
        </w:rPr>
        <w:t>448</w:t>
      </w:r>
      <w:r w:rsidRPr="00AD7242">
        <w:rPr>
          <w:spacing w:val="-4"/>
          <w:rtl/>
        </w:rPr>
        <w:t xml:space="preserve"> </w:t>
      </w:r>
      <w:r w:rsidRPr="00AF3116">
        <w:rPr>
          <w:spacing w:val="-4"/>
          <w:rtl/>
        </w:rPr>
        <w:t>618</w:t>
      </w:r>
      <w:r w:rsidRPr="00AD7242">
        <w:rPr>
          <w:spacing w:val="-4"/>
          <w:rtl/>
        </w:rPr>
        <w:t xml:space="preserve"> </w:t>
      </w:r>
      <w:r w:rsidRPr="00AF3116">
        <w:rPr>
          <w:spacing w:val="-4"/>
          <w:rtl/>
        </w:rPr>
        <w:t>26</w:t>
      </w:r>
      <w:r w:rsidRPr="00AD7242">
        <w:rPr>
          <w:spacing w:val="-4"/>
          <w:rtl/>
        </w:rPr>
        <w:t xml:space="preserve"> من</w:t>
      </w:r>
      <w:r w:rsidRPr="001B6C67">
        <w:rPr>
          <w:rtl/>
        </w:rPr>
        <w:t xml:space="preserve"> الإناث و</w:t>
      </w:r>
      <w:r w:rsidRPr="00AF3116">
        <w:rPr>
          <w:rtl/>
        </w:rPr>
        <w:t>527</w:t>
      </w:r>
      <w:r w:rsidRPr="001B6C67">
        <w:rPr>
          <w:rtl/>
        </w:rPr>
        <w:t xml:space="preserve"> </w:t>
      </w:r>
      <w:r w:rsidRPr="00AF3116">
        <w:rPr>
          <w:rtl/>
        </w:rPr>
        <w:t>801</w:t>
      </w:r>
      <w:r w:rsidRPr="001B6C67">
        <w:rPr>
          <w:rtl/>
        </w:rPr>
        <w:t xml:space="preserve"> </w:t>
      </w:r>
      <w:r w:rsidRPr="00AF3116">
        <w:rPr>
          <w:rtl/>
        </w:rPr>
        <w:t>24</w:t>
      </w:r>
      <w:r w:rsidRPr="001B6C67">
        <w:rPr>
          <w:rtl/>
        </w:rPr>
        <w:t xml:space="preserve"> من الذكور.</w:t>
      </w:r>
    </w:p>
    <w:p w14:paraId="75E24298" w14:textId="77777777" w:rsidR="00DE3D9F" w:rsidRPr="001B6C67" w:rsidRDefault="00DE3D9F" w:rsidP="00DE3D9F">
      <w:pPr>
        <w:pStyle w:val="SingleTxtGA"/>
        <w:rPr>
          <w:lang w:val="ar-SA" w:eastAsia="zh-TW" w:bidi="en-GB"/>
        </w:rPr>
      </w:pPr>
      <w:r w:rsidRPr="00AF3116">
        <w:rPr>
          <w:rtl/>
        </w:rPr>
        <w:t>59</w:t>
      </w:r>
      <w:r w:rsidRPr="001B6C67">
        <w:rPr>
          <w:rtl/>
        </w:rPr>
        <w:t>-</w:t>
      </w:r>
      <w:r w:rsidRPr="001B6C67">
        <w:rPr>
          <w:rtl/>
        </w:rPr>
        <w:tab/>
        <w:t xml:space="preserve">وحتى </w:t>
      </w:r>
      <w:r w:rsidRPr="00AF3116">
        <w:rPr>
          <w:rtl/>
        </w:rPr>
        <w:t>13</w:t>
      </w:r>
      <w:r w:rsidRPr="001B6C67">
        <w:rPr>
          <w:rtl/>
        </w:rPr>
        <w:t xml:space="preserve"> أيار/مايو </w:t>
      </w:r>
      <w:r w:rsidRPr="00AF3116">
        <w:rPr>
          <w:rtl/>
        </w:rPr>
        <w:t>2019</w:t>
      </w:r>
      <w:r w:rsidRPr="001B6C67">
        <w:rPr>
          <w:rtl/>
        </w:rPr>
        <w:t xml:space="preserve">، </w:t>
      </w:r>
      <w:r>
        <w:rPr>
          <w:rtl/>
        </w:rPr>
        <w:t xml:space="preserve">كان </w:t>
      </w:r>
      <w:r w:rsidRPr="001B6C67">
        <w:rPr>
          <w:rtl/>
        </w:rPr>
        <w:t xml:space="preserve">هناك </w:t>
      </w:r>
      <w:r w:rsidRPr="00AF3116">
        <w:rPr>
          <w:rtl/>
        </w:rPr>
        <w:t>88</w:t>
      </w:r>
      <w:r w:rsidRPr="001B6C67">
        <w:rPr>
          <w:rtl/>
        </w:rPr>
        <w:t xml:space="preserve"> حزباً سياسياً معترفاً به على الصعيد الوطني. وتتوزع مقاعد الجهاز التشريعي بحسب الأحزاب </w:t>
      </w:r>
      <w:r>
        <w:rPr>
          <w:rtl/>
        </w:rPr>
        <w:t>كما يلي</w:t>
      </w:r>
      <w:r w:rsidRPr="001B6C67">
        <w:rPr>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972"/>
        <w:gridCol w:w="1398"/>
      </w:tblGrid>
      <w:tr w:rsidR="00DE3D9F" w:rsidRPr="001C785F" w14:paraId="40E88448" w14:textId="77777777" w:rsidTr="00DE3D9F">
        <w:trPr>
          <w:tblHeader/>
        </w:trPr>
        <w:tc>
          <w:tcPr>
            <w:tcW w:w="5054" w:type="dxa"/>
            <w:tcBorders>
              <w:top w:val="single" w:sz="4" w:space="0" w:color="auto"/>
              <w:bottom w:val="single" w:sz="12" w:space="0" w:color="auto"/>
            </w:tcBorders>
            <w:shd w:val="clear" w:color="auto" w:fill="auto"/>
            <w:vAlign w:val="bottom"/>
          </w:tcPr>
          <w:p w14:paraId="0421AD0B" w14:textId="77777777" w:rsidR="00DE3D9F" w:rsidRPr="00E90634" w:rsidRDefault="00DE3D9F" w:rsidP="00E90634">
            <w:pPr>
              <w:spacing w:before="40" w:after="40" w:line="340" w:lineRule="exact"/>
              <w:ind w:left="108" w:right="113" w:firstLine="28"/>
              <w:textDirection w:val="tbRlV"/>
              <w:rPr>
                <w:rFonts w:ascii="Simplified Arabic" w:hAnsi="Simplified Arabic"/>
                <w:i/>
                <w:sz w:val="22"/>
                <w:lang w:val="ar-SA" w:eastAsia="zh-TW" w:bidi="en-GB"/>
              </w:rPr>
            </w:pPr>
            <w:r w:rsidRPr="00AF3116">
              <w:rPr>
                <w:rFonts w:ascii="Simplified Arabic" w:hAnsi="Simplified Arabic"/>
                <w:i/>
                <w:iCs/>
                <w:sz w:val="22"/>
                <w:rtl/>
              </w:rPr>
              <w:t>الحزب</w:t>
            </w:r>
          </w:p>
        </w:tc>
        <w:tc>
          <w:tcPr>
            <w:tcW w:w="1183" w:type="dxa"/>
            <w:tcBorders>
              <w:top w:val="single" w:sz="4" w:space="0" w:color="auto"/>
              <w:bottom w:val="single" w:sz="12" w:space="0" w:color="auto"/>
            </w:tcBorders>
            <w:shd w:val="clear" w:color="auto" w:fill="auto"/>
            <w:vAlign w:val="bottom"/>
          </w:tcPr>
          <w:p w14:paraId="1AF84129" w14:textId="77777777" w:rsidR="00DE3D9F" w:rsidRPr="00AF3116" w:rsidRDefault="00DE3D9F" w:rsidP="00E90634">
            <w:pPr>
              <w:spacing w:before="40" w:after="40" w:line="340" w:lineRule="exact"/>
              <w:ind w:left="108" w:right="426" w:firstLine="28"/>
              <w:jc w:val="right"/>
              <w:textDirection w:val="tbRlV"/>
              <w:rPr>
                <w:rFonts w:ascii="Simplified Arabic" w:hAnsi="Simplified Arabic"/>
                <w:i/>
                <w:sz w:val="22"/>
                <w:lang w:val="ar-SA" w:eastAsia="zh-TW" w:bidi="en-GB"/>
              </w:rPr>
            </w:pPr>
            <w:r w:rsidRPr="00AF3116">
              <w:rPr>
                <w:rFonts w:ascii="Simplified Arabic" w:hAnsi="Simplified Arabic"/>
                <w:i/>
                <w:iCs/>
                <w:sz w:val="22"/>
                <w:rtl/>
              </w:rPr>
              <w:t>المقاعد</w:t>
            </w:r>
          </w:p>
        </w:tc>
      </w:tr>
      <w:tr w:rsidR="00DE3D9F" w:rsidRPr="001C785F" w14:paraId="780916CE" w14:textId="77777777" w:rsidTr="00DE3D9F">
        <w:trPr>
          <w:trHeight w:hRule="exact" w:val="113"/>
          <w:tblHeader/>
        </w:trPr>
        <w:tc>
          <w:tcPr>
            <w:tcW w:w="5054" w:type="dxa"/>
            <w:tcBorders>
              <w:top w:val="single" w:sz="12" w:space="0" w:color="auto"/>
            </w:tcBorders>
            <w:shd w:val="clear" w:color="auto" w:fill="auto"/>
          </w:tcPr>
          <w:p w14:paraId="33279573" w14:textId="77777777" w:rsidR="00DE3D9F" w:rsidRPr="00E90634" w:rsidRDefault="00DE3D9F" w:rsidP="00E90634">
            <w:pPr>
              <w:spacing w:before="40" w:after="40" w:line="340" w:lineRule="exact"/>
              <w:ind w:left="108" w:right="113" w:firstLine="28"/>
              <w:rPr>
                <w:rFonts w:ascii="Simplified Arabic" w:hAnsi="Simplified Arabic"/>
                <w:sz w:val="22"/>
              </w:rPr>
            </w:pPr>
          </w:p>
        </w:tc>
        <w:tc>
          <w:tcPr>
            <w:tcW w:w="1183" w:type="dxa"/>
            <w:tcBorders>
              <w:top w:val="single" w:sz="12" w:space="0" w:color="auto"/>
            </w:tcBorders>
            <w:shd w:val="clear" w:color="auto" w:fill="auto"/>
            <w:vAlign w:val="bottom"/>
          </w:tcPr>
          <w:p w14:paraId="109D27B5" w14:textId="77777777" w:rsidR="00DE3D9F" w:rsidRPr="00E90634" w:rsidRDefault="00DE3D9F" w:rsidP="00E90634">
            <w:pPr>
              <w:spacing w:before="40" w:after="40" w:line="340" w:lineRule="exact"/>
              <w:ind w:left="108" w:right="113" w:firstLine="28"/>
              <w:jc w:val="right"/>
              <w:rPr>
                <w:rFonts w:ascii="Simplified Arabic" w:hAnsi="Simplified Arabic"/>
                <w:sz w:val="22"/>
              </w:rPr>
            </w:pPr>
          </w:p>
        </w:tc>
      </w:tr>
      <w:tr w:rsidR="00DE3D9F" w:rsidRPr="001C785F" w14:paraId="3D65CD00" w14:textId="77777777" w:rsidTr="00DE3D9F">
        <w:tc>
          <w:tcPr>
            <w:tcW w:w="5054" w:type="dxa"/>
            <w:shd w:val="clear" w:color="auto" w:fill="auto"/>
          </w:tcPr>
          <w:p w14:paraId="0FBCC4B1"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فيو التايلاندي</w:t>
            </w:r>
          </w:p>
        </w:tc>
        <w:tc>
          <w:tcPr>
            <w:tcW w:w="1183" w:type="dxa"/>
            <w:shd w:val="clear" w:color="auto" w:fill="auto"/>
            <w:vAlign w:val="bottom"/>
          </w:tcPr>
          <w:p w14:paraId="57D2647C"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136</w:t>
            </w:r>
          </w:p>
        </w:tc>
      </w:tr>
      <w:tr w:rsidR="00DE3D9F" w:rsidRPr="001C785F" w14:paraId="0BC2AD69" w14:textId="77777777" w:rsidTr="00DE3D9F">
        <w:tc>
          <w:tcPr>
            <w:tcW w:w="5054" w:type="dxa"/>
            <w:shd w:val="clear" w:color="auto" w:fill="auto"/>
          </w:tcPr>
          <w:p w14:paraId="05765EAE"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w:t>
            </w:r>
            <w:proofErr w:type="spellStart"/>
            <w:r w:rsidRPr="00E90634">
              <w:rPr>
                <w:rFonts w:ascii="Simplified Arabic" w:hAnsi="Simplified Arabic"/>
                <w:sz w:val="22"/>
                <w:rtl/>
              </w:rPr>
              <w:t>بالانغبراشاراث</w:t>
            </w:r>
            <w:proofErr w:type="spellEnd"/>
          </w:p>
        </w:tc>
        <w:tc>
          <w:tcPr>
            <w:tcW w:w="1183" w:type="dxa"/>
            <w:shd w:val="clear" w:color="auto" w:fill="auto"/>
            <w:vAlign w:val="bottom"/>
          </w:tcPr>
          <w:p w14:paraId="291AFF58"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116</w:t>
            </w:r>
          </w:p>
        </w:tc>
      </w:tr>
      <w:tr w:rsidR="00DE3D9F" w:rsidRPr="001C785F" w14:paraId="64FBD543" w14:textId="77777777" w:rsidTr="00DE3D9F">
        <w:tc>
          <w:tcPr>
            <w:tcW w:w="5054" w:type="dxa"/>
            <w:shd w:val="clear" w:color="auto" w:fill="auto"/>
          </w:tcPr>
          <w:p w14:paraId="468351D6"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المستقبل إلى الأمام</w:t>
            </w:r>
          </w:p>
        </w:tc>
        <w:tc>
          <w:tcPr>
            <w:tcW w:w="1183" w:type="dxa"/>
            <w:shd w:val="clear" w:color="auto" w:fill="auto"/>
            <w:vAlign w:val="bottom"/>
          </w:tcPr>
          <w:p w14:paraId="36E75D87"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eastAsia="zh-TW" w:bidi="en-GB"/>
              </w:rPr>
            </w:pPr>
            <w:r w:rsidRPr="00AF3116">
              <w:rPr>
                <w:rFonts w:ascii="Simplified Arabic" w:hAnsi="Simplified Arabic"/>
                <w:sz w:val="22"/>
                <w:rtl/>
              </w:rPr>
              <w:t>80</w:t>
            </w:r>
          </w:p>
        </w:tc>
      </w:tr>
      <w:tr w:rsidR="00DE3D9F" w:rsidRPr="001C785F" w14:paraId="126F19B3" w14:textId="77777777" w:rsidTr="00DE3D9F">
        <w:tc>
          <w:tcPr>
            <w:tcW w:w="5054" w:type="dxa"/>
            <w:shd w:val="clear" w:color="auto" w:fill="auto"/>
          </w:tcPr>
          <w:p w14:paraId="2C3167A6"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الحزب الديمقراطي</w:t>
            </w:r>
          </w:p>
        </w:tc>
        <w:tc>
          <w:tcPr>
            <w:tcW w:w="1183" w:type="dxa"/>
            <w:shd w:val="clear" w:color="auto" w:fill="auto"/>
            <w:vAlign w:val="bottom"/>
          </w:tcPr>
          <w:p w14:paraId="7E620BE4"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53</w:t>
            </w:r>
          </w:p>
        </w:tc>
      </w:tr>
      <w:tr w:rsidR="00DE3D9F" w:rsidRPr="001C785F" w14:paraId="2F116B72" w14:textId="77777777" w:rsidTr="00DE3D9F">
        <w:tc>
          <w:tcPr>
            <w:tcW w:w="5054" w:type="dxa"/>
            <w:shd w:val="clear" w:color="auto" w:fill="auto"/>
          </w:tcPr>
          <w:p w14:paraId="4B39A2D8"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w:t>
            </w:r>
            <w:proofErr w:type="spellStart"/>
            <w:r w:rsidRPr="00E90634">
              <w:rPr>
                <w:rFonts w:ascii="Simplified Arabic" w:hAnsi="Simplified Arabic"/>
                <w:sz w:val="22"/>
                <w:rtl/>
              </w:rPr>
              <w:t>بومجايثاي</w:t>
            </w:r>
            <w:proofErr w:type="spellEnd"/>
          </w:p>
        </w:tc>
        <w:tc>
          <w:tcPr>
            <w:tcW w:w="1183" w:type="dxa"/>
            <w:shd w:val="clear" w:color="auto" w:fill="auto"/>
            <w:vAlign w:val="bottom"/>
          </w:tcPr>
          <w:p w14:paraId="7D2928DC"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51</w:t>
            </w:r>
          </w:p>
        </w:tc>
      </w:tr>
      <w:tr w:rsidR="00DE3D9F" w:rsidRPr="001C785F" w14:paraId="67FDAE26" w14:textId="77777777" w:rsidTr="00DE3D9F">
        <w:tc>
          <w:tcPr>
            <w:tcW w:w="5054" w:type="dxa"/>
            <w:shd w:val="clear" w:color="auto" w:fill="auto"/>
          </w:tcPr>
          <w:p w14:paraId="4A53C111"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الحزب الليبرالي التايلاندي</w:t>
            </w:r>
          </w:p>
        </w:tc>
        <w:tc>
          <w:tcPr>
            <w:tcW w:w="1183" w:type="dxa"/>
            <w:shd w:val="clear" w:color="auto" w:fill="auto"/>
            <w:vAlign w:val="bottom"/>
          </w:tcPr>
          <w:p w14:paraId="0A227C0D"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10</w:t>
            </w:r>
          </w:p>
        </w:tc>
      </w:tr>
      <w:tr w:rsidR="00DE3D9F" w:rsidRPr="001C785F" w14:paraId="2349A3A6" w14:textId="77777777" w:rsidTr="00DE3D9F">
        <w:tc>
          <w:tcPr>
            <w:tcW w:w="5054" w:type="dxa"/>
            <w:shd w:val="clear" w:color="auto" w:fill="auto"/>
          </w:tcPr>
          <w:p w14:paraId="0A0EE730"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w:t>
            </w:r>
            <w:proofErr w:type="spellStart"/>
            <w:r w:rsidRPr="00E90634">
              <w:rPr>
                <w:rFonts w:ascii="Simplified Arabic" w:hAnsi="Simplified Arabic"/>
                <w:sz w:val="22"/>
                <w:rtl/>
              </w:rPr>
              <w:t>شارتثايباتانا</w:t>
            </w:r>
            <w:proofErr w:type="spellEnd"/>
          </w:p>
        </w:tc>
        <w:tc>
          <w:tcPr>
            <w:tcW w:w="1183" w:type="dxa"/>
            <w:shd w:val="clear" w:color="auto" w:fill="auto"/>
            <w:vAlign w:val="bottom"/>
          </w:tcPr>
          <w:p w14:paraId="78C7C7D1"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10</w:t>
            </w:r>
          </w:p>
        </w:tc>
      </w:tr>
      <w:tr w:rsidR="00DE3D9F" w:rsidRPr="001C785F" w14:paraId="130E2AAB" w14:textId="77777777" w:rsidTr="00DE3D9F">
        <w:tc>
          <w:tcPr>
            <w:tcW w:w="5054" w:type="dxa"/>
            <w:shd w:val="clear" w:color="auto" w:fill="auto"/>
          </w:tcPr>
          <w:p w14:paraId="5B17E18F"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eastAsia="zh-TW" w:bidi="en-GB"/>
              </w:rPr>
            </w:pPr>
            <w:r w:rsidRPr="00E90634">
              <w:rPr>
                <w:rFonts w:ascii="Simplified Arabic" w:hAnsi="Simplified Arabic"/>
                <w:sz w:val="22"/>
                <w:rtl/>
              </w:rPr>
              <w:t>حزب الاقتصاد الجديد</w:t>
            </w:r>
          </w:p>
        </w:tc>
        <w:tc>
          <w:tcPr>
            <w:tcW w:w="1183" w:type="dxa"/>
            <w:shd w:val="clear" w:color="auto" w:fill="auto"/>
            <w:vAlign w:val="bottom"/>
          </w:tcPr>
          <w:p w14:paraId="3E350503"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6</w:t>
            </w:r>
          </w:p>
        </w:tc>
      </w:tr>
      <w:tr w:rsidR="00DE3D9F" w:rsidRPr="001C785F" w14:paraId="40AD03B8" w14:textId="77777777" w:rsidTr="00DE3D9F">
        <w:tc>
          <w:tcPr>
            <w:tcW w:w="5054" w:type="dxa"/>
            <w:shd w:val="clear" w:color="auto" w:fill="auto"/>
          </w:tcPr>
          <w:p w14:paraId="2187AF26"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w:t>
            </w:r>
            <w:proofErr w:type="spellStart"/>
            <w:r w:rsidRPr="00E90634">
              <w:rPr>
                <w:rFonts w:ascii="Simplified Arabic" w:hAnsi="Simplified Arabic"/>
                <w:sz w:val="22"/>
                <w:rtl/>
              </w:rPr>
              <w:t>براشاشارت</w:t>
            </w:r>
            <w:proofErr w:type="spellEnd"/>
          </w:p>
        </w:tc>
        <w:tc>
          <w:tcPr>
            <w:tcW w:w="1183" w:type="dxa"/>
            <w:shd w:val="clear" w:color="auto" w:fill="auto"/>
            <w:vAlign w:val="bottom"/>
          </w:tcPr>
          <w:p w14:paraId="6D571427"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7</w:t>
            </w:r>
          </w:p>
        </w:tc>
      </w:tr>
      <w:tr w:rsidR="00DE3D9F" w:rsidRPr="001C785F" w14:paraId="4D7FC287" w14:textId="77777777" w:rsidTr="00DE3D9F">
        <w:tc>
          <w:tcPr>
            <w:tcW w:w="5054" w:type="dxa"/>
            <w:shd w:val="clear" w:color="auto" w:fill="auto"/>
          </w:tcPr>
          <w:p w14:paraId="487484E2"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بويا تشات</w:t>
            </w:r>
          </w:p>
        </w:tc>
        <w:tc>
          <w:tcPr>
            <w:tcW w:w="1183" w:type="dxa"/>
            <w:shd w:val="clear" w:color="auto" w:fill="auto"/>
            <w:vAlign w:val="bottom"/>
          </w:tcPr>
          <w:p w14:paraId="391AA02D"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5</w:t>
            </w:r>
          </w:p>
        </w:tc>
      </w:tr>
      <w:tr w:rsidR="00DE3D9F" w:rsidRPr="001C785F" w14:paraId="78449084" w14:textId="77777777" w:rsidTr="00DE3D9F">
        <w:tc>
          <w:tcPr>
            <w:tcW w:w="5054" w:type="dxa"/>
            <w:shd w:val="clear" w:color="auto" w:fill="auto"/>
          </w:tcPr>
          <w:p w14:paraId="39568943"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تحالف العمل من أجل تايلاند</w:t>
            </w:r>
          </w:p>
        </w:tc>
        <w:tc>
          <w:tcPr>
            <w:tcW w:w="1183" w:type="dxa"/>
            <w:shd w:val="clear" w:color="auto" w:fill="auto"/>
            <w:vAlign w:val="bottom"/>
          </w:tcPr>
          <w:p w14:paraId="47DCAF79"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5</w:t>
            </w:r>
          </w:p>
        </w:tc>
      </w:tr>
      <w:tr w:rsidR="00DE3D9F" w:rsidRPr="001C785F" w14:paraId="4D157A31" w14:textId="77777777" w:rsidTr="00DE3D9F">
        <w:tc>
          <w:tcPr>
            <w:tcW w:w="5054" w:type="dxa"/>
            <w:shd w:val="clear" w:color="auto" w:fill="auto"/>
          </w:tcPr>
          <w:p w14:paraId="796916CE"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شارت </w:t>
            </w:r>
            <w:proofErr w:type="spellStart"/>
            <w:r w:rsidRPr="00E90634">
              <w:rPr>
                <w:rFonts w:ascii="Simplified Arabic" w:hAnsi="Simplified Arabic"/>
                <w:sz w:val="22"/>
                <w:rtl/>
              </w:rPr>
              <w:t>باتانا</w:t>
            </w:r>
            <w:proofErr w:type="spellEnd"/>
          </w:p>
        </w:tc>
        <w:tc>
          <w:tcPr>
            <w:tcW w:w="1183" w:type="dxa"/>
            <w:shd w:val="clear" w:color="auto" w:fill="auto"/>
            <w:vAlign w:val="bottom"/>
          </w:tcPr>
          <w:p w14:paraId="4F9CCA9B"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3</w:t>
            </w:r>
          </w:p>
        </w:tc>
      </w:tr>
      <w:tr w:rsidR="00DE3D9F" w:rsidRPr="001C785F" w14:paraId="7751254A" w14:textId="77777777" w:rsidTr="00DE3D9F">
        <w:tc>
          <w:tcPr>
            <w:tcW w:w="5054" w:type="dxa"/>
            <w:shd w:val="clear" w:color="auto" w:fill="auto"/>
          </w:tcPr>
          <w:p w14:paraId="4BFD9A7E"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السلطة المحلية التايلاندي</w:t>
            </w:r>
          </w:p>
        </w:tc>
        <w:tc>
          <w:tcPr>
            <w:tcW w:w="1183" w:type="dxa"/>
            <w:shd w:val="clear" w:color="auto" w:fill="auto"/>
            <w:vAlign w:val="bottom"/>
          </w:tcPr>
          <w:p w14:paraId="5B1CB4CE"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3</w:t>
            </w:r>
          </w:p>
        </w:tc>
      </w:tr>
      <w:tr w:rsidR="00DE3D9F" w:rsidRPr="001C785F" w14:paraId="430BDA3E" w14:textId="77777777" w:rsidTr="00DE3D9F">
        <w:tc>
          <w:tcPr>
            <w:tcW w:w="5054" w:type="dxa"/>
            <w:shd w:val="clear" w:color="auto" w:fill="auto"/>
          </w:tcPr>
          <w:p w14:paraId="7F107BA5"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الحفاظ على الغابات التايلاندي</w:t>
            </w:r>
          </w:p>
        </w:tc>
        <w:tc>
          <w:tcPr>
            <w:tcW w:w="1183" w:type="dxa"/>
            <w:shd w:val="clear" w:color="auto" w:fill="auto"/>
            <w:vAlign w:val="bottom"/>
          </w:tcPr>
          <w:p w14:paraId="36645B35"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2</w:t>
            </w:r>
          </w:p>
        </w:tc>
      </w:tr>
      <w:tr w:rsidR="00DE3D9F" w:rsidRPr="001C785F" w14:paraId="502BDE79" w14:textId="77777777" w:rsidTr="00DE3D9F">
        <w:tc>
          <w:tcPr>
            <w:tcW w:w="5054" w:type="dxa"/>
            <w:shd w:val="clear" w:color="auto" w:fill="auto"/>
          </w:tcPr>
          <w:p w14:paraId="38C05C22"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سلطة الشعب التايلاندي</w:t>
            </w:r>
          </w:p>
        </w:tc>
        <w:tc>
          <w:tcPr>
            <w:tcW w:w="1183" w:type="dxa"/>
            <w:shd w:val="clear" w:color="auto" w:fill="auto"/>
            <w:vAlign w:val="bottom"/>
          </w:tcPr>
          <w:p w14:paraId="469B5580"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3DD054E6" w14:textId="77777777" w:rsidTr="00DE3D9F">
        <w:tc>
          <w:tcPr>
            <w:tcW w:w="5054" w:type="dxa"/>
            <w:shd w:val="clear" w:color="auto" w:fill="auto"/>
          </w:tcPr>
          <w:p w14:paraId="3E02B308"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سلطة الأمة التايلاندية </w:t>
            </w:r>
          </w:p>
        </w:tc>
        <w:tc>
          <w:tcPr>
            <w:tcW w:w="1183" w:type="dxa"/>
            <w:shd w:val="clear" w:color="auto" w:fill="auto"/>
            <w:vAlign w:val="bottom"/>
          </w:tcPr>
          <w:p w14:paraId="089B030A"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0525AB6D" w14:textId="77777777" w:rsidTr="00DE3D9F">
        <w:tc>
          <w:tcPr>
            <w:tcW w:w="5054" w:type="dxa"/>
            <w:shd w:val="clear" w:color="auto" w:fill="auto"/>
          </w:tcPr>
          <w:p w14:paraId="7C55D338"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الشعب التقدمي</w:t>
            </w:r>
          </w:p>
        </w:tc>
        <w:tc>
          <w:tcPr>
            <w:tcW w:w="1183" w:type="dxa"/>
            <w:shd w:val="clear" w:color="auto" w:fill="auto"/>
            <w:vAlign w:val="bottom"/>
          </w:tcPr>
          <w:p w14:paraId="0394F91E"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00E56B6E" w14:textId="77777777" w:rsidTr="00E90634">
        <w:tc>
          <w:tcPr>
            <w:tcW w:w="5054" w:type="dxa"/>
            <w:tcBorders>
              <w:bottom w:val="nil"/>
            </w:tcBorders>
            <w:shd w:val="clear" w:color="auto" w:fill="auto"/>
          </w:tcPr>
          <w:p w14:paraId="112E1891"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الحزب المتحضر التايلاندي</w:t>
            </w:r>
          </w:p>
        </w:tc>
        <w:tc>
          <w:tcPr>
            <w:tcW w:w="1183" w:type="dxa"/>
            <w:tcBorders>
              <w:bottom w:val="nil"/>
            </w:tcBorders>
            <w:shd w:val="clear" w:color="auto" w:fill="auto"/>
            <w:vAlign w:val="bottom"/>
          </w:tcPr>
          <w:p w14:paraId="30712D59"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2FBEF480" w14:textId="77777777" w:rsidTr="00E90634">
        <w:tc>
          <w:tcPr>
            <w:tcW w:w="5054" w:type="dxa"/>
            <w:tcBorders>
              <w:top w:val="nil"/>
              <w:bottom w:val="nil"/>
            </w:tcBorders>
            <w:shd w:val="clear" w:color="auto" w:fill="auto"/>
          </w:tcPr>
          <w:p w14:paraId="7C5701FF"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w:t>
            </w:r>
            <w:proofErr w:type="spellStart"/>
            <w:r w:rsidRPr="00E90634">
              <w:rPr>
                <w:rFonts w:ascii="Simplified Arabic" w:hAnsi="Simplified Arabic"/>
                <w:sz w:val="22"/>
                <w:rtl/>
              </w:rPr>
              <w:t>بالانج</w:t>
            </w:r>
            <w:proofErr w:type="spellEnd"/>
            <w:r w:rsidRPr="00E90634">
              <w:rPr>
                <w:rFonts w:ascii="Simplified Arabic" w:hAnsi="Simplified Arabic"/>
                <w:sz w:val="22"/>
                <w:rtl/>
              </w:rPr>
              <w:t xml:space="preserve"> تاي راك التايلندي</w:t>
            </w:r>
          </w:p>
        </w:tc>
        <w:tc>
          <w:tcPr>
            <w:tcW w:w="1183" w:type="dxa"/>
            <w:tcBorders>
              <w:top w:val="nil"/>
              <w:bottom w:val="nil"/>
            </w:tcBorders>
            <w:shd w:val="clear" w:color="auto" w:fill="auto"/>
            <w:vAlign w:val="bottom"/>
          </w:tcPr>
          <w:p w14:paraId="30F485D4"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32476F73" w14:textId="77777777" w:rsidTr="00E90634">
        <w:tc>
          <w:tcPr>
            <w:tcW w:w="5054" w:type="dxa"/>
            <w:tcBorders>
              <w:top w:val="nil"/>
              <w:bottom w:val="nil"/>
            </w:tcBorders>
            <w:shd w:val="clear" w:color="auto" w:fill="auto"/>
          </w:tcPr>
          <w:p w14:paraId="4BB6AE36"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المعلمين من أجل الشعب التايلندي</w:t>
            </w:r>
          </w:p>
        </w:tc>
        <w:tc>
          <w:tcPr>
            <w:tcW w:w="1183" w:type="dxa"/>
            <w:tcBorders>
              <w:top w:val="nil"/>
              <w:bottom w:val="nil"/>
            </w:tcBorders>
            <w:shd w:val="clear" w:color="auto" w:fill="auto"/>
            <w:vAlign w:val="bottom"/>
          </w:tcPr>
          <w:p w14:paraId="3A46340B"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6827EE35" w14:textId="77777777" w:rsidTr="00E90634">
        <w:tc>
          <w:tcPr>
            <w:tcW w:w="5054" w:type="dxa"/>
            <w:tcBorders>
              <w:top w:val="nil"/>
              <w:bottom w:val="nil"/>
            </w:tcBorders>
            <w:shd w:val="clear" w:color="auto" w:fill="auto"/>
          </w:tcPr>
          <w:p w14:paraId="798B665E"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eastAsia="zh-TW" w:bidi="en-GB"/>
              </w:rPr>
            </w:pPr>
            <w:r w:rsidRPr="00E90634">
              <w:rPr>
                <w:rFonts w:ascii="Simplified Arabic" w:hAnsi="Simplified Arabic"/>
                <w:sz w:val="22"/>
                <w:rtl/>
              </w:rPr>
              <w:lastRenderedPageBreak/>
              <w:t xml:space="preserve">حزب </w:t>
            </w:r>
            <w:proofErr w:type="spellStart"/>
            <w:r w:rsidRPr="00E90634">
              <w:rPr>
                <w:rFonts w:ascii="Simplified Arabic" w:hAnsi="Simplified Arabic"/>
                <w:sz w:val="22"/>
                <w:rtl/>
              </w:rPr>
              <w:t>براشانيوم</w:t>
            </w:r>
            <w:proofErr w:type="spellEnd"/>
          </w:p>
        </w:tc>
        <w:tc>
          <w:tcPr>
            <w:tcW w:w="1183" w:type="dxa"/>
            <w:tcBorders>
              <w:top w:val="nil"/>
              <w:bottom w:val="nil"/>
            </w:tcBorders>
            <w:shd w:val="clear" w:color="auto" w:fill="auto"/>
            <w:vAlign w:val="bottom"/>
          </w:tcPr>
          <w:p w14:paraId="73E30AF2"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6FEE69F9" w14:textId="77777777" w:rsidTr="00DE3D9F">
        <w:tc>
          <w:tcPr>
            <w:tcW w:w="5054" w:type="dxa"/>
            <w:tcBorders>
              <w:top w:val="nil"/>
              <w:bottom w:val="nil"/>
            </w:tcBorders>
            <w:shd w:val="clear" w:color="auto" w:fill="auto"/>
          </w:tcPr>
          <w:p w14:paraId="5EEA50AD"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العدالة للشعب التايلاندي</w:t>
            </w:r>
          </w:p>
        </w:tc>
        <w:tc>
          <w:tcPr>
            <w:tcW w:w="1183" w:type="dxa"/>
            <w:tcBorders>
              <w:top w:val="nil"/>
              <w:bottom w:val="nil"/>
            </w:tcBorders>
            <w:shd w:val="clear" w:color="auto" w:fill="auto"/>
            <w:vAlign w:val="bottom"/>
          </w:tcPr>
          <w:p w14:paraId="5E25EC7D"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6D6E34C3" w14:textId="77777777" w:rsidTr="00DE3D9F">
        <w:tc>
          <w:tcPr>
            <w:tcW w:w="5054" w:type="dxa"/>
            <w:tcBorders>
              <w:top w:val="nil"/>
              <w:bottom w:val="nil"/>
            </w:tcBorders>
            <w:shd w:val="clear" w:color="auto" w:fill="auto"/>
          </w:tcPr>
          <w:p w14:paraId="28646B3F" w14:textId="77777777" w:rsidR="00DE3D9F" w:rsidRPr="00FE57EB" w:rsidRDefault="00DE3D9F" w:rsidP="00E90634">
            <w:pPr>
              <w:spacing w:before="40" w:after="40" w:line="340" w:lineRule="exact"/>
              <w:ind w:left="108" w:right="113" w:firstLine="28"/>
              <w:textDirection w:val="tbRlV"/>
              <w:rPr>
                <w:rFonts w:ascii="Simplified Arabic" w:hAnsi="Simplified Arabic"/>
                <w:sz w:val="22"/>
                <w:lang w:eastAsia="zh-TW" w:bidi="en-GB"/>
              </w:rPr>
            </w:pPr>
            <w:r w:rsidRPr="00E90634">
              <w:rPr>
                <w:rFonts w:ascii="Simplified Arabic" w:hAnsi="Simplified Arabic"/>
                <w:sz w:val="22"/>
                <w:rtl/>
              </w:rPr>
              <w:t>حزب الإصلاح الشعبي</w:t>
            </w:r>
          </w:p>
        </w:tc>
        <w:tc>
          <w:tcPr>
            <w:tcW w:w="1183" w:type="dxa"/>
            <w:tcBorders>
              <w:top w:val="nil"/>
              <w:bottom w:val="nil"/>
            </w:tcBorders>
            <w:shd w:val="clear" w:color="auto" w:fill="auto"/>
            <w:vAlign w:val="bottom"/>
          </w:tcPr>
          <w:p w14:paraId="2F73180B"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1B1F8A57" w14:textId="77777777" w:rsidTr="00DE3D9F">
        <w:tc>
          <w:tcPr>
            <w:tcW w:w="5054" w:type="dxa"/>
            <w:tcBorders>
              <w:top w:val="nil"/>
              <w:bottom w:val="nil"/>
            </w:tcBorders>
            <w:shd w:val="clear" w:color="auto" w:fill="auto"/>
          </w:tcPr>
          <w:p w14:paraId="37EB03B8" w14:textId="77777777" w:rsidR="00DE3D9F" w:rsidRPr="00E90634" w:rsidRDefault="00DE3D9F" w:rsidP="00E90634">
            <w:pPr>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سلطة المواطنين التايلانديين</w:t>
            </w:r>
          </w:p>
        </w:tc>
        <w:tc>
          <w:tcPr>
            <w:tcW w:w="1183" w:type="dxa"/>
            <w:tcBorders>
              <w:top w:val="nil"/>
              <w:bottom w:val="nil"/>
            </w:tcBorders>
            <w:shd w:val="clear" w:color="auto" w:fill="auto"/>
            <w:vAlign w:val="bottom"/>
          </w:tcPr>
          <w:p w14:paraId="4DFA6C74" w14:textId="77777777" w:rsidR="00DE3D9F" w:rsidRPr="00E90634" w:rsidRDefault="00DE3D9F" w:rsidP="00E90634">
            <w:pPr>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43706D2E" w14:textId="77777777" w:rsidTr="00DE3D9F">
        <w:tc>
          <w:tcPr>
            <w:tcW w:w="5054" w:type="dxa"/>
            <w:tcBorders>
              <w:top w:val="nil"/>
            </w:tcBorders>
            <w:shd w:val="clear" w:color="auto" w:fill="auto"/>
          </w:tcPr>
          <w:p w14:paraId="240AEA2C" w14:textId="77777777" w:rsidR="00DE3D9F" w:rsidRPr="00E90634" w:rsidRDefault="00DE3D9F" w:rsidP="00E90634">
            <w:pPr>
              <w:keepNext/>
              <w:keepLines/>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حزب الديمقراطية الجديدة</w:t>
            </w:r>
          </w:p>
        </w:tc>
        <w:tc>
          <w:tcPr>
            <w:tcW w:w="1183" w:type="dxa"/>
            <w:tcBorders>
              <w:top w:val="nil"/>
            </w:tcBorders>
            <w:shd w:val="clear" w:color="auto" w:fill="auto"/>
            <w:vAlign w:val="bottom"/>
          </w:tcPr>
          <w:p w14:paraId="51C66729" w14:textId="77777777" w:rsidR="00DE3D9F" w:rsidRPr="00E90634" w:rsidRDefault="00DE3D9F" w:rsidP="00E90634">
            <w:pPr>
              <w:keepNext/>
              <w:keepLines/>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r w:rsidR="00DE3D9F" w:rsidRPr="001C785F" w14:paraId="07A4959A" w14:textId="77777777" w:rsidTr="00DE3D9F">
        <w:tc>
          <w:tcPr>
            <w:tcW w:w="5054" w:type="dxa"/>
            <w:shd w:val="clear" w:color="auto" w:fill="auto"/>
          </w:tcPr>
          <w:p w14:paraId="4B195D05" w14:textId="77777777" w:rsidR="00DE3D9F" w:rsidRPr="00E90634" w:rsidRDefault="00DE3D9F" w:rsidP="00E90634">
            <w:pPr>
              <w:keepNext/>
              <w:keepLines/>
              <w:spacing w:before="40" w:after="40" w:line="340" w:lineRule="exact"/>
              <w:ind w:left="108" w:right="113" w:firstLine="28"/>
              <w:textDirection w:val="tbRlV"/>
              <w:rPr>
                <w:rFonts w:ascii="Simplified Arabic" w:hAnsi="Simplified Arabic"/>
                <w:sz w:val="22"/>
                <w:lang w:val="ar-SA" w:eastAsia="zh-TW" w:bidi="en-GB"/>
              </w:rPr>
            </w:pPr>
            <w:r w:rsidRPr="00E90634">
              <w:rPr>
                <w:rFonts w:ascii="Simplified Arabic" w:hAnsi="Simplified Arabic"/>
                <w:sz w:val="22"/>
                <w:rtl/>
              </w:rPr>
              <w:t xml:space="preserve">حزب </w:t>
            </w:r>
            <w:proofErr w:type="spellStart"/>
            <w:r w:rsidRPr="00E90634">
              <w:rPr>
                <w:rFonts w:ascii="Simplified Arabic" w:hAnsi="Simplified Arabic"/>
                <w:sz w:val="22"/>
                <w:rtl/>
              </w:rPr>
              <w:t>بالانغدارما</w:t>
            </w:r>
            <w:proofErr w:type="spellEnd"/>
            <w:r w:rsidRPr="00E90634">
              <w:rPr>
                <w:rFonts w:ascii="Simplified Arabic" w:hAnsi="Simplified Arabic"/>
                <w:sz w:val="22"/>
                <w:rtl/>
              </w:rPr>
              <w:t xml:space="preserve"> الجديد</w:t>
            </w:r>
          </w:p>
        </w:tc>
        <w:tc>
          <w:tcPr>
            <w:tcW w:w="1183" w:type="dxa"/>
            <w:shd w:val="clear" w:color="auto" w:fill="auto"/>
            <w:vAlign w:val="bottom"/>
          </w:tcPr>
          <w:p w14:paraId="27126475" w14:textId="77777777" w:rsidR="00DE3D9F" w:rsidRPr="00E90634" w:rsidRDefault="00DE3D9F" w:rsidP="00E90634">
            <w:pPr>
              <w:keepNext/>
              <w:keepLines/>
              <w:spacing w:before="40" w:after="40" w:line="340" w:lineRule="exact"/>
              <w:ind w:left="108" w:right="113" w:firstLine="432"/>
              <w:jc w:val="left"/>
              <w:textDirection w:val="tbRlV"/>
              <w:rPr>
                <w:rFonts w:ascii="Simplified Arabic" w:hAnsi="Simplified Arabic"/>
                <w:sz w:val="22"/>
                <w:lang w:val="ar-SA" w:eastAsia="zh-TW" w:bidi="en-GB"/>
              </w:rPr>
            </w:pPr>
            <w:r w:rsidRPr="00AF3116">
              <w:rPr>
                <w:rFonts w:ascii="Simplified Arabic" w:hAnsi="Simplified Arabic"/>
                <w:sz w:val="22"/>
                <w:rtl/>
              </w:rPr>
              <w:t>1</w:t>
            </w:r>
          </w:p>
        </w:tc>
      </w:tr>
    </w:tbl>
    <w:p w14:paraId="500BF828" w14:textId="77777777" w:rsidR="00DE3D9F" w:rsidRPr="00AF3116" w:rsidRDefault="00DE3D9F" w:rsidP="00DE3D9F">
      <w:pPr>
        <w:pStyle w:val="H23GA"/>
        <w:rPr>
          <w:lang w:val="ar-SA" w:eastAsia="zh-TW" w:bidi="en-GB"/>
        </w:rPr>
      </w:pPr>
      <w:r w:rsidRPr="00AF3116">
        <w:rPr>
          <w:rtl/>
        </w:rPr>
        <w:tab/>
      </w:r>
      <w:r w:rsidRPr="00AF3116">
        <w:rPr>
          <w:rtl/>
        </w:rPr>
        <w:tab/>
        <w:t>الجريمة وإقامة العدل</w:t>
      </w:r>
    </w:p>
    <w:p w14:paraId="763BEDBF" w14:textId="77777777" w:rsidR="00DE3D9F" w:rsidRPr="001B6C67" w:rsidRDefault="00DE3D9F" w:rsidP="00DE3D9F">
      <w:pPr>
        <w:pStyle w:val="SingleTxtGA"/>
        <w:rPr>
          <w:lang w:val="ar-SA" w:eastAsia="zh-TW" w:bidi="en-GB"/>
        </w:rPr>
      </w:pPr>
      <w:r w:rsidRPr="00AF3116">
        <w:rPr>
          <w:rtl/>
        </w:rPr>
        <w:t>60</w:t>
      </w:r>
      <w:r w:rsidRPr="001B6C67">
        <w:rPr>
          <w:rtl/>
        </w:rPr>
        <w:t>-</w:t>
      </w:r>
      <w:r w:rsidRPr="001B6C67">
        <w:rPr>
          <w:rtl/>
        </w:rPr>
        <w:tab/>
        <w:t xml:space="preserve">في عام </w:t>
      </w:r>
      <w:r w:rsidRPr="00AF3116">
        <w:rPr>
          <w:rtl/>
        </w:rPr>
        <w:t>2019</w:t>
      </w:r>
      <w:r w:rsidRPr="001B6C67">
        <w:rPr>
          <w:rtl/>
        </w:rPr>
        <w:t xml:space="preserve">، زادت القضايا الجنائية بنسبة </w:t>
      </w:r>
      <w:r w:rsidRPr="00AF3116">
        <w:rPr>
          <w:rtl/>
        </w:rPr>
        <w:t>23</w:t>
      </w:r>
      <w:r w:rsidRPr="001B6C67">
        <w:rPr>
          <w:rtl/>
        </w:rPr>
        <w:t xml:space="preserve"> في المائة عن العام السابق. ومن بين</w:t>
      </w:r>
      <w:r>
        <w:rPr>
          <w:rtl/>
        </w:rPr>
        <w:t xml:space="preserve"> </w:t>
      </w:r>
      <w:r w:rsidRPr="001B6C67">
        <w:rPr>
          <w:rtl/>
        </w:rPr>
        <w:t>ه</w:t>
      </w:r>
      <w:r>
        <w:rPr>
          <w:rtl/>
        </w:rPr>
        <w:t xml:space="preserve">ذه </w:t>
      </w:r>
      <w:r w:rsidRPr="001B6C67">
        <w:rPr>
          <w:rtl/>
        </w:rPr>
        <w:t>ا</w:t>
      </w:r>
      <w:r>
        <w:rPr>
          <w:rtl/>
        </w:rPr>
        <w:t>لقضايا الجنائية</w:t>
      </w:r>
      <w:r w:rsidRPr="001B6C67">
        <w:rPr>
          <w:rtl/>
        </w:rPr>
        <w:t xml:space="preserve">، زادت قضايا المخدرات وقضايا الجرائم المرتكبة ضد الممتلكات بنسبة </w:t>
      </w:r>
      <w:r w:rsidRPr="00AF3116">
        <w:rPr>
          <w:rtl/>
        </w:rPr>
        <w:t>27</w:t>
      </w:r>
      <w:r w:rsidRPr="001B6C67">
        <w:rPr>
          <w:rtl/>
        </w:rPr>
        <w:t>,</w:t>
      </w:r>
      <w:r w:rsidRPr="00AF3116">
        <w:rPr>
          <w:rtl/>
        </w:rPr>
        <w:t>7</w:t>
      </w:r>
      <w:r w:rsidRPr="001B6C67">
        <w:rPr>
          <w:rtl/>
        </w:rPr>
        <w:t xml:space="preserve"> في المائة و</w:t>
      </w:r>
      <w:r w:rsidRPr="00AF3116">
        <w:rPr>
          <w:rtl/>
        </w:rPr>
        <w:t>4</w:t>
      </w:r>
      <w:r w:rsidRPr="001B6C67">
        <w:rPr>
          <w:rtl/>
        </w:rPr>
        <w:t>,</w:t>
      </w:r>
      <w:r w:rsidRPr="00AF3116">
        <w:rPr>
          <w:rtl/>
        </w:rPr>
        <w:t>3</w:t>
      </w:r>
      <w:r w:rsidRPr="001B6C67">
        <w:rPr>
          <w:rtl/>
        </w:rPr>
        <w:t xml:space="preserve"> في المائة، على التوالي. غير أن الجرائم المرتكبة ضد الحياة والجسم والاعتداءات الجنسية انخفضت بنسبة </w:t>
      </w:r>
      <w:r w:rsidRPr="00AF3116">
        <w:rPr>
          <w:rtl/>
        </w:rPr>
        <w:t>6</w:t>
      </w:r>
      <w:r w:rsidRPr="001B6C67">
        <w:rPr>
          <w:rtl/>
        </w:rPr>
        <w:t>,</w:t>
      </w:r>
      <w:r w:rsidRPr="00AF3116">
        <w:rPr>
          <w:rtl/>
        </w:rPr>
        <w:t>1</w:t>
      </w:r>
      <w:r w:rsidRPr="001B6C67">
        <w:rPr>
          <w:rtl/>
        </w:rPr>
        <w:t xml:space="preserve"> في المائة. وتستند الأرقام الواردة في الجداول التالية إلى البيانات المتاحة في آذار/مارس </w:t>
      </w:r>
      <w:r w:rsidRPr="00AF3116">
        <w:rPr>
          <w:rtl/>
        </w:rPr>
        <w:t>2019</w:t>
      </w:r>
      <w:r w:rsidRPr="001B6C67">
        <w:rPr>
          <w:rtl/>
        </w:rPr>
        <w:t>.</w:t>
      </w:r>
    </w:p>
    <w:tbl>
      <w:tblPr>
        <w:bidiVisual/>
        <w:tblW w:w="756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43"/>
        <w:gridCol w:w="1568"/>
        <w:gridCol w:w="714"/>
        <w:gridCol w:w="728"/>
        <w:gridCol w:w="208"/>
        <w:gridCol w:w="603"/>
        <w:gridCol w:w="703"/>
      </w:tblGrid>
      <w:tr w:rsidR="00DE3D9F" w:rsidRPr="00E90634" w14:paraId="18040E4F" w14:textId="77777777" w:rsidTr="003B756C">
        <w:trPr>
          <w:tblHeader/>
        </w:trPr>
        <w:tc>
          <w:tcPr>
            <w:tcW w:w="3043" w:type="dxa"/>
            <w:tcBorders>
              <w:top w:val="single" w:sz="4" w:space="0" w:color="auto"/>
              <w:bottom w:val="single" w:sz="4" w:space="0" w:color="auto"/>
            </w:tcBorders>
            <w:shd w:val="clear" w:color="auto" w:fill="auto"/>
            <w:vAlign w:val="bottom"/>
          </w:tcPr>
          <w:p w14:paraId="741CA2B5" w14:textId="77777777" w:rsidR="00DE3D9F" w:rsidRPr="00E90634" w:rsidRDefault="00DE3D9F" w:rsidP="003B756C">
            <w:pPr>
              <w:spacing w:before="80" w:after="80" w:line="320" w:lineRule="exact"/>
              <w:ind w:left="57" w:right="57"/>
              <w:textDirection w:val="tbRlV"/>
              <w:rPr>
                <w:rFonts w:ascii="Simplified Arabic" w:hAnsi="Simplified Arabic"/>
                <w:i/>
                <w:iCs/>
                <w:szCs w:val="20"/>
                <w:highlight w:val="cyan"/>
                <w:lang w:val="ar-SA" w:eastAsia="zh-TW" w:bidi="en-GB"/>
              </w:rPr>
            </w:pPr>
            <w:r w:rsidRPr="00AF3116">
              <w:rPr>
                <w:rFonts w:ascii="Simplified Arabic" w:hAnsi="Simplified Arabic"/>
                <w:i/>
                <w:iCs/>
                <w:szCs w:val="20"/>
                <w:rtl/>
              </w:rPr>
              <w:t>حالات الوفاة من جراء العنف والجرائم المهددة للحياة، والجرائم المرتكبة ضد الجسم، والجرائم الجنسية المبلغ عنها لكل 000 100 شخص</w:t>
            </w:r>
          </w:p>
        </w:tc>
        <w:tc>
          <w:tcPr>
            <w:tcW w:w="4524" w:type="dxa"/>
            <w:gridSpan w:val="6"/>
            <w:tcBorders>
              <w:top w:val="single" w:sz="4" w:space="0" w:color="auto"/>
              <w:bottom w:val="single" w:sz="4" w:space="0" w:color="auto"/>
            </w:tcBorders>
            <w:shd w:val="clear" w:color="auto" w:fill="auto"/>
            <w:vAlign w:val="bottom"/>
          </w:tcPr>
          <w:p w14:paraId="099AF05E" w14:textId="77777777" w:rsidR="00DE3D9F" w:rsidRPr="00AF3116" w:rsidRDefault="00DE3D9F" w:rsidP="003B756C">
            <w:pPr>
              <w:spacing w:before="80" w:after="80" w:line="320" w:lineRule="exact"/>
              <w:ind w:left="57" w:right="57"/>
              <w:jc w:val="right"/>
              <w:textDirection w:val="tbRlV"/>
              <w:rPr>
                <w:rFonts w:ascii="Simplified Arabic" w:hAnsi="Simplified Arabic"/>
                <w:i/>
                <w:iCs/>
                <w:szCs w:val="20"/>
                <w:cs/>
                <w:lang w:val="ar-SA" w:eastAsia="zh-TW" w:bidi="en-GB"/>
              </w:rPr>
            </w:pPr>
            <w:r w:rsidRPr="00AF3116">
              <w:rPr>
                <w:rFonts w:ascii="Simplified Arabic" w:hAnsi="Simplified Arabic"/>
                <w:i/>
                <w:iCs/>
                <w:szCs w:val="20"/>
                <w:rtl/>
              </w:rPr>
              <w:t>6</w:t>
            </w:r>
            <w:r w:rsidRPr="00E90634">
              <w:rPr>
                <w:rFonts w:ascii="Simplified Arabic" w:hAnsi="Simplified Arabic"/>
                <w:i/>
                <w:iCs/>
                <w:szCs w:val="20"/>
                <w:rtl/>
              </w:rPr>
              <w:t>,</w:t>
            </w:r>
            <w:r w:rsidRPr="00AF3116">
              <w:rPr>
                <w:rFonts w:ascii="Simplified Arabic" w:hAnsi="Simplified Arabic"/>
                <w:i/>
                <w:iCs/>
                <w:szCs w:val="20"/>
                <w:rtl/>
              </w:rPr>
              <w:t>98</w:t>
            </w:r>
          </w:p>
        </w:tc>
      </w:tr>
      <w:tr w:rsidR="00DE3D9F" w:rsidRPr="00E90634" w14:paraId="4BA21A33" w14:textId="77777777" w:rsidTr="003B756C">
        <w:tc>
          <w:tcPr>
            <w:tcW w:w="3043" w:type="dxa"/>
            <w:vMerge w:val="restart"/>
            <w:tcBorders>
              <w:top w:val="single" w:sz="4" w:space="0" w:color="auto"/>
              <w:bottom w:val="single" w:sz="12" w:space="0" w:color="auto"/>
            </w:tcBorders>
            <w:shd w:val="clear" w:color="auto" w:fill="auto"/>
          </w:tcPr>
          <w:p w14:paraId="6EA59D1A" w14:textId="77777777" w:rsidR="00DE3D9F" w:rsidRPr="00E90634" w:rsidRDefault="00DE3D9F" w:rsidP="003B756C">
            <w:pPr>
              <w:spacing w:before="40" w:after="40" w:line="320" w:lineRule="exact"/>
              <w:ind w:left="57" w:right="57"/>
              <w:textDirection w:val="tbRlV"/>
              <w:rPr>
                <w:rFonts w:ascii="Simplified Arabic" w:hAnsi="Simplified Arabic"/>
                <w:szCs w:val="20"/>
                <w:lang w:eastAsia="zh-TW" w:bidi="en-GB"/>
              </w:rPr>
            </w:pPr>
            <w:r w:rsidRPr="00E90634">
              <w:rPr>
                <w:rFonts w:ascii="Simplified Arabic" w:hAnsi="Simplified Arabic"/>
                <w:szCs w:val="20"/>
                <w:rtl/>
              </w:rPr>
              <w:t xml:space="preserve">عدد ومعدل الأشخاص (لكل </w:t>
            </w:r>
            <w:r w:rsidRPr="00AF3116">
              <w:rPr>
                <w:rFonts w:ascii="Simplified Arabic" w:hAnsi="Simplified Arabic"/>
                <w:szCs w:val="20"/>
                <w:rtl/>
              </w:rPr>
              <w:t>000</w:t>
            </w:r>
            <w:r w:rsidRPr="00E90634">
              <w:rPr>
                <w:rFonts w:ascii="Simplified Arabic" w:hAnsi="Simplified Arabic"/>
                <w:szCs w:val="20"/>
                <w:rtl/>
              </w:rPr>
              <w:t xml:space="preserve"> </w:t>
            </w:r>
            <w:r w:rsidRPr="00AF3116">
              <w:rPr>
                <w:rFonts w:ascii="Simplified Arabic" w:hAnsi="Simplified Arabic"/>
                <w:szCs w:val="20"/>
                <w:rtl/>
              </w:rPr>
              <w:t>100</w:t>
            </w:r>
            <w:r w:rsidRPr="00E90634">
              <w:rPr>
                <w:rFonts w:ascii="Simplified Arabic" w:hAnsi="Simplified Arabic"/>
                <w:szCs w:val="20"/>
                <w:rtl/>
              </w:rPr>
              <w:t xml:space="preserve"> شخص) الذين اعتُقِلوا/قُدِّموا أمام المحكمة بتهمة ارتكاب جرائم عنيفة أو غيرها من الجرائم الخطيرة (مثل القتل والسرقة والاعتداء والاتجار).</w:t>
            </w:r>
          </w:p>
        </w:tc>
        <w:tc>
          <w:tcPr>
            <w:tcW w:w="1568" w:type="dxa"/>
            <w:vMerge w:val="restart"/>
            <w:tcBorders>
              <w:top w:val="single" w:sz="4" w:space="0" w:color="auto"/>
              <w:bottom w:val="nil"/>
            </w:tcBorders>
            <w:shd w:val="clear" w:color="auto" w:fill="auto"/>
            <w:vAlign w:val="bottom"/>
          </w:tcPr>
          <w:p w14:paraId="6288D552" w14:textId="263277D9" w:rsidR="00DE3D9F" w:rsidRPr="00E90634" w:rsidRDefault="00FE57EB" w:rsidP="003B756C">
            <w:pPr>
              <w:spacing w:before="80" w:after="80" w:line="320" w:lineRule="exact"/>
              <w:ind w:left="57" w:right="57"/>
              <w:textDirection w:val="tbRlV"/>
              <w:rPr>
                <w:rFonts w:ascii="Simplified Arabic" w:hAnsi="Simplified Arabic"/>
                <w:i/>
                <w:iCs/>
                <w:szCs w:val="20"/>
                <w:lang w:val="ar-SA" w:eastAsia="zh-TW" w:bidi="en-GB"/>
              </w:rPr>
            </w:pPr>
            <w:r w:rsidRPr="00AF3116">
              <w:rPr>
                <w:rFonts w:ascii="Simplified Arabic" w:hAnsi="Simplified Arabic" w:hint="cs"/>
                <w:i/>
                <w:iCs/>
                <w:szCs w:val="20"/>
                <w:rtl/>
              </w:rPr>
              <w:t xml:space="preserve"> </w:t>
            </w:r>
            <w:r w:rsidR="00DE3D9F" w:rsidRPr="00AF3116">
              <w:rPr>
                <w:rFonts w:ascii="Simplified Arabic" w:hAnsi="Simplified Arabic"/>
                <w:i/>
                <w:iCs/>
                <w:szCs w:val="20"/>
                <w:rtl/>
              </w:rPr>
              <w:t>الجرائم</w:t>
            </w:r>
          </w:p>
        </w:tc>
        <w:tc>
          <w:tcPr>
            <w:tcW w:w="1650" w:type="dxa"/>
            <w:gridSpan w:val="3"/>
            <w:tcBorders>
              <w:top w:val="single" w:sz="4" w:space="0" w:color="auto"/>
              <w:bottom w:val="single" w:sz="4" w:space="0" w:color="auto"/>
              <w:right w:val="single" w:sz="24" w:space="0" w:color="FFFFFF" w:themeColor="background1"/>
            </w:tcBorders>
            <w:shd w:val="clear" w:color="auto" w:fill="auto"/>
            <w:vAlign w:val="bottom"/>
          </w:tcPr>
          <w:p w14:paraId="366C93C4" w14:textId="77777777" w:rsidR="00DE3D9F" w:rsidRPr="00E90634" w:rsidRDefault="00DE3D9F" w:rsidP="003B756C">
            <w:pPr>
              <w:spacing w:before="80" w:after="80" w:line="320" w:lineRule="exact"/>
              <w:ind w:left="57" w:right="57"/>
              <w:jc w:val="right"/>
              <w:textDirection w:val="tbRlV"/>
              <w:rPr>
                <w:rFonts w:ascii="Simplified Arabic" w:hAnsi="Simplified Arabic"/>
                <w:i/>
                <w:iCs/>
                <w:szCs w:val="20"/>
                <w:lang w:val="ar-SA" w:eastAsia="zh-TW" w:bidi="en-GB"/>
              </w:rPr>
            </w:pPr>
            <w:r w:rsidRPr="00AF3116">
              <w:rPr>
                <w:rFonts w:ascii="Simplified Arabic" w:hAnsi="Simplified Arabic"/>
                <w:i/>
                <w:iCs/>
                <w:szCs w:val="20"/>
                <w:rtl/>
              </w:rPr>
              <w:t>المؤكدة</w:t>
            </w:r>
          </w:p>
        </w:tc>
        <w:tc>
          <w:tcPr>
            <w:tcW w:w="1306" w:type="dxa"/>
            <w:gridSpan w:val="2"/>
            <w:tcBorders>
              <w:top w:val="single" w:sz="4" w:space="0" w:color="auto"/>
              <w:left w:val="single" w:sz="24" w:space="0" w:color="FFFFFF" w:themeColor="background1"/>
              <w:bottom w:val="single" w:sz="4" w:space="0" w:color="auto"/>
            </w:tcBorders>
            <w:shd w:val="clear" w:color="auto" w:fill="auto"/>
            <w:vAlign w:val="bottom"/>
          </w:tcPr>
          <w:p w14:paraId="7E6D8C08" w14:textId="77777777" w:rsidR="00DE3D9F" w:rsidRPr="00AF3116" w:rsidRDefault="00DE3D9F" w:rsidP="003B756C">
            <w:pPr>
              <w:spacing w:before="80" w:after="80" w:line="320" w:lineRule="exact"/>
              <w:ind w:left="57" w:right="57"/>
              <w:jc w:val="right"/>
              <w:textDirection w:val="tbRlV"/>
              <w:rPr>
                <w:rFonts w:ascii="Simplified Arabic" w:hAnsi="Simplified Arabic"/>
                <w:i/>
                <w:iCs/>
                <w:szCs w:val="20"/>
                <w:lang w:val="ar-SA" w:eastAsia="zh-TW" w:bidi="en-GB"/>
              </w:rPr>
            </w:pPr>
            <w:r w:rsidRPr="00AF3116">
              <w:rPr>
                <w:rFonts w:ascii="Simplified Arabic" w:hAnsi="Simplified Arabic"/>
                <w:i/>
                <w:iCs/>
                <w:szCs w:val="20"/>
                <w:rtl/>
              </w:rPr>
              <w:t>المحاكمة</w:t>
            </w:r>
          </w:p>
        </w:tc>
      </w:tr>
      <w:tr w:rsidR="00DE3D9F" w:rsidRPr="00E90634" w14:paraId="7E5617AD" w14:textId="77777777" w:rsidTr="003B756C">
        <w:tc>
          <w:tcPr>
            <w:tcW w:w="3043" w:type="dxa"/>
            <w:vMerge/>
            <w:tcBorders>
              <w:top w:val="nil"/>
              <w:bottom w:val="single" w:sz="12" w:space="0" w:color="auto"/>
            </w:tcBorders>
            <w:shd w:val="clear" w:color="auto" w:fill="auto"/>
          </w:tcPr>
          <w:p w14:paraId="24D3E3C8"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vMerge/>
            <w:tcBorders>
              <w:top w:val="nil"/>
              <w:bottom w:val="single" w:sz="12" w:space="0" w:color="auto"/>
            </w:tcBorders>
            <w:shd w:val="clear" w:color="auto" w:fill="auto"/>
            <w:vAlign w:val="bottom"/>
          </w:tcPr>
          <w:p w14:paraId="6FD62D8B" w14:textId="77777777" w:rsidR="00DE3D9F" w:rsidRPr="00E90634" w:rsidRDefault="00DE3D9F" w:rsidP="003B756C">
            <w:pPr>
              <w:spacing w:before="80" w:after="80" w:line="320" w:lineRule="exact"/>
              <w:ind w:left="57" w:right="57"/>
              <w:jc w:val="right"/>
              <w:rPr>
                <w:rFonts w:ascii="Simplified Arabic" w:hAnsi="Simplified Arabic"/>
                <w:i/>
                <w:iCs/>
                <w:szCs w:val="20"/>
              </w:rPr>
            </w:pPr>
          </w:p>
        </w:tc>
        <w:tc>
          <w:tcPr>
            <w:tcW w:w="714" w:type="dxa"/>
            <w:tcBorders>
              <w:top w:val="single" w:sz="4" w:space="0" w:color="auto"/>
              <w:bottom w:val="single" w:sz="12" w:space="0" w:color="auto"/>
            </w:tcBorders>
            <w:shd w:val="clear" w:color="auto" w:fill="auto"/>
            <w:vAlign w:val="bottom"/>
          </w:tcPr>
          <w:p w14:paraId="069E2F0D" w14:textId="5E2E8ACE" w:rsidR="00DE3D9F" w:rsidRPr="00E90634" w:rsidRDefault="00E85C72" w:rsidP="003B756C">
            <w:pPr>
              <w:spacing w:before="80" w:after="80" w:line="320" w:lineRule="exact"/>
              <w:ind w:left="57" w:right="57"/>
              <w:jc w:val="left"/>
              <w:textDirection w:val="tbRlV"/>
              <w:rPr>
                <w:rFonts w:ascii="Simplified Arabic" w:hAnsi="Simplified Arabic"/>
                <w:i/>
                <w:iCs/>
                <w:szCs w:val="20"/>
                <w:lang w:val="ar-SA" w:eastAsia="zh-TW" w:bidi="en-GB"/>
              </w:rPr>
            </w:pPr>
            <w:r w:rsidRPr="00AF3116">
              <w:rPr>
                <w:rFonts w:ascii="Simplified Arabic" w:hAnsi="Simplified Arabic" w:hint="cs"/>
                <w:i/>
                <w:iCs/>
                <w:szCs w:val="20"/>
                <w:rtl/>
              </w:rPr>
              <w:t xml:space="preserve"> </w:t>
            </w:r>
            <w:r w:rsidR="00DE3D9F" w:rsidRPr="00AF3116">
              <w:rPr>
                <w:rFonts w:ascii="Simplified Arabic" w:hAnsi="Simplified Arabic"/>
                <w:i/>
                <w:iCs/>
                <w:szCs w:val="20"/>
                <w:rtl/>
              </w:rPr>
              <w:t>العدد</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7D7FBB71" w14:textId="77777777" w:rsidR="00DE3D9F" w:rsidRPr="00E90634" w:rsidRDefault="00DE3D9F" w:rsidP="003B756C">
            <w:pPr>
              <w:spacing w:before="80" w:after="80" w:line="320" w:lineRule="exact"/>
              <w:ind w:left="57" w:right="57"/>
              <w:jc w:val="left"/>
              <w:textDirection w:val="tbRlV"/>
              <w:rPr>
                <w:rFonts w:ascii="Simplified Arabic" w:hAnsi="Simplified Arabic"/>
                <w:i/>
                <w:iCs/>
                <w:szCs w:val="20"/>
                <w:lang w:val="ar-SA" w:eastAsia="zh-TW" w:bidi="en-GB"/>
              </w:rPr>
            </w:pPr>
            <w:r w:rsidRPr="00AF3116">
              <w:rPr>
                <w:rFonts w:ascii="Simplified Arabic" w:hAnsi="Simplified Arabic"/>
                <w:i/>
                <w:iCs/>
                <w:szCs w:val="20"/>
                <w:rtl/>
              </w:rPr>
              <w:t>المعدل</w:t>
            </w:r>
          </w:p>
        </w:tc>
        <w:tc>
          <w:tcPr>
            <w:tcW w:w="811" w:type="dxa"/>
            <w:gridSpan w:val="2"/>
            <w:tcBorders>
              <w:top w:val="single" w:sz="4" w:space="0" w:color="auto"/>
              <w:left w:val="single" w:sz="24" w:space="0" w:color="FFFFFF" w:themeColor="background1"/>
              <w:bottom w:val="single" w:sz="12" w:space="0" w:color="auto"/>
            </w:tcBorders>
            <w:shd w:val="clear" w:color="auto" w:fill="auto"/>
            <w:vAlign w:val="bottom"/>
          </w:tcPr>
          <w:p w14:paraId="2846E752" w14:textId="0F22F0EB" w:rsidR="00DE3D9F" w:rsidRPr="00E85C72" w:rsidRDefault="00E85C72" w:rsidP="003B756C">
            <w:pPr>
              <w:spacing w:before="80" w:after="80" w:line="320" w:lineRule="exact"/>
              <w:ind w:left="57" w:right="57"/>
              <w:jc w:val="left"/>
              <w:textDirection w:val="tbRlV"/>
              <w:rPr>
                <w:rFonts w:ascii="Simplified Arabic" w:hAnsi="Simplified Arabic"/>
                <w:i/>
                <w:iCs/>
                <w:szCs w:val="20"/>
                <w:lang w:eastAsia="zh-TW" w:bidi="en-GB"/>
              </w:rPr>
            </w:pPr>
            <w:r w:rsidRPr="00AF3116">
              <w:rPr>
                <w:rFonts w:ascii="Simplified Arabic" w:hAnsi="Simplified Arabic" w:hint="cs"/>
                <w:i/>
                <w:iCs/>
                <w:szCs w:val="20"/>
                <w:rtl/>
              </w:rPr>
              <w:t xml:space="preserve"> </w:t>
            </w:r>
            <w:r w:rsidR="00DE3D9F" w:rsidRPr="00AF3116">
              <w:rPr>
                <w:rFonts w:ascii="Simplified Arabic" w:hAnsi="Simplified Arabic"/>
                <w:i/>
                <w:iCs/>
                <w:szCs w:val="20"/>
                <w:rtl/>
              </w:rPr>
              <w:t>العدد</w:t>
            </w:r>
          </w:p>
        </w:tc>
        <w:tc>
          <w:tcPr>
            <w:tcW w:w="703" w:type="dxa"/>
            <w:tcBorders>
              <w:top w:val="single" w:sz="4" w:space="0" w:color="auto"/>
              <w:bottom w:val="single" w:sz="12" w:space="0" w:color="auto"/>
            </w:tcBorders>
            <w:shd w:val="clear" w:color="auto" w:fill="auto"/>
            <w:vAlign w:val="bottom"/>
          </w:tcPr>
          <w:p w14:paraId="432505A3" w14:textId="77777777" w:rsidR="00DE3D9F" w:rsidRPr="00AF3116" w:rsidRDefault="00DE3D9F" w:rsidP="003B756C">
            <w:pPr>
              <w:spacing w:before="80" w:after="80" w:line="320" w:lineRule="exact"/>
              <w:ind w:left="57" w:right="57"/>
              <w:jc w:val="right"/>
              <w:textDirection w:val="tbRlV"/>
              <w:rPr>
                <w:rFonts w:ascii="Simplified Arabic" w:hAnsi="Simplified Arabic"/>
                <w:i/>
                <w:iCs/>
                <w:szCs w:val="20"/>
                <w:lang w:val="ar-SA" w:eastAsia="zh-TW" w:bidi="en-GB"/>
              </w:rPr>
            </w:pPr>
            <w:r w:rsidRPr="00AF3116">
              <w:rPr>
                <w:rFonts w:ascii="Simplified Arabic" w:hAnsi="Simplified Arabic"/>
                <w:i/>
                <w:iCs/>
                <w:szCs w:val="20"/>
                <w:rtl/>
              </w:rPr>
              <w:t>المعدل</w:t>
            </w:r>
          </w:p>
        </w:tc>
      </w:tr>
      <w:tr w:rsidR="00DE3D9F" w:rsidRPr="00E90634" w14:paraId="4CCAC4BC" w14:textId="77777777" w:rsidTr="003B756C">
        <w:tc>
          <w:tcPr>
            <w:tcW w:w="3043" w:type="dxa"/>
            <w:vMerge/>
            <w:tcBorders>
              <w:top w:val="nil"/>
              <w:bottom w:val="single" w:sz="12" w:space="0" w:color="auto"/>
            </w:tcBorders>
            <w:shd w:val="clear" w:color="auto" w:fill="auto"/>
          </w:tcPr>
          <w:p w14:paraId="47D74367"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tcBorders>
              <w:top w:val="single" w:sz="12" w:space="0" w:color="auto"/>
            </w:tcBorders>
            <w:shd w:val="clear" w:color="auto" w:fill="auto"/>
            <w:vAlign w:val="bottom"/>
          </w:tcPr>
          <w:p w14:paraId="2841B47D"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الحرق عمداً</w:t>
            </w:r>
          </w:p>
        </w:tc>
        <w:tc>
          <w:tcPr>
            <w:tcW w:w="714" w:type="dxa"/>
            <w:tcBorders>
              <w:top w:val="single" w:sz="12" w:space="0" w:color="auto"/>
            </w:tcBorders>
            <w:shd w:val="clear" w:color="auto" w:fill="auto"/>
            <w:vAlign w:val="bottom"/>
          </w:tcPr>
          <w:p w14:paraId="7BB5F2BA"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317</w:t>
            </w:r>
          </w:p>
        </w:tc>
        <w:tc>
          <w:tcPr>
            <w:tcW w:w="728" w:type="dxa"/>
            <w:tcBorders>
              <w:top w:val="single" w:sz="12" w:space="0" w:color="auto"/>
            </w:tcBorders>
            <w:shd w:val="clear" w:color="auto" w:fill="auto"/>
            <w:vAlign w:val="bottom"/>
          </w:tcPr>
          <w:p w14:paraId="0E2DC92D"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55</w:t>
            </w:r>
          </w:p>
        </w:tc>
        <w:tc>
          <w:tcPr>
            <w:tcW w:w="811" w:type="dxa"/>
            <w:gridSpan w:val="2"/>
            <w:tcBorders>
              <w:top w:val="single" w:sz="12" w:space="0" w:color="auto"/>
            </w:tcBorders>
            <w:shd w:val="clear" w:color="auto" w:fill="auto"/>
            <w:vAlign w:val="bottom"/>
          </w:tcPr>
          <w:p w14:paraId="0D8B83B7"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594</w:t>
            </w:r>
          </w:p>
        </w:tc>
        <w:tc>
          <w:tcPr>
            <w:tcW w:w="703" w:type="dxa"/>
            <w:tcBorders>
              <w:top w:val="single" w:sz="12" w:space="0" w:color="auto"/>
            </w:tcBorders>
            <w:shd w:val="clear" w:color="auto" w:fill="auto"/>
            <w:vAlign w:val="bottom"/>
          </w:tcPr>
          <w:p w14:paraId="3C48B815"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89</w:t>
            </w:r>
          </w:p>
        </w:tc>
      </w:tr>
      <w:tr w:rsidR="00DE3D9F" w:rsidRPr="00E90634" w14:paraId="65C30379" w14:textId="77777777" w:rsidTr="003B756C">
        <w:tc>
          <w:tcPr>
            <w:tcW w:w="3043" w:type="dxa"/>
            <w:vMerge/>
            <w:tcBorders>
              <w:top w:val="nil"/>
              <w:bottom w:val="single" w:sz="12" w:space="0" w:color="auto"/>
            </w:tcBorders>
            <w:shd w:val="clear" w:color="auto" w:fill="auto"/>
          </w:tcPr>
          <w:p w14:paraId="19EA489A"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4BEFE96D" w14:textId="77777777" w:rsidR="00DE3D9F" w:rsidRPr="003B756C"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الاغتصاب</w:t>
            </w:r>
          </w:p>
        </w:tc>
        <w:tc>
          <w:tcPr>
            <w:tcW w:w="714" w:type="dxa"/>
            <w:shd w:val="clear" w:color="auto" w:fill="auto"/>
            <w:vAlign w:val="bottom"/>
          </w:tcPr>
          <w:p w14:paraId="4DDADE40"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523</w:t>
            </w:r>
            <w:r w:rsidRPr="00E90634">
              <w:rPr>
                <w:rFonts w:ascii="Simplified Arabic" w:hAnsi="Simplified Arabic"/>
                <w:szCs w:val="20"/>
                <w:rtl/>
              </w:rPr>
              <w:t xml:space="preserve"> </w:t>
            </w:r>
            <w:r w:rsidRPr="00AF3116">
              <w:rPr>
                <w:rFonts w:ascii="Simplified Arabic" w:hAnsi="Simplified Arabic"/>
                <w:szCs w:val="20"/>
                <w:rtl/>
              </w:rPr>
              <w:t>3</w:t>
            </w:r>
          </w:p>
        </w:tc>
        <w:tc>
          <w:tcPr>
            <w:tcW w:w="728" w:type="dxa"/>
            <w:shd w:val="clear" w:color="auto" w:fill="auto"/>
            <w:vAlign w:val="bottom"/>
          </w:tcPr>
          <w:p w14:paraId="608D2D6A"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w:t>
            </w:r>
            <w:r w:rsidRPr="00E90634">
              <w:rPr>
                <w:rFonts w:ascii="Simplified Arabic" w:hAnsi="Simplified Arabic"/>
                <w:szCs w:val="20"/>
                <w:rtl/>
              </w:rPr>
              <w:t>,</w:t>
            </w:r>
            <w:r w:rsidRPr="00AF3116">
              <w:rPr>
                <w:rFonts w:ascii="Simplified Arabic" w:hAnsi="Simplified Arabic"/>
                <w:szCs w:val="20"/>
                <w:rtl/>
              </w:rPr>
              <w:t>3</w:t>
            </w:r>
          </w:p>
        </w:tc>
        <w:tc>
          <w:tcPr>
            <w:tcW w:w="811" w:type="dxa"/>
            <w:gridSpan w:val="2"/>
            <w:shd w:val="clear" w:color="auto" w:fill="auto"/>
            <w:vAlign w:val="bottom"/>
          </w:tcPr>
          <w:p w14:paraId="2314387E"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334</w:t>
            </w:r>
            <w:r w:rsidRPr="00E90634">
              <w:rPr>
                <w:rFonts w:ascii="Simplified Arabic" w:hAnsi="Simplified Arabic"/>
                <w:szCs w:val="20"/>
                <w:rtl/>
              </w:rPr>
              <w:t xml:space="preserve"> </w:t>
            </w:r>
            <w:r w:rsidRPr="00AF3116">
              <w:rPr>
                <w:rFonts w:ascii="Simplified Arabic" w:hAnsi="Simplified Arabic"/>
                <w:szCs w:val="20"/>
                <w:rtl/>
              </w:rPr>
              <w:t>7</w:t>
            </w:r>
          </w:p>
        </w:tc>
        <w:tc>
          <w:tcPr>
            <w:tcW w:w="703" w:type="dxa"/>
            <w:shd w:val="clear" w:color="auto" w:fill="auto"/>
            <w:vAlign w:val="bottom"/>
          </w:tcPr>
          <w:p w14:paraId="59C7EC59"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11</w:t>
            </w:r>
          </w:p>
        </w:tc>
      </w:tr>
      <w:tr w:rsidR="00DE3D9F" w:rsidRPr="00E90634" w14:paraId="2BDA341A" w14:textId="77777777" w:rsidTr="003B756C">
        <w:tc>
          <w:tcPr>
            <w:tcW w:w="3043" w:type="dxa"/>
            <w:vMerge/>
            <w:tcBorders>
              <w:top w:val="nil"/>
              <w:bottom w:val="single" w:sz="12" w:space="0" w:color="auto"/>
            </w:tcBorders>
            <w:shd w:val="clear" w:color="auto" w:fill="auto"/>
          </w:tcPr>
          <w:p w14:paraId="05691D71"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2C9B1B6B"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الجرائم الجنسية الأخرى</w:t>
            </w:r>
          </w:p>
        </w:tc>
        <w:tc>
          <w:tcPr>
            <w:tcW w:w="714" w:type="dxa"/>
            <w:shd w:val="clear" w:color="auto" w:fill="auto"/>
            <w:vAlign w:val="bottom"/>
          </w:tcPr>
          <w:p w14:paraId="5577A785"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559</w:t>
            </w:r>
            <w:r w:rsidRPr="00E90634">
              <w:rPr>
                <w:rFonts w:ascii="Simplified Arabic" w:hAnsi="Simplified Arabic"/>
                <w:szCs w:val="20"/>
                <w:rtl/>
              </w:rPr>
              <w:t xml:space="preserve"> </w:t>
            </w:r>
            <w:r w:rsidRPr="00AF3116">
              <w:rPr>
                <w:rFonts w:ascii="Simplified Arabic" w:hAnsi="Simplified Arabic"/>
                <w:szCs w:val="20"/>
                <w:rtl/>
              </w:rPr>
              <w:t>1</w:t>
            </w:r>
          </w:p>
        </w:tc>
        <w:tc>
          <w:tcPr>
            <w:tcW w:w="728" w:type="dxa"/>
            <w:shd w:val="clear" w:color="auto" w:fill="auto"/>
            <w:vAlign w:val="bottom"/>
          </w:tcPr>
          <w:p w14:paraId="6A627660"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2</w:t>
            </w:r>
            <w:r w:rsidRPr="00E90634">
              <w:rPr>
                <w:rFonts w:ascii="Simplified Arabic" w:hAnsi="Simplified Arabic"/>
                <w:szCs w:val="20"/>
                <w:rtl/>
              </w:rPr>
              <w:t>,</w:t>
            </w:r>
            <w:r w:rsidRPr="00AF3116">
              <w:rPr>
                <w:rFonts w:ascii="Simplified Arabic" w:hAnsi="Simplified Arabic"/>
                <w:szCs w:val="20"/>
                <w:rtl/>
              </w:rPr>
              <w:t>35</w:t>
            </w:r>
          </w:p>
        </w:tc>
        <w:tc>
          <w:tcPr>
            <w:tcW w:w="811" w:type="dxa"/>
            <w:gridSpan w:val="2"/>
            <w:shd w:val="clear" w:color="auto" w:fill="auto"/>
            <w:vAlign w:val="bottom"/>
          </w:tcPr>
          <w:p w14:paraId="5E6431A4"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078</w:t>
            </w:r>
            <w:r w:rsidRPr="00E90634">
              <w:rPr>
                <w:rFonts w:ascii="Simplified Arabic" w:hAnsi="Simplified Arabic"/>
                <w:szCs w:val="20"/>
                <w:rtl/>
              </w:rPr>
              <w:t xml:space="preserve"> </w:t>
            </w:r>
            <w:r w:rsidRPr="00AF3116">
              <w:rPr>
                <w:rFonts w:ascii="Simplified Arabic" w:hAnsi="Simplified Arabic"/>
                <w:szCs w:val="20"/>
                <w:rtl/>
              </w:rPr>
              <w:t>3</w:t>
            </w:r>
          </w:p>
        </w:tc>
        <w:tc>
          <w:tcPr>
            <w:tcW w:w="703" w:type="dxa"/>
            <w:shd w:val="clear" w:color="auto" w:fill="auto"/>
            <w:vAlign w:val="bottom"/>
          </w:tcPr>
          <w:p w14:paraId="44D14894"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4</w:t>
            </w:r>
            <w:r w:rsidRPr="00E90634">
              <w:rPr>
                <w:rFonts w:ascii="Simplified Arabic" w:hAnsi="Simplified Arabic"/>
                <w:szCs w:val="20"/>
                <w:rtl/>
              </w:rPr>
              <w:t>,</w:t>
            </w:r>
            <w:r w:rsidRPr="00AF3116">
              <w:rPr>
                <w:rFonts w:ascii="Simplified Arabic" w:hAnsi="Simplified Arabic"/>
                <w:szCs w:val="20"/>
                <w:rtl/>
              </w:rPr>
              <w:t>6</w:t>
            </w:r>
          </w:p>
        </w:tc>
      </w:tr>
      <w:tr w:rsidR="00DE3D9F" w:rsidRPr="00E90634" w14:paraId="065448E1" w14:textId="77777777" w:rsidTr="003B756C">
        <w:tc>
          <w:tcPr>
            <w:tcW w:w="3043" w:type="dxa"/>
            <w:vMerge/>
            <w:tcBorders>
              <w:top w:val="nil"/>
              <w:bottom w:val="single" w:sz="12" w:space="0" w:color="auto"/>
            </w:tcBorders>
            <w:shd w:val="clear" w:color="auto" w:fill="auto"/>
          </w:tcPr>
          <w:p w14:paraId="6D0D9738"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3D6F2E03" w14:textId="77777777" w:rsidR="00DE3D9F" w:rsidRPr="003B756C"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القتل العمد</w:t>
            </w:r>
          </w:p>
        </w:tc>
        <w:tc>
          <w:tcPr>
            <w:tcW w:w="714" w:type="dxa"/>
            <w:shd w:val="clear" w:color="auto" w:fill="auto"/>
            <w:vAlign w:val="bottom"/>
          </w:tcPr>
          <w:p w14:paraId="6D450DDE"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660</w:t>
            </w:r>
            <w:r w:rsidRPr="00E90634">
              <w:rPr>
                <w:rFonts w:ascii="Simplified Arabic" w:hAnsi="Simplified Arabic"/>
                <w:szCs w:val="20"/>
                <w:rtl/>
              </w:rPr>
              <w:t xml:space="preserve"> </w:t>
            </w:r>
            <w:r w:rsidRPr="00AF3116">
              <w:rPr>
                <w:rFonts w:ascii="Simplified Arabic" w:hAnsi="Simplified Arabic"/>
                <w:szCs w:val="20"/>
                <w:rtl/>
              </w:rPr>
              <w:t>2</w:t>
            </w:r>
          </w:p>
        </w:tc>
        <w:tc>
          <w:tcPr>
            <w:tcW w:w="728" w:type="dxa"/>
            <w:shd w:val="clear" w:color="auto" w:fill="auto"/>
            <w:vAlign w:val="bottom"/>
          </w:tcPr>
          <w:p w14:paraId="0D31E341" w14:textId="77777777" w:rsidR="00DE3D9F" w:rsidRPr="00E85C72"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AF3116">
              <w:rPr>
                <w:rFonts w:ascii="Simplified Arabic" w:hAnsi="Simplified Arabic"/>
                <w:szCs w:val="20"/>
                <w:rtl/>
              </w:rPr>
              <w:t>4</w:t>
            </w:r>
          </w:p>
        </w:tc>
        <w:tc>
          <w:tcPr>
            <w:tcW w:w="811" w:type="dxa"/>
            <w:gridSpan w:val="2"/>
            <w:shd w:val="clear" w:color="auto" w:fill="auto"/>
            <w:vAlign w:val="bottom"/>
          </w:tcPr>
          <w:p w14:paraId="4DE7F3C7"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242</w:t>
            </w:r>
            <w:r w:rsidRPr="00E90634">
              <w:rPr>
                <w:rFonts w:ascii="Simplified Arabic" w:hAnsi="Simplified Arabic"/>
                <w:szCs w:val="20"/>
                <w:rtl/>
              </w:rPr>
              <w:t xml:space="preserve"> </w:t>
            </w:r>
            <w:r w:rsidRPr="00AF3116">
              <w:rPr>
                <w:rFonts w:ascii="Simplified Arabic" w:hAnsi="Simplified Arabic"/>
                <w:szCs w:val="20"/>
                <w:rtl/>
              </w:rPr>
              <w:t>6</w:t>
            </w:r>
          </w:p>
        </w:tc>
        <w:tc>
          <w:tcPr>
            <w:tcW w:w="703" w:type="dxa"/>
            <w:shd w:val="clear" w:color="auto" w:fill="auto"/>
            <w:vAlign w:val="bottom"/>
          </w:tcPr>
          <w:p w14:paraId="567FF7DA"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9</w:t>
            </w:r>
            <w:r w:rsidRPr="00E90634">
              <w:rPr>
                <w:rFonts w:ascii="Simplified Arabic" w:hAnsi="Simplified Arabic"/>
                <w:szCs w:val="20"/>
                <w:rtl/>
              </w:rPr>
              <w:t>,</w:t>
            </w:r>
            <w:r w:rsidRPr="00AF3116">
              <w:rPr>
                <w:rFonts w:ascii="Simplified Arabic" w:hAnsi="Simplified Arabic"/>
                <w:szCs w:val="20"/>
                <w:rtl/>
              </w:rPr>
              <w:t>4</w:t>
            </w:r>
          </w:p>
        </w:tc>
      </w:tr>
      <w:tr w:rsidR="00DE3D9F" w:rsidRPr="00E90634" w14:paraId="6F0F2641" w14:textId="77777777" w:rsidTr="003B756C">
        <w:tc>
          <w:tcPr>
            <w:tcW w:w="3043" w:type="dxa"/>
            <w:vMerge/>
            <w:tcBorders>
              <w:top w:val="nil"/>
              <w:bottom w:val="single" w:sz="12" w:space="0" w:color="auto"/>
            </w:tcBorders>
            <w:shd w:val="clear" w:color="auto" w:fill="auto"/>
          </w:tcPr>
          <w:p w14:paraId="6A7C9BAE"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496D480A"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الشروع في القتل</w:t>
            </w:r>
          </w:p>
        </w:tc>
        <w:tc>
          <w:tcPr>
            <w:tcW w:w="714" w:type="dxa"/>
            <w:shd w:val="clear" w:color="auto" w:fill="auto"/>
            <w:vAlign w:val="bottom"/>
          </w:tcPr>
          <w:p w14:paraId="00717BB5"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762</w:t>
            </w:r>
            <w:r w:rsidRPr="00E90634">
              <w:rPr>
                <w:rFonts w:ascii="Simplified Arabic" w:hAnsi="Simplified Arabic"/>
                <w:szCs w:val="20"/>
                <w:rtl/>
              </w:rPr>
              <w:t xml:space="preserve"> </w:t>
            </w:r>
            <w:r w:rsidRPr="00AF3116">
              <w:rPr>
                <w:rFonts w:ascii="Simplified Arabic" w:hAnsi="Simplified Arabic"/>
                <w:szCs w:val="20"/>
                <w:rtl/>
              </w:rPr>
              <w:t>4</w:t>
            </w:r>
          </w:p>
        </w:tc>
        <w:tc>
          <w:tcPr>
            <w:tcW w:w="728" w:type="dxa"/>
            <w:shd w:val="clear" w:color="auto" w:fill="auto"/>
            <w:vAlign w:val="bottom"/>
          </w:tcPr>
          <w:p w14:paraId="1CA37A97"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7</w:t>
            </w:r>
            <w:r w:rsidRPr="00E90634">
              <w:rPr>
                <w:rFonts w:ascii="Simplified Arabic" w:hAnsi="Simplified Arabic"/>
                <w:szCs w:val="20"/>
                <w:rtl/>
              </w:rPr>
              <w:t>,</w:t>
            </w:r>
            <w:r w:rsidRPr="00AF3116">
              <w:rPr>
                <w:rFonts w:ascii="Simplified Arabic" w:hAnsi="Simplified Arabic"/>
                <w:szCs w:val="20"/>
                <w:rtl/>
              </w:rPr>
              <w:t>17</w:t>
            </w:r>
          </w:p>
        </w:tc>
        <w:tc>
          <w:tcPr>
            <w:tcW w:w="811" w:type="dxa"/>
            <w:gridSpan w:val="2"/>
            <w:shd w:val="clear" w:color="auto" w:fill="auto"/>
            <w:vAlign w:val="bottom"/>
          </w:tcPr>
          <w:p w14:paraId="46A2B04C"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035</w:t>
            </w:r>
            <w:r w:rsidRPr="00E90634">
              <w:rPr>
                <w:rFonts w:ascii="Simplified Arabic" w:hAnsi="Simplified Arabic"/>
                <w:szCs w:val="20"/>
                <w:rtl/>
              </w:rPr>
              <w:t xml:space="preserve"> </w:t>
            </w:r>
            <w:r w:rsidRPr="00AF3116">
              <w:rPr>
                <w:rFonts w:ascii="Simplified Arabic" w:hAnsi="Simplified Arabic"/>
                <w:szCs w:val="20"/>
                <w:rtl/>
              </w:rPr>
              <w:t>12</w:t>
            </w:r>
          </w:p>
        </w:tc>
        <w:tc>
          <w:tcPr>
            <w:tcW w:w="703" w:type="dxa"/>
            <w:shd w:val="clear" w:color="auto" w:fill="auto"/>
            <w:vAlign w:val="bottom"/>
          </w:tcPr>
          <w:p w14:paraId="6A5236DA"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18</w:t>
            </w:r>
            <w:r w:rsidRPr="00E90634">
              <w:rPr>
                <w:rFonts w:ascii="Simplified Arabic" w:hAnsi="Simplified Arabic"/>
                <w:szCs w:val="20"/>
                <w:rtl/>
              </w:rPr>
              <w:t>,</w:t>
            </w:r>
            <w:r w:rsidRPr="00AF3116">
              <w:rPr>
                <w:rFonts w:ascii="Simplified Arabic" w:hAnsi="Simplified Arabic"/>
                <w:szCs w:val="20"/>
                <w:rtl/>
              </w:rPr>
              <w:t>1</w:t>
            </w:r>
          </w:p>
        </w:tc>
      </w:tr>
      <w:tr w:rsidR="00DE3D9F" w:rsidRPr="00E90634" w14:paraId="7B8622BE" w14:textId="77777777" w:rsidTr="003B756C">
        <w:tc>
          <w:tcPr>
            <w:tcW w:w="3043" w:type="dxa"/>
            <w:vMerge/>
            <w:tcBorders>
              <w:top w:val="nil"/>
              <w:bottom w:val="single" w:sz="12" w:space="0" w:color="auto"/>
            </w:tcBorders>
            <w:shd w:val="clear" w:color="auto" w:fill="auto"/>
          </w:tcPr>
          <w:p w14:paraId="333B7C62"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0C1F7D51"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القتل غير المتعمد</w:t>
            </w:r>
          </w:p>
        </w:tc>
        <w:tc>
          <w:tcPr>
            <w:tcW w:w="714" w:type="dxa"/>
            <w:shd w:val="clear" w:color="auto" w:fill="auto"/>
            <w:vAlign w:val="bottom"/>
          </w:tcPr>
          <w:p w14:paraId="2F174B5E"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503</w:t>
            </w:r>
          </w:p>
        </w:tc>
        <w:tc>
          <w:tcPr>
            <w:tcW w:w="728" w:type="dxa"/>
            <w:shd w:val="clear" w:color="auto" w:fill="auto"/>
            <w:vAlign w:val="bottom"/>
          </w:tcPr>
          <w:p w14:paraId="2BB31ECE"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76</w:t>
            </w:r>
          </w:p>
        </w:tc>
        <w:tc>
          <w:tcPr>
            <w:tcW w:w="811" w:type="dxa"/>
            <w:gridSpan w:val="2"/>
            <w:shd w:val="clear" w:color="auto" w:fill="auto"/>
            <w:vAlign w:val="bottom"/>
          </w:tcPr>
          <w:p w14:paraId="11B18D85"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309</w:t>
            </w:r>
            <w:r w:rsidRPr="00E90634">
              <w:rPr>
                <w:rFonts w:ascii="Simplified Arabic" w:hAnsi="Simplified Arabic"/>
                <w:szCs w:val="20"/>
                <w:rtl/>
              </w:rPr>
              <w:t xml:space="preserve"> </w:t>
            </w:r>
            <w:r w:rsidRPr="00AF3116">
              <w:rPr>
                <w:rFonts w:ascii="Simplified Arabic" w:hAnsi="Simplified Arabic"/>
                <w:szCs w:val="20"/>
                <w:rtl/>
              </w:rPr>
              <w:t>1</w:t>
            </w:r>
          </w:p>
        </w:tc>
        <w:tc>
          <w:tcPr>
            <w:tcW w:w="703" w:type="dxa"/>
            <w:shd w:val="clear" w:color="auto" w:fill="auto"/>
            <w:vAlign w:val="bottom"/>
          </w:tcPr>
          <w:p w14:paraId="638EE222"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1</w:t>
            </w:r>
            <w:r w:rsidRPr="00E90634">
              <w:rPr>
                <w:rFonts w:ascii="Simplified Arabic" w:hAnsi="Simplified Arabic"/>
                <w:szCs w:val="20"/>
                <w:rtl/>
              </w:rPr>
              <w:t>,</w:t>
            </w:r>
            <w:r w:rsidRPr="00AF3116">
              <w:rPr>
                <w:rFonts w:ascii="Simplified Arabic" w:hAnsi="Simplified Arabic"/>
                <w:szCs w:val="20"/>
                <w:rtl/>
              </w:rPr>
              <w:t>97</w:t>
            </w:r>
          </w:p>
        </w:tc>
      </w:tr>
      <w:tr w:rsidR="00DE3D9F" w:rsidRPr="00E90634" w14:paraId="5B9F8197" w14:textId="77777777" w:rsidTr="003B756C">
        <w:tc>
          <w:tcPr>
            <w:tcW w:w="3043" w:type="dxa"/>
            <w:vMerge/>
            <w:tcBorders>
              <w:top w:val="nil"/>
              <w:bottom w:val="single" w:sz="12" w:space="0" w:color="auto"/>
            </w:tcBorders>
            <w:shd w:val="clear" w:color="auto" w:fill="auto"/>
          </w:tcPr>
          <w:p w14:paraId="63EFBE8B"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7F6DCD82"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جرائم القتل الأخرى</w:t>
            </w:r>
          </w:p>
        </w:tc>
        <w:tc>
          <w:tcPr>
            <w:tcW w:w="714" w:type="dxa"/>
            <w:shd w:val="clear" w:color="auto" w:fill="auto"/>
            <w:vAlign w:val="bottom"/>
          </w:tcPr>
          <w:p w14:paraId="3271ED76"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111</w:t>
            </w:r>
          </w:p>
        </w:tc>
        <w:tc>
          <w:tcPr>
            <w:tcW w:w="728" w:type="dxa"/>
            <w:shd w:val="clear" w:color="auto" w:fill="auto"/>
            <w:vAlign w:val="bottom"/>
          </w:tcPr>
          <w:p w14:paraId="57AF9DCF" w14:textId="77777777" w:rsidR="00DE3D9F" w:rsidRPr="00E85C72"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17</w:t>
            </w:r>
          </w:p>
        </w:tc>
        <w:tc>
          <w:tcPr>
            <w:tcW w:w="811" w:type="dxa"/>
            <w:gridSpan w:val="2"/>
            <w:shd w:val="clear" w:color="auto" w:fill="auto"/>
            <w:vAlign w:val="bottom"/>
          </w:tcPr>
          <w:p w14:paraId="0745F528"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257</w:t>
            </w:r>
          </w:p>
        </w:tc>
        <w:tc>
          <w:tcPr>
            <w:tcW w:w="703" w:type="dxa"/>
            <w:shd w:val="clear" w:color="auto" w:fill="auto"/>
            <w:vAlign w:val="bottom"/>
          </w:tcPr>
          <w:p w14:paraId="21DAA2AD"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39</w:t>
            </w:r>
          </w:p>
        </w:tc>
      </w:tr>
      <w:tr w:rsidR="00DE3D9F" w:rsidRPr="00AF3116" w14:paraId="7A3558E7" w14:textId="77777777" w:rsidTr="003B756C">
        <w:tc>
          <w:tcPr>
            <w:tcW w:w="3043" w:type="dxa"/>
            <w:vMerge/>
            <w:tcBorders>
              <w:top w:val="nil"/>
              <w:bottom w:val="single" w:sz="12" w:space="0" w:color="auto"/>
            </w:tcBorders>
            <w:shd w:val="clear" w:color="auto" w:fill="auto"/>
          </w:tcPr>
          <w:p w14:paraId="113B6748"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2EF5FE70"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E90634">
              <w:rPr>
                <w:rFonts w:ascii="Simplified Arabic" w:hAnsi="Simplified Arabic"/>
                <w:szCs w:val="20"/>
                <w:rtl/>
              </w:rPr>
              <w:t>الجرائم المرتكبة ضد الجسم</w:t>
            </w:r>
          </w:p>
        </w:tc>
        <w:tc>
          <w:tcPr>
            <w:tcW w:w="714" w:type="dxa"/>
            <w:shd w:val="clear" w:color="auto" w:fill="auto"/>
          </w:tcPr>
          <w:p w14:paraId="2E2EDAE4"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770</w:t>
            </w:r>
            <w:r w:rsidRPr="00E90634">
              <w:rPr>
                <w:rFonts w:ascii="Simplified Arabic" w:hAnsi="Simplified Arabic"/>
                <w:szCs w:val="20"/>
                <w:rtl/>
              </w:rPr>
              <w:t xml:space="preserve"> </w:t>
            </w:r>
            <w:r w:rsidRPr="00AF3116">
              <w:rPr>
                <w:rFonts w:ascii="Simplified Arabic" w:hAnsi="Simplified Arabic"/>
                <w:szCs w:val="20"/>
                <w:rtl/>
              </w:rPr>
              <w:t>14</w:t>
            </w:r>
          </w:p>
        </w:tc>
        <w:tc>
          <w:tcPr>
            <w:tcW w:w="728" w:type="dxa"/>
            <w:shd w:val="clear" w:color="auto" w:fill="auto"/>
          </w:tcPr>
          <w:p w14:paraId="56902C40"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22</w:t>
            </w:r>
            <w:r w:rsidRPr="00E90634">
              <w:rPr>
                <w:rFonts w:ascii="Simplified Arabic" w:hAnsi="Simplified Arabic"/>
                <w:szCs w:val="20"/>
                <w:rtl/>
              </w:rPr>
              <w:t>,</w:t>
            </w:r>
            <w:r w:rsidRPr="00AF3116">
              <w:rPr>
                <w:rFonts w:ascii="Simplified Arabic" w:hAnsi="Simplified Arabic"/>
                <w:szCs w:val="20"/>
                <w:rtl/>
              </w:rPr>
              <w:t>24</w:t>
            </w:r>
          </w:p>
        </w:tc>
        <w:tc>
          <w:tcPr>
            <w:tcW w:w="811" w:type="dxa"/>
            <w:gridSpan w:val="2"/>
            <w:shd w:val="clear" w:color="auto" w:fill="auto"/>
          </w:tcPr>
          <w:p w14:paraId="73FE81C4" w14:textId="77777777" w:rsidR="00DE3D9F" w:rsidRPr="00AF3116" w:rsidRDefault="00DE3D9F" w:rsidP="003B756C">
            <w:pPr>
              <w:spacing w:before="40" w:after="40" w:line="320" w:lineRule="exact"/>
              <w:ind w:left="57" w:right="57"/>
              <w:jc w:val="left"/>
              <w:textDirection w:val="tbRlV"/>
              <w:rPr>
                <w:rFonts w:ascii="Simplified Arabic" w:hAnsi="Simplified Arabic"/>
                <w:spacing w:val="-4"/>
                <w:szCs w:val="20"/>
                <w:lang w:val="ar-SA" w:eastAsia="zh-TW" w:bidi="en-GB"/>
              </w:rPr>
            </w:pPr>
            <w:r w:rsidRPr="00AF3116">
              <w:rPr>
                <w:rFonts w:ascii="Simplified Arabic" w:hAnsi="Simplified Arabic"/>
                <w:spacing w:val="-4"/>
                <w:szCs w:val="20"/>
                <w:rtl/>
              </w:rPr>
              <w:t>858 20</w:t>
            </w:r>
          </w:p>
        </w:tc>
        <w:tc>
          <w:tcPr>
            <w:tcW w:w="703" w:type="dxa"/>
            <w:shd w:val="clear" w:color="auto" w:fill="auto"/>
          </w:tcPr>
          <w:p w14:paraId="05C53956" w14:textId="77777777" w:rsidR="00DE3D9F" w:rsidRPr="00AF3116" w:rsidRDefault="00DE3D9F" w:rsidP="003B756C">
            <w:pPr>
              <w:spacing w:before="40" w:after="40" w:line="320" w:lineRule="exact"/>
              <w:ind w:left="57" w:right="57"/>
              <w:jc w:val="left"/>
              <w:textDirection w:val="tbRlV"/>
              <w:rPr>
                <w:rFonts w:ascii="Simplified Arabic" w:hAnsi="Simplified Arabic"/>
                <w:spacing w:val="-4"/>
                <w:szCs w:val="20"/>
                <w:lang w:eastAsia="zh-TW" w:bidi="en-GB"/>
              </w:rPr>
            </w:pPr>
            <w:r w:rsidRPr="00AF3116">
              <w:rPr>
                <w:rFonts w:ascii="Simplified Arabic" w:hAnsi="Simplified Arabic"/>
                <w:spacing w:val="-4"/>
                <w:szCs w:val="20"/>
                <w:rtl/>
              </w:rPr>
              <w:t>31,4</w:t>
            </w:r>
          </w:p>
        </w:tc>
      </w:tr>
      <w:tr w:rsidR="00DE3D9F" w:rsidRPr="00E90634" w14:paraId="58E16B25" w14:textId="77777777" w:rsidTr="003B756C">
        <w:tc>
          <w:tcPr>
            <w:tcW w:w="3043" w:type="dxa"/>
            <w:vMerge/>
            <w:tcBorders>
              <w:top w:val="nil"/>
              <w:bottom w:val="single" w:sz="12" w:space="0" w:color="auto"/>
            </w:tcBorders>
            <w:shd w:val="clear" w:color="auto" w:fill="auto"/>
          </w:tcPr>
          <w:p w14:paraId="6BA08CC0"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0944A541"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السطو</w:t>
            </w:r>
          </w:p>
        </w:tc>
        <w:tc>
          <w:tcPr>
            <w:tcW w:w="714" w:type="dxa"/>
            <w:shd w:val="clear" w:color="auto" w:fill="auto"/>
            <w:vAlign w:val="bottom"/>
          </w:tcPr>
          <w:p w14:paraId="298459B3"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005</w:t>
            </w:r>
            <w:r w:rsidRPr="00E90634">
              <w:rPr>
                <w:rFonts w:ascii="Simplified Arabic" w:hAnsi="Simplified Arabic"/>
                <w:szCs w:val="20"/>
                <w:rtl/>
              </w:rPr>
              <w:t xml:space="preserve"> </w:t>
            </w:r>
            <w:r w:rsidRPr="00AF3116">
              <w:rPr>
                <w:rFonts w:ascii="Simplified Arabic" w:hAnsi="Simplified Arabic"/>
                <w:szCs w:val="20"/>
                <w:rtl/>
              </w:rPr>
              <w:t>1</w:t>
            </w:r>
          </w:p>
        </w:tc>
        <w:tc>
          <w:tcPr>
            <w:tcW w:w="728" w:type="dxa"/>
            <w:shd w:val="clear" w:color="auto" w:fill="auto"/>
            <w:vAlign w:val="bottom"/>
          </w:tcPr>
          <w:p w14:paraId="5571EC83"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1</w:t>
            </w:r>
            <w:r w:rsidRPr="00E90634">
              <w:rPr>
                <w:rFonts w:ascii="Simplified Arabic" w:hAnsi="Simplified Arabic"/>
                <w:szCs w:val="20"/>
                <w:rtl/>
              </w:rPr>
              <w:t>,</w:t>
            </w:r>
            <w:r w:rsidRPr="00AF3116">
              <w:rPr>
                <w:rFonts w:ascii="Simplified Arabic" w:hAnsi="Simplified Arabic"/>
                <w:szCs w:val="20"/>
                <w:rtl/>
              </w:rPr>
              <w:t>5</w:t>
            </w:r>
          </w:p>
        </w:tc>
        <w:tc>
          <w:tcPr>
            <w:tcW w:w="811" w:type="dxa"/>
            <w:gridSpan w:val="2"/>
            <w:shd w:val="clear" w:color="auto" w:fill="auto"/>
            <w:vAlign w:val="bottom"/>
          </w:tcPr>
          <w:p w14:paraId="0E8B382E"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983</w:t>
            </w:r>
            <w:r w:rsidRPr="00E90634">
              <w:rPr>
                <w:rFonts w:ascii="Simplified Arabic" w:hAnsi="Simplified Arabic"/>
                <w:szCs w:val="20"/>
                <w:rtl/>
              </w:rPr>
              <w:t xml:space="preserve"> </w:t>
            </w:r>
            <w:r w:rsidRPr="00AF3116">
              <w:rPr>
                <w:rFonts w:ascii="Simplified Arabic" w:hAnsi="Simplified Arabic"/>
                <w:szCs w:val="20"/>
                <w:rtl/>
              </w:rPr>
              <w:t>2</w:t>
            </w:r>
          </w:p>
        </w:tc>
        <w:tc>
          <w:tcPr>
            <w:tcW w:w="703" w:type="dxa"/>
            <w:shd w:val="clear" w:color="auto" w:fill="auto"/>
            <w:vAlign w:val="bottom"/>
          </w:tcPr>
          <w:p w14:paraId="0DF70758"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4</w:t>
            </w:r>
            <w:r w:rsidRPr="00E90634">
              <w:rPr>
                <w:rFonts w:ascii="Simplified Arabic" w:hAnsi="Simplified Arabic"/>
                <w:szCs w:val="20"/>
                <w:rtl/>
              </w:rPr>
              <w:t>,</w:t>
            </w:r>
            <w:r w:rsidRPr="00AF3116">
              <w:rPr>
                <w:rFonts w:ascii="Simplified Arabic" w:hAnsi="Simplified Arabic"/>
                <w:szCs w:val="20"/>
                <w:rtl/>
              </w:rPr>
              <w:t>5</w:t>
            </w:r>
          </w:p>
        </w:tc>
      </w:tr>
      <w:tr w:rsidR="00DE3D9F" w:rsidRPr="00E90634" w14:paraId="381AFBE7" w14:textId="77777777" w:rsidTr="003B756C">
        <w:tc>
          <w:tcPr>
            <w:tcW w:w="3043" w:type="dxa"/>
            <w:vMerge/>
            <w:tcBorders>
              <w:top w:val="nil"/>
              <w:bottom w:val="single" w:sz="12" w:space="0" w:color="auto"/>
            </w:tcBorders>
            <w:shd w:val="clear" w:color="auto" w:fill="auto"/>
          </w:tcPr>
          <w:p w14:paraId="5AD862C6"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3A523B31"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السطو الجماعي</w:t>
            </w:r>
          </w:p>
        </w:tc>
        <w:tc>
          <w:tcPr>
            <w:tcW w:w="714" w:type="dxa"/>
            <w:shd w:val="clear" w:color="auto" w:fill="auto"/>
            <w:vAlign w:val="bottom"/>
          </w:tcPr>
          <w:p w14:paraId="7FB5AAE7"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598</w:t>
            </w:r>
          </w:p>
        </w:tc>
        <w:tc>
          <w:tcPr>
            <w:tcW w:w="728" w:type="dxa"/>
            <w:shd w:val="clear" w:color="auto" w:fill="auto"/>
            <w:vAlign w:val="bottom"/>
          </w:tcPr>
          <w:p w14:paraId="776A5387"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9</w:t>
            </w:r>
          </w:p>
        </w:tc>
        <w:tc>
          <w:tcPr>
            <w:tcW w:w="811" w:type="dxa"/>
            <w:gridSpan w:val="2"/>
            <w:shd w:val="clear" w:color="auto" w:fill="auto"/>
            <w:vAlign w:val="bottom"/>
          </w:tcPr>
          <w:p w14:paraId="45136CBC"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571</w:t>
            </w:r>
            <w:r w:rsidRPr="00E90634">
              <w:rPr>
                <w:rFonts w:ascii="Simplified Arabic" w:hAnsi="Simplified Arabic"/>
                <w:szCs w:val="20"/>
                <w:rtl/>
              </w:rPr>
              <w:t xml:space="preserve"> </w:t>
            </w:r>
            <w:r w:rsidRPr="00AF3116">
              <w:rPr>
                <w:rFonts w:ascii="Simplified Arabic" w:hAnsi="Simplified Arabic"/>
                <w:szCs w:val="20"/>
                <w:rtl/>
              </w:rPr>
              <w:t>2</w:t>
            </w:r>
          </w:p>
        </w:tc>
        <w:tc>
          <w:tcPr>
            <w:tcW w:w="703" w:type="dxa"/>
            <w:shd w:val="clear" w:color="auto" w:fill="auto"/>
            <w:vAlign w:val="bottom"/>
          </w:tcPr>
          <w:p w14:paraId="153F4A88"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eastAsia="zh-TW" w:bidi="en-GB"/>
              </w:rPr>
            </w:pPr>
            <w:r w:rsidRPr="00AF3116">
              <w:rPr>
                <w:rFonts w:ascii="Simplified Arabic" w:hAnsi="Simplified Arabic"/>
                <w:szCs w:val="20"/>
                <w:rtl/>
              </w:rPr>
              <w:t>3</w:t>
            </w:r>
            <w:r w:rsidRPr="00E90634">
              <w:rPr>
                <w:rFonts w:ascii="Simplified Arabic" w:hAnsi="Simplified Arabic"/>
                <w:szCs w:val="20"/>
                <w:rtl/>
              </w:rPr>
              <w:t>,</w:t>
            </w:r>
            <w:r w:rsidRPr="00AF3116">
              <w:rPr>
                <w:rFonts w:ascii="Simplified Arabic" w:hAnsi="Simplified Arabic"/>
                <w:szCs w:val="20"/>
                <w:rtl/>
              </w:rPr>
              <w:t>88</w:t>
            </w:r>
          </w:p>
        </w:tc>
      </w:tr>
      <w:tr w:rsidR="00DE3D9F" w:rsidRPr="00E90634" w14:paraId="6AFD4D09" w14:textId="77777777" w:rsidTr="003B756C">
        <w:tc>
          <w:tcPr>
            <w:tcW w:w="3043" w:type="dxa"/>
            <w:vMerge/>
            <w:tcBorders>
              <w:top w:val="nil"/>
              <w:bottom w:val="single" w:sz="12" w:space="0" w:color="auto"/>
            </w:tcBorders>
            <w:shd w:val="clear" w:color="auto" w:fill="auto"/>
          </w:tcPr>
          <w:p w14:paraId="7E3EA51B" w14:textId="77777777" w:rsidR="00DE3D9F" w:rsidRPr="00E90634" w:rsidRDefault="00DE3D9F" w:rsidP="003B756C">
            <w:pPr>
              <w:spacing w:before="40" w:after="40" w:line="320" w:lineRule="exact"/>
              <w:ind w:left="57" w:right="57"/>
              <w:rPr>
                <w:rFonts w:ascii="Simplified Arabic" w:hAnsi="Simplified Arabic"/>
                <w:szCs w:val="20"/>
              </w:rPr>
            </w:pPr>
          </w:p>
        </w:tc>
        <w:tc>
          <w:tcPr>
            <w:tcW w:w="1568" w:type="dxa"/>
            <w:shd w:val="clear" w:color="auto" w:fill="auto"/>
            <w:vAlign w:val="bottom"/>
          </w:tcPr>
          <w:p w14:paraId="4450F4FE"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E90634">
              <w:rPr>
                <w:rFonts w:ascii="Simplified Arabic" w:hAnsi="Simplified Arabic"/>
                <w:szCs w:val="20"/>
                <w:rtl/>
              </w:rPr>
              <w:t>الاتجار بالبشر</w:t>
            </w:r>
          </w:p>
        </w:tc>
        <w:tc>
          <w:tcPr>
            <w:tcW w:w="714" w:type="dxa"/>
            <w:shd w:val="clear" w:color="auto" w:fill="auto"/>
            <w:vAlign w:val="bottom"/>
          </w:tcPr>
          <w:p w14:paraId="70D39B99"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555</w:t>
            </w:r>
          </w:p>
        </w:tc>
        <w:tc>
          <w:tcPr>
            <w:tcW w:w="728" w:type="dxa"/>
            <w:shd w:val="clear" w:color="auto" w:fill="auto"/>
            <w:vAlign w:val="bottom"/>
          </w:tcPr>
          <w:p w14:paraId="010528EF"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83</w:t>
            </w:r>
          </w:p>
        </w:tc>
        <w:tc>
          <w:tcPr>
            <w:tcW w:w="811" w:type="dxa"/>
            <w:gridSpan w:val="2"/>
            <w:shd w:val="clear" w:color="auto" w:fill="auto"/>
            <w:vAlign w:val="bottom"/>
          </w:tcPr>
          <w:p w14:paraId="3DFFFF1D"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461</w:t>
            </w:r>
          </w:p>
        </w:tc>
        <w:tc>
          <w:tcPr>
            <w:tcW w:w="703" w:type="dxa"/>
            <w:shd w:val="clear" w:color="auto" w:fill="auto"/>
            <w:vAlign w:val="bottom"/>
          </w:tcPr>
          <w:p w14:paraId="20EACE69" w14:textId="77777777" w:rsidR="00DE3D9F" w:rsidRPr="00E90634" w:rsidRDefault="00DE3D9F" w:rsidP="003B756C">
            <w:pPr>
              <w:spacing w:before="40" w:after="40" w:line="320" w:lineRule="exact"/>
              <w:ind w:left="57" w:right="57"/>
              <w:jc w:val="left"/>
              <w:textDirection w:val="tbRlV"/>
              <w:rPr>
                <w:rFonts w:ascii="Simplified Arabic" w:hAnsi="Simplified Arabic"/>
                <w:szCs w:val="20"/>
                <w:lang w:val="ar-SA" w:eastAsia="zh-TW" w:bidi="en-GB"/>
              </w:rPr>
            </w:pPr>
            <w:r w:rsidRPr="00AF3116">
              <w:rPr>
                <w:rFonts w:ascii="Simplified Arabic" w:hAnsi="Simplified Arabic"/>
                <w:szCs w:val="20"/>
                <w:rtl/>
              </w:rPr>
              <w:t>0</w:t>
            </w:r>
            <w:r w:rsidRPr="00E90634">
              <w:rPr>
                <w:rFonts w:ascii="Simplified Arabic" w:hAnsi="Simplified Arabic"/>
                <w:szCs w:val="20"/>
                <w:rtl/>
              </w:rPr>
              <w:t>,</w:t>
            </w:r>
            <w:r w:rsidRPr="00AF3116">
              <w:rPr>
                <w:rFonts w:ascii="Simplified Arabic" w:hAnsi="Simplified Arabic"/>
                <w:szCs w:val="20"/>
                <w:rtl/>
              </w:rPr>
              <w:t>69</w:t>
            </w:r>
          </w:p>
        </w:tc>
      </w:tr>
    </w:tbl>
    <w:p w14:paraId="128149A2" w14:textId="77777777" w:rsidR="00DE3D9F" w:rsidRPr="001B6C67" w:rsidRDefault="00DE3D9F" w:rsidP="00DE3D9F">
      <w:pPr>
        <w:pStyle w:val="SingleTxtG"/>
        <w:spacing w:before="120"/>
        <w:rPr>
          <w:rFonts w:ascii="Simplified Arabic" w:hAnsi="Simplified Arabic"/>
          <w:sz w:val="22"/>
          <w:szCs w:val="22"/>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25"/>
        <w:gridCol w:w="3745"/>
      </w:tblGrid>
      <w:tr w:rsidR="00DE3D9F" w:rsidRPr="006A1568" w14:paraId="49F6D1ED" w14:textId="77777777" w:rsidTr="00DE3D9F">
        <w:trPr>
          <w:tblHeader/>
        </w:trPr>
        <w:tc>
          <w:tcPr>
            <w:tcW w:w="3625" w:type="dxa"/>
            <w:tcBorders>
              <w:top w:val="single" w:sz="4" w:space="0" w:color="auto"/>
              <w:bottom w:val="single" w:sz="12" w:space="0" w:color="auto"/>
            </w:tcBorders>
            <w:shd w:val="clear" w:color="auto" w:fill="auto"/>
            <w:vAlign w:val="bottom"/>
          </w:tcPr>
          <w:p w14:paraId="04F28CF8" w14:textId="6A8CB04C" w:rsidR="00DE3D9F" w:rsidRPr="00E90634" w:rsidRDefault="00DE3D9F" w:rsidP="00E90634">
            <w:pPr>
              <w:spacing w:before="40" w:after="40" w:line="340" w:lineRule="exact"/>
              <w:ind w:right="113"/>
              <w:jc w:val="left"/>
              <w:textDirection w:val="tbRlV"/>
              <w:rPr>
                <w:rFonts w:ascii="Simplified Arabic" w:hAnsi="Simplified Arabic"/>
                <w:i/>
                <w:iCs/>
                <w:szCs w:val="20"/>
                <w:highlight w:val="cyan"/>
                <w:cs/>
                <w:lang w:val="ar-SA" w:eastAsia="zh-TW" w:bidi="en-GB"/>
              </w:rPr>
            </w:pPr>
            <w:r w:rsidRPr="00AF3116">
              <w:rPr>
                <w:rFonts w:ascii="Simplified Arabic" w:hAnsi="Simplified Arabic"/>
                <w:i/>
                <w:iCs/>
                <w:szCs w:val="20"/>
                <w:rtl/>
              </w:rPr>
              <w:lastRenderedPageBreak/>
              <w:t>حصة الإنفاق العام على الشرطة/الأمن والقضاء (بملايين</w:t>
            </w:r>
            <w:r w:rsidR="001B0794" w:rsidRPr="00AF3116">
              <w:rPr>
                <w:rFonts w:ascii="Simplified Arabic" w:hAnsi="Simplified Arabic" w:hint="cs"/>
                <w:i/>
                <w:iCs/>
                <w:szCs w:val="20"/>
                <w:rtl/>
              </w:rPr>
              <w:t> </w:t>
            </w:r>
            <w:r w:rsidRPr="00AF3116">
              <w:rPr>
                <w:rFonts w:ascii="Simplified Arabic" w:hAnsi="Simplified Arabic"/>
                <w:i/>
                <w:iCs/>
                <w:szCs w:val="20"/>
                <w:rtl/>
              </w:rPr>
              <w:t>الباتات)</w:t>
            </w:r>
          </w:p>
        </w:tc>
        <w:tc>
          <w:tcPr>
            <w:tcW w:w="3745" w:type="dxa"/>
            <w:tcBorders>
              <w:top w:val="single" w:sz="4" w:space="0" w:color="auto"/>
              <w:bottom w:val="single" w:sz="12" w:space="0" w:color="auto"/>
            </w:tcBorders>
            <w:shd w:val="clear" w:color="auto" w:fill="auto"/>
            <w:vAlign w:val="bottom"/>
          </w:tcPr>
          <w:p w14:paraId="6816B3A6" w14:textId="77777777" w:rsidR="00DE3D9F" w:rsidRPr="00AF3116" w:rsidRDefault="00DE3D9F" w:rsidP="00E90634">
            <w:pPr>
              <w:spacing w:before="40" w:after="40" w:line="340" w:lineRule="exact"/>
              <w:ind w:left="258" w:right="113"/>
              <w:jc w:val="left"/>
              <w:textDirection w:val="tbRlV"/>
              <w:rPr>
                <w:rFonts w:ascii="Simplified Arabic" w:hAnsi="Simplified Arabic"/>
                <w:i/>
                <w:iCs/>
                <w:szCs w:val="20"/>
                <w:lang w:val="ar-SA" w:eastAsia="zh-TW" w:bidi="en-GB"/>
              </w:rPr>
            </w:pPr>
            <w:r w:rsidRPr="00AF3116">
              <w:rPr>
                <w:rFonts w:ascii="Simplified Arabic" w:hAnsi="Simplified Arabic"/>
                <w:i/>
                <w:iCs/>
                <w:szCs w:val="20"/>
                <w:rtl/>
              </w:rPr>
              <w:t>569</w:t>
            </w:r>
            <w:r w:rsidRPr="00E90634">
              <w:rPr>
                <w:rFonts w:ascii="Simplified Arabic" w:hAnsi="Simplified Arabic"/>
                <w:i/>
                <w:iCs/>
                <w:szCs w:val="20"/>
                <w:rtl/>
              </w:rPr>
              <w:t>,</w:t>
            </w:r>
            <w:r w:rsidRPr="00AF3116">
              <w:rPr>
                <w:rFonts w:ascii="Simplified Arabic" w:hAnsi="Simplified Arabic"/>
                <w:i/>
                <w:iCs/>
                <w:szCs w:val="20"/>
                <w:rtl/>
              </w:rPr>
              <w:t>7</w:t>
            </w:r>
            <w:r w:rsidRPr="00E90634">
              <w:rPr>
                <w:rFonts w:ascii="Simplified Arabic" w:hAnsi="Simplified Arabic"/>
                <w:i/>
                <w:iCs/>
                <w:szCs w:val="20"/>
                <w:rtl/>
              </w:rPr>
              <w:t xml:space="preserve"> </w:t>
            </w:r>
            <w:r w:rsidRPr="00AF3116">
              <w:rPr>
                <w:rFonts w:ascii="Simplified Arabic" w:hAnsi="Simplified Arabic"/>
                <w:i/>
                <w:iCs/>
                <w:szCs w:val="20"/>
                <w:rtl/>
              </w:rPr>
              <w:t>408</w:t>
            </w:r>
            <w:r w:rsidRPr="00E90634">
              <w:rPr>
                <w:rFonts w:ascii="Simplified Arabic" w:hAnsi="Simplified Arabic"/>
                <w:i/>
                <w:iCs/>
                <w:szCs w:val="20"/>
                <w:rtl/>
              </w:rPr>
              <w:t xml:space="preserve"> (حوالي </w:t>
            </w:r>
            <w:r w:rsidRPr="00AF3116">
              <w:rPr>
                <w:rFonts w:ascii="Simplified Arabic" w:hAnsi="Simplified Arabic"/>
                <w:i/>
                <w:iCs/>
                <w:szCs w:val="20"/>
                <w:rtl/>
              </w:rPr>
              <w:t>14</w:t>
            </w:r>
            <w:r w:rsidRPr="00E90634">
              <w:rPr>
                <w:rFonts w:ascii="Simplified Arabic" w:hAnsi="Simplified Arabic"/>
                <w:i/>
                <w:iCs/>
                <w:szCs w:val="20"/>
                <w:rtl/>
              </w:rPr>
              <w:t xml:space="preserve"> في المائة من الميزانية الإجمالية)</w:t>
            </w:r>
          </w:p>
        </w:tc>
      </w:tr>
      <w:tr w:rsidR="00DE3D9F" w:rsidRPr="006A1568" w14:paraId="5F2916BE" w14:textId="77777777" w:rsidTr="00DE3D9F">
        <w:trPr>
          <w:trHeight w:hRule="exact" w:val="113"/>
          <w:tblHeader/>
        </w:trPr>
        <w:tc>
          <w:tcPr>
            <w:tcW w:w="3625" w:type="dxa"/>
            <w:tcBorders>
              <w:top w:val="single" w:sz="12" w:space="0" w:color="auto"/>
              <w:bottom w:val="nil"/>
            </w:tcBorders>
            <w:shd w:val="clear" w:color="auto" w:fill="auto"/>
          </w:tcPr>
          <w:p w14:paraId="1CE05D26" w14:textId="77777777" w:rsidR="00DE3D9F" w:rsidRPr="00E90634" w:rsidRDefault="00DE3D9F" w:rsidP="00E90634">
            <w:pPr>
              <w:spacing w:before="40" w:after="40" w:line="340" w:lineRule="exact"/>
              <w:ind w:right="113"/>
              <w:rPr>
                <w:rFonts w:ascii="Simplified Arabic" w:hAnsi="Simplified Arabic"/>
                <w:szCs w:val="20"/>
              </w:rPr>
            </w:pPr>
          </w:p>
        </w:tc>
        <w:tc>
          <w:tcPr>
            <w:tcW w:w="3745" w:type="dxa"/>
            <w:tcBorders>
              <w:top w:val="single" w:sz="12" w:space="0" w:color="auto"/>
              <w:bottom w:val="nil"/>
            </w:tcBorders>
            <w:shd w:val="clear" w:color="auto" w:fill="auto"/>
          </w:tcPr>
          <w:p w14:paraId="66622B6E" w14:textId="77777777" w:rsidR="00DE3D9F" w:rsidRPr="00E90634" w:rsidRDefault="00DE3D9F" w:rsidP="00E90634">
            <w:pPr>
              <w:spacing w:before="40" w:after="40" w:line="340" w:lineRule="exact"/>
              <w:ind w:left="200" w:right="113"/>
              <w:rPr>
                <w:rFonts w:ascii="Simplified Arabic" w:hAnsi="Simplified Arabic"/>
                <w:szCs w:val="20"/>
              </w:rPr>
            </w:pPr>
          </w:p>
        </w:tc>
      </w:tr>
      <w:tr w:rsidR="00DE3D9F" w:rsidRPr="006A1568" w14:paraId="3DFFBF37" w14:textId="77777777" w:rsidTr="00DE3D9F">
        <w:tc>
          <w:tcPr>
            <w:tcW w:w="3625" w:type="dxa"/>
            <w:tcBorders>
              <w:top w:val="nil"/>
              <w:bottom w:val="nil"/>
            </w:tcBorders>
            <w:shd w:val="clear" w:color="auto" w:fill="auto"/>
          </w:tcPr>
          <w:p w14:paraId="12447B4E" w14:textId="56BD1DDA" w:rsidR="00DE3D9F" w:rsidRPr="00E90634" w:rsidRDefault="00DE3D9F" w:rsidP="003B756C">
            <w:pPr>
              <w:spacing w:before="40" w:after="40" w:line="340" w:lineRule="exact"/>
              <w:ind w:right="367"/>
              <w:textDirection w:val="tbRlV"/>
              <w:rPr>
                <w:rFonts w:ascii="Simplified Arabic" w:hAnsi="Simplified Arabic"/>
                <w:szCs w:val="20"/>
                <w:lang w:eastAsia="zh-TW" w:bidi="en-GB"/>
              </w:rPr>
            </w:pPr>
            <w:r w:rsidRPr="00E90634">
              <w:rPr>
                <w:rFonts w:ascii="Simplified Arabic" w:hAnsi="Simplified Arabic"/>
                <w:spacing w:val="-4"/>
                <w:szCs w:val="20"/>
                <w:rtl/>
              </w:rPr>
              <w:t>السجناء المدانون، مصنفون حسب الجرائم وقرارات المحاكم</w:t>
            </w:r>
            <w:r w:rsidR="003B756C">
              <w:rPr>
                <w:rFonts w:ascii="Simplified Arabic" w:hAnsi="Simplified Arabic" w:hint="cs"/>
                <w:szCs w:val="20"/>
                <w:rtl/>
              </w:rPr>
              <w:t xml:space="preserve"> </w:t>
            </w:r>
            <w:r w:rsidRPr="00E90634">
              <w:rPr>
                <w:rFonts w:ascii="Simplified Arabic" w:hAnsi="Simplified Arabic"/>
                <w:szCs w:val="20"/>
                <w:rtl/>
              </w:rPr>
              <w:t xml:space="preserve">(في </w:t>
            </w:r>
            <w:r w:rsidRPr="00AF3116">
              <w:rPr>
                <w:rFonts w:ascii="Simplified Arabic" w:hAnsi="Simplified Arabic"/>
                <w:szCs w:val="20"/>
                <w:rtl/>
              </w:rPr>
              <w:t>3</w:t>
            </w:r>
            <w:r w:rsidRPr="00E90634">
              <w:rPr>
                <w:rFonts w:ascii="Simplified Arabic" w:hAnsi="Simplified Arabic"/>
                <w:szCs w:val="20"/>
                <w:rtl/>
              </w:rPr>
              <w:t xml:space="preserve"> نيسان/أبريل </w:t>
            </w:r>
            <w:r w:rsidRPr="00AF3116">
              <w:rPr>
                <w:rFonts w:ascii="Simplified Arabic" w:hAnsi="Simplified Arabic"/>
                <w:szCs w:val="20"/>
                <w:rtl/>
              </w:rPr>
              <w:t>2019</w:t>
            </w:r>
            <w:r w:rsidRPr="00E90634">
              <w:rPr>
                <w:rFonts w:ascii="Simplified Arabic" w:hAnsi="Simplified Arabic"/>
                <w:szCs w:val="20"/>
                <w:rtl/>
              </w:rPr>
              <w:t>)</w:t>
            </w:r>
          </w:p>
        </w:tc>
        <w:tc>
          <w:tcPr>
            <w:tcW w:w="3745" w:type="dxa"/>
            <w:tcBorders>
              <w:top w:val="nil"/>
              <w:bottom w:val="nil"/>
            </w:tcBorders>
            <w:shd w:val="clear" w:color="auto" w:fill="auto"/>
          </w:tcPr>
          <w:p w14:paraId="683B1775"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E90634">
              <w:rPr>
                <w:rFonts w:ascii="Simplified Arabic" w:hAnsi="Simplified Arabic"/>
                <w:szCs w:val="20"/>
                <w:rtl/>
              </w:rPr>
              <w:t>يرجى الرجوع إلى الجداول المرفقة.</w:t>
            </w:r>
          </w:p>
        </w:tc>
      </w:tr>
      <w:tr w:rsidR="00DE3D9F" w:rsidRPr="006A1568" w14:paraId="09A90089" w14:textId="77777777" w:rsidTr="00DE3D9F">
        <w:tc>
          <w:tcPr>
            <w:tcW w:w="3625" w:type="dxa"/>
            <w:tcBorders>
              <w:top w:val="nil"/>
              <w:bottom w:val="nil"/>
            </w:tcBorders>
            <w:shd w:val="clear" w:color="auto" w:fill="auto"/>
          </w:tcPr>
          <w:p w14:paraId="17578769" w14:textId="77777777" w:rsidR="00DE3D9F" w:rsidRPr="00E90634" w:rsidRDefault="00DE3D9F" w:rsidP="00E90634">
            <w:pPr>
              <w:spacing w:before="40" w:after="40" w:line="340" w:lineRule="exact"/>
              <w:ind w:right="367"/>
              <w:textDirection w:val="tbRlV"/>
              <w:rPr>
                <w:rFonts w:ascii="Simplified Arabic" w:hAnsi="Simplified Arabic"/>
                <w:szCs w:val="20"/>
                <w:lang w:val="ar-SA" w:eastAsia="zh-TW" w:bidi="en-GB"/>
              </w:rPr>
            </w:pPr>
            <w:r w:rsidRPr="00E90634">
              <w:rPr>
                <w:rFonts w:ascii="Simplified Arabic" w:hAnsi="Simplified Arabic"/>
                <w:szCs w:val="20"/>
                <w:rtl/>
              </w:rPr>
              <w:t xml:space="preserve">المتهمون والمحتجزون الذين يقدمون طلباً للحصول على مساعدة قانونية مجانية </w:t>
            </w:r>
          </w:p>
        </w:tc>
        <w:tc>
          <w:tcPr>
            <w:tcW w:w="3745" w:type="dxa"/>
            <w:tcBorders>
              <w:top w:val="nil"/>
              <w:bottom w:val="nil"/>
            </w:tcBorders>
            <w:shd w:val="clear" w:color="auto" w:fill="auto"/>
            <w:vAlign w:val="bottom"/>
          </w:tcPr>
          <w:p w14:paraId="13F2863D"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AF3116">
              <w:rPr>
                <w:rFonts w:ascii="Simplified Arabic" w:hAnsi="Simplified Arabic"/>
                <w:szCs w:val="20"/>
                <w:rtl/>
              </w:rPr>
              <w:t>744</w:t>
            </w:r>
            <w:r w:rsidRPr="00E90634">
              <w:rPr>
                <w:rFonts w:ascii="Simplified Arabic" w:hAnsi="Simplified Arabic"/>
                <w:szCs w:val="20"/>
                <w:rtl/>
              </w:rPr>
              <w:t xml:space="preserve"> حالة في عام </w:t>
            </w:r>
            <w:r w:rsidRPr="00AF3116">
              <w:rPr>
                <w:rFonts w:ascii="Simplified Arabic" w:hAnsi="Simplified Arabic"/>
                <w:szCs w:val="20"/>
                <w:rtl/>
              </w:rPr>
              <w:t>2015</w:t>
            </w:r>
          </w:p>
          <w:p w14:paraId="5A148363"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AF3116">
              <w:rPr>
                <w:rFonts w:ascii="Simplified Arabic" w:hAnsi="Simplified Arabic"/>
                <w:szCs w:val="20"/>
                <w:rtl/>
              </w:rPr>
              <w:t>757</w:t>
            </w:r>
            <w:r w:rsidRPr="00E90634">
              <w:rPr>
                <w:rFonts w:ascii="Simplified Arabic" w:hAnsi="Simplified Arabic"/>
                <w:szCs w:val="20"/>
                <w:rtl/>
              </w:rPr>
              <w:t xml:space="preserve"> حالة في عام </w:t>
            </w:r>
            <w:r w:rsidRPr="00AF3116">
              <w:rPr>
                <w:rFonts w:ascii="Simplified Arabic" w:hAnsi="Simplified Arabic"/>
                <w:szCs w:val="20"/>
                <w:rtl/>
              </w:rPr>
              <w:t>2016</w:t>
            </w:r>
          </w:p>
          <w:p w14:paraId="600153C4"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AF3116">
              <w:rPr>
                <w:rFonts w:ascii="Simplified Arabic" w:hAnsi="Simplified Arabic"/>
                <w:szCs w:val="20"/>
                <w:rtl/>
              </w:rPr>
              <w:t>624</w:t>
            </w:r>
            <w:r w:rsidRPr="00E90634">
              <w:rPr>
                <w:rFonts w:ascii="Simplified Arabic" w:hAnsi="Simplified Arabic"/>
                <w:szCs w:val="20"/>
                <w:rtl/>
              </w:rPr>
              <w:t xml:space="preserve"> حالة في عام </w:t>
            </w:r>
            <w:r w:rsidRPr="00AF3116">
              <w:rPr>
                <w:rFonts w:ascii="Simplified Arabic" w:hAnsi="Simplified Arabic"/>
                <w:szCs w:val="20"/>
                <w:rtl/>
              </w:rPr>
              <w:t>2017</w:t>
            </w:r>
          </w:p>
          <w:p w14:paraId="2DF76823"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AF3116">
              <w:rPr>
                <w:rFonts w:ascii="Simplified Arabic" w:hAnsi="Simplified Arabic"/>
                <w:szCs w:val="20"/>
                <w:rtl/>
              </w:rPr>
              <w:t>595</w:t>
            </w:r>
            <w:r w:rsidRPr="00E90634">
              <w:rPr>
                <w:rFonts w:ascii="Simplified Arabic" w:hAnsi="Simplified Arabic"/>
                <w:szCs w:val="20"/>
                <w:rtl/>
              </w:rPr>
              <w:t xml:space="preserve"> حالة في عام </w:t>
            </w:r>
            <w:r w:rsidRPr="00AF3116">
              <w:rPr>
                <w:rFonts w:ascii="Simplified Arabic" w:hAnsi="Simplified Arabic"/>
                <w:szCs w:val="20"/>
                <w:rtl/>
              </w:rPr>
              <w:t>2018</w:t>
            </w:r>
          </w:p>
          <w:p w14:paraId="0762C9B4"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AF3116">
              <w:rPr>
                <w:rFonts w:ascii="Simplified Arabic" w:hAnsi="Simplified Arabic"/>
                <w:szCs w:val="20"/>
                <w:rtl/>
              </w:rPr>
              <w:t>576</w:t>
            </w:r>
            <w:r w:rsidRPr="00E90634">
              <w:rPr>
                <w:rFonts w:ascii="Simplified Arabic" w:hAnsi="Simplified Arabic"/>
                <w:szCs w:val="20"/>
                <w:rtl/>
              </w:rPr>
              <w:t xml:space="preserve"> حالة في عام </w:t>
            </w:r>
            <w:r w:rsidRPr="00AF3116">
              <w:rPr>
                <w:rFonts w:ascii="Simplified Arabic" w:hAnsi="Simplified Arabic"/>
                <w:szCs w:val="20"/>
                <w:rtl/>
              </w:rPr>
              <w:t>2019</w:t>
            </w:r>
          </w:p>
          <w:p w14:paraId="73E0C0B3" w14:textId="77777777" w:rsidR="00DE3D9F" w:rsidRPr="00E90634" w:rsidRDefault="00DE3D9F" w:rsidP="00E90634">
            <w:pPr>
              <w:spacing w:before="40" w:after="40" w:line="340" w:lineRule="exact"/>
              <w:ind w:right="113"/>
              <w:textDirection w:val="tbRlV"/>
              <w:rPr>
                <w:rFonts w:ascii="Simplified Arabic" w:hAnsi="Simplified Arabic"/>
                <w:szCs w:val="20"/>
                <w:cs/>
                <w:lang w:val="ar-SA" w:eastAsia="zh-TW" w:bidi="en-GB"/>
              </w:rPr>
            </w:pPr>
            <w:r w:rsidRPr="00AF3116">
              <w:rPr>
                <w:rFonts w:ascii="Simplified Arabic" w:hAnsi="Simplified Arabic"/>
                <w:szCs w:val="20"/>
                <w:rtl/>
              </w:rPr>
              <w:t>275</w:t>
            </w:r>
            <w:r w:rsidRPr="00E90634">
              <w:rPr>
                <w:rFonts w:ascii="Simplified Arabic" w:hAnsi="Simplified Arabic"/>
                <w:szCs w:val="20"/>
                <w:rtl/>
              </w:rPr>
              <w:t xml:space="preserve"> حالة في عام </w:t>
            </w:r>
            <w:r w:rsidRPr="00AF3116">
              <w:rPr>
                <w:rFonts w:ascii="Simplified Arabic" w:hAnsi="Simplified Arabic"/>
                <w:szCs w:val="20"/>
                <w:rtl/>
              </w:rPr>
              <w:t>2020</w:t>
            </w:r>
          </w:p>
          <w:p w14:paraId="104D89B8" w14:textId="2DA206B5" w:rsidR="00DE3D9F" w:rsidRPr="00E90634" w:rsidRDefault="00DE3D9F" w:rsidP="00E90634">
            <w:pPr>
              <w:spacing w:before="40" w:after="40" w:line="340" w:lineRule="exact"/>
              <w:ind w:right="113"/>
              <w:textDirection w:val="tbRlV"/>
              <w:rPr>
                <w:rFonts w:ascii="Simplified Arabic" w:hAnsi="Simplified Arabic"/>
                <w:szCs w:val="20"/>
                <w:rtl/>
                <w:lang w:val="ar-SA" w:eastAsia="zh-TW"/>
              </w:rPr>
            </w:pPr>
            <w:r w:rsidRPr="00AF3116">
              <w:rPr>
                <w:rFonts w:ascii="Simplified Arabic" w:hAnsi="Simplified Arabic"/>
                <w:b/>
                <w:bCs/>
                <w:szCs w:val="20"/>
                <w:rtl/>
              </w:rPr>
              <w:t>مجموع الحالات 571</w:t>
            </w:r>
            <w:r w:rsidRPr="007D3947">
              <w:rPr>
                <w:rFonts w:ascii="Simplified Arabic" w:hAnsi="Simplified Arabic"/>
                <w:b/>
                <w:bCs/>
                <w:szCs w:val="20"/>
                <w:rtl/>
              </w:rPr>
              <w:t xml:space="preserve"> 3 </w:t>
            </w:r>
            <w:r w:rsidR="007D3947" w:rsidRPr="007D3947">
              <w:rPr>
                <w:rFonts w:ascii="Simplified Arabic" w:hAnsi="Simplified Arabic" w:hint="cs"/>
                <w:b/>
                <w:bCs/>
                <w:szCs w:val="20"/>
                <w:rtl/>
              </w:rPr>
              <w:t>حالة</w:t>
            </w:r>
          </w:p>
        </w:tc>
      </w:tr>
      <w:tr w:rsidR="00DE3D9F" w:rsidRPr="006A1568" w14:paraId="68FB6700" w14:textId="77777777" w:rsidTr="00DE3D9F">
        <w:tc>
          <w:tcPr>
            <w:tcW w:w="3625" w:type="dxa"/>
            <w:tcBorders>
              <w:top w:val="nil"/>
            </w:tcBorders>
            <w:shd w:val="clear" w:color="auto" w:fill="auto"/>
          </w:tcPr>
          <w:p w14:paraId="33862D16" w14:textId="21CE04FE" w:rsidR="00DE3D9F" w:rsidRPr="00E90634" w:rsidRDefault="00DE3D9F" w:rsidP="00E90634">
            <w:pPr>
              <w:spacing w:before="40" w:after="40" w:line="340" w:lineRule="exact"/>
              <w:ind w:right="367"/>
              <w:textDirection w:val="tbRlV"/>
              <w:rPr>
                <w:rFonts w:ascii="Simplified Arabic" w:hAnsi="Simplified Arabic"/>
                <w:szCs w:val="20"/>
                <w:lang w:eastAsia="zh-TW" w:bidi="en-GB"/>
              </w:rPr>
            </w:pPr>
            <w:r w:rsidRPr="00E90634">
              <w:rPr>
                <w:rFonts w:ascii="Simplified Arabic" w:hAnsi="Simplified Arabic"/>
                <w:szCs w:val="20"/>
                <w:rtl/>
              </w:rPr>
              <w:t>الضحايا والمتهمون الحاصلون على تعويض من</w:t>
            </w:r>
            <w:r w:rsidR="00E90634">
              <w:rPr>
                <w:rFonts w:ascii="Simplified Arabic" w:hAnsi="Simplified Arabic" w:hint="cs"/>
                <w:szCs w:val="20"/>
                <w:rtl/>
              </w:rPr>
              <w:t> </w:t>
            </w:r>
            <w:r w:rsidRPr="00E90634">
              <w:rPr>
                <w:rFonts w:ascii="Simplified Arabic" w:hAnsi="Simplified Arabic"/>
                <w:szCs w:val="20"/>
                <w:rtl/>
              </w:rPr>
              <w:t xml:space="preserve">خلال قانون تعويض ونفقات المتهمين في القضايا الجنائية </w:t>
            </w:r>
            <w:r w:rsidRPr="00E90634">
              <w:rPr>
                <w:rFonts w:cs="Times New Roman"/>
                <w:szCs w:val="20"/>
              </w:rPr>
              <w:t xml:space="preserve">B.E. </w:t>
            </w:r>
            <w:r w:rsidRPr="00AF3116">
              <w:rPr>
                <w:rFonts w:cs="Times New Roman"/>
                <w:szCs w:val="20"/>
              </w:rPr>
              <w:t>2544</w:t>
            </w:r>
            <w:r w:rsidRPr="00E90634">
              <w:rPr>
                <w:rFonts w:cs="Times New Roman"/>
                <w:szCs w:val="20"/>
              </w:rPr>
              <w:t xml:space="preserve"> (</w:t>
            </w:r>
            <w:r w:rsidRPr="00AF3116">
              <w:rPr>
                <w:rFonts w:cs="Times New Roman"/>
                <w:szCs w:val="20"/>
              </w:rPr>
              <w:t>2001</w:t>
            </w:r>
            <w:r w:rsidRPr="00E90634">
              <w:rPr>
                <w:rFonts w:ascii="Simplified Arabic" w:hAnsi="Simplified Arabic"/>
                <w:szCs w:val="20"/>
              </w:rPr>
              <w:t>)</w:t>
            </w:r>
            <w:r w:rsidRPr="00E90634">
              <w:rPr>
                <w:rFonts w:ascii="Simplified Arabic" w:hAnsi="Simplified Arabic"/>
                <w:szCs w:val="20"/>
                <w:rtl/>
              </w:rPr>
              <w:t xml:space="preserve"> وتعديلات عام </w:t>
            </w:r>
            <w:r w:rsidRPr="00AF3116">
              <w:rPr>
                <w:rFonts w:ascii="Simplified Arabic" w:hAnsi="Simplified Arabic"/>
                <w:szCs w:val="20"/>
                <w:rtl/>
              </w:rPr>
              <w:t>2016</w:t>
            </w:r>
            <w:r w:rsidRPr="00E90634">
              <w:rPr>
                <w:rFonts w:ascii="Simplified Arabic" w:hAnsi="Simplified Arabic"/>
                <w:szCs w:val="20"/>
                <w:rtl/>
              </w:rPr>
              <w:t xml:space="preserve"> </w:t>
            </w:r>
          </w:p>
        </w:tc>
        <w:tc>
          <w:tcPr>
            <w:tcW w:w="3745" w:type="dxa"/>
            <w:tcBorders>
              <w:top w:val="nil"/>
            </w:tcBorders>
            <w:shd w:val="clear" w:color="auto" w:fill="auto"/>
            <w:vAlign w:val="bottom"/>
          </w:tcPr>
          <w:p w14:paraId="3D7C6A00" w14:textId="77777777" w:rsidR="00DE3D9F" w:rsidRPr="00E90634" w:rsidRDefault="00DE3D9F" w:rsidP="00E90634">
            <w:pPr>
              <w:spacing w:before="40" w:after="40" w:line="340" w:lineRule="exact"/>
              <w:ind w:right="113"/>
              <w:textDirection w:val="tbRlV"/>
              <w:rPr>
                <w:rFonts w:ascii="Simplified Arabic" w:hAnsi="Simplified Arabic"/>
                <w:szCs w:val="20"/>
                <w:lang w:eastAsia="zh-TW" w:bidi="en-GB"/>
              </w:rPr>
            </w:pPr>
            <w:r w:rsidRPr="00AF3116">
              <w:rPr>
                <w:rFonts w:ascii="Simplified Arabic" w:hAnsi="Simplified Arabic"/>
                <w:spacing w:val="-4"/>
                <w:szCs w:val="20"/>
                <w:rtl/>
              </w:rPr>
              <w:t>938</w:t>
            </w:r>
            <w:r w:rsidRPr="00E90634">
              <w:rPr>
                <w:rFonts w:ascii="Simplified Arabic" w:hAnsi="Simplified Arabic"/>
                <w:spacing w:val="-4"/>
                <w:szCs w:val="20"/>
                <w:rtl/>
              </w:rPr>
              <w:t>,</w:t>
            </w:r>
            <w:r w:rsidRPr="00AF3116">
              <w:rPr>
                <w:rFonts w:ascii="Simplified Arabic" w:hAnsi="Simplified Arabic"/>
                <w:spacing w:val="-4"/>
                <w:szCs w:val="20"/>
                <w:rtl/>
              </w:rPr>
              <w:t>28</w:t>
            </w:r>
            <w:r w:rsidRPr="00E90634">
              <w:rPr>
                <w:rFonts w:ascii="Simplified Arabic" w:hAnsi="Simplified Arabic"/>
                <w:spacing w:val="-4"/>
                <w:szCs w:val="20"/>
                <w:rtl/>
              </w:rPr>
              <w:t xml:space="preserve"> </w:t>
            </w:r>
            <w:r w:rsidRPr="00AF3116">
              <w:rPr>
                <w:rFonts w:ascii="Simplified Arabic" w:hAnsi="Simplified Arabic"/>
                <w:spacing w:val="-4"/>
                <w:szCs w:val="20"/>
                <w:rtl/>
              </w:rPr>
              <w:t>160</w:t>
            </w:r>
            <w:r w:rsidRPr="00E90634">
              <w:rPr>
                <w:rFonts w:ascii="Simplified Arabic" w:hAnsi="Simplified Arabic"/>
                <w:spacing w:val="-4"/>
                <w:szCs w:val="20"/>
                <w:rtl/>
              </w:rPr>
              <w:t xml:space="preserve"> </w:t>
            </w:r>
            <w:r w:rsidRPr="00AF3116">
              <w:rPr>
                <w:rFonts w:ascii="Simplified Arabic" w:hAnsi="Simplified Arabic"/>
                <w:spacing w:val="-4"/>
                <w:szCs w:val="20"/>
                <w:rtl/>
              </w:rPr>
              <w:t>827</w:t>
            </w:r>
            <w:r w:rsidRPr="00E90634">
              <w:rPr>
                <w:rFonts w:ascii="Simplified Arabic" w:hAnsi="Simplified Arabic"/>
                <w:spacing w:val="-4"/>
                <w:szCs w:val="20"/>
                <w:rtl/>
              </w:rPr>
              <w:t xml:space="preserve"> </w:t>
            </w:r>
            <w:r w:rsidRPr="00AF3116">
              <w:rPr>
                <w:rFonts w:ascii="Simplified Arabic" w:hAnsi="Simplified Arabic"/>
                <w:spacing w:val="-4"/>
                <w:szCs w:val="20"/>
                <w:rtl/>
              </w:rPr>
              <w:t>2</w:t>
            </w:r>
            <w:r w:rsidRPr="00E90634">
              <w:rPr>
                <w:rFonts w:ascii="Simplified Arabic" w:hAnsi="Simplified Arabic"/>
                <w:spacing w:val="-4"/>
                <w:szCs w:val="20"/>
                <w:rtl/>
              </w:rPr>
              <w:t xml:space="preserve"> بات تايلندي تم دفعه إلى </w:t>
            </w:r>
            <w:r w:rsidRPr="00AF3116">
              <w:rPr>
                <w:rFonts w:ascii="Simplified Arabic" w:hAnsi="Simplified Arabic"/>
                <w:spacing w:val="-4"/>
                <w:szCs w:val="20"/>
                <w:rtl/>
              </w:rPr>
              <w:t>948</w:t>
            </w:r>
            <w:r w:rsidRPr="00E90634">
              <w:rPr>
                <w:rFonts w:ascii="Simplified Arabic" w:hAnsi="Simplified Arabic"/>
                <w:spacing w:val="-4"/>
                <w:szCs w:val="20"/>
                <w:rtl/>
              </w:rPr>
              <w:t xml:space="preserve"> </w:t>
            </w:r>
            <w:r w:rsidRPr="00AF3116">
              <w:rPr>
                <w:rFonts w:ascii="Simplified Arabic" w:hAnsi="Simplified Arabic"/>
                <w:spacing w:val="-4"/>
                <w:szCs w:val="20"/>
                <w:rtl/>
              </w:rPr>
              <w:t>57</w:t>
            </w:r>
            <w:r w:rsidRPr="00E90634">
              <w:rPr>
                <w:rFonts w:ascii="Simplified Arabic" w:hAnsi="Simplified Arabic"/>
                <w:spacing w:val="-4"/>
                <w:szCs w:val="20"/>
                <w:rtl/>
              </w:rPr>
              <w:t xml:space="preserve"> ضحية</w:t>
            </w:r>
            <w:r w:rsidRPr="00E90634">
              <w:rPr>
                <w:rFonts w:ascii="Simplified Arabic" w:hAnsi="Simplified Arabic"/>
                <w:szCs w:val="20"/>
                <w:rtl/>
              </w:rPr>
              <w:t xml:space="preserve"> و</w:t>
            </w:r>
            <w:r w:rsidRPr="00AF3116">
              <w:rPr>
                <w:rFonts w:ascii="Simplified Arabic" w:hAnsi="Simplified Arabic"/>
                <w:szCs w:val="20"/>
                <w:rtl/>
              </w:rPr>
              <w:t>528</w:t>
            </w:r>
            <w:r w:rsidRPr="00E90634">
              <w:rPr>
                <w:rFonts w:ascii="Simplified Arabic" w:hAnsi="Simplified Arabic"/>
                <w:szCs w:val="20"/>
                <w:rtl/>
              </w:rPr>
              <w:t>,</w:t>
            </w:r>
            <w:r w:rsidRPr="00AF3116">
              <w:rPr>
                <w:rFonts w:ascii="Simplified Arabic" w:hAnsi="Simplified Arabic"/>
                <w:szCs w:val="20"/>
                <w:rtl/>
              </w:rPr>
              <w:t>00</w:t>
            </w:r>
            <w:r w:rsidRPr="00E90634">
              <w:rPr>
                <w:rFonts w:ascii="Simplified Arabic" w:hAnsi="Simplified Arabic"/>
                <w:szCs w:val="20"/>
                <w:rtl/>
              </w:rPr>
              <w:t xml:space="preserve"> </w:t>
            </w:r>
            <w:r w:rsidRPr="00AF3116">
              <w:rPr>
                <w:rFonts w:ascii="Simplified Arabic" w:hAnsi="Simplified Arabic"/>
                <w:szCs w:val="20"/>
                <w:rtl/>
              </w:rPr>
              <w:t>473</w:t>
            </w:r>
            <w:r w:rsidRPr="00E90634">
              <w:rPr>
                <w:rFonts w:ascii="Simplified Arabic" w:hAnsi="Simplified Arabic"/>
                <w:szCs w:val="20"/>
                <w:rtl/>
              </w:rPr>
              <w:t xml:space="preserve"> </w:t>
            </w:r>
            <w:r w:rsidRPr="00AF3116">
              <w:rPr>
                <w:rFonts w:ascii="Simplified Arabic" w:hAnsi="Simplified Arabic"/>
                <w:szCs w:val="20"/>
                <w:rtl/>
              </w:rPr>
              <w:t>77</w:t>
            </w:r>
            <w:r w:rsidRPr="00E90634">
              <w:rPr>
                <w:rFonts w:ascii="Simplified Arabic" w:hAnsi="Simplified Arabic"/>
                <w:szCs w:val="20"/>
                <w:rtl/>
              </w:rPr>
              <w:t xml:space="preserve"> بات تايلندي تم دفعه إلى </w:t>
            </w:r>
            <w:r w:rsidRPr="00AF3116">
              <w:rPr>
                <w:rFonts w:ascii="Simplified Arabic" w:hAnsi="Simplified Arabic"/>
                <w:szCs w:val="20"/>
                <w:rtl/>
              </w:rPr>
              <w:t>438</w:t>
            </w:r>
            <w:r w:rsidRPr="00E90634">
              <w:rPr>
                <w:rFonts w:ascii="Simplified Arabic" w:hAnsi="Simplified Arabic"/>
                <w:szCs w:val="20"/>
                <w:rtl/>
              </w:rPr>
              <w:t xml:space="preserve"> متهماً (</w:t>
            </w:r>
            <w:r w:rsidRPr="00AF3116">
              <w:rPr>
                <w:rFonts w:ascii="Simplified Arabic" w:hAnsi="Simplified Arabic"/>
                <w:szCs w:val="20"/>
                <w:rtl/>
              </w:rPr>
              <w:t>1</w:t>
            </w:r>
            <w:r w:rsidRPr="00E90634">
              <w:rPr>
                <w:rFonts w:ascii="Simplified Arabic" w:hAnsi="Simplified Arabic"/>
                <w:szCs w:val="20"/>
                <w:rtl/>
              </w:rPr>
              <w:t xml:space="preserve"> تشرين الأول/أكتوبر </w:t>
            </w:r>
            <w:r w:rsidRPr="00AF3116">
              <w:rPr>
                <w:rFonts w:ascii="Simplified Arabic" w:hAnsi="Simplified Arabic"/>
                <w:szCs w:val="20"/>
                <w:rtl/>
              </w:rPr>
              <w:t>2015</w:t>
            </w:r>
            <w:r w:rsidRPr="00E90634">
              <w:rPr>
                <w:rFonts w:ascii="Simplified Arabic" w:hAnsi="Simplified Arabic"/>
                <w:szCs w:val="20"/>
                <w:rtl/>
              </w:rPr>
              <w:t>-</w:t>
            </w:r>
            <w:r w:rsidRPr="00AF3116">
              <w:rPr>
                <w:rFonts w:ascii="Simplified Arabic" w:hAnsi="Simplified Arabic"/>
                <w:szCs w:val="20"/>
                <w:rtl/>
              </w:rPr>
              <w:t>30</w:t>
            </w:r>
            <w:r w:rsidRPr="00E90634">
              <w:rPr>
                <w:rFonts w:ascii="Simplified Arabic" w:hAnsi="Simplified Arabic"/>
                <w:szCs w:val="20"/>
                <w:rtl/>
              </w:rPr>
              <w:t xml:space="preserve"> حزيران/يونيه </w:t>
            </w:r>
            <w:r w:rsidRPr="00AF3116">
              <w:rPr>
                <w:rFonts w:ascii="Simplified Arabic" w:hAnsi="Simplified Arabic"/>
                <w:szCs w:val="20"/>
                <w:rtl/>
              </w:rPr>
              <w:t>2020</w:t>
            </w:r>
            <w:r w:rsidRPr="00E90634">
              <w:rPr>
                <w:rFonts w:ascii="Simplified Arabic" w:hAnsi="Simplified Arabic"/>
                <w:szCs w:val="20"/>
                <w:rtl/>
              </w:rPr>
              <w:t>)</w:t>
            </w:r>
          </w:p>
        </w:tc>
      </w:tr>
    </w:tbl>
    <w:p w14:paraId="0FAB6583" w14:textId="77777777" w:rsidR="00DE3D9F" w:rsidRPr="001B6C67" w:rsidRDefault="00DE3D9F" w:rsidP="00E90634">
      <w:pPr>
        <w:pStyle w:val="SingleTxtGA"/>
        <w:spacing w:before="240"/>
        <w:rPr>
          <w:lang w:val="ar-SA" w:eastAsia="zh-TW" w:bidi="en-GB"/>
        </w:rPr>
      </w:pPr>
      <w:r w:rsidRPr="00AF3116">
        <w:rPr>
          <w:rtl/>
        </w:rPr>
        <w:t>61</w:t>
      </w:r>
      <w:r w:rsidRPr="001B6C67">
        <w:rPr>
          <w:rtl/>
        </w:rPr>
        <w:t>-</w:t>
      </w:r>
      <w:r w:rsidRPr="001B6C67">
        <w:rPr>
          <w:rtl/>
        </w:rPr>
        <w:tab/>
        <w:t xml:space="preserve">وفي عام </w:t>
      </w:r>
      <w:r w:rsidRPr="00AF3116">
        <w:rPr>
          <w:rtl/>
        </w:rPr>
        <w:t>2018</w:t>
      </w:r>
      <w:r w:rsidRPr="001B6C67">
        <w:rPr>
          <w:rtl/>
        </w:rPr>
        <w:t xml:space="preserve">، نفذت تايلاند أمر إعدام للمرة الأولى منذ تسع سنوات. وتجدر الإشارة إلى أن القضايا التي تنطوي على عقوبة الإعدام يجري النظر فيها بعناية أثناء خضوعها للإجراءات القانونية الواجبة. غير أن كل قضية فريدة من نوعها ولها ظروف مختلفة. ويمكن الاطلاع على مزيد من المعلومات في الفقرتين </w:t>
      </w:r>
      <w:r w:rsidRPr="00AF3116">
        <w:rPr>
          <w:rtl/>
        </w:rPr>
        <w:t>100</w:t>
      </w:r>
      <w:r w:rsidRPr="001B6C67">
        <w:rPr>
          <w:rtl/>
        </w:rPr>
        <w:t xml:space="preserve"> و</w:t>
      </w:r>
      <w:r w:rsidRPr="00AF3116">
        <w:rPr>
          <w:rtl/>
        </w:rPr>
        <w:t>101</w:t>
      </w:r>
      <w:r w:rsidRPr="001B6C67">
        <w:rPr>
          <w:rtl/>
        </w:rPr>
        <w:t>.</w:t>
      </w:r>
    </w:p>
    <w:p w14:paraId="3D620564" w14:textId="77777777" w:rsidR="00DE3D9F" w:rsidRPr="001B6C67" w:rsidRDefault="00DE3D9F" w:rsidP="001B0794">
      <w:pPr>
        <w:pStyle w:val="H23GA"/>
        <w:rPr>
          <w:lang w:val="ar-SA" w:eastAsia="zh-TW" w:bidi="en-GB"/>
        </w:rPr>
      </w:pPr>
      <w:r w:rsidRPr="001B6C67">
        <w:rPr>
          <w:rtl/>
        </w:rPr>
        <w:tab/>
      </w:r>
      <w:r w:rsidRPr="001B6C67">
        <w:rPr>
          <w:rtl/>
        </w:rPr>
        <w:tab/>
      </w:r>
      <w:r w:rsidRPr="00AF3116">
        <w:rPr>
          <w:rtl/>
        </w:rPr>
        <w:t>إمكانية اللجوء إلى القضاء</w:t>
      </w:r>
    </w:p>
    <w:p w14:paraId="7475AD02" w14:textId="4AC6601C" w:rsidR="00DE3D9F" w:rsidRPr="001B6C67" w:rsidRDefault="00DE3D9F" w:rsidP="00DE3D9F">
      <w:pPr>
        <w:pStyle w:val="SingleTxtGA"/>
        <w:rPr>
          <w:lang w:val="ar-SA" w:eastAsia="zh-TW" w:bidi="en-GB"/>
        </w:rPr>
      </w:pPr>
      <w:r w:rsidRPr="00AF3116">
        <w:rPr>
          <w:rtl/>
        </w:rPr>
        <w:t>62</w:t>
      </w:r>
      <w:r w:rsidRPr="001B6C67">
        <w:rPr>
          <w:rtl/>
        </w:rPr>
        <w:t>-</w:t>
      </w:r>
      <w:r w:rsidRPr="001B6C67">
        <w:rPr>
          <w:rtl/>
        </w:rPr>
        <w:tab/>
        <w:t xml:space="preserve">لدى الأشخاص والمجتمعات المحلية المتضررة من انتهاكات حقوق الإنسان مجموعة واسعة من الخيارات لتقديم الشكاوى أو التماس الإنصاف، بما في ذلك من خلال الخطوط الساخنة ومراكز التنسيق، </w:t>
      </w:r>
      <w:r>
        <w:rPr>
          <w:rtl/>
        </w:rPr>
        <w:t>ومنها</w:t>
      </w:r>
      <w:r w:rsidRPr="001B6C67">
        <w:rPr>
          <w:rtl/>
        </w:rPr>
        <w:t xml:space="preserve"> مراكز </w:t>
      </w:r>
      <w:proofErr w:type="spellStart"/>
      <w:r w:rsidRPr="001B6C67">
        <w:rPr>
          <w:rtl/>
        </w:rPr>
        <w:t>دامرونغدارما</w:t>
      </w:r>
      <w:proofErr w:type="spellEnd"/>
      <w:r w:rsidRPr="001B6C67">
        <w:rPr>
          <w:rtl/>
        </w:rPr>
        <w:t xml:space="preserve"> ومراكز الوكالات</w:t>
      </w:r>
      <w:r>
        <w:rPr>
          <w:rtl/>
        </w:rPr>
        <w:t xml:space="preserve"> المختلفة</w:t>
      </w:r>
      <w:r w:rsidRPr="001B6C67">
        <w:rPr>
          <w:rtl/>
        </w:rPr>
        <w:t>، واللجنة الوطنية لحقوق الإنسان، وكذلك من خلال</w:t>
      </w:r>
      <w:r w:rsidR="00D55C97">
        <w:rPr>
          <w:rFonts w:hint="cs"/>
          <w:rtl/>
        </w:rPr>
        <w:t> </w:t>
      </w:r>
      <w:r w:rsidRPr="001B6C67">
        <w:rPr>
          <w:rtl/>
        </w:rPr>
        <w:t>المحاكم.</w:t>
      </w:r>
    </w:p>
    <w:p w14:paraId="617B2434" w14:textId="77777777" w:rsidR="00DE3D9F" w:rsidRPr="001B6C67" w:rsidRDefault="00DE3D9F" w:rsidP="00DE3D9F">
      <w:pPr>
        <w:pStyle w:val="SingleTxtGA"/>
        <w:rPr>
          <w:lang w:val="ar-SA" w:eastAsia="zh-TW" w:bidi="en-GB"/>
        </w:rPr>
      </w:pPr>
      <w:r w:rsidRPr="00AF3116">
        <w:rPr>
          <w:rtl/>
        </w:rPr>
        <w:t>63</w:t>
      </w:r>
      <w:r w:rsidRPr="001B6C67">
        <w:rPr>
          <w:rtl/>
        </w:rPr>
        <w:t>-</w:t>
      </w:r>
      <w:r w:rsidRPr="001B6C67">
        <w:rPr>
          <w:rtl/>
        </w:rPr>
        <w:tab/>
        <w:t xml:space="preserve">وتولي تايلند أهمية كبيرة لضمان وصول الجميع إلى العدالة، ولا سيما بالنسبة للفئات الضعيفة والمحرومة التي عانت بشكل غير متناسب من صعوبات قانونية. وينعكس ذلك في توسيع نطاق المساعدة القانونية لتشمل جميع القنوات، بما في ذلك المكالمات عبر الإنترنت والفيديو، فضلاً عن التطبيقات الخطية، وكذلك المبادرات الرامية إلى إنشاء لغة إشارة موحدة لإجراءات المحاكم وتسجيل وتدريب المترجمين الفوريين للغة الإشارة، </w:t>
      </w:r>
      <w:r>
        <w:rPr>
          <w:rtl/>
        </w:rPr>
        <w:t>في جملة</w:t>
      </w:r>
      <w:r w:rsidRPr="001B6C67">
        <w:rPr>
          <w:rtl/>
        </w:rPr>
        <w:t xml:space="preserve"> أمور أخرى. </w:t>
      </w:r>
      <w:bookmarkStart w:id="10" w:name="_Ref40791583"/>
    </w:p>
    <w:p w14:paraId="4C28D01B" w14:textId="77777777" w:rsidR="00DE3D9F" w:rsidRPr="001B6C67" w:rsidRDefault="00DE3D9F" w:rsidP="00DE3D9F">
      <w:pPr>
        <w:pStyle w:val="SingleTxtGA"/>
        <w:rPr>
          <w:lang w:val="ar-SA" w:eastAsia="zh-TW" w:bidi="en-GB"/>
        </w:rPr>
      </w:pPr>
      <w:r w:rsidRPr="00AF3116">
        <w:rPr>
          <w:rtl/>
        </w:rPr>
        <w:t>64</w:t>
      </w:r>
      <w:r w:rsidRPr="001B6C67">
        <w:rPr>
          <w:rtl/>
        </w:rPr>
        <w:t>-</w:t>
      </w:r>
      <w:r w:rsidRPr="001B6C67">
        <w:rPr>
          <w:rtl/>
        </w:rPr>
        <w:tab/>
        <w:t xml:space="preserve">ويوفر قانون صندوق العدالة لعام </w:t>
      </w:r>
      <w:r w:rsidRPr="00AF3116">
        <w:rPr>
          <w:rtl/>
        </w:rPr>
        <w:t>2015</w:t>
      </w:r>
      <w:r w:rsidRPr="001B6C67">
        <w:rPr>
          <w:rtl/>
        </w:rPr>
        <w:t xml:space="preserve"> المساعدة المالية لتعزيز فرص الوصول إلى المساعدة القانونية و</w:t>
      </w:r>
      <w:r>
        <w:rPr>
          <w:rtl/>
        </w:rPr>
        <w:t xml:space="preserve">خدمات </w:t>
      </w:r>
      <w:r w:rsidRPr="001B6C67">
        <w:rPr>
          <w:rtl/>
        </w:rPr>
        <w:t>المحامين والإجراءات القضائية. ويشمل ذلك</w:t>
      </w:r>
      <w:r>
        <w:rPr>
          <w:rtl/>
        </w:rPr>
        <w:t xml:space="preserve"> </w:t>
      </w:r>
      <w:r w:rsidRPr="001B6C67">
        <w:rPr>
          <w:rtl/>
        </w:rPr>
        <w:t>جمع الإثبات</w:t>
      </w:r>
      <w:r>
        <w:rPr>
          <w:rtl/>
        </w:rPr>
        <w:t>ات</w:t>
      </w:r>
      <w:r w:rsidRPr="001B6C67">
        <w:rPr>
          <w:rtl/>
        </w:rPr>
        <w:t xml:space="preserve"> والأدلة، و</w:t>
      </w:r>
      <w:r>
        <w:rPr>
          <w:rtl/>
        </w:rPr>
        <w:t>دفع ال</w:t>
      </w:r>
      <w:r w:rsidRPr="001B6C67">
        <w:rPr>
          <w:rtl/>
        </w:rPr>
        <w:t>رسوم</w:t>
      </w:r>
      <w:r>
        <w:rPr>
          <w:rtl/>
        </w:rPr>
        <w:t xml:space="preserve"> والكفالة إلى</w:t>
      </w:r>
      <w:r w:rsidRPr="001B6C67">
        <w:rPr>
          <w:rtl/>
        </w:rPr>
        <w:t xml:space="preserve"> المحاكم، وتعويض ضحايا انتهاكات حقوق الإنسان، فضلاً عن نشر المعرفة القانونية الأساسية على الملأ.</w:t>
      </w:r>
      <w:bookmarkEnd w:id="10"/>
    </w:p>
    <w:p w14:paraId="54C48741" w14:textId="312695B2" w:rsidR="00DE3D9F" w:rsidRPr="001B6C67" w:rsidRDefault="00DE3D9F" w:rsidP="00DE3D9F">
      <w:pPr>
        <w:pStyle w:val="SingleTxtGA"/>
        <w:rPr>
          <w:lang w:val="ar-SA" w:eastAsia="zh-TW" w:bidi="en-GB"/>
        </w:rPr>
      </w:pPr>
      <w:r w:rsidRPr="00AF3116">
        <w:rPr>
          <w:rtl/>
        </w:rPr>
        <w:t>65</w:t>
      </w:r>
      <w:r w:rsidRPr="001B6C67">
        <w:rPr>
          <w:rtl/>
        </w:rPr>
        <w:t>-</w:t>
      </w:r>
      <w:r w:rsidRPr="001B6C67">
        <w:rPr>
          <w:rtl/>
        </w:rPr>
        <w:tab/>
        <w:t xml:space="preserve">وقد </w:t>
      </w:r>
      <w:r>
        <w:rPr>
          <w:rtl/>
        </w:rPr>
        <w:t>بدأت</w:t>
      </w:r>
      <w:r w:rsidRPr="001B6C67">
        <w:rPr>
          <w:rtl/>
        </w:rPr>
        <w:t xml:space="preserve"> وزارة العدل برنامج</w:t>
      </w:r>
      <w:r>
        <w:rPr>
          <w:rtl/>
        </w:rPr>
        <w:t>اً</w:t>
      </w:r>
      <w:r w:rsidRPr="001B6C67">
        <w:rPr>
          <w:rtl/>
        </w:rPr>
        <w:t xml:space="preserve"> </w:t>
      </w:r>
      <w:r>
        <w:rPr>
          <w:rtl/>
        </w:rPr>
        <w:t>لل</w:t>
      </w:r>
      <w:r w:rsidRPr="001B6C67">
        <w:rPr>
          <w:rtl/>
        </w:rPr>
        <w:t xml:space="preserve">توعية بعنوان "رعاية العدالة" يجمع في منصة واحدة بين عدة وسائل معقدة قائمة لمساعدة المصابين وضحايا الجريمة. ويتناول هذا البرنامج الشكاوى </w:t>
      </w:r>
      <w:r>
        <w:rPr>
          <w:rtl/>
        </w:rPr>
        <w:t>فوراً وبفعالية</w:t>
      </w:r>
      <w:r w:rsidRPr="001B6C67">
        <w:rPr>
          <w:rtl/>
        </w:rPr>
        <w:t xml:space="preserve">. </w:t>
      </w:r>
      <w:r w:rsidRPr="001B6C67">
        <w:rPr>
          <w:rtl/>
        </w:rPr>
        <w:lastRenderedPageBreak/>
        <w:t xml:space="preserve">وهذه الخدمة متاحة للجميع بغض النظر عن عرقهم أو جنسيتهم. ومن خلال هذه القناة، يمكن للناس </w:t>
      </w:r>
      <w:r>
        <w:rPr>
          <w:rtl/>
        </w:rPr>
        <w:t>أن ي</w:t>
      </w:r>
      <w:r w:rsidRPr="001B6C67">
        <w:rPr>
          <w:rtl/>
        </w:rPr>
        <w:t>طلب</w:t>
      </w:r>
      <w:r>
        <w:rPr>
          <w:rtl/>
        </w:rPr>
        <w:t>وا</w:t>
      </w:r>
      <w:r w:rsidRPr="001B6C67">
        <w:rPr>
          <w:rtl/>
        </w:rPr>
        <w:t xml:space="preserve"> المشورة القانونية والمساعدة القانونية ورد الحق وتعويض الدولة وحماية الشهود وغير ذلك من أشكال الدعم وفقاً للتشريعات ذات الصلة</w:t>
      </w:r>
      <w:r>
        <w:rPr>
          <w:rtl/>
        </w:rPr>
        <w:t>،</w:t>
      </w:r>
      <w:r w:rsidRPr="001B6C67">
        <w:rPr>
          <w:rtl/>
        </w:rPr>
        <w:t xml:space="preserve"> مثل قانون صندوق العدالة لعام </w:t>
      </w:r>
      <w:r w:rsidRPr="00AF3116">
        <w:rPr>
          <w:rtl/>
        </w:rPr>
        <w:t>2015</w:t>
      </w:r>
      <w:r w:rsidRPr="001B6C67">
        <w:rPr>
          <w:rtl/>
        </w:rPr>
        <w:t xml:space="preserve">، وقانون تعويضات المصابين وتعويض المتهمين ونفقاتهم في القضايا الجنائية لعام </w:t>
      </w:r>
      <w:r w:rsidRPr="00AF3116">
        <w:rPr>
          <w:rtl/>
        </w:rPr>
        <w:t>2001</w:t>
      </w:r>
      <w:r w:rsidRPr="001B6C67">
        <w:rPr>
          <w:rtl/>
        </w:rPr>
        <w:t>، وقانون الإجراءات الجنائية (المادة</w:t>
      </w:r>
      <w:r w:rsidR="001B0794">
        <w:rPr>
          <w:rFonts w:hint="cs"/>
          <w:rtl/>
        </w:rPr>
        <w:t> </w:t>
      </w:r>
      <w:r w:rsidRPr="00AF3116">
        <w:rPr>
          <w:rtl/>
        </w:rPr>
        <w:t>44</w:t>
      </w:r>
      <w:r w:rsidRPr="001B6C67">
        <w:rPr>
          <w:rtl/>
        </w:rPr>
        <w:t>/</w:t>
      </w:r>
      <w:r w:rsidRPr="00AF3116">
        <w:rPr>
          <w:rtl/>
        </w:rPr>
        <w:t>1</w:t>
      </w:r>
      <w:r w:rsidRPr="001B6C67">
        <w:rPr>
          <w:rtl/>
        </w:rPr>
        <w:t>).</w:t>
      </w:r>
    </w:p>
    <w:p w14:paraId="1285B497" w14:textId="77777777" w:rsidR="00DE3D9F" w:rsidRPr="001B6C67" w:rsidRDefault="00DE3D9F" w:rsidP="00DE3D9F">
      <w:pPr>
        <w:pStyle w:val="SingleTxtGA"/>
        <w:rPr>
          <w:lang w:val="ar-SA" w:eastAsia="zh-TW" w:bidi="en-GB"/>
        </w:rPr>
      </w:pPr>
      <w:r w:rsidRPr="00AF3116">
        <w:rPr>
          <w:rtl/>
        </w:rPr>
        <w:t>66</w:t>
      </w:r>
      <w:r w:rsidRPr="001B6C67">
        <w:rPr>
          <w:rtl/>
        </w:rPr>
        <w:t>-</w:t>
      </w:r>
      <w:r w:rsidRPr="001B6C67">
        <w:rPr>
          <w:rtl/>
        </w:rPr>
        <w:tab/>
        <w:t xml:space="preserve">ولتيسير الوصول إلى العدالة، أطلقت محاكم العدل رسمياً مركز مؤتمرات العدالة الإلكترونية في عام </w:t>
      </w:r>
      <w:r w:rsidRPr="00AF3116">
        <w:rPr>
          <w:rtl/>
        </w:rPr>
        <w:t>2016</w:t>
      </w:r>
      <w:r w:rsidRPr="001B6C67">
        <w:rPr>
          <w:rtl/>
        </w:rPr>
        <w:t>. ويوفر مركز مؤتمرات العدالة الإلكترونية طريقة إضافية لاستكمال خدمات الشهود والترجمة الفورية التقليدية داخل المحكمة من خلال نظام للتداول بالفيديو. ومن شأن ذلك أن يساعد على التعجيل بالإجراءات القضائية عن طريق تخفيض وقت السفر والنفقات لمن يحتاجون إلى المثول أمام المحكمة، فضلاً عن حماية القصر وغيرهم من الشهود الضعفاء من المواجهة مع المشتبه فيه. وتحتفظ محاكم العدل أيضاً بقائمة بمترجمي اللغات الأجنبية لأي محكمة ترغب في استجواب الشهود الذين يجدون صعوبة في التواصل باللغة التايلندية.</w:t>
      </w:r>
    </w:p>
    <w:p w14:paraId="2E6DAE84" w14:textId="1549F5ED" w:rsidR="00DE3D9F" w:rsidRPr="001B6C67" w:rsidRDefault="00DE3D9F" w:rsidP="00DE3D9F">
      <w:pPr>
        <w:pStyle w:val="SingleTxtGA"/>
        <w:rPr>
          <w:lang w:val="ar-SA" w:eastAsia="zh-TW" w:bidi="en-GB"/>
        </w:rPr>
      </w:pPr>
      <w:r w:rsidRPr="00AF3116">
        <w:rPr>
          <w:rtl/>
        </w:rPr>
        <w:t>67</w:t>
      </w:r>
      <w:r w:rsidRPr="001B6C67">
        <w:rPr>
          <w:rtl/>
        </w:rPr>
        <w:t>-</w:t>
      </w:r>
      <w:r w:rsidRPr="001B6C67">
        <w:rPr>
          <w:rtl/>
        </w:rPr>
        <w:tab/>
        <w:t xml:space="preserve">وفي </w:t>
      </w:r>
      <w:r w:rsidRPr="00AF3116">
        <w:rPr>
          <w:rtl/>
        </w:rPr>
        <w:t>1</w:t>
      </w:r>
      <w:r w:rsidRPr="001B6C67">
        <w:rPr>
          <w:rtl/>
        </w:rPr>
        <w:t xml:space="preserve"> تشرين الثاني/نوفمبر </w:t>
      </w:r>
      <w:r w:rsidRPr="00AF3116">
        <w:rPr>
          <w:rtl/>
        </w:rPr>
        <w:t>2018</w:t>
      </w:r>
      <w:r w:rsidRPr="001B6C67">
        <w:rPr>
          <w:rtl/>
        </w:rPr>
        <w:t>، أطلقت محاكم العدل "نظام الإشعار الإلكتروني" للسماح بتقديم وثائق المحكمة عبر الإنترنت مثل المرافعات والإشعارات المكتوبة و</w:t>
      </w:r>
      <w:r>
        <w:rPr>
          <w:rtl/>
        </w:rPr>
        <w:t>ل</w:t>
      </w:r>
      <w:r w:rsidRPr="001B6C67">
        <w:rPr>
          <w:rtl/>
        </w:rPr>
        <w:t>لإعلان عن الجداول الزمنية</w:t>
      </w:r>
      <w:r w:rsidR="001B0794">
        <w:rPr>
          <w:rFonts w:hint="cs"/>
          <w:rtl/>
        </w:rPr>
        <w:t> </w:t>
      </w:r>
      <w:r w:rsidRPr="001B6C67">
        <w:rPr>
          <w:rtl/>
        </w:rPr>
        <w:t xml:space="preserve">للمداولات. ويهدف الإطلاق إلى استخدام التكنولوجيا لتوفير الوقت وتقليل العبء المالي في مراسلات الوثائق. </w:t>
      </w:r>
    </w:p>
    <w:p w14:paraId="40CCD77E" w14:textId="77777777" w:rsidR="00DE3D9F" w:rsidRPr="001B6C67" w:rsidRDefault="00DE3D9F" w:rsidP="00DE3D9F">
      <w:pPr>
        <w:pStyle w:val="SingleTxtGA"/>
        <w:rPr>
          <w:lang w:val="ar-SA" w:eastAsia="zh-TW" w:bidi="en-GB"/>
        </w:rPr>
      </w:pPr>
      <w:r w:rsidRPr="00AF3116">
        <w:rPr>
          <w:rtl/>
        </w:rPr>
        <w:t>68</w:t>
      </w:r>
      <w:r w:rsidRPr="001B6C67">
        <w:rPr>
          <w:rtl/>
        </w:rPr>
        <w:t>-</w:t>
      </w:r>
      <w:r w:rsidRPr="001B6C67">
        <w:rPr>
          <w:rtl/>
        </w:rPr>
        <w:tab/>
        <w:t xml:space="preserve">ويشكل تحقيق العدالة في الوقت المناسب دون تمييز مجالاً آخر من مجالات قوة تايلند. وبفضل سياسة صارمة لإدارة القضايا بدعم من نظام التقاضي الإلكتروني والمحاكمات خارج ساعات العمل، تم التعجيل بإجراء المحاكمات، وتم الفصل في معظم القضايا المعروضة على محاكم الدرجة الأولى في غضون عام واحد. </w:t>
      </w:r>
    </w:p>
    <w:p w14:paraId="0D73D8F0" w14:textId="77777777" w:rsidR="00DE3D9F" w:rsidRPr="001B6C67" w:rsidRDefault="00DE3D9F" w:rsidP="001B0794">
      <w:pPr>
        <w:pStyle w:val="H23GA"/>
        <w:rPr>
          <w:lang w:val="ar-SA" w:eastAsia="zh-TW" w:bidi="en-GB"/>
        </w:rPr>
      </w:pPr>
      <w:r w:rsidRPr="001B6C67">
        <w:rPr>
          <w:rtl/>
        </w:rPr>
        <w:tab/>
      </w:r>
      <w:r w:rsidRPr="001B6C67">
        <w:rPr>
          <w:rtl/>
        </w:rPr>
        <w:tab/>
      </w:r>
      <w:r w:rsidRPr="00AF3116">
        <w:rPr>
          <w:rtl/>
        </w:rPr>
        <w:t>سبل الانتصاف الفعالة</w:t>
      </w:r>
    </w:p>
    <w:p w14:paraId="305632B3" w14:textId="77777777" w:rsidR="00DE3D9F" w:rsidRPr="001B6C67" w:rsidRDefault="00DE3D9F" w:rsidP="00DE3D9F">
      <w:pPr>
        <w:pStyle w:val="SingleTxtGA"/>
        <w:rPr>
          <w:lang w:val="ar-SA" w:eastAsia="zh-TW" w:bidi="en-GB"/>
        </w:rPr>
      </w:pPr>
      <w:r w:rsidRPr="00AF3116">
        <w:rPr>
          <w:rtl/>
        </w:rPr>
        <w:t>69</w:t>
      </w:r>
      <w:r w:rsidRPr="001B6C67">
        <w:rPr>
          <w:rtl/>
        </w:rPr>
        <w:t>-</w:t>
      </w:r>
      <w:r w:rsidRPr="001B6C67">
        <w:rPr>
          <w:rtl/>
        </w:rPr>
        <w:tab/>
        <w:t>يحق لضحايا انتهاكات حقوق الإنسان الحصول على تعويض من الدولة من خلال قانون تعويضات المصابين وتعويض المتهمين ونفقاتهم في القضايا الجنائية</w:t>
      </w:r>
      <w:r>
        <w:rPr>
          <w:rtl/>
        </w:rPr>
        <w:t xml:space="preserve"> </w:t>
      </w:r>
      <w:r w:rsidRPr="001B6C67">
        <w:t xml:space="preserve">B.E. </w:t>
      </w:r>
      <w:r w:rsidRPr="00AF3116">
        <w:t>2544</w:t>
      </w:r>
      <w:r w:rsidRPr="001B6C67">
        <w:t xml:space="preserve"> (</w:t>
      </w:r>
      <w:r w:rsidRPr="00AF3116">
        <w:t>2001</w:t>
      </w:r>
      <w:r w:rsidRPr="001B6C67">
        <w:t>)</w:t>
      </w:r>
      <w:r w:rsidRPr="001B6C67">
        <w:rPr>
          <w:rtl/>
        </w:rPr>
        <w:t xml:space="preserve">، الذي تم تعديله في عام </w:t>
      </w:r>
      <w:r w:rsidRPr="00AF3116">
        <w:rPr>
          <w:rtl/>
        </w:rPr>
        <w:t>2016</w:t>
      </w:r>
      <w:r w:rsidRPr="001B6C67">
        <w:rPr>
          <w:rtl/>
        </w:rPr>
        <w:t>. ويهدف القانون إلى تقديم المساعدة المالية لضحايا الجرائم مثل الرسوم الطبية، ورسوم إعادة التأهيل البدني والعقلي، والتعويض عن فقدان الدخل، وفي حالة الوفاة. ويحق للمتهمين الذين احتُجِزوا أثناء المحاكمة ثم أُخلي سبيلهم بعد ثبوت براءتهم أن يحصلوا على تعويض من الدولة من خلال القانون المذكور أعلاه.</w:t>
      </w:r>
    </w:p>
    <w:p w14:paraId="75E3C9C0" w14:textId="77777777" w:rsidR="00DE3D9F" w:rsidRPr="001B6C67" w:rsidRDefault="00DE3D9F" w:rsidP="00DE3D9F">
      <w:pPr>
        <w:pStyle w:val="SingleTxtGA"/>
        <w:rPr>
          <w:lang w:val="ar-SA" w:eastAsia="zh-TW" w:bidi="en-GB"/>
        </w:rPr>
      </w:pPr>
      <w:r w:rsidRPr="00AF3116">
        <w:rPr>
          <w:rtl/>
        </w:rPr>
        <w:t>70</w:t>
      </w:r>
      <w:r w:rsidRPr="001B6C67">
        <w:rPr>
          <w:rtl/>
        </w:rPr>
        <w:t>-</w:t>
      </w:r>
      <w:r w:rsidRPr="001B6C67">
        <w:rPr>
          <w:rtl/>
        </w:rPr>
        <w:tab/>
        <w:t xml:space="preserve">ويشمل "قانون حماية الشهود" لعام </w:t>
      </w:r>
      <w:r w:rsidRPr="00AF3116">
        <w:rPr>
          <w:rtl/>
        </w:rPr>
        <w:t>2003</w:t>
      </w:r>
      <w:r w:rsidRPr="001B6C67">
        <w:rPr>
          <w:rtl/>
        </w:rPr>
        <w:t xml:space="preserve"> أولئك الذين لديهم </w:t>
      </w:r>
      <w:r>
        <w:rPr>
          <w:rtl/>
        </w:rPr>
        <w:t>ت</w:t>
      </w:r>
      <w:r w:rsidRPr="001B6C67">
        <w:rPr>
          <w:rtl/>
        </w:rPr>
        <w:t xml:space="preserve">خوف معقول أو الذين يتعرضون للخطر حتى وإن لم تكن القضية بعد قيد التحقيق من قبل الشرطة. ومنذ دخول القانون حيز النفاذ، تم إنقاذ جميع الشهود المحميين بموجب القانون بمعدل </w:t>
      </w:r>
      <w:r w:rsidRPr="00AF3116">
        <w:rPr>
          <w:rtl/>
        </w:rPr>
        <w:t>100</w:t>
      </w:r>
      <w:r w:rsidRPr="001B6C67">
        <w:rPr>
          <w:rtl/>
        </w:rPr>
        <w:t xml:space="preserve"> في المائة. </w:t>
      </w:r>
    </w:p>
    <w:p w14:paraId="3EBFCAF4" w14:textId="77777777" w:rsidR="00DE3D9F" w:rsidRPr="001B6C67" w:rsidRDefault="00DE3D9F" w:rsidP="00DE3D9F">
      <w:pPr>
        <w:pStyle w:val="SingleTxtGA"/>
        <w:rPr>
          <w:lang w:val="ar-SA" w:eastAsia="zh-TW" w:bidi="en-GB"/>
        </w:rPr>
      </w:pPr>
      <w:r w:rsidRPr="00AF3116">
        <w:rPr>
          <w:rtl/>
        </w:rPr>
        <w:t>71</w:t>
      </w:r>
      <w:r w:rsidRPr="001B6C67">
        <w:rPr>
          <w:rtl/>
        </w:rPr>
        <w:t>-</w:t>
      </w:r>
      <w:r w:rsidRPr="001B6C67">
        <w:rPr>
          <w:rtl/>
        </w:rPr>
        <w:tab/>
        <w:t xml:space="preserve">وفي </w:t>
      </w:r>
      <w:r w:rsidRPr="00AF3116">
        <w:rPr>
          <w:rtl/>
        </w:rPr>
        <w:t>8</w:t>
      </w:r>
      <w:r w:rsidRPr="001B6C67">
        <w:rPr>
          <w:rtl/>
        </w:rPr>
        <w:t xml:space="preserve"> شباط/فبراير </w:t>
      </w:r>
      <w:r w:rsidRPr="00AF3116">
        <w:rPr>
          <w:rtl/>
        </w:rPr>
        <w:t>2019</w:t>
      </w:r>
      <w:r w:rsidRPr="001B6C67">
        <w:rPr>
          <w:rtl/>
        </w:rPr>
        <w:t>، وافقت الجمعية التشريعية الوطنية على مشروع قانون الوساطة كما اقترحته وزارة العدل. وسيوفر قانون الوساطة، بمجرد نفاذه، آلية بديلة لتسوية المنازعات المتعلقة بالدعاوى المدنية ذات القيمة النقدية المنخفضة نسبياً وبعض الدعاوى الجنائية. وستوفر هذه الطريقة البديلة الوقت والمال لأطراف النزاع، وستقلل في الوقت نفسه من عبء القضايا المعروضة على المحاكم.</w:t>
      </w:r>
    </w:p>
    <w:p w14:paraId="5ED9C463" w14:textId="77777777" w:rsidR="00DE3D9F" w:rsidRPr="001B6C67" w:rsidRDefault="00DE3D9F" w:rsidP="001B0794">
      <w:pPr>
        <w:pStyle w:val="H23GA"/>
        <w:rPr>
          <w:lang w:val="ar-SA" w:eastAsia="zh-TW" w:bidi="en-GB"/>
        </w:rPr>
      </w:pPr>
      <w:r w:rsidRPr="001B6C67">
        <w:rPr>
          <w:rtl/>
        </w:rPr>
        <w:lastRenderedPageBreak/>
        <w:tab/>
      </w:r>
      <w:r w:rsidRPr="001B6C67">
        <w:rPr>
          <w:rtl/>
        </w:rPr>
        <w:tab/>
      </w:r>
      <w:r w:rsidRPr="00AF3116">
        <w:rPr>
          <w:rtl/>
        </w:rPr>
        <w:t>خطة إصلاح نظام العدالة</w:t>
      </w:r>
    </w:p>
    <w:p w14:paraId="634FEA52" w14:textId="77777777" w:rsidR="00DE3D9F" w:rsidRPr="001B6C67" w:rsidRDefault="00DE3D9F" w:rsidP="00DE3D9F">
      <w:pPr>
        <w:pStyle w:val="SingleTxtGA"/>
        <w:rPr>
          <w:lang w:val="ar-SA" w:eastAsia="zh-TW" w:bidi="en-GB"/>
        </w:rPr>
      </w:pPr>
      <w:r w:rsidRPr="00AF3116">
        <w:rPr>
          <w:rtl/>
        </w:rPr>
        <w:t>72</w:t>
      </w:r>
      <w:r w:rsidRPr="001B6C67">
        <w:rPr>
          <w:rtl/>
        </w:rPr>
        <w:t>-</w:t>
      </w:r>
      <w:r w:rsidRPr="001B6C67">
        <w:rPr>
          <w:rtl/>
        </w:rPr>
        <w:tab/>
        <w:t xml:space="preserve">وضعت خطة إصلاح نظام العدالة في </w:t>
      </w:r>
      <w:r w:rsidRPr="00AF3116">
        <w:rPr>
          <w:rtl/>
        </w:rPr>
        <w:t>6</w:t>
      </w:r>
      <w:r w:rsidRPr="001B6C67">
        <w:rPr>
          <w:rtl/>
        </w:rPr>
        <w:t xml:space="preserve"> أبريل/نيسان </w:t>
      </w:r>
      <w:r w:rsidRPr="00AF3116">
        <w:rPr>
          <w:rtl/>
        </w:rPr>
        <w:t>2018</w:t>
      </w:r>
      <w:r w:rsidRPr="001B6C67">
        <w:rPr>
          <w:rtl/>
        </w:rPr>
        <w:t xml:space="preserve"> إطاراً للسياسات لتعزيز مختلف جوانب النظام القضائي، بما في ذلك </w:t>
      </w:r>
      <w:r>
        <w:rPr>
          <w:rtl/>
        </w:rPr>
        <w:t xml:space="preserve">إتاحة </w:t>
      </w:r>
      <w:r w:rsidRPr="001B6C67">
        <w:rPr>
          <w:rtl/>
        </w:rPr>
        <w:t>الوصول إلى العدالة، و</w:t>
      </w:r>
      <w:r>
        <w:rPr>
          <w:rtl/>
        </w:rPr>
        <w:t xml:space="preserve">توفير </w:t>
      </w:r>
      <w:r w:rsidRPr="001B6C67">
        <w:rPr>
          <w:rtl/>
        </w:rPr>
        <w:t xml:space="preserve">الحماية المناسبة في الوقت المناسب، وتحسين التعافي البدني والنفسي، وحصول الضحايا والشهود على الانتصاف في القضايا الجنائية، وتحسين الأوضاع في السجون ومراكز الاحتجاز في جميع أنحاء البلد. </w:t>
      </w:r>
    </w:p>
    <w:p w14:paraId="0BDD3C43" w14:textId="77777777" w:rsidR="00DE3D9F" w:rsidRPr="001B6C67" w:rsidRDefault="00DE3D9F" w:rsidP="001B0794">
      <w:pPr>
        <w:pStyle w:val="H23GA"/>
        <w:rPr>
          <w:lang w:val="ar-SA" w:eastAsia="zh-TW" w:bidi="en-GB"/>
        </w:rPr>
      </w:pPr>
      <w:r w:rsidRPr="001B6C67">
        <w:rPr>
          <w:rtl/>
        </w:rPr>
        <w:tab/>
      </w:r>
      <w:r w:rsidRPr="001B6C67">
        <w:rPr>
          <w:rtl/>
        </w:rPr>
        <w:tab/>
      </w:r>
      <w:r w:rsidRPr="00AF3116">
        <w:rPr>
          <w:rtl/>
        </w:rPr>
        <w:t>القانون الديني</w:t>
      </w:r>
    </w:p>
    <w:p w14:paraId="415D7C1B" w14:textId="77777777" w:rsidR="00DE3D9F" w:rsidRPr="001B6C67" w:rsidRDefault="00DE3D9F" w:rsidP="00DE3D9F">
      <w:pPr>
        <w:pStyle w:val="SingleTxtGA"/>
        <w:rPr>
          <w:lang w:val="ar-SA" w:eastAsia="zh-TW" w:bidi="en-GB"/>
        </w:rPr>
      </w:pPr>
      <w:r w:rsidRPr="00AF3116">
        <w:rPr>
          <w:rtl/>
        </w:rPr>
        <w:t>73</w:t>
      </w:r>
      <w:r w:rsidRPr="001B6C67">
        <w:rPr>
          <w:rtl/>
        </w:rPr>
        <w:t>-</w:t>
      </w:r>
      <w:r w:rsidRPr="001B6C67">
        <w:rPr>
          <w:rtl/>
        </w:rPr>
        <w:tab/>
        <w:t xml:space="preserve">من حيث المبدأ، لا يوجد قانون ديني له أثر ملزم قانوناً في تايلند باستثناء الحالة المحدودة لقوانين الأسرة والإرث المتعلقة بالمسلمين المقيمين في محافظات </w:t>
      </w:r>
      <w:proofErr w:type="spellStart"/>
      <w:r w:rsidRPr="001B6C67">
        <w:rPr>
          <w:rtl/>
        </w:rPr>
        <w:t>باتاني</w:t>
      </w:r>
      <w:proofErr w:type="spellEnd"/>
      <w:r w:rsidRPr="001B6C67">
        <w:rPr>
          <w:rtl/>
        </w:rPr>
        <w:t xml:space="preserve"> </w:t>
      </w:r>
      <w:proofErr w:type="spellStart"/>
      <w:r w:rsidRPr="001B6C67">
        <w:rPr>
          <w:rtl/>
        </w:rPr>
        <w:t>ويالا</w:t>
      </w:r>
      <w:proofErr w:type="spellEnd"/>
      <w:r w:rsidRPr="001B6C67">
        <w:rPr>
          <w:rtl/>
        </w:rPr>
        <w:t xml:space="preserve"> </w:t>
      </w:r>
      <w:proofErr w:type="spellStart"/>
      <w:r w:rsidRPr="001B6C67">
        <w:rPr>
          <w:rtl/>
        </w:rPr>
        <w:t>ونراثيوات</w:t>
      </w:r>
      <w:proofErr w:type="spellEnd"/>
      <w:r w:rsidRPr="001B6C67">
        <w:rPr>
          <w:rtl/>
        </w:rPr>
        <w:t xml:space="preserve"> </w:t>
      </w:r>
      <w:proofErr w:type="spellStart"/>
      <w:r w:rsidRPr="001B6C67">
        <w:rPr>
          <w:rtl/>
        </w:rPr>
        <w:t>وساتون</w:t>
      </w:r>
      <w:proofErr w:type="spellEnd"/>
      <w:r w:rsidRPr="001B6C67">
        <w:rPr>
          <w:rtl/>
        </w:rPr>
        <w:t>.</w:t>
      </w:r>
    </w:p>
    <w:p w14:paraId="3A6EE044" w14:textId="77777777" w:rsidR="00DE3D9F" w:rsidRPr="001B6C67" w:rsidRDefault="00DE3D9F" w:rsidP="001B0794">
      <w:pPr>
        <w:pStyle w:val="H23GA"/>
        <w:rPr>
          <w:cs/>
          <w:lang w:val="ar-SA" w:eastAsia="zh-TW" w:bidi="en-GB"/>
        </w:rPr>
      </w:pPr>
      <w:r w:rsidRPr="001B6C67">
        <w:rPr>
          <w:rtl/>
        </w:rPr>
        <w:tab/>
      </w:r>
      <w:r w:rsidRPr="001B6C67">
        <w:rPr>
          <w:rtl/>
        </w:rPr>
        <w:tab/>
      </w:r>
      <w:r w:rsidRPr="00AF3116">
        <w:rPr>
          <w:rtl/>
        </w:rPr>
        <w:t>القانون العرفي</w:t>
      </w:r>
    </w:p>
    <w:p w14:paraId="4A9E5CFB" w14:textId="77777777" w:rsidR="00DE3D9F" w:rsidRPr="006E35F0" w:rsidRDefault="00DE3D9F" w:rsidP="00DE3D9F">
      <w:pPr>
        <w:pStyle w:val="SingleTxtGA"/>
        <w:rPr>
          <w:lang w:val="en-US" w:eastAsia="zh-TW" w:bidi="en-GB"/>
        </w:rPr>
      </w:pPr>
      <w:r w:rsidRPr="00AF3116">
        <w:rPr>
          <w:rtl/>
        </w:rPr>
        <w:t>74</w:t>
      </w:r>
      <w:r w:rsidRPr="001B6C67">
        <w:rPr>
          <w:rtl/>
        </w:rPr>
        <w:t>-</w:t>
      </w:r>
      <w:r w:rsidRPr="001B6C67">
        <w:rPr>
          <w:rtl/>
        </w:rPr>
        <w:tab/>
        <w:t>لن يكون القانون العرفي موضع اهتمام إلا في مسائل المنازعات المدنية التي لا ينطبق فيها أي قانون مكتوب على القضية، ولا يوجد أي تشابه قانوني متاح يمكن استخدامه لسد الفجوة القانونية. وفي حالة القانون الجنائي، تلتزم تايلند بدقة بمبدأ القانون المكتوب.</w:t>
      </w:r>
    </w:p>
    <w:p w14:paraId="3861DF94" w14:textId="4DB6EED0" w:rsidR="00DE3D9F" w:rsidRPr="001B6C67" w:rsidRDefault="00DE3D9F" w:rsidP="001B0794">
      <w:pPr>
        <w:pStyle w:val="HChGA"/>
        <w:rPr>
          <w:lang w:val="ar-SA" w:eastAsia="zh-TW" w:bidi="en-GB"/>
        </w:rPr>
      </w:pPr>
      <w:r>
        <w:rPr>
          <w:rtl/>
        </w:rPr>
        <w:tab/>
      </w:r>
      <w:bookmarkStart w:id="11" w:name="_Toc92899416"/>
      <w:r w:rsidRPr="001B6C67">
        <w:rPr>
          <w:rtl/>
        </w:rPr>
        <w:t>ثانيا</w:t>
      </w:r>
      <w:r w:rsidR="001B0794">
        <w:rPr>
          <w:rFonts w:hint="cs"/>
          <w:rtl/>
        </w:rPr>
        <w:t>ً</w:t>
      </w:r>
      <w:r w:rsidRPr="001B6C67">
        <w:rPr>
          <w:rtl/>
        </w:rPr>
        <w:t>-</w:t>
      </w:r>
      <w:r w:rsidRPr="001B6C67">
        <w:rPr>
          <w:rtl/>
        </w:rPr>
        <w:tab/>
      </w:r>
      <w:r w:rsidRPr="00AF3116">
        <w:rPr>
          <w:rtl/>
        </w:rPr>
        <w:t>الإطار العام لحماية حقوق الإنسان وتعزيزها</w:t>
      </w:r>
      <w:bookmarkStart w:id="12" w:name="_Toc89701535"/>
      <w:bookmarkEnd w:id="12"/>
      <w:bookmarkEnd w:id="11"/>
    </w:p>
    <w:p w14:paraId="1DCAF4CE" w14:textId="77777777" w:rsidR="00DE3D9F" w:rsidRPr="001B6C67" w:rsidRDefault="00DE3D9F" w:rsidP="001B0794">
      <w:pPr>
        <w:pStyle w:val="H1GA"/>
        <w:rPr>
          <w:lang w:val="ar-SA" w:eastAsia="zh-TW" w:bidi="en-GB"/>
        </w:rPr>
      </w:pPr>
      <w:r>
        <w:rPr>
          <w:rtl/>
        </w:rPr>
        <w:tab/>
      </w:r>
      <w:bookmarkStart w:id="13" w:name="_Toc92899417"/>
      <w:r w:rsidRPr="001B6C67">
        <w:rPr>
          <w:rtl/>
        </w:rPr>
        <w:t>ألف-</w:t>
      </w:r>
      <w:r w:rsidRPr="001B6C67">
        <w:rPr>
          <w:rtl/>
        </w:rPr>
        <w:tab/>
      </w:r>
      <w:r w:rsidRPr="00AF3116">
        <w:rPr>
          <w:rtl/>
        </w:rPr>
        <w:t>قبول القواعد الدولية المتعلقة بحقوق الإنسان</w:t>
      </w:r>
      <w:bookmarkStart w:id="14" w:name="_Toc89701536"/>
      <w:bookmarkEnd w:id="14"/>
      <w:bookmarkEnd w:id="13"/>
    </w:p>
    <w:p w14:paraId="0E1E339E" w14:textId="77777777" w:rsidR="00DE3D9F" w:rsidRPr="001B6C67" w:rsidRDefault="00DE3D9F" w:rsidP="00DE3D9F">
      <w:pPr>
        <w:pStyle w:val="SingleTxtGA"/>
        <w:rPr>
          <w:lang w:val="ar-SA" w:eastAsia="zh-TW" w:bidi="en-GB"/>
        </w:rPr>
      </w:pPr>
      <w:r w:rsidRPr="00AF3116">
        <w:rPr>
          <w:rtl/>
        </w:rPr>
        <w:t>75</w:t>
      </w:r>
      <w:r w:rsidRPr="001B6C67">
        <w:rPr>
          <w:rtl/>
        </w:rPr>
        <w:t>-</w:t>
      </w:r>
      <w:r w:rsidRPr="001B6C67">
        <w:rPr>
          <w:rtl/>
        </w:rPr>
        <w:tab/>
        <w:t xml:space="preserve">كانت تايلاند من بين </w:t>
      </w:r>
      <w:r>
        <w:rPr>
          <w:rtl/>
        </w:rPr>
        <w:t>الـ</w:t>
      </w:r>
      <w:r w:rsidRPr="001B6C67">
        <w:rPr>
          <w:rtl/>
        </w:rPr>
        <w:t xml:space="preserve"> </w:t>
      </w:r>
      <w:r w:rsidRPr="00AF3116">
        <w:rPr>
          <w:rtl/>
        </w:rPr>
        <w:t>48</w:t>
      </w:r>
      <w:r w:rsidRPr="001B6C67">
        <w:rPr>
          <w:rtl/>
        </w:rPr>
        <w:t xml:space="preserve"> دولة</w:t>
      </w:r>
      <w:r>
        <w:rPr>
          <w:rtl/>
        </w:rPr>
        <w:t xml:space="preserve"> الأولى التي</w:t>
      </w:r>
      <w:r w:rsidRPr="001B6C67">
        <w:rPr>
          <w:rtl/>
        </w:rPr>
        <w:t xml:space="preserve"> اعتمدت الإعلان العالمي لحقوق الإنسان في </w:t>
      </w:r>
      <w:r w:rsidRPr="00AF3116">
        <w:rPr>
          <w:rtl/>
        </w:rPr>
        <w:t>10</w:t>
      </w:r>
      <w:r w:rsidRPr="001B6C67">
        <w:rPr>
          <w:rtl/>
        </w:rPr>
        <w:t xml:space="preserve"> كانون الأول/ديسمبر </w:t>
      </w:r>
      <w:r w:rsidRPr="00AF3116">
        <w:rPr>
          <w:rtl/>
        </w:rPr>
        <w:t>1948</w:t>
      </w:r>
      <w:r w:rsidRPr="001B6C67">
        <w:rPr>
          <w:rtl/>
        </w:rPr>
        <w:t xml:space="preserve">. ومنذ ذلك الحين، أصبحت تايلند، بصورة مباشرة أو غير مباشرة، طرفاً في عدد من الصكوك الدولية المتصلة بحقوق الإنسان. </w:t>
      </w:r>
    </w:p>
    <w:p w14:paraId="37AEF164" w14:textId="2A4E0C24" w:rsidR="00DE3D9F" w:rsidRPr="001B6C67" w:rsidRDefault="00DE3D9F" w:rsidP="00DE3D9F">
      <w:pPr>
        <w:pStyle w:val="SingleTxtGA"/>
        <w:rPr>
          <w:lang w:val="ar-SA" w:eastAsia="zh-TW" w:bidi="en-GB"/>
        </w:rPr>
      </w:pPr>
      <w:r w:rsidRPr="00AF3116">
        <w:rPr>
          <w:rtl/>
        </w:rPr>
        <w:t>76</w:t>
      </w:r>
      <w:r w:rsidRPr="001B6C67">
        <w:rPr>
          <w:rtl/>
        </w:rPr>
        <w:t>-</w:t>
      </w:r>
      <w:r w:rsidRPr="001B6C67">
        <w:rPr>
          <w:rtl/>
        </w:rPr>
        <w:tab/>
        <w:t>وتايلند ملتزمة بعملية الاستعراض الدوري الشامل، وقد خضعت للاستعراض مرتين في عامي</w:t>
      </w:r>
      <w:r w:rsidR="001B0794">
        <w:rPr>
          <w:rFonts w:hint="cs"/>
          <w:rtl/>
        </w:rPr>
        <w:t> </w:t>
      </w:r>
      <w:r w:rsidRPr="00AF3116">
        <w:rPr>
          <w:rtl/>
        </w:rPr>
        <w:t>2011</w:t>
      </w:r>
      <w:r w:rsidRPr="001B6C67">
        <w:rPr>
          <w:rtl/>
        </w:rPr>
        <w:t xml:space="preserve"> و</w:t>
      </w:r>
      <w:r w:rsidRPr="00AF3116">
        <w:rPr>
          <w:rtl/>
        </w:rPr>
        <w:t>2016</w:t>
      </w:r>
      <w:r w:rsidRPr="001B6C67">
        <w:rPr>
          <w:rtl/>
        </w:rPr>
        <w:t xml:space="preserve">. وقدمت تايلاند أيضاً طواعية تقريري منتصف المدة للاستعراض الدوري الشامل في عامي </w:t>
      </w:r>
      <w:r w:rsidRPr="00AF3116">
        <w:rPr>
          <w:rtl/>
        </w:rPr>
        <w:t>2014</w:t>
      </w:r>
      <w:r w:rsidRPr="001B6C67">
        <w:rPr>
          <w:rtl/>
        </w:rPr>
        <w:t xml:space="preserve"> و</w:t>
      </w:r>
      <w:r w:rsidRPr="00AF3116">
        <w:rPr>
          <w:rtl/>
        </w:rPr>
        <w:t>2019</w:t>
      </w:r>
      <w:r w:rsidRPr="001B6C67">
        <w:rPr>
          <w:rtl/>
        </w:rPr>
        <w:t>.</w:t>
      </w:r>
    </w:p>
    <w:p w14:paraId="4D6F5D9F" w14:textId="77777777" w:rsidR="00DE3D9F" w:rsidRPr="00DE3D9F" w:rsidRDefault="00DE3D9F" w:rsidP="001B0794">
      <w:pPr>
        <w:pStyle w:val="H23GA"/>
        <w:rPr>
          <w:lang w:val="en-US" w:eastAsia="zh-TW" w:bidi="en-GB"/>
        </w:rPr>
      </w:pPr>
      <w:r w:rsidRPr="001B6C67">
        <w:rPr>
          <w:rtl/>
        </w:rPr>
        <w:tab/>
      </w:r>
      <w:r w:rsidRPr="001B6C67">
        <w:rPr>
          <w:rtl/>
        </w:rPr>
        <w:tab/>
      </w:r>
      <w:r w:rsidRPr="00AF3116">
        <w:rPr>
          <w:rtl/>
        </w:rPr>
        <w:t>صكوك الأمم المتحدة الرئيسية لحقوق الإنسان</w:t>
      </w:r>
    </w:p>
    <w:p w14:paraId="446783DD" w14:textId="77777777" w:rsidR="00DE3D9F" w:rsidRPr="001B6C67" w:rsidRDefault="00DE3D9F" w:rsidP="00DE3D9F">
      <w:pPr>
        <w:pStyle w:val="SingleTxtGA"/>
        <w:rPr>
          <w:lang w:val="ar-SA" w:eastAsia="zh-TW" w:bidi="en-GB"/>
        </w:rPr>
      </w:pPr>
      <w:r w:rsidRPr="00AF3116">
        <w:rPr>
          <w:rtl/>
        </w:rPr>
        <w:t>77</w:t>
      </w:r>
      <w:r w:rsidRPr="001B6C67">
        <w:rPr>
          <w:rtl/>
        </w:rPr>
        <w:t>-</w:t>
      </w:r>
      <w:r w:rsidRPr="001B6C67">
        <w:rPr>
          <w:rtl/>
        </w:rPr>
        <w:tab/>
        <w:t>تايلند حالياً طرف في سبع من معاهدات الأمم المتحدة الرئيسية لحقوق الإنسان وهي من موقعي الاتفاقية الدولية لحماية جميع الأشخاص من الاختفاء القسري. والتفاصيل</w:t>
      </w:r>
      <w:r>
        <w:rPr>
          <w:rtl/>
        </w:rPr>
        <w:t xml:space="preserve"> هي</w:t>
      </w:r>
      <w:r w:rsidRPr="001B6C67">
        <w:rPr>
          <w:rtl/>
        </w:rPr>
        <w:t xml:space="preserve"> كالآتي:</w:t>
      </w:r>
    </w:p>
    <w:tbl>
      <w:tblPr>
        <w:bidiVisual/>
        <w:tblW w:w="757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88"/>
        <w:gridCol w:w="3290"/>
      </w:tblGrid>
      <w:tr w:rsidR="00DE3D9F" w:rsidRPr="005A71CE" w14:paraId="418C507F" w14:textId="77777777" w:rsidTr="003B756C">
        <w:trPr>
          <w:tblHeader/>
        </w:trPr>
        <w:tc>
          <w:tcPr>
            <w:tcW w:w="4288" w:type="dxa"/>
            <w:tcBorders>
              <w:top w:val="single" w:sz="4" w:space="0" w:color="auto"/>
              <w:bottom w:val="single" w:sz="12" w:space="0" w:color="auto"/>
            </w:tcBorders>
            <w:shd w:val="clear" w:color="auto" w:fill="auto"/>
            <w:vAlign w:val="bottom"/>
          </w:tcPr>
          <w:p w14:paraId="523A8CBA" w14:textId="77777777" w:rsidR="00DE3D9F" w:rsidRPr="003B756C" w:rsidRDefault="00DE3D9F" w:rsidP="00E90634">
            <w:pPr>
              <w:spacing w:before="40" w:after="40" w:line="320" w:lineRule="exact"/>
              <w:ind w:left="94" w:right="113"/>
              <w:textDirection w:val="tbRlV"/>
              <w:rPr>
                <w:rFonts w:ascii="Simplified Arabic" w:hAnsi="Simplified Arabic"/>
                <w:i/>
                <w:szCs w:val="20"/>
                <w:lang w:eastAsia="zh-TW" w:bidi="en-GB"/>
              </w:rPr>
            </w:pPr>
            <w:r w:rsidRPr="003B756C">
              <w:rPr>
                <w:rFonts w:ascii="Simplified Arabic" w:hAnsi="Simplified Arabic"/>
                <w:i/>
                <w:iCs/>
                <w:szCs w:val="20"/>
                <w:rtl/>
              </w:rPr>
              <w:t>المعاهدات</w:t>
            </w:r>
          </w:p>
        </w:tc>
        <w:tc>
          <w:tcPr>
            <w:tcW w:w="3290" w:type="dxa"/>
            <w:tcBorders>
              <w:top w:val="single" w:sz="4" w:space="0" w:color="auto"/>
              <w:bottom w:val="single" w:sz="12" w:space="0" w:color="auto"/>
            </w:tcBorders>
            <w:shd w:val="clear" w:color="auto" w:fill="auto"/>
            <w:vAlign w:val="bottom"/>
          </w:tcPr>
          <w:p w14:paraId="2B359470" w14:textId="77777777" w:rsidR="00DE3D9F" w:rsidRPr="003B756C" w:rsidRDefault="00DE3D9F" w:rsidP="003B756C">
            <w:pPr>
              <w:spacing w:before="40" w:after="40" w:line="320" w:lineRule="exact"/>
              <w:ind w:left="284"/>
              <w:textDirection w:val="tbRlV"/>
              <w:rPr>
                <w:rFonts w:ascii="Simplified Arabic" w:hAnsi="Simplified Arabic"/>
                <w:i/>
                <w:szCs w:val="20"/>
                <w:lang w:val="ar-SA" w:eastAsia="zh-TW" w:bidi="en-GB"/>
              </w:rPr>
            </w:pPr>
            <w:r w:rsidRPr="003B756C">
              <w:rPr>
                <w:rFonts w:ascii="Simplified Arabic" w:hAnsi="Simplified Arabic"/>
                <w:i/>
                <w:iCs/>
                <w:szCs w:val="20"/>
                <w:rtl/>
              </w:rPr>
              <w:t>الوضع</w:t>
            </w:r>
          </w:p>
        </w:tc>
      </w:tr>
      <w:tr w:rsidR="00DE3D9F" w:rsidRPr="005A71CE" w14:paraId="59A5989F" w14:textId="77777777" w:rsidTr="003B756C">
        <w:trPr>
          <w:trHeight w:hRule="exact" w:val="113"/>
          <w:tblHeader/>
        </w:trPr>
        <w:tc>
          <w:tcPr>
            <w:tcW w:w="4288" w:type="dxa"/>
            <w:tcBorders>
              <w:top w:val="single" w:sz="12" w:space="0" w:color="auto"/>
            </w:tcBorders>
            <w:shd w:val="clear" w:color="auto" w:fill="auto"/>
          </w:tcPr>
          <w:p w14:paraId="3EF900BD" w14:textId="77777777" w:rsidR="00DE3D9F" w:rsidRPr="003B756C" w:rsidRDefault="00DE3D9F" w:rsidP="00E90634">
            <w:pPr>
              <w:spacing w:before="40" w:after="40" w:line="320" w:lineRule="exact"/>
              <w:ind w:left="94" w:right="113"/>
              <w:rPr>
                <w:rFonts w:ascii="Simplified Arabic" w:hAnsi="Simplified Arabic"/>
                <w:szCs w:val="20"/>
              </w:rPr>
            </w:pPr>
          </w:p>
        </w:tc>
        <w:tc>
          <w:tcPr>
            <w:tcW w:w="3290" w:type="dxa"/>
            <w:tcBorders>
              <w:top w:val="single" w:sz="12" w:space="0" w:color="auto"/>
            </w:tcBorders>
            <w:shd w:val="clear" w:color="auto" w:fill="auto"/>
          </w:tcPr>
          <w:p w14:paraId="719E1C03" w14:textId="77777777" w:rsidR="00DE3D9F" w:rsidRPr="003B756C" w:rsidRDefault="00DE3D9F" w:rsidP="003B756C">
            <w:pPr>
              <w:spacing w:before="40" w:after="40" w:line="320" w:lineRule="exact"/>
              <w:ind w:left="284"/>
              <w:rPr>
                <w:rFonts w:ascii="Simplified Arabic" w:hAnsi="Simplified Arabic"/>
                <w:szCs w:val="20"/>
              </w:rPr>
            </w:pPr>
          </w:p>
        </w:tc>
      </w:tr>
      <w:tr w:rsidR="00DE3D9F" w:rsidRPr="005A71CE" w14:paraId="00B1E1CE" w14:textId="77777777" w:rsidTr="003B756C">
        <w:tc>
          <w:tcPr>
            <w:tcW w:w="4288" w:type="dxa"/>
            <w:shd w:val="clear" w:color="auto" w:fill="auto"/>
          </w:tcPr>
          <w:p w14:paraId="40DCFD94"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اتفاقية مناهضة التعذيب</w:t>
            </w:r>
          </w:p>
        </w:tc>
        <w:tc>
          <w:tcPr>
            <w:tcW w:w="3290" w:type="dxa"/>
            <w:shd w:val="clear" w:color="auto" w:fill="auto"/>
          </w:tcPr>
          <w:p w14:paraId="78F8ED3B"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2 تشرين الأول/أكتوبر 2007</w:t>
            </w:r>
          </w:p>
        </w:tc>
      </w:tr>
      <w:tr w:rsidR="00DE3D9F" w:rsidRPr="005A71CE" w14:paraId="393FB3FE" w14:textId="77777777" w:rsidTr="003B756C">
        <w:tc>
          <w:tcPr>
            <w:tcW w:w="4288" w:type="dxa"/>
            <w:shd w:val="clear" w:color="auto" w:fill="auto"/>
          </w:tcPr>
          <w:p w14:paraId="43304891"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‎العهد الدولي الخاص بالحقوق المدنية والسياسية‏‏</w:t>
            </w:r>
          </w:p>
        </w:tc>
        <w:tc>
          <w:tcPr>
            <w:tcW w:w="3290" w:type="dxa"/>
            <w:shd w:val="clear" w:color="auto" w:fill="auto"/>
          </w:tcPr>
          <w:p w14:paraId="2E5CCD60"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29 تشرين الأول/أكتوبر 1996</w:t>
            </w:r>
          </w:p>
        </w:tc>
      </w:tr>
      <w:tr w:rsidR="00DE3D9F" w:rsidRPr="005A71CE" w14:paraId="485C8B83" w14:textId="77777777" w:rsidTr="003B756C">
        <w:tc>
          <w:tcPr>
            <w:tcW w:w="4288" w:type="dxa"/>
            <w:tcBorders>
              <w:bottom w:val="nil"/>
            </w:tcBorders>
            <w:shd w:val="clear" w:color="auto" w:fill="auto"/>
          </w:tcPr>
          <w:p w14:paraId="5BE8E220"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الاتفاقية الدولية لحماية جميع الأشخاص من الاختفاء القسري</w:t>
            </w:r>
          </w:p>
        </w:tc>
        <w:tc>
          <w:tcPr>
            <w:tcW w:w="3290" w:type="dxa"/>
            <w:tcBorders>
              <w:bottom w:val="nil"/>
            </w:tcBorders>
            <w:shd w:val="clear" w:color="auto" w:fill="auto"/>
          </w:tcPr>
          <w:p w14:paraId="1037D113"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التوقيع في 9 كانون الثاني/يناير 2012</w:t>
            </w:r>
          </w:p>
        </w:tc>
      </w:tr>
      <w:tr w:rsidR="00DE3D9F" w:rsidRPr="005A71CE" w14:paraId="33E63391" w14:textId="77777777" w:rsidTr="003B756C">
        <w:tc>
          <w:tcPr>
            <w:tcW w:w="4288" w:type="dxa"/>
            <w:tcBorders>
              <w:top w:val="nil"/>
              <w:bottom w:val="nil"/>
            </w:tcBorders>
            <w:shd w:val="clear" w:color="auto" w:fill="auto"/>
          </w:tcPr>
          <w:p w14:paraId="2160F09E" w14:textId="77777777" w:rsidR="00DE3D9F" w:rsidRPr="003B756C" w:rsidRDefault="00DE3D9F" w:rsidP="00E90634">
            <w:pPr>
              <w:spacing w:before="40" w:after="40" w:line="320" w:lineRule="exact"/>
              <w:ind w:left="94" w:right="113"/>
              <w:textDirection w:val="tbRlV"/>
              <w:rPr>
                <w:rFonts w:ascii="Simplified Arabic" w:hAnsi="Simplified Arabic"/>
                <w:szCs w:val="20"/>
                <w:lang w:eastAsia="zh-TW" w:bidi="en-GB"/>
              </w:rPr>
            </w:pPr>
            <w:r w:rsidRPr="003B756C">
              <w:rPr>
                <w:rFonts w:ascii="Simplified Arabic" w:hAnsi="Simplified Arabic"/>
                <w:szCs w:val="20"/>
                <w:rtl/>
              </w:rPr>
              <w:t>اتفاقية القضاء على جميع أشكال التمييز ضد المرأة</w:t>
            </w:r>
          </w:p>
        </w:tc>
        <w:tc>
          <w:tcPr>
            <w:tcW w:w="3290" w:type="dxa"/>
            <w:tcBorders>
              <w:top w:val="nil"/>
              <w:bottom w:val="nil"/>
            </w:tcBorders>
            <w:shd w:val="clear" w:color="auto" w:fill="auto"/>
          </w:tcPr>
          <w:p w14:paraId="1EFB9094"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9 آب/أغسطس 1985</w:t>
            </w:r>
          </w:p>
        </w:tc>
      </w:tr>
      <w:tr w:rsidR="00DE3D9F" w:rsidRPr="005A71CE" w14:paraId="147C581A" w14:textId="77777777" w:rsidTr="003B756C">
        <w:tc>
          <w:tcPr>
            <w:tcW w:w="4288" w:type="dxa"/>
            <w:tcBorders>
              <w:top w:val="nil"/>
              <w:bottom w:val="nil"/>
            </w:tcBorders>
            <w:shd w:val="clear" w:color="auto" w:fill="auto"/>
          </w:tcPr>
          <w:p w14:paraId="21550530" w14:textId="77777777" w:rsidR="00DE3D9F" w:rsidRPr="003B756C" w:rsidRDefault="00DE3D9F" w:rsidP="00E90634">
            <w:pPr>
              <w:spacing w:before="40" w:after="40" w:line="320" w:lineRule="exact"/>
              <w:ind w:left="94" w:right="113"/>
              <w:textDirection w:val="tbRlV"/>
              <w:rPr>
                <w:rFonts w:ascii="Simplified Arabic" w:hAnsi="Simplified Arabic"/>
                <w:szCs w:val="20"/>
                <w:lang w:eastAsia="zh-TW" w:bidi="en-GB"/>
              </w:rPr>
            </w:pPr>
            <w:r w:rsidRPr="003B756C">
              <w:rPr>
                <w:rFonts w:ascii="Simplified Arabic" w:hAnsi="Simplified Arabic"/>
                <w:szCs w:val="20"/>
                <w:rtl/>
              </w:rPr>
              <w:t>البروتوكول الاختياري لاتفاقية القضاء على جميع أشكال التمييز ضد المرأة</w:t>
            </w:r>
          </w:p>
        </w:tc>
        <w:tc>
          <w:tcPr>
            <w:tcW w:w="3290" w:type="dxa"/>
            <w:tcBorders>
              <w:top w:val="nil"/>
              <w:bottom w:val="nil"/>
            </w:tcBorders>
            <w:shd w:val="clear" w:color="auto" w:fill="auto"/>
          </w:tcPr>
          <w:p w14:paraId="55B4CF2A"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التصديق في 14 حزيران/يونيه 2000</w:t>
            </w:r>
          </w:p>
        </w:tc>
      </w:tr>
      <w:tr w:rsidR="00DE3D9F" w:rsidRPr="005A71CE" w14:paraId="2A097C17" w14:textId="77777777" w:rsidTr="003B756C">
        <w:tc>
          <w:tcPr>
            <w:tcW w:w="4288" w:type="dxa"/>
            <w:tcBorders>
              <w:top w:val="nil"/>
              <w:bottom w:val="nil"/>
            </w:tcBorders>
            <w:shd w:val="clear" w:color="auto" w:fill="auto"/>
          </w:tcPr>
          <w:p w14:paraId="014C88C2"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الاتفاقية الدولية للقضاء على التمييز العنصري</w:t>
            </w:r>
          </w:p>
        </w:tc>
        <w:tc>
          <w:tcPr>
            <w:tcW w:w="3290" w:type="dxa"/>
            <w:tcBorders>
              <w:top w:val="nil"/>
              <w:bottom w:val="nil"/>
            </w:tcBorders>
            <w:shd w:val="clear" w:color="auto" w:fill="auto"/>
          </w:tcPr>
          <w:p w14:paraId="70272D80"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28 كانون الثاني/يناير 2003</w:t>
            </w:r>
          </w:p>
        </w:tc>
      </w:tr>
      <w:tr w:rsidR="00DE3D9F" w:rsidRPr="005A71CE" w14:paraId="3AE4A5DA" w14:textId="77777777" w:rsidTr="003B756C">
        <w:tc>
          <w:tcPr>
            <w:tcW w:w="4288" w:type="dxa"/>
            <w:tcBorders>
              <w:top w:val="nil"/>
            </w:tcBorders>
            <w:shd w:val="clear" w:color="auto" w:fill="auto"/>
          </w:tcPr>
          <w:p w14:paraId="48EA55A6"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lastRenderedPageBreak/>
              <w:t>‎‎العهد الدولي الخاص بالحقوق الاقتصادية والاجتماعية والثقافية‏‏</w:t>
            </w:r>
          </w:p>
        </w:tc>
        <w:tc>
          <w:tcPr>
            <w:tcW w:w="3290" w:type="dxa"/>
            <w:tcBorders>
              <w:top w:val="nil"/>
            </w:tcBorders>
            <w:shd w:val="clear" w:color="auto" w:fill="auto"/>
          </w:tcPr>
          <w:p w14:paraId="60E48C3B"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6 أيلول/سبتمبر 1999</w:t>
            </w:r>
          </w:p>
        </w:tc>
      </w:tr>
      <w:tr w:rsidR="00DE3D9F" w:rsidRPr="005A71CE" w14:paraId="7D7B708C" w14:textId="77777777" w:rsidTr="003B756C">
        <w:tc>
          <w:tcPr>
            <w:tcW w:w="4288" w:type="dxa"/>
            <w:shd w:val="clear" w:color="auto" w:fill="auto"/>
          </w:tcPr>
          <w:p w14:paraId="70BB5DAE"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اتفاقية حقوق الطفل</w:t>
            </w:r>
          </w:p>
        </w:tc>
        <w:tc>
          <w:tcPr>
            <w:tcW w:w="3290" w:type="dxa"/>
            <w:shd w:val="clear" w:color="auto" w:fill="auto"/>
          </w:tcPr>
          <w:p w14:paraId="5F05D2F9"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27 أيار/مايو 1992</w:t>
            </w:r>
          </w:p>
        </w:tc>
      </w:tr>
      <w:tr w:rsidR="00DE3D9F" w:rsidRPr="005A71CE" w14:paraId="022E36F3" w14:textId="77777777" w:rsidTr="003B756C">
        <w:tc>
          <w:tcPr>
            <w:tcW w:w="4288" w:type="dxa"/>
            <w:shd w:val="clear" w:color="auto" w:fill="auto"/>
          </w:tcPr>
          <w:p w14:paraId="03999FC0"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البروتوكول الاختياري لاتفاقية حقوق الطفل بشأن اشتراك الأطفال في المنازعات المسلحة</w:t>
            </w:r>
          </w:p>
        </w:tc>
        <w:tc>
          <w:tcPr>
            <w:tcW w:w="3290" w:type="dxa"/>
            <w:shd w:val="clear" w:color="auto" w:fill="auto"/>
          </w:tcPr>
          <w:p w14:paraId="37924A03"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27 شباط/فبراير 2006</w:t>
            </w:r>
          </w:p>
        </w:tc>
      </w:tr>
      <w:tr w:rsidR="00DE3D9F" w:rsidRPr="005A71CE" w14:paraId="2CCDB2F3" w14:textId="77777777" w:rsidTr="003B756C">
        <w:tc>
          <w:tcPr>
            <w:tcW w:w="4288" w:type="dxa"/>
            <w:shd w:val="clear" w:color="auto" w:fill="auto"/>
          </w:tcPr>
          <w:p w14:paraId="41FEC44C"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البروتوكول الاختياري لاتفاقية حقوق الطفل المتعلق بإجراء تقديم البلاغات</w:t>
            </w:r>
          </w:p>
        </w:tc>
        <w:tc>
          <w:tcPr>
            <w:tcW w:w="3290" w:type="dxa"/>
            <w:shd w:val="clear" w:color="auto" w:fill="auto"/>
          </w:tcPr>
          <w:p w14:paraId="65BD5E0B"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التصديق في 25 أيلول/سبتمبر 2012</w:t>
            </w:r>
          </w:p>
        </w:tc>
      </w:tr>
      <w:tr w:rsidR="00DE3D9F" w:rsidRPr="005A71CE" w14:paraId="584D7C43" w14:textId="77777777" w:rsidTr="003B756C">
        <w:tc>
          <w:tcPr>
            <w:tcW w:w="4288" w:type="dxa"/>
            <w:shd w:val="clear" w:color="auto" w:fill="auto"/>
          </w:tcPr>
          <w:p w14:paraId="6A56DDC8"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البروتوكول الاختياري الملحق باتفاقية حقوق الطفل بشأن بيع الأطفال واستغلال الأطفال في البغاء وفي المواد الإباحية</w:t>
            </w:r>
          </w:p>
        </w:tc>
        <w:tc>
          <w:tcPr>
            <w:tcW w:w="3290" w:type="dxa"/>
            <w:shd w:val="clear" w:color="auto" w:fill="auto"/>
          </w:tcPr>
          <w:p w14:paraId="218722C4"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11 كانون الثاني/يناير 2006</w:t>
            </w:r>
          </w:p>
        </w:tc>
      </w:tr>
      <w:tr w:rsidR="00DE3D9F" w:rsidRPr="005A71CE" w14:paraId="7603752C" w14:textId="77777777" w:rsidTr="003B756C">
        <w:tc>
          <w:tcPr>
            <w:tcW w:w="4288" w:type="dxa"/>
            <w:shd w:val="clear" w:color="auto" w:fill="auto"/>
          </w:tcPr>
          <w:p w14:paraId="2FA505FC"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اتفاقية حقوق الأشخاص ذوي الإعاقة</w:t>
            </w:r>
          </w:p>
        </w:tc>
        <w:tc>
          <w:tcPr>
            <w:tcW w:w="3290" w:type="dxa"/>
            <w:shd w:val="clear" w:color="auto" w:fill="auto"/>
          </w:tcPr>
          <w:p w14:paraId="68E360BF"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التصديق في 29 تموز/يوليه 2008</w:t>
            </w:r>
          </w:p>
        </w:tc>
      </w:tr>
      <w:tr w:rsidR="00DE3D9F" w:rsidRPr="005A71CE" w14:paraId="52F5054F" w14:textId="77777777" w:rsidTr="003B756C">
        <w:tc>
          <w:tcPr>
            <w:tcW w:w="4288" w:type="dxa"/>
            <w:shd w:val="clear" w:color="auto" w:fill="auto"/>
          </w:tcPr>
          <w:p w14:paraId="7DB30780" w14:textId="77777777" w:rsidR="00DE3D9F" w:rsidRPr="003B756C" w:rsidRDefault="00DE3D9F" w:rsidP="00E90634">
            <w:pPr>
              <w:spacing w:before="40" w:after="40" w:line="320" w:lineRule="exact"/>
              <w:ind w:left="94" w:right="113"/>
              <w:textDirection w:val="tbRlV"/>
              <w:rPr>
                <w:rFonts w:ascii="Simplified Arabic" w:hAnsi="Simplified Arabic"/>
                <w:szCs w:val="20"/>
                <w:lang w:val="ar-SA" w:eastAsia="zh-TW" w:bidi="en-GB"/>
              </w:rPr>
            </w:pPr>
            <w:r w:rsidRPr="003B756C">
              <w:rPr>
                <w:rFonts w:ascii="Simplified Arabic" w:hAnsi="Simplified Arabic"/>
                <w:szCs w:val="20"/>
                <w:rtl/>
              </w:rPr>
              <w:t>البروتوكول الاختياري لاتفاقية حقوق الأشخاص ذوي الإعاقة</w:t>
            </w:r>
          </w:p>
        </w:tc>
        <w:tc>
          <w:tcPr>
            <w:tcW w:w="3290" w:type="dxa"/>
            <w:shd w:val="clear" w:color="auto" w:fill="auto"/>
          </w:tcPr>
          <w:p w14:paraId="5833B6B4" w14:textId="77777777" w:rsidR="00DE3D9F" w:rsidRPr="003B756C" w:rsidRDefault="00DE3D9F" w:rsidP="003B756C">
            <w:pPr>
              <w:spacing w:before="40" w:after="40" w:line="320" w:lineRule="exact"/>
              <w:ind w:left="284"/>
              <w:textDirection w:val="tbRlV"/>
              <w:rPr>
                <w:rFonts w:ascii="Simplified Arabic" w:hAnsi="Simplified Arabic"/>
                <w:szCs w:val="20"/>
                <w:lang w:val="ar-SA" w:eastAsia="zh-TW" w:bidi="en-GB"/>
              </w:rPr>
            </w:pPr>
            <w:r w:rsidRPr="003B756C">
              <w:rPr>
                <w:rFonts w:ascii="Simplified Arabic" w:hAnsi="Simplified Arabic"/>
                <w:szCs w:val="20"/>
                <w:rtl/>
              </w:rPr>
              <w:t>الانضمام في 2 أيلول/سبتمبر 2016</w:t>
            </w:r>
          </w:p>
        </w:tc>
      </w:tr>
    </w:tbl>
    <w:p w14:paraId="1CD99373" w14:textId="74A18E68" w:rsidR="00DE3D9F" w:rsidRPr="001B6C67" w:rsidRDefault="00DE3D9F" w:rsidP="00E90634">
      <w:pPr>
        <w:pStyle w:val="SingleTxtGA"/>
        <w:spacing w:before="240" w:after="240"/>
        <w:rPr>
          <w:lang w:val="ar-SA" w:eastAsia="zh-TW" w:bidi="en-GB"/>
        </w:rPr>
      </w:pPr>
      <w:r w:rsidRPr="00AF3116">
        <w:rPr>
          <w:rtl/>
        </w:rPr>
        <w:t>78</w:t>
      </w:r>
      <w:r w:rsidRPr="001B6C67">
        <w:rPr>
          <w:rtl/>
        </w:rPr>
        <w:t>-</w:t>
      </w:r>
      <w:r w:rsidRPr="001B6C67">
        <w:rPr>
          <w:rtl/>
        </w:rPr>
        <w:tab/>
      </w:r>
      <w:r>
        <w:rPr>
          <w:rtl/>
        </w:rPr>
        <w:t>و</w:t>
      </w:r>
      <w:r w:rsidRPr="001B6C67">
        <w:rPr>
          <w:rtl/>
        </w:rPr>
        <w:t>لدى تايلند حالياً تحفظات وإعلانات، على النحو التالي:</w:t>
      </w:r>
    </w:p>
    <w:tbl>
      <w:tblPr>
        <w:bidiVisual/>
        <w:tblW w:w="7578"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57"/>
        <w:gridCol w:w="5221"/>
      </w:tblGrid>
      <w:tr w:rsidR="00DE3D9F" w:rsidRPr="001B6C67" w14:paraId="249D73C2" w14:textId="77777777" w:rsidTr="003B756C">
        <w:trPr>
          <w:tblHeader/>
        </w:trPr>
        <w:tc>
          <w:tcPr>
            <w:tcW w:w="2357" w:type="dxa"/>
            <w:tcBorders>
              <w:top w:val="single" w:sz="4" w:space="0" w:color="auto"/>
              <w:bottom w:val="single" w:sz="12" w:space="0" w:color="auto"/>
            </w:tcBorders>
            <w:shd w:val="clear" w:color="auto" w:fill="auto"/>
            <w:vAlign w:val="bottom"/>
          </w:tcPr>
          <w:p w14:paraId="61FA5DE5" w14:textId="77777777" w:rsidR="00DE3D9F" w:rsidRPr="001B0794" w:rsidRDefault="00F50514" w:rsidP="001B0794">
            <w:pPr>
              <w:spacing w:before="40" w:after="40" w:line="320" w:lineRule="exact"/>
              <w:ind w:right="113" w:firstLine="68"/>
              <w:textDirection w:val="tbRlV"/>
              <w:rPr>
                <w:rFonts w:ascii="Simplified Arabic" w:hAnsi="Simplified Arabic"/>
                <w:i/>
                <w:sz w:val="22"/>
                <w:lang w:eastAsia="zh-TW" w:bidi="en-GB"/>
              </w:rPr>
            </w:pPr>
            <w:dir w:val="rtl">
              <w:r w:rsidR="00DE3D9F" w:rsidRPr="00AF3116">
                <w:rPr>
                  <w:rFonts w:ascii="Simplified Arabic" w:hAnsi="Simplified Arabic"/>
                  <w:i/>
                  <w:iCs/>
                  <w:sz w:val="22"/>
                  <w:rtl/>
                </w:rPr>
                <w:t>الاتفاقيات</w:t>
              </w:r>
              <w:r w:rsidR="00DE3D9F" w:rsidRPr="00AF3116">
                <w:rPr>
                  <w:rFonts w:cs="Times New Roman" w:hint="cs"/>
                  <w:i/>
                  <w:iCs/>
                  <w:sz w:val="22"/>
                  <w:rtl/>
                </w:rPr>
                <w:t>‬</w:t>
              </w:r>
              <w:r w:rsidR="00DE3D9F" w:rsidRPr="001B0794">
                <w:rPr>
                  <w:sz w:val="22"/>
                </w:rPr>
                <w:t>‬</w:t>
              </w:r>
              <w:r w:rsidR="00DE3D9F" w:rsidRPr="001B0794">
                <w:rPr>
                  <w:sz w:val="22"/>
                </w:rPr>
                <w:t>‬</w:t>
              </w:r>
              <w:r w:rsidR="003B756C">
                <w:t>‬</w:t>
              </w:r>
              <w:r>
                <w:t>‬</w:t>
              </w:r>
            </w:dir>
          </w:p>
        </w:tc>
        <w:tc>
          <w:tcPr>
            <w:tcW w:w="5221" w:type="dxa"/>
            <w:tcBorders>
              <w:top w:val="single" w:sz="4" w:space="0" w:color="auto"/>
              <w:bottom w:val="single" w:sz="12" w:space="0" w:color="auto"/>
            </w:tcBorders>
            <w:shd w:val="clear" w:color="auto" w:fill="auto"/>
            <w:vAlign w:val="bottom"/>
          </w:tcPr>
          <w:p w14:paraId="5CF10018" w14:textId="77777777" w:rsidR="00DE3D9F" w:rsidRPr="00AF3116" w:rsidRDefault="00DE3D9F" w:rsidP="001B0794">
            <w:pPr>
              <w:spacing w:before="40" w:after="40" w:line="320" w:lineRule="exact"/>
              <w:ind w:left="293" w:right="113" w:firstLine="68"/>
              <w:textDirection w:val="tbRlV"/>
              <w:rPr>
                <w:rFonts w:ascii="Simplified Arabic" w:hAnsi="Simplified Arabic"/>
                <w:i/>
                <w:sz w:val="22"/>
                <w:lang w:val="ar-SA" w:eastAsia="zh-TW" w:bidi="en-GB"/>
              </w:rPr>
            </w:pPr>
            <w:r w:rsidRPr="00AF3116">
              <w:rPr>
                <w:rFonts w:ascii="Simplified Arabic" w:hAnsi="Simplified Arabic"/>
                <w:i/>
                <w:iCs/>
                <w:sz w:val="22"/>
                <w:rtl/>
              </w:rPr>
              <w:t>التحفظات والإعلانات</w:t>
            </w:r>
          </w:p>
        </w:tc>
      </w:tr>
      <w:tr w:rsidR="00DE3D9F" w:rsidRPr="001B6C67" w14:paraId="55DE6AAE" w14:textId="77777777" w:rsidTr="003B756C">
        <w:trPr>
          <w:trHeight w:hRule="exact" w:val="113"/>
          <w:tblHeader/>
        </w:trPr>
        <w:tc>
          <w:tcPr>
            <w:tcW w:w="2357" w:type="dxa"/>
            <w:tcBorders>
              <w:top w:val="single" w:sz="12" w:space="0" w:color="auto"/>
              <w:bottom w:val="nil"/>
            </w:tcBorders>
            <w:shd w:val="clear" w:color="auto" w:fill="auto"/>
          </w:tcPr>
          <w:p w14:paraId="4963D459" w14:textId="77777777" w:rsidR="00DE3D9F" w:rsidRPr="001B0794" w:rsidRDefault="00DE3D9F" w:rsidP="001B0794">
            <w:pPr>
              <w:spacing w:before="40" w:after="120" w:line="340" w:lineRule="exact"/>
              <w:ind w:right="113"/>
              <w:rPr>
                <w:rFonts w:ascii="Simplified Arabic" w:hAnsi="Simplified Arabic"/>
                <w:sz w:val="22"/>
              </w:rPr>
            </w:pPr>
          </w:p>
        </w:tc>
        <w:tc>
          <w:tcPr>
            <w:tcW w:w="5221" w:type="dxa"/>
            <w:tcBorders>
              <w:top w:val="single" w:sz="12" w:space="0" w:color="auto"/>
              <w:bottom w:val="nil"/>
            </w:tcBorders>
            <w:shd w:val="clear" w:color="auto" w:fill="auto"/>
          </w:tcPr>
          <w:p w14:paraId="15D635E6" w14:textId="77777777" w:rsidR="00DE3D9F" w:rsidRPr="001B0794" w:rsidRDefault="00DE3D9F" w:rsidP="001B0794">
            <w:pPr>
              <w:spacing w:before="40" w:after="120" w:line="340" w:lineRule="exact"/>
              <w:ind w:left="293" w:right="113"/>
              <w:rPr>
                <w:rFonts w:ascii="Simplified Arabic" w:hAnsi="Simplified Arabic"/>
                <w:sz w:val="22"/>
              </w:rPr>
            </w:pPr>
          </w:p>
        </w:tc>
      </w:tr>
      <w:tr w:rsidR="00DE3D9F" w:rsidRPr="001B6C67" w14:paraId="061294BE" w14:textId="77777777" w:rsidTr="003B756C">
        <w:tc>
          <w:tcPr>
            <w:tcW w:w="2357" w:type="dxa"/>
            <w:vMerge w:val="restart"/>
            <w:tcBorders>
              <w:top w:val="nil"/>
              <w:bottom w:val="nil"/>
            </w:tcBorders>
            <w:shd w:val="clear" w:color="auto" w:fill="auto"/>
          </w:tcPr>
          <w:p w14:paraId="50AF82E8"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اتفاقية مناهضة التعذيب</w:t>
            </w:r>
          </w:p>
        </w:tc>
        <w:tc>
          <w:tcPr>
            <w:tcW w:w="5221" w:type="dxa"/>
            <w:tcBorders>
              <w:top w:val="nil"/>
              <w:bottom w:val="nil"/>
            </w:tcBorders>
            <w:shd w:val="clear" w:color="auto" w:fill="auto"/>
          </w:tcPr>
          <w:p w14:paraId="783DD51F"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الإعلانات التفسيرية:</w:t>
            </w:r>
          </w:p>
          <w:p w14:paraId="7725F41B"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1</w:t>
            </w:r>
            <w:r w:rsidRPr="001B0794">
              <w:rPr>
                <w:rFonts w:ascii="Simplified Arabic" w:hAnsi="Simplified Arabic"/>
                <w:sz w:val="22"/>
                <w:rtl/>
              </w:rPr>
              <w:t xml:space="preserve">- فيما يتعلق بمصطلح "التعذيب" الوارد في المادة </w:t>
            </w:r>
            <w:r w:rsidRPr="00AF3116">
              <w:rPr>
                <w:rFonts w:ascii="Simplified Arabic" w:hAnsi="Simplified Arabic"/>
                <w:sz w:val="22"/>
                <w:rtl/>
              </w:rPr>
              <w:t>1</w:t>
            </w:r>
            <w:r w:rsidRPr="001B0794">
              <w:rPr>
                <w:rFonts w:ascii="Simplified Arabic" w:hAnsi="Simplified Arabic"/>
                <w:sz w:val="22"/>
                <w:rtl/>
              </w:rPr>
              <w:t xml:space="preserve"> من الاتفاقية، على الرغم من عدم وجود تعريف محدد أو جريمة معينة في إطار قانون العقوبات التايلندي الحالي يقابل هذا المصطلح، فإن هناك أحكاماً مماثلة في إطار قانون العقوبات التايلندي المذكور أعلاه تنطبق على الأفعال المنصوص عليها في المادة </w:t>
            </w:r>
            <w:r w:rsidRPr="00AF3116">
              <w:rPr>
                <w:rFonts w:ascii="Simplified Arabic" w:hAnsi="Simplified Arabic"/>
                <w:sz w:val="22"/>
                <w:rtl/>
              </w:rPr>
              <w:t>1</w:t>
            </w:r>
            <w:r w:rsidRPr="001B0794">
              <w:rPr>
                <w:rFonts w:ascii="Simplified Arabic" w:hAnsi="Simplified Arabic"/>
                <w:sz w:val="22"/>
                <w:rtl/>
              </w:rPr>
              <w:t xml:space="preserve"> من الاتفاقية. ومن ثم، يُفسَّر مصطلح "التعذيب" المنصوص عليه في المادة </w:t>
            </w:r>
            <w:r w:rsidRPr="00AF3116">
              <w:rPr>
                <w:rFonts w:ascii="Simplified Arabic" w:hAnsi="Simplified Arabic"/>
                <w:sz w:val="22"/>
                <w:rtl/>
              </w:rPr>
              <w:t>1</w:t>
            </w:r>
            <w:r w:rsidRPr="001B0794">
              <w:rPr>
                <w:rFonts w:ascii="Simplified Arabic" w:hAnsi="Simplified Arabic"/>
                <w:sz w:val="22"/>
                <w:rtl/>
              </w:rPr>
              <w:t xml:space="preserve"> من الاتفاقية وفقاً لقانون العقوبات التايلندي الحالي. وتقوم مملكة تايلند بتنقيح قانونها المحلي لكي يكون أكثر اتساقاً مع المادة </w:t>
            </w:r>
            <w:r w:rsidRPr="00AF3116">
              <w:rPr>
                <w:rFonts w:ascii="Simplified Arabic" w:hAnsi="Simplified Arabic"/>
                <w:sz w:val="22"/>
                <w:rtl/>
              </w:rPr>
              <w:t>1</w:t>
            </w:r>
            <w:r w:rsidRPr="001B0794">
              <w:rPr>
                <w:rFonts w:ascii="Simplified Arabic" w:hAnsi="Simplified Arabic"/>
                <w:sz w:val="22"/>
                <w:rtl/>
              </w:rPr>
              <w:t xml:space="preserve"> من الاتفاقية في أقرب فرصة ممكنة. </w:t>
            </w:r>
          </w:p>
        </w:tc>
      </w:tr>
      <w:tr w:rsidR="00DE3D9F" w:rsidRPr="001B6C67" w14:paraId="024A63BF" w14:textId="77777777" w:rsidTr="003B756C">
        <w:tc>
          <w:tcPr>
            <w:tcW w:w="2357" w:type="dxa"/>
            <w:vMerge/>
            <w:tcBorders>
              <w:top w:val="nil"/>
              <w:bottom w:val="nil"/>
            </w:tcBorders>
            <w:shd w:val="clear" w:color="auto" w:fill="auto"/>
          </w:tcPr>
          <w:p w14:paraId="11E0E3EA" w14:textId="77777777" w:rsidR="00DE3D9F" w:rsidRPr="001B0794" w:rsidRDefault="00DE3D9F" w:rsidP="001B0794">
            <w:pPr>
              <w:spacing w:before="40" w:after="120" w:line="340" w:lineRule="exact"/>
              <w:ind w:right="211"/>
              <w:rPr>
                <w:rFonts w:ascii="Simplified Arabic" w:hAnsi="Simplified Arabic"/>
                <w:sz w:val="22"/>
              </w:rPr>
            </w:pPr>
          </w:p>
        </w:tc>
        <w:tc>
          <w:tcPr>
            <w:tcW w:w="5221" w:type="dxa"/>
            <w:tcBorders>
              <w:top w:val="nil"/>
              <w:bottom w:val="nil"/>
            </w:tcBorders>
            <w:shd w:val="clear" w:color="auto" w:fill="auto"/>
          </w:tcPr>
          <w:p w14:paraId="7B9445E5"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2</w:t>
            </w:r>
            <w:r w:rsidRPr="001B0794">
              <w:rPr>
                <w:rFonts w:ascii="Simplified Arabic" w:hAnsi="Simplified Arabic"/>
                <w:sz w:val="22"/>
                <w:rtl/>
              </w:rPr>
              <w:t xml:space="preserve">- لنفس السبب المنصوص عليه في الفقرة السابقة، فإن المادة </w:t>
            </w:r>
            <w:r w:rsidRPr="00AF3116">
              <w:rPr>
                <w:rFonts w:ascii="Simplified Arabic" w:hAnsi="Simplified Arabic"/>
                <w:sz w:val="22"/>
                <w:rtl/>
              </w:rPr>
              <w:t>4</w:t>
            </w:r>
            <w:r w:rsidRPr="001B0794">
              <w:rPr>
                <w:rFonts w:ascii="Simplified Arabic" w:hAnsi="Simplified Arabic"/>
                <w:sz w:val="22"/>
                <w:rtl/>
              </w:rPr>
              <w:t xml:space="preserve"> من الاتفاقية التي تنص على أن: "تضمن كل دولة طرف أن تكون جميع أعمال التعذيب جرائم بموجب قانونها الجنائي. وينطبق الأمر ذاته على قيام أي شخص بأية محاولة لممارسة التعذيب وعلى قيامه بأي عمل آخر يشكل تواطؤاً أو مشاركة في التعذيب"، تُفسَّر وفقاً لقانون العقوبات التايلندي الحالي. وتقوم مملكة تايلند بتنقيح قانونها المحلي لكي يكون أكثر اتساقاً مع المادة </w:t>
            </w:r>
            <w:r w:rsidRPr="00AF3116">
              <w:rPr>
                <w:rFonts w:ascii="Simplified Arabic" w:hAnsi="Simplified Arabic"/>
                <w:sz w:val="22"/>
                <w:rtl/>
              </w:rPr>
              <w:t>4</w:t>
            </w:r>
            <w:r w:rsidRPr="001B0794">
              <w:rPr>
                <w:rFonts w:ascii="Simplified Arabic" w:hAnsi="Simplified Arabic"/>
                <w:sz w:val="22"/>
                <w:rtl/>
              </w:rPr>
              <w:t xml:space="preserve"> من الاتفاقية في أقرب فرصة ممكنة. </w:t>
            </w:r>
          </w:p>
        </w:tc>
      </w:tr>
      <w:tr w:rsidR="00DE3D9F" w:rsidRPr="001B6C67" w14:paraId="7D633430" w14:textId="77777777" w:rsidTr="003B756C">
        <w:tc>
          <w:tcPr>
            <w:tcW w:w="2357" w:type="dxa"/>
            <w:vMerge/>
            <w:tcBorders>
              <w:top w:val="nil"/>
              <w:bottom w:val="nil"/>
            </w:tcBorders>
            <w:shd w:val="clear" w:color="auto" w:fill="auto"/>
          </w:tcPr>
          <w:p w14:paraId="7AE14C1B" w14:textId="77777777" w:rsidR="00DE3D9F" w:rsidRPr="001B0794" w:rsidRDefault="00DE3D9F" w:rsidP="001B0794">
            <w:pPr>
              <w:spacing w:before="40" w:after="120" w:line="340" w:lineRule="exact"/>
              <w:ind w:right="211"/>
              <w:rPr>
                <w:rFonts w:ascii="Simplified Arabic" w:hAnsi="Simplified Arabic"/>
                <w:sz w:val="22"/>
              </w:rPr>
            </w:pPr>
          </w:p>
        </w:tc>
        <w:tc>
          <w:tcPr>
            <w:tcW w:w="5221" w:type="dxa"/>
            <w:tcBorders>
              <w:top w:val="nil"/>
              <w:bottom w:val="nil"/>
            </w:tcBorders>
            <w:shd w:val="clear" w:color="auto" w:fill="auto"/>
          </w:tcPr>
          <w:p w14:paraId="3031B115"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3</w:t>
            </w:r>
            <w:r w:rsidRPr="001B0794">
              <w:rPr>
                <w:rFonts w:ascii="Simplified Arabic" w:hAnsi="Simplified Arabic"/>
                <w:sz w:val="22"/>
                <w:rtl/>
              </w:rPr>
              <w:t xml:space="preserve">- تفسر مملكة تايلند المادة </w:t>
            </w:r>
            <w:r w:rsidRPr="00AF3116">
              <w:rPr>
                <w:rFonts w:ascii="Simplified Arabic" w:hAnsi="Simplified Arabic"/>
                <w:sz w:val="22"/>
                <w:rtl/>
              </w:rPr>
              <w:t>5</w:t>
            </w:r>
            <w:r w:rsidRPr="001B0794">
              <w:rPr>
                <w:rFonts w:ascii="Simplified Arabic" w:hAnsi="Simplified Arabic"/>
                <w:sz w:val="22"/>
                <w:rtl/>
              </w:rPr>
              <w:t xml:space="preserve"> من الاتفاقية التي تنص على أن: "تتخذ كل دولة طرف ما يلزم من إجراءات لإقامة ولايتها القضائية على الجرائم المشار إليها في المادة </w:t>
            </w:r>
            <w:r w:rsidRPr="00AF3116">
              <w:rPr>
                <w:rFonts w:ascii="Simplified Arabic" w:hAnsi="Simplified Arabic"/>
                <w:sz w:val="22"/>
                <w:rtl/>
              </w:rPr>
              <w:t>4</w:t>
            </w:r>
            <w:r w:rsidRPr="001B0794">
              <w:rPr>
                <w:rFonts w:ascii="Simplified Arabic" w:hAnsi="Simplified Arabic"/>
                <w:sz w:val="22"/>
                <w:rtl/>
              </w:rPr>
              <w:t xml:space="preserve">...." على أنها تعني أن الولاية القضائية المشار إليها في المادة </w:t>
            </w:r>
            <w:r w:rsidRPr="00AF3116">
              <w:rPr>
                <w:rFonts w:ascii="Simplified Arabic" w:hAnsi="Simplified Arabic"/>
                <w:sz w:val="22"/>
                <w:rtl/>
              </w:rPr>
              <w:t>5</w:t>
            </w:r>
            <w:r w:rsidRPr="001B0794">
              <w:rPr>
                <w:rFonts w:ascii="Simplified Arabic" w:hAnsi="Simplified Arabic"/>
                <w:sz w:val="22"/>
                <w:rtl/>
              </w:rPr>
              <w:t xml:space="preserve"> تُحدَّد وفقاً لقانون العقوبات التايلندي الحالي. وتقوم مملكة تايلند بتنقيح قانونها المحلي لكي يكون أكثر اتساقاً مع المادة </w:t>
            </w:r>
            <w:r w:rsidRPr="00AF3116">
              <w:rPr>
                <w:rFonts w:ascii="Simplified Arabic" w:hAnsi="Simplified Arabic"/>
                <w:sz w:val="22"/>
                <w:rtl/>
              </w:rPr>
              <w:t>5</w:t>
            </w:r>
            <w:r w:rsidRPr="001B0794">
              <w:rPr>
                <w:rFonts w:ascii="Simplified Arabic" w:hAnsi="Simplified Arabic"/>
                <w:sz w:val="22"/>
                <w:rtl/>
              </w:rPr>
              <w:t xml:space="preserve"> من الاتفاقية في أقرب فرصة ممكنة.</w:t>
            </w:r>
          </w:p>
        </w:tc>
      </w:tr>
      <w:tr w:rsidR="00DE3D9F" w:rsidRPr="001B6C67" w14:paraId="5733B7FD" w14:textId="77777777" w:rsidTr="003B756C">
        <w:tc>
          <w:tcPr>
            <w:tcW w:w="2357" w:type="dxa"/>
            <w:vMerge/>
            <w:tcBorders>
              <w:top w:val="single" w:sz="4" w:space="0" w:color="auto"/>
              <w:bottom w:val="nil"/>
            </w:tcBorders>
            <w:shd w:val="clear" w:color="auto" w:fill="auto"/>
          </w:tcPr>
          <w:p w14:paraId="61D6132A" w14:textId="77777777" w:rsidR="00DE3D9F" w:rsidRPr="001B0794" w:rsidRDefault="00DE3D9F" w:rsidP="001B0794">
            <w:pPr>
              <w:spacing w:before="40" w:after="120" w:line="340" w:lineRule="exact"/>
              <w:ind w:right="211"/>
              <w:rPr>
                <w:rFonts w:ascii="Simplified Arabic" w:hAnsi="Simplified Arabic"/>
                <w:sz w:val="22"/>
              </w:rPr>
            </w:pPr>
          </w:p>
        </w:tc>
        <w:tc>
          <w:tcPr>
            <w:tcW w:w="5221" w:type="dxa"/>
            <w:tcBorders>
              <w:top w:val="nil"/>
              <w:bottom w:val="nil"/>
            </w:tcBorders>
            <w:shd w:val="clear" w:color="auto" w:fill="auto"/>
          </w:tcPr>
          <w:p w14:paraId="6CAA2AAA"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 xml:space="preserve">التحفظ: لا تعتبر مملكة تايلند نفسها ملزمة بالفقرة </w:t>
            </w:r>
            <w:r w:rsidRPr="00AF3116">
              <w:rPr>
                <w:rFonts w:ascii="Simplified Arabic" w:hAnsi="Simplified Arabic"/>
                <w:sz w:val="22"/>
                <w:rtl/>
              </w:rPr>
              <w:t>1</w:t>
            </w:r>
            <w:r w:rsidRPr="001B0794">
              <w:rPr>
                <w:rFonts w:ascii="Simplified Arabic" w:hAnsi="Simplified Arabic"/>
                <w:sz w:val="22"/>
                <w:rtl/>
              </w:rPr>
              <w:t xml:space="preserve"> من المادة </w:t>
            </w:r>
            <w:r w:rsidRPr="00AF3116">
              <w:rPr>
                <w:rFonts w:ascii="Simplified Arabic" w:hAnsi="Simplified Arabic"/>
                <w:sz w:val="22"/>
                <w:rtl/>
              </w:rPr>
              <w:t>30</w:t>
            </w:r>
            <w:r w:rsidRPr="001B0794">
              <w:rPr>
                <w:rFonts w:ascii="Simplified Arabic" w:hAnsi="Simplified Arabic"/>
                <w:sz w:val="22"/>
                <w:rtl/>
              </w:rPr>
              <w:t xml:space="preserve"> من الاتفاقية.</w:t>
            </w:r>
          </w:p>
        </w:tc>
      </w:tr>
      <w:tr w:rsidR="00DE3D9F" w:rsidRPr="001B6C67" w14:paraId="5342861F" w14:textId="77777777" w:rsidTr="003B756C">
        <w:tc>
          <w:tcPr>
            <w:tcW w:w="2357" w:type="dxa"/>
            <w:vMerge w:val="restart"/>
            <w:tcBorders>
              <w:top w:val="nil"/>
              <w:bottom w:val="nil"/>
            </w:tcBorders>
            <w:shd w:val="clear" w:color="auto" w:fill="auto"/>
          </w:tcPr>
          <w:p w14:paraId="7626450A"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w:t>
            </w:r>
            <w:r w:rsidRPr="0060722E">
              <w:rPr>
                <w:rFonts w:ascii="Simplified Arabic" w:hAnsi="Simplified Arabic"/>
                <w:sz w:val="22"/>
                <w:rtl/>
              </w:rPr>
              <w:t>العهد الدولي الخاص بالحقوق المدنية والسياسية</w:t>
            </w:r>
            <w:r w:rsidRPr="001B0794">
              <w:rPr>
                <w:rFonts w:ascii="Simplified Arabic" w:hAnsi="Simplified Arabic"/>
                <w:sz w:val="22"/>
                <w:rtl/>
              </w:rPr>
              <w:t>‏‏</w:t>
            </w:r>
          </w:p>
        </w:tc>
        <w:tc>
          <w:tcPr>
            <w:tcW w:w="5221" w:type="dxa"/>
            <w:tcBorders>
              <w:top w:val="nil"/>
              <w:bottom w:val="nil"/>
            </w:tcBorders>
            <w:shd w:val="clear" w:color="auto" w:fill="auto"/>
          </w:tcPr>
          <w:p w14:paraId="3533928F"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الإعلانات التفسيرية: تعلن حكومة تايلند ما يلي:</w:t>
            </w:r>
          </w:p>
          <w:p w14:paraId="168A5098"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1</w:t>
            </w:r>
            <w:r w:rsidRPr="001B0794">
              <w:rPr>
                <w:rFonts w:ascii="Simplified Arabic" w:hAnsi="Simplified Arabic"/>
                <w:sz w:val="22"/>
                <w:rtl/>
              </w:rPr>
              <w:t xml:space="preserve">- يُفسَّر مصطلح "تقرير المصير" الوارد في الفقرة </w:t>
            </w:r>
            <w:r w:rsidRPr="00AF3116">
              <w:rPr>
                <w:rFonts w:ascii="Simplified Arabic" w:hAnsi="Simplified Arabic"/>
                <w:sz w:val="22"/>
                <w:rtl/>
              </w:rPr>
              <w:t>1</w:t>
            </w:r>
            <w:r w:rsidRPr="001B0794">
              <w:rPr>
                <w:rFonts w:ascii="Simplified Arabic" w:hAnsi="Simplified Arabic"/>
                <w:sz w:val="22"/>
                <w:rtl/>
              </w:rPr>
              <w:t xml:space="preserve"> من المادة </w:t>
            </w:r>
            <w:r w:rsidRPr="00AF3116">
              <w:rPr>
                <w:rFonts w:ascii="Simplified Arabic" w:hAnsi="Simplified Arabic"/>
                <w:sz w:val="22"/>
                <w:rtl/>
              </w:rPr>
              <w:t>1</w:t>
            </w:r>
            <w:r w:rsidRPr="001B0794">
              <w:rPr>
                <w:rFonts w:ascii="Simplified Arabic" w:hAnsi="Simplified Arabic"/>
                <w:sz w:val="22"/>
                <w:rtl/>
              </w:rPr>
              <w:t xml:space="preserve"> من العهد على أنه يتفق مع المصطلح المعرب عنه في إعلان وبرنامج عمل فيينا، الذي اعتمده المؤتمر العالمي لحقوق الإنسان في </w:t>
            </w:r>
            <w:r w:rsidRPr="00AF3116">
              <w:rPr>
                <w:rFonts w:ascii="Simplified Arabic" w:hAnsi="Simplified Arabic"/>
                <w:sz w:val="22"/>
                <w:rtl/>
              </w:rPr>
              <w:t>25</w:t>
            </w:r>
            <w:r w:rsidRPr="001B0794">
              <w:rPr>
                <w:rFonts w:ascii="Simplified Arabic" w:hAnsi="Simplified Arabic"/>
                <w:sz w:val="22"/>
                <w:rtl/>
              </w:rPr>
              <w:t xml:space="preserve"> حزيران/يونيه </w:t>
            </w:r>
            <w:r w:rsidRPr="00AF3116">
              <w:rPr>
                <w:rFonts w:ascii="Simplified Arabic" w:hAnsi="Simplified Arabic"/>
                <w:sz w:val="22"/>
                <w:rtl/>
              </w:rPr>
              <w:t>1993</w:t>
            </w:r>
            <w:r w:rsidRPr="001B0794">
              <w:rPr>
                <w:rFonts w:ascii="Simplified Arabic" w:hAnsi="Simplified Arabic"/>
                <w:sz w:val="22"/>
                <w:rtl/>
              </w:rPr>
              <w:t>.</w:t>
            </w:r>
          </w:p>
        </w:tc>
      </w:tr>
      <w:tr w:rsidR="00DE3D9F" w:rsidRPr="001B6C67" w14:paraId="525BE4B5" w14:textId="77777777" w:rsidTr="003B756C">
        <w:tc>
          <w:tcPr>
            <w:tcW w:w="2357" w:type="dxa"/>
            <w:vMerge/>
            <w:tcBorders>
              <w:top w:val="nil"/>
              <w:bottom w:val="nil"/>
            </w:tcBorders>
            <w:shd w:val="clear" w:color="auto" w:fill="auto"/>
          </w:tcPr>
          <w:p w14:paraId="3A20483A" w14:textId="77777777" w:rsidR="00DE3D9F" w:rsidRPr="001B0794" w:rsidRDefault="00DE3D9F" w:rsidP="001B0794">
            <w:pPr>
              <w:spacing w:before="40" w:after="120" w:line="340" w:lineRule="exact"/>
              <w:ind w:right="211"/>
              <w:rPr>
                <w:rFonts w:ascii="Simplified Arabic" w:hAnsi="Simplified Arabic"/>
                <w:sz w:val="22"/>
              </w:rPr>
            </w:pPr>
          </w:p>
        </w:tc>
        <w:tc>
          <w:tcPr>
            <w:tcW w:w="5221" w:type="dxa"/>
            <w:tcBorders>
              <w:top w:val="nil"/>
              <w:bottom w:val="nil"/>
            </w:tcBorders>
            <w:shd w:val="clear" w:color="auto" w:fill="auto"/>
          </w:tcPr>
          <w:p w14:paraId="037FA14E" w14:textId="77777777" w:rsidR="00DE3D9F" w:rsidRPr="001B0794" w:rsidRDefault="00DE3D9F" w:rsidP="001B0794">
            <w:pPr>
              <w:spacing w:before="40" w:after="120" w:line="340" w:lineRule="exact"/>
              <w:ind w:left="293" w:right="113"/>
              <w:textDirection w:val="tbRlV"/>
              <w:rPr>
                <w:rFonts w:ascii="Simplified Arabic" w:hAnsi="Simplified Arabic"/>
                <w:sz w:val="22"/>
                <w:cs/>
                <w:lang w:val="ar-SA" w:eastAsia="zh-TW" w:bidi="en-GB"/>
              </w:rPr>
            </w:pPr>
            <w:r w:rsidRPr="00AF3116">
              <w:rPr>
                <w:rFonts w:ascii="Simplified Arabic" w:hAnsi="Simplified Arabic"/>
                <w:sz w:val="22"/>
                <w:rtl/>
              </w:rPr>
              <w:t>2</w:t>
            </w:r>
            <w:r w:rsidRPr="001B0794">
              <w:rPr>
                <w:rFonts w:ascii="Simplified Arabic" w:hAnsi="Simplified Arabic"/>
                <w:sz w:val="22"/>
                <w:rtl/>
              </w:rPr>
              <w:t xml:space="preserve">- فيما يتعلق بالمادة </w:t>
            </w:r>
            <w:r w:rsidRPr="00AF3116">
              <w:rPr>
                <w:rFonts w:ascii="Simplified Arabic" w:hAnsi="Simplified Arabic"/>
                <w:sz w:val="22"/>
                <w:rtl/>
              </w:rPr>
              <w:t>20</w:t>
            </w:r>
            <w:r w:rsidRPr="001B0794">
              <w:rPr>
                <w:rFonts w:ascii="Simplified Arabic" w:hAnsi="Simplified Arabic"/>
                <w:sz w:val="22"/>
                <w:rtl/>
              </w:rPr>
              <w:t xml:space="preserve"> من العهد، تفهم تايلند أن مصطلح "الحرب" الوارد في الفقرة </w:t>
            </w:r>
            <w:r w:rsidRPr="00AF3116">
              <w:rPr>
                <w:rFonts w:ascii="Simplified Arabic" w:hAnsi="Simplified Arabic"/>
                <w:sz w:val="22"/>
                <w:rtl/>
              </w:rPr>
              <w:t>1</w:t>
            </w:r>
            <w:r w:rsidRPr="001B0794">
              <w:rPr>
                <w:rFonts w:ascii="Simplified Arabic" w:hAnsi="Simplified Arabic"/>
                <w:sz w:val="22"/>
                <w:rtl/>
              </w:rPr>
              <w:t xml:space="preserve"> يعني الحرب انتهاكاً للقانون الدولي.</w:t>
            </w:r>
          </w:p>
        </w:tc>
      </w:tr>
      <w:tr w:rsidR="00DE3D9F" w:rsidRPr="001B6C67" w14:paraId="708B6A34" w14:textId="77777777" w:rsidTr="003B756C">
        <w:tc>
          <w:tcPr>
            <w:tcW w:w="2357" w:type="dxa"/>
            <w:vMerge w:val="restart"/>
            <w:tcBorders>
              <w:top w:val="nil"/>
              <w:bottom w:val="nil"/>
            </w:tcBorders>
            <w:shd w:val="clear" w:color="auto" w:fill="auto"/>
          </w:tcPr>
          <w:p w14:paraId="2A61D683"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اتفاقية القضاء على جميع أشكال التمييز ضد المرأة</w:t>
            </w:r>
          </w:p>
        </w:tc>
        <w:tc>
          <w:tcPr>
            <w:tcW w:w="5221" w:type="dxa"/>
            <w:tcBorders>
              <w:top w:val="nil"/>
              <w:bottom w:val="nil"/>
            </w:tcBorders>
            <w:shd w:val="clear" w:color="auto" w:fill="auto"/>
          </w:tcPr>
          <w:p w14:paraId="066F2281"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 xml:space="preserve">الإعلان: تود حكومة تايلند الملكية أن تعرب عن فهمها أن أغراض الاتفاقية هي القضاء على التمييز ضد المرأة، ومنح كل شخص، رجلاً كان أو امرأة، المساواة أمام القانون، وأنها تتوافق مع المبادئ التي ينص عليها دستور مملكة تايلند. </w:t>
            </w:r>
          </w:p>
        </w:tc>
      </w:tr>
      <w:tr w:rsidR="00DE3D9F" w:rsidRPr="001B6C67" w14:paraId="69BEE475" w14:textId="77777777" w:rsidTr="003B756C">
        <w:tc>
          <w:tcPr>
            <w:tcW w:w="2357" w:type="dxa"/>
            <w:vMerge/>
            <w:tcBorders>
              <w:top w:val="nil"/>
              <w:bottom w:val="nil"/>
            </w:tcBorders>
            <w:shd w:val="clear" w:color="auto" w:fill="auto"/>
          </w:tcPr>
          <w:p w14:paraId="2F7647B3" w14:textId="77777777" w:rsidR="00DE3D9F" w:rsidRPr="001B0794" w:rsidRDefault="00DE3D9F" w:rsidP="001B0794">
            <w:pPr>
              <w:spacing w:before="40" w:after="120" w:line="340" w:lineRule="exact"/>
              <w:ind w:right="211"/>
              <w:rPr>
                <w:rFonts w:ascii="Simplified Arabic" w:hAnsi="Simplified Arabic"/>
                <w:sz w:val="22"/>
              </w:rPr>
            </w:pPr>
          </w:p>
        </w:tc>
        <w:tc>
          <w:tcPr>
            <w:tcW w:w="5221" w:type="dxa"/>
            <w:tcBorders>
              <w:top w:val="nil"/>
              <w:bottom w:val="nil"/>
            </w:tcBorders>
            <w:shd w:val="clear" w:color="auto" w:fill="auto"/>
          </w:tcPr>
          <w:p w14:paraId="67A96CC6" w14:textId="77777777" w:rsidR="00DE3D9F" w:rsidRPr="001B0794" w:rsidRDefault="00DE3D9F" w:rsidP="001B0794">
            <w:pPr>
              <w:spacing w:before="40" w:after="120" w:line="340" w:lineRule="exact"/>
              <w:ind w:left="293" w:right="113"/>
              <w:textDirection w:val="tbRlV"/>
              <w:rPr>
                <w:rFonts w:ascii="Simplified Arabic" w:hAnsi="Simplified Arabic"/>
                <w:sz w:val="22"/>
                <w:cs/>
                <w:lang w:val="ar-SA" w:eastAsia="zh-TW" w:bidi="en-GB"/>
              </w:rPr>
            </w:pPr>
            <w:r w:rsidRPr="001B0794">
              <w:rPr>
                <w:rFonts w:ascii="Simplified Arabic" w:hAnsi="Simplified Arabic"/>
                <w:sz w:val="22"/>
                <w:rtl/>
              </w:rPr>
              <w:t xml:space="preserve">التحفظ: لا تعتبر الحكومة التايلندية الملكية نفسها ملزمة بأحكام الفقرة </w:t>
            </w:r>
            <w:r w:rsidRPr="00AF3116">
              <w:rPr>
                <w:rFonts w:ascii="Simplified Arabic" w:hAnsi="Simplified Arabic"/>
                <w:sz w:val="22"/>
                <w:rtl/>
              </w:rPr>
              <w:t>1</w:t>
            </w:r>
            <w:r w:rsidRPr="001B0794">
              <w:rPr>
                <w:rFonts w:ascii="Simplified Arabic" w:hAnsi="Simplified Arabic"/>
                <w:sz w:val="22"/>
                <w:rtl/>
              </w:rPr>
              <w:t xml:space="preserve"> من المادة </w:t>
            </w:r>
            <w:r w:rsidRPr="00AF3116">
              <w:rPr>
                <w:rFonts w:ascii="Simplified Arabic" w:hAnsi="Simplified Arabic"/>
                <w:sz w:val="22"/>
                <w:rtl/>
              </w:rPr>
              <w:t>29</w:t>
            </w:r>
            <w:r w:rsidRPr="001B0794">
              <w:rPr>
                <w:rFonts w:ascii="Simplified Arabic" w:hAnsi="Simplified Arabic"/>
                <w:sz w:val="22"/>
                <w:rtl/>
              </w:rPr>
              <w:t xml:space="preserve"> من الاتفاقية.</w:t>
            </w:r>
          </w:p>
        </w:tc>
      </w:tr>
      <w:tr w:rsidR="00DE3D9F" w:rsidRPr="001B6C67" w14:paraId="56ACFA54" w14:textId="77777777" w:rsidTr="003B756C">
        <w:tc>
          <w:tcPr>
            <w:tcW w:w="2357" w:type="dxa"/>
            <w:vMerge w:val="restart"/>
            <w:tcBorders>
              <w:top w:val="nil"/>
              <w:bottom w:val="nil"/>
            </w:tcBorders>
            <w:shd w:val="clear" w:color="auto" w:fill="auto"/>
          </w:tcPr>
          <w:p w14:paraId="5B4F585C"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الاتفاقية الدولية للقضاء على التمييز العنصري</w:t>
            </w:r>
          </w:p>
        </w:tc>
        <w:tc>
          <w:tcPr>
            <w:tcW w:w="5221" w:type="dxa"/>
            <w:tcBorders>
              <w:top w:val="nil"/>
              <w:bottom w:val="nil"/>
            </w:tcBorders>
            <w:shd w:val="clear" w:color="auto" w:fill="auto"/>
          </w:tcPr>
          <w:p w14:paraId="0DFDA4EE"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 xml:space="preserve">الإعلان التفسيري: لا تفسر مملكة تايلند ولا تطبق أحكام هذه الاتفاقية على أنها تفرض على مملكة تايلند أي التزام يتجاوز حدود دستور مملكة تايلند وقوانينها. وبالإضافة إلى ذلك، يكون هذا التفسير والتطبيق مقتصراً على الالتزامات المنصوص عليها في الصكوك الدولية الأخرى لحقوق الإنسان التي تكون مملكة تايلند طرفاً فيها أو متسقاً معها. </w:t>
            </w:r>
          </w:p>
        </w:tc>
      </w:tr>
      <w:tr w:rsidR="00DE3D9F" w:rsidRPr="001B6C67" w14:paraId="3EC48BFF" w14:textId="77777777" w:rsidTr="003B756C">
        <w:tc>
          <w:tcPr>
            <w:tcW w:w="2357" w:type="dxa"/>
            <w:vMerge/>
            <w:tcBorders>
              <w:top w:val="nil"/>
              <w:bottom w:val="nil"/>
            </w:tcBorders>
            <w:shd w:val="clear" w:color="auto" w:fill="auto"/>
          </w:tcPr>
          <w:p w14:paraId="450C4760" w14:textId="77777777" w:rsidR="00DE3D9F" w:rsidRPr="001B0794" w:rsidRDefault="00DE3D9F" w:rsidP="001B0794">
            <w:pPr>
              <w:spacing w:before="40" w:after="120" w:line="340" w:lineRule="exact"/>
              <w:ind w:right="211"/>
              <w:rPr>
                <w:rFonts w:ascii="Simplified Arabic" w:hAnsi="Simplified Arabic"/>
                <w:sz w:val="22"/>
              </w:rPr>
            </w:pPr>
          </w:p>
        </w:tc>
        <w:tc>
          <w:tcPr>
            <w:tcW w:w="5221" w:type="dxa"/>
            <w:tcBorders>
              <w:top w:val="nil"/>
              <w:bottom w:val="nil"/>
            </w:tcBorders>
            <w:shd w:val="clear" w:color="auto" w:fill="auto"/>
          </w:tcPr>
          <w:p w14:paraId="031B0612" w14:textId="606CFAD9"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 xml:space="preserve">التحفظ: لا تعتبر مملكة تايلند نفسها ملزمة بأحكام المادة </w:t>
            </w:r>
            <w:r w:rsidRPr="00AF3116">
              <w:rPr>
                <w:rFonts w:ascii="Simplified Arabic" w:hAnsi="Simplified Arabic"/>
                <w:sz w:val="22"/>
                <w:rtl/>
              </w:rPr>
              <w:t>22</w:t>
            </w:r>
            <w:r w:rsidRPr="001B0794">
              <w:rPr>
                <w:rFonts w:ascii="Simplified Arabic" w:hAnsi="Simplified Arabic"/>
                <w:sz w:val="22"/>
                <w:rtl/>
              </w:rPr>
              <w:t xml:space="preserve"> من</w:t>
            </w:r>
            <w:r w:rsidR="0060722E">
              <w:rPr>
                <w:rFonts w:ascii="Simplified Arabic" w:hAnsi="Simplified Arabic" w:hint="cs"/>
                <w:sz w:val="22"/>
                <w:rtl/>
              </w:rPr>
              <w:t> </w:t>
            </w:r>
            <w:r w:rsidRPr="001B0794">
              <w:rPr>
                <w:rFonts w:ascii="Simplified Arabic" w:hAnsi="Simplified Arabic"/>
                <w:sz w:val="22"/>
                <w:rtl/>
              </w:rPr>
              <w:t>الاتفاقية.</w:t>
            </w:r>
          </w:p>
        </w:tc>
      </w:tr>
      <w:tr w:rsidR="00DE3D9F" w:rsidRPr="001B6C67" w14:paraId="75803247" w14:textId="77777777" w:rsidTr="003B756C">
        <w:tc>
          <w:tcPr>
            <w:tcW w:w="2357" w:type="dxa"/>
            <w:tcBorders>
              <w:top w:val="nil"/>
              <w:bottom w:val="nil"/>
            </w:tcBorders>
            <w:shd w:val="clear" w:color="auto" w:fill="auto"/>
          </w:tcPr>
          <w:p w14:paraId="153B9CF8"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 xml:space="preserve">‎‎العهد </w:t>
            </w:r>
            <w:r w:rsidRPr="00AF3116">
              <w:rPr>
                <w:rFonts w:ascii="Simplified Arabic" w:hAnsi="Simplified Arabic"/>
                <w:sz w:val="22"/>
                <w:rtl/>
              </w:rPr>
              <w:t>الدولي الخاص بالحقوق الاقتصادية والاجتماعية</w:t>
            </w:r>
            <w:r w:rsidRPr="001B0794">
              <w:rPr>
                <w:rFonts w:ascii="Simplified Arabic" w:hAnsi="Simplified Arabic"/>
                <w:sz w:val="22"/>
                <w:rtl/>
              </w:rPr>
              <w:t xml:space="preserve"> والثقافية‏‏</w:t>
            </w:r>
          </w:p>
        </w:tc>
        <w:tc>
          <w:tcPr>
            <w:tcW w:w="5221" w:type="dxa"/>
            <w:tcBorders>
              <w:top w:val="nil"/>
              <w:bottom w:val="nil"/>
            </w:tcBorders>
            <w:shd w:val="clear" w:color="auto" w:fill="auto"/>
          </w:tcPr>
          <w:p w14:paraId="2B018CB8" w14:textId="784C4977" w:rsidR="00DE3D9F" w:rsidRPr="00A40237" w:rsidRDefault="00DE3D9F" w:rsidP="00A40237">
            <w:pPr>
              <w:spacing w:before="40" w:after="120" w:line="340" w:lineRule="exact"/>
              <w:ind w:left="293" w:right="113"/>
              <w:textDirection w:val="tbRlV"/>
              <w:rPr>
                <w:rFonts w:ascii="Simplified Arabic" w:hAnsi="Simplified Arabic"/>
                <w:spacing w:val="-2"/>
                <w:sz w:val="22"/>
                <w:lang w:val="ar-SA" w:eastAsia="zh-TW" w:bidi="en-GB"/>
              </w:rPr>
            </w:pPr>
            <w:r w:rsidRPr="00A40237">
              <w:rPr>
                <w:rFonts w:ascii="Simplified Arabic" w:hAnsi="Simplified Arabic"/>
                <w:spacing w:val="-2"/>
                <w:sz w:val="22"/>
                <w:rtl/>
              </w:rPr>
              <w:t>الإعلان التفسيري: تعلن حكومة مملكة تايلند أن مصطلح "تقرير</w:t>
            </w:r>
            <w:r w:rsidR="0060722E" w:rsidRPr="00A40237">
              <w:rPr>
                <w:rFonts w:ascii="Simplified Arabic" w:hAnsi="Simplified Arabic" w:hint="cs"/>
                <w:spacing w:val="-2"/>
                <w:sz w:val="22"/>
                <w:rtl/>
              </w:rPr>
              <w:t> </w:t>
            </w:r>
            <w:r w:rsidRPr="00A40237">
              <w:rPr>
                <w:rFonts w:ascii="Simplified Arabic" w:hAnsi="Simplified Arabic"/>
                <w:spacing w:val="-2"/>
                <w:sz w:val="22"/>
                <w:rtl/>
              </w:rPr>
              <w:t>المصير" الوارد في الفقرة 1 من المادة 1 من العهد يُفسَّر على أنه يتفق مع المصطلح المعرب عنه في إعلان وبرنامج عمل فيينا، الذي اعتمده المؤتمر العالمي لحقوق الإنسان في 25 حزيران/</w:t>
            </w:r>
            <w:r w:rsidR="0060722E" w:rsidRPr="00A40237">
              <w:rPr>
                <w:rFonts w:ascii="Simplified Arabic" w:hAnsi="Simplified Arabic" w:hint="cs"/>
                <w:spacing w:val="-2"/>
                <w:sz w:val="22"/>
                <w:rtl/>
              </w:rPr>
              <w:t xml:space="preserve">    </w:t>
            </w:r>
            <w:r w:rsidRPr="00A40237">
              <w:rPr>
                <w:rFonts w:ascii="Simplified Arabic" w:hAnsi="Simplified Arabic"/>
                <w:spacing w:val="-2"/>
                <w:sz w:val="22"/>
                <w:rtl/>
              </w:rPr>
              <w:t>يونيه 1993.</w:t>
            </w:r>
          </w:p>
        </w:tc>
      </w:tr>
      <w:tr w:rsidR="00DE3D9F" w:rsidRPr="001B6C67" w14:paraId="1C959244" w14:textId="77777777" w:rsidTr="003B756C">
        <w:tc>
          <w:tcPr>
            <w:tcW w:w="2357" w:type="dxa"/>
            <w:tcBorders>
              <w:top w:val="nil"/>
              <w:bottom w:val="nil"/>
            </w:tcBorders>
            <w:shd w:val="clear" w:color="auto" w:fill="auto"/>
          </w:tcPr>
          <w:p w14:paraId="5215B9EA"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اتفاقية حقوق الطفل</w:t>
            </w:r>
          </w:p>
        </w:tc>
        <w:tc>
          <w:tcPr>
            <w:tcW w:w="5221" w:type="dxa"/>
            <w:tcBorders>
              <w:top w:val="nil"/>
              <w:bottom w:val="nil"/>
            </w:tcBorders>
            <w:shd w:val="clear" w:color="auto" w:fill="auto"/>
          </w:tcPr>
          <w:p w14:paraId="268A240B"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1B0794">
              <w:rPr>
                <w:rFonts w:ascii="Simplified Arabic" w:hAnsi="Simplified Arabic"/>
                <w:sz w:val="22"/>
                <w:rtl/>
              </w:rPr>
              <w:t xml:space="preserve">التحفظ: يخضع تطبيق المادة </w:t>
            </w:r>
            <w:r w:rsidRPr="00AF3116">
              <w:rPr>
                <w:rFonts w:ascii="Simplified Arabic" w:hAnsi="Simplified Arabic"/>
                <w:sz w:val="22"/>
                <w:rtl/>
              </w:rPr>
              <w:t>22</w:t>
            </w:r>
            <w:r w:rsidRPr="001B0794">
              <w:rPr>
                <w:rFonts w:ascii="Simplified Arabic" w:hAnsi="Simplified Arabic"/>
                <w:sz w:val="22"/>
                <w:rtl/>
              </w:rPr>
              <w:t xml:space="preserve"> من اتفاقية حقوق الطفل للقوانين والأنظمة الوطنية والممارسات السائدة في تايلند.</w:t>
            </w:r>
          </w:p>
        </w:tc>
      </w:tr>
      <w:tr w:rsidR="00DE3D9F" w:rsidRPr="001B6C67" w14:paraId="0F7B6FAA" w14:textId="77777777" w:rsidTr="003B756C">
        <w:tc>
          <w:tcPr>
            <w:tcW w:w="2357" w:type="dxa"/>
            <w:vMerge w:val="restart"/>
            <w:tcBorders>
              <w:top w:val="nil"/>
              <w:bottom w:val="nil"/>
            </w:tcBorders>
            <w:shd w:val="clear" w:color="auto" w:fill="auto"/>
          </w:tcPr>
          <w:p w14:paraId="3118ED22" w14:textId="77777777" w:rsidR="00DE3D9F" w:rsidRPr="001B0794" w:rsidRDefault="00DE3D9F" w:rsidP="001B0794">
            <w:pPr>
              <w:spacing w:before="40" w:after="120" w:line="340" w:lineRule="exact"/>
              <w:ind w:right="211"/>
              <w:textDirection w:val="tbRlV"/>
              <w:rPr>
                <w:rFonts w:ascii="Simplified Arabic" w:hAnsi="Simplified Arabic"/>
                <w:sz w:val="22"/>
                <w:lang w:val="ar-SA" w:eastAsia="zh-TW" w:bidi="en-GB"/>
              </w:rPr>
            </w:pPr>
            <w:r w:rsidRPr="001B0794">
              <w:rPr>
                <w:rFonts w:ascii="Simplified Arabic" w:hAnsi="Simplified Arabic"/>
                <w:sz w:val="22"/>
                <w:rtl/>
              </w:rPr>
              <w:t>البروتوكول الاختياري لاتفاقية حقوق الطفل بشأن اشتراك الأطفال في المنازعات المسلحة</w:t>
            </w:r>
          </w:p>
        </w:tc>
        <w:tc>
          <w:tcPr>
            <w:tcW w:w="5221" w:type="dxa"/>
            <w:tcBorders>
              <w:top w:val="nil"/>
              <w:bottom w:val="nil"/>
            </w:tcBorders>
            <w:shd w:val="clear" w:color="auto" w:fill="auto"/>
          </w:tcPr>
          <w:p w14:paraId="244DEE32" w14:textId="77777777" w:rsidR="00DE3D9F" w:rsidRPr="001B0794" w:rsidRDefault="00DE3D9F" w:rsidP="001B0794">
            <w:pPr>
              <w:spacing w:before="40" w:after="120" w:line="340" w:lineRule="exact"/>
              <w:ind w:left="293" w:right="113"/>
              <w:textDirection w:val="tbRlV"/>
              <w:rPr>
                <w:rFonts w:ascii="Simplified Arabic" w:hAnsi="Simplified Arabic"/>
                <w:sz w:val="22"/>
              </w:rPr>
            </w:pPr>
            <w:r w:rsidRPr="001B0794">
              <w:rPr>
                <w:rFonts w:ascii="Simplified Arabic" w:hAnsi="Simplified Arabic"/>
                <w:sz w:val="22"/>
                <w:rtl/>
              </w:rPr>
              <w:t>الإعلانات</w:t>
            </w:r>
            <w:r w:rsidRPr="001B0794">
              <w:rPr>
                <w:rFonts w:ascii="Simplified Arabic" w:hAnsi="Simplified Arabic"/>
                <w:sz w:val="22"/>
              </w:rPr>
              <w:t>:</w:t>
            </w:r>
          </w:p>
          <w:p w14:paraId="5CB7BA85" w14:textId="1CF6EB29"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1</w:t>
            </w:r>
            <w:r w:rsidRPr="001B0794">
              <w:rPr>
                <w:rFonts w:ascii="Simplified Arabic" w:hAnsi="Simplified Arabic"/>
                <w:sz w:val="22"/>
                <w:rtl/>
              </w:rPr>
              <w:t xml:space="preserve">- الخدمة العسكرية إلزامية بموجب القانون. وعلى الرجال التايلنديين الذين يبلغون سن </w:t>
            </w:r>
            <w:r w:rsidRPr="00AF3116">
              <w:rPr>
                <w:rFonts w:ascii="Simplified Arabic" w:hAnsi="Simplified Arabic"/>
                <w:sz w:val="22"/>
                <w:rtl/>
              </w:rPr>
              <w:t>18</w:t>
            </w:r>
            <w:r w:rsidRPr="001B0794">
              <w:rPr>
                <w:rFonts w:ascii="Simplified Arabic" w:hAnsi="Simplified Arabic"/>
                <w:sz w:val="22"/>
                <w:rtl/>
              </w:rPr>
              <w:t xml:space="preserve"> عاماً واجب التسجيل في قائمة الأفراد العسكريين غير النشطين. وفي سن </w:t>
            </w:r>
            <w:r w:rsidRPr="00AF3116">
              <w:rPr>
                <w:rFonts w:ascii="Simplified Arabic" w:hAnsi="Simplified Arabic"/>
                <w:sz w:val="22"/>
                <w:rtl/>
              </w:rPr>
              <w:t>الحادية والعشرين</w:t>
            </w:r>
            <w:r w:rsidRPr="001B0794">
              <w:rPr>
                <w:rFonts w:ascii="Simplified Arabic" w:hAnsi="Simplified Arabic"/>
                <w:sz w:val="22"/>
                <w:rtl/>
              </w:rPr>
              <w:t xml:space="preserve">، يصبح الأفراد العسكريون غير النشطين الذين يقع عليهم الاختيار أفراداً عسكريين نشطين. ويجوز للأفراد العسكريين غير النشطين أيضاً أن يتقدموا طوعاً بطلب ليصبحوا أفراداً عسكريين نشطين للخدمة في القوات المسلحة الوطنية. </w:t>
            </w:r>
            <w:r w:rsidRPr="001B0794">
              <w:rPr>
                <w:rFonts w:ascii="Simplified Arabic" w:hAnsi="Simplified Arabic"/>
                <w:sz w:val="22"/>
                <w:rtl/>
              </w:rPr>
              <w:lastRenderedPageBreak/>
              <w:t xml:space="preserve">وتعفى المرأة من الخدمة العسكرية الإلزامية في أوقات السلم وأوقات الحرب على السواء، ولكنها تخضع لواجبات أخرى يسندها القانون. </w:t>
            </w:r>
          </w:p>
        </w:tc>
      </w:tr>
      <w:tr w:rsidR="00DE3D9F" w:rsidRPr="001B6C67" w14:paraId="638B2893" w14:textId="77777777" w:rsidTr="003B756C">
        <w:tc>
          <w:tcPr>
            <w:tcW w:w="2357" w:type="dxa"/>
            <w:vMerge/>
            <w:tcBorders>
              <w:top w:val="nil"/>
              <w:bottom w:val="nil"/>
            </w:tcBorders>
            <w:shd w:val="clear" w:color="auto" w:fill="auto"/>
          </w:tcPr>
          <w:p w14:paraId="0D777D17" w14:textId="77777777" w:rsidR="00DE3D9F" w:rsidRPr="001B0794" w:rsidRDefault="00DE3D9F" w:rsidP="001B0794">
            <w:pPr>
              <w:spacing w:before="40" w:after="120" w:line="340" w:lineRule="exact"/>
              <w:ind w:right="113"/>
              <w:rPr>
                <w:rFonts w:ascii="Simplified Arabic" w:hAnsi="Simplified Arabic"/>
                <w:sz w:val="22"/>
              </w:rPr>
            </w:pPr>
          </w:p>
        </w:tc>
        <w:tc>
          <w:tcPr>
            <w:tcW w:w="5221" w:type="dxa"/>
            <w:tcBorders>
              <w:top w:val="nil"/>
              <w:bottom w:val="nil"/>
            </w:tcBorders>
            <w:shd w:val="clear" w:color="auto" w:fill="auto"/>
          </w:tcPr>
          <w:p w14:paraId="3C0694E7" w14:textId="77777777" w:rsidR="00DE3D9F" w:rsidRPr="001B0794" w:rsidRDefault="00DE3D9F" w:rsidP="001B0794">
            <w:pPr>
              <w:spacing w:before="40" w:after="120" w:line="340" w:lineRule="exact"/>
              <w:ind w:left="293" w:right="113"/>
              <w:textDirection w:val="tbRlV"/>
              <w:rPr>
                <w:rFonts w:ascii="Simplified Arabic" w:hAnsi="Simplified Arabic"/>
                <w:sz w:val="22"/>
                <w:cs/>
                <w:lang w:val="ar-SA" w:eastAsia="zh-TW" w:bidi="en-GB"/>
              </w:rPr>
            </w:pPr>
            <w:r w:rsidRPr="00AF3116">
              <w:rPr>
                <w:rFonts w:ascii="Simplified Arabic" w:hAnsi="Simplified Arabic"/>
                <w:sz w:val="22"/>
                <w:rtl/>
              </w:rPr>
              <w:t>2</w:t>
            </w:r>
            <w:r w:rsidRPr="001B0794">
              <w:rPr>
                <w:rFonts w:ascii="Simplified Arabic" w:hAnsi="Simplified Arabic"/>
                <w:sz w:val="22"/>
                <w:rtl/>
              </w:rPr>
              <w:t xml:space="preserve">- في أوقات الحرب أو الأزمات الوطنية، يمكن تجنيد الأفراد العسكريين غير النشطين (الرجال الذين تزيد أعمارهم عن </w:t>
            </w:r>
            <w:r w:rsidRPr="00AF3116">
              <w:rPr>
                <w:rFonts w:ascii="Simplified Arabic" w:hAnsi="Simplified Arabic"/>
                <w:sz w:val="22"/>
                <w:rtl/>
              </w:rPr>
              <w:t>18</w:t>
            </w:r>
            <w:r w:rsidRPr="001B0794">
              <w:rPr>
                <w:rFonts w:ascii="Simplified Arabic" w:hAnsi="Simplified Arabic"/>
                <w:sz w:val="22"/>
                <w:rtl/>
              </w:rPr>
              <w:t xml:space="preserve"> سنة) للمشاركة في القوات المسلحة.</w:t>
            </w:r>
          </w:p>
        </w:tc>
      </w:tr>
      <w:tr w:rsidR="00DE3D9F" w:rsidRPr="001B6C67" w14:paraId="1B2AC28F" w14:textId="77777777" w:rsidTr="003B756C">
        <w:tc>
          <w:tcPr>
            <w:tcW w:w="2357" w:type="dxa"/>
            <w:vMerge/>
            <w:tcBorders>
              <w:top w:val="nil"/>
              <w:bottom w:val="nil"/>
            </w:tcBorders>
            <w:shd w:val="clear" w:color="auto" w:fill="auto"/>
          </w:tcPr>
          <w:p w14:paraId="6CA07441" w14:textId="77777777" w:rsidR="00DE3D9F" w:rsidRPr="001B0794" w:rsidRDefault="00DE3D9F" w:rsidP="001B0794">
            <w:pPr>
              <w:spacing w:before="40" w:after="120" w:line="340" w:lineRule="exact"/>
              <w:ind w:right="113"/>
              <w:rPr>
                <w:rFonts w:ascii="Simplified Arabic" w:hAnsi="Simplified Arabic"/>
                <w:sz w:val="22"/>
              </w:rPr>
            </w:pPr>
          </w:p>
        </w:tc>
        <w:tc>
          <w:tcPr>
            <w:tcW w:w="5221" w:type="dxa"/>
            <w:tcBorders>
              <w:top w:val="nil"/>
              <w:bottom w:val="nil"/>
            </w:tcBorders>
            <w:shd w:val="clear" w:color="auto" w:fill="auto"/>
          </w:tcPr>
          <w:p w14:paraId="6298CE2F"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3</w:t>
            </w:r>
            <w:r w:rsidRPr="001B0794">
              <w:rPr>
                <w:rFonts w:ascii="Simplified Arabic" w:hAnsi="Simplified Arabic"/>
                <w:sz w:val="22"/>
                <w:rtl/>
              </w:rPr>
              <w:t>- القبول في المدارس العسكرية مثل مدرسة ضباط الصف في الجيش، ومدرسة التدريب التقني الجوي، ومدرسة ضباط الصف البحرية، والمدرسة الإعدادية لأكاديميات القوات المسلحة، وأكاديميات الجيش والبحرية والقوات الجوية يتم على أساس طوعي، اعتماداً على النجاح في امتحانات القبول ويخضع لموافقة الوالدين أو الأوصياء القانونيين.</w:t>
            </w:r>
          </w:p>
        </w:tc>
      </w:tr>
      <w:tr w:rsidR="00DE3D9F" w:rsidRPr="001B6C67" w14:paraId="174FA6DB" w14:textId="77777777" w:rsidTr="003B756C">
        <w:tc>
          <w:tcPr>
            <w:tcW w:w="2357" w:type="dxa"/>
            <w:vMerge/>
            <w:tcBorders>
              <w:top w:val="nil"/>
              <w:bottom w:val="nil"/>
            </w:tcBorders>
            <w:shd w:val="clear" w:color="auto" w:fill="auto"/>
          </w:tcPr>
          <w:p w14:paraId="5276A77D" w14:textId="77777777" w:rsidR="00DE3D9F" w:rsidRPr="001B0794" w:rsidRDefault="00DE3D9F" w:rsidP="001B0794">
            <w:pPr>
              <w:spacing w:before="40" w:after="120" w:line="340" w:lineRule="exact"/>
              <w:ind w:right="113"/>
              <w:rPr>
                <w:rFonts w:ascii="Simplified Arabic" w:hAnsi="Simplified Arabic"/>
                <w:sz w:val="22"/>
              </w:rPr>
            </w:pPr>
          </w:p>
        </w:tc>
        <w:tc>
          <w:tcPr>
            <w:tcW w:w="5221" w:type="dxa"/>
            <w:tcBorders>
              <w:top w:val="nil"/>
              <w:bottom w:val="nil"/>
            </w:tcBorders>
            <w:shd w:val="clear" w:color="auto" w:fill="auto"/>
          </w:tcPr>
          <w:p w14:paraId="2D044173" w14:textId="77777777" w:rsidR="00DE3D9F" w:rsidRPr="001B0794" w:rsidRDefault="00DE3D9F" w:rsidP="001B0794">
            <w:pPr>
              <w:spacing w:before="40" w:after="120" w:line="340" w:lineRule="exact"/>
              <w:ind w:left="293" w:right="113"/>
              <w:textDirection w:val="tbRlV"/>
              <w:rPr>
                <w:rFonts w:ascii="Simplified Arabic" w:hAnsi="Simplified Arabic"/>
                <w:sz w:val="22"/>
                <w:lang w:val="ar-SA" w:eastAsia="zh-TW" w:bidi="en-GB"/>
              </w:rPr>
            </w:pPr>
            <w:r w:rsidRPr="00AF3116">
              <w:rPr>
                <w:rFonts w:ascii="Simplified Arabic" w:hAnsi="Simplified Arabic"/>
                <w:sz w:val="22"/>
                <w:rtl/>
              </w:rPr>
              <w:t>4</w:t>
            </w:r>
            <w:r w:rsidRPr="001B0794">
              <w:rPr>
                <w:rFonts w:ascii="Simplified Arabic" w:hAnsi="Simplified Arabic"/>
                <w:sz w:val="22"/>
                <w:rtl/>
              </w:rPr>
              <w:t xml:space="preserve">- يجوز لطلاب المدارس الثانوية والجامعات، بغض النظر عن النوع الاجتماعي، أن يتقدموا طوعاً بطلب لتلقي التدريب العسكري من قيادة احتياطي الجيش، بموافقة الوالدين أو الأوصياء القانونيين، دون أي استثناء. والطلاب الذين يكملون </w:t>
            </w:r>
            <w:r w:rsidRPr="00AF3116">
              <w:rPr>
                <w:rFonts w:ascii="Simplified Arabic" w:hAnsi="Simplified Arabic"/>
                <w:sz w:val="22"/>
                <w:rtl/>
              </w:rPr>
              <w:t>3</w:t>
            </w:r>
            <w:r w:rsidRPr="001B0794">
              <w:rPr>
                <w:rFonts w:ascii="Simplified Arabic" w:hAnsi="Simplified Arabic"/>
                <w:sz w:val="22"/>
                <w:rtl/>
              </w:rPr>
              <w:t xml:space="preserve"> سنوات من التدريب يعفون من الخدمة العسكرية (كأفراد عسكريين نشطين) عندما يبلغون سن </w:t>
            </w:r>
            <w:r w:rsidRPr="00AF3116">
              <w:rPr>
                <w:rFonts w:ascii="Simplified Arabic" w:hAnsi="Simplified Arabic"/>
                <w:sz w:val="22"/>
                <w:rtl/>
              </w:rPr>
              <w:t>21</w:t>
            </w:r>
            <w:r w:rsidRPr="001B0794">
              <w:rPr>
                <w:rFonts w:ascii="Simplified Arabic" w:hAnsi="Simplified Arabic"/>
                <w:sz w:val="22"/>
                <w:rtl/>
              </w:rPr>
              <w:t xml:space="preserve"> عاماً. </w:t>
            </w:r>
          </w:p>
        </w:tc>
      </w:tr>
      <w:tr w:rsidR="00DE3D9F" w:rsidRPr="001B6C67" w14:paraId="28B3F8DA" w14:textId="77777777" w:rsidTr="003B756C">
        <w:tc>
          <w:tcPr>
            <w:tcW w:w="2357" w:type="dxa"/>
            <w:vMerge/>
            <w:tcBorders>
              <w:top w:val="nil"/>
            </w:tcBorders>
            <w:shd w:val="clear" w:color="auto" w:fill="auto"/>
          </w:tcPr>
          <w:p w14:paraId="65C0DD5F" w14:textId="77777777" w:rsidR="00DE3D9F" w:rsidRPr="001B0794" w:rsidRDefault="00DE3D9F" w:rsidP="001B0794">
            <w:pPr>
              <w:spacing w:before="40" w:after="120" w:line="340" w:lineRule="exact"/>
              <w:ind w:right="113"/>
              <w:rPr>
                <w:rFonts w:ascii="Simplified Arabic" w:hAnsi="Simplified Arabic"/>
                <w:sz w:val="22"/>
              </w:rPr>
            </w:pPr>
          </w:p>
        </w:tc>
        <w:tc>
          <w:tcPr>
            <w:tcW w:w="5221" w:type="dxa"/>
            <w:tcBorders>
              <w:top w:val="nil"/>
            </w:tcBorders>
            <w:shd w:val="clear" w:color="auto" w:fill="auto"/>
          </w:tcPr>
          <w:p w14:paraId="32F98018" w14:textId="77777777" w:rsidR="00DE3D9F" w:rsidRPr="001B0794" w:rsidRDefault="00DE3D9F" w:rsidP="001B0794">
            <w:pPr>
              <w:spacing w:before="40" w:after="120" w:line="340" w:lineRule="exact"/>
              <w:ind w:left="293" w:right="113"/>
              <w:textDirection w:val="tbRlV"/>
              <w:rPr>
                <w:rFonts w:ascii="Simplified Arabic" w:hAnsi="Simplified Arabic"/>
                <w:sz w:val="22"/>
                <w:lang w:eastAsia="zh-TW" w:bidi="en-GB"/>
              </w:rPr>
            </w:pPr>
            <w:r w:rsidRPr="00AF3116">
              <w:rPr>
                <w:rFonts w:ascii="Simplified Arabic" w:hAnsi="Simplified Arabic"/>
                <w:sz w:val="22"/>
                <w:rtl/>
              </w:rPr>
              <w:t>5</w:t>
            </w:r>
            <w:r w:rsidRPr="001B0794">
              <w:rPr>
                <w:rFonts w:ascii="Simplified Arabic" w:hAnsi="Simplified Arabic"/>
                <w:sz w:val="22"/>
                <w:rtl/>
              </w:rPr>
              <w:t>- يحظر القانون الميليشيات غير الحكومية، بغض النظر عن سن الأشخاص المعنيين.</w:t>
            </w:r>
          </w:p>
        </w:tc>
      </w:tr>
    </w:tbl>
    <w:p w14:paraId="1B5E9EC3" w14:textId="0B8986F3" w:rsidR="00DE3D9F" w:rsidRPr="001B6C67" w:rsidRDefault="00DE3D9F" w:rsidP="001B0794">
      <w:pPr>
        <w:pStyle w:val="SingleTxtGA"/>
        <w:spacing w:before="240"/>
        <w:rPr>
          <w:lang w:val="ar-SA" w:eastAsia="zh-TW" w:bidi="en-GB"/>
        </w:rPr>
      </w:pPr>
      <w:r w:rsidRPr="00AF3116">
        <w:rPr>
          <w:rtl/>
        </w:rPr>
        <w:t>79</w:t>
      </w:r>
      <w:r w:rsidRPr="001B6C67">
        <w:rPr>
          <w:rtl/>
        </w:rPr>
        <w:t>-</w:t>
      </w:r>
      <w:r w:rsidRPr="001B6C67">
        <w:rPr>
          <w:rtl/>
        </w:rPr>
        <w:tab/>
        <w:t>وتايلاند طرف أيضاً في اتفاقيات أخرى للأمم المتحدة في مجال حقوق الإنسان واتفاقيات ذات</w:t>
      </w:r>
      <w:r w:rsidR="001B0794">
        <w:rPr>
          <w:rFonts w:hint="cs"/>
          <w:rtl/>
        </w:rPr>
        <w:t> </w:t>
      </w:r>
      <w:r w:rsidRPr="001B6C67">
        <w:rPr>
          <w:rtl/>
        </w:rPr>
        <w:t>صلة</w:t>
      </w:r>
      <w:r w:rsidRPr="001B6C67">
        <w:t>:</w:t>
      </w:r>
      <w:r w:rsidRPr="001B6C67">
        <w:rPr>
          <w:rtl/>
        </w:rPr>
        <w:t xml:space="preserve"> </w:t>
      </w:r>
    </w:p>
    <w:p w14:paraId="17FD50F8" w14:textId="77777777" w:rsidR="00DE3D9F" w:rsidRPr="00DE3D9F" w:rsidRDefault="00DE3D9F" w:rsidP="00883EBA">
      <w:pPr>
        <w:pStyle w:val="SingleTxtGA"/>
        <w:ind w:left="2608" w:hanging="680"/>
        <w:rPr>
          <w:lang w:val="en-US" w:eastAsia="zh-TW" w:bidi="en-GB"/>
        </w:rPr>
      </w:pPr>
      <w:r w:rsidRPr="00AF3116">
        <w:rPr>
          <w:rtl/>
        </w:rPr>
        <w:t>1</w:t>
      </w:r>
      <w:r w:rsidRPr="001B6C67">
        <w:rPr>
          <w:rtl/>
        </w:rPr>
        <w:t>-</w:t>
      </w:r>
      <w:r w:rsidRPr="001B6C67">
        <w:rPr>
          <w:rtl/>
        </w:rPr>
        <w:tab/>
        <w:t xml:space="preserve">اتفاقية لاهاي بشأن الجوانب المدنية لاختطاف الأطفال على الصعيد الدولي في </w:t>
      </w:r>
      <w:r w:rsidRPr="00AF3116">
        <w:rPr>
          <w:rtl/>
        </w:rPr>
        <w:t>1</w:t>
      </w:r>
      <w:r w:rsidRPr="001B6C67">
        <w:rPr>
          <w:rtl/>
        </w:rPr>
        <w:t xml:space="preserve"> تشرين الثاني/نوفمبر </w:t>
      </w:r>
      <w:r w:rsidRPr="00AF3116">
        <w:rPr>
          <w:rtl/>
        </w:rPr>
        <w:t>2002</w:t>
      </w:r>
      <w:r w:rsidRPr="001B6C67">
        <w:rPr>
          <w:rtl/>
        </w:rPr>
        <w:t xml:space="preserve">؛ </w:t>
      </w:r>
    </w:p>
    <w:p w14:paraId="6C18016C" w14:textId="1F512AE9" w:rsidR="00DE3D9F" w:rsidRPr="001B6C67" w:rsidRDefault="00DE3D9F" w:rsidP="00883EBA">
      <w:pPr>
        <w:pStyle w:val="SingleTxtGA"/>
        <w:ind w:left="2608" w:hanging="680"/>
        <w:rPr>
          <w:lang w:val="ar-SA" w:eastAsia="zh-TW" w:bidi="en-GB"/>
        </w:rPr>
      </w:pPr>
      <w:r w:rsidRPr="00AF3116">
        <w:rPr>
          <w:rtl/>
        </w:rPr>
        <w:t>2</w:t>
      </w:r>
      <w:r w:rsidRPr="001B6C67">
        <w:rPr>
          <w:rtl/>
        </w:rPr>
        <w:t>-</w:t>
      </w:r>
      <w:r w:rsidRPr="001B6C67">
        <w:rPr>
          <w:rtl/>
        </w:rPr>
        <w:tab/>
        <w:t>اتفاقية لاهاي بشأن حماية الأطفال والتعاون في مجال التبني على الصعيد الدولي في</w:t>
      </w:r>
      <w:r w:rsidR="00883EBA">
        <w:rPr>
          <w:rFonts w:hint="cs"/>
          <w:rtl/>
        </w:rPr>
        <w:t> </w:t>
      </w:r>
      <w:r w:rsidRPr="00AF3116">
        <w:rPr>
          <w:rtl/>
        </w:rPr>
        <w:t>1</w:t>
      </w:r>
      <w:r w:rsidRPr="001B6C67">
        <w:rPr>
          <w:rtl/>
        </w:rPr>
        <w:t xml:space="preserve"> آب/أغسطس </w:t>
      </w:r>
      <w:r w:rsidRPr="00AF3116">
        <w:rPr>
          <w:rtl/>
        </w:rPr>
        <w:t>2004</w:t>
      </w:r>
      <w:r w:rsidRPr="001B6C67">
        <w:rPr>
          <w:rtl/>
        </w:rPr>
        <w:t xml:space="preserve">؛ </w:t>
      </w:r>
    </w:p>
    <w:p w14:paraId="6FFB8970" w14:textId="6517FC3C" w:rsidR="00DE3D9F" w:rsidRPr="001B6C67" w:rsidRDefault="00DE3D9F" w:rsidP="00883EBA">
      <w:pPr>
        <w:pStyle w:val="SingleTxtGA"/>
        <w:ind w:left="2608" w:hanging="680"/>
        <w:rPr>
          <w:lang w:val="ar-SA" w:eastAsia="zh-TW" w:bidi="en-GB"/>
        </w:rPr>
      </w:pPr>
      <w:r w:rsidRPr="00AF3116">
        <w:rPr>
          <w:rtl/>
        </w:rPr>
        <w:t>3</w:t>
      </w:r>
      <w:r w:rsidRPr="001B6C67">
        <w:rPr>
          <w:rtl/>
        </w:rPr>
        <w:t>-</w:t>
      </w:r>
      <w:r w:rsidRPr="001B6C67">
        <w:rPr>
          <w:rtl/>
        </w:rPr>
        <w:tab/>
        <w:t xml:space="preserve">اتفاقيات منظمة العمل الدولية رقم </w:t>
      </w:r>
      <w:r w:rsidRPr="00AF3116">
        <w:rPr>
          <w:rtl/>
        </w:rPr>
        <w:t>14</w:t>
      </w:r>
      <w:r w:rsidRPr="001B6C67">
        <w:rPr>
          <w:rtl/>
        </w:rPr>
        <w:t xml:space="preserve"> و</w:t>
      </w:r>
      <w:r w:rsidRPr="00AF3116">
        <w:rPr>
          <w:rtl/>
        </w:rPr>
        <w:t>19</w:t>
      </w:r>
      <w:r w:rsidRPr="001B6C67">
        <w:rPr>
          <w:rtl/>
        </w:rPr>
        <w:t xml:space="preserve"> و</w:t>
      </w:r>
      <w:r w:rsidRPr="00AF3116">
        <w:rPr>
          <w:rtl/>
        </w:rPr>
        <w:t>29</w:t>
      </w:r>
      <w:r w:rsidRPr="001B6C67">
        <w:rPr>
          <w:rtl/>
        </w:rPr>
        <w:t xml:space="preserve"> و</w:t>
      </w:r>
      <w:r w:rsidRPr="00AF3116">
        <w:rPr>
          <w:rtl/>
        </w:rPr>
        <w:t>80</w:t>
      </w:r>
      <w:r w:rsidRPr="001B6C67">
        <w:rPr>
          <w:rtl/>
        </w:rPr>
        <w:t xml:space="preserve"> و</w:t>
      </w:r>
      <w:r w:rsidRPr="00AF3116">
        <w:rPr>
          <w:rtl/>
        </w:rPr>
        <w:t>88</w:t>
      </w:r>
      <w:r w:rsidRPr="001B6C67">
        <w:rPr>
          <w:rtl/>
        </w:rPr>
        <w:t xml:space="preserve"> و</w:t>
      </w:r>
      <w:r w:rsidRPr="00AF3116">
        <w:rPr>
          <w:rtl/>
        </w:rPr>
        <w:t>100</w:t>
      </w:r>
      <w:r w:rsidRPr="001B6C67">
        <w:rPr>
          <w:rtl/>
        </w:rPr>
        <w:t xml:space="preserve"> و</w:t>
      </w:r>
      <w:r w:rsidRPr="00AF3116">
        <w:rPr>
          <w:rtl/>
        </w:rPr>
        <w:t>105</w:t>
      </w:r>
      <w:r w:rsidRPr="001B6C67">
        <w:rPr>
          <w:rtl/>
        </w:rPr>
        <w:t xml:space="preserve"> و</w:t>
      </w:r>
      <w:r w:rsidRPr="00AF3116">
        <w:rPr>
          <w:rtl/>
        </w:rPr>
        <w:t>111</w:t>
      </w:r>
      <w:r w:rsidRPr="001B6C67">
        <w:rPr>
          <w:rtl/>
        </w:rPr>
        <w:t xml:space="preserve"> و</w:t>
      </w:r>
      <w:r w:rsidRPr="00AF3116">
        <w:rPr>
          <w:rtl/>
        </w:rPr>
        <w:t>122</w:t>
      </w:r>
      <w:r w:rsidRPr="001B6C67">
        <w:rPr>
          <w:rtl/>
        </w:rPr>
        <w:t xml:space="preserve"> و</w:t>
      </w:r>
      <w:r w:rsidRPr="00AF3116">
        <w:rPr>
          <w:rtl/>
        </w:rPr>
        <w:t>127</w:t>
      </w:r>
      <w:r w:rsidRPr="001B6C67">
        <w:rPr>
          <w:rtl/>
        </w:rPr>
        <w:t xml:space="preserve"> و</w:t>
      </w:r>
      <w:r w:rsidRPr="00AF3116">
        <w:rPr>
          <w:rtl/>
        </w:rPr>
        <w:t>138</w:t>
      </w:r>
      <w:r w:rsidRPr="001B6C67">
        <w:rPr>
          <w:rtl/>
        </w:rPr>
        <w:t xml:space="preserve"> و</w:t>
      </w:r>
      <w:r w:rsidRPr="00AF3116">
        <w:rPr>
          <w:rtl/>
        </w:rPr>
        <w:t>159</w:t>
      </w:r>
      <w:r w:rsidRPr="001B6C67">
        <w:rPr>
          <w:rtl/>
        </w:rPr>
        <w:t xml:space="preserve"> و</w:t>
      </w:r>
      <w:r w:rsidRPr="00AF3116">
        <w:rPr>
          <w:rtl/>
        </w:rPr>
        <w:t>182</w:t>
      </w:r>
      <w:r w:rsidRPr="001B6C67">
        <w:rPr>
          <w:rtl/>
        </w:rPr>
        <w:t xml:space="preserve"> و</w:t>
      </w:r>
      <w:r w:rsidRPr="00AF3116">
        <w:rPr>
          <w:rtl/>
        </w:rPr>
        <w:t>187</w:t>
      </w:r>
      <w:r w:rsidRPr="001B6C67">
        <w:rPr>
          <w:rtl/>
        </w:rPr>
        <w:t xml:space="preserve"> و</w:t>
      </w:r>
      <w:r w:rsidRPr="00AF3116">
        <w:rPr>
          <w:rtl/>
        </w:rPr>
        <w:t>188</w:t>
      </w:r>
      <w:r w:rsidRPr="001B6C67">
        <w:rPr>
          <w:rtl/>
        </w:rPr>
        <w:t>، واتفاقية العمل البحري لعام</w:t>
      </w:r>
      <w:r w:rsidR="00883EBA">
        <w:rPr>
          <w:rFonts w:hint="cs"/>
          <w:rtl/>
        </w:rPr>
        <w:t> </w:t>
      </w:r>
      <w:r w:rsidRPr="00AF3116">
        <w:rPr>
          <w:rtl/>
        </w:rPr>
        <w:t>2006</w:t>
      </w:r>
      <w:r w:rsidRPr="001B6C67">
        <w:rPr>
          <w:rtl/>
        </w:rPr>
        <w:t xml:space="preserve">، وبروتوكول منظمة العمل الدولية لعام </w:t>
      </w:r>
      <w:r w:rsidRPr="00AF3116">
        <w:rPr>
          <w:rtl/>
        </w:rPr>
        <w:t>2014</w:t>
      </w:r>
      <w:r w:rsidRPr="001B6C67">
        <w:rPr>
          <w:rtl/>
        </w:rPr>
        <w:t xml:space="preserve"> الملحق باتفاقية العمل الجبري، </w:t>
      </w:r>
      <w:r w:rsidRPr="00AF3116">
        <w:rPr>
          <w:rtl/>
        </w:rPr>
        <w:t>1930</w:t>
      </w:r>
      <w:r w:rsidRPr="001B6C67">
        <w:rPr>
          <w:rtl/>
        </w:rPr>
        <w:t>؛</w:t>
      </w:r>
    </w:p>
    <w:p w14:paraId="1FD47B9C" w14:textId="4B20FBE4" w:rsidR="00DE3D9F" w:rsidRPr="001B6C67" w:rsidRDefault="00DE3D9F" w:rsidP="00883EBA">
      <w:pPr>
        <w:pStyle w:val="SingleTxtGA"/>
        <w:ind w:left="2608" w:hanging="680"/>
        <w:rPr>
          <w:lang w:val="ar-SA" w:eastAsia="zh-TW" w:bidi="en-GB"/>
        </w:rPr>
      </w:pPr>
      <w:r w:rsidRPr="00AF3116">
        <w:rPr>
          <w:rtl/>
        </w:rPr>
        <w:t>4</w:t>
      </w:r>
      <w:r w:rsidRPr="001B6C67">
        <w:rPr>
          <w:rtl/>
        </w:rPr>
        <w:t>-</w:t>
      </w:r>
      <w:r w:rsidRPr="001B6C67">
        <w:rPr>
          <w:rtl/>
        </w:rPr>
        <w:tab/>
        <w:t xml:space="preserve">معاهدة مراكش لتيسير النفاذ إلى المصنفات المنشورة لفائدة الاشخاص المكفوفين </w:t>
      </w:r>
      <w:r w:rsidRPr="00883EBA">
        <w:rPr>
          <w:spacing w:val="-4"/>
          <w:rtl/>
        </w:rPr>
        <w:t>او</w:t>
      </w:r>
      <w:r w:rsidR="00883EBA" w:rsidRPr="00883EBA">
        <w:rPr>
          <w:rFonts w:hint="cs"/>
          <w:spacing w:val="-4"/>
          <w:rtl/>
        </w:rPr>
        <w:t> </w:t>
      </w:r>
      <w:r w:rsidRPr="00883EBA">
        <w:rPr>
          <w:spacing w:val="-4"/>
          <w:rtl/>
        </w:rPr>
        <w:t xml:space="preserve">معاقي البصر أو ذوي إعاقات أخرى في قراءة المطبوعات في </w:t>
      </w:r>
      <w:r w:rsidRPr="00AF3116">
        <w:rPr>
          <w:spacing w:val="-4"/>
          <w:rtl/>
        </w:rPr>
        <w:t>28</w:t>
      </w:r>
      <w:r w:rsidRPr="00883EBA">
        <w:rPr>
          <w:spacing w:val="-4"/>
          <w:rtl/>
        </w:rPr>
        <w:t xml:space="preserve"> نيسان/أبريل </w:t>
      </w:r>
      <w:r w:rsidRPr="00AF3116">
        <w:rPr>
          <w:spacing w:val="-4"/>
          <w:rtl/>
        </w:rPr>
        <w:t>2019</w:t>
      </w:r>
      <w:r w:rsidRPr="00883EBA">
        <w:rPr>
          <w:spacing w:val="-4"/>
          <w:rtl/>
        </w:rPr>
        <w:t>.</w:t>
      </w:r>
    </w:p>
    <w:p w14:paraId="3596D522" w14:textId="77777777" w:rsidR="00DE3D9F" w:rsidRPr="007E4AE3" w:rsidRDefault="00DE3D9F" w:rsidP="001B0794">
      <w:pPr>
        <w:pStyle w:val="H23GA"/>
        <w:rPr>
          <w:lang w:val="en-US" w:eastAsia="zh-TW"/>
        </w:rPr>
      </w:pPr>
      <w:r w:rsidRPr="001B6C67">
        <w:rPr>
          <w:rtl/>
        </w:rPr>
        <w:tab/>
      </w:r>
      <w:r w:rsidRPr="001B6C67">
        <w:rPr>
          <w:rtl/>
        </w:rPr>
        <w:tab/>
      </w:r>
      <w:r w:rsidRPr="00AF3116">
        <w:rPr>
          <w:rtl/>
        </w:rPr>
        <w:t>الاستثناءات أو القيود</w:t>
      </w:r>
    </w:p>
    <w:p w14:paraId="767B3B6F" w14:textId="134E7E8B" w:rsidR="00DE3D9F" w:rsidRPr="001B6C67" w:rsidRDefault="00DE3D9F" w:rsidP="00DE3D9F">
      <w:pPr>
        <w:pStyle w:val="SingleTxtGA"/>
        <w:rPr>
          <w:lang w:val="ar-SA" w:eastAsia="zh-TW" w:bidi="en-GB"/>
        </w:rPr>
      </w:pPr>
      <w:r w:rsidRPr="00AF3116">
        <w:rPr>
          <w:rtl/>
        </w:rPr>
        <w:t>80</w:t>
      </w:r>
      <w:r w:rsidRPr="001B6C67">
        <w:rPr>
          <w:rtl/>
        </w:rPr>
        <w:t>-</w:t>
      </w:r>
      <w:r w:rsidRPr="001B6C67">
        <w:rPr>
          <w:rtl/>
        </w:rPr>
        <w:tab/>
        <w:t xml:space="preserve">في </w:t>
      </w:r>
      <w:r w:rsidRPr="00AF3116">
        <w:rPr>
          <w:rtl/>
        </w:rPr>
        <w:t>4</w:t>
      </w:r>
      <w:r w:rsidRPr="001B6C67">
        <w:rPr>
          <w:rtl/>
        </w:rPr>
        <w:t xml:space="preserve"> حزيران/يونيه </w:t>
      </w:r>
      <w:r w:rsidRPr="00AF3116">
        <w:rPr>
          <w:rtl/>
        </w:rPr>
        <w:t>2020</w:t>
      </w:r>
      <w:r w:rsidRPr="001B6C67">
        <w:rPr>
          <w:rtl/>
        </w:rPr>
        <w:t xml:space="preserve">، أخطرت تايلاند الدول الأطراف الأخرى في العهد الدولي الخاص بالحقوق المدنية والسياسية عن طريق الأمين العام للأمم المتحدة بشأن إعلان حالة طوارئ، بموجب </w:t>
      </w:r>
      <w:r w:rsidRPr="001B6C67">
        <w:rPr>
          <w:rtl/>
        </w:rPr>
        <w:lastRenderedPageBreak/>
        <w:t>المادة</w:t>
      </w:r>
      <w:r w:rsidR="00883EBA">
        <w:rPr>
          <w:rFonts w:hint="cs"/>
          <w:rtl/>
        </w:rPr>
        <w:t> </w:t>
      </w:r>
      <w:r w:rsidRPr="00AF3116">
        <w:rPr>
          <w:rtl/>
        </w:rPr>
        <w:t>5</w:t>
      </w:r>
      <w:r w:rsidRPr="001B6C67">
        <w:rPr>
          <w:rtl/>
        </w:rPr>
        <w:t xml:space="preserve"> من مرسوم الطوارئ المتعلق بالإدارة العامة في حالات الطوارئ</w:t>
      </w:r>
      <w:r>
        <w:rPr>
          <w:rtl/>
        </w:rPr>
        <w:t xml:space="preserve"> </w:t>
      </w:r>
      <w:r w:rsidRPr="00883EBA">
        <w:rPr>
          <w:rFonts w:cs="Times New Roman"/>
          <w:rtl/>
        </w:rPr>
        <w:t xml:space="preserve">B.E. </w:t>
      </w:r>
      <w:r w:rsidRPr="00AF3116">
        <w:rPr>
          <w:rtl/>
        </w:rPr>
        <w:t>2548</w:t>
      </w:r>
      <w:r w:rsidRPr="001B6C67">
        <w:rPr>
          <w:rtl/>
        </w:rPr>
        <w:t xml:space="preserve"> (</w:t>
      </w:r>
      <w:r w:rsidRPr="00AF3116">
        <w:rPr>
          <w:rtl/>
        </w:rPr>
        <w:t>2005</w:t>
      </w:r>
      <w:r w:rsidRPr="001B6C67">
        <w:rPr>
          <w:rtl/>
        </w:rPr>
        <w:t xml:space="preserve">)، في جميع مناطق تايلاند حتى </w:t>
      </w:r>
      <w:r w:rsidRPr="00AF3116">
        <w:rPr>
          <w:rtl/>
        </w:rPr>
        <w:t>30</w:t>
      </w:r>
      <w:r w:rsidRPr="001B6C67">
        <w:rPr>
          <w:rtl/>
        </w:rPr>
        <w:t xml:space="preserve"> حزيران/يونيه </w:t>
      </w:r>
      <w:r w:rsidRPr="00AF3116">
        <w:rPr>
          <w:rtl/>
        </w:rPr>
        <w:t>2020</w:t>
      </w:r>
      <w:r w:rsidRPr="001B6C67">
        <w:rPr>
          <w:rtl/>
        </w:rPr>
        <w:t xml:space="preserve"> استجابة لتفشي فيروس كورونا </w:t>
      </w:r>
      <w:r w:rsidRPr="00AF3116">
        <w:rPr>
          <w:rtl/>
        </w:rPr>
        <w:t>2019</w:t>
      </w:r>
      <w:r w:rsidRPr="001B6C67">
        <w:rPr>
          <w:rtl/>
        </w:rPr>
        <w:t xml:space="preserve">، وبالتالي ممارسة حق </w:t>
      </w:r>
      <w:r>
        <w:rPr>
          <w:rtl/>
        </w:rPr>
        <w:t>عدم التقيد</w:t>
      </w:r>
      <w:r w:rsidRPr="001B6C67">
        <w:rPr>
          <w:rtl/>
        </w:rPr>
        <w:t xml:space="preserve"> بموجب الفقرة </w:t>
      </w:r>
      <w:r w:rsidRPr="00AF3116">
        <w:rPr>
          <w:rtl/>
        </w:rPr>
        <w:t>1</w:t>
      </w:r>
      <w:r w:rsidRPr="001B6C67">
        <w:rPr>
          <w:rtl/>
        </w:rPr>
        <w:t xml:space="preserve"> من المادة </w:t>
      </w:r>
      <w:r w:rsidRPr="00AF3116">
        <w:rPr>
          <w:rtl/>
        </w:rPr>
        <w:t>4</w:t>
      </w:r>
      <w:r w:rsidRPr="001B6C67">
        <w:rPr>
          <w:rtl/>
        </w:rPr>
        <w:t xml:space="preserve"> من العهد الدولي الخاص بالحقوق المدنية والسياسية. </w:t>
      </w:r>
    </w:p>
    <w:p w14:paraId="70A41977" w14:textId="77777777" w:rsidR="00DE3D9F" w:rsidRPr="001B6C67" w:rsidRDefault="00DE3D9F" w:rsidP="00DE3D9F">
      <w:pPr>
        <w:pStyle w:val="SingleTxtGA"/>
        <w:rPr>
          <w:lang w:val="ar-SA" w:eastAsia="zh-TW" w:bidi="en-GB"/>
        </w:rPr>
      </w:pPr>
      <w:r w:rsidRPr="00AF3116">
        <w:rPr>
          <w:rtl/>
        </w:rPr>
        <w:t>81</w:t>
      </w:r>
      <w:r w:rsidRPr="001B6C67">
        <w:rPr>
          <w:rtl/>
        </w:rPr>
        <w:t>-</w:t>
      </w:r>
      <w:r w:rsidRPr="001B6C67">
        <w:rPr>
          <w:rtl/>
        </w:rPr>
        <w:tab/>
        <w:t>واعتبرت تايلند أن من الضروري اتخاذ تدابير مؤقتة وعاجلة لحماية الصحة العامة والسلامة وعيش الشعب في سلام، فضلاً عن قمع مكافحة انتشار كوفيد-</w:t>
      </w:r>
      <w:r w:rsidRPr="00AF3116">
        <w:rPr>
          <w:rtl/>
        </w:rPr>
        <w:t>19</w:t>
      </w:r>
      <w:r w:rsidRPr="001B6C67">
        <w:rPr>
          <w:rtl/>
        </w:rPr>
        <w:t xml:space="preserve">. وقد تنطوي بعض هذه التدابير العاجلة المؤقتة على عدم التقيد ببعض التزاماتها بموجب العهد الدولي الخاص بالحقوق المدنية والسياسية، ولا سيما المادة </w:t>
      </w:r>
      <w:r w:rsidRPr="00AF3116">
        <w:rPr>
          <w:rtl/>
        </w:rPr>
        <w:t>12</w:t>
      </w:r>
      <w:r w:rsidRPr="001B6C67">
        <w:rPr>
          <w:rtl/>
        </w:rPr>
        <w:t xml:space="preserve">. ولم تتأثر بالتدابير العاجلة المؤقتة المذكورة الحقوق غير القابلة للتقييد المنصوص عليها في المواد </w:t>
      </w:r>
      <w:r w:rsidRPr="00AF3116">
        <w:rPr>
          <w:rtl/>
        </w:rPr>
        <w:t>6</w:t>
      </w:r>
      <w:r w:rsidRPr="001B6C67">
        <w:rPr>
          <w:rtl/>
        </w:rPr>
        <w:t xml:space="preserve"> و</w:t>
      </w:r>
      <w:r w:rsidRPr="00AF3116">
        <w:rPr>
          <w:rtl/>
        </w:rPr>
        <w:t>7</w:t>
      </w:r>
      <w:r w:rsidRPr="001B6C67">
        <w:rPr>
          <w:rtl/>
        </w:rPr>
        <w:t xml:space="preserve"> و</w:t>
      </w:r>
      <w:r w:rsidRPr="00AF3116">
        <w:rPr>
          <w:rtl/>
        </w:rPr>
        <w:t>8</w:t>
      </w:r>
      <w:r w:rsidRPr="001B6C67">
        <w:rPr>
          <w:rtl/>
        </w:rPr>
        <w:t xml:space="preserve"> (الفقرتين </w:t>
      </w:r>
      <w:r w:rsidRPr="00AF3116">
        <w:rPr>
          <w:rtl/>
        </w:rPr>
        <w:t>1</w:t>
      </w:r>
      <w:r w:rsidRPr="001B6C67">
        <w:rPr>
          <w:rtl/>
        </w:rPr>
        <w:t xml:space="preserve"> و</w:t>
      </w:r>
      <w:r w:rsidRPr="00AF3116">
        <w:rPr>
          <w:rtl/>
        </w:rPr>
        <w:t>2</w:t>
      </w:r>
      <w:r w:rsidRPr="001B6C67">
        <w:rPr>
          <w:rtl/>
        </w:rPr>
        <w:t>) و</w:t>
      </w:r>
      <w:r w:rsidRPr="00AF3116">
        <w:rPr>
          <w:rtl/>
        </w:rPr>
        <w:t>11</w:t>
      </w:r>
      <w:r w:rsidRPr="001B6C67">
        <w:rPr>
          <w:rtl/>
        </w:rPr>
        <w:t xml:space="preserve"> و</w:t>
      </w:r>
      <w:r w:rsidRPr="00AF3116">
        <w:rPr>
          <w:rtl/>
        </w:rPr>
        <w:t>15</w:t>
      </w:r>
      <w:r w:rsidRPr="001B6C67">
        <w:rPr>
          <w:rtl/>
        </w:rPr>
        <w:t xml:space="preserve"> و</w:t>
      </w:r>
      <w:r w:rsidRPr="00AF3116">
        <w:rPr>
          <w:rtl/>
        </w:rPr>
        <w:t>16</w:t>
      </w:r>
      <w:r w:rsidRPr="001B6C67">
        <w:rPr>
          <w:rtl/>
        </w:rPr>
        <w:t xml:space="preserve"> و</w:t>
      </w:r>
      <w:r w:rsidRPr="00AF3116">
        <w:rPr>
          <w:rtl/>
        </w:rPr>
        <w:t>18</w:t>
      </w:r>
      <w:r w:rsidRPr="001B6C67">
        <w:rPr>
          <w:rtl/>
        </w:rPr>
        <w:t xml:space="preserve"> من العهد. وأصبح هذا الإخطار سارياً منذ </w:t>
      </w:r>
      <w:r w:rsidRPr="00AF3116">
        <w:rPr>
          <w:rtl/>
        </w:rPr>
        <w:t>5</w:t>
      </w:r>
      <w:r w:rsidRPr="001B6C67">
        <w:rPr>
          <w:rtl/>
        </w:rPr>
        <w:t xml:space="preserve"> حزيران/يونيه </w:t>
      </w:r>
      <w:r w:rsidRPr="00AF3116">
        <w:rPr>
          <w:rtl/>
        </w:rPr>
        <w:t>2020</w:t>
      </w:r>
      <w:r w:rsidRPr="001B6C67">
        <w:rPr>
          <w:rtl/>
        </w:rPr>
        <w:t xml:space="preserve">. </w:t>
      </w:r>
    </w:p>
    <w:p w14:paraId="6271EC14" w14:textId="77777777" w:rsidR="00DE3D9F" w:rsidRPr="001B6C67" w:rsidRDefault="00DE3D9F" w:rsidP="00883EBA">
      <w:pPr>
        <w:pStyle w:val="H1GA"/>
        <w:rPr>
          <w:lang w:val="ar-SA" w:eastAsia="zh-TW" w:bidi="en-GB"/>
        </w:rPr>
      </w:pPr>
      <w:r>
        <w:rPr>
          <w:rtl/>
        </w:rPr>
        <w:tab/>
      </w:r>
      <w:bookmarkStart w:id="15" w:name="_Toc92899418"/>
      <w:r w:rsidRPr="001B6C67">
        <w:rPr>
          <w:rtl/>
        </w:rPr>
        <w:t>باء-</w:t>
      </w:r>
      <w:r w:rsidRPr="001B6C67">
        <w:rPr>
          <w:rtl/>
        </w:rPr>
        <w:tab/>
      </w:r>
      <w:r w:rsidRPr="00AF3116">
        <w:rPr>
          <w:rtl/>
        </w:rPr>
        <w:t>الإطار القانوني لحماية حقوق الإنسان على الصعيد الوطني</w:t>
      </w:r>
      <w:bookmarkStart w:id="16" w:name="_Toc89701537"/>
      <w:bookmarkEnd w:id="16"/>
      <w:bookmarkEnd w:id="15"/>
    </w:p>
    <w:p w14:paraId="477AB33A"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دستور عام 2017</w:t>
      </w:r>
    </w:p>
    <w:p w14:paraId="493A8A7E" w14:textId="77777777" w:rsidR="00DE3D9F" w:rsidRPr="001B6C67" w:rsidRDefault="00DE3D9F" w:rsidP="00DE3D9F">
      <w:pPr>
        <w:pStyle w:val="SingleTxtGA"/>
        <w:rPr>
          <w:lang w:val="ar-SA" w:eastAsia="zh-TW" w:bidi="en-GB"/>
        </w:rPr>
      </w:pPr>
      <w:bookmarkStart w:id="17" w:name="_Ref43993388"/>
      <w:r w:rsidRPr="00AF3116">
        <w:rPr>
          <w:rtl/>
        </w:rPr>
        <w:t>82</w:t>
      </w:r>
      <w:r w:rsidRPr="001B6C67">
        <w:rPr>
          <w:rtl/>
        </w:rPr>
        <w:t>-</w:t>
      </w:r>
      <w:r w:rsidRPr="001B6C67">
        <w:rPr>
          <w:rtl/>
        </w:rPr>
        <w:tab/>
        <w:t xml:space="preserve">كُرِّست الحقوق الأساسية المعترف بها في الإعلان العالمي لحقوق الإنسان والمعاهدات الدولية لحقوق الإنسان التي انضمت إليها تايلاند في دستور عام </w:t>
      </w:r>
      <w:r w:rsidRPr="00AF3116">
        <w:rPr>
          <w:rtl/>
        </w:rPr>
        <w:t>2017</w:t>
      </w:r>
      <w:r w:rsidRPr="001B6C67">
        <w:rPr>
          <w:rtl/>
        </w:rPr>
        <w:t xml:space="preserve">، تماشياً مع الدساتير السابقة. ويكفل دستور عام </w:t>
      </w:r>
      <w:r w:rsidRPr="00AF3116">
        <w:rPr>
          <w:rtl/>
        </w:rPr>
        <w:t>2017</w:t>
      </w:r>
      <w:r w:rsidRPr="001B6C67">
        <w:rPr>
          <w:rtl/>
        </w:rPr>
        <w:t xml:space="preserve"> حقوق الناس وحرياتهم، ويركز على المساواة بين الأشخاص أمام القانون، ويحظر التمييز على أي أساس كان. ويكفل هذا الدستور كذلك ممارسة حقوق وحريات الشخص، حتى وإن لم تكن مدرجة صراحة في الدستور، ما دامت غير محظورة أو مقيدة بموجب الدستور أو القوانين، وما دامت هذه الممارسة للحقوق والحريات لا تمس الأمن القومي أو النظام العام أو الأخلاق الحميدة، ولا تنتهك حقوق الآخرين وحرياتهم.</w:t>
      </w:r>
      <w:bookmarkEnd w:id="17"/>
    </w:p>
    <w:p w14:paraId="65DFD61E" w14:textId="77777777" w:rsidR="00DE3D9F" w:rsidRPr="001B6C67" w:rsidRDefault="00DE3D9F" w:rsidP="00DE3D9F">
      <w:pPr>
        <w:pStyle w:val="SingleTxtGA"/>
        <w:rPr>
          <w:lang w:val="ar-SA" w:eastAsia="zh-TW" w:bidi="en-GB"/>
        </w:rPr>
      </w:pPr>
      <w:r w:rsidRPr="00AF3116">
        <w:rPr>
          <w:rtl/>
        </w:rPr>
        <w:t>83</w:t>
      </w:r>
      <w:r w:rsidRPr="001B6C67">
        <w:rPr>
          <w:rtl/>
        </w:rPr>
        <w:t>-</w:t>
      </w:r>
      <w:r w:rsidRPr="001B6C67">
        <w:rPr>
          <w:rtl/>
        </w:rPr>
        <w:tab/>
        <w:t xml:space="preserve">وقد تبنى دستور عام </w:t>
      </w:r>
      <w:r w:rsidRPr="00AF3116">
        <w:rPr>
          <w:rtl/>
        </w:rPr>
        <w:t>2017</w:t>
      </w:r>
      <w:r w:rsidRPr="001B6C67">
        <w:rPr>
          <w:rtl/>
        </w:rPr>
        <w:t xml:space="preserve"> مبدأ </w:t>
      </w:r>
      <w:proofErr w:type="spellStart"/>
      <w:r w:rsidRPr="001B6C67">
        <w:rPr>
          <w:rtl/>
        </w:rPr>
        <w:t>الميزنة</w:t>
      </w:r>
      <w:proofErr w:type="spellEnd"/>
      <w:r w:rsidRPr="001B6C67">
        <w:rPr>
          <w:rtl/>
        </w:rPr>
        <w:t xml:space="preserve"> المراعية للمنظور </w:t>
      </w:r>
      <w:proofErr w:type="spellStart"/>
      <w:r w:rsidRPr="001B6C67">
        <w:rPr>
          <w:rtl/>
        </w:rPr>
        <w:t>الجنساني</w:t>
      </w:r>
      <w:proofErr w:type="spellEnd"/>
      <w:r w:rsidRPr="001B6C67">
        <w:rPr>
          <w:rtl/>
        </w:rPr>
        <w:t xml:space="preserve">. ووفقاً للمادة </w:t>
      </w:r>
      <w:r w:rsidRPr="00AF3116">
        <w:rPr>
          <w:rtl/>
        </w:rPr>
        <w:t>71</w:t>
      </w:r>
      <w:r w:rsidRPr="001B6C67">
        <w:rPr>
          <w:rtl/>
        </w:rPr>
        <w:t>، ينبغي للدولة أن تأخذ في الاعتبار الضروريات والاحتياجات المختلف</w:t>
      </w:r>
      <w:r>
        <w:rPr>
          <w:rtl/>
        </w:rPr>
        <w:t>ة</w:t>
      </w:r>
      <w:r w:rsidRPr="001B6C67">
        <w:rPr>
          <w:rtl/>
        </w:rPr>
        <w:t xml:space="preserve"> المتعلقة بالنوع الاجتماعي والعمر وظروف الأشخاص عند تخصيص الميزانية.</w:t>
      </w:r>
    </w:p>
    <w:p w14:paraId="57262EA3" w14:textId="7F5CE620" w:rsidR="00DE3D9F" w:rsidRPr="00883EBA" w:rsidRDefault="00DE3D9F" w:rsidP="00DE3D9F">
      <w:pPr>
        <w:pStyle w:val="SingleTxtGA"/>
        <w:rPr>
          <w:lang w:val="en-US" w:eastAsia="zh-TW" w:bidi="en-GB"/>
        </w:rPr>
      </w:pPr>
      <w:bookmarkStart w:id="18" w:name="_Ref43993391"/>
      <w:r w:rsidRPr="00AF3116">
        <w:rPr>
          <w:rtl/>
        </w:rPr>
        <w:t>84</w:t>
      </w:r>
      <w:r w:rsidRPr="001B6C67">
        <w:rPr>
          <w:rtl/>
        </w:rPr>
        <w:t>-</w:t>
      </w:r>
      <w:r w:rsidRPr="001B6C67">
        <w:rPr>
          <w:rtl/>
        </w:rPr>
        <w:tab/>
        <w:t xml:space="preserve">ومن بين العناصر المبتكرة، تنص المادة </w:t>
      </w:r>
      <w:r w:rsidRPr="00AF3116">
        <w:rPr>
          <w:rtl/>
        </w:rPr>
        <w:t>77</w:t>
      </w:r>
      <w:r w:rsidRPr="001B6C67">
        <w:rPr>
          <w:rtl/>
        </w:rPr>
        <w:t xml:space="preserve"> من دستور</w:t>
      </w:r>
      <w:r>
        <w:rPr>
          <w:rtl/>
        </w:rPr>
        <w:t xml:space="preserve"> عام</w:t>
      </w:r>
      <w:r w:rsidRPr="001B6C67">
        <w:rPr>
          <w:rtl/>
        </w:rPr>
        <w:t xml:space="preserve"> </w:t>
      </w:r>
      <w:r w:rsidRPr="00AF3116">
        <w:rPr>
          <w:rtl/>
        </w:rPr>
        <w:t>2017</w:t>
      </w:r>
      <w:r w:rsidRPr="001B6C67">
        <w:rPr>
          <w:rtl/>
        </w:rPr>
        <w:t xml:space="preserve"> على أنه قبل سن كل قانون، ينبغي للدولة </w:t>
      </w:r>
      <w:r w:rsidR="0060722E" w:rsidRPr="00AF3116">
        <w:rPr>
          <w:rFonts w:hint="cs"/>
          <w:rtl/>
        </w:rPr>
        <w:t>’1‘</w:t>
      </w:r>
      <w:r w:rsidRPr="001B6C67">
        <w:rPr>
          <w:rtl/>
        </w:rPr>
        <w:t xml:space="preserve"> أن تجري مشاورات مع أصحاب المصلحة، </w:t>
      </w:r>
      <w:r w:rsidR="0060722E" w:rsidRPr="00AF3116">
        <w:rPr>
          <w:rFonts w:hint="cs"/>
          <w:rtl/>
        </w:rPr>
        <w:t>’2‘</w:t>
      </w:r>
      <w:r w:rsidR="0060722E">
        <w:rPr>
          <w:rFonts w:hint="cs"/>
          <w:rtl/>
        </w:rPr>
        <w:t xml:space="preserve"> </w:t>
      </w:r>
      <w:r w:rsidRPr="001B6C67">
        <w:rPr>
          <w:rtl/>
        </w:rPr>
        <w:t>أن تحلل بشكل شامل ومنهجي</w:t>
      </w:r>
      <w:r w:rsidR="0060722E">
        <w:rPr>
          <w:rFonts w:hint="cs"/>
          <w:rtl/>
        </w:rPr>
        <w:t> </w:t>
      </w:r>
      <w:r w:rsidRPr="001B6C67">
        <w:rPr>
          <w:rtl/>
        </w:rPr>
        <w:t xml:space="preserve">أي آثار قد تحدث من جراء القانون، </w:t>
      </w:r>
      <w:r w:rsidR="0060722E" w:rsidRPr="00AF3116">
        <w:rPr>
          <w:rFonts w:hint="cs"/>
          <w:rtl/>
        </w:rPr>
        <w:t>’3‘</w:t>
      </w:r>
      <w:r w:rsidRPr="001B6C67">
        <w:rPr>
          <w:rtl/>
        </w:rPr>
        <w:t xml:space="preserve"> أن تكشف عن نتائج المشاورات والتحليل للجمهور، وكذلك أن تأخذها في الاعتبار في كل مرحلة من مراحل العملية التشريعية. ويتطلب ذلك أن تجري الدولة، عند دخول أي قانون حيز النفاذ، تقييماً شاملاً في كل فترة زمنية محددة لتنفيذ القانون الذي تجرى من أجله مشاورات مع أصحاب المصلحة، بغية ضمان أن تكون جميع القوانين مناسبة للسياقات المتغيرة وملائمة</w:t>
      </w:r>
      <w:r w:rsidR="00883EBA">
        <w:rPr>
          <w:rFonts w:hint="eastAsia"/>
          <w:rtl/>
        </w:rPr>
        <w:t> </w:t>
      </w:r>
      <w:r w:rsidRPr="001B6C67">
        <w:rPr>
          <w:rtl/>
        </w:rPr>
        <w:t xml:space="preserve">لها. </w:t>
      </w:r>
      <w:bookmarkEnd w:id="18"/>
    </w:p>
    <w:p w14:paraId="6ED81913" w14:textId="77777777" w:rsidR="00DE3D9F" w:rsidRPr="001B6C67" w:rsidRDefault="00DE3D9F" w:rsidP="00883EBA">
      <w:pPr>
        <w:pStyle w:val="H23GA"/>
        <w:rPr>
          <w:cs/>
          <w:lang w:val="ar-SA" w:eastAsia="zh-TW" w:bidi="en-GB"/>
        </w:rPr>
      </w:pPr>
      <w:r w:rsidRPr="001B6C67">
        <w:rPr>
          <w:rtl/>
        </w:rPr>
        <w:tab/>
      </w:r>
      <w:r w:rsidRPr="001B6C67">
        <w:rPr>
          <w:rtl/>
        </w:rPr>
        <w:tab/>
      </w:r>
      <w:r w:rsidRPr="00AF3116">
        <w:rPr>
          <w:rtl/>
        </w:rPr>
        <w:t>الاستراتيجية الوطنية</w:t>
      </w:r>
    </w:p>
    <w:p w14:paraId="7346E363" w14:textId="77777777" w:rsidR="00DE3D9F" w:rsidRPr="001B6C67" w:rsidRDefault="00DE3D9F" w:rsidP="00DE3D9F">
      <w:pPr>
        <w:pStyle w:val="SingleTxtGA"/>
        <w:rPr>
          <w:lang w:val="ar-SA" w:eastAsia="zh-TW" w:bidi="en-GB"/>
        </w:rPr>
      </w:pPr>
      <w:bookmarkStart w:id="19" w:name="_Ref45066033"/>
      <w:bookmarkStart w:id="20" w:name="_Ref51770082"/>
      <w:r w:rsidRPr="00AF3116">
        <w:rPr>
          <w:rtl/>
        </w:rPr>
        <w:t>85</w:t>
      </w:r>
      <w:r w:rsidRPr="001B6C67">
        <w:rPr>
          <w:rtl/>
        </w:rPr>
        <w:t>-</w:t>
      </w:r>
      <w:r w:rsidRPr="001B6C67">
        <w:rPr>
          <w:rtl/>
        </w:rPr>
        <w:tab/>
        <w:t xml:space="preserve">الاستراتيجية الوطنية لفترة </w:t>
      </w:r>
      <w:r w:rsidRPr="00AF3116">
        <w:rPr>
          <w:rtl/>
        </w:rPr>
        <w:t>20</w:t>
      </w:r>
      <w:r w:rsidRPr="001B6C67">
        <w:rPr>
          <w:rtl/>
        </w:rPr>
        <w:t xml:space="preserve"> عاماً (</w:t>
      </w:r>
      <w:r w:rsidRPr="00AF3116">
        <w:rPr>
          <w:rtl/>
        </w:rPr>
        <w:t>2018</w:t>
      </w:r>
      <w:r w:rsidRPr="001B6C67">
        <w:rPr>
          <w:rtl/>
        </w:rPr>
        <w:t>-</w:t>
      </w:r>
      <w:r w:rsidRPr="00AF3116">
        <w:rPr>
          <w:rtl/>
        </w:rPr>
        <w:t>2037</w:t>
      </w:r>
      <w:r w:rsidRPr="001B6C67">
        <w:rPr>
          <w:rtl/>
        </w:rPr>
        <w:t xml:space="preserve">) هي أول استراتيجية وطنية طويلة الأجل للبلد تم تطويرها وفقاً للمادة </w:t>
      </w:r>
      <w:r w:rsidRPr="00AF3116">
        <w:rPr>
          <w:rtl/>
        </w:rPr>
        <w:t>65</w:t>
      </w:r>
      <w:r w:rsidRPr="001B6C67">
        <w:rPr>
          <w:rtl/>
        </w:rPr>
        <w:t xml:space="preserve"> من دستور عام </w:t>
      </w:r>
      <w:r w:rsidRPr="00AF3116">
        <w:rPr>
          <w:rtl/>
        </w:rPr>
        <w:t>2017</w:t>
      </w:r>
      <w:r w:rsidRPr="001B6C67">
        <w:rPr>
          <w:rtl/>
        </w:rPr>
        <w:t>. وينبغي السعي إلى تنفيذها لضمان تحقيق البلد رؤيته المتمثلة في أن يصبح "بلداً متقدم النمو يتسم بالأمن والرخاء والاستدامة وفقاً لفلسفة اقتصاد الاكتفاء". وتشكل سعادة الشعب التايلاندي ورفاهه الهدفين الرئيسيين والنهائيين للاستراتيجية الوطنية.</w:t>
      </w:r>
      <w:bookmarkEnd w:id="19"/>
      <w:bookmarkEnd w:id="20"/>
    </w:p>
    <w:p w14:paraId="018E45FA" w14:textId="77777777" w:rsidR="00DE3D9F" w:rsidRPr="001B6C67" w:rsidRDefault="00DE3D9F" w:rsidP="00DE3D9F">
      <w:pPr>
        <w:pStyle w:val="SingleTxtGA"/>
        <w:rPr>
          <w:lang w:val="ar-SA" w:eastAsia="zh-TW" w:bidi="en-GB"/>
        </w:rPr>
      </w:pPr>
      <w:bookmarkStart w:id="21" w:name="_Ref45066182"/>
      <w:r w:rsidRPr="00AF3116">
        <w:rPr>
          <w:rtl/>
        </w:rPr>
        <w:t>86</w:t>
      </w:r>
      <w:r w:rsidRPr="001B6C67">
        <w:rPr>
          <w:rtl/>
        </w:rPr>
        <w:t>-</w:t>
      </w:r>
      <w:r w:rsidRPr="001B6C67">
        <w:rPr>
          <w:rtl/>
        </w:rPr>
        <w:tab/>
        <w:t>وستُستخدَم ست مجموعات من المؤشرات لتقييم نجاح الاستراتيجية الوطنية. وتشمل هذه المجموعات من المؤشرات ما يلي</w:t>
      </w:r>
      <w:r w:rsidRPr="001B6C67">
        <w:t xml:space="preserve">: </w:t>
      </w:r>
      <w:r w:rsidRPr="001B6C67">
        <w:rPr>
          <w:rtl/>
        </w:rPr>
        <w:t>(</w:t>
      </w:r>
      <w:r w:rsidRPr="00AF3116">
        <w:rPr>
          <w:rtl/>
        </w:rPr>
        <w:t>1</w:t>
      </w:r>
      <w:r w:rsidRPr="001B6C67">
        <w:rPr>
          <w:rtl/>
        </w:rPr>
        <w:t>) رفاه الشعب والمجتمع التايلنديين، (</w:t>
      </w:r>
      <w:r w:rsidRPr="00AF3116">
        <w:rPr>
          <w:rtl/>
        </w:rPr>
        <w:t>2</w:t>
      </w:r>
      <w:r w:rsidRPr="001B6C67">
        <w:rPr>
          <w:rtl/>
        </w:rPr>
        <w:t xml:space="preserve">) القدرة التنافسية الوطنية، </w:t>
      </w:r>
      <w:r w:rsidRPr="001B6C67">
        <w:rPr>
          <w:rtl/>
        </w:rPr>
        <w:lastRenderedPageBreak/>
        <w:t>والنمو الاقتصادي، وتوزيع الدخل، (</w:t>
      </w:r>
      <w:r w:rsidRPr="00AF3116">
        <w:rPr>
          <w:rtl/>
        </w:rPr>
        <w:t>3</w:t>
      </w:r>
      <w:r w:rsidRPr="001B6C67">
        <w:rPr>
          <w:rtl/>
        </w:rPr>
        <w:t>) تنمية رأس المال البشري، (</w:t>
      </w:r>
      <w:r w:rsidRPr="00AF3116">
        <w:rPr>
          <w:rtl/>
        </w:rPr>
        <w:t>4</w:t>
      </w:r>
      <w:r w:rsidRPr="001B6C67">
        <w:rPr>
          <w:rtl/>
        </w:rPr>
        <w:t>) المساواة الاجتماعية والإنصاف، (</w:t>
      </w:r>
      <w:r w:rsidRPr="00AF3116">
        <w:rPr>
          <w:rtl/>
        </w:rPr>
        <w:t>5</w:t>
      </w:r>
      <w:r w:rsidRPr="001B6C67">
        <w:rPr>
          <w:rtl/>
        </w:rPr>
        <w:t>) استدامة التنوع البيولوجي الوطني، و</w:t>
      </w:r>
      <w:r>
        <w:rPr>
          <w:rtl/>
        </w:rPr>
        <w:t>ال</w:t>
      </w:r>
      <w:r w:rsidRPr="001B6C67">
        <w:rPr>
          <w:rtl/>
        </w:rPr>
        <w:t>نوعية البيئ</w:t>
      </w:r>
      <w:r>
        <w:rPr>
          <w:rtl/>
        </w:rPr>
        <w:t>ي</w:t>
      </w:r>
      <w:r w:rsidRPr="001B6C67">
        <w:rPr>
          <w:rtl/>
        </w:rPr>
        <w:t>ة والموارد الطبيعية، (</w:t>
      </w:r>
      <w:r w:rsidRPr="00AF3116">
        <w:rPr>
          <w:rtl/>
        </w:rPr>
        <w:t>6</w:t>
      </w:r>
      <w:r w:rsidRPr="001B6C67">
        <w:rPr>
          <w:rtl/>
        </w:rPr>
        <w:t>) كفاءة الحكومة وتحسين فرص الحصول على الخدمات العامة.</w:t>
      </w:r>
      <w:bookmarkEnd w:id="21"/>
    </w:p>
    <w:p w14:paraId="4A1F48C8" w14:textId="08F38349" w:rsidR="00DE3D9F" w:rsidRPr="001B6C67" w:rsidRDefault="00DE3D9F" w:rsidP="00DE3D9F">
      <w:pPr>
        <w:pStyle w:val="SingleTxtGA"/>
        <w:rPr>
          <w:lang w:val="ar-SA" w:eastAsia="zh-TW" w:bidi="en-GB"/>
        </w:rPr>
      </w:pPr>
      <w:bookmarkStart w:id="22" w:name="_Ref45066037"/>
      <w:r w:rsidRPr="00AF3116">
        <w:rPr>
          <w:rtl/>
        </w:rPr>
        <w:t>87</w:t>
      </w:r>
      <w:r w:rsidRPr="001B6C67">
        <w:rPr>
          <w:rtl/>
        </w:rPr>
        <w:t>-</w:t>
      </w:r>
      <w:r w:rsidRPr="001B6C67">
        <w:rPr>
          <w:rtl/>
        </w:rPr>
        <w:tab/>
        <w:t>وتركز التنمية الوطنية خلال الإطار الزمني للاستراتيجية على تحقيق توازن مناسب بين التنمية الاجتماعية والاقتصادية والإشراف البيئي. والاستراتيجيات الرئيسية الست هي :(</w:t>
      </w:r>
      <w:r w:rsidRPr="00AF3116">
        <w:rPr>
          <w:rtl/>
        </w:rPr>
        <w:t>1</w:t>
      </w:r>
      <w:r w:rsidRPr="001B6C67">
        <w:rPr>
          <w:rtl/>
        </w:rPr>
        <w:t>) الأمن الوطني، (</w:t>
      </w:r>
      <w:r w:rsidRPr="00AF3116">
        <w:rPr>
          <w:rtl/>
        </w:rPr>
        <w:t>2</w:t>
      </w:r>
      <w:r w:rsidRPr="001B6C67">
        <w:rPr>
          <w:rtl/>
        </w:rPr>
        <w:t>)</w:t>
      </w:r>
      <w:r w:rsidR="00146491">
        <w:rPr>
          <w:rFonts w:hint="cs"/>
          <w:rtl/>
        </w:rPr>
        <w:t> </w:t>
      </w:r>
      <w:r w:rsidRPr="001B6C67">
        <w:rPr>
          <w:rtl/>
        </w:rPr>
        <w:t>تعزيز القدرة التنافسية الوطنية، (</w:t>
      </w:r>
      <w:r w:rsidRPr="00AF3116">
        <w:rPr>
          <w:rtl/>
        </w:rPr>
        <w:t>3</w:t>
      </w:r>
      <w:r w:rsidRPr="001B6C67">
        <w:rPr>
          <w:rtl/>
        </w:rPr>
        <w:t>) تنمية رأس المال البشري وتعزيزه، (</w:t>
      </w:r>
      <w:r w:rsidRPr="00AF3116">
        <w:rPr>
          <w:rtl/>
        </w:rPr>
        <w:t>4</w:t>
      </w:r>
      <w:r w:rsidRPr="001B6C67">
        <w:rPr>
          <w:rtl/>
        </w:rPr>
        <w:t>) التماسك الاجتماعي والمجتمع العادل، (</w:t>
      </w:r>
      <w:r w:rsidRPr="00AF3116">
        <w:rPr>
          <w:rtl/>
        </w:rPr>
        <w:t>5</w:t>
      </w:r>
      <w:r w:rsidRPr="001B6C67">
        <w:rPr>
          <w:rtl/>
        </w:rPr>
        <w:t>) التنمية والنمو الرفيقان بالبيئة، (</w:t>
      </w:r>
      <w:r w:rsidRPr="00AF3116">
        <w:rPr>
          <w:rtl/>
        </w:rPr>
        <w:t>6</w:t>
      </w:r>
      <w:r w:rsidRPr="001B6C67">
        <w:rPr>
          <w:rtl/>
        </w:rPr>
        <w:t>) إعادة التوازن والتنمية في القطاع العام.</w:t>
      </w:r>
      <w:bookmarkEnd w:id="22"/>
    </w:p>
    <w:p w14:paraId="2D380D01" w14:textId="77777777" w:rsidR="00DE3D9F" w:rsidRPr="003568E6" w:rsidRDefault="00DE3D9F" w:rsidP="00883EBA">
      <w:pPr>
        <w:pStyle w:val="H23GA"/>
        <w:rPr>
          <w:rtl/>
          <w:lang w:val="en-US" w:eastAsia="zh-TW"/>
        </w:rPr>
      </w:pPr>
      <w:r w:rsidRPr="001B6C67">
        <w:rPr>
          <w:rtl/>
        </w:rPr>
        <w:tab/>
      </w:r>
      <w:r w:rsidRPr="001B6C67">
        <w:rPr>
          <w:rtl/>
        </w:rPr>
        <w:tab/>
      </w:r>
      <w:r w:rsidRPr="00AF3116">
        <w:rPr>
          <w:rtl/>
        </w:rPr>
        <w:t>خطط الإصلاح الوطنية</w:t>
      </w:r>
    </w:p>
    <w:p w14:paraId="5A57B754" w14:textId="44D18858" w:rsidR="00DE3D9F" w:rsidRPr="001B6C67" w:rsidRDefault="00DE3D9F" w:rsidP="00DE3D9F">
      <w:pPr>
        <w:pStyle w:val="SingleTxtGA"/>
        <w:rPr>
          <w:lang w:val="ar-SA" w:eastAsia="zh-TW" w:bidi="en-GB"/>
        </w:rPr>
      </w:pPr>
      <w:r w:rsidRPr="00AF3116">
        <w:rPr>
          <w:rtl/>
        </w:rPr>
        <w:t>88</w:t>
      </w:r>
      <w:r w:rsidRPr="001B6C67">
        <w:rPr>
          <w:rtl/>
        </w:rPr>
        <w:t>-</w:t>
      </w:r>
      <w:r w:rsidRPr="001B6C67">
        <w:rPr>
          <w:rtl/>
        </w:rPr>
        <w:tab/>
        <w:t xml:space="preserve">شجع دستور عام </w:t>
      </w:r>
      <w:r w:rsidRPr="00AF3116">
        <w:rPr>
          <w:rtl/>
        </w:rPr>
        <w:t>2017</w:t>
      </w:r>
      <w:r w:rsidRPr="001B6C67">
        <w:rPr>
          <w:rtl/>
        </w:rPr>
        <w:t xml:space="preserve"> على إصدار خطط إصلاح وطنية تغطي </w:t>
      </w:r>
      <w:r w:rsidRPr="00AF3116">
        <w:rPr>
          <w:rtl/>
        </w:rPr>
        <w:t>11</w:t>
      </w:r>
      <w:r w:rsidRPr="001B6C67">
        <w:rPr>
          <w:rtl/>
        </w:rPr>
        <w:t xml:space="preserve"> مجالاً، بما في ذلك السياسة والإدارة العامة والقوانين ونظام العدالة والاقتصاد والموارد الطبيعية والبيئة والصحة العامة ووسائل الإعلام وتكنولوجيا المعلومات والقضايا الاجتماعية والطاقة ومكافحة الفساد. وتوفر الخطط مبادئ توجيهية للبلد للمضي قدماً بما يتماشى مع جدول أعمال "تايلاند </w:t>
      </w:r>
      <w:r w:rsidRPr="00AF3116">
        <w:rPr>
          <w:rtl/>
        </w:rPr>
        <w:t>4</w:t>
      </w:r>
      <w:r w:rsidR="0060722E" w:rsidRPr="00AF3116">
        <w:rPr>
          <w:rFonts w:hint="cs"/>
          <w:rtl/>
        </w:rPr>
        <w:t>,</w:t>
      </w:r>
      <w:r w:rsidRPr="00AF3116">
        <w:rPr>
          <w:rtl/>
        </w:rPr>
        <w:t>0</w:t>
      </w:r>
      <w:r w:rsidRPr="001B6C67">
        <w:rPr>
          <w:rtl/>
        </w:rPr>
        <w:t xml:space="preserve">" الذي يحركه الابتكار وخطة التنمية المستدامة لعام </w:t>
      </w:r>
      <w:r w:rsidRPr="00AF3116">
        <w:rPr>
          <w:rtl/>
        </w:rPr>
        <w:t>2030</w:t>
      </w:r>
      <w:r w:rsidRPr="001B6C67">
        <w:rPr>
          <w:rtl/>
        </w:rPr>
        <w:t>. و</w:t>
      </w:r>
      <w:r>
        <w:rPr>
          <w:rtl/>
        </w:rPr>
        <w:t>الوكالات الحكومية</w:t>
      </w:r>
      <w:r w:rsidRPr="001B6C67">
        <w:rPr>
          <w:rtl/>
        </w:rPr>
        <w:t xml:space="preserve"> ملزمة قانوناً </w:t>
      </w:r>
      <w:r>
        <w:rPr>
          <w:rtl/>
        </w:rPr>
        <w:t>بتنفيذ الخطط</w:t>
      </w:r>
      <w:r w:rsidRPr="001B6C67">
        <w:rPr>
          <w:rtl/>
        </w:rPr>
        <w:t xml:space="preserve">. </w:t>
      </w:r>
    </w:p>
    <w:p w14:paraId="7220F4CB" w14:textId="77777777" w:rsidR="00DE3D9F" w:rsidRPr="001B6C67" w:rsidRDefault="00DE3D9F" w:rsidP="00DE3D9F">
      <w:pPr>
        <w:pStyle w:val="SingleTxtGA"/>
        <w:rPr>
          <w:lang w:val="ar-SA" w:eastAsia="zh-TW" w:bidi="en-GB"/>
        </w:rPr>
      </w:pPr>
      <w:r w:rsidRPr="00AF3116">
        <w:rPr>
          <w:rtl/>
        </w:rPr>
        <w:t>89</w:t>
      </w:r>
      <w:r w:rsidRPr="001B6C67">
        <w:rPr>
          <w:rtl/>
        </w:rPr>
        <w:t>-</w:t>
      </w:r>
      <w:r w:rsidRPr="001B6C67">
        <w:rPr>
          <w:rtl/>
        </w:rPr>
        <w:tab/>
        <w:t>وتناولت خطط الإصلاح الوطني</w:t>
      </w:r>
      <w:r>
        <w:rPr>
          <w:rtl/>
        </w:rPr>
        <w:t>ة</w:t>
      </w:r>
      <w:r w:rsidRPr="001B6C67">
        <w:rPr>
          <w:rtl/>
        </w:rPr>
        <w:t xml:space="preserve"> طائفة واسعة من قضايا حقوق الإنسان. فعلى سبيل المثال، تركز خطة الإصلاح الوطنية بشأن القضايا الاجتماعية على إزالة الحواجز والعقبات التي تعترض الفئات المحرومة من جميع الجوانب من أجل تحقيق الإدماج الاجتماعي. وتشمل الفئات المستهدفة الأطفال والنساء </w:t>
      </w:r>
      <w:r>
        <w:rPr>
          <w:rtl/>
        </w:rPr>
        <w:t>والأشخاص ذوي الإعاقة</w:t>
      </w:r>
      <w:r w:rsidRPr="001B6C67">
        <w:rPr>
          <w:rtl/>
        </w:rPr>
        <w:t xml:space="preserve"> والمسنين وذوي الدخل المنخفض والأشخاص العاجزين والأشخاص الذين لا يحملون جنسية أو ليس لديهم وضع قانوني بموجب قانون التسجيل المدني والسجناء السابقين والأشخاص المصابين بفيروس نقص المناعة البشرية/الإيدز.</w:t>
      </w:r>
    </w:p>
    <w:p w14:paraId="755C036F"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الخطة الوطنية للتنمية الاقتصادية والاجتماعية</w:t>
      </w:r>
    </w:p>
    <w:p w14:paraId="65FCA48B" w14:textId="77777777" w:rsidR="00DE3D9F" w:rsidRPr="001B6C67" w:rsidRDefault="00DE3D9F" w:rsidP="00DE3D9F">
      <w:pPr>
        <w:pStyle w:val="SingleTxtGA"/>
        <w:rPr>
          <w:lang w:val="ar-SA" w:eastAsia="zh-TW" w:bidi="en-GB"/>
        </w:rPr>
      </w:pPr>
      <w:r w:rsidRPr="00AF3116">
        <w:rPr>
          <w:rtl/>
        </w:rPr>
        <w:t>90</w:t>
      </w:r>
      <w:r w:rsidRPr="001B6C67">
        <w:rPr>
          <w:rtl/>
        </w:rPr>
        <w:t>-</w:t>
      </w:r>
      <w:r w:rsidRPr="001B6C67">
        <w:rPr>
          <w:rtl/>
        </w:rPr>
        <w:tab/>
        <w:t>تسترشد تنمية البلد في المقام الأول بسلسلة من الخطط الوطنية الخمسية للتنمية الاقتصادية والاجتماعية، التي اعت</w:t>
      </w:r>
      <w:r>
        <w:rPr>
          <w:rtl/>
        </w:rPr>
        <w:t>ُ</w:t>
      </w:r>
      <w:r w:rsidRPr="001B6C67">
        <w:rPr>
          <w:rtl/>
        </w:rPr>
        <w:t>م</w:t>
      </w:r>
      <w:r>
        <w:rPr>
          <w:rtl/>
        </w:rPr>
        <w:t>ِ</w:t>
      </w:r>
      <w:r w:rsidRPr="001B6C67">
        <w:rPr>
          <w:rtl/>
        </w:rPr>
        <w:t>د</w:t>
      </w:r>
      <w:r>
        <w:rPr>
          <w:rtl/>
        </w:rPr>
        <w:t>َ</w:t>
      </w:r>
      <w:r w:rsidRPr="001B6C67">
        <w:rPr>
          <w:rtl/>
        </w:rPr>
        <w:t xml:space="preserve">ت لأول مرة في عام </w:t>
      </w:r>
      <w:r w:rsidRPr="00AF3116">
        <w:rPr>
          <w:rtl/>
        </w:rPr>
        <w:t>1961</w:t>
      </w:r>
      <w:r w:rsidRPr="001B6C67">
        <w:rPr>
          <w:rtl/>
        </w:rPr>
        <w:t>. والخطة الحالية هي الخطة الوطنية الثانية عشرة للتنمية الاقتصادية والاجتماعية (</w:t>
      </w:r>
      <w:r w:rsidRPr="00AF3116">
        <w:rPr>
          <w:rtl/>
        </w:rPr>
        <w:t>2017</w:t>
      </w:r>
      <w:r w:rsidRPr="001B6C67">
        <w:rPr>
          <w:rtl/>
        </w:rPr>
        <w:t>-</w:t>
      </w:r>
      <w:r w:rsidRPr="00AF3116">
        <w:rPr>
          <w:rtl/>
        </w:rPr>
        <w:t>2021</w:t>
      </w:r>
      <w:r w:rsidRPr="001B6C67">
        <w:rPr>
          <w:rtl/>
        </w:rPr>
        <w:t>).</w:t>
      </w:r>
    </w:p>
    <w:p w14:paraId="28416601" w14:textId="77777777" w:rsidR="00DE3D9F" w:rsidRPr="00883EBA" w:rsidRDefault="00DE3D9F" w:rsidP="00DE3D9F">
      <w:pPr>
        <w:pStyle w:val="SingleTxtGA"/>
        <w:rPr>
          <w:spacing w:val="-4"/>
          <w:lang w:val="ar-SA" w:eastAsia="zh-TW" w:bidi="en-GB"/>
        </w:rPr>
      </w:pPr>
      <w:r w:rsidRPr="00AF3116">
        <w:rPr>
          <w:rtl/>
        </w:rPr>
        <w:t>91</w:t>
      </w:r>
      <w:r w:rsidRPr="001B6C67">
        <w:rPr>
          <w:rtl/>
        </w:rPr>
        <w:t>-</w:t>
      </w:r>
      <w:r w:rsidRPr="001B6C67">
        <w:rPr>
          <w:rtl/>
        </w:rPr>
        <w:tab/>
      </w:r>
      <w:r w:rsidRPr="00883EBA">
        <w:rPr>
          <w:spacing w:val="-4"/>
          <w:rtl/>
        </w:rPr>
        <w:t xml:space="preserve">وقد اعتمدت الأهداف الإنمائية للخطة على مدى السنوات الخمس القادمة، التي ترتبط بشكل تراكمي بالاستراتيجية الوطنية لفترة </w:t>
      </w:r>
      <w:r w:rsidRPr="00AF3116">
        <w:rPr>
          <w:spacing w:val="-4"/>
          <w:rtl/>
        </w:rPr>
        <w:t>20</w:t>
      </w:r>
      <w:r w:rsidRPr="00883EBA">
        <w:rPr>
          <w:spacing w:val="-4"/>
          <w:rtl/>
        </w:rPr>
        <w:t xml:space="preserve"> عاماً (انظر الفقرات </w:t>
      </w:r>
      <w:r w:rsidRPr="00AF3116">
        <w:rPr>
          <w:spacing w:val="-4"/>
          <w:rtl/>
        </w:rPr>
        <w:t>85</w:t>
      </w:r>
      <w:r w:rsidRPr="00883EBA">
        <w:rPr>
          <w:spacing w:val="-4"/>
          <w:rtl/>
        </w:rPr>
        <w:t>-</w:t>
      </w:r>
      <w:r w:rsidRPr="00AF3116">
        <w:rPr>
          <w:spacing w:val="-4"/>
          <w:rtl/>
        </w:rPr>
        <w:t>87</w:t>
      </w:r>
      <w:r w:rsidRPr="00883EBA">
        <w:rPr>
          <w:spacing w:val="-4"/>
          <w:rtl/>
        </w:rPr>
        <w:t>)، المبادئ/التوجيهات الأساسية التالية:</w:t>
      </w:r>
    </w:p>
    <w:p w14:paraId="6FF2F15A" w14:textId="77777777" w:rsidR="00DE3D9F" w:rsidRPr="001B6C67" w:rsidRDefault="00DE3D9F" w:rsidP="00883EBA">
      <w:pPr>
        <w:pStyle w:val="SingleTxtGA"/>
        <w:ind w:left="2608" w:hanging="680"/>
        <w:rPr>
          <w:lang w:val="ar-SA" w:eastAsia="zh-TW" w:bidi="en-GB"/>
        </w:rPr>
      </w:pPr>
      <w:r w:rsidRPr="00AF3116">
        <w:rPr>
          <w:rtl/>
        </w:rPr>
        <w:t>1</w:t>
      </w:r>
      <w:r w:rsidRPr="001B6C67">
        <w:rPr>
          <w:rtl/>
        </w:rPr>
        <w:t>-</w:t>
      </w:r>
      <w:r w:rsidRPr="001B6C67">
        <w:rPr>
          <w:rtl/>
        </w:rPr>
        <w:tab/>
        <w:t xml:space="preserve">تستند الخطة الثانية عشرة إلى مبادئ "فلسفة اقتصاد الاكتفاء"، التي كانت أساساً حيوياً منذ الخطة التاسعة. </w:t>
      </w:r>
      <w:r>
        <w:rPr>
          <w:rtl/>
        </w:rPr>
        <w:t>وتشجع هذه</w:t>
      </w:r>
      <w:r w:rsidRPr="001B6C67">
        <w:rPr>
          <w:rtl/>
        </w:rPr>
        <w:t xml:space="preserve"> الفلسفة التنمية المتوازنة من خلال تبني مفاهيم الاعتدال، والمعقولية، والمرونة أو إدارة المخاطر.</w:t>
      </w:r>
    </w:p>
    <w:p w14:paraId="5622045A" w14:textId="77777777" w:rsidR="00DE3D9F" w:rsidRPr="001B6C67" w:rsidRDefault="00DE3D9F" w:rsidP="00883EBA">
      <w:pPr>
        <w:pStyle w:val="SingleTxtGA"/>
        <w:ind w:left="2608" w:hanging="680"/>
        <w:rPr>
          <w:lang w:val="ar-SA" w:eastAsia="zh-TW" w:bidi="en-GB"/>
        </w:rPr>
      </w:pPr>
      <w:r w:rsidRPr="00AF3116">
        <w:rPr>
          <w:rtl/>
        </w:rPr>
        <w:t>2</w:t>
      </w:r>
      <w:r w:rsidRPr="001B6C67">
        <w:rPr>
          <w:rtl/>
        </w:rPr>
        <w:t>-</w:t>
      </w:r>
      <w:r w:rsidRPr="001B6C67">
        <w:rPr>
          <w:rtl/>
        </w:rPr>
        <w:tab/>
        <w:t xml:space="preserve">تسعى "التنمية التي تركز على الناس" إلى إيجاد نوعية حياة وظروف صحية مستدامة للتايلانديين. وتهدف إلى تهيئة مواطنين جيدين منضبطين ومتقبلين للتعلم وذوي معارف ومهارة وإبداع. وينبغي أيضاً أن يكون لديهم موقف جيد ومسؤولية اجتماعية وأخلاق وأخلاقيات. والناس من جميع الأعمار مهيؤون ومستعدة جيداً لمجتمع شائخ. ويمكنهم أن يعيشوا </w:t>
      </w:r>
      <w:r>
        <w:rPr>
          <w:rtl/>
        </w:rPr>
        <w:t>في</w:t>
      </w:r>
      <w:r w:rsidRPr="001B6C67">
        <w:rPr>
          <w:rtl/>
        </w:rPr>
        <w:t xml:space="preserve"> بيئتهم وأن يستغلوها بطريقة منسجمة، وأن يحافظوا على الموارد الطبيعية ويعيدوا تأهيلها؛</w:t>
      </w:r>
    </w:p>
    <w:p w14:paraId="720DD7DE" w14:textId="77777777" w:rsidR="00DE3D9F" w:rsidRPr="001B6C67" w:rsidRDefault="00DE3D9F" w:rsidP="00883EBA">
      <w:pPr>
        <w:pStyle w:val="SingleTxtGA"/>
        <w:ind w:left="2608" w:hanging="680"/>
        <w:rPr>
          <w:lang w:val="ar-SA" w:eastAsia="zh-TW" w:bidi="en-GB"/>
        </w:rPr>
      </w:pPr>
      <w:r w:rsidRPr="00AF3116">
        <w:rPr>
          <w:rtl/>
        </w:rPr>
        <w:lastRenderedPageBreak/>
        <w:t>3</w:t>
      </w:r>
      <w:r w:rsidRPr="001B6C67">
        <w:rPr>
          <w:rtl/>
        </w:rPr>
        <w:t>-</w:t>
      </w:r>
      <w:r w:rsidRPr="001B6C67">
        <w:rPr>
          <w:rtl/>
        </w:rPr>
        <w:tab/>
        <w:t xml:space="preserve">تتمثل رؤية الاستراتيجية الوطنية لفترة </w:t>
      </w:r>
      <w:r w:rsidRPr="00AF3116">
        <w:rPr>
          <w:rtl/>
        </w:rPr>
        <w:t>20</w:t>
      </w:r>
      <w:r w:rsidRPr="001B6C67">
        <w:rPr>
          <w:rtl/>
        </w:rPr>
        <w:t xml:space="preserve"> عاماً في "تايلند كبلد متقدم النمو ينعم بالأمن والرخاء والاستدامة وفقاً لمبادئ فلسفة اقتصاد الاكتفاء". وهي، إلى جانب الشعار الوطني "الأمن والرخاء والاستدامة"، إطار تقوم عليه الخطة الثانية عشرة؛</w:t>
      </w:r>
    </w:p>
    <w:p w14:paraId="181F646D" w14:textId="77777777" w:rsidR="00DE3D9F" w:rsidRPr="001B6C67" w:rsidRDefault="00DE3D9F" w:rsidP="00883EBA">
      <w:pPr>
        <w:pStyle w:val="SingleTxtGA"/>
        <w:ind w:left="2608" w:hanging="680"/>
        <w:rPr>
          <w:lang w:val="ar-SA" w:eastAsia="zh-TW" w:bidi="en-GB"/>
        </w:rPr>
      </w:pPr>
      <w:r w:rsidRPr="00AF3116">
        <w:rPr>
          <w:rtl/>
        </w:rPr>
        <w:t>4</w:t>
      </w:r>
      <w:r w:rsidRPr="001B6C67">
        <w:rPr>
          <w:rtl/>
        </w:rPr>
        <w:t>-</w:t>
      </w:r>
      <w:r w:rsidRPr="001B6C67">
        <w:rPr>
          <w:rtl/>
        </w:rPr>
        <w:tab/>
      </w:r>
      <w:r w:rsidRPr="0060722E">
        <w:rPr>
          <w:rFonts w:ascii="Simplified Arabic" w:hAnsi="Simplified Arabic"/>
        </w:rPr>
        <w:t>"</w:t>
      </w:r>
      <w:r w:rsidRPr="0060722E">
        <w:rPr>
          <w:rFonts w:ascii="Simplified Arabic" w:hAnsi="Simplified Arabic"/>
          <w:rtl/>
        </w:rPr>
        <w:t>أ</w:t>
      </w:r>
      <w:r w:rsidRPr="001B6C67">
        <w:rPr>
          <w:rtl/>
        </w:rPr>
        <w:t xml:space="preserve">هداف تايلند في عام </w:t>
      </w:r>
      <w:r w:rsidRPr="00AF3116">
        <w:rPr>
          <w:rtl/>
        </w:rPr>
        <w:t>2036</w:t>
      </w:r>
      <w:r w:rsidRPr="001B6C67">
        <w:rPr>
          <w:rtl/>
        </w:rPr>
        <w:t xml:space="preserve">" هي أهداف الاستراتيجية الوطنية لفترة </w:t>
      </w:r>
      <w:r w:rsidRPr="00AF3116">
        <w:rPr>
          <w:rtl/>
        </w:rPr>
        <w:t>20</w:t>
      </w:r>
      <w:r w:rsidRPr="001B6C67">
        <w:rPr>
          <w:rtl/>
        </w:rPr>
        <w:t xml:space="preserve"> عاماً وتُستخدَم كمعيار لتحديد الأهداف الرئيسية والثانوية للسنوات الخمس الأولى. وتتسق كل الأهداف والمؤشرات مع خطة التنمية المستدامة لعام </w:t>
      </w:r>
      <w:r w:rsidRPr="00AF3116">
        <w:rPr>
          <w:rtl/>
        </w:rPr>
        <w:t>2030</w:t>
      </w:r>
      <w:r w:rsidRPr="001B6C67">
        <w:rPr>
          <w:rtl/>
        </w:rPr>
        <w:t xml:space="preserve">، وقد استُمِدت من تقييم للقضايا الرئيسية الموجودة في التنمية وأنماط التنمية وطبيعة واتجاهات قطاعي الإنتاج والخدمات الرئيسيين في تايلند؛ </w:t>
      </w:r>
    </w:p>
    <w:p w14:paraId="075C57FB" w14:textId="77777777" w:rsidR="00DE3D9F" w:rsidRPr="001B6C67" w:rsidRDefault="00DE3D9F" w:rsidP="00883EBA">
      <w:pPr>
        <w:pStyle w:val="SingleTxtGA"/>
        <w:ind w:left="2608" w:hanging="680"/>
        <w:rPr>
          <w:lang w:val="ar-SA" w:eastAsia="zh-TW" w:bidi="en-GB"/>
        </w:rPr>
      </w:pPr>
      <w:r w:rsidRPr="00AF3116">
        <w:rPr>
          <w:rtl/>
        </w:rPr>
        <w:t>5</w:t>
      </w:r>
      <w:r w:rsidRPr="001B6C67">
        <w:rPr>
          <w:rtl/>
        </w:rPr>
        <w:t>-</w:t>
      </w:r>
      <w:r w:rsidRPr="001B6C67">
        <w:rPr>
          <w:rtl/>
        </w:rPr>
        <w:tab/>
        <w:t xml:space="preserve">وتشجع الخطة الثانية عشرة على "شكل من أشكال النمو الاقتصادي يسهم في الحد من عدم المساواة ويعزز مستوى أعلى من الإنتاجية على أساس الحكمة والابتكار المحليين". وتركز الخطة على النمو الشامل لتوسيع نطاق فئة الطبقة المتوسطة من السكان. وهي تحدد هدفاً يتمثل في زيادة الفرص الاقتصادية والفرص الاجتماعية ومداخيل نسبة الـ </w:t>
      </w:r>
      <w:r w:rsidRPr="00AF3116">
        <w:rPr>
          <w:rtl/>
        </w:rPr>
        <w:t>40</w:t>
      </w:r>
      <w:r w:rsidRPr="001B6C67">
        <w:rPr>
          <w:rtl/>
        </w:rPr>
        <w:t xml:space="preserve"> في المائة من السكان ذوي الدخل الأدنى؛ </w:t>
      </w:r>
    </w:p>
    <w:p w14:paraId="7CA7FC5D" w14:textId="77777777" w:rsidR="00DE3D9F" w:rsidRPr="001B6C67" w:rsidRDefault="00DE3D9F" w:rsidP="00883EBA">
      <w:pPr>
        <w:pStyle w:val="SingleTxtGA"/>
        <w:ind w:left="2608" w:hanging="680"/>
        <w:rPr>
          <w:lang w:val="ar-SA" w:eastAsia="zh-TW" w:bidi="en-GB"/>
        </w:rPr>
      </w:pPr>
      <w:r w:rsidRPr="00AF3116">
        <w:rPr>
          <w:rtl/>
        </w:rPr>
        <w:t>6</w:t>
      </w:r>
      <w:r w:rsidRPr="001B6C67">
        <w:rPr>
          <w:rtl/>
        </w:rPr>
        <w:t>-</w:t>
      </w:r>
      <w:r w:rsidRPr="001B6C67">
        <w:rPr>
          <w:rtl/>
        </w:rPr>
        <w:tab/>
        <w:t xml:space="preserve">والخطة الثانية عشرة "ستُفعَّل من أجل تحقيق أهداف التنمية الطويلة الاجل". والخطة هي الآلية التي تربط الاتجاهات والأهداف الإنمائية للاستراتيجية الوطنية لفترة </w:t>
      </w:r>
      <w:r w:rsidRPr="00AF3116">
        <w:rPr>
          <w:rtl/>
        </w:rPr>
        <w:t>20</w:t>
      </w:r>
      <w:r w:rsidRPr="001B6C67">
        <w:rPr>
          <w:rtl/>
        </w:rPr>
        <w:t xml:space="preserve"> عاماً وتشرف عليها وتأخذها لتنفيذها على جميع المستويات، وتشمل جميع الجوانب، بطريقة منسجمة؛ </w:t>
      </w:r>
    </w:p>
    <w:p w14:paraId="5389873A" w14:textId="6A784D47" w:rsidR="00DE3D9F" w:rsidRPr="001B6C67" w:rsidRDefault="00DE3D9F" w:rsidP="00883EBA">
      <w:pPr>
        <w:pStyle w:val="SingleTxtGA"/>
        <w:ind w:left="2608" w:hanging="680"/>
        <w:rPr>
          <w:lang w:val="ar-SA" w:eastAsia="zh-TW" w:bidi="en-GB"/>
        </w:rPr>
      </w:pPr>
      <w:r w:rsidRPr="00AF3116">
        <w:rPr>
          <w:rtl/>
        </w:rPr>
        <w:t>7</w:t>
      </w:r>
      <w:r w:rsidRPr="001B6C67">
        <w:rPr>
          <w:rtl/>
        </w:rPr>
        <w:t>-</w:t>
      </w:r>
      <w:r w:rsidRPr="001B6C67">
        <w:rPr>
          <w:rtl/>
        </w:rPr>
        <w:tab/>
        <w:t>وتحدد الخطة الثانية عشرة أيضاً القضايا الإنمائية ذات الأولوية العالية التي تتطلب التنفيذ المتكامل، وتحدد البرامج والمشاريع التي تتوافق بشكل فعال مع الأهداف الإنمائية</w:t>
      </w:r>
      <w:r>
        <w:rPr>
          <w:rtl/>
        </w:rPr>
        <w:t>،</w:t>
      </w:r>
      <w:r w:rsidRPr="001B6C67">
        <w:rPr>
          <w:rtl/>
        </w:rPr>
        <w:t xml:space="preserve"> وتحدد أهدافاً ومؤشرات تغطي </w:t>
      </w:r>
      <w:r>
        <w:rPr>
          <w:rtl/>
        </w:rPr>
        <w:t>مدى</w:t>
      </w:r>
      <w:r w:rsidRPr="001B6C67">
        <w:rPr>
          <w:rtl/>
        </w:rPr>
        <w:t xml:space="preserve"> ونطاقاً أوسع من القضايا غير تلك المبينة في الخطط الوطنية السابقة للتنمية الاقتصادية والاجتماعية. ويضع تحديد الأهداف في الاعتبار عوامل كثيرة، بما في ذلك الانسجام مع أهداف الاستراتيجية الوطنية الطويلة الأجل لفترة </w:t>
      </w:r>
      <w:r w:rsidRPr="00AF3116">
        <w:rPr>
          <w:rtl/>
        </w:rPr>
        <w:t>20</w:t>
      </w:r>
      <w:r w:rsidRPr="001B6C67">
        <w:rPr>
          <w:rtl/>
        </w:rPr>
        <w:t xml:space="preserve"> عاماً، التي توفر هيكلاً لتحديد أهداف ومؤشرات ثانوية يتعين ممارستها في إطار الميزانية؛ ورصد وتقييم القطاع العام من حي</w:t>
      </w:r>
      <w:r w:rsidR="00F9604D">
        <w:rPr>
          <w:rFonts w:hint="cs"/>
          <w:rtl/>
        </w:rPr>
        <w:t>ث</w:t>
      </w:r>
      <w:r w:rsidRPr="001B6C67">
        <w:rPr>
          <w:rtl/>
        </w:rPr>
        <w:t xml:space="preserve"> إنفاقه وأدا</w:t>
      </w:r>
      <w:r>
        <w:rPr>
          <w:rtl/>
        </w:rPr>
        <w:t>ؤ</w:t>
      </w:r>
      <w:r w:rsidRPr="001B6C67">
        <w:rPr>
          <w:rtl/>
        </w:rPr>
        <w:t xml:space="preserve">ه وتطوره، وهي عناصر ينبغي أن تكون متسقة </w:t>
      </w:r>
      <w:r w:rsidR="002A2227">
        <w:rPr>
          <w:rFonts w:hint="cs"/>
          <w:rtl/>
        </w:rPr>
        <w:t>مع</w:t>
      </w:r>
      <w:r w:rsidRPr="001B6C67">
        <w:rPr>
          <w:rtl/>
        </w:rPr>
        <w:t xml:space="preserve"> بعضها البعض وأن يعزز بعضها بع</w:t>
      </w:r>
      <w:r w:rsidR="00483D61">
        <w:rPr>
          <w:rFonts w:hint="cs"/>
          <w:rtl/>
        </w:rPr>
        <w:t>ض</w:t>
      </w:r>
      <w:r w:rsidRPr="001B6C67">
        <w:rPr>
          <w:rtl/>
        </w:rPr>
        <w:t>اً.</w:t>
      </w:r>
    </w:p>
    <w:p w14:paraId="5E159742"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جدول الأعمال الوطني لحقوق الإنسان</w:t>
      </w:r>
    </w:p>
    <w:p w14:paraId="7D589AFC" w14:textId="3AAC79F5" w:rsidR="00DE3D9F" w:rsidRPr="001B6C67" w:rsidRDefault="00DE3D9F" w:rsidP="00DE3D9F">
      <w:pPr>
        <w:pStyle w:val="SingleTxtGA"/>
        <w:rPr>
          <w:lang w:val="ar-SA" w:eastAsia="zh-TW" w:bidi="en-GB"/>
        </w:rPr>
      </w:pPr>
      <w:r w:rsidRPr="00AF3116">
        <w:rPr>
          <w:rtl/>
        </w:rPr>
        <w:t>92</w:t>
      </w:r>
      <w:r w:rsidRPr="001B6C67">
        <w:rPr>
          <w:rtl/>
        </w:rPr>
        <w:t>-</w:t>
      </w:r>
      <w:r w:rsidRPr="001B6C67">
        <w:rPr>
          <w:rtl/>
        </w:rPr>
        <w:tab/>
        <w:t xml:space="preserve">لتعميم حقوق الإنسان في جميع سياساتها، صنفت الحكومة حقوق الإنسان </w:t>
      </w:r>
      <w:r>
        <w:rPr>
          <w:rtl/>
        </w:rPr>
        <w:t>كجدول أعمال</w:t>
      </w:r>
      <w:r w:rsidRPr="001B6C67">
        <w:rPr>
          <w:rtl/>
        </w:rPr>
        <w:t xml:space="preserve"> وطني لأول مرة لعامي </w:t>
      </w:r>
      <w:r w:rsidRPr="00AF3116">
        <w:rPr>
          <w:rtl/>
        </w:rPr>
        <w:t>2018</w:t>
      </w:r>
      <w:r w:rsidRPr="001B6C67">
        <w:rPr>
          <w:rtl/>
        </w:rPr>
        <w:t xml:space="preserve"> و</w:t>
      </w:r>
      <w:r w:rsidRPr="00AF3116">
        <w:rPr>
          <w:rtl/>
        </w:rPr>
        <w:t>2019</w:t>
      </w:r>
      <w:r w:rsidRPr="001B6C67">
        <w:rPr>
          <w:rtl/>
        </w:rPr>
        <w:t xml:space="preserve">، وربطتها بسياسة "تايلاند </w:t>
      </w:r>
      <w:r w:rsidR="00146491" w:rsidRPr="00AF3116">
        <w:rPr>
          <w:rtl/>
        </w:rPr>
        <w:t>4</w:t>
      </w:r>
      <w:r w:rsidR="00146491">
        <w:rPr>
          <w:rtl/>
        </w:rPr>
        <w:t>,</w:t>
      </w:r>
      <w:r w:rsidR="00146491" w:rsidRPr="00AF3116">
        <w:rPr>
          <w:rtl/>
        </w:rPr>
        <w:t>0</w:t>
      </w:r>
      <w:r w:rsidRPr="001B6C67">
        <w:rPr>
          <w:rtl/>
        </w:rPr>
        <w:t>" التي يحركها الابتكار و</w:t>
      </w:r>
      <w:r>
        <w:rPr>
          <w:rtl/>
        </w:rPr>
        <w:t>ب</w:t>
      </w:r>
      <w:r w:rsidRPr="001B6C67">
        <w:rPr>
          <w:rtl/>
        </w:rPr>
        <w:t xml:space="preserve">جهودها </w:t>
      </w:r>
      <w:r>
        <w:rPr>
          <w:rtl/>
        </w:rPr>
        <w:t>ا</w:t>
      </w:r>
      <w:r w:rsidRPr="001B6C67">
        <w:rPr>
          <w:rtl/>
        </w:rPr>
        <w:t>ل</w:t>
      </w:r>
      <w:r>
        <w:rPr>
          <w:rtl/>
        </w:rPr>
        <w:t xml:space="preserve">رامية إلى </w:t>
      </w:r>
      <w:r w:rsidRPr="001B6C67">
        <w:rPr>
          <w:rtl/>
        </w:rPr>
        <w:t xml:space="preserve">تحقيق التنمية المستدامة. </w:t>
      </w:r>
    </w:p>
    <w:p w14:paraId="4B3EB7D9" w14:textId="37F4EDDD" w:rsidR="00DE3D9F" w:rsidRPr="00483D61" w:rsidRDefault="00DE3D9F" w:rsidP="00DE3D9F">
      <w:pPr>
        <w:pStyle w:val="SingleTxtGA"/>
        <w:rPr>
          <w:lang w:val="en-US" w:eastAsia="zh-TW" w:bidi="en-GB"/>
        </w:rPr>
      </w:pPr>
      <w:r w:rsidRPr="00AF3116">
        <w:rPr>
          <w:rtl/>
        </w:rPr>
        <w:t>93</w:t>
      </w:r>
      <w:r w:rsidRPr="001B6C67">
        <w:rPr>
          <w:rtl/>
        </w:rPr>
        <w:t>-</w:t>
      </w:r>
      <w:r w:rsidRPr="001B6C67">
        <w:rPr>
          <w:rtl/>
        </w:rPr>
        <w:tab/>
        <w:t>ويفك جدول الأعمال شفرة إطار سياسة "</w:t>
      </w:r>
      <w:r w:rsidRPr="00AF3116">
        <w:rPr>
          <w:rtl/>
        </w:rPr>
        <w:t>4</w:t>
      </w:r>
      <w:r w:rsidRPr="001B6C67">
        <w:rPr>
          <w:rtl/>
        </w:rPr>
        <w:t>+</w:t>
      </w:r>
      <w:r w:rsidRPr="00AF3116">
        <w:rPr>
          <w:rtl/>
        </w:rPr>
        <w:t>3</w:t>
      </w:r>
      <w:r w:rsidRPr="001B6C67">
        <w:rPr>
          <w:rtl/>
        </w:rPr>
        <w:t>+</w:t>
      </w:r>
      <w:r w:rsidRPr="00AF3116">
        <w:rPr>
          <w:rtl/>
        </w:rPr>
        <w:t>2</w:t>
      </w:r>
      <w:r w:rsidRPr="001B6C67">
        <w:rPr>
          <w:rtl/>
        </w:rPr>
        <w:t>+</w:t>
      </w:r>
      <w:r w:rsidRPr="00AF3116">
        <w:rPr>
          <w:rtl/>
        </w:rPr>
        <w:t>1</w:t>
      </w:r>
      <w:r w:rsidRPr="001B6C67">
        <w:rPr>
          <w:rtl/>
        </w:rPr>
        <w:t>=الهدف"، أي "أربع" سياسات لإيجاد بيئة مواتية، و"ثلاث" لتحسين نظام حقوق الإنسان القائم في البلاد، و"اثنتان" لدفع المؤسسات والخطط إلى تعزيز العمل في مجال حقوق الإنسان، و"واحدة" للحد من مشكلة انتهاكات حقوق الإنسان، و"الهدف"، وهو مفتاح مجتمع سل</w:t>
      </w:r>
      <w:r w:rsidR="00F9604D">
        <w:rPr>
          <w:rFonts w:hint="cs"/>
          <w:rtl/>
        </w:rPr>
        <w:t>مي</w:t>
      </w:r>
      <w:r w:rsidRPr="001B6C67">
        <w:rPr>
          <w:rtl/>
        </w:rPr>
        <w:t xml:space="preserve">. </w:t>
      </w:r>
    </w:p>
    <w:p w14:paraId="401FD4E0" w14:textId="34BEEDCD" w:rsidR="00DE3D9F" w:rsidRPr="001B6C67" w:rsidRDefault="00DE3D9F" w:rsidP="00DE3D9F">
      <w:pPr>
        <w:pStyle w:val="SingleTxtGA"/>
        <w:rPr>
          <w:lang w:val="ar-SA" w:eastAsia="zh-TW" w:bidi="en-GB"/>
        </w:rPr>
      </w:pPr>
      <w:r w:rsidRPr="00AF3116">
        <w:rPr>
          <w:rtl/>
        </w:rPr>
        <w:t>94</w:t>
      </w:r>
      <w:r w:rsidRPr="001B6C67">
        <w:rPr>
          <w:rtl/>
        </w:rPr>
        <w:t>-</w:t>
      </w:r>
      <w:r w:rsidRPr="001B6C67">
        <w:rPr>
          <w:rtl/>
        </w:rPr>
        <w:tab/>
        <w:t xml:space="preserve">وأنشأت الحكومة اللجنة الوطنية لحقوق الإنسان منذ كانون الأول/ديسمبر </w:t>
      </w:r>
      <w:r w:rsidRPr="00AF3116">
        <w:rPr>
          <w:rtl/>
        </w:rPr>
        <w:t>2018</w:t>
      </w:r>
      <w:r w:rsidRPr="001B6C67">
        <w:rPr>
          <w:rtl/>
        </w:rPr>
        <w:t>. واللجنة، التي يرأسها نائب رئيس الوزراء ووزير العد</w:t>
      </w:r>
      <w:r w:rsidR="00F9604D">
        <w:rPr>
          <w:rFonts w:hint="cs"/>
          <w:rtl/>
        </w:rPr>
        <w:t>ل</w:t>
      </w:r>
      <w:r w:rsidRPr="001B6C67">
        <w:rPr>
          <w:rtl/>
        </w:rPr>
        <w:t xml:space="preserve"> وتضم وكالات حكومية وممثلين عن المجتمع المدني كأعضاء </w:t>
      </w:r>
      <w:r w:rsidRPr="001B6C67">
        <w:rPr>
          <w:rtl/>
        </w:rPr>
        <w:lastRenderedPageBreak/>
        <w:t>في</w:t>
      </w:r>
      <w:r>
        <w:rPr>
          <w:rtl/>
        </w:rPr>
        <w:t>ها</w:t>
      </w:r>
      <w:r w:rsidRPr="001B6C67">
        <w:rPr>
          <w:rtl/>
        </w:rPr>
        <w:t>، مكلفة بدفع جدول الأعمال الوطني لحقوق الإنسان والخطة الوطنية لحقوق الإنسان وغير ذلك من المسائل ذات الصلة إلى الأمام بطريقة ش</w:t>
      </w:r>
      <w:r w:rsidR="00E61563">
        <w:rPr>
          <w:rFonts w:hint="cs"/>
          <w:rtl/>
        </w:rPr>
        <w:t>املة</w:t>
      </w:r>
      <w:r w:rsidRPr="001B6C67">
        <w:rPr>
          <w:rtl/>
        </w:rPr>
        <w:t xml:space="preserve"> ومتكاملة.</w:t>
      </w:r>
    </w:p>
    <w:p w14:paraId="2036756F" w14:textId="77777777" w:rsidR="00DE3D9F" w:rsidRPr="001B6C67" w:rsidRDefault="00DE3D9F" w:rsidP="00DE3D9F">
      <w:pPr>
        <w:pStyle w:val="SingleTxtGA"/>
        <w:rPr>
          <w:lang w:val="ar-SA" w:eastAsia="zh-TW" w:bidi="en-GB"/>
        </w:rPr>
      </w:pPr>
      <w:r w:rsidRPr="00AF3116">
        <w:rPr>
          <w:rtl/>
        </w:rPr>
        <w:t>95</w:t>
      </w:r>
      <w:r w:rsidRPr="001B6C67">
        <w:rPr>
          <w:rtl/>
        </w:rPr>
        <w:t>-</w:t>
      </w:r>
      <w:r w:rsidRPr="001B6C67">
        <w:rPr>
          <w:rtl/>
        </w:rPr>
        <w:tab/>
        <w:t>ووفقاً لجدول الأعمال الوطني المذكور، ترى تايلند أن حقوق الإنسان هي مفتاح تحقيق أهداف التنمية المستدامة، وضمان عدم تخلف أي أحد عن الركب، ولا سيما الفئات الأكثر ضعفاً. وتشدد تايلند على أوجه التكامل والروابط التي يعزز بعضها بعضاً بين حقوق الإنسان وأهداف التنمية المستدامة في كلا الاتجاهين.</w:t>
      </w:r>
    </w:p>
    <w:p w14:paraId="6443F7EB" w14:textId="5D518778" w:rsidR="00DE3D9F" w:rsidRPr="001B6C67" w:rsidRDefault="00DE3D9F" w:rsidP="00DE3D9F">
      <w:pPr>
        <w:pStyle w:val="SingleTxtGA"/>
        <w:rPr>
          <w:lang w:val="ar-SA" w:eastAsia="zh-TW" w:bidi="en-GB"/>
        </w:rPr>
      </w:pPr>
      <w:r w:rsidRPr="00AF3116">
        <w:rPr>
          <w:rtl/>
        </w:rPr>
        <w:t>96</w:t>
      </w:r>
      <w:r w:rsidRPr="001B6C67">
        <w:rPr>
          <w:rtl/>
        </w:rPr>
        <w:t>-</w:t>
      </w:r>
      <w:r w:rsidRPr="001B6C67">
        <w:rPr>
          <w:rtl/>
        </w:rPr>
        <w:tab/>
        <w:t>وتعمل وزارة العدل حالياً على تجديد جدول الأعمال الوطني لحقوق الإنسان، مبدئياً لعامي</w:t>
      </w:r>
      <w:r w:rsidR="00883EBA">
        <w:rPr>
          <w:rFonts w:hint="cs"/>
          <w:rtl/>
        </w:rPr>
        <w:t> </w:t>
      </w:r>
      <w:r w:rsidRPr="00AF3116">
        <w:rPr>
          <w:rtl/>
        </w:rPr>
        <w:t>2021</w:t>
      </w:r>
      <w:r w:rsidRPr="001B6C67">
        <w:rPr>
          <w:rtl/>
        </w:rPr>
        <w:t xml:space="preserve"> و</w:t>
      </w:r>
      <w:r w:rsidRPr="00AF3116">
        <w:rPr>
          <w:rtl/>
        </w:rPr>
        <w:t>2022</w:t>
      </w:r>
      <w:r w:rsidRPr="001B6C67">
        <w:rPr>
          <w:rtl/>
        </w:rPr>
        <w:t>.</w:t>
      </w:r>
    </w:p>
    <w:p w14:paraId="1E8ACEFC"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الخطة الوطنية لحقوق الإنسان</w:t>
      </w:r>
    </w:p>
    <w:p w14:paraId="4E336081" w14:textId="77777777" w:rsidR="00DE3D9F" w:rsidRPr="001B6C67" w:rsidRDefault="00DE3D9F" w:rsidP="00DE3D9F">
      <w:pPr>
        <w:pStyle w:val="SingleTxtGA"/>
        <w:rPr>
          <w:lang w:val="ar-SA" w:eastAsia="zh-TW" w:bidi="en-GB"/>
        </w:rPr>
      </w:pPr>
      <w:r w:rsidRPr="00AF3116">
        <w:rPr>
          <w:rtl/>
        </w:rPr>
        <w:t>97</w:t>
      </w:r>
      <w:r w:rsidRPr="001B6C67">
        <w:rPr>
          <w:rtl/>
        </w:rPr>
        <w:t>-</w:t>
      </w:r>
      <w:r w:rsidRPr="001B6C67">
        <w:rPr>
          <w:rtl/>
        </w:rPr>
        <w:tab/>
        <w:t xml:space="preserve">مع اكتمال الخطة </w:t>
      </w:r>
      <w:r w:rsidRPr="00AF3116">
        <w:rPr>
          <w:rtl/>
        </w:rPr>
        <w:t>الوطنية الثالثة لحقوق</w:t>
      </w:r>
      <w:r w:rsidRPr="001B6C67">
        <w:rPr>
          <w:rtl/>
        </w:rPr>
        <w:t xml:space="preserve"> الإنسان (</w:t>
      </w:r>
      <w:r w:rsidRPr="00AF3116">
        <w:rPr>
          <w:rtl/>
        </w:rPr>
        <w:t>2014</w:t>
      </w:r>
      <w:r w:rsidRPr="001B6C67">
        <w:rPr>
          <w:rtl/>
        </w:rPr>
        <w:t>-</w:t>
      </w:r>
      <w:r w:rsidRPr="00AF3116">
        <w:rPr>
          <w:rtl/>
        </w:rPr>
        <w:t>2018</w:t>
      </w:r>
      <w:r w:rsidRPr="001B6C67">
        <w:rPr>
          <w:rtl/>
        </w:rPr>
        <w:t>)، أجرت وزارة العدل، بوصفها جهة التنسيق، تقييماً لتنفيذ الخطة وعملت على الخطة الوطنية الرابعة لحقوق الإنسان (</w:t>
      </w:r>
      <w:r w:rsidRPr="00AF3116">
        <w:rPr>
          <w:rtl/>
        </w:rPr>
        <w:t>2019</w:t>
      </w:r>
      <w:r w:rsidRPr="001B6C67">
        <w:rPr>
          <w:rtl/>
        </w:rPr>
        <w:t>-</w:t>
      </w:r>
      <w:r w:rsidRPr="00AF3116">
        <w:rPr>
          <w:rtl/>
        </w:rPr>
        <w:t>2023</w:t>
      </w:r>
      <w:r w:rsidRPr="001B6C67">
        <w:rPr>
          <w:rtl/>
        </w:rPr>
        <w:t xml:space="preserve">). وخضعت الخطة الرابعة لمجموعة من المشاورات العامة، ونقحتها الوكالات ذات الصلة ونظرت فيها وأقرها مجلس الوزراء في </w:t>
      </w:r>
      <w:r w:rsidRPr="00AF3116">
        <w:rPr>
          <w:rtl/>
        </w:rPr>
        <w:t>30</w:t>
      </w:r>
      <w:r w:rsidRPr="001B6C67">
        <w:rPr>
          <w:rtl/>
        </w:rPr>
        <w:t xml:space="preserve"> حزيران/يونيه </w:t>
      </w:r>
      <w:r w:rsidRPr="00AF3116">
        <w:rPr>
          <w:rtl/>
        </w:rPr>
        <w:t>2020</w:t>
      </w:r>
      <w:r w:rsidRPr="001B6C67">
        <w:rPr>
          <w:rtl/>
        </w:rPr>
        <w:t xml:space="preserve">. </w:t>
      </w:r>
    </w:p>
    <w:p w14:paraId="240A0F3B" w14:textId="77777777" w:rsidR="00DE3D9F" w:rsidRPr="001B6C67" w:rsidRDefault="00DE3D9F" w:rsidP="00DE3D9F">
      <w:pPr>
        <w:pStyle w:val="SingleTxtGA"/>
        <w:rPr>
          <w:lang w:val="ar-SA" w:eastAsia="zh-TW" w:bidi="en-GB"/>
        </w:rPr>
      </w:pPr>
      <w:r w:rsidRPr="00AF3116">
        <w:rPr>
          <w:rtl/>
        </w:rPr>
        <w:t>98</w:t>
      </w:r>
      <w:r w:rsidRPr="001B6C67">
        <w:rPr>
          <w:rtl/>
        </w:rPr>
        <w:t>-</w:t>
      </w:r>
      <w:r w:rsidRPr="001B6C67">
        <w:rPr>
          <w:rtl/>
        </w:rPr>
        <w:tab/>
        <w:t xml:space="preserve">وتتناول العناصر الرئيسية للخطة الرابعة القضايا الجارية التي تفضي إلى إطار عمل مقترح ينقسم إلى </w:t>
      </w:r>
      <w:r w:rsidRPr="00AF3116">
        <w:rPr>
          <w:rtl/>
        </w:rPr>
        <w:t>22</w:t>
      </w:r>
      <w:r w:rsidRPr="001B6C67">
        <w:rPr>
          <w:rtl/>
        </w:rPr>
        <w:t xml:space="preserve"> خطة فرعية قائمة على </w:t>
      </w:r>
      <w:r w:rsidRPr="00AF3116">
        <w:rPr>
          <w:rtl/>
        </w:rPr>
        <w:t>10</w:t>
      </w:r>
      <w:r w:rsidRPr="001B6C67">
        <w:rPr>
          <w:rtl/>
        </w:rPr>
        <w:t xml:space="preserve"> قضايا مواضيعية و</w:t>
      </w:r>
      <w:r w:rsidRPr="00AF3116">
        <w:rPr>
          <w:rtl/>
        </w:rPr>
        <w:t>12</w:t>
      </w:r>
      <w:r w:rsidRPr="001B6C67">
        <w:rPr>
          <w:rtl/>
        </w:rPr>
        <w:t xml:space="preserve"> فئة ضعيفة</w:t>
      </w:r>
      <w:r w:rsidRPr="001B6C67">
        <w:t>:</w:t>
      </w:r>
      <w:r w:rsidRPr="001B6C67">
        <w:rPr>
          <w:rtl/>
        </w:rPr>
        <w:t xml:space="preserve"> </w:t>
      </w:r>
    </w:p>
    <w:p w14:paraId="30F70029" w14:textId="44544D7E" w:rsidR="00DE3D9F" w:rsidRPr="001B6C67" w:rsidRDefault="00DE3D9F" w:rsidP="00883EBA">
      <w:pPr>
        <w:pStyle w:val="SingleTxtGA"/>
        <w:numPr>
          <w:ilvl w:val="0"/>
          <w:numId w:val="30"/>
        </w:numPr>
        <w:tabs>
          <w:tab w:val="clear" w:pos="1928"/>
        </w:tabs>
        <w:rPr>
          <w:lang w:val="ar-SA" w:eastAsia="zh-TW" w:bidi="en-GB"/>
        </w:rPr>
      </w:pPr>
      <w:r w:rsidRPr="001B6C67">
        <w:rPr>
          <w:rtl/>
        </w:rPr>
        <w:t>تشمل الخطط العشر القائمة على القضايا خططاً بشأن (</w:t>
      </w:r>
      <w:r w:rsidRPr="00AF3116">
        <w:rPr>
          <w:rtl/>
        </w:rPr>
        <w:t>1</w:t>
      </w:r>
      <w:r w:rsidRPr="001B6C67">
        <w:rPr>
          <w:rtl/>
        </w:rPr>
        <w:t>) الصحة العامة، (</w:t>
      </w:r>
      <w:r w:rsidRPr="00AF3116">
        <w:rPr>
          <w:rtl/>
        </w:rPr>
        <w:t>2</w:t>
      </w:r>
      <w:r w:rsidRPr="001B6C67">
        <w:rPr>
          <w:rtl/>
        </w:rPr>
        <w:t>) التعليم، (</w:t>
      </w:r>
      <w:r w:rsidRPr="00AF3116">
        <w:rPr>
          <w:rtl/>
        </w:rPr>
        <w:t>3</w:t>
      </w:r>
      <w:r w:rsidRPr="001B6C67">
        <w:rPr>
          <w:rtl/>
        </w:rPr>
        <w:t>)</w:t>
      </w:r>
      <w:r w:rsidR="00D55C97">
        <w:rPr>
          <w:rFonts w:hint="cs"/>
          <w:rtl/>
        </w:rPr>
        <w:t> </w:t>
      </w:r>
      <w:r w:rsidRPr="001B6C67">
        <w:rPr>
          <w:rtl/>
        </w:rPr>
        <w:t>الموارد الطبيعية والبيئة، (</w:t>
      </w:r>
      <w:r w:rsidRPr="00AF3116">
        <w:rPr>
          <w:rtl/>
        </w:rPr>
        <w:t>4</w:t>
      </w:r>
      <w:r w:rsidRPr="001B6C67">
        <w:rPr>
          <w:rtl/>
        </w:rPr>
        <w:t>) الإسكان، (</w:t>
      </w:r>
      <w:r w:rsidRPr="00AF3116">
        <w:rPr>
          <w:rtl/>
        </w:rPr>
        <w:t>5</w:t>
      </w:r>
      <w:r w:rsidRPr="001B6C67">
        <w:rPr>
          <w:rtl/>
        </w:rPr>
        <w:t>) النقل، (</w:t>
      </w:r>
      <w:r w:rsidRPr="00AF3116">
        <w:rPr>
          <w:rtl/>
        </w:rPr>
        <w:t>6</w:t>
      </w:r>
      <w:r w:rsidRPr="001B6C67">
        <w:rPr>
          <w:rtl/>
        </w:rPr>
        <w:t>) الحقوق الاقتصادية والمتعلقة بالأعمال التجارية، (</w:t>
      </w:r>
      <w:r w:rsidRPr="00AF3116">
        <w:rPr>
          <w:rtl/>
        </w:rPr>
        <w:t>7</w:t>
      </w:r>
      <w:r w:rsidRPr="001B6C67">
        <w:rPr>
          <w:rtl/>
        </w:rPr>
        <w:t>) الحقوق المدنية والسياسية والأمنية، (</w:t>
      </w:r>
      <w:r w:rsidRPr="00AF3116">
        <w:rPr>
          <w:rtl/>
        </w:rPr>
        <w:t>8</w:t>
      </w:r>
      <w:r w:rsidRPr="001B6C67">
        <w:rPr>
          <w:rtl/>
        </w:rPr>
        <w:t>) الحقوق المجتمعية والثقافية والدينية، (</w:t>
      </w:r>
      <w:r w:rsidRPr="00AF3116">
        <w:rPr>
          <w:rtl/>
        </w:rPr>
        <w:t>9</w:t>
      </w:r>
      <w:r w:rsidRPr="001B6C67">
        <w:rPr>
          <w:rtl/>
        </w:rPr>
        <w:t>) البيانات والمعلومات وتكنولوجيا المعلومات (</w:t>
      </w:r>
      <w:r w:rsidRPr="00AF3116">
        <w:rPr>
          <w:rtl/>
        </w:rPr>
        <w:t>10</w:t>
      </w:r>
      <w:r w:rsidRPr="001B6C67">
        <w:rPr>
          <w:rtl/>
        </w:rPr>
        <w:t>) العملية القضائية؛</w:t>
      </w:r>
    </w:p>
    <w:p w14:paraId="0ECDE171" w14:textId="015CDDE0" w:rsidR="00DE3D9F" w:rsidRPr="001B6C67" w:rsidRDefault="00DE3D9F" w:rsidP="00883EBA">
      <w:pPr>
        <w:pStyle w:val="SingleTxtGA"/>
        <w:numPr>
          <w:ilvl w:val="0"/>
          <w:numId w:val="30"/>
        </w:numPr>
        <w:tabs>
          <w:tab w:val="clear" w:pos="1928"/>
        </w:tabs>
        <w:rPr>
          <w:lang w:val="ar-SA" w:eastAsia="zh-TW" w:bidi="en-GB"/>
        </w:rPr>
      </w:pPr>
      <w:r w:rsidRPr="001B6C67">
        <w:rPr>
          <w:rtl/>
        </w:rPr>
        <w:t xml:space="preserve">تشمل </w:t>
      </w:r>
      <w:r w:rsidRPr="00AF3116">
        <w:rPr>
          <w:rtl/>
        </w:rPr>
        <w:t>الخطط الاثنتا عشرة القائمة على الفئات</w:t>
      </w:r>
      <w:r w:rsidRPr="001B6C67">
        <w:rPr>
          <w:rtl/>
        </w:rPr>
        <w:t xml:space="preserve"> خططا بشأن (</w:t>
      </w:r>
      <w:r w:rsidRPr="00AF3116">
        <w:rPr>
          <w:rtl/>
        </w:rPr>
        <w:t>1</w:t>
      </w:r>
      <w:r w:rsidRPr="001B6C67">
        <w:rPr>
          <w:rtl/>
        </w:rPr>
        <w:t>) الأطفال والشباب، (</w:t>
      </w:r>
      <w:r w:rsidRPr="00AF3116">
        <w:rPr>
          <w:rtl/>
        </w:rPr>
        <w:t>2</w:t>
      </w:r>
      <w:r w:rsidRPr="001B6C67">
        <w:rPr>
          <w:rtl/>
        </w:rPr>
        <w:t>)</w:t>
      </w:r>
      <w:r w:rsidR="00D55C97">
        <w:rPr>
          <w:rFonts w:hint="cs"/>
          <w:rtl/>
        </w:rPr>
        <w:t> </w:t>
      </w:r>
      <w:r w:rsidRPr="001B6C67">
        <w:rPr>
          <w:rtl/>
        </w:rPr>
        <w:t>المسنين، (</w:t>
      </w:r>
      <w:r w:rsidRPr="00AF3116">
        <w:rPr>
          <w:rtl/>
        </w:rPr>
        <w:t>3</w:t>
      </w:r>
      <w:r w:rsidRPr="001B6C67">
        <w:rPr>
          <w:rtl/>
        </w:rPr>
        <w:t>) النساء، (</w:t>
      </w:r>
      <w:r w:rsidRPr="00AF3116">
        <w:rPr>
          <w:rtl/>
        </w:rPr>
        <w:t>4</w:t>
      </w:r>
      <w:r w:rsidRPr="001B6C67">
        <w:rPr>
          <w:rtl/>
        </w:rPr>
        <w:t>) الأشخاص ذوي الإعاقة، (</w:t>
      </w:r>
      <w:r w:rsidRPr="00AF3116">
        <w:rPr>
          <w:rtl/>
        </w:rPr>
        <w:t>5</w:t>
      </w:r>
      <w:r w:rsidRPr="001B6C67">
        <w:rPr>
          <w:rtl/>
        </w:rPr>
        <w:t>) المزارعين والعمال، (</w:t>
      </w:r>
      <w:r w:rsidRPr="00AF3116">
        <w:rPr>
          <w:rtl/>
        </w:rPr>
        <w:t>6</w:t>
      </w:r>
      <w:r w:rsidRPr="001B6C67">
        <w:rPr>
          <w:rtl/>
        </w:rPr>
        <w:t>) المرضى، بمن فيهم المصابون بفيروس نقص المناعة البشرية/الإيدز ومدمن</w:t>
      </w:r>
      <w:r>
        <w:rPr>
          <w:rtl/>
        </w:rPr>
        <w:t>و</w:t>
      </w:r>
      <w:r w:rsidRPr="001B6C67">
        <w:rPr>
          <w:rtl/>
        </w:rPr>
        <w:t xml:space="preserve"> المخدرات، (</w:t>
      </w:r>
      <w:r w:rsidRPr="00AF3116">
        <w:rPr>
          <w:rtl/>
        </w:rPr>
        <w:t>7</w:t>
      </w:r>
      <w:r w:rsidRPr="001B6C67">
        <w:rPr>
          <w:rtl/>
        </w:rPr>
        <w:t>) المجموعات الإثنية وعديمي الجنسية وطالبي اللجوء، (</w:t>
      </w:r>
      <w:r w:rsidRPr="00AF3116">
        <w:rPr>
          <w:rtl/>
        </w:rPr>
        <w:t>8</w:t>
      </w:r>
      <w:r w:rsidRPr="001B6C67">
        <w:rPr>
          <w:rtl/>
        </w:rPr>
        <w:t xml:space="preserve">) </w:t>
      </w:r>
      <w:proofErr w:type="spellStart"/>
      <w:r w:rsidRPr="001B6C67">
        <w:rPr>
          <w:rtl/>
        </w:rPr>
        <w:t>المثليات</w:t>
      </w:r>
      <w:proofErr w:type="spellEnd"/>
      <w:r w:rsidRPr="001B6C67">
        <w:rPr>
          <w:rtl/>
        </w:rPr>
        <w:t xml:space="preserve"> والمثليين ومزدوجي الميل الجنسي ومغايري الهوية الجنسانية، (</w:t>
      </w:r>
      <w:r w:rsidRPr="00AF3116">
        <w:rPr>
          <w:rtl/>
        </w:rPr>
        <w:t>9</w:t>
      </w:r>
      <w:r w:rsidRPr="001B6C67">
        <w:rPr>
          <w:rtl/>
        </w:rPr>
        <w:t>) المدافعين عن حقوق الإنسان، (</w:t>
      </w:r>
      <w:r w:rsidRPr="00AF3116">
        <w:rPr>
          <w:rtl/>
        </w:rPr>
        <w:t>10</w:t>
      </w:r>
      <w:r w:rsidRPr="001B6C67">
        <w:rPr>
          <w:rtl/>
        </w:rPr>
        <w:t>) نزلاء السجون، بمن فيهم المتهمون والمجرمون المزعومون والسجناء، (</w:t>
      </w:r>
      <w:r w:rsidRPr="00AF3116">
        <w:rPr>
          <w:rtl/>
        </w:rPr>
        <w:t>11</w:t>
      </w:r>
      <w:r w:rsidRPr="001B6C67">
        <w:rPr>
          <w:rtl/>
        </w:rPr>
        <w:t>) نزلاء السجون السابقين والأشخاص الذين قضوا مدة عقوبتهم (</w:t>
      </w:r>
      <w:r w:rsidRPr="00AF3116">
        <w:rPr>
          <w:rtl/>
        </w:rPr>
        <w:t>12</w:t>
      </w:r>
      <w:r w:rsidRPr="001B6C67">
        <w:rPr>
          <w:rtl/>
        </w:rPr>
        <w:t>) الأشخاص والضحايا المصابين، بمن فيهم ضحايا الجريمة والاتجار بالبشر</w:t>
      </w:r>
      <w:r>
        <w:rPr>
          <w:rtl/>
        </w:rPr>
        <w:t xml:space="preserve"> </w:t>
      </w:r>
      <w:r w:rsidRPr="001B6C67">
        <w:rPr>
          <w:rtl/>
        </w:rPr>
        <w:t>وانتهاكات حقوق الإنسان والعنف المنزلي، وما إلى ذلك، والشهود.</w:t>
      </w:r>
    </w:p>
    <w:p w14:paraId="0B4E568A"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الحق في الحياة</w:t>
      </w:r>
    </w:p>
    <w:p w14:paraId="575A9F3C" w14:textId="77777777" w:rsidR="00DE3D9F" w:rsidRPr="001B6C67" w:rsidRDefault="00DE3D9F" w:rsidP="00DE3D9F">
      <w:pPr>
        <w:pStyle w:val="SingleTxtGA"/>
        <w:rPr>
          <w:lang w:val="ar-SA" w:eastAsia="zh-TW" w:bidi="en-GB"/>
        </w:rPr>
      </w:pPr>
      <w:bookmarkStart w:id="23" w:name="_Ref43992964"/>
      <w:r w:rsidRPr="00AF3116">
        <w:rPr>
          <w:rtl/>
        </w:rPr>
        <w:t>99</w:t>
      </w:r>
      <w:r w:rsidRPr="001B6C67">
        <w:rPr>
          <w:rtl/>
        </w:rPr>
        <w:t>-</w:t>
      </w:r>
      <w:r w:rsidRPr="001B6C67">
        <w:rPr>
          <w:rtl/>
        </w:rPr>
        <w:tab/>
        <w:t xml:space="preserve">الحرمان التعسفي من الحياة جريمة بموجب القانون التايلندي، مثل المواد </w:t>
      </w:r>
      <w:r w:rsidRPr="00AF3116">
        <w:rPr>
          <w:rtl/>
        </w:rPr>
        <w:t>288</w:t>
      </w:r>
      <w:r w:rsidRPr="001B6C67">
        <w:rPr>
          <w:rtl/>
        </w:rPr>
        <w:t xml:space="preserve"> (القتل العمد) و</w:t>
      </w:r>
      <w:r w:rsidRPr="00AF3116">
        <w:rPr>
          <w:rtl/>
        </w:rPr>
        <w:t>289</w:t>
      </w:r>
      <w:r w:rsidRPr="001B6C67">
        <w:rPr>
          <w:rtl/>
        </w:rPr>
        <w:t xml:space="preserve"> (القتل العمد المقترن بظروف مشددة) و</w:t>
      </w:r>
      <w:r w:rsidRPr="00AF3116">
        <w:rPr>
          <w:rtl/>
        </w:rPr>
        <w:t>290</w:t>
      </w:r>
      <w:r w:rsidRPr="001B6C67">
        <w:rPr>
          <w:rtl/>
        </w:rPr>
        <w:t xml:space="preserve"> (الاعتداء المؤدي إلى الوفاة) و</w:t>
      </w:r>
      <w:r w:rsidRPr="00AF3116">
        <w:rPr>
          <w:rtl/>
        </w:rPr>
        <w:t>291</w:t>
      </w:r>
      <w:r w:rsidRPr="001B6C67">
        <w:rPr>
          <w:rtl/>
        </w:rPr>
        <w:t xml:space="preserve"> (القتل بسبب الإهمال) من قانون العقوبات.</w:t>
      </w:r>
      <w:bookmarkEnd w:id="23"/>
    </w:p>
    <w:p w14:paraId="4A9B95FD" w14:textId="5CE778B6" w:rsidR="00DE3D9F" w:rsidRPr="001B6C67" w:rsidRDefault="00DE3D9F" w:rsidP="00DE3D9F">
      <w:pPr>
        <w:pStyle w:val="SingleTxtGA"/>
        <w:rPr>
          <w:lang w:val="ar-SA" w:eastAsia="zh-TW" w:bidi="en-GB"/>
        </w:rPr>
      </w:pPr>
      <w:r w:rsidRPr="00AF3116">
        <w:rPr>
          <w:rtl/>
        </w:rPr>
        <w:t>100</w:t>
      </w:r>
      <w:r w:rsidRPr="001B6C67">
        <w:rPr>
          <w:rtl/>
        </w:rPr>
        <w:t>-</w:t>
      </w:r>
      <w:r w:rsidRPr="001B6C67">
        <w:rPr>
          <w:rtl/>
        </w:rPr>
        <w:tab/>
        <w:t>ووفق</w:t>
      </w:r>
      <w:r w:rsidR="00D55C97">
        <w:rPr>
          <w:rtl/>
        </w:rPr>
        <w:t xml:space="preserve">اً </w:t>
      </w:r>
      <w:r w:rsidRPr="001B6C67">
        <w:rPr>
          <w:rtl/>
        </w:rPr>
        <w:t xml:space="preserve">لأحكام الفقرة </w:t>
      </w:r>
      <w:r w:rsidRPr="00AF3116">
        <w:rPr>
          <w:rtl/>
        </w:rPr>
        <w:t>2</w:t>
      </w:r>
      <w:r>
        <w:rPr>
          <w:rtl/>
        </w:rPr>
        <w:t xml:space="preserve"> </w:t>
      </w:r>
      <w:r w:rsidRPr="001B6C67">
        <w:rPr>
          <w:rtl/>
        </w:rPr>
        <w:t xml:space="preserve">من المادة </w:t>
      </w:r>
      <w:r w:rsidRPr="00AF3116">
        <w:rPr>
          <w:rtl/>
        </w:rPr>
        <w:t>18</w:t>
      </w:r>
      <w:r w:rsidRPr="001B6C67">
        <w:rPr>
          <w:rtl/>
        </w:rPr>
        <w:t xml:space="preserve"> من القانون الجنائي، والمادتين </w:t>
      </w:r>
      <w:r w:rsidRPr="00AF3116">
        <w:rPr>
          <w:rtl/>
        </w:rPr>
        <w:t>247</w:t>
      </w:r>
      <w:r w:rsidRPr="001B6C67">
        <w:rPr>
          <w:rtl/>
        </w:rPr>
        <w:t xml:space="preserve"> و</w:t>
      </w:r>
      <w:r w:rsidRPr="00AF3116">
        <w:rPr>
          <w:rtl/>
        </w:rPr>
        <w:t>248</w:t>
      </w:r>
      <w:r w:rsidRPr="001B6C67">
        <w:rPr>
          <w:rtl/>
        </w:rPr>
        <w:t xml:space="preserve"> من قانون الإجراءات الجنائية، لا تفرض عقوبة الإعدام على جانٍ لم يكن قد بلغ الثامنة عشرة من العمر في وقت حدوث الجريمة وعلى مدان حامل أو غير مستقر عقلياً، على التوالي.</w:t>
      </w:r>
    </w:p>
    <w:p w14:paraId="4DD5F8E8" w14:textId="77777777" w:rsidR="00DE3D9F" w:rsidRPr="001B6C67" w:rsidRDefault="00DE3D9F" w:rsidP="00DE3D9F">
      <w:pPr>
        <w:pStyle w:val="SingleTxtGA"/>
        <w:rPr>
          <w:lang w:val="ar-SA" w:eastAsia="zh-TW" w:bidi="en-GB"/>
        </w:rPr>
      </w:pPr>
      <w:r w:rsidRPr="00AF3116">
        <w:rPr>
          <w:rtl/>
        </w:rPr>
        <w:lastRenderedPageBreak/>
        <w:t>101</w:t>
      </w:r>
      <w:r w:rsidRPr="001B6C67">
        <w:rPr>
          <w:rtl/>
        </w:rPr>
        <w:t>-</w:t>
      </w:r>
      <w:r w:rsidRPr="001B6C67">
        <w:rPr>
          <w:rtl/>
        </w:rPr>
        <w:tab/>
        <w:t xml:space="preserve">وقد اتخذت الوكالات التايلندية ذات الصلة نهجاً تدريجياً لإصلاح القوانين المتعلقة بعقوبة الإعدام امتثالاً لمبادئ حقوق الإنسان. وأُدرِج هذا الالتزام في الخطط الوطنية المتعاقبة لحقوق الإنسان منذ عام </w:t>
      </w:r>
      <w:r w:rsidRPr="00AF3116">
        <w:rPr>
          <w:rtl/>
        </w:rPr>
        <w:t>2009</w:t>
      </w:r>
      <w:r w:rsidRPr="001B6C67">
        <w:rPr>
          <w:rtl/>
        </w:rPr>
        <w:t>. ومع تأييد الجمهور القوي لعقوبة الإعدام، تعمل الحكومة على زيادة وعي الجمهور وفهمه للمناقشة الجارية بشأن</w:t>
      </w:r>
      <w:r>
        <w:rPr>
          <w:rtl/>
        </w:rPr>
        <w:t>ها</w:t>
      </w:r>
      <w:r w:rsidRPr="001B6C67">
        <w:rPr>
          <w:rtl/>
        </w:rPr>
        <w:t xml:space="preserve">. </w:t>
      </w:r>
      <w:bookmarkStart w:id="24" w:name="_Ref43992969"/>
      <w:bookmarkEnd w:id="24"/>
    </w:p>
    <w:p w14:paraId="24BAA8A3"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الحق في عدم التعرض للتعذيب وسوء المعاملة</w:t>
      </w:r>
    </w:p>
    <w:p w14:paraId="27E42C37" w14:textId="77777777" w:rsidR="00DE3D9F" w:rsidRPr="001B6C67" w:rsidRDefault="00DE3D9F" w:rsidP="00DE3D9F">
      <w:pPr>
        <w:pStyle w:val="SingleTxtGA"/>
        <w:rPr>
          <w:lang w:val="ar-SA" w:eastAsia="zh-TW" w:bidi="en-GB"/>
        </w:rPr>
      </w:pPr>
      <w:r w:rsidRPr="00AF3116">
        <w:rPr>
          <w:rtl/>
        </w:rPr>
        <w:t>102</w:t>
      </w:r>
      <w:r w:rsidRPr="001B6C67">
        <w:rPr>
          <w:rtl/>
        </w:rPr>
        <w:t>-</w:t>
      </w:r>
      <w:r w:rsidRPr="001B6C67">
        <w:rPr>
          <w:rtl/>
        </w:rPr>
        <w:tab/>
        <w:t xml:space="preserve">يُحظَر أي فعل تعذيب أو سوء معاملة بموجب الدستور (المادة </w:t>
      </w:r>
      <w:r w:rsidRPr="00AF3116">
        <w:rPr>
          <w:rtl/>
        </w:rPr>
        <w:t>29</w:t>
      </w:r>
      <w:r w:rsidRPr="001B6C67">
        <w:rPr>
          <w:rtl/>
        </w:rPr>
        <w:t xml:space="preserve">) وعدة مواد من قانون العقوبات، مثل المواد </w:t>
      </w:r>
      <w:r w:rsidRPr="00AF3116">
        <w:rPr>
          <w:rtl/>
        </w:rPr>
        <w:t>157</w:t>
      </w:r>
      <w:r w:rsidRPr="001B6C67">
        <w:rPr>
          <w:rtl/>
        </w:rPr>
        <w:t xml:space="preserve"> و</w:t>
      </w:r>
      <w:r w:rsidRPr="00AF3116">
        <w:rPr>
          <w:rtl/>
        </w:rPr>
        <w:t>200</w:t>
      </w:r>
      <w:r w:rsidRPr="001B6C67">
        <w:rPr>
          <w:rtl/>
        </w:rPr>
        <w:t xml:space="preserve"> و</w:t>
      </w:r>
      <w:r w:rsidRPr="00AF3116">
        <w:rPr>
          <w:rtl/>
        </w:rPr>
        <w:t>295</w:t>
      </w:r>
      <w:r w:rsidRPr="001B6C67">
        <w:rPr>
          <w:rtl/>
        </w:rPr>
        <w:t xml:space="preserve"> و</w:t>
      </w:r>
      <w:r w:rsidRPr="00AF3116">
        <w:rPr>
          <w:rtl/>
        </w:rPr>
        <w:t>296</w:t>
      </w:r>
      <w:r w:rsidRPr="001B6C67">
        <w:rPr>
          <w:rtl/>
        </w:rPr>
        <w:t xml:space="preserve"> و</w:t>
      </w:r>
      <w:r w:rsidRPr="00AF3116">
        <w:rPr>
          <w:rtl/>
        </w:rPr>
        <w:t>297</w:t>
      </w:r>
      <w:r w:rsidRPr="001B6C67">
        <w:rPr>
          <w:rtl/>
        </w:rPr>
        <w:t xml:space="preserve"> و</w:t>
      </w:r>
      <w:r w:rsidRPr="00AF3116">
        <w:rPr>
          <w:rtl/>
        </w:rPr>
        <w:t>298</w:t>
      </w:r>
      <w:r w:rsidRPr="001B6C67">
        <w:rPr>
          <w:rtl/>
        </w:rPr>
        <w:t xml:space="preserve"> و</w:t>
      </w:r>
      <w:r w:rsidRPr="00AF3116">
        <w:rPr>
          <w:rtl/>
        </w:rPr>
        <w:t>288</w:t>
      </w:r>
      <w:r w:rsidRPr="001B6C67">
        <w:rPr>
          <w:rtl/>
        </w:rPr>
        <w:t xml:space="preserve"> و</w:t>
      </w:r>
      <w:r w:rsidRPr="00AF3116">
        <w:rPr>
          <w:rtl/>
        </w:rPr>
        <w:t>289</w:t>
      </w:r>
      <w:r w:rsidRPr="001B6C67">
        <w:rPr>
          <w:rtl/>
        </w:rPr>
        <w:t>، وما إلى ذلك.</w:t>
      </w:r>
    </w:p>
    <w:p w14:paraId="7780F9E4" w14:textId="77777777" w:rsidR="00DE3D9F" w:rsidRPr="001B6C67" w:rsidRDefault="00DE3D9F" w:rsidP="00DE3D9F">
      <w:pPr>
        <w:pStyle w:val="SingleTxtGA"/>
        <w:rPr>
          <w:lang w:val="ar-SA" w:eastAsia="zh-TW" w:bidi="en-GB"/>
        </w:rPr>
      </w:pPr>
      <w:r w:rsidRPr="00AF3116">
        <w:rPr>
          <w:rtl/>
        </w:rPr>
        <w:t>103</w:t>
      </w:r>
      <w:r w:rsidRPr="001B6C67">
        <w:rPr>
          <w:rtl/>
        </w:rPr>
        <w:t>-</w:t>
      </w:r>
      <w:r w:rsidRPr="001B6C67">
        <w:rPr>
          <w:rtl/>
        </w:rPr>
        <w:tab/>
        <w:t xml:space="preserve">وقد وافق مجلس الوزراء من حيث المبدأ على مشروع قانون منع وقمع التعذيب والاختفاء القسري في </w:t>
      </w:r>
      <w:r>
        <w:rPr>
          <w:rtl/>
        </w:rPr>
        <w:t>أيار</w:t>
      </w:r>
      <w:r w:rsidRPr="001B6C67">
        <w:rPr>
          <w:rtl/>
        </w:rPr>
        <w:t>/</w:t>
      </w:r>
      <w:r>
        <w:rPr>
          <w:rtl/>
        </w:rPr>
        <w:t>مايو</w:t>
      </w:r>
      <w:r w:rsidRPr="001B6C67">
        <w:rPr>
          <w:rtl/>
        </w:rPr>
        <w:t xml:space="preserve"> </w:t>
      </w:r>
      <w:r w:rsidRPr="00AF3116">
        <w:rPr>
          <w:rtl/>
        </w:rPr>
        <w:t>2016</w:t>
      </w:r>
      <w:r w:rsidRPr="001B6C67">
        <w:rPr>
          <w:rtl/>
        </w:rPr>
        <w:t xml:space="preserve"> وتداولت فيه الجمعية التشريعية الوطنية في </w:t>
      </w:r>
      <w:r>
        <w:rPr>
          <w:rtl/>
        </w:rPr>
        <w:t>آذار</w:t>
      </w:r>
      <w:r w:rsidRPr="001B6C67">
        <w:rPr>
          <w:rtl/>
        </w:rPr>
        <w:t>/</w:t>
      </w:r>
      <w:r>
        <w:rPr>
          <w:rtl/>
        </w:rPr>
        <w:t>مارس</w:t>
      </w:r>
      <w:r w:rsidRPr="001B6C67">
        <w:rPr>
          <w:rtl/>
        </w:rPr>
        <w:t xml:space="preserve"> </w:t>
      </w:r>
      <w:r w:rsidRPr="00AF3116">
        <w:rPr>
          <w:rtl/>
        </w:rPr>
        <w:t>2017</w:t>
      </w:r>
      <w:r w:rsidRPr="001B6C67">
        <w:rPr>
          <w:rtl/>
        </w:rPr>
        <w:t xml:space="preserve">. ولما كانت الجمعية التشريعية الوطنية لم تنته بعد من المداولات قبل حلها، بسبب صعوبات تقنية، فإن وزارة العدل سحبت مشروع القانون وأجرت مشاورات عامة من جديد وفقاً للمادة </w:t>
      </w:r>
      <w:r w:rsidRPr="00AF3116">
        <w:rPr>
          <w:rtl/>
        </w:rPr>
        <w:t>77</w:t>
      </w:r>
      <w:r w:rsidRPr="001B6C67">
        <w:rPr>
          <w:rtl/>
        </w:rPr>
        <w:t xml:space="preserve"> من الدستور. وأعيد تقديم المشروع المنقح لاحقاً لينظر فيه مجلس الوزراء في نيسان/أبريل </w:t>
      </w:r>
      <w:r w:rsidRPr="00AF3116">
        <w:rPr>
          <w:rtl/>
        </w:rPr>
        <w:t>2020</w:t>
      </w:r>
      <w:r w:rsidRPr="001B6C67">
        <w:rPr>
          <w:rtl/>
        </w:rPr>
        <w:t xml:space="preserve">. </w:t>
      </w:r>
    </w:p>
    <w:p w14:paraId="29FF9DB6" w14:textId="77777777" w:rsidR="00DE3D9F" w:rsidRPr="001B6C67" w:rsidRDefault="00DE3D9F" w:rsidP="00DE3D9F">
      <w:pPr>
        <w:pStyle w:val="SingleTxtGA"/>
        <w:rPr>
          <w:lang w:val="ar-SA" w:eastAsia="zh-TW" w:bidi="en-GB"/>
        </w:rPr>
      </w:pPr>
      <w:r w:rsidRPr="00AF3116">
        <w:rPr>
          <w:rtl/>
        </w:rPr>
        <w:t>104</w:t>
      </w:r>
      <w:r w:rsidRPr="001B6C67">
        <w:rPr>
          <w:rtl/>
        </w:rPr>
        <w:t>-</w:t>
      </w:r>
      <w:r w:rsidRPr="001B6C67">
        <w:rPr>
          <w:rtl/>
        </w:rPr>
        <w:tab/>
        <w:t xml:space="preserve">وفي الوقت الذي يجري فيه النظر في مشروع قانون منع وقمع التعذيب والاختفاء القسري، أصدر رئيس الوزراء الأمر رقم </w:t>
      </w:r>
      <w:r w:rsidRPr="00AF3116">
        <w:rPr>
          <w:rtl/>
        </w:rPr>
        <w:t>131</w:t>
      </w:r>
      <w:r w:rsidRPr="001B6C67">
        <w:rPr>
          <w:rtl/>
        </w:rPr>
        <w:t>/</w:t>
      </w:r>
      <w:r w:rsidRPr="00AF3116">
        <w:rPr>
          <w:rtl/>
        </w:rPr>
        <w:t>2560</w:t>
      </w:r>
      <w:r w:rsidRPr="001B6C67">
        <w:rPr>
          <w:rtl/>
        </w:rPr>
        <w:t xml:space="preserve"> المؤرخ </w:t>
      </w:r>
      <w:r w:rsidRPr="00AF3116">
        <w:rPr>
          <w:rtl/>
        </w:rPr>
        <w:t>23</w:t>
      </w:r>
      <w:r w:rsidRPr="001B6C67">
        <w:rPr>
          <w:rtl/>
        </w:rPr>
        <w:t xml:space="preserve"> أيار/مايو </w:t>
      </w:r>
      <w:r w:rsidRPr="00AF3116">
        <w:rPr>
          <w:rtl/>
        </w:rPr>
        <w:t>2017</w:t>
      </w:r>
      <w:r w:rsidRPr="001B6C67">
        <w:rPr>
          <w:rtl/>
        </w:rPr>
        <w:t xml:space="preserve">، ورقم </w:t>
      </w:r>
      <w:r w:rsidRPr="00AF3116">
        <w:rPr>
          <w:rtl/>
        </w:rPr>
        <w:t>198</w:t>
      </w:r>
      <w:r w:rsidRPr="001B6C67">
        <w:rPr>
          <w:rtl/>
        </w:rPr>
        <w:t>/</w:t>
      </w:r>
      <w:r w:rsidRPr="00AF3116">
        <w:rPr>
          <w:rtl/>
        </w:rPr>
        <w:t>2560</w:t>
      </w:r>
      <w:r w:rsidRPr="001B6C67">
        <w:rPr>
          <w:rtl/>
        </w:rPr>
        <w:t xml:space="preserve"> المؤرخ </w:t>
      </w:r>
      <w:r w:rsidRPr="00AF3116">
        <w:rPr>
          <w:rtl/>
        </w:rPr>
        <w:t>18</w:t>
      </w:r>
      <w:r w:rsidRPr="001B6C67">
        <w:rPr>
          <w:rtl/>
        </w:rPr>
        <w:t xml:space="preserve"> آب/أغسطس </w:t>
      </w:r>
      <w:r w:rsidRPr="00AF3116">
        <w:rPr>
          <w:rtl/>
        </w:rPr>
        <w:t>2017</w:t>
      </w:r>
      <w:r w:rsidRPr="001B6C67">
        <w:rPr>
          <w:rtl/>
        </w:rPr>
        <w:t xml:space="preserve"> (الأعضاء الإضافيون)، ورقم </w:t>
      </w:r>
      <w:r w:rsidRPr="00AF3116">
        <w:rPr>
          <w:rtl/>
        </w:rPr>
        <w:t>338</w:t>
      </w:r>
      <w:r w:rsidRPr="001B6C67">
        <w:rPr>
          <w:rtl/>
        </w:rPr>
        <w:t>/</w:t>
      </w:r>
      <w:r w:rsidRPr="00AF3116">
        <w:rPr>
          <w:rtl/>
        </w:rPr>
        <w:t>2562</w:t>
      </w:r>
      <w:r w:rsidRPr="001B6C67">
        <w:rPr>
          <w:rtl/>
        </w:rPr>
        <w:t xml:space="preserve"> المؤرخ </w:t>
      </w:r>
      <w:r w:rsidRPr="00AF3116">
        <w:rPr>
          <w:rtl/>
        </w:rPr>
        <w:t>15</w:t>
      </w:r>
      <w:r w:rsidRPr="001B6C67">
        <w:rPr>
          <w:rtl/>
        </w:rPr>
        <w:t xml:space="preserve"> تشرين الثاني/نوفمبر </w:t>
      </w:r>
      <w:r w:rsidRPr="00AF3116">
        <w:rPr>
          <w:rtl/>
        </w:rPr>
        <w:t>2019</w:t>
      </w:r>
      <w:r w:rsidRPr="001B6C67">
        <w:rPr>
          <w:rtl/>
        </w:rPr>
        <w:t xml:space="preserve"> (الجديد) لإنشاء اللجنة الوطنية لإدارة القضايا المتعلقة بالتعذيب والاختفاء القسري، التي يرأسها وزير العدل وتتألف من ممثلين من الوكالات ذات الصلة كأعضاء في</w:t>
      </w:r>
      <w:r>
        <w:rPr>
          <w:rtl/>
        </w:rPr>
        <w:t>ها</w:t>
      </w:r>
      <w:r w:rsidRPr="001B6C67">
        <w:rPr>
          <w:rtl/>
        </w:rPr>
        <w:t>، من أجل معالجة حالات التعذيب والاختفاء القسري المزعومة ومنع وقوعها في المستقبل. وتدعم اللجنةَ أربعُ لجان فرعية بشأن (</w:t>
      </w:r>
      <w:r w:rsidRPr="00AF3116">
        <w:rPr>
          <w:rtl/>
        </w:rPr>
        <w:t>1</w:t>
      </w:r>
      <w:r w:rsidRPr="001B6C67">
        <w:rPr>
          <w:rtl/>
        </w:rPr>
        <w:t>) المتابعة والرصد، (</w:t>
      </w:r>
      <w:r w:rsidRPr="00AF3116">
        <w:rPr>
          <w:rtl/>
        </w:rPr>
        <w:t>2</w:t>
      </w:r>
      <w:r w:rsidRPr="001B6C67">
        <w:rPr>
          <w:rtl/>
        </w:rPr>
        <w:t>) المساعدة والانتصاف، (</w:t>
      </w:r>
      <w:r w:rsidRPr="00AF3116">
        <w:rPr>
          <w:rtl/>
        </w:rPr>
        <w:t>3</w:t>
      </w:r>
      <w:r w:rsidRPr="001B6C67">
        <w:rPr>
          <w:rtl/>
        </w:rPr>
        <w:t>) الوقاية والتدريب (</w:t>
      </w:r>
      <w:r w:rsidRPr="00AF3116">
        <w:rPr>
          <w:rtl/>
        </w:rPr>
        <w:t>4</w:t>
      </w:r>
      <w:r w:rsidRPr="001B6C67">
        <w:rPr>
          <w:rtl/>
        </w:rPr>
        <w:t>) فحص الحالات. وسيُحاكَم وفقاً للقانون أي موظف عام يثبت تورطه في التعذيب و/أو الاختفاء القسري.</w:t>
      </w:r>
    </w:p>
    <w:p w14:paraId="4E520896"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الحق في حرية التعبير</w:t>
      </w:r>
    </w:p>
    <w:p w14:paraId="3C20488C" w14:textId="77777777" w:rsidR="00DE3D9F" w:rsidRPr="001B6C67" w:rsidRDefault="00DE3D9F" w:rsidP="00DE3D9F">
      <w:pPr>
        <w:pStyle w:val="SingleTxtGA"/>
        <w:rPr>
          <w:lang w:val="ar-SA" w:eastAsia="zh-TW" w:bidi="en-GB"/>
        </w:rPr>
      </w:pPr>
      <w:r w:rsidRPr="00AF3116">
        <w:rPr>
          <w:rtl/>
        </w:rPr>
        <w:t>105</w:t>
      </w:r>
      <w:r w:rsidRPr="001B6C67">
        <w:rPr>
          <w:rtl/>
        </w:rPr>
        <w:t>-</w:t>
      </w:r>
      <w:r w:rsidRPr="001B6C67">
        <w:rPr>
          <w:rtl/>
        </w:rPr>
        <w:tab/>
        <w:t xml:space="preserve">يكفل الدستور التايلندي الحق في حرية التعبير، وفقاً للقوانين الدولية، ولا سيما المادة </w:t>
      </w:r>
      <w:r w:rsidRPr="00AF3116">
        <w:rPr>
          <w:rtl/>
        </w:rPr>
        <w:t>19</w:t>
      </w:r>
      <w:r w:rsidRPr="001B6C67">
        <w:rPr>
          <w:rtl/>
        </w:rPr>
        <w:t xml:space="preserve"> من العهد الدولي الخاص بالحقوق المدنية والسياسية. وتعترف تايلند بهذه الحريات بوصفها عوامل تمكينية لجميع حقوق الإنسان الأخرى وأساس ديمقراطيتنا. </w:t>
      </w:r>
    </w:p>
    <w:p w14:paraId="3D8BE579" w14:textId="3AECD94F" w:rsidR="00DE3D9F" w:rsidRPr="001B6C67" w:rsidRDefault="00DE3D9F" w:rsidP="00DE3D9F">
      <w:pPr>
        <w:pStyle w:val="SingleTxtGA"/>
        <w:rPr>
          <w:lang w:val="ar-SA" w:eastAsia="zh-TW" w:bidi="en-GB"/>
        </w:rPr>
      </w:pPr>
      <w:r w:rsidRPr="00AF3116">
        <w:rPr>
          <w:rtl/>
        </w:rPr>
        <w:t>106</w:t>
      </w:r>
      <w:r w:rsidRPr="001B6C67">
        <w:rPr>
          <w:rtl/>
        </w:rPr>
        <w:t>-</w:t>
      </w:r>
      <w:r w:rsidRPr="001B6C67">
        <w:rPr>
          <w:rtl/>
        </w:rPr>
        <w:tab/>
        <w:t xml:space="preserve">وتنص المادة </w:t>
      </w:r>
      <w:r w:rsidRPr="00AF3116">
        <w:rPr>
          <w:rtl/>
        </w:rPr>
        <w:t>35</w:t>
      </w:r>
      <w:r w:rsidRPr="001B6C67">
        <w:rPr>
          <w:rtl/>
        </w:rPr>
        <w:t xml:space="preserve"> من دستور عام </w:t>
      </w:r>
      <w:r w:rsidRPr="00AF3116">
        <w:rPr>
          <w:rtl/>
        </w:rPr>
        <w:t>2017</w:t>
      </w:r>
      <w:r w:rsidRPr="001B6C67">
        <w:rPr>
          <w:rtl/>
        </w:rPr>
        <w:t xml:space="preserve"> على ضمانات حرية الصحافة والإعلام، بما في ذلك</w:t>
      </w:r>
      <w:r w:rsidR="00883EBA">
        <w:rPr>
          <w:rFonts w:hint="cs"/>
          <w:rtl/>
        </w:rPr>
        <w:t> </w:t>
      </w:r>
      <w:r w:rsidRPr="001B6C67">
        <w:rPr>
          <w:rtl/>
        </w:rPr>
        <w:t>ما يلي:</w:t>
      </w:r>
    </w:p>
    <w:p w14:paraId="3AEF18CA" w14:textId="77777777" w:rsidR="00DE3D9F" w:rsidRPr="001B6C67" w:rsidRDefault="00DE3D9F" w:rsidP="00883EBA">
      <w:pPr>
        <w:pStyle w:val="SingleTxtGA"/>
        <w:ind w:left="2608" w:hanging="680"/>
        <w:rPr>
          <w:lang w:val="ar-SA" w:eastAsia="zh-TW" w:bidi="en-GB"/>
        </w:rPr>
      </w:pPr>
      <w:r w:rsidRPr="00AF3116">
        <w:rPr>
          <w:rtl/>
        </w:rPr>
        <w:t>1</w:t>
      </w:r>
      <w:r w:rsidRPr="001B6C67">
        <w:rPr>
          <w:rtl/>
        </w:rPr>
        <w:t>-</w:t>
      </w:r>
      <w:r w:rsidRPr="001B6C67">
        <w:rPr>
          <w:rtl/>
        </w:rPr>
        <w:tab/>
        <w:t>يتمتع الإعلاميون بحرية تقديم الأخبار أو التعبير عن آرائهم وفقاً للأخلاقيات المهنية؛</w:t>
      </w:r>
    </w:p>
    <w:p w14:paraId="0196E251" w14:textId="4E71389C" w:rsidR="00DE3D9F" w:rsidRPr="001B6C67" w:rsidRDefault="00DE3D9F" w:rsidP="00883EBA">
      <w:pPr>
        <w:pStyle w:val="SingleTxtGA"/>
        <w:ind w:left="2608" w:hanging="680"/>
        <w:rPr>
          <w:lang w:val="ar-SA" w:eastAsia="zh-TW" w:bidi="en-GB"/>
        </w:rPr>
      </w:pPr>
      <w:r w:rsidRPr="00AF3116">
        <w:rPr>
          <w:rtl/>
        </w:rPr>
        <w:t>2</w:t>
      </w:r>
      <w:r w:rsidRPr="001B6C67">
        <w:rPr>
          <w:rtl/>
        </w:rPr>
        <w:t>-</w:t>
      </w:r>
      <w:r w:rsidRPr="001B6C67">
        <w:rPr>
          <w:rtl/>
        </w:rPr>
        <w:tab/>
        <w:t>لا يجوز إغلاق صحيفة أو وسائط إعلام أخرى والحرمان من الحرية المنصوص عليها</w:t>
      </w:r>
      <w:r>
        <w:rPr>
          <w:rtl/>
        </w:rPr>
        <w:t xml:space="preserve"> في</w:t>
      </w:r>
      <w:r w:rsidRPr="001B6C67">
        <w:rPr>
          <w:rtl/>
        </w:rPr>
        <w:t xml:space="preserve"> الفقرة الأولى. ولا يجوز أن يمارس الرقابة مسؤول مختص على أي أخبار أو</w:t>
      </w:r>
      <w:r w:rsidR="00D55C97">
        <w:rPr>
          <w:rFonts w:hint="cs"/>
          <w:rtl/>
        </w:rPr>
        <w:t> </w:t>
      </w:r>
      <w:r w:rsidRPr="001B6C67">
        <w:rPr>
          <w:rtl/>
        </w:rPr>
        <w:t>تصريحات يدلي بها أحد الإعلاميين قبل نشرها في صحيفة أو وسائط إعلام أخرى، إلا في الوقت الذي يكون فيه البلد في حالة حرب؛</w:t>
      </w:r>
    </w:p>
    <w:p w14:paraId="1474E43E" w14:textId="77777777" w:rsidR="00DE3D9F" w:rsidRPr="001B6C67" w:rsidRDefault="00DE3D9F" w:rsidP="00883EBA">
      <w:pPr>
        <w:pStyle w:val="SingleTxtGA"/>
        <w:ind w:left="2608" w:hanging="680"/>
        <w:rPr>
          <w:lang w:val="ar-SA" w:eastAsia="zh-TW" w:bidi="en-GB"/>
        </w:rPr>
      </w:pPr>
      <w:r w:rsidRPr="00AF3116">
        <w:rPr>
          <w:rtl/>
        </w:rPr>
        <w:t>3</w:t>
      </w:r>
      <w:r w:rsidRPr="001B6C67">
        <w:rPr>
          <w:rtl/>
        </w:rPr>
        <w:t>-</w:t>
      </w:r>
      <w:r w:rsidRPr="001B6C67">
        <w:rPr>
          <w:rtl/>
        </w:rPr>
        <w:tab/>
        <w:t>لا تمنح الدولة أي أموال أو ممتلكات أخرى كإعانات للصحف الخاصة أو غيرها من وسائط الإعلام الخاصة.</w:t>
      </w:r>
    </w:p>
    <w:p w14:paraId="6364D572" w14:textId="77777777" w:rsidR="00DE3D9F" w:rsidRPr="001B6C67" w:rsidRDefault="00DE3D9F" w:rsidP="00883EBA">
      <w:pPr>
        <w:pStyle w:val="H23GA"/>
        <w:rPr>
          <w:lang w:val="ar-SA" w:eastAsia="zh-TW" w:bidi="en-GB"/>
        </w:rPr>
      </w:pPr>
      <w:r w:rsidRPr="001B6C67">
        <w:rPr>
          <w:rtl/>
        </w:rPr>
        <w:lastRenderedPageBreak/>
        <w:tab/>
      </w:r>
      <w:r w:rsidRPr="001B6C67">
        <w:rPr>
          <w:rtl/>
        </w:rPr>
        <w:tab/>
      </w:r>
      <w:r w:rsidRPr="00AF3116">
        <w:rPr>
          <w:rtl/>
        </w:rPr>
        <w:t>الحق في عدم التعرض للاسترقاق</w:t>
      </w:r>
    </w:p>
    <w:p w14:paraId="2E5D613A" w14:textId="2B5988FD" w:rsidR="00DE3D9F" w:rsidRPr="001B6C67" w:rsidRDefault="00DE3D9F" w:rsidP="00DE3D9F">
      <w:pPr>
        <w:pStyle w:val="SingleTxtGA"/>
        <w:rPr>
          <w:lang w:val="ar-SA" w:eastAsia="zh-TW" w:bidi="en-GB"/>
        </w:rPr>
      </w:pPr>
      <w:r w:rsidRPr="00AF3116">
        <w:rPr>
          <w:rtl/>
        </w:rPr>
        <w:t>107</w:t>
      </w:r>
      <w:r w:rsidRPr="001B6C67">
        <w:rPr>
          <w:rtl/>
        </w:rPr>
        <w:t>-</w:t>
      </w:r>
      <w:r w:rsidRPr="001B6C67">
        <w:rPr>
          <w:rtl/>
        </w:rPr>
        <w:tab/>
      </w:r>
      <w:r w:rsidRPr="00883EBA">
        <w:rPr>
          <w:spacing w:val="4"/>
          <w:rtl/>
        </w:rPr>
        <w:t xml:space="preserve">يتعارض الرق مع أحكام المادة </w:t>
      </w:r>
      <w:r w:rsidRPr="00AF3116">
        <w:rPr>
          <w:spacing w:val="4"/>
          <w:rtl/>
        </w:rPr>
        <w:t>312</w:t>
      </w:r>
      <w:r w:rsidRPr="00883EBA">
        <w:rPr>
          <w:spacing w:val="4"/>
          <w:rtl/>
        </w:rPr>
        <w:t xml:space="preserve"> من قانون العقوبات وقانون مكافحة الاتجار بالبشر</w:t>
      </w:r>
      <w:r w:rsidRPr="00883EBA">
        <w:rPr>
          <w:spacing w:val="4"/>
        </w:rPr>
        <w:t>B.E</w:t>
      </w:r>
      <w:r w:rsidRPr="001B6C67">
        <w:t xml:space="preserve">. </w:t>
      </w:r>
      <w:r w:rsidRPr="00AF3116">
        <w:t>2551</w:t>
      </w:r>
      <w:r w:rsidRPr="001B6C67">
        <w:t xml:space="preserve"> (</w:t>
      </w:r>
      <w:r w:rsidRPr="00AF3116">
        <w:t>2008</w:t>
      </w:r>
      <w:r w:rsidRPr="001B6C67">
        <w:t>)</w:t>
      </w:r>
      <w:r w:rsidRPr="001B6C67">
        <w:rPr>
          <w:rtl/>
        </w:rPr>
        <w:t xml:space="preserve">. وقد تم مؤخراً تعديل هذا التشريع الأخير في عام </w:t>
      </w:r>
      <w:r w:rsidRPr="00AF3116">
        <w:rPr>
          <w:rtl/>
        </w:rPr>
        <w:t>2015</w:t>
      </w:r>
      <w:r w:rsidRPr="001B6C67">
        <w:rPr>
          <w:rtl/>
        </w:rPr>
        <w:t xml:space="preserve"> لزيادة تكثيف جهود البلد الرامية إلى مكافحة الاتجار بالأشخاص من خلال منح السلطات صلاحية إغلاق المؤسسات التجارية أو المصانع مؤقتاً، فضلاً عن تقديم الحماية من المسؤولية المدنية والجنائية على حد سواء لمن يقومون، بحسن نية، بإخطار المسؤولين بالجرائم المرتكبة التي ينص عليها هذا القانون. وقد تم تعديل هذا القانون أيضاً في عامي </w:t>
      </w:r>
      <w:r w:rsidRPr="00AF3116">
        <w:rPr>
          <w:rtl/>
        </w:rPr>
        <w:t>2017</w:t>
      </w:r>
      <w:r w:rsidRPr="001B6C67">
        <w:rPr>
          <w:rtl/>
        </w:rPr>
        <w:t xml:space="preserve"> و</w:t>
      </w:r>
      <w:r w:rsidRPr="00AF3116">
        <w:rPr>
          <w:rtl/>
        </w:rPr>
        <w:t>2019</w:t>
      </w:r>
      <w:r w:rsidRPr="001B6C67">
        <w:rPr>
          <w:rtl/>
        </w:rPr>
        <w:t xml:space="preserve"> لمعالجة المسألة بشكل أكثر فعالية من خلال إعطاء تعريف أوضح لمصطلح "الاتجار بالأشخاص"، ومن خلال التركيز على منع وقمع العمل القسري وحماية الضحايا وإنصافهم، على التوالي.</w:t>
      </w:r>
    </w:p>
    <w:p w14:paraId="4F67B1F4" w14:textId="28DDD986" w:rsidR="00DE3D9F" w:rsidRPr="001B6C67" w:rsidRDefault="00DE3D9F" w:rsidP="00DE3D9F">
      <w:pPr>
        <w:pStyle w:val="SingleTxtGA"/>
        <w:rPr>
          <w:lang w:val="ar-SA" w:eastAsia="zh-TW" w:bidi="en-GB"/>
        </w:rPr>
      </w:pPr>
      <w:r w:rsidRPr="00AF3116">
        <w:rPr>
          <w:rtl/>
        </w:rPr>
        <w:t>108</w:t>
      </w:r>
      <w:r w:rsidRPr="001B6C67">
        <w:rPr>
          <w:rtl/>
        </w:rPr>
        <w:t>-</w:t>
      </w:r>
      <w:r w:rsidRPr="001B6C67">
        <w:rPr>
          <w:rtl/>
        </w:rPr>
        <w:tab/>
        <w:t>وتجتذب تايلند، بوصفها بلد منشأ وعبور ومقصد، العديد من المهاجرين، ولا سيما من البلدان المجاورة، وبعضهم معرض لخطر الاستغلال والاتجار. وقد بُذِلَت جهود هائلة لمكافحة الاتجار بالأشخاص ومساعدة من يقعون فريسة له من رعايا تايلنديين أو مهاجرين. وسيُسمَح لجميع ضحايا الاتجار بالأشخاص بالإقامة مؤقتاً في تايلند خلال الإجراءات القانونية ذات الصلة. ويمكنهم اختيار البقاء إما في ملاجئ وزارة التنمية الاجتماعية والأمن البشري أو في الملاجئ التي تديرها المنظمات غير الحكومية، وستُتاح لهم فرصة لكسب الدخل. وتواصل تايلند إيلاء أهمية للتعاون مع بلدان المنشأ والشركاء الدوليين الآخرين في توفير الحماية للضحايا وتعزيز إعادة إدماجهم في المجتمع. وتعمل تايلند عن كثب مع السفارات والمنظمات الدولية المعنية لإعادة ضحايا الاتجار بالبشر</w:t>
      </w:r>
      <w:r>
        <w:rPr>
          <w:rtl/>
        </w:rPr>
        <w:t xml:space="preserve"> إلى أوطانهم</w:t>
      </w:r>
      <w:r w:rsidRPr="001B6C67">
        <w:rPr>
          <w:rtl/>
        </w:rPr>
        <w:t xml:space="preserve"> بأمان. وتنظم تايلند أيضاً مع البلدان المجاورة لنا اجتماعات ثنائية بشأن إعادة الضحايا إلى أوطانهم وإعادة إدماجهم لتكون بمثابة آلية لحماية الضحايا بفعالية من خلال تبادل المعلومات والتنسيق بشأن الملاحقة القضائية. وقد</w:t>
      </w:r>
      <w:r w:rsidR="00D55BE1">
        <w:rPr>
          <w:rFonts w:hint="cs"/>
          <w:rtl/>
        </w:rPr>
        <w:t> </w:t>
      </w:r>
      <w:r w:rsidRPr="001B6C67">
        <w:rPr>
          <w:rtl/>
        </w:rPr>
        <w:t>تعاونت تايلند أيضاً مع القطاع الخاص والمنظمات الدولية والمنظمات غير الحكومية لتعزيز حماية ضحايا الاتجار بالبشر.</w:t>
      </w:r>
    </w:p>
    <w:p w14:paraId="5822CD35"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الأعمال التجارية وحقوق الإنسان</w:t>
      </w:r>
    </w:p>
    <w:p w14:paraId="4A2755DA" w14:textId="77777777" w:rsidR="00DE3D9F" w:rsidRPr="001B6C67" w:rsidRDefault="00DE3D9F" w:rsidP="00DE3D9F">
      <w:pPr>
        <w:pStyle w:val="SingleTxtGA"/>
        <w:rPr>
          <w:lang w:val="ar-SA" w:eastAsia="zh-TW" w:bidi="en-GB"/>
        </w:rPr>
      </w:pPr>
      <w:r w:rsidRPr="00AF3116">
        <w:rPr>
          <w:rtl/>
        </w:rPr>
        <w:t>109</w:t>
      </w:r>
      <w:r w:rsidRPr="001B6C67">
        <w:rPr>
          <w:rtl/>
        </w:rPr>
        <w:t>-</w:t>
      </w:r>
      <w:r w:rsidRPr="001B6C67">
        <w:rPr>
          <w:rtl/>
        </w:rPr>
        <w:tab/>
        <w:t xml:space="preserve">في </w:t>
      </w:r>
      <w:r w:rsidRPr="00AF3116">
        <w:rPr>
          <w:rtl/>
        </w:rPr>
        <w:t>31</w:t>
      </w:r>
      <w:r w:rsidRPr="001B6C67">
        <w:rPr>
          <w:rtl/>
        </w:rPr>
        <w:t xml:space="preserve"> أيار/مايو </w:t>
      </w:r>
      <w:r w:rsidRPr="00AF3116">
        <w:rPr>
          <w:rtl/>
        </w:rPr>
        <w:t>2017</w:t>
      </w:r>
      <w:r w:rsidRPr="001B6C67">
        <w:rPr>
          <w:rtl/>
        </w:rPr>
        <w:t>، وقعت الوزارات المعنية وغرف الأعمال التجارية واللجنة الوطنية لحقوق الإنسان وشبكة الاتفاق العالمي للأمم المتحدة في تايلاند على إعلان التعاون لتعزيز مبادئ الأمم المتحدة التوجيهية المتعلقة بالأعمال التجارية وحقوق الإنسان.</w:t>
      </w:r>
    </w:p>
    <w:p w14:paraId="62155FBD" w14:textId="3EA2EF50" w:rsidR="00DE3D9F" w:rsidRPr="001B6C67" w:rsidRDefault="00DE3D9F" w:rsidP="00DE3D9F">
      <w:pPr>
        <w:pStyle w:val="SingleTxtGA"/>
        <w:rPr>
          <w:lang w:val="ar-SA" w:eastAsia="zh-TW" w:bidi="en-GB"/>
        </w:rPr>
      </w:pPr>
      <w:r w:rsidRPr="00AF3116">
        <w:rPr>
          <w:rtl/>
        </w:rPr>
        <w:t>110</w:t>
      </w:r>
      <w:r w:rsidRPr="001B6C67">
        <w:rPr>
          <w:rtl/>
        </w:rPr>
        <w:t>-</w:t>
      </w:r>
      <w:r w:rsidRPr="001B6C67">
        <w:rPr>
          <w:rtl/>
        </w:rPr>
        <w:tab/>
        <w:t>واعتمدت تايلاند،</w:t>
      </w:r>
      <w:r>
        <w:rPr>
          <w:rtl/>
        </w:rPr>
        <w:t xml:space="preserve"> </w:t>
      </w:r>
      <w:r w:rsidRPr="001B6C67">
        <w:rPr>
          <w:rtl/>
        </w:rPr>
        <w:t>كأول دولة في آسيا، خطة عمل وطنية بشأن الأعمال التجارية وحقوق الإنسان</w:t>
      </w:r>
      <w:r w:rsidR="007D3947">
        <w:rPr>
          <w:rFonts w:hint="cs"/>
          <w:rtl/>
        </w:rPr>
        <w:t xml:space="preserve"> </w:t>
      </w:r>
      <w:r w:rsidRPr="007D3947">
        <w:rPr>
          <w:spacing w:val="-6"/>
          <w:rtl/>
        </w:rPr>
        <w:t xml:space="preserve">في </w:t>
      </w:r>
      <w:r w:rsidRPr="00AF3116">
        <w:rPr>
          <w:spacing w:val="-6"/>
          <w:rtl/>
        </w:rPr>
        <w:t>29</w:t>
      </w:r>
      <w:r w:rsidRPr="007D3947">
        <w:rPr>
          <w:spacing w:val="-6"/>
          <w:rtl/>
        </w:rPr>
        <w:t xml:space="preserve"> تشرين الأول/أكتوبر </w:t>
      </w:r>
      <w:r w:rsidRPr="00AF3116">
        <w:rPr>
          <w:spacing w:val="-6"/>
          <w:rtl/>
        </w:rPr>
        <w:t>2019</w:t>
      </w:r>
      <w:r w:rsidRPr="007D3947">
        <w:rPr>
          <w:spacing w:val="-6"/>
          <w:rtl/>
        </w:rPr>
        <w:t>. وتتضمن هذه الخطة أربعة مجالات ذات أولوية</w:t>
      </w:r>
      <w:r w:rsidR="00D55BE1" w:rsidRPr="007D3947">
        <w:rPr>
          <w:rFonts w:hint="cs"/>
          <w:spacing w:val="-6"/>
          <w:rtl/>
        </w:rPr>
        <w:t>:</w:t>
      </w:r>
      <w:r w:rsidRPr="007D3947">
        <w:rPr>
          <w:spacing w:val="-6"/>
        </w:rPr>
        <w:t xml:space="preserve"> </w:t>
      </w:r>
      <w:r w:rsidRPr="007D3947">
        <w:rPr>
          <w:spacing w:val="-6"/>
          <w:rtl/>
        </w:rPr>
        <w:t>(</w:t>
      </w:r>
      <w:r w:rsidRPr="00AF3116">
        <w:rPr>
          <w:spacing w:val="-6"/>
          <w:rtl/>
        </w:rPr>
        <w:t>1</w:t>
      </w:r>
      <w:r w:rsidRPr="007D3947">
        <w:rPr>
          <w:spacing w:val="-6"/>
          <w:rtl/>
        </w:rPr>
        <w:t>)</w:t>
      </w:r>
      <w:r w:rsidR="00D55BE1" w:rsidRPr="007D3947">
        <w:rPr>
          <w:rFonts w:hint="cs"/>
          <w:spacing w:val="-6"/>
          <w:rtl/>
        </w:rPr>
        <w:t> </w:t>
      </w:r>
      <w:r w:rsidRPr="007D3947">
        <w:rPr>
          <w:spacing w:val="-6"/>
          <w:rtl/>
        </w:rPr>
        <w:t>العمل، (</w:t>
      </w:r>
      <w:r w:rsidRPr="00AF3116">
        <w:rPr>
          <w:spacing w:val="-6"/>
          <w:rtl/>
        </w:rPr>
        <w:t>2</w:t>
      </w:r>
      <w:r w:rsidRPr="007D3947">
        <w:rPr>
          <w:spacing w:val="-6"/>
          <w:rtl/>
        </w:rPr>
        <w:t>)</w:t>
      </w:r>
      <w:r w:rsidR="007D3947" w:rsidRPr="007D3947">
        <w:rPr>
          <w:rFonts w:hint="cs"/>
          <w:spacing w:val="-6"/>
          <w:rtl/>
        </w:rPr>
        <w:t xml:space="preserve"> </w:t>
      </w:r>
      <w:r w:rsidRPr="007D3947">
        <w:rPr>
          <w:spacing w:val="-6"/>
          <w:rtl/>
        </w:rPr>
        <w:t>الأراضي والبيئة والموارد الطبيعية</w:t>
      </w:r>
      <w:r w:rsidRPr="001B6C67">
        <w:rPr>
          <w:rtl/>
        </w:rPr>
        <w:t>، (</w:t>
      </w:r>
      <w:r w:rsidRPr="00AF3116">
        <w:rPr>
          <w:rtl/>
        </w:rPr>
        <w:t>3</w:t>
      </w:r>
      <w:r w:rsidRPr="001B6C67">
        <w:rPr>
          <w:rtl/>
        </w:rPr>
        <w:t>) المدافعين عن حقوق الإنسان، (</w:t>
      </w:r>
      <w:r w:rsidRPr="00AF3116">
        <w:rPr>
          <w:rtl/>
        </w:rPr>
        <w:t>4</w:t>
      </w:r>
      <w:r w:rsidRPr="001B6C67">
        <w:rPr>
          <w:rtl/>
        </w:rPr>
        <w:t>) الاستثمار عبر الحدود والمشاريع التجارية المتعددة الجنسيات. وقد أُنشِئت لجنة متعددة أصحاب المصلحة لوصف تنفيذ خطة العمل الوطنية وإعدادها ورصدها وتحليلها.</w:t>
      </w:r>
    </w:p>
    <w:p w14:paraId="6906C3CD" w14:textId="77777777" w:rsidR="00DE3D9F" w:rsidRPr="001B6C67" w:rsidRDefault="00DE3D9F" w:rsidP="00DE3D9F">
      <w:pPr>
        <w:pStyle w:val="SingleTxtGA"/>
        <w:rPr>
          <w:lang w:val="ar-SA" w:eastAsia="zh-TW" w:bidi="en-GB"/>
        </w:rPr>
      </w:pPr>
      <w:r w:rsidRPr="00AF3116">
        <w:rPr>
          <w:rtl/>
        </w:rPr>
        <w:t>111</w:t>
      </w:r>
      <w:r w:rsidRPr="001B6C67">
        <w:rPr>
          <w:rtl/>
        </w:rPr>
        <w:t>-</w:t>
      </w:r>
      <w:r w:rsidRPr="001B6C67">
        <w:rPr>
          <w:rtl/>
        </w:rPr>
        <w:tab/>
        <w:t>وبالإضافة إلى ذلك، سيحظى تنفيذ خطة العمل الوطنية بدعم جهات من بينها تايلند وبرنامج التعاون التابع لمنظمة التعاون والتنمية في الميدان الاقتصادي في تعزيز السلوك التجاري المسؤول وتمكينه، مع وضع خطة عمل للتعاون في مجال السلوك التجاري المسؤول مدتها سنتان.</w:t>
      </w:r>
    </w:p>
    <w:p w14:paraId="43929020" w14:textId="04948AFB" w:rsidR="00DE3D9F" w:rsidRPr="001B6C67" w:rsidRDefault="00DE3D9F" w:rsidP="00883EBA">
      <w:pPr>
        <w:pStyle w:val="H23GA"/>
        <w:rPr>
          <w:lang w:val="ar-SA" w:eastAsia="zh-TW" w:bidi="en-GB"/>
        </w:rPr>
      </w:pPr>
      <w:r w:rsidRPr="001B6C67">
        <w:rPr>
          <w:rtl/>
        </w:rPr>
        <w:lastRenderedPageBreak/>
        <w:tab/>
      </w:r>
      <w:r w:rsidRPr="001B6C67">
        <w:rPr>
          <w:rtl/>
        </w:rPr>
        <w:tab/>
      </w:r>
      <w:r w:rsidRPr="00AF3116">
        <w:rPr>
          <w:rtl/>
        </w:rPr>
        <w:t>حقوق فئات محددة</w:t>
      </w:r>
    </w:p>
    <w:p w14:paraId="68AFF0BE" w14:textId="6E570C96" w:rsidR="00DE3D9F" w:rsidRPr="00883EBA" w:rsidRDefault="00DE3D9F" w:rsidP="00883EBA">
      <w:pPr>
        <w:pStyle w:val="H4GA"/>
        <w:rPr>
          <w:lang w:val="en-US" w:eastAsia="zh-TW" w:bidi="en-GB"/>
        </w:rPr>
      </w:pPr>
      <w:r w:rsidRPr="001B6C67">
        <w:rPr>
          <w:rtl/>
        </w:rPr>
        <w:tab/>
      </w:r>
      <w:r w:rsidRPr="001B6C67">
        <w:rPr>
          <w:rtl/>
        </w:rPr>
        <w:tab/>
      </w:r>
      <w:r w:rsidRPr="00AF3116">
        <w:rPr>
          <w:rtl/>
        </w:rPr>
        <w:t>الأطفال</w:t>
      </w:r>
    </w:p>
    <w:p w14:paraId="40B3900D" w14:textId="77777777" w:rsidR="00DE3D9F" w:rsidRPr="001B6C67" w:rsidRDefault="00DE3D9F" w:rsidP="00DE3D9F">
      <w:pPr>
        <w:pStyle w:val="SingleTxtGA"/>
        <w:rPr>
          <w:lang w:val="ar-SA" w:eastAsia="zh-TW" w:bidi="en-GB"/>
        </w:rPr>
      </w:pPr>
      <w:r w:rsidRPr="00AF3116">
        <w:rPr>
          <w:rtl/>
        </w:rPr>
        <w:t>112</w:t>
      </w:r>
      <w:r w:rsidRPr="001B6C67">
        <w:rPr>
          <w:rtl/>
        </w:rPr>
        <w:t>-</w:t>
      </w:r>
      <w:r w:rsidRPr="001B6C67">
        <w:rPr>
          <w:rtl/>
        </w:rPr>
        <w:tab/>
        <w:t xml:space="preserve">يعزز القانون الوطني لتعزيز تنمية الطفل والشباب </w:t>
      </w:r>
      <w:r w:rsidRPr="001B6C67">
        <w:t xml:space="preserve">B.E. </w:t>
      </w:r>
      <w:r w:rsidRPr="00AF3116">
        <w:t>2550</w:t>
      </w:r>
      <w:r w:rsidRPr="001B6C67">
        <w:t xml:space="preserve"> (</w:t>
      </w:r>
      <w:r w:rsidRPr="00AF3116">
        <w:t>2007</w:t>
      </w:r>
      <w:r w:rsidRPr="001B6C67">
        <w:t>)</w:t>
      </w:r>
      <w:r w:rsidRPr="001B6C67">
        <w:rPr>
          <w:rtl/>
        </w:rPr>
        <w:t xml:space="preserve"> مصلحة الطفل الفضلى ويكفل حقوق الطفل الأساسية دون تمييز. ويعزز القانون أيضاً ويغرس في الأطفال أخلاقاً وقيماً من قبيل الرابطة الأسرية، والفخر الوطني والقيم الديمقراطية، وحرية التعبير، والمشاركة في الحياة العامة. ويؤكد من جديد حقوق الطفل في الحصول على أعلى مستوى من الرعاية الصحية المتاحة، وعلى حقوقه في اللعب والمشاركة في الشؤون الثقافية والاجتماعية. </w:t>
      </w:r>
    </w:p>
    <w:p w14:paraId="43AA1332" w14:textId="77777777" w:rsidR="00DE3D9F" w:rsidRPr="001B6C67" w:rsidRDefault="00DE3D9F" w:rsidP="00DE3D9F">
      <w:pPr>
        <w:pStyle w:val="SingleTxtGA"/>
        <w:rPr>
          <w:lang w:val="ar-SA" w:eastAsia="zh-TW" w:bidi="en-GB"/>
        </w:rPr>
      </w:pPr>
      <w:r w:rsidRPr="00AF3116">
        <w:rPr>
          <w:rtl/>
        </w:rPr>
        <w:t>113</w:t>
      </w:r>
      <w:r w:rsidRPr="001B6C67">
        <w:rPr>
          <w:rtl/>
        </w:rPr>
        <w:t>-</w:t>
      </w:r>
      <w:r w:rsidRPr="001B6C67">
        <w:rPr>
          <w:rtl/>
        </w:rPr>
        <w:tab/>
        <w:t xml:space="preserve">وتوفر الخطة الوطنية لتنمية </w:t>
      </w:r>
      <w:r>
        <w:rPr>
          <w:rtl/>
        </w:rPr>
        <w:t>الأطفال</w:t>
      </w:r>
      <w:r w:rsidRPr="001B6C67">
        <w:rPr>
          <w:rtl/>
        </w:rPr>
        <w:t xml:space="preserve"> والشباب </w:t>
      </w:r>
      <w:r w:rsidRPr="001B6C67">
        <w:t xml:space="preserve">B.E. </w:t>
      </w:r>
      <w:r w:rsidRPr="00AF3116">
        <w:t>2560</w:t>
      </w:r>
      <w:r w:rsidRPr="001B6C67">
        <w:t>-</w:t>
      </w:r>
      <w:r w:rsidRPr="00AF3116">
        <w:t>2564</w:t>
      </w:r>
      <w:r w:rsidRPr="001B6C67">
        <w:rPr>
          <w:rtl/>
        </w:rPr>
        <w:t xml:space="preserve"> (</w:t>
      </w:r>
      <w:r w:rsidRPr="00AF3116">
        <w:rPr>
          <w:rtl/>
        </w:rPr>
        <w:t>2017</w:t>
      </w:r>
      <w:r w:rsidRPr="001B6C67">
        <w:rPr>
          <w:rtl/>
        </w:rPr>
        <w:t>-</w:t>
      </w:r>
      <w:r w:rsidRPr="00AF3116">
        <w:rPr>
          <w:rtl/>
        </w:rPr>
        <w:t>2021</w:t>
      </w:r>
      <w:r w:rsidRPr="001B6C67">
        <w:rPr>
          <w:rtl/>
        </w:rPr>
        <w:t xml:space="preserve">) إطاراً لوضع البرامج والأنشطة للأطفال والشباب بما يتماشى مع الخطة </w:t>
      </w:r>
      <w:r w:rsidRPr="00AF3116">
        <w:rPr>
          <w:rtl/>
        </w:rPr>
        <w:t>الوطنية الثانية عشرة للتنمية الاقتصادية</w:t>
      </w:r>
      <w:r w:rsidRPr="001B6C67">
        <w:rPr>
          <w:rtl/>
        </w:rPr>
        <w:t xml:space="preserve"> والاجتماعية. والهدف الرئيسي من الخطة هو ضمان أن يعيش الأطفال والشباب حياة آمنة ومأمونة؛ وأن</w:t>
      </w:r>
      <w:r>
        <w:rPr>
          <w:rtl/>
        </w:rPr>
        <w:t xml:space="preserve"> يكونوا</w:t>
      </w:r>
      <w:r w:rsidRPr="001B6C67">
        <w:rPr>
          <w:rtl/>
        </w:rPr>
        <w:t xml:space="preserve"> بصحة بدنية وعقلية جيدة؛ وأن</w:t>
      </w:r>
      <w:r>
        <w:rPr>
          <w:rtl/>
        </w:rPr>
        <w:t xml:space="preserve"> تكون</w:t>
      </w:r>
      <w:r w:rsidRPr="001B6C67">
        <w:rPr>
          <w:rtl/>
        </w:rPr>
        <w:t xml:space="preserve"> لديهم أخلاقيات وأخلاق جيدة وإحساس بالواجب المدني؛ وأن</w:t>
      </w:r>
      <w:r>
        <w:rPr>
          <w:rtl/>
        </w:rPr>
        <w:t xml:space="preserve"> يكونوا</w:t>
      </w:r>
      <w:r w:rsidRPr="001B6C67">
        <w:rPr>
          <w:rtl/>
        </w:rPr>
        <w:t xml:space="preserve"> قادر</w:t>
      </w:r>
      <w:r>
        <w:rPr>
          <w:rtl/>
        </w:rPr>
        <w:t>ي</w:t>
      </w:r>
      <w:r w:rsidRPr="001B6C67">
        <w:rPr>
          <w:rtl/>
        </w:rPr>
        <w:t>ن على التعبير عن أنفسهم بطريقة مبدعة؛ وأن ينعمو</w:t>
      </w:r>
      <w:r>
        <w:rPr>
          <w:rtl/>
        </w:rPr>
        <w:t>ا</w:t>
      </w:r>
      <w:r w:rsidRPr="001B6C67">
        <w:rPr>
          <w:rtl/>
        </w:rPr>
        <w:t xml:space="preserve"> بسعادة جوهرية. </w:t>
      </w:r>
    </w:p>
    <w:p w14:paraId="6EAF4226" w14:textId="77777777" w:rsidR="00DE3D9F" w:rsidRPr="001B6C67" w:rsidRDefault="00DE3D9F" w:rsidP="00DE3D9F">
      <w:pPr>
        <w:pStyle w:val="SingleTxtGA"/>
        <w:rPr>
          <w:lang w:val="ar-SA" w:eastAsia="zh-TW" w:bidi="en-GB"/>
        </w:rPr>
      </w:pPr>
      <w:bookmarkStart w:id="25" w:name="_Ref51771110"/>
      <w:r w:rsidRPr="00AF3116">
        <w:rPr>
          <w:rtl/>
        </w:rPr>
        <w:t>114</w:t>
      </w:r>
      <w:r w:rsidRPr="001B6C67">
        <w:rPr>
          <w:rtl/>
        </w:rPr>
        <w:t>-</w:t>
      </w:r>
      <w:r w:rsidRPr="001B6C67">
        <w:rPr>
          <w:rtl/>
        </w:rPr>
        <w:tab/>
        <w:t xml:space="preserve">وبموجب قرار صادر عن مجلس الوزراء في عام </w:t>
      </w:r>
      <w:r w:rsidRPr="00AF3116">
        <w:rPr>
          <w:rtl/>
        </w:rPr>
        <w:t>2005</w:t>
      </w:r>
      <w:r w:rsidRPr="001B6C67">
        <w:rPr>
          <w:rtl/>
        </w:rPr>
        <w:t>، يحصل جميع الأطفال على خمس</w:t>
      </w:r>
      <w:r>
        <w:rPr>
          <w:rtl/>
        </w:rPr>
        <w:t>ة</w:t>
      </w:r>
      <w:r w:rsidRPr="001B6C67">
        <w:rPr>
          <w:rtl/>
        </w:rPr>
        <w:t xml:space="preserve"> عشر عاماً من التعليم الأساسي دون تمييز، بغض النظر عن جنسيتهم أو قدرتهم على تقديم وثائق رسمية تؤكد أي وضع آخر، وفقاً لسياسة "التعليم للجميع". وتقدم الدولة دعم الإنفاق عن كل فرد للمؤسسات التعليمية المعنية في تيسير هذا الإجراء.</w:t>
      </w:r>
      <w:bookmarkEnd w:id="25"/>
    </w:p>
    <w:p w14:paraId="5489959A" w14:textId="74F74F2C" w:rsidR="00DE3D9F" w:rsidRPr="001B6C67" w:rsidRDefault="00DE3D9F" w:rsidP="00DE3D9F">
      <w:pPr>
        <w:pStyle w:val="SingleTxtGA"/>
        <w:rPr>
          <w:lang w:val="ar-SA" w:eastAsia="zh-TW" w:bidi="en-GB"/>
        </w:rPr>
      </w:pPr>
      <w:bookmarkStart w:id="26" w:name="_Ref51770753"/>
      <w:r w:rsidRPr="00AF3116">
        <w:rPr>
          <w:rtl/>
        </w:rPr>
        <w:t>115</w:t>
      </w:r>
      <w:r w:rsidRPr="001B6C67">
        <w:rPr>
          <w:rtl/>
        </w:rPr>
        <w:t>-</w:t>
      </w:r>
      <w:r w:rsidRPr="001B6C67">
        <w:rPr>
          <w:rtl/>
        </w:rPr>
        <w:tab/>
        <w:t xml:space="preserve">وتم تأسيس صندوق التعليم المنصف بموجب قانون صندوق المساواة في التعليم لعام </w:t>
      </w:r>
      <w:r w:rsidRPr="00AF3116">
        <w:rPr>
          <w:rtl/>
        </w:rPr>
        <w:t>2018</w:t>
      </w:r>
      <w:r w:rsidRPr="001B6C67">
        <w:rPr>
          <w:rtl/>
        </w:rPr>
        <w:t xml:space="preserve">، اعتباراً من </w:t>
      </w:r>
      <w:r w:rsidRPr="00AF3116">
        <w:rPr>
          <w:rtl/>
        </w:rPr>
        <w:t>14</w:t>
      </w:r>
      <w:r w:rsidRPr="001B6C67">
        <w:rPr>
          <w:rtl/>
        </w:rPr>
        <w:t xml:space="preserve"> أيار/مايو </w:t>
      </w:r>
      <w:r w:rsidRPr="00AF3116">
        <w:rPr>
          <w:rtl/>
        </w:rPr>
        <w:t>2018</w:t>
      </w:r>
      <w:r w:rsidRPr="001B6C67">
        <w:rPr>
          <w:rtl/>
        </w:rPr>
        <w:t>. والصندوق أداة هامة في الحد من عدم المساواة وزيادة فرص التعليم. وهو يستجيب لاحتياجات المحرومين لتلقي التعليم معاً، فضلاً عن تعزيز وتحسين نوعية المعلمين وكفاءتهم. وبالإضافة إلى ذلك، يقدم الصندوق دعماً للأنشطة الرامية إلى تنمية المهارات المهنية والمهارات</w:t>
      </w:r>
      <w:r w:rsidR="00D55BE1">
        <w:rPr>
          <w:rFonts w:hint="cs"/>
          <w:rtl/>
        </w:rPr>
        <w:t> </w:t>
      </w:r>
      <w:r w:rsidRPr="001B6C67">
        <w:rPr>
          <w:rtl/>
        </w:rPr>
        <w:t xml:space="preserve">الحياتية. </w:t>
      </w:r>
      <w:bookmarkEnd w:id="26"/>
    </w:p>
    <w:p w14:paraId="3D3D2111" w14:textId="77777777" w:rsidR="00DE3D9F" w:rsidRPr="001B6C67" w:rsidRDefault="00DE3D9F" w:rsidP="00DE3D9F">
      <w:pPr>
        <w:pStyle w:val="SingleTxtGA"/>
        <w:rPr>
          <w:lang w:val="ar-SA" w:eastAsia="zh-TW" w:bidi="en-GB"/>
        </w:rPr>
      </w:pPr>
      <w:r w:rsidRPr="00AF3116">
        <w:rPr>
          <w:rtl/>
        </w:rPr>
        <w:t>116</w:t>
      </w:r>
      <w:r w:rsidRPr="001B6C67">
        <w:rPr>
          <w:rtl/>
        </w:rPr>
        <w:t>-</w:t>
      </w:r>
      <w:r w:rsidRPr="001B6C67">
        <w:rPr>
          <w:rtl/>
        </w:rPr>
        <w:tab/>
        <w:t xml:space="preserve">ووفقاً للمادة </w:t>
      </w:r>
      <w:r w:rsidRPr="00AF3116">
        <w:rPr>
          <w:rtl/>
        </w:rPr>
        <w:t>287</w:t>
      </w:r>
      <w:r w:rsidRPr="001B6C67">
        <w:rPr>
          <w:rtl/>
        </w:rPr>
        <w:t>/</w:t>
      </w:r>
      <w:r w:rsidRPr="00AF3116">
        <w:rPr>
          <w:rtl/>
        </w:rPr>
        <w:t>1</w:t>
      </w:r>
      <w:r w:rsidRPr="001B6C67">
        <w:rPr>
          <w:rtl/>
        </w:rPr>
        <w:t xml:space="preserve"> من قانون العقوبات، يُعتبر استغلال الأطفال في المواد الإباحية جريمة محددة بموجب القانون التايلندي </w:t>
      </w:r>
      <w:r>
        <w:rPr>
          <w:rtl/>
        </w:rPr>
        <w:t>و</w:t>
      </w:r>
      <w:r w:rsidRPr="001B6C67">
        <w:rPr>
          <w:rtl/>
        </w:rPr>
        <w:t>يُعاقب كل من كانت بحوزته هذه المواد.</w:t>
      </w:r>
    </w:p>
    <w:p w14:paraId="6D2A6722" w14:textId="77777777" w:rsidR="00DE3D9F" w:rsidRPr="001B6C67" w:rsidRDefault="00DE3D9F" w:rsidP="00DE3D9F">
      <w:pPr>
        <w:pStyle w:val="SingleTxtGA"/>
        <w:rPr>
          <w:lang w:val="ar-SA" w:eastAsia="zh-TW" w:bidi="en-GB"/>
        </w:rPr>
      </w:pPr>
      <w:r w:rsidRPr="00AF3116">
        <w:rPr>
          <w:rtl/>
        </w:rPr>
        <w:t>117</w:t>
      </w:r>
      <w:r w:rsidRPr="001B6C67">
        <w:rPr>
          <w:rtl/>
        </w:rPr>
        <w:t>-</w:t>
      </w:r>
      <w:r w:rsidRPr="001B6C67">
        <w:rPr>
          <w:rtl/>
        </w:rPr>
        <w:tab/>
        <w:t xml:space="preserve">في </w:t>
      </w:r>
      <w:r w:rsidRPr="00AF3116">
        <w:rPr>
          <w:rtl/>
        </w:rPr>
        <w:t>21</w:t>
      </w:r>
      <w:r w:rsidRPr="001B6C67">
        <w:rPr>
          <w:rtl/>
        </w:rPr>
        <w:t xml:space="preserve"> كانون الثاني/يناير </w:t>
      </w:r>
      <w:r w:rsidRPr="00AF3116">
        <w:rPr>
          <w:rtl/>
        </w:rPr>
        <w:t>2019</w:t>
      </w:r>
      <w:r w:rsidRPr="001B6C67">
        <w:rPr>
          <w:rtl/>
        </w:rPr>
        <w:t xml:space="preserve">، وقعت </w:t>
      </w:r>
      <w:r w:rsidRPr="00AF3116">
        <w:rPr>
          <w:rtl/>
        </w:rPr>
        <w:t>7</w:t>
      </w:r>
      <w:r w:rsidRPr="001B6C67">
        <w:rPr>
          <w:rtl/>
        </w:rPr>
        <w:t xml:space="preserve"> وكالات تايلاندية معنية مذكرة تفاهم بشأن تحديد التدابير والنهج البديلة لاحتجاز الأطفال في مراكز احتجاز المهاجرين. وتهدف مذكرة التفاهم إلى تحديد المسؤوليات وتوفير مبادئ توجيهية مشتركة لدمج الإجراءات المتعلقة بعدم احتجاز الأطفال المهاجرين دون سن </w:t>
      </w:r>
      <w:r w:rsidRPr="00AF3116">
        <w:rPr>
          <w:rtl/>
        </w:rPr>
        <w:t>18</w:t>
      </w:r>
      <w:r w:rsidRPr="001B6C67">
        <w:rPr>
          <w:rtl/>
        </w:rPr>
        <w:t xml:space="preserve"> عاماً. وبدلاً من البقاء في مركز لاحتجاز المهاجرين، سيوضع الأطفال وأمهاتهم أو أولياء أمورهم إما تحت رعاية وزارة التنمية الاجتماعية والأمن البشري أو المنظمات الخاصة أو منظمات المجتمع المدني في انتظار حلول طويلة الأجل.</w:t>
      </w:r>
    </w:p>
    <w:p w14:paraId="0EC37B04" w14:textId="77777777" w:rsidR="00DE3D9F" w:rsidRPr="001B6C67" w:rsidRDefault="00DE3D9F" w:rsidP="00883EBA">
      <w:pPr>
        <w:pStyle w:val="H4GA"/>
        <w:rPr>
          <w:lang w:val="ar-SA" w:eastAsia="zh-TW" w:bidi="en-GB"/>
        </w:rPr>
      </w:pPr>
      <w:r w:rsidRPr="001B6C67">
        <w:rPr>
          <w:rtl/>
        </w:rPr>
        <w:tab/>
      </w:r>
      <w:r w:rsidRPr="001B6C67">
        <w:rPr>
          <w:rtl/>
        </w:rPr>
        <w:tab/>
      </w:r>
      <w:r w:rsidRPr="00AF3116">
        <w:rPr>
          <w:rtl/>
        </w:rPr>
        <w:t>النساء</w:t>
      </w:r>
      <w:bookmarkStart w:id="27" w:name="_Ref45066190"/>
    </w:p>
    <w:p w14:paraId="7C52FF13" w14:textId="77777777" w:rsidR="00DE3D9F" w:rsidRPr="001B6C67" w:rsidRDefault="00DE3D9F" w:rsidP="00DE3D9F">
      <w:pPr>
        <w:pStyle w:val="SingleTxtGA"/>
        <w:rPr>
          <w:lang w:val="ar-SA" w:eastAsia="zh-TW" w:bidi="en-GB"/>
        </w:rPr>
      </w:pPr>
      <w:r w:rsidRPr="00AF3116">
        <w:rPr>
          <w:rtl/>
        </w:rPr>
        <w:t>118</w:t>
      </w:r>
      <w:r w:rsidRPr="001B6C67">
        <w:rPr>
          <w:rtl/>
        </w:rPr>
        <w:t>-</w:t>
      </w:r>
      <w:r w:rsidRPr="001B6C67">
        <w:rPr>
          <w:rtl/>
        </w:rPr>
        <w:tab/>
        <w:t>عززت الحكومة التشريعات والسياسات ذات الصلة لتعزيز المساواة في الحقوق والفرص الاقتصادية، مثل قانون المساواة بين الجنسين (</w:t>
      </w:r>
      <w:r w:rsidRPr="00AF3116">
        <w:rPr>
          <w:rtl/>
        </w:rPr>
        <w:t>2015</w:t>
      </w:r>
      <w:r w:rsidRPr="001B6C67">
        <w:rPr>
          <w:rtl/>
        </w:rPr>
        <w:t>)، وقانون الضمان الاجتماعي (</w:t>
      </w:r>
      <w:r w:rsidRPr="00AF3116">
        <w:rPr>
          <w:rtl/>
        </w:rPr>
        <w:t>1990</w:t>
      </w:r>
      <w:r w:rsidRPr="001B6C67">
        <w:rPr>
          <w:rtl/>
        </w:rPr>
        <w:t>)، وتعديل قانون حماية العمل (</w:t>
      </w:r>
      <w:r w:rsidRPr="00AF3116">
        <w:rPr>
          <w:rtl/>
        </w:rPr>
        <w:t>2008</w:t>
      </w:r>
      <w:r w:rsidRPr="001B6C67">
        <w:rPr>
          <w:rtl/>
        </w:rPr>
        <w:t xml:space="preserve">) لضمان الأجر المتساوي عن العمل المتساوي. وبالإضافة إلى ذلك، أنشأت تايلند صندوق تمكين المرأة التايلندي، فضلاً عن ثمانية مراكز تعليمية للنهوض بالمرأة والأسرة في جميع أنحاء البلد. </w:t>
      </w:r>
    </w:p>
    <w:p w14:paraId="171065B4" w14:textId="77777777" w:rsidR="00DE3D9F" w:rsidRPr="001B6C67" w:rsidRDefault="00DE3D9F" w:rsidP="00DE3D9F">
      <w:pPr>
        <w:pStyle w:val="SingleTxtGA"/>
        <w:rPr>
          <w:lang w:val="ar-SA" w:eastAsia="zh-TW" w:bidi="en-GB"/>
        </w:rPr>
      </w:pPr>
      <w:r w:rsidRPr="00AF3116">
        <w:rPr>
          <w:rtl/>
        </w:rPr>
        <w:lastRenderedPageBreak/>
        <w:t>119</w:t>
      </w:r>
      <w:r w:rsidRPr="001B6C67">
        <w:rPr>
          <w:rtl/>
        </w:rPr>
        <w:t>-</w:t>
      </w:r>
      <w:r w:rsidRPr="001B6C67">
        <w:rPr>
          <w:rtl/>
        </w:rPr>
        <w:tab/>
        <w:t xml:space="preserve">وقد حددت جميع الخطط الوطنية لحقوق الإنسان النساء والفتيات كفئة مستهدفة وتضمنت </w:t>
      </w:r>
      <w:r w:rsidRPr="00883EBA">
        <w:rPr>
          <w:spacing w:val="-4"/>
          <w:rtl/>
        </w:rPr>
        <w:t>استراتيجيات والتزامات لتعزيز حقوقهن وحمايتها. وتضع الاستراتيجية الوطنية لتنمية المرأة (</w:t>
      </w:r>
      <w:r w:rsidRPr="00AF3116">
        <w:rPr>
          <w:spacing w:val="-4"/>
          <w:rtl/>
        </w:rPr>
        <w:t>2017</w:t>
      </w:r>
      <w:r w:rsidRPr="00883EBA">
        <w:rPr>
          <w:spacing w:val="-4"/>
          <w:rtl/>
        </w:rPr>
        <w:t>-</w:t>
      </w:r>
      <w:r w:rsidRPr="00AF3116">
        <w:rPr>
          <w:spacing w:val="-4"/>
          <w:rtl/>
        </w:rPr>
        <w:t>2021</w:t>
      </w:r>
      <w:r w:rsidRPr="00883EBA">
        <w:rPr>
          <w:spacing w:val="-4"/>
          <w:rtl/>
        </w:rPr>
        <w:t>)</w:t>
      </w:r>
      <w:r w:rsidRPr="001B6C67">
        <w:rPr>
          <w:rtl/>
        </w:rPr>
        <w:t xml:space="preserve"> خارطة طريق </w:t>
      </w:r>
      <w:r>
        <w:rPr>
          <w:rtl/>
        </w:rPr>
        <w:t>ل</w:t>
      </w:r>
      <w:r w:rsidRPr="001B6C67">
        <w:rPr>
          <w:rtl/>
        </w:rPr>
        <w:t>لمضي قدماً بالمساواة بين الجنسين وتمكين المرأة و</w:t>
      </w:r>
      <w:r>
        <w:rPr>
          <w:rtl/>
        </w:rPr>
        <w:t>إ</w:t>
      </w:r>
      <w:r w:rsidRPr="001B6C67">
        <w:rPr>
          <w:rtl/>
        </w:rPr>
        <w:t>دم</w:t>
      </w:r>
      <w:r>
        <w:rPr>
          <w:rtl/>
        </w:rPr>
        <w:t>ا</w:t>
      </w:r>
      <w:r w:rsidRPr="001B6C67">
        <w:rPr>
          <w:rtl/>
        </w:rPr>
        <w:t xml:space="preserve">ج المبادئ والمعايير الواردة في اتفاقية القضاء على جميع أشكال التمييز ضد المرأة، وإعلان ومنهاج عمل بيجين، وخطة التنمية المستدامة لعام </w:t>
      </w:r>
      <w:r w:rsidRPr="00AF3116">
        <w:rPr>
          <w:rtl/>
        </w:rPr>
        <w:t>2030</w:t>
      </w:r>
      <w:r w:rsidRPr="001B6C67">
        <w:rPr>
          <w:rtl/>
        </w:rPr>
        <w:t xml:space="preserve">. </w:t>
      </w:r>
      <w:bookmarkEnd w:id="27"/>
    </w:p>
    <w:p w14:paraId="6B1A7026" w14:textId="77777777" w:rsidR="00DE3D9F" w:rsidRPr="001B6C67" w:rsidRDefault="00DE3D9F" w:rsidP="00883EBA">
      <w:pPr>
        <w:pStyle w:val="H4GA"/>
        <w:rPr>
          <w:lang w:val="ar-SA" w:eastAsia="zh-TW" w:bidi="en-GB"/>
        </w:rPr>
      </w:pPr>
      <w:r w:rsidRPr="001B6C67">
        <w:rPr>
          <w:rtl/>
        </w:rPr>
        <w:tab/>
      </w:r>
      <w:r w:rsidRPr="001B6C67">
        <w:rPr>
          <w:rtl/>
        </w:rPr>
        <w:tab/>
      </w:r>
      <w:proofErr w:type="spellStart"/>
      <w:r w:rsidRPr="001B6C67">
        <w:rPr>
          <w:rtl/>
        </w:rPr>
        <w:t>المثليات</w:t>
      </w:r>
      <w:proofErr w:type="spellEnd"/>
      <w:r w:rsidRPr="001B6C67">
        <w:rPr>
          <w:rtl/>
        </w:rPr>
        <w:t xml:space="preserve"> </w:t>
      </w:r>
      <w:proofErr w:type="spellStart"/>
      <w:r w:rsidRPr="001B6C67">
        <w:rPr>
          <w:rtl/>
        </w:rPr>
        <w:t>والمثليون</w:t>
      </w:r>
      <w:proofErr w:type="spellEnd"/>
      <w:r w:rsidRPr="001B6C67">
        <w:rPr>
          <w:rtl/>
        </w:rPr>
        <w:t xml:space="preserve"> ومزدوجو الميل الجنسي ومغايرو الهوية الجنسانية</w:t>
      </w:r>
    </w:p>
    <w:p w14:paraId="704D3FC3" w14:textId="77777777" w:rsidR="00DE3D9F" w:rsidRPr="001B6C67" w:rsidRDefault="00DE3D9F" w:rsidP="00DE3D9F">
      <w:pPr>
        <w:pStyle w:val="SingleTxtGA"/>
        <w:rPr>
          <w:lang w:val="ar-SA" w:eastAsia="zh-TW" w:bidi="en-GB"/>
        </w:rPr>
      </w:pPr>
      <w:r w:rsidRPr="00AF3116">
        <w:rPr>
          <w:rtl/>
        </w:rPr>
        <w:t>120</w:t>
      </w:r>
      <w:r w:rsidRPr="001B6C67">
        <w:rPr>
          <w:rtl/>
        </w:rPr>
        <w:t>-</w:t>
      </w:r>
      <w:r w:rsidRPr="001B6C67">
        <w:rPr>
          <w:rtl/>
        </w:rPr>
        <w:tab/>
        <w:t xml:space="preserve">قانون المساواة بين الجنسين لعام </w:t>
      </w:r>
      <w:r w:rsidRPr="00AF3116">
        <w:rPr>
          <w:rtl/>
        </w:rPr>
        <w:t>2015</w:t>
      </w:r>
      <w:r w:rsidRPr="001B6C67">
        <w:rPr>
          <w:rtl/>
        </w:rPr>
        <w:t xml:space="preserve"> جزء بارز من التشريعات الرامية إلى التصدي للتمييز </w:t>
      </w:r>
      <w:proofErr w:type="spellStart"/>
      <w:r w:rsidRPr="001B6C67">
        <w:rPr>
          <w:rtl/>
        </w:rPr>
        <w:t>الجنساني</w:t>
      </w:r>
      <w:proofErr w:type="spellEnd"/>
      <w:r w:rsidRPr="001B6C67">
        <w:rPr>
          <w:rtl/>
        </w:rPr>
        <w:t xml:space="preserve"> سواء ضد الذكور أو الإناث أو من يعبرون عن أنفسهم بطريقة مختلفة عمن ينتمون للجنس الذي وُلِد</w:t>
      </w:r>
      <w:r>
        <w:rPr>
          <w:rtl/>
        </w:rPr>
        <w:t>وا</w:t>
      </w:r>
      <w:r w:rsidRPr="001B6C67">
        <w:rPr>
          <w:rtl/>
        </w:rPr>
        <w:t xml:space="preserve"> به. وينشئ القانون أيضاً آليات وطنية لتبسيط السياسات ذات الصلة والإشراف على الالتماسات وتوفير سبل الانتصاف للأشخاص الذين يتعرضون للتمييز على أساس نوعهم الاجتماعي.</w:t>
      </w:r>
    </w:p>
    <w:p w14:paraId="5E9413A6" w14:textId="77777777" w:rsidR="00DE3D9F" w:rsidRPr="001B6C67" w:rsidRDefault="00DE3D9F" w:rsidP="00DE3D9F">
      <w:pPr>
        <w:pStyle w:val="SingleTxtGA"/>
        <w:rPr>
          <w:lang w:val="ar-SA" w:eastAsia="zh-TW" w:bidi="en-GB"/>
        </w:rPr>
      </w:pPr>
      <w:r w:rsidRPr="00AF3116">
        <w:rPr>
          <w:rtl/>
        </w:rPr>
        <w:t>121</w:t>
      </w:r>
      <w:r w:rsidRPr="001B6C67">
        <w:rPr>
          <w:rtl/>
        </w:rPr>
        <w:t>-</w:t>
      </w:r>
      <w:r w:rsidRPr="001B6C67">
        <w:rPr>
          <w:rtl/>
        </w:rPr>
        <w:tab/>
        <w:t xml:space="preserve">وتضمن الخطة </w:t>
      </w:r>
      <w:r w:rsidRPr="00AF3116">
        <w:rPr>
          <w:rtl/>
        </w:rPr>
        <w:t>الوطنية الرابعة</w:t>
      </w:r>
      <w:r w:rsidRPr="001B6C67">
        <w:rPr>
          <w:rtl/>
        </w:rPr>
        <w:t xml:space="preserve"> لحقوق الإنسان (</w:t>
      </w:r>
      <w:r w:rsidRPr="00AF3116">
        <w:rPr>
          <w:rtl/>
        </w:rPr>
        <w:t>2019</w:t>
      </w:r>
      <w:r w:rsidRPr="001B6C67">
        <w:rPr>
          <w:rtl/>
        </w:rPr>
        <w:t>-</w:t>
      </w:r>
      <w:r w:rsidRPr="00AF3116">
        <w:rPr>
          <w:rtl/>
        </w:rPr>
        <w:t>2023</w:t>
      </w:r>
      <w:r w:rsidRPr="001B6C67">
        <w:rPr>
          <w:rtl/>
        </w:rPr>
        <w:t>) التزام جميع الجهات الفاعلة بتعزيز حقوق الإنسان والمساواة بين الجنسين، وهو أمر أساسي لتحقيق التنمية المستدامة.</w:t>
      </w:r>
    </w:p>
    <w:p w14:paraId="71C2B23A" w14:textId="77777777" w:rsidR="00DE3D9F" w:rsidRPr="001B6C67" w:rsidRDefault="00DE3D9F" w:rsidP="00DE3D9F">
      <w:pPr>
        <w:pStyle w:val="SingleTxtGA"/>
        <w:rPr>
          <w:lang w:val="ar-SA" w:eastAsia="zh-TW" w:bidi="en-GB"/>
        </w:rPr>
      </w:pPr>
      <w:r w:rsidRPr="00AF3116">
        <w:rPr>
          <w:rtl/>
        </w:rPr>
        <w:t>122</w:t>
      </w:r>
      <w:r w:rsidRPr="001B6C67">
        <w:rPr>
          <w:rtl/>
        </w:rPr>
        <w:t>-</w:t>
      </w:r>
      <w:r w:rsidRPr="001B6C67">
        <w:rPr>
          <w:rtl/>
        </w:rPr>
        <w:tab/>
        <w:t xml:space="preserve">وتقوم تايلند حالياً بصياغة قانون الشراكة المدنية لضمان الحقوق القانونية </w:t>
      </w:r>
      <w:proofErr w:type="spellStart"/>
      <w:r w:rsidRPr="001B6C67">
        <w:rPr>
          <w:rtl/>
        </w:rPr>
        <w:t>للمثليات</w:t>
      </w:r>
      <w:proofErr w:type="spellEnd"/>
      <w:r w:rsidRPr="001B6C67">
        <w:rPr>
          <w:rtl/>
        </w:rPr>
        <w:t xml:space="preserve"> والمثليين ومزدوجي الميل الجنسي ومغايري الهوية الجنسانية الذين يرغبون في الاقتران في إطار شراكة مدنية، وهو يشمل قضايا مثل العلاقة القانونية وحقوق الملكية والميراث.</w:t>
      </w:r>
    </w:p>
    <w:p w14:paraId="553C3CA0" w14:textId="3C7C238A" w:rsidR="00DE3D9F" w:rsidRPr="00D55BE1" w:rsidRDefault="00DE3D9F" w:rsidP="00883EBA">
      <w:pPr>
        <w:pStyle w:val="H4GA"/>
        <w:rPr>
          <w:lang w:val="en-US" w:eastAsia="zh-TW" w:bidi="en-GB"/>
        </w:rPr>
      </w:pPr>
      <w:r w:rsidRPr="001B6C67">
        <w:rPr>
          <w:rtl/>
        </w:rPr>
        <w:tab/>
      </w:r>
      <w:r w:rsidRPr="001B6C67">
        <w:rPr>
          <w:rtl/>
        </w:rPr>
        <w:tab/>
      </w:r>
      <w:r w:rsidRPr="00AF3116">
        <w:rPr>
          <w:rtl/>
        </w:rPr>
        <w:t>الأشخاص ذوو الإعاقة</w:t>
      </w:r>
    </w:p>
    <w:p w14:paraId="02EEB326" w14:textId="77777777" w:rsidR="00DE3D9F" w:rsidRPr="001B6C67" w:rsidRDefault="00DE3D9F" w:rsidP="00DE3D9F">
      <w:pPr>
        <w:pStyle w:val="SingleTxtGA"/>
        <w:rPr>
          <w:lang w:val="ar-SA" w:eastAsia="zh-TW" w:bidi="en-GB"/>
        </w:rPr>
      </w:pPr>
      <w:r w:rsidRPr="00AF3116">
        <w:rPr>
          <w:rtl/>
        </w:rPr>
        <w:t>123</w:t>
      </w:r>
      <w:r w:rsidRPr="001B6C67">
        <w:rPr>
          <w:rtl/>
        </w:rPr>
        <w:t>-</w:t>
      </w:r>
      <w:r w:rsidRPr="001B6C67">
        <w:rPr>
          <w:rtl/>
        </w:rPr>
        <w:tab/>
        <w:t xml:space="preserve">يكفل قانون تمكين الأشخاص ذوي الإعاقة </w:t>
      </w:r>
      <w:r w:rsidRPr="001B6C67">
        <w:t xml:space="preserve">B.E. </w:t>
      </w:r>
      <w:r w:rsidRPr="00AF3116">
        <w:t>2550</w:t>
      </w:r>
      <w:r w:rsidRPr="001B6C67">
        <w:t xml:space="preserve"> (</w:t>
      </w:r>
      <w:r w:rsidRPr="00AF3116">
        <w:t>2007</w:t>
      </w:r>
      <w:r w:rsidRPr="001B6C67">
        <w:t>)</w:t>
      </w:r>
      <w:r w:rsidRPr="001B6C67">
        <w:rPr>
          <w:rtl/>
        </w:rPr>
        <w:t xml:space="preserve"> وتعديله في عام </w:t>
      </w:r>
      <w:r w:rsidRPr="00AF3116">
        <w:rPr>
          <w:rtl/>
        </w:rPr>
        <w:t>2013</w:t>
      </w:r>
      <w:r w:rsidRPr="001B6C67">
        <w:rPr>
          <w:rtl/>
        </w:rPr>
        <w:t xml:space="preserve"> تمتع الأشخاص ذوي الإعاقة تمتعاً كاملاً بحقوق الإنسان والحريات الأساسية </w:t>
      </w:r>
      <w:r>
        <w:rPr>
          <w:rtl/>
        </w:rPr>
        <w:t>على قدم المساواة</w:t>
      </w:r>
      <w:r w:rsidRPr="001B6C67">
        <w:rPr>
          <w:rtl/>
        </w:rPr>
        <w:t>. ويحمي أيضاً الأشخاص ذوي الإعاقة من جميع وسائل التمييز الجائر. ويضمن أيضاً تمتع الأشخاص ذوي الإعاقة بالحق في الوصول إلى المرافق والخدمات العامة والاستفادة منها، بما في ذلك الرعاية الطبية والتعليم والعمل وبدل الإعاقة ومترجمو لغة الإشارة والمساعدون الشخصيون وتعديل المنزل وإمكانية الحصول على المعلومات والتكنولوجيا المساعدة.</w:t>
      </w:r>
    </w:p>
    <w:p w14:paraId="1A5B774C" w14:textId="77777777" w:rsidR="00DE3D9F" w:rsidRPr="00883EBA" w:rsidRDefault="00DE3D9F" w:rsidP="00DE3D9F">
      <w:pPr>
        <w:pStyle w:val="SingleTxtGA"/>
        <w:rPr>
          <w:lang w:val="en-US" w:eastAsia="zh-TW" w:bidi="en-GB"/>
        </w:rPr>
      </w:pPr>
      <w:r w:rsidRPr="00AF3116">
        <w:rPr>
          <w:rtl/>
        </w:rPr>
        <w:t>124</w:t>
      </w:r>
      <w:r w:rsidRPr="001B6C67">
        <w:rPr>
          <w:rtl/>
        </w:rPr>
        <w:t>-</w:t>
      </w:r>
      <w:r w:rsidRPr="001B6C67">
        <w:rPr>
          <w:rtl/>
        </w:rPr>
        <w:tab/>
        <w:t xml:space="preserve">وتعد الخطة الوطنية </w:t>
      </w:r>
      <w:r w:rsidRPr="00AF3116">
        <w:rPr>
          <w:rtl/>
        </w:rPr>
        <w:t>الخامسة الحالية</w:t>
      </w:r>
      <w:r w:rsidRPr="001B6C67">
        <w:rPr>
          <w:rtl/>
        </w:rPr>
        <w:t xml:space="preserve"> لتمكين الأشخاص ذوي الإعاقة (</w:t>
      </w:r>
      <w:r w:rsidRPr="00AF3116">
        <w:rPr>
          <w:rtl/>
        </w:rPr>
        <w:t>2017</w:t>
      </w:r>
      <w:r w:rsidRPr="001B6C67">
        <w:rPr>
          <w:rtl/>
        </w:rPr>
        <w:t>-</w:t>
      </w:r>
      <w:r w:rsidRPr="00AF3116">
        <w:rPr>
          <w:rtl/>
        </w:rPr>
        <w:t>2020</w:t>
      </w:r>
      <w:r w:rsidRPr="001B6C67">
        <w:rPr>
          <w:rtl/>
        </w:rPr>
        <w:t>) بمثابة إطار شامل لجميع الوكالات الحكومية ذات الصلة في تعزيز وحماية حقوق الأشخاص ذوي الإعاقة. وهي تسلط الضوء على بناء القدرات المستدامة للأشخاص ذوي الإعاقة وتنظيمهم للحصول بشكل كامل وعادل على حقوقهم</w:t>
      </w:r>
      <w:r>
        <w:rPr>
          <w:rtl/>
        </w:rPr>
        <w:t>،</w:t>
      </w:r>
      <w:r w:rsidRPr="001B6C67">
        <w:rPr>
          <w:rtl/>
        </w:rPr>
        <w:t xml:space="preserve"> وعلى مراكز </w:t>
      </w:r>
      <w:r>
        <w:rPr>
          <w:rtl/>
        </w:rPr>
        <w:t>ل</w:t>
      </w:r>
      <w:r w:rsidRPr="001B6C67">
        <w:rPr>
          <w:rtl/>
        </w:rPr>
        <w:t xml:space="preserve">لخدمات البيئية </w:t>
      </w:r>
      <w:proofErr w:type="spellStart"/>
      <w:r w:rsidRPr="001B6C67">
        <w:rPr>
          <w:rtl/>
        </w:rPr>
        <w:t>والتكنولوجيية</w:t>
      </w:r>
      <w:proofErr w:type="spellEnd"/>
      <w:r w:rsidRPr="001B6C67">
        <w:rPr>
          <w:rtl/>
        </w:rPr>
        <w:t xml:space="preserve"> والإنمائية للأشخاص ذوي الإعاقة</w:t>
      </w:r>
      <w:r>
        <w:rPr>
          <w:rtl/>
        </w:rPr>
        <w:t xml:space="preserve"> يمكن الوصول إليها</w:t>
      </w:r>
      <w:r w:rsidRPr="001B6C67">
        <w:rPr>
          <w:rtl/>
        </w:rPr>
        <w:t xml:space="preserve"> في المناطق الريفية والنائية.</w:t>
      </w:r>
    </w:p>
    <w:p w14:paraId="41FC64D2" w14:textId="0F9F36AB" w:rsidR="00DE3D9F" w:rsidRPr="001B6C67" w:rsidRDefault="00DE3D9F" w:rsidP="00DE3D9F">
      <w:pPr>
        <w:pStyle w:val="SingleTxtGA"/>
        <w:rPr>
          <w:lang w:val="ar-SA" w:eastAsia="zh-TW" w:bidi="en-GB"/>
        </w:rPr>
      </w:pPr>
      <w:r w:rsidRPr="00AF3116">
        <w:rPr>
          <w:rtl/>
        </w:rPr>
        <w:t>125</w:t>
      </w:r>
      <w:r w:rsidRPr="001B6C67">
        <w:rPr>
          <w:rtl/>
        </w:rPr>
        <w:t>-</w:t>
      </w:r>
      <w:r w:rsidRPr="001B6C67">
        <w:rPr>
          <w:rtl/>
        </w:rPr>
        <w:tab/>
        <w:t xml:space="preserve">وفي مجال التوظيف، يستوجب قرار مجلس الوزراء </w:t>
      </w:r>
      <w:r w:rsidRPr="001B6C67">
        <w:t xml:space="preserve">B.E. </w:t>
      </w:r>
      <w:r w:rsidRPr="00AF3116">
        <w:t>2558</w:t>
      </w:r>
      <w:r w:rsidRPr="001B6C67">
        <w:t xml:space="preserve"> (</w:t>
      </w:r>
      <w:r w:rsidRPr="00AF3116">
        <w:t>2015</w:t>
      </w:r>
      <w:r w:rsidRPr="001B6C67">
        <w:t>)</w:t>
      </w:r>
      <w:r w:rsidRPr="001B6C67">
        <w:rPr>
          <w:rtl/>
        </w:rPr>
        <w:t xml:space="preserve"> الصادر في </w:t>
      </w:r>
      <w:r w:rsidRPr="00AF3116">
        <w:rPr>
          <w:rtl/>
        </w:rPr>
        <w:t>27</w:t>
      </w:r>
      <w:r w:rsidRPr="001B6C67">
        <w:rPr>
          <w:rtl/>
        </w:rPr>
        <w:t xml:space="preserve"> تشرين الأول/أكتوبر من الوكالات الحكومية التي تضم </w:t>
      </w:r>
      <w:r w:rsidRPr="00AF3116">
        <w:rPr>
          <w:rtl/>
        </w:rPr>
        <w:t>100</w:t>
      </w:r>
      <w:r w:rsidRPr="001B6C67">
        <w:rPr>
          <w:rtl/>
        </w:rPr>
        <w:t xml:space="preserve"> موظف أو أكثر أن توظف الأشخاص ذوي</w:t>
      </w:r>
      <w:r w:rsidR="00D55C97">
        <w:rPr>
          <w:rFonts w:hint="cs"/>
          <w:rtl/>
        </w:rPr>
        <w:t> </w:t>
      </w:r>
      <w:r w:rsidRPr="001B6C67">
        <w:rPr>
          <w:rtl/>
        </w:rPr>
        <w:t xml:space="preserve">الإعاقة بحسب النسبة التي ينص عليها القانون. </w:t>
      </w:r>
    </w:p>
    <w:p w14:paraId="0AB49E57" w14:textId="77777777" w:rsidR="00DE3D9F" w:rsidRPr="001B6C67" w:rsidRDefault="00DE3D9F" w:rsidP="00883EBA">
      <w:pPr>
        <w:pStyle w:val="H4GA"/>
        <w:rPr>
          <w:lang w:val="ar-SA" w:eastAsia="zh-TW" w:bidi="en-GB"/>
        </w:rPr>
      </w:pPr>
      <w:r w:rsidRPr="001B6C67">
        <w:rPr>
          <w:rtl/>
        </w:rPr>
        <w:tab/>
      </w:r>
      <w:r w:rsidRPr="001B6C67">
        <w:rPr>
          <w:rtl/>
        </w:rPr>
        <w:tab/>
      </w:r>
      <w:r w:rsidRPr="00AF3116">
        <w:rPr>
          <w:rtl/>
        </w:rPr>
        <w:t>السجناء والمحتجزون</w:t>
      </w:r>
    </w:p>
    <w:p w14:paraId="4E2B1F1C" w14:textId="77777777" w:rsidR="00DE3D9F" w:rsidRPr="001B6C67" w:rsidRDefault="00DE3D9F" w:rsidP="00DE3D9F">
      <w:pPr>
        <w:pStyle w:val="SingleTxtGA"/>
        <w:rPr>
          <w:lang w:val="ar-SA" w:eastAsia="zh-TW" w:bidi="en-GB"/>
        </w:rPr>
      </w:pPr>
      <w:r w:rsidRPr="00AF3116">
        <w:rPr>
          <w:rtl/>
        </w:rPr>
        <w:t>126</w:t>
      </w:r>
      <w:r w:rsidRPr="001B6C67">
        <w:rPr>
          <w:rtl/>
        </w:rPr>
        <w:t>-</w:t>
      </w:r>
      <w:r w:rsidRPr="001B6C67">
        <w:rPr>
          <w:rtl/>
        </w:rPr>
        <w:tab/>
        <w:t xml:space="preserve">يضمن قانون الإصلاحيات الجديد لعام </w:t>
      </w:r>
      <w:r w:rsidRPr="00AF3116">
        <w:rPr>
          <w:rtl/>
        </w:rPr>
        <w:t>2017</w:t>
      </w:r>
      <w:r w:rsidRPr="001B6C67">
        <w:rPr>
          <w:rtl/>
        </w:rPr>
        <w:t xml:space="preserve">، من بين أمور أخرى، حماية حقوق المحتجزين بما يتماشى مع قواعد الأمم المتحدة الدنيا الموحدة لمعاملة السجناء، أو "قواعد مانديلا"، والمعايير الدولية ذات الصلة. وفي تموز/يوليه </w:t>
      </w:r>
      <w:r w:rsidRPr="00AF3116">
        <w:rPr>
          <w:rtl/>
        </w:rPr>
        <w:t>2016</w:t>
      </w:r>
      <w:r w:rsidRPr="001B6C67">
        <w:rPr>
          <w:rtl/>
        </w:rPr>
        <w:t xml:space="preserve">، بدأ تنفيذ مشروع تجريبي لتنفيذ قواعد مانديلا في سجن </w:t>
      </w:r>
      <w:proofErr w:type="spellStart"/>
      <w:r w:rsidRPr="001B6C67">
        <w:rPr>
          <w:rtl/>
        </w:rPr>
        <w:t>ثونبوري</w:t>
      </w:r>
      <w:proofErr w:type="spellEnd"/>
      <w:r w:rsidRPr="001B6C67">
        <w:rPr>
          <w:rtl/>
        </w:rPr>
        <w:t xml:space="preserve"> للحبس الاحتياطي، ويجري توسيعه ليشمل سجوناً ومرافق إصلاحية أخرى في جميع أنحاء تايلند. </w:t>
      </w:r>
    </w:p>
    <w:p w14:paraId="67555527" w14:textId="75410847" w:rsidR="00DE3D9F" w:rsidRPr="001B6C67" w:rsidRDefault="00DE3D9F" w:rsidP="00DE3D9F">
      <w:pPr>
        <w:pStyle w:val="SingleTxtGA"/>
        <w:rPr>
          <w:lang w:val="ar-SA" w:eastAsia="zh-TW" w:bidi="en-GB"/>
        </w:rPr>
      </w:pPr>
      <w:bookmarkStart w:id="28" w:name="_Ref41082581"/>
      <w:r w:rsidRPr="00AF3116">
        <w:rPr>
          <w:rtl/>
        </w:rPr>
        <w:lastRenderedPageBreak/>
        <w:t>127</w:t>
      </w:r>
      <w:r w:rsidRPr="001B6C67">
        <w:rPr>
          <w:rtl/>
        </w:rPr>
        <w:t>-</w:t>
      </w:r>
      <w:r w:rsidRPr="001B6C67">
        <w:rPr>
          <w:rtl/>
        </w:rPr>
        <w:tab/>
        <w:t xml:space="preserve">وقد أدت تايلند دوراً رئيسياً في وضع قواعد الأمم المتحدة لمعاملة السجينات والتدابير غير </w:t>
      </w:r>
      <w:proofErr w:type="spellStart"/>
      <w:r w:rsidRPr="001B6C67">
        <w:rPr>
          <w:rtl/>
        </w:rPr>
        <w:t>الاحتجازية</w:t>
      </w:r>
      <w:proofErr w:type="spellEnd"/>
      <w:r w:rsidRPr="001B6C67">
        <w:rPr>
          <w:rtl/>
        </w:rPr>
        <w:t xml:space="preserve"> للمجرمات أو قواعد بانكوك، التي نشأت عن مفهوم مشروع تايلند لتعزيز حياة السجينات الذي استهلته صاحبة السمو الملكي الأميرة </w:t>
      </w:r>
      <w:proofErr w:type="spellStart"/>
      <w:r w:rsidRPr="001B6C67">
        <w:rPr>
          <w:rtl/>
        </w:rPr>
        <w:t>باجراكيتيابها</w:t>
      </w:r>
      <w:proofErr w:type="spellEnd"/>
      <w:r w:rsidRPr="001B6C67">
        <w:rPr>
          <w:rtl/>
        </w:rPr>
        <w:t xml:space="preserve"> </w:t>
      </w:r>
      <w:proofErr w:type="spellStart"/>
      <w:r w:rsidRPr="001B6C67">
        <w:rPr>
          <w:rtl/>
        </w:rPr>
        <w:t>ناريندرا</w:t>
      </w:r>
      <w:proofErr w:type="spellEnd"/>
      <w:r w:rsidRPr="001B6C67">
        <w:rPr>
          <w:rtl/>
        </w:rPr>
        <w:t xml:space="preserve"> </w:t>
      </w:r>
      <w:proofErr w:type="spellStart"/>
      <w:r w:rsidRPr="001B6C67">
        <w:rPr>
          <w:rtl/>
        </w:rPr>
        <w:t>ديبيافاتي</w:t>
      </w:r>
      <w:proofErr w:type="spellEnd"/>
      <w:r w:rsidRPr="001B6C67">
        <w:rPr>
          <w:rtl/>
        </w:rPr>
        <w:t xml:space="preserve"> وأُقِر في الدورة الخامسة والستين</w:t>
      </w:r>
      <w:r w:rsidR="00883EBA">
        <w:rPr>
          <w:rFonts w:hint="cs"/>
          <w:rtl/>
        </w:rPr>
        <w:t> </w:t>
      </w:r>
      <w:r w:rsidRPr="001B6C67">
        <w:rPr>
          <w:rtl/>
        </w:rPr>
        <w:t xml:space="preserve">للجمعية العامة للأمم المتحدة في </w:t>
      </w:r>
      <w:r w:rsidRPr="00AF3116">
        <w:rPr>
          <w:rtl/>
        </w:rPr>
        <w:t>21</w:t>
      </w:r>
      <w:r w:rsidRPr="001B6C67">
        <w:rPr>
          <w:rtl/>
        </w:rPr>
        <w:t xml:space="preserve"> كانون الأول/ديسمبر </w:t>
      </w:r>
      <w:r w:rsidRPr="00AF3116">
        <w:rPr>
          <w:rtl/>
        </w:rPr>
        <w:t>2010</w:t>
      </w:r>
      <w:r w:rsidRPr="001B6C67">
        <w:rPr>
          <w:rtl/>
        </w:rPr>
        <w:t>. وهذا بمثابة دليل توجيهي</w:t>
      </w:r>
      <w:r w:rsidR="00883EBA">
        <w:rPr>
          <w:rFonts w:hint="cs"/>
          <w:rtl/>
        </w:rPr>
        <w:t> </w:t>
      </w:r>
      <w:r w:rsidRPr="001B6C67">
        <w:rPr>
          <w:rtl/>
        </w:rPr>
        <w:t>بشأن معاملة نزيلات السجون في جميع الدول، فيما يتعلق بالاختلافات بين الجنسين والاحتياجات الخاصة بالنساء.</w:t>
      </w:r>
      <w:bookmarkEnd w:id="28"/>
    </w:p>
    <w:p w14:paraId="4FB0AD28" w14:textId="77777777" w:rsidR="00DE3D9F" w:rsidRPr="001B6C67" w:rsidRDefault="00DE3D9F" w:rsidP="00DE3D9F">
      <w:pPr>
        <w:pStyle w:val="SingleTxtGA"/>
        <w:rPr>
          <w:lang w:val="ar-SA" w:eastAsia="zh-TW" w:bidi="en-GB"/>
        </w:rPr>
      </w:pPr>
      <w:bookmarkStart w:id="29" w:name="_Ref41082606"/>
      <w:r w:rsidRPr="00AF3116">
        <w:rPr>
          <w:rtl/>
        </w:rPr>
        <w:t>128</w:t>
      </w:r>
      <w:r w:rsidRPr="001B6C67">
        <w:rPr>
          <w:rtl/>
        </w:rPr>
        <w:t>-</w:t>
      </w:r>
      <w:r w:rsidRPr="001B6C67">
        <w:rPr>
          <w:rtl/>
        </w:rPr>
        <w:tab/>
        <w:t xml:space="preserve">وتعمل إدارة الإصلاحيات ومعهد العدالة التايلندي معاً لتنفيذ قواعد بانكوك. ومنذ عام </w:t>
      </w:r>
      <w:r w:rsidRPr="00AF3116">
        <w:rPr>
          <w:rtl/>
        </w:rPr>
        <w:t>2015</w:t>
      </w:r>
      <w:r w:rsidRPr="001B6C67">
        <w:rPr>
          <w:rtl/>
        </w:rPr>
        <w:t>، اعتمدت قواعد بانكوك ستة سجون نموذجية في جميع أنحاء تايلاند.</w:t>
      </w:r>
      <w:bookmarkEnd w:id="29"/>
    </w:p>
    <w:p w14:paraId="47EFB843" w14:textId="2A8C3C37" w:rsidR="00DE3D9F" w:rsidRPr="00AF3116" w:rsidRDefault="00DE3D9F" w:rsidP="00DE3D9F">
      <w:pPr>
        <w:pStyle w:val="SingleTxtGA"/>
        <w:rPr>
          <w:lang w:val="en-US" w:eastAsia="zh-TW" w:bidi="en-GB"/>
        </w:rPr>
      </w:pPr>
      <w:r w:rsidRPr="00AF3116">
        <w:rPr>
          <w:rtl/>
        </w:rPr>
        <w:t>129</w:t>
      </w:r>
      <w:r w:rsidRPr="001B6C67">
        <w:rPr>
          <w:rtl/>
        </w:rPr>
        <w:t>-</w:t>
      </w:r>
      <w:r w:rsidRPr="001B6C67">
        <w:rPr>
          <w:rtl/>
        </w:rPr>
        <w:tab/>
        <w:t xml:space="preserve">وإذ تسلم وزارة العدل بمشكلة الاكتظاظ في أماكن الاحتجاز التي تشرف عليها إدارة الإصلاحيات، فإنها تقوم حالياً بصياغة لائحة وزارية بموجب قانون الإصلاحيات لعام </w:t>
      </w:r>
      <w:r w:rsidRPr="00AF3116">
        <w:rPr>
          <w:rtl/>
        </w:rPr>
        <w:t>2017</w:t>
      </w:r>
      <w:r w:rsidRPr="001B6C67">
        <w:rPr>
          <w:rtl/>
        </w:rPr>
        <w:t xml:space="preserve"> لتحديد ست</w:t>
      </w:r>
      <w:r w:rsidR="00D55BE1">
        <w:rPr>
          <w:rFonts w:hint="cs"/>
          <w:rtl/>
        </w:rPr>
        <w:t> </w:t>
      </w:r>
      <w:r w:rsidRPr="001B6C67">
        <w:rPr>
          <w:rtl/>
        </w:rPr>
        <w:t>عقوبات جنائية بديلة للسجن، بما في ذلك:’</w:t>
      </w:r>
      <w:r w:rsidRPr="00AF3116">
        <w:rPr>
          <w:rtl/>
        </w:rPr>
        <w:t>1</w:t>
      </w:r>
      <w:r w:rsidRPr="001B6C67">
        <w:rPr>
          <w:rtl/>
        </w:rPr>
        <w:t>‘ الاحتجاز المتقطع، ’</w:t>
      </w:r>
      <w:r w:rsidRPr="00AF3116">
        <w:rPr>
          <w:rtl/>
        </w:rPr>
        <w:t>2</w:t>
      </w:r>
      <w:r w:rsidRPr="001B6C67">
        <w:rPr>
          <w:rtl/>
        </w:rPr>
        <w:t>‘ الاحتجاز خلال ساعات محددة، ’</w:t>
      </w:r>
      <w:r w:rsidRPr="00AF3116">
        <w:rPr>
          <w:rtl/>
        </w:rPr>
        <w:t>3</w:t>
      </w:r>
      <w:r w:rsidRPr="001B6C67">
        <w:rPr>
          <w:rtl/>
        </w:rPr>
        <w:t>‘ الاحتجاز داخل مكان احتجاز محدد، ’</w:t>
      </w:r>
      <w:r w:rsidRPr="00AF3116">
        <w:rPr>
          <w:rtl/>
        </w:rPr>
        <w:t>4</w:t>
      </w:r>
      <w:r w:rsidRPr="001B6C67">
        <w:rPr>
          <w:rtl/>
        </w:rPr>
        <w:t>‘ خدمة المجتمع المحلي، ’</w:t>
      </w:r>
      <w:r w:rsidRPr="00AF3116">
        <w:rPr>
          <w:rtl/>
        </w:rPr>
        <w:t>5</w:t>
      </w:r>
      <w:r w:rsidRPr="001B6C67">
        <w:rPr>
          <w:rtl/>
        </w:rPr>
        <w:t xml:space="preserve">‘ القيود المفروضة على السفر وفقاً للمادة </w:t>
      </w:r>
      <w:r w:rsidRPr="00AF3116">
        <w:rPr>
          <w:rtl/>
        </w:rPr>
        <w:t>89</w:t>
      </w:r>
      <w:r w:rsidRPr="001B6C67">
        <w:rPr>
          <w:rtl/>
        </w:rPr>
        <w:t>/</w:t>
      </w:r>
      <w:r w:rsidRPr="00AF3116">
        <w:rPr>
          <w:rtl/>
        </w:rPr>
        <w:t>2</w:t>
      </w:r>
      <w:r w:rsidRPr="001B6C67">
        <w:rPr>
          <w:rtl/>
        </w:rPr>
        <w:t xml:space="preserve"> من قانون الإجراءات الجنائية، ’</w:t>
      </w:r>
      <w:r w:rsidRPr="00AF3116">
        <w:rPr>
          <w:rtl/>
        </w:rPr>
        <w:t>6</w:t>
      </w:r>
      <w:r w:rsidRPr="001B6C67">
        <w:rPr>
          <w:rtl/>
        </w:rPr>
        <w:t>‘ أي عقوبة أخرى تحددها إدارة</w:t>
      </w:r>
      <w:r w:rsidR="00D55BE1">
        <w:rPr>
          <w:rFonts w:hint="cs"/>
          <w:rtl/>
        </w:rPr>
        <w:t> </w:t>
      </w:r>
      <w:r w:rsidRPr="001B6C67">
        <w:rPr>
          <w:rtl/>
        </w:rPr>
        <w:t xml:space="preserve">الإصلاحيات. </w:t>
      </w:r>
    </w:p>
    <w:p w14:paraId="527CCF49" w14:textId="43CDCEE6" w:rsidR="00DE3D9F" w:rsidRPr="001B6C67" w:rsidRDefault="00DE3D9F" w:rsidP="00DE3D9F">
      <w:pPr>
        <w:pStyle w:val="SingleTxtGA"/>
        <w:rPr>
          <w:lang w:val="ar-SA" w:eastAsia="zh-TW" w:bidi="en-GB"/>
        </w:rPr>
      </w:pPr>
      <w:r w:rsidRPr="00AF3116">
        <w:rPr>
          <w:rtl/>
        </w:rPr>
        <w:t>130</w:t>
      </w:r>
      <w:r w:rsidRPr="001B6C67">
        <w:rPr>
          <w:rtl/>
        </w:rPr>
        <w:t>-</w:t>
      </w:r>
      <w:r w:rsidRPr="001B6C67">
        <w:rPr>
          <w:rtl/>
        </w:rPr>
        <w:tab/>
        <w:t xml:space="preserve">وفي </w:t>
      </w:r>
      <w:r w:rsidRPr="00AF3116">
        <w:rPr>
          <w:rtl/>
        </w:rPr>
        <w:t>1</w:t>
      </w:r>
      <w:r w:rsidRPr="001B6C67">
        <w:rPr>
          <w:rtl/>
        </w:rPr>
        <w:t xml:space="preserve"> آذار/مارس </w:t>
      </w:r>
      <w:r w:rsidRPr="00AF3116">
        <w:rPr>
          <w:rtl/>
        </w:rPr>
        <w:t>2018</w:t>
      </w:r>
      <w:r w:rsidRPr="001B6C67">
        <w:rPr>
          <w:rtl/>
        </w:rPr>
        <w:t xml:space="preserve">، اعتمدت محكمة العدل وإدارة الإفراج تحت المراقبة نظام المراقبة الإلكترونية كبديل لاحتجاز السجناء الذين أُفرج عنهم مؤقتاً، عوضاً عن دفع كفالة. وقد أتاح مركز المراقبة الإلكترونية الذي أُطلِق في أيلول/سبتمبر </w:t>
      </w:r>
      <w:r w:rsidRPr="00AF3116">
        <w:rPr>
          <w:rtl/>
        </w:rPr>
        <w:t>2017</w:t>
      </w:r>
      <w:r w:rsidRPr="001B6C67">
        <w:rPr>
          <w:rtl/>
        </w:rPr>
        <w:t xml:space="preserve"> الإفراج عن المتهمين أو المدعى عليهم الذين لا</w:t>
      </w:r>
      <w:r w:rsidR="00D55C97">
        <w:rPr>
          <w:rFonts w:hint="cs"/>
          <w:rtl/>
        </w:rPr>
        <w:t> </w:t>
      </w:r>
      <w:r w:rsidRPr="001B6C67">
        <w:rPr>
          <w:rtl/>
        </w:rPr>
        <w:t xml:space="preserve">يستطيعون دفع كفالة مالية. وسيسمح ذلك بخفض عدد السجناء، والأهم من ذلك أنه سيسمح بخفض التفاوت الاجتماعي وفرط تمثيل الفقراء في الاحتجاز السابق للمحاكمة. ولضمان عدم تأثر حرية المتهمين في القضايا الجنائية إلا بالقدر الضروري وبأقل ما يمكن، فإن من ممارسات المحكمة الآن أنها يجب أن تنتهي من القضايا الجنائية التي يحتجز فيها المدعى عليهم في غضون </w:t>
      </w:r>
      <w:r w:rsidRPr="00AF3116">
        <w:rPr>
          <w:rtl/>
        </w:rPr>
        <w:t>6</w:t>
      </w:r>
      <w:r w:rsidRPr="001B6C67">
        <w:rPr>
          <w:rtl/>
        </w:rPr>
        <w:t xml:space="preserve"> أشهر من تاريخ بدء الاحتجاز. </w:t>
      </w:r>
    </w:p>
    <w:p w14:paraId="19290168" w14:textId="77777777" w:rsidR="00DE3D9F" w:rsidRPr="001B6C67" w:rsidRDefault="00DE3D9F" w:rsidP="00DE3D9F">
      <w:pPr>
        <w:pStyle w:val="SingleTxtGA"/>
        <w:rPr>
          <w:lang w:val="ar-SA" w:eastAsia="zh-TW" w:bidi="en-GB"/>
        </w:rPr>
      </w:pPr>
      <w:r w:rsidRPr="00AF3116">
        <w:rPr>
          <w:rtl/>
        </w:rPr>
        <w:t>131</w:t>
      </w:r>
      <w:r w:rsidRPr="001B6C67">
        <w:rPr>
          <w:rtl/>
        </w:rPr>
        <w:t>-</w:t>
      </w:r>
      <w:r w:rsidRPr="001B6C67">
        <w:rPr>
          <w:rtl/>
        </w:rPr>
        <w:tab/>
        <w:t xml:space="preserve">وفي </w:t>
      </w:r>
      <w:r w:rsidRPr="00AF3116">
        <w:rPr>
          <w:rtl/>
        </w:rPr>
        <w:t>22</w:t>
      </w:r>
      <w:r w:rsidRPr="001B6C67">
        <w:rPr>
          <w:rtl/>
        </w:rPr>
        <w:t xml:space="preserve"> كانون الثاني/يناير </w:t>
      </w:r>
      <w:r w:rsidRPr="00AF3116">
        <w:rPr>
          <w:rtl/>
        </w:rPr>
        <w:t>2019</w:t>
      </w:r>
      <w:r w:rsidRPr="001B6C67">
        <w:rPr>
          <w:rtl/>
        </w:rPr>
        <w:t xml:space="preserve">، أبرمت وزارة الصحة وإدارة الإصلاحيات ومكتب الأمن الصحي الوطني مذكرة تفاهم لتحسين نظام الخدمات الصحية للسجناء. وكان ذلك وفقاً لقرار مجلس الوزراء الصادر في </w:t>
      </w:r>
      <w:r w:rsidRPr="00AF3116">
        <w:rPr>
          <w:rtl/>
        </w:rPr>
        <w:t>17</w:t>
      </w:r>
      <w:r w:rsidRPr="001B6C67">
        <w:rPr>
          <w:rtl/>
        </w:rPr>
        <w:t xml:space="preserve"> تشرين الثاني/نوفمبر </w:t>
      </w:r>
      <w:r w:rsidRPr="00AF3116">
        <w:rPr>
          <w:rtl/>
        </w:rPr>
        <w:t>2015</w:t>
      </w:r>
      <w:r w:rsidRPr="001B6C67">
        <w:rPr>
          <w:rtl/>
        </w:rPr>
        <w:t xml:space="preserve"> الذي طلب إلى السلطات المختصة أن تكلف العاملين الصحيين من المستشفيات المحلية بتقديم الخدمات في السجون، وأن تنشئ جناحاً خاصاً للسجناء الذين يحتاجون إلى العلاج خارج مرافق السجون، وأن تحسن نظام الخدمات الصحية الشاملة للسجناء. </w:t>
      </w:r>
    </w:p>
    <w:p w14:paraId="5527BD1C" w14:textId="77777777" w:rsidR="00DE3D9F" w:rsidRPr="001B6C67" w:rsidRDefault="00DE3D9F" w:rsidP="00883EBA">
      <w:pPr>
        <w:pStyle w:val="H4GA"/>
        <w:rPr>
          <w:lang w:val="ar-SA" w:eastAsia="zh-TW" w:bidi="en-GB"/>
        </w:rPr>
      </w:pPr>
      <w:r w:rsidRPr="001B6C67">
        <w:rPr>
          <w:rtl/>
        </w:rPr>
        <w:tab/>
      </w:r>
      <w:r w:rsidRPr="001B6C67">
        <w:rPr>
          <w:rtl/>
        </w:rPr>
        <w:tab/>
      </w:r>
      <w:r w:rsidRPr="00AF3116">
        <w:rPr>
          <w:rtl/>
        </w:rPr>
        <w:t>عديمو الجنسية</w:t>
      </w:r>
    </w:p>
    <w:p w14:paraId="708EBC34" w14:textId="77777777" w:rsidR="00DE3D9F" w:rsidRPr="001B6C67" w:rsidRDefault="00DE3D9F" w:rsidP="00DE3D9F">
      <w:pPr>
        <w:pStyle w:val="SingleTxtGA"/>
        <w:rPr>
          <w:lang w:val="ar-SA" w:eastAsia="zh-TW" w:bidi="en-GB"/>
        </w:rPr>
      </w:pPr>
      <w:r w:rsidRPr="00AF3116">
        <w:rPr>
          <w:rtl/>
        </w:rPr>
        <w:t>132</w:t>
      </w:r>
      <w:r w:rsidRPr="001B6C67">
        <w:rPr>
          <w:rtl/>
        </w:rPr>
        <w:t>-</w:t>
      </w:r>
      <w:r w:rsidRPr="001B6C67">
        <w:rPr>
          <w:rtl/>
        </w:rPr>
        <w:tab/>
        <w:t xml:space="preserve">ينص قانون التسجيل المدني (رقم </w:t>
      </w:r>
      <w:r w:rsidRPr="00AF3116">
        <w:rPr>
          <w:rtl/>
        </w:rPr>
        <w:t>2</w:t>
      </w:r>
      <w:r w:rsidRPr="001B6C67">
        <w:rPr>
          <w:rtl/>
        </w:rPr>
        <w:t xml:space="preserve">) </w:t>
      </w:r>
      <w:r w:rsidRPr="001B6C67">
        <w:t xml:space="preserve">B.E. </w:t>
      </w:r>
      <w:r w:rsidRPr="00AF3116">
        <w:t>2551</w:t>
      </w:r>
      <w:r w:rsidRPr="001B6C67">
        <w:t xml:space="preserve"> (</w:t>
      </w:r>
      <w:r w:rsidRPr="00AF3116">
        <w:t>2008</w:t>
      </w:r>
      <w:r w:rsidRPr="001B6C67">
        <w:t>)</w:t>
      </w:r>
      <w:r w:rsidRPr="001B6C67">
        <w:rPr>
          <w:rtl/>
        </w:rPr>
        <w:t xml:space="preserve"> على تسجيل جميع الأشخاص عديمي الجنسية المولودين في تايلند. ويمكّن تعديل قانون الجنسية، من خلال قانون الجنسية (رقم </w:t>
      </w:r>
      <w:r w:rsidRPr="00AF3116">
        <w:rPr>
          <w:rtl/>
        </w:rPr>
        <w:t>4</w:t>
      </w:r>
      <w:r w:rsidRPr="001B6C67">
        <w:rPr>
          <w:rtl/>
        </w:rPr>
        <w:t xml:space="preserve">) </w:t>
      </w:r>
      <w:r w:rsidRPr="001B6C67">
        <w:t xml:space="preserve">B.E. </w:t>
      </w:r>
      <w:r w:rsidRPr="00AF3116">
        <w:t>2551</w:t>
      </w:r>
      <w:r w:rsidRPr="001B6C67">
        <w:t xml:space="preserve"> (</w:t>
      </w:r>
      <w:r w:rsidRPr="00AF3116">
        <w:t>2008</w:t>
      </w:r>
      <w:r w:rsidRPr="001B6C67">
        <w:t>)</w:t>
      </w:r>
      <w:r w:rsidRPr="001B6C67">
        <w:rPr>
          <w:rtl/>
        </w:rPr>
        <w:t xml:space="preserve">، الأشخاص عديمي الجنسية المولودين في تايلند من تقديم طلب للحصول على الجنسية التايلندية وفقاً للشروط التي يحددها مجلس الوزراء. وعلاوة على ذلك، فلمنع أطفال الآباء الأجانب أو عديمي الجنسية من أن يصبحوا دون وضع قانوني أو مهاجرين غير شرعيين، وافق مجلس الوزراء على قرارين في </w:t>
      </w:r>
      <w:r w:rsidRPr="00AF3116">
        <w:rPr>
          <w:rtl/>
        </w:rPr>
        <w:t>7</w:t>
      </w:r>
      <w:r w:rsidRPr="001B6C67">
        <w:rPr>
          <w:rtl/>
        </w:rPr>
        <w:t xml:space="preserve"> كانون الأول/ديسمبر </w:t>
      </w:r>
      <w:r w:rsidRPr="00AF3116">
        <w:rPr>
          <w:rtl/>
        </w:rPr>
        <w:t>2016</w:t>
      </w:r>
      <w:r w:rsidRPr="001B6C67">
        <w:rPr>
          <w:rtl/>
        </w:rPr>
        <w:t xml:space="preserve"> من أجل (</w:t>
      </w:r>
      <w:r w:rsidRPr="00AF3116">
        <w:rPr>
          <w:rtl/>
        </w:rPr>
        <w:t>1</w:t>
      </w:r>
      <w:r w:rsidRPr="001B6C67">
        <w:rPr>
          <w:rtl/>
        </w:rPr>
        <w:t>) منح الأطفال الأجانب المولودين في تايلند الحق في الإقامة القانونية في تايلند ومنع تجريمهم كمهاجرين غير شرعيين، (</w:t>
      </w:r>
      <w:r w:rsidRPr="00AF3116">
        <w:rPr>
          <w:rtl/>
        </w:rPr>
        <w:t>2</w:t>
      </w:r>
      <w:r w:rsidRPr="001B6C67">
        <w:rPr>
          <w:rtl/>
        </w:rPr>
        <w:t xml:space="preserve">) توفير مسار قانوني للأطفال الأجانب المولودين في تايلند لتقديم طلب للحصول على الجنسية التايلندية. </w:t>
      </w:r>
    </w:p>
    <w:p w14:paraId="2ED6F959" w14:textId="77777777" w:rsidR="00DE3D9F" w:rsidRPr="001B6C67" w:rsidRDefault="00DE3D9F" w:rsidP="00DE3D9F">
      <w:pPr>
        <w:pStyle w:val="SingleTxtGA"/>
        <w:rPr>
          <w:lang w:val="ar-SA" w:eastAsia="zh-TW" w:bidi="en-GB"/>
        </w:rPr>
      </w:pPr>
      <w:r w:rsidRPr="00AF3116">
        <w:rPr>
          <w:rtl/>
        </w:rPr>
        <w:lastRenderedPageBreak/>
        <w:t>133</w:t>
      </w:r>
      <w:r w:rsidRPr="001B6C67">
        <w:rPr>
          <w:rtl/>
        </w:rPr>
        <w:t>-</w:t>
      </w:r>
      <w:r w:rsidRPr="001B6C67">
        <w:rPr>
          <w:rtl/>
        </w:rPr>
        <w:tab/>
        <w:t xml:space="preserve">وتعالج تايلند مسألة انعدام الجنسية في البلد منذ أكثر من ثلاثة عقود من خلال تنفيذ نهج تدريجي. وتتمثل الخطوة الأولى في تسجيل جميع الأشخاص عديمي الجنسية المولودين في تايلند بهدف منحهم وضعاً قانونياً وحقوقاً أثناء إقامتهم في البلد وخضوعهم لإجراءات طلب الحصول على الجنسية التايلندية. وكخطوة تالية، ييسر تعديل قانون الجنسية </w:t>
      </w:r>
      <w:r w:rsidRPr="001B6C67">
        <w:t xml:space="preserve">B.E. </w:t>
      </w:r>
      <w:r w:rsidRPr="00AF3116">
        <w:t>2551</w:t>
      </w:r>
      <w:r w:rsidRPr="001B6C67">
        <w:t xml:space="preserve"> (</w:t>
      </w:r>
      <w:r w:rsidRPr="00AF3116">
        <w:t>2008</w:t>
      </w:r>
      <w:r w:rsidRPr="001B6C67">
        <w:t>)</w:t>
      </w:r>
      <w:r w:rsidRPr="001B6C67">
        <w:rPr>
          <w:rtl/>
        </w:rPr>
        <w:t xml:space="preserve"> مسار تجنيس فئات محددة من المواطنين غير التايلنديين، مثل المهاجرين الذين فروا إلى تايلند ويقيمون في البلد منذ فترة طويلة والذين لا يستطيعون العودة إلى بلدانهم الأصلية، وعديمي الجنسية، والأشخاص الذين لا جذور لهم. وتصدر الحكومة أيضاً للفئات المذكورة أعلاه بطاقات هوية تسمح لها بالعمل والحصول على الخدمات العامة مثل الرعاية الصحية والتعليم، مما يمكنها من أن تعيش حياة طبيعية في المجتمع التايلندي وتشارك في تنمية البلد.</w:t>
      </w:r>
    </w:p>
    <w:p w14:paraId="082898E3" w14:textId="77777777" w:rsidR="00DE3D9F" w:rsidRPr="001B6C67" w:rsidRDefault="00DE3D9F" w:rsidP="00883EBA">
      <w:pPr>
        <w:pStyle w:val="H4GA"/>
        <w:rPr>
          <w:lang w:val="ar-SA" w:eastAsia="zh-TW" w:bidi="en-GB"/>
        </w:rPr>
      </w:pPr>
      <w:r w:rsidRPr="001B6C67">
        <w:rPr>
          <w:rtl/>
        </w:rPr>
        <w:tab/>
      </w:r>
      <w:r w:rsidRPr="001B6C67">
        <w:rPr>
          <w:rtl/>
        </w:rPr>
        <w:tab/>
      </w:r>
      <w:r w:rsidRPr="00AF3116">
        <w:rPr>
          <w:rtl/>
        </w:rPr>
        <w:t>المدافعون عن حقوق الإنسان</w:t>
      </w:r>
    </w:p>
    <w:p w14:paraId="187DEFDE" w14:textId="77777777" w:rsidR="00DE3D9F" w:rsidRPr="001B6C67" w:rsidRDefault="00DE3D9F" w:rsidP="00DE3D9F">
      <w:pPr>
        <w:pStyle w:val="SingleTxtGA"/>
        <w:rPr>
          <w:lang w:val="ar-SA" w:eastAsia="zh-TW" w:bidi="en-GB"/>
        </w:rPr>
      </w:pPr>
      <w:r w:rsidRPr="00AF3116">
        <w:rPr>
          <w:rtl/>
        </w:rPr>
        <w:t>134</w:t>
      </w:r>
      <w:r w:rsidRPr="001B6C67">
        <w:rPr>
          <w:rtl/>
        </w:rPr>
        <w:t>-</w:t>
      </w:r>
      <w:r w:rsidRPr="001B6C67">
        <w:rPr>
          <w:rtl/>
        </w:rPr>
        <w:tab/>
        <w:t xml:space="preserve">تعترف تايلند بدور المدافعين عن حقوق الإنسان وتحترم حقوقهم وفقاً لإعلان الأمم المتحدة المتعلق بالمدافعين عن حقوق الإنسان. وتشمل الخطة </w:t>
      </w:r>
      <w:r w:rsidRPr="00AF3116">
        <w:rPr>
          <w:rtl/>
        </w:rPr>
        <w:t>الوطنية الرابعة لحقوق الإنسان</w:t>
      </w:r>
      <w:r w:rsidRPr="001B6C67">
        <w:rPr>
          <w:rtl/>
        </w:rPr>
        <w:t xml:space="preserve"> (</w:t>
      </w:r>
      <w:r w:rsidRPr="00AF3116">
        <w:rPr>
          <w:rtl/>
        </w:rPr>
        <w:t>2019</w:t>
      </w:r>
      <w:r w:rsidRPr="001B6C67">
        <w:rPr>
          <w:rtl/>
        </w:rPr>
        <w:t>-</w:t>
      </w:r>
      <w:r w:rsidRPr="00AF3116">
        <w:rPr>
          <w:rtl/>
        </w:rPr>
        <w:t>2023</w:t>
      </w:r>
      <w:r w:rsidRPr="001B6C67">
        <w:rPr>
          <w:rtl/>
        </w:rPr>
        <w:t>) المدافعين عن حقوق الإنسان كفئة مستهدفة وتتضمن تدابير محددة لحماية حقوقه</w:t>
      </w:r>
      <w:r>
        <w:rPr>
          <w:rtl/>
        </w:rPr>
        <w:t>م</w:t>
      </w:r>
      <w:r w:rsidRPr="00D345AA">
        <w:rPr>
          <w:rtl/>
        </w:rPr>
        <w:t xml:space="preserve"> </w:t>
      </w:r>
      <w:r w:rsidRPr="001B6C67">
        <w:rPr>
          <w:rtl/>
        </w:rPr>
        <w:t>وتعزيز</w:t>
      </w:r>
      <w:r>
        <w:rPr>
          <w:rtl/>
        </w:rPr>
        <w:t>ها</w:t>
      </w:r>
      <w:r w:rsidRPr="001B6C67">
        <w:rPr>
          <w:rtl/>
        </w:rPr>
        <w:t>.</w:t>
      </w:r>
    </w:p>
    <w:p w14:paraId="3267E25A" w14:textId="77777777" w:rsidR="00DE3D9F" w:rsidRPr="001B6C67" w:rsidRDefault="00DE3D9F" w:rsidP="00DE3D9F">
      <w:pPr>
        <w:pStyle w:val="SingleTxtGA"/>
        <w:rPr>
          <w:lang w:val="ar-SA" w:eastAsia="zh-TW" w:bidi="en-GB"/>
        </w:rPr>
      </w:pPr>
      <w:r w:rsidRPr="00AF3116">
        <w:rPr>
          <w:rtl/>
        </w:rPr>
        <w:t>135</w:t>
      </w:r>
      <w:r w:rsidRPr="001B6C67">
        <w:rPr>
          <w:rtl/>
        </w:rPr>
        <w:t>-</w:t>
      </w:r>
      <w:r w:rsidRPr="001B6C67">
        <w:rPr>
          <w:rtl/>
        </w:rPr>
        <w:tab/>
        <w:t xml:space="preserve">وقد نفذت وزارة العدل مجموعة من التدابير المتعلقة بالمدافعين عن حقوق الإنسان، بما في ذلك وضع دليل للمدافعين عن حقوق الإنسان بالاشتراك مع </w:t>
      </w:r>
      <w:r>
        <w:rPr>
          <w:rtl/>
        </w:rPr>
        <w:t xml:space="preserve">مكتب </w:t>
      </w:r>
      <w:r w:rsidRPr="001B6C67">
        <w:rPr>
          <w:rtl/>
        </w:rPr>
        <w:t>مفوضية الأمم المتحدة</w:t>
      </w:r>
      <w:r>
        <w:rPr>
          <w:rtl/>
        </w:rPr>
        <w:t xml:space="preserve"> السامية الإقليمي</w:t>
      </w:r>
      <w:r w:rsidRPr="001B6C67">
        <w:rPr>
          <w:rtl/>
        </w:rPr>
        <w:t xml:space="preserve"> لحقوق الإنسان</w:t>
      </w:r>
      <w:r>
        <w:rPr>
          <w:rtl/>
        </w:rPr>
        <w:t xml:space="preserve"> في </w:t>
      </w:r>
      <w:r w:rsidRPr="001B6C67">
        <w:rPr>
          <w:rtl/>
        </w:rPr>
        <w:t>جنوب شرق آسيا.</w:t>
      </w:r>
    </w:p>
    <w:p w14:paraId="56637434" w14:textId="77777777" w:rsidR="00DE3D9F" w:rsidRPr="001B6C67" w:rsidRDefault="00DE3D9F" w:rsidP="00DE3D9F">
      <w:pPr>
        <w:pStyle w:val="SingleTxtGA"/>
        <w:rPr>
          <w:lang w:val="ar-SA" w:eastAsia="zh-TW" w:bidi="en-GB"/>
        </w:rPr>
      </w:pPr>
      <w:r w:rsidRPr="00AF3116">
        <w:rPr>
          <w:rtl/>
        </w:rPr>
        <w:t>136</w:t>
      </w:r>
      <w:r w:rsidRPr="001B6C67">
        <w:rPr>
          <w:rtl/>
        </w:rPr>
        <w:t>-</w:t>
      </w:r>
      <w:r w:rsidRPr="001B6C67">
        <w:rPr>
          <w:rtl/>
        </w:rPr>
        <w:tab/>
        <w:t>وفي محاولة لإنشاء أداة شاملة لحماية الحق في حرية التعبير من الاحتجاج بالتقاضي الاستراتيجي ضد مشاركة الجمهور، أضافت محكمة العدل مادتين جديدتين إلى قانون الإجراءات الجنائية</w:t>
      </w:r>
      <w:r>
        <w:rPr>
          <w:rtl/>
        </w:rPr>
        <w:t>:</w:t>
      </w:r>
      <w:r w:rsidRPr="001B6C67">
        <w:rPr>
          <w:rtl/>
        </w:rPr>
        <w:t xml:space="preserve"> المادة </w:t>
      </w:r>
      <w:r w:rsidRPr="00AF3116">
        <w:rPr>
          <w:rtl/>
        </w:rPr>
        <w:t>161</w:t>
      </w:r>
      <w:r w:rsidRPr="001B6C67">
        <w:rPr>
          <w:rtl/>
        </w:rPr>
        <w:t>/</w:t>
      </w:r>
      <w:r w:rsidRPr="00AF3116">
        <w:rPr>
          <w:rtl/>
        </w:rPr>
        <w:t>1</w:t>
      </w:r>
      <w:r w:rsidRPr="001B6C67">
        <w:rPr>
          <w:rtl/>
        </w:rPr>
        <w:t xml:space="preserve"> التي تمنح المحكمة صلاحية رفض أي قضية جنائية في مرحلة رفع الدعوى إن اتضح للمحكمة أن سبب الدعوى القانونية ينشأ عن سوء نية لمضايقة شخص آخر أو استغلاله</w:t>
      </w:r>
      <w:r>
        <w:rPr>
          <w:rtl/>
        </w:rPr>
        <w:t>؛</w:t>
      </w:r>
      <w:r w:rsidRPr="001B6C67">
        <w:rPr>
          <w:rtl/>
        </w:rPr>
        <w:t xml:space="preserve"> والمادة </w:t>
      </w:r>
      <w:r w:rsidRPr="00AF3116">
        <w:rPr>
          <w:rtl/>
        </w:rPr>
        <w:t>165</w:t>
      </w:r>
      <w:r w:rsidRPr="001B6C67">
        <w:rPr>
          <w:rtl/>
        </w:rPr>
        <w:t>/</w:t>
      </w:r>
      <w:r w:rsidRPr="00AF3116">
        <w:rPr>
          <w:rtl/>
        </w:rPr>
        <w:t>2</w:t>
      </w:r>
      <w:r w:rsidRPr="001B6C67">
        <w:rPr>
          <w:rtl/>
        </w:rPr>
        <w:t xml:space="preserve"> التي تسمح للمحكمة بالقيام بدور أكثر فعالية من خلال سلطة استدعاء الشهود والأدلة التي يقترحها المتهم كشاهد للمحكمة. </w:t>
      </w:r>
    </w:p>
    <w:p w14:paraId="406DE31B"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صكوك حقوق الإنسان التي تحتج بها/تنفذها المحاكم/السلطات الإدارية مباشرة</w:t>
      </w:r>
    </w:p>
    <w:p w14:paraId="52AE5215" w14:textId="77777777" w:rsidR="00DE3D9F" w:rsidRPr="001B6C67" w:rsidRDefault="00DE3D9F" w:rsidP="00DE3D9F">
      <w:pPr>
        <w:pStyle w:val="SingleTxtGA"/>
        <w:rPr>
          <w:lang w:val="ar-SA" w:eastAsia="zh-TW" w:bidi="en-GB"/>
        </w:rPr>
      </w:pPr>
      <w:r w:rsidRPr="00AF3116">
        <w:rPr>
          <w:rtl/>
        </w:rPr>
        <w:t>137</w:t>
      </w:r>
      <w:r w:rsidRPr="001B6C67">
        <w:rPr>
          <w:rtl/>
        </w:rPr>
        <w:t>-</w:t>
      </w:r>
      <w:r w:rsidRPr="001B6C67">
        <w:rPr>
          <w:rtl/>
        </w:rPr>
        <w:tab/>
        <w:t>تنفذ تايلند، بوصفها بلداً ثنائياً، التزاماتها الدولية في مجال حقوق الإنسان من خلال وضع تشريعات وتدابير إدارية مناسبة لأن الصكوك الدولية لا تنطبق مباشرة على القانون المحلي التايلندي.</w:t>
      </w:r>
    </w:p>
    <w:p w14:paraId="048FD037" w14:textId="77777777" w:rsidR="00DE3D9F" w:rsidRPr="001B6C67" w:rsidRDefault="00DE3D9F" w:rsidP="00DE3D9F">
      <w:pPr>
        <w:pStyle w:val="SingleTxtGA"/>
        <w:rPr>
          <w:lang w:val="ar-SA" w:eastAsia="zh-TW" w:bidi="en-GB"/>
        </w:rPr>
      </w:pPr>
      <w:r w:rsidRPr="00AF3116">
        <w:rPr>
          <w:rtl/>
        </w:rPr>
        <w:t>138</w:t>
      </w:r>
      <w:r w:rsidRPr="001B6C67">
        <w:rPr>
          <w:rtl/>
        </w:rPr>
        <w:t>-</w:t>
      </w:r>
      <w:r w:rsidRPr="001B6C67">
        <w:rPr>
          <w:rtl/>
        </w:rPr>
        <w:tab/>
        <w:t xml:space="preserve">والحقوق المكرسة في المعاهدات الدولية الأساسية لحقوق الإنسان التي تُعد تايلند طرفاً فيها محمية إما بموجب الدستور أو القوانين. وقد أُبرِزَت في التقارير الدورية ذات الصلة الخاصة بمعاهدات محددة التفاصيل التي تبين أي تشريعات تضمن أي حقوق. </w:t>
      </w:r>
    </w:p>
    <w:p w14:paraId="1C3386A1" w14:textId="50BA89FC" w:rsidR="00DE3D9F" w:rsidRPr="001B6C67" w:rsidRDefault="00DE3D9F" w:rsidP="00DE3D9F">
      <w:pPr>
        <w:pStyle w:val="SingleTxtGA"/>
        <w:rPr>
          <w:lang w:val="ar-SA" w:eastAsia="zh-TW" w:bidi="en-GB"/>
        </w:rPr>
      </w:pPr>
      <w:r w:rsidRPr="00AF3116">
        <w:rPr>
          <w:rtl/>
        </w:rPr>
        <w:t>139</w:t>
      </w:r>
      <w:r w:rsidRPr="001B6C67">
        <w:rPr>
          <w:rtl/>
        </w:rPr>
        <w:t>-</w:t>
      </w:r>
      <w:r w:rsidRPr="001B6C67">
        <w:rPr>
          <w:rtl/>
        </w:rPr>
        <w:tab/>
        <w:t>وهناك أمثلة على حالات تقوم فيها المحاكم والسلطات الإدارية بالاحتجاج بصكوك حقوق الإنسان أو إنفاذها مباشرة. وعند تقرير ما إذا كان مكتب رئيس الوزراء يجب أن يدفع تعويضاً لضحية</w:t>
      </w:r>
      <w:r w:rsidR="00D55C97">
        <w:rPr>
          <w:rFonts w:hint="cs"/>
          <w:rtl/>
        </w:rPr>
        <w:t> </w:t>
      </w:r>
      <w:r w:rsidRPr="001B6C67">
        <w:rPr>
          <w:rtl/>
        </w:rPr>
        <w:t xml:space="preserve">التعذيب الذي ارتكبه أحد المسؤولين، قضت المحكمة الإدارية العليا في الحكم </w:t>
      </w:r>
      <w:r w:rsidRPr="00AF3116">
        <w:rPr>
          <w:rtl/>
        </w:rPr>
        <w:t>1350</w:t>
      </w:r>
      <w:r w:rsidRPr="001B6C67">
        <w:rPr>
          <w:rtl/>
        </w:rPr>
        <w:t>/</w:t>
      </w:r>
      <w:r w:rsidRPr="00AF3116">
        <w:rPr>
          <w:rtl/>
        </w:rPr>
        <w:t>2559</w:t>
      </w:r>
      <w:r w:rsidRPr="001B6C67">
        <w:rPr>
          <w:rtl/>
        </w:rPr>
        <w:t xml:space="preserve"> بأنه "بما أن تايلند طرف في اتفاقية مناهضة التعذيب وغيره من ضروب المعاملة أو العقوبة القاسية أو</w:t>
      </w:r>
      <w:r w:rsidR="00D55C97">
        <w:rPr>
          <w:rFonts w:hint="cs"/>
          <w:rtl/>
        </w:rPr>
        <w:t> </w:t>
      </w:r>
      <w:r w:rsidRPr="001B6C67">
        <w:rPr>
          <w:rtl/>
        </w:rPr>
        <w:t xml:space="preserve">اللاإنسانية أو المهينة بالانضمام إليها منذ </w:t>
      </w:r>
      <w:r w:rsidRPr="00AF3116">
        <w:rPr>
          <w:rtl/>
        </w:rPr>
        <w:t>2</w:t>
      </w:r>
      <w:r w:rsidRPr="001B6C67">
        <w:rPr>
          <w:rtl/>
        </w:rPr>
        <w:t xml:space="preserve"> تشرين الأول/أكتوبر </w:t>
      </w:r>
      <w:r w:rsidRPr="00AF3116">
        <w:rPr>
          <w:rtl/>
        </w:rPr>
        <w:t>2007</w:t>
      </w:r>
      <w:r w:rsidR="00D55C97">
        <w:rPr>
          <w:rFonts w:hint="cs"/>
          <w:rtl/>
        </w:rPr>
        <w:t xml:space="preserve"> </w:t>
      </w:r>
      <w:r w:rsidRPr="001B6C67">
        <w:rPr>
          <w:rtl/>
        </w:rPr>
        <w:t>...، فإنها ملزمة بالامتثال</w:t>
      </w:r>
      <w:r w:rsidR="00D55C97">
        <w:rPr>
          <w:rFonts w:hint="cs"/>
          <w:rtl/>
        </w:rPr>
        <w:t> </w:t>
      </w:r>
      <w:r w:rsidRPr="001B6C67">
        <w:rPr>
          <w:rtl/>
        </w:rPr>
        <w:t>للاتفاقية [...]".</w:t>
      </w:r>
    </w:p>
    <w:p w14:paraId="7FC08E40" w14:textId="3F999F8A" w:rsidR="00DE3D9F" w:rsidRPr="001B6C67" w:rsidRDefault="00DE3D9F" w:rsidP="00DE3D9F">
      <w:pPr>
        <w:pStyle w:val="SingleTxtGA"/>
        <w:rPr>
          <w:lang w:val="ar-SA" w:eastAsia="zh-TW" w:bidi="en-GB"/>
        </w:rPr>
      </w:pPr>
      <w:bookmarkStart w:id="30" w:name="_Ref45066201"/>
      <w:r w:rsidRPr="00AF3116">
        <w:rPr>
          <w:rtl/>
        </w:rPr>
        <w:lastRenderedPageBreak/>
        <w:t>140</w:t>
      </w:r>
      <w:r w:rsidRPr="001B6C67">
        <w:rPr>
          <w:rtl/>
        </w:rPr>
        <w:t>-</w:t>
      </w:r>
      <w:r w:rsidRPr="001B6C67">
        <w:rPr>
          <w:rtl/>
        </w:rPr>
        <w:tab/>
        <w:t xml:space="preserve">ويمكن العثور على مثال آخر في قضية نظرت فيها محكمة الاستئناف في عام </w:t>
      </w:r>
      <w:r w:rsidRPr="00AF3116">
        <w:rPr>
          <w:rtl/>
        </w:rPr>
        <w:t>2019</w:t>
      </w:r>
      <w:r w:rsidRPr="001B6C67">
        <w:rPr>
          <w:rtl/>
        </w:rPr>
        <w:t xml:space="preserve"> وقررت</w:t>
      </w:r>
      <w:r w:rsidR="007D3947">
        <w:rPr>
          <w:rFonts w:hint="cs"/>
          <w:rtl/>
        </w:rPr>
        <w:t> </w:t>
      </w:r>
      <w:r w:rsidRPr="001B6C67">
        <w:rPr>
          <w:rtl/>
        </w:rPr>
        <w:t>(</w:t>
      </w:r>
      <w:r w:rsidRPr="00AF3116">
        <w:rPr>
          <w:rtl/>
        </w:rPr>
        <w:t>18776</w:t>
      </w:r>
      <w:r w:rsidRPr="001B6C67">
        <w:rPr>
          <w:rtl/>
        </w:rPr>
        <w:t>/</w:t>
      </w:r>
      <w:r w:rsidRPr="00AF3116">
        <w:rPr>
          <w:rtl/>
        </w:rPr>
        <w:t>2561</w:t>
      </w:r>
      <w:r w:rsidRPr="001B6C67">
        <w:rPr>
          <w:rtl/>
        </w:rPr>
        <w:t>) أنه حتى لو لم يتم بعدُ الاعتراف، بموجب القانون التايلاندي، بالشراكة المدنية المسجلة في المملكة المتحدة بين المتوفى والمدعي (الذي طلب تعيينه من قبل المحكمة كمنفذ لوصية المتوفى)، فإن الاتفاق في حد ذاته لا يتعارض مع الحفاظ على النظام العام أو الأخلاق الحميدة في تايلاند. ويرجع ذلك جزئياً إلى أن تايلند تحترم مبدأ المساواة بموجب القانون وعدم التمييز على أساس النوع الاجتماعي وفقاً للإعلان العالمي لحقوق الإنسان.</w:t>
      </w:r>
      <w:bookmarkEnd w:id="30"/>
    </w:p>
    <w:p w14:paraId="191E1D32" w14:textId="77777777" w:rsidR="00DE3D9F" w:rsidRPr="001B6C67" w:rsidRDefault="00DE3D9F" w:rsidP="00883EBA">
      <w:pPr>
        <w:pStyle w:val="H1GA"/>
        <w:rPr>
          <w:lang w:val="ar-SA" w:eastAsia="zh-TW" w:bidi="en-GB"/>
        </w:rPr>
      </w:pPr>
      <w:r>
        <w:rPr>
          <w:rtl/>
        </w:rPr>
        <w:tab/>
      </w:r>
      <w:bookmarkStart w:id="31" w:name="_Toc92899419"/>
      <w:r w:rsidRPr="001B6C67">
        <w:rPr>
          <w:rtl/>
        </w:rPr>
        <w:t>جيم-</w:t>
      </w:r>
      <w:r w:rsidRPr="001B6C67">
        <w:rPr>
          <w:rtl/>
        </w:rPr>
        <w:tab/>
      </w:r>
      <w:r w:rsidRPr="00AF3116">
        <w:rPr>
          <w:rtl/>
        </w:rPr>
        <w:t>إطار تعزيز حقوق الإنسان على الصعيد الوطني</w:t>
      </w:r>
      <w:bookmarkStart w:id="32" w:name="_Toc89701538"/>
      <w:bookmarkEnd w:id="32"/>
      <w:bookmarkEnd w:id="31"/>
    </w:p>
    <w:p w14:paraId="3352C907"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البرلمانات والجمعيات الوطنية والإقليمية</w:t>
      </w:r>
    </w:p>
    <w:p w14:paraId="09F6DE6C" w14:textId="77777777" w:rsidR="00DE3D9F" w:rsidRPr="001B6C67" w:rsidRDefault="00DE3D9F" w:rsidP="00DE3D9F">
      <w:pPr>
        <w:pStyle w:val="SingleTxtGA"/>
        <w:rPr>
          <w:rFonts w:eastAsia="Cordia New"/>
          <w:lang w:val="ar-SA" w:eastAsia="zh-TW" w:bidi="en-GB"/>
        </w:rPr>
      </w:pPr>
      <w:r w:rsidRPr="00AF3116">
        <w:rPr>
          <w:rtl/>
        </w:rPr>
        <w:t>141</w:t>
      </w:r>
      <w:r w:rsidRPr="001B6C67">
        <w:rPr>
          <w:rtl/>
        </w:rPr>
        <w:t>-</w:t>
      </w:r>
      <w:r w:rsidRPr="001B6C67">
        <w:rPr>
          <w:rtl/>
        </w:rPr>
        <w:tab/>
        <w:t xml:space="preserve">البرلمان هو الجهاز الرئيسي في العملية التشريعية التايلاندية (انظر الفقرات </w:t>
      </w:r>
      <w:r w:rsidRPr="00AF3116">
        <w:rPr>
          <w:rtl/>
        </w:rPr>
        <w:t>37</w:t>
      </w:r>
      <w:r w:rsidRPr="001B6C67">
        <w:rPr>
          <w:rtl/>
        </w:rPr>
        <w:t>-</w:t>
      </w:r>
      <w:r w:rsidRPr="00AF3116">
        <w:rPr>
          <w:rtl/>
        </w:rPr>
        <w:t>40</w:t>
      </w:r>
      <w:r w:rsidRPr="001B6C67">
        <w:rPr>
          <w:rtl/>
        </w:rPr>
        <w:t>). وقد اتت هذه العملية بمشاريع قوانين تعزز حقوق الإنسان وتحميها في تايلند. ويحق لمجلس الوزراء وأعضاء المجلسين والناخبين المؤهلين تقديم مشروع قانون إلى البرلمان لينظر فيه.</w:t>
      </w:r>
    </w:p>
    <w:p w14:paraId="5EBF96A5" w14:textId="77777777" w:rsidR="00DE3D9F" w:rsidRPr="001B6C67" w:rsidRDefault="00DE3D9F" w:rsidP="00DE3D9F">
      <w:pPr>
        <w:pStyle w:val="SingleTxtGA"/>
        <w:rPr>
          <w:rFonts w:eastAsia="Cordia New"/>
          <w:lang w:val="ar-SA" w:eastAsia="zh-TW" w:bidi="en-GB"/>
        </w:rPr>
      </w:pPr>
      <w:r w:rsidRPr="00AF3116">
        <w:rPr>
          <w:rtl/>
        </w:rPr>
        <w:t>142</w:t>
      </w:r>
      <w:r w:rsidRPr="001B6C67">
        <w:rPr>
          <w:rtl/>
        </w:rPr>
        <w:t>-</w:t>
      </w:r>
      <w:r w:rsidRPr="001B6C67">
        <w:rPr>
          <w:rtl/>
        </w:rPr>
        <w:tab/>
        <w:t xml:space="preserve">وكما ورد في الفقرة </w:t>
      </w:r>
      <w:r w:rsidRPr="00AF3116">
        <w:rPr>
          <w:rtl/>
        </w:rPr>
        <w:t>84</w:t>
      </w:r>
      <w:r w:rsidRPr="001B6C67">
        <w:rPr>
          <w:rtl/>
        </w:rPr>
        <w:t xml:space="preserve">، تنشئ المادة </w:t>
      </w:r>
      <w:r w:rsidRPr="00AF3116">
        <w:rPr>
          <w:rtl/>
        </w:rPr>
        <w:t>77</w:t>
      </w:r>
      <w:r w:rsidRPr="001B6C67">
        <w:rPr>
          <w:rtl/>
        </w:rPr>
        <w:t xml:space="preserve"> من دستور عام </w:t>
      </w:r>
      <w:r w:rsidRPr="00AF3116">
        <w:rPr>
          <w:rtl/>
        </w:rPr>
        <w:t>2017</w:t>
      </w:r>
      <w:r w:rsidRPr="001B6C67">
        <w:rPr>
          <w:rtl/>
        </w:rPr>
        <w:t xml:space="preserve"> آلية جديدة للتشاور العام مع أصحاب المصلحة في عملية وضع القوانين. ويجب أن تجرى هذه المشاورات قبل سن كل قانون وكذلك بعد دخول القانون حيز النفاذ كتقييم لمدى ملاءمة القانون في ظل السياقات الاجتماعية المتغيرة.</w:t>
      </w:r>
    </w:p>
    <w:p w14:paraId="770327BB"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المؤسّسة الوطنية لحقوق الإنسان</w:t>
      </w:r>
    </w:p>
    <w:p w14:paraId="4F18316F" w14:textId="00397567" w:rsidR="00DE3D9F" w:rsidRPr="001B6C67" w:rsidRDefault="00DE3D9F" w:rsidP="00DE3D9F">
      <w:pPr>
        <w:pStyle w:val="SingleTxtGA"/>
        <w:rPr>
          <w:lang w:val="ar-SA" w:eastAsia="zh-TW" w:bidi="en-GB"/>
        </w:rPr>
      </w:pPr>
      <w:r w:rsidRPr="00AF3116">
        <w:rPr>
          <w:rtl/>
        </w:rPr>
        <w:t>143</w:t>
      </w:r>
      <w:r w:rsidRPr="001B6C67">
        <w:rPr>
          <w:rtl/>
        </w:rPr>
        <w:t>-</w:t>
      </w:r>
      <w:r w:rsidRPr="001B6C67">
        <w:rPr>
          <w:rtl/>
        </w:rPr>
        <w:tab/>
        <w:t>تتوافق واجبات وصلاحيات اللجنة الوطنية لحقوق الإنسان في تعزيز وحماية حقوق الإنسان مع</w:t>
      </w:r>
      <w:r w:rsidR="00535610">
        <w:rPr>
          <w:rFonts w:hint="cs"/>
          <w:rtl/>
        </w:rPr>
        <w:t> </w:t>
      </w:r>
      <w:r w:rsidRPr="001B6C67">
        <w:rPr>
          <w:rtl/>
        </w:rPr>
        <w:t xml:space="preserve">الفقرة </w:t>
      </w:r>
      <w:r w:rsidRPr="00AF3116">
        <w:rPr>
          <w:rtl/>
        </w:rPr>
        <w:t>1</w:t>
      </w:r>
      <w:r w:rsidRPr="001B6C67">
        <w:rPr>
          <w:rtl/>
        </w:rPr>
        <w:t xml:space="preserve"> من المادة </w:t>
      </w:r>
      <w:r w:rsidRPr="00AF3116">
        <w:rPr>
          <w:rtl/>
        </w:rPr>
        <w:t>247</w:t>
      </w:r>
      <w:r w:rsidRPr="001B6C67">
        <w:rPr>
          <w:rtl/>
        </w:rPr>
        <w:t xml:space="preserve"> من دستور عام </w:t>
      </w:r>
      <w:r w:rsidRPr="00AF3116">
        <w:rPr>
          <w:rtl/>
        </w:rPr>
        <w:t>2017</w:t>
      </w:r>
      <w:r w:rsidRPr="001B6C67">
        <w:rPr>
          <w:rtl/>
        </w:rPr>
        <w:t xml:space="preserve"> والمواد </w:t>
      </w:r>
      <w:r w:rsidRPr="00AF3116">
        <w:rPr>
          <w:rtl/>
        </w:rPr>
        <w:t>26</w:t>
      </w:r>
      <w:r w:rsidRPr="001B6C67">
        <w:rPr>
          <w:rtl/>
        </w:rPr>
        <w:t>-</w:t>
      </w:r>
      <w:r w:rsidRPr="00AF3116">
        <w:rPr>
          <w:rtl/>
        </w:rPr>
        <w:t>27</w:t>
      </w:r>
      <w:r w:rsidRPr="001B6C67">
        <w:rPr>
          <w:rtl/>
        </w:rPr>
        <w:t xml:space="preserve"> و</w:t>
      </w:r>
      <w:r w:rsidRPr="00AF3116">
        <w:rPr>
          <w:rtl/>
        </w:rPr>
        <w:t>34</w:t>
      </w:r>
      <w:r w:rsidRPr="001B6C67">
        <w:rPr>
          <w:rtl/>
        </w:rPr>
        <w:t>-</w:t>
      </w:r>
      <w:r w:rsidRPr="00AF3116">
        <w:rPr>
          <w:rtl/>
        </w:rPr>
        <w:t>46</w:t>
      </w:r>
      <w:r w:rsidRPr="001B6C67">
        <w:rPr>
          <w:rtl/>
        </w:rPr>
        <w:t xml:space="preserve"> من القانون الأساسي (انظر أيضاً الفقرة </w:t>
      </w:r>
      <w:r w:rsidRPr="00AF3116">
        <w:rPr>
          <w:rtl/>
        </w:rPr>
        <w:t>55</w:t>
      </w:r>
      <w:r w:rsidRPr="001B6C67">
        <w:rPr>
          <w:rtl/>
        </w:rPr>
        <w:t xml:space="preserve">). </w:t>
      </w:r>
    </w:p>
    <w:p w14:paraId="6E2D5CF1" w14:textId="77777777" w:rsidR="00DE3D9F" w:rsidRPr="001B6C67" w:rsidRDefault="00DE3D9F" w:rsidP="00DE3D9F">
      <w:pPr>
        <w:pStyle w:val="SingleTxtGA"/>
        <w:rPr>
          <w:lang w:val="ar-SA" w:eastAsia="zh-TW" w:bidi="en-GB"/>
        </w:rPr>
      </w:pPr>
      <w:r w:rsidRPr="00AF3116">
        <w:rPr>
          <w:rtl/>
        </w:rPr>
        <w:t>144</w:t>
      </w:r>
      <w:r w:rsidRPr="001B6C67">
        <w:rPr>
          <w:rtl/>
        </w:rPr>
        <w:t>-</w:t>
      </w:r>
      <w:r w:rsidRPr="001B6C67">
        <w:rPr>
          <w:rtl/>
        </w:rPr>
        <w:tab/>
        <w:t xml:space="preserve">وتُنفَّذ المهام الترويجية للجنة عن طريق زيادة الوعي بمعايير وقضايا حقوق الإنسان، وكذلك من خلال برامج </w:t>
      </w:r>
      <w:r>
        <w:rPr>
          <w:rtl/>
        </w:rPr>
        <w:t>ا</w:t>
      </w:r>
      <w:r w:rsidRPr="001B6C67">
        <w:rPr>
          <w:rtl/>
        </w:rPr>
        <w:t>لتدريس والبحث، وعن طريق مخاطبة الرأي العام.</w:t>
      </w:r>
    </w:p>
    <w:p w14:paraId="5D537FC9"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صكوك الأمم المتحدة الرئيسية لحقوق الإنسان</w:t>
      </w:r>
    </w:p>
    <w:p w14:paraId="675A3422" w14:textId="77777777" w:rsidR="00DE3D9F" w:rsidRPr="001B6C67" w:rsidRDefault="00DE3D9F" w:rsidP="00DE3D9F">
      <w:pPr>
        <w:pStyle w:val="SingleTxtGA"/>
        <w:rPr>
          <w:lang w:val="ar-SA" w:eastAsia="zh-TW" w:bidi="en-GB"/>
        </w:rPr>
      </w:pPr>
      <w:r w:rsidRPr="00AF3116">
        <w:rPr>
          <w:rtl/>
        </w:rPr>
        <w:t>145</w:t>
      </w:r>
      <w:r w:rsidRPr="001B6C67">
        <w:rPr>
          <w:rtl/>
        </w:rPr>
        <w:t>-</w:t>
      </w:r>
      <w:r w:rsidRPr="001B6C67">
        <w:rPr>
          <w:rtl/>
        </w:rPr>
        <w:tab/>
        <w:t>تُرجِمَت جميع الصكوك الدولية لحقوق الإنسان التي أصبحت تايلند طرفاً فيها ونُشِرَت ووُزِّعَت على عامة الجمهور.</w:t>
      </w:r>
    </w:p>
    <w:p w14:paraId="0A8EEEB2"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إذكاء الوعي بحقوق الإنسان بين الموظفين الحكوميين وغيرهم من المهنيين</w:t>
      </w:r>
    </w:p>
    <w:p w14:paraId="2867DD2F" w14:textId="06054D74" w:rsidR="00DE3D9F" w:rsidRPr="001B6C67" w:rsidRDefault="00DE3D9F" w:rsidP="00DE3D9F">
      <w:pPr>
        <w:pStyle w:val="SingleTxtGA"/>
        <w:rPr>
          <w:lang w:val="ar-SA" w:eastAsia="zh-TW" w:bidi="en-GB"/>
        </w:rPr>
      </w:pPr>
      <w:r w:rsidRPr="00AF3116">
        <w:rPr>
          <w:rtl/>
        </w:rPr>
        <w:t>146</w:t>
      </w:r>
      <w:r w:rsidRPr="001B6C67">
        <w:rPr>
          <w:rtl/>
        </w:rPr>
        <w:t>-</w:t>
      </w:r>
      <w:r w:rsidRPr="001B6C67">
        <w:rPr>
          <w:rtl/>
        </w:rPr>
        <w:tab/>
        <w:t xml:space="preserve">عملت وكالات ومؤسسات مختلفة على إذكاء الوعي بحقوق الإنسان بين الموظفين العموميين، بمن فيهم موظفو إنفاذ القانون والمدعون العامون والقضاة وموظفو الإصلاحيات </w:t>
      </w:r>
      <w:proofErr w:type="spellStart"/>
      <w:r w:rsidRPr="001B6C67">
        <w:rPr>
          <w:rtl/>
        </w:rPr>
        <w:t>والموظفو</w:t>
      </w:r>
      <w:proofErr w:type="spellEnd"/>
      <w:r w:rsidRPr="001B6C67">
        <w:rPr>
          <w:rtl/>
        </w:rPr>
        <w:t xml:space="preserve"> المعنيون بحماية الطفل، فضلاً عن مهنيين آخرين في تايلند. ونُظِّمت اجتماعات وحلقات عمل وتدريب</w:t>
      </w:r>
      <w:r>
        <w:rPr>
          <w:rtl/>
        </w:rPr>
        <w:t>ات</w:t>
      </w:r>
      <w:r w:rsidRPr="001B6C67">
        <w:rPr>
          <w:rtl/>
        </w:rPr>
        <w:t xml:space="preserve"> وحلقات دراسية ومحاضرات ومنشورات لنشر المعلومات عن المعايير والقواعد الدولية لحقوق الإنسان وتعزيزها </w:t>
      </w:r>
      <w:r w:rsidRPr="00535610">
        <w:rPr>
          <w:spacing w:val="-4"/>
          <w:rtl/>
        </w:rPr>
        <w:t>وتيسير تبادل الخبرات بين الوكالات التايلندية والقطاع الخاص ومنظمات المجتمع المدني، بما في ذلك الأوساط</w:t>
      </w:r>
      <w:r w:rsidR="00535610">
        <w:rPr>
          <w:rFonts w:hint="cs"/>
          <w:spacing w:val="-4"/>
          <w:rtl/>
        </w:rPr>
        <w:t> </w:t>
      </w:r>
      <w:r w:rsidRPr="00535610">
        <w:rPr>
          <w:spacing w:val="-4"/>
          <w:rtl/>
        </w:rPr>
        <w:t>الأكاديمية ووسائط الإعلام والمنظمات الدولية ذات الصلة وعامة الجمهور. وساعد المجتمع</w:t>
      </w:r>
      <w:r w:rsidRPr="001B6C67">
        <w:rPr>
          <w:rtl/>
        </w:rPr>
        <w:t xml:space="preserve"> </w:t>
      </w:r>
      <w:r w:rsidRPr="00535610">
        <w:rPr>
          <w:spacing w:val="-4"/>
          <w:rtl/>
        </w:rPr>
        <w:t>الدولي (مثل هيئة الأمم المتحدة للمرأة واليونيسيف وبرنامج الأمم المتحدة الإنمائي واللجنة الدولية للصليب الأحمر)</w:t>
      </w:r>
      <w:r w:rsidRPr="001B6C67">
        <w:rPr>
          <w:rtl/>
        </w:rPr>
        <w:t xml:space="preserve"> أيضاً في تشكيل البرامج وفقاً للمعايير الدولية. </w:t>
      </w:r>
    </w:p>
    <w:p w14:paraId="339D2898" w14:textId="77777777" w:rsidR="00DE3D9F" w:rsidRPr="001B6C67" w:rsidRDefault="00DE3D9F" w:rsidP="00DE3D9F">
      <w:pPr>
        <w:pStyle w:val="SingleTxtGA"/>
        <w:rPr>
          <w:lang w:val="ar-SA" w:eastAsia="zh-TW" w:bidi="en-GB"/>
        </w:rPr>
      </w:pPr>
      <w:r w:rsidRPr="00AF3116">
        <w:rPr>
          <w:rtl/>
        </w:rPr>
        <w:t>147</w:t>
      </w:r>
      <w:r w:rsidRPr="001B6C67">
        <w:rPr>
          <w:rtl/>
        </w:rPr>
        <w:t>-</w:t>
      </w:r>
      <w:r w:rsidRPr="001B6C67">
        <w:rPr>
          <w:rtl/>
        </w:rPr>
        <w:tab/>
        <w:t xml:space="preserve">ومن الأمثلة على برامج </w:t>
      </w:r>
      <w:r>
        <w:rPr>
          <w:rtl/>
        </w:rPr>
        <w:t>إذكاء الوعي</w:t>
      </w:r>
      <w:r w:rsidRPr="001B6C67">
        <w:rPr>
          <w:rtl/>
        </w:rPr>
        <w:t xml:space="preserve"> ما يلي:</w:t>
      </w:r>
    </w:p>
    <w:p w14:paraId="2F2B24DD" w14:textId="77777777" w:rsidR="00DE3D9F" w:rsidRPr="001B6C67" w:rsidRDefault="00DE3D9F" w:rsidP="00883EBA">
      <w:pPr>
        <w:pStyle w:val="SingleTxtGA"/>
        <w:numPr>
          <w:ilvl w:val="0"/>
          <w:numId w:val="31"/>
        </w:numPr>
        <w:tabs>
          <w:tab w:val="clear" w:pos="1928"/>
          <w:tab w:val="left" w:pos="1982"/>
        </w:tabs>
        <w:rPr>
          <w:lang w:val="ar-SA" w:eastAsia="zh-TW" w:bidi="en-GB"/>
        </w:rPr>
      </w:pPr>
      <w:r w:rsidRPr="001B6C67">
        <w:rPr>
          <w:rtl/>
        </w:rPr>
        <w:lastRenderedPageBreak/>
        <w:t xml:space="preserve">بين عامي </w:t>
      </w:r>
      <w:r w:rsidRPr="00AF3116">
        <w:rPr>
          <w:rtl/>
        </w:rPr>
        <w:t>2015</w:t>
      </w:r>
      <w:r w:rsidRPr="001B6C67">
        <w:rPr>
          <w:rtl/>
        </w:rPr>
        <w:t xml:space="preserve"> و</w:t>
      </w:r>
      <w:r w:rsidRPr="00AF3116">
        <w:rPr>
          <w:rtl/>
        </w:rPr>
        <w:t>2019</w:t>
      </w:r>
      <w:r w:rsidRPr="001B6C67">
        <w:rPr>
          <w:rtl/>
        </w:rPr>
        <w:t>، نظمت إدارة حماية الحقوق والحريات التابعة لوزارة العدل تدريباً على مبادئ حقوق الإنسان المتعلقة بإنفاذ القانون لفائدة المسؤولين الحكوميين المعنيين من أجل تعزيز فهمهم لحقوق الإنسان، بما في ذلك التزامات تايلاند بموجب المعاهدات الدولية لحقوق الإنسان، بغية تقليل خطر انتهاكات حقوق الإنسان أثناء أدائهم لواجباتهم الرسمية وتعزيز فعالية تنفيذ القوانين واللوائح وتطبيقها؛</w:t>
      </w:r>
    </w:p>
    <w:p w14:paraId="2531FD5E" w14:textId="77777777" w:rsidR="00DE3D9F" w:rsidRPr="001B6C67" w:rsidRDefault="00DE3D9F" w:rsidP="00883EBA">
      <w:pPr>
        <w:pStyle w:val="SingleTxtGA"/>
        <w:numPr>
          <w:ilvl w:val="0"/>
          <w:numId w:val="31"/>
        </w:numPr>
        <w:tabs>
          <w:tab w:val="clear" w:pos="1928"/>
          <w:tab w:val="left" w:pos="1982"/>
        </w:tabs>
        <w:rPr>
          <w:lang w:val="ar-SA" w:eastAsia="zh-TW" w:bidi="en-GB"/>
        </w:rPr>
      </w:pPr>
      <w:r w:rsidRPr="001B6C67">
        <w:rPr>
          <w:rtl/>
        </w:rPr>
        <w:t xml:space="preserve">منذ عام </w:t>
      </w:r>
      <w:r w:rsidRPr="00AF3116">
        <w:rPr>
          <w:rtl/>
        </w:rPr>
        <w:t>2018</w:t>
      </w:r>
      <w:r w:rsidRPr="001B6C67">
        <w:rPr>
          <w:rtl/>
        </w:rPr>
        <w:t>، نظمت وزارة الخارجية</w:t>
      </w:r>
      <w:r>
        <w:rPr>
          <w:rtl/>
        </w:rPr>
        <w:t>،</w:t>
      </w:r>
      <w:r w:rsidRPr="001B6C67">
        <w:rPr>
          <w:rtl/>
        </w:rPr>
        <w:t xml:space="preserve"> بالتعاون مع المفوضية السامية لحقوق الإنسان</w:t>
      </w:r>
      <w:r>
        <w:rPr>
          <w:rtl/>
        </w:rPr>
        <w:t>،</w:t>
      </w:r>
      <w:r w:rsidRPr="001B6C67">
        <w:rPr>
          <w:rtl/>
        </w:rPr>
        <w:t xml:space="preserve"> حلقة عمل سنوية لبناء القدرات بشأن تقديم التقارير لهيئات معاهدات حقوق الإنسان لفائدة المسؤولين الحكوميين المكلفين بإعداد التقارير الوطنية للبلد بموجب الصكوك الدولية الأساسية لحقوق الإنسان. وتشمل أهداف حلقة العمل تعزيز قدرات الموظفين، لا سيما من خلال زيادة الوعي والفهم وتطوير المهارات اللازمة لصياغة وتقديم تقرير وطني؛</w:t>
      </w:r>
    </w:p>
    <w:p w14:paraId="09D1B2C7" w14:textId="77777777" w:rsidR="00DE3D9F" w:rsidRPr="001B6C67" w:rsidRDefault="00DE3D9F" w:rsidP="00883EBA">
      <w:pPr>
        <w:pStyle w:val="SingleTxtGA"/>
        <w:numPr>
          <w:ilvl w:val="0"/>
          <w:numId w:val="31"/>
        </w:numPr>
        <w:tabs>
          <w:tab w:val="clear" w:pos="1928"/>
          <w:tab w:val="left" w:pos="1982"/>
        </w:tabs>
        <w:rPr>
          <w:lang w:val="ar-SA" w:eastAsia="zh-TW" w:bidi="en-GB"/>
        </w:rPr>
      </w:pPr>
      <w:r w:rsidRPr="001B6C67">
        <w:rPr>
          <w:rtl/>
        </w:rPr>
        <w:t xml:space="preserve">يقدم مكتب لجنة الخدمة المدنية دورة تدريبية في مجال حقوق الإنسان الأساسية تدرس ذاتياً لمدة شهرين من خلال منصة للتعلم الإلكتروني للعاملين في الخدمة المدنية والموظفين. ويحضر هذه الدورة التدريبية كل عام نحو </w:t>
      </w:r>
      <w:r w:rsidRPr="00AF3116">
        <w:rPr>
          <w:rtl/>
        </w:rPr>
        <w:t>600</w:t>
      </w:r>
      <w:r w:rsidRPr="001B6C67">
        <w:rPr>
          <w:rtl/>
        </w:rPr>
        <w:t xml:space="preserve"> مشارك. </w:t>
      </w:r>
    </w:p>
    <w:p w14:paraId="4CC4358A" w14:textId="77777777" w:rsidR="00DE3D9F" w:rsidRPr="001B6C67" w:rsidRDefault="00DE3D9F" w:rsidP="00DE3D9F">
      <w:pPr>
        <w:pStyle w:val="SingleTxtGA"/>
        <w:rPr>
          <w:lang w:val="ar-SA" w:eastAsia="zh-TW" w:bidi="en-GB"/>
        </w:rPr>
      </w:pPr>
      <w:r w:rsidRPr="00AF3116">
        <w:rPr>
          <w:rtl/>
        </w:rPr>
        <w:t>148</w:t>
      </w:r>
      <w:r w:rsidRPr="001B6C67">
        <w:rPr>
          <w:rtl/>
        </w:rPr>
        <w:t>-</w:t>
      </w:r>
      <w:r w:rsidRPr="001B6C67">
        <w:rPr>
          <w:rtl/>
        </w:rPr>
        <w:tab/>
        <w:t>وفيما يخص المهنيين القانونيين، تُعدّ وحدة حقوق الإنسان مادة إلزامية لمن يحضرون امتحان نقابة المحامين. وهذا الموضوع متاح أيضاً في معظم كليات الحقوق في جميع أنحاء البلد.</w:t>
      </w:r>
    </w:p>
    <w:p w14:paraId="1E46C048"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تعزيز الوعي بحقوق الإنسان عن طريق البرامج التعليمية والإعلام الذي ترعاه الحكومة</w:t>
      </w:r>
    </w:p>
    <w:p w14:paraId="1B4B5922" w14:textId="77777777" w:rsidR="00DE3D9F" w:rsidRPr="001B6C67" w:rsidRDefault="00DE3D9F" w:rsidP="00DE3D9F">
      <w:pPr>
        <w:pStyle w:val="SingleTxtGA"/>
        <w:rPr>
          <w:lang w:val="ar-SA" w:eastAsia="zh-TW" w:bidi="en-GB"/>
        </w:rPr>
      </w:pPr>
      <w:r w:rsidRPr="00AF3116">
        <w:rPr>
          <w:rtl/>
        </w:rPr>
        <w:t>149</w:t>
      </w:r>
      <w:r w:rsidRPr="001B6C67">
        <w:rPr>
          <w:rtl/>
        </w:rPr>
        <w:t>-</w:t>
      </w:r>
      <w:r w:rsidRPr="001B6C67">
        <w:rPr>
          <w:rtl/>
        </w:rPr>
        <w:tab/>
        <w:t>تم تنظيم التثقيف العام بشأن حقوق الإنسان من خلال التعلم الرسمي وغير الرسمي والتدريب والحلقات الدراسية. ووُضِعَت مناهج للتعليم والتعلّم لتوعية المعلمين والعاملين في مجال التعليم، والمسؤولين من المنظمات الإدارية المحلية</w:t>
      </w:r>
      <w:r>
        <w:rPr>
          <w:rtl/>
        </w:rPr>
        <w:t>،</w:t>
      </w:r>
      <w:r w:rsidRPr="001B6C67">
        <w:rPr>
          <w:rtl/>
        </w:rPr>
        <w:t xml:space="preserve"> والمتطوعين في مجال حقوق الإنسان. </w:t>
      </w:r>
    </w:p>
    <w:p w14:paraId="34A73210" w14:textId="77777777" w:rsidR="00DE3D9F" w:rsidRPr="001B6C67" w:rsidRDefault="00DE3D9F" w:rsidP="00DE3D9F">
      <w:pPr>
        <w:pStyle w:val="SingleTxtGA"/>
        <w:rPr>
          <w:lang w:val="ar-SA" w:eastAsia="zh-TW" w:bidi="en-GB"/>
        </w:rPr>
      </w:pPr>
      <w:r w:rsidRPr="00AF3116">
        <w:rPr>
          <w:rtl/>
        </w:rPr>
        <w:t>150</w:t>
      </w:r>
      <w:r w:rsidRPr="001B6C67">
        <w:rPr>
          <w:rtl/>
        </w:rPr>
        <w:t>-</w:t>
      </w:r>
      <w:r w:rsidRPr="001B6C67">
        <w:rPr>
          <w:rtl/>
        </w:rPr>
        <w:tab/>
        <w:t xml:space="preserve">وتؤدي وزارة التعليم دوراً رئيسياً في تعزيز وتنمية القيم الاجتماعية مثل الرعاية والاحترام والمسؤولية والسلام والوئام والتعايش السلمي في المدارس. وتؤكد سياساتها التعليمية على أهمية نشر المعرفة بشأن حقوق الإنسان وما يتصل بها من معلومات وتعليم. وتنعكس هذه السياسات في المناهج التعليمية للمدارس، ولا سيما في الدراسات الاجتماعية. وللحماية من تطور مظاهر التحيز والقوالب النمطية الضارة، يتعلم الطلاب احترام التعددية الثقافية والاحتفال بها، بما في ذلك من خلال </w:t>
      </w:r>
      <w:r>
        <w:rPr>
          <w:rtl/>
        </w:rPr>
        <w:t>منصات</w:t>
      </w:r>
      <w:r w:rsidRPr="001B6C67">
        <w:rPr>
          <w:rtl/>
        </w:rPr>
        <w:t xml:space="preserve"> تعلم من قبيل الألعاب والمشاريع الطلابية والمخيمات المدرسية والرحلات الميدانية إلى المتاحف والمواقع الأثرية. </w:t>
      </w:r>
    </w:p>
    <w:p w14:paraId="0D3858F2" w14:textId="77777777" w:rsidR="00DE3D9F" w:rsidRPr="001B6C67" w:rsidRDefault="00DE3D9F" w:rsidP="00DE3D9F">
      <w:pPr>
        <w:pStyle w:val="SingleTxtGA"/>
        <w:rPr>
          <w:lang w:val="ar-SA" w:eastAsia="zh-TW" w:bidi="en-GB"/>
        </w:rPr>
      </w:pPr>
      <w:r w:rsidRPr="00AF3116">
        <w:rPr>
          <w:rtl/>
        </w:rPr>
        <w:t>151</w:t>
      </w:r>
      <w:r w:rsidRPr="001B6C67">
        <w:rPr>
          <w:rtl/>
        </w:rPr>
        <w:t>-</w:t>
      </w:r>
      <w:r w:rsidRPr="001B6C67">
        <w:rPr>
          <w:rtl/>
        </w:rPr>
        <w:tab/>
        <w:t>وبالإضافة إلى ذلك، نفذت وزارة التعليم استراتيجيات وخططاً ومشاريع محددة لتلبية الاحتياجات الخاصة للأطفال والأشخاص من أصل إثني في تايلند بطريقة شاملة، مثل "خطة التنمية التعليمية في المنطقة الحدودية (</w:t>
      </w:r>
      <w:r w:rsidRPr="00AF3116">
        <w:rPr>
          <w:rtl/>
        </w:rPr>
        <w:t>2017</w:t>
      </w:r>
      <w:r w:rsidRPr="001B6C67">
        <w:rPr>
          <w:rtl/>
        </w:rPr>
        <w:t>-</w:t>
      </w:r>
      <w:r w:rsidRPr="00AF3116">
        <w:rPr>
          <w:rtl/>
        </w:rPr>
        <w:t>2021</w:t>
      </w:r>
      <w:r w:rsidRPr="001B6C67">
        <w:rPr>
          <w:rtl/>
        </w:rPr>
        <w:t>)</w:t>
      </w:r>
      <w:r w:rsidRPr="00883EBA">
        <w:rPr>
          <w:rFonts w:ascii="Simplified Arabic" w:hAnsi="Simplified Arabic"/>
        </w:rPr>
        <w:t>"</w:t>
      </w:r>
      <w:r w:rsidRPr="001B6C67">
        <w:rPr>
          <w:rtl/>
        </w:rPr>
        <w:t>، التي تهدف إلى تحسين التعليم ونوعية حياة الطلاب وطلاب الجامعات والأشخاص الذين يعيشون في المناطق الحدودية المتصلة بميانمار وجمهورية لاو الديمقراطية الشعبية وكمبوديا.</w:t>
      </w:r>
    </w:p>
    <w:p w14:paraId="45B8FA2E" w14:textId="3905483E" w:rsidR="00DE3D9F" w:rsidRPr="001B6C67" w:rsidRDefault="00DE3D9F" w:rsidP="00DE3D9F">
      <w:pPr>
        <w:pStyle w:val="SingleTxtGA"/>
        <w:rPr>
          <w:lang w:val="ar-SA" w:eastAsia="zh-TW" w:bidi="en-GB"/>
        </w:rPr>
      </w:pPr>
      <w:r w:rsidRPr="00AF3116">
        <w:rPr>
          <w:rtl/>
        </w:rPr>
        <w:t>152</w:t>
      </w:r>
      <w:r w:rsidRPr="001B6C67">
        <w:rPr>
          <w:rtl/>
        </w:rPr>
        <w:t>-</w:t>
      </w:r>
      <w:r w:rsidRPr="001B6C67">
        <w:rPr>
          <w:rtl/>
        </w:rPr>
        <w:tab/>
        <w:t>وشرعت الحكومة في "مشروع مدارس الشراكة بين القطاعين العام والخاص" باستخدام نهج شامل ومتكامل للأطفال، ولا سيما الأطفال ذوي الدخل المنخفض أو المحرومين أو الضعفاء، وكذلك</w:t>
      </w:r>
      <w:r w:rsidR="00883EBA">
        <w:rPr>
          <w:rFonts w:hint="cs"/>
          <w:rtl/>
        </w:rPr>
        <w:t> </w:t>
      </w:r>
      <w:r w:rsidRPr="001B6C67">
        <w:rPr>
          <w:rtl/>
        </w:rPr>
        <w:t>الأيتام.</w:t>
      </w:r>
    </w:p>
    <w:p w14:paraId="64628E60" w14:textId="77777777" w:rsidR="00DE3D9F" w:rsidRPr="001B6C67" w:rsidRDefault="00DE3D9F" w:rsidP="00DE3D9F">
      <w:pPr>
        <w:pStyle w:val="SingleTxtGA"/>
        <w:rPr>
          <w:lang w:val="ar-SA" w:eastAsia="zh-TW" w:bidi="en-GB"/>
        </w:rPr>
      </w:pPr>
      <w:r w:rsidRPr="00AF3116">
        <w:rPr>
          <w:rtl/>
        </w:rPr>
        <w:t>153</w:t>
      </w:r>
      <w:r w:rsidRPr="001B6C67">
        <w:rPr>
          <w:rtl/>
        </w:rPr>
        <w:t>-</w:t>
      </w:r>
      <w:r w:rsidRPr="001B6C67">
        <w:rPr>
          <w:rtl/>
        </w:rPr>
        <w:tab/>
        <w:t xml:space="preserve">وما برحت وزارة العدل تنظم حلقات عمل لتعزيز مبادئ حقوق الإنسان بين الشباب. وركزت حلقات العمل على مبادئ المساواة وعدم التمييز والتنوع الثقافي والتعددية الثقافية، بما في ذلك من خلال استراتيجيات تعلم من قبيل تيسير المناقشات والحوارات التفاعلية والفنون والموسيقى والألعاب. وبالإضافة </w:t>
      </w:r>
      <w:r w:rsidRPr="001B6C67">
        <w:rPr>
          <w:rtl/>
        </w:rPr>
        <w:lastRenderedPageBreak/>
        <w:t xml:space="preserve">إلى ذلك، شرعت وزارة العدل، في إطار شراكة مع جهات حكومية وغير حكومية، في "مشروع المدارس المدعومة بالعدالة"، وهو برنامج خارج المناهج الدراسية للشباب من أجل تعزيز مشاركتهم في صياغة القواعد التي تؤثر على حياتهم اليومية في المدارس، بما في ذلك قواعد معالجة قضايا التنمر وتعاطي المخدرات. ويتعلم الطلاب احترام حقوق الآخرين والالتزام بالقواعد التي وضعوها. وفي الوقت الراهن، شاركت في هذا المشروع أكثر من </w:t>
      </w:r>
      <w:r w:rsidRPr="00AF3116">
        <w:rPr>
          <w:rtl/>
        </w:rPr>
        <w:t>850</w:t>
      </w:r>
      <w:r w:rsidRPr="001B6C67">
        <w:rPr>
          <w:rtl/>
        </w:rPr>
        <w:t xml:space="preserve"> مدرسة ابتدائية وثانوية رائدة في جميع أنحاء البلد.</w:t>
      </w:r>
    </w:p>
    <w:p w14:paraId="33FCE6A5" w14:textId="32784052" w:rsidR="00DE3D9F" w:rsidRPr="001B6C67" w:rsidRDefault="00DE3D9F" w:rsidP="00DE3D9F">
      <w:pPr>
        <w:pStyle w:val="SingleTxtGA"/>
        <w:rPr>
          <w:lang w:val="ar-SA" w:eastAsia="zh-TW" w:bidi="en-GB"/>
        </w:rPr>
      </w:pPr>
      <w:r w:rsidRPr="00AF3116">
        <w:rPr>
          <w:rtl/>
        </w:rPr>
        <w:t>154</w:t>
      </w:r>
      <w:r w:rsidRPr="001B6C67">
        <w:rPr>
          <w:rtl/>
        </w:rPr>
        <w:t>-</w:t>
      </w:r>
      <w:r w:rsidRPr="001B6C67">
        <w:rPr>
          <w:rtl/>
        </w:rPr>
        <w:tab/>
        <w:t>وقدمت وكالات حكومية إلى الجمهور برامج أخرى لحقوق الإنسان من أجل زيادة الوعي</w:t>
      </w:r>
      <w:r w:rsidR="00883EBA">
        <w:rPr>
          <w:rFonts w:hint="cs"/>
          <w:rtl/>
        </w:rPr>
        <w:t> </w:t>
      </w:r>
      <w:r w:rsidRPr="001B6C67">
        <w:rPr>
          <w:rtl/>
        </w:rPr>
        <w:t>بقضايا</w:t>
      </w:r>
      <w:r w:rsidR="00883EBA">
        <w:rPr>
          <w:rFonts w:hint="cs"/>
          <w:rtl/>
        </w:rPr>
        <w:t> </w:t>
      </w:r>
      <w:r w:rsidRPr="001B6C67">
        <w:rPr>
          <w:rtl/>
        </w:rPr>
        <w:t>حقوق الإنسان في المجتمع التايلندي. وتشمل هذه البرامج، على سبيل المثال لا</w:t>
      </w:r>
      <w:r w:rsidR="00883EBA">
        <w:rPr>
          <w:rFonts w:hint="cs"/>
          <w:rtl/>
        </w:rPr>
        <w:t> </w:t>
      </w:r>
      <w:r w:rsidRPr="001B6C67">
        <w:rPr>
          <w:rtl/>
        </w:rPr>
        <w:t>الحصر:</w:t>
      </w:r>
      <w:r w:rsidR="00883EBA">
        <w:rPr>
          <w:rFonts w:hint="cs"/>
          <w:rtl/>
        </w:rPr>
        <w:t> </w:t>
      </w:r>
      <w:r w:rsidRPr="001B6C67">
        <w:rPr>
          <w:rtl/>
        </w:rPr>
        <w:t>’</w:t>
      </w:r>
      <w:r w:rsidRPr="00AF3116">
        <w:rPr>
          <w:rtl/>
        </w:rPr>
        <w:t>1</w:t>
      </w:r>
      <w:r w:rsidRPr="001B6C67">
        <w:rPr>
          <w:rtl/>
        </w:rPr>
        <w:t>‘</w:t>
      </w:r>
      <w:r w:rsidR="00883EBA">
        <w:rPr>
          <w:rFonts w:hint="cs"/>
          <w:rtl/>
        </w:rPr>
        <w:t> </w:t>
      </w:r>
      <w:r w:rsidRPr="001B6C67">
        <w:rPr>
          <w:rtl/>
        </w:rPr>
        <w:t xml:space="preserve">البرنامج التنفيذي لحقوق الإنسان الذي يقدمه معهد الملك </w:t>
      </w:r>
      <w:proofErr w:type="spellStart"/>
      <w:r w:rsidRPr="001B6C67">
        <w:rPr>
          <w:rtl/>
        </w:rPr>
        <w:t>براجاديبوك</w:t>
      </w:r>
      <w:proofErr w:type="spellEnd"/>
      <w:r w:rsidRPr="001B6C67">
        <w:rPr>
          <w:rtl/>
        </w:rPr>
        <w:t xml:space="preserve"> واللجنة الوطنية لحقوق الإنسان؛</w:t>
      </w:r>
      <w:r w:rsidR="00883EBA">
        <w:rPr>
          <w:rFonts w:hint="cs"/>
          <w:rtl/>
        </w:rPr>
        <w:t> </w:t>
      </w:r>
      <w:r w:rsidRPr="001B6C67">
        <w:t>’</w:t>
      </w:r>
      <w:r w:rsidRPr="00AF3116">
        <w:rPr>
          <w:rtl/>
        </w:rPr>
        <w:t>2</w:t>
      </w:r>
      <w:r w:rsidRPr="001B6C67">
        <w:rPr>
          <w:rtl/>
        </w:rPr>
        <w:t xml:space="preserve">‘ شهادة حقوق الإنسان التي تقدمها عدة جامعات؛ </w:t>
      </w:r>
      <w:r w:rsidRPr="001B6C67">
        <w:t>’</w:t>
      </w:r>
      <w:r w:rsidRPr="00AF3116">
        <w:rPr>
          <w:rtl/>
        </w:rPr>
        <w:t>3</w:t>
      </w:r>
      <w:r w:rsidRPr="001B6C67">
        <w:rPr>
          <w:rtl/>
        </w:rPr>
        <w:t>‘ التدريب على حقوق الإنسان الذي تقدمه إدارة الحقوق والحريات.</w:t>
      </w:r>
    </w:p>
    <w:p w14:paraId="082925C1" w14:textId="77777777" w:rsidR="00DE3D9F" w:rsidRPr="001B6C67" w:rsidRDefault="00DE3D9F" w:rsidP="00DE3D9F">
      <w:pPr>
        <w:pStyle w:val="SingleTxtGA"/>
        <w:rPr>
          <w:lang w:val="ar-SA" w:eastAsia="zh-TW" w:bidi="en-GB"/>
        </w:rPr>
      </w:pPr>
      <w:r w:rsidRPr="00AF3116">
        <w:rPr>
          <w:rtl/>
        </w:rPr>
        <w:t>155</w:t>
      </w:r>
      <w:r w:rsidRPr="001B6C67">
        <w:rPr>
          <w:rtl/>
        </w:rPr>
        <w:t>-</w:t>
      </w:r>
      <w:r w:rsidRPr="001B6C67">
        <w:rPr>
          <w:rtl/>
        </w:rPr>
        <w:tab/>
        <w:t xml:space="preserve">وعقدت اللجنة الوطنية لحقوق الإنسان سلسلة من برامج "تدريب المدربين" بشأن التثقيف في مجال حقوق الإنسان والقضايا ذات الصلة للمدربين والعاملين في مجال التعليم على مستوى الجامعة. وقد أبرمت مذكرات تفاهم مع أكثر من </w:t>
      </w:r>
      <w:r w:rsidRPr="00AF3116">
        <w:rPr>
          <w:rtl/>
        </w:rPr>
        <w:t>50</w:t>
      </w:r>
      <w:r w:rsidRPr="001B6C67">
        <w:rPr>
          <w:rtl/>
        </w:rPr>
        <w:t xml:space="preserve"> مؤسسة للتعليم العالي في البلد منذ عام </w:t>
      </w:r>
      <w:r w:rsidRPr="00AF3116">
        <w:rPr>
          <w:rtl/>
        </w:rPr>
        <w:t>2016</w:t>
      </w:r>
      <w:r w:rsidRPr="001B6C67">
        <w:rPr>
          <w:rtl/>
        </w:rPr>
        <w:t>. وتهدف اللجنة الوطنية لحقوق الإنسان من خلال هذه البرامج إلى العمل – من خلال المدربين والعاملين في مجال التعليم الذين حضروها – على نشر المعرفة وبناء الوعي بحقوق الإنسان بين الأطفال والشباب لكي يمضوا قدماً بتعزيز حقوق الإنسان وحمايتها في المجتمع.</w:t>
      </w:r>
    </w:p>
    <w:p w14:paraId="2D9A207A" w14:textId="77777777" w:rsidR="00DE3D9F" w:rsidRPr="001B6C67" w:rsidRDefault="00DE3D9F" w:rsidP="00DE3D9F">
      <w:pPr>
        <w:pStyle w:val="SingleTxtGA"/>
        <w:rPr>
          <w:lang w:val="ar-SA" w:eastAsia="zh-TW" w:bidi="en-GB"/>
        </w:rPr>
      </w:pPr>
      <w:r w:rsidRPr="00AF3116">
        <w:rPr>
          <w:rtl/>
        </w:rPr>
        <w:t>156</w:t>
      </w:r>
      <w:r w:rsidRPr="001B6C67">
        <w:rPr>
          <w:rtl/>
        </w:rPr>
        <w:t>-</w:t>
      </w:r>
      <w:r w:rsidRPr="001B6C67">
        <w:rPr>
          <w:rtl/>
        </w:rPr>
        <w:tab/>
        <w:t xml:space="preserve">وتقدم مؤسسات التعليم العالي، بما فيها الجامعات، في بانكوك ومحافظات أخرى، بشكل متزايد، دورات تدريبية بشأن حقوق الإنسان للطلاب في مختلف المستويات، وكذلك لعامة الجمهور. فعلى سبيل المثال، تقدم جامعة </w:t>
      </w:r>
      <w:proofErr w:type="spellStart"/>
      <w:r w:rsidRPr="001B6C67">
        <w:rPr>
          <w:rtl/>
        </w:rPr>
        <w:t>ماهيدول</w:t>
      </w:r>
      <w:proofErr w:type="spellEnd"/>
      <w:r w:rsidRPr="001B6C67">
        <w:rPr>
          <w:rtl/>
        </w:rPr>
        <w:t xml:space="preserve"> دورات في مجال حقوق الإنسان في درجات البكالوريوس والماجستير والدكتوراه. وتدير جامعة </w:t>
      </w:r>
      <w:proofErr w:type="spellStart"/>
      <w:r w:rsidRPr="001B6C67">
        <w:rPr>
          <w:rtl/>
        </w:rPr>
        <w:t>شولالونغكورن</w:t>
      </w:r>
      <w:proofErr w:type="spellEnd"/>
      <w:r w:rsidRPr="001B6C67">
        <w:rPr>
          <w:rtl/>
        </w:rPr>
        <w:t xml:space="preserve"> دورة تدريبية لفترة ثلاثة أسابيع عن حقوق الإنسان والعدالة في المجتمع وسيادة القانون. ولدى جامعة </w:t>
      </w:r>
      <w:proofErr w:type="spellStart"/>
      <w:r w:rsidRPr="001B6C67">
        <w:rPr>
          <w:rtl/>
        </w:rPr>
        <w:t>ثاماسات</w:t>
      </w:r>
      <w:proofErr w:type="spellEnd"/>
      <w:r w:rsidRPr="001B6C67">
        <w:rPr>
          <w:rtl/>
        </w:rPr>
        <w:t xml:space="preserve"> برنامج تدريبي لمدة سبعة أسابيع بشأن قوانين حقوق الإنسان والحقوق المدنية. وتقدم أيضاً جامعات أخرى مثل جامعة </w:t>
      </w:r>
      <w:proofErr w:type="spellStart"/>
      <w:r w:rsidRPr="001B6C67">
        <w:rPr>
          <w:rtl/>
        </w:rPr>
        <w:t>سوخوتاي</w:t>
      </w:r>
      <w:proofErr w:type="spellEnd"/>
      <w:r w:rsidRPr="001B6C67">
        <w:rPr>
          <w:rtl/>
        </w:rPr>
        <w:t xml:space="preserve"> </w:t>
      </w:r>
      <w:proofErr w:type="spellStart"/>
      <w:r w:rsidRPr="001B6C67">
        <w:rPr>
          <w:rtl/>
        </w:rPr>
        <w:t>ثاماثيرات</w:t>
      </w:r>
      <w:proofErr w:type="spellEnd"/>
      <w:r w:rsidRPr="001B6C67">
        <w:rPr>
          <w:rtl/>
        </w:rPr>
        <w:t xml:space="preserve">، وجامعة </w:t>
      </w:r>
      <w:proofErr w:type="spellStart"/>
      <w:r w:rsidRPr="001B6C67">
        <w:rPr>
          <w:rtl/>
        </w:rPr>
        <w:t>أوبون</w:t>
      </w:r>
      <w:proofErr w:type="spellEnd"/>
      <w:r w:rsidRPr="001B6C67">
        <w:rPr>
          <w:rtl/>
        </w:rPr>
        <w:t xml:space="preserve"> </w:t>
      </w:r>
      <w:proofErr w:type="spellStart"/>
      <w:r w:rsidRPr="001B6C67">
        <w:rPr>
          <w:rtl/>
        </w:rPr>
        <w:t>راتشاثاني</w:t>
      </w:r>
      <w:proofErr w:type="spellEnd"/>
      <w:r w:rsidRPr="001B6C67">
        <w:rPr>
          <w:rtl/>
        </w:rPr>
        <w:t xml:space="preserve">، وجامعة مها </w:t>
      </w:r>
      <w:proofErr w:type="spellStart"/>
      <w:r w:rsidRPr="001B6C67">
        <w:rPr>
          <w:rtl/>
        </w:rPr>
        <w:t>ساراخام</w:t>
      </w:r>
      <w:proofErr w:type="spellEnd"/>
      <w:r w:rsidRPr="001B6C67">
        <w:rPr>
          <w:rtl/>
        </w:rPr>
        <w:t xml:space="preserve">، وجامعة </w:t>
      </w:r>
      <w:proofErr w:type="spellStart"/>
      <w:r w:rsidRPr="001B6C67">
        <w:rPr>
          <w:rtl/>
        </w:rPr>
        <w:t>شيانغ</w:t>
      </w:r>
      <w:proofErr w:type="spellEnd"/>
      <w:r w:rsidRPr="001B6C67">
        <w:rPr>
          <w:rtl/>
        </w:rPr>
        <w:t xml:space="preserve"> ماي، وجامعة ماي </w:t>
      </w:r>
      <w:proofErr w:type="spellStart"/>
      <w:r w:rsidRPr="001B6C67">
        <w:rPr>
          <w:rtl/>
        </w:rPr>
        <w:t>فا</w:t>
      </w:r>
      <w:proofErr w:type="spellEnd"/>
      <w:r w:rsidRPr="001B6C67">
        <w:rPr>
          <w:rtl/>
        </w:rPr>
        <w:t xml:space="preserve"> </w:t>
      </w:r>
      <w:proofErr w:type="spellStart"/>
      <w:r w:rsidRPr="001B6C67">
        <w:rPr>
          <w:rtl/>
        </w:rPr>
        <w:t>لوانغ</w:t>
      </w:r>
      <w:proofErr w:type="spellEnd"/>
      <w:r w:rsidRPr="001B6C67">
        <w:rPr>
          <w:rtl/>
        </w:rPr>
        <w:t xml:space="preserve">، وجامعة </w:t>
      </w:r>
      <w:proofErr w:type="spellStart"/>
      <w:r w:rsidRPr="001B6C67">
        <w:rPr>
          <w:rtl/>
        </w:rPr>
        <w:t>باياب</w:t>
      </w:r>
      <w:proofErr w:type="spellEnd"/>
      <w:r w:rsidRPr="001B6C67">
        <w:rPr>
          <w:rtl/>
        </w:rPr>
        <w:t xml:space="preserve">، فضلاً عن عدة جامعات في </w:t>
      </w:r>
      <w:proofErr w:type="spellStart"/>
      <w:r w:rsidRPr="001B6C67">
        <w:rPr>
          <w:rtl/>
        </w:rPr>
        <w:t>ر</w:t>
      </w:r>
      <w:r>
        <w:rPr>
          <w:rtl/>
        </w:rPr>
        <w:t>ا</w:t>
      </w:r>
      <w:r w:rsidRPr="001B6C67">
        <w:rPr>
          <w:rtl/>
        </w:rPr>
        <w:t>ج</w:t>
      </w:r>
      <w:r>
        <w:rPr>
          <w:rtl/>
        </w:rPr>
        <w:t>ا</w:t>
      </w:r>
      <w:r w:rsidRPr="001B6C67">
        <w:rPr>
          <w:rtl/>
        </w:rPr>
        <w:t>بهات</w:t>
      </w:r>
      <w:proofErr w:type="spellEnd"/>
      <w:r w:rsidRPr="001B6C67">
        <w:rPr>
          <w:rtl/>
        </w:rPr>
        <w:t xml:space="preserve"> دورات تدريبية متصلة بحقوق الإنسان أو تضم إدارة لحقوق الإنسان.</w:t>
      </w:r>
    </w:p>
    <w:p w14:paraId="0CDCA71D" w14:textId="77777777" w:rsidR="00DE3D9F" w:rsidRPr="001B6C67" w:rsidRDefault="00DE3D9F" w:rsidP="00DE3D9F">
      <w:pPr>
        <w:pStyle w:val="SingleTxtGA"/>
        <w:rPr>
          <w:lang w:val="ar-SA" w:eastAsia="zh-TW" w:bidi="en-GB"/>
        </w:rPr>
      </w:pPr>
      <w:r w:rsidRPr="00AF3116">
        <w:rPr>
          <w:rtl/>
        </w:rPr>
        <w:t>157</w:t>
      </w:r>
      <w:r w:rsidRPr="001B6C67">
        <w:rPr>
          <w:rtl/>
        </w:rPr>
        <w:t>-</w:t>
      </w:r>
      <w:r w:rsidRPr="001B6C67">
        <w:rPr>
          <w:rtl/>
        </w:rPr>
        <w:tab/>
        <w:t xml:space="preserve">وبدأت وزارة الخارجية في عام </w:t>
      </w:r>
      <w:r w:rsidRPr="00AF3116">
        <w:rPr>
          <w:rtl/>
        </w:rPr>
        <w:t>2017</w:t>
      </w:r>
      <w:r w:rsidRPr="001B6C67">
        <w:rPr>
          <w:rtl/>
        </w:rPr>
        <w:t xml:space="preserve"> "سلسلة التثقيف في مجال حقوق الإنسان". وصدر في إطار هذه السلسلة كتابان للأطفال بعنوان "الفرخ الصغير والبط الصغير. نحن مختلفان، نحن صديقان" و"حلم </w:t>
      </w:r>
      <w:proofErr w:type="spellStart"/>
      <w:r w:rsidRPr="001B6C67">
        <w:rPr>
          <w:rtl/>
        </w:rPr>
        <w:t>كونميك</w:t>
      </w:r>
      <w:proofErr w:type="spellEnd"/>
      <w:r w:rsidRPr="001B6C67">
        <w:rPr>
          <w:rtl/>
        </w:rPr>
        <w:t xml:space="preserve">"، </w:t>
      </w:r>
      <w:r>
        <w:rPr>
          <w:rtl/>
        </w:rPr>
        <w:t>وهما</w:t>
      </w:r>
      <w:r w:rsidRPr="001B6C67">
        <w:rPr>
          <w:rtl/>
        </w:rPr>
        <w:t xml:space="preserve"> يهدفان إلى زيادة الوعي بمبادئ حقوق الإنسان بين الأطفال والشباب وتعزيز احترام الاختلافات وقبولها وعدم التمييز والكرامة الإنسانية وتكافؤ الفرص وإدماج الضعفاء وكذلك التعايش السلمي في المجتمع التعددي. </w:t>
      </w:r>
    </w:p>
    <w:p w14:paraId="0803BF42"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تعزيز الوعي بحقوق الإنسان عن طريق وسائط الإعلام</w:t>
      </w:r>
    </w:p>
    <w:p w14:paraId="12CCF18A" w14:textId="1FF37024" w:rsidR="00DE3D9F" w:rsidRPr="001B6C67" w:rsidRDefault="00DE3D9F" w:rsidP="00DE3D9F">
      <w:pPr>
        <w:pStyle w:val="SingleTxtGA"/>
        <w:rPr>
          <w:lang w:val="ar-SA" w:eastAsia="zh-TW" w:bidi="en-GB"/>
        </w:rPr>
      </w:pPr>
      <w:r w:rsidRPr="00AF3116">
        <w:rPr>
          <w:rtl/>
        </w:rPr>
        <w:t>158</w:t>
      </w:r>
      <w:r w:rsidRPr="001B6C67">
        <w:rPr>
          <w:rtl/>
        </w:rPr>
        <w:t>-</w:t>
      </w:r>
      <w:r w:rsidRPr="001B6C67">
        <w:rPr>
          <w:rtl/>
        </w:rPr>
        <w:tab/>
        <w:t>شمل نشر المعلومات المتعلقة بحقوق الإنسان عن طريق وسائط الإعلام أشكالاً مختلفة، هي:</w:t>
      </w:r>
      <w:r w:rsidR="00883EBA">
        <w:rPr>
          <w:rFonts w:hint="cs"/>
          <w:rtl/>
        </w:rPr>
        <w:t> </w:t>
      </w:r>
      <w:r w:rsidRPr="001B6C67">
        <w:rPr>
          <w:rtl/>
        </w:rPr>
        <w:t>’</w:t>
      </w:r>
      <w:r w:rsidRPr="00AF3116">
        <w:rPr>
          <w:rtl/>
        </w:rPr>
        <w:t>1</w:t>
      </w:r>
      <w:r w:rsidRPr="001B6C67">
        <w:rPr>
          <w:rtl/>
        </w:rPr>
        <w:t xml:space="preserve">‘ المنشورات، مثل الكتب والكراريس والجرائد؛ </w:t>
      </w:r>
      <w:r w:rsidRPr="001B6C67">
        <w:t>’</w:t>
      </w:r>
      <w:r w:rsidRPr="00AF3116">
        <w:rPr>
          <w:rtl/>
        </w:rPr>
        <w:t>2</w:t>
      </w:r>
      <w:r w:rsidRPr="001B6C67">
        <w:rPr>
          <w:rtl/>
        </w:rPr>
        <w:t xml:space="preserve">‘ بحوث حقوق الإنسان، مثل البحوث المتعلقة بالسجناء والأطفال في نظام العدالة، وحقوق الطفل، والعنف والأطفال، وما إلى ذلك؛ </w:t>
      </w:r>
      <w:r w:rsidRPr="001B6C67">
        <w:t>’</w:t>
      </w:r>
      <w:r w:rsidRPr="00AF3116">
        <w:rPr>
          <w:rtl/>
        </w:rPr>
        <w:t>3</w:t>
      </w:r>
      <w:r w:rsidRPr="001B6C67">
        <w:rPr>
          <w:rtl/>
        </w:rPr>
        <w:t xml:space="preserve">‘ رصد وتقييم مناهج حقوق الإنسان في المعاهد التعليمية دون المستوى الجامعي؛ </w:t>
      </w:r>
      <w:r w:rsidRPr="001B6C67">
        <w:t>’</w:t>
      </w:r>
      <w:r w:rsidRPr="00AF3116">
        <w:rPr>
          <w:rtl/>
        </w:rPr>
        <w:t>4</w:t>
      </w:r>
      <w:r w:rsidRPr="001B6C67">
        <w:rPr>
          <w:rtl/>
        </w:rPr>
        <w:t xml:space="preserve">‘ البحث والتطوير في مجال مناهج التدريس والتعلم والتدريب؛ </w:t>
      </w:r>
      <w:r w:rsidRPr="001B6C67">
        <w:t>’</w:t>
      </w:r>
      <w:r w:rsidRPr="00AF3116">
        <w:rPr>
          <w:rtl/>
        </w:rPr>
        <w:t>5</w:t>
      </w:r>
      <w:r w:rsidRPr="001B6C67">
        <w:rPr>
          <w:rtl/>
        </w:rPr>
        <w:t xml:space="preserve">‘ حملات تثقيف الجمهور من خلال وسائط الإعلام السمعية البصرية، مثل الإذاعة، ووسائط الإعلام التصويرية التلفزيونية، والعرض بالفيديو؛ </w:t>
      </w:r>
      <w:r w:rsidRPr="001B6C67">
        <w:t>’</w:t>
      </w:r>
      <w:r w:rsidRPr="00AF3116">
        <w:rPr>
          <w:rtl/>
        </w:rPr>
        <w:t>6</w:t>
      </w:r>
      <w:r w:rsidRPr="001B6C67">
        <w:rPr>
          <w:rtl/>
        </w:rPr>
        <w:t>‘ وسائل الإعلام الإلكترونية، مثل الإنترنت، والتعلم الإلكتروني، ووسائل التواصل الاجتماعي، والبريد الإلكتروني.</w:t>
      </w:r>
    </w:p>
    <w:p w14:paraId="5B5AF533" w14:textId="77777777" w:rsidR="00DE3D9F" w:rsidRPr="001B6C67" w:rsidRDefault="00DE3D9F" w:rsidP="00DE3D9F">
      <w:pPr>
        <w:pStyle w:val="SingleTxtGA"/>
        <w:rPr>
          <w:lang w:val="ar-SA" w:eastAsia="zh-TW" w:bidi="en-GB"/>
        </w:rPr>
      </w:pPr>
      <w:r w:rsidRPr="00AF3116">
        <w:rPr>
          <w:rtl/>
        </w:rPr>
        <w:lastRenderedPageBreak/>
        <w:t>159</w:t>
      </w:r>
      <w:r w:rsidRPr="001B6C67">
        <w:rPr>
          <w:rtl/>
        </w:rPr>
        <w:t>-</w:t>
      </w:r>
      <w:r w:rsidRPr="001B6C67">
        <w:rPr>
          <w:rtl/>
        </w:rPr>
        <w:tab/>
        <w:t xml:space="preserve">وبمناسبة </w:t>
      </w:r>
      <w:r w:rsidRPr="00AF3116">
        <w:rPr>
          <w:rtl/>
        </w:rPr>
        <w:t>الذكرى السبعين للإعلان العالمي</w:t>
      </w:r>
      <w:r w:rsidRPr="001B6C67">
        <w:rPr>
          <w:rtl/>
        </w:rPr>
        <w:t xml:space="preserve"> لحقوق الإنسان، شاركت الوكالات الحكومية المعنية والمنظمات الدولية والسفارات الأجنبية في تايلاند ومنظمات المجتمع المدني في تنظيم "شهر حقوق الإنسان في تايلاند" في شهر كانون الأول/ديسمبر </w:t>
      </w:r>
      <w:r w:rsidRPr="00AF3116">
        <w:rPr>
          <w:rtl/>
        </w:rPr>
        <w:t>2018</w:t>
      </w:r>
      <w:r w:rsidRPr="001B6C67">
        <w:rPr>
          <w:rtl/>
        </w:rPr>
        <w:t xml:space="preserve">. وكجزء من الأنشطة، شاركت وزارة الخارجية ووزارة العدل والمكتب الإقليمي </w:t>
      </w:r>
      <w:r>
        <w:rPr>
          <w:rtl/>
        </w:rPr>
        <w:t>ل</w:t>
      </w:r>
      <w:r w:rsidRPr="001B6C67">
        <w:rPr>
          <w:rtl/>
        </w:rPr>
        <w:t xml:space="preserve">لمفوضية السامية لحقوق الإنسان </w:t>
      </w:r>
      <w:r>
        <w:rPr>
          <w:rtl/>
        </w:rPr>
        <w:t xml:space="preserve">في </w:t>
      </w:r>
      <w:r w:rsidRPr="001B6C67">
        <w:rPr>
          <w:rtl/>
        </w:rPr>
        <w:t xml:space="preserve">جنوب شرق آسيا ومفوضية الأمم المتحدة لشؤون اللاجئين في تنظيم حدث بعنوان "الذكرى السنوية السبعين للإعلان العالمي لحقوق الإنسان والذكرى السنوية الأولى لخطة تايلند الوطنية لحقوق الإنسان: نحو مجتمع قائم على الرعاية والمشاركة" في مركز بانكوك للفنون والثقافة، بانكوك، تايلاند. وحضر هذا الحدث أكثر من </w:t>
      </w:r>
      <w:r w:rsidRPr="00AF3116">
        <w:rPr>
          <w:rtl/>
        </w:rPr>
        <w:t>200</w:t>
      </w:r>
      <w:r w:rsidRPr="001B6C67">
        <w:rPr>
          <w:rtl/>
        </w:rPr>
        <w:t xml:space="preserve"> ممثل من الوكالات الحكومية والسلك الدبلوماسي والمنظمات الدولية والقطاع الخاص ومنظمات المجتمع المدني، فضلاً عن عامة الجمهور، بمن فيهم الشباب. وأُعلِن عن هذا الحدث من خلال قنوات إعلامية مختلفة تهدف إلى تعزيز الوعي بحقوق الإنسان وفهمها في المجتمع التايلندي، ودعم الجهود الجارية لتعزيز عمل حقوق الإنسان على الصعيدين الوطني والدولي، وإعادة تأكيد التزامات الحكومة بتعزيز وحماية حقوق الإنسان في تايلند وخارجها. </w:t>
      </w:r>
    </w:p>
    <w:p w14:paraId="4B7D9CF6"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دور المجتمع المدني</w:t>
      </w:r>
    </w:p>
    <w:p w14:paraId="2CFB77BD" w14:textId="77777777" w:rsidR="00DE3D9F" w:rsidRPr="00883EBA" w:rsidRDefault="00DE3D9F" w:rsidP="00DE3D9F">
      <w:pPr>
        <w:pStyle w:val="SingleTxtGA"/>
        <w:rPr>
          <w:spacing w:val="-4"/>
          <w:lang w:val="ar-SA" w:eastAsia="zh-TW" w:bidi="en-GB"/>
        </w:rPr>
      </w:pPr>
      <w:r w:rsidRPr="00AF3116">
        <w:rPr>
          <w:rtl/>
        </w:rPr>
        <w:t>160</w:t>
      </w:r>
      <w:r w:rsidRPr="001B6C67">
        <w:rPr>
          <w:rtl/>
        </w:rPr>
        <w:t>-</w:t>
      </w:r>
      <w:r w:rsidRPr="001B6C67">
        <w:rPr>
          <w:rtl/>
        </w:rPr>
        <w:tab/>
        <w:t>يضطلع المجتمع المدني بدور نشيط في تعزيز حقوق الإنسان وحمايتها في تايلند. وبصورة عامة، ي</w:t>
      </w:r>
      <w:r>
        <w:rPr>
          <w:rtl/>
        </w:rPr>
        <w:t>ُ</w:t>
      </w:r>
      <w:r w:rsidRPr="001B6C67">
        <w:rPr>
          <w:rtl/>
        </w:rPr>
        <w:t>عتر</w:t>
      </w:r>
      <w:r>
        <w:rPr>
          <w:rtl/>
        </w:rPr>
        <w:t>َ</w:t>
      </w:r>
      <w:r w:rsidRPr="001B6C67">
        <w:rPr>
          <w:rtl/>
        </w:rPr>
        <w:t xml:space="preserve">ف بدوره في جملة أمور منها تعبئة التنمية البشرية والتدخل والإصلاح الاجتماعيين، ورصد </w:t>
      </w:r>
      <w:r w:rsidRPr="00883EBA">
        <w:rPr>
          <w:spacing w:val="-4"/>
          <w:rtl/>
        </w:rPr>
        <w:t xml:space="preserve">حالة حقوق الإنسان، وتولي مهمة "الضوابط والموازين"، والمشاركة في إعداد التقارير الوطنية، فضلاً عن صياغة عدة قوانين ووثائق ذات صلة مثل الخطط الوطنية لحقوق الإنسان، حسبما ورد في الفقرتين </w:t>
      </w:r>
      <w:r w:rsidRPr="00AF3116">
        <w:rPr>
          <w:spacing w:val="-4"/>
          <w:rtl/>
        </w:rPr>
        <w:t>97</w:t>
      </w:r>
      <w:r w:rsidRPr="00883EBA">
        <w:rPr>
          <w:spacing w:val="-4"/>
          <w:rtl/>
        </w:rPr>
        <w:t xml:space="preserve"> و</w:t>
      </w:r>
      <w:r w:rsidRPr="00AF3116">
        <w:rPr>
          <w:spacing w:val="-4"/>
          <w:rtl/>
        </w:rPr>
        <w:t>98</w:t>
      </w:r>
      <w:r w:rsidRPr="00883EBA">
        <w:rPr>
          <w:spacing w:val="-4"/>
          <w:rtl/>
        </w:rPr>
        <w:t>.</w:t>
      </w:r>
    </w:p>
    <w:p w14:paraId="462D567E" w14:textId="77777777" w:rsidR="00DE3D9F" w:rsidRPr="001B6C67" w:rsidRDefault="00DE3D9F" w:rsidP="00DE3D9F">
      <w:pPr>
        <w:pStyle w:val="SingleTxtGA"/>
        <w:rPr>
          <w:lang w:val="ar-SA" w:eastAsia="zh-TW" w:bidi="en-GB"/>
        </w:rPr>
      </w:pPr>
      <w:r w:rsidRPr="00AF3116">
        <w:rPr>
          <w:rtl/>
        </w:rPr>
        <w:t>161</w:t>
      </w:r>
      <w:r w:rsidRPr="001B6C67">
        <w:rPr>
          <w:rtl/>
        </w:rPr>
        <w:t>-</w:t>
      </w:r>
      <w:r w:rsidRPr="001B6C67">
        <w:rPr>
          <w:rtl/>
        </w:rPr>
        <w:tab/>
        <w:t xml:space="preserve">وتضع الحكومة نهجاً منسقاً للحكومة بأسرها والمجتمع بأسره، وتعلق أهمية على تعزيز الشراكة مع المجتمع المدني. ونظمت الوكالات المعنية حوارات ومشاورات منتظمة مع منظمات المجتمع المدني بصورة فردية أو مشتركة. فعلى سبيل المثال، عقدت وزارة الخارجية مشاورات واجتماعات منتظمة مع منظمات المجتمع المدني في مجال حقوق الإنسان منذ عام </w:t>
      </w:r>
      <w:r w:rsidRPr="00AF3116">
        <w:rPr>
          <w:rtl/>
        </w:rPr>
        <w:t>2017</w:t>
      </w:r>
      <w:r w:rsidRPr="001B6C67">
        <w:rPr>
          <w:rtl/>
        </w:rPr>
        <w:t>.</w:t>
      </w:r>
    </w:p>
    <w:p w14:paraId="545BE887" w14:textId="77777777" w:rsidR="00DE3D9F" w:rsidRPr="001B6C67" w:rsidRDefault="00DE3D9F" w:rsidP="00DE3D9F">
      <w:pPr>
        <w:pStyle w:val="SingleTxtGA"/>
        <w:rPr>
          <w:lang w:val="ar-SA" w:eastAsia="zh-TW" w:bidi="en-GB"/>
        </w:rPr>
      </w:pPr>
      <w:r w:rsidRPr="00AF3116">
        <w:rPr>
          <w:rtl/>
        </w:rPr>
        <w:t>162</w:t>
      </w:r>
      <w:r w:rsidRPr="001B6C67">
        <w:rPr>
          <w:rtl/>
        </w:rPr>
        <w:t>-</w:t>
      </w:r>
      <w:r w:rsidRPr="001B6C67">
        <w:rPr>
          <w:rtl/>
        </w:rPr>
        <w:tab/>
        <w:t>وكما هو محدد في التقارير القطرية لتايلاند، فإن المجتمع المدني قد انخرط في عملية إعداد تقارير البلد المختلفة بموجب المعاهدات الدولية الأساسية لحقوق الإنسان التي تعتبر تايلند طرفاً فيها وفي إطار الاستعراض الدوري الشامل. وقد ثبت أن مشاركة جميع القطاعات، بما في ذلك القطاع العام والقطاع الخاص والمجتمع المدني والمجموعات الإثنية، فضلاً عن جميع الأشخاص المعنيين في جميع أنحاء البلد، كانت بناءة ومثمرة.</w:t>
      </w:r>
    </w:p>
    <w:p w14:paraId="64F46B31" w14:textId="77777777" w:rsidR="00DE3D9F" w:rsidRPr="001B6C67" w:rsidRDefault="00DE3D9F" w:rsidP="00DE3D9F">
      <w:pPr>
        <w:pStyle w:val="SingleTxtGA"/>
        <w:rPr>
          <w:lang w:val="ar-SA" w:eastAsia="zh-TW" w:bidi="en-GB"/>
        </w:rPr>
      </w:pPr>
      <w:r w:rsidRPr="00AF3116">
        <w:rPr>
          <w:rtl/>
        </w:rPr>
        <w:t>163</w:t>
      </w:r>
      <w:r w:rsidRPr="001B6C67">
        <w:rPr>
          <w:rtl/>
        </w:rPr>
        <w:t>-</w:t>
      </w:r>
      <w:r w:rsidRPr="001B6C67">
        <w:rPr>
          <w:rtl/>
        </w:rPr>
        <w:tab/>
        <w:t xml:space="preserve">وعلى أرض الواقع، عملت الحكومة أيضاً مع منظمات المجتمع المدني في طائفة واسعة من المجالات. فعلى سبيل المثال، عملت رابطة النساء المناصرات للسلام على مساعدة وتمكين النساء والأطفال المتأثرين بالحالة في جنوب تايلند ونقلت احتياجاتهم إلى صانعي القرار. وعملت أيضاً رابطة الأطفال والشباب المناصرين للسلام في المقاطعات الحدودية الجنوبية في تايلند (فريق لوك </w:t>
      </w:r>
      <w:proofErr w:type="spellStart"/>
      <w:r w:rsidRPr="001B6C67">
        <w:rPr>
          <w:rtl/>
        </w:rPr>
        <w:t>رينغ</w:t>
      </w:r>
      <w:proofErr w:type="spellEnd"/>
      <w:r w:rsidRPr="001B6C67">
        <w:rPr>
          <w:rtl/>
        </w:rPr>
        <w:t>) مع منظمة إنقاذ الطفولة في مشروع للحد من مخاطر الكوارث في المدارس المحلية.</w:t>
      </w:r>
    </w:p>
    <w:p w14:paraId="0FC12313" w14:textId="77777777" w:rsidR="00DE3D9F" w:rsidRPr="001B6C67" w:rsidRDefault="00DE3D9F" w:rsidP="00DE3D9F">
      <w:pPr>
        <w:pStyle w:val="SingleTxtGA"/>
        <w:rPr>
          <w:lang w:val="ar-SA" w:eastAsia="zh-TW" w:bidi="en-GB"/>
        </w:rPr>
      </w:pPr>
      <w:r w:rsidRPr="00AF3116">
        <w:rPr>
          <w:rtl/>
        </w:rPr>
        <w:t>164</w:t>
      </w:r>
      <w:r w:rsidRPr="001B6C67">
        <w:rPr>
          <w:rtl/>
        </w:rPr>
        <w:t>-</w:t>
      </w:r>
      <w:r w:rsidRPr="001B6C67">
        <w:rPr>
          <w:rtl/>
        </w:rPr>
        <w:tab/>
        <w:t xml:space="preserve">وتواصل وكالات حكومية </w:t>
      </w:r>
      <w:r>
        <w:rPr>
          <w:rtl/>
        </w:rPr>
        <w:t>عديدة</w:t>
      </w:r>
      <w:r w:rsidRPr="001B6C67">
        <w:rPr>
          <w:rtl/>
        </w:rPr>
        <w:t>، مثل وزارة الخارجية ووزارة العدل ووزارة التنمية الاجتماعية والأمن البشري ومكتب القضاء، بالتعاون مع منظمات المجتمع المدني والمنظمات الدولية ذات الصلة، تقديم برامج تدريبية في مجال حقوق الإنسان للمسؤولين المعنيين، بمن فيهم ضباط الشرطة والأفراد العسكريون وضباط الإصلاحيات والموظفون القضائيون.</w:t>
      </w:r>
    </w:p>
    <w:p w14:paraId="7F6B556F" w14:textId="6D03FD97" w:rsidR="00DE3D9F" w:rsidRPr="001B6C67" w:rsidRDefault="00DE3D9F" w:rsidP="00DE3D9F">
      <w:pPr>
        <w:pStyle w:val="SingleTxtGA"/>
        <w:rPr>
          <w:lang w:val="ar-SA" w:eastAsia="zh-TW" w:bidi="en-GB"/>
        </w:rPr>
      </w:pPr>
      <w:r w:rsidRPr="00AF3116">
        <w:rPr>
          <w:rtl/>
        </w:rPr>
        <w:lastRenderedPageBreak/>
        <w:t>165</w:t>
      </w:r>
      <w:r w:rsidRPr="001B6C67">
        <w:rPr>
          <w:rtl/>
        </w:rPr>
        <w:t>-</w:t>
      </w:r>
      <w:r w:rsidRPr="001B6C67">
        <w:rPr>
          <w:rtl/>
        </w:rPr>
        <w:tab/>
        <w:t xml:space="preserve">وكمثال في مجال بحوث حقوق الإنسان، عملت كلية فنون الاتصال بجامعة </w:t>
      </w:r>
      <w:proofErr w:type="spellStart"/>
      <w:r w:rsidRPr="001B6C67">
        <w:rPr>
          <w:rtl/>
        </w:rPr>
        <w:t>شولالونغكورن</w:t>
      </w:r>
      <w:proofErr w:type="spellEnd"/>
      <w:r w:rsidRPr="001B6C67">
        <w:rPr>
          <w:rtl/>
        </w:rPr>
        <w:t xml:space="preserve"> بدعم</w:t>
      </w:r>
      <w:r w:rsidR="005F6F8E">
        <w:rPr>
          <w:rFonts w:hint="cs"/>
          <w:rtl/>
        </w:rPr>
        <w:t> </w:t>
      </w:r>
      <w:r w:rsidRPr="001B6C67">
        <w:rPr>
          <w:rtl/>
        </w:rPr>
        <w:t>من وزارة الخارجية على مشروع بحثي بعنوان "الإعلام وتعزيز وحماية حقوق الإنسان لأولئك الذين يعانون من أوضاع هشة". وكانت الفئات المستهدفة في البحث هي الأقليات الإثنية، والأشخاص ذوي</w:t>
      </w:r>
      <w:r w:rsidR="005F6F8E">
        <w:rPr>
          <w:rFonts w:hint="cs"/>
          <w:rtl/>
        </w:rPr>
        <w:t> </w:t>
      </w:r>
      <w:r w:rsidRPr="001B6C67">
        <w:rPr>
          <w:rtl/>
        </w:rPr>
        <w:t xml:space="preserve">الإعاقة، وكبار السن، </w:t>
      </w:r>
      <w:proofErr w:type="spellStart"/>
      <w:r w:rsidRPr="001B6C67">
        <w:rPr>
          <w:rtl/>
        </w:rPr>
        <w:t>والمثليات</w:t>
      </w:r>
      <w:proofErr w:type="spellEnd"/>
      <w:r w:rsidRPr="001B6C67">
        <w:rPr>
          <w:rtl/>
        </w:rPr>
        <w:t xml:space="preserve"> والمثليين ومزدوجي الميل الجنسي ومغايري الهوية الجنسانية. ونُشِرت نتائج البحث في عام </w:t>
      </w:r>
      <w:r w:rsidRPr="00AF3116">
        <w:rPr>
          <w:rtl/>
        </w:rPr>
        <w:t>2019</w:t>
      </w:r>
      <w:r w:rsidRPr="001B6C67">
        <w:rPr>
          <w:rtl/>
        </w:rPr>
        <w:t xml:space="preserve"> (باللغة التايلاندية، ويمكن الوصول إليها في الموقع الشبكي التالي</w:t>
      </w:r>
      <w:r w:rsidRPr="001B6C67">
        <w:t>:</w:t>
      </w:r>
      <w:r w:rsidRPr="001B6C67">
        <w:rPr>
          <w:rtl/>
        </w:rPr>
        <w:t xml:space="preserve"> </w:t>
      </w:r>
      <w:r w:rsidRPr="00D55C97">
        <w:rPr>
          <w:rFonts w:asciiTheme="majorBidi" w:hAnsiTheme="majorBidi" w:cstheme="majorBidi"/>
        </w:rPr>
        <w:t>http://humanrights.mfa.go.th/en/humanrightsinmedia.pdf</w:t>
      </w:r>
      <w:r w:rsidRPr="001B6C67">
        <w:rPr>
          <w:rtl/>
        </w:rPr>
        <w:t>).</w:t>
      </w:r>
    </w:p>
    <w:p w14:paraId="53B972BE" w14:textId="77777777" w:rsidR="00DE3D9F" w:rsidRPr="001B6C67" w:rsidRDefault="00DE3D9F" w:rsidP="00883EBA">
      <w:pPr>
        <w:pStyle w:val="H23GA"/>
        <w:rPr>
          <w:lang w:val="ar-SA" w:eastAsia="zh-TW" w:bidi="en-GB"/>
        </w:rPr>
      </w:pPr>
      <w:r w:rsidRPr="001B6C67">
        <w:rPr>
          <w:rtl/>
        </w:rPr>
        <w:tab/>
      </w:r>
      <w:r w:rsidRPr="001B6C67">
        <w:rPr>
          <w:rtl/>
        </w:rPr>
        <w:tab/>
      </w:r>
      <w:r w:rsidRPr="00AF3116">
        <w:rPr>
          <w:rtl/>
        </w:rPr>
        <w:t>التعاون والمساعدة في مجال التنمية</w:t>
      </w:r>
    </w:p>
    <w:p w14:paraId="0C73C0C3" w14:textId="77777777" w:rsidR="00DE3D9F" w:rsidRPr="001B6C67" w:rsidRDefault="00DE3D9F" w:rsidP="00DE3D9F">
      <w:pPr>
        <w:pStyle w:val="SingleTxtGA"/>
        <w:rPr>
          <w:lang w:val="ar-SA" w:eastAsia="zh-TW" w:bidi="en-GB"/>
        </w:rPr>
      </w:pPr>
      <w:r w:rsidRPr="00AF3116">
        <w:rPr>
          <w:rtl/>
        </w:rPr>
        <w:t>166</w:t>
      </w:r>
      <w:r w:rsidRPr="001B6C67">
        <w:rPr>
          <w:rtl/>
        </w:rPr>
        <w:t>-</w:t>
      </w:r>
      <w:r w:rsidRPr="001B6C67">
        <w:rPr>
          <w:rtl/>
        </w:rPr>
        <w:tab/>
        <w:t>تفترض تايلند أن التعاون التقني وبناء القدرات أمران حاسمان لدعم الدول الأخرى في ترجمة التزاماتها في مجال حقوق الإنسان إلى نتائج ملموسة على أرض الواقع، وأن جهود التعاون التقني يدفعها الطلب على أساس حوار حقيقي مع الدول الطالبة.</w:t>
      </w:r>
    </w:p>
    <w:p w14:paraId="4FB6B53B" w14:textId="01F52E07" w:rsidR="00DE3D9F" w:rsidRPr="001B6C67" w:rsidRDefault="00DE3D9F" w:rsidP="00DE3D9F">
      <w:pPr>
        <w:pStyle w:val="SingleTxtGA"/>
        <w:rPr>
          <w:lang w:val="ar-SA" w:eastAsia="zh-TW" w:bidi="en-GB"/>
        </w:rPr>
      </w:pPr>
      <w:r w:rsidRPr="00AF3116">
        <w:rPr>
          <w:rtl/>
        </w:rPr>
        <w:t>167</w:t>
      </w:r>
      <w:r w:rsidRPr="001B6C67">
        <w:rPr>
          <w:rtl/>
        </w:rPr>
        <w:t>-</w:t>
      </w:r>
      <w:r w:rsidRPr="001B6C67">
        <w:rPr>
          <w:rtl/>
        </w:rPr>
        <w:tab/>
        <w:t>وقد عززت وكالة التعاون الدولي التايلندية التابعة لوزارة الخارجية بنشاط التعاون الدولي مع البلدان المهتمة والمنظمات الدولية والمنظمات غير الحكومية ذات الصلة. ويتخذ هذا التعاون أشكالاً مختلفة من التعاون الثنائي والتعاون بين بلدان الجنوب، والتعاون الثلاثي شمال</w:t>
      </w:r>
      <w:r w:rsidR="00D55C97">
        <w:rPr>
          <w:rFonts w:hint="cs"/>
          <w:rtl/>
        </w:rPr>
        <w:t xml:space="preserve"> </w:t>
      </w:r>
      <w:r w:rsidR="00D55C97">
        <w:rPr>
          <w:rtl/>
        </w:rPr>
        <w:t>–</w:t>
      </w:r>
      <w:r w:rsidR="00D55C97">
        <w:rPr>
          <w:rFonts w:hint="cs"/>
          <w:rtl/>
        </w:rPr>
        <w:t xml:space="preserve"> </w:t>
      </w:r>
      <w:r w:rsidRPr="001B6C67">
        <w:rPr>
          <w:rtl/>
        </w:rPr>
        <w:t>جنوب</w:t>
      </w:r>
      <w:r w:rsidR="00D55C97">
        <w:rPr>
          <w:rFonts w:hint="cs"/>
          <w:rtl/>
        </w:rPr>
        <w:t xml:space="preserve"> </w:t>
      </w:r>
      <w:r w:rsidRPr="001B6C67">
        <w:rPr>
          <w:rtl/>
        </w:rPr>
        <w:t>-</w:t>
      </w:r>
      <w:r w:rsidR="00D55C97">
        <w:rPr>
          <w:rFonts w:hint="cs"/>
          <w:rtl/>
        </w:rPr>
        <w:t xml:space="preserve"> </w:t>
      </w:r>
      <w:r w:rsidRPr="001B6C67">
        <w:rPr>
          <w:rtl/>
        </w:rPr>
        <w:t>جنوب وجنوب</w:t>
      </w:r>
      <w:r w:rsidR="00146491">
        <w:rPr>
          <w:rFonts w:hint="cs"/>
          <w:rtl/>
        </w:rPr>
        <w:t> </w:t>
      </w:r>
      <w:r w:rsidR="00D55C97">
        <w:rPr>
          <w:rtl/>
        </w:rPr>
        <w:t>–</w:t>
      </w:r>
      <w:r w:rsidR="00D55C97">
        <w:rPr>
          <w:rFonts w:hint="cs"/>
          <w:rtl/>
        </w:rPr>
        <w:t xml:space="preserve"> </w:t>
      </w:r>
      <w:r w:rsidRPr="001B6C67">
        <w:rPr>
          <w:rtl/>
        </w:rPr>
        <w:t>جنوب</w:t>
      </w:r>
      <w:r w:rsidR="00D55C97">
        <w:rPr>
          <w:rFonts w:hint="cs"/>
          <w:rtl/>
        </w:rPr>
        <w:t xml:space="preserve"> </w:t>
      </w:r>
      <w:r w:rsidRPr="001B6C67">
        <w:rPr>
          <w:rtl/>
        </w:rPr>
        <w:t>-</w:t>
      </w:r>
      <w:r w:rsidR="00D55C97">
        <w:rPr>
          <w:rFonts w:hint="cs"/>
          <w:rtl/>
        </w:rPr>
        <w:t xml:space="preserve"> </w:t>
      </w:r>
      <w:r w:rsidRPr="001B6C67">
        <w:rPr>
          <w:rtl/>
        </w:rPr>
        <w:t>جنوب. وفي الوقت الراهن، هناك عدة مشاريع للتعاون الدولي تتصل بتعزيز حقوق الإنسان، ولا سيما حقوق الأشخاص الذين يعانون من أوضاع هشة، والحقوق الاقتصادية والاجتماعية، بما في ذلك الحق في الصحة (صحة الأم وصحة الطفل) والحق في التعليم، وربطها بتحقيق التنمية المستدامة، مع</w:t>
      </w:r>
      <w:r w:rsidR="005F6F8E">
        <w:rPr>
          <w:rFonts w:hint="cs"/>
          <w:rtl/>
        </w:rPr>
        <w:t> </w:t>
      </w:r>
      <w:r w:rsidRPr="001B6C67">
        <w:rPr>
          <w:rtl/>
        </w:rPr>
        <w:t>عدم ترك أحد خلف الركب. ويهدف هذا التعاون إلى تعزيز القدرات الوطنية لبناء أوجه التآزر بين</w:t>
      </w:r>
      <w:r w:rsidR="005F6F8E">
        <w:rPr>
          <w:rFonts w:hint="cs"/>
          <w:rtl/>
        </w:rPr>
        <w:t> </w:t>
      </w:r>
      <w:r w:rsidRPr="001B6C67">
        <w:rPr>
          <w:rtl/>
        </w:rPr>
        <w:t>حقوق الإنسان وتنفيذ أهداف التنمية المستدامة.</w:t>
      </w:r>
    </w:p>
    <w:p w14:paraId="2F5381B6" w14:textId="77777777" w:rsidR="00DE3D9F" w:rsidRPr="001B6C67" w:rsidRDefault="00DE3D9F" w:rsidP="00DE3D9F">
      <w:pPr>
        <w:pStyle w:val="SingleTxtGA"/>
        <w:rPr>
          <w:lang w:val="ar-SA" w:eastAsia="zh-TW" w:bidi="en-GB"/>
        </w:rPr>
      </w:pPr>
      <w:r w:rsidRPr="00AF3116">
        <w:rPr>
          <w:rtl/>
        </w:rPr>
        <w:t>168</w:t>
      </w:r>
      <w:r w:rsidRPr="001B6C67">
        <w:rPr>
          <w:rtl/>
        </w:rPr>
        <w:t>-</w:t>
      </w:r>
      <w:r w:rsidRPr="001B6C67">
        <w:rPr>
          <w:rtl/>
        </w:rPr>
        <w:tab/>
        <w:t xml:space="preserve">وفيما يتعلق بالحق في التعليم، نفذت وكالة التعاون الدولي التايلندية مشاريع لتدريب المعلمين، وقدمت منحاً دراسية قصيرة الأجل للدراسات والتدريب، فضلاً عن مشاريع لإنشاء و/أو تطوير مؤسسات ومدارس تعليمية. وفيما يتعلق بحقوق الطفل، </w:t>
      </w:r>
      <w:r>
        <w:rPr>
          <w:rtl/>
        </w:rPr>
        <w:t>بدأ العمل</w:t>
      </w:r>
      <w:r w:rsidRPr="001B6C67">
        <w:rPr>
          <w:rtl/>
        </w:rPr>
        <w:t xml:space="preserve"> في "مشروع تنمية الأطفال والشباب" في كمبوديا و"مشروع تنمية نوعية حياة الأطفال" في الفلبين وبوتان. وفيما يتعلق بالصحة البدنية والعقلية، قدمت تايلند برنامجاً للمساعدة الصحية العامة في كمبوديا ومشاريع لتطوير المستشفيات وكليات الطب (بما في ذلك إدارة للطوارئ في مستشفى داوي، ميانمار)، فضلاً عن أنشطة ل</w:t>
      </w:r>
      <w:r>
        <w:rPr>
          <w:rtl/>
        </w:rPr>
        <w:t>إذكاء ا</w:t>
      </w:r>
      <w:r w:rsidRPr="001B6C67">
        <w:rPr>
          <w:rtl/>
        </w:rPr>
        <w:t xml:space="preserve">لوعي </w:t>
      </w:r>
      <w:r>
        <w:rPr>
          <w:rtl/>
        </w:rPr>
        <w:t>ب</w:t>
      </w:r>
      <w:r w:rsidRPr="001B6C67">
        <w:rPr>
          <w:rtl/>
        </w:rPr>
        <w:t>الأمراض الناشئة حديثاً. وبالإضافة إلى ذلك، عملت وكالة التعاون الدولي التايلندية مع صندوق الأمم المتحدة للسكان في مشروع تعاون ثلاثي بشأن خفض معدل وفيات الأمهات. وفيما يتعلق بحماية الأشخاص الذين يعانون من أوضاع هشة، نُفِّذ مشروع لإنشاء أول مركز لضحايا الاتجار بالبشر والفئات المعرضة للخطر.</w:t>
      </w:r>
    </w:p>
    <w:p w14:paraId="31A3DE76" w14:textId="24B0AC5B" w:rsidR="00DE3D9F" w:rsidRPr="001B6C67" w:rsidRDefault="00DE3D9F" w:rsidP="00DE3D9F">
      <w:pPr>
        <w:pStyle w:val="SingleTxtGA"/>
        <w:rPr>
          <w:lang w:val="ar-SA" w:eastAsia="zh-TW" w:bidi="en-GB"/>
        </w:rPr>
      </w:pPr>
      <w:r w:rsidRPr="00AF3116">
        <w:rPr>
          <w:rtl/>
        </w:rPr>
        <w:t>169</w:t>
      </w:r>
      <w:r w:rsidRPr="001B6C67">
        <w:rPr>
          <w:rtl/>
        </w:rPr>
        <w:t>-</w:t>
      </w:r>
      <w:r w:rsidRPr="001B6C67">
        <w:rPr>
          <w:rtl/>
        </w:rPr>
        <w:tab/>
        <w:t xml:space="preserve">ولنشر المعرفة بشأن الآليات الوطنية للإبلاغ والمتابعة في المنطقة وخارجها، شاركت وزارة الخارجية والمكتب الإقليمي للمفوضية السامية لحقوق الإنسان في جنوب شرق آسيا في استضافة الحوار الإقليمي بشأن الآليات الوطنية للإبلاغ والمتابعة في بانكوك في </w:t>
      </w:r>
      <w:r w:rsidRPr="00AF3116">
        <w:rPr>
          <w:rtl/>
        </w:rPr>
        <w:t>29</w:t>
      </w:r>
      <w:r w:rsidRPr="001B6C67">
        <w:rPr>
          <w:rtl/>
        </w:rPr>
        <w:t xml:space="preserve"> و</w:t>
      </w:r>
      <w:r w:rsidRPr="00AF3116">
        <w:rPr>
          <w:rtl/>
        </w:rPr>
        <w:t>30</w:t>
      </w:r>
      <w:r w:rsidRPr="001B6C67">
        <w:rPr>
          <w:rtl/>
        </w:rPr>
        <w:t xml:space="preserve"> آب/أغسطس </w:t>
      </w:r>
      <w:r w:rsidRPr="00AF3116">
        <w:rPr>
          <w:rtl/>
        </w:rPr>
        <w:t>2019</w:t>
      </w:r>
      <w:r w:rsidRPr="001B6C67">
        <w:rPr>
          <w:rtl/>
        </w:rPr>
        <w:t>. وحضر</w:t>
      </w:r>
      <w:r w:rsidR="005F6F8E">
        <w:rPr>
          <w:rFonts w:hint="cs"/>
          <w:rtl/>
        </w:rPr>
        <w:t> </w:t>
      </w:r>
      <w:r w:rsidRPr="001B6C67">
        <w:rPr>
          <w:rtl/>
        </w:rPr>
        <w:t xml:space="preserve">الحوار نحو </w:t>
      </w:r>
      <w:r w:rsidRPr="00AF3116">
        <w:rPr>
          <w:rtl/>
        </w:rPr>
        <w:t>50</w:t>
      </w:r>
      <w:r w:rsidRPr="001B6C67">
        <w:rPr>
          <w:rtl/>
        </w:rPr>
        <w:t xml:space="preserve"> مشاركاً من الوكالات المعنية المسؤولة عن الإبلاغ عن إعمال حقوق الإنسان ومتابعتها من </w:t>
      </w:r>
      <w:r w:rsidRPr="00AF3116">
        <w:rPr>
          <w:rtl/>
        </w:rPr>
        <w:t>12</w:t>
      </w:r>
      <w:r w:rsidRPr="001B6C67">
        <w:rPr>
          <w:rtl/>
        </w:rPr>
        <w:t xml:space="preserve"> بلداً في منطقة آسيا والمحيط الهادئ، وهي باكستان وبروني دار السلام وبنغلاديش وتيمور - ليشتي والصين والفلبين وفيجي </w:t>
      </w:r>
      <w:proofErr w:type="spellStart"/>
      <w:r w:rsidRPr="001B6C67">
        <w:rPr>
          <w:rtl/>
        </w:rPr>
        <w:t>وفييت</w:t>
      </w:r>
      <w:proofErr w:type="spellEnd"/>
      <w:r w:rsidRPr="001B6C67">
        <w:rPr>
          <w:rtl/>
        </w:rPr>
        <w:t xml:space="preserve"> نام وكمبوديا وماليزيا وميانمار، فضلاً عن ممثلين من الوكالات التايلندية ذات الصلة. وكان الحوار منبراً لتبادل الممارسات الجيدة والدروس المستفادة في استخدام الآليات الوطنية للإبلاغ والمتابعة وبناء قدرات الوكالات المعنية وتشكيل مدخلات للمحافل ذات الصلة مثل مجلس حقوق الإنسان. وبالإضافة إلى ذلك، عزز هذا الحوار شبكة الوكالات الحكومية في تنفيذ التزامات البلد وتوصياته في مجال حقوق الإنسان والإبلاغ عنها ومتابعتها.</w:t>
      </w:r>
    </w:p>
    <w:p w14:paraId="769A294F" w14:textId="77777777" w:rsidR="00DE3D9F" w:rsidRPr="001B6C67" w:rsidRDefault="00DE3D9F" w:rsidP="00DE3D9F">
      <w:pPr>
        <w:pStyle w:val="SingleTxtGA"/>
        <w:rPr>
          <w:lang w:val="ar-SA" w:eastAsia="zh-TW" w:bidi="en-GB"/>
        </w:rPr>
      </w:pPr>
      <w:r w:rsidRPr="00AF3116">
        <w:rPr>
          <w:rtl/>
        </w:rPr>
        <w:lastRenderedPageBreak/>
        <w:t>170</w:t>
      </w:r>
      <w:r w:rsidRPr="001B6C67">
        <w:rPr>
          <w:rtl/>
        </w:rPr>
        <w:t>-</w:t>
      </w:r>
      <w:r w:rsidRPr="001B6C67">
        <w:rPr>
          <w:rtl/>
        </w:rPr>
        <w:tab/>
        <w:t xml:space="preserve">وقد خصصت إدارة حماية الحقوق والحريات التابعة لوزارة العدل مسؤولين كمتحدثين لتبادل الخبرات في تنفيذ مبادئ الأمم المتحدة التوجيهية بشأن الأعمال التجارية وحقوق الإنسان، بما في ذلك إعداد خطة عمل وطنية بشأن الأعمال التجارية وحقوق الإنسان، في بلدان مختلفة مثل باكستان وفيتنام وماليزيا. وتعاونت إدارة حماية الحقوق والحريات أيضاً في هذا المجال مع وكالات الأمم المتحدة ذات الصلة، بما فيها برنامج الأمم المتحدة الإنمائي </w:t>
      </w:r>
      <w:r>
        <w:rPr>
          <w:rtl/>
        </w:rPr>
        <w:t>و</w:t>
      </w:r>
      <w:r w:rsidRPr="001B6C67">
        <w:rPr>
          <w:rtl/>
        </w:rPr>
        <w:t>اللجنة الاقتصادية والاجتماعية لآسيا والمحيط الهادئ.</w:t>
      </w:r>
    </w:p>
    <w:p w14:paraId="132FB0BE" w14:textId="080FDF16" w:rsidR="00DE3D9F" w:rsidRPr="001B6C67" w:rsidRDefault="00DE3D9F" w:rsidP="00DE3D9F">
      <w:pPr>
        <w:pStyle w:val="SingleTxtGA"/>
        <w:rPr>
          <w:lang w:val="ar-SA" w:eastAsia="zh-TW" w:bidi="en-GB"/>
        </w:rPr>
      </w:pPr>
      <w:r w:rsidRPr="00AF3116">
        <w:rPr>
          <w:rtl/>
        </w:rPr>
        <w:t>171</w:t>
      </w:r>
      <w:r w:rsidRPr="001B6C67">
        <w:rPr>
          <w:rtl/>
        </w:rPr>
        <w:t>-</w:t>
      </w:r>
      <w:r w:rsidRPr="001B6C67">
        <w:rPr>
          <w:rtl/>
        </w:rPr>
        <w:tab/>
        <w:t>وعملا</w:t>
      </w:r>
      <w:r>
        <w:rPr>
          <w:rtl/>
        </w:rPr>
        <w:t>ً</w:t>
      </w:r>
      <w:r w:rsidRPr="001B6C67">
        <w:rPr>
          <w:rtl/>
        </w:rPr>
        <w:t xml:space="preserve"> بالفقرتين </w:t>
      </w:r>
      <w:r w:rsidRPr="00AF3116">
        <w:rPr>
          <w:rtl/>
        </w:rPr>
        <w:t>127</w:t>
      </w:r>
      <w:r w:rsidRPr="001B6C67">
        <w:rPr>
          <w:rtl/>
        </w:rPr>
        <w:t xml:space="preserve"> و</w:t>
      </w:r>
      <w:r w:rsidRPr="00AF3116">
        <w:rPr>
          <w:rtl/>
        </w:rPr>
        <w:t>128</w:t>
      </w:r>
      <w:r w:rsidRPr="001B6C67">
        <w:rPr>
          <w:rtl/>
        </w:rPr>
        <w:t>، ينظم معهد تايلاند للعدالة دورات سنوية حول معاملة السجينات وفقاً لقواعد بانكوك ل</w:t>
      </w:r>
      <w:r>
        <w:rPr>
          <w:rtl/>
        </w:rPr>
        <w:t xml:space="preserve">فائدة </w:t>
      </w:r>
      <w:r w:rsidRPr="001B6C67">
        <w:rPr>
          <w:rtl/>
        </w:rPr>
        <w:t xml:space="preserve">كبار موظفي الإصلاحيات في آسيان منذ عام </w:t>
      </w:r>
      <w:r w:rsidRPr="00AF3116">
        <w:rPr>
          <w:rtl/>
        </w:rPr>
        <w:t>2017</w:t>
      </w:r>
      <w:r w:rsidRPr="001B6C67">
        <w:rPr>
          <w:rtl/>
        </w:rPr>
        <w:t>. وبالإضافة إلى ذلك، نُظِّمت أنشطة لبناء القدرات والتدريب بناءً على الطلب في بلدان مختلفة مثل إندونيسيا وكينيا وماليزيا. وقد</w:t>
      </w:r>
      <w:r w:rsidR="00D55C97">
        <w:rPr>
          <w:rFonts w:hint="cs"/>
          <w:rtl/>
        </w:rPr>
        <w:t> </w:t>
      </w:r>
      <w:r>
        <w:rPr>
          <w:rtl/>
        </w:rPr>
        <w:t>نُظِّمت</w:t>
      </w:r>
      <w:r w:rsidRPr="001B6C67">
        <w:rPr>
          <w:rtl/>
        </w:rPr>
        <w:t xml:space="preserve"> على أساس ثنائي، وكذلك في إطار ثلاثي مع اللجنة الدولية للصليب الأحمر ومكتب الأمم المتحدة المعني بالمخدرات والجريمة.</w:t>
      </w:r>
    </w:p>
    <w:p w14:paraId="279C1203" w14:textId="77777777" w:rsidR="00DE3D9F" w:rsidRPr="001B6C67" w:rsidRDefault="00DE3D9F" w:rsidP="00883EBA">
      <w:pPr>
        <w:pStyle w:val="H1GA"/>
        <w:rPr>
          <w:lang w:val="ar-SA" w:eastAsia="zh-TW" w:bidi="en-GB"/>
        </w:rPr>
      </w:pPr>
      <w:r>
        <w:rPr>
          <w:rtl/>
        </w:rPr>
        <w:tab/>
      </w:r>
      <w:bookmarkStart w:id="33" w:name="_Toc92899420"/>
      <w:r w:rsidRPr="001B6C67">
        <w:rPr>
          <w:rtl/>
        </w:rPr>
        <w:t>دال-</w:t>
      </w:r>
      <w:r w:rsidRPr="001B6C67">
        <w:rPr>
          <w:rtl/>
        </w:rPr>
        <w:tab/>
      </w:r>
      <w:r w:rsidRPr="00AF3116">
        <w:rPr>
          <w:rtl/>
        </w:rPr>
        <w:t>عملية تقديم التقارير إلى الأمم المتحدة على الصعيد الوطني</w:t>
      </w:r>
      <w:bookmarkStart w:id="34" w:name="_Toc89701539"/>
      <w:bookmarkEnd w:id="34"/>
      <w:bookmarkEnd w:id="33"/>
    </w:p>
    <w:p w14:paraId="296BBE47" w14:textId="3D79E069" w:rsidR="00DE3D9F" w:rsidRPr="001B6C67" w:rsidRDefault="00DE3D9F" w:rsidP="00DE3D9F">
      <w:pPr>
        <w:pStyle w:val="SingleTxtGA"/>
        <w:rPr>
          <w:lang w:val="ar-SA" w:eastAsia="zh-TW" w:bidi="en-GB"/>
        </w:rPr>
      </w:pPr>
      <w:r w:rsidRPr="00AF3116">
        <w:rPr>
          <w:rtl/>
        </w:rPr>
        <w:t>172</w:t>
      </w:r>
      <w:r w:rsidRPr="001B6C67">
        <w:rPr>
          <w:rtl/>
        </w:rPr>
        <w:t>-</w:t>
      </w:r>
      <w:r w:rsidRPr="001B6C67">
        <w:rPr>
          <w:rtl/>
        </w:rPr>
        <w:tab/>
        <w:t>تم إعداد التقارير الإلزامية عن تنفيذ صكوك حقوق الإنسان التي انضمت إليها تايلند بمشاركة نشطة من جميع أصحاب المصلحة. وقد تم إنشاء لجنة وطنية أو فريق عامل كآلية أساسية لإعداد كل تقرير تضم الوكالات ذات الصلة من القطاعين العام والخاص والأوساط الأكاديمية وأصحاب المصلحة أو</w:t>
      </w:r>
      <w:r w:rsidR="00D55C97">
        <w:rPr>
          <w:rFonts w:hint="cs"/>
          <w:rtl/>
        </w:rPr>
        <w:t> </w:t>
      </w:r>
      <w:r w:rsidRPr="001B6C67">
        <w:rPr>
          <w:rtl/>
        </w:rPr>
        <w:t xml:space="preserve">الفئات المستهدفة التي تهدف الصكوك إلى توفير الحماية لها. </w:t>
      </w:r>
    </w:p>
    <w:p w14:paraId="256F84AF" w14:textId="77777777" w:rsidR="00DE3D9F" w:rsidRPr="001B6C67" w:rsidRDefault="00DE3D9F" w:rsidP="00DE3D9F">
      <w:pPr>
        <w:pStyle w:val="SingleTxtGA"/>
        <w:rPr>
          <w:lang w:val="ar-SA" w:eastAsia="zh-TW" w:bidi="en-GB"/>
        </w:rPr>
      </w:pPr>
      <w:r w:rsidRPr="00AF3116">
        <w:rPr>
          <w:rtl/>
        </w:rPr>
        <w:t>173</w:t>
      </w:r>
      <w:r w:rsidRPr="001B6C67">
        <w:rPr>
          <w:rtl/>
        </w:rPr>
        <w:t>-</w:t>
      </w:r>
      <w:r w:rsidRPr="001B6C67">
        <w:rPr>
          <w:rtl/>
        </w:rPr>
        <w:tab/>
        <w:t xml:space="preserve">والميسرون الرئيسيون في إعداد التقرير هم، بحسب الاتفاقية المعنية، وزارة العدل (العهد الدولي الخاص بالحقوق المدنية والسياسية، العهد الدولي الخاص بالحقوق الاقتصادية والاجتماعية والثقافية، الاتفاقية الدولية للقضاء على التمييز العنصري، لجنة مناهضة التعذيب) ووزارة التنمية الاجتماعية والأمن البشري (اتفاقية القضاء على جميع أشكال التمييز ضد المرأة، اتفاقية حقوق الطفل، اتفاقية حقوق الأشخاص ذوي الإعاقة). وتتولى وزارة العدل ووزارة الخارجية مسؤولية إعداد تقارير الاستعراض الدوري الشامل. وسُلِّط الضوء وسيُسلّط في التقارير المختلفة على القوائم الكاملة للمنظمات والأشخاص المشاركين في إعداد كل تقرير. </w:t>
      </w:r>
    </w:p>
    <w:p w14:paraId="4241EDB7" w14:textId="77777777" w:rsidR="00DE3D9F" w:rsidRPr="001B6C67" w:rsidRDefault="00DE3D9F" w:rsidP="00DE3D9F">
      <w:pPr>
        <w:pStyle w:val="SingleTxtGA"/>
        <w:rPr>
          <w:lang w:val="ar-SA" w:eastAsia="zh-TW" w:bidi="en-GB"/>
        </w:rPr>
      </w:pPr>
      <w:r w:rsidRPr="00AF3116">
        <w:rPr>
          <w:rtl/>
        </w:rPr>
        <w:t>174</w:t>
      </w:r>
      <w:r w:rsidRPr="001B6C67">
        <w:rPr>
          <w:rtl/>
        </w:rPr>
        <w:t>-</w:t>
      </w:r>
      <w:r w:rsidRPr="001B6C67">
        <w:rPr>
          <w:rtl/>
        </w:rPr>
        <w:tab/>
        <w:t xml:space="preserve">ويتبع إعداد التقارير من حيث الشكل والمضمون والمبادئ التوجيهية المتطلبات والمبادئ التوجيهية للجان الأمم المتحدة المسؤولة عن هذه الصكوك. </w:t>
      </w:r>
    </w:p>
    <w:p w14:paraId="76494B89" w14:textId="77777777" w:rsidR="00DE3D9F" w:rsidRPr="001B6C67" w:rsidRDefault="00DE3D9F" w:rsidP="00DE3D9F">
      <w:pPr>
        <w:pStyle w:val="SingleTxtGA"/>
        <w:rPr>
          <w:lang w:val="ar-SA" w:eastAsia="zh-TW" w:bidi="en-GB"/>
        </w:rPr>
      </w:pPr>
      <w:r w:rsidRPr="00AF3116">
        <w:rPr>
          <w:rtl/>
        </w:rPr>
        <w:t>175</w:t>
      </w:r>
      <w:r w:rsidRPr="001B6C67">
        <w:rPr>
          <w:rtl/>
        </w:rPr>
        <w:t>-</w:t>
      </w:r>
      <w:r w:rsidRPr="001B6C67">
        <w:rPr>
          <w:rtl/>
        </w:rPr>
        <w:tab/>
        <w:t>وفي معظم الحالات، يصاغ التقرير في البداية باللغة التايلندية، بمساهمات من مختلف الأفرقة العاملة</w:t>
      </w:r>
      <w:r w:rsidRPr="00AB5507">
        <w:rPr>
          <w:rtl/>
        </w:rPr>
        <w:t xml:space="preserve"> </w:t>
      </w:r>
      <w:r w:rsidRPr="001B6C67">
        <w:rPr>
          <w:rtl/>
        </w:rPr>
        <w:t xml:space="preserve">المسؤولة عن مواضيع محددة، التي تضم ممثلين من القطاعين العام والخاص. وبعد ذلك، يُعرَض مشروع التقرير على جلسات استماع علنية، على الصعيدين الإقليمي والوطني، لجمع التعليقات والتوصيات. ثم يُقدَّم التقرير المعدَّل إلى الوكالات المسؤولة للموافقة عليه ثم يُترجَم إلى اللغة الإنكليزية. </w:t>
      </w:r>
    </w:p>
    <w:p w14:paraId="74E3C09A" w14:textId="77777777" w:rsidR="00DE3D9F" w:rsidRPr="001B6C67" w:rsidRDefault="00DE3D9F" w:rsidP="00DE3D9F">
      <w:pPr>
        <w:pStyle w:val="SingleTxtGA"/>
        <w:rPr>
          <w:lang w:val="ar-SA" w:eastAsia="zh-TW" w:bidi="en-GB"/>
        </w:rPr>
      </w:pPr>
      <w:r w:rsidRPr="00AF3116">
        <w:rPr>
          <w:rtl/>
        </w:rPr>
        <w:t>176</w:t>
      </w:r>
      <w:r w:rsidRPr="001B6C67">
        <w:rPr>
          <w:rtl/>
        </w:rPr>
        <w:t>-</w:t>
      </w:r>
      <w:r w:rsidRPr="001B6C67">
        <w:rPr>
          <w:rtl/>
        </w:rPr>
        <w:tab/>
        <w:t>ويقدَّم التقرير النهائي إلى مجلس الوزراء للموافقة عليه، ثم إلى وزارة الخارجية لتقديمه رسمياً إلى الأمم المتحدة.</w:t>
      </w:r>
    </w:p>
    <w:p w14:paraId="6060BB45" w14:textId="77777777" w:rsidR="00DE3D9F" w:rsidRPr="001B6C67" w:rsidRDefault="00DE3D9F" w:rsidP="00DE3D9F">
      <w:pPr>
        <w:pStyle w:val="SingleTxtGA"/>
        <w:rPr>
          <w:lang w:val="ar-SA" w:eastAsia="zh-TW" w:bidi="en-GB"/>
        </w:rPr>
      </w:pPr>
      <w:r w:rsidRPr="00AF3116">
        <w:rPr>
          <w:rtl/>
        </w:rPr>
        <w:t>177</w:t>
      </w:r>
      <w:r w:rsidRPr="001B6C67">
        <w:rPr>
          <w:rtl/>
        </w:rPr>
        <w:t>-</w:t>
      </w:r>
      <w:r w:rsidRPr="001B6C67">
        <w:rPr>
          <w:rtl/>
        </w:rPr>
        <w:tab/>
        <w:t>وفيما يلي التقارير التي قدمتها تايلند إلى الأمم المتحدة:</w:t>
      </w:r>
    </w:p>
    <w:tbl>
      <w:tblPr>
        <w:bidiVisual/>
        <w:tblW w:w="765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04"/>
        <w:gridCol w:w="2990"/>
        <w:gridCol w:w="2259"/>
      </w:tblGrid>
      <w:tr w:rsidR="00DE3D9F" w:rsidRPr="00883EBA" w14:paraId="57378D29" w14:textId="77777777" w:rsidTr="005F6F8E">
        <w:trPr>
          <w:tblHeader/>
        </w:trPr>
        <w:tc>
          <w:tcPr>
            <w:tcW w:w="2404" w:type="dxa"/>
            <w:tcBorders>
              <w:top w:val="single" w:sz="4" w:space="0" w:color="auto"/>
              <w:bottom w:val="single" w:sz="12" w:space="0" w:color="auto"/>
            </w:tcBorders>
            <w:shd w:val="clear" w:color="auto" w:fill="auto"/>
            <w:vAlign w:val="bottom"/>
          </w:tcPr>
          <w:p w14:paraId="79FD327C" w14:textId="77777777" w:rsidR="00DE3D9F" w:rsidRPr="00883EBA" w:rsidRDefault="00F50514" w:rsidP="0093366D">
            <w:pPr>
              <w:spacing w:before="80" w:after="80" w:line="320" w:lineRule="exact"/>
              <w:ind w:left="80" w:right="294"/>
              <w:textDirection w:val="tbRlV"/>
              <w:rPr>
                <w:rFonts w:ascii="Simplified Arabic" w:hAnsi="Simplified Arabic"/>
                <w:i/>
                <w:sz w:val="22"/>
                <w:lang w:val="ar-SA" w:eastAsia="zh-TW" w:bidi="en-GB"/>
              </w:rPr>
            </w:pPr>
            <w:dir w:val="rtl">
              <w:r w:rsidR="00DE3D9F" w:rsidRPr="00AF3116">
                <w:rPr>
                  <w:rFonts w:ascii="Simplified Arabic" w:hAnsi="Simplified Arabic"/>
                  <w:i/>
                  <w:iCs/>
                  <w:sz w:val="22"/>
                  <w:rtl/>
                </w:rPr>
                <w:t>الاتفاقيات</w:t>
              </w:r>
              <w:r w:rsidR="00DE3D9F" w:rsidRPr="00AF3116">
                <w:rPr>
                  <w:rFonts w:cs="Times New Roman" w:hint="cs"/>
                  <w:i/>
                  <w:iCs/>
                  <w:sz w:val="22"/>
                  <w:rtl/>
                </w:rPr>
                <w:t>‬</w:t>
              </w:r>
              <w:r w:rsidR="00DE3D9F" w:rsidRPr="00883EBA">
                <w:rPr>
                  <w:sz w:val="22"/>
                </w:rPr>
                <w:t>‬</w:t>
              </w:r>
              <w:r w:rsidR="00DE3D9F" w:rsidRPr="00883EBA">
                <w:rPr>
                  <w:sz w:val="22"/>
                </w:rPr>
                <w:t>‬</w:t>
              </w:r>
              <w:r w:rsidR="003B756C">
                <w:t>‬</w:t>
              </w:r>
              <w:r>
                <w:t>‬</w:t>
              </w:r>
            </w:dir>
          </w:p>
        </w:tc>
        <w:tc>
          <w:tcPr>
            <w:tcW w:w="2990" w:type="dxa"/>
            <w:tcBorders>
              <w:top w:val="single" w:sz="4" w:space="0" w:color="auto"/>
              <w:bottom w:val="single" w:sz="12" w:space="0" w:color="auto"/>
            </w:tcBorders>
            <w:shd w:val="clear" w:color="auto" w:fill="auto"/>
            <w:vAlign w:val="bottom"/>
          </w:tcPr>
          <w:p w14:paraId="0186B8E2" w14:textId="77777777" w:rsidR="00DE3D9F" w:rsidRPr="00883EBA" w:rsidRDefault="00DE3D9F" w:rsidP="0093366D">
            <w:pPr>
              <w:spacing w:before="80" w:after="80" w:line="320" w:lineRule="exact"/>
              <w:ind w:left="125" w:right="469"/>
              <w:textDirection w:val="tbRlV"/>
              <w:rPr>
                <w:rFonts w:ascii="Simplified Arabic" w:hAnsi="Simplified Arabic"/>
                <w:i/>
                <w:sz w:val="22"/>
                <w:lang w:val="ar-SA" w:eastAsia="zh-TW" w:bidi="en-GB"/>
              </w:rPr>
            </w:pPr>
            <w:r w:rsidRPr="00AF3116">
              <w:rPr>
                <w:rFonts w:ascii="Simplified Arabic" w:hAnsi="Simplified Arabic"/>
                <w:i/>
                <w:iCs/>
                <w:sz w:val="22"/>
                <w:rtl/>
              </w:rPr>
              <w:t>الوثائق</w:t>
            </w:r>
          </w:p>
        </w:tc>
        <w:tc>
          <w:tcPr>
            <w:tcW w:w="2259" w:type="dxa"/>
            <w:tcBorders>
              <w:top w:val="single" w:sz="4" w:space="0" w:color="auto"/>
              <w:bottom w:val="single" w:sz="12" w:space="0" w:color="auto"/>
            </w:tcBorders>
            <w:shd w:val="clear" w:color="auto" w:fill="auto"/>
            <w:vAlign w:val="bottom"/>
          </w:tcPr>
          <w:p w14:paraId="286F7711" w14:textId="77777777" w:rsidR="00DE3D9F" w:rsidRPr="00AF3116" w:rsidRDefault="00DE3D9F" w:rsidP="0093366D">
            <w:pPr>
              <w:spacing w:before="80" w:after="80" w:line="320" w:lineRule="exact"/>
              <w:ind w:left="91"/>
              <w:textDirection w:val="tbRlV"/>
              <w:rPr>
                <w:rFonts w:ascii="Simplified Arabic" w:hAnsi="Simplified Arabic"/>
                <w:i/>
                <w:spacing w:val="-2"/>
                <w:sz w:val="22"/>
                <w:lang w:val="ar-SA" w:eastAsia="zh-TW" w:bidi="en-GB"/>
              </w:rPr>
            </w:pPr>
            <w:r w:rsidRPr="00AF3116">
              <w:rPr>
                <w:rFonts w:ascii="Simplified Arabic" w:hAnsi="Simplified Arabic"/>
                <w:i/>
                <w:iCs/>
                <w:spacing w:val="-2"/>
                <w:sz w:val="22"/>
                <w:rtl/>
              </w:rPr>
              <w:t>التاريخ</w:t>
            </w:r>
          </w:p>
        </w:tc>
      </w:tr>
      <w:tr w:rsidR="00DE3D9F" w:rsidRPr="00883EBA" w14:paraId="4DEDBA53" w14:textId="77777777" w:rsidTr="005F6F8E">
        <w:trPr>
          <w:trHeight w:hRule="exact" w:val="113"/>
          <w:tblHeader/>
        </w:trPr>
        <w:tc>
          <w:tcPr>
            <w:tcW w:w="2404" w:type="dxa"/>
            <w:tcBorders>
              <w:top w:val="single" w:sz="12" w:space="0" w:color="auto"/>
            </w:tcBorders>
            <w:shd w:val="clear" w:color="auto" w:fill="auto"/>
          </w:tcPr>
          <w:p w14:paraId="092F35E7" w14:textId="77777777" w:rsidR="00DE3D9F" w:rsidRPr="00146491" w:rsidRDefault="00DE3D9F" w:rsidP="0093366D">
            <w:pPr>
              <w:spacing w:before="40" w:after="120" w:line="320" w:lineRule="exact"/>
              <w:ind w:left="80" w:right="294"/>
              <w:rPr>
                <w:rFonts w:ascii="Simplified Arabic" w:hAnsi="Simplified Arabic"/>
                <w:szCs w:val="20"/>
              </w:rPr>
            </w:pPr>
          </w:p>
        </w:tc>
        <w:tc>
          <w:tcPr>
            <w:tcW w:w="2990" w:type="dxa"/>
            <w:tcBorders>
              <w:top w:val="single" w:sz="12" w:space="0" w:color="auto"/>
            </w:tcBorders>
            <w:shd w:val="clear" w:color="auto" w:fill="auto"/>
          </w:tcPr>
          <w:p w14:paraId="73338C2C" w14:textId="77777777" w:rsidR="00DE3D9F" w:rsidRPr="00146491" w:rsidRDefault="00DE3D9F" w:rsidP="0093366D">
            <w:pPr>
              <w:spacing w:before="40" w:after="120" w:line="320" w:lineRule="exact"/>
              <w:ind w:left="125" w:right="469"/>
              <w:rPr>
                <w:rFonts w:ascii="Simplified Arabic" w:hAnsi="Simplified Arabic"/>
                <w:szCs w:val="20"/>
              </w:rPr>
            </w:pPr>
          </w:p>
        </w:tc>
        <w:tc>
          <w:tcPr>
            <w:tcW w:w="2259" w:type="dxa"/>
            <w:tcBorders>
              <w:top w:val="single" w:sz="12" w:space="0" w:color="auto"/>
            </w:tcBorders>
            <w:shd w:val="clear" w:color="auto" w:fill="auto"/>
          </w:tcPr>
          <w:p w14:paraId="1B95691A" w14:textId="77777777" w:rsidR="00DE3D9F" w:rsidRPr="00146491" w:rsidRDefault="00DE3D9F" w:rsidP="0093366D">
            <w:pPr>
              <w:spacing w:before="40" w:after="120" w:line="320" w:lineRule="exact"/>
              <w:ind w:left="91"/>
              <w:rPr>
                <w:rFonts w:ascii="Simplified Arabic" w:hAnsi="Simplified Arabic"/>
                <w:spacing w:val="-2"/>
                <w:szCs w:val="20"/>
              </w:rPr>
            </w:pPr>
          </w:p>
        </w:tc>
      </w:tr>
      <w:tr w:rsidR="00DE3D9F" w:rsidRPr="00883EBA" w14:paraId="7C2DEEA8" w14:textId="77777777" w:rsidTr="00146491">
        <w:tc>
          <w:tcPr>
            <w:tcW w:w="2404" w:type="dxa"/>
            <w:tcBorders>
              <w:bottom w:val="nil"/>
            </w:tcBorders>
            <w:shd w:val="clear" w:color="auto" w:fill="auto"/>
          </w:tcPr>
          <w:p w14:paraId="3411DE9D" w14:textId="77777777" w:rsidR="00DE3D9F" w:rsidRPr="00146491" w:rsidRDefault="00DE3D9F" w:rsidP="00146491">
            <w:pPr>
              <w:spacing w:before="40" w:after="120" w:line="300" w:lineRule="exact"/>
              <w:ind w:left="80" w:right="294"/>
              <w:textDirection w:val="tbRlV"/>
              <w:rPr>
                <w:rFonts w:ascii="Simplified Arabic" w:hAnsi="Simplified Arabic"/>
                <w:szCs w:val="20"/>
                <w:lang w:val="ar-SA" w:eastAsia="zh-TW" w:bidi="en-GB"/>
              </w:rPr>
            </w:pPr>
            <w:r w:rsidRPr="00146491">
              <w:rPr>
                <w:rFonts w:ascii="Simplified Arabic" w:hAnsi="Simplified Arabic"/>
                <w:szCs w:val="20"/>
                <w:rtl/>
              </w:rPr>
              <w:t>اتفاقية مناهضة التعذيب</w:t>
            </w:r>
          </w:p>
        </w:tc>
        <w:tc>
          <w:tcPr>
            <w:tcW w:w="2990" w:type="dxa"/>
            <w:tcBorders>
              <w:bottom w:val="nil"/>
            </w:tcBorders>
            <w:shd w:val="clear" w:color="auto" w:fill="auto"/>
          </w:tcPr>
          <w:p w14:paraId="2C960C6C"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الأول</w:t>
            </w:r>
          </w:p>
        </w:tc>
        <w:tc>
          <w:tcPr>
            <w:tcW w:w="2259" w:type="dxa"/>
            <w:tcBorders>
              <w:bottom w:val="nil"/>
            </w:tcBorders>
            <w:shd w:val="clear" w:color="auto" w:fill="auto"/>
          </w:tcPr>
          <w:p w14:paraId="1367477B"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27 شباط/فبراير 2013</w:t>
            </w:r>
          </w:p>
        </w:tc>
      </w:tr>
      <w:tr w:rsidR="00DE3D9F" w:rsidRPr="00883EBA" w14:paraId="6EFC1354" w14:textId="77777777" w:rsidTr="00146491">
        <w:tc>
          <w:tcPr>
            <w:tcW w:w="2404" w:type="dxa"/>
            <w:vMerge w:val="restart"/>
            <w:tcBorders>
              <w:top w:val="nil"/>
              <w:bottom w:val="nil"/>
            </w:tcBorders>
            <w:shd w:val="clear" w:color="auto" w:fill="auto"/>
          </w:tcPr>
          <w:p w14:paraId="09298CFC" w14:textId="77777777" w:rsidR="00DE3D9F" w:rsidRPr="00146491" w:rsidRDefault="00DE3D9F" w:rsidP="00146491">
            <w:pPr>
              <w:spacing w:before="40" w:after="120" w:line="300" w:lineRule="exact"/>
              <w:ind w:left="80" w:right="294"/>
              <w:textDirection w:val="tbRlV"/>
              <w:rPr>
                <w:rFonts w:ascii="Simplified Arabic" w:hAnsi="Simplified Arabic"/>
                <w:szCs w:val="20"/>
                <w:lang w:val="ar-SA" w:eastAsia="zh-TW" w:bidi="en-GB"/>
              </w:rPr>
            </w:pPr>
            <w:r w:rsidRPr="00146491">
              <w:rPr>
                <w:rFonts w:ascii="Simplified Arabic" w:hAnsi="Simplified Arabic"/>
                <w:szCs w:val="20"/>
                <w:rtl/>
              </w:rPr>
              <w:t>‎العهد الدولي الخاص بالحقوق المدنية والسياسية‏‏</w:t>
            </w:r>
          </w:p>
        </w:tc>
        <w:tc>
          <w:tcPr>
            <w:tcW w:w="2990" w:type="dxa"/>
            <w:tcBorders>
              <w:top w:val="nil"/>
              <w:bottom w:val="nil"/>
            </w:tcBorders>
            <w:shd w:val="clear" w:color="auto" w:fill="auto"/>
          </w:tcPr>
          <w:p w14:paraId="1A124D08"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الأول</w:t>
            </w:r>
          </w:p>
        </w:tc>
        <w:tc>
          <w:tcPr>
            <w:tcW w:w="2259" w:type="dxa"/>
            <w:tcBorders>
              <w:top w:val="nil"/>
              <w:bottom w:val="nil"/>
            </w:tcBorders>
            <w:shd w:val="clear" w:color="auto" w:fill="auto"/>
          </w:tcPr>
          <w:p w14:paraId="4B21E932"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 حزيران/يونيه 2004</w:t>
            </w:r>
          </w:p>
        </w:tc>
      </w:tr>
      <w:tr w:rsidR="00DE3D9F" w:rsidRPr="00883EBA" w14:paraId="0EB3F77A" w14:textId="77777777" w:rsidTr="00146491">
        <w:tc>
          <w:tcPr>
            <w:tcW w:w="2404" w:type="dxa"/>
            <w:vMerge/>
            <w:tcBorders>
              <w:top w:val="nil"/>
            </w:tcBorders>
            <w:shd w:val="clear" w:color="auto" w:fill="auto"/>
          </w:tcPr>
          <w:p w14:paraId="577E7A7F" w14:textId="77777777" w:rsidR="00DE3D9F" w:rsidRPr="00146491" w:rsidRDefault="00DE3D9F" w:rsidP="00146491">
            <w:pPr>
              <w:spacing w:before="40" w:after="120" w:line="300" w:lineRule="exact"/>
              <w:ind w:left="80" w:right="294"/>
              <w:rPr>
                <w:rFonts w:ascii="Simplified Arabic" w:hAnsi="Simplified Arabic"/>
                <w:szCs w:val="20"/>
              </w:rPr>
            </w:pPr>
          </w:p>
        </w:tc>
        <w:tc>
          <w:tcPr>
            <w:tcW w:w="2990" w:type="dxa"/>
            <w:tcBorders>
              <w:top w:val="nil"/>
            </w:tcBorders>
            <w:shd w:val="clear" w:color="auto" w:fill="auto"/>
          </w:tcPr>
          <w:p w14:paraId="2A2E3314"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الثاني</w:t>
            </w:r>
          </w:p>
        </w:tc>
        <w:tc>
          <w:tcPr>
            <w:tcW w:w="2259" w:type="dxa"/>
            <w:tcBorders>
              <w:top w:val="nil"/>
            </w:tcBorders>
            <w:shd w:val="clear" w:color="auto" w:fill="auto"/>
          </w:tcPr>
          <w:p w14:paraId="496A510B"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23 حزيران/يونيه 2015</w:t>
            </w:r>
          </w:p>
        </w:tc>
      </w:tr>
      <w:tr w:rsidR="00DE3D9F" w:rsidRPr="00883EBA" w14:paraId="487A39CE" w14:textId="77777777" w:rsidTr="005F6F8E">
        <w:tc>
          <w:tcPr>
            <w:tcW w:w="2404" w:type="dxa"/>
            <w:shd w:val="clear" w:color="auto" w:fill="auto"/>
          </w:tcPr>
          <w:p w14:paraId="2929CD0D" w14:textId="77777777" w:rsidR="00DE3D9F" w:rsidRPr="00146491" w:rsidRDefault="00DE3D9F" w:rsidP="00146491">
            <w:pPr>
              <w:spacing w:before="40" w:after="120" w:line="300" w:lineRule="exact"/>
              <w:ind w:left="80" w:right="294"/>
              <w:textDirection w:val="tbRlV"/>
              <w:rPr>
                <w:rFonts w:ascii="Simplified Arabic" w:hAnsi="Simplified Arabic"/>
                <w:szCs w:val="20"/>
                <w:lang w:val="ar-SA" w:eastAsia="zh-TW" w:bidi="en-GB"/>
              </w:rPr>
            </w:pPr>
            <w:r w:rsidRPr="00146491">
              <w:rPr>
                <w:rFonts w:ascii="Simplified Arabic" w:hAnsi="Simplified Arabic"/>
                <w:szCs w:val="20"/>
                <w:rtl/>
              </w:rPr>
              <w:t>اتفاقية القضاء على جميع أشكال التمييز ضد المرأة</w:t>
            </w:r>
          </w:p>
        </w:tc>
        <w:tc>
          <w:tcPr>
            <w:tcW w:w="2990" w:type="dxa"/>
            <w:shd w:val="clear" w:color="auto" w:fill="auto"/>
          </w:tcPr>
          <w:p w14:paraId="43AC3B5F" w14:textId="77777777" w:rsidR="00DE3D9F" w:rsidRPr="00146491" w:rsidRDefault="00DE3D9F" w:rsidP="00146491">
            <w:pPr>
              <w:spacing w:before="40" w:after="120" w:line="300" w:lineRule="exact"/>
              <w:ind w:left="125" w:right="469"/>
              <w:textDirection w:val="tbRlV"/>
              <w:rPr>
                <w:rFonts w:ascii="Simplified Arabic" w:hAnsi="Simplified Arabic"/>
                <w:szCs w:val="20"/>
                <w:lang w:eastAsia="zh-TW" w:bidi="en-GB"/>
              </w:rPr>
            </w:pPr>
            <w:r w:rsidRPr="00146491">
              <w:rPr>
                <w:rFonts w:ascii="Simplified Arabic" w:hAnsi="Simplified Arabic"/>
                <w:szCs w:val="20"/>
                <w:rtl/>
              </w:rPr>
              <w:t>التقرير الأول</w:t>
            </w:r>
          </w:p>
        </w:tc>
        <w:tc>
          <w:tcPr>
            <w:tcW w:w="2259" w:type="dxa"/>
            <w:shd w:val="clear" w:color="auto" w:fill="auto"/>
          </w:tcPr>
          <w:p w14:paraId="416E8893"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1 حزيران/يونيه 1987</w:t>
            </w:r>
          </w:p>
        </w:tc>
      </w:tr>
      <w:tr w:rsidR="00DE3D9F" w:rsidRPr="00883EBA" w14:paraId="40F4BE4D" w14:textId="77777777" w:rsidTr="005F6F8E">
        <w:tc>
          <w:tcPr>
            <w:tcW w:w="2404" w:type="dxa"/>
            <w:shd w:val="clear" w:color="auto" w:fill="auto"/>
          </w:tcPr>
          <w:p w14:paraId="14087BD7" w14:textId="77777777" w:rsidR="00DE3D9F" w:rsidRPr="00146491" w:rsidRDefault="00DE3D9F" w:rsidP="00146491">
            <w:pPr>
              <w:spacing w:before="40" w:after="120" w:line="300" w:lineRule="exact"/>
              <w:ind w:left="80" w:right="294"/>
              <w:rPr>
                <w:rFonts w:ascii="Simplified Arabic" w:hAnsi="Simplified Arabic"/>
                <w:szCs w:val="20"/>
                <w:rtl/>
                <w:lang w:val="fr-CH"/>
              </w:rPr>
            </w:pPr>
          </w:p>
        </w:tc>
        <w:tc>
          <w:tcPr>
            <w:tcW w:w="2990" w:type="dxa"/>
            <w:shd w:val="clear" w:color="auto" w:fill="auto"/>
          </w:tcPr>
          <w:p w14:paraId="24839F14"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الجامع للتقريرين الثاني والثالث</w:t>
            </w:r>
          </w:p>
        </w:tc>
        <w:tc>
          <w:tcPr>
            <w:tcW w:w="2259" w:type="dxa"/>
            <w:shd w:val="clear" w:color="auto" w:fill="auto"/>
          </w:tcPr>
          <w:p w14:paraId="687A900A"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3 آذار/مارس 1997</w:t>
            </w:r>
          </w:p>
        </w:tc>
      </w:tr>
      <w:tr w:rsidR="00DE3D9F" w:rsidRPr="00883EBA" w14:paraId="0E8C3A11" w14:textId="77777777" w:rsidTr="005F6F8E">
        <w:tc>
          <w:tcPr>
            <w:tcW w:w="2404" w:type="dxa"/>
            <w:shd w:val="clear" w:color="auto" w:fill="auto"/>
          </w:tcPr>
          <w:p w14:paraId="083574AE" w14:textId="77777777" w:rsidR="00DE3D9F" w:rsidRPr="00146491" w:rsidRDefault="00DE3D9F" w:rsidP="00146491">
            <w:pPr>
              <w:spacing w:before="40" w:after="120" w:line="300" w:lineRule="exact"/>
              <w:ind w:left="80" w:right="294"/>
              <w:rPr>
                <w:rFonts w:ascii="Simplified Arabic" w:hAnsi="Simplified Arabic"/>
                <w:szCs w:val="20"/>
              </w:rPr>
            </w:pPr>
          </w:p>
        </w:tc>
        <w:tc>
          <w:tcPr>
            <w:tcW w:w="2990" w:type="dxa"/>
            <w:shd w:val="clear" w:color="auto" w:fill="auto"/>
          </w:tcPr>
          <w:p w14:paraId="05C9EF7C"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الجامع للتقريرين الرابع والخامس</w:t>
            </w:r>
          </w:p>
        </w:tc>
        <w:tc>
          <w:tcPr>
            <w:tcW w:w="2259" w:type="dxa"/>
            <w:shd w:val="clear" w:color="auto" w:fill="auto"/>
          </w:tcPr>
          <w:p w14:paraId="2EF52B55"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24 حزيران/يونيه 2004</w:t>
            </w:r>
          </w:p>
        </w:tc>
      </w:tr>
      <w:tr w:rsidR="00DE3D9F" w:rsidRPr="00883EBA" w14:paraId="3DD9FD78" w14:textId="77777777" w:rsidTr="005F6F8E">
        <w:tc>
          <w:tcPr>
            <w:tcW w:w="2404" w:type="dxa"/>
            <w:shd w:val="clear" w:color="auto" w:fill="auto"/>
          </w:tcPr>
          <w:p w14:paraId="349C5E04" w14:textId="77777777" w:rsidR="00DE3D9F" w:rsidRPr="00146491" w:rsidRDefault="00DE3D9F" w:rsidP="00146491">
            <w:pPr>
              <w:spacing w:before="40" w:after="120" w:line="300" w:lineRule="exact"/>
              <w:ind w:left="80" w:right="294"/>
              <w:rPr>
                <w:rFonts w:ascii="Simplified Arabic" w:hAnsi="Simplified Arabic"/>
                <w:szCs w:val="20"/>
              </w:rPr>
            </w:pPr>
          </w:p>
        </w:tc>
        <w:tc>
          <w:tcPr>
            <w:tcW w:w="2990" w:type="dxa"/>
            <w:shd w:val="clear" w:color="auto" w:fill="auto"/>
          </w:tcPr>
          <w:p w14:paraId="6DCF9000"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الجامع للتقريرين السادس والسابع</w:t>
            </w:r>
          </w:p>
        </w:tc>
        <w:tc>
          <w:tcPr>
            <w:tcW w:w="2259" w:type="dxa"/>
            <w:shd w:val="clear" w:color="auto" w:fill="auto"/>
          </w:tcPr>
          <w:p w14:paraId="4ED433F4"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18 حزيران/يونيه 2015</w:t>
            </w:r>
          </w:p>
        </w:tc>
      </w:tr>
      <w:tr w:rsidR="00DE3D9F" w:rsidRPr="00883EBA" w14:paraId="68D46C06" w14:textId="77777777" w:rsidTr="005F6F8E">
        <w:tc>
          <w:tcPr>
            <w:tcW w:w="2404" w:type="dxa"/>
            <w:shd w:val="clear" w:color="auto" w:fill="auto"/>
          </w:tcPr>
          <w:p w14:paraId="6EDDB8A9" w14:textId="77777777" w:rsidR="00DE3D9F" w:rsidRPr="00146491" w:rsidRDefault="00DE3D9F" w:rsidP="00146491">
            <w:pPr>
              <w:spacing w:before="40" w:after="120" w:line="300" w:lineRule="exact"/>
              <w:ind w:left="80" w:right="294"/>
              <w:textDirection w:val="tbRlV"/>
              <w:rPr>
                <w:rFonts w:ascii="Simplified Arabic" w:hAnsi="Simplified Arabic"/>
                <w:szCs w:val="20"/>
                <w:lang w:val="ar-SA" w:eastAsia="zh-TW" w:bidi="en-GB"/>
              </w:rPr>
            </w:pPr>
            <w:r w:rsidRPr="00146491">
              <w:rPr>
                <w:rFonts w:ascii="Simplified Arabic" w:hAnsi="Simplified Arabic"/>
                <w:szCs w:val="20"/>
                <w:rtl/>
              </w:rPr>
              <w:t>الاتفاقية الدولية للقضاء على التمييز العنصري</w:t>
            </w:r>
          </w:p>
        </w:tc>
        <w:tc>
          <w:tcPr>
            <w:tcW w:w="2990" w:type="dxa"/>
            <w:shd w:val="clear" w:color="auto" w:fill="auto"/>
          </w:tcPr>
          <w:p w14:paraId="4B0223F4" w14:textId="77777777" w:rsidR="00DE3D9F" w:rsidRPr="00146491" w:rsidRDefault="00DE3D9F" w:rsidP="00146491">
            <w:pPr>
              <w:spacing w:before="40" w:after="120" w:line="300" w:lineRule="exact"/>
              <w:ind w:left="125" w:right="469"/>
              <w:textDirection w:val="tbRlV"/>
              <w:rPr>
                <w:rFonts w:ascii="Simplified Arabic" w:hAnsi="Simplified Arabic"/>
                <w:szCs w:val="20"/>
                <w:lang w:eastAsia="zh-TW" w:bidi="en-GB"/>
              </w:rPr>
            </w:pPr>
            <w:r w:rsidRPr="00146491">
              <w:rPr>
                <w:rFonts w:ascii="Simplified Arabic" w:hAnsi="Simplified Arabic"/>
                <w:szCs w:val="20"/>
                <w:rtl/>
              </w:rPr>
              <w:t>التقرير الجامع للتقارير الأول والثاني والثالث</w:t>
            </w:r>
          </w:p>
        </w:tc>
        <w:tc>
          <w:tcPr>
            <w:tcW w:w="2259" w:type="dxa"/>
            <w:shd w:val="clear" w:color="auto" w:fill="auto"/>
          </w:tcPr>
          <w:p w14:paraId="2C2A2B86"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27 حزيران/يونيه 2011</w:t>
            </w:r>
          </w:p>
        </w:tc>
      </w:tr>
      <w:tr w:rsidR="00DE3D9F" w:rsidRPr="00883EBA" w14:paraId="13144D58" w14:textId="77777777" w:rsidTr="005F6F8E">
        <w:tc>
          <w:tcPr>
            <w:tcW w:w="2404" w:type="dxa"/>
            <w:shd w:val="clear" w:color="auto" w:fill="auto"/>
          </w:tcPr>
          <w:p w14:paraId="384112CC" w14:textId="77777777" w:rsidR="00DE3D9F" w:rsidRPr="00146491" w:rsidRDefault="00DE3D9F" w:rsidP="00146491">
            <w:pPr>
              <w:spacing w:before="40" w:after="120" w:line="300" w:lineRule="exact"/>
              <w:ind w:left="80" w:right="294"/>
              <w:rPr>
                <w:rFonts w:ascii="Simplified Arabic" w:hAnsi="Simplified Arabic"/>
                <w:szCs w:val="20"/>
              </w:rPr>
            </w:pPr>
          </w:p>
        </w:tc>
        <w:tc>
          <w:tcPr>
            <w:tcW w:w="2990" w:type="dxa"/>
            <w:shd w:val="clear" w:color="auto" w:fill="auto"/>
          </w:tcPr>
          <w:p w14:paraId="337AF62D"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الجامع للتقارير الرابع والخامس والسادس والسابع والثامن</w:t>
            </w:r>
          </w:p>
        </w:tc>
        <w:tc>
          <w:tcPr>
            <w:tcW w:w="2259" w:type="dxa"/>
            <w:shd w:val="clear" w:color="auto" w:fill="auto"/>
          </w:tcPr>
          <w:p w14:paraId="0F42DC91"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24 نيسان/أبريل 2019</w:t>
            </w:r>
          </w:p>
        </w:tc>
      </w:tr>
      <w:tr w:rsidR="00DE3D9F" w:rsidRPr="00883EBA" w14:paraId="7727BD70" w14:textId="77777777" w:rsidTr="005F6F8E">
        <w:tc>
          <w:tcPr>
            <w:tcW w:w="2404" w:type="dxa"/>
            <w:tcBorders>
              <w:bottom w:val="nil"/>
            </w:tcBorders>
            <w:shd w:val="clear" w:color="auto" w:fill="auto"/>
          </w:tcPr>
          <w:p w14:paraId="0CE7D1F5" w14:textId="77777777" w:rsidR="00DE3D9F" w:rsidRPr="00146491" w:rsidRDefault="00DE3D9F" w:rsidP="00146491">
            <w:pPr>
              <w:spacing w:before="40" w:after="120" w:line="300" w:lineRule="exact"/>
              <w:ind w:left="80" w:right="294"/>
              <w:textDirection w:val="tbRlV"/>
              <w:rPr>
                <w:rFonts w:ascii="Simplified Arabic" w:hAnsi="Simplified Arabic"/>
                <w:szCs w:val="20"/>
                <w:lang w:val="ar-SA" w:eastAsia="zh-TW" w:bidi="en-GB"/>
              </w:rPr>
            </w:pPr>
            <w:r w:rsidRPr="00146491">
              <w:rPr>
                <w:rFonts w:ascii="Simplified Arabic" w:hAnsi="Simplified Arabic"/>
                <w:szCs w:val="20"/>
                <w:rtl/>
              </w:rPr>
              <w:t>‎‎</w:t>
            </w:r>
            <w:r w:rsidRPr="00146491">
              <w:rPr>
                <w:rFonts w:ascii="Simplified Arabic" w:hAnsi="Simplified Arabic"/>
                <w:spacing w:val="-6"/>
                <w:szCs w:val="20"/>
                <w:rtl/>
              </w:rPr>
              <w:t>العهد الدولي الخاص بالحقوق الاقتصادية والاجتماعية والثقافية‏‏</w:t>
            </w:r>
          </w:p>
        </w:tc>
        <w:tc>
          <w:tcPr>
            <w:tcW w:w="2990" w:type="dxa"/>
            <w:tcBorders>
              <w:bottom w:val="nil"/>
            </w:tcBorders>
            <w:shd w:val="clear" w:color="auto" w:fill="auto"/>
          </w:tcPr>
          <w:p w14:paraId="346E6531" w14:textId="77777777" w:rsidR="00DE3D9F" w:rsidRPr="00146491" w:rsidRDefault="00DE3D9F" w:rsidP="00146491">
            <w:pPr>
              <w:spacing w:before="40" w:after="120" w:line="300" w:lineRule="exact"/>
              <w:ind w:left="125" w:right="469"/>
              <w:textDirection w:val="tbRlV"/>
              <w:rPr>
                <w:rFonts w:ascii="Simplified Arabic" w:hAnsi="Simplified Arabic"/>
                <w:spacing w:val="-4"/>
                <w:szCs w:val="20"/>
                <w:lang w:val="ar-SA" w:eastAsia="zh-TW" w:bidi="en-GB"/>
              </w:rPr>
            </w:pPr>
            <w:r w:rsidRPr="00146491">
              <w:rPr>
                <w:rFonts w:ascii="Simplified Arabic" w:hAnsi="Simplified Arabic"/>
                <w:spacing w:val="-4"/>
                <w:szCs w:val="20"/>
                <w:rtl/>
              </w:rPr>
              <w:t>التقرير الجامع للتقريرين الأول والثاني</w:t>
            </w:r>
          </w:p>
        </w:tc>
        <w:tc>
          <w:tcPr>
            <w:tcW w:w="2259" w:type="dxa"/>
            <w:tcBorders>
              <w:bottom w:val="nil"/>
            </w:tcBorders>
            <w:shd w:val="clear" w:color="auto" w:fill="auto"/>
          </w:tcPr>
          <w:p w14:paraId="0A2CE3B1"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21 آب/أغسطس 2012</w:t>
            </w:r>
          </w:p>
        </w:tc>
      </w:tr>
      <w:tr w:rsidR="00DE3D9F" w:rsidRPr="00883EBA" w14:paraId="52B0496A" w14:textId="77777777" w:rsidTr="005F6F8E">
        <w:tc>
          <w:tcPr>
            <w:tcW w:w="2404" w:type="dxa"/>
            <w:tcBorders>
              <w:top w:val="nil"/>
              <w:bottom w:val="nil"/>
            </w:tcBorders>
            <w:shd w:val="clear" w:color="auto" w:fill="auto"/>
          </w:tcPr>
          <w:p w14:paraId="4A9B5E1C" w14:textId="77777777" w:rsidR="00DE3D9F" w:rsidRPr="00146491" w:rsidRDefault="00DE3D9F" w:rsidP="00146491">
            <w:pPr>
              <w:spacing w:before="40" w:after="120" w:line="300" w:lineRule="exact"/>
              <w:ind w:left="80" w:right="294"/>
              <w:textDirection w:val="tbRlV"/>
              <w:rPr>
                <w:rFonts w:ascii="Simplified Arabic" w:hAnsi="Simplified Arabic"/>
                <w:szCs w:val="20"/>
                <w:lang w:eastAsia="zh-TW" w:bidi="en-GB"/>
              </w:rPr>
            </w:pPr>
            <w:r w:rsidRPr="00146491">
              <w:rPr>
                <w:rFonts w:ascii="Simplified Arabic" w:hAnsi="Simplified Arabic"/>
                <w:szCs w:val="20"/>
                <w:rtl/>
              </w:rPr>
              <w:t>اتفاقية حقوق الطفل</w:t>
            </w:r>
          </w:p>
        </w:tc>
        <w:tc>
          <w:tcPr>
            <w:tcW w:w="2990" w:type="dxa"/>
            <w:tcBorders>
              <w:top w:val="nil"/>
              <w:bottom w:val="nil"/>
            </w:tcBorders>
            <w:shd w:val="clear" w:color="auto" w:fill="auto"/>
          </w:tcPr>
          <w:p w14:paraId="45762BB8"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الأول</w:t>
            </w:r>
          </w:p>
        </w:tc>
        <w:tc>
          <w:tcPr>
            <w:tcW w:w="2259" w:type="dxa"/>
            <w:tcBorders>
              <w:top w:val="nil"/>
              <w:bottom w:val="nil"/>
            </w:tcBorders>
            <w:shd w:val="clear" w:color="auto" w:fill="auto"/>
          </w:tcPr>
          <w:p w14:paraId="6177F9A0"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23 آب/أغسطس 1996</w:t>
            </w:r>
          </w:p>
        </w:tc>
      </w:tr>
      <w:tr w:rsidR="00DE3D9F" w:rsidRPr="00883EBA" w14:paraId="79C04D90" w14:textId="77777777" w:rsidTr="005F6F8E">
        <w:tc>
          <w:tcPr>
            <w:tcW w:w="2404" w:type="dxa"/>
            <w:tcBorders>
              <w:top w:val="nil"/>
            </w:tcBorders>
            <w:shd w:val="clear" w:color="auto" w:fill="auto"/>
          </w:tcPr>
          <w:p w14:paraId="4FFD3CA0" w14:textId="77777777" w:rsidR="00DE3D9F" w:rsidRPr="00146491" w:rsidRDefault="00DE3D9F" w:rsidP="00146491">
            <w:pPr>
              <w:spacing w:before="40" w:after="120" w:line="300" w:lineRule="exact"/>
              <w:ind w:left="80" w:right="294"/>
              <w:rPr>
                <w:rFonts w:ascii="Simplified Arabic" w:hAnsi="Simplified Arabic"/>
                <w:szCs w:val="20"/>
              </w:rPr>
            </w:pPr>
          </w:p>
        </w:tc>
        <w:tc>
          <w:tcPr>
            <w:tcW w:w="2990" w:type="dxa"/>
            <w:tcBorders>
              <w:top w:val="nil"/>
            </w:tcBorders>
            <w:shd w:val="clear" w:color="auto" w:fill="auto"/>
          </w:tcPr>
          <w:p w14:paraId="410BAD27" w14:textId="77777777" w:rsidR="00DE3D9F" w:rsidRPr="00146491" w:rsidRDefault="00DE3D9F" w:rsidP="00146491">
            <w:pPr>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الثاني</w:t>
            </w:r>
          </w:p>
        </w:tc>
        <w:tc>
          <w:tcPr>
            <w:tcW w:w="2259" w:type="dxa"/>
            <w:tcBorders>
              <w:top w:val="nil"/>
            </w:tcBorders>
            <w:shd w:val="clear" w:color="auto" w:fill="auto"/>
          </w:tcPr>
          <w:p w14:paraId="77FE81A3"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7 حزيران/يونيه 2004</w:t>
            </w:r>
          </w:p>
        </w:tc>
      </w:tr>
      <w:tr w:rsidR="00DE3D9F" w:rsidRPr="00883EBA" w14:paraId="77182CA4" w14:textId="77777777" w:rsidTr="005F6F8E">
        <w:tc>
          <w:tcPr>
            <w:tcW w:w="2404" w:type="dxa"/>
            <w:tcBorders>
              <w:bottom w:val="nil"/>
            </w:tcBorders>
            <w:shd w:val="clear" w:color="auto" w:fill="auto"/>
          </w:tcPr>
          <w:p w14:paraId="616C772F" w14:textId="77777777" w:rsidR="00DE3D9F" w:rsidRPr="00146491" w:rsidRDefault="00DE3D9F" w:rsidP="00146491">
            <w:pPr>
              <w:spacing w:before="40" w:after="120" w:line="300" w:lineRule="exact"/>
              <w:ind w:left="80" w:right="294"/>
              <w:rPr>
                <w:rFonts w:ascii="Simplified Arabic" w:hAnsi="Simplified Arabic"/>
                <w:szCs w:val="20"/>
              </w:rPr>
            </w:pPr>
          </w:p>
        </w:tc>
        <w:tc>
          <w:tcPr>
            <w:tcW w:w="2990" w:type="dxa"/>
            <w:tcBorders>
              <w:bottom w:val="nil"/>
            </w:tcBorders>
            <w:shd w:val="clear" w:color="auto" w:fill="auto"/>
          </w:tcPr>
          <w:p w14:paraId="1925393E" w14:textId="77777777" w:rsidR="00DE3D9F" w:rsidRPr="00146491" w:rsidRDefault="00DE3D9F" w:rsidP="00146491">
            <w:pPr>
              <w:spacing w:before="40" w:after="120" w:line="300" w:lineRule="exact"/>
              <w:ind w:left="125" w:right="469"/>
              <w:textDirection w:val="tbRlV"/>
              <w:rPr>
                <w:rFonts w:ascii="Simplified Arabic" w:hAnsi="Simplified Arabic"/>
                <w:spacing w:val="-4"/>
                <w:szCs w:val="20"/>
                <w:lang w:val="ar-SA" w:eastAsia="zh-TW" w:bidi="en-GB"/>
              </w:rPr>
            </w:pPr>
            <w:r w:rsidRPr="00146491">
              <w:rPr>
                <w:rFonts w:ascii="Simplified Arabic" w:hAnsi="Simplified Arabic"/>
                <w:spacing w:val="-4"/>
                <w:szCs w:val="20"/>
                <w:rtl/>
              </w:rPr>
              <w:t>التقرير الجامع للتقريرين الثالث والرابع</w:t>
            </w:r>
          </w:p>
        </w:tc>
        <w:tc>
          <w:tcPr>
            <w:tcW w:w="2259" w:type="dxa"/>
            <w:tcBorders>
              <w:bottom w:val="nil"/>
            </w:tcBorders>
            <w:shd w:val="clear" w:color="auto" w:fill="auto"/>
          </w:tcPr>
          <w:p w14:paraId="4411B9F8" w14:textId="77777777" w:rsidR="00DE3D9F" w:rsidRPr="00146491" w:rsidRDefault="00DE3D9F" w:rsidP="00146491">
            <w:pPr>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11 تموز/يوليه 2011</w:t>
            </w:r>
          </w:p>
        </w:tc>
      </w:tr>
      <w:tr w:rsidR="00DE3D9F" w:rsidRPr="00883EBA" w14:paraId="34E8ADF5" w14:textId="77777777" w:rsidTr="005F6F8E">
        <w:tc>
          <w:tcPr>
            <w:tcW w:w="2404" w:type="dxa"/>
            <w:tcBorders>
              <w:top w:val="nil"/>
              <w:bottom w:val="nil"/>
            </w:tcBorders>
            <w:shd w:val="clear" w:color="auto" w:fill="auto"/>
          </w:tcPr>
          <w:p w14:paraId="75758FB4" w14:textId="77777777" w:rsidR="00DE3D9F" w:rsidRPr="00146491" w:rsidRDefault="00DE3D9F" w:rsidP="00146491">
            <w:pPr>
              <w:spacing w:before="40" w:after="120" w:line="300" w:lineRule="exact"/>
              <w:ind w:left="80" w:right="294"/>
              <w:textDirection w:val="tbRlV"/>
              <w:rPr>
                <w:rFonts w:ascii="Simplified Arabic" w:hAnsi="Simplified Arabic"/>
                <w:spacing w:val="-4"/>
                <w:szCs w:val="20"/>
                <w:lang w:val="ar-SA" w:eastAsia="zh-TW" w:bidi="en-GB"/>
              </w:rPr>
            </w:pPr>
            <w:r w:rsidRPr="00146491">
              <w:rPr>
                <w:rFonts w:ascii="Simplified Arabic" w:hAnsi="Simplified Arabic"/>
                <w:spacing w:val="-4"/>
                <w:szCs w:val="20"/>
                <w:rtl/>
              </w:rPr>
              <w:t>البروتوكول الاختياري لاتفاقية حقوق الطفل بشأن اشتراك الأطفال في المنازعات المسلحة</w:t>
            </w:r>
          </w:p>
        </w:tc>
        <w:tc>
          <w:tcPr>
            <w:tcW w:w="2990" w:type="dxa"/>
            <w:tcBorders>
              <w:top w:val="nil"/>
              <w:bottom w:val="nil"/>
            </w:tcBorders>
            <w:shd w:val="clear" w:color="auto" w:fill="auto"/>
          </w:tcPr>
          <w:p w14:paraId="3A16DD9C" w14:textId="77777777" w:rsidR="00DE3D9F" w:rsidRPr="00146491" w:rsidRDefault="00DE3D9F" w:rsidP="00146491">
            <w:pPr>
              <w:spacing w:before="40" w:after="120" w:line="300" w:lineRule="exact"/>
              <w:ind w:left="125" w:right="469"/>
              <w:textDirection w:val="tbRlV"/>
              <w:rPr>
                <w:rFonts w:ascii="Simplified Arabic" w:hAnsi="Simplified Arabic"/>
                <w:szCs w:val="20"/>
                <w:lang w:eastAsia="zh-TW" w:bidi="en-GB"/>
              </w:rPr>
            </w:pPr>
            <w:r w:rsidRPr="00146491">
              <w:rPr>
                <w:rFonts w:ascii="Simplified Arabic" w:hAnsi="Simplified Arabic"/>
                <w:szCs w:val="20"/>
                <w:rtl/>
              </w:rPr>
              <w:t>التقرير الأول</w:t>
            </w:r>
          </w:p>
        </w:tc>
        <w:tc>
          <w:tcPr>
            <w:tcW w:w="2259" w:type="dxa"/>
            <w:tcBorders>
              <w:top w:val="nil"/>
              <w:bottom w:val="nil"/>
            </w:tcBorders>
            <w:shd w:val="clear" w:color="auto" w:fill="auto"/>
          </w:tcPr>
          <w:p w14:paraId="1A406ED5" w14:textId="77777777" w:rsidR="00DE3D9F" w:rsidRPr="00146491" w:rsidRDefault="00DE3D9F" w:rsidP="00146491">
            <w:pPr>
              <w:spacing w:before="40" w:after="120" w:line="300" w:lineRule="exact"/>
              <w:ind w:left="91"/>
              <w:textDirection w:val="tbRlV"/>
              <w:rPr>
                <w:rFonts w:ascii="Simplified Arabic" w:hAnsi="Simplified Arabic"/>
                <w:spacing w:val="-6"/>
                <w:szCs w:val="20"/>
                <w:lang w:val="ar-SA" w:eastAsia="zh-TW" w:bidi="en-GB"/>
              </w:rPr>
            </w:pPr>
            <w:r w:rsidRPr="00146491">
              <w:rPr>
                <w:rFonts w:ascii="Simplified Arabic" w:hAnsi="Simplified Arabic"/>
                <w:spacing w:val="-6"/>
                <w:szCs w:val="20"/>
                <w:rtl/>
              </w:rPr>
              <w:t>30 تشرين الأول/أكتوبر 2009</w:t>
            </w:r>
          </w:p>
        </w:tc>
      </w:tr>
      <w:tr w:rsidR="00DE3D9F" w:rsidRPr="00883EBA" w14:paraId="2373C71B" w14:textId="77777777" w:rsidTr="005F6F8E">
        <w:tc>
          <w:tcPr>
            <w:tcW w:w="2404" w:type="dxa"/>
            <w:tcBorders>
              <w:top w:val="nil"/>
            </w:tcBorders>
            <w:shd w:val="clear" w:color="auto" w:fill="auto"/>
          </w:tcPr>
          <w:p w14:paraId="5D665BE8" w14:textId="77777777" w:rsidR="00DE3D9F" w:rsidRPr="00146491" w:rsidRDefault="00DE3D9F" w:rsidP="00146491">
            <w:pPr>
              <w:keepNext/>
              <w:keepLines/>
              <w:spacing w:before="40" w:after="120" w:line="300" w:lineRule="exact"/>
              <w:ind w:left="80" w:right="294"/>
              <w:textDirection w:val="tbRlV"/>
              <w:rPr>
                <w:rFonts w:ascii="Simplified Arabic" w:hAnsi="Simplified Arabic"/>
                <w:szCs w:val="20"/>
                <w:lang w:val="ar-SA" w:eastAsia="zh-TW" w:bidi="en-GB"/>
              </w:rPr>
            </w:pPr>
            <w:r w:rsidRPr="00146491">
              <w:rPr>
                <w:rFonts w:ascii="Simplified Arabic" w:hAnsi="Simplified Arabic"/>
                <w:szCs w:val="20"/>
                <w:rtl/>
              </w:rPr>
              <w:t>البروتوكول الاختياري الملحق باتفاقية حقوق الطفل بشأن بيع الأطفال واستغلال الأطفال في البغاء وفي المواد الإباحية</w:t>
            </w:r>
          </w:p>
        </w:tc>
        <w:tc>
          <w:tcPr>
            <w:tcW w:w="2990" w:type="dxa"/>
            <w:tcBorders>
              <w:top w:val="nil"/>
            </w:tcBorders>
            <w:shd w:val="clear" w:color="auto" w:fill="auto"/>
          </w:tcPr>
          <w:p w14:paraId="3AE0AD32" w14:textId="77777777" w:rsidR="00DE3D9F" w:rsidRPr="00146491" w:rsidRDefault="00DE3D9F" w:rsidP="00146491">
            <w:pPr>
              <w:keepNext/>
              <w:keepLines/>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التقرير الأول</w:t>
            </w:r>
          </w:p>
        </w:tc>
        <w:tc>
          <w:tcPr>
            <w:tcW w:w="2259" w:type="dxa"/>
            <w:tcBorders>
              <w:top w:val="nil"/>
            </w:tcBorders>
            <w:shd w:val="clear" w:color="auto" w:fill="auto"/>
          </w:tcPr>
          <w:p w14:paraId="58612FCE" w14:textId="77777777" w:rsidR="00DE3D9F" w:rsidRPr="00146491" w:rsidRDefault="00DE3D9F" w:rsidP="00146491">
            <w:pPr>
              <w:keepNext/>
              <w:keepLines/>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30 تشرين الأول/أكتوبر 2009</w:t>
            </w:r>
          </w:p>
        </w:tc>
      </w:tr>
      <w:tr w:rsidR="00DE3D9F" w:rsidRPr="00883EBA" w14:paraId="189CE06E" w14:textId="77777777" w:rsidTr="005F6F8E">
        <w:tc>
          <w:tcPr>
            <w:tcW w:w="2404" w:type="dxa"/>
            <w:shd w:val="clear" w:color="auto" w:fill="auto"/>
          </w:tcPr>
          <w:p w14:paraId="2BAA2569" w14:textId="77777777" w:rsidR="00DE3D9F" w:rsidRPr="00146491" w:rsidRDefault="00DE3D9F" w:rsidP="00146491">
            <w:pPr>
              <w:keepNext/>
              <w:keepLines/>
              <w:spacing w:before="40" w:after="120" w:line="300" w:lineRule="exact"/>
              <w:ind w:left="80" w:right="294"/>
              <w:textDirection w:val="tbRlV"/>
              <w:rPr>
                <w:rFonts w:ascii="Simplified Arabic" w:hAnsi="Simplified Arabic"/>
                <w:szCs w:val="20"/>
                <w:lang w:eastAsia="zh-TW" w:bidi="en-GB"/>
              </w:rPr>
            </w:pPr>
            <w:r w:rsidRPr="00146491">
              <w:rPr>
                <w:rFonts w:ascii="Simplified Arabic" w:hAnsi="Simplified Arabic"/>
                <w:szCs w:val="20"/>
                <w:rtl/>
              </w:rPr>
              <w:t>اتفاقية حقوق الأشخاص ذوي الإعاقة</w:t>
            </w:r>
          </w:p>
        </w:tc>
        <w:tc>
          <w:tcPr>
            <w:tcW w:w="2990" w:type="dxa"/>
            <w:shd w:val="clear" w:color="auto" w:fill="auto"/>
          </w:tcPr>
          <w:p w14:paraId="3969F560" w14:textId="77777777" w:rsidR="00DE3D9F" w:rsidRPr="00146491" w:rsidRDefault="00DE3D9F" w:rsidP="00146491">
            <w:pPr>
              <w:keepNext/>
              <w:keepLines/>
              <w:spacing w:before="40" w:after="120" w:line="300" w:lineRule="exact"/>
              <w:ind w:left="125" w:right="469"/>
              <w:textDirection w:val="tbRlV"/>
              <w:rPr>
                <w:rFonts w:ascii="Simplified Arabic" w:hAnsi="Simplified Arabic"/>
                <w:szCs w:val="20"/>
                <w:lang w:val="ar-SA" w:eastAsia="zh-TW" w:bidi="en-GB"/>
              </w:rPr>
            </w:pPr>
            <w:r w:rsidRPr="00146491">
              <w:rPr>
                <w:rFonts w:ascii="Simplified Arabic" w:hAnsi="Simplified Arabic"/>
                <w:szCs w:val="20"/>
                <w:rtl/>
              </w:rPr>
              <w:t xml:space="preserve">التقرير الأول </w:t>
            </w:r>
          </w:p>
        </w:tc>
        <w:tc>
          <w:tcPr>
            <w:tcW w:w="2259" w:type="dxa"/>
            <w:shd w:val="clear" w:color="auto" w:fill="auto"/>
          </w:tcPr>
          <w:p w14:paraId="30F7419D" w14:textId="77777777" w:rsidR="00DE3D9F" w:rsidRPr="00146491" w:rsidRDefault="00DE3D9F" w:rsidP="00146491">
            <w:pPr>
              <w:keepNext/>
              <w:keepLines/>
              <w:spacing w:before="40" w:after="120" w:line="300" w:lineRule="exact"/>
              <w:ind w:left="91"/>
              <w:textDirection w:val="tbRlV"/>
              <w:rPr>
                <w:rFonts w:ascii="Simplified Arabic" w:hAnsi="Simplified Arabic"/>
                <w:spacing w:val="-2"/>
                <w:szCs w:val="20"/>
                <w:lang w:val="ar-SA" w:eastAsia="zh-TW" w:bidi="en-GB"/>
              </w:rPr>
            </w:pPr>
            <w:r w:rsidRPr="00146491">
              <w:rPr>
                <w:rFonts w:ascii="Simplified Arabic" w:hAnsi="Simplified Arabic"/>
                <w:spacing w:val="-2"/>
                <w:szCs w:val="20"/>
                <w:rtl/>
              </w:rPr>
              <w:t>3 كانون الأول/ديسمبر 2012</w:t>
            </w:r>
          </w:p>
        </w:tc>
      </w:tr>
    </w:tbl>
    <w:p w14:paraId="555A9EDF" w14:textId="16774EC4" w:rsidR="00DE3D9F" w:rsidRPr="001B6C67" w:rsidRDefault="00DE3D9F" w:rsidP="0093366D">
      <w:pPr>
        <w:pStyle w:val="HChGA"/>
        <w:rPr>
          <w:lang w:val="ar-SA" w:eastAsia="zh-TW" w:bidi="en-GB"/>
        </w:rPr>
      </w:pPr>
      <w:r>
        <w:rPr>
          <w:rtl/>
        </w:rPr>
        <w:tab/>
      </w:r>
      <w:bookmarkStart w:id="35" w:name="_Toc92899421"/>
      <w:r w:rsidRPr="001B6C67">
        <w:rPr>
          <w:rtl/>
        </w:rPr>
        <w:t>ثالثا</w:t>
      </w:r>
      <w:r w:rsidR="0093366D">
        <w:rPr>
          <w:rFonts w:hint="cs"/>
          <w:rtl/>
        </w:rPr>
        <w:t>ً</w:t>
      </w:r>
      <w:r w:rsidRPr="001B6C67">
        <w:rPr>
          <w:rtl/>
        </w:rPr>
        <w:t>-</w:t>
      </w:r>
      <w:r w:rsidRPr="001B6C67">
        <w:rPr>
          <w:rtl/>
        </w:rPr>
        <w:tab/>
        <w:t>تنفيذ أحكام حقوق الإنسان الموضوعية</w:t>
      </w:r>
      <w:bookmarkStart w:id="36" w:name="_Toc89701540"/>
      <w:bookmarkEnd w:id="36"/>
      <w:bookmarkEnd w:id="35"/>
    </w:p>
    <w:p w14:paraId="108DB2B9" w14:textId="77777777" w:rsidR="00DE3D9F" w:rsidRPr="001B6C67" w:rsidRDefault="00DE3D9F" w:rsidP="0093366D">
      <w:pPr>
        <w:pStyle w:val="H1GA"/>
        <w:rPr>
          <w:lang w:val="ar-SA" w:eastAsia="zh-TW" w:bidi="en-GB"/>
        </w:rPr>
      </w:pPr>
      <w:r>
        <w:rPr>
          <w:rtl/>
        </w:rPr>
        <w:tab/>
      </w:r>
      <w:bookmarkStart w:id="37" w:name="_Toc92899422"/>
      <w:r w:rsidRPr="001B6C67">
        <w:rPr>
          <w:rtl/>
        </w:rPr>
        <w:t>ألف-</w:t>
      </w:r>
      <w:r w:rsidRPr="001B6C67">
        <w:rPr>
          <w:rtl/>
        </w:rPr>
        <w:tab/>
        <w:t>عدم التمييز والمساواة</w:t>
      </w:r>
      <w:bookmarkStart w:id="38" w:name="_Toc89701541"/>
      <w:bookmarkEnd w:id="38"/>
      <w:bookmarkEnd w:id="37"/>
    </w:p>
    <w:p w14:paraId="270E114A" w14:textId="77777777" w:rsidR="00DE3D9F" w:rsidRPr="001B6C67" w:rsidRDefault="00DE3D9F" w:rsidP="00DE3D9F">
      <w:pPr>
        <w:pStyle w:val="SingleTxtGA"/>
        <w:rPr>
          <w:lang w:val="ar-SA" w:eastAsia="zh-TW" w:bidi="en-GB"/>
        </w:rPr>
      </w:pPr>
      <w:r w:rsidRPr="00AF3116">
        <w:rPr>
          <w:rtl/>
        </w:rPr>
        <w:t>178</w:t>
      </w:r>
      <w:r w:rsidRPr="001B6C67">
        <w:rPr>
          <w:rtl/>
        </w:rPr>
        <w:t>-</w:t>
      </w:r>
      <w:r w:rsidRPr="001B6C67">
        <w:rPr>
          <w:rtl/>
        </w:rPr>
        <w:tab/>
        <w:t xml:space="preserve">الدستور هو أهم وسيلة للحماية من التمييز وعدم المساواة، مهما كان الأساس الذي يقومان عليه. ومبدأ المساواة وعدم التمييز مكرس صراحة في دستور عام </w:t>
      </w:r>
      <w:r w:rsidRPr="00AF3116">
        <w:rPr>
          <w:rtl/>
        </w:rPr>
        <w:t>2017</w:t>
      </w:r>
      <w:r w:rsidRPr="001B6C67">
        <w:rPr>
          <w:rtl/>
        </w:rPr>
        <w:t xml:space="preserve"> في أربع مواد هي:</w:t>
      </w:r>
    </w:p>
    <w:p w14:paraId="61BA128E" w14:textId="6B14AF70" w:rsidR="00DE3D9F" w:rsidRPr="001B6C67" w:rsidRDefault="0093366D" w:rsidP="00DE3D9F">
      <w:pPr>
        <w:pStyle w:val="SingleTxtGA"/>
        <w:rPr>
          <w:lang w:val="ar-SA" w:eastAsia="zh-TW" w:bidi="en-GB"/>
        </w:rPr>
      </w:pPr>
      <w:r>
        <w:rPr>
          <w:rtl/>
        </w:rPr>
        <w:tab/>
      </w:r>
      <w:r w:rsidR="00DE3D9F" w:rsidRPr="001B6C67">
        <w:t>’</w:t>
      </w:r>
      <w:r w:rsidR="00DE3D9F" w:rsidRPr="00AF3116">
        <w:rPr>
          <w:rtl/>
        </w:rPr>
        <w:t>1</w:t>
      </w:r>
      <w:r w:rsidR="00DE3D9F" w:rsidRPr="001B6C67">
        <w:rPr>
          <w:rtl/>
        </w:rPr>
        <w:t>‘</w:t>
      </w:r>
      <w:r w:rsidR="00DE3D9F" w:rsidRPr="001B6C67">
        <w:rPr>
          <w:rtl/>
        </w:rPr>
        <w:tab/>
        <w:t xml:space="preserve">المادة </w:t>
      </w:r>
      <w:r w:rsidR="00DE3D9F" w:rsidRPr="00AF3116">
        <w:rPr>
          <w:rtl/>
        </w:rPr>
        <w:t>27</w:t>
      </w:r>
    </w:p>
    <w:p w14:paraId="3A66C726" w14:textId="77777777" w:rsidR="00DE3D9F" w:rsidRPr="001B6C67" w:rsidRDefault="00DE3D9F" w:rsidP="005F6F8E">
      <w:pPr>
        <w:pStyle w:val="SingleTxtGA"/>
        <w:ind w:left="1928"/>
        <w:rPr>
          <w:lang w:val="ar-SA" w:eastAsia="zh-TW" w:bidi="en-GB"/>
        </w:rPr>
      </w:pPr>
      <w:r w:rsidRPr="001B6C67">
        <w:rPr>
          <w:rtl/>
        </w:rPr>
        <w:lastRenderedPageBreak/>
        <w:tab/>
        <w:t xml:space="preserve">"جميع الأشخاص متساوون أمام القانون ويتمتعون بالحقوق والحريات، كما يتمتعون بالحماية على قدم المساواة بموجب القانون. </w:t>
      </w:r>
    </w:p>
    <w:p w14:paraId="13F2D66C" w14:textId="77777777" w:rsidR="00DE3D9F" w:rsidRPr="00D54D43" w:rsidRDefault="00DE3D9F" w:rsidP="005F6F8E">
      <w:pPr>
        <w:pStyle w:val="SingleTxtGA"/>
        <w:ind w:left="1928"/>
        <w:rPr>
          <w:lang w:val="en-US" w:eastAsia="zh-TW" w:bidi="en-GB"/>
        </w:rPr>
      </w:pPr>
      <w:r w:rsidRPr="001B6C67">
        <w:rPr>
          <w:rtl/>
        </w:rPr>
        <w:tab/>
        <w:t>"يتمتع الرجال والنساء بحقوق متساوية.</w:t>
      </w:r>
    </w:p>
    <w:p w14:paraId="6618AA00" w14:textId="77777777" w:rsidR="00DE3D9F" w:rsidRPr="001B6C67" w:rsidRDefault="00DE3D9F" w:rsidP="005F6F8E">
      <w:pPr>
        <w:pStyle w:val="SingleTxtGA"/>
        <w:ind w:left="1928"/>
        <w:rPr>
          <w:lang w:val="ar-SA" w:eastAsia="zh-TW" w:bidi="en-GB"/>
        </w:rPr>
      </w:pPr>
      <w:r w:rsidRPr="001B6C67">
        <w:rPr>
          <w:rtl/>
        </w:rPr>
        <w:tab/>
        <w:t>"لا يُسمَح بالتمييز الجائر ضد أي شخص على أساس الاختلافات في الأصل أو العرق أو اللغة أو الجنس أو السن أو الإعاقة أو الحالة البدنية أو الصحية أو الأحوال الشخصية أو المكانة الاقتصادية والاجتماعية أو المعتقد الديني أو التعليم أو الرأي السياسي الذي لا يتعارض مع أحكام الدستور أو على أي أساس آخر.</w:t>
      </w:r>
    </w:p>
    <w:p w14:paraId="5B3EA7C0" w14:textId="33B68E27" w:rsidR="00DE3D9F" w:rsidRPr="001B6C67" w:rsidRDefault="00DE3D9F" w:rsidP="005F6F8E">
      <w:pPr>
        <w:pStyle w:val="SingleTxtGA"/>
        <w:ind w:left="1928"/>
        <w:rPr>
          <w:lang w:val="ar-SA" w:eastAsia="zh-TW" w:bidi="en-GB"/>
        </w:rPr>
      </w:pPr>
      <w:r w:rsidRPr="001B6C67">
        <w:rPr>
          <w:rtl/>
        </w:rPr>
        <w:tab/>
        <w:t>"لا تُعتبَر تمييزاً جائراً بموجب الفقرة الثالثة التدابير التي تحددها الدولة لإزالة العقبات التي تحول دون ممارسة الأشخاص لحقوقهم أو حرياتهم وتعزيز قدرتهم على ممارستها مثل غيرهم أو لحماية الأطفال أو النساء أو كبار السن أو الأشخاص ذوي الإعاقة أو المحرومين أو تيسير ذلك.</w:t>
      </w:r>
    </w:p>
    <w:p w14:paraId="0DB66438" w14:textId="07C3252F" w:rsidR="00DE3D9F" w:rsidRPr="001B6C67" w:rsidRDefault="00DE3D9F" w:rsidP="005F6F8E">
      <w:pPr>
        <w:pStyle w:val="SingleTxtGA"/>
        <w:ind w:left="1928"/>
        <w:rPr>
          <w:lang w:val="ar-SA" w:eastAsia="zh-TW" w:bidi="en-GB"/>
        </w:rPr>
      </w:pPr>
      <w:r w:rsidRPr="001B6C67">
        <w:rPr>
          <w:rtl/>
        </w:rPr>
        <w:tab/>
        <w:t>"يتمتع أفراد القوات المسلحة أو قوات الشرطة أو المسؤولون الحكوميون أو غيرهم من موظفي الدولة أو موظفي منظمات الدولة أو مستخدميها بنفس الحقوق والحريات التي يتمتع بها الأشخاص الآخرون، باستثناء تلك التي يقيدها القانون، ولا سيما فيما يتعلق بالسياسة أو القدرات أو الضوابط أو</w:t>
      </w:r>
      <w:r w:rsidR="00D55C97">
        <w:rPr>
          <w:rFonts w:hint="cs"/>
          <w:rtl/>
        </w:rPr>
        <w:t> </w:t>
      </w:r>
      <w:r w:rsidRPr="001B6C67">
        <w:rPr>
          <w:rtl/>
        </w:rPr>
        <w:t>الأخلاقيات".</w:t>
      </w:r>
    </w:p>
    <w:p w14:paraId="292F684D" w14:textId="779185F1" w:rsidR="00DE3D9F" w:rsidRPr="001B6C67" w:rsidRDefault="0093366D" w:rsidP="0093366D">
      <w:pPr>
        <w:pStyle w:val="SingleTxtGA"/>
        <w:ind w:left="1701"/>
        <w:rPr>
          <w:lang w:val="ar-SA" w:eastAsia="zh-TW" w:bidi="en-GB"/>
        </w:rPr>
      </w:pPr>
      <w:r>
        <w:rPr>
          <w:rtl/>
        </w:rPr>
        <w:tab/>
      </w:r>
      <w:r>
        <w:rPr>
          <w:rFonts w:hint="cs"/>
          <w:rtl/>
        </w:rPr>
        <w:t>’2‘</w:t>
      </w:r>
      <w:r w:rsidR="00DE3D9F" w:rsidRPr="001B6C67">
        <w:rPr>
          <w:rtl/>
        </w:rPr>
        <w:tab/>
        <w:t xml:space="preserve">المادة </w:t>
      </w:r>
      <w:r w:rsidR="00DE3D9F" w:rsidRPr="00AF3116">
        <w:rPr>
          <w:rtl/>
        </w:rPr>
        <w:t>40</w:t>
      </w:r>
      <w:r w:rsidR="00DE3D9F" w:rsidRPr="001B6C67">
        <w:rPr>
          <w:rtl/>
        </w:rPr>
        <w:t xml:space="preserve">، الفقرة </w:t>
      </w:r>
      <w:r w:rsidR="00DE3D9F" w:rsidRPr="00AF3116">
        <w:rPr>
          <w:rtl/>
        </w:rPr>
        <w:t>3</w:t>
      </w:r>
    </w:p>
    <w:p w14:paraId="1AC10F0B" w14:textId="77777777" w:rsidR="00DE3D9F" w:rsidRPr="001B6C67" w:rsidRDefault="00DE3D9F" w:rsidP="005F6F8E">
      <w:pPr>
        <w:pStyle w:val="SingleTxtGA"/>
        <w:ind w:left="1928"/>
        <w:rPr>
          <w:lang w:val="ar-SA" w:eastAsia="zh-TW" w:bidi="en-GB"/>
        </w:rPr>
      </w:pPr>
      <w:r w:rsidRPr="001B6C67">
        <w:rPr>
          <w:rtl/>
        </w:rPr>
        <w:tab/>
        <w:t xml:space="preserve">"سن قانون </w:t>
      </w:r>
      <w:r>
        <w:rPr>
          <w:rtl/>
        </w:rPr>
        <w:t>ل</w:t>
      </w:r>
      <w:r w:rsidRPr="001B6C67">
        <w:rPr>
          <w:rtl/>
        </w:rPr>
        <w:t>تنظيم التوظيف ... يجب ألا يكون بطريقة تمييزية..."</w:t>
      </w:r>
    </w:p>
    <w:p w14:paraId="7B6ACDE4" w14:textId="250623A0" w:rsidR="00DE3D9F" w:rsidRPr="001B6C67" w:rsidRDefault="0093366D" w:rsidP="00DE3D9F">
      <w:pPr>
        <w:pStyle w:val="SingleTxtGA"/>
        <w:rPr>
          <w:lang w:val="ar-SA" w:eastAsia="zh-TW" w:bidi="en-GB"/>
        </w:rPr>
      </w:pPr>
      <w:r>
        <w:rPr>
          <w:rtl/>
        </w:rPr>
        <w:tab/>
      </w:r>
      <w:r>
        <w:rPr>
          <w:rFonts w:hint="cs"/>
          <w:rtl/>
        </w:rPr>
        <w:t>’3‘</w:t>
      </w:r>
      <w:r w:rsidR="00DE3D9F" w:rsidRPr="001B6C67">
        <w:rPr>
          <w:rtl/>
        </w:rPr>
        <w:tab/>
        <w:t xml:space="preserve">المادة </w:t>
      </w:r>
      <w:r w:rsidR="00DE3D9F" w:rsidRPr="00AF3116">
        <w:rPr>
          <w:rtl/>
        </w:rPr>
        <w:t>68</w:t>
      </w:r>
      <w:r w:rsidR="00DE3D9F" w:rsidRPr="001B6C67">
        <w:rPr>
          <w:rtl/>
        </w:rPr>
        <w:t xml:space="preserve">، الفقرة </w:t>
      </w:r>
      <w:r w:rsidR="00DE3D9F" w:rsidRPr="00AF3116">
        <w:rPr>
          <w:rtl/>
        </w:rPr>
        <w:t>1</w:t>
      </w:r>
    </w:p>
    <w:p w14:paraId="4B69AD2C" w14:textId="77777777" w:rsidR="00DE3D9F" w:rsidRPr="001B6C67" w:rsidRDefault="00DE3D9F" w:rsidP="005F6F8E">
      <w:pPr>
        <w:pStyle w:val="SingleTxtGA"/>
        <w:ind w:left="1928"/>
        <w:rPr>
          <w:lang w:val="ar-SA" w:eastAsia="zh-TW" w:bidi="en-GB"/>
        </w:rPr>
      </w:pPr>
      <w:r w:rsidRPr="001B6C67">
        <w:rPr>
          <w:rtl/>
        </w:rPr>
        <w:tab/>
        <w:t>"ينبغي للدولة أن تضع نظاماً إدارياً لعملية العدالة في كل جانب لضمان الكفاءة والإنصاف وعدم التمييز، و</w:t>
      </w:r>
      <w:r>
        <w:rPr>
          <w:rtl/>
        </w:rPr>
        <w:t xml:space="preserve">أن </w:t>
      </w:r>
      <w:r w:rsidRPr="001B6C67">
        <w:rPr>
          <w:rtl/>
        </w:rPr>
        <w:t xml:space="preserve">تكفل للشعب إمكانية الوصول إلى إجراءات العدالة بطريقة ملائمة وسريعة دون تأخير وألا </w:t>
      </w:r>
      <w:proofErr w:type="spellStart"/>
      <w:r w:rsidRPr="001B6C67">
        <w:rPr>
          <w:rtl/>
        </w:rPr>
        <w:t>ي</w:t>
      </w:r>
      <w:r>
        <w:rPr>
          <w:rtl/>
        </w:rPr>
        <w:t>يكون</w:t>
      </w:r>
      <w:proofErr w:type="spellEnd"/>
      <w:r>
        <w:rPr>
          <w:rtl/>
        </w:rPr>
        <w:t xml:space="preserve"> عليه </w:t>
      </w:r>
      <w:r w:rsidRPr="001B6C67">
        <w:rPr>
          <w:rtl/>
        </w:rPr>
        <w:t>تحمل نفقات مفرطة".</w:t>
      </w:r>
    </w:p>
    <w:p w14:paraId="302548E0" w14:textId="16D8DD83" w:rsidR="00DE3D9F" w:rsidRPr="001B6C67" w:rsidRDefault="0093366D" w:rsidP="00DE3D9F">
      <w:pPr>
        <w:pStyle w:val="SingleTxtGA"/>
        <w:rPr>
          <w:lang w:val="ar-SA" w:eastAsia="zh-TW" w:bidi="en-GB"/>
        </w:rPr>
      </w:pPr>
      <w:r>
        <w:rPr>
          <w:rtl/>
        </w:rPr>
        <w:tab/>
      </w:r>
      <w:r>
        <w:rPr>
          <w:rFonts w:hint="cs"/>
          <w:rtl/>
        </w:rPr>
        <w:t>’4‘</w:t>
      </w:r>
      <w:r w:rsidR="00DE3D9F" w:rsidRPr="001B6C67">
        <w:rPr>
          <w:rtl/>
        </w:rPr>
        <w:tab/>
        <w:t xml:space="preserve">المادة </w:t>
      </w:r>
      <w:r w:rsidR="00DE3D9F" w:rsidRPr="00AF3116">
        <w:rPr>
          <w:rtl/>
        </w:rPr>
        <w:t>76</w:t>
      </w:r>
    </w:p>
    <w:p w14:paraId="216995B0" w14:textId="77777777" w:rsidR="00DE3D9F" w:rsidRPr="001B6C67" w:rsidRDefault="00DE3D9F" w:rsidP="005F6F8E">
      <w:pPr>
        <w:pStyle w:val="SingleTxtGA"/>
        <w:ind w:left="1928"/>
        <w:rPr>
          <w:lang w:val="ar-SA" w:eastAsia="zh-TW" w:bidi="en-GB"/>
        </w:rPr>
      </w:pPr>
      <w:r w:rsidRPr="001B6C67">
        <w:rPr>
          <w:rtl/>
        </w:rPr>
        <w:tab/>
        <w:t>"ينبغي للدولة أن تضع نظاماً لإدارة شؤون الدولة للإدارات المركزية والإقليمية والمحلية، فضلاً عن شؤون الدولة الأخرى وفقاً لمبادئ الحكم العام الرشيد، شريطة أن تتعاون وكالات الدولة ويساعد بعضها البعض في أداء واجباتها، لكي تحقق، لفائدة الشعب، أقصى قدر من الكفاءة في إدارة شؤون الدولة، وتوفير الخدمات العامة، ونفقات الميزانية. وينبغي للدولة أيضاً أن تدرب موظفي الدولة لكي يتمتعوا بالنزاهة ولكي يتبنوا موقفاً هدفه خدمة الجمهور بطريقة مناسبة وسريعة وغير تمييزية، فضلاً عن أداء واجباتهم بكفاءة".</w:t>
      </w:r>
    </w:p>
    <w:p w14:paraId="6AA05262" w14:textId="34DFD58D" w:rsidR="00DE3D9F" w:rsidRPr="001B6C67" w:rsidRDefault="00DE3D9F" w:rsidP="00DE3D9F">
      <w:pPr>
        <w:pStyle w:val="SingleTxtGA"/>
        <w:rPr>
          <w:lang w:val="ar-SA" w:eastAsia="zh-TW" w:bidi="en-GB"/>
        </w:rPr>
      </w:pPr>
      <w:r w:rsidRPr="00AF3116">
        <w:rPr>
          <w:rtl/>
        </w:rPr>
        <w:t>179</w:t>
      </w:r>
      <w:r w:rsidRPr="001B6C67">
        <w:rPr>
          <w:rtl/>
        </w:rPr>
        <w:t>-</w:t>
      </w:r>
      <w:r w:rsidRPr="001B6C67">
        <w:rPr>
          <w:rtl/>
        </w:rPr>
        <w:tab/>
        <w:t>وقد بذلت تايلند جهوداً متواصلة لتمكين الجميع، بمن فيهم من هم في حالات ضعف، مثل الأطفال والنساء والأشخاص ذوي الإعاقة وكبار السن والأقليات العرقية، من الوصول إلى حقوقهم وممارستها على قدم المساواة مع غيرهم. فعلى سبيل المثال، يوفر قانون حماية الأشخاص الضعفاء لعام</w:t>
      </w:r>
      <w:r w:rsidR="0093366D">
        <w:rPr>
          <w:rFonts w:hint="cs"/>
          <w:rtl/>
        </w:rPr>
        <w:t> </w:t>
      </w:r>
      <w:r w:rsidRPr="00AF3116">
        <w:rPr>
          <w:rtl/>
        </w:rPr>
        <w:t>2014</w:t>
      </w:r>
      <w:r w:rsidRPr="001B6C67">
        <w:rPr>
          <w:rtl/>
        </w:rPr>
        <w:t xml:space="preserve"> حماية أفضل، بما في ذلك توفير الرعاية الاجتماعية، والمأوى، والرعاية الصحية، والتعليم وفرص العمل للأشخاص الذين لا مأوى لهم أو الذين يعيشون في فقر أو في ظروف صعبة. وبالإضافة إلى ذلك، اعتمدت الحكومة نظام بطاقات الرعاية الاجتماعية، الذي استفاد منه أكثر من </w:t>
      </w:r>
      <w:r w:rsidRPr="00AF3116">
        <w:rPr>
          <w:rtl/>
        </w:rPr>
        <w:t>11</w:t>
      </w:r>
      <w:r w:rsidRPr="001B6C67">
        <w:rPr>
          <w:rtl/>
        </w:rPr>
        <w:t xml:space="preserve"> مليون شخص مسجل من ذوي الدخل المنخفض. ويرد في الفقرات </w:t>
      </w:r>
      <w:r w:rsidRPr="00AF3116">
        <w:rPr>
          <w:rtl/>
        </w:rPr>
        <w:t>57</w:t>
      </w:r>
      <w:r w:rsidRPr="001B6C67">
        <w:rPr>
          <w:rtl/>
        </w:rPr>
        <w:t xml:space="preserve"> و</w:t>
      </w:r>
      <w:r w:rsidRPr="00AF3116">
        <w:rPr>
          <w:rtl/>
        </w:rPr>
        <w:t>62</w:t>
      </w:r>
      <w:r w:rsidRPr="001B6C67">
        <w:rPr>
          <w:rtl/>
        </w:rPr>
        <w:t>-</w:t>
      </w:r>
      <w:r w:rsidRPr="00AF3116">
        <w:rPr>
          <w:rtl/>
        </w:rPr>
        <w:t>74</w:t>
      </w:r>
      <w:r w:rsidRPr="001B6C67">
        <w:rPr>
          <w:rtl/>
        </w:rPr>
        <w:t xml:space="preserve"> و</w:t>
      </w:r>
      <w:r w:rsidRPr="00AF3116">
        <w:rPr>
          <w:rtl/>
        </w:rPr>
        <w:t>82</w:t>
      </w:r>
      <w:r w:rsidRPr="001B6C67">
        <w:rPr>
          <w:rtl/>
        </w:rPr>
        <w:t>-</w:t>
      </w:r>
      <w:r w:rsidRPr="00AF3116">
        <w:rPr>
          <w:rtl/>
        </w:rPr>
        <w:t>136</w:t>
      </w:r>
      <w:r w:rsidRPr="001B6C67">
        <w:rPr>
          <w:rtl/>
        </w:rPr>
        <w:t xml:space="preserve"> و</w:t>
      </w:r>
      <w:r w:rsidRPr="00AF3116">
        <w:rPr>
          <w:rtl/>
        </w:rPr>
        <w:t>141</w:t>
      </w:r>
      <w:r w:rsidRPr="001B6C67">
        <w:rPr>
          <w:rtl/>
        </w:rPr>
        <w:t>-</w:t>
      </w:r>
      <w:r w:rsidRPr="00AF3116">
        <w:rPr>
          <w:rtl/>
        </w:rPr>
        <w:t>165</w:t>
      </w:r>
      <w:r w:rsidRPr="001B6C67">
        <w:rPr>
          <w:rtl/>
        </w:rPr>
        <w:t xml:space="preserve"> </w:t>
      </w:r>
      <w:r w:rsidRPr="001B6C67">
        <w:rPr>
          <w:rtl/>
        </w:rPr>
        <w:lastRenderedPageBreak/>
        <w:t>وصف للقوانين والسياسات والبرامج الأخرى ذات الصلة التي تشير إلى جهود تايلاند للقضاء على التمييز وعدم المساواة.</w:t>
      </w:r>
    </w:p>
    <w:p w14:paraId="23856474" w14:textId="77777777" w:rsidR="00DE3D9F" w:rsidRPr="001B6C67" w:rsidRDefault="00DE3D9F" w:rsidP="0093366D">
      <w:pPr>
        <w:pStyle w:val="H1GA"/>
        <w:rPr>
          <w:lang w:val="ar-SA" w:eastAsia="zh-TW" w:bidi="en-GB"/>
        </w:rPr>
      </w:pPr>
      <w:r>
        <w:rPr>
          <w:rtl/>
        </w:rPr>
        <w:tab/>
      </w:r>
      <w:bookmarkStart w:id="39" w:name="_Toc92899423"/>
      <w:r w:rsidRPr="001B6C67">
        <w:rPr>
          <w:rtl/>
        </w:rPr>
        <w:t>باء-</w:t>
      </w:r>
      <w:r w:rsidRPr="001B6C67">
        <w:rPr>
          <w:rtl/>
        </w:rPr>
        <w:tab/>
        <w:t>سبل الانتصاف الفعالة</w:t>
      </w:r>
      <w:bookmarkStart w:id="40" w:name="_Toc89701542"/>
      <w:bookmarkEnd w:id="40"/>
      <w:bookmarkEnd w:id="39"/>
    </w:p>
    <w:p w14:paraId="4F6B6A5D" w14:textId="751E3645" w:rsidR="00DE3D9F" w:rsidRPr="001B6C67" w:rsidRDefault="00DE3D9F" w:rsidP="00DE3D9F">
      <w:pPr>
        <w:pStyle w:val="SingleTxtGA"/>
        <w:rPr>
          <w:lang w:val="ar-SA" w:eastAsia="zh-TW" w:bidi="en-GB"/>
        </w:rPr>
      </w:pPr>
      <w:r w:rsidRPr="00AF3116">
        <w:rPr>
          <w:rtl/>
        </w:rPr>
        <w:t>180</w:t>
      </w:r>
      <w:r w:rsidRPr="001B6C67">
        <w:rPr>
          <w:rtl/>
        </w:rPr>
        <w:t>-</w:t>
      </w:r>
      <w:r w:rsidRPr="001B6C67">
        <w:rPr>
          <w:rtl/>
        </w:rPr>
        <w:tab/>
        <w:t>يمكن الاطلاع على المعلومات المتعلقة بسبل الانتصاف الفعالة المتاحة في تايلند في الفقرات</w:t>
      </w:r>
      <w:r w:rsidR="0093366D">
        <w:rPr>
          <w:rFonts w:hint="cs"/>
          <w:rtl/>
        </w:rPr>
        <w:t> </w:t>
      </w:r>
      <w:r w:rsidRPr="00AF3116">
        <w:rPr>
          <w:rtl/>
        </w:rPr>
        <w:t>69</w:t>
      </w:r>
      <w:r w:rsidRPr="001B6C67">
        <w:rPr>
          <w:rtl/>
        </w:rPr>
        <w:t>-</w:t>
      </w:r>
      <w:r w:rsidRPr="00AF3116">
        <w:rPr>
          <w:rtl/>
        </w:rPr>
        <w:t>71</w:t>
      </w:r>
      <w:r w:rsidRPr="001B6C67">
        <w:rPr>
          <w:rtl/>
        </w:rPr>
        <w:t>.</w:t>
      </w:r>
    </w:p>
    <w:p w14:paraId="66DC62C6" w14:textId="77777777" w:rsidR="00DE3D9F" w:rsidRPr="001B6C67" w:rsidRDefault="00DE3D9F" w:rsidP="0093366D">
      <w:pPr>
        <w:pStyle w:val="H1GA"/>
        <w:rPr>
          <w:lang w:val="ar-SA" w:eastAsia="zh-TW" w:bidi="en-GB"/>
        </w:rPr>
      </w:pPr>
      <w:r>
        <w:rPr>
          <w:rtl/>
        </w:rPr>
        <w:tab/>
      </w:r>
      <w:bookmarkStart w:id="41" w:name="_Toc92899424"/>
      <w:r w:rsidRPr="001B6C67">
        <w:rPr>
          <w:rtl/>
        </w:rPr>
        <w:t>جيم-</w:t>
      </w:r>
      <w:r w:rsidRPr="001B6C67">
        <w:rPr>
          <w:rtl/>
        </w:rPr>
        <w:tab/>
        <w:t>الضمانات الإجرائية</w:t>
      </w:r>
      <w:bookmarkStart w:id="42" w:name="_Toc89701543"/>
      <w:bookmarkEnd w:id="42"/>
      <w:bookmarkEnd w:id="41"/>
    </w:p>
    <w:p w14:paraId="2FC642D6" w14:textId="77777777" w:rsidR="00DE3D9F" w:rsidRPr="001B6C67" w:rsidRDefault="00DE3D9F" w:rsidP="00DE3D9F">
      <w:pPr>
        <w:pStyle w:val="SingleTxtGA"/>
        <w:rPr>
          <w:lang w:val="ar-SA" w:eastAsia="zh-TW" w:bidi="en-GB"/>
        </w:rPr>
      </w:pPr>
      <w:r w:rsidRPr="00AF3116">
        <w:rPr>
          <w:rtl/>
        </w:rPr>
        <w:t>181</w:t>
      </w:r>
      <w:r w:rsidRPr="001B6C67">
        <w:rPr>
          <w:rtl/>
        </w:rPr>
        <w:t>-</w:t>
      </w:r>
      <w:r w:rsidRPr="001B6C67">
        <w:rPr>
          <w:rtl/>
        </w:rPr>
        <w:tab/>
        <w:t>بذلت تايلند جهوداً لضمان إتاحة فرص متساوية لوصول</w:t>
      </w:r>
      <w:r w:rsidRPr="00124EDF">
        <w:rPr>
          <w:rtl/>
        </w:rPr>
        <w:t xml:space="preserve"> </w:t>
      </w:r>
      <w:r>
        <w:rPr>
          <w:rtl/>
        </w:rPr>
        <w:t>ا</w:t>
      </w:r>
      <w:r w:rsidRPr="001B6C67">
        <w:rPr>
          <w:rtl/>
        </w:rPr>
        <w:t xml:space="preserve">لجميع إلى العدالة، ولا سيما من هم في حالات ضعف (انظر الفقرات </w:t>
      </w:r>
      <w:r w:rsidRPr="00AF3116">
        <w:rPr>
          <w:rtl/>
        </w:rPr>
        <w:t>62</w:t>
      </w:r>
      <w:r w:rsidRPr="001B6C67">
        <w:rPr>
          <w:rtl/>
        </w:rPr>
        <w:t>-</w:t>
      </w:r>
      <w:r w:rsidRPr="00AF3116">
        <w:rPr>
          <w:rtl/>
        </w:rPr>
        <w:t>68</w:t>
      </w:r>
      <w:r w:rsidRPr="001B6C67">
        <w:rPr>
          <w:rtl/>
        </w:rPr>
        <w:t xml:space="preserve">). وهي تضمن خدمات المحامين والاستشارات القانونية مجاناً لجميع الناس، بغض النظر عن وضعهم المالي أو جنسيتهم. وبالإضافة إلى ذلك، يهدف قانون صندوق العدالة لعام </w:t>
      </w:r>
      <w:r w:rsidRPr="00AF3116">
        <w:rPr>
          <w:rtl/>
        </w:rPr>
        <w:t>2015</w:t>
      </w:r>
      <w:r w:rsidRPr="001B6C67">
        <w:rPr>
          <w:rtl/>
        </w:rPr>
        <w:t xml:space="preserve"> الذي سُنّ مؤخراً إلى الحد من التفاوت الاجتماعي، على النحو المبين في الفقرة </w:t>
      </w:r>
      <w:r w:rsidRPr="00AF3116">
        <w:rPr>
          <w:rtl/>
        </w:rPr>
        <w:t>64</w:t>
      </w:r>
      <w:r w:rsidRPr="001B6C67">
        <w:rPr>
          <w:rtl/>
        </w:rPr>
        <w:t xml:space="preserve">. </w:t>
      </w:r>
    </w:p>
    <w:p w14:paraId="63FEDDB6" w14:textId="66EE7244" w:rsidR="00DE3D9F" w:rsidRPr="001B6C67" w:rsidRDefault="00DE3D9F" w:rsidP="00DE3D9F">
      <w:pPr>
        <w:pStyle w:val="SingleTxtGA"/>
        <w:rPr>
          <w:lang w:val="ar-SA" w:eastAsia="zh-TW" w:bidi="en-GB"/>
        </w:rPr>
      </w:pPr>
      <w:r w:rsidRPr="00AF3116">
        <w:rPr>
          <w:rtl/>
        </w:rPr>
        <w:t>182</w:t>
      </w:r>
      <w:r w:rsidRPr="001B6C67">
        <w:rPr>
          <w:rtl/>
        </w:rPr>
        <w:t>-</w:t>
      </w:r>
      <w:r w:rsidRPr="001B6C67">
        <w:rPr>
          <w:rtl/>
        </w:rPr>
        <w:tab/>
        <w:t xml:space="preserve">وفيما يتعلق بنظام العدالة الجنائية، إذا تم البت في قضية ما، ستستمع المحكمة إلى القضية بنزاهة ودون تمييز، بغض النظر عن وضع المدعى عليه والمدعي وما إذا كانا عديمي </w:t>
      </w:r>
      <w:r>
        <w:rPr>
          <w:rtl/>
        </w:rPr>
        <w:t>ال</w:t>
      </w:r>
      <w:r w:rsidRPr="001B6C67">
        <w:rPr>
          <w:rtl/>
        </w:rPr>
        <w:t>جنسية أو لديهما وضع قانوني غير واضح. وهناك عدد من المنظمات غير الحكومية التايلندية والمنظمات الدولية المستعدة لتقديم المساعدة أثناء المحاكمة من خلال العمل بشكل وثيق ومستقل مع الضحايا، دون أي تدخل أو</w:t>
      </w:r>
      <w:r w:rsidR="0093366D">
        <w:rPr>
          <w:rFonts w:hint="cs"/>
          <w:rtl/>
        </w:rPr>
        <w:t> </w:t>
      </w:r>
      <w:r w:rsidRPr="001B6C67">
        <w:rPr>
          <w:rtl/>
        </w:rPr>
        <w:t>عرقلة من جانب الدولة.</w:t>
      </w:r>
    </w:p>
    <w:p w14:paraId="438C8461" w14:textId="77777777" w:rsidR="00DE3D9F" w:rsidRPr="001B6C67" w:rsidRDefault="00DE3D9F" w:rsidP="0093366D">
      <w:pPr>
        <w:pStyle w:val="H1GA"/>
        <w:rPr>
          <w:lang w:val="ar-SA" w:eastAsia="zh-TW" w:bidi="en-GB"/>
        </w:rPr>
      </w:pPr>
      <w:r>
        <w:rPr>
          <w:rtl/>
        </w:rPr>
        <w:tab/>
      </w:r>
      <w:bookmarkStart w:id="43" w:name="_Toc92899425"/>
      <w:r w:rsidRPr="001B6C67">
        <w:rPr>
          <w:rtl/>
        </w:rPr>
        <w:t>دال-</w:t>
      </w:r>
      <w:r w:rsidRPr="001B6C67">
        <w:rPr>
          <w:rtl/>
        </w:rPr>
        <w:tab/>
        <w:t>المشاركة في الحياة العامة</w:t>
      </w:r>
      <w:bookmarkStart w:id="44" w:name="_Toc89701544"/>
      <w:bookmarkEnd w:id="44"/>
      <w:bookmarkEnd w:id="43"/>
    </w:p>
    <w:p w14:paraId="00BF6159" w14:textId="77777777" w:rsidR="00DE3D9F" w:rsidRPr="001B6C67" w:rsidRDefault="00DE3D9F" w:rsidP="00DE3D9F">
      <w:pPr>
        <w:pStyle w:val="SingleTxtGA"/>
        <w:rPr>
          <w:lang w:val="ar-SA" w:eastAsia="zh-TW" w:bidi="en-GB"/>
        </w:rPr>
      </w:pPr>
      <w:r w:rsidRPr="00AF3116">
        <w:rPr>
          <w:rtl/>
        </w:rPr>
        <w:t>183</w:t>
      </w:r>
      <w:r w:rsidRPr="001B6C67">
        <w:rPr>
          <w:rtl/>
        </w:rPr>
        <w:t>-</w:t>
      </w:r>
      <w:r w:rsidRPr="001B6C67">
        <w:rPr>
          <w:rtl/>
        </w:rPr>
        <w:tab/>
        <w:t xml:space="preserve">ترد في الفقرتين </w:t>
      </w:r>
      <w:r w:rsidRPr="00AF3116">
        <w:rPr>
          <w:rtl/>
        </w:rPr>
        <w:t>132</w:t>
      </w:r>
      <w:r w:rsidRPr="001B6C67">
        <w:rPr>
          <w:rtl/>
        </w:rPr>
        <w:t xml:space="preserve"> و</w:t>
      </w:r>
      <w:r w:rsidRPr="00AF3116">
        <w:rPr>
          <w:rtl/>
        </w:rPr>
        <w:t>133</w:t>
      </w:r>
      <w:r w:rsidRPr="001B6C67">
        <w:rPr>
          <w:rtl/>
        </w:rPr>
        <w:t xml:space="preserve"> معلومات عن قانون الجنسية، وكذلك الشروط المتصلة بتقديم طلب الحصول على الجنسية التايلندية.</w:t>
      </w:r>
    </w:p>
    <w:p w14:paraId="49063A38" w14:textId="77777777" w:rsidR="00DE3D9F" w:rsidRPr="001B6C67" w:rsidRDefault="00DE3D9F" w:rsidP="00DE3D9F">
      <w:pPr>
        <w:pStyle w:val="SingleTxtGA"/>
        <w:rPr>
          <w:lang w:val="ar-SA" w:eastAsia="zh-TW" w:bidi="en-GB"/>
        </w:rPr>
      </w:pPr>
      <w:r w:rsidRPr="00AF3116">
        <w:rPr>
          <w:rtl/>
        </w:rPr>
        <w:t>184</w:t>
      </w:r>
      <w:r w:rsidRPr="001B6C67">
        <w:rPr>
          <w:rtl/>
        </w:rPr>
        <w:t>-</w:t>
      </w:r>
      <w:r w:rsidRPr="001B6C67">
        <w:rPr>
          <w:rtl/>
        </w:rPr>
        <w:tab/>
        <w:t xml:space="preserve">وترد المعلومات المتعلقة بالنظام الانتخابي في تايلند في الفقرات </w:t>
      </w:r>
      <w:r w:rsidRPr="00AF3116">
        <w:rPr>
          <w:rtl/>
        </w:rPr>
        <w:t>57</w:t>
      </w:r>
      <w:r w:rsidRPr="001B6C67">
        <w:rPr>
          <w:rtl/>
        </w:rPr>
        <w:t>-</w:t>
      </w:r>
      <w:r w:rsidRPr="00AF3116">
        <w:rPr>
          <w:rtl/>
        </w:rPr>
        <w:t>59</w:t>
      </w:r>
      <w:r w:rsidRPr="001B6C67">
        <w:rPr>
          <w:rtl/>
        </w:rPr>
        <w:t>.</w:t>
      </w:r>
    </w:p>
    <w:p w14:paraId="0EF45A9A" w14:textId="0626424B" w:rsidR="00DE3D9F" w:rsidRDefault="00DE3D9F" w:rsidP="00DE3D9F">
      <w:pPr>
        <w:pStyle w:val="SingleTxtGA"/>
        <w:rPr>
          <w:cs/>
          <w:lang w:val="ar-SA" w:eastAsia="zh-TW" w:bidi="en-GB"/>
        </w:rPr>
      </w:pPr>
      <w:r w:rsidRPr="00AF3116">
        <w:rPr>
          <w:rtl/>
        </w:rPr>
        <w:t>185</w:t>
      </w:r>
      <w:r w:rsidRPr="001B6C67">
        <w:rPr>
          <w:rtl/>
        </w:rPr>
        <w:t>-</w:t>
      </w:r>
      <w:r w:rsidRPr="001B6C67">
        <w:rPr>
          <w:rtl/>
        </w:rPr>
        <w:tab/>
        <w:t xml:space="preserve">ولدى تايلند مجتمع مدني نشط جداً (انظر الفقرات </w:t>
      </w:r>
      <w:r w:rsidRPr="00AF3116">
        <w:rPr>
          <w:rtl/>
        </w:rPr>
        <w:t>160</w:t>
      </w:r>
      <w:r w:rsidRPr="001B6C67">
        <w:rPr>
          <w:rtl/>
        </w:rPr>
        <w:t>-</w:t>
      </w:r>
      <w:r w:rsidRPr="00AF3116">
        <w:rPr>
          <w:rtl/>
        </w:rPr>
        <w:t>164</w:t>
      </w:r>
      <w:r w:rsidRPr="001B6C67">
        <w:rPr>
          <w:rtl/>
        </w:rPr>
        <w:t xml:space="preserve">). </w:t>
      </w:r>
      <w:r>
        <w:rPr>
          <w:rtl/>
        </w:rPr>
        <w:t>و</w:t>
      </w:r>
      <w:r w:rsidRPr="001B6C67">
        <w:rPr>
          <w:rtl/>
        </w:rPr>
        <w:t>تعاونت الحكومة تعاوناً وثيقاً مع منظمات المجتمع المدني، بما في</w:t>
      </w:r>
      <w:r>
        <w:rPr>
          <w:rtl/>
        </w:rPr>
        <w:t xml:space="preserve"> ذلك</w:t>
      </w:r>
      <w:r w:rsidRPr="001B6C67">
        <w:rPr>
          <w:rtl/>
        </w:rPr>
        <w:t xml:space="preserve"> وسائط الإعلام، واعترفت بعملها كجزء من الحياة العامة و</w:t>
      </w:r>
      <w:r>
        <w:rPr>
          <w:rtl/>
        </w:rPr>
        <w:t xml:space="preserve">الحياة </w:t>
      </w:r>
      <w:r w:rsidRPr="001B6C67">
        <w:rPr>
          <w:rtl/>
        </w:rPr>
        <w:t>السياسية للبلد.</w:t>
      </w:r>
    </w:p>
    <w:p w14:paraId="47EAEBEE" w14:textId="1A69E567" w:rsidR="0093366D" w:rsidRPr="0093366D" w:rsidRDefault="0093366D" w:rsidP="0093366D">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93366D" w:rsidRPr="0093366D" w:rsidSect="009D7EDF">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F14D6" w14:textId="77777777" w:rsidR="003B756C" w:rsidRPr="002901D9" w:rsidRDefault="003B756C" w:rsidP="009815E4">
      <w:pPr>
        <w:spacing w:after="60" w:line="240" w:lineRule="auto"/>
        <w:ind w:left="57"/>
        <w:rPr>
          <w:i/>
          <w:iCs/>
        </w:rPr>
      </w:pPr>
      <w:r>
        <w:rPr>
          <w:rFonts w:hint="cs"/>
          <w:i/>
          <w:iCs/>
          <w:rtl/>
        </w:rPr>
        <w:t>الحواشي</w:t>
      </w:r>
    </w:p>
  </w:endnote>
  <w:endnote w:type="continuationSeparator" w:id="0">
    <w:p w14:paraId="569CB848" w14:textId="77777777" w:rsidR="003B756C" w:rsidRDefault="003B75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0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53412" w14:textId="5CAD62AE" w:rsidR="003B756C" w:rsidRPr="00A175F0" w:rsidRDefault="003B756C" w:rsidP="00A175F0">
    <w:pPr>
      <w:pStyle w:val="Footer"/>
      <w:tabs>
        <w:tab w:val="right" w:pos="9638"/>
      </w:tabs>
      <w:rPr>
        <w:b/>
        <w:sz w:val="18"/>
        <w:lang w:val="en-US"/>
      </w:rPr>
    </w:pPr>
    <w:r>
      <w:rPr>
        <w:lang w:val="en-US"/>
      </w:rPr>
      <w:t>GE.21-18208</w:t>
    </w:r>
    <w:r>
      <w:rPr>
        <w:lang w:val="en-US"/>
      </w:rPr>
      <w:tab/>
    </w:r>
    <w:r w:rsidRPr="00A175F0">
      <w:rPr>
        <w:b/>
        <w:sz w:val="18"/>
        <w:lang w:val="en-US"/>
      </w:rPr>
      <w:fldChar w:fldCharType="begin"/>
    </w:r>
    <w:r w:rsidRPr="00A175F0">
      <w:rPr>
        <w:b/>
        <w:sz w:val="18"/>
        <w:lang w:val="en-US"/>
      </w:rPr>
      <w:instrText xml:space="preserve"> PAGE  \* MERGEFORMAT </w:instrText>
    </w:r>
    <w:r w:rsidRPr="00A175F0">
      <w:rPr>
        <w:b/>
        <w:sz w:val="18"/>
        <w:lang w:val="en-US"/>
      </w:rPr>
      <w:fldChar w:fldCharType="separate"/>
    </w:r>
    <w:r w:rsidRPr="00A175F0">
      <w:rPr>
        <w:b/>
        <w:noProof/>
        <w:sz w:val="18"/>
        <w:lang w:val="en-US"/>
      </w:rPr>
      <w:t>2</w:t>
    </w:r>
    <w:r w:rsidRPr="00A175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5D252" w14:textId="55E2D04D" w:rsidR="003B756C" w:rsidRPr="00A175F0" w:rsidRDefault="003B756C" w:rsidP="00A175F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GE.21-18208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B79A5" w14:textId="4B91F97B" w:rsidR="003B756C" w:rsidRPr="00A175F0" w:rsidRDefault="003B756C" w:rsidP="00A175F0">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69FA5086" wp14:editId="605AAEC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21-18208 (A)</w:t>
    </w:r>
    <w:r>
      <w:rPr>
        <w:noProof/>
        <w:sz w:val="20"/>
        <w:lang w:val="en-US"/>
      </w:rPr>
      <w:drawing>
        <wp:anchor distT="0" distB="0" distL="114300" distR="114300" simplePos="0" relativeHeight="251659264" behindDoc="0" locked="0" layoutInCell="1" allowOverlap="1" wp14:anchorId="1DB2CB8B" wp14:editId="488689F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9B92B" w14:textId="77777777" w:rsidR="003B756C" w:rsidRPr="00CA22EA" w:rsidRDefault="003B756C"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F71E7B5" w14:textId="77777777" w:rsidR="003B756C" w:rsidRDefault="003B756C" w:rsidP="00656392">
      <w:pPr>
        <w:spacing w:line="240" w:lineRule="auto"/>
      </w:pPr>
      <w:r>
        <w:continuationSeparator/>
      </w:r>
    </w:p>
  </w:footnote>
  <w:footnote w:id="1">
    <w:p w14:paraId="7F41F8DF" w14:textId="76918C7B" w:rsidR="003B756C" w:rsidRPr="00DE3D9F" w:rsidRDefault="003B756C" w:rsidP="00DE3D9F">
      <w:pPr>
        <w:pStyle w:val="FootnoteText1"/>
        <w:rPr>
          <w:rtl/>
        </w:rPr>
      </w:pPr>
      <w:r w:rsidRPr="001118BF">
        <w:rPr>
          <w:sz w:val="22"/>
          <w:szCs w:val="22"/>
          <w:rtl/>
        </w:rPr>
        <w:t>*</w:t>
      </w:r>
      <w:r>
        <w:rPr>
          <w:rtl/>
        </w:rPr>
        <w:tab/>
      </w:r>
      <w:r w:rsidRPr="001B6C67">
        <w:rPr>
          <w:rFonts w:ascii="Simplified Arabic" w:hAnsi="Simplified Arabic"/>
          <w:rtl/>
        </w:rPr>
        <w:t>تصدر هذه الوثيقة من دون تحرير رسمي.</w:t>
      </w:r>
    </w:p>
  </w:footnote>
  <w:footnote w:id="2">
    <w:p w14:paraId="5505C00B" w14:textId="67FCF1C3" w:rsidR="003B756C" w:rsidRPr="00C72472" w:rsidRDefault="003B756C" w:rsidP="00FC545D">
      <w:pPr>
        <w:pStyle w:val="FootnoteText1"/>
        <w:textDirection w:val="tbRlV"/>
        <w:rPr>
          <w:rFonts w:ascii="Simplified Arabic" w:hAnsi="Simplified Arabic"/>
          <w:lang w:val="ar-SA" w:eastAsia="zh-TW" w:bidi="en-GB"/>
        </w:rPr>
      </w:pPr>
      <w:r w:rsidRPr="00FC545D">
        <w:rPr>
          <w:rFonts w:hint="cs"/>
          <w:rtl/>
        </w:rPr>
        <w:t>(</w:t>
      </w:r>
      <w:r w:rsidRPr="00AF3116">
        <w:rPr>
          <w:rStyle w:val="FootnoteReference"/>
          <w:vertAlign w:val="baseline"/>
        </w:rPr>
        <w:footnoteRef/>
      </w:r>
      <w:r w:rsidRPr="00FC545D">
        <w:rPr>
          <w:rFonts w:hint="cs"/>
          <w:rtl/>
        </w:rPr>
        <w:t>)</w:t>
      </w:r>
      <w:r>
        <w:rPr>
          <w:rtl/>
        </w:rPr>
        <w:tab/>
      </w:r>
      <w:r w:rsidRPr="00C72472">
        <w:rPr>
          <w:rFonts w:ascii="Simplified Arabic" w:hAnsi="Simplified Arabic"/>
          <w:rtl/>
        </w:rPr>
        <w:t xml:space="preserve">المكتب الإحصائي الوطني، السكان المسجلون مصنفون بحسب الجنس العمري والمقاطعات، تم النفاذ إليه في </w:t>
      </w:r>
      <w:r w:rsidRPr="00AF3116">
        <w:rPr>
          <w:rFonts w:ascii="Simplified Arabic" w:hAnsi="Simplified Arabic"/>
          <w:rtl/>
        </w:rPr>
        <w:t>8</w:t>
      </w:r>
      <w:r w:rsidRPr="00C72472">
        <w:rPr>
          <w:rFonts w:ascii="Simplified Arabic" w:hAnsi="Simplified Arabic"/>
          <w:rtl/>
        </w:rPr>
        <w:t xml:space="preserve"> نيسان/أبريل </w:t>
      </w:r>
      <w:r w:rsidRPr="00AF3116">
        <w:rPr>
          <w:rFonts w:ascii="Simplified Arabic" w:hAnsi="Simplified Arabic"/>
          <w:rtl/>
        </w:rPr>
        <w:t>2019</w:t>
      </w:r>
      <w:r w:rsidRPr="00C72472">
        <w:rPr>
          <w:rFonts w:ascii="Simplified Arabic" w:hAnsi="Simplified Arabic"/>
          <w:rtl/>
        </w:rPr>
        <w:t xml:space="preserve"> (</w:t>
      </w:r>
      <w:r w:rsidRPr="00FC545D">
        <w:rPr>
          <w:rFonts w:cs="Times New Roman"/>
        </w:rPr>
        <w:t>http://statbbi.nso.go.th/staticreport/page/sector/th/</w:t>
      </w:r>
      <w:r w:rsidRPr="00AF3116">
        <w:rPr>
          <w:rFonts w:cs="Times New Roman"/>
        </w:rPr>
        <w:t>01</w:t>
      </w:r>
      <w:r w:rsidRPr="00FC545D">
        <w:rPr>
          <w:rFonts w:cs="Times New Roman"/>
        </w:rPr>
        <w:t>.aspx</w:t>
      </w:r>
      <w:r w:rsidRPr="00C72472">
        <w:rPr>
          <w:rFonts w:ascii="Simplified Arabic" w:hAnsi="Simplified Arabic"/>
          <w:rtl/>
        </w:rPr>
        <w:t>).</w:t>
      </w:r>
    </w:p>
  </w:footnote>
  <w:footnote w:id="3">
    <w:p w14:paraId="58A53EDC" w14:textId="52E36A03" w:rsidR="003B756C" w:rsidRPr="00FB14DF" w:rsidRDefault="003B756C" w:rsidP="007B06D9">
      <w:pPr>
        <w:pStyle w:val="FootnoteText1"/>
        <w:textDirection w:val="tbRlV"/>
        <w:rPr>
          <w:rFonts w:ascii="Simplified Arabic" w:hAnsi="Simplified Arabic"/>
          <w:lang w:val="ar-SA" w:eastAsia="zh-TW" w:bidi="en-GB"/>
        </w:rPr>
      </w:pPr>
      <w:r w:rsidRPr="007B06D9">
        <w:rPr>
          <w:rFonts w:ascii="Simplified Arabic" w:hAnsi="Simplified Arabic" w:hint="cs"/>
          <w:rtl/>
        </w:rPr>
        <w:t>(</w:t>
      </w:r>
      <w:r w:rsidRPr="00AF3116">
        <w:rPr>
          <w:rStyle w:val="FootnoteReference"/>
          <w:rFonts w:ascii="Simplified Arabic" w:hAnsi="Simplified Arabic"/>
          <w:vertAlign w:val="baseline"/>
        </w:rPr>
        <w:footnoteRef/>
      </w:r>
      <w:r w:rsidRPr="007B06D9">
        <w:rPr>
          <w:rFonts w:ascii="Simplified Arabic" w:hAnsi="Simplified Arabic" w:hint="cs"/>
          <w:rtl/>
        </w:rPr>
        <w:t>)</w:t>
      </w:r>
      <w:r w:rsidRPr="00FB14DF">
        <w:rPr>
          <w:rFonts w:ascii="Simplified Arabic" w:hAnsi="Simplified Arabic"/>
          <w:rtl/>
        </w:rPr>
        <w:tab/>
        <w:t xml:space="preserve">سعر الصرف من بنك تايلاند في </w:t>
      </w:r>
      <w:r w:rsidRPr="00AF3116">
        <w:rPr>
          <w:rFonts w:ascii="Simplified Arabic" w:hAnsi="Simplified Arabic"/>
          <w:rtl/>
        </w:rPr>
        <w:t>27</w:t>
      </w:r>
      <w:r w:rsidRPr="00FB14DF">
        <w:rPr>
          <w:rFonts w:ascii="Simplified Arabic" w:hAnsi="Simplified Arabic"/>
          <w:rtl/>
        </w:rPr>
        <w:t xml:space="preserve"> آذار/مارس </w:t>
      </w:r>
      <w:r w:rsidRPr="00AF3116">
        <w:rPr>
          <w:rFonts w:ascii="Simplified Arabic" w:hAnsi="Simplified Arabic"/>
          <w:rtl/>
        </w:rPr>
        <w:t>2019</w:t>
      </w:r>
      <w:r w:rsidRPr="00FB14DF">
        <w:rPr>
          <w:rFonts w:ascii="Simplified Arabic" w:hAnsi="Simplified Arabic"/>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89F71" w14:textId="33B41CD5" w:rsidR="003B756C" w:rsidRPr="00A175F0" w:rsidRDefault="003B756C" w:rsidP="00A175F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HRI/CORE/THA/2021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37222" w14:textId="5E7CBACC" w:rsidR="003B756C" w:rsidRPr="00A175F0" w:rsidRDefault="003B756C" w:rsidP="00A175F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HRI/CORE/THA/2021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E352D"/>
    <w:multiLevelType w:val="hybridMultilevel"/>
    <w:tmpl w:val="99ACEFB6"/>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B1946"/>
    <w:multiLevelType w:val="hybridMultilevel"/>
    <w:tmpl w:val="AB7E787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814262F"/>
    <w:multiLevelType w:val="hybridMultilevel"/>
    <w:tmpl w:val="0CE071F6"/>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4"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7"/>
  </w:num>
  <w:num w:numId="3">
    <w:abstractNumId w:val="2"/>
  </w:num>
  <w:num w:numId="4">
    <w:abstractNumId w:val="16"/>
  </w:num>
  <w:num w:numId="5">
    <w:abstractNumId w:val="12"/>
  </w:num>
  <w:num w:numId="6">
    <w:abstractNumId w:val="8"/>
  </w:num>
  <w:num w:numId="7">
    <w:abstractNumId w:val="22"/>
  </w:num>
  <w:num w:numId="8">
    <w:abstractNumId w:val="2"/>
  </w:num>
  <w:num w:numId="9">
    <w:abstractNumId w:val="16"/>
  </w:num>
  <w:num w:numId="10">
    <w:abstractNumId w:val="8"/>
  </w:num>
  <w:num w:numId="11">
    <w:abstractNumId w:val="22"/>
  </w:num>
  <w:num w:numId="12">
    <w:abstractNumId w:val="6"/>
  </w:num>
  <w:num w:numId="13">
    <w:abstractNumId w:val="4"/>
  </w:num>
  <w:num w:numId="14">
    <w:abstractNumId w:val="21"/>
  </w:num>
  <w:num w:numId="15">
    <w:abstractNumId w:val="18"/>
  </w:num>
  <w:num w:numId="16">
    <w:abstractNumId w:val="1"/>
  </w:num>
  <w:num w:numId="17">
    <w:abstractNumId w:val="19"/>
  </w:num>
  <w:num w:numId="18">
    <w:abstractNumId w:val="0"/>
  </w:num>
  <w:num w:numId="19">
    <w:abstractNumId w:val="14"/>
  </w:num>
  <w:num w:numId="20">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0"/>
  </w:num>
  <w:num w:numId="26">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9"/>
  </w:num>
  <w:num w:numId="28">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9">
    <w:abstractNumId w:val="7"/>
  </w:num>
  <w:num w:numId="30">
    <w:abstractNumId w:val="5"/>
  </w:num>
  <w:num w:numId="31">
    <w:abstractNumId w:val="3"/>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3DF"/>
    <w:rsid w:val="000076D5"/>
    <w:rsid w:val="00043663"/>
    <w:rsid w:val="000505CF"/>
    <w:rsid w:val="0006642E"/>
    <w:rsid w:val="0009460F"/>
    <w:rsid w:val="000B462C"/>
    <w:rsid w:val="000D701C"/>
    <w:rsid w:val="000E2A71"/>
    <w:rsid w:val="001118BF"/>
    <w:rsid w:val="00146491"/>
    <w:rsid w:val="00160263"/>
    <w:rsid w:val="00181F96"/>
    <w:rsid w:val="001A1371"/>
    <w:rsid w:val="001A356A"/>
    <w:rsid w:val="001B0794"/>
    <w:rsid w:val="001B2F42"/>
    <w:rsid w:val="001B346A"/>
    <w:rsid w:val="001C785F"/>
    <w:rsid w:val="001E1CAD"/>
    <w:rsid w:val="001E290D"/>
    <w:rsid w:val="00206BEB"/>
    <w:rsid w:val="002144FA"/>
    <w:rsid w:val="0023469A"/>
    <w:rsid w:val="0023489D"/>
    <w:rsid w:val="00243C8A"/>
    <w:rsid w:val="00245352"/>
    <w:rsid w:val="00267A0E"/>
    <w:rsid w:val="002705E5"/>
    <w:rsid w:val="002823DF"/>
    <w:rsid w:val="002901D9"/>
    <w:rsid w:val="002976C2"/>
    <w:rsid w:val="002A2227"/>
    <w:rsid w:val="002E196D"/>
    <w:rsid w:val="003260FF"/>
    <w:rsid w:val="00343D95"/>
    <w:rsid w:val="00354CC2"/>
    <w:rsid w:val="00367EE0"/>
    <w:rsid w:val="00374341"/>
    <w:rsid w:val="003957A0"/>
    <w:rsid w:val="003A4ADA"/>
    <w:rsid w:val="003B756C"/>
    <w:rsid w:val="003C7406"/>
    <w:rsid w:val="003D1062"/>
    <w:rsid w:val="00420D7B"/>
    <w:rsid w:val="00450B21"/>
    <w:rsid w:val="00453B63"/>
    <w:rsid w:val="00455780"/>
    <w:rsid w:val="00483D61"/>
    <w:rsid w:val="004A3298"/>
    <w:rsid w:val="004B0A1C"/>
    <w:rsid w:val="004D0C38"/>
    <w:rsid w:val="004D298E"/>
    <w:rsid w:val="004F6383"/>
    <w:rsid w:val="00535610"/>
    <w:rsid w:val="0053722C"/>
    <w:rsid w:val="0054472E"/>
    <w:rsid w:val="00556AB9"/>
    <w:rsid w:val="005662A9"/>
    <w:rsid w:val="005827D4"/>
    <w:rsid w:val="0059622A"/>
    <w:rsid w:val="005C5878"/>
    <w:rsid w:val="005C7CEA"/>
    <w:rsid w:val="005D3C0B"/>
    <w:rsid w:val="005E5217"/>
    <w:rsid w:val="005F0FA4"/>
    <w:rsid w:val="005F30EE"/>
    <w:rsid w:val="005F6F8E"/>
    <w:rsid w:val="0060473A"/>
    <w:rsid w:val="0060722E"/>
    <w:rsid w:val="00623495"/>
    <w:rsid w:val="00624B9B"/>
    <w:rsid w:val="006274B2"/>
    <w:rsid w:val="0063775D"/>
    <w:rsid w:val="00656392"/>
    <w:rsid w:val="00676B5E"/>
    <w:rsid w:val="0068781D"/>
    <w:rsid w:val="006959B0"/>
    <w:rsid w:val="006B3E27"/>
    <w:rsid w:val="006B6507"/>
    <w:rsid w:val="006C104C"/>
    <w:rsid w:val="006E68C4"/>
    <w:rsid w:val="00733704"/>
    <w:rsid w:val="0078071A"/>
    <w:rsid w:val="007A0525"/>
    <w:rsid w:val="007A3956"/>
    <w:rsid w:val="007A63CA"/>
    <w:rsid w:val="007B06D9"/>
    <w:rsid w:val="007C1295"/>
    <w:rsid w:val="007D3947"/>
    <w:rsid w:val="007E37A9"/>
    <w:rsid w:val="00800C01"/>
    <w:rsid w:val="00852A9A"/>
    <w:rsid w:val="00883EBA"/>
    <w:rsid w:val="008F49E1"/>
    <w:rsid w:val="0090370F"/>
    <w:rsid w:val="009110F6"/>
    <w:rsid w:val="009269D2"/>
    <w:rsid w:val="0093366D"/>
    <w:rsid w:val="00942135"/>
    <w:rsid w:val="009521B0"/>
    <w:rsid w:val="00957371"/>
    <w:rsid w:val="009815E4"/>
    <w:rsid w:val="00994130"/>
    <w:rsid w:val="009A7E9F"/>
    <w:rsid w:val="009D7EDF"/>
    <w:rsid w:val="009E5018"/>
    <w:rsid w:val="009F3BCF"/>
    <w:rsid w:val="00A12B37"/>
    <w:rsid w:val="00A130A4"/>
    <w:rsid w:val="00A1373C"/>
    <w:rsid w:val="00A175F0"/>
    <w:rsid w:val="00A40237"/>
    <w:rsid w:val="00A519EC"/>
    <w:rsid w:val="00A575B0"/>
    <w:rsid w:val="00A6363A"/>
    <w:rsid w:val="00AA29CE"/>
    <w:rsid w:val="00AB6758"/>
    <w:rsid w:val="00AD7242"/>
    <w:rsid w:val="00AF0202"/>
    <w:rsid w:val="00AF2F75"/>
    <w:rsid w:val="00AF3116"/>
    <w:rsid w:val="00AF6EC9"/>
    <w:rsid w:val="00B13763"/>
    <w:rsid w:val="00B452DB"/>
    <w:rsid w:val="00B477A4"/>
    <w:rsid w:val="00B54045"/>
    <w:rsid w:val="00B627BA"/>
    <w:rsid w:val="00B706DA"/>
    <w:rsid w:val="00C17F18"/>
    <w:rsid w:val="00C2304B"/>
    <w:rsid w:val="00C438D7"/>
    <w:rsid w:val="00C8001E"/>
    <w:rsid w:val="00C81B50"/>
    <w:rsid w:val="00CA22EA"/>
    <w:rsid w:val="00CB28F9"/>
    <w:rsid w:val="00CD1801"/>
    <w:rsid w:val="00D01CC9"/>
    <w:rsid w:val="00D10EF1"/>
    <w:rsid w:val="00D16080"/>
    <w:rsid w:val="00D24D73"/>
    <w:rsid w:val="00D42810"/>
    <w:rsid w:val="00D4748E"/>
    <w:rsid w:val="00D55BE1"/>
    <w:rsid w:val="00D55C97"/>
    <w:rsid w:val="00D72D17"/>
    <w:rsid w:val="00D82754"/>
    <w:rsid w:val="00D914A7"/>
    <w:rsid w:val="00DA075B"/>
    <w:rsid w:val="00DB1D2F"/>
    <w:rsid w:val="00DC4300"/>
    <w:rsid w:val="00DD13C3"/>
    <w:rsid w:val="00DD596E"/>
    <w:rsid w:val="00DD621E"/>
    <w:rsid w:val="00DE3D9F"/>
    <w:rsid w:val="00DF0575"/>
    <w:rsid w:val="00E20734"/>
    <w:rsid w:val="00E40CC2"/>
    <w:rsid w:val="00E61563"/>
    <w:rsid w:val="00E70E04"/>
    <w:rsid w:val="00E76499"/>
    <w:rsid w:val="00E777FD"/>
    <w:rsid w:val="00E85C72"/>
    <w:rsid w:val="00E9006F"/>
    <w:rsid w:val="00E90634"/>
    <w:rsid w:val="00EB1240"/>
    <w:rsid w:val="00EC05A7"/>
    <w:rsid w:val="00EC4B6B"/>
    <w:rsid w:val="00EC6FD0"/>
    <w:rsid w:val="00EF1EE5"/>
    <w:rsid w:val="00F50514"/>
    <w:rsid w:val="00F62C8F"/>
    <w:rsid w:val="00F763B4"/>
    <w:rsid w:val="00F900C3"/>
    <w:rsid w:val="00F9604D"/>
    <w:rsid w:val="00FB4E2D"/>
    <w:rsid w:val="00FC545D"/>
    <w:rsid w:val="00FE57E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7D0784F"/>
  <w15:docId w15:val="{1F4421CB-462F-4342-9320-45430690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lsdException w:name="Emphasis" w:uiPriority="20"/>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56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A356A"/>
    <w:pPr>
      <w:bidi w:val="0"/>
      <w:outlineLvl w:val="0"/>
    </w:pPr>
  </w:style>
  <w:style w:type="paragraph" w:styleId="Heading2">
    <w:name w:val="heading 2"/>
    <w:basedOn w:val="Normal"/>
    <w:next w:val="Normal"/>
    <w:link w:val="Heading2Char"/>
    <w:uiPriority w:val="9"/>
    <w:unhideWhenUsed/>
    <w:rsid w:val="001A356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356A"/>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356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356A"/>
    <w:pPr>
      <w:keepNext/>
      <w:keepLines/>
      <w:spacing w:before="200"/>
      <w:outlineLvl w:val="4"/>
    </w:pPr>
    <w:rPr>
      <w:color w:val="243F60"/>
    </w:rPr>
  </w:style>
  <w:style w:type="paragraph" w:styleId="Heading6">
    <w:name w:val="heading 6"/>
    <w:basedOn w:val="Normal"/>
    <w:next w:val="Normal"/>
    <w:link w:val="Heading6Char"/>
    <w:uiPriority w:val="9"/>
    <w:unhideWhenUsed/>
    <w:rsid w:val="001A356A"/>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356A"/>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356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356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A356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A356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1A356A"/>
    <w:rPr>
      <w:szCs w:val="18"/>
      <w:vertAlign w:val="superscript"/>
    </w:rPr>
  </w:style>
  <w:style w:type="paragraph" w:customStyle="1" w:styleId="HMGA">
    <w:name w:val="_ H __M_GA"/>
    <w:basedOn w:val="Normal"/>
    <w:next w:val="SingleTxtGA"/>
    <w:qFormat/>
    <w:rsid w:val="001A356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356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356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356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356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356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A356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A356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356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356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356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356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A356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356A"/>
    <w:pPr>
      <w:numPr>
        <w:numId w:val="5"/>
      </w:numPr>
      <w:bidi w:val="0"/>
    </w:pPr>
    <w:rPr>
      <w:lang w:val="en-US"/>
    </w:rPr>
  </w:style>
  <w:style w:type="paragraph" w:customStyle="1" w:styleId="Roman1GA">
    <w:name w:val="_Roman 1_GA"/>
    <w:basedOn w:val="Bullet1GA"/>
    <w:qFormat/>
    <w:rsid w:val="001A356A"/>
    <w:pPr>
      <w:numPr>
        <w:numId w:val="6"/>
      </w:numPr>
      <w:tabs>
        <w:tab w:val="clear" w:pos="2310"/>
        <w:tab w:val="left" w:pos="2486"/>
      </w:tabs>
      <w:ind w:left="2486" w:hanging="378"/>
    </w:pPr>
  </w:style>
  <w:style w:type="paragraph" w:customStyle="1" w:styleId="Roman2GA">
    <w:name w:val="_Roman 2_GA"/>
    <w:basedOn w:val="Bullet2GA"/>
    <w:qFormat/>
    <w:rsid w:val="001A356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356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356A"/>
    <w:rPr>
      <w:rFonts w:ascii="Times New Roman" w:eastAsia="PMingLiU" w:hAnsi="Times New Roman" w:cs="Simplified Arabic"/>
      <w:sz w:val="18"/>
      <w:szCs w:val="20"/>
      <w:lang w:val="en-GB"/>
    </w:rPr>
  </w:style>
  <w:style w:type="character" w:customStyle="1" w:styleId="EndtnoteReference">
    <w:name w:val="Endtnote Reference"/>
    <w:aliases w:val="1_GA"/>
    <w:qFormat/>
    <w:rsid w:val="001A356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356A"/>
    <w:pPr>
      <w:suppressAutoHyphens/>
      <w:bidi w:val="0"/>
      <w:spacing w:line="240" w:lineRule="auto"/>
    </w:pPr>
    <w:rPr>
      <w:sz w:val="16"/>
      <w:lang w:val="en-GB"/>
    </w:rPr>
  </w:style>
  <w:style w:type="character" w:customStyle="1" w:styleId="FooterChar">
    <w:name w:val="Footer Char"/>
    <w:aliases w:val="3_GA Char,3_G Char"/>
    <w:link w:val="Footer"/>
    <w:rsid w:val="001A356A"/>
    <w:rPr>
      <w:rFonts w:ascii="Times New Roman" w:eastAsia="PMingLiU" w:hAnsi="Times New Roman" w:cs="Simplified Arabic"/>
      <w:sz w:val="16"/>
      <w:lang w:val="en-GB"/>
    </w:rPr>
  </w:style>
  <w:style w:type="paragraph" w:customStyle="1" w:styleId="FootnoteText1">
    <w:name w:val="Footnote Text1"/>
    <w:aliases w:val="5_GA"/>
    <w:basedOn w:val="Normal"/>
    <w:qFormat/>
    <w:rsid w:val="001A356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356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356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A356A"/>
    <w:rPr>
      <w:rFonts w:ascii="Times New Roman" w:eastAsia="PMingLiU" w:hAnsi="Times New Roman" w:cs="Simplified Arabic"/>
      <w:lang w:val="en-GB"/>
    </w:rPr>
  </w:style>
  <w:style w:type="character" w:styleId="PageNumber">
    <w:name w:val="page number"/>
    <w:aliases w:val="7_GA,7_G"/>
    <w:qFormat/>
    <w:rsid w:val="001A356A"/>
    <w:rPr>
      <w:rFonts w:ascii="Times New Roman Bold" w:hAnsi="Times New Roman Bold"/>
      <w:b/>
      <w:i w:val="0"/>
      <w:sz w:val="18"/>
      <w:szCs w:val="18"/>
    </w:rPr>
  </w:style>
  <w:style w:type="paragraph" w:customStyle="1" w:styleId="XXLargeGA">
    <w:name w:val="XXLarge_GA"/>
    <w:basedOn w:val="Normal"/>
    <w:next w:val="SingleTxtGA"/>
    <w:qFormat/>
    <w:rsid w:val="001A356A"/>
    <w:pPr>
      <w:suppressAutoHyphens/>
      <w:spacing w:line="820" w:lineRule="exact"/>
    </w:pPr>
    <w:rPr>
      <w:spacing w:val="-8"/>
      <w:w w:val="96"/>
      <w:sz w:val="57"/>
      <w:szCs w:val="86"/>
      <w:lang w:val="en-GB"/>
    </w:rPr>
  </w:style>
  <w:style w:type="character" w:customStyle="1" w:styleId="Heading2Char">
    <w:name w:val="Heading 2 Char"/>
    <w:link w:val="Heading2"/>
    <w:uiPriority w:val="9"/>
    <w:rsid w:val="001A356A"/>
    <w:rPr>
      <w:rFonts w:ascii="Times New Roman" w:eastAsia="PMingLiU" w:hAnsi="Times New Roman" w:cs="Simplified Arabic"/>
      <w:b/>
      <w:bCs/>
      <w:color w:val="4F81BD"/>
      <w:sz w:val="26"/>
      <w:szCs w:val="26"/>
    </w:rPr>
  </w:style>
  <w:style w:type="character" w:styleId="BookTitle">
    <w:name w:val="Book Title"/>
    <w:uiPriority w:val="33"/>
    <w:rsid w:val="001A356A"/>
    <w:rPr>
      <w:b/>
      <w:bCs/>
      <w:smallCaps/>
      <w:spacing w:val="5"/>
    </w:rPr>
  </w:style>
  <w:style w:type="character" w:customStyle="1" w:styleId="Heading3Char">
    <w:name w:val="Heading 3 Char"/>
    <w:link w:val="Heading3"/>
    <w:uiPriority w:val="9"/>
    <w:rsid w:val="001A356A"/>
    <w:rPr>
      <w:rFonts w:ascii="Times New Roman" w:eastAsia="PMingLiU" w:hAnsi="Times New Roman" w:cs="Simplified Arabic"/>
      <w:b/>
      <w:bCs/>
      <w:color w:val="4F81BD"/>
      <w:sz w:val="20"/>
    </w:rPr>
  </w:style>
  <w:style w:type="character" w:customStyle="1" w:styleId="Heading4Char">
    <w:name w:val="Heading 4 Char"/>
    <w:link w:val="Heading4"/>
    <w:uiPriority w:val="9"/>
    <w:rsid w:val="001A356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A356A"/>
    <w:rPr>
      <w:rFonts w:ascii="Times New Roman" w:eastAsia="PMingLiU" w:hAnsi="Times New Roman" w:cs="Simplified Arabic"/>
      <w:color w:val="243F60"/>
      <w:sz w:val="20"/>
    </w:rPr>
  </w:style>
  <w:style w:type="character" w:customStyle="1" w:styleId="Heading6Char">
    <w:name w:val="Heading 6 Char"/>
    <w:link w:val="Heading6"/>
    <w:uiPriority w:val="9"/>
    <w:rsid w:val="001A356A"/>
    <w:rPr>
      <w:rFonts w:ascii="Times New Roman" w:eastAsia="PMingLiU" w:hAnsi="Times New Roman" w:cs="Simplified Arabic"/>
      <w:i/>
      <w:iCs/>
      <w:color w:val="243F60"/>
      <w:sz w:val="20"/>
    </w:rPr>
  </w:style>
  <w:style w:type="character" w:customStyle="1" w:styleId="Heading7Char">
    <w:name w:val="Heading 7 Char"/>
    <w:link w:val="Heading7"/>
    <w:uiPriority w:val="9"/>
    <w:rsid w:val="001A356A"/>
    <w:rPr>
      <w:rFonts w:ascii="Times New Roman" w:eastAsia="PMingLiU" w:hAnsi="Times New Roman" w:cs="Simplified Arabic"/>
      <w:i/>
      <w:iCs/>
      <w:color w:val="404040"/>
      <w:sz w:val="20"/>
    </w:rPr>
  </w:style>
  <w:style w:type="character" w:customStyle="1" w:styleId="Heading8Char">
    <w:name w:val="Heading 8 Char"/>
    <w:link w:val="Heading8"/>
    <w:uiPriority w:val="9"/>
    <w:rsid w:val="001A356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A356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A356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356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A356A"/>
    <w:pPr>
      <w:numPr>
        <w:ilvl w:val="1"/>
      </w:numPr>
    </w:pPr>
    <w:rPr>
      <w:i/>
      <w:iCs/>
      <w:color w:val="4F81BD"/>
      <w:spacing w:val="15"/>
      <w:sz w:val="24"/>
      <w:szCs w:val="24"/>
    </w:rPr>
  </w:style>
  <w:style w:type="character" w:customStyle="1" w:styleId="SubtitleChar">
    <w:name w:val="Subtitle Char"/>
    <w:link w:val="Subtitle"/>
    <w:uiPriority w:val="11"/>
    <w:rsid w:val="001A356A"/>
    <w:rPr>
      <w:rFonts w:ascii="Times New Roman" w:eastAsia="PMingLiU" w:hAnsi="Times New Roman" w:cs="Simplified Arabic"/>
      <w:i/>
      <w:iCs/>
      <w:color w:val="4F81BD"/>
      <w:spacing w:val="15"/>
      <w:sz w:val="24"/>
      <w:szCs w:val="24"/>
    </w:rPr>
  </w:style>
  <w:style w:type="character" w:styleId="SubtleEmphasis">
    <w:name w:val="Subtle Emphasis"/>
    <w:uiPriority w:val="19"/>
    <w:rsid w:val="001A356A"/>
    <w:rPr>
      <w:i/>
      <w:iCs/>
      <w:color w:val="808080"/>
    </w:rPr>
  </w:style>
  <w:style w:type="table" w:styleId="ColorfulGrid-Accent6">
    <w:name w:val="Colorful Grid Accent 6"/>
    <w:basedOn w:val="TableNormal"/>
    <w:uiPriority w:val="73"/>
    <w:rsid w:val="001A356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A356A"/>
    <w:rPr>
      <w:i/>
      <w:iCs/>
    </w:rPr>
  </w:style>
  <w:style w:type="character" w:styleId="IntenseEmphasis">
    <w:name w:val="Intense Emphasis"/>
    <w:uiPriority w:val="21"/>
    <w:rsid w:val="001A356A"/>
    <w:rPr>
      <w:b/>
      <w:bCs/>
      <w:i/>
      <w:iCs/>
      <w:color w:val="4F81BD"/>
    </w:rPr>
  </w:style>
  <w:style w:type="character" w:styleId="Strong">
    <w:name w:val="Strong"/>
    <w:uiPriority w:val="22"/>
    <w:rsid w:val="001A356A"/>
    <w:rPr>
      <w:b/>
      <w:bCs/>
    </w:rPr>
  </w:style>
  <w:style w:type="paragraph" w:styleId="Quote">
    <w:name w:val="Quote"/>
    <w:basedOn w:val="Normal"/>
    <w:next w:val="Normal"/>
    <w:link w:val="QuoteChar"/>
    <w:uiPriority w:val="29"/>
    <w:rsid w:val="001A356A"/>
    <w:rPr>
      <w:i/>
      <w:iCs/>
      <w:color w:val="000000"/>
    </w:rPr>
  </w:style>
  <w:style w:type="character" w:customStyle="1" w:styleId="QuoteChar">
    <w:name w:val="Quote Char"/>
    <w:link w:val="Quote"/>
    <w:uiPriority w:val="29"/>
    <w:rsid w:val="001A356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A356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A356A"/>
    <w:rPr>
      <w:rFonts w:ascii="Times New Roman" w:eastAsia="PMingLiU" w:hAnsi="Times New Roman" w:cs="Simplified Arabic"/>
      <w:b/>
      <w:bCs/>
      <w:i/>
      <w:iCs/>
      <w:color w:val="4F81BD"/>
      <w:sz w:val="20"/>
    </w:rPr>
  </w:style>
  <w:style w:type="character" w:styleId="SubtleReference">
    <w:name w:val="Subtle Reference"/>
    <w:uiPriority w:val="31"/>
    <w:rsid w:val="001A356A"/>
    <w:rPr>
      <w:smallCaps/>
      <w:color w:val="C0504D"/>
      <w:u w:val="single"/>
    </w:rPr>
  </w:style>
  <w:style w:type="character" w:styleId="IntenseReference">
    <w:name w:val="Intense Reference"/>
    <w:uiPriority w:val="32"/>
    <w:rsid w:val="001A356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1A356A"/>
    <w:pPr>
      <w:ind w:left="720"/>
    </w:pPr>
  </w:style>
  <w:style w:type="table" w:styleId="MediumShading1-Accent4">
    <w:name w:val="Medium Shading 1 Accent 4"/>
    <w:basedOn w:val="TableNormal"/>
    <w:uiPriority w:val="63"/>
    <w:rsid w:val="001A356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A356A"/>
    <w:rPr>
      <w:rFonts w:eastAsia="MS Mincho"/>
      <w:sz w:val="18"/>
      <w:vertAlign w:val="superscript"/>
    </w:rPr>
  </w:style>
  <w:style w:type="table" w:styleId="TableGrid">
    <w:name w:val="Table Grid"/>
    <w:basedOn w:val="TableNormal"/>
    <w:rsid w:val="001A356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356A"/>
    <w:pPr>
      <w:spacing w:line="240" w:lineRule="auto"/>
    </w:pPr>
    <w:rPr>
      <w:sz w:val="16"/>
      <w:szCs w:val="16"/>
    </w:rPr>
  </w:style>
  <w:style w:type="character" w:customStyle="1" w:styleId="BalloonTextChar">
    <w:name w:val="Balloon Text Char"/>
    <w:link w:val="BalloonText"/>
    <w:uiPriority w:val="99"/>
    <w:semiHidden/>
    <w:rsid w:val="001A356A"/>
    <w:rPr>
      <w:rFonts w:ascii="Times New Roman" w:eastAsia="PMingLiU" w:hAnsi="Times New Roman" w:cs="Simplified Arabic"/>
      <w:sz w:val="16"/>
      <w:szCs w:val="16"/>
    </w:rPr>
  </w:style>
  <w:style w:type="character" w:styleId="Hyperlink">
    <w:name w:val="Hyperlink"/>
    <w:uiPriority w:val="99"/>
    <w:unhideWhenUsed/>
    <w:rsid w:val="001A356A"/>
    <w:rPr>
      <w:color w:val="0000FF"/>
      <w:u w:val="none"/>
    </w:rPr>
  </w:style>
  <w:style w:type="paragraph" w:styleId="TOC1">
    <w:name w:val="toc 1"/>
    <w:basedOn w:val="Normal"/>
    <w:link w:val="TOC1Char"/>
    <w:autoRedefine/>
    <w:uiPriority w:val="39"/>
    <w:unhideWhenUsed/>
    <w:rsid w:val="001A356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356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356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356A"/>
    <w:rPr>
      <w:rFonts w:eastAsia="DengXian"/>
      <w:color w:val="auto"/>
      <w:sz w:val="20"/>
      <w:szCs w:val="20"/>
      <w:u w:val="none"/>
      <w:lang w:eastAsia="zh-CN" w:bidi="ar-EG"/>
    </w:rPr>
  </w:style>
  <w:style w:type="paragraph" w:styleId="TOC4">
    <w:name w:val="toc 4"/>
    <w:basedOn w:val="Normal"/>
    <w:link w:val="TOC4Char"/>
    <w:autoRedefine/>
    <w:uiPriority w:val="39"/>
    <w:unhideWhenUsed/>
    <w:rsid w:val="001A356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356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356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A356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A356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A356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A356A"/>
    <w:rPr>
      <w:color w:val="605E5C"/>
      <w:shd w:val="clear" w:color="auto" w:fill="E1DFDD"/>
    </w:rPr>
  </w:style>
  <w:style w:type="character" w:customStyle="1" w:styleId="TOC1Char">
    <w:name w:val="TOC 1 Char"/>
    <w:basedOn w:val="DefaultParagraphFont"/>
    <w:link w:val="TOC1"/>
    <w:uiPriority w:val="39"/>
    <w:rsid w:val="001A356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A356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A356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A356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A356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A356A"/>
    <w:rPr>
      <w:rFonts w:ascii="Times New Roman" w:eastAsia="PMingLiU" w:hAnsi="Times New Roman" w:cs="Simplified Arabic"/>
      <w:sz w:val="20"/>
      <w:szCs w:val="20"/>
      <w:lang w:val="en-GB"/>
    </w:rPr>
  </w:style>
  <w:style w:type="paragraph" w:customStyle="1" w:styleId="SessionDate">
    <w:name w:val="Session_Date"/>
    <w:basedOn w:val="Normal"/>
    <w:qFormat/>
    <w:rsid w:val="001A356A"/>
    <w:pPr>
      <w:spacing w:before="240" w:after="240" w:line="460" w:lineRule="exact"/>
      <w:ind w:left="1247"/>
    </w:pPr>
    <w:rPr>
      <w:b/>
      <w:bCs/>
      <w:sz w:val="32"/>
      <w:szCs w:val="44"/>
    </w:rPr>
  </w:style>
  <w:style w:type="paragraph" w:customStyle="1" w:styleId="SessionNumber">
    <w:name w:val="Session_Number"/>
    <w:basedOn w:val="Normal"/>
    <w:qFormat/>
    <w:rsid w:val="001A356A"/>
    <w:pPr>
      <w:spacing w:line="480" w:lineRule="exact"/>
      <w:ind w:left="1247"/>
    </w:pPr>
    <w:rPr>
      <w:b/>
      <w:bCs/>
      <w:sz w:val="28"/>
      <w:szCs w:val="38"/>
    </w:rPr>
  </w:style>
  <w:style w:type="paragraph" w:customStyle="1" w:styleId="CityandYear">
    <w:name w:val="City and Year"/>
    <w:basedOn w:val="SingleTxtGA"/>
    <w:qFormat/>
    <w:rsid w:val="001A356A"/>
    <w:pPr>
      <w:spacing w:line="480" w:lineRule="exact"/>
    </w:pPr>
    <w:rPr>
      <w:b/>
      <w:bCs/>
      <w:sz w:val="30"/>
      <w:szCs w:val="38"/>
      <w:lang w:eastAsia="ar-SA"/>
    </w:rPr>
  </w:style>
  <w:style w:type="paragraph" w:customStyle="1" w:styleId="NormalA">
    <w:name w:val="Normal_A"/>
    <w:basedOn w:val="Normal"/>
    <w:qFormat/>
    <w:rsid w:val="001A356A"/>
  </w:style>
  <w:style w:type="paragraph" w:customStyle="1" w:styleId="SingleTxtG">
    <w:name w:val="_ Single Txt_G"/>
    <w:basedOn w:val="Normal"/>
    <w:link w:val="SingleTxtGChar"/>
    <w:qFormat/>
    <w:rsid w:val="001A356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A356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A356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A356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A356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A356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A356A"/>
    <w:rPr>
      <w:sz w:val="44"/>
      <w:szCs w:val="44"/>
      <w:lang w:val="en-US" w:bidi="ar-DZ"/>
    </w:rPr>
  </w:style>
  <w:style w:type="paragraph" w:customStyle="1" w:styleId="FootnoteGA0">
    <w:name w:val="Footnote_GA"/>
    <w:basedOn w:val="Normal"/>
    <w:qFormat/>
    <w:rsid w:val="001A356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A356A"/>
    <w:pPr>
      <w:keepNext/>
      <w:keepLines/>
      <w:spacing w:after="120" w:line="400" w:lineRule="exact"/>
      <w:outlineLvl w:val="0"/>
    </w:pPr>
    <w:rPr>
      <w:b/>
      <w:bCs/>
      <w:kern w:val="14"/>
      <w:sz w:val="24"/>
      <w:szCs w:val="32"/>
    </w:rPr>
  </w:style>
  <w:style w:type="paragraph" w:customStyle="1" w:styleId="HCh">
    <w:name w:val="_ H _Ch"/>
    <w:basedOn w:val="H1"/>
    <w:next w:val="SingleTxt"/>
    <w:qFormat/>
    <w:rsid w:val="001A356A"/>
    <w:pPr>
      <w:spacing w:line="440" w:lineRule="exact"/>
    </w:pPr>
    <w:rPr>
      <w:spacing w:val="-2"/>
      <w:sz w:val="28"/>
      <w:szCs w:val="36"/>
    </w:rPr>
  </w:style>
  <w:style w:type="character" w:styleId="CommentReference">
    <w:name w:val="annotation reference"/>
    <w:uiPriority w:val="99"/>
    <w:semiHidden/>
    <w:rsid w:val="001A356A"/>
    <w:rPr>
      <w:sz w:val="6"/>
      <w:szCs w:val="9"/>
    </w:rPr>
  </w:style>
  <w:style w:type="paragraph" w:customStyle="1" w:styleId="HM">
    <w:name w:val="_ H __M"/>
    <w:basedOn w:val="HCh"/>
    <w:next w:val="Normal"/>
    <w:qFormat/>
    <w:rsid w:val="001A356A"/>
    <w:pPr>
      <w:suppressAutoHyphens/>
      <w:spacing w:line="520" w:lineRule="exact"/>
    </w:pPr>
    <w:rPr>
      <w:spacing w:val="-3"/>
      <w:sz w:val="34"/>
      <w:szCs w:val="48"/>
    </w:rPr>
  </w:style>
  <w:style w:type="paragraph" w:customStyle="1" w:styleId="SingleTxt">
    <w:name w:val="__Single Txt"/>
    <w:basedOn w:val="SingleTxtG"/>
    <w:qFormat/>
    <w:rsid w:val="001A356A"/>
  </w:style>
  <w:style w:type="paragraph" w:customStyle="1" w:styleId="H23">
    <w:name w:val="_ H_2/3"/>
    <w:basedOn w:val="H1"/>
    <w:next w:val="Normal"/>
    <w:qFormat/>
    <w:rsid w:val="001A356A"/>
    <w:pPr>
      <w:suppressAutoHyphens/>
      <w:spacing w:line="360" w:lineRule="exact"/>
      <w:outlineLvl w:val="1"/>
    </w:pPr>
    <w:rPr>
      <w:spacing w:val="2"/>
      <w:sz w:val="20"/>
      <w:szCs w:val="28"/>
    </w:rPr>
  </w:style>
  <w:style w:type="paragraph" w:customStyle="1" w:styleId="H4">
    <w:name w:val="_ H_4"/>
    <w:basedOn w:val="Normal"/>
    <w:next w:val="Normal"/>
    <w:qFormat/>
    <w:rsid w:val="001A356A"/>
    <w:pPr>
      <w:keepNext/>
      <w:keepLines/>
      <w:spacing w:after="120" w:line="360" w:lineRule="exact"/>
      <w:outlineLvl w:val="3"/>
    </w:pPr>
    <w:rPr>
      <w:i/>
      <w:iCs/>
      <w:kern w:val="14"/>
      <w:szCs w:val="28"/>
    </w:rPr>
  </w:style>
  <w:style w:type="paragraph" w:customStyle="1" w:styleId="H56">
    <w:name w:val="_ H_5/6"/>
    <w:basedOn w:val="Normal"/>
    <w:next w:val="Normal"/>
    <w:qFormat/>
    <w:rsid w:val="001A356A"/>
    <w:pPr>
      <w:keepNext/>
      <w:keepLines/>
      <w:spacing w:after="120" w:line="360" w:lineRule="exact"/>
      <w:outlineLvl w:val="4"/>
    </w:pPr>
    <w:rPr>
      <w:kern w:val="14"/>
      <w:szCs w:val="28"/>
    </w:rPr>
  </w:style>
  <w:style w:type="paragraph" w:customStyle="1" w:styleId="DualTxt">
    <w:name w:val="__Dual Txt"/>
    <w:basedOn w:val="Normal"/>
    <w:qFormat/>
    <w:rsid w:val="001A356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A356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A356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A356A"/>
    <w:pPr>
      <w:spacing w:after="120" w:line="440" w:lineRule="exact"/>
      <w:jc w:val="center"/>
    </w:pPr>
    <w:rPr>
      <w:b/>
      <w:bCs/>
      <w:sz w:val="25"/>
      <w:szCs w:val="38"/>
    </w:rPr>
  </w:style>
  <w:style w:type="paragraph" w:customStyle="1" w:styleId="JH1">
    <w:name w:val="J_H_1"/>
    <w:basedOn w:val="JCH"/>
    <w:qFormat/>
    <w:rsid w:val="001A356A"/>
    <w:pPr>
      <w:spacing w:line="420" w:lineRule="exact"/>
    </w:pPr>
    <w:rPr>
      <w:sz w:val="23"/>
      <w:szCs w:val="34"/>
    </w:rPr>
  </w:style>
  <w:style w:type="paragraph" w:customStyle="1" w:styleId="JH2">
    <w:name w:val="J_H_2"/>
    <w:basedOn w:val="JH1"/>
    <w:qFormat/>
    <w:rsid w:val="001A356A"/>
    <w:pPr>
      <w:spacing w:line="400" w:lineRule="exact"/>
    </w:pPr>
    <w:rPr>
      <w:sz w:val="20"/>
      <w:szCs w:val="30"/>
    </w:rPr>
  </w:style>
  <w:style w:type="paragraph" w:customStyle="1" w:styleId="JSmall">
    <w:name w:val="J_Small"/>
    <w:basedOn w:val="JSingleTxt"/>
    <w:next w:val="JSingleTxt"/>
    <w:qFormat/>
    <w:rsid w:val="001A356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A356A"/>
    <w:pPr>
      <w:tabs>
        <w:tab w:val="right" w:leader="dot" w:pos="360"/>
      </w:tabs>
      <w:spacing w:line="310" w:lineRule="exact"/>
      <w:jc w:val="right"/>
    </w:pPr>
    <w:rPr>
      <w:spacing w:val="5"/>
      <w:w w:val="104"/>
      <w:kern w:val="14"/>
      <w:sz w:val="17"/>
      <w:szCs w:val="25"/>
    </w:rPr>
  </w:style>
  <w:style w:type="character" w:styleId="LineNumber">
    <w:name w:val="line number"/>
    <w:qFormat/>
    <w:rsid w:val="001A356A"/>
    <w:rPr>
      <w:sz w:val="14"/>
      <w:szCs w:val="16"/>
    </w:rPr>
  </w:style>
  <w:style w:type="paragraph" w:customStyle="1" w:styleId="SmallX">
    <w:name w:val="SmallX"/>
    <w:basedOn w:val="Small"/>
    <w:next w:val="Normal"/>
    <w:qFormat/>
    <w:rsid w:val="001A356A"/>
    <w:pPr>
      <w:spacing w:line="240" w:lineRule="exact"/>
    </w:pPr>
    <w:rPr>
      <w:spacing w:val="6"/>
      <w:w w:val="106"/>
      <w:sz w:val="14"/>
      <w:szCs w:val="21"/>
    </w:rPr>
  </w:style>
  <w:style w:type="paragraph" w:customStyle="1" w:styleId="XLarge">
    <w:name w:val="XLarge"/>
    <w:basedOn w:val="HM"/>
    <w:qFormat/>
    <w:rsid w:val="001A356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A356A"/>
    <w:pPr>
      <w:spacing w:line="820" w:lineRule="exact"/>
    </w:pPr>
    <w:rPr>
      <w:spacing w:val="-8"/>
      <w:w w:val="96"/>
      <w:sz w:val="57"/>
      <w:szCs w:val="86"/>
    </w:rPr>
  </w:style>
  <w:style w:type="paragraph" w:customStyle="1" w:styleId="Distribution">
    <w:name w:val="Distribution"/>
    <w:basedOn w:val="Normal"/>
    <w:next w:val="Normal"/>
    <w:qFormat/>
    <w:rsid w:val="001A356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A356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A356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A356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A356A"/>
    <w:pPr>
      <w:tabs>
        <w:tab w:val="left" w:pos="662"/>
        <w:tab w:val="left" w:pos="1267"/>
        <w:tab w:val="left" w:pos="1987"/>
        <w:tab w:val="left" w:pos="2650"/>
      </w:tabs>
      <w:spacing w:after="0"/>
      <w:ind w:left="662" w:hanging="662"/>
    </w:pPr>
  </w:style>
  <w:style w:type="paragraph" w:customStyle="1" w:styleId="Committee">
    <w:name w:val="Committee"/>
    <w:basedOn w:val="H1"/>
    <w:qFormat/>
    <w:rsid w:val="001A356A"/>
    <w:pPr>
      <w:tabs>
        <w:tab w:val="left" w:pos="662"/>
        <w:tab w:val="left" w:pos="1267"/>
        <w:tab w:val="left" w:pos="1987"/>
        <w:tab w:val="left" w:pos="2650"/>
      </w:tabs>
      <w:ind w:right="1264"/>
    </w:pPr>
  </w:style>
  <w:style w:type="paragraph" w:customStyle="1" w:styleId="AgendaItemNormal">
    <w:name w:val="Agenda_Item_Normal"/>
    <w:next w:val="Normal"/>
    <w:qFormat/>
    <w:rsid w:val="001A356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A356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A356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A356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A356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A356A"/>
    <w:rPr>
      <w:i w:val="0"/>
      <w:color w:val="0000FF"/>
      <w:u w:val="none"/>
    </w:rPr>
  </w:style>
  <w:style w:type="paragraph" w:customStyle="1" w:styleId="Bullet1">
    <w:name w:val="Bullet 1"/>
    <w:basedOn w:val="Normal"/>
    <w:qFormat/>
    <w:rsid w:val="001A356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A356A"/>
    <w:pPr>
      <w:numPr>
        <w:numId w:val="14"/>
      </w:numPr>
      <w:spacing w:after="120" w:line="360" w:lineRule="exact"/>
      <w:ind w:right="1264"/>
    </w:pPr>
    <w:rPr>
      <w:kern w:val="14"/>
      <w:szCs w:val="28"/>
    </w:rPr>
  </w:style>
  <w:style w:type="paragraph" w:customStyle="1" w:styleId="Bullet3">
    <w:name w:val="Bullet 3"/>
    <w:basedOn w:val="SingleTxt"/>
    <w:qFormat/>
    <w:rsid w:val="001A356A"/>
    <w:pPr>
      <w:numPr>
        <w:numId w:val="15"/>
      </w:numPr>
      <w:tabs>
        <w:tab w:val="num" w:pos="2495"/>
      </w:tabs>
      <w:ind w:left="2495" w:hanging="545"/>
    </w:pPr>
  </w:style>
  <w:style w:type="paragraph" w:customStyle="1" w:styleId="AgendaTitleH2">
    <w:name w:val="Agenda_Title_H2"/>
    <w:basedOn w:val="H1"/>
    <w:next w:val="Normal"/>
    <w:qFormat/>
    <w:rsid w:val="001A356A"/>
    <w:pPr>
      <w:ind w:right="5760"/>
      <w:outlineLvl w:val="1"/>
    </w:pPr>
    <w:rPr>
      <w:spacing w:val="2"/>
      <w:sz w:val="20"/>
      <w:szCs w:val="28"/>
    </w:rPr>
  </w:style>
  <w:style w:type="paragraph" w:customStyle="1" w:styleId="STitleM">
    <w:name w:val="S_Title_M"/>
    <w:basedOn w:val="Normal"/>
    <w:next w:val="Normal"/>
    <w:qFormat/>
    <w:rsid w:val="001A356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A356A"/>
    <w:pPr>
      <w:spacing w:line="600" w:lineRule="exact"/>
      <w:ind w:left="1267" w:right="1267"/>
    </w:pPr>
    <w:rPr>
      <w:w w:val="103"/>
      <w:sz w:val="60"/>
      <w:szCs w:val="60"/>
    </w:rPr>
  </w:style>
  <w:style w:type="paragraph" w:customStyle="1" w:styleId="STitleL">
    <w:name w:val="S_Title_L"/>
    <w:basedOn w:val="XLarge"/>
    <w:next w:val="Normal"/>
    <w:qFormat/>
    <w:rsid w:val="001A356A"/>
    <w:rPr>
      <w:spacing w:val="-8"/>
      <w:w w:val="96"/>
      <w:sz w:val="57"/>
    </w:rPr>
  </w:style>
  <w:style w:type="paragraph" w:styleId="CommentText">
    <w:name w:val="annotation text"/>
    <w:basedOn w:val="Normal"/>
    <w:link w:val="CommentTextChar"/>
    <w:uiPriority w:val="99"/>
    <w:semiHidden/>
    <w:unhideWhenUsed/>
    <w:rsid w:val="001A356A"/>
    <w:pPr>
      <w:spacing w:line="240" w:lineRule="auto"/>
    </w:pPr>
    <w:rPr>
      <w:kern w:val="14"/>
    </w:rPr>
  </w:style>
  <w:style w:type="character" w:customStyle="1" w:styleId="CommentTextChar">
    <w:name w:val="Comment Text Char"/>
    <w:basedOn w:val="DefaultParagraphFont"/>
    <w:link w:val="CommentText"/>
    <w:uiPriority w:val="99"/>
    <w:semiHidden/>
    <w:rsid w:val="001A356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A356A"/>
    <w:rPr>
      <w:b/>
      <w:bCs/>
    </w:rPr>
  </w:style>
  <w:style w:type="character" w:customStyle="1" w:styleId="CommentSubjectChar">
    <w:name w:val="Comment Subject Char"/>
    <w:basedOn w:val="CommentTextChar"/>
    <w:link w:val="CommentSubject"/>
    <w:uiPriority w:val="99"/>
    <w:semiHidden/>
    <w:rsid w:val="001A356A"/>
    <w:rPr>
      <w:rFonts w:ascii="Times New Roman" w:eastAsia="PMingLiU" w:hAnsi="Times New Roman" w:cs="Simplified Arabic"/>
      <w:b/>
      <w:bCs/>
      <w:kern w:val="14"/>
      <w:sz w:val="20"/>
    </w:rPr>
  </w:style>
  <w:style w:type="paragraph" w:customStyle="1" w:styleId="Bullet1G">
    <w:name w:val="_Bullet 1_G"/>
    <w:basedOn w:val="Normal"/>
    <w:qFormat/>
    <w:rsid w:val="001A356A"/>
    <w:pPr>
      <w:numPr>
        <w:numId w:val="16"/>
      </w:numPr>
      <w:bidi w:val="0"/>
      <w:spacing w:after="120"/>
      <w:ind w:right="1134"/>
      <w:jc w:val="both"/>
    </w:pPr>
    <w:rPr>
      <w:sz w:val="22"/>
    </w:rPr>
  </w:style>
  <w:style w:type="character" w:customStyle="1" w:styleId="SingleTxtGChar">
    <w:name w:val="_ Single Txt_G Char"/>
    <w:link w:val="SingleTxtG"/>
    <w:rsid w:val="001A356A"/>
    <w:rPr>
      <w:rFonts w:ascii="Times New Roman" w:eastAsia="PMingLiU" w:hAnsi="Times New Roman" w:cs="Simplified Arabic"/>
      <w:sz w:val="20"/>
      <w:szCs w:val="20"/>
      <w:lang w:val="en-GB"/>
    </w:rPr>
  </w:style>
  <w:style w:type="paragraph" w:customStyle="1" w:styleId="Preparedby">
    <w:name w:val="Prepared by:"/>
    <w:basedOn w:val="H23GA"/>
    <w:qFormat/>
    <w:rsid w:val="001A356A"/>
    <w:rPr>
      <w:sz w:val="32"/>
      <w:szCs w:val="32"/>
    </w:rPr>
  </w:style>
  <w:style w:type="paragraph" w:customStyle="1" w:styleId="ParaNoG">
    <w:name w:val="_ParaNo._G"/>
    <w:basedOn w:val="SingleTxtG"/>
    <w:rsid w:val="001A356A"/>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A356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A356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A356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A356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A356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A356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A356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rsid w:val="001A356A"/>
    <w:pPr>
      <w:spacing w:after="0" w:line="240" w:lineRule="auto"/>
    </w:pPr>
    <w:rPr>
      <w:rFonts w:eastAsiaTheme="minorEastAsia"/>
      <w:sz w:val="24"/>
      <w:szCs w:val="24"/>
      <w:lang w:val="fr-FR" w:eastAsia="fr-FR"/>
    </w:rPr>
  </w:style>
  <w:style w:type="paragraph" w:customStyle="1" w:styleId="Default">
    <w:name w:val="Default"/>
    <w:semiHidden/>
    <w:rsid w:val="001A356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A356A"/>
  </w:style>
  <w:style w:type="character" w:customStyle="1" w:styleId="preferred">
    <w:name w:val="preferred"/>
    <w:basedOn w:val="DefaultParagraphFont"/>
    <w:rsid w:val="001A356A"/>
  </w:style>
  <w:style w:type="character" w:customStyle="1" w:styleId="admitted">
    <w:name w:val="admitted"/>
    <w:basedOn w:val="DefaultParagraphFont"/>
    <w:rsid w:val="001A356A"/>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1A356A"/>
    <w:pPr>
      <w:bidi w:val="0"/>
      <w:spacing w:after="160" w:line="240" w:lineRule="exact"/>
      <w:jc w:val="both"/>
    </w:pPr>
    <w:rPr>
      <w:rFonts w:asciiTheme="minorHAnsi" w:eastAsia="Times New Roman" w:hAnsiTheme="minorHAnsi" w:cstheme="minorBidi"/>
      <w:sz w:val="22"/>
      <w:szCs w:val="18"/>
      <w:vertAlign w:val="superscript"/>
    </w:rPr>
  </w:style>
  <w:style w:type="paragraph" w:styleId="PlainText">
    <w:name w:val="Plain Text"/>
    <w:basedOn w:val="Normal"/>
    <w:link w:val="PlainTextChar"/>
    <w:semiHidden/>
    <w:qFormat/>
    <w:rsid w:val="00DE3D9F"/>
    <w:pPr>
      <w:suppressAutoHyphens/>
      <w:bidi w:val="0"/>
      <w:jc w:val="left"/>
    </w:pPr>
    <w:rPr>
      <w:rFonts w:eastAsia="Times New Roman" w:cs="Courier New" w:hint="cs"/>
      <w:szCs w:val="30"/>
      <w:lang w:val="en-GB" w:eastAsia="zh-CN"/>
    </w:rPr>
  </w:style>
  <w:style w:type="character" w:customStyle="1" w:styleId="PlainTextChar">
    <w:name w:val="Plain Text Char"/>
    <w:basedOn w:val="DefaultParagraphFont"/>
    <w:link w:val="PlainText"/>
    <w:semiHidden/>
    <w:rsid w:val="00DE3D9F"/>
    <w:rPr>
      <w:rFonts w:ascii="Times New Roman" w:hAnsi="Times New Roman" w:cs="Courier New"/>
      <w:sz w:val="20"/>
      <w:szCs w:val="30"/>
      <w:lang w:val="en-GB" w:eastAsia="zh-CN"/>
    </w:rPr>
  </w:style>
  <w:style w:type="paragraph" w:styleId="EnvelopeReturn">
    <w:name w:val="envelope return"/>
    <w:basedOn w:val="Normal"/>
    <w:semiHidden/>
    <w:qFormat/>
    <w:rsid w:val="00DE3D9F"/>
    <w:pPr>
      <w:suppressAutoHyphens/>
      <w:bidi w:val="0"/>
      <w:jc w:val="left"/>
    </w:pPr>
    <w:rPr>
      <w:rFonts w:ascii="Arial" w:eastAsia="Times New Roman" w:hAnsi="Arial" w:cs="Arial" w:hint="cs"/>
      <w:szCs w:val="30"/>
      <w:lang w:val="en-GB" w:eastAsia="zh-CN"/>
    </w:rPr>
  </w:style>
  <w:style w:type="paragraph" w:styleId="MessageHeader">
    <w:name w:val="Message Header"/>
    <w:basedOn w:val="Normal"/>
    <w:link w:val="MessageHeaderChar"/>
    <w:semiHidden/>
    <w:rsid w:val="00DE3D9F"/>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hint="cs"/>
      <w:sz w:val="24"/>
      <w:szCs w:val="24"/>
      <w:lang w:val="en-GB" w:eastAsia="zh-CN"/>
    </w:rPr>
  </w:style>
  <w:style w:type="character" w:customStyle="1" w:styleId="MessageHeaderChar">
    <w:name w:val="Message Header Char"/>
    <w:basedOn w:val="DefaultParagraphFont"/>
    <w:link w:val="MessageHeader"/>
    <w:semiHidden/>
    <w:rsid w:val="00DE3D9F"/>
    <w:rPr>
      <w:rFonts w:ascii="Arial" w:hAnsi="Arial" w:cs="Arial"/>
      <w:sz w:val="24"/>
      <w:szCs w:val="24"/>
      <w:shd w:val="pct20" w:color="auto" w:fill="auto"/>
      <w:lang w:val="en-GB" w:eastAsia="zh-CN"/>
    </w:rPr>
  </w:style>
  <w:style w:type="paragraph" w:styleId="EnvelopeAddress">
    <w:name w:val="envelope address"/>
    <w:basedOn w:val="Normal"/>
    <w:semiHidden/>
    <w:rsid w:val="00DE3D9F"/>
    <w:pPr>
      <w:framePr w:w="7920" w:h="1980" w:hRule="exact" w:hSpace="180" w:wrap="auto" w:hAnchor="page" w:xAlign="center" w:yAlign="bottom"/>
      <w:suppressAutoHyphens/>
      <w:bidi w:val="0"/>
      <w:ind w:left="2880"/>
      <w:jc w:val="left"/>
    </w:pPr>
    <w:rPr>
      <w:rFonts w:ascii="Arial" w:eastAsia="Times New Roman" w:hAnsi="Arial" w:cs="Arial" w:hint="cs"/>
      <w:sz w:val="24"/>
      <w:szCs w:val="24"/>
      <w:lang w:val="en-GB" w:eastAsia="zh-CN"/>
    </w:rPr>
  </w:style>
  <w:style w:type="character" w:customStyle="1" w:styleId="UnresolvedMention1">
    <w:name w:val="Unresolved Mention1"/>
    <w:basedOn w:val="DefaultParagraphFont"/>
    <w:uiPriority w:val="99"/>
    <w:semiHidden/>
    <w:unhideWhenUsed/>
    <w:rsid w:val="00DE3D9F"/>
    <w:rPr>
      <w:color w:val="605E5C"/>
      <w:shd w:val="clear" w:color="auto" w:fill="E1DFDD"/>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1A356A"/>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Ronnakorn\Downloads\PyramidG12%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lang="en-US" sz="1800" b="1" i="0" u="none" strike="noStrike" kern="1200" cap="all" spc="50" baseline="0">
                <a:solidFill>
                  <a:srgbClr val="595959">
                    <a:lumMod val="65000"/>
                    <a:lumOff val="35000"/>
                  </a:srgbClr>
                </a:solidFill>
                <a:latin typeface="+mn-lt"/>
                <a:ea typeface="+mn-ea"/>
                <a:cs typeface="+mn-cs"/>
              </a:defRPr>
            </a:pPr>
            <a:r>
              <a:rPr lang="en-GB"/>
              <a:t>  </a:t>
            </a:r>
          </a:p>
        </c:rich>
      </c:tx>
      <c:overlay val="0"/>
      <c:spPr>
        <a:noFill/>
        <a:ln>
          <a:noFill/>
        </a:ln>
        <a:effectLst/>
      </c:spPr>
    </c:title>
    <c:autoTitleDeleted val="0"/>
    <c:plotArea>
      <c:layout>
        <c:manualLayout>
          <c:layoutTarget val="inner"/>
          <c:xMode val="edge"/>
          <c:yMode val="edge"/>
          <c:x val="0.12202690349980801"/>
          <c:y val="0.16101685143945799"/>
          <c:w val="0.77042399172699005"/>
          <c:h val="0.59830508474576205"/>
        </c:manualLayout>
      </c:layout>
      <c:barChart>
        <c:barDir val="bar"/>
        <c:grouping val="clustered"/>
        <c:varyColors val="0"/>
        <c:ser>
          <c:idx val="0"/>
          <c:order val="0"/>
          <c:tx>
            <c:strRef>
              <c:f>'ข้อมูล '!$F$4</c:f>
              <c:strCache>
                <c:ptCount val="1"/>
                <c:pt idx="0">
                  <c:v>% ชาย</c:v>
                </c:pt>
              </c:strCache>
            </c:strRef>
          </c:tx>
          <c:spPr>
            <a:gradFill flip="none" rotWithShape="1">
              <a:gsLst>
                <a:gs pos="0">
                  <a:srgbClr val="5F5F5F">
                    <a:tint val="88500"/>
                  </a:srgbClr>
                </a:gs>
                <a:gs pos="75000">
                  <a:srgbClr val="9F9F9F">
                    <a:tint val="88500"/>
                    <a:lumMod val="60000"/>
                    <a:lumOff val="40000"/>
                  </a:srgbClr>
                </a:gs>
                <a:gs pos="51000">
                  <a:srgbClr val="5F5F5F">
                    <a:tint val="88500"/>
                    <a:alpha val="75000"/>
                  </a:srgbClr>
                </a:gs>
                <a:gs pos="100000">
                  <a:srgbClr val="DFDFDF">
                    <a:tint val="88500"/>
                    <a:lumMod val="20000"/>
                    <a:lumOff val="80000"/>
                    <a:alpha val="15000"/>
                  </a:srgbClr>
                </a:gs>
              </a:gsLst>
              <a:lin ang="10800000" scaled="1"/>
              <a:tileRect/>
            </a:gradFill>
            <a:ln>
              <a:noFill/>
            </a:ln>
            <a:effectLst/>
          </c:spPr>
          <c:invertIfNegative val="0"/>
          <c:dLbls>
            <c:dLbl>
              <c:idx val="0"/>
              <c:tx>
                <c:rich>
                  <a:bodyPr/>
                  <a:lstStyle/>
                  <a:p>
                    <a:r>
                      <a:rPr lang="en-US"/>
                      <a:t>2,73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1-E23D-45C0-9F6B-818C13DF52EE}"/>
                </c:ext>
              </c:extLst>
            </c:dLbl>
            <c:dLbl>
              <c:idx val="1"/>
              <c:tx>
                <c:rich>
                  <a:bodyPr/>
                  <a:lstStyle/>
                  <a:p>
                    <a:r>
                      <a:rPr lang="en-US"/>
                      <a:t>3,09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20-E23D-45C0-9F6B-818C13DF52EE}"/>
                </c:ext>
              </c:extLst>
            </c:dLbl>
            <c:dLbl>
              <c:idx val="2"/>
              <c:tx>
                <c:rich>
                  <a:bodyPr/>
                  <a:lstStyle/>
                  <a:p>
                    <a:r>
                      <a:rPr lang="en-US"/>
                      <a:t>3,17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F-E23D-45C0-9F6B-818C13DF52EE}"/>
                </c:ext>
              </c:extLst>
            </c:dLbl>
            <c:dLbl>
              <c:idx val="3"/>
              <c:tx>
                <c:rich>
                  <a:bodyPr/>
                  <a:lstStyle/>
                  <a:p>
                    <a:r>
                      <a:rPr lang="en-US"/>
                      <a:t>3,29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E-E23D-45C0-9F6B-818C13DF52EE}"/>
                </c:ext>
              </c:extLst>
            </c:dLbl>
            <c:dLbl>
              <c:idx val="4"/>
              <c:tx>
                <c:rich>
                  <a:bodyPr/>
                  <a:lstStyle/>
                  <a:p>
                    <a:r>
                      <a:rPr lang="en-US"/>
                      <a:t>3,78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D-E23D-45C0-9F6B-818C13DF52EE}"/>
                </c:ext>
              </c:extLst>
            </c:dLbl>
            <c:dLbl>
              <c:idx val="5"/>
              <c:tx>
                <c:rich>
                  <a:bodyPr/>
                  <a:lstStyle/>
                  <a:p>
                    <a:r>
                      <a:rPr lang="en-US"/>
                      <a:t>3,65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C-E23D-45C0-9F6B-818C13DF52EE}"/>
                </c:ext>
              </c:extLst>
            </c:dLbl>
            <c:dLbl>
              <c:idx val="6"/>
              <c:tx>
                <c:rich>
                  <a:bodyPr/>
                  <a:lstStyle/>
                  <a:p>
                    <a:r>
                      <a:rPr lang="en-US"/>
                      <a:t>3,64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B-E23D-45C0-9F6B-818C13DF52EE}"/>
                </c:ext>
              </c:extLst>
            </c:dLbl>
            <c:dLbl>
              <c:idx val="7"/>
              <c:tx>
                <c:rich>
                  <a:bodyPr/>
                  <a:lstStyle/>
                  <a:p>
                    <a:r>
                      <a:rPr lang="en-US"/>
                      <a:t>3,95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A-E23D-45C0-9F6B-818C13DF52EE}"/>
                </c:ext>
              </c:extLst>
            </c:dLbl>
            <c:dLbl>
              <c:idx val="8"/>
              <c:tx>
                <c:rich>
                  <a:bodyPr/>
                  <a:lstStyle/>
                  <a:p>
                    <a:r>
                      <a:rPr lang="en-US"/>
                      <a:t>3,95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9-E23D-45C0-9F6B-818C13DF52EE}"/>
                </c:ext>
              </c:extLst>
            </c:dLbl>
            <c:dLbl>
              <c:idx val="9"/>
              <c:tx>
                <c:rich>
                  <a:bodyPr/>
                  <a:lstStyle/>
                  <a:p>
                    <a:r>
                      <a:rPr lang="en-US"/>
                      <a:t>3,93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8-E23D-45C0-9F6B-818C13DF52EE}"/>
                </c:ext>
              </c:extLst>
            </c:dLbl>
            <c:dLbl>
              <c:idx val="10"/>
              <c:tx>
                <c:rich>
                  <a:bodyPr/>
                  <a:lstStyle/>
                  <a:p>
                    <a:r>
                      <a:rPr lang="en-US"/>
                      <a:t>3,65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7-E23D-45C0-9F6B-818C13DF52EE}"/>
                </c:ext>
              </c:extLst>
            </c:dLbl>
            <c:dLbl>
              <c:idx val="11"/>
              <c:tx>
                <c:rich>
                  <a:bodyPr/>
                  <a:lstStyle/>
                  <a:p>
                    <a:r>
                      <a:rPr lang="en-US"/>
                      <a:t>3,08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6-E23D-45C0-9F6B-818C13DF52EE}"/>
                </c:ext>
              </c:extLst>
            </c:dLbl>
            <c:dLbl>
              <c:idx val="12"/>
              <c:tx>
                <c:rich>
                  <a:bodyPr/>
                  <a:lstStyle/>
                  <a:p>
                    <a:r>
                      <a:rPr lang="en-US"/>
                      <a:t>2,33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5-E23D-45C0-9F6B-818C13DF52EE}"/>
                </c:ext>
              </c:extLst>
            </c:dLbl>
            <c:dLbl>
              <c:idx val="13"/>
              <c:tx>
                <c:rich>
                  <a:bodyPr/>
                  <a:lstStyle/>
                  <a:p>
                    <a:r>
                      <a:rPr lang="en-US"/>
                      <a:t>1,80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4-E23D-45C0-9F6B-818C13DF52EE}"/>
                </c:ext>
              </c:extLst>
            </c:dLbl>
            <c:dLbl>
              <c:idx val="14"/>
              <c:layout>
                <c:manualLayout>
                  <c:x val="-4.854960995304821E-2"/>
                  <c:y val="0"/>
                </c:manualLayout>
              </c:layout>
              <c:tx>
                <c:rich>
                  <a:bodyPr/>
                  <a:lstStyle/>
                  <a:p>
                    <a:r>
                      <a:rPr lang="en-US"/>
                      <a:t>1,15</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3-E23D-45C0-9F6B-818C13DF52EE}"/>
                </c:ext>
              </c:extLst>
            </c:dLbl>
            <c:dLbl>
              <c:idx val="15"/>
              <c:layout>
                <c:manualLayout>
                  <c:x val="-3.017300911631977E-2"/>
                  <c:y val="0"/>
                </c:manualLayout>
              </c:layout>
              <c:tx>
                <c:rich>
                  <a:bodyPr/>
                  <a:lstStyle/>
                  <a:p>
                    <a:r>
                      <a:rPr lang="en-US"/>
                      <a:t>0,81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2-E23D-45C0-9F6B-818C13DF52EE}"/>
                </c:ext>
              </c:extLst>
            </c:dLbl>
            <c:dLbl>
              <c:idx val="16"/>
              <c:layout>
                <c:manualLayout>
                  <c:x val="-3.9269050185432072E-2"/>
                  <c:y val="0"/>
                </c:manualLayout>
              </c:layout>
              <c:tx>
                <c:rich>
                  <a:bodyPr/>
                  <a:lstStyle/>
                  <a:p>
                    <a:r>
                      <a:rPr lang="en-US"/>
                      <a:t>0,90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1-E23D-45C0-9F6B-818C13DF52EE}"/>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'!$F$5:$F$21</c:f>
              <c:numCache>
                <c:formatCode>0;0.00</c:formatCode>
                <c:ptCount val="17"/>
                <c:pt idx="0">
                  <c:v>-2.7274549605187199</c:v>
                </c:pt>
                <c:pt idx="1">
                  <c:v>-3.0918464773452001</c:v>
                </c:pt>
                <c:pt idx="2">
                  <c:v>-3.17347895356873</c:v>
                </c:pt>
                <c:pt idx="3">
                  <c:v>-3.29492112989423</c:v>
                </c:pt>
                <c:pt idx="4">
                  <c:v>-3.7782527908219801</c:v>
                </c:pt>
                <c:pt idx="5">
                  <c:v>-3.6514862527874201</c:v>
                </c:pt>
                <c:pt idx="6">
                  <c:v>-3.6434741792827499</c:v>
                </c:pt>
                <c:pt idx="7">
                  <c:v>-3.9473589131184399</c:v>
                </c:pt>
                <c:pt idx="8">
                  <c:v>-3.9507800592209499</c:v>
                </c:pt>
                <c:pt idx="9">
                  <c:v>-3.93169993593281</c:v>
                </c:pt>
                <c:pt idx="10">
                  <c:v>-3.6464589783925399</c:v>
                </c:pt>
                <c:pt idx="11">
                  <c:v>-3.0842042156535201</c:v>
                </c:pt>
                <c:pt idx="12">
                  <c:v>-2.32985001036324</c:v>
                </c:pt>
                <c:pt idx="13">
                  <c:v>-1.8042360163747699</c:v>
                </c:pt>
                <c:pt idx="14">
                  <c:v>-1.1504922868319201</c:v>
                </c:pt>
                <c:pt idx="15">
                  <c:v>-0.813261049307752</c:v>
                </c:pt>
                <c:pt idx="16">
                  <c:v>-0.90231297173732505</c:v>
                </c:pt>
              </c:numCache>
            </c:numRef>
          </c:val>
          <c:extLst>
            <c:ext xmlns:c16="http://schemas.microsoft.com/office/drawing/2014/chart" uri="{C3380CC4-5D6E-409C-BE32-E72D297353CC}">
              <c16:uniqueId val="{00000000-1B5E-4188-80D0-189A40392AEE}"/>
            </c:ext>
          </c:extLst>
        </c:ser>
        <c:ser>
          <c:idx val="1"/>
          <c:order val="1"/>
          <c:tx>
            <c:strRef>
              <c:f>'ข้อมูล '!$G$4</c:f>
              <c:strCache>
                <c:ptCount val="1"/>
                <c:pt idx="0">
                  <c:v>% หญิง</c:v>
                </c:pt>
              </c:strCache>
            </c:strRef>
          </c:tx>
          <c:spPr>
            <a:gradFill flip="none" rotWithShape="1">
              <a:gsLst>
                <a:gs pos="0">
                  <a:srgbClr val="B3B3B3">
                    <a:tint val="55000"/>
                  </a:srgbClr>
                </a:gs>
                <a:gs pos="75000">
                  <a:srgbClr val="D1D1D1">
                    <a:tint val="55000"/>
                    <a:lumMod val="60000"/>
                    <a:lumOff val="40000"/>
                  </a:srgbClr>
                </a:gs>
                <a:gs pos="51000">
                  <a:srgbClr val="B3B3B3">
                    <a:tint val="55000"/>
                    <a:alpha val="75000"/>
                  </a:srgbClr>
                </a:gs>
                <a:gs pos="100000">
                  <a:srgbClr val="F0F0F0">
                    <a:tint val="55000"/>
                    <a:lumMod val="20000"/>
                    <a:lumOff val="80000"/>
                    <a:alpha val="15000"/>
                  </a:srgbClr>
                </a:gs>
              </a:gsLst>
              <a:lin ang="10800000" scaled="1"/>
              <a:tileRect/>
            </a:gradFill>
            <a:ln>
              <a:noFill/>
            </a:ln>
            <a:effectLst/>
          </c:spPr>
          <c:invertIfNegative val="1"/>
          <c:dLbls>
            <c:dLbl>
              <c:idx val="0"/>
              <c:tx>
                <c:rich>
                  <a:bodyPr/>
                  <a:lstStyle/>
                  <a:p>
                    <a:r>
                      <a:rPr lang="en-US"/>
                      <a:t>2,58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0-E23D-45C0-9F6B-818C13DF52EE}"/>
                </c:ext>
              </c:extLst>
            </c:dLbl>
            <c:dLbl>
              <c:idx val="1"/>
              <c:tx>
                <c:rich>
                  <a:bodyPr/>
                  <a:lstStyle/>
                  <a:p>
                    <a:r>
                      <a:rPr lang="en-US"/>
                      <a:t>2,92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F-E23D-45C0-9F6B-818C13DF52EE}"/>
                </c:ext>
              </c:extLst>
            </c:dLbl>
            <c:dLbl>
              <c:idx val="2"/>
              <c:tx>
                <c:rich>
                  <a:bodyPr/>
                  <a:lstStyle/>
                  <a:p>
                    <a:r>
                      <a:rPr lang="en-US"/>
                      <a:t>3,00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E-E23D-45C0-9F6B-818C13DF52EE}"/>
                </c:ext>
              </c:extLst>
            </c:dLbl>
            <c:dLbl>
              <c:idx val="3"/>
              <c:tx>
                <c:rich>
                  <a:bodyPr/>
                  <a:lstStyle/>
                  <a:p>
                    <a:r>
                      <a:rPr lang="en-US"/>
                      <a:t>3,14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E23D-45C0-9F6B-818C13DF52EE}"/>
                </c:ext>
              </c:extLst>
            </c:dLbl>
            <c:dLbl>
              <c:idx val="4"/>
              <c:tx>
                <c:rich>
                  <a:bodyPr/>
                  <a:lstStyle/>
                  <a:p>
                    <a:r>
                      <a:rPr lang="en-US"/>
                      <a:t>3,66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E23D-45C0-9F6B-818C13DF52EE}"/>
                </c:ext>
              </c:extLst>
            </c:dLbl>
            <c:dLbl>
              <c:idx val="5"/>
              <c:tx>
                <c:rich>
                  <a:bodyPr/>
                  <a:lstStyle/>
                  <a:p>
                    <a:r>
                      <a:rPr lang="en-US"/>
                      <a:t>3,56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E23D-45C0-9F6B-818C13DF52EE}"/>
                </c:ext>
              </c:extLst>
            </c:dLbl>
            <c:dLbl>
              <c:idx val="6"/>
              <c:tx>
                <c:rich>
                  <a:bodyPr/>
                  <a:lstStyle/>
                  <a:p>
                    <a:r>
                      <a:rPr lang="en-US"/>
                      <a:t>3,61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E23D-45C0-9F6B-818C13DF52EE}"/>
                </c:ext>
              </c:extLst>
            </c:dLbl>
            <c:dLbl>
              <c:idx val="7"/>
              <c:tx>
                <c:rich>
                  <a:bodyPr/>
                  <a:lstStyle/>
                  <a:p>
                    <a:r>
                      <a:rPr lang="en-US"/>
                      <a:t>3,98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E23D-45C0-9F6B-818C13DF52EE}"/>
                </c:ext>
              </c:extLst>
            </c:dLbl>
            <c:dLbl>
              <c:idx val="8"/>
              <c:tx>
                <c:rich>
                  <a:bodyPr/>
                  <a:lstStyle/>
                  <a:p>
                    <a:r>
                      <a:rPr lang="en-US"/>
                      <a:t>4,09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E23D-45C0-9F6B-818C13DF52EE}"/>
                </c:ext>
              </c:extLst>
            </c:dLbl>
            <c:dLbl>
              <c:idx val="9"/>
              <c:tx>
                <c:rich>
                  <a:bodyPr/>
                  <a:lstStyle/>
                  <a:p>
                    <a:r>
                      <a:rPr lang="en-US"/>
                      <a:t>4,23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E23D-45C0-9F6B-818C13DF52EE}"/>
                </c:ext>
              </c:extLst>
            </c:dLbl>
            <c:dLbl>
              <c:idx val="10"/>
              <c:tx>
                <c:rich>
                  <a:bodyPr/>
                  <a:lstStyle/>
                  <a:p>
                    <a:r>
                      <a:rPr lang="en-US"/>
                      <a:t>4,03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E23D-45C0-9F6B-818C13DF52EE}"/>
                </c:ext>
              </c:extLst>
            </c:dLbl>
            <c:dLbl>
              <c:idx val="11"/>
              <c:tx>
                <c:rich>
                  <a:bodyPr/>
                  <a:lstStyle/>
                  <a:p>
                    <a:r>
                      <a:rPr lang="en-US"/>
                      <a:t>3,48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E23D-45C0-9F6B-818C13DF52EE}"/>
                </c:ext>
              </c:extLst>
            </c:dLbl>
            <c:dLbl>
              <c:idx val="12"/>
              <c:tx>
                <c:rich>
                  <a:bodyPr/>
                  <a:lstStyle/>
                  <a:p>
                    <a:r>
                      <a:rPr lang="en-US"/>
                      <a:t>2,71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E23D-45C0-9F6B-818C13DF52EE}"/>
                </c:ext>
              </c:extLst>
            </c:dLbl>
            <c:dLbl>
              <c:idx val="13"/>
              <c:tx>
                <c:rich>
                  <a:bodyPr/>
                  <a:lstStyle/>
                  <a:p>
                    <a:r>
                      <a:rPr lang="en-US"/>
                      <a:t>2,17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23D-45C0-9F6B-818C13DF52EE}"/>
                </c:ext>
              </c:extLst>
            </c:dLbl>
            <c:dLbl>
              <c:idx val="14"/>
              <c:tx>
                <c:rich>
                  <a:bodyPr/>
                  <a:lstStyle/>
                  <a:p>
                    <a:r>
                      <a:rPr lang="en-US"/>
                      <a:t>1,43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23D-45C0-9F6B-818C13DF52EE}"/>
                </c:ext>
              </c:extLst>
            </c:dLbl>
            <c:dLbl>
              <c:idx val="15"/>
              <c:tx>
                <c:rich>
                  <a:bodyPr/>
                  <a:lstStyle/>
                  <a:p>
                    <a:r>
                      <a:rPr lang="en-US"/>
                      <a:t>1,09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23D-45C0-9F6B-818C13DF52EE}"/>
                </c:ext>
              </c:extLst>
            </c:dLbl>
            <c:dLbl>
              <c:idx val="16"/>
              <c:tx>
                <c:rich>
                  <a:bodyPr/>
                  <a:lstStyle/>
                  <a:p>
                    <a:r>
                      <a:rPr lang="en-US"/>
                      <a:t>1,41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23D-45C0-9F6B-818C13DF52E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ar-S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'!$G$5:$G$21</c:f>
              <c:numCache>
                <c:formatCode>0.00</c:formatCode>
                <c:ptCount val="17"/>
                <c:pt idx="0">
                  <c:v>2.5761384884893799</c:v>
                </c:pt>
                <c:pt idx="1">
                  <c:v>2.9207319210184099</c:v>
                </c:pt>
                <c:pt idx="2">
                  <c:v>3.00271254643827</c:v>
                </c:pt>
                <c:pt idx="3">
                  <c:v>3.1350231670080202</c:v>
                </c:pt>
                <c:pt idx="4">
                  <c:v>3.6558249654384598</c:v>
                </c:pt>
                <c:pt idx="5">
                  <c:v>3.55780471971166</c:v>
                </c:pt>
                <c:pt idx="6">
                  <c:v>3.6093168747992799</c:v>
                </c:pt>
                <c:pt idx="7">
                  <c:v>3.9707127612076398</c:v>
                </c:pt>
                <c:pt idx="8">
                  <c:v>4.0935955015410199</c:v>
                </c:pt>
                <c:pt idx="9">
                  <c:v>4.2298316977155102</c:v>
                </c:pt>
                <c:pt idx="10">
                  <c:v>4.0296196052251201</c:v>
                </c:pt>
                <c:pt idx="11">
                  <c:v>3.47532585410862</c:v>
                </c:pt>
                <c:pt idx="12">
                  <c:v>2.71406282143358</c:v>
                </c:pt>
                <c:pt idx="13">
                  <c:v>2.1737290794246702</c:v>
                </c:pt>
                <c:pt idx="14">
                  <c:v>1.4349054229498199</c:v>
                </c:pt>
                <c:pt idx="15">
                  <c:v>1.0919212133726699</c:v>
                </c:pt>
                <c:pt idx="16">
                  <c:v>1.4071741789655501</c:v>
                </c:pt>
              </c:numCache>
            </c:numRef>
          </c:val>
          <c:extLst>
            <c:ext xmlns:c16="http://schemas.microsoft.com/office/drawing/2014/chart" uri="{C3380CC4-5D6E-409C-BE32-E72D297353CC}">
              <c16:uniqueId val="{00000001-1B5E-4188-80D0-189A40392AEE}"/>
            </c:ext>
          </c:extLst>
        </c:ser>
        <c:dLbls>
          <c:showLegendKey val="0"/>
          <c:showVal val="1"/>
          <c:showCatName val="0"/>
          <c:showSerName val="0"/>
          <c:showPercent val="0"/>
          <c:showBubbleSize val="0"/>
        </c:dLbls>
        <c:gapWidth val="326"/>
        <c:overlap val="-58"/>
        <c:axId val="-260875728"/>
        <c:axId val="-260872464"/>
      </c:barChart>
      <c:catAx>
        <c:axId val="-260875728"/>
        <c:scaling>
          <c:orientation val="minMax"/>
        </c:scaling>
        <c:delete val="0"/>
        <c:axPos val="l"/>
        <c:numFmt formatCode="General" sourceLinked="1"/>
        <c:majorTickMark val="none"/>
        <c:minorTickMark val="none"/>
        <c:tickLblPos val="low"/>
        <c:spPr>
          <a:noFill/>
          <a:ln w="19050" cap="flat" cmpd="sng" algn="ctr">
            <a:solidFill>
              <a:srgbClr val="D9D9D9">
                <a:lumMod val="15000"/>
                <a:lumOff val="85000"/>
              </a:srgbClr>
            </a:solidFill>
            <a:prstDash val="solid"/>
            <a:round/>
            <a:headEnd type="none" w="sm" len="sm"/>
            <a:tailEnd type="none" w="sm" len="sm"/>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ar-SA"/>
          </a:p>
        </c:txPr>
        <c:crossAx val="-260872464"/>
        <c:crosses val="autoZero"/>
        <c:auto val="1"/>
        <c:lblAlgn val="ctr"/>
        <c:lblOffset val="100"/>
        <c:tickLblSkip val="1"/>
        <c:noMultiLvlLbl val="0"/>
      </c:catAx>
      <c:valAx>
        <c:axId val="-260872464"/>
        <c:scaling>
          <c:orientation val="minMax"/>
        </c:scaling>
        <c:delete val="0"/>
        <c:axPos val="b"/>
        <c:majorGridlines>
          <c:spPr>
            <a:ln w="9525" cap="flat" cmpd="sng" algn="ctr">
              <a:gradFill>
                <a:gsLst>
                  <a:gs pos="99000">
                    <a:srgbClr val="BFBFBF">
                      <a:lumMod val="25000"/>
                      <a:lumOff val="75000"/>
                    </a:srgbClr>
                  </a:gs>
                  <a:gs pos="0">
                    <a:srgbClr val="D9D9D9">
                      <a:lumMod val="15000"/>
                      <a:lumOff val="85000"/>
                    </a:srgbClr>
                  </a:gs>
                </a:gsLst>
                <a:lin ang="5400000" scaled="0"/>
              </a:gradFill>
              <a:prstDash val="solid"/>
              <a:round/>
            </a:ln>
            <a:effectLst/>
          </c:spPr>
        </c:majorGridlines>
        <c:title>
          <c:tx>
            <c:rich>
              <a:bodyPr rot="0" spcFirstLastPara="1" vertOverflow="ellipsis" vert="horz" wrap="square" anchor="ctr" anchorCtr="1"/>
              <a:lstStyle/>
              <a:p>
                <a:pPr>
                  <a:defRPr lang="en-US" sz="900" b="0" i="0" u="none" strike="noStrike" kern="1200" cap="all" baseline="0">
                    <a:solidFill>
                      <a:srgbClr val="595959">
                        <a:lumMod val="65000"/>
                        <a:lumOff val="35000"/>
                      </a:srgbClr>
                    </a:solidFill>
                    <a:latin typeface="+mn-lt"/>
                    <a:ea typeface="+mn-ea"/>
                    <a:cs typeface="+mn-cs"/>
                  </a:defRPr>
                </a:pPr>
                <a:r>
                  <a:rPr lang="ar-SA"/>
                  <a:t>النسبة المئوية</a:t>
                </a:r>
                <a:endParaRPr lang="th-TH"/>
              </a:p>
            </c:rich>
          </c:tx>
          <c:layout>
            <c:manualLayout>
              <c:xMode val="edge"/>
              <c:yMode val="edge"/>
              <c:x val="0.42812822040745702"/>
              <c:y val="0.83220339406199595"/>
            </c:manualLayout>
          </c:layout>
          <c:overlay val="0"/>
          <c:spPr>
            <a:noFill/>
            <a:ln>
              <a:noFill/>
            </a:ln>
            <a:effectLst/>
          </c:spPr>
        </c:title>
        <c:numFmt formatCode="0;0" sourceLinked="0"/>
        <c:majorTickMark val="none"/>
        <c:minorTickMark val="none"/>
        <c:tickLblPos val="nextTo"/>
        <c:spPr>
          <a:noFill/>
          <a:ln w="9525" cap="flat" cmpd="sng" algn="ctr">
            <a:noFill/>
            <a:prstDash val="solid"/>
            <a:round/>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ar-SA"/>
          </a:p>
        </c:txPr>
        <c:crossAx val="-260875728"/>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a:lstStyle/>
    <a:p>
      <a:pPr>
        <a:defRPr lang="th-TH"/>
      </a:pPr>
      <a:endParaRPr lang="ar-SA"/>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0.14675</cdr:x>
      <cdr:y>0.20688</cdr:y>
    </cdr:from>
    <cdr:to>
      <cdr:x>0.24</cdr:x>
      <cdr:y>0.28486</cdr:y>
    </cdr:to>
    <cdr:sp macro="" textlink="">
      <cdr:nvSpPr>
        <cdr:cNvPr id="2" name="Rectangle 1"/>
        <cdr:cNvSpPr/>
      </cdr:nvSpPr>
      <cdr:spPr>
        <a:xfrm xmlns:a="http://schemas.openxmlformats.org/drawingml/2006/main">
          <a:off x="803265" y="741709"/>
          <a:ext cx="510423" cy="279570"/>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ar-SA" sz="900" b="1" i="0" u="none" strike="noStrike" baseline="0">
              <a:solidFill>
                <a:srgbClr val="000000"/>
              </a:solidFill>
              <a:latin typeface="Simplified Arabic" panose="02020603050405020304" pitchFamily="18" charset="-78"/>
              <a:cs typeface="Simplified Arabic" panose="02020603050405020304" pitchFamily="18" charset="-78"/>
            </a:rPr>
            <a:t>الذكور</a:t>
          </a:r>
          <a:endParaRPr lang="en-GB" sz="900" b="1" i="0" u="none" strike="noStrike" baseline="0">
            <a:solidFill>
              <a:srgbClr val="000000"/>
            </a:solidFill>
            <a:latin typeface="Simplified Arabic" panose="02020603050405020304" pitchFamily="18" charset="-78"/>
            <a:cs typeface="Simplified Arabic" panose="02020603050405020304" pitchFamily="18" charset="-78"/>
          </a:endParaRPr>
        </a:p>
      </cdr:txBody>
    </cdr:sp>
  </cdr:relSizeAnchor>
  <cdr:relSizeAnchor xmlns:cdr="http://schemas.openxmlformats.org/drawingml/2006/chartDrawing">
    <cdr:from>
      <cdr:x>0.73432</cdr:x>
      <cdr:y>0.19922</cdr:y>
    </cdr:from>
    <cdr:to>
      <cdr:x>0.84207</cdr:x>
      <cdr:y>0.27823</cdr:y>
    </cdr:to>
    <cdr:sp macro="" textlink="">
      <cdr:nvSpPr>
        <cdr:cNvPr id="3" name="Rectangle 2"/>
        <cdr:cNvSpPr/>
      </cdr:nvSpPr>
      <cdr:spPr>
        <a:xfrm xmlns:a="http://schemas.openxmlformats.org/drawingml/2006/main">
          <a:off x="4019447" y="714246"/>
          <a:ext cx="589792" cy="283281"/>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1">
            <a:defRPr sz="1000"/>
          </a:pPr>
          <a:r>
            <a:rPr lang="ar-SA" sz="900" b="1" i="0" u="none" strike="noStrike" baseline="0">
              <a:solidFill>
                <a:srgbClr val="000000"/>
              </a:solidFill>
              <a:latin typeface="Simplified Arabic" panose="02020603050405020304" pitchFamily="18" charset="-78"/>
              <a:cs typeface="Simplified Arabic" panose="02020603050405020304" pitchFamily="18" charset="-78"/>
            </a:rPr>
            <a:t>الإناث</a:t>
          </a:r>
          <a:endParaRPr lang="en-GB" sz="900" b="1" i="0" u="none" strike="noStrike" baseline="0">
            <a:solidFill>
              <a:srgbClr val="000000"/>
            </a:solidFill>
            <a:latin typeface="Simplified Arabic" panose="02020603050405020304" pitchFamily="18" charset="-78"/>
            <a:cs typeface="Simplified Arabic" panose="02020603050405020304" pitchFamily="18" charset="-78"/>
          </a:endParaRPr>
        </a:p>
      </cdr:txBody>
    </cdr:sp>
  </cdr:relSizeAnchor>
  <cdr:relSizeAnchor xmlns:cdr="http://schemas.openxmlformats.org/drawingml/2006/chartDrawing">
    <cdr:from>
      <cdr:x>0.01089</cdr:x>
      <cdr:y>0.05313</cdr:y>
    </cdr:from>
    <cdr:to>
      <cdr:x>0.19297</cdr:x>
      <cdr:y>0.1465</cdr:y>
    </cdr:to>
    <cdr:sp macro="" textlink="">
      <cdr:nvSpPr>
        <cdr:cNvPr id="4" name="Rectangle 3"/>
        <cdr:cNvSpPr/>
      </cdr:nvSpPr>
      <cdr:spPr>
        <a:xfrm xmlns:a="http://schemas.openxmlformats.org/drawingml/2006/main">
          <a:off x="59609" y="190500"/>
          <a:ext cx="996651" cy="334733"/>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ar-SA" sz="900" b="1" i="0" u="none" strike="noStrike" baseline="0">
              <a:solidFill>
                <a:srgbClr val="000000"/>
              </a:solidFill>
              <a:latin typeface="Simplified Arabic" panose="02020603050405020304" pitchFamily="18" charset="-78"/>
              <a:cs typeface="Simplified Arabic" panose="02020603050405020304" pitchFamily="18" charset="-78"/>
            </a:rPr>
            <a:t>الفئات العمرية</a:t>
          </a:r>
          <a:endParaRPr lang="en-GB" sz="900" b="1" i="0" u="none" strike="noStrike" baseline="0">
            <a:solidFill>
              <a:srgbClr val="000000"/>
            </a:solidFill>
            <a:latin typeface="Simplified Arabic" panose="02020603050405020304" pitchFamily="18" charset="-78"/>
            <a:cs typeface="Simplified Arabic" panose="02020603050405020304" pitchFamily="18" charset="-78"/>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12783</Words>
  <Characters>72867</Characters>
  <Application>Microsoft Office Word</Application>
  <DocSecurity>0</DocSecurity>
  <Lines>607</Lines>
  <Paragraphs>170</Paragraphs>
  <ScaleCrop>false</ScaleCrop>
  <HeadingPairs>
    <vt:vector size="2" baseType="variant">
      <vt:variant>
        <vt:lpstr>Title</vt:lpstr>
      </vt:variant>
      <vt:variant>
        <vt:i4>1</vt:i4>
      </vt:variant>
    </vt:vector>
  </HeadingPairs>
  <TitlesOfParts>
    <vt:vector size="1" baseType="lpstr">
      <vt:lpstr>HRI/CORE/THA/2021</vt:lpstr>
    </vt:vector>
  </TitlesOfParts>
  <Company>DCM</Company>
  <LinksUpToDate>false</LinksUpToDate>
  <CharactersWithSpaces>85480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HRI/CORE/THA/2021</dc:title>
  <dc:subject>GE.2118208(A)</dc:subject>
  <dc:creator>Muntaha BUHNAM - ASE</dc:creator>
  <cp:keywords>GE.2137208(A)</cp:keywords>
  <dc:description>Distr.: General
7 December 2021
Arabic
Original: English</dc:description>
  <cp:lastModifiedBy>Jamal Alkahlout</cp:lastModifiedBy>
  <cp:revision>2</cp:revision>
  <dcterms:created xsi:type="dcterms:W3CDTF">2022-01-17T14:36:00Z</dcterms:created>
  <dcterms:modified xsi:type="dcterms:W3CDTF">2022-01-17T14:36:00Z</dcterms:modified>
</cp:coreProperties>
</file>