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24DE1" w14:paraId="00651942" w14:textId="77777777" w:rsidTr="00281242">
        <w:trPr>
          <w:trHeight w:hRule="exact" w:val="851"/>
        </w:trPr>
        <w:tc>
          <w:tcPr>
            <w:tcW w:w="1274" w:type="dxa"/>
            <w:tcBorders>
              <w:bottom w:val="single" w:sz="4" w:space="0" w:color="auto"/>
            </w:tcBorders>
          </w:tcPr>
          <w:p w14:paraId="0CB874F1" w14:textId="77777777" w:rsidR="006B3E27" w:rsidRPr="00D24DE1" w:rsidRDefault="006B3E27" w:rsidP="00E42514">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vAlign w:val="bottom"/>
          </w:tcPr>
          <w:p w14:paraId="1B6AE6B8" w14:textId="77777777" w:rsidR="006B3E27" w:rsidRPr="00D24DE1" w:rsidRDefault="006B3E27" w:rsidP="002F3D3A">
            <w:pPr>
              <w:spacing w:after="80" w:line="480" w:lineRule="exact"/>
              <w:ind w:left="57"/>
              <w:rPr>
                <w:sz w:val="30"/>
                <w:szCs w:val="30"/>
                <w:rtl/>
              </w:rPr>
            </w:pPr>
            <w:r w:rsidRPr="00D24DE1">
              <w:rPr>
                <w:rFonts w:hint="cs"/>
                <w:sz w:val="30"/>
                <w:szCs w:val="30"/>
                <w:rtl/>
              </w:rPr>
              <w:t>الأمم المتحدة</w:t>
            </w:r>
          </w:p>
        </w:tc>
        <w:tc>
          <w:tcPr>
            <w:tcW w:w="3402" w:type="dxa"/>
            <w:tcBorders>
              <w:bottom w:val="single" w:sz="4" w:space="0" w:color="auto"/>
            </w:tcBorders>
            <w:vAlign w:val="bottom"/>
          </w:tcPr>
          <w:p w14:paraId="6F21D7EA" w14:textId="2F393FBB" w:rsidR="006B3E27" w:rsidRPr="00D24DE1" w:rsidRDefault="00795789" w:rsidP="00795789">
            <w:pPr>
              <w:bidi w:val="0"/>
              <w:rPr>
                <w:szCs w:val="20"/>
                <w:lang w:eastAsia="zh-TW"/>
              </w:rPr>
            </w:pPr>
            <w:r w:rsidRPr="00D24DE1">
              <w:rPr>
                <w:sz w:val="40"/>
                <w:szCs w:val="20"/>
                <w:lang w:eastAsia="zh-TW"/>
              </w:rPr>
              <w:t>A</w:t>
            </w:r>
            <w:r w:rsidRPr="00D24DE1">
              <w:rPr>
                <w:szCs w:val="20"/>
                <w:lang w:eastAsia="zh-TW"/>
              </w:rPr>
              <w:t>/HRC/RES/60/15</w:t>
            </w:r>
          </w:p>
        </w:tc>
      </w:tr>
      <w:tr w:rsidR="006B3E27" w:rsidRPr="00D24DE1" w14:paraId="5542D000" w14:textId="77777777" w:rsidTr="00281242">
        <w:trPr>
          <w:trHeight w:hRule="exact" w:val="2835"/>
        </w:trPr>
        <w:tc>
          <w:tcPr>
            <w:tcW w:w="1274" w:type="dxa"/>
            <w:tcBorders>
              <w:top w:val="single" w:sz="4" w:space="0" w:color="auto"/>
              <w:bottom w:val="single" w:sz="12" w:space="0" w:color="auto"/>
            </w:tcBorders>
          </w:tcPr>
          <w:p w14:paraId="4186A629" w14:textId="77777777" w:rsidR="006B3E27" w:rsidRPr="00D24DE1" w:rsidRDefault="00655884" w:rsidP="0047152B">
            <w:pPr>
              <w:jc w:val="center"/>
              <w:rPr>
                <w:sz w:val="56"/>
                <w:szCs w:val="56"/>
                <w:lang w:val="es-ES_tradnl"/>
              </w:rPr>
            </w:pPr>
            <w:r w:rsidRPr="00D24DE1">
              <w:rPr>
                <w:noProof/>
                <w:sz w:val="56"/>
                <w:szCs w:val="56"/>
              </w:rPr>
              <w:drawing>
                <wp:inline distT="0" distB="0" distL="0" distR="0" wp14:anchorId="1C2E9999" wp14:editId="42C74F2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65A13AAD" w14:textId="77777777" w:rsidR="006B3E27" w:rsidRPr="00D24DE1" w:rsidRDefault="001773DB" w:rsidP="002F3D3A">
            <w:pPr>
              <w:spacing w:before="120" w:after="40" w:line="640" w:lineRule="exact"/>
              <w:ind w:left="57"/>
              <w:rPr>
                <w:b/>
                <w:bCs/>
                <w:sz w:val="50"/>
                <w:szCs w:val="50"/>
              </w:rPr>
            </w:pPr>
            <w:r w:rsidRPr="00D24DE1">
              <w:rPr>
                <w:rFonts w:hint="cs"/>
                <w:b/>
                <w:bCs/>
                <w:sz w:val="50"/>
                <w:szCs w:val="50"/>
                <w:rtl/>
              </w:rPr>
              <w:t>الجمعية العامة</w:t>
            </w:r>
          </w:p>
        </w:tc>
        <w:tc>
          <w:tcPr>
            <w:tcW w:w="3402" w:type="dxa"/>
            <w:tcBorders>
              <w:top w:val="single" w:sz="4" w:space="0" w:color="auto"/>
              <w:bottom w:val="single" w:sz="12" w:space="0" w:color="auto"/>
            </w:tcBorders>
          </w:tcPr>
          <w:p w14:paraId="5A189770" w14:textId="77777777" w:rsidR="006B3E27" w:rsidRPr="00D24DE1" w:rsidRDefault="00795789" w:rsidP="00BE5849">
            <w:pPr>
              <w:bidi w:val="0"/>
              <w:spacing w:before="240"/>
              <w:rPr>
                <w:szCs w:val="20"/>
              </w:rPr>
            </w:pPr>
            <w:r w:rsidRPr="00D24DE1">
              <w:rPr>
                <w:szCs w:val="20"/>
              </w:rPr>
              <w:t>Distr.: General</w:t>
            </w:r>
          </w:p>
          <w:p w14:paraId="2A603FF8" w14:textId="749D4D44" w:rsidR="00795789" w:rsidRPr="00D24DE1" w:rsidRDefault="00795789" w:rsidP="00795789">
            <w:pPr>
              <w:bidi w:val="0"/>
              <w:spacing w:line="240" w:lineRule="exact"/>
              <w:jc w:val="left"/>
              <w:rPr>
                <w:szCs w:val="20"/>
              </w:rPr>
            </w:pPr>
            <w:r w:rsidRPr="00D24DE1">
              <w:rPr>
                <w:szCs w:val="20"/>
              </w:rPr>
              <w:t xml:space="preserve">7 </w:t>
            </w:r>
            <w:r w:rsidR="009C1DAD" w:rsidRPr="00D24DE1">
              <w:rPr>
                <w:szCs w:val="20"/>
              </w:rPr>
              <w:t xml:space="preserve">October </w:t>
            </w:r>
            <w:r w:rsidRPr="00D24DE1">
              <w:rPr>
                <w:szCs w:val="20"/>
              </w:rPr>
              <w:t>2025</w:t>
            </w:r>
          </w:p>
          <w:p w14:paraId="7A5092B5" w14:textId="77777777" w:rsidR="00795789" w:rsidRPr="00D24DE1" w:rsidRDefault="00795789" w:rsidP="00795789">
            <w:pPr>
              <w:bidi w:val="0"/>
              <w:spacing w:line="240" w:lineRule="exact"/>
              <w:jc w:val="left"/>
              <w:rPr>
                <w:szCs w:val="20"/>
              </w:rPr>
            </w:pPr>
            <w:r w:rsidRPr="00D24DE1">
              <w:rPr>
                <w:szCs w:val="20"/>
              </w:rPr>
              <w:t>Arabic</w:t>
            </w:r>
          </w:p>
          <w:p w14:paraId="7554E785" w14:textId="5FB655D2" w:rsidR="00795789" w:rsidRPr="00D24DE1" w:rsidRDefault="00795789" w:rsidP="00795789">
            <w:pPr>
              <w:bidi w:val="0"/>
              <w:spacing w:line="240" w:lineRule="exact"/>
              <w:jc w:val="left"/>
              <w:rPr>
                <w:szCs w:val="20"/>
              </w:rPr>
            </w:pPr>
            <w:r w:rsidRPr="00D24DE1">
              <w:rPr>
                <w:szCs w:val="20"/>
              </w:rPr>
              <w:t>Original: English</w:t>
            </w:r>
          </w:p>
        </w:tc>
      </w:tr>
    </w:tbl>
    <w:bookmarkEnd w:id="0"/>
    <w:p w14:paraId="7F328569" w14:textId="77777777" w:rsidR="00FF1E99" w:rsidRPr="00D24DE1" w:rsidRDefault="00F572D8" w:rsidP="009C1DAD">
      <w:pPr>
        <w:pStyle w:val="SingleTxtGA"/>
        <w:spacing w:before="120" w:after="0"/>
        <w:ind w:left="0"/>
        <w:rPr>
          <w:rFonts w:ascii="Times New Roman Bold" w:hAnsi="Times New Roman Bold" w:hint="eastAsia"/>
          <w:b/>
          <w:bCs/>
          <w:sz w:val="26"/>
          <w:szCs w:val="26"/>
          <w:rtl/>
          <w:lang w:eastAsia="zh-TW"/>
        </w:rPr>
      </w:pPr>
      <w:r w:rsidRPr="00D24DE1">
        <w:rPr>
          <w:rFonts w:ascii="Times New Roman Bold" w:hAnsi="Times New Roman Bold" w:hint="cs"/>
          <w:b/>
          <w:bCs/>
          <w:sz w:val="26"/>
          <w:szCs w:val="26"/>
          <w:rtl/>
          <w:lang w:eastAsia="zh-TW"/>
        </w:rPr>
        <w:t>مجلس حقوق الإنسان</w:t>
      </w:r>
    </w:p>
    <w:p w14:paraId="28346C1D" w14:textId="77777777" w:rsidR="009C1DAD" w:rsidRPr="00D24DE1" w:rsidRDefault="009C1DAD" w:rsidP="009C1DAD">
      <w:pPr>
        <w:spacing w:line="360" w:lineRule="exact"/>
        <w:textDirection w:val="tbRlV"/>
        <w:rPr>
          <w:rFonts w:eastAsiaTheme="minorEastAsia" w:hint="cs"/>
          <w:b/>
          <w:bCs/>
          <w:sz w:val="22"/>
          <w:szCs w:val="20"/>
          <w:rtl/>
          <w:lang w:eastAsia="zh-TW"/>
        </w:rPr>
      </w:pPr>
      <w:r w:rsidRPr="00D24DE1">
        <w:rPr>
          <w:rFonts w:eastAsiaTheme="minorEastAsia"/>
          <w:b/>
          <w:bCs/>
          <w:sz w:val="22"/>
          <w:rtl/>
        </w:rPr>
        <w:t>الدورة الستون</w:t>
      </w:r>
    </w:p>
    <w:p w14:paraId="7E246EAC" w14:textId="77777777" w:rsidR="009C1DAD" w:rsidRPr="00D24DE1" w:rsidRDefault="009C1DAD" w:rsidP="009C1DAD">
      <w:pPr>
        <w:spacing w:line="360" w:lineRule="exact"/>
        <w:textDirection w:val="tbRlV"/>
        <w:rPr>
          <w:rFonts w:eastAsiaTheme="minorEastAsia"/>
          <w:sz w:val="22"/>
          <w:lang w:eastAsia="zh-TW"/>
        </w:rPr>
      </w:pPr>
      <w:r w:rsidRPr="00D24DE1">
        <w:rPr>
          <w:rFonts w:eastAsiaTheme="minorEastAsia"/>
          <w:sz w:val="22"/>
          <w:rtl/>
        </w:rPr>
        <w:t>8 أيلول/سبتمبر - 8 تشرين الأول/أكتوبر 2025</w:t>
      </w:r>
    </w:p>
    <w:p w14:paraId="56B6AA07" w14:textId="77777777" w:rsidR="009C1DAD" w:rsidRPr="00D24DE1" w:rsidRDefault="009C1DAD" w:rsidP="009C1DAD">
      <w:pPr>
        <w:spacing w:line="360" w:lineRule="exact"/>
        <w:textDirection w:val="tbRlV"/>
        <w:rPr>
          <w:rFonts w:eastAsiaTheme="minorEastAsia"/>
          <w:sz w:val="22"/>
          <w:lang w:eastAsia="zh-TW"/>
        </w:rPr>
      </w:pPr>
      <w:r w:rsidRPr="00D24DE1">
        <w:rPr>
          <w:rFonts w:eastAsiaTheme="minorEastAsia"/>
          <w:sz w:val="22"/>
          <w:rtl/>
        </w:rPr>
        <w:t>البند 4 من جدول الأعمال</w:t>
      </w:r>
    </w:p>
    <w:p w14:paraId="38A5BDF6" w14:textId="77777777" w:rsidR="009C1DAD" w:rsidRPr="00D24DE1" w:rsidRDefault="009C1DAD" w:rsidP="009C1DAD">
      <w:pPr>
        <w:spacing w:line="360" w:lineRule="exact"/>
        <w:textDirection w:val="tbRlV"/>
        <w:rPr>
          <w:rFonts w:eastAsiaTheme="minorEastAsia"/>
          <w:b/>
          <w:sz w:val="22"/>
          <w:lang w:eastAsia="zh-TW"/>
        </w:rPr>
      </w:pPr>
      <w:r w:rsidRPr="00D24DE1">
        <w:rPr>
          <w:rFonts w:eastAsiaTheme="minorEastAsia"/>
          <w:b/>
          <w:bCs/>
          <w:sz w:val="22"/>
          <w:rtl/>
        </w:rPr>
        <w:t>حالات حقوق الإنسان التي تتطلب اهتمام المجلس بها</w:t>
      </w:r>
    </w:p>
    <w:p w14:paraId="49756407" w14:textId="77777777" w:rsidR="009C1DAD" w:rsidRPr="00D24DE1" w:rsidRDefault="009C1DAD" w:rsidP="006E252F">
      <w:pPr>
        <w:pStyle w:val="HChGA"/>
        <w:rPr>
          <w:szCs w:val="20"/>
          <w:lang w:eastAsia="zh-CN"/>
        </w:rPr>
      </w:pPr>
      <w:r w:rsidRPr="00D24DE1">
        <w:rPr>
          <w:rtl/>
          <w:lang w:val="en-US"/>
        </w:rPr>
        <w:tab/>
      </w:r>
      <w:r w:rsidRPr="00D24DE1">
        <w:rPr>
          <w:rtl/>
          <w:lang w:val="en-US"/>
        </w:rPr>
        <w:tab/>
        <w:t xml:space="preserve">قرار </w:t>
      </w:r>
      <w:r w:rsidRPr="00D24DE1">
        <w:rPr>
          <w:rtl/>
          <w:lang w:eastAsia="zh-CN"/>
        </w:rPr>
        <w:t>اعتمده مجلس حقوق الإنسان في 6 تشرين الأول/أكتوبر 2025</w:t>
      </w:r>
    </w:p>
    <w:p w14:paraId="378B3C55" w14:textId="60D9FDD3" w:rsidR="009C1DAD" w:rsidRPr="00D24DE1" w:rsidRDefault="009C1DAD" w:rsidP="006E252F">
      <w:pPr>
        <w:pStyle w:val="H1GA"/>
        <w:rPr>
          <w:lang w:eastAsia="zh-TW"/>
        </w:rPr>
      </w:pPr>
      <w:r w:rsidRPr="00D24DE1">
        <w:rPr>
          <w:rtl/>
        </w:rPr>
        <w:tab/>
        <w:t>60/</w:t>
      </w:r>
      <w:r w:rsidRPr="00D24DE1">
        <w:rPr>
          <w:rFonts w:hint="cs"/>
          <w:rtl/>
        </w:rPr>
        <w:t>15</w:t>
      </w:r>
      <w:r w:rsidR="00EF4597" w:rsidRPr="00D24DE1">
        <w:rPr>
          <w:rFonts w:hint="cs"/>
          <w:rtl/>
        </w:rPr>
        <w:t>-</w:t>
      </w:r>
      <w:r w:rsidRPr="00D24DE1">
        <w:rPr>
          <w:rtl/>
        </w:rPr>
        <w:tab/>
        <w:t>حالة حقوق الإنسان في بوروندي</w:t>
      </w:r>
    </w:p>
    <w:p w14:paraId="73964FE8" w14:textId="77777777" w:rsidR="009C1DAD" w:rsidRPr="00D24DE1" w:rsidRDefault="009C1DAD" w:rsidP="009C1DAD">
      <w:pPr>
        <w:pStyle w:val="SingleTxtGA"/>
        <w:rPr>
          <w:rFonts w:eastAsiaTheme="minorEastAsia"/>
          <w:i/>
          <w:iCs/>
          <w:lang w:eastAsia="zh-TW"/>
        </w:rPr>
      </w:pPr>
      <w:r w:rsidRPr="00D24DE1">
        <w:rPr>
          <w:rFonts w:eastAsiaTheme="minorEastAsia"/>
          <w:i/>
          <w:iCs/>
          <w:rtl/>
        </w:rPr>
        <w:tab/>
        <w:t>إن مجلس حقوق الإنسان،</w:t>
      </w:r>
    </w:p>
    <w:p w14:paraId="68847EF9" w14:textId="77777777" w:rsidR="009C1DAD" w:rsidRPr="00D24DE1" w:rsidRDefault="009C1DAD" w:rsidP="009C1DAD">
      <w:pPr>
        <w:pStyle w:val="SingleTxtGA"/>
        <w:rPr>
          <w:lang w:eastAsia="zh-TW"/>
        </w:rPr>
      </w:pPr>
      <w:r w:rsidRPr="00D24DE1">
        <w:rPr>
          <w:rtl/>
        </w:rPr>
        <w:tab/>
      </w:r>
      <w:r w:rsidRPr="00D24DE1">
        <w:rPr>
          <w:i/>
          <w:iCs/>
          <w:rtl/>
        </w:rPr>
        <w:t xml:space="preserve">إذ يسترشد </w:t>
      </w:r>
      <w:r w:rsidRPr="00D24DE1">
        <w:rPr>
          <w:rtl/>
        </w:rPr>
        <w:t>بميثاق الأمم المتحدة، وبالإعلان العالمي لحقوق الإنسان، والعهد الدولي الخاص بالحقوق الاقتصادية والاجتماعية والثقافية، والعهد الدولي الخاص بالحقوق المدنية والسياسية</w:t>
      </w:r>
      <w:r w:rsidRPr="00D24DE1">
        <w:rPr>
          <w:rtl/>
          <w:lang w:eastAsia="zh-CN"/>
        </w:rPr>
        <w:t>،</w:t>
      </w:r>
      <w:r w:rsidRPr="00D24DE1">
        <w:rPr>
          <w:rtl/>
        </w:rPr>
        <w:t xml:space="preserve"> وغيرها من صكوك حقوق الإنسان الدولية ذات الصلة،</w:t>
      </w:r>
    </w:p>
    <w:p w14:paraId="3E0814DD" w14:textId="77777777" w:rsidR="009C1DAD" w:rsidRPr="00D24DE1" w:rsidRDefault="009C1DAD" w:rsidP="009C1DAD">
      <w:pPr>
        <w:pStyle w:val="SingleTxtGA"/>
        <w:rPr>
          <w:rFonts w:eastAsiaTheme="minorEastAsia"/>
          <w:lang w:eastAsia="zh-TW"/>
        </w:rPr>
      </w:pPr>
      <w:r w:rsidRPr="00D24DE1">
        <w:rPr>
          <w:rFonts w:eastAsiaTheme="minorEastAsia"/>
          <w:rtl/>
        </w:rPr>
        <w:tab/>
      </w:r>
      <w:r w:rsidRPr="00D24DE1">
        <w:rPr>
          <w:rFonts w:eastAsiaTheme="minorEastAsia"/>
          <w:i/>
          <w:iCs/>
          <w:rtl/>
        </w:rPr>
        <w:t xml:space="preserve">وإذ يشير </w:t>
      </w:r>
      <w:r w:rsidRPr="00D24DE1">
        <w:rPr>
          <w:rFonts w:eastAsiaTheme="minorEastAsia"/>
          <w:rtl/>
        </w:rPr>
        <w:t xml:space="preserve">إلى قرارات مجلس حقوق الإنسان </w:t>
      </w:r>
      <w:hyperlink r:id="rId9" w:history="1">
        <w:r w:rsidRPr="00D24DE1">
          <w:rPr>
            <w:rFonts w:eastAsiaTheme="minorEastAsia"/>
            <w:color w:val="0000FF"/>
            <w:rtl/>
          </w:rPr>
          <w:t>30/27</w:t>
        </w:r>
      </w:hyperlink>
      <w:r w:rsidRPr="00D24DE1">
        <w:rPr>
          <w:rFonts w:eastAsiaTheme="minorEastAsia"/>
          <w:rtl/>
        </w:rPr>
        <w:t xml:space="preserve"> المؤرخ 2 تشرين الأول/أكتوبر 2015، و</w:t>
      </w:r>
      <w:hyperlink r:id="rId10" w:history="1">
        <w:r w:rsidRPr="00D24DE1">
          <w:rPr>
            <w:rStyle w:val="Hyperlink"/>
            <w:rFonts w:eastAsiaTheme="minorEastAsia"/>
            <w:rtl/>
          </w:rPr>
          <w:t>دإ-24/1</w:t>
        </w:r>
      </w:hyperlink>
      <w:r w:rsidRPr="00D24DE1">
        <w:rPr>
          <w:rFonts w:eastAsiaTheme="minorEastAsia"/>
          <w:rtl/>
        </w:rPr>
        <w:t xml:space="preserve"> المؤرخ 17 كانون الأول/ديسمبر 2015، و</w:t>
      </w:r>
      <w:hyperlink r:id="rId11" w:history="1">
        <w:r w:rsidRPr="00D24DE1">
          <w:rPr>
            <w:rFonts w:eastAsiaTheme="minorEastAsia"/>
            <w:color w:val="0000FF"/>
            <w:rtl/>
          </w:rPr>
          <w:t>33/24</w:t>
        </w:r>
      </w:hyperlink>
      <w:r w:rsidRPr="00D24DE1">
        <w:rPr>
          <w:rFonts w:eastAsiaTheme="minorEastAsia"/>
          <w:rtl/>
        </w:rPr>
        <w:t xml:space="preserve"> المؤرخ 30 أيلول/سبتمبر 2016، و</w:t>
      </w:r>
      <w:hyperlink r:id="rId12" w:history="1">
        <w:r w:rsidRPr="00D24DE1">
          <w:rPr>
            <w:rFonts w:eastAsiaTheme="minorEastAsia"/>
            <w:color w:val="0000FF"/>
            <w:rtl/>
          </w:rPr>
          <w:t>36/2</w:t>
        </w:r>
      </w:hyperlink>
      <w:r w:rsidRPr="00D24DE1">
        <w:rPr>
          <w:rFonts w:eastAsiaTheme="minorEastAsia"/>
          <w:rtl/>
        </w:rPr>
        <w:t xml:space="preserve"> المؤرخ 28 أيلول/سبتمبر 2017، و</w:t>
      </w:r>
      <w:hyperlink r:id="rId13" w:history="1">
        <w:r w:rsidRPr="00D24DE1">
          <w:rPr>
            <w:rFonts w:eastAsiaTheme="minorEastAsia"/>
            <w:color w:val="0000FF"/>
            <w:rtl/>
          </w:rPr>
          <w:t>36/19</w:t>
        </w:r>
      </w:hyperlink>
      <w:r w:rsidRPr="00D24DE1">
        <w:rPr>
          <w:rFonts w:eastAsiaTheme="minorEastAsia"/>
          <w:rtl/>
        </w:rPr>
        <w:t xml:space="preserve"> المؤرخ 29 أيلول/سبتمبر 2017، و</w:t>
      </w:r>
      <w:hyperlink r:id="rId14" w:history="1">
        <w:r w:rsidRPr="00D24DE1">
          <w:rPr>
            <w:rFonts w:eastAsiaTheme="minorEastAsia"/>
            <w:color w:val="0000FF"/>
            <w:rtl/>
          </w:rPr>
          <w:t>39/14</w:t>
        </w:r>
      </w:hyperlink>
      <w:r w:rsidRPr="00D24DE1">
        <w:rPr>
          <w:rFonts w:eastAsiaTheme="minorEastAsia"/>
          <w:rtl/>
        </w:rPr>
        <w:t xml:space="preserve"> المؤرخ 28 أيلول/سبتمبر 2018، و</w:t>
      </w:r>
      <w:hyperlink r:id="rId15" w:history="1">
        <w:r w:rsidRPr="00D24DE1">
          <w:rPr>
            <w:rFonts w:eastAsiaTheme="minorEastAsia"/>
            <w:color w:val="0000FF"/>
            <w:rtl/>
          </w:rPr>
          <w:t>42/26</w:t>
        </w:r>
      </w:hyperlink>
      <w:r w:rsidRPr="00D24DE1">
        <w:rPr>
          <w:rFonts w:eastAsiaTheme="minorEastAsia"/>
          <w:rtl/>
        </w:rPr>
        <w:t xml:space="preserve"> المؤرخ 27 أيلول/سبتمبر 2019، و</w:t>
      </w:r>
      <w:hyperlink r:id="rId16" w:history="1">
        <w:r w:rsidRPr="00D24DE1">
          <w:rPr>
            <w:rFonts w:eastAsiaTheme="minorEastAsia"/>
            <w:color w:val="0000FF"/>
            <w:rtl/>
          </w:rPr>
          <w:t>45/19</w:t>
        </w:r>
      </w:hyperlink>
      <w:r w:rsidRPr="00D24DE1">
        <w:rPr>
          <w:rFonts w:eastAsiaTheme="minorEastAsia"/>
          <w:rtl/>
        </w:rPr>
        <w:t xml:space="preserve"> المؤرخ 6 تشرين الأول/</w:t>
      </w:r>
      <w:r w:rsidRPr="00D24DE1">
        <w:rPr>
          <w:rFonts w:eastAsiaTheme="minorEastAsia" w:hint="cs"/>
          <w:rtl/>
        </w:rPr>
        <w:t xml:space="preserve"> </w:t>
      </w:r>
      <w:r w:rsidRPr="00D24DE1">
        <w:rPr>
          <w:rFonts w:eastAsiaTheme="minorEastAsia"/>
          <w:rtl/>
        </w:rPr>
        <w:t>أكتوبر 2020، و</w:t>
      </w:r>
      <w:hyperlink r:id="rId17" w:history="1">
        <w:r w:rsidRPr="00D24DE1">
          <w:rPr>
            <w:rFonts w:eastAsiaTheme="minorEastAsia"/>
            <w:color w:val="0000FF"/>
            <w:rtl/>
          </w:rPr>
          <w:t>48/16</w:t>
        </w:r>
      </w:hyperlink>
      <w:r w:rsidRPr="00D24DE1">
        <w:rPr>
          <w:rFonts w:eastAsiaTheme="minorEastAsia"/>
          <w:rtl/>
        </w:rPr>
        <w:t xml:space="preserve"> المؤرخ 8 تشرين الأول/أكتوبر 2021، و</w:t>
      </w:r>
      <w:hyperlink r:id="rId18" w:history="1">
        <w:r w:rsidRPr="00D24DE1">
          <w:rPr>
            <w:rFonts w:eastAsiaTheme="minorEastAsia"/>
            <w:color w:val="0000FF"/>
            <w:rtl/>
          </w:rPr>
          <w:t>51/28</w:t>
        </w:r>
      </w:hyperlink>
      <w:r w:rsidRPr="00D24DE1">
        <w:rPr>
          <w:rFonts w:eastAsiaTheme="minorEastAsia"/>
          <w:rtl/>
        </w:rPr>
        <w:t xml:space="preserve"> المؤرخ 7 تشرين الأول/</w:t>
      </w:r>
      <w:r w:rsidRPr="00D24DE1">
        <w:rPr>
          <w:rFonts w:eastAsiaTheme="minorEastAsia" w:hint="cs"/>
          <w:rtl/>
        </w:rPr>
        <w:t xml:space="preserve"> </w:t>
      </w:r>
      <w:r w:rsidRPr="00D24DE1">
        <w:rPr>
          <w:rFonts w:eastAsiaTheme="minorEastAsia"/>
          <w:rtl/>
        </w:rPr>
        <w:t>أكتوبر</w:t>
      </w:r>
      <w:r w:rsidRPr="00D24DE1">
        <w:rPr>
          <w:rFonts w:eastAsiaTheme="minorEastAsia" w:hint="cs"/>
          <w:rtl/>
        </w:rPr>
        <w:t> </w:t>
      </w:r>
      <w:r w:rsidRPr="00D24DE1">
        <w:rPr>
          <w:rFonts w:eastAsiaTheme="minorEastAsia"/>
          <w:rtl/>
        </w:rPr>
        <w:t>2022، و</w:t>
      </w:r>
      <w:hyperlink r:id="rId19" w:history="1">
        <w:r w:rsidRPr="00D24DE1">
          <w:rPr>
            <w:rFonts w:eastAsiaTheme="minorEastAsia"/>
            <w:color w:val="0000FF"/>
            <w:rtl/>
          </w:rPr>
          <w:t>54/20</w:t>
        </w:r>
      </w:hyperlink>
      <w:r w:rsidRPr="00D24DE1">
        <w:rPr>
          <w:rFonts w:eastAsiaTheme="minorEastAsia"/>
          <w:rtl/>
        </w:rPr>
        <w:t xml:space="preserve"> المؤرخ 12 تشرين الأول/أكتوبر 2023، و</w:t>
      </w:r>
      <w:hyperlink r:id="rId20" w:history="1">
        <w:r w:rsidRPr="00D24DE1">
          <w:rPr>
            <w:rStyle w:val="Hyperlink"/>
            <w:rFonts w:eastAsiaTheme="minorEastAsia"/>
            <w:rtl/>
          </w:rPr>
          <w:t>57/22</w:t>
        </w:r>
      </w:hyperlink>
      <w:r w:rsidRPr="00D24DE1">
        <w:rPr>
          <w:rFonts w:eastAsiaTheme="minorEastAsia"/>
          <w:rtl/>
        </w:rPr>
        <w:t xml:space="preserve"> المؤرخ 10 تشرين الأول/</w:t>
      </w:r>
      <w:r w:rsidRPr="00D24DE1">
        <w:rPr>
          <w:rFonts w:eastAsiaTheme="minorEastAsia" w:hint="cs"/>
          <w:rtl/>
        </w:rPr>
        <w:t xml:space="preserve"> </w:t>
      </w:r>
      <w:r w:rsidRPr="00D24DE1">
        <w:rPr>
          <w:rFonts w:eastAsiaTheme="minorEastAsia"/>
          <w:rtl/>
        </w:rPr>
        <w:t>أكتوبر 2024، وجميع قرارات الجمعية العامة ومجلس الأمن ذات الصلة،</w:t>
      </w:r>
    </w:p>
    <w:p w14:paraId="5715262B" w14:textId="77777777" w:rsidR="009C1DAD" w:rsidRPr="00D24DE1" w:rsidRDefault="009C1DAD" w:rsidP="009C1DAD">
      <w:pPr>
        <w:pStyle w:val="SingleTxtGA"/>
        <w:rPr>
          <w:lang w:eastAsia="zh-TW"/>
        </w:rPr>
      </w:pPr>
      <w:r w:rsidRPr="00D24DE1">
        <w:rPr>
          <w:rtl/>
        </w:rPr>
        <w:tab/>
      </w:r>
      <w:r w:rsidRPr="00D24DE1">
        <w:rPr>
          <w:i/>
          <w:iCs/>
          <w:rtl/>
        </w:rPr>
        <w:t>وإذ يشير أيضاً</w:t>
      </w:r>
      <w:r w:rsidRPr="00D24DE1">
        <w:rPr>
          <w:rtl/>
        </w:rPr>
        <w:t xml:space="preserve"> إلى اتفاق أروشا للسلام والمصالحة في بوروندي، الذي يستند إلى مبادئ حقوق</w:t>
      </w:r>
      <w:r w:rsidRPr="00D24DE1">
        <w:rPr>
          <w:rFonts w:hint="cs"/>
          <w:rtl/>
        </w:rPr>
        <w:t> </w:t>
      </w:r>
      <w:r w:rsidRPr="00D24DE1">
        <w:rPr>
          <w:rtl/>
        </w:rPr>
        <w:t>الإنسان والعدالة الانتقالية ويرسي أساس السلام الدائم والعدل والمصالحة الوطنية والأمن والاستقرار في بوروندي،</w:t>
      </w:r>
    </w:p>
    <w:p w14:paraId="61662F30" w14:textId="77777777" w:rsidR="009C1DAD" w:rsidRPr="00D24DE1" w:rsidRDefault="009C1DAD" w:rsidP="009C1DAD">
      <w:pPr>
        <w:pStyle w:val="SingleTxtGA"/>
        <w:rPr>
          <w:lang w:eastAsia="zh-TW"/>
        </w:rPr>
      </w:pPr>
      <w:r w:rsidRPr="00D24DE1">
        <w:rPr>
          <w:rtl/>
        </w:rPr>
        <w:tab/>
      </w:r>
      <w:r w:rsidRPr="00D24DE1">
        <w:rPr>
          <w:i/>
          <w:iCs/>
          <w:rtl/>
        </w:rPr>
        <w:t>وإذ يؤكد من جديد</w:t>
      </w:r>
      <w:r w:rsidRPr="00D24DE1">
        <w:rPr>
          <w:rtl/>
        </w:rPr>
        <w:t xml:space="preserve"> احترامه الكامل لسيادة بوروندي واستقلالها السياسي وسلامتها الإقليمية ووحدتها الوطنية،</w:t>
      </w:r>
    </w:p>
    <w:p w14:paraId="282D3009" w14:textId="77777777" w:rsidR="009C1DAD" w:rsidRPr="00D24DE1" w:rsidRDefault="009C1DAD" w:rsidP="009C1DAD">
      <w:pPr>
        <w:pStyle w:val="SingleTxtGA"/>
        <w:rPr>
          <w:lang w:eastAsia="zh-TW"/>
        </w:rPr>
      </w:pPr>
      <w:r w:rsidRPr="00D24DE1">
        <w:rPr>
          <w:rtl/>
        </w:rPr>
        <w:tab/>
      </w:r>
      <w:r w:rsidRPr="00D24DE1">
        <w:rPr>
          <w:i/>
          <w:iCs/>
          <w:rtl/>
        </w:rPr>
        <w:t>وإذ يؤكد من جديد أيضاً</w:t>
      </w:r>
      <w:r w:rsidRPr="00D24DE1">
        <w:rPr>
          <w:rtl/>
        </w:rPr>
        <w:t xml:space="preserve"> أن الدول ملزمة باحترام جميع حقوق الإنسان والحريات الأساسية وحمايتها وإعمالها،</w:t>
      </w:r>
    </w:p>
    <w:p w14:paraId="68989CD0" w14:textId="77777777" w:rsidR="009C1DAD" w:rsidRPr="00D24DE1" w:rsidRDefault="009C1DAD" w:rsidP="009C1DAD">
      <w:pPr>
        <w:pStyle w:val="SingleTxtGA"/>
        <w:rPr>
          <w:rFonts w:eastAsiaTheme="minorEastAsia"/>
          <w:lang w:eastAsia="zh-TW"/>
        </w:rPr>
      </w:pPr>
      <w:r w:rsidRPr="00D24DE1">
        <w:rPr>
          <w:rFonts w:eastAsiaTheme="minorEastAsia"/>
          <w:rtl/>
        </w:rPr>
        <w:lastRenderedPageBreak/>
        <w:tab/>
      </w:r>
      <w:r w:rsidRPr="00D24DE1">
        <w:rPr>
          <w:rFonts w:eastAsiaTheme="minorEastAsia"/>
          <w:i/>
          <w:iCs/>
          <w:rtl/>
        </w:rPr>
        <w:t xml:space="preserve">وإذ يشدد </w:t>
      </w:r>
      <w:r w:rsidRPr="00D24DE1">
        <w:rPr>
          <w:rFonts w:eastAsiaTheme="minorEastAsia"/>
          <w:rtl/>
        </w:rPr>
        <w:t xml:space="preserve">على مسؤولية الحكومة </w:t>
      </w:r>
      <w:proofErr w:type="spellStart"/>
      <w:r w:rsidRPr="00D24DE1">
        <w:rPr>
          <w:rFonts w:eastAsiaTheme="minorEastAsia"/>
          <w:rtl/>
        </w:rPr>
        <w:t>البوروندية</w:t>
      </w:r>
      <w:proofErr w:type="spellEnd"/>
      <w:r w:rsidRPr="00D24DE1">
        <w:rPr>
          <w:rFonts w:eastAsiaTheme="minorEastAsia"/>
          <w:rtl/>
        </w:rPr>
        <w:t xml:space="preserve"> في المقام الأول عن ضمان الأمن في إقليمها وحماية سكانها بما يتماشى والقانون الدولي لحقوق الإنسان والقانون الدولي الإنساني، حسب الانطباق،</w:t>
      </w:r>
    </w:p>
    <w:p w14:paraId="41C4C5B5" w14:textId="77777777" w:rsidR="009C1DAD" w:rsidRPr="00D24DE1" w:rsidRDefault="009C1DAD" w:rsidP="009C1DAD">
      <w:pPr>
        <w:pStyle w:val="SingleTxtGA"/>
        <w:rPr>
          <w:rFonts w:eastAsiaTheme="minorEastAsia"/>
          <w:i/>
          <w:lang w:eastAsia="zh-TW"/>
        </w:rPr>
      </w:pPr>
      <w:r w:rsidRPr="00D24DE1">
        <w:rPr>
          <w:rFonts w:eastAsiaTheme="minorEastAsia"/>
          <w:rtl/>
        </w:rPr>
        <w:tab/>
      </w:r>
      <w:r w:rsidRPr="00D24DE1">
        <w:rPr>
          <w:rFonts w:eastAsiaTheme="minorEastAsia"/>
          <w:i/>
          <w:iCs/>
          <w:rtl/>
        </w:rPr>
        <w:t>وإذ يشير</w:t>
      </w:r>
      <w:r w:rsidRPr="00D24DE1">
        <w:rPr>
          <w:rFonts w:eastAsiaTheme="minorEastAsia"/>
          <w:rtl/>
        </w:rPr>
        <w:t xml:space="preserve"> إلى أن على الدول الأعضاء في مجلس حقوق الإنسان أن تلتزم بأعلى المعايير في تعزيز حقوق الإنسان وحمايتها وأن تتعاون تعاوناً كاملاً مع المجلس وآلياته،</w:t>
      </w:r>
    </w:p>
    <w:p w14:paraId="34E18B0B" w14:textId="77777777" w:rsidR="009C1DAD" w:rsidRPr="00D24DE1" w:rsidRDefault="009C1DAD" w:rsidP="009C1DAD">
      <w:pPr>
        <w:pStyle w:val="SingleTxtGA"/>
        <w:rPr>
          <w:rFonts w:eastAsiaTheme="minorEastAsia"/>
          <w:lang w:eastAsia="zh-TW"/>
        </w:rPr>
      </w:pPr>
      <w:r w:rsidRPr="00D24DE1">
        <w:rPr>
          <w:rFonts w:eastAsiaTheme="minorEastAsia"/>
          <w:rtl/>
        </w:rPr>
        <w:tab/>
      </w:r>
      <w:r w:rsidRPr="00D24DE1">
        <w:rPr>
          <w:rFonts w:eastAsiaTheme="minorEastAsia"/>
          <w:i/>
          <w:iCs/>
          <w:rtl/>
        </w:rPr>
        <w:t>وإذ يضع في اعتباره</w:t>
      </w:r>
      <w:r w:rsidRPr="00D24DE1">
        <w:rPr>
          <w:rFonts w:eastAsiaTheme="minorEastAsia"/>
          <w:rtl/>
        </w:rPr>
        <w:t xml:space="preserve"> أن المجتمع الدولي ومنظومة الأمم المتحدة، بما في ذلك مجلس حقوق الإنسان وآلياته، يمكنهم الاضطلاع بدور حاسم في تعزيز حماية حقوق الإنسان، ومنع انتهاكات وتجاوزات حقوق الإنسان، والتخفيف من </w:t>
      </w:r>
      <w:proofErr w:type="gramStart"/>
      <w:r w:rsidRPr="00D24DE1">
        <w:rPr>
          <w:rFonts w:eastAsiaTheme="minorEastAsia"/>
          <w:rtl/>
        </w:rPr>
        <w:t>مخاطر</w:t>
      </w:r>
      <w:proofErr w:type="gramEnd"/>
      <w:r w:rsidRPr="00D24DE1">
        <w:rPr>
          <w:rFonts w:eastAsiaTheme="minorEastAsia"/>
          <w:rtl/>
        </w:rPr>
        <w:t xml:space="preserve"> تصعيد حدة النزاعات وتدهور الأوضاع الإنسانية،</w:t>
      </w:r>
    </w:p>
    <w:p w14:paraId="4B9FFA1D" w14:textId="77777777" w:rsidR="009C1DAD" w:rsidRPr="00D24DE1" w:rsidRDefault="009C1DAD" w:rsidP="009C1DAD">
      <w:pPr>
        <w:pStyle w:val="SingleTxtGA"/>
        <w:rPr>
          <w:rFonts w:eastAsiaTheme="minorEastAsia"/>
          <w:lang w:eastAsia="zh-TW"/>
        </w:rPr>
      </w:pPr>
      <w:r w:rsidRPr="00D24DE1">
        <w:rPr>
          <w:rFonts w:eastAsiaTheme="minorEastAsia"/>
          <w:rtl/>
        </w:rPr>
        <w:tab/>
      </w:r>
      <w:r w:rsidRPr="00D24DE1">
        <w:rPr>
          <w:rFonts w:eastAsiaTheme="minorEastAsia"/>
          <w:i/>
          <w:iCs/>
          <w:rtl/>
        </w:rPr>
        <w:t>وإذ يرحب</w:t>
      </w:r>
      <w:r w:rsidRPr="00D24DE1">
        <w:rPr>
          <w:rFonts w:eastAsiaTheme="minorEastAsia"/>
          <w:rtl/>
        </w:rPr>
        <w:t xml:space="preserve"> بتقرير المقرر الخاص المعني بحالة حقوق الإنسان في بوروندي المقدم إلى مجلس حقوق الإنسان في هذه </w:t>
      </w:r>
      <w:proofErr w:type="gramStart"/>
      <w:r w:rsidRPr="00D24DE1">
        <w:rPr>
          <w:rFonts w:eastAsiaTheme="minorEastAsia"/>
          <w:rtl/>
        </w:rPr>
        <w:t>الدورة</w:t>
      </w:r>
      <w:r w:rsidRPr="00D24DE1">
        <w:rPr>
          <w:rFonts w:eastAsiaTheme="minorEastAsia"/>
          <w:vertAlign w:val="superscript"/>
          <w:rtl/>
        </w:rPr>
        <w:t>(</w:t>
      </w:r>
      <w:proofErr w:type="gramEnd"/>
      <w:r w:rsidRPr="00D24DE1">
        <w:rPr>
          <w:rFonts w:eastAsiaTheme="minorEastAsia"/>
          <w:vertAlign w:val="superscript"/>
          <w:rtl/>
        </w:rPr>
        <w:footnoteReference w:id="1"/>
      </w:r>
      <w:r w:rsidRPr="00D24DE1">
        <w:rPr>
          <w:rFonts w:eastAsiaTheme="minorEastAsia"/>
          <w:vertAlign w:val="superscript"/>
          <w:rtl/>
        </w:rPr>
        <w:t>)</w:t>
      </w:r>
      <w:r w:rsidRPr="00D24DE1">
        <w:rPr>
          <w:rFonts w:eastAsiaTheme="minorEastAsia"/>
          <w:rtl/>
        </w:rPr>
        <w:t>،</w:t>
      </w:r>
    </w:p>
    <w:p w14:paraId="534B1190" w14:textId="77777777" w:rsidR="009C1DAD" w:rsidRPr="00D24DE1" w:rsidRDefault="009C1DAD" w:rsidP="009C1DAD">
      <w:pPr>
        <w:pStyle w:val="SingleTxtGA"/>
        <w:rPr>
          <w:rFonts w:eastAsiaTheme="minorEastAsia"/>
          <w:lang w:eastAsia="zh-TW"/>
        </w:rPr>
      </w:pPr>
      <w:r w:rsidRPr="00D24DE1">
        <w:rPr>
          <w:rFonts w:eastAsiaTheme="minorEastAsia"/>
          <w:rtl/>
        </w:rPr>
        <w:tab/>
      </w:r>
      <w:r w:rsidRPr="00D24DE1">
        <w:rPr>
          <w:rFonts w:eastAsiaTheme="minorEastAsia"/>
          <w:i/>
          <w:iCs/>
          <w:rtl/>
        </w:rPr>
        <w:t>وإذ يشير بتقدير</w:t>
      </w:r>
      <w:r w:rsidRPr="00D24DE1">
        <w:rPr>
          <w:rFonts w:eastAsiaTheme="minorEastAsia"/>
          <w:rtl/>
        </w:rPr>
        <w:t xml:space="preserve"> إلى التقدم المحرز فيما يتعلق بالمشاركة الإقليمية والدولية، ومكافحة الاتجار بالبشر، وإعادة اللاجئين </w:t>
      </w:r>
      <w:proofErr w:type="spellStart"/>
      <w:r w:rsidRPr="00D24DE1">
        <w:rPr>
          <w:rFonts w:eastAsiaTheme="minorEastAsia"/>
          <w:rtl/>
        </w:rPr>
        <w:t>البورونديين</w:t>
      </w:r>
      <w:proofErr w:type="spellEnd"/>
      <w:r w:rsidRPr="00D24DE1">
        <w:rPr>
          <w:rFonts w:eastAsiaTheme="minorEastAsia"/>
          <w:rtl/>
        </w:rPr>
        <w:t xml:space="preserve"> إلى ديارهم، وإذ يشدد في الوقت نفسه على أهمية ضمان أمن العائدين وإدماجهم الاجتماعي على النحو الذي ذكره المقرر الخاص في تقريره </w:t>
      </w:r>
      <w:proofErr w:type="gramStart"/>
      <w:r w:rsidRPr="00D24DE1">
        <w:rPr>
          <w:rFonts w:eastAsiaTheme="minorEastAsia"/>
          <w:rtl/>
        </w:rPr>
        <w:t>السابق</w:t>
      </w:r>
      <w:r w:rsidRPr="00D24DE1">
        <w:rPr>
          <w:rFonts w:eastAsiaTheme="minorEastAsia"/>
          <w:vertAlign w:val="superscript"/>
          <w:rtl/>
        </w:rPr>
        <w:t>(</w:t>
      </w:r>
      <w:proofErr w:type="gramEnd"/>
      <w:r w:rsidRPr="00D24DE1">
        <w:rPr>
          <w:rStyle w:val="FootnoteReference"/>
          <w:rFonts w:eastAsiaTheme="minorEastAsia"/>
          <w:rtl/>
        </w:rPr>
        <w:footnoteReference w:id="2"/>
      </w:r>
      <w:r w:rsidRPr="00D24DE1">
        <w:rPr>
          <w:rFonts w:eastAsiaTheme="minorEastAsia"/>
          <w:vertAlign w:val="superscript"/>
          <w:rtl/>
        </w:rPr>
        <w:t>)</w:t>
      </w:r>
      <w:r w:rsidRPr="00D24DE1">
        <w:rPr>
          <w:rFonts w:eastAsiaTheme="minorEastAsia"/>
          <w:rtl/>
        </w:rPr>
        <w:t>، وإذ يشير أيضاً إلى الالتزامات المتعهد بها من أجل إدخال المزيد من التحسينات في مجالات حقوق الإنسان والحكم الرشيد وسيادة القانون،</w:t>
      </w:r>
    </w:p>
    <w:p w14:paraId="01ED91CA" w14:textId="77777777" w:rsidR="009C1DAD" w:rsidRPr="00D24DE1" w:rsidRDefault="009C1DAD" w:rsidP="009C1DAD">
      <w:pPr>
        <w:pStyle w:val="SingleTxtGA"/>
        <w:rPr>
          <w:rFonts w:eastAsiaTheme="minorEastAsia"/>
          <w:rtl/>
          <w:lang w:eastAsia="zh-TW"/>
        </w:rPr>
      </w:pPr>
      <w:r w:rsidRPr="00D24DE1">
        <w:rPr>
          <w:rFonts w:eastAsiaTheme="minorEastAsia"/>
          <w:rtl/>
        </w:rPr>
        <w:tab/>
      </w:r>
      <w:r w:rsidRPr="00D24DE1">
        <w:rPr>
          <w:rFonts w:eastAsiaTheme="minorEastAsia"/>
          <w:i/>
          <w:iCs/>
          <w:rtl/>
        </w:rPr>
        <w:t xml:space="preserve">وإذ يعرب عن قلقه البالغ </w:t>
      </w:r>
      <w:r w:rsidRPr="00D24DE1">
        <w:rPr>
          <w:rFonts w:eastAsiaTheme="minorEastAsia"/>
          <w:rtl/>
        </w:rPr>
        <w:t>إزاء انتهاكات وتجاوزات حقوق الإنسان في بوروندي، وإذ يعرب عن أسفه لعدم تعاون حكومة بوروندي مع مجلس حقوق الإنسان وآلياته، بمن فيها المقرر الخاص، ولعدم تعاونها البناء أيضاً مع مفوضية الأمم المتحدة السامية لحقوق الإنسان، بما في ذلك عدم إحراز تقدم في إعادة فتح مكتبها القطري،</w:t>
      </w:r>
    </w:p>
    <w:p w14:paraId="11FEA902" w14:textId="77777777" w:rsidR="009C1DAD" w:rsidRPr="00D24DE1" w:rsidRDefault="009C1DAD" w:rsidP="009C1DAD">
      <w:pPr>
        <w:pStyle w:val="SingleTxtGA"/>
        <w:rPr>
          <w:rFonts w:eastAsiaTheme="minorEastAsia"/>
          <w:lang w:eastAsia="zh-TW"/>
        </w:rPr>
      </w:pPr>
      <w:r w:rsidRPr="00D24DE1">
        <w:rPr>
          <w:rFonts w:eastAsiaTheme="minorEastAsia"/>
          <w:rtl/>
        </w:rPr>
        <w:tab/>
      </w:r>
      <w:r w:rsidRPr="00D24DE1">
        <w:rPr>
          <w:rFonts w:eastAsiaTheme="minorEastAsia"/>
          <w:i/>
          <w:iCs/>
          <w:rtl/>
        </w:rPr>
        <w:t xml:space="preserve">وإذ يعرب عن قلقه </w:t>
      </w:r>
      <w:r w:rsidRPr="00D24DE1">
        <w:rPr>
          <w:rFonts w:eastAsiaTheme="minorEastAsia"/>
          <w:rtl/>
        </w:rPr>
        <w:t>إزاء التحديات الهيكلية التي تواجه احترام وحماية وإعمال الحقوق الاقتصادية والاجتماعية والثقافية في بوروندي، ولا سيما الحق في الغذاء الكافي، والحق في التمتع بأعلى مستوى ممكن من الصحة البدنية والعقلية، والحق في التعليم، بما في ذلك للأطفال والأشخاص الذين يعيشون في أوضاع هشة،</w:t>
      </w:r>
    </w:p>
    <w:p w14:paraId="71A67529" w14:textId="77777777" w:rsidR="009C1DAD" w:rsidRPr="00D24DE1" w:rsidRDefault="009C1DAD" w:rsidP="009C1DAD">
      <w:pPr>
        <w:pStyle w:val="SingleTxtGA"/>
        <w:rPr>
          <w:rFonts w:eastAsiaTheme="minorEastAsia"/>
          <w:rtl/>
          <w:lang w:eastAsia="zh-TW"/>
        </w:rPr>
      </w:pPr>
      <w:r w:rsidRPr="00D24DE1">
        <w:rPr>
          <w:rFonts w:eastAsiaTheme="minorEastAsia"/>
          <w:rtl/>
        </w:rPr>
        <w:tab/>
      </w:r>
      <w:r w:rsidRPr="00D24DE1">
        <w:rPr>
          <w:rFonts w:eastAsiaTheme="minorEastAsia"/>
          <w:i/>
          <w:iCs/>
          <w:rtl/>
        </w:rPr>
        <w:t>وإذ يشير</w:t>
      </w:r>
      <w:r w:rsidRPr="00D24DE1">
        <w:rPr>
          <w:rFonts w:eastAsiaTheme="minorEastAsia"/>
          <w:rtl/>
        </w:rPr>
        <w:t xml:space="preserve"> إلى أن الانتخابات البرلمانية والمحلية التي أجريت عام 2025 كانت في معظمها خالية من حوادث العنف، وإذ يعرب في الوقت نفسه عن القلق إزاء التقارير التي تتحدث عن عدم استيفاء الشروط اللازمة لإجراء انتخابات شاملة للجميع وشفافة وتنافسية وذات مصداقية، ولا سيما بسبب استمرار إغلاق الحيز المدني والإعلامي، وانعدام التعددية السياسية وشروط المنافسة الانتخابية النزيهة، وتزايد الترهيب ضد الأصوات المنتقدة، ومناخ الخوف في العملية الانتخابية في البلد،</w:t>
      </w:r>
    </w:p>
    <w:p w14:paraId="19E9A906" w14:textId="77777777" w:rsidR="009C1DAD" w:rsidRPr="00D24DE1" w:rsidRDefault="009C1DAD" w:rsidP="009C1DAD">
      <w:pPr>
        <w:pStyle w:val="SingleTxtGA"/>
        <w:rPr>
          <w:rFonts w:eastAsiaTheme="minorEastAsia"/>
          <w:lang w:eastAsia="zh-TW"/>
        </w:rPr>
      </w:pPr>
      <w:r w:rsidRPr="00D24DE1">
        <w:rPr>
          <w:rFonts w:eastAsiaTheme="minorEastAsia"/>
          <w:rtl/>
        </w:rPr>
        <w:tab/>
        <w:t>1-</w:t>
      </w:r>
      <w:r w:rsidRPr="00D24DE1">
        <w:rPr>
          <w:rFonts w:eastAsiaTheme="minorEastAsia"/>
          <w:rtl/>
        </w:rPr>
        <w:tab/>
      </w:r>
      <w:r w:rsidRPr="00D24DE1">
        <w:rPr>
          <w:rFonts w:eastAsiaTheme="minorEastAsia"/>
          <w:i/>
          <w:iCs/>
          <w:rtl/>
        </w:rPr>
        <w:t>يدين بشدة</w:t>
      </w:r>
      <w:r w:rsidRPr="00D24DE1">
        <w:rPr>
          <w:rFonts w:eastAsiaTheme="minorEastAsia"/>
          <w:rtl/>
        </w:rPr>
        <w:t xml:space="preserve"> جميع انتهاكات وتجاوزات حقوق الإنسان المرتكبة في بوروندي، بما فيها التي تنطوي على حالات القتل خارج نطاق القضاء، والاختفاء القسري، والتوقيف والاحتجاز التعسفيين، وأعمال التعذيب وغيره من ضروب </w:t>
      </w:r>
      <w:proofErr w:type="gramStart"/>
      <w:r w:rsidRPr="00D24DE1">
        <w:rPr>
          <w:rFonts w:eastAsiaTheme="minorEastAsia"/>
          <w:rtl/>
        </w:rPr>
        <w:t>المعاملة</w:t>
      </w:r>
      <w:proofErr w:type="gramEnd"/>
      <w:r w:rsidRPr="00D24DE1">
        <w:rPr>
          <w:rFonts w:eastAsiaTheme="minorEastAsia"/>
          <w:rtl/>
        </w:rPr>
        <w:t xml:space="preserve"> أو العقوبة القاسية أو اللاإنسانية أو المهينة، والعنف الجنسي والجنساني، ويدعو إلى وضع حد فوري لهذه الانتهاكات والتجاوزات وإلى احترام جميع حقوق الإنسان والحريات الأساسية احتراماً كاملاً؛</w:t>
      </w:r>
    </w:p>
    <w:p w14:paraId="3405F9DC" w14:textId="77777777" w:rsidR="009C1DAD" w:rsidRPr="00D24DE1" w:rsidRDefault="009C1DAD" w:rsidP="009C1DAD">
      <w:pPr>
        <w:pStyle w:val="SingleTxtGA"/>
        <w:rPr>
          <w:rFonts w:eastAsiaTheme="minorEastAsia"/>
          <w:lang w:eastAsia="zh-TW"/>
        </w:rPr>
      </w:pPr>
      <w:r w:rsidRPr="00D24DE1">
        <w:rPr>
          <w:rFonts w:eastAsiaTheme="minorEastAsia"/>
          <w:rtl/>
        </w:rPr>
        <w:lastRenderedPageBreak/>
        <w:tab/>
        <w:t>2-</w:t>
      </w:r>
      <w:r w:rsidRPr="00D24DE1">
        <w:rPr>
          <w:rFonts w:eastAsiaTheme="minorEastAsia"/>
          <w:rtl/>
        </w:rPr>
        <w:tab/>
      </w:r>
      <w:r w:rsidRPr="00D24DE1">
        <w:rPr>
          <w:rFonts w:eastAsiaTheme="minorEastAsia"/>
          <w:i/>
          <w:iCs/>
          <w:rtl/>
        </w:rPr>
        <w:t>يحث</w:t>
      </w:r>
      <w:r w:rsidRPr="00D24DE1">
        <w:rPr>
          <w:rFonts w:eastAsiaTheme="minorEastAsia"/>
          <w:rtl/>
        </w:rPr>
        <w:t xml:space="preserve"> حكومة بوروندي على ضمان الحقوق في حرية الرأي والتعبير والتجمع السلمي وتكوين الجمعيات، ويشجب تقلص الحيز المتاح للمجتمع المدني ونضال المواطنين ووسائط الإعلام المستقلة والمشاركة السياسية، بما في ذلك مشاركة المعارضين، وللقضاء الحر والنزيه، ويشدد على ضرورة أن توفر الحكومة بيئة آمنة وتمكينية للمجتمع المدني والمدافعين عن حقوق الإنسان والصحافيين والناشطين والمدونين وغيرهم من الإعلاميين، وبخاصة النساء العاملات في هذه المهن، لأداء عملهم باستقلالية، من دون ترهيب أو تدخل لا مبرر له، وضرورة أن تفرج عن جميع الذين لا يزالون رهن الاحتجاز بسبب قيامهم بعملهم دفاعاً عن حقوق الإنسان؛</w:t>
      </w:r>
    </w:p>
    <w:p w14:paraId="644F4CFA" w14:textId="77777777" w:rsidR="009C1DAD" w:rsidRPr="00D24DE1" w:rsidRDefault="009C1DAD" w:rsidP="009C1DAD">
      <w:pPr>
        <w:pStyle w:val="SingleTxtGA"/>
        <w:rPr>
          <w:rFonts w:eastAsiaTheme="minorEastAsia"/>
          <w:lang w:eastAsia="zh-TW"/>
        </w:rPr>
      </w:pPr>
      <w:r w:rsidRPr="00D24DE1">
        <w:rPr>
          <w:rFonts w:eastAsiaTheme="minorEastAsia"/>
          <w:rtl/>
        </w:rPr>
        <w:tab/>
        <w:t>3-</w:t>
      </w:r>
      <w:r w:rsidRPr="00D24DE1">
        <w:rPr>
          <w:rFonts w:eastAsiaTheme="minorEastAsia"/>
          <w:rtl/>
        </w:rPr>
        <w:tab/>
      </w:r>
      <w:r w:rsidRPr="00D24DE1">
        <w:rPr>
          <w:rFonts w:eastAsiaTheme="minorEastAsia"/>
          <w:i/>
          <w:iCs/>
          <w:rtl/>
        </w:rPr>
        <w:t>يدين</w:t>
      </w:r>
      <w:r w:rsidRPr="00D24DE1">
        <w:rPr>
          <w:rFonts w:eastAsiaTheme="minorEastAsia"/>
          <w:rtl/>
        </w:rPr>
        <w:t xml:space="preserve"> انتشار الإفلات من العقاب على جميع انتهاكات وتجاوزات حقوق الإنسان على نطاق واسع، ويحث حكومة بوروندي على محاسبة جميع مرتكبي هذه الانتهاكات على أفعالهم، بغض النظر عن انتماءاتهم أو وضعهم، بمن فيهم أفراد قوات الدفاع والأمن ورابطة شباب الحزب الحاكم، المعروفة برابطة </w:t>
      </w:r>
      <w:proofErr w:type="spellStart"/>
      <w:r w:rsidRPr="00D24DE1">
        <w:rPr>
          <w:rFonts w:eastAsiaTheme="minorEastAsia"/>
          <w:rtl/>
        </w:rPr>
        <w:t>إمبونيراكور</w:t>
      </w:r>
      <w:proofErr w:type="spellEnd"/>
      <w:r w:rsidRPr="00D24DE1">
        <w:rPr>
          <w:rFonts w:eastAsiaTheme="minorEastAsia"/>
          <w:rtl/>
        </w:rPr>
        <w:t>، وعلى ضمان تمكن الضحايا من التماس العدالة والانتصاف القانوني، ويشجع الحكومة على إعادة النظر في قرارها الانسحاب من نظام روما الأساسي للمحكمة الجنائية الدولية والوفاء بالتزامها القانوني بالتعاون الكامل مع المحكمة فيما يتصل بتحقيقاتها الجارية؛</w:t>
      </w:r>
    </w:p>
    <w:p w14:paraId="51490DC7" w14:textId="77777777" w:rsidR="009C1DAD" w:rsidRPr="00D24DE1" w:rsidRDefault="009C1DAD" w:rsidP="009C1DAD">
      <w:pPr>
        <w:pStyle w:val="SingleTxtGA"/>
        <w:rPr>
          <w:rFonts w:eastAsiaTheme="minorEastAsia"/>
          <w:lang w:eastAsia="zh-TW"/>
        </w:rPr>
      </w:pPr>
      <w:r w:rsidRPr="00D24DE1">
        <w:rPr>
          <w:rFonts w:eastAsiaTheme="minorEastAsia"/>
          <w:rtl/>
        </w:rPr>
        <w:tab/>
        <w:t>4-</w:t>
      </w:r>
      <w:r w:rsidRPr="00D24DE1">
        <w:rPr>
          <w:rFonts w:eastAsiaTheme="minorEastAsia"/>
          <w:rtl/>
        </w:rPr>
        <w:tab/>
      </w:r>
      <w:r w:rsidRPr="00D24DE1">
        <w:rPr>
          <w:rFonts w:eastAsiaTheme="minorEastAsia"/>
          <w:i/>
          <w:iCs/>
          <w:rtl/>
        </w:rPr>
        <w:t xml:space="preserve">يهيب </w:t>
      </w:r>
      <w:r w:rsidRPr="00D24DE1">
        <w:rPr>
          <w:rFonts w:eastAsiaTheme="minorEastAsia"/>
          <w:rtl/>
        </w:rPr>
        <w:t>بحكومة بوروندي تهيئة الظروف اللازمة لإجراء انتخابات رئاسية شاملة للجميع وشفافة وذات مصداقية عام 2027، وفقاً لالتزاماتها وتعهداتها الدولية؛</w:t>
      </w:r>
    </w:p>
    <w:p w14:paraId="7AA267E7" w14:textId="77777777" w:rsidR="009C1DAD" w:rsidRPr="00D24DE1" w:rsidRDefault="009C1DAD" w:rsidP="009C1DAD">
      <w:pPr>
        <w:pStyle w:val="SingleTxtGA"/>
        <w:rPr>
          <w:rFonts w:eastAsiaTheme="minorEastAsia"/>
          <w:lang w:eastAsia="zh-TW"/>
        </w:rPr>
      </w:pPr>
      <w:r w:rsidRPr="00D24DE1">
        <w:rPr>
          <w:rFonts w:eastAsiaTheme="minorEastAsia"/>
          <w:rtl/>
        </w:rPr>
        <w:tab/>
        <w:t>5-</w:t>
      </w:r>
      <w:r w:rsidRPr="00D24DE1">
        <w:rPr>
          <w:rFonts w:eastAsiaTheme="minorEastAsia"/>
          <w:rtl/>
        </w:rPr>
        <w:tab/>
      </w:r>
      <w:r w:rsidRPr="00D24DE1">
        <w:rPr>
          <w:rFonts w:eastAsiaTheme="minorEastAsia"/>
          <w:i/>
          <w:iCs/>
          <w:rtl/>
        </w:rPr>
        <w:t xml:space="preserve">يهيب </w:t>
      </w:r>
      <w:r w:rsidRPr="00D24DE1">
        <w:rPr>
          <w:rFonts w:eastAsiaTheme="minorEastAsia"/>
          <w:rtl/>
        </w:rPr>
        <w:t xml:space="preserve">بحكومة بوروندي </w:t>
      </w:r>
      <w:r w:rsidRPr="00D24DE1">
        <w:rPr>
          <w:rFonts w:eastAsiaTheme="minorEastAsia"/>
          <w:i/>
          <w:iCs/>
          <w:rtl/>
        </w:rPr>
        <w:t>أيضاً</w:t>
      </w:r>
      <w:r w:rsidRPr="00D24DE1">
        <w:rPr>
          <w:rFonts w:eastAsiaTheme="minorEastAsia"/>
          <w:rtl/>
        </w:rPr>
        <w:t xml:space="preserve"> ضمان استقلال السلطة القضائية استقلالاً تاماً؛</w:t>
      </w:r>
    </w:p>
    <w:p w14:paraId="4378F63D" w14:textId="77777777" w:rsidR="009C1DAD" w:rsidRPr="00D24DE1" w:rsidRDefault="009C1DAD" w:rsidP="009C1DAD">
      <w:pPr>
        <w:pStyle w:val="SingleTxtGA"/>
        <w:rPr>
          <w:rFonts w:eastAsiaTheme="minorEastAsia"/>
          <w:lang w:eastAsia="zh-TW"/>
        </w:rPr>
      </w:pPr>
      <w:r w:rsidRPr="00D24DE1">
        <w:rPr>
          <w:rFonts w:eastAsiaTheme="minorEastAsia"/>
          <w:rtl/>
        </w:rPr>
        <w:tab/>
        <w:t>6-</w:t>
      </w:r>
      <w:r w:rsidRPr="00D24DE1">
        <w:rPr>
          <w:rFonts w:eastAsiaTheme="minorEastAsia"/>
          <w:rtl/>
        </w:rPr>
        <w:tab/>
      </w:r>
      <w:r w:rsidRPr="00D24DE1">
        <w:rPr>
          <w:rFonts w:eastAsiaTheme="minorEastAsia"/>
          <w:i/>
          <w:iCs/>
          <w:rtl/>
        </w:rPr>
        <w:t>يهيب</w:t>
      </w:r>
      <w:r w:rsidRPr="00D24DE1">
        <w:rPr>
          <w:rFonts w:eastAsiaTheme="minorEastAsia"/>
          <w:rtl/>
        </w:rPr>
        <w:t xml:space="preserve"> بحكومة بوروندي </w:t>
      </w:r>
      <w:r w:rsidRPr="00D24DE1">
        <w:rPr>
          <w:rFonts w:eastAsiaTheme="minorEastAsia"/>
          <w:i/>
          <w:iCs/>
          <w:rtl/>
        </w:rPr>
        <w:t>كذلك</w:t>
      </w:r>
      <w:r w:rsidRPr="00D24DE1">
        <w:rPr>
          <w:rFonts w:eastAsiaTheme="minorEastAsia"/>
          <w:rtl/>
        </w:rPr>
        <w:t xml:space="preserve"> أن تزود اللجنة الوطنية المستقلة لحقوق الإنسان بجميع الوسائل اللازمة لأداء مهمتها المتمثلة في تعزيز حقوق الإنسان وحمايتها بما يتماشى </w:t>
      </w:r>
      <w:r w:rsidRPr="00D24DE1">
        <w:rPr>
          <w:rFonts w:eastAsiaTheme="minorEastAsia"/>
          <w:rtl/>
          <w:lang w:eastAsia="zh-CN"/>
        </w:rPr>
        <w:t>و</w:t>
      </w:r>
      <w:r w:rsidRPr="00D24DE1">
        <w:rPr>
          <w:rFonts w:eastAsiaTheme="minorEastAsia"/>
          <w:rtl/>
        </w:rPr>
        <w:t>المبادئ المتعلقة بمركز المؤسسات الوطنية لتعزيز وحماية حقوق الإنسان (مبادئ باريس)، وأن تكفل استقلاليتها؛</w:t>
      </w:r>
    </w:p>
    <w:p w14:paraId="128B5C9A" w14:textId="77777777" w:rsidR="009C1DAD" w:rsidRPr="00D24DE1" w:rsidRDefault="009C1DAD" w:rsidP="009C1DAD">
      <w:pPr>
        <w:pStyle w:val="SingleTxtGA"/>
        <w:rPr>
          <w:rFonts w:eastAsiaTheme="minorEastAsia"/>
          <w:lang w:eastAsia="zh-TW"/>
        </w:rPr>
      </w:pPr>
      <w:r w:rsidRPr="00D24DE1">
        <w:rPr>
          <w:rFonts w:eastAsiaTheme="minorEastAsia"/>
          <w:rtl/>
        </w:rPr>
        <w:tab/>
        <w:t>7-</w:t>
      </w:r>
      <w:r w:rsidRPr="00D24DE1">
        <w:rPr>
          <w:rFonts w:eastAsiaTheme="minorEastAsia"/>
          <w:rtl/>
        </w:rPr>
        <w:tab/>
      </w:r>
      <w:r w:rsidRPr="00D24DE1">
        <w:rPr>
          <w:rFonts w:eastAsiaTheme="minorEastAsia"/>
          <w:i/>
          <w:iCs/>
          <w:rtl/>
        </w:rPr>
        <w:t>يهيب</w:t>
      </w:r>
      <w:r w:rsidRPr="00D24DE1">
        <w:rPr>
          <w:rFonts w:eastAsiaTheme="minorEastAsia"/>
          <w:rtl/>
        </w:rPr>
        <w:t xml:space="preserve"> بحكومة بوروندي أن تنفذ بالكامل التوصيات التي قدمها المقرر الخاص المعني بحالة حقوق الإنسان في بوروندي ولجنة التحقيق المعنية ببوروندي، وكذلك التوصيات المقبولة في سياق الاستعراض الدوري الشامل، وأن تتعاون تعاوناً تاماً مع الإجراءات الخاصة لمجلس حقوق الإنسان وهيئات المعاهدات ذات الصلة، ويرحب في هذا الصدد بتقديم بوروندي تقريرها إلى لجنة القضاء على التمييز </w:t>
      </w:r>
      <w:proofErr w:type="gramStart"/>
      <w:r w:rsidRPr="00D24DE1">
        <w:rPr>
          <w:rFonts w:eastAsiaTheme="minorEastAsia"/>
          <w:rtl/>
        </w:rPr>
        <w:t>العنصري</w:t>
      </w:r>
      <w:r w:rsidRPr="00D24DE1">
        <w:rPr>
          <w:rFonts w:eastAsiaTheme="minorEastAsia" w:hint="cs"/>
          <w:vertAlign w:val="superscript"/>
          <w:rtl/>
        </w:rPr>
        <w:t>(</w:t>
      </w:r>
      <w:proofErr w:type="gramEnd"/>
      <w:r w:rsidRPr="00D24DE1">
        <w:rPr>
          <w:rStyle w:val="FootnoteReference"/>
          <w:rFonts w:eastAsiaTheme="minorEastAsia"/>
          <w:rtl/>
        </w:rPr>
        <w:footnoteReference w:id="3"/>
      </w:r>
      <w:r w:rsidRPr="00D24DE1">
        <w:rPr>
          <w:rFonts w:eastAsiaTheme="minorEastAsia" w:hint="cs"/>
          <w:vertAlign w:val="superscript"/>
          <w:rtl/>
        </w:rPr>
        <w:t>)</w:t>
      </w:r>
      <w:r w:rsidRPr="00D24DE1">
        <w:rPr>
          <w:rFonts w:eastAsiaTheme="minorEastAsia"/>
          <w:rtl/>
        </w:rPr>
        <w:t> باعتباره خطوة إيجابية؛</w:t>
      </w:r>
    </w:p>
    <w:p w14:paraId="076C3CA4" w14:textId="77777777" w:rsidR="009C1DAD" w:rsidRPr="00D24DE1" w:rsidDel="002E46F5" w:rsidRDefault="009C1DAD" w:rsidP="009C1DAD">
      <w:pPr>
        <w:pStyle w:val="SingleTxtGA"/>
        <w:rPr>
          <w:rFonts w:eastAsiaTheme="minorEastAsia"/>
          <w:lang w:eastAsia="zh-TW"/>
        </w:rPr>
      </w:pPr>
      <w:r w:rsidRPr="00D24DE1">
        <w:rPr>
          <w:rFonts w:eastAsiaTheme="minorEastAsia"/>
          <w:rtl/>
        </w:rPr>
        <w:tab/>
        <w:t>8-</w:t>
      </w:r>
      <w:r w:rsidRPr="00D24DE1">
        <w:rPr>
          <w:rFonts w:eastAsiaTheme="minorEastAsia"/>
          <w:rtl/>
        </w:rPr>
        <w:tab/>
      </w:r>
      <w:r w:rsidRPr="00D24DE1">
        <w:rPr>
          <w:rFonts w:eastAsiaTheme="minorEastAsia"/>
          <w:i/>
          <w:iCs/>
          <w:rtl/>
        </w:rPr>
        <w:t xml:space="preserve">يهيب </w:t>
      </w:r>
      <w:r w:rsidRPr="00D24DE1">
        <w:rPr>
          <w:rFonts w:eastAsiaTheme="minorEastAsia"/>
          <w:rtl/>
        </w:rPr>
        <w:t xml:space="preserve">بحكومة بوروندي </w:t>
      </w:r>
      <w:r w:rsidRPr="00D24DE1">
        <w:rPr>
          <w:rFonts w:eastAsiaTheme="minorEastAsia"/>
          <w:i/>
          <w:iCs/>
          <w:rtl/>
        </w:rPr>
        <w:t>أيضاً</w:t>
      </w:r>
      <w:r w:rsidRPr="00D24DE1">
        <w:rPr>
          <w:rFonts w:eastAsiaTheme="minorEastAsia"/>
          <w:rtl/>
        </w:rPr>
        <w:t xml:space="preserve"> الإحجام عن جميع أعمال الترهيب أو الانتقام التي تستهدف المدافعين عن حقوق الإنسان، بمن فيهم الذين يتعاونون مع الآليات الدولية لحقوق الإنسان ومجلس حقوق الإنسان؛</w:t>
      </w:r>
    </w:p>
    <w:p w14:paraId="5E5F17FF" w14:textId="77777777" w:rsidR="009C1DAD" w:rsidRPr="00D24DE1" w:rsidRDefault="009C1DAD" w:rsidP="009C1DAD">
      <w:pPr>
        <w:pStyle w:val="SingleTxtGA"/>
        <w:rPr>
          <w:rFonts w:eastAsiaTheme="minorEastAsia"/>
          <w:lang w:eastAsia="zh-TW"/>
        </w:rPr>
      </w:pPr>
      <w:r w:rsidRPr="00D24DE1">
        <w:rPr>
          <w:rFonts w:eastAsiaTheme="minorEastAsia"/>
          <w:rtl/>
        </w:rPr>
        <w:tab/>
        <w:t>9-</w:t>
      </w:r>
      <w:r w:rsidRPr="00D24DE1">
        <w:rPr>
          <w:rFonts w:eastAsiaTheme="minorEastAsia"/>
          <w:i/>
          <w:iCs/>
          <w:rtl/>
        </w:rPr>
        <w:tab/>
        <w:t>يشجع</w:t>
      </w:r>
      <w:r w:rsidRPr="00D24DE1">
        <w:rPr>
          <w:rFonts w:eastAsiaTheme="minorEastAsia"/>
          <w:rtl/>
        </w:rPr>
        <w:t xml:space="preserve"> حكومة بوروندي على التفاعل بروح صادقة وشاملة للجميع مع كل الجهات صاحبة المصلحة في بوروندي، سواء تلك العاملة داخل البلد أم خارجه، من أجل التصدي بفعالية للتحديات المتعددة والمتجذرة التي تواجهها بوروندي وإعادة إدماج العائدين في المجتمع </w:t>
      </w:r>
      <w:proofErr w:type="spellStart"/>
      <w:r w:rsidRPr="00D24DE1">
        <w:rPr>
          <w:rFonts w:eastAsiaTheme="minorEastAsia"/>
          <w:rtl/>
        </w:rPr>
        <w:t>البوروندي</w:t>
      </w:r>
      <w:proofErr w:type="spellEnd"/>
      <w:r w:rsidRPr="00D24DE1">
        <w:rPr>
          <w:rFonts w:eastAsiaTheme="minorEastAsia"/>
          <w:rtl/>
        </w:rPr>
        <w:t xml:space="preserve"> على نحو مستدام؛</w:t>
      </w:r>
    </w:p>
    <w:p w14:paraId="0128893A" w14:textId="77777777" w:rsidR="009C1DAD" w:rsidRPr="00D24DE1" w:rsidRDefault="009C1DAD" w:rsidP="009C1DAD">
      <w:pPr>
        <w:pStyle w:val="SingleTxtGA"/>
        <w:rPr>
          <w:rFonts w:eastAsiaTheme="minorEastAsia"/>
          <w:i/>
          <w:lang w:eastAsia="zh-TW"/>
        </w:rPr>
      </w:pPr>
      <w:r w:rsidRPr="00D24DE1">
        <w:rPr>
          <w:rFonts w:eastAsiaTheme="minorEastAsia"/>
          <w:rtl/>
        </w:rPr>
        <w:tab/>
        <w:t>10-</w:t>
      </w:r>
      <w:r w:rsidRPr="00D24DE1">
        <w:rPr>
          <w:rFonts w:eastAsiaTheme="minorEastAsia"/>
          <w:rtl/>
        </w:rPr>
        <w:tab/>
      </w:r>
      <w:r w:rsidRPr="00D24DE1">
        <w:rPr>
          <w:rFonts w:eastAsiaTheme="minorEastAsia"/>
          <w:i/>
          <w:iCs/>
          <w:rtl/>
        </w:rPr>
        <w:t xml:space="preserve">يهيب </w:t>
      </w:r>
      <w:r w:rsidRPr="00D24DE1">
        <w:rPr>
          <w:rFonts w:eastAsiaTheme="minorEastAsia"/>
          <w:rtl/>
        </w:rPr>
        <w:t>بحكومة بوروندي اتخاذ خطوات فعلية في سبيل التصدي للتمييز بجميع أشكاله وضمان تمتع جميع الأفراد داخل أراضيها بحقوق الإنسان والحريات الأساسية تمتعاً كاملاً ومتساوياً، وفقاً للقانون الدولي لحقوق الإنسان؛</w:t>
      </w:r>
    </w:p>
    <w:p w14:paraId="0B2525A7" w14:textId="77777777" w:rsidR="009C1DAD" w:rsidRPr="00D24DE1" w:rsidRDefault="009C1DAD" w:rsidP="009C1DAD">
      <w:pPr>
        <w:pStyle w:val="SingleTxtGA"/>
        <w:rPr>
          <w:rFonts w:eastAsiaTheme="minorEastAsia"/>
          <w:lang w:eastAsia="zh-TW"/>
        </w:rPr>
      </w:pPr>
      <w:r w:rsidRPr="00D24DE1">
        <w:rPr>
          <w:rFonts w:eastAsiaTheme="minorEastAsia"/>
          <w:rtl/>
        </w:rPr>
        <w:lastRenderedPageBreak/>
        <w:tab/>
        <w:t>11-</w:t>
      </w:r>
      <w:r w:rsidRPr="00D24DE1">
        <w:rPr>
          <w:rFonts w:eastAsiaTheme="minorEastAsia"/>
          <w:rtl/>
        </w:rPr>
        <w:tab/>
      </w:r>
      <w:r w:rsidRPr="00D24DE1">
        <w:rPr>
          <w:rFonts w:eastAsiaTheme="minorEastAsia"/>
          <w:i/>
          <w:iCs/>
          <w:rtl/>
        </w:rPr>
        <w:t>يقرّر</w:t>
      </w:r>
      <w:r w:rsidRPr="00D24DE1">
        <w:rPr>
          <w:rFonts w:eastAsiaTheme="minorEastAsia"/>
          <w:rtl/>
        </w:rPr>
        <w:t xml:space="preserve"> تمديد ولاية المقرر الخاص المعني بحالة حقوق الإنسان في بوروندي لمدة سنة إضافية، ويطلب إليه أن يقدم تحديثاً شفوياً عن حالة حقوق الإنسان في بوروندي إلى مجلس حقوق الإنسان في دورته الثانية والستين، وأن يقدم أيضاً تقريراً شاملاً عن ذلك إلى المجلس في دورته الثالثة والستين وإلى الجمعية العامة في دورتها الحادية والثمانين؛</w:t>
      </w:r>
    </w:p>
    <w:p w14:paraId="2B223842" w14:textId="77777777" w:rsidR="009C1DAD" w:rsidRPr="00D24DE1" w:rsidRDefault="009C1DAD" w:rsidP="009C1DAD">
      <w:pPr>
        <w:pStyle w:val="SingleTxtGA"/>
        <w:rPr>
          <w:rFonts w:eastAsiaTheme="minorEastAsia"/>
          <w:lang w:eastAsia="zh-TW"/>
        </w:rPr>
      </w:pPr>
      <w:r w:rsidRPr="00D24DE1">
        <w:rPr>
          <w:rFonts w:eastAsiaTheme="minorEastAsia"/>
          <w:rtl/>
        </w:rPr>
        <w:tab/>
        <w:t>12-</w:t>
      </w:r>
      <w:r w:rsidRPr="00D24DE1">
        <w:rPr>
          <w:rFonts w:eastAsiaTheme="minorEastAsia"/>
          <w:rtl/>
        </w:rPr>
        <w:tab/>
      </w:r>
      <w:r w:rsidRPr="00D24DE1">
        <w:rPr>
          <w:rFonts w:eastAsiaTheme="minorEastAsia"/>
          <w:i/>
          <w:iCs/>
          <w:rtl/>
        </w:rPr>
        <w:t>يحث</w:t>
      </w:r>
      <w:r w:rsidRPr="00D24DE1">
        <w:rPr>
          <w:rFonts w:eastAsiaTheme="minorEastAsia"/>
          <w:rtl/>
        </w:rPr>
        <w:t xml:space="preserve"> حكومة بوروندي على التعاون التام مع المقرر الخاص، بطرق منها السماح له</w:t>
      </w:r>
      <w:r w:rsidRPr="00D24DE1">
        <w:rPr>
          <w:rFonts w:eastAsiaTheme="minorEastAsia" w:hint="cs"/>
          <w:rtl/>
        </w:rPr>
        <w:t> </w:t>
      </w:r>
      <w:r w:rsidRPr="00D24DE1">
        <w:rPr>
          <w:rFonts w:eastAsiaTheme="minorEastAsia"/>
          <w:rtl/>
        </w:rPr>
        <w:t>بالوصول إلى البلد من دون عوائق، وتزويده بجميع المعلومات اللازمة لأداء ولايته على نحو سليم، وتيسير المبادلات البناءة والتآزر مع اللجنة الوطنية المستقلة لحقوق الإنسان، تماشياً مع الالتزامات العلنية التي تعهدت بها الإدارة الحالية فيما يتعلق بالنهوض بحقوق الإنسان وإعادة جسور التواصل مع المجتمع</w:t>
      </w:r>
      <w:r w:rsidRPr="00D24DE1">
        <w:rPr>
          <w:rFonts w:eastAsiaTheme="minorEastAsia" w:hint="cs"/>
          <w:rtl/>
        </w:rPr>
        <w:t> </w:t>
      </w:r>
      <w:r w:rsidRPr="00D24DE1">
        <w:rPr>
          <w:rFonts w:eastAsiaTheme="minorEastAsia"/>
          <w:rtl/>
        </w:rPr>
        <w:t>الدولي؛</w:t>
      </w:r>
    </w:p>
    <w:p w14:paraId="5AD510FB" w14:textId="77777777" w:rsidR="009C1DAD" w:rsidRPr="00D24DE1" w:rsidRDefault="009C1DAD" w:rsidP="009C1DAD">
      <w:pPr>
        <w:pStyle w:val="SingleTxtGA"/>
        <w:rPr>
          <w:rFonts w:eastAsiaTheme="minorEastAsia"/>
          <w:lang w:eastAsia="zh-TW"/>
        </w:rPr>
      </w:pPr>
      <w:r w:rsidRPr="00D24DE1">
        <w:rPr>
          <w:rFonts w:eastAsiaTheme="minorEastAsia"/>
          <w:rtl/>
        </w:rPr>
        <w:tab/>
        <w:t>13-</w:t>
      </w:r>
      <w:r w:rsidRPr="00D24DE1">
        <w:rPr>
          <w:rFonts w:eastAsiaTheme="minorEastAsia"/>
          <w:rtl/>
        </w:rPr>
        <w:tab/>
      </w:r>
      <w:r w:rsidRPr="00D24DE1">
        <w:rPr>
          <w:rFonts w:eastAsiaTheme="minorEastAsia"/>
          <w:i/>
          <w:iCs/>
          <w:rtl/>
        </w:rPr>
        <w:t>يحث</w:t>
      </w:r>
      <w:r w:rsidRPr="00D24DE1">
        <w:rPr>
          <w:rFonts w:eastAsiaTheme="minorEastAsia"/>
          <w:rtl/>
        </w:rPr>
        <w:t xml:space="preserve"> حكومة بوروندي </w:t>
      </w:r>
      <w:r w:rsidRPr="00D24DE1">
        <w:rPr>
          <w:rFonts w:eastAsiaTheme="minorEastAsia"/>
          <w:i/>
          <w:iCs/>
          <w:rtl/>
        </w:rPr>
        <w:t>أيضاً</w:t>
      </w:r>
      <w:r w:rsidRPr="00D24DE1">
        <w:rPr>
          <w:rFonts w:eastAsiaTheme="minorEastAsia"/>
          <w:rtl/>
        </w:rPr>
        <w:t xml:space="preserve"> على التعاون البناء مع مفوضية الأمم المتحدة السامية لحقوق الإنسان، ولا سيما مكتبها الإقليمي لوسط أفريقيا، وعلى تقديم جدول زمني لإعادة فتح المكتب القطري للمفوضية السامية في بوروندي، وعلى مواصلة التعاون مع فريق الأمم المتحدة القطري في بوروندي؛</w:t>
      </w:r>
    </w:p>
    <w:p w14:paraId="3AF95CF1" w14:textId="77777777" w:rsidR="009C1DAD" w:rsidRPr="00D24DE1" w:rsidRDefault="009C1DAD" w:rsidP="009C1DAD">
      <w:pPr>
        <w:pStyle w:val="SingleTxtGA"/>
        <w:rPr>
          <w:rFonts w:eastAsiaTheme="minorEastAsia"/>
          <w:lang w:eastAsia="zh-TW"/>
        </w:rPr>
      </w:pPr>
      <w:r w:rsidRPr="00D24DE1">
        <w:rPr>
          <w:rFonts w:eastAsiaTheme="minorEastAsia"/>
          <w:rtl/>
        </w:rPr>
        <w:tab/>
        <w:t>14-</w:t>
      </w:r>
      <w:r w:rsidRPr="00D24DE1">
        <w:rPr>
          <w:rFonts w:eastAsiaTheme="minorEastAsia"/>
          <w:rtl/>
        </w:rPr>
        <w:tab/>
      </w:r>
      <w:r w:rsidRPr="00D24DE1">
        <w:rPr>
          <w:rFonts w:eastAsiaTheme="minorEastAsia"/>
          <w:i/>
          <w:iCs/>
          <w:rtl/>
        </w:rPr>
        <w:t>يطلب</w:t>
      </w:r>
      <w:r w:rsidRPr="00D24DE1">
        <w:rPr>
          <w:rFonts w:eastAsiaTheme="minorEastAsia"/>
          <w:rtl/>
        </w:rPr>
        <w:t xml:space="preserve"> إلى الأمين العام أن يزود المقرر الخاص بالمساعدة وجميع الموارد اللازمة للاضطلاع بولايته بجميع مهامها، على النحو المبين في قرار مجلس حقوق الإنسان </w:t>
      </w:r>
      <w:hyperlink r:id="rId21" w:history="1">
        <w:r w:rsidRPr="00D24DE1">
          <w:rPr>
            <w:rStyle w:val="Hyperlink"/>
            <w:rFonts w:eastAsiaTheme="minorEastAsia"/>
            <w:rtl/>
          </w:rPr>
          <w:t>48/16</w:t>
        </w:r>
      </w:hyperlink>
      <w:r w:rsidRPr="00D24DE1">
        <w:rPr>
          <w:rFonts w:eastAsiaTheme="minorEastAsia"/>
          <w:rtl/>
        </w:rPr>
        <w:t>؛</w:t>
      </w:r>
    </w:p>
    <w:p w14:paraId="0B6F4CFD" w14:textId="77777777" w:rsidR="009C1DAD" w:rsidRPr="00D24DE1" w:rsidRDefault="009C1DAD" w:rsidP="009C1DAD">
      <w:pPr>
        <w:pStyle w:val="SingleTxtGA"/>
        <w:rPr>
          <w:rFonts w:eastAsiaTheme="minorEastAsia"/>
          <w:rtl/>
        </w:rPr>
      </w:pPr>
      <w:r w:rsidRPr="00D24DE1">
        <w:rPr>
          <w:rFonts w:eastAsiaTheme="minorEastAsia"/>
          <w:rtl/>
        </w:rPr>
        <w:tab/>
        <w:t>15-</w:t>
      </w:r>
      <w:r w:rsidRPr="00D24DE1">
        <w:rPr>
          <w:rFonts w:eastAsiaTheme="minorEastAsia"/>
          <w:i/>
          <w:iCs/>
          <w:rtl/>
        </w:rPr>
        <w:tab/>
        <w:t>يقرر</w:t>
      </w:r>
      <w:r w:rsidRPr="00D24DE1">
        <w:rPr>
          <w:rFonts w:eastAsiaTheme="minorEastAsia"/>
          <w:rtl/>
        </w:rPr>
        <w:t xml:space="preserve"> أن يبقي المسألة قيد نظره.</w:t>
      </w:r>
    </w:p>
    <w:p w14:paraId="47E94BAB" w14:textId="77777777" w:rsidR="009C1DAD" w:rsidRPr="00D24DE1" w:rsidRDefault="009C1DAD" w:rsidP="009C1DAD">
      <w:pPr>
        <w:pStyle w:val="SingleTxtGA"/>
        <w:spacing w:after="0"/>
        <w:jc w:val="right"/>
        <w:rPr>
          <w:i/>
          <w:iCs/>
          <w:rtl/>
          <w:lang w:eastAsia="zh-TW"/>
        </w:rPr>
      </w:pPr>
      <w:r w:rsidRPr="00D24DE1">
        <w:rPr>
          <w:rFonts w:hint="cs"/>
          <w:i/>
          <w:iCs/>
          <w:rtl/>
          <w:lang w:eastAsia="zh-TW"/>
        </w:rPr>
        <w:t>ا</w:t>
      </w:r>
      <w:r w:rsidRPr="00D24DE1">
        <w:rPr>
          <w:i/>
          <w:iCs/>
          <w:rtl/>
          <w:lang w:eastAsia="zh-TW"/>
        </w:rPr>
        <w:t>لجلسة</w:t>
      </w:r>
      <w:r w:rsidRPr="00D24DE1">
        <w:rPr>
          <w:rFonts w:hint="cs"/>
          <w:i/>
          <w:iCs/>
          <w:rtl/>
          <w:lang w:eastAsia="zh-TW"/>
        </w:rPr>
        <w:t xml:space="preserve"> 42</w:t>
      </w:r>
    </w:p>
    <w:p w14:paraId="5C08BD14" w14:textId="77777777" w:rsidR="009C1DAD" w:rsidRPr="00D24DE1" w:rsidRDefault="009C1DAD" w:rsidP="009C1DAD">
      <w:pPr>
        <w:pStyle w:val="SingleTxtGA"/>
        <w:jc w:val="right"/>
        <w:rPr>
          <w:i/>
          <w:iCs/>
          <w:rtl/>
          <w:lang w:eastAsia="zh-TW"/>
        </w:rPr>
      </w:pPr>
      <w:r w:rsidRPr="00D24DE1">
        <w:rPr>
          <w:rFonts w:hint="cs"/>
          <w:i/>
          <w:iCs/>
          <w:rtl/>
          <w:lang w:eastAsia="zh-TW"/>
        </w:rPr>
        <w:t>6 تشرين الأول/أكتوبر 2025</w:t>
      </w:r>
    </w:p>
    <w:p w14:paraId="564A9FED" w14:textId="36A65B5D" w:rsidR="009C1DAD" w:rsidRPr="00D24DE1" w:rsidRDefault="009C1DAD" w:rsidP="009C1DAD">
      <w:pPr>
        <w:pStyle w:val="SingleTxtGA"/>
        <w:rPr>
          <w:rtl/>
          <w:lang w:eastAsia="zh-TW"/>
        </w:rPr>
      </w:pPr>
      <w:r w:rsidRPr="00D24DE1">
        <w:rPr>
          <w:rtl/>
          <w:lang w:eastAsia="zh-TW"/>
        </w:rPr>
        <w:t xml:space="preserve">[اعتُمد بتصويت مسجل بأغلبية </w:t>
      </w:r>
      <w:r w:rsidRPr="00D24DE1">
        <w:rPr>
          <w:rFonts w:hint="cs"/>
          <w:rtl/>
          <w:lang w:eastAsia="zh-TW"/>
        </w:rPr>
        <w:t>23</w:t>
      </w:r>
      <w:r w:rsidRPr="00D24DE1">
        <w:rPr>
          <w:rtl/>
          <w:lang w:eastAsia="zh-TW"/>
        </w:rPr>
        <w:t xml:space="preserve"> صوتا</w:t>
      </w:r>
      <w:r w:rsidR="00E87BD3" w:rsidRPr="00D24DE1">
        <w:rPr>
          <w:rFonts w:hint="cs"/>
          <w:rtl/>
          <w:lang w:eastAsia="zh-TW"/>
        </w:rPr>
        <w:t>ً</w:t>
      </w:r>
      <w:r w:rsidRPr="00D24DE1">
        <w:rPr>
          <w:rtl/>
          <w:lang w:eastAsia="zh-TW"/>
        </w:rPr>
        <w:t xml:space="preserve"> مقابل </w:t>
      </w:r>
      <w:r w:rsidRPr="00D24DE1">
        <w:rPr>
          <w:rFonts w:hint="cs"/>
          <w:rtl/>
          <w:lang w:eastAsia="zh-TW"/>
        </w:rPr>
        <w:t>9 أ</w:t>
      </w:r>
      <w:r w:rsidRPr="00D24DE1">
        <w:rPr>
          <w:rtl/>
          <w:lang w:eastAsia="zh-TW"/>
        </w:rPr>
        <w:t>صو</w:t>
      </w:r>
      <w:r w:rsidRPr="00D24DE1">
        <w:rPr>
          <w:rFonts w:hint="cs"/>
          <w:rtl/>
          <w:lang w:eastAsia="zh-TW"/>
        </w:rPr>
        <w:t>ا</w:t>
      </w:r>
      <w:r w:rsidRPr="00D24DE1">
        <w:rPr>
          <w:rtl/>
          <w:lang w:eastAsia="zh-TW"/>
        </w:rPr>
        <w:t xml:space="preserve">ت، </w:t>
      </w:r>
      <w:r w:rsidRPr="00D24DE1">
        <w:rPr>
          <w:rFonts w:hint="cs"/>
          <w:rtl/>
          <w:lang w:eastAsia="zh-TW"/>
        </w:rPr>
        <w:t xml:space="preserve">مع </w:t>
      </w:r>
      <w:r w:rsidRPr="00D24DE1">
        <w:rPr>
          <w:rtl/>
          <w:lang w:eastAsia="zh-TW"/>
        </w:rPr>
        <w:t xml:space="preserve">امتناع </w:t>
      </w:r>
      <w:r w:rsidRPr="00D24DE1">
        <w:rPr>
          <w:rFonts w:hint="cs"/>
          <w:rtl/>
          <w:lang w:eastAsia="zh-TW"/>
        </w:rPr>
        <w:t>15 عضو</w:t>
      </w:r>
      <w:r w:rsidR="00E87BD3" w:rsidRPr="00D24DE1">
        <w:rPr>
          <w:rFonts w:hint="cs"/>
          <w:rtl/>
          <w:lang w:eastAsia="zh-TW"/>
        </w:rPr>
        <w:t xml:space="preserve">اً </w:t>
      </w:r>
      <w:r w:rsidRPr="00D24DE1">
        <w:rPr>
          <w:rtl/>
          <w:lang w:eastAsia="zh-TW"/>
        </w:rPr>
        <w:t>عن التصويت. وكانت نتيجة التصويت كما يلي:</w:t>
      </w:r>
    </w:p>
    <w:p w14:paraId="07E62403" w14:textId="77777777" w:rsidR="009C1DAD" w:rsidRPr="00D24DE1" w:rsidRDefault="009C1DAD" w:rsidP="009C1DAD">
      <w:pPr>
        <w:pStyle w:val="SingleTxtGA"/>
        <w:rPr>
          <w:i/>
          <w:iCs/>
          <w:rtl/>
          <w:lang w:eastAsia="zh-TW"/>
        </w:rPr>
      </w:pPr>
      <w:r w:rsidRPr="00D24DE1">
        <w:rPr>
          <w:i/>
          <w:iCs/>
          <w:rtl/>
          <w:lang w:eastAsia="zh-TW"/>
        </w:rPr>
        <w:tab/>
        <w:t>المؤيدون:</w:t>
      </w:r>
    </w:p>
    <w:p w14:paraId="2300438F" w14:textId="77777777" w:rsidR="009C1DAD" w:rsidRPr="00D24DE1" w:rsidRDefault="009C1DAD" w:rsidP="009C1DAD">
      <w:pPr>
        <w:pStyle w:val="SingleTxtGA"/>
        <w:ind w:left="2722"/>
        <w:rPr>
          <w:lang w:val="fr-CH" w:eastAsia="zh-TW"/>
        </w:rPr>
      </w:pPr>
      <w:r w:rsidRPr="00D24DE1">
        <w:rPr>
          <w:rtl/>
          <w:lang w:eastAsia="zh-TW"/>
        </w:rPr>
        <w:t>إسبانيا، ألبانيا، ألمانيا، آيسلندا، البرازيل، بلجيكا، بلغاريا، تشيكيا، جزر مارشال، الجمهورية الدومينيكية، جمهورية كوريا، جورجيا، رومانيا، سويسرا، شيلي، فرنسا، قبرص، كوستاريكا، كولومبيا، مقدونيا الشمالية، المكسيك، هولندا، اليابان</w:t>
      </w:r>
    </w:p>
    <w:p w14:paraId="5C2C8ED4" w14:textId="77777777" w:rsidR="009C1DAD" w:rsidRPr="00D24DE1" w:rsidRDefault="009C1DAD" w:rsidP="009C1DAD">
      <w:pPr>
        <w:pStyle w:val="SingleTxtGA"/>
        <w:rPr>
          <w:i/>
          <w:iCs/>
          <w:rtl/>
          <w:lang w:eastAsia="zh-TW"/>
        </w:rPr>
      </w:pPr>
      <w:r w:rsidRPr="00D24DE1">
        <w:rPr>
          <w:i/>
          <w:iCs/>
          <w:rtl/>
          <w:lang w:eastAsia="zh-TW"/>
        </w:rPr>
        <w:tab/>
        <w:t>المعارضون:</w:t>
      </w:r>
    </w:p>
    <w:p w14:paraId="3470389A" w14:textId="77777777" w:rsidR="009C1DAD" w:rsidRPr="00D24DE1" w:rsidRDefault="009C1DAD" w:rsidP="009C1DAD">
      <w:pPr>
        <w:pStyle w:val="SingleTxtGA"/>
        <w:ind w:left="2722"/>
        <w:rPr>
          <w:rtl/>
          <w:lang w:val="fr-CH" w:eastAsia="zh-TW"/>
        </w:rPr>
      </w:pPr>
      <w:r w:rsidRPr="00D24DE1">
        <w:rPr>
          <w:rtl/>
          <w:lang w:eastAsia="zh-TW"/>
        </w:rPr>
        <w:t>إثيوبيا، بنن، بوروندي، بوليفيا (دولة - المتعددة القوميات)، جمهورية الكونغو الديمقراطية، السودان، الصين، كوبا، المغرب</w:t>
      </w:r>
    </w:p>
    <w:p w14:paraId="503840C3" w14:textId="77777777" w:rsidR="009C1DAD" w:rsidRPr="00D24DE1" w:rsidRDefault="009C1DAD" w:rsidP="009C1DAD">
      <w:pPr>
        <w:pStyle w:val="SingleTxtGA"/>
        <w:rPr>
          <w:i/>
          <w:iCs/>
          <w:rtl/>
          <w:lang w:eastAsia="zh-TW"/>
        </w:rPr>
      </w:pPr>
      <w:r w:rsidRPr="00D24DE1">
        <w:rPr>
          <w:i/>
          <w:iCs/>
          <w:rtl/>
          <w:lang w:eastAsia="zh-TW"/>
        </w:rPr>
        <w:tab/>
        <w:t>الممتنعون عن التصويت:</w:t>
      </w:r>
    </w:p>
    <w:p w14:paraId="19196A5C" w14:textId="77777777" w:rsidR="009C1DAD" w:rsidRPr="00D24DE1" w:rsidRDefault="009C1DAD" w:rsidP="009C1DAD">
      <w:pPr>
        <w:pStyle w:val="SingleTxtGA"/>
        <w:ind w:left="2722"/>
        <w:rPr>
          <w:lang w:val="fr-CH" w:eastAsia="zh-TW"/>
        </w:rPr>
      </w:pPr>
      <w:r w:rsidRPr="00D24DE1">
        <w:rPr>
          <w:rtl/>
          <w:lang w:eastAsia="zh-TW"/>
        </w:rPr>
        <w:t xml:space="preserve">إندونيسيا، بنغلاديش، تايلند، الجزائر، جنوب أفريقيا، غامبيا، غانا، </w:t>
      </w:r>
      <w:proofErr w:type="spellStart"/>
      <w:r w:rsidRPr="00D24DE1">
        <w:rPr>
          <w:rtl/>
          <w:lang w:eastAsia="zh-TW"/>
        </w:rPr>
        <w:t>فييت</w:t>
      </w:r>
      <w:proofErr w:type="spellEnd"/>
      <w:r w:rsidRPr="00D24DE1">
        <w:rPr>
          <w:rtl/>
          <w:lang w:eastAsia="zh-TW"/>
        </w:rPr>
        <w:t xml:space="preserve"> نام، قطر، قيرغيزستان، كوت ديفوار، الكويت، كينيا، ملاوي، ملديف]</w:t>
      </w:r>
    </w:p>
    <w:p w14:paraId="0B200F53" w14:textId="4B700241" w:rsidR="00BB34E9" w:rsidRPr="00442EF6" w:rsidRDefault="009C1DAD" w:rsidP="00442EF6">
      <w:pPr>
        <w:pStyle w:val="SingleTxtGA"/>
        <w:jc w:val="center"/>
        <w:rPr>
          <w:u w:val="single"/>
          <w:lang w:eastAsia="zh-TW"/>
        </w:rPr>
      </w:pPr>
      <w:r w:rsidRPr="00D24DE1">
        <w:rPr>
          <w:u w:val="single"/>
          <w:rtl/>
          <w:lang w:eastAsia="zh-TW"/>
        </w:rPr>
        <w:tab/>
      </w:r>
      <w:r w:rsidRPr="00D24DE1">
        <w:rPr>
          <w:u w:val="single"/>
          <w:rtl/>
          <w:lang w:eastAsia="zh-TW"/>
        </w:rPr>
        <w:tab/>
      </w:r>
      <w:r w:rsidRPr="00D24DE1">
        <w:rPr>
          <w:u w:val="single"/>
          <w:rtl/>
          <w:lang w:eastAsia="zh-TW"/>
        </w:rPr>
        <w:tab/>
      </w:r>
    </w:p>
    <w:sectPr w:rsidR="00BB34E9" w:rsidRPr="00442EF6" w:rsidSect="00795789">
      <w:headerReference w:type="even" r:id="rId22"/>
      <w:headerReference w:type="default" r:id="rId23"/>
      <w:footerReference w:type="even" r:id="rId24"/>
      <w:footerReference w:type="default" r:id="rId25"/>
      <w:headerReference w:type="first" r:id="rId26"/>
      <w:footerReference w:type="first" r:id="rId2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5F375" w14:textId="77777777" w:rsidR="005611A6" w:rsidRPr="002901D9" w:rsidRDefault="005611A6" w:rsidP="00AD3834">
      <w:pPr>
        <w:spacing w:after="60" w:line="240" w:lineRule="auto"/>
        <w:ind w:left="57"/>
        <w:rPr>
          <w:i/>
          <w:iCs/>
        </w:rPr>
      </w:pPr>
      <w:r>
        <w:rPr>
          <w:rFonts w:hint="cs"/>
          <w:i/>
          <w:iCs/>
          <w:rtl/>
        </w:rPr>
        <w:t>الحواشي</w:t>
      </w:r>
    </w:p>
  </w:endnote>
  <w:endnote w:type="continuationSeparator" w:id="0">
    <w:p w14:paraId="00B82222" w14:textId="77777777" w:rsidR="005611A6" w:rsidRDefault="005611A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4A5A" w14:textId="563E3E4F" w:rsidR="00E42514" w:rsidRPr="00E42514" w:rsidRDefault="00E42514" w:rsidP="00E42514">
    <w:pPr>
      <w:pStyle w:val="Footer"/>
      <w:tabs>
        <w:tab w:val="right" w:pos="9638"/>
      </w:tabs>
      <w:rPr>
        <w:b/>
        <w:sz w:val="18"/>
        <w:lang w:val="en-US"/>
      </w:rPr>
    </w:pPr>
    <w:r>
      <w:rPr>
        <w:lang w:val="en-US"/>
      </w:rPr>
      <w:t>GE.25-16043</w:t>
    </w:r>
    <w:r>
      <w:rPr>
        <w:lang w:val="en-US"/>
      </w:rPr>
      <w:tab/>
    </w:r>
    <w:r w:rsidRPr="00E42514">
      <w:rPr>
        <w:b/>
        <w:sz w:val="18"/>
        <w:lang w:val="en-US"/>
      </w:rPr>
      <w:fldChar w:fldCharType="begin"/>
    </w:r>
    <w:r w:rsidRPr="00E42514">
      <w:rPr>
        <w:b/>
        <w:sz w:val="18"/>
        <w:lang w:val="en-US"/>
      </w:rPr>
      <w:instrText xml:space="preserve"> PAGE  \* MERGEFORMAT </w:instrText>
    </w:r>
    <w:r w:rsidRPr="00E42514">
      <w:rPr>
        <w:b/>
        <w:sz w:val="18"/>
        <w:lang w:val="en-US"/>
      </w:rPr>
      <w:fldChar w:fldCharType="separate"/>
    </w:r>
    <w:r w:rsidRPr="00E42514">
      <w:rPr>
        <w:b/>
        <w:noProof/>
        <w:sz w:val="18"/>
        <w:lang w:val="en-US"/>
      </w:rPr>
      <w:t>2</w:t>
    </w:r>
    <w:r w:rsidRPr="00E4251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7ECC9" w14:textId="39EDCE5C" w:rsidR="006959B0" w:rsidRPr="00E42514" w:rsidRDefault="00E42514" w:rsidP="00E4251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GE.25-16043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9CA4" w14:textId="0CDE8A0B" w:rsidR="00FD4BC9" w:rsidRPr="00E42514" w:rsidRDefault="00E42514" w:rsidP="00E4251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0A99824" wp14:editId="18F728C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25-16043 </w:t>
    </w:r>
    <w:r w:rsidR="00442EF6">
      <w:rPr>
        <w:sz w:val="20"/>
        <w:lang w:val="en-US"/>
      </w:rPr>
      <w:t>(</w:t>
    </w:r>
    <w:proofErr w:type="gramStart"/>
    <w:r w:rsidR="00442EF6">
      <w:rPr>
        <w:sz w:val="20"/>
        <w:lang w:val="en-US"/>
      </w:rPr>
      <w:t xml:space="preserve">A)   </w:t>
    </w:r>
    <w:proofErr w:type="gramEnd"/>
    <w:r w:rsidR="00442EF6">
      <w:rPr>
        <w:sz w:val="20"/>
        <w:lang w:val="en-US"/>
      </w:rPr>
      <w:t xml:space="preserve"> 081025    091025</w:t>
    </w:r>
    <w:r>
      <w:rPr>
        <w:noProof/>
        <w:sz w:val="20"/>
        <w:lang w:val="en-US"/>
      </w:rPr>
      <w:drawing>
        <wp:anchor distT="0" distB="0" distL="114300" distR="114300" simplePos="0" relativeHeight="251659264" behindDoc="0" locked="0" layoutInCell="1" allowOverlap="1" wp14:anchorId="5D54649B" wp14:editId="44EC17B2">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CA306" w14:textId="77777777" w:rsidR="005611A6" w:rsidRPr="00A350CC" w:rsidRDefault="005611A6"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9914E8F" w14:textId="77777777" w:rsidR="005611A6" w:rsidRDefault="005611A6" w:rsidP="00656392">
      <w:pPr>
        <w:spacing w:line="240" w:lineRule="auto"/>
      </w:pPr>
      <w:r>
        <w:continuationSeparator/>
      </w:r>
    </w:p>
  </w:footnote>
  <w:footnote w:id="1">
    <w:p w14:paraId="717DA2F0" w14:textId="77777777" w:rsidR="009C1DAD" w:rsidRPr="00D24DE1" w:rsidRDefault="009C1DAD" w:rsidP="009C1DAD">
      <w:pPr>
        <w:pStyle w:val="FootnoteText1"/>
        <w:textDirection w:val="tbRlV"/>
        <w:rPr>
          <w:lang w:eastAsia="zh-TW"/>
        </w:rPr>
      </w:pPr>
      <w:r w:rsidRPr="00D24DE1">
        <w:rPr>
          <w:rtl/>
        </w:rPr>
        <w:t>(</w:t>
      </w:r>
      <w:r w:rsidRPr="00D24DE1">
        <w:rPr>
          <w:rStyle w:val="FootnoteReference"/>
          <w:vertAlign w:val="baseline"/>
        </w:rPr>
        <w:footnoteRef/>
      </w:r>
      <w:r w:rsidRPr="00D24DE1">
        <w:rPr>
          <w:rtl/>
        </w:rPr>
        <w:t>)</w:t>
      </w:r>
      <w:r w:rsidRPr="00D24DE1">
        <w:rPr>
          <w:rtl/>
        </w:rPr>
        <w:tab/>
      </w:r>
      <w:hyperlink r:id="rId1" w:history="1">
        <w:r w:rsidRPr="00D24DE1">
          <w:rPr>
            <w:rStyle w:val="Hyperlink"/>
          </w:rPr>
          <w:t>A/HRC/60/60</w:t>
        </w:r>
      </w:hyperlink>
      <w:r w:rsidRPr="00D24DE1">
        <w:rPr>
          <w:rtl/>
        </w:rPr>
        <w:t>.</w:t>
      </w:r>
    </w:p>
  </w:footnote>
  <w:footnote w:id="2">
    <w:p w14:paraId="7BE0C925" w14:textId="77777777" w:rsidR="009C1DAD" w:rsidRPr="00D24DE1" w:rsidRDefault="009C1DAD" w:rsidP="009C1DAD">
      <w:pPr>
        <w:pStyle w:val="FootnoteText1"/>
        <w:textDirection w:val="tbRlV"/>
        <w:rPr>
          <w:lang w:eastAsia="zh-TW"/>
        </w:rPr>
      </w:pPr>
      <w:r w:rsidRPr="00D24DE1">
        <w:rPr>
          <w:rtl/>
        </w:rPr>
        <w:t>(</w:t>
      </w:r>
      <w:r w:rsidRPr="00D24DE1">
        <w:rPr>
          <w:rStyle w:val="FootnoteReference"/>
          <w:vertAlign w:val="baseline"/>
        </w:rPr>
        <w:footnoteRef/>
      </w:r>
      <w:r w:rsidRPr="00D24DE1">
        <w:rPr>
          <w:rtl/>
        </w:rPr>
        <w:t>)</w:t>
      </w:r>
      <w:r w:rsidRPr="00D24DE1">
        <w:rPr>
          <w:rtl/>
        </w:rPr>
        <w:tab/>
      </w:r>
      <w:hyperlink r:id="rId2" w:history="1">
        <w:r w:rsidRPr="00D24DE1">
          <w:rPr>
            <w:rStyle w:val="Hyperlink"/>
          </w:rPr>
          <w:t>A/HRC/54/56</w:t>
        </w:r>
      </w:hyperlink>
      <w:r w:rsidRPr="00D24DE1">
        <w:rPr>
          <w:rtl/>
        </w:rPr>
        <w:t>.</w:t>
      </w:r>
    </w:p>
  </w:footnote>
  <w:footnote w:id="3">
    <w:p w14:paraId="7991894C" w14:textId="77777777" w:rsidR="009C1DAD" w:rsidRPr="00D24DE1" w:rsidRDefault="009C1DAD" w:rsidP="009C1DAD">
      <w:pPr>
        <w:pStyle w:val="FootnoteText1"/>
        <w:textDirection w:val="tbRlV"/>
        <w:rPr>
          <w:lang w:eastAsia="zh-TW"/>
        </w:rPr>
      </w:pPr>
      <w:r w:rsidRPr="00D24DE1">
        <w:rPr>
          <w:rtl/>
        </w:rPr>
        <w:t>(</w:t>
      </w:r>
      <w:r w:rsidRPr="00D24DE1">
        <w:rPr>
          <w:rStyle w:val="FootnoteReference"/>
          <w:vertAlign w:val="baseline"/>
        </w:rPr>
        <w:footnoteRef/>
      </w:r>
      <w:r w:rsidRPr="00D24DE1">
        <w:rPr>
          <w:rtl/>
        </w:rPr>
        <w:t>)</w:t>
      </w:r>
      <w:r w:rsidRPr="00D24DE1">
        <w:rPr>
          <w:rtl/>
        </w:rPr>
        <w:tab/>
      </w:r>
      <w:hyperlink r:id="rId3" w:history="1">
        <w:r w:rsidRPr="00D24DE1">
          <w:rPr>
            <w:rStyle w:val="Hyperlink"/>
          </w:rPr>
          <w:t>CERD/C/BDI/11-19</w:t>
        </w:r>
      </w:hyperlink>
      <w:r w:rsidRPr="00D24DE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14456" w14:textId="29A516D3" w:rsidR="00E42514" w:rsidRPr="00E42514" w:rsidRDefault="00E42514" w:rsidP="00E4251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23978">
      <w:t>A/HRC/RES/60/15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83301" w14:textId="11FF10EE" w:rsidR="00E42514" w:rsidRPr="00E42514" w:rsidRDefault="00E42514" w:rsidP="00E4251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23978">
      <w:t>A/HRC/RES/60/15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BFF2D"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1A6"/>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EF6"/>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11A6"/>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252F"/>
    <w:rsid w:val="006E4EFE"/>
    <w:rsid w:val="006E719B"/>
    <w:rsid w:val="0070598D"/>
    <w:rsid w:val="007167D7"/>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95789"/>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1DAD"/>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23978"/>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251A8"/>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E7D7E"/>
    <w:rsid w:val="00CF1758"/>
    <w:rsid w:val="00CF4188"/>
    <w:rsid w:val="00CF4A46"/>
    <w:rsid w:val="00CF4E79"/>
    <w:rsid w:val="00D00159"/>
    <w:rsid w:val="00D01B36"/>
    <w:rsid w:val="00D04F7E"/>
    <w:rsid w:val="00D065CB"/>
    <w:rsid w:val="00D06DC6"/>
    <w:rsid w:val="00D10EF1"/>
    <w:rsid w:val="00D2259D"/>
    <w:rsid w:val="00D24BBE"/>
    <w:rsid w:val="00D24DE1"/>
    <w:rsid w:val="00D35375"/>
    <w:rsid w:val="00D37F4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2677C"/>
    <w:rsid w:val="00E42514"/>
    <w:rsid w:val="00E47F4E"/>
    <w:rsid w:val="00E70E04"/>
    <w:rsid w:val="00E75996"/>
    <w:rsid w:val="00E86C34"/>
    <w:rsid w:val="00E87BD3"/>
    <w:rsid w:val="00EA20A9"/>
    <w:rsid w:val="00EA510B"/>
    <w:rsid w:val="00EB00A4"/>
    <w:rsid w:val="00EB5FCA"/>
    <w:rsid w:val="00EC05A7"/>
    <w:rsid w:val="00EC4B6B"/>
    <w:rsid w:val="00ED7442"/>
    <w:rsid w:val="00EE0B18"/>
    <w:rsid w:val="00EF1EE5"/>
    <w:rsid w:val="00EF4597"/>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E8FF9A7"/>
  <w15:docId w15:val="{052368C5-AA36-45BB-8B43-90DB74D7C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9C1DAD"/>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A/HRC/RES/36/19" TargetMode="External"/><Relationship Id="rId18" Type="http://schemas.openxmlformats.org/officeDocument/2006/relationships/hyperlink" Target="https://undocs.org/ar/A/HRC/RES/51/28"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cs.un.org/ar/A/HRC/RES/48/16" TargetMode="External"/><Relationship Id="rId7" Type="http://schemas.openxmlformats.org/officeDocument/2006/relationships/endnotes" Target="endnotes.xml"/><Relationship Id="rId12" Type="http://schemas.openxmlformats.org/officeDocument/2006/relationships/hyperlink" Target="https://undocs.org/ar/A/HRC/RES/36/2" TargetMode="External"/><Relationship Id="rId17" Type="http://schemas.openxmlformats.org/officeDocument/2006/relationships/hyperlink" Target="https://docs.un.org/ar/A/HRC/RES/48/16"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undocs.org/ar/A/HRC/RES/45/19" TargetMode="External"/><Relationship Id="rId20" Type="http://schemas.openxmlformats.org/officeDocument/2006/relationships/hyperlink" Target="https://docs.un.org/ar/A/HRC/RES/57/2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HRC/RES/33/2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ndocs.org/ar/A/HRC/RES/42/26"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docs.un.org/ar/A/HRC/RES/S-24/1" TargetMode="External"/><Relationship Id="rId19" Type="http://schemas.openxmlformats.org/officeDocument/2006/relationships/hyperlink" Target="https://undocs.org/ar/A/HRC/RES/54/20" TargetMode="External"/><Relationship Id="rId4" Type="http://schemas.openxmlformats.org/officeDocument/2006/relationships/settings" Target="settings.xml"/><Relationship Id="rId9" Type="http://schemas.openxmlformats.org/officeDocument/2006/relationships/hyperlink" Target="https://docs.un.org/ar/A/HRC/RES/30/27" TargetMode="External"/><Relationship Id="rId14" Type="http://schemas.openxmlformats.org/officeDocument/2006/relationships/hyperlink" Target="https://undocs.org/ar/A/HRC/RES/39/14"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ERD/C/BDI/11-19" TargetMode="External"/><Relationship Id="rId2" Type="http://schemas.openxmlformats.org/officeDocument/2006/relationships/hyperlink" Target="https://docs.un.org/ar/A/HRC/54/56" TargetMode="External"/><Relationship Id="rId1" Type="http://schemas.openxmlformats.org/officeDocument/2006/relationships/hyperlink" Target="https://docs.un.org/ar/A/HRC/60/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4</Pages>
  <Words>1437</Words>
  <Characters>7832</Characters>
  <Application>Microsoft Office Word</Application>
  <DocSecurity>0</DocSecurity>
  <Lines>142</Lines>
  <Paragraphs>66</Paragraphs>
  <ScaleCrop>false</ScaleCrop>
  <HeadingPairs>
    <vt:vector size="2" baseType="variant">
      <vt:variant>
        <vt:lpstr>Title</vt:lpstr>
      </vt:variant>
      <vt:variant>
        <vt:i4>1</vt:i4>
      </vt:variant>
    </vt:vector>
  </HeadingPairs>
  <TitlesOfParts>
    <vt:vector size="1" baseType="lpstr">
      <vt:lpstr>A/HRC/RES/60/15</vt:lpstr>
    </vt:vector>
  </TitlesOfParts>
  <Company>DCM</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A/HRC/RES/60/15</dc:title>
  <dc:subject>GE.2516043(A)</dc:subject>
  <dc:creator>Muntaha BUHNAM - Ahmed GHAILAN</dc:creator>
  <cp:keywords>GE.2517168(A)</cp:keywords>
  <dc:description>Distr.: General
7 October 2025
Arabic
Original: English</dc:description>
  <cp:lastModifiedBy>Ibrahim Balan</cp:lastModifiedBy>
  <cp:revision>3</cp:revision>
  <cp:lastPrinted>2025-10-09T06:49:00Z</cp:lastPrinted>
  <dcterms:created xsi:type="dcterms:W3CDTF">2025-10-09T06:49:00Z</dcterms:created>
  <dcterms:modified xsi:type="dcterms:W3CDTF">2025-10-09T06:50:00Z</dcterms:modified>
  <cp:category>Final</cp:category>
</cp:coreProperties>
</file>