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0D4726">
        <w:trPr>
          <w:trHeight w:hRule="exact" w:val="851"/>
        </w:trPr>
        <w:tc>
          <w:tcPr>
            <w:tcW w:w="1280" w:type="dxa"/>
            <w:tcBorders>
              <w:bottom w:val="single" w:sz="4" w:space="0" w:color="auto"/>
            </w:tcBorders>
          </w:tcPr>
          <w:p w:rsidR="00CE1D1C" w:rsidRPr="00F124C6" w:rsidRDefault="00CE1D1C" w:rsidP="000D4726">
            <w:pPr>
              <w:pStyle w:val="H23GC"/>
            </w:pPr>
          </w:p>
        </w:tc>
        <w:tc>
          <w:tcPr>
            <w:tcW w:w="2273" w:type="dxa"/>
            <w:tcBorders>
              <w:bottom w:val="single" w:sz="4" w:space="0" w:color="auto"/>
            </w:tcBorders>
            <w:vAlign w:val="bottom"/>
          </w:tcPr>
          <w:p w:rsidR="00CE1D1C" w:rsidRPr="0050687F" w:rsidRDefault="00CE1D1C" w:rsidP="000D4726">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CE1D1C" w:rsidRPr="007243BE" w:rsidRDefault="007243BE" w:rsidP="000D4726">
            <w:pPr>
              <w:spacing w:line="240" w:lineRule="atLeast"/>
              <w:jc w:val="right"/>
              <w:rPr>
                <w:sz w:val="20"/>
                <w:szCs w:val="21"/>
              </w:rPr>
            </w:pPr>
            <w:r w:rsidRPr="007243BE">
              <w:rPr>
                <w:sz w:val="40"/>
                <w:szCs w:val="21"/>
              </w:rPr>
              <w:t>C</w:t>
            </w:r>
            <w:r w:rsidRPr="007243BE">
              <w:rPr>
                <w:sz w:val="40"/>
                <w:szCs w:val="40"/>
              </w:rPr>
              <w:t>CPR</w:t>
            </w:r>
            <w:r>
              <w:rPr>
                <w:sz w:val="20"/>
                <w:szCs w:val="21"/>
              </w:rPr>
              <w:t>/C/SVN/CO/3</w:t>
            </w:r>
          </w:p>
        </w:tc>
      </w:tr>
      <w:tr w:rsidR="00CE1D1C" w:rsidRPr="00F124C6" w:rsidTr="000D4726">
        <w:trPr>
          <w:trHeight w:hRule="exact" w:val="2835"/>
        </w:trPr>
        <w:tc>
          <w:tcPr>
            <w:tcW w:w="1280" w:type="dxa"/>
            <w:tcBorders>
              <w:top w:val="single" w:sz="4" w:space="0" w:color="auto"/>
              <w:bottom w:val="single" w:sz="12" w:space="0" w:color="auto"/>
            </w:tcBorders>
          </w:tcPr>
          <w:p w:rsidR="00CE1D1C" w:rsidRPr="00F124C6" w:rsidRDefault="00CE1D1C" w:rsidP="000D4726">
            <w:pPr>
              <w:spacing w:line="120" w:lineRule="atLeast"/>
              <w:rPr>
                <w:sz w:val="10"/>
                <w:szCs w:val="10"/>
              </w:rPr>
            </w:pPr>
          </w:p>
          <w:p w:rsidR="00CE1D1C" w:rsidRPr="00F124C6" w:rsidRDefault="00CE1D1C" w:rsidP="000D4726">
            <w:pPr>
              <w:spacing w:line="120" w:lineRule="atLeast"/>
              <w:rPr>
                <w:sz w:val="10"/>
                <w:szCs w:val="10"/>
              </w:rPr>
            </w:pPr>
            <w:r>
              <w:rPr>
                <w:rFonts w:hint="eastAsia"/>
                <w:noProof/>
                <w:snapToGrid/>
              </w:rPr>
              <w:drawing>
                <wp:inline distT="0" distB="0" distL="0" distR="0" wp14:anchorId="2E51D89D" wp14:editId="14EFC8EB">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0D4726">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0D4726">
            <w:pPr>
              <w:spacing w:before="240" w:line="240" w:lineRule="atLeast"/>
              <w:rPr>
                <w:sz w:val="20"/>
              </w:rPr>
            </w:pPr>
            <w:r w:rsidRPr="00F124C6">
              <w:rPr>
                <w:sz w:val="20"/>
              </w:rPr>
              <w:t xml:space="preserve">Distr.: </w:t>
            </w:r>
            <w:r w:rsidR="007243BE" w:rsidRPr="007243BE">
              <w:rPr>
                <w:sz w:val="20"/>
              </w:rPr>
              <w:t>General</w:t>
            </w:r>
          </w:p>
          <w:p w:rsidR="00CE1D1C" w:rsidRPr="00F124C6" w:rsidRDefault="007243BE" w:rsidP="000D4726">
            <w:pPr>
              <w:spacing w:line="240" w:lineRule="atLeast"/>
              <w:rPr>
                <w:sz w:val="20"/>
              </w:rPr>
            </w:pPr>
            <w:r w:rsidRPr="007243BE">
              <w:rPr>
                <w:sz w:val="20"/>
              </w:rPr>
              <w:t>21 April 2016</w:t>
            </w:r>
          </w:p>
          <w:p w:rsidR="00CE1D1C" w:rsidRPr="00F124C6" w:rsidRDefault="00CE1D1C" w:rsidP="000D4726">
            <w:pPr>
              <w:spacing w:line="240" w:lineRule="atLeast"/>
              <w:rPr>
                <w:sz w:val="20"/>
              </w:rPr>
            </w:pPr>
            <w:r w:rsidRPr="00F124C6">
              <w:rPr>
                <w:sz w:val="20"/>
              </w:rPr>
              <w:t xml:space="preserve">Chinese </w:t>
            </w:r>
          </w:p>
          <w:p w:rsidR="00CE1D1C" w:rsidRPr="00F124C6" w:rsidRDefault="00CE1D1C" w:rsidP="000D4726">
            <w:pPr>
              <w:spacing w:line="240" w:lineRule="atLeast"/>
            </w:pPr>
            <w:r w:rsidRPr="00F124C6">
              <w:rPr>
                <w:sz w:val="20"/>
              </w:rPr>
              <w:t>Original: English</w:t>
            </w:r>
          </w:p>
        </w:tc>
      </w:tr>
    </w:tbl>
    <w:p w:rsidR="00A47C53" w:rsidRDefault="00A47C53" w:rsidP="00771504">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A47C53" w:rsidRDefault="00A47C53" w:rsidP="00A47C53">
      <w:pPr>
        <w:pStyle w:val="HChGC"/>
      </w:pPr>
      <w:r>
        <w:rPr>
          <w:rFonts w:hint="eastAsia"/>
        </w:rPr>
        <w:tab/>
      </w:r>
      <w:r>
        <w:rPr>
          <w:rFonts w:hint="eastAsia"/>
        </w:rPr>
        <w:tab/>
      </w:r>
      <w:r>
        <w:rPr>
          <w:rFonts w:hint="eastAsia"/>
        </w:rPr>
        <w:t>关于斯洛文尼亚第三次定期报告的结论性意见</w:t>
      </w:r>
      <w:r w:rsidRPr="00B06EBD">
        <w:footnoteReference w:customMarkFollows="1" w:id="2"/>
        <w:t>*</w:t>
      </w:r>
    </w:p>
    <w:p w:rsidR="00A47C53" w:rsidRDefault="00A47C53" w:rsidP="00A47C53">
      <w:pPr>
        <w:pStyle w:val="SingleTxtGC"/>
      </w:pPr>
      <w:r>
        <w:rPr>
          <w:rFonts w:hint="eastAsia"/>
        </w:rPr>
        <w:t xml:space="preserve">1.  </w:t>
      </w:r>
      <w:r>
        <w:rPr>
          <w:rFonts w:hint="eastAsia"/>
        </w:rPr>
        <w:t>委员会在</w:t>
      </w:r>
      <w:r>
        <w:rPr>
          <w:rFonts w:hint="eastAsia"/>
        </w:rPr>
        <w:t>2016</w:t>
      </w:r>
      <w:r>
        <w:rPr>
          <w:rFonts w:hint="eastAsia"/>
        </w:rPr>
        <w:t>年</w:t>
      </w:r>
      <w:r>
        <w:rPr>
          <w:rFonts w:hint="eastAsia"/>
        </w:rPr>
        <w:t>3</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3246</w:t>
      </w:r>
      <w:r>
        <w:rPr>
          <w:rFonts w:hint="eastAsia"/>
        </w:rPr>
        <w:t>次和</w:t>
      </w:r>
      <w:r>
        <w:rPr>
          <w:rFonts w:hint="eastAsia"/>
        </w:rPr>
        <w:t>3247</w:t>
      </w:r>
      <w:r>
        <w:rPr>
          <w:rFonts w:hint="eastAsia"/>
        </w:rPr>
        <w:t>次会议</w:t>
      </w:r>
      <w:r>
        <w:rPr>
          <w:rFonts w:hint="eastAsia"/>
        </w:rPr>
        <w:t>(CCPR/C/SR.3246</w:t>
      </w:r>
      <w:r>
        <w:rPr>
          <w:rFonts w:hint="eastAsia"/>
        </w:rPr>
        <w:t>和</w:t>
      </w:r>
      <w:r>
        <w:rPr>
          <w:rFonts w:hint="eastAsia"/>
        </w:rPr>
        <w:t>3247)</w:t>
      </w:r>
      <w:r>
        <w:rPr>
          <w:rFonts w:hint="eastAsia"/>
        </w:rPr>
        <w:t>上审议了斯洛文尼亚的第三次定期报告</w:t>
      </w:r>
      <w:r>
        <w:rPr>
          <w:rFonts w:hint="eastAsia"/>
        </w:rPr>
        <w:t>(CCPR/C/SVN/3)</w:t>
      </w:r>
      <w:r>
        <w:rPr>
          <w:rFonts w:hint="eastAsia"/>
        </w:rPr>
        <w:t>，并在</w:t>
      </w:r>
      <w:r>
        <w:rPr>
          <w:rFonts w:hint="eastAsia"/>
        </w:rPr>
        <w:t>2016</w:t>
      </w:r>
      <w:r>
        <w:rPr>
          <w:rFonts w:hint="eastAsia"/>
        </w:rPr>
        <w:t>年</w:t>
      </w:r>
      <w:r>
        <w:rPr>
          <w:rFonts w:hint="eastAsia"/>
        </w:rPr>
        <w:t>3</w:t>
      </w:r>
      <w:r>
        <w:rPr>
          <w:rFonts w:hint="eastAsia"/>
        </w:rPr>
        <w:t>月</w:t>
      </w:r>
      <w:r>
        <w:rPr>
          <w:rFonts w:hint="eastAsia"/>
        </w:rPr>
        <w:t>24</w:t>
      </w:r>
      <w:r>
        <w:rPr>
          <w:rFonts w:hint="eastAsia"/>
        </w:rPr>
        <w:t>日举行的第</w:t>
      </w:r>
      <w:r>
        <w:rPr>
          <w:rFonts w:hint="eastAsia"/>
        </w:rPr>
        <w:t>3259</w:t>
      </w:r>
      <w:r>
        <w:rPr>
          <w:rFonts w:hint="eastAsia"/>
        </w:rPr>
        <w:t>次会议上通过了本结论性意见。</w:t>
      </w:r>
    </w:p>
    <w:p w:rsidR="00A47C53" w:rsidRDefault="00A47C53" w:rsidP="00A47C53">
      <w:pPr>
        <w:pStyle w:val="H1GC"/>
      </w:pPr>
      <w:r>
        <w:rPr>
          <w:rFonts w:hint="eastAsia"/>
        </w:rPr>
        <w:tab/>
        <w:t>A.</w:t>
      </w:r>
      <w:r>
        <w:rPr>
          <w:rFonts w:hint="eastAsia"/>
        </w:rPr>
        <w:tab/>
      </w:r>
      <w:r>
        <w:rPr>
          <w:rFonts w:hint="eastAsia"/>
        </w:rPr>
        <w:t>导言</w:t>
      </w:r>
    </w:p>
    <w:p w:rsidR="00A47C53" w:rsidRDefault="00A47C53" w:rsidP="00A47C53">
      <w:pPr>
        <w:pStyle w:val="SingleTxtGC"/>
      </w:pPr>
      <w:r>
        <w:rPr>
          <w:rFonts w:hint="eastAsia"/>
        </w:rPr>
        <w:t xml:space="preserve">2.  </w:t>
      </w:r>
      <w:r>
        <w:rPr>
          <w:rFonts w:hint="eastAsia"/>
        </w:rPr>
        <w:t>委员会对斯洛文尼亚提交了第三次定期报告</w:t>
      </w:r>
      <w:r w:rsidR="00B06EBD" w:rsidRPr="005F780A">
        <w:rPr>
          <w:rFonts w:hint="eastAsia"/>
          <w:snapToGrid/>
          <w:spacing w:val="-50"/>
          <w:sz w:val="20"/>
          <w:lang w:val="en-GB"/>
        </w:rPr>
        <w:t>―</w:t>
      </w:r>
      <w:r w:rsidR="00B06EBD" w:rsidRPr="005F780A">
        <w:rPr>
          <w:rFonts w:hint="eastAsia"/>
          <w:snapToGrid/>
          <w:sz w:val="20"/>
          <w:lang w:val="en-GB"/>
        </w:rPr>
        <w:t>―</w:t>
      </w:r>
      <w:r>
        <w:rPr>
          <w:rFonts w:hint="eastAsia"/>
        </w:rPr>
        <w:t>虽然晚了四年</w:t>
      </w:r>
      <w:r w:rsidR="00B06EBD" w:rsidRPr="005F780A">
        <w:rPr>
          <w:rFonts w:hint="eastAsia"/>
          <w:snapToGrid/>
          <w:spacing w:val="-50"/>
          <w:sz w:val="20"/>
          <w:lang w:val="en-GB"/>
        </w:rPr>
        <w:t>―</w:t>
      </w:r>
      <w:r w:rsidR="00B06EBD" w:rsidRPr="005F780A">
        <w:rPr>
          <w:rFonts w:hint="eastAsia"/>
          <w:snapToGrid/>
          <w:sz w:val="20"/>
          <w:lang w:val="en-GB"/>
        </w:rPr>
        <w:t>―</w:t>
      </w:r>
      <w:r>
        <w:rPr>
          <w:rFonts w:hint="eastAsia"/>
        </w:rPr>
        <w:t>以及其中所载的资料表示欢迎，并对有机会再次与该缔约国代表团就报告期内为执行《公约》条款所采取的措施进行建设性对话表示赞赏。委员会感谢缔约国代表团对问题清单</w:t>
      </w:r>
      <w:r>
        <w:rPr>
          <w:rFonts w:hint="eastAsia"/>
        </w:rPr>
        <w:t>(CCPR/C/SVN/Q/3)</w:t>
      </w:r>
      <w:r>
        <w:rPr>
          <w:rFonts w:hint="eastAsia"/>
        </w:rPr>
        <w:t>提供了书面答复</w:t>
      </w:r>
      <w:r>
        <w:rPr>
          <w:rFonts w:hint="eastAsia"/>
        </w:rPr>
        <w:t>(CCPR/C/SVN/Q/3/Add.1)</w:t>
      </w:r>
      <w:r>
        <w:rPr>
          <w:rFonts w:hint="eastAsia"/>
        </w:rPr>
        <w:t>并由该国代表团作了口头补充。</w:t>
      </w:r>
    </w:p>
    <w:p w:rsidR="00A47C53" w:rsidRDefault="00A47C53" w:rsidP="00A47C53">
      <w:pPr>
        <w:pStyle w:val="H1GC"/>
      </w:pPr>
      <w:r>
        <w:rPr>
          <w:rFonts w:hint="eastAsia"/>
        </w:rPr>
        <w:tab/>
        <w:t>B.</w:t>
      </w:r>
      <w:r>
        <w:rPr>
          <w:rFonts w:hint="eastAsia"/>
        </w:rPr>
        <w:tab/>
      </w:r>
      <w:r>
        <w:rPr>
          <w:rFonts w:hint="eastAsia"/>
        </w:rPr>
        <w:t>积极方面</w:t>
      </w:r>
    </w:p>
    <w:p w:rsidR="00A47C53" w:rsidRDefault="00A47C53" w:rsidP="00A47C53">
      <w:pPr>
        <w:pStyle w:val="SingleTxtGC"/>
      </w:pPr>
      <w:r>
        <w:rPr>
          <w:rFonts w:hint="eastAsia"/>
        </w:rPr>
        <w:t xml:space="preserve">3.  </w:t>
      </w:r>
      <w:r>
        <w:rPr>
          <w:rFonts w:hint="eastAsia"/>
        </w:rPr>
        <w:t>委员会欢迎缔约国采取的以下立法和体制措施：</w:t>
      </w:r>
    </w:p>
    <w:p w:rsidR="00A47C53" w:rsidRDefault="00A47C53" w:rsidP="00A47C53">
      <w:pPr>
        <w:pStyle w:val="SingleTxtGC"/>
      </w:pPr>
      <w:r>
        <w:rPr>
          <w:rFonts w:hint="eastAsia"/>
        </w:rPr>
        <w:tab/>
        <w:t>(a)</w:t>
      </w:r>
      <w:r>
        <w:rPr>
          <w:rFonts w:hint="eastAsia"/>
        </w:rPr>
        <w:tab/>
      </w:r>
      <w:r>
        <w:rPr>
          <w:rFonts w:hint="eastAsia"/>
        </w:rPr>
        <w:t>于</w:t>
      </w:r>
      <w:r>
        <w:rPr>
          <w:rFonts w:hint="eastAsia"/>
        </w:rPr>
        <w:t>2015</w:t>
      </w:r>
      <w:r>
        <w:rPr>
          <w:rFonts w:hint="eastAsia"/>
        </w:rPr>
        <w:t>年修订了刑法，其中规定盯梢是刑事犯罪</w:t>
      </w:r>
      <w:r>
        <w:rPr>
          <w:rFonts w:hint="eastAsia"/>
        </w:rPr>
        <w:t>(</w:t>
      </w:r>
      <w:r>
        <w:rPr>
          <w:rFonts w:hint="eastAsia"/>
        </w:rPr>
        <w:t>包括使用电子通信手段进行盯梢</w:t>
      </w:r>
      <w:r>
        <w:rPr>
          <w:rFonts w:hint="eastAsia"/>
        </w:rPr>
        <w:t>)</w:t>
      </w:r>
      <w:r>
        <w:rPr>
          <w:rFonts w:hint="eastAsia"/>
        </w:rPr>
        <w:t>，确定了在犯有泄露公共利益机密资料罪的情况下赔偿责任的部分排除标准，以及将强迫婚姻或其他类似婚姻的联姻列为一种新的犯罪；</w:t>
      </w:r>
    </w:p>
    <w:p w:rsidR="00A47C53" w:rsidRDefault="00A47C53" w:rsidP="00A47C53">
      <w:pPr>
        <w:pStyle w:val="SingleTxtGC"/>
      </w:pPr>
      <w:r>
        <w:rPr>
          <w:rFonts w:hint="eastAsia"/>
        </w:rPr>
        <w:tab/>
        <w:t>(b)</w:t>
      </w:r>
      <w:r>
        <w:rPr>
          <w:rFonts w:hint="eastAsia"/>
        </w:rPr>
        <w:tab/>
      </w:r>
      <w:r>
        <w:rPr>
          <w:rFonts w:hint="eastAsia"/>
        </w:rPr>
        <w:t>于</w:t>
      </w:r>
      <w:r>
        <w:rPr>
          <w:rFonts w:hint="eastAsia"/>
        </w:rPr>
        <w:t>2015</w:t>
      </w:r>
      <w:r>
        <w:rPr>
          <w:rFonts w:hint="eastAsia"/>
        </w:rPr>
        <w:t>年修订了刑事制裁法执行措施，以确保对拘留条件差的指称作出更有效的反应；</w:t>
      </w:r>
    </w:p>
    <w:p w:rsidR="00A47C53" w:rsidRDefault="00A47C53" w:rsidP="00A47C53">
      <w:pPr>
        <w:pStyle w:val="SingleTxtGC"/>
      </w:pPr>
      <w:r>
        <w:rPr>
          <w:rFonts w:hint="eastAsia"/>
        </w:rPr>
        <w:lastRenderedPageBreak/>
        <w:tab/>
        <w:t>(c)</w:t>
      </w:r>
      <w:r>
        <w:rPr>
          <w:rFonts w:hint="eastAsia"/>
        </w:rPr>
        <w:tab/>
      </w:r>
      <w:r>
        <w:rPr>
          <w:rFonts w:hint="eastAsia"/>
        </w:rPr>
        <w:t>通过了</w:t>
      </w:r>
      <w:r>
        <w:rPr>
          <w:rFonts w:hint="eastAsia"/>
        </w:rPr>
        <w:t>2015-2020</w:t>
      </w:r>
      <w:r>
        <w:rPr>
          <w:rFonts w:hint="eastAsia"/>
        </w:rPr>
        <w:t>年男女机会平等新的国家方案，以改善妇女的处境；</w:t>
      </w:r>
    </w:p>
    <w:p w:rsidR="00A47C53" w:rsidRDefault="00A47C53" w:rsidP="00A47C53">
      <w:pPr>
        <w:pStyle w:val="SingleTxtGC"/>
      </w:pPr>
      <w:r>
        <w:rPr>
          <w:rFonts w:hint="eastAsia"/>
        </w:rPr>
        <w:tab/>
        <w:t>(d)</w:t>
      </w:r>
      <w:r>
        <w:rPr>
          <w:rFonts w:hint="eastAsia"/>
        </w:rPr>
        <w:tab/>
      </w:r>
      <w:r>
        <w:rPr>
          <w:rFonts w:hint="eastAsia"/>
        </w:rPr>
        <w:t>通过了</w:t>
      </w:r>
      <w:r>
        <w:rPr>
          <w:rFonts w:hint="eastAsia"/>
        </w:rPr>
        <w:t>2010-2015</w:t>
      </w:r>
      <w:r>
        <w:rPr>
          <w:rFonts w:hint="eastAsia"/>
        </w:rPr>
        <w:t>年罗姆人措施国家方案，以及在该方案下为增进罗姆人社区权能所采取的举措。</w:t>
      </w:r>
    </w:p>
    <w:p w:rsidR="00A47C53" w:rsidRDefault="00A47C53" w:rsidP="00A47C53">
      <w:pPr>
        <w:pStyle w:val="SingleTxtGC"/>
      </w:pPr>
      <w:r>
        <w:rPr>
          <w:rFonts w:hint="eastAsia"/>
        </w:rPr>
        <w:t xml:space="preserve">4.  </w:t>
      </w:r>
      <w:r>
        <w:rPr>
          <w:rFonts w:hint="eastAsia"/>
        </w:rPr>
        <w:t>委员会还对缔约国提供信息介绍国家法院援引和应用《公约》条款的实例表示欢迎。</w:t>
      </w:r>
    </w:p>
    <w:p w:rsidR="00A47C53" w:rsidRDefault="00A47C53" w:rsidP="00A47C53">
      <w:pPr>
        <w:pStyle w:val="H1GC"/>
      </w:pPr>
      <w:r>
        <w:rPr>
          <w:rFonts w:hint="eastAsia"/>
        </w:rPr>
        <w:tab/>
        <w:t>C.</w:t>
      </w:r>
      <w:r>
        <w:rPr>
          <w:rFonts w:hint="eastAsia"/>
        </w:rPr>
        <w:tab/>
      </w:r>
      <w:r>
        <w:rPr>
          <w:rFonts w:hint="eastAsia"/>
        </w:rPr>
        <w:t>主要关切事项和建议</w:t>
      </w:r>
    </w:p>
    <w:p w:rsidR="00A47C53" w:rsidRDefault="00A47C53" w:rsidP="00A47C53">
      <w:pPr>
        <w:pStyle w:val="H23GC"/>
      </w:pPr>
      <w:r>
        <w:rPr>
          <w:rFonts w:hint="eastAsia"/>
        </w:rPr>
        <w:tab/>
      </w:r>
      <w:r>
        <w:rPr>
          <w:rFonts w:hint="eastAsia"/>
        </w:rPr>
        <w:tab/>
      </w:r>
      <w:r>
        <w:rPr>
          <w:rFonts w:hint="eastAsia"/>
        </w:rPr>
        <w:t>国家人权机构</w:t>
      </w:r>
    </w:p>
    <w:p w:rsidR="00A47C53" w:rsidRDefault="00A47C53" w:rsidP="00A47C53">
      <w:pPr>
        <w:pStyle w:val="SingleTxtGC"/>
      </w:pPr>
      <w:r>
        <w:rPr>
          <w:rFonts w:hint="eastAsia"/>
        </w:rPr>
        <w:t xml:space="preserve">5.  </w:t>
      </w:r>
      <w:r>
        <w:rPr>
          <w:rFonts w:hint="eastAsia"/>
        </w:rPr>
        <w:t>委员会欢迎斯洛文尼亚人权监察专员为保护《公约》所载各项权利所做的工作，包括发挥国家酷刑预防机制的作用，但感到遗憾的是监察专员还不是根据《关于增进和保护人权的国家机构地位的原则</w:t>
      </w:r>
      <w:r>
        <w:rPr>
          <w:rFonts w:hint="eastAsia"/>
        </w:rPr>
        <w:t>(</w:t>
      </w:r>
      <w:r>
        <w:rPr>
          <w:rFonts w:hint="eastAsia"/>
        </w:rPr>
        <w:t>《巴黎原则》</w:t>
      </w:r>
      <w:r>
        <w:rPr>
          <w:rFonts w:hint="eastAsia"/>
        </w:rPr>
        <w:t>)</w:t>
      </w:r>
      <w:r>
        <w:rPr>
          <w:rFonts w:hint="eastAsia"/>
        </w:rPr>
        <w:t>》设立的国家人权机构，并缺乏充足的资金</w:t>
      </w:r>
      <w:r>
        <w:rPr>
          <w:rFonts w:hint="eastAsia"/>
        </w:rPr>
        <w:t>(</w:t>
      </w:r>
      <w:r>
        <w:rPr>
          <w:rFonts w:hint="eastAsia"/>
        </w:rPr>
        <w:t>第</w:t>
      </w:r>
      <w:r>
        <w:rPr>
          <w:rFonts w:hint="eastAsia"/>
        </w:rPr>
        <w:t>2</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6.  </w:t>
      </w:r>
      <w:r w:rsidRPr="00A47C53">
        <w:rPr>
          <w:rFonts w:ascii="SimHei" w:eastAsia="SimHei" w:hAnsi="SimHei" w:hint="eastAsia"/>
        </w:rPr>
        <w:t>缔约国应采取措施根据《巴黎原则》设立一个具有基础广泛的人权授权的、全面运作的独立的国家人权机构，并配置充足的财政和人力资源。</w:t>
      </w:r>
    </w:p>
    <w:p w:rsidR="00A47C53" w:rsidRDefault="00A47C53" w:rsidP="00A47C53">
      <w:pPr>
        <w:pStyle w:val="H23GC"/>
      </w:pPr>
      <w:r>
        <w:rPr>
          <w:rFonts w:hint="eastAsia"/>
        </w:rPr>
        <w:tab/>
      </w:r>
      <w:r>
        <w:rPr>
          <w:rFonts w:hint="eastAsia"/>
        </w:rPr>
        <w:tab/>
      </w:r>
      <w:r>
        <w:rPr>
          <w:rFonts w:hint="eastAsia"/>
        </w:rPr>
        <w:t>种族主义和仇外心理，包括仇恨言论</w:t>
      </w:r>
    </w:p>
    <w:p w:rsidR="00A47C53" w:rsidRDefault="00A47C53" w:rsidP="00A47C53">
      <w:pPr>
        <w:pStyle w:val="SingleTxtGC"/>
      </w:pPr>
      <w:r>
        <w:rPr>
          <w:rFonts w:hint="eastAsia"/>
        </w:rPr>
        <w:t xml:space="preserve">7.  </w:t>
      </w:r>
      <w:r>
        <w:rPr>
          <w:rFonts w:hint="eastAsia"/>
        </w:rPr>
        <w:t>委员会注意到为禁止仇恨言论所采取的立法措施，但同时对于政治人物对少数群体的人们</w:t>
      </w:r>
      <w:r>
        <w:rPr>
          <w:rFonts w:hint="eastAsia"/>
        </w:rPr>
        <w:t>(</w:t>
      </w:r>
      <w:r>
        <w:rPr>
          <w:rFonts w:hint="eastAsia"/>
        </w:rPr>
        <w:t>包括移民和难民</w:t>
      </w:r>
      <w:r>
        <w:rPr>
          <w:rFonts w:hint="eastAsia"/>
        </w:rPr>
        <w:t>)</w:t>
      </w:r>
      <w:r>
        <w:rPr>
          <w:rFonts w:hint="eastAsia"/>
        </w:rPr>
        <w:t>使用种族主义和仇外言论感到关切。委员会还对互联网</w:t>
      </w:r>
      <w:r>
        <w:rPr>
          <w:rFonts w:hint="eastAsia"/>
        </w:rPr>
        <w:t>(</w:t>
      </w:r>
      <w:r>
        <w:rPr>
          <w:rFonts w:hint="eastAsia"/>
        </w:rPr>
        <w:t>包括在线论坛</w:t>
      </w:r>
      <w:r>
        <w:rPr>
          <w:rFonts w:hint="eastAsia"/>
        </w:rPr>
        <w:t>)</w:t>
      </w:r>
      <w:r>
        <w:rPr>
          <w:rFonts w:hint="eastAsia"/>
        </w:rPr>
        <w:t>上仇恨言论呈上升趋势表示担忧，特别是针对移民、罗姆人、女同性恋、男同性恋、双性恋者、跨性别者以及穆斯林的仇恨言论。委员会对种族歧视案件的报告率和法律应对率</w:t>
      </w:r>
      <w:r>
        <w:rPr>
          <w:rFonts w:hint="eastAsia"/>
        </w:rPr>
        <w:t>(</w:t>
      </w:r>
      <w:r>
        <w:rPr>
          <w:rFonts w:hint="eastAsia"/>
        </w:rPr>
        <w:t>包括起诉参与等于煽动敌对或暴力行动的严重仇恨言论案件的人</w:t>
      </w:r>
      <w:r>
        <w:rPr>
          <w:rFonts w:hint="eastAsia"/>
        </w:rPr>
        <w:t>)</w:t>
      </w:r>
      <w:r>
        <w:rPr>
          <w:rFonts w:hint="eastAsia"/>
        </w:rPr>
        <w:t>偏低表示遗憾</w:t>
      </w:r>
      <w:r>
        <w:rPr>
          <w:rFonts w:hint="eastAsia"/>
        </w:rPr>
        <w:t>(</w:t>
      </w:r>
      <w:r>
        <w:rPr>
          <w:rFonts w:hint="eastAsia"/>
        </w:rPr>
        <w:t>第</w:t>
      </w:r>
      <w:r>
        <w:rPr>
          <w:rFonts w:hint="eastAsia"/>
        </w:rPr>
        <w:t>2</w:t>
      </w:r>
      <w:r>
        <w:rPr>
          <w:rFonts w:hint="eastAsia"/>
        </w:rPr>
        <w:t>、</w:t>
      </w:r>
      <w:r>
        <w:rPr>
          <w:rFonts w:hint="eastAsia"/>
        </w:rPr>
        <w:t>18</w:t>
      </w:r>
      <w:r>
        <w:rPr>
          <w:rFonts w:hint="eastAsia"/>
        </w:rPr>
        <w:t>、</w:t>
      </w:r>
      <w:r>
        <w:rPr>
          <w:rFonts w:hint="eastAsia"/>
        </w:rPr>
        <w:t>20</w:t>
      </w:r>
      <w:r>
        <w:rPr>
          <w:rFonts w:hint="eastAsia"/>
        </w:rPr>
        <w:t>和</w:t>
      </w:r>
      <w:r>
        <w:rPr>
          <w:rFonts w:hint="eastAsia"/>
        </w:rPr>
        <w:t>26</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8.  </w:t>
      </w:r>
      <w:r w:rsidRPr="00A47C53">
        <w:rPr>
          <w:rFonts w:ascii="SimHei" w:eastAsia="SimHei" w:hAnsi="SimHei" w:hint="eastAsia"/>
        </w:rPr>
        <w:t>缔约国应加大力度防止和根除一切形式的种族主义和仇外心理，包括通过以下措施：</w:t>
      </w:r>
    </w:p>
    <w:p w:rsidR="00A47C53" w:rsidRPr="00A47C53" w:rsidRDefault="00A47C53" w:rsidP="00A47C53">
      <w:pPr>
        <w:pStyle w:val="SingleTxtGC"/>
        <w:rPr>
          <w:rFonts w:ascii="SimHei" w:eastAsia="SimHei" w:hAnsi="SimHei"/>
        </w:rPr>
      </w:pPr>
      <w:r>
        <w:rPr>
          <w:rFonts w:hint="eastAsia"/>
        </w:rPr>
        <w:tab/>
        <w:t>(a)</w:t>
      </w:r>
      <w:r>
        <w:rPr>
          <w:rFonts w:hint="eastAsia"/>
        </w:rPr>
        <w:tab/>
      </w:r>
      <w:r w:rsidRPr="00A47C53">
        <w:rPr>
          <w:rFonts w:ascii="SimHei" w:eastAsia="SimHei" w:hAnsi="SimHei" w:hint="eastAsia"/>
        </w:rPr>
        <w:t>设立一个独立有效的机构应对歧视案件，并为此改革平等原则倡导机构；</w:t>
      </w:r>
    </w:p>
    <w:p w:rsidR="00A47C53" w:rsidRDefault="00A47C53" w:rsidP="00A47C53">
      <w:pPr>
        <w:pStyle w:val="SingleTxtGC"/>
      </w:pPr>
      <w:r>
        <w:rPr>
          <w:rFonts w:hint="eastAsia"/>
        </w:rPr>
        <w:tab/>
        <w:t>(b)</w:t>
      </w:r>
      <w:r>
        <w:rPr>
          <w:rFonts w:hint="eastAsia"/>
        </w:rPr>
        <w:tab/>
      </w:r>
      <w:r w:rsidRPr="00A47C53">
        <w:rPr>
          <w:rFonts w:ascii="SimHei" w:eastAsia="SimHei" w:hAnsi="SimHei" w:hint="eastAsia"/>
        </w:rPr>
        <w:t>与民间社会代表协商通过一项关于防止和消除歧视的明确战略；</w:t>
      </w:r>
    </w:p>
    <w:p w:rsidR="00A47C53" w:rsidRPr="00A47C53" w:rsidRDefault="00A47C53" w:rsidP="00A47C53">
      <w:pPr>
        <w:pStyle w:val="SingleTxtGC"/>
        <w:rPr>
          <w:rFonts w:ascii="SimHei" w:eastAsia="SimHei" w:hAnsi="SimHei"/>
        </w:rPr>
      </w:pPr>
      <w:r>
        <w:rPr>
          <w:rFonts w:hint="eastAsia"/>
        </w:rPr>
        <w:tab/>
        <w:t>(c)</w:t>
      </w:r>
      <w:r>
        <w:rPr>
          <w:rFonts w:hint="eastAsia"/>
        </w:rPr>
        <w:tab/>
      </w:r>
      <w:r w:rsidRPr="00A47C53">
        <w:rPr>
          <w:rFonts w:ascii="SimHei" w:eastAsia="SimHei" w:hAnsi="SimHei" w:hint="eastAsia"/>
        </w:rPr>
        <w:t>确保歧视受害人有便捷的手段获得透明有效的法律补救，并改进种族歧视案件的报告和法律应对做法，包括起诉参与等于煽动敌对或暴力行动的严重仇恨言论案件的人；</w:t>
      </w:r>
    </w:p>
    <w:p w:rsidR="00A47C53" w:rsidRDefault="00A47C53" w:rsidP="00A47C53">
      <w:pPr>
        <w:pStyle w:val="SingleTxtGC"/>
      </w:pPr>
      <w:r>
        <w:rPr>
          <w:rFonts w:hint="eastAsia"/>
        </w:rPr>
        <w:tab/>
        <w:t>(d)</w:t>
      </w:r>
      <w:r>
        <w:rPr>
          <w:rFonts w:hint="eastAsia"/>
        </w:rPr>
        <w:tab/>
      </w:r>
      <w:r w:rsidRPr="00A47C53">
        <w:rPr>
          <w:rFonts w:ascii="SimHei" w:eastAsia="SimHei" w:hAnsi="SimHei" w:hint="eastAsia"/>
        </w:rPr>
        <w:t>谴责种族歧视并开展宣传运动以便促进对人权的尊重和对多样性的容忍，以及提高对仇恨言论是法律所禁止的这一事实的认识。</w:t>
      </w:r>
    </w:p>
    <w:p w:rsidR="00A47C53" w:rsidRDefault="00A47C53" w:rsidP="00A47C53">
      <w:pPr>
        <w:pStyle w:val="H23GC"/>
      </w:pPr>
      <w:r>
        <w:rPr>
          <w:rFonts w:hint="eastAsia"/>
        </w:rPr>
        <w:lastRenderedPageBreak/>
        <w:tab/>
      </w:r>
      <w:r>
        <w:rPr>
          <w:rFonts w:hint="eastAsia"/>
        </w:rPr>
        <w:tab/>
      </w:r>
      <w:r>
        <w:rPr>
          <w:rFonts w:hint="eastAsia"/>
        </w:rPr>
        <w:t>基于性取向和性别特征的歧视</w:t>
      </w:r>
    </w:p>
    <w:p w:rsidR="00A47C53" w:rsidRDefault="00A47C53" w:rsidP="00A47C53">
      <w:pPr>
        <w:pStyle w:val="SingleTxtGC"/>
      </w:pPr>
      <w:r>
        <w:rPr>
          <w:rFonts w:hint="eastAsia"/>
        </w:rPr>
        <w:t xml:space="preserve">9.  </w:t>
      </w:r>
      <w:r>
        <w:rPr>
          <w:rFonts w:hint="eastAsia"/>
        </w:rPr>
        <w:t>委员会赞许缔约国做出努力确保女同性恋、男同性恋、双性恋者、跨性别者享有国内法律所规定的平等权利，但与此同时，对于婚姻和家庭关系法的修订案给予同性夫妇在平等的基础上继承、获得生殖治疗和领养孩子的权利须服从</w:t>
      </w:r>
      <w:r>
        <w:rPr>
          <w:rFonts w:hint="eastAsia"/>
        </w:rPr>
        <w:t>2015</w:t>
      </w:r>
      <w:r>
        <w:rPr>
          <w:rFonts w:hint="eastAsia"/>
        </w:rPr>
        <w:t>年</w:t>
      </w:r>
      <w:r>
        <w:rPr>
          <w:rFonts w:hint="eastAsia"/>
        </w:rPr>
        <w:t>12</w:t>
      </w:r>
      <w:r>
        <w:rPr>
          <w:rFonts w:hint="eastAsia"/>
        </w:rPr>
        <w:t>月全民公投并已被拒绝</w:t>
      </w:r>
      <w:r w:rsidRPr="005F780A">
        <w:rPr>
          <w:rFonts w:hint="eastAsia"/>
          <w:snapToGrid/>
          <w:spacing w:val="-50"/>
          <w:sz w:val="20"/>
          <w:lang w:val="en-GB"/>
        </w:rPr>
        <w:t>―</w:t>
      </w:r>
      <w:r w:rsidRPr="005F780A">
        <w:rPr>
          <w:rFonts w:hint="eastAsia"/>
          <w:snapToGrid/>
          <w:sz w:val="20"/>
          <w:lang w:val="en-GB"/>
        </w:rPr>
        <w:t>―</w:t>
      </w:r>
      <w:r>
        <w:rPr>
          <w:rFonts w:hint="eastAsia"/>
        </w:rPr>
        <w:t>虽然《宪法》规定与此相反</w:t>
      </w:r>
      <w:r w:rsidRPr="005F780A">
        <w:rPr>
          <w:rFonts w:hint="eastAsia"/>
          <w:snapToGrid/>
          <w:spacing w:val="-50"/>
          <w:sz w:val="20"/>
          <w:lang w:val="en-GB"/>
        </w:rPr>
        <w:t>―</w:t>
      </w:r>
      <w:r w:rsidRPr="005F780A">
        <w:rPr>
          <w:rFonts w:hint="eastAsia"/>
          <w:snapToGrid/>
          <w:sz w:val="20"/>
          <w:lang w:val="en-GB"/>
        </w:rPr>
        <w:t>―</w:t>
      </w:r>
      <w:r>
        <w:rPr>
          <w:rFonts w:hint="eastAsia"/>
        </w:rPr>
        <w:t>表示遗憾</w:t>
      </w:r>
      <w:r>
        <w:rPr>
          <w:rFonts w:hint="eastAsia"/>
        </w:rPr>
        <w:t>(</w:t>
      </w:r>
      <w:r>
        <w:rPr>
          <w:rFonts w:hint="eastAsia"/>
        </w:rPr>
        <w:t>第</w:t>
      </w:r>
      <w:r>
        <w:rPr>
          <w:rFonts w:hint="eastAsia"/>
        </w:rPr>
        <w:t>2</w:t>
      </w:r>
      <w:r>
        <w:rPr>
          <w:rFonts w:hint="eastAsia"/>
        </w:rPr>
        <w:t>和</w:t>
      </w:r>
      <w:r>
        <w:rPr>
          <w:rFonts w:hint="eastAsia"/>
        </w:rPr>
        <w:t>26</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10.  </w:t>
      </w:r>
      <w:r w:rsidRPr="00A47C53">
        <w:rPr>
          <w:rFonts w:ascii="SimHei" w:eastAsia="SimHei" w:hAnsi="SimHei" w:hint="eastAsia"/>
        </w:rPr>
        <w:t>缔约国应确保所有女同性恋、男同性恋、双性恋者、跨性别者在《公约》和《宪法》规定下的平等权利得到保证，并加紧努力与针对这些人的陈腐观念和偏见做斗争，包括与民间社会组织合作开展全国范围的宣传运动。</w:t>
      </w:r>
    </w:p>
    <w:p w:rsidR="00A47C53" w:rsidRDefault="00A47C53" w:rsidP="007B7F57">
      <w:pPr>
        <w:pStyle w:val="H23GC"/>
      </w:pPr>
      <w:r>
        <w:rPr>
          <w:rFonts w:hint="eastAsia"/>
        </w:rPr>
        <w:tab/>
      </w:r>
      <w:r>
        <w:rPr>
          <w:rFonts w:hint="eastAsia"/>
        </w:rPr>
        <w:tab/>
      </w:r>
      <w:r>
        <w:rPr>
          <w:rFonts w:hint="eastAsia"/>
        </w:rPr>
        <w:t>妇女的参与</w:t>
      </w:r>
    </w:p>
    <w:p w:rsidR="00A47C53" w:rsidRDefault="00A47C53" w:rsidP="00A47C53">
      <w:pPr>
        <w:pStyle w:val="SingleTxtGC"/>
      </w:pPr>
      <w:r>
        <w:rPr>
          <w:rFonts w:hint="eastAsia"/>
        </w:rPr>
        <w:t xml:space="preserve">11.  </w:t>
      </w:r>
      <w:r>
        <w:rPr>
          <w:rFonts w:hint="eastAsia"/>
        </w:rPr>
        <w:t>委员会对缔约国采取措施促进性别平等以及随之而来的妇女在公共机构的代表性上升表示欢迎，与此同时，对妇女继续在高级和管理职位以及在私营企业董事会的代表性偏低仍表关切。</w:t>
      </w:r>
      <w:r>
        <w:rPr>
          <w:rFonts w:hint="eastAsia"/>
        </w:rPr>
        <w:t>(</w:t>
      </w:r>
      <w:r>
        <w:rPr>
          <w:rFonts w:hint="eastAsia"/>
        </w:rPr>
        <w:t>第</w:t>
      </w:r>
      <w:r>
        <w:rPr>
          <w:rFonts w:hint="eastAsia"/>
        </w:rPr>
        <w:t>3</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12.  </w:t>
      </w:r>
      <w:r w:rsidRPr="007B7F57">
        <w:rPr>
          <w:rFonts w:ascii="SimHei" w:eastAsia="SimHei" w:hAnsi="SimHei" w:hint="eastAsia"/>
        </w:rPr>
        <w:t>鼓励缔约国进一步支持妇女参加高级和管理职位以及私营企业董事会，包括通过加强与私营部门伙伴的合作和对话来这么做。</w:t>
      </w:r>
    </w:p>
    <w:p w:rsidR="00A47C53" w:rsidRDefault="00A47C53" w:rsidP="007B7F57">
      <w:pPr>
        <w:pStyle w:val="H23GC"/>
      </w:pPr>
      <w:r>
        <w:rPr>
          <w:rFonts w:hint="eastAsia"/>
        </w:rPr>
        <w:tab/>
      </w:r>
      <w:r>
        <w:rPr>
          <w:rFonts w:hint="eastAsia"/>
        </w:rPr>
        <w:tab/>
      </w:r>
      <w:r>
        <w:rPr>
          <w:rFonts w:hint="eastAsia"/>
        </w:rPr>
        <w:t>暴力侵害妇女</w:t>
      </w:r>
    </w:p>
    <w:p w:rsidR="00A47C53" w:rsidRDefault="00A47C53" w:rsidP="00A47C53">
      <w:pPr>
        <w:pStyle w:val="SingleTxtGC"/>
      </w:pPr>
      <w:r>
        <w:rPr>
          <w:rFonts w:hint="eastAsia"/>
        </w:rPr>
        <w:t xml:space="preserve">13.  </w:t>
      </w:r>
      <w:r>
        <w:rPr>
          <w:rFonts w:hint="eastAsia"/>
        </w:rPr>
        <w:t>委员会注意到缔约国为解决暴力侵害妇女问题所采取的措施，与此同时，对家庭暴力发生率高和保护家庭暴力受害人的机制效果有限</w:t>
      </w:r>
      <w:r>
        <w:rPr>
          <w:rFonts w:hint="eastAsia"/>
        </w:rPr>
        <w:t>(</w:t>
      </w:r>
      <w:r>
        <w:rPr>
          <w:rFonts w:hint="eastAsia"/>
        </w:rPr>
        <w:t>包括对被指称的肇事者发出的限制令不执行</w:t>
      </w:r>
      <w:r>
        <w:rPr>
          <w:rFonts w:hint="eastAsia"/>
        </w:rPr>
        <w:t>)</w:t>
      </w:r>
      <w:r>
        <w:rPr>
          <w:rFonts w:hint="eastAsia"/>
        </w:rPr>
        <w:t>的报道表示关切。委员会还对缺乏永久性的机制来协调、监测和评估打击暴力侵害妇女的措施效果表示关切</w:t>
      </w:r>
      <w:r>
        <w:rPr>
          <w:rFonts w:hint="eastAsia"/>
        </w:rPr>
        <w:t>(</w:t>
      </w:r>
      <w:r>
        <w:rPr>
          <w:rFonts w:hint="eastAsia"/>
        </w:rPr>
        <w:t>第</w:t>
      </w:r>
      <w:r>
        <w:rPr>
          <w:rFonts w:hint="eastAsia"/>
        </w:rPr>
        <w:t>3</w:t>
      </w:r>
      <w:r>
        <w:rPr>
          <w:rFonts w:hint="eastAsia"/>
        </w:rPr>
        <w:t>和第</w:t>
      </w:r>
      <w:r>
        <w:rPr>
          <w:rFonts w:hint="eastAsia"/>
        </w:rPr>
        <w:t>7</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14.  </w:t>
      </w:r>
      <w:r w:rsidRPr="007B7F57">
        <w:rPr>
          <w:rFonts w:ascii="SimHei" w:eastAsia="SimHei" w:hAnsi="SimHei" w:hint="eastAsia"/>
        </w:rPr>
        <w:t>缔约国应加大力度预防和打击暴力侵害妇女，包括家庭暴力和性虐待，为此，除其他外，应：</w:t>
      </w:r>
    </w:p>
    <w:p w:rsidR="00A47C53" w:rsidRDefault="00A47C53" w:rsidP="00A47C53">
      <w:pPr>
        <w:pStyle w:val="SingleTxtGC"/>
      </w:pPr>
      <w:r>
        <w:rPr>
          <w:rFonts w:hint="eastAsia"/>
        </w:rPr>
        <w:tab/>
        <w:t>(a)</w:t>
      </w:r>
      <w:r>
        <w:rPr>
          <w:rFonts w:hint="eastAsia"/>
        </w:rPr>
        <w:tab/>
      </w:r>
      <w:r w:rsidRPr="007B7F57">
        <w:rPr>
          <w:rFonts w:ascii="SimHei" w:eastAsia="SimHei" w:hAnsi="SimHei" w:hint="eastAsia"/>
        </w:rPr>
        <w:t>确保受害人能获得有效的补救和保护手段，包括警察保护、充足的紧急庇护所、康复服务、法律援助和其他支助服务；</w:t>
      </w:r>
    </w:p>
    <w:p w:rsidR="00A47C53" w:rsidRPr="007B7F57" w:rsidRDefault="00A47C53" w:rsidP="00A47C53">
      <w:pPr>
        <w:pStyle w:val="SingleTxtGC"/>
        <w:rPr>
          <w:rFonts w:ascii="SimHei" w:eastAsia="SimHei" w:hAnsi="SimHei"/>
        </w:rPr>
      </w:pPr>
      <w:r>
        <w:rPr>
          <w:rFonts w:hint="eastAsia"/>
        </w:rPr>
        <w:tab/>
        <w:t>(b)</w:t>
      </w:r>
      <w:r>
        <w:rPr>
          <w:rFonts w:hint="eastAsia"/>
        </w:rPr>
        <w:tab/>
      </w:r>
      <w:r w:rsidRPr="007B7F57">
        <w:rPr>
          <w:rFonts w:ascii="SimHei" w:eastAsia="SimHei" w:hAnsi="SimHei" w:hint="eastAsia"/>
        </w:rPr>
        <w:t>鼓励报告案件，包括强化相关措施使妇女了解自己的权利以及通过何种法律渠道可以得到保护；</w:t>
      </w:r>
    </w:p>
    <w:p w:rsidR="00A47C53" w:rsidRDefault="00A47C53" w:rsidP="00A47C53">
      <w:pPr>
        <w:pStyle w:val="SingleTxtGC"/>
      </w:pPr>
      <w:r>
        <w:rPr>
          <w:rFonts w:hint="eastAsia"/>
        </w:rPr>
        <w:tab/>
        <w:t>(c)</w:t>
      </w:r>
      <w:r>
        <w:rPr>
          <w:rFonts w:hint="eastAsia"/>
        </w:rPr>
        <w:tab/>
      </w:r>
      <w:r w:rsidRPr="007B7F57">
        <w:rPr>
          <w:rFonts w:ascii="SimHei" w:eastAsia="SimHei" w:hAnsi="SimHei" w:hint="eastAsia"/>
        </w:rPr>
        <w:t>确保所有暴力侵害妇女(包括家庭暴力)的案件都得到彻底调查，肇事者被绳之以法和受到应有的惩罚；</w:t>
      </w:r>
    </w:p>
    <w:p w:rsidR="00A47C53" w:rsidRPr="007B7F57" w:rsidRDefault="00A47C53" w:rsidP="00A47C53">
      <w:pPr>
        <w:pStyle w:val="SingleTxtGC"/>
        <w:rPr>
          <w:rFonts w:ascii="SimHei" w:eastAsia="SimHei" w:hAnsi="SimHei"/>
        </w:rPr>
      </w:pPr>
      <w:r>
        <w:rPr>
          <w:rFonts w:hint="eastAsia"/>
        </w:rPr>
        <w:tab/>
        <w:t>(d)</w:t>
      </w:r>
      <w:r>
        <w:rPr>
          <w:rFonts w:hint="eastAsia"/>
        </w:rPr>
        <w:tab/>
      </w:r>
      <w:r w:rsidRPr="007B7F57">
        <w:rPr>
          <w:rFonts w:ascii="SimHei" w:eastAsia="SimHei" w:hAnsi="SimHei" w:hint="eastAsia"/>
        </w:rPr>
        <w:t>改进暴力侵害妇女(包括家庭暴力和性暴力)案件的投诉、调查、起诉和定罪的数据收集系统，从而使缔约国得以采取有针对性的有效措施打击暴力侵害妇女。</w:t>
      </w:r>
    </w:p>
    <w:p w:rsidR="00A47C53" w:rsidRDefault="00A47C53" w:rsidP="007B7F57">
      <w:pPr>
        <w:pStyle w:val="H23GC"/>
      </w:pPr>
      <w:r>
        <w:rPr>
          <w:rFonts w:hint="eastAsia"/>
        </w:rPr>
        <w:lastRenderedPageBreak/>
        <w:tab/>
      </w:r>
      <w:r>
        <w:rPr>
          <w:rFonts w:hint="eastAsia"/>
        </w:rPr>
        <w:tab/>
      </w:r>
      <w:r>
        <w:rPr>
          <w:rFonts w:hint="eastAsia"/>
        </w:rPr>
        <w:t>寻求庇护者、移民和难民</w:t>
      </w:r>
    </w:p>
    <w:p w:rsidR="00A47C53" w:rsidRDefault="00A47C53" w:rsidP="00A47C53">
      <w:pPr>
        <w:pStyle w:val="SingleTxtGC"/>
      </w:pPr>
      <w:r>
        <w:rPr>
          <w:rFonts w:hint="eastAsia"/>
        </w:rPr>
        <w:t xml:space="preserve">15.  </w:t>
      </w:r>
      <w:r>
        <w:rPr>
          <w:rFonts w:hint="eastAsia"/>
        </w:rPr>
        <w:t>委员会对缔约国为应对最近寻求庇护者和移民大量涌入所采取的措施表示遗憾，其中包括：</w:t>
      </w:r>
      <w:r>
        <w:rPr>
          <w:rFonts w:hint="eastAsia"/>
        </w:rPr>
        <w:t xml:space="preserve">(a) </w:t>
      </w:r>
      <w:r>
        <w:rPr>
          <w:rFonts w:hint="eastAsia"/>
        </w:rPr>
        <w:t>沿着与克罗地亚的边界线建设铁丝网栅栏；</w:t>
      </w:r>
      <w:r>
        <w:rPr>
          <w:rFonts w:hint="eastAsia"/>
        </w:rPr>
        <w:t xml:space="preserve">(b) </w:t>
      </w:r>
      <w:r>
        <w:rPr>
          <w:rFonts w:hint="eastAsia"/>
        </w:rPr>
        <w:t>于</w:t>
      </w:r>
      <w:r>
        <w:rPr>
          <w:rFonts w:hint="eastAsia"/>
        </w:rPr>
        <w:t>2016</w:t>
      </w:r>
      <w:r>
        <w:rPr>
          <w:rFonts w:hint="eastAsia"/>
        </w:rPr>
        <w:t>年</w:t>
      </w:r>
      <w:r>
        <w:rPr>
          <w:rFonts w:hint="eastAsia"/>
        </w:rPr>
        <w:t>2</w:t>
      </w:r>
      <w:r>
        <w:rPr>
          <w:rFonts w:hint="eastAsia"/>
        </w:rPr>
        <w:t>月</w:t>
      </w:r>
      <w:r>
        <w:rPr>
          <w:rFonts w:hint="eastAsia"/>
        </w:rPr>
        <w:t>18</w:t>
      </w:r>
      <w:r>
        <w:rPr>
          <w:rFonts w:hint="eastAsia"/>
        </w:rPr>
        <w:t>日通过了奥地利、斯洛文尼亚、克罗地亚、塞尔维亚和前南斯拉夫的马其顿共和国警务首长联合声明，从而仅根据国籍和身份文件持有情况，而不是根据对相关个人是否需要保护以免被驱回的个别评估，来对入境进行限制；</w:t>
      </w:r>
      <w:r>
        <w:rPr>
          <w:rFonts w:hint="eastAsia"/>
        </w:rPr>
        <w:t xml:space="preserve">(c) </w:t>
      </w:r>
      <w:r>
        <w:rPr>
          <w:rFonts w:hint="eastAsia"/>
        </w:rPr>
        <w:t>修订防务法，以含糊、笼统和缺乏足够的监督、问责和投诉机制的方式赋予武装部队额外的权力，包括控制人群的权力。委员会还担心，议会于</w:t>
      </w:r>
      <w:r>
        <w:rPr>
          <w:rFonts w:hint="eastAsia"/>
        </w:rPr>
        <w:t>2016</w:t>
      </w:r>
      <w:r>
        <w:rPr>
          <w:rFonts w:hint="eastAsia"/>
        </w:rPr>
        <w:t>年</w:t>
      </w:r>
      <w:r>
        <w:rPr>
          <w:rFonts w:hint="eastAsia"/>
        </w:rPr>
        <w:t>3</w:t>
      </w:r>
      <w:r>
        <w:rPr>
          <w:rFonts w:hint="eastAsia"/>
        </w:rPr>
        <w:t>月通过的对国际保护法案的修订可能破坏寻求保护以免被驱回的人的使其庇护申请被有效确定的权利，特别是由于对来自“安全国家”的人的申请处理程序的简化和加快所造成的结果。委员会还对需要法律援助和寻求保护以免被驱回的人不可免费获得法律代理表示关切</w:t>
      </w:r>
      <w:r>
        <w:rPr>
          <w:rFonts w:hint="eastAsia"/>
        </w:rPr>
        <w:t>(</w:t>
      </w:r>
      <w:r>
        <w:rPr>
          <w:rFonts w:hint="eastAsia"/>
        </w:rPr>
        <w:t>第</w:t>
      </w:r>
      <w:r>
        <w:rPr>
          <w:rFonts w:hint="eastAsia"/>
        </w:rPr>
        <w:t>2</w:t>
      </w:r>
      <w:r>
        <w:rPr>
          <w:rFonts w:hint="eastAsia"/>
        </w:rPr>
        <w:t>、</w:t>
      </w:r>
      <w:r>
        <w:rPr>
          <w:rFonts w:hint="eastAsia"/>
        </w:rPr>
        <w:t>6</w:t>
      </w:r>
      <w:r>
        <w:rPr>
          <w:rFonts w:hint="eastAsia"/>
        </w:rPr>
        <w:t>、</w:t>
      </w:r>
      <w:r>
        <w:rPr>
          <w:rFonts w:hint="eastAsia"/>
        </w:rPr>
        <w:t>7</w:t>
      </w:r>
      <w:r>
        <w:rPr>
          <w:rFonts w:hint="eastAsia"/>
        </w:rPr>
        <w:t>、</w:t>
      </w:r>
      <w:r>
        <w:rPr>
          <w:rFonts w:hint="eastAsia"/>
        </w:rPr>
        <w:t>13</w:t>
      </w:r>
      <w:r>
        <w:rPr>
          <w:rFonts w:hint="eastAsia"/>
        </w:rPr>
        <w:t>和</w:t>
      </w:r>
      <w:r>
        <w:rPr>
          <w:rFonts w:hint="eastAsia"/>
        </w:rPr>
        <w:t>26</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16.  </w:t>
      </w:r>
      <w:r w:rsidRPr="007B7F57">
        <w:rPr>
          <w:rFonts w:ascii="SimHei" w:eastAsia="SimHei" w:hAnsi="SimHei" w:hint="eastAsia"/>
        </w:rPr>
        <w:t>缔约国应：</w:t>
      </w:r>
    </w:p>
    <w:p w:rsidR="00A47C53" w:rsidRPr="007B7F57" w:rsidRDefault="00A47C53" w:rsidP="00A47C53">
      <w:pPr>
        <w:pStyle w:val="SingleTxtGC"/>
        <w:rPr>
          <w:rFonts w:ascii="SimHei" w:eastAsia="SimHei" w:hAnsi="SimHei"/>
        </w:rPr>
      </w:pPr>
      <w:r>
        <w:rPr>
          <w:rFonts w:hint="eastAsia"/>
        </w:rPr>
        <w:tab/>
        <w:t>(a)</w:t>
      </w:r>
      <w:r>
        <w:rPr>
          <w:rFonts w:hint="eastAsia"/>
        </w:rPr>
        <w:tab/>
      </w:r>
      <w:r w:rsidRPr="007B7F57">
        <w:rPr>
          <w:rFonts w:ascii="SimHei" w:eastAsia="SimHei" w:hAnsi="SimHei" w:hint="eastAsia"/>
        </w:rPr>
        <w:t>确保对寻求庇护者和移民大量涌入的任何应对措施均符合其《公约》义务，并定期审查所采取的措施的必要性和适度性；</w:t>
      </w:r>
    </w:p>
    <w:p w:rsidR="00A47C53" w:rsidRDefault="00A47C53" w:rsidP="00A47C53">
      <w:pPr>
        <w:pStyle w:val="SingleTxtGC"/>
      </w:pPr>
      <w:r>
        <w:rPr>
          <w:rFonts w:hint="eastAsia"/>
        </w:rPr>
        <w:tab/>
        <w:t>(b)</w:t>
      </w:r>
      <w:r>
        <w:rPr>
          <w:rFonts w:hint="eastAsia"/>
        </w:rPr>
        <w:tab/>
      </w:r>
      <w:r w:rsidRPr="007B7F57">
        <w:rPr>
          <w:rFonts w:ascii="SimHei" w:eastAsia="SimHei" w:hAnsi="SimHei" w:hint="eastAsia"/>
        </w:rPr>
        <w:t>采取有效步骤允许需要国际保护的人进入相关国际保护程序，并确保缔约国采取的任何措施，包括与双边和区域协定相关的措施，不因原籍国、抵达国或过境国而有任何歧视；</w:t>
      </w:r>
    </w:p>
    <w:p w:rsidR="00A47C53" w:rsidRPr="007B7F57" w:rsidRDefault="00A47C53" w:rsidP="00A47C53">
      <w:pPr>
        <w:pStyle w:val="SingleTxtGC"/>
        <w:rPr>
          <w:rFonts w:ascii="SimHei" w:eastAsia="SimHei" w:hAnsi="SimHei"/>
        </w:rPr>
      </w:pPr>
      <w:r>
        <w:rPr>
          <w:rFonts w:hint="eastAsia"/>
        </w:rPr>
        <w:tab/>
        <w:t>(c)</w:t>
      </w:r>
      <w:r>
        <w:rPr>
          <w:rFonts w:hint="eastAsia"/>
        </w:rPr>
        <w:tab/>
      </w:r>
      <w:r w:rsidRPr="007B7F57">
        <w:rPr>
          <w:rFonts w:ascii="SimHei" w:eastAsia="SimHei" w:hAnsi="SimHei" w:hint="eastAsia"/>
        </w:rPr>
        <w:t>确保国际保护程序允许由具备法律专门知识的训练有素的专业人员根据每个个案的情况进行个别的评估；</w:t>
      </w:r>
    </w:p>
    <w:p w:rsidR="00A47C53" w:rsidRDefault="00A47C53" w:rsidP="00A47C53">
      <w:pPr>
        <w:pStyle w:val="SingleTxtGC"/>
      </w:pPr>
      <w:r>
        <w:rPr>
          <w:rFonts w:hint="eastAsia"/>
        </w:rPr>
        <w:tab/>
        <w:t>(d)</w:t>
      </w:r>
      <w:r>
        <w:rPr>
          <w:rFonts w:hint="eastAsia"/>
        </w:rPr>
        <w:tab/>
      </w:r>
      <w:r w:rsidRPr="007B7F57">
        <w:rPr>
          <w:rFonts w:ascii="SimHei" w:eastAsia="SimHei" w:hAnsi="SimHei" w:hint="eastAsia"/>
        </w:rPr>
        <w:t>确保在请求国际保护的整个程序的自始至终都可系统地获得质量有充分保障的法律代理；</w:t>
      </w:r>
    </w:p>
    <w:p w:rsidR="00A47C53" w:rsidRPr="007B7F57" w:rsidRDefault="00A47C53" w:rsidP="00A47C53">
      <w:pPr>
        <w:pStyle w:val="SingleTxtGC"/>
        <w:rPr>
          <w:rFonts w:ascii="SimHei" w:eastAsia="SimHei" w:hAnsi="SimHei"/>
        </w:rPr>
      </w:pPr>
      <w:r>
        <w:rPr>
          <w:rFonts w:hint="eastAsia"/>
        </w:rPr>
        <w:tab/>
        <w:t>(e)</w:t>
      </w:r>
      <w:r>
        <w:rPr>
          <w:rFonts w:hint="eastAsia"/>
        </w:rPr>
        <w:tab/>
      </w:r>
      <w:r w:rsidRPr="007B7F57">
        <w:rPr>
          <w:rFonts w:ascii="SimHei" w:eastAsia="SimHei" w:hAnsi="SimHei" w:hint="eastAsia"/>
        </w:rPr>
        <w:t>确保充分尊重不驱回原则；</w:t>
      </w:r>
    </w:p>
    <w:p w:rsidR="00A47C53" w:rsidRDefault="00A47C53" w:rsidP="00A47C53">
      <w:pPr>
        <w:pStyle w:val="SingleTxtGC"/>
      </w:pPr>
      <w:r>
        <w:rPr>
          <w:rFonts w:hint="eastAsia"/>
        </w:rPr>
        <w:tab/>
        <w:t>(f)</w:t>
      </w:r>
      <w:r>
        <w:rPr>
          <w:rFonts w:hint="eastAsia"/>
        </w:rPr>
        <w:tab/>
      </w:r>
      <w:r w:rsidRPr="007B7F57">
        <w:rPr>
          <w:rFonts w:ascii="SimHei" w:eastAsia="SimHei" w:hAnsi="SimHei" w:hint="eastAsia"/>
        </w:rPr>
        <w:t>考虑采取步骤为国际保护受益者的家庭团聚过程提供便利。</w:t>
      </w:r>
    </w:p>
    <w:p w:rsidR="00A47C53" w:rsidRDefault="00A47C53" w:rsidP="00A47C53">
      <w:pPr>
        <w:pStyle w:val="SingleTxtGC"/>
      </w:pPr>
      <w:r>
        <w:rPr>
          <w:rFonts w:hint="eastAsia"/>
        </w:rPr>
        <w:t xml:space="preserve">17.  </w:t>
      </w:r>
      <w:r>
        <w:rPr>
          <w:rFonts w:hint="eastAsia"/>
        </w:rPr>
        <w:t>委员会感到遗憾的是缔约国提供的资料中缺乏关于难民营和庇护所的一般状况的信息，特别是鉴于在布雷齐策和多博瓦有体温过低、得不到包括食品和药品在内的基本必需品、过分拥挤和卫生条件糟糕等情况的报告</w:t>
      </w:r>
      <w:r>
        <w:rPr>
          <w:rFonts w:hint="eastAsia"/>
        </w:rPr>
        <w:t>(</w:t>
      </w:r>
      <w:r>
        <w:rPr>
          <w:rFonts w:hint="eastAsia"/>
        </w:rPr>
        <w:t>第</w:t>
      </w:r>
      <w:r>
        <w:rPr>
          <w:rFonts w:hint="eastAsia"/>
        </w:rPr>
        <w:t>7</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18.  </w:t>
      </w:r>
      <w:r w:rsidRPr="007B7F57">
        <w:rPr>
          <w:rFonts w:ascii="SimHei" w:eastAsia="SimHei" w:hAnsi="SimHei" w:hint="eastAsia"/>
        </w:rPr>
        <w:t>缔约国应立即采取措施确保在所有难民营和庇护所具备适足的生活条件，使受保护免遭不人道或有辱人格的待遇的权利得到充分尊重，并确保可获得基本需求，包括食品、医疗服务、心理支助和法律咨询。</w:t>
      </w:r>
    </w:p>
    <w:p w:rsidR="00A47C53" w:rsidRDefault="00A47C53" w:rsidP="007B7F57">
      <w:pPr>
        <w:pStyle w:val="H23GC"/>
      </w:pPr>
      <w:r>
        <w:rPr>
          <w:rFonts w:hint="eastAsia"/>
        </w:rPr>
        <w:tab/>
      </w:r>
      <w:r>
        <w:rPr>
          <w:rFonts w:hint="eastAsia"/>
        </w:rPr>
        <w:tab/>
      </w:r>
      <w:r>
        <w:rPr>
          <w:rFonts w:hint="eastAsia"/>
        </w:rPr>
        <w:t>移民流中处境脆弱的人们</w:t>
      </w:r>
    </w:p>
    <w:p w:rsidR="00A47C53" w:rsidRDefault="00A47C53" w:rsidP="00A47C53">
      <w:pPr>
        <w:pStyle w:val="SingleTxtGC"/>
      </w:pPr>
      <w:r>
        <w:rPr>
          <w:rFonts w:hint="eastAsia"/>
        </w:rPr>
        <w:t xml:space="preserve">19.  </w:t>
      </w:r>
      <w:r>
        <w:rPr>
          <w:rFonts w:hint="eastAsia"/>
        </w:rPr>
        <w:t>委员会感到关切的是，没有向最近流经缔约国的移民流中的孤身未成年人以及性暴力和基于性别的暴力和拐卖受害人提供充分的保护。委员会关切地注意到在出入境口岸没有向这些人提供心理社会支助，以及缺乏将受害人移交援助提</w:t>
      </w:r>
      <w:r>
        <w:rPr>
          <w:rFonts w:hint="eastAsia"/>
        </w:rPr>
        <w:lastRenderedPageBreak/>
        <w:t>供者的正式机制。委员会关切人口拐卖受害人获得长期国家资助的援助的机会只限于在调查和刑事诉讼中与执法机构合作的人</w:t>
      </w:r>
      <w:r>
        <w:rPr>
          <w:rFonts w:hint="eastAsia"/>
        </w:rPr>
        <w:t>(</w:t>
      </w:r>
      <w:r>
        <w:rPr>
          <w:rFonts w:hint="eastAsia"/>
        </w:rPr>
        <w:t>第</w:t>
      </w:r>
      <w:r>
        <w:rPr>
          <w:rFonts w:hint="eastAsia"/>
        </w:rPr>
        <w:t>8</w:t>
      </w:r>
      <w:r>
        <w:rPr>
          <w:rFonts w:hint="eastAsia"/>
        </w:rPr>
        <w:t>和</w:t>
      </w:r>
      <w:r>
        <w:rPr>
          <w:rFonts w:hint="eastAsia"/>
        </w:rPr>
        <w:t>24</w:t>
      </w:r>
      <w:r>
        <w:rPr>
          <w:rFonts w:hint="eastAsia"/>
        </w:rPr>
        <w:t>条</w:t>
      </w:r>
      <w:r>
        <w:rPr>
          <w:rFonts w:hint="eastAsia"/>
        </w:rPr>
        <w:t>)</w:t>
      </w:r>
      <w:r>
        <w:rPr>
          <w:rFonts w:hint="eastAsia"/>
        </w:rPr>
        <w:t>。</w:t>
      </w:r>
    </w:p>
    <w:p w:rsidR="00A47C53" w:rsidRPr="007B7F57" w:rsidRDefault="00A47C53" w:rsidP="00A47C53">
      <w:pPr>
        <w:pStyle w:val="SingleTxtGC"/>
        <w:rPr>
          <w:rFonts w:ascii="SimHei" w:eastAsia="SimHei" w:hAnsi="SimHei"/>
        </w:rPr>
      </w:pPr>
      <w:r>
        <w:rPr>
          <w:rFonts w:hint="eastAsia"/>
        </w:rPr>
        <w:t xml:space="preserve">20.  </w:t>
      </w:r>
      <w:r w:rsidRPr="007B7F57">
        <w:rPr>
          <w:rFonts w:ascii="SimHei" w:eastAsia="SimHei" w:hAnsi="SimHei" w:hint="eastAsia"/>
        </w:rPr>
        <w:t>缔约国应设立一个统一正式的机制以查明移民流中处境脆弱的人们(包括孤身未成年人以及性暴力和基于性别的暴力和拐卖受害人)，以及一个共同的移交机制以确保这些人的保护和康复。它还应确保执法官员及其他相关专业人员按适当的标准和程序接受充分的培训，以便有效地识别和协助受害人。它还应进一步确保向人口拐卖受害人提供充分援助，无论其是否在调查和刑事诉讼中与执法机构合作。</w:t>
      </w:r>
    </w:p>
    <w:p w:rsidR="00A47C53" w:rsidRDefault="00A47C53" w:rsidP="007B7F57">
      <w:pPr>
        <w:pStyle w:val="H23GC"/>
      </w:pPr>
      <w:r>
        <w:rPr>
          <w:rFonts w:hint="eastAsia"/>
        </w:rPr>
        <w:tab/>
      </w:r>
      <w:r>
        <w:rPr>
          <w:rFonts w:hint="eastAsia"/>
        </w:rPr>
        <w:tab/>
      </w:r>
      <w:r>
        <w:rPr>
          <w:rFonts w:hint="eastAsia"/>
        </w:rPr>
        <w:t>“被抹掉的”人们</w:t>
      </w:r>
    </w:p>
    <w:p w:rsidR="00A47C53" w:rsidRDefault="00A47C53" w:rsidP="00A47C53">
      <w:pPr>
        <w:pStyle w:val="SingleTxtGC"/>
      </w:pPr>
      <w:r>
        <w:rPr>
          <w:rFonts w:hint="eastAsia"/>
        </w:rPr>
        <w:t xml:space="preserve">21.  </w:t>
      </w:r>
      <w:r>
        <w:rPr>
          <w:rFonts w:hint="eastAsia"/>
        </w:rPr>
        <w:t>委员会注意到于</w:t>
      </w:r>
      <w:r>
        <w:rPr>
          <w:rFonts w:hint="eastAsia"/>
        </w:rPr>
        <w:t>2010</w:t>
      </w:r>
      <w:r>
        <w:rPr>
          <w:rFonts w:hint="eastAsia"/>
        </w:rPr>
        <w:t>年通过了规范前南斯拉夫社会主义联邦共和国继承国所有公民身份的法案，以便使</w:t>
      </w:r>
      <w:r>
        <w:rPr>
          <w:rFonts w:hint="eastAsia"/>
        </w:rPr>
        <w:t>1992</w:t>
      </w:r>
      <w:r>
        <w:rPr>
          <w:rFonts w:hint="eastAsia"/>
        </w:rPr>
        <w:t>年被从斯洛文尼亚永久居民登记册删除或“抹掉”的人重新确立其永久居民身份。委员会还注意到于</w:t>
      </w:r>
      <w:r>
        <w:rPr>
          <w:rFonts w:hint="eastAsia"/>
        </w:rPr>
        <w:t>2013</w:t>
      </w:r>
      <w:r>
        <w:rPr>
          <w:rFonts w:hint="eastAsia"/>
        </w:rPr>
        <w:t>年通过了规范对因被从永久居民登记册抹掉而蒙受损失进行赔偿的法案。然而，委员会对以下情况表示关切：自</w:t>
      </w:r>
      <w:r>
        <w:rPr>
          <w:rFonts w:hint="eastAsia"/>
        </w:rPr>
        <w:t>2010</w:t>
      </w:r>
      <w:r>
        <w:rPr>
          <w:rFonts w:hint="eastAsia"/>
        </w:rPr>
        <w:t>年法案在</w:t>
      </w:r>
      <w:r>
        <w:rPr>
          <w:rFonts w:hint="eastAsia"/>
        </w:rPr>
        <w:t>2013</w:t>
      </w:r>
      <w:r>
        <w:rPr>
          <w:rFonts w:hint="eastAsia"/>
        </w:rPr>
        <w:t>年期满以来，目前没有渠道可以恢复大量“被抹掉的”人的法律地位，以及只有数目有限的人获得了赔偿</w:t>
      </w:r>
      <w:r>
        <w:rPr>
          <w:rFonts w:hint="eastAsia"/>
        </w:rPr>
        <w:t>(</w:t>
      </w:r>
      <w:r>
        <w:rPr>
          <w:rFonts w:hint="eastAsia"/>
        </w:rPr>
        <w:t>第</w:t>
      </w:r>
      <w:r>
        <w:rPr>
          <w:rFonts w:hint="eastAsia"/>
        </w:rPr>
        <w:t>2</w:t>
      </w:r>
      <w:r>
        <w:rPr>
          <w:rFonts w:hint="eastAsia"/>
        </w:rPr>
        <w:t>、</w:t>
      </w:r>
      <w:r>
        <w:rPr>
          <w:rFonts w:hint="eastAsia"/>
        </w:rPr>
        <w:t>17</w:t>
      </w:r>
      <w:r>
        <w:rPr>
          <w:rFonts w:hint="eastAsia"/>
        </w:rPr>
        <w:t>和</w:t>
      </w:r>
      <w:r>
        <w:rPr>
          <w:rFonts w:hint="eastAsia"/>
        </w:rPr>
        <w:t>26</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22.  </w:t>
      </w:r>
      <w:r w:rsidRPr="007B7F57">
        <w:rPr>
          <w:rFonts w:ascii="SimHei" w:eastAsia="SimHei" w:hAnsi="SimHei" w:hint="eastAsia"/>
        </w:rPr>
        <w:t>缔约国应确保所有剩下的“被抹掉的”人们都能恢复他们的法律地位，没有过分的行政障碍。它还应确保向所有“被抹掉的”人提供充分有效的补偿，包括恢复原位和赔偿。</w:t>
      </w:r>
    </w:p>
    <w:p w:rsidR="00A47C53" w:rsidRDefault="00A47C53" w:rsidP="007B7F57">
      <w:pPr>
        <w:pStyle w:val="H23GC"/>
      </w:pPr>
      <w:r>
        <w:rPr>
          <w:rFonts w:hint="eastAsia"/>
        </w:rPr>
        <w:tab/>
      </w:r>
      <w:r>
        <w:rPr>
          <w:rFonts w:hint="eastAsia"/>
        </w:rPr>
        <w:tab/>
      </w:r>
      <w:r>
        <w:rPr>
          <w:rFonts w:hint="eastAsia"/>
        </w:rPr>
        <w:t>罗姆人</w:t>
      </w:r>
    </w:p>
    <w:p w:rsidR="00A47C53" w:rsidRDefault="00A47C53" w:rsidP="00A47C53">
      <w:pPr>
        <w:pStyle w:val="SingleTxtGC"/>
      </w:pPr>
      <w:r>
        <w:rPr>
          <w:rFonts w:hint="eastAsia"/>
        </w:rPr>
        <w:t xml:space="preserve">23.  </w:t>
      </w:r>
      <w:r>
        <w:rPr>
          <w:rFonts w:hint="eastAsia"/>
        </w:rPr>
        <w:t>委员会感到关切的是，尽管缔约国采取了措施，包括于</w:t>
      </w:r>
      <w:r>
        <w:rPr>
          <w:rFonts w:hint="eastAsia"/>
        </w:rPr>
        <w:t>2009</w:t>
      </w:r>
      <w:r>
        <w:rPr>
          <w:rFonts w:hint="eastAsia"/>
        </w:rPr>
        <w:t>年修订了地方自治政府法、</w:t>
      </w:r>
      <w:r>
        <w:rPr>
          <w:rFonts w:hint="eastAsia"/>
        </w:rPr>
        <w:t>2007</w:t>
      </w:r>
      <w:r>
        <w:rPr>
          <w:rFonts w:hint="eastAsia"/>
        </w:rPr>
        <w:t>年通过了罗姆人社区法和</w:t>
      </w:r>
      <w:r>
        <w:rPr>
          <w:rFonts w:hint="eastAsia"/>
        </w:rPr>
        <w:t>2010</w:t>
      </w:r>
      <w:r>
        <w:rPr>
          <w:rFonts w:hint="eastAsia"/>
        </w:rPr>
        <w:t>年通过了国家罗姆人措施方案，但在改善罗姆人处境方面进展有限，罗姆人继续遭受偏见、歧视和社会排斥。委员会还对以下情况表示关切：</w:t>
      </w:r>
      <w:r>
        <w:rPr>
          <w:rFonts w:hint="eastAsia"/>
        </w:rPr>
        <w:t xml:space="preserve">(a) </w:t>
      </w:r>
      <w:r>
        <w:rPr>
          <w:rFonts w:hint="eastAsia"/>
        </w:rPr>
        <w:t>罗姆人社区成员中童婚和强迫婚姻现象；</w:t>
      </w:r>
      <w:r>
        <w:rPr>
          <w:rFonts w:hint="eastAsia"/>
        </w:rPr>
        <w:t xml:space="preserve">(b) </w:t>
      </w:r>
      <w:r>
        <w:rPr>
          <w:rFonts w:hint="eastAsia"/>
        </w:rPr>
        <w:t>缔约国在“土著”与“非土著”罗姆人社区之间所做的区分，只赋予前者特殊的权利和机会，而后者在地方一级没有代表；</w:t>
      </w:r>
      <w:r>
        <w:rPr>
          <w:rFonts w:hint="eastAsia"/>
        </w:rPr>
        <w:t xml:space="preserve">(c) </w:t>
      </w:r>
      <w:r>
        <w:rPr>
          <w:rFonts w:hint="eastAsia"/>
        </w:rPr>
        <w:t>罗姆人社区理事会没有有效运作，其组成并不反映罗姆人社区群体的多样性这一事实</w:t>
      </w:r>
      <w:r>
        <w:rPr>
          <w:rFonts w:hint="eastAsia"/>
        </w:rPr>
        <w:t>(</w:t>
      </w:r>
      <w:r>
        <w:rPr>
          <w:rFonts w:hint="eastAsia"/>
        </w:rPr>
        <w:t>第</w:t>
      </w:r>
      <w:r>
        <w:rPr>
          <w:rFonts w:hint="eastAsia"/>
        </w:rPr>
        <w:t>2</w:t>
      </w:r>
      <w:r>
        <w:rPr>
          <w:rFonts w:hint="eastAsia"/>
        </w:rPr>
        <w:t>、</w:t>
      </w:r>
      <w:r>
        <w:rPr>
          <w:rFonts w:hint="eastAsia"/>
        </w:rPr>
        <w:t>23</w:t>
      </w:r>
      <w:r>
        <w:rPr>
          <w:rFonts w:hint="eastAsia"/>
        </w:rPr>
        <w:t>、</w:t>
      </w:r>
      <w:r>
        <w:rPr>
          <w:rFonts w:hint="eastAsia"/>
        </w:rPr>
        <w:t>24</w:t>
      </w:r>
      <w:r>
        <w:rPr>
          <w:rFonts w:hint="eastAsia"/>
        </w:rPr>
        <w:t>、</w:t>
      </w:r>
      <w:r>
        <w:rPr>
          <w:rFonts w:hint="eastAsia"/>
        </w:rPr>
        <w:t>26</w:t>
      </w:r>
      <w:r>
        <w:rPr>
          <w:rFonts w:hint="eastAsia"/>
        </w:rPr>
        <w:t>和</w:t>
      </w:r>
      <w:r>
        <w:rPr>
          <w:rFonts w:hint="eastAsia"/>
        </w:rPr>
        <w:t>27</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24.  </w:t>
      </w:r>
      <w:r w:rsidRPr="007B7F57">
        <w:rPr>
          <w:rFonts w:ascii="SimHei" w:eastAsia="SimHei" w:hAnsi="SimHei" w:hint="eastAsia"/>
        </w:rPr>
        <w:t>缔约国应：</w:t>
      </w:r>
    </w:p>
    <w:p w:rsidR="00A47C53" w:rsidRDefault="00A47C53" w:rsidP="00A47C53">
      <w:pPr>
        <w:pStyle w:val="SingleTxtGC"/>
      </w:pPr>
      <w:r>
        <w:rPr>
          <w:rFonts w:hint="eastAsia"/>
        </w:rPr>
        <w:tab/>
        <w:t>(a)</w:t>
      </w:r>
      <w:r>
        <w:rPr>
          <w:rFonts w:hint="eastAsia"/>
        </w:rPr>
        <w:tab/>
      </w:r>
      <w:r w:rsidRPr="007B7F57">
        <w:rPr>
          <w:rFonts w:ascii="SimHei" w:eastAsia="SimHei" w:hAnsi="SimHei" w:hint="eastAsia"/>
        </w:rPr>
        <w:t>考虑废除罗姆人社区两种地位的区别，并强化措施以改善缔约国内所有罗姆人的处境；</w:t>
      </w:r>
    </w:p>
    <w:p w:rsidR="00A47C53" w:rsidRDefault="00A47C53" w:rsidP="00A47C53">
      <w:pPr>
        <w:pStyle w:val="SingleTxtGC"/>
      </w:pPr>
      <w:r>
        <w:rPr>
          <w:rFonts w:hint="eastAsia"/>
        </w:rPr>
        <w:tab/>
        <w:t>(b)</w:t>
      </w:r>
      <w:r>
        <w:rPr>
          <w:rFonts w:hint="eastAsia"/>
        </w:rPr>
        <w:tab/>
      </w:r>
      <w:r w:rsidRPr="007B7F57">
        <w:rPr>
          <w:rFonts w:ascii="SimHei" w:eastAsia="SimHei" w:hAnsi="SimHei" w:hint="eastAsia"/>
        </w:rPr>
        <w:t>与不同的罗姆人社区代表接触以改善罗姆人社区理事会的运作和多种多样的罗姆人社区在理事会中的代表性，并采取有效措施增加罗姆人在社会生活和决策进程中的参与；</w:t>
      </w:r>
    </w:p>
    <w:p w:rsidR="00A47C53" w:rsidRDefault="007B7F57" w:rsidP="00A47C53">
      <w:pPr>
        <w:pStyle w:val="SingleTxtGC"/>
      </w:pPr>
      <w:r>
        <w:rPr>
          <w:rFonts w:hint="eastAsia"/>
        </w:rPr>
        <w:lastRenderedPageBreak/>
        <w:tab/>
      </w:r>
      <w:r w:rsidR="00A47C53">
        <w:rPr>
          <w:rFonts w:hint="eastAsia"/>
        </w:rPr>
        <w:t>(c)</w:t>
      </w:r>
      <w:r w:rsidR="00A47C53">
        <w:rPr>
          <w:rFonts w:hint="eastAsia"/>
        </w:rPr>
        <w:tab/>
      </w:r>
      <w:r w:rsidR="00A47C53" w:rsidRPr="007B7F57">
        <w:rPr>
          <w:rFonts w:ascii="SimHei" w:eastAsia="SimHei" w:hAnsi="SimHei" w:hint="eastAsia"/>
        </w:rPr>
        <w:t>确保禁止童婚和强迫婚姻在实践中得到落实，包括通过以下措施：有效调查这类行为并将责任人绳之于法，追究肇事者的责任，以及向受害人提供适当的康复服务和咨询服务；</w:t>
      </w:r>
    </w:p>
    <w:p w:rsidR="00A47C53" w:rsidRDefault="00A47C53" w:rsidP="00A47C53">
      <w:pPr>
        <w:pStyle w:val="SingleTxtGC"/>
      </w:pPr>
      <w:r>
        <w:rPr>
          <w:rFonts w:hint="eastAsia"/>
        </w:rPr>
        <w:tab/>
        <w:t>(d)</w:t>
      </w:r>
      <w:r>
        <w:rPr>
          <w:rFonts w:hint="eastAsia"/>
        </w:rPr>
        <w:tab/>
      </w:r>
      <w:r w:rsidRPr="007B7F57">
        <w:rPr>
          <w:rFonts w:ascii="SimHei" w:eastAsia="SimHei" w:hAnsi="SimHei" w:hint="eastAsia"/>
        </w:rPr>
        <w:t>加强在罗姆人社区中关于童婚和强迫婚姻的有害影响的宣传方案。</w:t>
      </w:r>
    </w:p>
    <w:p w:rsidR="00A47C53" w:rsidRDefault="00A47C53" w:rsidP="007B7F57">
      <w:pPr>
        <w:pStyle w:val="H23GC"/>
      </w:pPr>
      <w:r>
        <w:rPr>
          <w:rFonts w:hint="eastAsia"/>
        </w:rPr>
        <w:tab/>
      </w:r>
      <w:r>
        <w:rPr>
          <w:rFonts w:hint="eastAsia"/>
        </w:rPr>
        <w:tab/>
      </w:r>
      <w:r>
        <w:rPr>
          <w:rFonts w:hint="eastAsia"/>
        </w:rPr>
        <w:t>拘留条件</w:t>
      </w:r>
    </w:p>
    <w:p w:rsidR="00A47C53" w:rsidRDefault="00A47C53" w:rsidP="00A47C53">
      <w:pPr>
        <w:pStyle w:val="SingleTxtGC"/>
      </w:pPr>
      <w:r>
        <w:rPr>
          <w:rFonts w:hint="eastAsia"/>
        </w:rPr>
        <w:t xml:space="preserve">25.  </w:t>
      </w:r>
      <w:r>
        <w:rPr>
          <w:rFonts w:hint="eastAsia"/>
        </w:rPr>
        <w:t>委员会对有关以下情况的报道表示关切：拘留设施生活条件差，一些监狱</w:t>
      </w:r>
      <w:r>
        <w:rPr>
          <w:rFonts w:hint="eastAsia"/>
        </w:rPr>
        <w:t>(</w:t>
      </w:r>
      <w:r>
        <w:rPr>
          <w:rFonts w:hint="eastAsia"/>
        </w:rPr>
        <w:t>包括卢布尔雅那监狱</w:t>
      </w:r>
      <w:r>
        <w:rPr>
          <w:rFonts w:hint="eastAsia"/>
        </w:rPr>
        <w:t>)</w:t>
      </w:r>
      <w:r>
        <w:rPr>
          <w:rFonts w:hint="eastAsia"/>
        </w:rPr>
        <w:t>过分拥挤，卫生条件差，以及监狱工作人员不足</w:t>
      </w:r>
      <w:r>
        <w:rPr>
          <w:rFonts w:hint="eastAsia"/>
        </w:rPr>
        <w:t>(</w:t>
      </w:r>
      <w:r>
        <w:rPr>
          <w:rFonts w:hint="eastAsia"/>
        </w:rPr>
        <w:t>第</w:t>
      </w:r>
      <w:r>
        <w:rPr>
          <w:rFonts w:hint="eastAsia"/>
        </w:rPr>
        <w:t>10</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26.  </w:t>
      </w:r>
      <w:r w:rsidRPr="007B7F57">
        <w:rPr>
          <w:rFonts w:ascii="SimHei" w:eastAsia="SimHei" w:hAnsi="SimHei" w:hint="eastAsia"/>
        </w:rPr>
        <w:t>缔约国应加紧努力根据《公约》和《联合国囚犯待遇最低限度标准规则(曼德拉规则)》改善拘留设施的生活条件。缔约国应考虑不仅要建造新的监狱设施，还要扩大应用替代的非监禁判决，例如，电子监测、假释和社区服务等。</w:t>
      </w:r>
    </w:p>
    <w:p w:rsidR="00A47C53" w:rsidRDefault="00A47C53" w:rsidP="00BD753B">
      <w:pPr>
        <w:pStyle w:val="H23GC"/>
      </w:pPr>
      <w:r>
        <w:rPr>
          <w:rFonts w:hint="eastAsia"/>
        </w:rPr>
        <w:tab/>
      </w:r>
      <w:r>
        <w:rPr>
          <w:rFonts w:hint="eastAsia"/>
        </w:rPr>
        <w:tab/>
      </w:r>
      <w:r>
        <w:rPr>
          <w:rFonts w:hint="eastAsia"/>
        </w:rPr>
        <w:t>司法行政和公正审判权</w:t>
      </w:r>
    </w:p>
    <w:p w:rsidR="00A47C53" w:rsidRDefault="00A47C53" w:rsidP="00A47C53">
      <w:pPr>
        <w:pStyle w:val="SingleTxtGC"/>
      </w:pPr>
      <w:r>
        <w:rPr>
          <w:rFonts w:hint="eastAsia"/>
        </w:rPr>
        <w:t xml:space="preserve">27.  </w:t>
      </w:r>
      <w:r>
        <w:rPr>
          <w:rFonts w:hint="eastAsia"/>
        </w:rPr>
        <w:t>委员会欣见法院待审案件数量大大减少，但仍对关于在劳工和社会法院有大量案件积压的报道表示关切。委员会还对法庭诉讼程序漫长以及在刑事诉讼中不能及时有效获得免费法律援助</w:t>
      </w:r>
      <w:r>
        <w:rPr>
          <w:rFonts w:hint="eastAsia"/>
        </w:rPr>
        <w:t>(</w:t>
      </w:r>
      <w:r>
        <w:rPr>
          <w:rFonts w:hint="eastAsia"/>
        </w:rPr>
        <w:t>这正是司法利益所需要的</w:t>
      </w:r>
      <w:r>
        <w:rPr>
          <w:rFonts w:hint="eastAsia"/>
        </w:rPr>
        <w:t>)</w:t>
      </w:r>
      <w:r>
        <w:rPr>
          <w:rFonts w:hint="eastAsia"/>
        </w:rPr>
        <w:t>表示关切</w:t>
      </w:r>
      <w:r>
        <w:rPr>
          <w:rFonts w:hint="eastAsia"/>
        </w:rPr>
        <w:t>(</w:t>
      </w:r>
      <w:r>
        <w:rPr>
          <w:rFonts w:hint="eastAsia"/>
        </w:rPr>
        <w:t>第</w:t>
      </w:r>
      <w:r>
        <w:rPr>
          <w:rFonts w:hint="eastAsia"/>
        </w:rPr>
        <w:t>14</w:t>
      </w:r>
      <w:r>
        <w:rPr>
          <w:rFonts w:hint="eastAsia"/>
        </w:rPr>
        <w:t>条</w:t>
      </w:r>
      <w:r>
        <w:rPr>
          <w:rFonts w:hint="eastAsia"/>
        </w:rPr>
        <w:t>)</w:t>
      </w:r>
      <w:r>
        <w:rPr>
          <w:rFonts w:hint="eastAsia"/>
        </w:rPr>
        <w:t>。</w:t>
      </w:r>
    </w:p>
    <w:p w:rsidR="00A47C53" w:rsidRPr="007B7F57" w:rsidRDefault="00A47C53" w:rsidP="00A47C53">
      <w:pPr>
        <w:pStyle w:val="SingleTxtGC"/>
        <w:rPr>
          <w:rFonts w:ascii="SimHei" w:eastAsia="SimHei" w:hAnsi="SimHei"/>
        </w:rPr>
      </w:pPr>
      <w:r>
        <w:rPr>
          <w:rFonts w:hint="eastAsia"/>
        </w:rPr>
        <w:t xml:space="preserve">28.  </w:t>
      </w:r>
      <w:r w:rsidRPr="007B7F57">
        <w:rPr>
          <w:rFonts w:ascii="SimHei" w:eastAsia="SimHei" w:hAnsi="SimHei" w:hint="eastAsia"/>
        </w:rPr>
        <w:t>缔约国应采用全面的战略解决整个司法系统、特别是劳工和社会法院的案件积压问题，并根据《公约》第</w:t>
      </w:r>
      <w:r>
        <w:rPr>
          <w:rFonts w:hint="eastAsia"/>
        </w:rPr>
        <w:t>14</w:t>
      </w:r>
      <w:r w:rsidRPr="007B7F57">
        <w:rPr>
          <w:rFonts w:ascii="SimHei" w:eastAsia="SimHei" w:hAnsi="SimHei" w:hint="eastAsia"/>
        </w:rPr>
        <w:t>条和关于在法院和法庭面前平等权利和公正审判权的委员会一般性意见第</w:t>
      </w:r>
      <w:r>
        <w:rPr>
          <w:rFonts w:hint="eastAsia"/>
        </w:rPr>
        <w:t>32</w:t>
      </w:r>
      <w:r w:rsidRPr="007B7F57">
        <w:rPr>
          <w:rFonts w:ascii="SimHei" w:eastAsia="SimHei" w:hAnsi="SimHei" w:hint="eastAsia"/>
        </w:rPr>
        <w:t>号</w:t>
      </w:r>
      <w:r>
        <w:rPr>
          <w:rFonts w:hint="eastAsia"/>
        </w:rPr>
        <w:t>(2007)</w:t>
      </w:r>
      <w:r>
        <w:rPr>
          <w:rFonts w:hint="eastAsia"/>
        </w:rPr>
        <w:t>，</w:t>
      </w:r>
      <w:r w:rsidRPr="007B7F57">
        <w:rPr>
          <w:rFonts w:ascii="SimHei" w:eastAsia="SimHei" w:hAnsi="SimHei" w:hint="eastAsia"/>
        </w:rPr>
        <w:t>确保不无故拖延得到公正审判的权利。缔约国应确保在刑事诉讼中尽可能及时地向所有无力支付的人提供免费法律援助。</w:t>
      </w:r>
    </w:p>
    <w:p w:rsidR="00A47C53" w:rsidRDefault="00A47C53" w:rsidP="00BD753B">
      <w:pPr>
        <w:pStyle w:val="H23GC"/>
      </w:pPr>
      <w:r>
        <w:rPr>
          <w:rFonts w:hint="eastAsia"/>
        </w:rPr>
        <w:tab/>
      </w:r>
      <w:r>
        <w:rPr>
          <w:rFonts w:hint="eastAsia"/>
        </w:rPr>
        <w:tab/>
      </w:r>
      <w:r>
        <w:rPr>
          <w:rFonts w:hint="eastAsia"/>
        </w:rPr>
        <w:t>体罚</w:t>
      </w:r>
    </w:p>
    <w:p w:rsidR="00A47C53" w:rsidRDefault="00A47C53" w:rsidP="00A47C53">
      <w:pPr>
        <w:pStyle w:val="SingleTxtGC"/>
      </w:pPr>
      <w:r>
        <w:rPr>
          <w:rFonts w:hint="eastAsia"/>
        </w:rPr>
        <w:t xml:space="preserve">29.  </w:t>
      </w:r>
      <w:r>
        <w:rPr>
          <w:rFonts w:hint="eastAsia"/>
        </w:rPr>
        <w:t>委员会注意到关于禁止体罚的《家庭法》拟议修订案在</w:t>
      </w:r>
      <w:r>
        <w:rPr>
          <w:rFonts w:hint="eastAsia"/>
        </w:rPr>
        <w:t>2012</w:t>
      </w:r>
      <w:r>
        <w:rPr>
          <w:rFonts w:hint="eastAsia"/>
        </w:rPr>
        <w:t>年全民公投中被否决，并对缔约国没有明文禁止体罚表示关切</w:t>
      </w:r>
      <w:r>
        <w:rPr>
          <w:rFonts w:hint="eastAsia"/>
        </w:rPr>
        <w:t>(</w:t>
      </w:r>
      <w:r>
        <w:rPr>
          <w:rFonts w:hint="eastAsia"/>
        </w:rPr>
        <w:t>第</w:t>
      </w:r>
      <w:r>
        <w:rPr>
          <w:rFonts w:hint="eastAsia"/>
        </w:rPr>
        <w:t>7</w:t>
      </w:r>
      <w:r>
        <w:rPr>
          <w:rFonts w:hint="eastAsia"/>
        </w:rPr>
        <w:t>和</w:t>
      </w:r>
      <w:r>
        <w:rPr>
          <w:rFonts w:hint="eastAsia"/>
        </w:rPr>
        <w:t>24</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30.  </w:t>
      </w:r>
      <w:r w:rsidRPr="00BD753B">
        <w:rPr>
          <w:rFonts w:ascii="SimHei" w:eastAsia="SimHei" w:hAnsi="SimHei" w:hint="eastAsia"/>
        </w:rPr>
        <w:t>缔约国应采取实际步骤，包括通过立法措施，杜绝一切场合的体罚。它应鼓励非暴力形式的纪律措施作为体罚的替代方式，并开展公共宣传运动提高人们对体罚有害影响的认识。</w:t>
      </w:r>
    </w:p>
    <w:p w:rsidR="00A47C53" w:rsidRDefault="00A47C53" w:rsidP="00BD753B">
      <w:pPr>
        <w:pStyle w:val="H23GC"/>
      </w:pPr>
      <w:r>
        <w:rPr>
          <w:rFonts w:hint="eastAsia"/>
        </w:rPr>
        <w:tab/>
      </w:r>
      <w:r>
        <w:rPr>
          <w:rFonts w:hint="eastAsia"/>
        </w:rPr>
        <w:tab/>
      </w:r>
      <w:r>
        <w:rPr>
          <w:rFonts w:hint="eastAsia"/>
        </w:rPr>
        <w:t>表达自由</w:t>
      </w:r>
    </w:p>
    <w:p w:rsidR="00A47C53" w:rsidRDefault="00A47C53" w:rsidP="00A47C53">
      <w:pPr>
        <w:pStyle w:val="SingleTxtGC"/>
      </w:pPr>
      <w:r>
        <w:rPr>
          <w:rFonts w:hint="eastAsia"/>
        </w:rPr>
        <w:t xml:space="preserve">31.  </w:t>
      </w:r>
      <w:r>
        <w:rPr>
          <w:rFonts w:hint="eastAsia"/>
        </w:rPr>
        <w:t>委员会注意到根据《刑法》第</w:t>
      </w:r>
      <w:r>
        <w:rPr>
          <w:rFonts w:hint="eastAsia"/>
        </w:rPr>
        <w:t>159</w:t>
      </w:r>
      <w:r>
        <w:rPr>
          <w:rFonts w:hint="eastAsia"/>
        </w:rPr>
        <w:t>、</w:t>
      </w:r>
      <w:r>
        <w:rPr>
          <w:rFonts w:hint="eastAsia"/>
        </w:rPr>
        <w:t>160</w:t>
      </w:r>
      <w:r>
        <w:rPr>
          <w:rFonts w:hint="eastAsia"/>
        </w:rPr>
        <w:t>和</w:t>
      </w:r>
      <w:r>
        <w:rPr>
          <w:rFonts w:hint="eastAsia"/>
        </w:rPr>
        <w:t>161</w:t>
      </w:r>
      <w:r>
        <w:rPr>
          <w:rFonts w:hint="eastAsia"/>
        </w:rPr>
        <w:t>条，诽谤构成刑事犯罪，最高刑期为两年监禁</w:t>
      </w:r>
      <w:r>
        <w:rPr>
          <w:rFonts w:hint="eastAsia"/>
        </w:rPr>
        <w:t>(</w:t>
      </w:r>
      <w:r>
        <w:rPr>
          <w:rFonts w:hint="eastAsia"/>
        </w:rPr>
        <w:t>第</w:t>
      </w:r>
      <w:r>
        <w:rPr>
          <w:rFonts w:hint="eastAsia"/>
        </w:rPr>
        <w:t>19</w:t>
      </w:r>
      <w:r>
        <w:rPr>
          <w:rFonts w:hint="eastAsia"/>
        </w:rPr>
        <w:t>条</w:t>
      </w:r>
      <w:r>
        <w:rPr>
          <w:rFonts w:hint="eastAsia"/>
        </w:rPr>
        <w:t>)</w:t>
      </w:r>
      <w:r>
        <w:rPr>
          <w:rFonts w:hint="eastAsia"/>
        </w:rPr>
        <w:t>。</w:t>
      </w:r>
    </w:p>
    <w:p w:rsidR="00A47C53" w:rsidRDefault="00A47C53" w:rsidP="00A47C53">
      <w:pPr>
        <w:pStyle w:val="SingleTxtGC"/>
      </w:pPr>
      <w:r>
        <w:rPr>
          <w:rFonts w:hint="eastAsia"/>
        </w:rPr>
        <w:t xml:space="preserve">32.  </w:t>
      </w:r>
      <w:r w:rsidRPr="00BD753B">
        <w:rPr>
          <w:rFonts w:ascii="SimHei" w:eastAsia="SimHei" w:hAnsi="SimHei" w:hint="eastAsia"/>
        </w:rPr>
        <w:t>缔约国应重新考虑取消诽谤罪，将刑法的适用限于最严重的情况，要牢记对于这类情况监禁决非适当的惩罚手段，这正是委员会在关于意见和表达自由的一般性意见第</w:t>
      </w:r>
      <w:r>
        <w:rPr>
          <w:rFonts w:hint="eastAsia"/>
        </w:rPr>
        <w:t>34</w:t>
      </w:r>
      <w:r w:rsidRPr="00BD753B">
        <w:rPr>
          <w:rFonts w:ascii="SimHei" w:eastAsia="SimHei" w:hAnsi="SimHei" w:hint="eastAsia"/>
        </w:rPr>
        <w:t>号</w:t>
      </w:r>
      <w:r>
        <w:rPr>
          <w:rFonts w:hint="eastAsia"/>
        </w:rPr>
        <w:t>(2011)</w:t>
      </w:r>
      <w:r w:rsidRPr="00BD753B">
        <w:rPr>
          <w:rFonts w:ascii="SimHei" w:eastAsia="SimHei" w:hAnsi="SimHei" w:hint="eastAsia"/>
        </w:rPr>
        <w:t>中所强调的</w:t>
      </w:r>
      <w:r>
        <w:rPr>
          <w:rFonts w:hint="eastAsia"/>
        </w:rPr>
        <w:t>。</w:t>
      </w:r>
    </w:p>
    <w:p w:rsidR="00A47C53" w:rsidRDefault="00A47C53" w:rsidP="00BD753B">
      <w:pPr>
        <w:pStyle w:val="H1GC"/>
      </w:pPr>
      <w:r>
        <w:rPr>
          <w:rFonts w:hint="eastAsia"/>
        </w:rPr>
        <w:lastRenderedPageBreak/>
        <w:tab/>
        <w:t>D.</w:t>
      </w:r>
      <w:r>
        <w:rPr>
          <w:rFonts w:hint="eastAsia"/>
        </w:rPr>
        <w:tab/>
      </w:r>
      <w:r>
        <w:rPr>
          <w:rFonts w:hint="eastAsia"/>
        </w:rPr>
        <w:t>传播与《公约》相关的信息</w:t>
      </w:r>
    </w:p>
    <w:p w:rsidR="00A47C53" w:rsidRDefault="00A47C53" w:rsidP="00A47C53">
      <w:pPr>
        <w:pStyle w:val="SingleTxtGC"/>
      </w:pPr>
      <w:r>
        <w:rPr>
          <w:rFonts w:hint="eastAsia"/>
        </w:rPr>
        <w:t xml:space="preserve">33.  </w:t>
      </w:r>
      <w:r>
        <w:rPr>
          <w:rFonts w:hint="eastAsia"/>
        </w:rPr>
        <w:t>缔约国应广泛传播《公约》及其两个任择议定书、其第三次定期报告、对委员会问题清单的书面答复及本结论性意见，以便在司法、立法和行政当局、民间社会和在本国开展工作的非政府组织、普通民众、少数群体及被边缘化的群体中提高人们对《公约》所载各项权利的认识。缔约国应确保报告及本结论性意见被翻译成缔约国的官方语言。</w:t>
      </w:r>
    </w:p>
    <w:p w:rsidR="00A47C53" w:rsidRDefault="00A47C53" w:rsidP="00A47C53">
      <w:pPr>
        <w:pStyle w:val="SingleTxtGC"/>
      </w:pPr>
      <w:r>
        <w:rPr>
          <w:rFonts w:hint="eastAsia"/>
        </w:rPr>
        <w:t xml:space="preserve">34.  </w:t>
      </w:r>
      <w:r>
        <w:rPr>
          <w:rFonts w:hint="eastAsia"/>
        </w:rPr>
        <w:t>根据委员会议事规则第</w:t>
      </w:r>
      <w:r>
        <w:rPr>
          <w:rFonts w:hint="eastAsia"/>
        </w:rPr>
        <w:t>71</w:t>
      </w:r>
      <w:r>
        <w:rPr>
          <w:rFonts w:hint="eastAsia"/>
        </w:rPr>
        <w:t>条第</w:t>
      </w:r>
      <w:r>
        <w:rPr>
          <w:rFonts w:hint="eastAsia"/>
        </w:rPr>
        <w:t>5</w:t>
      </w:r>
      <w:r>
        <w:rPr>
          <w:rFonts w:hint="eastAsia"/>
        </w:rPr>
        <w:t>段，缔约国应在本结论性意见通过后一年之内提供关于委员会在上述第</w:t>
      </w:r>
      <w:r>
        <w:rPr>
          <w:rFonts w:hint="eastAsia"/>
        </w:rPr>
        <w:t>8</w:t>
      </w:r>
      <w:r>
        <w:rPr>
          <w:rFonts w:hint="eastAsia"/>
        </w:rPr>
        <w:t>段</w:t>
      </w:r>
      <w:r>
        <w:rPr>
          <w:rFonts w:hint="eastAsia"/>
        </w:rPr>
        <w:t>(</w:t>
      </w:r>
      <w:r>
        <w:rPr>
          <w:rFonts w:hint="eastAsia"/>
        </w:rPr>
        <w:t>种族主义和仇外心理，包括仇恨言论</w:t>
      </w:r>
      <w:r>
        <w:rPr>
          <w:rFonts w:hint="eastAsia"/>
        </w:rPr>
        <w:t>)</w:t>
      </w:r>
      <w:r>
        <w:rPr>
          <w:rFonts w:hint="eastAsia"/>
        </w:rPr>
        <w:t>、第</w:t>
      </w:r>
      <w:r>
        <w:rPr>
          <w:rFonts w:hint="eastAsia"/>
        </w:rPr>
        <w:t>16</w:t>
      </w:r>
      <w:r>
        <w:rPr>
          <w:rFonts w:hint="eastAsia"/>
        </w:rPr>
        <w:t>段</w:t>
      </w:r>
      <w:r>
        <w:rPr>
          <w:rFonts w:hint="eastAsia"/>
        </w:rPr>
        <w:t>(</w:t>
      </w:r>
      <w:r>
        <w:rPr>
          <w:rFonts w:hint="eastAsia"/>
        </w:rPr>
        <w:t>寻求庇护者、移民和难民</w:t>
      </w:r>
      <w:r>
        <w:rPr>
          <w:rFonts w:hint="eastAsia"/>
        </w:rPr>
        <w:t>)</w:t>
      </w:r>
      <w:r>
        <w:rPr>
          <w:rFonts w:hint="eastAsia"/>
        </w:rPr>
        <w:t>和第</w:t>
      </w:r>
      <w:r>
        <w:rPr>
          <w:rFonts w:hint="eastAsia"/>
        </w:rPr>
        <w:t>20</w:t>
      </w:r>
      <w:r>
        <w:rPr>
          <w:rFonts w:hint="eastAsia"/>
        </w:rPr>
        <w:t>段</w:t>
      </w:r>
      <w:r>
        <w:rPr>
          <w:rFonts w:hint="eastAsia"/>
        </w:rPr>
        <w:t>(</w:t>
      </w:r>
      <w:r>
        <w:rPr>
          <w:rFonts w:hint="eastAsia"/>
        </w:rPr>
        <w:t>移民流中处境脆弱的人们</w:t>
      </w:r>
      <w:r>
        <w:rPr>
          <w:rFonts w:hint="eastAsia"/>
        </w:rPr>
        <w:t>)</w:t>
      </w:r>
      <w:r>
        <w:rPr>
          <w:rFonts w:hint="eastAsia"/>
        </w:rPr>
        <w:t>中提出的建议落实情况的资料。</w:t>
      </w:r>
    </w:p>
    <w:p w:rsidR="00A47C53" w:rsidRDefault="00A47C53" w:rsidP="00A47C53">
      <w:pPr>
        <w:pStyle w:val="SingleTxtGC"/>
      </w:pPr>
      <w:r>
        <w:rPr>
          <w:rFonts w:hint="eastAsia"/>
        </w:rPr>
        <w:t xml:space="preserve">35.  </w:t>
      </w:r>
      <w:r>
        <w:rPr>
          <w:rFonts w:hint="eastAsia"/>
        </w:rPr>
        <w:t>委员会请缔约国在</w:t>
      </w:r>
      <w:r>
        <w:rPr>
          <w:rFonts w:hint="eastAsia"/>
        </w:rPr>
        <w:t>2021</w:t>
      </w:r>
      <w:r>
        <w:rPr>
          <w:rFonts w:hint="eastAsia"/>
        </w:rPr>
        <w:t>年</w:t>
      </w:r>
      <w:r>
        <w:rPr>
          <w:rFonts w:hint="eastAsia"/>
        </w:rPr>
        <w:t>3</w:t>
      </w:r>
      <w:r>
        <w:rPr>
          <w:rFonts w:hint="eastAsia"/>
        </w:rPr>
        <w:t>月</w:t>
      </w:r>
      <w:r>
        <w:rPr>
          <w:rFonts w:hint="eastAsia"/>
        </w:rPr>
        <w:t>31</w:t>
      </w:r>
      <w:r>
        <w:rPr>
          <w:rFonts w:hint="eastAsia"/>
        </w:rPr>
        <w:t>日前提交其下一次定期报告，并在其中纳入关于本结论性意见中提出的建议以及整个《公约》的落实情况的最新具体资料。委员会还请缔约国在编写报告时与民间社会和在本国开展工作的非政府组织，以及少数群体和被边缘化的群体，进行广泛协商。根据联大第</w:t>
      </w:r>
      <w:r>
        <w:rPr>
          <w:rFonts w:hint="eastAsia"/>
        </w:rPr>
        <w:t>68/268</w:t>
      </w:r>
      <w:r>
        <w:rPr>
          <w:rFonts w:hint="eastAsia"/>
        </w:rPr>
        <w:t>号决议，报告的篇幅限于</w:t>
      </w:r>
      <w:r>
        <w:rPr>
          <w:rFonts w:hint="eastAsia"/>
        </w:rPr>
        <w:t>21,200</w:t>
      </w:r>
      <w:r>
        <w:rPr>
          <w:rFonts w:hint="eastAsia"/>
        </w:rPr>
        <w:t>字。</w:t>
      </w:r>
    </w:p>
    <w:p w:rsidR="009B49CA" w:rsidRDefault="009B49CA" w:rsidP="00A47C53">
      <w:pPr>
        <w:pStyle w:val="SingleTxtGC"/>
      </w:pPr>
    </w:p>
    <w:p w:rsidR="009B49CA" w:rsidRPr="002C0642" w:rsidRDefault="009B49CA" w:rsidP="009B49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F4939" w:rsidRDefault="00AF4939" w:rsidP="00A47C53">
      <w:pPr>
        <w:pStyle w:val="SingleTxtGC"/>
      </w:pPr>
      <w:bookmarkStart w:id="0" w:name="_GoBack"/>
      <w:bookmarkEnd w:id="0"/>
    </w:p>
    <w:sectPr w:rsidR="00AF4939"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2BF" w:rsidRPr="000D319F" w:rsidRDefault="008B72BF" w:rsidP="000D319F">
      <w:pPr>
        <w:pStyle w:val="Footer"/>
        <w:spacing w:after="240"/>
        <w:ind w:left="907"/>
        <w:rPr>
          <w:rFonts w:asciiTheme="majorBidi" w:eastAsia="SimSun" w:hAnsiTheme="majorBidi" w:cstheme="majorBidi"/>
          <w:sz w:val="21"/>
          <w:szCs w:val="21"/>
          <w:lang w:val="en-US"/>
        </w:rPr>
      </w:pPr>
    </w:p>
    <w:p w:rsidR="008B72BF" w:rsidRPr="000D319F" w:rsidRDefault="008B72BF"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8B72BF" w:rsidRPr="000D319F" w:rsidRDefault="008B72BF" w:rsidP="000D319F">
      <w:pPr>
        <w:pStyle w:val="Footer"/>
      </w:pPr>
    </w:p>
  </w:endnote>
  <w:endnote w:type="continuationNotice" w:id="1">
    <w:p w:rsidR="008B72BF" w:rsidRDefault="008B72B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A47C53" w:rsidRDefault="007243BE" w:rsidP="007243BE">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9B49CA">
      <w:rPr>
        <w:rStyle w:val="PageNumber"/>
        <w:noProof/>
      </w:rPr>
      <w:t>6</w:t>
    </w:r>
    <w:r>
      <w:rPr>
        <w:rStyle w:val="PageNumber"/>
      </w:rPr>
      <w:fldChar w:fldCharType="end"/>
    </w:r>
    <w:r>
      <w:rPr>
        <w:rStyle w:val="PageNumber"/>
      </w:rPr>
      <w:tab/>
    </w:r>
    <w:r w:rsidRPr="007243BE">
      <w:rPr>
        <w:rStyle w:val="PageNumber"/>
        <w:b w:val="0"/>
        <w:snapToGrid w:val="0"/>
        <w:sz w:val="16"/>
      </w:rPr>
      <w:t>GE.16-06506</w:t>
    </w:r>
    <w:r w:rsidR="00A47C53">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7243BE" w:rsidRDefault="007243BE" w:rsidP="007243BE">
    <w:pPr>
      <w:pStyle w:val="Footer"/>
      <w:tabs>
        <w:tab w:val="clear" w:pos="431"/>
        <w:tab w:val="right" w:pos="9638"/>
      </w:tabs>
      <w:rPr>
        <w:rStyle w:val="PageNumber"/>
      </w:rPr>
    </w:pPr>
    <w:r>
      <w:t>GE.16-06506</w:t>
    </w:r>
    <w:r w:rsidR="00A47C53">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9B49CA">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EA7E67" w:rsidRDefault="007243BE" w:rsidP="00487939">
    <w:pPr>
      <w:pStyle w:val="Footer"/>
      <w:tabs>
        <w:tab w:val="left" w:pos="1701"/>
        <w:tab w:val="left" w:pos="2552"/>
        <w:tab w:val="left" w:pos="8448"/>
      </w:tabs>
      <w:spacing w:before="360"/>
      <w:rPr>
        <w:rFonts w:eastAsiaTheme="minorEastAsia"/>
        <w:b/>
        <w:sz w:val="21"/>
        <w:lang w:eastAsia="zh-CN"/>
      </w:rPr>
    </w:pPr>
    <w:r>
      <w:rPr>
        <w:sz w:val="20"/>
        <w:lang w:eastAsia="zh-CN"/>
      </w:rPr>
      <w:t>GE.16-06506</w:t>
    </w:r>
    <w:r w:rsidR="00A47C53">
      <w:rPr>
        <w:sz w:val="20"/>
        <w:lang w:eastAsia="zh-CN"/>
      </w:rPr>
      <w:t xml:space="preserve"> (</w:t>
    </w:r>
    <w:r w:rsidR="00A47C53">
      <w:rPr>
        <w:rFonts w:eastAsiaTheme="minorEastAsia" w:hint="eastAsia"/>
        <w:sz w:val="20"/>
        <w:lang w:eastAsia="zh-CN"/>
      </w:rPr>
      <w:t>EXT</w:t>
    </w:r>
    <w:r w:rsidR="00731A42" w:rsidRPr="00EE277A">
      <w:rPr>
        <w:sz w:val="20"/>
        <w:lang w:eastAsia="zh-CN"/>
      </w:rPr>
      <w:t>)</w:t>
    </w:r>
  </w:p>
  <w:p w:rsidR="00056632" w:rsidRPr="00487939" w:rsidRDefault="007243BE"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DE74C08" wp14:editId="0D5CB14A">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SVN/CO/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VN/CO/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380A2A51" wp14:editId="7906355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2BF" w:rsidRPr="000157B1" w:rsidRDefault="008B72B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8B72BF" w:rsidRPr="000157B1" w:rsidRDefault="008B72B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8B72BF" w:rsidRDefault="008B72BF"/>
  </w:footnote>
  <w:footnote w:id="2">
    <w:p w:rsidR="00A47C53" w:rsidRPr="00A47C53" w:rsidRDefault="00A47C53">
      <w:pPr>
        <w:pStyle w:val="FootnoteText"/>
      </w:pPr>
      <w:r>
        <w:rPr>
          <w:rStyle w:val="FootnoteReference"/>
          <w:rFonts w:eastAsia="SimSun" w:hint="eastAsia"/>
        </w:rPr>
        <w:tab/>
      </w:r>
      <w:r w:rsidRPr="00A47C53">
        <w:rPr>
          <w:rStyle w:val="FootnoteReference"/>
          <w:rFonts w:eastAsia="SimSun"/>
          <w:vertAlign w:val="baseline"/>
        </w:rPr>
        <w:t>*</w:t>
      </w:r>
      <w:r w:rsidRPr="00A47C53">
        <w:rPr>
          <w:rStyle w:val="FootnoteReference"/>
          <w:rFonts w:eastAsia="SimSun" w:hint="eastAsia"/>
          <w:vertAlign w:val="baseline"/>
        </w:rPr>
        <w:tab/>
      </w:r>
      <w:r w:rsidRPr="00A47C53">
        <w:rPr>
          <w:rFonts w:hint="eastAsia"/>
        </w:rPr>
        <w:t>委员会第</w:t>
      </w:r>
      <w:r w:rsidRPr="00A47C53">
        <w:rPr>
          <w:rFonts w:hint="eastAsia"/>
        </w:rPr>
        <w:t>116</w:t>
      </w:r>
      <w:r w:rsidRPr="00A47C53">
        <w:rPr>
          <w:rFonts w:hint="eastAsia"/>
        </w:rPr>
        <w:t>届会议</w:t>
      </w:r>
      <w:r w:rsidRPr="00A47C53">
        <w:rPr>
          <w:rFonts w:hint="eastAsia"/>
        </w:rPr>
        <w:t>(2016</w:t>
      </w:r>
      <w:r w:rsidRPr="00A47C53">
        <w:rPr>
          <w:rFonts w:hint="eastAsia"/>
        </w:rPr>
        <w:t>年</w:t>
      </w:r>
      <w:r w:rsidRPr="00A47C53">
        <w:rPr>
          <w:rFonts w:hint="eastAsia"/>
        </w:rPr>
        <w:t>3</w:t>
      </w:r>
      <w:r w:rsidRPr="00A47C53">
        <w:rPr>
          <w:rFonts w:hint="eastAsia"/>
        </w:rPr>
        <w:t>月</w:t>
      </w:r>
      <w:r w:rsidRPr="00A47C53">
        <w:rPr>
          <w:rFonts w:hint="eastAsia"/>
        </w:rPr>
        <w:t>7</w:t>
      </w:r>
      <w:r w:rsidRPr="00A47C53">
        <w:rPr>
          <w:rFonts w:hint="eastAsia"/>
        </w:rPr>
        <w:t>日至</w:t>
      </w:r>
      <w:r w:rsidRPr="00A47C53">
        <w:rPr>
          <w:rFonts w:hint="eastAsia"/>
        </w:rPr>
        <w:t>31</w:t>
      </w:r>
      <w:r w:rsidRPr="00A47C53">
        <w:rPr>
          <w:rFonts w:hint="eastAsia"/>
        </w:rPr>
        <w:t>日</w:t>
      </w:r>
      <w:r w:rsidRPr="00A47C53">
        <w:rPr>
          <w:rFonts w:hint="eastAsia"/>
        </w:rPr>
        <w:t>)</w:t>
      </w:r>
      <w:r w:rsidRPr="00A47C53">
        <w:rPr>
          <w:rFonts w:hint="eastAsia"/>
        </w:rPr>
        <w:t>上通过。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7243BE" w:rsidP="007243BE">
    <w:pPr>
      <w:pStyle w:val="Header"/>
    </w:pPr>
    <w:r>
      <w:t>CCPR/C/SVN/CO/3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7243BE" w:rsidP="007243BE">
    <w:pPr>
      <w:pStyle w:val="Header"/>
      <w:jc w:val="right"/>
    </w:pPr>
    <w:r>
      <w:t>CCPR/C/SVN/CO/3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3"/>
  </w:num>
  <w:num w:numId="3">
    <w:abstractNumId w:val="2"/>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0D0"/>
    <w:rsid w:val="00011483"/>
    <w:rsid w:val="000D319F"/>
    <w:rsid w:val="000E4D0E"/>
    <w:rsid w:val="000F5EB8"/>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427F63"/>
    <w:rsid w:val="00434D38"/>
    <w:rsid w:val="00494EB8"/>
    <w:rsid w:val="004C4A0A"/>
    <w:rsid w:val="004F348E"/>
    <w:rsid w:val="00501220"/>
    <w:rsid w:val="005E403A"/>
    <w:rsid w:val="00604D91"/>
    <w:rsid w:val="00680656"/>
    <w:rsid w:val="006B1119"/>
    <w:rsid w:val="006D3757"/>
    <w:rsid w:val="006D37EB"/>
    <w:rsid w:val="006E3E46"/>
    <w:rsid w:val="006E71B1"/>
    <w:rsid w:val="006F1404"/>
    <w:rsid w:val="0070593B"/>
    <w:rsid w:val="00705D89"/>
    <w:rsid w:val="007243BE"/>
    <w:rsid w:val="00731A42"/>
    <w:rsid w:val="00767E69"/>
    <w:rsid w:val="0077079A"/>
    <w:rsid w:val="00771504"/>
    <w:rsid w:val="007A5599"/>
    <w:rsid w:val="007B7F57"/>
    <w:rsid w:val="00856233"/>
    <w:rsid w:val="00860F27"/>
    <w:rsid w:val="008B0560"/>
    <w:rsid w:val="008B2BFA"/>
    <w:rsid w:val="008B72BF"/>
    <w:rsid w:val="008D31F4"/>
    <w:rsid w:val="008E6A3F"/>
    <w:rsid w:val="009000D0"/>
    <w:rsid w:val="00923557"/>
    <w:rsid w:val="00936F03"/>
    <w:rsid w:val="00943B69"/>
    <w:rsid w:val="00944CB3"/>
    <w:rsid w:val="00986624"/>
    <w:rsid w:val="009B09D7"/>
    <w:rsid w:val="009B49CA"/>
    <w:rsid w:val="009D35ED"/>
    <w:rsid w:val="00A03CB6"/>
    <w:rsid w:val="00A1364C"/>
    <w:rsid w:val="00A21076"/>
    <w:rsid w:val="00A31BA8"/>
    <w:rsid w:val="00A3739A"/>
    <w:rsid w:val="00A47C53"/>
    <w:rsid w:val="00A52DAF"/>
    <w:rsid w:val="00A84072"/>
    <w:rsid w:val="00AF4939"/>
    <w:rsid w:val="00B06EBD"/>
    <w:rsid w:val="00B16570"/>
    <w:rsid w:val="00B23B03"/>
    <w:rsid w:val="00B43EB7"/>
    <w:rsid w:val="00B53320"/>
    <w:rsid w:val="00BC6522"/>
    <w:rsid w:val="00BD753B"/>
    <w:rsid w:val="00C121D5"/>
    <w:rsid w:val="00C17349"/>
    <w:rsid w:val="00C351AA"/>
    <w:rsid w:val="00C70852"/>
    <w:rsid w:val="00C7253F"/>
    <w:rsid w:val="00C90707"/>
    <w:rsid w:val="00CE1D1C"/>
    <w:rsid w:val="00D26A05"/>
    <w:rsid w:val="00D9309B"/>
    <w:rsid w:val="00D97B98"/>
    <w:rsid w:val="00DA5B8F"/>
    <w:rsid w:val="00DC671F"/>
    <w:rsid w:val="00DE4DA7"/>
    <w:rsid w:val="00E02C13"/>
    <w:rsid w:val="00E33B38"/>
    <w:rsid w:val="00E442A1"/>
    <w:rsid w:val="00E47FE5"/>
    <w:rsid w:val="00E574AF"/>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E442A1"/>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442A1"/>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442A1"/>
    <w:pPr>
      <w:keepLines w:val="0"/>
      <w:spacing w:after="0"/>
    </w:pPr>
  </w:style>
  <w:style w:type="character" w:customStyle="1" w:styleId="EndnoteTextChar">
    <w:name w:val="Endnote Text Char"/>
    <w:basedOn w:val="DefaultParagraphFont"/>
    <w:link w:val="EndnoteText"/>
    <w:rsid w:val="00E442A1"/>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A31BA8"/>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A31BA8"/>
    <w:rPr>
      <w:rFonts w:eastAsia="Times New Roman"/>
      <w:snapToGrid w:val="0"/>
      <w:sz w:val="16"/>
      <w:szCs w:val="16"/>
      <w:lang w:val="en-GB" w:eastAsia="en-US"/>
    </w:rPr>
  </w:style>
  <w:style w:type="character" w:styleId="PageNumber">
    <w:name w:val="page number"/>
    <w:basedOn w:val="DefaultParagraphFont"/>
    <w:qFormat/>
    <w:rsid w:val="00A31BA8"/>
    <w:rPr>
      <w:rFonts w:ascii="Times New Roman" w:hAnsi="Times New Roman"/>
      <w:b/>
      <w:i w:val="0"/>
      <w:snapToGrid w:val="0"/>
      <w:spacing w:val="0"/>
      <w:kern w:val="0"/>
      <w:sz w:val="18"/>
      <w14:cntxtAlts w14:val="0"/>
    </w:rPr>
  </w:style>
  <w:style w:type="paragraph" w:styleId="Header">
    <w:name w:val="header"/>
    <w:basedOn w:val="Normal"/>
    <w:link w:val="HeaderChar"/>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A31BA8"/>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AF4939"/>
    <w:pPr>
      <w:tabs>
        <w:tab w:val="clear" w:pos="431"/>
      </w:tabs>
      <w:suppressAutoHyphens/>
      <w:overflowPunct/>
      <w:adjustRightInd/>
      <w:snapToGrid/>
      <w:spacing w:after="120" w:line="240" w:lineRule="atLeast"/>
      <w:ind w:left="1134" w:right="1134"/>
    </w:pPr>
    <w:rPr>
      <w:rFonts w:eastAsia="Times New Roman"/>
      <w:snapToGrid/>
      <w:sz w:val="20"/>
      <w:lang w:val="en-GB" w:eastAsia="en-US"/>
    </w:rPr>
  </w:style>
  <w:style w:type="character" w:customStyle="1" w:styleId="SingleTxtGChar">
    <w:name w:val="_ Single Txt_G Char"/>
    <w:link w:val="SingleTxtG"/>
    <w:rsid w:val="00AF4939"/>
    <w:rPr>
      <w:rFonts w:eastAsia="Times New Roman"/>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FootnoteTextChar">
    <w:name w:val="Footnote Text Char"/>
    <w:basedOn w:val="DefaultParagraphFont"/>
    <w:link w:val="FootnoteText"/>
    <w:rsid w:val="00E442A1"/>
    <w:rPr>
      <w:snapToGrid w:val="0"/>
      <w:sz w:val="18"/>
      <w:szCs w:val="18"/>
    </w:rPr>
  </w:style>
  <w:style w:type="character" w:styleId="FootnoteReference">
    <w:name w:val="footnote reference"/>
    <w:basedOn w:val="DefaultParagraphFont"/>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E442A1"/>
    <w:pPr>
      <w:tabs>
        <w:tab w:val="left" w:pos="1134"/>
        <w:tab w:val="left" w:pos="1565"/>
        <w:tab w:val="left" w:pos="1996"/>
        <w:tab w:val="left" w:pos="2427"/>
      </w:tabs>
      <w:spacing w:after="120"/>
      <w:ind w:left="1565" w:right="1134"/>
    </w:pPr>
    <w:rPr>
      <w:szCs w:val="21"/>
    </w:rPr>
  </w:style>
  <w:style w:type="paragraph" w:styleId="EndnoteText">
    <w:name w:val="endnote text"/>
    <w:basedOn w:val="FootnoteText"/>
    <w:link w:val="EndnoteTextChar"/>
    <w:qFormat/>
    <w:rsid w:val="00E442A1"/>
    <w:pPr>
      <w:keepLines w:val="0"/>
      <w:spacing w:after="0"/>
    </w:pPr>
  </w:style>
  <w:style w:type="character" w:customStyle="1" w:styleId="EndnoteTextChar">
    <w:name w:val="Endnote Text Char"/>
    <w:basedOn w:val="DefaultParagraphFont"/>
    <w:link w:val="EndnoteText"/>
    <w:rsid w:val="00E442A1"/>
    <w:rPr>
      <w:snapToGrid w:val="0"/>
      <w:sz w:val="18"/>
      <w:szCs w:val="18"/>
    </w:rPr>
  </w:style>
  <w:style w:type="character" w:styleId="EndnoteReference">
    <w:name w:val="endnote reference"/>
    <w:basedOn w:val="Footnote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A31BA8"/>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A31BA8"/>
    <w:rPr>
      <w:rFonts w:eastAsia="Times New Roman"/>
      <w:snapToGrid w:val="0"/>
      <w:sz w:val="16"/>
      <w:szCs w:val="16"/>
      <w:lang w:val="en-GB" w:eastAsia="en-US"/>
    </w:rPr>
  </w:style>
  <w:style w:type="character" w:styleId="PageNumber">
    <w:name w:val="page number"/>
    <w:basedOn w:val="DefaultParagraphFont"/>
    <w:qFormat/>
    <w:rsid w:val="00A31BA8"/>
    <w:rPr>
      <w:rFonts w:ascii="Times New Roman" w:hAnsi="Times New Roman"/>
      <w:b/>
      <w:i w:val="0"/>
      <w:snapToGrid w:val="0"/>
      <w:spacing w:val="0"/>
      <w:kern w:val="0"/>
      <w:sz w:val="18"/>
      <w14:cntxtAlts w14:val="0"/>
    </w:rPr>
  </w:style>
  <w:style w:type="paragraph" w:styleId="Header">
    <w:name w:val="header"/>
    <w:basedOn w:val="Normal"/>
    <w:link w:val="HeaderChar"/>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A31BA8"/>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AF4939"/>
    <w:pPr>
      <w:tabs>
        <w:tab w:val="clear" w:pos="431"/>
      </w:tabs>
      <w:suppressAutoHyphens/>
      <w:overflowPunct/>
      <w:adjustRightInd/>
      <w:snapToGrid/>
      <w:spacing w:after="120" w:line="240" w:lineRule="atLeast"/>
      <w:ind w:left="1134" w:right="1134"/>
    </w:pPr>
    <w:rPr>
      <w:rFonts w:eastAsia="Times New Roman"/>
      <w:snapToGrid/>
      <w:sz w:val="20"/>
      <w:lang w:val="en-GB" w:eastAsia="en-US"/>
    </w:rPr>
  </w:style>
  <w:style w:type="character" w:customStyle="1" w:styleId="SingleTxtGChar">
    <w:name w:val="_ Single Txt_G Char"/>
    <w:link w:val="SingleTxtG"/>
    <w:rsid w:val="00AF4939"/>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C2F243-448F-4C7C-A2F8-7DF528E0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848</Words>
  <Characters>4838</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1606506</vt:lpstr>
    </vt:vector>
  </TitlesOfParts>
  <Company>DCM</Company>
  <LinksUpToDate>false</LinksUpToDate>
  <CharactersWithSpaces>5675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1606506</dc:title>
  <dc:subject>CCPR/C/SVN/CO/3</dc:subject>
  <dc:creator>Xin</dc:creator>
  <cp:lastModifiedBy>yangw</cp:lastModifiedBy>
  <cp:revision>2</cp:revision>
  <cp:lastPrinted>2014-05-09T11:28:00Z</cp:lastPrinted>
  <dcterms:created xsi:type="dcterms:W3CDTF">2016-10-10T13:44:00Z</dcterms:created>
  <dcterms:modified xsi:type="dcterms:W3CDTF">2016-10-10T13:44:00Z</dcterms:modified>
</cp:coreProperties>
</file>