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lang w:val="fr-CH"/>
        </w:rPr>
      </w:pPr>
      <w:r>
        <w:rPr>
          <w:rFonts w:hint="eastAsia"/>
        </w:rPr>
        <w:t>人权事务委员会</w:t>
      </w:r>
    </w:p>
    <w:p w:rsidR="00000000" w:rsidRDefault="00000000">
      <w:pPr>
        <w:pStyle w:val="Heading2"/>
        <w:rPr>
          <w:rFonts w:ascii="Time New Roman" w:eastAsia="SimHei" w:hAnsi="Time New Roman"/>
        </w:rPr>
      </w:pPr>
      <w:r>
        <w:rPr>
          <w:rFonts w:ascii="Time New Roman" w:eastAsia="SimHei" w:hAnsi="Time New Roman" w:hint="eastAsia"/>
        </w:rPr>
        <w:t>审议中华人民共和国香港特别行政区</w:t>
      </w:r>
      <w:r>
        <w:rPr>
          <w:rFonts w:ascii="Time New Roman" w:eastAsia="SimHei" w:hAnsi="Time New Roman"/>
        </w:rPr>
        <w:br/>
      </w:r>
      <w:r>
        <w:rPr>
          <w:rFonts w:ascii="Time New Roman" w:eastAsia="SimHei" w:hAnsi="Time New Roman" w:hint="eastAsia"/>
        </w:rPr>
        <w:t>第二次定期报告时须处理的问题清单</w:t>
      </w:r>
    </w:p>
    <w:p w:rsidR="00000000" w:rsidRDefault="00000000">
      <w:pPr>
        <w:pStyle w:val="Heading3"/>
        <w:rPr>
          <w:rFonts w:ascii="Time New Roman" w:eastAsia="SimHei" w:hAnsi="Time New Roman"/>
          <w:u w:val="none"/>
        </w:rPr>
      </w:pPr>
      <w:r>
        <w:rPr>
          <w:rFonts w:ascii="Time New Roman" w:eastAsia="SimHei" w:hAnsi="Time New Roman" w:hint="eastAsia"/>
          <w:u w:val="none"/>
        </w:rPr>
        <w:t>据以执行《公约》的宪法和法律框架以及</w:t>
      </w:r>
      <w:r>
        <w:rPr>
          <w:rFonts w:ascii="Time New Roman" w:eastAsia="SimHei" w:hAnsi="Time New Roman"/>
          <w:u w:val="none"/>
        </w:rPr>
        <w:br/>
      </w:r>
      <w:r>
        <w:rPr>
          <w:rFonts w:ascii="Time New Roman" w:eastAsia="SimHei" w:hAnsi="Time New Roman" w:hint="eastAsia"/>
          <w:u w:val="none"/>
        </w:rPr>
        <w:t>法律与该框架相符与否</w:t>
      </w:r>
      <w:r>
        <w:rPr>
          <w:rFonts w:ascii="Time New Roman" w:eastAsia="SimHei" w:hAnsi="Time New Roman"/>
          <w:u w:val="none"/>
        </w:rPr>
        <w:t>(</w:t>
      </w:r>
      <w:r>
        <w:rPr>
          <w:rFonts w:ascii="Time New Roman" w:eastAsia="SimHei" w:hAnsi="Time New Roman" w:hint="eastAsia"/>
          <w:u w:val="none"/>
        </w:rPr>
        <w:t>第二条</w:t>
      </w:r>
      <w:r>
        <w:rPr>
          <w:rFonts w:ascii="Time New Roman" w:eastAsia="SimHei" w:hAnsi="Time New Roman"/>
          <w:u w:val="none"/>
        </w:rPr>
        <w:t>)</w:t>
      </w:r>
    </w:p>
    <w:p w:rsidR="00000000" w:rsidRDefault="00000000">
      <w:pPr>
        <w:ind w:firstLine="510"/>
      </w:pPr>
      <w:r>
        <w:t xml:space="preserve">1.  </w:t>
      </w:r>
      <w:r>
        <w:rPr>
          <w:rFonts w:hint="eastAsia"/>
        </w:rPr>
        <w:t>请提供关于全国人民代表大会常务委员会</w:t>
      </w:r>
      <w:r>
        <w:t>(</w:t>
      </w:r>
      <w:r>
        <w:rPr>
          <w:rFonts w:hint="eastAsia"/>
        </w:rPr>
        <w:t>全国人大常委会</w:t>
      </w:r>
      <w:r>
        <w:t>)</w:t>
      </w:r>
      <w:r>
        <w:rPr>
          <w:rFonts w:hint="eastAsia"/>
        </w:rPr>
        <w:t>2004</w:t>
      </w:r>
      <w:r>
        <w:rPr>
          <w:rFonts w:hint="eastAsia"/>
        </w:rPr>
        <w:t>年</w:t>
      </w:r>
      <w:r>
        <w:rPr>
          <w:rFonts w:hint="eastAsia"/>
        </w:rPr>
        <w:t>4</w:t>
      </w:r>
      <w:r>
        <w:rPr>
          <w:rFonts w:hint="eastAsia"/>
        </w:rPr>
        <w:t>月</w:t>
      </w:r>
      <w:r>
        <w:rPr>
          <w:rFonts w:hint="eastAsia"/>
        </w:rPr>
        <w:t>6</w:t>
      </w:r>
      <w:r>
        <w:rPr>
          <w:rFonts w:hint="eastAsia"/>
        </w:rPr>
        <w:t>日和</w:t>
      </w:r>
      <w:r>
        <w:rPr>
          <w:rFonts w:hint="eastAsia"/>
        </w:rPr>
        <w:t>4</w:t>
      </w:r>
      <w:r>
        <w:rPr>
          <w:rFonts w:hint="eastAsia"/>
        </w:rPr>
        <w:t>月</w:t>
      </w:r>
      <w:r>
        <w:rPr>
          <w:rFonts w:hint="eastAsia"/>
        </w:rPr>
        <w:t>26</w:t>
      </w:r>
      <w:r>
        <w:rPr>
          <w:rFonts w:hint="eastAsia"/>
        </w:rPr>
        <w:t>日发布的对《基本法》条款</w:t>
      </w:r>
      <w:r>
        <w:t>(</w:t>
      </w:r>
      <w:r>
        <w:rPr>
          <w:rFonts w:hint="eastAsia"/>
        </w:rPr>
        <w:t>附件一和附件二</w:t>
      </w:r>
      <w:r>
        <w:t>)</w:t>
      </w:r>
      <w:r>
        <w:rPr>
          <w:rFonts w:hint="eastAsia"/>
        </w:rPr>
        <w:t>重新解释的情况，尤其是此一解释对香港特别行政区法院权威的影响，以及在</w:t>
      </w:r>
      <w:r>
        <w:rPr>
          <w:rFonts w:hint="eastAsia"/>
        </w:rPr>
        <w:t>2007</w:t>
      </w:r>
      <w:r>
        <w:rPr>
          <w:rFonts w:hint="eastAsia"/>
        </w:rPr>
        <w:t>年和</w:t>
      </w:r>
      <w:r>
        <w:rPr>
          <w:rFonts w:hint="eastAsia"/>
        </w:rPr>
        <w:t>2008</w:t>
      </w:r>
      <w:r>
        <w:rPr>
          <w:rFonts w:hint="eastAsia"/>
        </w:rPr>
        <w:t>年行政长官和立法会选举中对普选权原则的影响。上述解释如何与人大常委会尊重香港特别行政区公民权利和政治权利的义务相一致？</w:t>
      </w:r>
    </w:p>
    <w:p w:rsidR="00000000" w:rsidRDefault="00000000">
      <w:pPr>
        <w:ind w:firstLine="510"/>
        <w:rPr>
          <w:rFonts w:hint="eastAsia"/>
        </w:rPr>
      </w:pPr>
      <w:r>
        <w:t xml:space="preserve">2.  </w:t>
      </w:r>
      <w:r>
        <w:rPr>
          <w:rFonts w:hint="eastAsia"/>
        </w:rPr>
        <w:t>鉴于香港特别行政区政府在报告</w:t>
      </w:r>
      <w:r>
        <w:t>(CCPR/C/HKG/2005/2)</w:t>
      </w:r>
      <w:r>
        <w:rPr>
          <w:rFonts w:hint="eastAsia"/>
        </w:rPr>
        <w:t>第</w:t>
      </w:r>
      <w:r>
        <w:rPr>
          <w:rFonts w:hint="eastAsia"/>
        </w:rPr>
        <w:t>76</w:t>
      </w:r>
      <w:r>
        <w:rPr>
          <w:rFonts w:hint="eastAsia"/>
        </w:rPr>
        <w:t>至</w:t>
      </w:r>
      <w:r>
        <w:rPr>
          <w:rFonts w:hint="eastAsia"/>
        </w:rPr>
        <w:t>78</w:t>
      </w:r>
      <w:r>
        <w:rPr>
          <w:rFonts w:hint="eastAsia"/>
        </w:rPr>
        <w:t>段中所作的评论，请解释是否已经或设想采取任何步骤，以便按照《巴黎原则》设立一个国家人权机构，以及将申诉专员的权限范围扩大到包含警队和廉政公署。</w:t>
      </w:r>
    </w:p>
    <w:p w:rsidR="00000000" w:rsidRDefault="00000000">
      <w:pPr>
        <w:ind w:firstLine="510"/>
      </w:pPr>
      <w:r>
        <w:t xml:space="preserve">3.  </w:t>
      </w:r>
      <w:r>
        <w:rPr>
          <w:rFonts w:hint="eastAsia"/>
        </w:rPr>
        <w:t>请详细说明</w:t>
      </w:r>
      <w:r>
        <w:rPr>
          <w:rFonts w:ascii="華康細明體" w:hint="eastAsia"/>
        </w:rPr>
        <w:t>平等机会委员会</w:t>
      </w:r>
      <w:r>
        <w:rPr>
          <w:rFonts w:ascii="華康細明體" w:hint="eastAsia"/>
        </w:rPr>
        <w:t>(</w:t>
      </w:r>
      <w:r>
        <w:rPr>
          <w:rFonts w:hint="eastAsia"/>
        </w:rPr>
        <w:t>平机会</w:t>
      </w:r>
      <w:r>
        <w:t>)</w:t>
      </w:r>
      <w:r>
        <w:rPr>
          <w:rFonts w:hint="eastAsia"/>
        </w:rPr>
        <w:t>2002</w:t>
      </w:r>
      <w:r>
        <w:rPr>
          <w:rFonts w:hint="eastAsia"/>
        </w:rPr>
        <w:t>年进行的检讨</w:t>
      </w:r>
      <w:r>
        <w:t>(</w:t>
      </w:r>
      <w:r>
        <w:rPr>
          <w:rFonts w:hint="eastAsia"/>
        </w:rPr>
        <w:t>报告第</w:t>
      </w:r>
      <w:r>
        <w:rPr>
          <w:rFonts w:hint="eastAsia"/>
        </w:rPr>
        <w:t>79</w:t>
      </w:r>
      <w:r>
        <w:rPr>
          <w:rFonts w:hint="eastAsia"/>
        </w:rPr>
        <w:t>段</w:t>
      </w:r>
      <w:r>
        <w:t>)</w:t>
      </w:r>
      <w:r>
        <w:rPr>
          <w:rFonts w:hint="eastAsia"/>
        </w:rPr>
        <w:t>情况，并就不同意任命一个专门委员会调查所指称的平机会</w:t>
      </w:r>
      <w:r>
        <w:rPr>
          <w:rFonts w:hint="eastAsia"/>
        </w:rPr>
        <w:t>2003</w:t>
      </w:r>
      <w:r>
        <w:rPr>
          <w:rFonts w:hint="eastAsia"/>
        </w:rPr>
        <w:t>年</w:t>
      </w:r>
      <w:r>
        <w:rPr>
          <w:rFonts w:hint="eastAsia"/>
        </w:rPr>
        <w:t>7</w:t>
      </w:r>
      <w:r>
        <w:rPr>
          <w:rFonts w:hint="eastAsia"/>
        </w:rPr>
        <w:t>月事件问题提供有关资料。香港特别行政区当局达成采取什么步骤，为平机会主席和委员的任命建立更为透明的机制。</w:t>
      </w:r>
    </w:p>
    <w:p w:rsidR="00000000" w:rsidRDefault="00000000">
      <w:pPr>
        <w:spacing w:after="320"/>
        <w:ind w:firstLine="510"/>
      </w:pPr>
      <w:r>
        <w:t xml:space="preserve">4.  </w:t>
      </w:r>
      <w:r>
        <w:rPr>
          <w:rFonts w:hint="eastAsia"/>
        </w:rPr>
        <w:t>请提供资料说明</w:t>
      </w:r>
      <w:r>
        <w:rPr>
          <w:rFonts w:hint="eastAsia"/>
        </w:rPr>
        <w:t>2003</w:t>
      </w:r>
      <w:r>
        <w:rPr>
          <w:rFonts w:hint="eastAsia"/>
        </w:rPr>
        <w:t>年</w:t>
      </w:r>
      <w:r>
        <w:rPr>
          <w:rFonts w:hint="eastAsia"/>
        </w:rPr>
        <w:t>2</w:t>
      </w:r>
      <w:r>
        <w:rPr>
          <w:rFonts w:hint="eastAsia"/>
        </w:rPr>
        <w:t>月在《基本法》第</w:t>
      </w:r>
      <w:r>
        <w:rPr>
          <w:rFonts w:ascii="華康細明體" w:hint="eastAsia"/>
        </w:rPr>
        <w:t>二十三</w:t>
      </w:r>
      <w:r>
        <w:rPr>
          <w:rFonts w:hint="eastAsia"/>
        </w:rPr>
        <w:t>条之下提出审议，后又于</w:t>
      </w:r>
      <w:r>
        <w:rPr>
          <w:rFonts w:hint="eastAsia"/>
        </w:rPr>
        <w:t>2003</w:t>
      </w:r>
      <w:r>
        <w:rPr>
          <w:rFonts w:hint="eastAsia"/>
        </w:rPr>
        <w:t>年</w:t>
      </w:r>
      <w:r>
        <w:rPr>
          <w:rFonts w:hint="eastAsia"/>
        </w:rPr>
        <w:t>9</w:t>
      </w:r>
      <w:r>
        <w:rPr>
          <w:rFonts w:hint="eastAsia"/>
        </w:rPr>
        <w:t>月</w:t>
      </w:r>
      <w:r>
        <w:rPr>
          <w:rFonts w:hint="eastAsia"/>
        </w:rPr>
        <w:t>5</w:t>
      </w:r>
      <w:r>
        <w:rPr>
          <w:rFonts w:hint="eastAsia"/>
        </w:rPr>
        <w:t>日撤回的《国家安全条例草案》的目前状况。香港特别行政区政府是否计划再次提出该项条例草案的任何内容？若有此计划，已经在什么时候或设想在什么时候采取什么措施，以确保这些内容与《公约》取得一致。</w:t>
      </w:r>
    </w:p>
    <w:p w:rsidR="00000000" w:rsidRDefault="00000000">
      <w:pPr>
        <w:ind w:firstLine="510"/>
        <w:jc w:val="center"/>
        <w:rPr>
          <w:rFonts w:ascii="Time New Roman" w:eastAsia="SimHei" w:hAnsi="Time New Roman"/>
        </w:rPr>
      </w:pPr>
      <w:r>
        <w:rPr>
          <w:rFonts w:ascii="Time New Roman" w:eastAsia="SimHei" w:hAnsi="Time New Roman" w:hint="eastAsia"/>
        </w:rPr>
        <w:t>男女平等和不歧视原则；免受酷刑和残忍、</w:t>
      </w:r>
    </w:p>
    <w:p w:rsidR="00000000" w:rsidRDefault="00000000">
      <w:pPr>
        <w:ind w:firstLine="510"/>
        <w:jc w:val="center"/>
        <w:rPr>
          <w:rFonts w:ascii="Time New Roman" w:eastAsia="SimHei" w:hAnsi="Time New Roman"/>
        </w:rPr>
      </w:pPr>
      <w:r>
        <w:rPr>
          <w:rFonts w:ascii="Time New Roman" w:eastAsia="SimHei" w:hAnsi="Time New Roman" w:hint="eastAsia"/>
        </w:rPr>
        <w:t>不人道或有辱人格待遇的自由；免于任意逮捕和拘留的权利；</w:t>
      </w:r>
    </w:p>
    <w:p w:rsidR="00000000" w:rsidRDefault="00000000">
      <w:pPr>
        <w:ind w:firstLine="510"/>
        <w:jc w:val="center"/>
        <w:rPr>
          <w:rFonts w:ascii="Time New Roman" w:eastAsia="SimHei" w:hAnsi="Time New Roman"/>
        </w:rPr>
      </w:pPr>
      <w:r>
        <w:rPr>
          <w:rFonts w:ascii="Time New Roman" w:eastAsia="SimHei" w:hAnsi="Time New Roman" w:hint="eastAsia"/>
        </w:rPr>
        <w:t>人身安全和免于任意逮捕的保护；囚犯和其他被拘留者的待遇</w:t>
      </w:r>
    </w:p>
    <w:p w:rsidR="00000000" w:rsidRDefault="00000000">
      <w:pPr>
        <w:spacing w:after="320"/>
        <w:ind w:firstLine="510"/>
        <w:jc w:val="center"/>
        <w:rPr>
          <w:rFonts w:ascii="Time New Roman" w:eastAsia="SimHei" w:hAnsi="Time New Roman"/>
        </w:rPr>
      </w:pPr>
      <w:r>
        <w:rPr>
          <w:rFonts w:ascii="Time New Roman" w:eastAsia="SimHei" w:hAnsi="Time New Roman"/>
        </w:rPr>
        <w:t>(</w:t>
      </w:r>
      <w:r>
        <w:rPr>
          <w:rFonts w:ascii="Time New Roman" w:eastAsia="SimHei" w:hAnsi="Time New Roman" w:hint="eastAsia"/>
        </w:rPr>
        <w:t>第三、七、九、十、二十六条</w:t>
      </w:r>
      <w:r>
        <w:rPr>
          <w:rFonts w:ascii="Time New Roman" w:eastAsia="SimHei" w:hAnsi="Time New Roman"/>
        </w:rPr>
        <w:t>)</w:t>
      </w:r>
    </w:p>
    <w:p w:rsidR="00000000" w:rsidRDefault="00000000">
      <w:pPr>
        <w:ind w:firstLine="510"/>
        <w:rPr>
          <w:rFonts w:hint="eastAsia"/>
        </w:rPr>
      </w:pPr>
      <w:r>
        <w:t xml:space="preserve">5.  </w:t>
      </w:r>
      <w:r>
        <w:rPr>
          <w:rFonts w:hint="eastAsia"/>
        </w:rPr>
        <w:t>香港特别行政区政府已采取什么措施制止侵害妇女的暴力行为，包括家庭暴力和性暴力？</w:t>
      </w:r>
    </w:p>
    <w:p w:rsidR="00000000" w:rsidRDefault="00000000">
      <w:pPr>
        <w:spacing w:after="320"/>
        <w:ind w:firstLine="510"/>
      </w:pPr>
      <w:r>
        <w:t xml:space="preserve">6.  </w:t>
      </w:r>
      <w:r>
        <w:rPr>
          <w:rFonts w:hint="eastAsia"/>
        </w:rPr>
        <w:t>请提供进一步资料，介绍为向在中国内地被拘留的香港特别行政区居民提供援助而建立的通报制度</w:t>
      </w:r>
      <w:r>
        <w:t>(</w:t>
      </w:r>
      <w:r>
        <w:rPr>
          <w:rFonts w:hint="eastAsia"/>
        </w:rPr>
        <w:t>报告第</w:t>
      </w:r>
      <w:r>
        <w:rPr>
          <w:rFonts w:hint="eastAsia"/>
        </w:rPr>
        <w:t>198</w:t>
      </w:r>
      <w:r>
        <w:rPr>
          <w:rFonts w:hint="eastAsia"/>
        </w:rPr>
        <w:t>段</w:t>
      </w:r>
      <w:r>
        <w:t>)</w:t>
      </w:r>
      <w:r>
        <w:rPr>
          <w:rFonts w:hint="eastAsia"/>
        </w:rPr>
        <w:t>。</w:t>
      </w:r>
    </w:p>
    <w:p w:rsidR="00000000" w:rsidRDefault="00000000">
      <w:pPr>
        <w:ind w:firstLine="510"/>
        <w:jc w:val="center"/>
        <w:rPr>
          <w:rFonts w:ascii="Time New Roman" w:eastAsia="SimHei" w:hAnsi="Time New Roman"/>
        </w:rPr>
      </w:pPr>
      <w:r>
        <w:rPr>
          <w:rFonts w:ascii="Time New Roman" w:eastAsia="SimHei" w:hAnsi="Time New Roman" w:hint="eastAsia"/>
        </w:rPr>
        <w:t>禁止奴役或强迫或强制劳动</w:t>
      </w:r>
    </w:p>
    <w:p w:rsidR="00000000" w:rsidRDefault="00000000">
      <w:pPr>
        <w:spacing w:after="320"/>
        <w:ind w:firstLine="510"/>
        <w:jc w:val="center"/>
        <w:rPr>
          <w:rFonts w:ascii="Time New Roman" w:eastAsia="SimHei" w:hAnsi="Time New Roman"/>
        </w:rPr>
      </w:pPr>
      <w:r>
        <w:rPr>
          <w:rFonts w:ascii="Time New Roman" w:eastAsia="SimHei" w:hAnsi="Time New Roman"/>
        </w:rPr>
        <w:t>(</w:t>
      </w:r>
      <w:r>
        <w:rPr>
          <w:rFonts w:ascii="Time New Roman" w:eastAsia="SimHei" w:hAnsi="Time New Roman" w:hint="eastAsia"/>
        </w:rPr>
        <w:t>第八条</w:t>
      </w:r>
      <w:r>
        <w:rPr>
          <w:rFonts w:ascii="Time New Roman" w:eastAsia="SimHei" w:hAnsi="Time New Roman"/>
        </w:rPr>
        <w:t>)</w:t>
      </w:r>
    </w:p>
    <w:p w:rsidR="00000000" w:rsidRDefault="00000000">
      <w:pPr>
        <w:spacing w:after="320"/>
        <w:ind w:firstLine="510"/>
      </w:pPr>
      <w:r>
        <w:t xml:space="preserve">7.  </w:t>
      </w:r>
      <w:r>
        <w:rPr>
          <w:rFonts w:hint="eastAsia"/>
        </w:rPr>
        <w:t>请提供资料，说明制定的打击贩运人口者的任何法律程序、规定的处罚办法、对证人的保护以及为之提供的救济。</w:t>
      </w:r>
    </w:p>
    <w:p w:rsidR="00000000" w:rsidRDefault="00000000">
      <w:pPr>
        <w:ind w:firstLine="510"/>
        <w:jc w:val="center"/>
        <w:rPr>
          <w:rFonts w:ascii="Time New Roman" w:eastAsia="SimHei" w:hAnsi="Time New Roman"/>
        </w:rPr>
      </w:pPr>
      <w:r>
        <w:rPr>
          <w:rFonts w:ascii="Time New Roman" w:eastAsia="SimHei" w:hAnsi="Time New Roman" w:hint="eastAsia"/>
        </w:rPr>
        <w:t>隐私权；思想、良心和宗教自由权；</w:t>
      </w:r>
      <w:r>
        <w:rPr>
          <w:rFonts w:ascii="Time New Roman" w:eastAsia="SimHei" w:hAnsi="Time New Roman"/>
        </w:rPr>
        <w:br/>
      </w:r>
      <w:r>
        <w:rPr>
          <w:rFonts w:ascii="Time New Roman" w:eastAsia="SimHei" w:hAnsi="Time New Roman" w:hint="eastAsia"/>
        </w:rPr>
        <w:t>见解和言论、和平集会和结社自由权</w:t>
      </w:r>
    </w:p>
    <w:p w:rsidR="00000000" w:rsidRDefault="00000000">
      <w:pPr>
        <w:spacing w:after="320"/>
        <w:ind w:firstLine="510"/>
        <w:jc w:val="center"/>
        <w:rPr>
          <w:rFonts w:ascii="Time New Roman" w:eastAsia="SimHei" w:hAnsi="Time New Roman"/>
        </w:rPr>
      </w:pPr>
      <w:r>
        <w:rPr>
          <w:rFonts w:ascii="Time New Roman" w:eastAsia="SimHei" w:hAnsi="Time New Roman"/>
        </w:rPr>
        <w:t>(</w:t>
      </w:r>
      <w:r>
        <w:rPr>
          <w:rFonts w:ascii="Time New Roman" w:eastAsia="SimHei" w:hAnsi="Time New Roman" w:hint="eastAsia"/>
        </w:rPr>
        <w:t>第十七、十八、十九、二十一、二十二条</w:t>
      </w:r>
      <w:r>
        <w:rPr>
          <w:rFonts w:ascii="Time New Roman" w:eastAsia="SimHei" w:hAnsi="Time New Roman"/>
        </w:rPr>
        <w:t>)</w:t>
      </w:r>
    </w:p>
    <w:p w:rsidR="00000000" w:rsidRDefault="00000000">
      <w:pPr>
        <w:ind w:firstLine="510"/>
        <w:rPr>
          <w:rFonts w:hint="eastAsia"/>
        </w:rPr>
      </w:pPr>
      <w:r>
        <w:t xml:space="preserve">8.  </w:t>
      </w:r>
      <w:r>
        <w:rPr>
          <w:rFonts w:hint="eastAsia"/>
        </w:rPr>
        <w:t>请提供资料，说明《电讯条例》、《邮政署条例》和《截取通讯条例》在多大程度上遵循了《公约》第十七条和第十九条，并详细说明所宣布的在《截取通讯条例》之下对规例进行检讨的情况</w:t>
      </w:r>
      <w:r>
        <w:t>(</w:t>
      </w:r>
      <w:r>
        <w:rPr>
          <w:rFonts w:hint="eastAsia"/>
        </w:rPr>
        <w:t>报告第</w:t>
      </w:r>
      <w:r>
        <w:rPr>
          <w:rFonts w:hint="eastAsia"/>
        </w:rPr>
        <w:t>248</w:t>
      </w:r>
      <w:r>
        <w:rPr>
          <w:rFonts w:hint="eastAsia"/>
        </w:rPr>
        <w:t>段</w:t>
      </w:r>
      <w:r>
        <w:t>)</w:t>
      </w:r>
      <w:r>
        <w:rPr>
          <w:rFonts w:hint="eastAsia"/>
        </w:rPr>
        <w:t>。</w:t>
      </w:r>
    </w:p>
    <w:p w:rsidR="00000000" w:rsidRDefault="00000000">
      <w:pPr>
        <w:ind w:firstLine="510"/>
        <w:rPr>
          <w:rFonts w:ascii="SimSun" w:hAnsi="SimSun"/>
        </w:rPr>
      </w:pPr>
      <w:r>
        <w:t xml:space="preserve">9.  </w:t>
      </w:r>
      <w:r>
        <w:rPr>
          <w:rFonts w:ascii="SimSun" w:hAnsi="SimSun"/>
        </w:rPr>
        <w:t>请就有关报道作出评论，这些报道指称在所谓的2004年4月“爱国运动” 之后媒体自行检查控制的情况增多、存在来自内地官员的批评，以及据报香港特别行政区当局未处理黑社会针对主要媒体人士发出的威胁。</w:t>
      </w:r>
    </w:p>
    <w:p w:rsidR="00000000" w:rsidRDefault="00000000">
      <w:pPr>
        <w:ind w:firstLine="510"/>
        <w:rPr>
          <w:rFonts w:hint="eastAsia"/>
        </w:rPr>
      </w:pPr>
      <w:r>
        <w:t xml:space="preserve">10.  </w:t>
      </w:r>
      <w:r>
        <w:rPr>
          <w:rFonts w:hint="eastAsia"/>
        </w:rPr>
        <w:t>请就所报告的廉政公署</w:t>
      </w:r>
      <w:r>
        <w:rPr>
          <w:rFonts w:hint="eastAsia"/>
        </w:rPr>
        <w:t>2004</w:t>
      </w:r>
      <w:r>
        <w:rPr>
          <w:rFonts w:hint="eastAsia"/>
        </w:rPr>
        <w:t>年</w:t>
      </w:r>
      <w:r>
        <w:rPr>
          <w:rFonts w:hint="eastAsia"/>
        </w:rPr>
        <w:t>7</w:t>
      </w:r>
      <w:r>
        <w:rPr>
          <w:rFonts w:hint="eastAsia"/>
        </w:rPr>
        <w:t>月</w:t>
      </w:r>
      <w:r>
        <w:rPr>
          <w:rFonts w:hint="eastAsia"/>
        </w:rPr>
        <w:t>24</w:t>
      </w:r>
      <w:r>
        <w:rPr>
          <w:rFonts w:hint="eastAsia"/>
        </w:rPr>
        <w:t>日搜查</w:t>
      </w:r>
      <w:r>
        <w:t>7</w:t>
      </w:r>
      <w:r>
        <w:rPr>
          <w:rFonts w:hint="eastAsia"/>
        </w:rPr>
        <w:t>家新闻机构及这些机构新闻记者家庭一事提供资料，原讼法庭在</w:t>
      </w:r>
      <w:r>
        <w:rPr>
          <w:rFonts w:hint="eastAsia"/>
        </w:rPr>
        <w:t>2004</w:t>
      </w:r>
      <w:r>
        <w:rPr>
          <w:rFonts w:hint="eastAsia"/>
        </w:rPr>
        <w:t>年</w:t>
      </w:r>
      <w:r>
        <w:rPr>
          <w:rFonts w:hint="eastAsia"/>
        </w:rPr>
        <w:t>8</w:t>
      </w:r>
      <w:r>
        <w:rPr>
          <w:rFonts w:hint="eastAsia"/>
        </w:rPr>
        <w:t>月的一项裁决中认定此举“在事实和法律上都是错误的”。上诉法庭的裁决对新闻自由有何影响，上诉法庭于</w:t>
      </w:r>
      <w:r>
        <w:rPr>
          <w:rFonts w:hint="eastAsia"/>
        </w:rPr>
        <w:t>2004</w:t>
      </w:r>
      <w:r>
        <w:rPr>
          <w:rFonts w:hint="eastAsia"/>
        </w:rPr>
        <w:t>年</w:t>
      </w:r>
      <w:r>
        <w:rPr>
          <w:rFonts w:hint="eastAsia"/>
        </w:rPr>
        <w:t>10</w:t>
      </w:r>
      <w:r>
        <w:rPr>
          <w:rFonts w:hint="eastAsia"/>
        </w:rPr>
        <w:t>月以技术理由驳回了廉政公署的上诉，但在结论中为何仍认定廉政公署的行动是合法的？请详细说明廉政公署事宜投诉委员会</w:t>
      </w:r>
      <w:r>
        <w:t>(</w:t>
      </w:r>
      <w:r>
        <w:rPr>
          <w:rFonts w:hint="eastAsia"/>
        </w:rPr>
        <w:t>报告第</w:t>
      </w:r>
      <w:r>
        <w:rPr>
          <w:rFonts w:hint="eastAsia"/>
        </w:rPr>
        <w:t>51</w:t>
      </w:r>
      <w:r>
        <w:rPr>
          <w:rFonts w:hint="eastAsia"/>
        </w:rPr>
        <w:t>段</w:t>
      </w:r>
      <w:r>
        <w:t>)</w:t>
      </w:r>
      <w:r>
        <w:rPr>
          <w:rFonts w:hint="eastAsia"/>
        </w:rPr>
        <w:t>的监督作用。</w:t>
      </w:r>
    </w:p>
    <w:p w:rsidR="00000000" w:rsidRDefault="00000000">
      <w:pPr>
        <w:ind w:firstLine="510"/>
        <w:rPr>
          <w:rFonts w:hint="eastAsia"/>
        </w:rPr>
      </w:pPr>
      <w:r>
        <w:t xml:space="preserve">11.  </w:t>
      </w:r>
      <w:r>
        <w:rPr>
          <w:rFonts w:hint="eastAsia"/>
        </w:rPr>
        <w:t>本委员会所了解的情况表明，有报告称，有居住在香港的学术界人士由于政治原因被内地安全机关拘留，而特别行政区政府没有出面干预。在这方面，请详细说明香港特别行政区当局采取了什么步骤，以保护《基本法》第三十四条所包含并在《公约》第十九条中有相关规定的学术自由。</w:t>
      </w:r>
    </w:p>
    <w:p w:rsidR="00000000" w:rsidRDefault="00000000">
      <w:pPr>
        <w:ind w:firstLine="510"/>
        <w:rPr>
          <w:rFonts w:hint="eastAsia"/>
        </w:rPr>
      </w:pPr>
      <w:r>
        <w:t xml:space="preserve">12.  </w:t>
      </w:r>
      <w:r>
        <w:rPr>
          <w:rFonts w:hint="eastAsia"/>
        </w:rPr>
        <w:t>请提供资料，说明《刑事罪行条例》中关于叛国和煽动叛乱的条款在多大程度上符合《公约》第十九条。请说明已采取哪些措施落实本委员会过去关于这个问题的结论性意见。</w:t>
      </w:r>
    </w:p>
    <w:p w:rsidR="00000000" w:rsidRDefault="00000000">
      <w:pPr>
        <w:ind w:firstLine="510"/>
        <w:rPr>
          <w:bCs/>
        </w:rPr>
      </w:pPr>
      <w:r>
        <w:t xml:space="preserve">13.  </w:t>
      </w:r>
      <w:r>
        <w:rPr>
          <w:rFonts w:hint="eastAsia"/>
        </w:rPr>
        <w:t>请提供资料，说明香港特别行政区当局是否打算修订</w:t>
      </w:r>
      <w:r>
        <w:rPr>
          <w:rFonts w:hint="eastAsia"/>
          <w:bCs/>
        </w:rPr>
        <w:t>《社团条例》，以通报制度取代现行规定结社须经政府批准的强制注册制度。请提供关于以国家安全、</w:t>
      </w:r>
      <w:r>
        <w:rPr>
          <w:rFonts w:hint="eastAsia"/>
        </w:rPr>
        <w:t>公安</w:t>
      </w:r>
      <w:r>
        <w:rPr>
          <w:rFonts w:hint="eastAsia"/>
          <w:bCs/>
        </w:rPr>
        <w:t>、公共秩序或保护他人权利和自由为由拒绝批准的注册申请数目的统计资料。</w:t>
      </w:r>
    </w:p>
    <w:p w:rsidR="00000000" w:rsidRDefault="00000000">
      <w:pPr>
        <w:ind w:firstLine="510"/>
        <w:rPr>
          <w:rFonts w:hint="eastAsia"/>
        </w:rPr>
      </w:pPr>
      <w:r>
        <w:t xml:space="preserve">14.  </w:t>
      </w:r>
      <w:r>
        <w:rPr>
          <w:rFonts w:hint="eastAsia"/>
        </w:rPr>
        <w:t>请就本委员会所掌握的有关信息作出评论，这些信息表明，警方使用了《公安条例》之下的“不反对通知书”程序，加大各团体申请游行、示威和集会许可的难度，而且在和平抗议过程中逮捕新闻记者和学生。请详细说明针对这些抗议者规定的条件和</w:t>
      </w:r>
      <w:r>
        <w:t>/</w:t>
      </w:r>
      <w:r>
        <w:rPr>
          <w:rFonts w:hint="eastAsia"/>
        </w:rPr>
        <w:t>或处罚。以“国家安全”、“公安”理由或其他事由驳回的是哪些类型的公众示威申请？</w:t>
      </w:r>
    </w:p>
    <w:p w:rsidR="00000000" w:rsidRDefault="00000000">
      <w:pPr>
        <w:ind w:firstLine="510"/>
        <w:rPr>
          <w:rFonts w:hint="eastAsia"/>
        </w:rPr>
      </w:pPr>
      <w:r>
        <w:t xml:space="preserve">15.  </w:t>
      </w:r>
      <w:r>
        <w:rPr>
          <w:rFonts w:hint="eastAsia"/>
        </w:rPr>
        <w:t>本委员会所了解的情况表明，香港特别行政区对法轮功人员规定了限制</w:t>
      </w:r>
      <w:r>
        <w:t>(</w:t>
      </w:r>
      <w:r>
        <w:rPr>
          <w:rFonts w:hint="eastAsia"/>
        </w:rPr>
        <w:t>包括限制使用公共设施、不准区外法轮功人员进入香港特别行政区，以及官员发出的公开警告</w:t>
      </w:r>
      <w:r>
        <w:t>)</w:t>
      </w:r>
      <w:r>
        <w:rPr>
          <w:rFonts w:hint="eastAsia"/>
        </w:rPr>
        <w:t>。请就这些限制与《公约》第十八、十九和二十一条是否一致作出评论并提供资料。</w:t>
      </w:r>
    </w:p>
    <w:p w:rsidR="00000000" w:rsidRDefault="00000000">
      <w:pPr>
        <w:spacing w:after="320"/>
        <w:ind w:firstLine="510"/>
      </w:pPr>
      <w:r>
        <w:t xml:space="preserve">16.  </w:t>
      </w:r>
      <w:r>
        <w:rPr>
          <w:rFonts w:hint="eastAsia"/>
        </w:rPr>
        <w:t>请解释缺乏承认工会和集体谈判权方面的体制框架这一情况如何与《公约》第二十二条相符。</w:t>
      </w:r>
    </w:p>
    <w:p w:rsidR="00000000" w:rsidRDefault="00000000">
      <w:pPr>
        <w:pStyle w:val="Heading3"/>
        <w:spacing w:line="319" w:lineRule="auto"/>
        <w:rPr>
          <w:rFonts w:ascii="Time New Roman" w:eastAsia="SimHei" w:hAnsi="Time New Roman"/>
          <w:b/>
          <w:bCs/>
          <w:u w:val="none"/>
        </w:rPr>
      </w:pPr>
      <w:r>
        <w:rPr>
          <w:rFonts w:ascii="Time New Roman" w:eastAsia="SimHei" w:hAnsi="Time New Roman" w:hint="eastAsia"/>
          <w:u w:val="none"/>
        </w:rPr>
        <w:t>驱逐外国人；某人进入本国的权利；对家庭和儿童的保护</w:t>
      </w:r>
      <w:r>
        <w:rPr>
          <w:rFonts w:ascii="Time New Roman" w:eastAsia="SimHei" w:hAnsi="Time New Roman"/>
          <w:u w:val="none"/>
        </w:rPr>
        <w:br/>
      </w:r>
      <w:r>
        <w:rPr>
          <w:rFonts w:ascii="Time New Roman" w:eastAsia="SimHei" w:hAnsi="Time New Roman"/>
          <w:b/>
          <w:bCs/>
          <w:u w:val="none"/>
        </w:rPr>
        <w:t>(</w:t>
      </w:r>
      <w:r>
        <w:rPr>
          <w:rFonts w:ascii="Time New Roman" w:eastAsia="SimHei" w:hAnsi="Time New Roman" w:hint="eastAsia"/>
          <w:b/>
          <w:bCs/>
          <w:u w:val="none"/>
        </w:rPr>
        <w:t>第十二、十三、二十三、二十四条</w:t>
      </w:r>
      <w:r>
        <w:rPr>
          <w:rFonts w:ascii="Time New Roman" w:eastAsia="SimHei" w:hAnsi="Time New Roman"/>
          <w:b/>
          <w:bCs/>
          <w:u w:val="none"/>
        </w:rPr>
        <w:t>)</w:t>
      </w:r>
    </w:p>
    <w:p w:rsidR="00000000" w:rsidRDefault="00000000">
      <w:pPr>
        <w:spacing w:line="319" w:lineRule="auto"/>
        <w:ind w:firstLine="510"/>
      </w:pPr>
      <w:r>
        <w:t xml:space="preserve">17.  </w:t>
      </w:r>
      <w:r>
        <w:rPr>
          <w:rFonts w:hint="eastAsia"/>
        </w:rPr>
        <w:t>请提供进一步资料，说明行政长官根据《入境条例》签发遣送令和递解令的权力。关于遣送令</w:t>
      </w:r>
      <w:r>
        <w:t>(</w:t>
      </w:r>
      <w:r>
        <w:rPr>
          <w:rFonts w:hint="eastAsia"/>
        </w:rPr>
        <w:t>第</w:t>
      </w:r>
      <w:r>
        <w:rPr>
          <w:rFonts w:hint="eastAsia"/>
        </w:rPr>
        <w:t>19.1</w:t>
      </w:r>
      <w:r>
        <w:t>(a)</w:t>
      </w:r>
      <w:r>
        <w:rPr>
          <w:rFonts w:hint="eastAsia"/>
        </w:rPr>
        <w:t>条</w:t>
      </w:r>
      <w:r>
        <w:t>)</w:t>
      </w:r>
      <w:r>
        <w:rPr>
          <w:rFonts w:hint="eastAsia"/>
        </w:rPr>
        <w:t>，什么人属于“不受欢迎入境者”？行政长官使用什么标准判断递解某个入境者离境“有利于公众利益”</w:t>
      </w:r>
      <w:r>
        <w:t xml:space="preserve"> (</w:t>
      </w:r>
      <w:r>
        <w:rPr>
          <w:rFonts w:hint="eastAsia"/>
        </w:rPr>
        <w:t>第</w:t>
      </w:r>
      <w:r>
        <w:t>20</w:t>
      </w:r>
      <w:r>
        <w:rPr>
          <w:rFonts w:hint="eastAsia"/>
        </w:rPr>
        <w:t>.1</w:t>
      </w:r>
      <w:r>
        <w:rPr>
          <w:rFonts w:hint="eastAsia"/>
        </w:rPr>
        <w:t>条</w:t>
      </w:r>
      <w:r>
        <w:t>)</w:t>
      </w:r>
      <w:r>
        <w:rPr>
          <w:rFonts w:hint="eastAsia"/>
        </w:rPr>
        <w:t>？</w:t>
      </w:r>
    </w:p>
    <w:p w:rsidR="00000000" w:rsidRDefault="00000000">
      <w:pPr>
        <w:spacing w:line="319" w:lineRule="auto"/>
        <w:ind w:firstLine="510"/>
      </w:pPr>
      <w:r>
        <w:t xml:space="preserve">18.  </w:t>
      </w:r>
      <w:r>
        <w:rPr>
          <w:rFonts w:hint="eastAsia"/>
        </w:rPr>
        <w:t>请详细说明自政府取消临时保护政策以来香港特别行政区境内难民或寻求庇护人士的状况，并提供关于入境事务处处长收到并批准的申请的情况。请解释香港特别行政区当局为何实施终审法院在</w:t>
      </w:r>
      <w:r>
        <w:rPr>
          <w:rFonts w:hint="eastAsia"/>
        </w:rPr>
        <w:t xml:space="preserve">Prabakar </w:t>
      </w:r>
      <w:r>
        <w:rPr>
          <w:rFonts w:hint="eastAsia"/>
        </w:rPr>
        <w:t>訴保安局局長一案中的裁决。对于雇用获得难民地位</w:t>
      </w:r>
      <w:r>
        <w:t>(</w:t>
      </w:r>
      <w:r>
        <w:rPr>
          <w:rFonts w:hint="eastAsia"/>
        </w:rPr>
        <w:t>或地位正在由联合国难民事务高级专员办事处评定</w:t>
      </w:r>
      <w:r>
        <w:t>)</w:t>
      </w:r>
      <w:r>
        <w:rPr>
          <w:rFonts w:hint="eastAsia"/>
        </w:rPr>
        <w:t>的人及其子女上学有什么规定？</w:t>
      </w:r>
    </w:p>
    <w:p w:rsidR="00000000" w:rsidRDefault="00000000">
      <w:pPr>
        <w:spacing w:after="320" w:line="319" w:lineRule="auto"/>
        <w:ind w:firstLine="510"/>
      </w:pPr>
      <w:r>
        <w:t xml:space="preserve">19.  </w:t>
      </w:r>
      <w:r>
        <w:rPr>
          <w:rFonts w:hint="eastAsia"/>
        </w:rPr>
        <w:t>本委员会所了解的情况表明，居留权的申请理由已大幅度收缩。</w:t>
      </w:r>
      <w:r>
        <w:rPr>
          <w:rFonts w:hint="eastAsia"/>
        </w:rPr>
        <w:t>2002</w:t>
      </w:r>
      <w:r>
        <w:rPr>
          <w:rFonts w:hint="eastAsia"/>
        </w:rPr>
        <w:t>年</w:t>
      </w:r>
      <w:r>
        <w:rPr>
          <w:rFonts w:hint="eastAsia"/>
        </w:rPr>
        <w:t>1</w:t>
      </w:r>
      <w:r>
        <w:rPr>
          <w:rFonts w:hint="eastAsia"/>
        </w:rPr>
        <w:t>月，终审法院的一项判决裁定</w:t>
      </w:r>
      <w:r>
        <w:rPr>
          <w:rFonts w:hint="eastAsia"/>
        </w:rPr>
        <w:t>5000</w:t>
      </w:r>
      <w:r>
        <w:rPr>
          <w:rFonts w:hint="eastAsia"/>
        </w:rPr>
        <w:t>申请人中只有大约</w:t>
      </w:r>
      <w:r>
        <w:rPr>
          <w:rFonts w:hint="eastAsia"/>
        </w:rPr>
        <w:t>400</w:t>
      </w:r>
      <w:r>
        <w:rPr>
          <w:rFonts w:hint="eastAsia"/>
        </w:rPr>
        <w:t>人具有居留权。在这方面，请提供资料说明居留权和家庭团聚权申请人的现状、法律保护和人数。</w:t>
      </w:r>
    </w:p>
    <w:p w:rsidR="00000000" w:rsidRDefault="00000000">
      <w:pPr>
        <w:spacing w:line="319" w:lineRule="auto"/>
        <w:ind w:firstLine="510"/>
        <w:jc w:val="center"/>
        <w:rPr>
          <w:rFonts w:ascii="Time New Roman" w:eastAsia="SimHei" w:hAnsi="Time New Roman"/>
        </w:rPr>
      </w:pPr>
      <w:r>
        <w:rPr>
          <w:rFonts w:ascii="Time New Roman" w:eastAsia="SimHei" w:hAnsi="Time New Roman" w:hint="eastAsia"/>
        </w:rPr>
        <w:t>参与公共事务的权利；选举和被选举权</w:t>
      </w:r>
    </w:p>
    <w:p w:rsidR="00000000" w:rsidRDefault="00000000">
      <w:pPr>
        <w:spacing w:after="320" w:line="319" w:lineRule="auto"/>
        <w:ind w:firstLine="510"/>
        <w:jc w:val="center"/>
        <w:rPr>
          <w:rFonts w:ascii="Time New Roman" w:eastAsia="SimHei" w:hAnsi="Time New Roman"/>
        </w:rPr>
      </w:pPr>
      <w:r>
        <w:rPr>
          <w:rFonts w:ascii="Time New Roman" w:eastAsia="SimHei" w:hAnsi="Time New Roman"/>
        </w:rPr>
        <w:t>(</w:t>
      </w:r>
      <w:r>
        <w:rPr>
          <w:rFonts w:ascii="Time New Roman" w:eastAsia="SimHei" w:hAnsi="Time New Roman" w:hint="eastAsia"/>
        </w:rPr>
        <w:t>第二十五条</w:t>
      </w:r>
      <w:r>
        <w:rPr>
          <w:rFonts w:ascii="Time New Roman" w:eastAsia="SimHei" w:hAnsi="Time New Roman"/>
        </w:rPr>
        <w:t>)</w:t>
      </w:r>
    </w:p>
    <w:p w:rsidR="00000000" w:rsidRDefault="00000000">
      <w:pPr>
        <w:spacing w:after="320" w:line="319" w:lineRule="auto"/>
        <w:ind w:firstLine="510"/>
      </w:pPr>
      <w:r>
        <w:t xml:space="preserve">20.  </w:t>
      </w:r>
      <w:r>
        <w:rPr>
          <w:rFonts w:hint="eastAsia"/>
        </w:rPr>
        <w:t>有一些指称提到民主派立法委员受到威胁和恶意侵害的情况，也有一些指称提到警方调查不力以及对肇事者的司法追究不力的情况。请提供资料，说明是否采取任何行动，以防止、调查和追究据报</w:t>
      </w:r>
      <w:r>
        <w:rPr>
          <w:rFonts w:hint="eastAsia"/>
        </w:rPr>
        <w:t>2004</w:t>
      </w:r>
      <w:r>
        <w:rPr>
          <w:rFonts w:hint="eastAsia"/>
        </w:rPr>
        <w:t>年</w:t>
      </w:r>
      <w:r>
        <w:rPr>
          <w:rFonts w:hint="eastAsia"/>
        </w:rPr>
        <w:t>9</w:t>
      </w:r>
      <w:r>
        <w:rPr>
          <w:rFonts w:hint="eastAsia"/>
        </w:rPr>
        <w:t>月选举前针对民主党立法委员发出的威胁和实施的侵害。</w:t>
      </w:r>
    </w:p>
    <w:p w:rsidR="00000000" w:rsidRDefault="00000000">
      <w:pPr>
        <w:spacing w:line="319" w:lineRule="auto"/>
        <w:ind w:firstLine="510"/>
        <w:jc w:val="center"/>
        <w:rPr>
          <w:rFonts w:ascii="Time New Roman" w:eastAsia="SimHei" w:hAnsi="Time New Roman"/>
        </w:rPr>
      </w:pPr>
      <w:r>
        <w:rPr>
          <w:rFonts w:ascii="Time New Roman" w:eastAsia="SimHei" w:hAnsi="Time New Roman" w:hint="eastAsia"/>
        </w:rPr>
        <w:t>禁止歧视属于少数群体的人和这些人的权利</w:t>
      </w:r>
    </w:p>
    <w:p w:rsidR="00000000" w:rsidRDefault="00000000">
      <w:pPr>
        <w:spacing w:after="320" w:line="319" w:lineRule="auto"/>
        <w:ind w:firstLine="510"/>
        <w:jc w:val="center"/>
        <w:rPr>
          <w:rFonts w:ascii="Time New Roman" w:eastAsia="SimHei" w:hAnsi="Time New Roman"/>
        </w:rPr>
      </w:pPr>
      <w:r>
        <w:rPr>
          <w:rFonts w:ascii="Time New Roman" w:eastAsia="SimHei" w:hAnsi="Time New Roman"/>
        </w:rPr>
        <w:t>(</w:t>
      </w:r>
      <w:r>
        <w:rPr>
          <w:rFonts w:ascii="Time New Roman" w:eastAsia="SimHei" w:hAnsi="Time New Roman" w:hint="eastAsia"/>
        </w:rPr>
        <w:t>第二十六和二十七条</w:t>
      </w:r>
      <w:r>
        <w:rPr>
          <w:rFonts w:ascii="Time New Roman" w:eastAsia="SimHei" w:hAnsi="Time New Roman"/>
        </w:rPr>
        <w:t>)</w:t>
      </w:r>
    </w:p>
    <w:p w:rsidR="00000000" w:rsidRDefault="00000000">
      <w:pPr>
        <w:spacing w:after="160" w:line="319" w:lineRule="auto"/>
        <w:ind w:firstLine="510"/>
      </w:pPr>
      <w:r>
        <w:t xml:space="preserve">21.  </w:t>
      </w:r>
      <w:r>
        <w:rPr>
          <w:rFonts w:hint="eastAsia"/>
        </w:rPr>
        <w:t>请详细说明已采取或计划采取哪些措施保护主要为女性的外籍家庭佣工、使他们在工作场所和政府办事机构不至受到直接和间接的歧视，减少违反雇用合约的情况、短欠工资的情况以及以他们为目标的刑事犯罪。请提供关于法律补救办法在内的支助机制的资料，以及关于对短欠工资或不付工资和各种虐待的指控进行调查和法律追究的统计资料，及这些调查和追究的结果</w:t>
      </w:r>
      <w:r>
        <w:t>(</w:t>
      </w:r>
      <w:r>
        <w:rPr>
          <w:rFonts w:hint="eastAsia"/>
        </w:rPr>
        <w:t>判决和赔偿</w:t>
      </w:r>
      <w:r>
        <w:t>)</w:t>
      </w:r>
      <w:r>
        <w:rPr>
          <w:rFonts w:hint="eastAsia"/>
        </w:rPr>
        <w:t>。</w:t>
      </w: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1276" w:bottom="1985" w:left="1276"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華康細明體">
    <w:altName w:val="Arial Unicode MS"/>
    <w:charset w:val="88"/>
    <w:family w:val="modern"/>
    <w:pitch w:val="fixed"/>
    <w:sig w:usb0="00000085" w:usb1="08080000" w:usb2="00000010" w:usb3="00000000" w:csb0="0010000A"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06-40069 (C)</w:t>
          </w:r>
        </w:p>
      </w:tc>
      <w:tc>
        <w:tcPr>
          <w:tcW w:w="1050" w:type="dxa"/>
        </w:tcPr>
        <w:p w:rsidR="00000000" w:rsidRDefault="00000000">
          <w:pPr>
            <w:pStyle w:val="Footer"/>
          </w:pPr>
          <w:r>
            <w:t>250106</w:t>
          </w:r>
        </w:p>
      </w:tc>
      <w:tc>
        <w:tcPr>
          <w:tcW w:w="6061" w:type="dxa"/>
        </w:tcPr>
        <w:p w:rsidR="00000000" w:rsidRDefault="00000000">
          <w:pPr>
            <w:pStyle w:val="Footer"/>
          </w:pPr>
          <w:r>
            <w:t>310106</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jc w:val="both"/>
      <w:rPr>
        <w:lang w:val="fr-CH"/>
      </w:rPr>
    </w:pPr>
    <w:r>
      <w:rPr>
        <w:lang w:val="fr-CH"/>
      </w:rPr>
      <w:t>CCPR/C/HKG/Q/2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jc w:val="both"/>
      <w:rPr>
        <w:lang w:val="fr-CH"/>
      </w:rPr>
    </w:pPr>
    <w:r>
      <w:tab/>
    </w:r>
    <w:r>
      <w:tab/>
    </w:r>
    <w:r>
      <w:tab/>
    </w:r>
    <w:r>
      <w:tab/>
    </w:r>
    <w:r>
      <w:rPr>
        <w:lang w:val="fr-CH"/>
      </w:rPr>
      <w:t>CCPR/C/HKG/Q/2</w:t>
    </w:r>
  </w:p>
  <w:p w:rsidR="00000000" w:rsidRDefault="00000000">
    <w:pPr>
      <w:pStyle w:val="Header"/>
    </w:pPr>
    <w:r>
      <w:rPr>
        <w:lang w:val="fr-CH"/>
      </w:rPr>
      <w:tab/>
    </w:r>
    <w:r>
      <w:rPr>
        <w:lang w:val="fr-CH"/>
      </w:rPr>
      <w:tab/>
    </w:r>
    <w:r>
      <w:rPr>
        <w:lang w:val="fr-CH"/>
      </w:rPr>
      <w:tab/>
    </w:r>
    <w:r>
      <w:rPr>
        <w:lang w:val="fr-CH"/>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p>
  <w:p w:rsidR="00000000" w:rsidRDefault="00000000">
    <w:pPr>
      <w:pStyle w:val="a1"/>
      <w:spacing w:after="160"/>
    </w:pPr>
    <w:r>
      <w:rPr>
        <w:noProof/>
      </w:rPr>
      <w:pict>
        <v:rect id="_x0000_s2054" style="position:absolute;margin-left:459.8pt;margin-top:59.05pt;width:96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CCPR</w:t>
                </w:r>
              </w:p>
            </w:txbxContent>
          </v:textbox>
          <w10:wrap anchorx="page" anchory="page"/>
        </v:rect>
      </w:pict>
    </w:r>
    <w:r>
      <w:fldChar w:fldCharType="begin"/>
    </w:r>
    <w:r>
      <w:instrText xml:space="preserve">PRIVATE </w:instrText>
    </w:r>
    <w:r>
      <w:fldChar w:fldCharType="end"/>
    </w:r>
  </w:p>
  <w:p w:rsidR="00000000" w:rsidRDefault="00000000">
    <w:pPr>
      <w:pStyle w:val="1L"/>
      <w:framePr w:w="1620" w:wrap="around" w:x="1277"/>
    </w:pPr>
    <w:r>
      <w:rPr>
        <w:noProof/>
      </w:rPr>
      <w:pict>
        <v:rect id="_x0000_s2055"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p>
  <w:p w:rsidR="00000000" w:rsidRDefault="00000000">
    <w:pPr>
      <w:pStyle w:val="Header"/>
      <w:framePr w:w="3256" w:h="1977" w:hSpace="180" w:wrap="around" w:vAnchor="page" w:hAnchor="page" w:x="8341" w:y="2638"/>
      <w:widowControl/>
      <w:jc w:val="both"/>
    </w:pPr>
    <w:r>
      <w:t>Distr.</w:t>
    </w:r>
  </w:p>
  <w:p w:rsidR="00000000" w:rsidRDefault="00000000">
    <w:pPr>
      <w:pStyle w:val="Header"/>
      <w:framePr w:w="3256" w:h="1977" w:hSpace="180" w:wrap="around" w:vAnchor="page" w:hAnchor="page" w:x="8341" w:y="2638"/>
      <w:widowControl/>
      <w:jc w:val="both"/>
      <w:rPr>
        <w:rFonts w:hint="eastAsia"/>
      </w:rPr>
    </w:pPr>
    <w:r>
      <w:t>GENERAL</w:t>
    </w:r>
  </w:p>
  <w:p w:rsidR="00000000" w:rsidRDefault="00000000">
    <w:pPr>
      <w:pStyle w:val="Header"/>
      <w:framePr w:w="3256" w:h="1977" w:hSpace="180" w:wrap="around" w:vAnchor="page" w:hAnchor="page" w:x="8341" w:y="2638"/>
      <w:widowControl/>
      <w:jc w:val="both"/>
    </w:pPr>
  </w:p>
  <w:p w:rsidR="00000000" w:rsidRDefault="00000000">
    <w:pPr>
      <w:pStyle w:val="Header"/>
      <w:framePr w:w="3256" w:h="1977" w:hSpace="180" w:wrap="around" w:vAnchor="page" w:hAnchor="page" w:x="8341" w:y="2638"/>
      <w:widowControl/>
      <w:jc w:val="both"/>
      <w:rPr>
        <w:lang w:val="fr-CH"/>
      </w:rPr>
    </w:pPr>
    <w:r>
      <w:rPr>
        <w:lang w:val="fr-CH"/>
      </w:rPr>
      <w:t>CCPR/C/HKG/Q/2</w:t>
    </w:r>
  </w:p>
  <w:p w:rsidR="00000000" w:rsidRDefault="00000000">
    <w:pPr>
      <w:pStyle w:val="Header"/>
      <w:framePr w:w="3256" w:h="1977" w:hSpace="180" w:wrap="around" w:vAnchor="page" w:hAnchor="page" w:x="8341" w:y="2638"/>
      <w:widowControl/>
      <w:jc w:val="both"/>
    </w:pPr>
    <w:r>
      <w:t>13 January</w:t>
    </w:r>
    <w:r>
      <w:rPr>
        <w:rFonts w:hint="eastAsia"/>
      </w:rPr>
      <w:t xml:space="preserve"> 200</w:t>
    </w:r>
    <w:r>
      <w:t>6</w:t>
    </w:r>
  </w:p>
  <w:p w:rsidR="00000000" w:rsidRDefault="00000000">
    <w:pPr>
      <w:pStyle w:val="Header"/>
      <w:framePr w:w="3256" w:h="1977" w:hSpace="180" w:wrap="around" w:vAnchor="page" w:hAnchor="page" w:x="8341" w:y="2638"/>
      <w:widowControl/>
      <w:jc w:val="both"/>
    </w:pPr>
    <w:r>
      <w:t>CHINESE</w:t>
    </w:r>
  </w:p>
  <w:p w:rsidR="00000000" w:rsidRDefault="00000000">
    <w:pPr>
      <w:pStyle w:val="Header"/>
      <w:framePr w:w="3256" w:h="1977" w:hSpace="180" w:wrap="around" w:vAnchor="page" w:hAnchor="page" w:x="8341" w:y="2638"/>
      <w:widowControl/>
      <w:jc w:val="both"/>
    </w:pPr>
    <w:r>
      <w:t>Original:</w:t>
    </w:r>
    <w:r>
      <w:tab/>
      <w:t>ENGLISH</w:t>
    </w:r>
  </w:p>
  <w:p w:rsidR="00000000" w:rsidRDefault="00000000">
    <w:pPr>
      <w:pStyle w:val="a1"/>
    </w:pPr>
    <w:r>
      <w:pict>
        <v:rect id="_x0000_s2058" style="position:absolute;margin-left:66.7pt;margin-top:110.5pt;width:66pt;height:56.2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a1"/>
    </w:pPr>
    <w:r>
      <w:pict>
        <v:rect id="_x0000_s2056" style="position:absolute;margin-left:151.05pt;margin-top:116.25pt;width:216.05pt;height:62.45pt;z-index:-3;mso-position-horizontal-relative:page;mso-position-vertical-relative:page" o:allowincell="f" filled="f" stroked="f" strokeweight="0">
          <v:textbox inset="0,0,0,0">
            <w:txbxContent>
              <w:p w:rsidR="00000000" w:rsidRDefault="00000000">
                <w:pPr>
                  <w:pStyle w:val="1m1"/>
                  <w:rPr>
                    <w:spacing w:val="30"/>
                  </w:rPr>
                </w:pPr>
                <w:r>
                  <w:rPr>
                    <w:rFonts w:hint="eastAsia"/>
                    <w:spacing w:val="30"/>
                  </w:rPr>
                  <w:t>公民权利和政治权利</w:t>
                </w:r>
              </w:p>
              <w:p w:rsidR="00000000" w:rsidRDefault="00000000">
                <w:pPr>
                  <w:pStyle w:val="1m1"/>
                </w:pPr>
                <w:r>
                  <w:rPr>
                    <w:rFonts w:hint="eastAsia"/>
                    <w:spacing w:val="30"/>
                  </w:rPr>
                  <w:t>国际公约</w:t>
                </w:r>
              </w:p>
              <w:p w:rsidR="00000000" w:rsidRDefault="00000000">
                <w:pPr>
                  <w:pStyle w:val="1m1"/>
                </w:pPr>
              </w:p>
            </w:txbxContent>
          </v:textbox>
          <w10:wrap anchorx="page" anchory="page"/>
        </v:rect>
      </w:pict>
    </w:r>
  </w:p>
  <w:p w:rsidR="00000000" w:rsidRDefault="00000000">
    <w:pPr>
      <w:pStyle w:val="a1"/>
    </w:pPr>
    <w:r>
      <w:pict>
        <v:rect id="_x0000_s2057"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6"/>
  </w:num>
  <w:num w:numId="24">
    <w:abstractNumId w:val="1"/>
  </w:num>
  <w:num w:numId="25">
    <w:abstractNumId w:val="1"/>
  </w:num>
  <w:num w:numId="26">
    <w:abstractNumId w:val="1"/>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snapToGrid/>
      <w:spacing w:line="160" w:lineRule="exact"/>
    </w:pPr>
    <w:rPr>
      <w:snapToGrid/>
      <w:spacing w:val="0"/>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snapToGrid/>
      <w:spacing w:line="288" w:lineRule="auto"/>
    </w:pPr>
    <w:rPr>
      <w:snapToGrid/>
      <w:spacing w:val="0"/>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7</TotalTime>
  <Pages>1</Pages>
  <Words>403</Words>
  <Characters>2300</Characters>
  <Application>Microsoft Office Word</Application>
  <DocSecurity>4</DocSecurity>
  <Lines>19</Lines>
  <Paragraphs>4</Paragraphs>
  <ScaleCrop>false</ScaleCrop>
  <HeadingPairs>
    <vt:vector size="4" baseType="variant">
      <vt:variant>
        <vt:lpstr>题目</vt:lpstr>
      </vt:variant>
      <vt:variant>
        <vt:i4>1</vt:i4>
      </vt:variant>
      <vt:variant>
        <vt:lpstr>标题</vt:lpstr>
      </vt:variant>
      <vt:variant>
        <vt:i4>3</vt:i4>
      </vt:variant>
    </vt:vector>
  </HeadingPairs>
  <TitlesOfParts>
    <vt:vector size="4" baseType="lpstr">
      <vt:lpstr>人权事务委员会</vt:lpstr>
      <vt:lpstr>    审议中华人民共和国香港特别行政区 第二次定期报告时须处理的问题清单</vt:lpstr>
      <vt:lpstr>        据以执行《公约》的宪法和法律框架以及 法律与该框架相符与否(第二条)</vt:lpstr>
      <vt:lpstr>        驱逐外国人；某人进入本国的权利；对家庭和儿童的保护 (第十二、十三、二十三、二十四条)</vt:lpstr>
    </vt:vector>
  </TitlesOfParts>
  <Company>Chinese Unit - GE</Company>
  <LinksUpToDate>false</LinksUpToDate>
  <CharactersWithSpaces>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SIJ</dc:creator>
  <cp:keywords/>
  <dc:description>公民权利和政治权利国际公约</dc:description>
  <cp:lastModifiedBy>CSD</cp:lastModifiedBy>
  <cp:revision>2</cp:revision>
  <cp:lastPrinted>2006-01-31T14:13:00Z</cp:lastPrinted>
  <dcterms:created xsi:type="dcterms:W3CDTF">2006-01-31T14:17:00Z</dcterms:created>
  <dcterms:modified xsi:type="dcterms:W3CDTF">2006-01-31T14:17:00Z</dcterms:modified>
  <cp:category>CCPR决定.dot</cp:category>
</cp:coreProperties>
</file>